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B63EA7" w14:textId="77777777" w:rsidR="00556032" w:rsidRDefault="00000000">
      <w:pPr>
        <w:spacing w:line="360" w:lineRule="auto"/>
        <w:jc w:val="both"/>
        <w:rPr>
          <w:rFonts w:ascii="Book Antiqua" w:hAnsi="Book Antiqua"/>
        </w:rPr>
      </w:pPr>
      <w:r>
        <w:rPr>
          <w:rFonts w:ascii="Book Antiqua" w:eastAsia="Book Antiqua" w:hAnsi="Book Antiqua" w:cs="Book Antiqua"/>
          <w:b/>
        </w:rPr>
        <w:t xml:space="preserve">Name of Journal: </w:t>
      </w:r>
      <w:r>
        <w:rPr>
          <w:rFonts w:ascii="Book Antiqua" w:eastAsia="Book Antiqua" w:hAnsi="Book Antiqua" w:cs="Book Antiqua"/>
          <w:i/>
        </w:rPr>
        <w:t>World Journal of Stem Cells</w:t>
      </w:r>
    </w:p>
    <w:p w14:paraId="228E3D86" w14:textId="77777777" w:rsidR="00556032" w:rsidRDefault="00000000">
      <w:pPr>
        <w:spacing w:line="360" w:lineRule="auto"/>
        <w:jc w:val="both"/>
        <w:rPr>
          <w:rFonts w:ascii="Book Antiqua" w:hAnsi="Book Antiqua"/>
        </w:rPr>
      </w:pPr>
      <w:r>
        <w:rPr>
          <w:rFonts w:ascii="Book Antiqua" w:eastAsia="Book Antiqua" w:hAnsi="Book Antiqua" w:cs="Book Antiqua"/>
          <w:b/>
        </w:rPr>
        <w:t xml:space="preserve">Manuscript NO: </w:t>
      </w:r>
      <w:r>
        <w:rPr>
          <w:rFonts w:ascii="Book Antiqua" w:eastAsia="Book Antiqua" w:hAnsi="Book Antiqua" w:cs="Book Antiqua"/>
        </w:rPr>
        <w:t>87516</w:t>
      </w:r>
    </w:p>
    <w:p w14:paraId="45DB01A4" w14:textId="77777777" w:rsidR="00556032" w:rsidRDefault="00000000">
      <w:pPr>
        <w:spacing w:line="360" w:lineRule="auto"/>
        <w:jc w:val="both"/>
        <w:rPr>
          <w:rFonts w:ascii="Book Antiqua" w:hAnsi="Book Antiqua"/>
        </w:rPr>
      </w:pPr>
      <w:r>
        <w:rPr>
          <w:rFonts w:ascii="Book Antiqua" w:eastAsia="Book Antiqua" w:hAnsi="Book Antiqua" w:cs="Book Antiqua"/>
          <w:b/>
        </w:rPr>
        <w:t xml:space="preserve">Manuscript Type: </w:t>
      </w:r>
      <w:r>
        <w:rPr>
          <w:rFonts w:ascii="Book Antiqua" w:eastAsia="Book Antiqua" w:hAnsi="Book Antiqua" w:cs="Book Antiqua"/>
        </w:rPr>
        <w:t>ORIGINAL ARTICLE</w:t>
      </w:r>
    </w:p>
    <w:p w14:paraId="7DDAC0BF" w14:textId="77777777" w:rsidR="00556032" w:rsidRDefault="00556032">
      <w:pPr>
        <w:spacing w:line="360" w:lineRule="auto"/>
        <w:jc w:val="both"/>
        <w:rPr>
          <w:rFonts w:ascii="Book Antiqua" w:hAnsi="Book Antiqua"/>
        </w:rPr>
      </w:pPr>
    </w:p>
    <w:p w14:paraId="4C216D3A" w14:textId="77777777" w:rsidR="00556032" w:rsidRDefault="00000000">
      <w:pPr>
        <w:spacing w:line="360" w:lineRule="auto"/>
        <w:jc w:val="both"/>
        <w:rPr>
          <w:rFonts w:ascii="Book Antiqua" w:hAnsi="Book Antiqua"/>
        </w:rPr>
      </w:pPr>
      <w:r>
        <w:rPr>
          <w:rFonts w:ascii="Book Antiqua" w:eastAsia="Book Antiqua" w:hAnsi="Book Antiqua" w:cs="Book Antiqua"/>
          <w:b/>
          <w:i/>
        </w:rPr>
        <w:t>Basic Study</w:t>
      </w:r>
    </w:p>
    <w:p w14:paraId="39681E11" w14:textId="77777777" w:rsidR="00556032" w:rsidRDefault="00000000">
      <w:pPr>
        <w:spacing w:line="360" w:lineRule="auto"/>
        <w:jc w:val="both"/>
        <w:rPr>
          <w:rFonts w:ascii="Book Antiqua" w:hAnsi="Book Antiqua"/>
        </w:rPr>
      </w:pPr>
      <w:r>
        <w:rPr>
          <w:rFonts w:ascii="Book Antiqua" w:eastAsia="Book Antiqua" w:hAnsi="Book Antiqua" w:cs="Book Antiqua"/>
          <w:b/>
          <w:bCs/>
          <w:color w:val="000000"/>
        </w:rPr>
        <w:t>Hypoxia and inflammatory factor preconditioning enhances the immunosuppressive properties of human umbilical cord mesenchymal stem cells</w:t>
      </w:r>
    </w:p>
    <w:p w14:paraId="6A563D67" w14:textId="77777777" w:rsidR="00556032" w:rsidRDefault="00556032">
      <w:pPr>
        <w:spacing w:line="360" w:lineRule="auto"/>
        <w:jc w:val="both"/>
        <w:rPr>
          <w:rFonts w:ascii="Book Antiqua" w:hAnsi="Book Antiqua"/>
        </w:rPr>
      </w:pPr>
    </w:p>
    <w:p w14:paraId="097E8059"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 xml:space="preserve">Li H </w:t>
      </w:r>
      <w:r>
        <w:rPr>
          <w:rFonts w:ascii="Book Antiqua" w:eastAsia="Book Antiqua" w:hAnsi="Book Antiqua" w:cs="Book Antiqua"/>
          <w:i/>
          <w:iCs/>
          <w:color w:val="000000"/>
        </w:rPr>
        <w:t>et al</w:t>
      </w:r>
      <w:r>
        <w:rPr>
          <w:rFonts w:ascii="Book Antiqua" w:eastAsia="Book Antiqua" w:hAnsi="Book Antiqua" w:cs="Book Antiqua"/>
          <w:color w:val="000000"/>
        </w:rPr>
        <w:t>. Hypoxia and inflammatory factor pretreated UC-MSCs</w:t>
      </w:r>
    </w:p>
    <w:p w14:paraId="550E8756" w14:textId="77777777" w:rsidR="00556032" w:rsidRDefault="00556032">
      <w:pPr>
        <w:spacing w:line="360" w:lineRule="auto"/>
        <w:jc w:val="both"/>
        <w:rPr>
          <w:rFonts w:ascii="Book Antiqua" w:hAnsi="Book Antiqua"/>
        </w:rPr>
      </w:pPr>
    </w:p>
    <w:p w14:paraId="296AC024"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Hang Li, Xiao-Qing Ji, Shu-Ming Zhang, Ri-Hui Bi</w:t>
      </w:r>
    </w:p>
    <w:p w14:paraId="7F59ED01" w14:textId="77777777" w:rsidR="00556032" w:rsidRDefault="00556032">
      <w:pPr>
        <w:spacing w:line="360" w:lineRule="auto"/>
        <w:jc w:val="both"/>
        <w:rPr>
          <w:rFonts w:ascii="Book Antiqua" w:hAnsi="Book Antiqua"/>
        </w:rPr>
      </w:pPr>
    </w:p>
    <w:p w14:paraId="37E64DF4" w14:textId="77777777" w:rsidR="00556032" w:rsidRDefault="00000000">
      <w:pPr>
        <w:spacing w:line="360" w:lineRule="auto"/>
        <w:jc w:val="both"/>
        <w:rPr>
          <w:rFonts w:ascii="Book Antiqua" w:hAnsi="Book Antiqua"/>
        </w:rPr>
      </w:pPr>
      <w:r>
        <w:rPr>
          <w:rFonts w:ascii="Book Antiqua" w:eastAsia="Book Antiqua" w:hAnsi="Book Antiqua" w:cs="Book Antiqua"/>
          <w:b/>
          <w:bCs/>
          <w:color w:val="000000"/>
        </w:rPr>
        <w:t xml:space="preserve">Hang Li, </w:t>
      </w:r>
      <w:r>
        <w:rPr>
          <w:rFonts w:ascii="Book Antiqua" w:eastAsia="Book Antiqua" w:hAnsi="Book Antiqua" w:cs="Book Antiqua"/>
          <w:color w:val="000000"/>
        </w:rPr>
        <w:t>Department of Histology and Embryology, Shanxi Medical University, Taiyuan 030001, Shanxi Province, China</w:t>
      </w:r>
    </w:p>
    <w:p w14:paraId="19495698" w14:textId="77777777" w:rsidR="00556032" w:rsidRDefault="00556032">
      <w:pPr>
        <w:spacing w:line="360" w:lineRule="auto"/>
        <w:jc w:val="both"/>
        <w:rPr>
          <w:rFonts w:ascii="Book Antiqua" w:hAnsi="Book Antiqua"/>
        </w:rPr>
      </w:pPr>
    </w:p>
    <w:p w14:paraId="2D8BCD9A" w14:textId="77777777" w:rsidR="00556032" w:rsidRDefault="00000000">
      <w:pPr>
        <w:spacing w:line="360" w:lineRule="auto"/>
        <w:jc w:val="both"/>
        <w:rPr>
          <w:rFonts w:ascii="Book Antiqua" w:hAnsi="Book Antiqua"/>
        </w:rPr>
      </w:pPr>
      <w:r>
        <w:rPr>
          <w:rFonts w:ascii="Book Antiqua" w:eastAsia="Book Antiqua" w:hAnsi="Book Antiqua" w:cs="Book Antiqua"/>
          <w:b/>
          <w:bCs/>
          <w:color w:val="000000"/>
        </w:rPr>
        <w:t xml:space="preserve">Xiao-Qing Ji, Shu-Ming Zhang, </w:t>
      </w:r>
      <w:r>
        <w:rPr>
          <w:rFonts w:ascii="Book Antiqua" w:eastAsia="Book Antiqua" w:hAnsi="Book Antiqua" w:cs="Book Antiqua"/>
          <w:color w:val="000000"/>
        </w:rPr>
        <w:t>School of Pharmaceutical Science, Shanxi Medical University, Taiyuan 030001, Shanxi Province, China</w:t>
      </w:r>
    </w:p>
    <w:p w14:paraId="675B5240" w14:textId="77777777" w:rsidR="00556032" w:rsidRDefault="00556032">
      <w:pPr>
        <w:spacing w:line="360" w:lineRule="auto"/>
        <w:jc w:val="both"/>
        <w:rPr>
          <w:rFonts w:ascii="Book Antiqua" w:hAnsi="Book Antiqua"/>
        </w:rPr>
      </w:pPr>
    </w:p>
    <w:p w14:paraId="356F6221" w14:textId="77777777" w:rsidR="00556032" w:rsidRDefault="00000000">
      <w:pPr>
        <w:spacing w:line="360" w:lineRule="auto"/>
        <w:jc w:val="both"/>
        <w:rPr>
          <w:rFonts w:ascii="Book Antiqua" w:hAnsi="Book Antiqua"/>
        </w:rPr>
      </w:pPr>
      <w:r>
        <w:rPr>
          <w:rFonts w:ascii="Book Antiqua" w:eastAsia="Book Antiqua" w:hAnsi="Book Antiqua" w:cs="Book Antiqua"/>
          <w:b/>
          <w:bCs/>
          <w:color w:val="000000"/>
        </w:rPr>
        <w:t xml:space="preserve">Ri-Hui Bi, </w:t>
      </w:r>
      <w:r>
        <w:rPr>
          <w:rFonts w:ascii="Book Antiqua" w:eastAsia="Book Antiqua" w:hAnsi="Book Antiqua" w:cs="Book Antiqua"/>
          <w:color w:val="000000"/>
        </w:rPr>
        <w:t>Department of Hepatobiliary Surgery, Shanxi Bethune Hospital, Shanxi Academy of Medical Sciences, Tongji Hospital Affiliated to Shanxi Medical University, The Third Hospital of Shanxi Medical University, Taiyuan 030002, Shanxi Province, China</w:t>
      </w:r>
    </w:p>
    <w:p w14:paraId="0D144FA7" w14:textId="77777777" w:rsidR="00556032" w:rsidRDefault="00556032">
      <w:pPr>
        <w:spacing w:line="360" w:lineRule="auto"/>
        <w:jc w:val="both"/>
        <w:rPr>
          <w:rFonts w:ascii="Book Antiqua" w:hAnsi="Book Antiqua"/>
        </w:rPr>
      </w:pPr>
    </w:p>
    <w:p w14:paraId="5F406DF7" w14:textId="77777777" w:rsidR="00556032" w:rsidRDefault="00000000">
      <w:pPr>
        <w:spacing w:line="360" w:lineRule="auto"/>
        <w:jc w:val="both"/>
        <w:rPr>
          <w:rFonts w:ascii="Book Antiqua" w:hAnsi="Book Antiqua"/>
        </w:rPr>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Li H, Ji XQ, Zhang SM, and Bi RH designed and coordinated the study; Li H performed experiments and wrote the manuscript; Ji XQ acquired and analyzed the data; Bi RH contributed to ideas, supervision, review and editing; All authors approved the final version of the article.</w:t>
      </w:r>
    </w:p>
    <w:p w14:paraId="45C794B1" w14:textId="77777777" w:rsidR="00556032" w:rsidRDefault="00556032">
      <w:pPr>
        <w:spacing w:line="360" w:lineRule="auto"/>
        <w:jc w:val="both"/>
        <w:rPr>
          <w:rFonts w:ascii="Book Antiqua" w:hAnsi="Book Antiqua"/>
        </w:rPr>
      </w:pPr>
    </w:p>
    <w:p w14:paraId="14A01CBA" w14:textId="77777777" w:rsidR="00556032" w:rsidRDefault="00000000">
      <w:pPr>
        <w:spacing w:line="360" w:lineRule="auto"/>
        <w:jc w:val="both"/>
        <w:rPr>
          <w:rFonts w:ascii="Book Antiqua" w:hAnsi="Book Antiqua"/>
        </w:rPr>
      </w:pPr>
      <w:r>
        <w:rPr>
          <w:rFonts w:ascii="Book Antiqua" w:eastAsia="Book Antiqua" w:hAnsi="Book Antiqua" w:cs="Book Antiqua"/>
          <w:b/>
          <w:bCs/>
          <w:color w:val="000000"/>
        </w:rPr>
        <w:t xml:space="preserve">Supported by </w:t>
      </w:r>
      <w:r>
        <w:rPr>
          <w:rFonts w:ascii="Book Antiqua" w:eastAsia="Book Antiqua" w:hAnsi="Book Antiqua" w:cs="Book Antiqua"/>
          <w:color w:val="000000"/>
        </w:rPr>
        <w:t>the National Natural Science Foundation of China, No. 31200899.</w:t>
      </w:r>
    </w:p>
    <w:p w14:paraId="5D7AB78D" w14:textId="77777777" w:rsidR="00556032" w:rsidRDefault="00556032">
      <w:pPr>
        <w:spacing w:line="360" w:lineRule="auto"/>
        <w:jc w:val="both"/>
        <w:rPr>
          <w:rFonts w:ascii="Book Antiqua" w:hAnsi="Book Antiqua"/>
        </w:rPr>
      </w:pPr>
    </w:p>
    <w:p w14:paraId="47E08DF7" w14:textId="77777777" w:rsidR="00556032" w:rsidRDefault="00000000">
      <w:pPr>
        <w:spacing w:line="360" w:lineRule="auto"/>
        <w:jc w:val="both"/>
        <w:rPr>
          <w:rFonts w:ascii="Book Antiqua" w:hAnsi="Book Antiqua"/>
        </w:rPr>
      </w:pPr>
      <w:r>
        <w:rPr>
          <w:rFonts w:ascii="Book Antiqua" w:eastAsia="Book Antiqua" w:hAnsi="Book Antiqua" w:cs="Book Antiqua"/>
          <w:b/>
          <w:bCs/>
          <w:color w:val="000000"/>
        </w:rPr>
        <w:lastRenderedPageBreak/>
        <w:t xml:space="preserve">Corresponding author: Ri-Hui Bi, MD, Surgeon, </w:t>
      </w:r>
      <w:r>
        <w:rPr>
          <w:rFonts w:ascii="Book Antiqua" w:eastAsia="Book Antiqua" w:hAnsi="Book Antiqua" w:cs="Book Antiqua"/>
          <w:color w:val="000000"/>
        </w:rPr>
        <w:t>Department of Hepatobiliary Surgery, Shanxi Bethune Hospital, Shanxi Academy of Medical Sciences, Tongji Hospital Affiliated to Shanxi Medical University, The Third Hospital of Shanxi Medical University, No. 99 Longcheng, Xiaodian District, Taiyuan 030002, Shanxi Province, China. birihui@sxmu.edu.cn</w:t>
      </w:r>
    </w:p>
    <w:p w14:paraId="0CB30C3C" w14:textId="77777777" w:rsidR="00556032" w:rsidRDefault="00556032">
      <w:pPr>
        <w:spacing w:line="360" w:lineRule="auto"/>
        <w:jc w:val="both"/>
        <w:rPr>
          <w:rFonts w:ascii="Book Antiqua" w:hAnsi="Book Antiqua"/>
        </w:rPr>
      </w:pPr>
    </w:p>
    <w:p w14:paraId="4BE9028F" w14:textId="77777777" w:rsidR="00556032" w:rsidRDefault="00000000">
      <w:pPr>
        <w:spacing w:line="360" w:lineRule="auto"/>
        <w:jc w:val="both"/>
        <w:rPr>
          <w:rFonts w:ascii="Book Antiqua" w:hAnsi="Book Antiqua"/>
        </w:rPr>
      </w:pPr>
      <w:r>
        <w:rPr>
          <w:rFonts w:ascii="Book Antiqua" w:eastAsia="Book Antiqua" w:hAnsi="Book Antiqua" w:cs="Book Antiqua"/>
          <w:b/>
          <w:bCs/>
        </w:rPr>
        <w:t xml:space="preserve">Received: </w:t>
      </w:r>
      <w:r>
        <w:rPr>
          <w:rFonts w:ascii="Book Antiqua" w:eastAsia="Book Antiqua" w:hAnsi="Book Antiqua" w:cs="Book Antiqua"/>
        </w:rPr>
        <w:t>August 15, 2023</w:t>
      </w:r>
    </w:p>
    <w:p w14:paraId="4513FA98" w14:textId="77777777" w:rsidR="00556032" w:rsidRDefault="00000000">
      <w:pPr>
        <w:spacing w:line="360" w:lineRule="auto"/>
        <w:jc w:val="both"/>
        <w:rPr>
          <w:rFonts w:ascii="Book Antiqua" w:hAnsi="Book Antiqua"/>
        </w:rPr>
      </w:pPr>
      <w:r>
        <w:rPr>
          <w:rFonts w:ascii="Book Antiqua" w:eastAsia="Book Antiqua" w:hAnsi="Book Antiqua" w:cs="Book Antiqua"/>
          <w:b/>
          <w:bCs/>
        </w:rPr>
        <w:t xml:space="preserve">Revised: </w:t>
      </w:r>
      <w:r>
        <w:rPr>
          <w:rFonts w:ascii="Book Antiqua" w:eastAsia="Book Antiqua" w:hAnsi="Book Antiqua" w:cs="Book Antiqua"/>
        </w:rPr>
        <w:t>September 28, 2023</w:t>
      </w:r>
    </w:p>
    <w:p w14:paraId="2A818079" w14:textId="77777777" w:rsidR="00556032" w:rsidRDefault="00000000">
      <w:pPr>
        <w:spacing w:line="360" w:lineRule="auto"/>
        <w:jc w:val="both"/>
        <w:rPr>
          <w:rFonts w:ascii="Book Antiqua" w:hAnsi="Book Antiqua"/>
        </w:rPr>
      </w:pPr>
      <w:r>
        <w:rPr>
          <w:rFonts w:ascii="Book Antiqua" w:eastAsia="Book Antiqua" w:hAnsi="Book Antiqua" w:cs="Book Antiqua"/>
          <w:b/>
          <w:bCs/>
        </w:rPr>
        <w:t xml:space="preserve">Accepted: </w:t>
      </w:r>
      <w:r>
        <w:rPr>
          <w:rFonts w:ascii="Book Antiqua" w:eastAsia="Book Antiqua" w:hAnsi="Book Antiqua" w:cs="Book Antiqua"/>
        </w:rPr>
        <w:t>October 30, 2023</w:t>
      </w:r>
    </w:p>
    <w:p w14:paraId="452A60F9" w14:textId="08971394" w:rsidR="00556032" w:rsidRDefault="00000000">
      <w:pPr>
        <w:spacing w:line="360" w:lineRule="auto"/>
        <w:jc w:val="both"/>
        <w:rPr>
          <w:rFonts w:ascii="Book Antiqua" w:hAnsi="Book Antiqua"/>
        </w:rPr>
      </w:pPr>
      <w:r>
        <w:rPr>
          <w:rFonts w:ascii="Book Antiqua" w:eastAsia="Book Antiqua" w:hAnsi="Book Antiqua" w:cs="Book Antiqua"/>
          <w:b/>
          <w:bCs/>
        </w:rPr>
        <w:t xml:space="preserve">Published online: </w:t>
      </w:r>
      <w:r w:rsidR="004F046E">
        <w:rPr>
          <w:rFonts w:ascii="Book Antiqua" w:hAnsi="Book Antiqua"/>
          <w:color w:val="333333"/>
          <w:shd w:val="clear" w:color="auto" w:fill="FFFFFF"/>
        </w:rPr>
        <w:t>November 26, 2023</w:t>
      </w:r>
    </w:p>
    <w:p w14:paraId="0F527052" w14:textId="77777777" w:rsidR="00556032" w:rsidRDefault="00556032">
      <w:pPr>
        <w:spacing w:line="360" w:lineRule="auto"/>
        <w:jc w:val="both"/>
        <w:rPr>
          <w:rFonts w:ascii="Book Antiqua" w:hAnsi="Book Antiqua"/>
        </w:rPr>
        <w:sectPr w:rsidR="00556032">
          <w:footerReference w:type="default" r:id="rId7"/>
          <w:pgSz w:w="12240" w:h="15840"/>
          <w:pgMar w:top="1440" w:right="1440" w:bottom="1440" w:left="1440" w:header="720" w:footer="720" w:gutter="0"/>
          <w:cols w:space="720"/>
          <w:docGrid w:linePitch="360"/>
        </w:sectPr>
      </w:pPr>
    </w:p>
    <w:p w14:paraId="68ABB282" w14:textId="77777777" w:rsidR="00556032" w:rsidRDefault="00000000">
      <w:pPr>
        <w:spacing w:line="360" w:lineRule="auto"/>
        <w:jc w:val="both"/>
        <w:rPr>
          <w:rFonts w:ascii="Book Antiqua" w:hAnsi="Book Antiqua"/>
        </w:rPr>
      </w:pPr>
      <w:r>
        <w:rPr>
          <w:rFonts w:ascii="Book Antiqua" w:eastAsia="Book Antiqua" w:hAnsi="Book Antiqua" w:cs="Book Antiqua"/>
          <w:b/>
          <w:color w:val="000000"/>
        </w:rPr>
        <w:lastRenderedPageBreak/>
        <w:t>Abstract</w:t>
      </w:r>
    </w:p>
    <w:p w14:paraId="1DEC1253"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BACKGROUND</w:t>
      </w:r>
    </w:p>
    <w:p w14:paraId="0487BF9D"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 xml:space="preserve">Mesenchymal stem cells (MSCs) have great potential for the treatment of various immune diseases due to their unique immunomodulatory properties. However, MSCs exposed to the harsh inflammatory environment of damaged tissue after intravenous transplantation cannot exert their biological effects, and therefore, their therapeutic efficacy is reduced. In this challenging context, an </w:t>
      </w:r>
      <w:r>
        <w:rPr>
          <w:rFonts w:ascii="Book Antiqua" w:eastAsia="Book Antiqua" w:hAnsi="Book Antiqua" w:cs="Book Antiqua"/>
          <w:i/>
          <w:iCs/>
          <w:color w:val="000000"/>
        </w:rPr>
        <w:t>in vitro</w:t>
      </w:r>
      <w:r>
        <w:rPr>
          <w:rFonts w:ascii="Book Antiqua" w:eastAsia="Book Antiqua" w:hAnsi="Book Antiqua" w:cs="Book Antiqua"/>
          <w:color w:val="000000"/>
        </w:rPr>
        <w:t xml:space="preserve"> preconditioning method is necessary for the development of MSC-based therapies with increased immunomodulatory capacity and transplantation efficacy.</w:t>
      </w:r>
    </w:p>
    <w:p w14:paraId="66CEAC1F" w14:textId="77777777" w:rsidR="00556032" w:rsidRDefault="00556032">
      <w:pPr>
        <w:spacing w:line="360" w:lineRule="auto"/>
        <w:jc w:val="both"/>
        <w:rPr>
          <w:rFonts w:ascii="Book Antiqua" w:hAnsi="Book Antiqua"/>
        </w:rPr>
      </w:pPr>
    </w:p>
    <w:p w14:paraId="21AE030C"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AIM</w:t>
      </w:r>
    </w:p>
    <w:p w14:paraId="2BB79869" w14:textId="77777777" w:rsidR="00556032"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To determine whether hypoxia and inflammatory factor preconditioning increases the immunosuppressive properties of MSCs without affecting their biological characteristics. </w:t>
      </w:r>
    </w:p>
    <w:p w14:paraId="3D5EBEB3" w14:textId="77777777" w:rsidR="00556032" w:rsidRDefault="00556032">
      <w:pPr>
        <w:spacing w:line="360" w:lineRule="auto"/>
        <w:jc w:val="both"/>
        <w:rPr>
          <w:rFonts w:ascii="Book Antiqua" w:hAnsi="Book Antiqua"/>
        </w:rPr>
      </w:pPr>
    </w:p>
    <w:p w14:paraId="76C6A899"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METHODS</w:t>
      </w:r>
    </w:p>
    <w:p w14:paraId="3E3EF20A"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Umbilical cord MSCs (UC-MSCs) were pretreated with hypoxia (2% O</w:t>
      </w:r>
      <w:r>
        <w:rPr>
          <w:rFonts w:ascii="Book Antiqua" w:eastAsia="Book Antiqua" w:hAnsi="Book Antiqua" w:cs="Book Antiqua"/>
          <w:color w:val="000000"/>
          <w:vertAlign w:val="subscript"/>
        </w:rPr>
        <w:t>2</w:t>
      </w:r>
      <w:r>
        <w:rPr>
          <w:rFonts w:ascii="Book Antiqua" w:eastAsia="Book Antiqua" w:hAnsi="Book Antiqua" w:cs="Book Antiqua"/>
          <w:color w:val="000000"/>
        </w:rPr>
        <w:t>) exposure and inflammatory factors (interleukin-1β, tumor necrosis factor-α, interferon-γ) for 24 h. Flow cytometry, polymerase chain reaction, enzyme-linked immunosorbent assay and other experimental methods were used to evaluate the biological characteristics of pretreated UC-MSCs and to determine whether pretreatment affected the immunosuppressive ability of UC-MSCs in coculture with immune cells.</w:t>
      </w:r>
    </w:p>
    <w:p w14:paraId="0FD8383C" w14:textId="77777777" w:rsidR="00556032" w:rsidRDefault="00556032">
      <w:pPr>
        <w:spacing w:line="360" w:lineRule="auto"/>
        <w:jc w:val="both"/>
        <w:rPr>
          <w:rFonts w:ascii="Book Antiqua" w:hAnsi="Book Antiqua"/>
        </w:rPr>
      </w:pPr>
    </w:p>
    <w:p w14:paraId="74F21E06"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RESULTS</w:t>
      </w:r>
    </w:p>
    <w:p w14:paraId="0776D048"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 xml:space="preserve">Pretreatment with hypoxia and inflammatory factors caused UC-MSCs to be elongated but did not affect their viability, proliferation or size. In addition, pretreatment significantly decreased the expression of coagulation-related tissue factors but did not affect the expression of other surface markers. Similarly, mitochondrial function and integrity were retained. Although pretreatment promoted UC-MSC apoptosis and senescence, it increased the expression of genes and proteins related to immune </w:t>
      </w:r>
      <w:r>
        <w:rPr>
          <w:rFonts w:ascii="Book Antiqua" w:eastAsia="Book Antiqua" w:hAnsi="Book Antiqua" w:cs="Book Antiqua"/>
          <w:color w:val="000000"/>
        </w:rPr>
        <w:lastRenderedPageBreak/>
        <w:t xml:space="preserve">regulation. Pretreatment increased </w:t>
      </w:r>
      <w:bookmarkStart w:id="0" w:name="_Hlk148967686"/>
      <w:r>
        <w:rPr>
          <w:rFonts w:ascii="Book Antiqua" w:eastAsia="Book Antiqua" w:hAnsi="Book Antiqua" w:cs="Book Antiqua"/>
          <w:color w:val="000000"/>
        </w:rPr>
        <w:t>peripheral blood mononuclear cell</w:t>
      </w:r>
      <w:bookmarkEnd w:id="0"/>
      <w:r>
        <w:rPr>
          <w:rFonts w:ascii="Book Antiqua" w:eastAsia="Book Antiqua" w:hAnsi="Book Antiqua" w:cs="Book Antiqua"/>
          <w:color w:val="000000"/>
        </w:rPr>
        <w:t xml:space="preserve"> and </w:t>
      </w:r>
      <w:bookmarkStart w:id="1" w:name="_Hlk148973248"/>
      <w:r>
        <w:rPr>
          <w:rFonts w:ascii="Book Antiqua" w:eastAsia="Book Antiqua" w:hAnsi="Book Antiqua" w:cs="Book Antiqua"/>
          <w:color w:val="000000"/>
        </w:rPr>
        <w:t>natural killer</w:t>
      </w:r>
      <w:bookmarkEnd w:id="1"/>
      <w:r>
        <w:rPr>
          <w:rFonts w:ascii="Book Antiqua" w:eastAsia="Book Antiqua" w:hAnsi="Book Antiqua" w:cs="Book Antiqua"/>
          <w:color w:val="000000"/>
        </w:rPr>
        <w:t xml:space="preserve"> (NK) cell proliferation rates and inhibited NK cell-induced toxicity to varying degrees.</w:t>
      </w:r>
    </w:p>
    <w:p w14:paraId="7421169F" w14:textId="77777777" w:rsidR="00556032" w:rsidRDefault="00556032">
      <w:pPr>
        <w:spacing w:line="360" w:lineRule="auto"/>
        <w:jc w:val="both"/>
        <w:rPr>
          <w:rFonts w:ascii="Book Antiqua" w:hAnsi="Book Antiqua"/>
        </w:rPr>
      </w:pPr>
    </w:p>
    <w:p w14:paraId="346DC201"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CONCLUSION</w:t>
      </w:r>
    </w:p>
    <w:p w14:paraId="71B87E19"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In summary, hypoxia and inflammatory factor preconditioning led to higher immunosuppressive effects of MSCs without damaging their biological characteristics.</w:t>
      </w:r>
    </w:p>
    <w:p w14:paraId="4DCA67D6" w14:textId="77777777" w:rsidR="00556032" w:rsidRDefault="00556032">
      <w:pPr>
        <w:spacing w:line="360" w:lineRule="auto"/>
        <w:jc w:val="both"/>
        <w:rPr>
          <w:rFonts w:ascii="Book Antiqua" w:hAnsi="Book Antiqua"/>
        </w:rPr>
      </w:pPr>
    </w:p>
    <w:p w14:paraId="68FE662A" w14:textId="77777777" w:rsidR="00556032" w:rsidRDefault="00000000">
      <w:pPr>
        <w:spacing w:line="360" w:lineRule="auto"/>
        <w:jc w:val="both"/>
        <w:rPr>
          <w:rFonts w:ascii="Book Antiqua" w:hAnsi="Book Antiqua"/>
        </w:rPr>
      </w:pPr>
      <w:r>
        <w:rPr>
          <w:rFonts w:ascii="Book Antiqua" w:eastAsia="Book Antiqua" w:hAnsi="Book Antiqua" w:cs="Book Antiqua"/>
          <w:b/>
          <w:bCs/>
        </w:rPr>
        <w:t xml:space="preserve">Key Words: </w:t>
      </w:r>
      <w:r>
        <w:rPr>
          <w:rFonts w:ascii="Book Antiqua" w:eastAsia="Book Antiqua" w:hAnsi="Book Antiqua" w:cs="Book Antiqua"/>
        </w:rPr>
        <w:t>Mesenchymal stem cells; Umbilical cord; Preconditioning; Hypoxia, Inflammatory factors; Immune regulation</w:t>
      </w:r>
    </w:p>
    <w:p w14:paraId="02A248E8" w14:textId="77777777" w:rsidR="00556032" w:rsidRDefault="00556032">
      <w:pPr>
        <w:spacing w:line="360" w:lineRule="auto"/>
        <w:jc w:val="both"/>
        <w:rPr>
          <w:rFonts w:ascii="Book Antiqua" w:hAnsi="Book Antiqua"/>
        </w:rPr>
      </w:pPr>
    </w:p>
    <w:p w14:paraId="5117DB9F" w14:textId="77777777" w:rsidR="005A7EC0" w:rsidRDefault="005A7EC0" w:rsidP="005A7EC0">
      <w:pPr>
        <w:spacing w:line="360" w:lineRule="auto"/>
        <w:rPr>
          <w:rFonts w:ascii="Book Antiqua" w:eastAsia="Book Antiqua" w:hAnsi="Book Antiqua" w:cs="Book Antiqua"/>
          <w:color w:val="000000"/>
        </w:rPr>
      </w:pPr>
      <w:r>
        <w:rPr>
          <w:rFonts w:ascii="Book Antiqua" w:eastAsia="Book Antiqua" w:hAnsi="Book Antiqua" w:cs="Book Antiqua" w:hint="eastAsia"/>
          <w:b/>
          <w:color w:val="000000"/>
        </w:rPr>
        <w:t>©</w:t>
      </w:r>
      <w:r>
        <w:rPr>
          <w:rFonts w:ascii="Book Antiqua" w:eastAsia="Book Antiqua" w:hAnsi="Book Antiqua" w:cs="Book Antiqua"/>
          <w:b/>
          <w:color w:val="000000"/>
        </w:rPr>
        <w:t>The</w:t>
      </w:r>
      <w:r>
        <w:rPr>
          <w:rFonts w:ascii="Book Antiqua" w:eastAsia="Book Antiqua" w:hAnsi="Book Antiqua" w:cs="Book Antiqua"/>
          <w:color w:val="000000"/>
        </w:rPr>
        <w:t xml:space="preserve"> </w:t>
      </w:r>
      <w:r>
        <w:rPr>
          <w:rFonts w:ascii="Book Antiqua" w:eastAsia="Book Antiqua" w:hAnsi="Book Antiqua" w:cs="Book Antiqua"/>
          <w:b/>
          <w:color w:val="000000"/>
        </w:rPr>
        <w:t>Author(s) 202</w:t>
      </w:r>
      <w:r>
        <w:rPr>
          <w:rFonts w:ascii="Book Antiqua" w:hAnsi="Book Antiqua" w:cs="Book Antiqua"/>
          <w:b/>
          <w:color w:val="000000"/>
        </w:rPr>
        <w:t>3</w:t>
      </w:r>
      <w:r>
        <w:rPr>
          <w:rFonts w:ascii="Book Antiqua" w:eastAsia="Book Antiqua" w:hAnsi="Book Antiqua" w:cs="Book Antiqua"/>
          <w:b/>
          <w:color w:val="000000"/>
        </w:rPr>
        <w:t xml:space="preserve">. </w:t>
      </w:r>
      <w:r>
        <w:rPr>
          <w:rFonts w:ascii="Book Antiqua" w:eastAsia="Book Antiqua" w:hAnsi="Book Antiqua" w:cs="Book Antiqua"/>
          <w:color w:val="000000"/>
        </w:rPr>
        <w:t>Published by Baishideng Publishing Group Inc. All rights reserved.</w:t>
      </w:r>
    </w:p>
    <w:p w14:paraId="5F801E50" w14:textId="77777777" w:rsidR="005A7EC0" w:rsidRDefault="005A7EC0">
      <w:pPr>
        <w:spacing w:line="360" w:lineRule="auto"/>
        <w:jc w:val="both"/>
        <w:rPr>
          <w:rFonts w:ascii="Book Antiqua" w:hAnsi="Book Antiqua"/>
        </w:rPr>
      </w:pPr>
    </w:p>
    <w:p w14:paraId="1610939F" w14:textId="4DACAB23" w:rsidR="005A7EC0" w:rsidRDefault="005A7EC0">
      <w:pPr>
        <w:spacing w:line="360" w:lineRule="auto"/>
        <w:jc w:val="both"/>
        <w:rPr>
          <w:rFonts w:ascii="Book Antiqua" w:eastAsia="Book Antiqua" w:hAnsi="Book Antiqua" w:cs="Book Antiqua"/>
        </w:rPr>
      </w:pPr>
      <w:r w:rsidRPr="009A68BC">
        <w:rPr>
          <w:rFonts w:ascii="Book Antiqua" w:eastAsia="Book Antiqua" w:hAnsi="Book Antiqua" w:cs="Book Antiqua"/>
          <w:b/>
          <w:bCs/>
          <w:color w:val="000000"/>
        </w:rPr>
        <w:t>C</w:t>
      </w:r>
      <w:r w:rsidRPr="009A68BC">
        <w:rPr>
          <w:rFonts w:ascii="Book Antiqua" w:eastAsia="Book Antiqua" w:hAnsi="Book Antiqua" w:cs="Book Antiqua" w:hint="eastAsia"/>
          <w:b/>
          <w:bCs/>
          <w:color w:val="000000"/>
        </w:rPr>
        <w:t>itation</w:t>
      </w:r>
      <w:r w:rsidRPr="009A68BC">
        <w:rPr>
          <w:rFonts w:ascii="Book Antiqua" w:eastAsia="Book Antiqua" w:hAnsi="Book Antiqua" w:cs="Book Antiqua"/>
          <w:color w:val="000000"/>
        </w:rPr>
        <w:t xml:space="preserve">: </w:t>
      </w:r>
      <w:r>
        <w:rPr>
          <w:rFonts w:ascii="Book Antiqua" w:eastAsia="Book Antiqua" w:hAnsi="Book Antiqua" w:cs="Book Antiqua"/>
        </w:rPr>
        <w:t xml:space="preserve">Li H, Ji XQ, Zhang SM, Bi RH. Hypoxia and inflammatory factor preconditioning enhances the immunosuppressive properties of human umbilical cord mesenchymal stem cells. </w:t>
      </w:r>
      <w:r>
        <w:rPr>
          <w:rFonts w:ascii="Book Antiqua" w:eastAsia="Book Antiqua" w:hAnsi="Book Antiqua" w:cs="Book Antiqua"/>
          <w:i/>
          <w:iCs/>
        </w:rPr>
        <w:t>World J Stem Cells</w:t>
      </w:r>
      <w:r>
        <w:rPr>
          <w:rFonts w:ascii="Book Antiqua" w:eastAsia="Book Antiqua" w:hAnsi="Book Antiqua" w:cs="Book Antiqua"/>
        </w:rPr>
        <w:t xml:space="preserve"> 2023; </w:t>
      </w:r>
      <w:r w:rsidR="007F728E" w:rsidRPr="007F728E">
        <w:rPr>
          <w:rFonts w:ascii="Book Antiqua" w:eastAsia="Book Antiqua" w:hAnsi="Book Antiqua" w:cs="Book Antiqua"/>
        </w:rPr>
        <w:t xml:space="preserve">15(11): </w:t>
      </w:r>
      <w:r>
        <w:rPr>
          <w:rFonts w:ascii="Book Antiqua" w:hAnsi="Book Antiqua" w:hint="eastAsia"/>
        </w:rPr>
        <w:t>9</w:t>
      </w:r>
      <w:r>
        <w:rPr>
          <w:rFonts w:ascii="Book Antiqua" w:hAnsi="Book Antiqua"/>
        </w:rPr>
        <w:t>99-101</w:t>
      </w:r>
      <w:r w:rsidR="0068486A">
        <w:rPr>
          <w:rFonts w:ascii="Book Antiqua" w:hAnsi="Book Antiqua"/>
        </w:rPr>
        <w:t>6</w:t>
      </w:r>
    </w:p>
    <w:p w14:paraId="05344D91" w14:textId="30BEC571" w:rsidR="005A7EC0" w:rsidRDefault="007F728E">
      <w:pPr>
        <w:spacing w:line="360" w:lineRule="auto"/>
        <w:jc w:val="both"/>
        <w:rPr>
          <w:rFonts w:ascii="Book Antiqua" w:eastAsia="Book Antiqua" w:hAnsi="Book Antiqua" w:cs="Book Antiqua"/>
        </w:rPr>
      </w:pPr>
      <w:r w:rsidRPr="005A7EC0">
        <w:rPr>
          <w:rFonts w:ascii="Book Antiqua" w:eastAsia="Book Antiqua" w:hAnsi="Book Antiqua" w:cs="Book Antiqua"/>
          <w:b/>
          <w:bCs/>
        </w:rPr>
        <w:t>URL</w:t>
      </w:r>
      <w:r w:rsidRPr="007F728E">
        <w:rPr>
          <w:rFonts w:ascii="Book Antiqua" w:eastAsia="Book Antiqua" w:hAnsi="Book Antiqua" w:cs="Book Antiqua"/>
        </w:rPr>
        <w:t>: https://www.wjgnet.com/1948-0210/full/v15/i11/</w:t>
      </w:r>
      <w:r w:rsidR="005A7EC0">
        <w:rPr>
          <w:rFonts w:ascii="Book Antiqua" w:hAnsi="Book Antiqua" w:hint="eastAsia"/>
        </w:rPr>
        <w:t>9</w:t>
      </w:r>
      <w:r w:rsidR="005A7EC0">
        <w:rPr>
          <w:rFonts w:ascii="Book Antiqua" w:hAnsi="Book Antiqua"/>
        </w:rPr>
        <w:t>99</w:t>
      </w:r>
      <w:r w:rsidRPr="007F728E">
        <w:rPr>
          <w:rFonts w:ascii="Book Antiqua" w:eastAsia="Book Antiqua" w:hAnsi="Book Antiqua" w:cs="Book Antiqua"/>
        </w:rPr>
        <w:t>.htm</w:t>
      </w:r>
    </w:p>
    <w:p w14:paraId="26D3921F" w14:textId="6CD9CB30" w:rsidR="00556032" w:rsidRDefault="007F728E">
      <w:pPr>
        <w:spacing w:line="360" w:lineRule="auto"/>
        <w:jc w:val="both"/>
        <w:rPr>
          <w:rFonts w:ascii="Book Antiqua" w:hAnsi="Book Antiqua"/>
        </w:rPr>
      </w:pPr>
      <w:r w:rsidRPr="005A7EC0">
        <w:rPr>
          <w:rFonts w:ascii="Book Antiqua" w:eastAsia="Book Antiqua" w:hAnsi="Book Antiqua" w:cs="Book Antiqua"/>
          <w:b/>
          <w:bCs/>
        </w:rPr>
        <w:t>DOI</w:t>
      </w:r>
      <w:r w:rsidRPr="007F728E">
        <w:rPr>
          <w:rFonts w:ascii="Book Antiqua" w:eastAsia="Book Antiqua" w:hAnsi="Book Antiqua" w:cs="Book Antiqua"/>
        </w:rPr>
        <w:t>: https://dx.doi.org/10.4252/wjsc.v15.i11.</w:t>
      </w:r>
      <w:r w:rsidR="005A7EC0">
        <w:rPr>
          <w:rFonts w:ascii="Book Antiqua" w:hAnsi="Book Antiqua" w:hint="eastAsia"/>
        </w:rPr>
        <w:t>9</w:t>
      </w:r>
      <w:r w:rsidR="005A7EC0">
        <w:rPr>
          <w:rFonts w:ascii="Book Antiqua" w:hAnsi="Book Antiqua"/>
        </w:rPr>
        <w:t>99</w:t>
      </w:r>
    </w:p>
    <w:p w14:paraId="1D997EB1" w14:textId="77777777" w:rsidR="00556032" w:rsidRDefault="00556032">
      <w:pPr>
        <w:spacing w:line="360" w:lineRule="auto"/>
        <w:jc w:val="both"/>
        <w:rPr>
          <w:rFonts w:ascii="Book Antiqua" w:hAnsi="Book Antiqua"/>
        </w:rPr>
      </w:pPr>
    </w:p>
    <w:p w14:paraId="249E0519" w14:textId="77777777" w:rsidR="00556032" w:rsidRDefault="00000000">
      <w:pPr>
        <w:spacing w:line="360" w:lineRule="auto"/>
        <w:jc w:val="both"/>
        <w:rPr>
          <w:rFonts w:ascii="Book Antiqua" w:hAnsi="Book Antiqua"/>
        </w:rPr>
      </w:pPr>
      <w:r>
        <w:rPr>
          <w:rFonts w:ascii="Book Antiqua" w:eastAsia="Book Antiqua" w:hAnsi="Book Antiqua" w:cs="Book Antiqua"/>
          <w:b/>
          <w:bCs/>
        </w:rPr>
        <w:t xml:space="preserve">Core Tip: </w:t>
      </w:r>
      <w:r>
        <w:rPr>
          <w:rFonts w:ascii="Book Antiqua" w:eastAsia="Book Antiqua" w:hAnsi="Book Antiqua" w:cs="Book Antiqua"/>
        </w:rPr>
        <w:t xml:space="preserve">Mesenchymal stem cells (MSCs) are potential candidates for treating many immune diseases due to their unique immunomodulatory abilities, but low survival rates and weakened function after venous transplantation reduces their treatment potential. Therefore, our study reveals a combination pretreatment method based on </w:t>
      </w:r>
      <w:r>
        <w:rPr>
          <w:rFonts w:ascii="Book Antiqua" w:eastAsia="Book Antiqua" w:hAnsi="Book Antiqua" w:cs="Book Antiqua"/>
          <w:i/>
          <w:iCs/>
        </w:rPr>
        <w:t>in vitro</w:t>
      </w:r>
      <w:r>
        <w:rPr>
          <w:rFonts w:ascii="Book Antiqua" w:eastAsia="Book Antiqua" w:hAnsi="Book Antiqua" w:cs="Book Antiqua"/>
        </w:rPr>
        <w:t xml:space="preserve"> hypoxia exposure and inflammatory factor treatment that simulates the harsh </w:t>
      </w:r>
      <w:r>
        <w:rPr>
          <w:rFonts w:ascii="Book Antiqua" w:eastAsia="Book Antiqua" w:hAnsi="Book Antiqua" w:cs="Book Antiqua"/>
          <w:i/>
          <w:iCs/>
        </w:rPr>
        <w:t>in vivo</w:t>
      </w:r>
      <w:r>
        <w:rPr>
          <w:rFonts w:ascii="Book Antiqua" w:eastAsia="Book Antiqua" w:hAnsi="Book Antiqua" w:cs="Book Antiqua"/>
        </w:rPr>
        <w:t xml:space="preserve"> environment to protect MSCs from injury after intravenous transfusion and promote high immunosuppressive effects of MSCs.</w:t>
      </w:r>
    </w:p>
    <w:p w14:paraId="5D365DC8" w14:textId="77777777" w:rsidR="00556032" w:rsidRDefault="00556032">
      <w:pPr>
        <w:spacing w:line="360" w:lineRule="auto"/>
        <w:jc w:val="both"/>
        <w:rPr>
          <w:rFonts w:ascii="Book Antiqua" w:hAnsi="Book Antiqua"/>
        </w:rPr>
      </w:pPr>
    </w:p>
    <w:p w14:paraId="09B8A95C" w14:textId="77777777" w:rsidR="00556032" w:rsidRDefault="00000000">
      <w:pPr>
        <w:spacing w:line="360" w:lineRule="auto"/>
        <w:jc w:val="both"/>
        <w:rPr>
          <w:rFonts w:ascii="Book Antiqua" w:hAnsi="Book Antiqua"/>
        </w:rPr>
      </w:pPr>
      <w:r>
        <w:rPr>
          <w:rFonts w:ascii="Book Antiqua" w:eastAsia="Book Antiqua" w:hAnsi="Book Antiqua" w:cs="Book Antiqua"/>
          <w:b/>
          <w:caps/>
          <w:color w:val="000000"/>
          <w:u w:val="single"/>
        </w:rPr>
        <w:t>INTRODUCTION</w:t>
      </w:r>
    </w:p>
    <w:p w14:paraId="0C45F0E3"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In recent years, mesenchymal stem cells (MSCs) have been shown to have a variety of biological properties, such as self-renewal</w:t>
      </w:r>
      <w:r>
        <w:rPr>
          <w:rFonts w:ascii="Book Antiqua" w:eastAsia="Book Antiqua" w:hAnsi="Book Antiqua" w:cs="Book Antiqua"/>
          <w:color w:val="000000"/>
          <w:vertAlign w:val="superscript"/>
        </w:rPr>
        <w:t>[1]</w:t>
      </w:r>
      <w:r>
        <w:rPr>
          <w:rFonts w:ascii="Book Antiqua" w:eastAsia="Book Antiqua" w:hAnsi="Book Antiqua" w:cs="Book Antiqua"/>
          <w:color w:val="000000"/>
        </w:rPr>
        <w:t>, multilineage differentiation</w:t>
      </w:r>
      <w:r>
        <w:rPr>
          <w:rFonts w:ascii="Book Antiqua" w:eastAsia="Book Antiqua" w:hAnsi="Book Antiqua" w:cs="Book Antiqua"/>
          <w:color w:val="000000"/>
          <w:vertAlign w:val="superscript"/>
        </w:rPr>
        <w:t>[2,3]</w:t>
      </w:r>
      <w:r>
        <w:rPr>
          <w:rFonts w:ascii="Book Antiqua" w:eastAsia="Book Antiqua" w:hAnsi="Book Antiqua" w:cs="Book Antiqua"/>
          <w:color w:val="000000"/>
        </w:rPr>
        <w:t xml:space="preserve">, </w:t>
      </w:r>
      <w:r>
        <w:rPr>
          <w:rFonts w:ascii="Book Antiqua" w:eastAsia="Book Antiqua" w:hAnsi="Book Antiqua" w:cs="Book Antiqua"/>
          <w:color w:val="000000"/>
        </w:rPr>
        <w:lastRenderedPageBreak/>
        <w:t>immunomodulation functions</w:t>
      </w:r>
      <w:r>
        <w:rPr>
          <w:rFonts w:ascii="Book Antiqua" w:eastAsia="Book Antiqua" w:hAnsi="Book Antiqua" w:cs="Book Antiqua"/>
          <w:color w:val="000000"/>
          <w:vertAlign w:val="superscript"/>
        </w:rPr>
        <w:t>[4,5]</w:t>
      </w:r>
      <w:r>
        <w:rPr>
          <w:rFonts w:ascii="Book Antiqua" w:eastAsia="Book Antiqua" w:hAnsi="Book Antiqua" w:cs="Book Antiqua"/>
          <w:color w:val="000000"/>
        </w:rPr>
        <w:t>, tissue repair effects</w:t>
      </w:r>
      <w:r>
        <w:rPr>
          <w:rFonts w:ascii="Book Antiqua" w:eastAsia="Book Antiqua" w:hAnsi="Book Antiqua" w:cs="Book Antiqua"/>
          <w:color w:val="000000"/>
          <w:vertAlign w:val="superscript"/>
        </w:rPr>
        <w:t>[6]</w:t>
      </w:r>
      <w:r>
        <w:rPr>
          <w:rFonts w:ascii="Book Antiqua" w:eastAsia="Book Antiqua" w:hAnsi="Book Antiqua" w:cs="Book Antiqua"/>
          <w:color w:val="000000"/>
        </w:rPr>
        <w:t>, anti-aging and regeneration activity</w:t>
      </w:r>
      <w:r>
        <w:rPr>
          <w:rFonts w:ascii="Book Antiqua" w:eastAsia="Book Antiqua" w:hAnsi="Book Antiqua" w:cs="Book Antiqua"/>
          <w:color w:val="000000"/>
          <w:vertAlign w:val="superscript"/>
        </w:rPr>
        <w:t>[7]</w:t>
      </w:r>
      <w:r>
        <w:rPr>
          <w:rFonts w:ascii="Book Antiqua" w:eastAsia="Book Antiqua" w:hAnsi="Book Antiqua" w:cs="Book Antiqua"/>
          <w:color w:val="000000"/>
        </w:rPr>
        <w:t>. Furthermore, due to the abundance and ready availability of MSCs</w:t>
      </w:r>
      <w:r>
        <w:rPr>
          <w:rFonts w:ascii="Book Antiqua" w:eastAsia="Book Antiqua" w:hAnsi="Book Antiqua" w:cs="Book Antiqua"/>
          <w:color w:val="000000"/>
          <w:vertAlign w:val="superscript"/>
        </w:rPr>
        <w:t>[8]</w:t>
      </w:r>
      <w:r>
        <w:rPr>
          <w:rFonts w:ascii="Book Antiqua" w:eastAsia="Book Antiqua" w:hAnsi="Book Antiqua" w:cs="Book Antiqua"/>
          <w:color w:val="000000"/>
        </w:rPr>
        <w:t>, they do not lead to rejection after allografting</w:t>
      </w:r>
      <w:r>
        <w:rPr>
          <w:rFonts w:ascii="Book Antiqua" w:eastAsia="Book Antiqua" w:hAnsi="Book Antiqua" w:cs="Book Antiqua"/>
          <w:color w:val="000000"/>
          <w:vertAlign w:val="superscript"/>
        </w:rPr>
        <w:t>[9]</w:t>
      </w:r>
      <w:r>
        <w:rPr>
          <w:rFonts w:ascii="Book Antiqua" w:eastAsia="Book Antiqua" w:hAnsi="Book Antiqua" w:cs="Book Antiqua"/>
          <w:color w:val="000000"/>
        </w:rPr>
        <w:t>; thus, MSCs have great economic value, importance in the cell therapy field and broad application prospects. Although many questions remain unanswered, the immunomodulatory effects of MSCs make them candidates for cell-based tissue repair and disease treatment</w:t>
      </w:r>
      <w:r>
        <w:rPr>
          <w:rFonts w:ascii="Book Antiqua" w:eastAsia="Book Antiqua" w:hAnsi="Book Antiqua" w:cs="Book Antiqua"/>
          <w:color w:val="000000"/>
          <w:vertAlign w:val="superscript"/>
        </w:rPr>
        <w:t>[10-12]</w:t>
      </w:r>
      <w:r>
        <w:rPr>
          <w:rFonts w:ascii="Book Antiqua" w:eastAsia="Book Antiqua" w:hAnsi="Book Antiqua" w:cs="Book Antiqua"/>
          <w:color w:val="000000"/>
        </w:rPr>
        <w:t>. For example, MSCs have great potential in treating graft-</w:t>
      </w:r>
      <w:r>
        <w:rPr>
          <w:rFonts w:ascii="Book Antiqua" w:eastAsia="Book Antiqua" w:hAnsi="Book Antiqua" w:cs="Book Antiqua"/>
          <w:i/>
          <w:iCs/>
          <w:color w:val="000000"/>
        </w:rPr>
        <w:t>versus</w:t>
      </w:r>
      <w:r>
        <w:rPr>
          <w:rFonts w:ascii="Book Antiqua" w:eastAsia="Book Antiqua" w:hAnsi="Book Antiqua" w:cs="Book Antiqua"/>
          <w:color w:val="000000"/>
        </w:rPr>
        <w:t>-host disease</w:t>
      </w:r>
      <w:r>
        <w:rPr>
          <w:rFonts w:ascii="Book Antiqua" w:eastAsia="Book Antiqua" w:hAnsi="Book Antiqua" w:cs="Book Antiqua"/>
          <w:color w:val="000000"/>
          <w:vertAlign w:val="superscript"/>
        </w:rPr>
        <w:t>[13]</w:t>
      </w:r>
      <w:r>
        <w:rPr>
          <w:rFonts w:ascii="Book Antiqua" w:eastAsia="Book Antiqua" w:hAnsi="Book Antiqua" w:cs="Book Antiqua"/>
          <w:color w:val="000000"/>
        </w:rPr>
        <w:t>, cardiovascular disease</w:t>
      </w:r>
      <w:r>
        <w:rPr>
          <w:rFonts w:ascii="Book Antiqua" w:eastAsia="Book Antiqua" w:hAnsi="Book Antiqua" w:cs="Book Antiqua"/>
          <w:color w:val="000000"/>
          <w:vertAlign w:val="superscript"/>
        </w:rPr>
        <w:t>[14,15]</w:t>
      </w:r>
      <w:r>
        <w:rPr>
          <w:rFonts w:ascii="Book Antiqua" w:eastAsia="Book Antiqua" w:hAnsi="Book Antiqua" w:cs="Book Antiqua"/>
          <w:color w:val="000000"/>
        </w:rPr>
        <w:t>, liver disease</w:t>
      </w:r>
      <w:r>
        <w:rPr>
          <w:rFonts w:ascii="Book Antiqua" w:eastAsia="Book Antiqua" w:hAnsi="Book Antiqua" w:cs="Book Antiqua"/>
          <w:color w:val="000000"/>
          <w:vertAlign w:val="superscript"/>
        </w:rPr>
        <w:t>[16,17]</w:t>
      </w:r>
      <w:r>
        <w:rPr>
          <w:rFonts w:ascii="Book Antiqua" w:eastAsia="Book Antiqua" w:hAnsi="Book Antiqua" w:cs="Book Antiqua"/>
          <w:color w:val="000000"/>
        </w:rPr>
        <w:t>, systemic lupus erythematosus</w:t>
      </w:r>
      <w:r>
        <w:rPr>
          <w:rFonts w:ascii="Book Antiqua" w:eastAsia="Book Antiqua" w:hAnsi="Book Antiqua" w:cs="Book Antiqua"/>
          <w:color w:val="000000"/>
          <w:vertAlign w:val="superscript"/>
        </w:rPr>
        <w:t>[18]</w:t>
      </w:r>
      <w:r>
        <w:rPr>
          <w:rFonts w:ascii="Book Antiqua" w:eastAsia="Book Antiqua" w:hAnsi="Book Antiqua" w:cs="Book Antiqua"/>
          <w:color w:val="000000"/>
        </w:rPr>
        <w:t>, autoimmune encephalomyelitis</w:t>
      </w:r>
      <w:r>
        <w:rPr>
          <w:rFonts w:ascii="Book Antiqua" w:eastAsia="Book Antiqua" w:hAnsi="Book Antiqua" w:cs="Book Antiqua"/>
          <w:color w:val="000000"/>
          <w:vertAlign w:val="superscript"/>
        </w:rPr>
        <w:t xml:space="preserve">[19] </w:t>
      </w:r>
      <w:r>
        <w:rPr>
          <w:rFonts w:ascii="Book Antiqua" w:eastAsia="Book Antiqua" w:hAnsi="Book Antiqua" w:cs="Book Antiqua"/>
          <w:color w:val="000000"/>
        </w:rPr>
        <w:t>and spinal cord injury</w:t>
      </w:r>
      <w:r>
        <w:rPr>
          <w:rFonts w:ascii="Book Antiqua" w:eastAsia="Book Antiqua" w:hAnsi="Book Antiqua" w:cs="Book Antiqua"/>
          <w:color w:val="000000"/>
          <w:vertAlign w:val="superscript"/>
        </w:rPr>
        <w:t>[20]</w:t>
      </w:r>
      <w:r>
        <w:rPr>
          <w:rFonts w:ascii="Book Antiqua" w:eastAsia="Book Antiqua" w:hAnsi="Book Antiqua" w:cs="Book Antiqua"/>
          <w:color w:val="000000"/>
        </w:rPr>
        <w:t xml:space="preserve">. Studies have shown that the immunomodulatory ability of MSCs is primarily regulated by cytokines and other soluble factors, including prostaglandin E2 (PGE2), </w:t>
      </w:r>
      <w:bookmarkStart w:id="2" w:name="_Hlk148974574"/>
      <w:r>
        <w:rPr>
          <w:rFonts w:ascii="Book Antiqua" w:eastAsia="Book Antiqua" w:hAnsi="Book Antiqua" w:cs="Book Antiqua"/>
          <w:color w:val="000000"/>
        </w:rPr>
        <w:t>tumor necrosis factor</w:t>
      </w:r>
      <w:bookmarkEnd w:id="2"/>
      <w:r>
        <w:rPr>
          <w:rFonts w:ascii="Book Antiqua" w:eastAsia="Book Antiqua" w:hAnsi="Book Antiqua" w:cs="Book Antiqua"/>
          <w:color w:val="000000"/>
        </w:rPr>
        <w:t xml:space="preserve"> (TNF)-α-stimulated gene protein-6 (TSG-6), inducible indoleamine 2,3-dioxygenase (IDO), interleukin-10 (IL-10) and transforming growth factor-β1 (TGF-β1)</w:t>
      </w:r>
      <w:r>
        <w:rPr>
          <w:rFonts w:ascii="Book Antiqua" w:eastAsia="Book Antiqua" w:hAnsi="Book Antiqua" w:cs="Book Antiqua"/>
          <w:color w:val="000000"/>
          <w:vertAlign w:val="superscript"/>
        </w:rPr>
        <w:t>[21]</w:t>
      </w:r>
      <w:r>
        <w:rPr>
          <w:rFonts w:ascii="Book Antiqua" w:eastAsia="Book Antiqua" w:hAnsi="Book Antiqua" w:cs="Book Antiqua"/>
          <w:color w:val="000000"/>
        </w:rPr>
        <w:t>. They contribute to MSC-mediated immunosuppression by inhibiting natural killer (NK) cell proliferation, cytotoxicity and cytokine secretion</w:t>
      </w:r>
      <w:r>
        <w:rPr>
          <w:rFonts w:ascii="Book Antiqua" w:eastAsia="Book Antiqua" w:hAnsi="Book Antiqua" w:cs="Book Antiqua"/>
          <w:color w:val="000000"/>
          <w:vertAlign w:val="superscript"/>
        </w:rPr>
        <w:t>[22]</w:t>
      </w:r>
      <w:r>
        <w:rPr>
          <w:rFonts w:ascii="Book Antiqua" w:eastAsia="Book Antiqua" w:hAnsi="Book Antiqua" w:cs="Book Antiqua"/>
          <w:color w:val="000000"/>
        </w:rPr>
        <w:t>, inhibiting T-cell proliferation, promoting regulatory T cell production</w:t>
      </w:r>
      <w:r>
        <w:rPr>
          <w:rFonts w:ascii="Book Antiqua" w:eastAsia="Book Antiqua" w:hAnsi="Book Antiqua" w:cs="Book Antiqua"/>
          <w:color w:val="000000"/>
          <w:vertAlign w:val="superscript"/>
        </w:rPr>
        <w:t>[5,23,24]</w:t>
      </w:r>
      <w:r>
        <w:rPr>
          <w:rFonts w:ascii="Book Antiqua" w:eastAsia="Book Antiqua" w:hAnsi="Book Antiqua" w:cs="Book Antiqua"/>
          <w:color w:val="000000"/>
        </w:rPr>
        <w:t>, and inhibiting B-cell proliferation and immunoglobulin release</w:t>
      </w:r>
      <w:r>
        <w:rPr>
          <w:rFonts w:ascii="Book Antiqua" w:eastAsia="Book Antiqua" w:hAnsi="Book Antiqua" w:cs="Book Antiqua"/>
          <w:color w:val="000000"/>
          <w:vertAlign w:val="superscript"/>
        </w:rPr>
        <w:t>[25,26]</w:t>
      </w:r>
      <w:r>
        <w:rPr>
          <w:rFonts w:ascii="Book Antiqua" w:eastAsia="Book Antiqua" w:hAnsi="Book Antiqua" w:cs="Book Antiqua"/>
          <w:color w:val="000000"/>
        </w:rPr>
        <w:t>.</w:t>
      </w:r>
    </w:p>
    <w:p w14:paraId="7236EC5C" w14:textId="77777777" w:rsidR="00556032" w:rsidRDefault="00000000">
      <w:pPr>
        <w:spacing w:line="360" w:lineRule="auto"/>
        <w:ind w:firstLine="240"/>
        <w:jc w:val="both"/>
        <w:rPr>
          <w:rFonts w:ascii="Book Antiqua" w:hAnsi="Book Antiqua"/>
        </w:rPr>
      </w:pPr>
      <w:r>
        <w:rPr>
          <w:rFonts w:ascii="Book Antiqua" w:eastAsia="Book Antiqua" w:hAnsi="Book Antiqua" w:cs="Book Antiqua"/>
          <w:color w:val="000000"/>
        </w:rPr>
        <w:t>It has been shown that when MSCs are injected into the body and migrate to damaged tissues or organs, the activation of innate immune cells leads to increased chemokine and cytokine release (such as TNF-α, IL-1α and IL-1β)</w:t>
      </w:r>
      <w:r>
        <w:rPr>
          <w:rFonts w:ascii="Book Antiqua" w:eastAsia="Book Antiqua" w:hAnsi="Book Antiqua" w:cs="Book Antiqua"/>
          <w:color w:val="000000"/>
          <w:vertAlign w:val="superscript"/>
        </w:rPr>
        <w:t>[27]</w:t>
      </w:r>
      <w:r>
        <w:rPr>
          <w:rFonts w:ascii="Book Antiqua" w:eastAsia="Book Antiqua" w:hAnsi="Book Antiqua" w:cs="Book Antiqua"/>
          <w:color w:val="000000"/>
        </w:rPr>
        <w:t xml:space="preserve"> and is accompanied by the development of a harsh environment caused by hypoxic stress</w:t>
      </w:r>
      <w:r>
        <w:rPr>
          <w:rFonts w:ascii="Book Antiqua" w:eastAsia="Book Antiqua" w:hAnsi="Book Antiqua" w:cs="Book Antiqua"/>
          <w:color w:val="000000"/>
          <w:vertAlign w:val="superscript"/>
        </w:rPr>
        <w:t>[28]</w:t>
      </w:r>
      <w:r>
        <w:rPr>
          <w:rFonts w:ascii="Book Antiqua" w:eastAsia="Book Antiqua" w:hAnsi="Book Antiqua" w:cs="Book Antiqua"/>
          <w:color w:val="000000"/>
        </w:rPr>
        <w:t xml:space="preserve">, leading to decreased MSC activity. Therefore, </w:t>
      </w:r>
      <w:r>
        <w:rPr>
          <w:rFonts w:ascii="Book Antiqua" w:eastAsia="Book Antiqua" w:hAnsi="Book Antiqua" w:cs="Book Antiqua"/>
          <w:i/>
          <w:iCs/>
          <w:color w:val="000000"/>
        </w:rPr>
        <w:t>in vitro</w:t>
      </w:r>
      <w:r>
        <w:rPr>
          <w:rFonts w:ascii="Book Antiqua" w:eastAsia="Book Antiqua" w:hAnsi="Book Antiqua" w:cs="Book Antiqua"/>
          <w:color w:val="000000"/>
        </w:rPr>
        <w:t xml:space="preserve"> preconditioning culture developed through hypoxia exposure and inflammatory factor supplementation can effectively mimic the </w:t>
      </w:r>
      <w:r>
        <w:rPr>
          <w:rFonts w:ascii="Book Antiqua" w:eastAsia="Book Antiqua" w:hAnsi="Book Antiqua" w:cs="Book Antiqua"/>
          <w:i/>
          <w:iCs/>
          <w:color w:val="000000"/>
        </w:rPr>
        <w:t>in vivo</w:t>
      </w:r>
      <w:r>
        <w:rPr>
          <w:rFonts w:ascii="Book Antiqua" w:eastAsia="Book Antiqua" w:hAnsi="Book Antiqua" w:cs="Book Antiqua"/>
          <w:color w:val="000000"/>
        </w:rPr>
        <w:t xml:space="preserve"> microenvironment. Preconditioning MSCs </w:t>
      </w:r>
      <w:r>
        <w:rPr>
          <w:rFonts w:ascii="Book Antiqua" w:eastAsia="Book Antiqua" w:hAnsi="Book Antiqua" w:cs="Book Antiqua"/>
          <w:i/>
          <w:iCs/>
          <w:color w:val="000000"/>
        </w:rPr>
        <w:t>in vitro</w:t>
      </w:r>
      <w:r>
        <w:rPr>
          <w:rFonts w:ascii="Book Antiqua" w:eastAsia="Book Antiqua" w:hAnsi="Book Antiqua" w:cs="Book Antiqua"/>
          <w:color w:val="000000"/>
        </w:rPr>
        <w:t xml:space="preserve"> activates various signaling pathways, influencing the biological activities of MSCs </w:t>
      </w:r>
      <w:r>
        <w:rPr>
          <w:rFonts w:ascii="Book Antiqua" w:eastAsia="Book Antiqua" w:hAnsi="Book Antiqua" w:cs="Book Antiqua"/>
          <w:i/>
          <w:iCs/>
          <w:color w:val="000000"/>
        </w:rPr>
        <w:t>in vitro</w:t>
      </w:r>
      <w:r>
        <w:rPr>
          <w:rFonts w:ascii="Book Antiqua" w:eastAsia="Book Antiqua" w:hAnsi="Book Antiqua" w:cs="Book Antiqua"/>
          <w:color w:val="000000"/>
        </w:rPr>
        <w:t xml:space="preserve"> and </w:t>
      </w:r>
      <w:r>
        <w:rPr>
          <w:rFonts w:ascii="Book Antiqua" w:eastAsia="Book Antiqua" w:hAnsi="Book Antiqua" w:cs="Book Antiqua"/>
          <w:i/>
          <w:iCs/>
          <w:color w:val="000000"/>
        </w:rPr>
        <w:t>in vivo</w:t>
      </w:r>
      <w:r>
        <w:rPr>
          <w:rFonts w:ascii="Book Antiqua" w:eastAsia="Book Antiqua" w:hAnsi="Book Antiqua" w:cs="Book Antiqua"/>
          <w:color w:val="000000"/>
        </w:rPr>
        <w:t xml:space="preserve">, thereby preparing them to survive the harsh environment to which they are subjected during </w:t>
      </w:r>
      <w:r>
        <w:rPr>
          <w:rFonts w:ascii="Book Antiqua" w:eastAsia="Book Antiqua" w:hAnsi="Book Antiqua" w:cs="Book Antiqua"/>
          <w:i/>
          <w:iCs/>
          <w:color w:val="000000"/>
        </w:rPr>
        <w:t>in vivo</w:t>
      </w:r>
      <w:r>
        <w:rPr>
          <w:rFonts w:ascii="Book Antiqua" w:eastAsia="Book Antiqua" w:hAnsi="Book Antiqua" w:cs="Book Antiqua"/>
          <w:color w:val="000000"/>
        </w:rPr>
        <w:t xml:space="preserve"> administration and protecting them from damage</w:t>
      </w:r>
      <w:r>
        <w:rPr>
          <w:rFonts w:ascii="Book Antiqua" w:eastAsia="Book Antiqua" w:hAnsi="Book Antiqua" w:cs="Book Antiqua"/>
          <w:color w:val="000000"/>
          <w:vertAlign w:val="superscript"/>
        </w:rPr>
        <w:t>[29,30]</w:t>
      </w:r>
      <w:r>
        <w:rPr>
          <w:rFonts w:ascii="Book Antiqua" w:eastAsia="Book Antiqua" w:hAnsi="Book Antiqua" w:cs="Book Antiqua"/>
          <w:color w:val="000000"/>
        </w:rPr>
        <w:t>. In addition, preconditioning can induce MSCs to secrete immunosuppressive molecules to target innate and adaptive immune cells, thereby mediating immune regulation by releasing water-soluble factors</w:t>
      </w:r>
      <w:r>
        <w:rPr>
          <w:rFonts w:ascii="Book Antiqua" w:eastAsia="Book Antiqua" w:hAnsi="Book Antiqua" w:cs="Book Antiqua"/>
          <w:color w:val="000000"/>
          <w:vertAlign w:val="superscript"/>
        </w:rPr>
        <w:t>[31,32]</w:t>
      </w:r>
      <w:r>
        <w:rPr>
          <w:rFonts w:ascii="Book Antiqua" w:eastAsia="Book Antiqua" w:hAnsi="Book Antiqua" w:cs="Book Antiqua"/>
          <w:color w:val="000000"/>
        </w:rPr>
        <w:t xml:space="preserve">. Therefore, pretreatment is an adaptive strategy to enhance the efficacy of MSC therapy, which can not only prolong MSC survival and function after </w:t>
      </w:r>
      <w:r>
        <w:rPr>
          <w:rFonts w:ascii="Book Antiqua" w:eastAsia="Book Antiqua" w:hAnsi="Book Antiqua" w:cs="Book Antiqua"/>
          <w:color w:val="000000"/>
        </w:rPr>
        <w:lastRenderedPageBreak/>
        <w:t>transplantation but also endows them with higher immunomodulatory activity levels. Studies have shown that preconditioning with inflammatory factors such as TNF-α and interferon (IFN)-γ can increase MSC immunoregulatory ability</w:t>
      </w:r>
      <w:r>
        <w:rPr>
          <w:rFonts w:ascii="Book Antiqua" w:eastAsia="Book Antiqua" w:hAnsi="Book Antiqua" w:cs="Book Antiqua"/>
          <w:color w:val="000000"/>
          <w:vertAlign w:val="superscript"/>
        </w:rPr>
        <w:t>[33,34]</w:t>
      </w:r>
      <w:r>
        <w:rPr>
          <w:rFonts w:ascii="Book Antiqua" w:eastAsia="Book Antiqua" w:hAnsi="Book Antiqua" w:cs="Book Antiqua"/>
          <w:color w:val="000000"/>
        </w:rPr>
        <w:t>. Hypoxia preconditioning is often used to enhance the therapeutic effect of MSCs by inducing the expression of survival genes, chemokines, growth factors, and angiogenic factors (such as vascular endothelial growth factor), enabling the MSCs to adapt to the harsh environment of damaged tissue</w:t>
      </w:r>
      <w:r>
        <w:rPr>
          <w:rFonts w:ascii="Book Antiqua" w:eastAsia="Book Antiqua" w:hAnsi="Book Antiqua" w:cs="Book Antiqua"/>
          <w:color w:val="000000"/>
          <w:vertAlign w:val="superscript"/>
        </w:rPr>
        <w:t>[35,36]</w:t>
      </w:r>
      <w:r>
        <w:rPr>
          <w:rFonts w:ascii="Book Antiqua" w:eastAsia="Book Antiqua" w:hAnsi="Book Antiqua" w:cs="Book Antiqua"/>
          <w:color w:val="000000"/>
        </w:rPr>
        <w:t>.</w:t>
      </w:r>
    </w:p>
    <w:p w14:paraId="40167298" w14:textId="77777777" w:rsidR="00556032" w:rsidRDefault="00000000">
      <w:pPr>
        <w:spacing w:line="360" w:lineRule="auto"/>
        <w:ind w:firstLine="240"/>
        <w:jc w:val="both"/>
        <w:rPr>
          <w:rFonts w:ascii="Book Antiqua" w:hAnsi="Book Antiqua"/>
        </w:rPr>
      </w:pPr>
      <w:r>
        <w:rPr>
          <w:rFonts w:ascii="Book Antiqua" w:eastAsia="Book Antiqua" w:hAnsi="Book Antiqua" w:cs="Book Antiqua"/>
          <w:color w:val="000000"/>
        </w:rPr>
        <w:t>Although different preconditioning methods can enhance cell properties and increase their function, many are accompanied by safety concerns. In contrast to the aforementioned positive outcomes of pretreatment, improper pretreatment can negatively impact cell morphology and function, damage mitochondrial function</w:t>
      </w:r>
      <w:r>
        <w:rPr>
          <w:rFonts w:ascii="Book Antiqua" w:eastAsia="Book Antiqua" w:hAnsi="Book Antiqua" w:cs="Book Antiqua"/>
          <w:color w:val="000000"/>
          <w:vertAlign w:val="superscript"/>
        </w:rPr>
        <w:t>[37]</w:t>
      </w:r>
      <w:r>
        <w:rPr>
          <w:rFonts w:ascii="Book Antiqua" w:eastAsia="Book Antiqua" w:hAnsi="Book Antiqua" w:cs="Book Antiqua"/>
          <w:color w:val="000000"/>
        </w:rPr>
        <w:t>, and affect MSC surface marker expression. For example, previous studies have shown that tissue factor (TF/CD142) binds to coagulation factor VII/VIIB to initiate the exogenous coagulation system. The relative cell surface expression of TF is strongly correlated with procoagulant activity</w:t>
      </w:r>
      <w:r>
        <w:rPr>
          <w:rFonts w:ascii="Book Antiqua" w:eastAsia="Book Antiqua" w:hAnsi="Book Antiqua" w:cs="Book Antiqua"/>
          <w:color w:val="000000"/>
          <w:vertAlign w:val="superscript"/>
        </w:rPr>
        <w:t>[38]</w:t>
      </w:r>
      <w:r>
        <w:rPr>
          <w:rFonts w:ascii="Book Antiqua" w:eastAsia="Book Antiqua" w:hAnsi="Book Antiqua" w:cs="Book Antiqua"/>
          <w:color w:val="000000"/>
        </w:rPr>
        <w:t>. MSCs expressing surface TF show high coagulant activity and promote blood and plasma coagulation</w:t>
      </w:r>
      <w:r>
        <w:rPr>
          <w:rFonts w:ascii="Book Antiqua" w:eastAsia="Book Antiqua" w:hAnsi="Book Antiqua" w:cs="Book Antiqua"/>
          <w:color w:val="000000"/>
          <w:vertAlign w:val="superscript"/>
        </w:rPr>
        <w:t>[39]</w:t>
      </w:r>
      <w:r>
        <w:rPr>
          <w:rFonts w:ascii="Book Antiqua" w:eastAsia="Book Antiqua" w:hAnsi="Book Antiqua" w:cs="Book Antiqua"/>
          <w:color w:val="000000"/>
        </w:rPr>
        <w:t>. Therefore, high TF expression on MSCs increases the risk of thrombosis after intravenous injection</w:t>
      </w:r>
      <w:r>
        <w:rPr>
          <w:rFonts w:ascii="Book Antiqua" w:eastAsia="Book Antiqua" w:hAnsi="Book Antiqua" w:cs="Book Antiqua"/>
          <w:color w:val="000000"/>
          <w:vertAlign w:val="superscript"/>
        </w:rPr>
        <w:t>[40-43]</w:t>
      </w:r>
      <w:r>
        <w:rPr>
          <w:rFonts w:ascii="Book Antiqua" w:eastAsia="Book Antiqua" w:hAnsi="Book Antiqua" w:cs="Book Antiqua"/>
          <w:color w:val="000000"/>
        </w:rPr>
        <w:t>.</w:t>
      </w:r>
    </w:p>
    <w:p w14:paraId="3836FDB9" w14:textId="77777777" w:rsidR="00556032" w:rsidRDefault="00000000">
      <w:pPr>
        <w:spacing w:line="360" w:lineRule="auto"/>
        <w:ind w:firstLine="240"/>
        <w:jc w:val="both"/>
        <w:rPr>
          <w:rFonts w:ascii="Book Antiqua" w:hAnsi="Book Antiqua"/>
        </w:rPr>
      </w:pPr>
      <w:r>
        <w:rPr>
          <w:rFonts w:ascii="Book Antiqua" w:eastAsia="Book Antiqua" w:hAnsi="Book Antiqua" w:cs="Book Antiqua"/>
          <w:color w:val="000000"/>
        </w:rPr>
        <w:t>We found that most studies have been focused on bone marrow- or adipose-derived MSCs (AD-MSCs), but human umbilical cord-derived MSCs (hUC-MSCs) are more suitable for clinical research and large-scale use because they are not associated with ethical problems, are abundant and highly proliferative. Therefore, we chose hUC-MSCs to study. To our knowledge, studies using a combination of hypoxia (2% O</w:t>
      </w:r>
      <w:r>
        <w:rPr>
          <w:rFonts w:ascii="Book Antiqua" w:eastAsia="Book Antiqua" w:hAnsi="Book Antiqua" w:cs="Book Antiqua"/>
          <w:color w:val="000000"/>
          <w:vertAlign w:val="subscript"/>
        </w:rPr>
        <w:t>2</w:t>
      </w:r>
      <w:r>
        <w:rPr>
          <w:rFonts w:ascii="Book Antiqua" w:eastAsia="Book Antiqua" w:hAnsi="Book Antiqua" w:cs="Book Antiqua"/>
          <w:color w:val="000000"/>
        </w:rPr>
        <w:t xml:space="preserve">) exposure and inflammatory factor (IL-1β, TNF-α, IFN-γ) treatment to precondition hUC-MSCs are rare, and our study supports the current theory. Our aim was </w:t>
      </w:r>
      <w:bookmarkStart w:id="3" w:name="_Hlk148970167"/>
      <w:r>
        <w:rPr>
          <w:rFonts w:ascii="Book Antiqua" w:eastAsia="Book Antiqua" w:hAnsi="Book Antiqua" w:cs="Book Antiqua"/>
          <w:color w:val="000000"/>
        </w:rPr>
        <w:t xml:space="preserve">to simulate the injury-induced environment </w:t>
      </w:r>
      <w:r>
        <w:rPr>
          <w:rFonts w:ascii="Book Antiqua" w:eastAsia="Book Antiqua" w:hAnsi="Book Antiqua" w:cs="Book Antiqua"/>
          <w:i/>
          <w:iCs/>
          <w:color w:val="000000"/>
        </w:rPr>
        <w:t>in vitro</w:t>
      </w:r>
      <w:r>
        <w:rPr>
          <w:rFonts w:ascii="Book Antiqua" w:eastAsia="Book Antiqua" w:hAnsi="Book Antiqua" w:cs="Book Antiqua"/>
          <w:color w:val="000000"/>
        </w:rPr>
        <w:t xml:space="preserve"> using a combination of hypoxia and inflammatory factor preconditioning to determine whether preconditioning increases the immunosuppressive properties of MSCs without affecting their biological characteristics.</w:t>
      </w:r>
      <w:bookmarkEnd w:id="3"/>
    </w:p>
    <w:p w14:paraId="30B06724" w14:textId="77777777" w:rsidR="00556032" w:rsidRDefault="00556032">
      <w:pPr>
        <w:spacing w:line="360" w:lineRule="auto"/>
        <w:ind w:firstLine="240"/>
        <w:jc w:val="both"/>
        <w:rPr>
          <w:rFonts w:ascii="Book Antiqua" w:hAnsi="Book Antiqua"/>
        </w:rPr>
      </w:pPr>
    </w:p>
    <w:p w14:paraId="7A71AE1C" w14:textId="77777777" w:rsidR="00556032" w:rsidRDefault="00000000">
      <w:pPr>
        <w:spacing w:line="360" w:lineRule="auto"/>
        <w:jc w:val="both"/>
        <w:rPr>
          <w:rFonts w:ascii="Book Antiqua" w:hAnsi="Book Antiqua"/>
        </w:rPr>
      </w:pPr>
      <w:r>
        <w:rPr>
          <w:rFonts w:ascii="Book Antiqua" w:eastAsia="Book Antiqua" w:hAnsi="Book Antiqua" w:cs="Book Antiqua"/>
          <w:b/>
          <w:caps/>
          <w:color w:val="000000"/>
          <w:u w:val="single"/>
        </w:rPr>
        <w:t>MATERIALS AND METHODS</w:t>
      </w:r>
    </w:p>
    <w:p w14:paraId="763166CC" w14:textId="77777777" w:rsidR="00556032" w:rsidRDefault="00000000">
      <w:pPr>
        <w:spacing w:line="360" w:lineRule="auto"/>
        <w:jc w:val="both"/>
        <w:rPr>
          <w:rFonts w:ascii="Book Antiqua" w:hAnsi="Book Antiqua"/>
        </w:rPr>
      </w:pPr>
      <w:r>
        <w:rPr>
          <w:rFonts w:ascii="Book Antiqua" w:eastAsia="Book Antiqua" w:hAnsi="Book Antiqua" w:cs="Book Antiqua"/>
          <w:b/>
          <w:bCs/>
          <w:i/>
          <w:iCs/>
          <w:color w:val="000000"/>
        </w:rPr>
        <w:t>UC-MSC</w:t>
      </w:r>
      <w:r>
        <w:rPr>
          <w:rFonts w:ascii="Book Antiqua" w:hAnsi="Book Antiqua"/>
        </w:rPr>
        <w:t xml:space="preserve"> </w:t>
      </w:r>
      <w:r>
        <w:rPr>
          <w:rFonts w:ascii="Book Antiqua" w:eastAsia="Book Antiqua" w:hAnsi="Book Antiqua" w:cs="Book Antiqua"/>
          <w:b/>
          <w:bCs/>
          <w:i/>
          <w:iCs/>
          <w:color w:val="000000"/>
        </w:rPr>
        <w:t xml:space="preserve">extraction and culture </w:t>
      </w:r>
    </w:p>
    <w:p w14:paraId="60419F69"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lastRenderedPageBreak/>
        <w:t>Umbilical cord and cord blood were obtained with the approval of the Medical Ethics Committee of Shanxi Medical University and the consent of the donors, and experiments were performed in accordance with the Declaration of Helsinki.</w:t>
      </w:r>
    </w:p>
    <w:p w14:paraId="508D705C" w14:textId="77777777" w:rsidR="00556032" w:rsidRDefault="00000000">
      <w:pPr>
        <w:spacing w:line="360" w:lineRule="auto"/>
        <w:ind w:firstLine="240"/>
        <w:jc w:val="both"/>
        <w:rPr>
          <w:rFonts w:ascii="Book Antiqua" w:hAnsi="Book Antiqua"/>
        </w:rPr>
      </w:pPr>
      <w:r>
        <w:rPr>
          <w:rFonts w:ascii="Book Antiqua" w:eastAsia="Book Antiqua" w:hAnsi="Book Antiqua" w:cs="Book Antiqua"/>
          <w:color w:val="000000"/>
        </w:rPr>
        <w:t>Umbilical cord tissue was provided by one hospital, and the donors gave informed consent. After obtaining the umbilical cords, two veins and one artery were removed, and Wharton’s jelly was cut into pieces and placed into a 10 cm</w:t>
      </w:r>
      <w:r>
        <w:rPr>
          <w:rFonts w:ascii="Book Antiqua" w:eastAsia="Book Antiqua" w:hAnsi="Book Antiqua" w:cs="Book Antiqua"/>
          <w:color w:val="000000"/>
          <w:vertAlign w:val="superscript"/>
        </w:rPr>
        <w:t>2</w:t>
      </w:r>
      <w:r>
        <w:rPr>
          <w:rFonts w:ascii="Book Antiqua" w:eastAsia="Book Antiqua" w:hAnsi="Book Antiqua" w:cs="Book Antiqua"/>
          <w:color w:val="000000"/>
        </w:rPr>
        <w:t xml:space="preserve"> petri dish (Nice) with 5 mL of DMEM/F12 culture medium (Thermo Fisher Scientific, Waltham, MA, United States) containing 2.5% serum substitute (Shanxi Yinshi Cell Technology, Xian, China). Approximately 14 d later, the UC-MSCs were passaged, and P4 generation cells were used for experiments. UC-MSCs were cultured in a carbon dioxide incubator (Thermo Fisher Scientific) at standard oxygen tension with 5% carbon dioxide, 95% air, and 37 °C (</w:t>
      </w:r>
      <w:r>
        <w:rPr>
          <w:rFonts w:ascii="Book Antiqua" w:eastAsia="Book Antiqua" w:hAnsi="Book Antiqua" w:cs="Book Antiqua"/>
          <w:i/>
          <w:iCs/>
          <w:color w:val="000000"/>
        </w:rPr>
        <w:t>i.e.</w:t>
      </w:r>
      <w:r>
        <w:rPr>
          <w:rFonts w:ascii="Book Antiqua" w:eastAsia="Book Antiqua" w:hAnsi="Book Antiqua" w:cs="Book Antiqua"/>
          <w:color w:val="000000"/>
        </w:rPr>
        <w:t xml:space="preserve"> normoxia). When UC-MSCs were 70%-80% confluent, a mixture of IFN-γ (R&amp;D), TNF-α (R&amp;D Systems, Minneapolis, MN, United States) and IL-1β (PeproTech, Cranbury, NJ, United States) was added to the medium. The cells were then immediately placed into a three-gas incubator (Panasonic, Osaka, Japan) with 2% O</w:t>
      </w:r>
      <w:r>
        <w:rPr>
          <w:rFonts w:ascii="Book Antiqua" w:eastAsia="Book Antiqua" w:hAnsi="Book Antiqua" w:cs="Book Antiqua"/>
          <w:color w:val="000000"/>
          <w:vertAlign w:val="subscript"/>
        </w:rPr>
        <w:t>2</w:t>
      </w:r>
      <w:r>
        <w:rPr>
          <w:rFonts w:ascii="Book Antiqua" w:eastAsia="Book Antiqua" w:hAnsi="Book Antiqua" w:cs="Book Antiqua"/>
          <w:color w:val="000000"/>
        </w:rPr>
        <w:t>, 5% CO</w:t>
      </w:r>
      <w:r>
        <w:rPr>
          <w:rFonts w:ascii="Book Antiqua" w:eastAsia="Book Antiqua" w:hAnsi="Book Antiqua" w:cs="Book Antiqua"/>
          <w:color w:val="000000"/>
          <w:vertAlign w:val="subscript"/>
        </w:rPr>
        <w:t>2</w:t>
      </w:r>
      <w:r>
        <w:rPr>
          <w:rFonts w:ascii="Book Antiqua" w:eastAsia="Book Antiqua" w:hAnsi="Book Antiqua" w:cs="Book Antiqua"/>
          <w:color w:val="000000"/>
        </w:rPr>
        <w:t>, and 93% N</w:t>
      </w:r>
      <w:r>
        <w:rPr>
          <w:rFonts w:ascii="Book Antiqua" w:eastAsia="Book Antiqua" w:hAnsi="Book Antiqua" w:cs="Book Antiqua"/>
          <w:color w:val="000000"/>
          <w:vertAlign w:val="subscript"/>
        </w:rPr>
        <w:t>2</w:t>
      </w:r>
      <w:r>
        <w:rPr>
          <w:rFonts w:ascii="Book Antiqua" w:eastAsia="Book Antiqua" w:hAnsi="Book Antiqua" w:cs="Book Antiqua"/>
          <w:color w:val="000000"/>
        </w:rPr>
        <w:t xml:space="preserve"> at 37 °C (</w:t>
      </w:r>
      <w:r>
        <w:rPr>
          <w:rFonts w:ascii="Book Antiqua" w:eastAsia="Book Antiqua" w:hAnsi="Book Antiqua" w:cs="Book Antiqua"/>
          <w:i/>
          <w:iCs/>
          <w:color w:val="000000"/>
        </w:rPr>
        <w:t>i.e.</w:t>
      </w:r>
      <w:r>
        <w:rPr>
          <w:rFonts w:ascii="Book Antiqua" w:eastAsia="Book Antiqua" w:hAnsi="Book Antiqua" w:cs="Book Antiqua"/>
          <w:color w:val="000000"/>
        </w:rPr>
        <w:t xml:space="preserve"> hypoxia). After 24 h, primed UC-MSCs (PUC-MSCs) were obtained. Therefore, our experiments were divided into two groups: control (UC-MSCs) with no treatment and an experimental group (PUC-MSCs) in which cells were exposed to hypoxia and inflammatory factor supplementation.</w:t>
      </w:r>
    </w:p>
    <w:p w14:paraId="5D1C64DE" w14:textId="77777777" w:rsidR="00556032" w:rsidRDefault="00556032">
      <w:pPr>
        <w:spacing w:line="360" w:lineRule="auto"/>
        <w:jc w:val="both"/>
        <w:rPr>
          <w:rFonts w:ascii="Book Antiqua" w:hAnsi="Book Antiqua"/>
        </w:rPr>
      </w:pPr>
    </w:p>
    <w:p w14:paraId="2556849F" w14:textId="77777777" w:rsidR="00556032" w:rsidRDefault="00000000">
      <w:pPr>
        <w:spacing w:line="360" w:lineRule="auto"/>
        <w:jc w:val="both"/>
        <w:rPr>
          <w:rFonts w:ascii="Book Antiqua" w:hAnsi="Book Antiqua"/>
        </w:rPr>
      </w:pPr>
      <w:r>
        <w:rPr>
          <w:rFonts w:ascii="Book Antiqua" w:eastAsia="Book Antiqua" w:hAnsi="Book Antiqua" w:cs="Book Antiqua"/>
          <w:b/>
          <w:bCs/>
          <w:i/>
          <w:iCs/>
          <w:color w:val="000000"/>
        </w:rPr>
        <w:t>Extraction and culture of peripheral blood mononuclear cells</w:t>
      </w:r>
    </w:p>
    <w:p w14:paraId="032A97CA"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 xml:space="preserve">Umbilical cord blood was obtained and centrifuged at 700 × </w:t>
      </w:r>
      <w:r>
        <w:rPr>
          <w:rFonts w:ascii="Book Antiqua" w:eastAsia="Book Antiqua" w:hAnsi="Book Antiqua" w:cs="Book Antiqua"/>
          <w:i/>
          <w:iCs/>
          <w:color w:val="000000"/>
        </w:rPr>
        <w:t>g</w:t>
      </w:r>
      <w:r>
        <w:rPr>
          <w:rFonts w:ascii="Book Antiqua" w:eastAsia="Book Antiqua" w:hAnsi="Book Antiqua" w:cs="Book Antiqua"/>
          <w:color w:val="000000"/>
        </w:rPr>
        <w:t xml:space="preserve"> for 10 min and the plasma was extracted and placed into a water bath at 56 °C for 30 min for heat inactivation. The plasma was removed from the water bath, centrifuged at 850 × </w:t>
      </w:r>
      <w:r>
        <w:rPr>
          <w:rFonts w:ascii="Book Antiqua" w:eastAsia="Book Antiqua" w:hAnsi="Book Antiqua" w:cs="Book Antiqua"/>
          <w:i/>
          <w:iCs/>
          <w:color w:val="000000"/>
        </w:rPr>
        <w:t>g</w:t>
      </w:r>
      <w:r>
        <w:rPr>
          <w:rFonts w:ascii="Book Antiqua" w:eastAsia="Book Antiqua" w:hAnsi="Book Antiqua" w:cs="Book Antiqua"/>
          <w:color w:val="000000"/>
        </w:rPr>
        <w:t xml:space="preserve"> for 10 min, and placed in a refrigerator at 4 °C for later use. The blood cells were resuspended in phosphate buffered saline (PBS) and mixed. The cell suspension was slowly added into a centrifuge tube containing Ficoll human peripheral blood lymphocyte isolation medium (Tianjin Haoyang Biological Products Technology Co., Ltd., Tianjin, China). After centrifugation at 400 × </w:t>
      </w:r>
      <w:r>
        <w:rPr>
          <w:rFonts w:ascii="Book Antiqua" w:eastAsia="Book Antiqua" w:hAnsi="Book Antiqua" w:cs="Book Antiqua"/>
          <w:i/>
          <w:iCs/>
          <w:color w:val="000000"/>
        </w:rPr>
        <w:t>g</w:t>
      </w:r>
      <w:r>
        <w:rPr>
          <w:rFonts w:ascii="Book Antiqua" w:eastAsia="Book Antiqua" w:hAnsi="Book Antiqua" w:cs="Book Antiqua"/>
          <w:color w:val="000000"/>
        </w:rPr>
        <w:t xml:space="preserve"> for 30 min, white cells were extracted and washed twice with PBS. The cells [(1-2) × 10</w:t>
      </w:r>
      <w:r>
        <w:rPr>
          <w:rFonts w:ascii="Book Antiqua" w:eastAsia="Book Antiqua" w:hAnsi="Book Antiqua" w:cs="Book Antiqua"/>
          <w:color w:val="000000"/>
          <w:vertAlign w:val="superscript"/>
        </w:rPr>
        <w:t>6</w:t>
      </w:r>
      <w:r>
        <w:rPr>
          <w:rFonts w:ascii="Book Antiqua" w:eastAsia="Book Antiqua" w:hAnsi="Book Antiqua" w:cs="Book Antiqua"/>
          <w:color w:val="000000"/>
        </w:rPr>
        <w:t xml:space="preserve"> cells/mL] were inoculated in peripheral blood mononuclear cell (PBMC) medium </w:t>
      </w:r>
      <w:r>
        <w:rPr>
          <w:rFonts w:ascii="Book Antiqua" w:eastAsia="Book Antiqua" w:hAnsi="Book Antiqua" w:cs="Book Antiqua"/>
          <w:color w:val="000000"/>
        </w:rPr>
        <w:lastRenderedPageBreak/>
        <w:t>containing 10% of the heat-inactivated autologous plasma (Shanxi Yin Cell Technology Co., Ltd., Hebei, China) in the presence or absence of UC-MSCs or PUC-MSCs. The PBMCs were treated with 100 U/mL IL-2 (PeproTech). For coculture experiments, PBMCs were inoculated with UC-MSCs or PUC-MSCs at a PBMC/MSC ratio of 3:1 so that the cells were in direct contact, which is the appropriate proportion of cells to obtain MSC-mediated inhibition of PBMC proliferation.</w:t>
      </w:r>
    </w:p>
    <w:p w14:paraId="140DD390" w14:textId="77777777" w:rsidR="00556032" w:rsidRDefault="00556032">
      <w:pPr>
        <w:spacing w:line="360" w:lineRule="auto"/>
        <w:jc w:val="both"/>
        <w:rPr>
          <w:rFonts w:ascii="Book Antiqua" w:hAnsi="Book Antiqua"/>
        </w:rPr>
      </w:pPr>
    </w:p>
    <w:p w14:paraId="7179F11C" w14:textId="77777777" w:rsidR="00556032" w:rsidRDefault="00000000">
      <w:pPr>
        <w:spacing w:line="360" w:lineRule="auto"/>
        <w:jc w:val="both"/>
        <w:rPr>
          <w:rFonts w:ascii="Book Antiqua" w:hAnsi="Book Antiqua"/>
        </w:rPr>
      </w:pPr>
      <w:r>
        <w:rPr>
          <w:rFonts w:ascii="Book Antiqua" w:eastAsia="Book Antiqua" w:hAnsi="Book Antiqua" w:cs="Book Antiqua"/>
          <w:b/>
          <w:bCs/>
          <w:i/>
          <w:iCs/>
          <w:color w:val="000000"/>
        </w:rPr>
        <w:t>NK cell</w:t>
      </w:r>
      <w:r>
        <w:rPr>
          <w:rFonts w:ascii="Book Antiqua" w:hAnsi="Book Antiqua"/>
        </w:rPr>
        <w:t xml:space="preserve"> </w:t>
      </w:r>
      <w:r>
        <w:rPr>
          <w:rFonts w:ascii="Book Antiqua" w:eastAsia="Book Antiqua" w:hAnsi="Book Antiqua" w:cs="Book Antiqua"/>
          <w:b/>
          <w:bCs/>
          <w:i/>
          <w:iCs/>
          <w:color w:val="000000"/>
        </w:rPr>
        <w:t xml:space="preserve">extraction and culture </w:t>
      </w:r>
    </w:p>
    <w:p w14:paraId="6E23C00C"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 xml:space="preserve">Umbilical cord blood was obtained and centrifuged at 700 × </w:t>
      </w:r>
      <w:r>
        <w:rPr>
          <w:rFonts w:ascii="Book Antiqua" w:eastAsia="Book Antiqua" w:hAnsi="Book Antiqua" w:cs="Book Antiqua"/>
          <w:i/>
          <w:iCs/>
          <w:color w:val="000000"/>
        </w:rPr>
        <w:t>g</w:t>
      </w:r>
      <w:r>
        <w:rPr>
          <w:rFonts w:ascii="Book Antiqua" w:eastAsia="Book Antiqua" w:hAnsi="Book Antiqua" w:cs="Book Antiqua"/>
          <w:color w:val="000000"/>
        </w:rPr>
        <w:t xml:space="preserve"> for 10 min, and the plasma was placed into a water bath at 56 °C for 30 min for heat inactivation. The plasma was removed, centrifuged at 850 × </w:t>
      </w:r>
      <w:r>
        <w:rPr>
          <w:rFonts w:ascii="Book Antiqua" w:eastAsia="Book Antiqua" w:hAnsi="Book Antiqua" w:cs="Book Antiqua"/>
          <w:i/>
          <w:iCs/>
          <w:color w:val="000000"/>
        </w:rPr>
        <w:t>g</w:t>
      </w:r>
      <w:r>
        <w:rPr>
          <w:rFonts w:ascii="Book Antiqua" w:eastAsia="Book Antiqua" w:hAnsi="Book Antiqua" w:cs="Book Antiqua"/>
          <w:color w:val="000000"/>
        </w:rPr>
        <w:t xml:space="preserve"> for 10 min, and placed into a refrigerator at 4 °C for later use. The blood cells were resuspended in PBS, mixed, and incubated at room temperature for 20 min with RosetteSepT NK Enrichment Cocktail. The cell suspension was slowly added into a centrifuge tube containing Ficoll human peripheral blood lymphocyte isolation medium (Tianjin Haoyang Biological Products Technology Co., Ltd.). After centrifugation at 400 × </w:t>
      </w:r>
      <w:r>
        <w:rPr>
          <w:rFonts w:ascii="Book Antiqua" w:eastAsia="Book Antiqua" w:hAnsi="Book Antiqua" w:cs="Book Antiqua"/>
          <w:i/>
          <w:iCs/>
          <w:color w:val="000000"/>
        </w:rPr>
        <w:t>g</w:t>
      </w:r>
      <w:r>
        <w:rPr>
          <w:rFonts w:ascii="Book Antiqua" w:eastAsia="Book Antiqua" w:hAnsi="Book Antiqua" w:cs="Book Antiqua"/>
          <w:color w:val="000000"/>
        </w:rPr>
        <w:t xml:space="preserve"> for 30 min, white cells were extracted and washed twice with PBS. The cells [(1-2) × 10</w:t>
      </w:r>
      <w:r>
        <w:rPr>
          <w:rFonts w:ascii="Book Antiqua" w:eastAsia="Book Antiqua" w:hAnsi="Book Antiqua" w:cs="Book Antiqua"/>
          <w:color w:val="000000"/>
          <w:vertAlign w:val="superscript"/>
        </w:rPr>
        <w:t>6</w:t>
      </w:r>
      <w:r>
        <w:rPr>
          <w:rFonts w:ascii="Book Antiqua" w:eastAsia="Book Antiqua" w:hAnsi="Book Antiqua" w:cs="Book Antiqua"/>
          <w:color w:val="000000"/>
        </w:rPr>
        <w:t xml:space="preserve"> cells/mL] were inoculated into NK medium containing 10% heat-inactivated autologous plasma (Shanxi Yin Cell Technology Co., Ltd.). NK cells were cultured with or without UC-MSCs or PUC-MSCs and treated with 100 U/mL IL-2 (PeproTech).</w:t>
      </w:r>
    </w:p>
    <w:p w14:paraId="6C8B7661" w14:textId="77777777" w:rsidR="00556032" w:rsidRDefault="00556032">
      <w:pPr>
        <w:spacing w:line="360" w:lineRule="auto"/>
        <w:jc w:val="both"/>
        <w:rPr>
          <w:rFonts w:ascii="Book Antiqua" w:hAnsi="Book Antiqua"/>
        </w:rPr>
      </w:pPr>
    </w:p>
    <w:p w14:paraId="3D496857" w14:textId="77777777" w:rsidR="00556032" w:rsidRDefault="00000000">
      <w:pPr>
        <w:spacing w:line="360" w:lineRule="auto"/>
        <w:jc w:val="both"/>
        <w:rPr>
          <w:rFonts w:ascii="Book Antiqua" w:hAnsi="Book Antiqua"/>
        </w:rPr>
      </w:pPr>
      <w:r>
        <w:rPr>
          <w:rFonts w:ascii="Book Antiqua" w:eastAsia="Book Antiqua" w:hAnsi="Book Antiqua" w:cs="Book Antiqua"/>
          <w:b/>
          <w:bCs/>
          <w:i/>
          <w:iCs/>
          <w:color w:val="000000"/>
        </w:rPr>
        <w:t>Cell survival rate and cell size detection</w:t>
      </w:r>
    </w:p>
    <w:p w14:paraId="4434AA3F"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 xml:space="preserve">Double fluorescence acridine orange/propidium iodide (AO/PI) cell viability counting was performed. The AO/PI reagent consists of the DNA-binding dye AO, which fluoresces green, and the DNA-binding dye PI, which fluoresces red. AO can pass through a complete cell membrane and enter the nuclei of all cells (living and dead cells), emitting green fluorescence. PI can only pass through an incomplete cell membrane and enter the nuclei of dead cells, resulting in red fluorescence. After mixing 10 </w:t>
      </w:r>
      <w:bookmarkStart w:id="4" w:name="_Hlk148970820"/>
      <w:r>
        <w:rPr>
          <w:rFonts w:ascii="Book Antiqua" w:hAnsi="Book Antiqua" w:cs="Book Antiqua"/>
          <w:color w:val="000000"/>
          <w:lang w:eastAsia="zh-CN"/>
        </w:rPr>
        <w:t>μ</w:t>
      </w:r>
      <w:bookmarkEnd w:id="4"/>
      <w:r>
        <w:rPr>
          <w:rFonts w:ascii="Book Antiqua" w:eastAsia="Book Antiqua" w:hAnsi="Book Antiqua" w:cs="Book Antiqua"/>
          <w:color w:val="000000"/>
        </w:rPr>
        <w:t xml:space="preserve">L of cell suspension with 10 </w:t>
      </w:r>
      <w:r>
        <w:rPr>
          <w:rFonts w:ascii="Book Antiqua" w:hAnsi="Book Antiqua" w:cs="Book Antiqua"/>
          <w:color w:val="000000"/>
          <w:lang w:eastAsia="zh-CN"/>
        </w:rPr>
        <w:t>μ</w:t>
      </w:r>
      <w:r>
        <w:rPr>
          <w:rFonts w:ascii="Book Antiqua" w:eastAsia="Book Antiqua" w:hAnsi="Book Antiqua" w:cs="Book Antiqua"/>
          <w:color w:val="000000"/>
        </w:rPr>
        <w:t>L of AOPI reagent, the viability and size of the cells in suspension were measured by a Countstar Rigel S2 (Shanghai Rui Yu Biotech, Shanghai, China).</w:t>
      </w:r>
    </w:p>
    <w:p w14:paraId="33740828" w14:textId="77777777" w:rsidR="00556032" w:rsidRDefault="00556032">
      <w:pPr>
        <w:spacing w:line="360" w:lineRule="auto"/>
        <w:jc w:val="both"/>
        <w:rPr>
          <w:rFonts w:ascii="Book Antiqua" w:hAnsi="Book Antiqua"/>
        </w:rPr>
      </w:pPr>
    </w:p>
    <w:p w14:paraId="0569B523" w14:textId="77777777" w:rsidR="00556032" w:rsidRDefault="00000000">
      <w:pPr>
        <w:spacing w:line="360" w:lineRule="auto"/>
        <w:jc w:val="both"/>
        <w:rPr>
          <w:rFonts w:ascii="Book Antiqua" w:hAnsi="Book Antiqua"/>
        </w:rPr>
      </w:pPr>
      <w:r>
        <w:rPr>
          <w:rFonts w:ascii="Book Antiqua" w:eastAsia="Book Antiqua" w:hAnsi="Book Antiqua" w:cs="Book Antiqua"/>
          <w:b/>
          <w:bCs/>
          <w:i/>
          <w:iCs/>
          <w:color w:val="000000"/>
        </w:rPr>
        <w:t>Monoclonal antibodies and cytofluorometric analysis</w:t>
      </w:r>
    </w:p>
    <w:p w14:paraId="4356A195"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Flow cytometry analysis of UC-MSCs and PUC-MSCs was performed. The cells were resuspended in staining buffer after centrifugation, and the corresponding antibodies were added to the buffer. Cells were incubated for 30 min, neutralized and washed 1-2 times. The UC-MSC or PUC-MSC antigen markers (BD Biosciences, San Jose, CA, United States) were CD105-APC, CD90-FITC, CD73-PE, CD142-PC5.5, CD29-PE, CD34-PE, CD14-PE, CD45-APC, human leukocyte antigen (HLA)-ABC-APC, CD47-APC, CD166-PE, CD44-PE, and CD31-APC.</w:t>
      </w:r>
    </w:p>
    <w:p w14:paraId="6D81AEDD" w14:textId="77777777" w:rsidR="00556032" w:rsidRDefault="00556032">
      <w:pPr>
        <w:spacing w:line="360" w:lineRule="auto"/>
        <w:jc w:val="both"/>
        <w:rPr>
          <w:rFonts w:ascii="Book Antiqua" w:hAnsi="Book Antiqua"/>
        </w:rPr>
      </w:pPr>
    </w:p>
    <w:p w14:paraId="231E370B" w14:textId="77777777" w:rsidR="00556032" w:rsidRDefault="00000000">
      <w:pPr>
        <w:spacing w:line="360" w:lineRule="auto"/>
        <w:jc w:val="both"/>
        <w:rPr>
          <w:rFonts w:ascii="Book Antiqua" w:hAnsi="Book Antiqua"/>
        </w:rPr>
      </w:pPr>
      <w:bookmarkStart w:id="5" w:name="_Hlk148970758"/>
      <w:r>
        <w:rPr>
          <w:rFonts w:ascii="Book Antiqua" w:eastAsia="Book Antiqua" w:hAnsi="Book Antiqua" w:cs="Book Antiqua"/>
          <w:b/>
          <w:bCs/>
          <w:i/>
          <w:iCs/>
          <w:color w:val="000000"/>
        </w:rPr>
        <w:t xml:space="preserve">Reactive oxygen species </w:t>
      </w:r>
      <w:bookmarkEnd w:id="5"/>
      <w:r>
        <w:rPr>
          <w:rFonts w:ascii="Book Antiqua" w:eastAsia="Book Antiqua" w:hAnsi="Book Antiqua" w:cs="Book Antiqua"/>
          <w:b/>
          <w:bCs/>
          <w:i/>
          <w:iCs/>
          <w:color w:val="000000"/>
        </w:rPr>
        <w:t>measurement</w:t>
      </w:r>
    </w:p>
    <w:p w14:paraId="5932640E"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 xml:space="preserve">Mitochondrial reactive oxygen species (ROS) production was measured by flow cytometry (Beckman Coulter Life Sciences, Brea, CA, United States) using a ROS detection kit (Biyuntian, </w:t>
      </w:r>
      <w:r>
        <w:rPr>
          <w:rFonts w:ascii="Book Antiqua" w:eastAsia="宋体" w:hAnsi="Book Antiqua" w:cs="Book Antiqua" w:hint="eastAsia"/>
          <w:color w:val="000000"/>
          <w:lang w:eastAsia="zh-CN"/>
        </w:rPr>
        <w:t>Shanghai</w:t>
      </w:r>
      <w:r>
        <w:rPr>
          <w:rFonts w:ascii="Book Antiqua" w:eastAsia="Book Antiqua" w:hAnsi="Book Antiqua" w:cs="Book Antiqua"/>
          <w:color w:val="000000"/>
        </w:rPr>
        <w:t xml:space="preserve">, China). 2,7-dichlorodihydrofluorescein diacetate (DCFH-DA) was diluted in serum-free medium at 1:1000 to a final concentration of 10 </w:t>
      </w:r>
      <w:r>
        <w:rPr>
          <w:rFonts w:ascii="Book Antiqua" w:hAnsi="Book Antiqua" w:cs="Book Antiqua"/>
          <w:color w:val="000000"/>
          <w:lang w:eastAsia="zh-CN"/>
        </w:rPr>
        <w:t>μ</w:t>
      </w:r>
      <w:r>
        <w:rPr>
          <w:rFonts w:ascii="Book Antiqua" w:eastAsia="Book Antiqua" w:hAnsi="Book Antiqua" w:cs="Book Antiqua"/>
          <w:color w:val="000000"/>
        </w:rPr>
        <w:t>mol/L. After collection, 1 million to 20 million/mL cells were suspended in diluted DCFH-DA and incubated in an infrared carbon dioxide incubator (Thermo Fisher Scientific) at 37 °C for 20 min. The cells were turned over and mixed every 3-5 min to ensure that the probe was in full contact with the cells. The cells were washed with serum-free cell culture solution three times to fully remove excess DCFH-DA. Finally, the results were detected by flow cytometry.</w:t>
      </w:r>
    </w:p>
    <w:p w14:paraId="5FE39436" w14:textId="77777777" w:rsidR="00556032" w:rsidRDefault="00556032">
      <w:pPr>
        <w:spacing w:line="360" w:lineRule="auto"/>
        <w:jc w:val="both"/>
        <w:rPr>
          <w:rFonts w:ascii="Book Antiqua" w:hAnsi="Book Antiqua"/>
        </w:rPr>
      </w:pPr>
    </w:p>
    <w:p w14:paraId="38B9D11C" w14:textId="77777777" w:rsidR="00556032" w:rsidRDefault="00000000">
      <w:pPr>
        <w:spacing w:line="360" w:lineRule="auto"/>
        <w:jc w:val="both"/>
        <w:rPr>
          <w:rFonts w:ascii="Book Antiqua" w:hAnsi="Book Antiqua"/>
        </w:rPr>
      </w:pPr>
      <w:r>
        <w:rPr>
          <w:rFonts w:ascii="Book Antiqua" w:eastAsia="Book Antiqua" w:hAnsi="Book Antiqua" w:cs="Book Antiqua"/>
          <w:b/>
          <w:bCs/>
          <w:i/>
          <w:iCs/>
          <w:color w:val="000000"/>
        </w:rPr>
        <w:t>Measurement of mitochondrial membrane potential</w:t>
      </w:r>
    </w:p>
    <w:p w14:paraId="4B97E275"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Mitochondrial membrane potential (MMP) was detected using MMP detection reagent JC-1 (Beyotime, Jiangsu, China). The culture medium was removed and the cells were washed twice with PBS. JC-1 staining solution (1 mL) was added, mixed thoroughly, and incubated with cells in an infrared carbon dioxide incubator (Thermo Fisher Scientific) at 37 °C for 20 min. During the incubation period, JC-1 staining buffer (1</w:t>
      </w:r>
      <w:bookmarkStart w:id="6" w:name="_Hlk106196977"/>
      <w:r>
        <w:rPr>
          <w:rFonts w:ascii="Book Antiqua" w:hAnsi="Book Antiqua" w:cs="Tahoma"/>
          <w:bCs/>
          <w:color w:val="000000" w:themeColor="text1"/>
          <w:lang w:val="en-GB"/>
        </w:rPr>
        <w:t>×</w:t>
      </w:r>
      <w:bookmarkEnd w:id="6"/>
      <w:r>
        <w:rPr>
          <w:rFonts w:ascii="Book Antiqua" w:eastAsia="Book Antiqua" w:hAnsi="Book Antiqua" w:cs="Book Antiqua"/>
          <w:color w:val="000000"/>
        </w:rPr>
        <w:t>) was prepared by adding approximately 4 mL distilled water to approximately 1 mL JC-1 staining buffer (5</w:t>
      </w:r>
      <w:r>
        <w:rPr>
          <w:rFonts w:ascii="Book Antiqua" w:hAnsi="Book Antiqua" w:cs="Tahoma"/>
          <w:bCs/>
          <w:color w:val="000000" w:themeColor="text1"/>
          <w:lang w:val="en-GB"/>
        </w:rPr>
        <w:t>×</w:t>
      </w:r>
      <w:r>
        <w:rPr>
          <w:rFonts w:ascii="Book Antiqua" w:eastAsia="Book Antiqua" w:hAnsi="Book Antiqua" w:cs="Book Antiqua"/>
          <w:color w:val="000000"/>
        </w:rPr>
        <w:t xml:space="preserve">), and the buffer was placed in an ice bath. After incubation at 37 °C, the supernatant </w:t>
      </w:r>
      <w:r>
        <w:rPr>
          <w:rFonts w:ascii="Book Antiqua" w:eastAsia="Book Antiqua" w:hAnsi="Book Antiqua" w:cs="Book Antiqua"/>
          <w:color w:val="000000"/>
        </w:rPr>
        <w:lastRenderedPageBreak/>
        <w:t>was removed, and the cells were washed twice with JC-1 staining buffer (1</w:t>
      </w:r>
      <w:r>
        <w:rPr>
          <w:rFonts w:ascii="Book Antiqua" w:hAnsi="Book Antiqua" w:cs="Tahoma"/>
          <w:bCs/>
          <w:color w:val="000000" w:themeColor="text1"/>
          <w:lang w:val="en-GB"/>
        </w:rPr>
        <w:t>×</w:t>
      </w:r>
      <w:r>
        <w:rPr>
          <w:rFonts w:ascii="Book Antiqua" w:eastAsia="Book Antiqua" w:hAnsi="Book Antiqua" w:cs="Book Antiqua"/>
          <w:color w:val="000000"/>
        </w:rPr>
        <w:t>). Finally, 2 mL of the cell culture solution was added. Images were obtained with an inverted fluorescence microscope (CKX53; Olympus, Tokyo, Japan).</w:t>
      </w:r>
    </w:p>
    <w:p w14:paraId="1CD780B1" w14:textId="77777777" w:rsidR="00556032" w:rsidRDefault="00556032">
      <w:pPr>
        <w:spacing w:line="360" w:lineRule="auto"/>
        <w:jc w:val="both"/>
        <w:rPr>
          <w:rFonts w:ascii="Book Antiqua" w:hAnsi="Book Antiqua"/>
        </w:rPr>
      </w:pPr>
    </w:p>
    <w:p w14:paraId="1270C625" w14:textId="77777777" w:rsidR="00556032" w:rsidRDefault="00000000">
      <w:pPr>
        <w:spacing w:line="360" w:lineRule="auto"/>
        <w:jc w:val="both"/>
        <w:rPr>
          <w:rFonts w:ascii="Book Antiqua" w:hAnsi="Book Antiqua"/>
        </w:rPr>
      </w:pPr>
      <w:r>
        <w:rPr>
          <w:rFonts w:ascii="Book Antiqua" w:eastAsia="Book Antiqua" w:hAnsi="Book Antiqua" w:cs="Book Antiqua"/>
          <w:b/>
          <w:bCs/>
          <w:i/>
          <w:iCs/>
          <w:color w:val="000000"/>
        </w:rPr>
        <w:t>Real time</w:t>
      </w:r>
      <w:r>
        <w:rPr>
          <w:rFonts w:ascii="Book Antiqua" w:eastAsia="Book Antiqua" w:hAnsi="Book Antiqua" w:cs="Book Antiqua"/>
          <w:b/>
          <w:bCs/>
          <w:color w:val="000000"/>
        </w:rPr>
        <w:t>-</w:t>
      </w:r>
      <w:r>
        <w:rPr>
          <w:rFonts w:ascii="Book Antiqua" w:eastAsia="Book Antiqua" w:hAnsi="Book Antiqua" w:cs="Book Antiqua"/>
          <w:b/>
          <w:bCs/>
          <w:i/>
          <w:iCs/>
          <w:color w:val="000000"/>
        </w:rPr>
        <w:t>polymerase chain reaction</w:t>
      </w:r>
    </w:p>
    <w:p w14:paraId="0B6E23A1"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 xml:space="preserve">TRIzol (Invitrogen, Waltham, MA, United States) was used to lyse the cells, total RNA was extracted, and an ultratrace nucleic acid protein detector (Shanghai Jiapeng Materials, Shanghai, China) was used to determine RNA concentration. mRNA expression levels were quantitatively analyzed on a real-time </w:t>
      </w:r>
      <w:bookmarkStart w:id="7" w:name="_Hlk148973179"/>
      <w:r>
        <w:rPr>
          <w:rFonts w:ascii="Book Antiqua" w:eastAsia="Book Antiqua" w:hAnsi="Book Antiqua" w:cs="Book Antiqua"/>
          <w:color w:val="000000"/>
        </w:rPr>
        <w:t>polymerase chain reaction</w:t>
      </w:r>
      <w:bookmarkEnd w:id="7"/>
      <w:r>
        <w:rPr>
          <w:rFonts w:ascii="Book Antiqua" w:eastAsia="Book Antiqua" w:hAnsi="Book Antiqua" w:cs="Book Antiqua"/>
          <w:color w:val="000000"/>
        </w:rPr>
        <w:t xml:space="preserve"> (RT-PCR) instrument (Bio-Rad, Hercules, CA, United States) using a One Step TB Green PrimeScript PLUS RT</w:t>
      </w:r>
      <w:r>
        <w:rPr>
          <w:rFonts w:ascii="MS Mincho" w:eastAsia="MS Mincho" w:hAnsi="MS Mincho" w:cs="MS Mincho" w:hint="eastAsia"/>
          <w:color w:val="000000"/>
        </w:rPr>
        <w:t>‒</w:t>
      </w:r>
      <w:r>
        <w:rPr>
          <w:rFonts w:ascii="Book Antiqua" w:eastAsia="Book Antiqua" w:hAnsi="Book Antiqua" w:cs="Book Antiqua"/>
          <w:color w:val="000000"/>
        </w:rPr>
        <w:t>PCR Kit (Takara Bio Inc., Shiga, Japan) to measure the levels of the following transcripts: Catalase, Istanniocalcin-1 (STC1), hemeoxygenase-1 (HOMX1), B-cell lymphoma 2-associated protein (Bax), B-cell lymphoma 2 (Bcl2), silencing information regulator 2-related enzyme 1 (SIRT1), P53, P16, P21, PGE2, kynurenine (KYN), IDO, IL-1 receptor antagonist (IL-1ra), cyclooxygenaese-2 (COX2), IL-10, TGF-β1, HLA-G5, TSG-6, ligands for programmed cell death 1 (PD-L1). All primer sequences for qRT-PCR are listed in Table 1.</w:t>
      </w:r>
    </w:p>
    <w:p w14:paraId="1325DB0D" w14:textId="77777777" w:rsidR="00556032" w:rsidRDefault="00556032">
      <w:pPr>
        <w:spacing w:line="360" w:lineRule="auto"/>
        <w:jc w:val="both"/>
        <w:rPr>
          <w:rFonts w:ascii="Book Antiqua" w:hAnsi="Book Antiqua"/>
        </w:rPr>
      </w:pPr>
    </w:p>
    <w:p w14:paraId="2E5135CD" w14:textId="77777777" w:rsidR="00556032" w:rsidRDefault="00000000">
      <w:pPr>
        <w:spacing w:line="360" w:lineRule="auto"/>
        <w:jc w:val="both"/>
        <w:rPr>
          <w:rFonts w:ascii="Book Antiqua" w:hAnsi="Book Antiqua"/>
        </w:rPr>
      </w:pPr>
      <w:r>
        <w:rPr>
          <w:rFonts w:ascii="Book Antiqua" w:eastAsia="Book Antiqua" w:hAnsi="Book Antiqua" w:cs="Book Antiqua"/>
          <w:b/>
          <w:bCs/>
          <w:i/>
          <w:iCs/>
          <w:color w:val="000000"/>
        </w:rPr>
        <w:t>Enzyme-linked immunosorbent assays</w:t>
      </w:r>
    </w:p>
    <w:p w14:paraId="7C89B629"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 xml:space="preserve">UC-MSCs and PUC-MSCs supernatants were collected and centrifuged at 210 × </w:t>
      </w:r>
      <w:r>
        <w:rPr>
          <w:rFonts w:ascii="Book Antiqua" w:eastAsia="Book Antiqua" w:hAnsi="Book Antiqua" w:cs="Book Antiqua"/>
          <w:i/>
          <w:iCs/>
          <w:color w:val="000000"/>
        </w:rPr>
        <w:t>g</w:t>
      </w:r>
      <w:r>
        <w:rPr>
          <w:rFonts w:ascii="Book Antiqua" w:eastAsia="Book Antiqua" w:hAnsi="Book Antiqua" w:cs="Book Antiqua"/>
          <w:color w:val="000000"/>
        </w:rPr>
        <w:t xml:space="preserve"> for 5 min, and the suspended cells were removed and stored at -80 °C. The protein levels of PGE2, TSG-6, IDO, IL-10 and TGF-β1 secreted by UC-MSCs and PUC-MSCs were measured by enzyme-linked immunosorbent assay (ELISA) kits (Wuhan Eliret Biotechnology Co, Ltd., Wuhan, China). Finally, the optical density (OD) value of each well was measured on the basis of enzyme label (Thermo Fisher Scientific) absorption at 450 nm.</w:t>
      </w:r>
    </w:p>
    <w:p w14:paraId="4A1E480B" w14:textId="77777777" w:rsidR="00556032" w:rsidRDefault="00556032">
      <w:pPr>
        <w:spacing w:line="360" w:lineRule="auto"/>
        <w:jc w:val="both"/>
        <w:rPr>
          <w:rFonts w:ascii="Book Antiqua" w:hAnsi="Book Antiqua"/>
        </w:rPr>
      </w:pPr>
    </w:p>
    <w:p w14:paraId="06BE9F4C" w14:textId="77777777" w:rsidR="00556032" w:rsidRDefault="00000000">
      <w:pPr>
        <w:spacing w:line="360" w:lineRule="auto"/>
        <w:jc w:val="both"/>
        <w:rPr>
          <w:rFonts w:ascii="Book Antiqua" w:hAnsi="Book Antiqua"/>
        </w:rPr>
      </w:pPr>
      <w:r>
        <w:rPr>
          <w:rFonts w:ascii="Book Antiqua" w:eastAsia="Book Antiqua" w:hAnsi="Book Antiqua" w:cs="Book Antiqua"/>
          <w:b/>
          <w:bCs/>
          <w:i/>
          <w:iCs/>
          <w:color w:val="000000"/>
        </w:rPr>
        <w:t>Annexin V-FITC apoptosis detection</w:t>
      </w:r>
    </w:p>
    <w:p w14:paraId="59F1DD28"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 xml:space="preserve">UC-MSC and PUC-MSC suspensions were obtained and washed twice with PBS. Annexin V-FITC apoptosis reagent (Biyuntian) was added and incubated with the cells </w:t>
      </w:r>
      <w:r>
        <w:rPr>
          <w:rFonts w:ascii="Book Antiqua" w:eastAsia="Book Antiqua" w:hAnsi="Book Antiqua" w:cs="Book Antiqua"/>
          <w:color w:val="000000"/>
        </w:rPr>
        <w:lastRenderedPageBreak/>
        <w:t>at room temperature for 10-20 min in the dark, and flow cytometry was performed. Annexin V-FITC emits green fluorescence, and PI emits red fluorescence.</w:t>
      </w:r>
    </w:p>
    <w:p w14:paraId="2EBE2A5D" w14:textId="77777777" w:rsidR="00556032" w:rsidRDefault="00556032">
      <w:pPr>
        <w:spacing w:line="360" w:lineRule="auto"/>
        <w:jc w:val="both"/>
        <w:rPr>
          <w:rFonts w:ascii="Book Antiqua" w:hAnsi="Book Antiqua"/>
        </w:rPr>
      </w:pPr>
    </w:p>
    <w:p w14:paraId="506BFBAA" w14:textId="77777777" w:rsidR="00556032" w:rsidRDefault="00000000">
      <w:pPr>
        <w:spacing w:line="360" w:lineRule="auto"/>
        <w:jc w:val="both"/>
        <w:rPr>
          <w:rFonts w:ascii="Book Antiqua" w:hAnsi="Book Antiqua"/>
        </w:rPr>
      </w:pPr>
      <w:bookmarkStart w:id="8" w:name="_Hlk148971432"/>
      <w:r>
        <w:rPr>
          <w:rFonts w:ascii="Book Antiqua" w:eastAsia="Book Antiqua" w:hAnsi="Book Antiqua" w:cs="Book Antiqua"/>
          <w:i/>
          <w:iCs/>
          <w:color w:val="000000"/>
        </w:rPr>
        <w:t>β</w:t>
      </w:r>
      <w:r>
        <w:rPr>
          <w:rFonts w:ascii="Book Antiqua" w:eastAsia="Book Antiqua" w:hAnsi="Book Antiqua" w:cs="Book Antiqua"/>
          <w:b/>
          <w:bCs/>
          <w:i/>
          <w:iCs/>
          <w:color w:val="000000"/>
        </w:rPr>
        <w:t>-galactosidase (SA-β-gal)</w:t>
      </w:r>
      <w:bookmarkEnd w:id="8"/>
      <w:r>
        <w:rPr>
          <w:rFonts w:ascii="Book Antiqua" w:eastAsia="Book Antiqua" w:hAnsi="Book Antiqua" w:cs="Book Antiqua"/>
          <w:b/>
          <w:bCs/>
          <w:i/>
          <w:iCs/>
          <w:color w:val="000000"/>
        </w:rPr>
        <w:t xml:space="preserve"> activity detection</w:t>
      </w:r>
    </w:p>
    <w:p w14:paraId="59A28658"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The cell culture medium was removed, the cells were washed once with PBS, and 1 mL/well β-galactosidase (SA-β-gal) staining fixation solution (Solarbio, Beijing, China) was added and incubated at room temperature for 15 min. Fixative was removed, and the cells were washed 3 times with PBS for 3 min each. The PBS was removed, and 1 mL of staining solution was added to each well. The plate was incubated at 37°C overnight and sealed with plastic wrap to prevent evaporation. The positive expression of blue particles was observed under an inverted microscope (CKX53; Olympus), and the number of positive cells per 100 cells was quantified. Each experiment was repeated three times.</w:t>
      </w:r>
    </w:p>
    <w:p w14:paraId="4B08B2CA" w14:textId="77777777" w:rsidR="00556032" w:rsidRDefault="00556032">
      <w:pPr>
        <w:spacing w:line="360" w:lineRule="auto"/>
        <w:jc w:val="both"/>
        <w:rPr>
          <w:rFonts w:ascii="Book Antiqua" w:hAnsi="Book Antiqua"/>
        </w:rPr>
      </w:pPr>
    </w:p>
    <w:p w14:paraId="27BFBA8A" w14:textId="77777777" w:rsidR="00556032" w:rsidRDefault="00000000">
      <w:pPr>
        <w:spacing w:line="360" w:lineRule="auto"/>
        <w:jc w:val="both"/>
        <w:rPr>
          <w:rFonts w:ascii="Book Antiqua" w:hAnsi="Book Antiqua"/>
        </w:rPr>
      </w:pPr>
      <w:r>
        <w:rPr>
          <w:rFonts w:ascii="Book Antiqua" w:eastAsia="Book Antiqua" w:hAnsi="Book Antiqua" w:cs="Book Antiqua"/>
          <w:b/>
          <w:bCs/>
          <w:i/>
          <w:iCs/>
          <w:color w:val="000000"/>
        </w:rPr>
        <w:t>Proliferation experiment</w:t>
      </w:r>
    </w:p>
    <w:p w14:paraId="0163FABB"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NK cells were cultured in the presence or absence of UC-MSCs or PUC-MSCs for 3 d at a 3:1 ratio. The cells were prelabelled with carboxyfluorescein diacetate succinimidyl ester (CFSE) dye (BioLegend, San Diego, CA, United States) and the fluorescence intensity of CFSE was measured by flow cytometry.</w:t>
      </w:r>
    </w:p>
    <w:p w14:paraId="73968D0E" w14:textId="77777777" w:rsidR="00556032" w:rsidRDefault="00556032">
      <w:pPr>
        <w:spacing w:line="360" w:lineRule="auto"/>
        <w:jc w:val="both"/>
        <w:rPr>
          <w:rFonts w:ascii="Book Antiqua" w:hAnsi="Book Antiqua"/>
        </w:rPr>
      </w:pPr>
    </w:p>
    <w:p w14:paraId="71AE49F8" w14:textId="77777777" w:rsidR="00556032" w:rsidRDefault="00000000">
      <w:pPr>
        <w:spacing w:line="360" w:lineRule="auto"/>
        <w:jc w:val="both"/>
        <w:rPr>
          <w:rFonts w:ascii="Book Antiqua" w:hAnsi="Book Antiqua"/>
        </w:rPr>
      </w:pPr>
      <w:r>
        <w:rPr>
          <w:rFonts w:ascii="Book Antiqua" w:eastAsia="Book Antiqua" w:hAnsi="Book Antiqua" w:cs="Book Antiqua"/>
          <w:b/>
          <w:bCs/>
          <w:i/>
          <w:iCs/>
          <w:color w:val="000000"/>
        </w:rPr>
        <w:t>Cell growth and proliferation</w:t>
      </w:r>
    </w:p>
    <w:p w14:paraId="4658AC73"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UC-MSCs and PUC-MSCs were collected for DNA extraction and DNA concentration was determined by an ultramicro nucleic acid protein detector (Shanghai Jiapeng Materials) to evaluate the cell proliferation rate. PBMCs were cultured in the presence or absence of UC-MSCs or PUC-MSCs at a ratio of 3:1. The number of cells (Countstar Rigel S2; Shanghai Rui Yu Biotech) was counted by a cell imaging analyzer for 5 consecutive days and the growth curve was plotted.</w:t>
      </w:r>
    </w:p>
    <w:p w14:paraId="52DC8D45" w14:textId="77777777" w:rsidR="00556032" w:rsidRDefault="00556032">
      <w:pPr>
        <w:spacing w:line="360" w:lineRule="auto"/>
        <w:jc w:val="both"/>
        <w:rPr>
          <w:rFonts w:ascii="Book Antiqua" w:hAnsi="Book Antiqua"/>
        </w:rPr>
      </w:pPr>
    </w:p>
    <w:p w14:paraId="72247392" w14:textId="77777777" w:rsidR="00556032" w:rsidRDefault="00000000">
      <w:pPr>
        <w:spacing w:line="360" w:lineRule="auto"/>
        <w:jc w:val="both"/>
        <w:rPr>
          <w:rFonts w:ascii="Book Antiqua" w:hAnsi="Book Antiqua"/>
        </w:rPr>
      </w:pPr>
      <w:r>
        <w:rPr>
          <w:rFonts w:ascii="Book Antiqua" w:eastAsia="Book Antiqua" w:hAnsi="Book Antiqua" w:cs="Book Antiqua"/>
          <w:b/>
          <w:bCs/>
          <w:i/>
          <w:iCs/>
          <w:color w:val="000000"/>
        </w:rPr>
        <w:t>Cytotoxicity of K562 target cells</w:t>
      </w:r>
    </w:p>
    <w:p w14:paraId="7B728A44"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lastRenderedPageBreak/>
        <w:t>NK cells were cultured alone or in direct contact with MSCs (NK: UC-MSCs or PUC-MSCs = 3:1 ratio) for 72 h. NK cells were then collected and cocultured with CFSE-stained (Biolegend) K562 target cells for 4 h at the effective target ratio of 1:5. All cells were collected and washed twice with PBS. K562 cell apoptosis was analyzed by PI staining (Biyuntian), and the fluorescence intensity was measured by flow cytometry.</w:t>
      </w:r>
    </w:p>
    <w:p w14:paraId="742F57FF" w14:textId="77777777" w:rsidR="00556032" w:rsidRDefault="00556032">
      <w:pPr>
        <w:spacing w:line="360" w:lineRule="auto"/>
        <w:jc w:val="both"/>
        <w:rPr>
          <w:rFonts w:ascii="Book Antiqua" w:hAnsi="Book Antiqua"/>
        </w:rPr>
      </w:pPr>
    </w:p>
    <w:p w14:paraId="574FD73C" w14:textId="77777777" w:rsidR="00556032" w:rsidRDefault="00000000">
      <w:pPr>
        <w:spacing w:line="360" w:lineRule="auto"/>
        <w:jc w:val="both"/>
        <w:rPr>
          <w:rFonts w:ascii="Book Antiqua" w:hAnsi="Book Antiqua"/>
        </w:rPr>
      </w:pPr>
      <w:r>
        <w:rPr>
          <w:rFonts w:ascii="Book Antiqua" w:eastAsia="Book Antiqua" w:hAnsi="Book Antiqua" w:cs="Book Antiqua"/>
          <w:b/>
          <w:bCs/>
          <w:i/>
          <w:iCs/>
          <w:color w:val="000000"/>
        </w:rPr>
        <w:t>Statistical analysis</w:t>
      </w:r>
    </w:p>
    <w:p w14:paraId="2D00ED8B"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 xml:space="preserve">SPSS 19.0.0 and GraphPad Prism 7 (GraphPad Prism, La Jolla, CA, United States) statistical software were used for data processing. All experimental data are expressed as the mean ± SD. A </w:t>
      </w:r>
      <w:r>
        <w:rPr>
          <w:rFonts w:ascii="Book Antiqua" w:eastAsia="Book Antiqua" w:hAnsi="Book Antiqua" w:cs="Book Antiqua"/>
          <w:i/>
          <w:iCs/>
          <w:color w:val="000000"/>
        </w:rPr>
        <w:t>t</w:t>
      </w:r>
      <w:r>
        <w:rPr>
          <w:rFonts w:ascii="Book Antiqua" w:eastAsia="Book Antiqua" w:hAnsi="Book Antiqua" w:cs="Book Antiqua"/>
          <w:color w:val="000000"/>
        </w:rPr>
        <w:t xml:space="preserve"> test was performed to compare two datasets, and </w:t>
      </w:r>
      <w:r>
        <w:rPr>
          <w:rFonts w:ascii="Book Antiqua" w:eastAsia="Book Antiqua" w:hAnsi="Book Antiqua" w:cs="Book Antiqua"/>
          <w:i/>
          <w:iCs/>
          <w:color w:val="000000"/>
        </w:rPr>
        <w:t>P</w:t>
      </w:r>
      <w:r>
        <w:rPr>
          <w:rFonts w:ascii="Book Antiqua" w:eastAsia="Book Antiqua" w:hAnsi="Book Antiqua" w:cs="Book Antiqua"/>
          <w:color w:val="000000"/>
        </w:rPr>
        <w:t xml:space="preserve"> &lt; 0.05 was considered statistically significant.</w:t>
      </w:r>
    </w:p>
    <w:p w14:paraId="17A5B1AF" w14:textId="77777777" w:rsidR="00556032" w:rsidRDefault="00556032">
      <w:pPr>
        <w:spacing w:line="360" w:lineRule="auto"/>
        <w:jc w:val="both"/>
        <w:rPr>
          <w:rFonts w:ascii="Book Antiqua" w:hAnsi="Book Antiqua"/>
        </w:rPr>
      </w:pPr>
    </w:p>
    <w:p w14:paraId="4A9E454A" w14:textId="77777777" w:rsidR="00556032" w:rsidRDefault="00000000">
      <w:pPr>
        <w:spacing w:line="360" w:lineRule="auto"/>
        <w:jc w:val="both"/>
        <w:rPr>
          <w:rFonts w:ascii="Book Antiqua" w:hAnsi="Book Antiqua"/>
        </w:rPr>
      </w:pPr>
      <w:r>
        <w:rPr>
          <w:rFonts w:ascii="Book Antiqua" w:eastAsia="Book Antiqua" w:hAnsi="Book Antiqua" w:cs="Book Antiqua"/>
          <w:b/>
          <w:caps/>
          <w:color w:val="000000"/>
          <w:u w:val="single"/>
        </w:rPr>
        <w:t>RESULTS</w:t>
      </w:r>
    </w:p>
    <w:p w14:paraId="34D502FF" w14:textId="77777777" w:rsidR="00556032" w:rsidRDefault="00000000">
      <w:pPr>
        <w:spacing w:line="360" w:lineRule="auto"/>
        <w:jc w:val="both"/>
        <w:rPr>
          <w:rFonts w:ascii="Book Antiqua" w:eastAsia="Book Antiqua" w:hAnsi="Book Antiqua" w:cs="Book Antiqua"/>
          <w:b/>
          <w:bCs/>
          <w:i/>
          <w:iCs/>
          <w:color w:val="000000"/>
        </w:rPr>
      </w:pPr>
      <w:r>
        <w:rPr>
          <w:rFonts w:ascii="Book Antiqua" w:eastAsia="Book Antiqua" w:hAnsi="Book Antiqua" w:cs="Book Antiqua"/>
          <w:b/>
          <w:bCs/>
          <w:i/>
          <w:iCs/>
          <w:color w:val="000000"/>
        </w:rPr>
        <w:t>Effects of hypoxia and inflammatory factor pretreatment on UC-MSC</w:t>
      </w:r>
      <w:r>
        <w:rPr>
          <w:rFonts w:ascii="Book Antiqua" w:hAnsi="Book Antiqua"/>
        </w:rPr>
        <w:t xml:space="preserve"> </w:t>
      </w:r>
      <w:r>
        <w:rPr>
          <w:rFonts w:ascii="Book Antiqua" w:eastAsia="Book Antiqua" w:hAnsi="Book Antiqua" w:cs="Book Antiqua"/>
          <w:b/>
          <w:bCs/>
          <w:i/>
          <w:iCs/>
          <w:color w:val="000000"/>
        </w:rPr>
        <w:t>morphology, size, proliferation and viability</w:t>
      </w:r>
    </w:p>
    <w:p w14:paraId="6AE0C5AE"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We evaluated the effects of hypoxia and inflammatory factor pretreatment on UC-MSC morphology, vitality and size. The morphological differences between UC-MSCs and PUC-MSCs were compared under a microscope when cell confluency reached 80% to 90%. Untreated UC-MSCs appeared as either short rods or long spindles in an adherent state and were arranged in a spiral pattern. After 24 h of exposure to hypoxia and inflammatory factors, cell morphology changed from short and rod-like to thin and elongated (Figure 1A), but the proliferation rate did not change (Figure 1B). We further evaluated the effects of pretreatment on UC-MSC viability and size using AOPI staining and a cell imaging analyzer. UC-MSC viability (Figure 1C)</w:t>
      </w:r>
      <w:r>
        <w:rPr>
          <w:rFonts w:ascii="Book Antiqua" w:eastAsia="Book Antiqua" w:hAnsi="Book Antiqua" w:cs="Book Antiqua"/>
          <w:b/>
          <w:bCs/>
          <w:color w:val="000000"/>
        </w:rPr>
        <w:t xml:space="preserve"> </w:t>
      </w:r>
      <w:r>
        <w:rPr>
          <w:rFonts w:ascii="Book Antiqua" w:eastAsia="Book Antiqua" w:hAnsi="Book Antiqua" w:cs="Book Antiqua"/>
          <w:color w:val="000000"/>
        </w:rPr>
        <w:t>in suspension was 93.59% ± 3.87% (</w:t>
      </w:r>
      <w:r>
        <w:rPr>
          <w:rFonts w:ascii="Book Antiqua" w:eastAsia="Book Antiqua" w:hAnsi="Book Antiqua" w:cs="Book Antiqua"/>
          <w:i/>
          <w:iCs/>
          <w:color w:val="000000"/>
        </w:rPr>
        <w:t>n</w:t>
      </w:r>
      <w:r>
        <w:rPr>
          <w:rFonts w:ascii="Book Antiqua" w:eastAsia="Book Antiqua" w:hAnsi="Book Antiqua" w:cs="Book Antiqua"/>
          <w:color w:val="000000"/>
        </w:rPr>
        <w:t xml:space="preserve"> = 5) and the mean diameter (Figure 1D) was 18.216 ± 0.78 μm (</w:t>
      </w:r>
      <w:r>
        <w:rPr>
          <w:rFonts w:ascii="Book Antiqua" w:eastAsia="Book Antiqua" w:hAnsi="Book Antiqua" w:cs="Book Antiqua"/>
          <w:i/>
          <w:iCs/>
          <w:color w:val="000000"/>
        </w:rPr>
        <w:t>n</w:t>
      </w:r>
      <w:r>
        <w:rPr>
          <w:rFonts w:ascii="Book Antiqua" w:eastAsia="Book Antiqua" w:hAnsi="Book Antiqua" w:cs="Book Antiqua"/>
          <w:color w:val="000000"/>
        </w:rPr>
        <w:t xml:space="preserve"> = 5), while PUC-MSC viability (Figure 1C) was 92.89% ± 4.13% (</w:t>
      </w:r>
      <w:r>
        <w:rPr>
          <w:rFonts w:ascii="Book Antiqua" w:eastAsia="Book Antiqua" w:hAnsi="Book Antiqua" w:cs="Book Antiqua"/>
          <w:i/>
          <w:iCs/>
          <w:color w:val="000000"/>
        </w:rPr>
        <w:t>n</w:t>
      </w:r>
      <w:r>
        <w:rPr>
          <w:rFonts w:ascii="Book Antiqua" w:eastAsia="Book Antiqua" w:hAnsi="Book Antiqua" w:cs="Book Antiqua"/>
          <w:color w:val="000000"/>
        </w:rPr>
        <w:t xml:space="preserve"> = 5) and the mean diameter (Figure 1D) was 18.628 ± 0.76 μm (</w:t>
      </w:r>
      <w:r>
        <w:rPr>
          <w:rFonts w:ascii="Book Antiqua" w:eastAsia="Book Antiqua" w:hAnsi="Book Antiqua" w:cs="Book Antiqua"/>
          <w:i/>
          <w:iCs/>
          <w:color w:val="000000"/>
        </w:rPr>
        <w:t>n</w:t>
      </w:r>
      <w:r>
        <w:rPr>
          <w:rFonts w:ascii="Book Antiqua" w:eastAsia="Book Antiqua" w:hAnsi="Book Antiqua" w:cs="Book Antiqua"/>
          <w:color w:val="000000"/>
        </w:rPr>
        <w:t xml:space="preserve"> = 5). These results showed that pretreated MSCs became elongated, the measured viability slightly decreased (</w:t>
      </w:r>
      <w:r>
        <w:rPr>
          <w:rFonts w:ascii="Book Antiqua" w:eastAsia="Book Antiqua" w:hAnsi="Book Antiqua" w:cs="Book Antiqua"/>
          <w:i/>
          <w:iCs/>
          <w:color w:val="000000"/>
        </w:rPr>
        <w:t>P</w:t>
      </w:r>
      <w:r>
        <w:rPr>
          <w:rFonts w:ascii="Book Antiqua" w:eastAsia="Book Antiqua" w:hAnsi="Book Antiqua" w:cs="Book Antiqua"/>
          <w:color w:val="000000"/>
        </w:rPr>
        <w:t xml:space="preserve"> = 0.84), and the cells were slightly enlarged (</w:t>
      </w:r>
      <w:r>
        <w:rPr>
          <w:rFonts w:ascii="Book Antiqua" w:eastAsia="Book Antiqua" w:hAnsi="Book Antiqua" w:cs="Book Antiqua"/>
          <w:i/>
          <w:iCs/>
          <w:color w:val="000000"/>
        </w:rPr>
        <w:t>P</w:t>
      </w:r>
      <w:r>
        <w:rPr>
          <w:rFonts w:ascii="Book Antiqua" w:eastAsia="Book Antiqua" w:hAnsi="Book Antiqua" w:cs="Book Antiqua"/>
          <w:color w:val="000000"/>
        </w:rPr>
        <w:t xml:space="preserve"> = 0.47), but these differences were not statistically significant.</w:t>
      </w:r>
    </w:p>
    <w:p w14:paraId="4C0C8445" w14:textId="77777777" w:rsidR="00556032" w:rsidRDefault="00556032">
      <w:pPr>
        <w:spacing w:line="360" w:lineRule="auto"/>
        <w:jc w:val="both"/>
        <w:rPr>
          <w:rFonts w:ascii="Book Antiqua" w:hAnsi="Book Antiqua"/>
        </w:rPr>
      </w:pPr>
    </w:p>
    <w:p w14:paraId="173B1FD0" w14:textId="77777777" w:rsidR="00556032" w:rsidRDefault="00000000">
      <w:pPr>
        <w:spacing w:line="360" w:lineRule="auto"/>
        <w:jc w:val="both"/>
        <w:rPr>
          <w:rFonts w:ascii="Book Antiqua" w:hAnsi="Book Antiqua"/>
        </w:rPr>
      </w:pPr>
      <w:r>
        <w:rPr>
          <w:rFonts w:ascii="Book Antiqua" w:eastAsia="Book Antiqua" w:hAnsi="Book Antiqua" w:cs="Book Antiqua"/>
          <w:b/>
          <w:bCs/>
          <w:i/>
          <w:iCs/>
          <w:color w:val="000000"/>
        </w:rPr>
        <w:lastRenderedPageBreak/>
        <w:t>MSC surface marker expression</w:t>
      </w:r>
    </w:p>
    <w:p w14:paraId="524032BF"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We further evaluated whether preconditioning altered the cellular phenotype by analyzing MSC surface marker expression by flow cytometry. UC-MSCs (Figure 2A)</w:t>
      </w:r>
      <w:r>
        <w:rPr>
          <w:rFonts w:ascii="Book Antiqua" w:eastAsia="Book Antiqua" w:hAnsi="Book Antiqua" w:cs="Book Antiqua"/>
          <w:b/>
          <w:bCs/>
          <w:color w:val="000000"/>
        </w:rPr>
        <w:t xml:space="preserve"> </w:t>
      </w:r>
      <w:r>
        <w:rPr>
          <w:rFonts w:ascii="Book Antiqua" w:eastAsia="Book Antiqua" w:hAnsi="Book Antiqua" w:cs="Book Antiqua"/>
          <w:color w:val="000000"/>
        </w:rPr>
        <w:t>and PUC-MSCs (Figure 2B) from three donors were positive for CD105, CD90, CD73, CD29, CD166, CD47 and HLA-ABC surface expression and negative for CD31, CD45, CD14 and CD34. The results showed that surface marker expression was consistent between PUC-MSCs and UC-MSCs. Interestingly, CD142 expression (59.3%) (Figure 2B) was significantly lower in PUC-MSCs compared to UC-MSCs (99.6%) (Figure 2A).</w:t>
      </w:r>
    </w:p>
    <w:p w14:paraId="03E7AE78" w14:textId="77777777" w:rsidR="00556032" w:rsidRDefault="00556032">
      <w:pPr>
        <w:spacing w:line="360" w:lineRule="auto"/>
        <w:jc w:val="both"/>
        <w:rPr>
          <w:rFonts w:ascii="Book Antiqua" w:hAnsi="Book Antiqua"/>
        </w:rPr>
      </w:pPr>
    </w:p>
    <w:p w14:paraId="6A1CE657" w14:textId="77777777" w:rsidR="00556032" w:rsidRDefault="00000000">
      <w:pPr>
        <w:spacing w:line="360" w:lineRule="auto"/>
        <w:jc w:val="both"/>
        <w:rPr>
          <w:rFonts w:ascii="Book Antiqua" w:hAnsi="Book Antiqua"/>
        </w:rPr>
      </w:pPr>
      <w:r>
        <w:rPr>
          <w:rFonts w:ascii="Book Antiqua" w:eastAsia="Book Antiqua" w:hAnsi="Book Antiqua" w:cs="Book Antiqua"/>
          <w:b/>
          <w:bCs/>
          <w:i/>
          <w:iCs/>
          <w:color w:val="000000"/>
        </w:rPr>
        <w:t>Effect of pretreatment on UC-MSC mitochondrial function</w:t>
      </w:r>
    </w:p>
    <w:p w14:paraId="71BD9302"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ROS play key roles in the proapoptotic signaling cascade, and excess ROS attacks the mitochondrial membrane and loss of MMP, leading to MSC apoptosis</w:t>
      </w:r>
      <w:r>
        <w:rPr>
          <w:rFonts w:ascii="Book Antiqua" w:eastAsia="Book Antiqua" w:hAnsi="Book Antiqua" w:cs="Book Antiqua"/>
          <w:color w:val="000000"/>
          <w:vertAlign w:val="superscript"/>
        </w:rPr>
        <w:t>[44]</w:t>
      </w:r>
      <w:r>
        <w:rPr>
          <w:rFonts w:ascii="Book Antiqua" w:eastAsia="Book Antiqua" w:hAnsi="Book Antiqua" w:cs="Book Antiqua"/>
          <w:color w:val="000000"/>
        </w:rPr>
        <w:t>. Therefore, we used flow cytometry to examine the effect of MSC pretreatment on ROS production. Intracellular ROS levels showed a three-fold increase in DCFH-DA fluorescence intensity in PUC-MSCs compared to untreated UC-MSCs (Figure 3A), but all the effects were within the range of values obtained in positive controls. STC1, catalase and HOMX1 expression levels increased (Figure 3B), indicating that the antioxidant capacity of the cells was increased and that mitochondrial ROS removal was increased, enhancing antioxidant defense effects and preventing ROS-induced DNA damage. Maintaining a stable MMP (Ψm) is essential to ensure efficient ROS clearance and prevent apoptosis or other stress-related events caused by excessive ROS</w:t>
      </w:r>
      <w:r>
        <w:rPr>
          <w:rFonts w:ascii="Book Antiqua" w:eastAsia="Book Antiqua" w:hAnsi="Book Antiqua" w:cs="Book Antiqua"/>
          <w:color w:val="000000"/>
          <w:vertAlign w:val="superscript"/>
        </w:rPr>
        <w:t>[45]</w:t>
      </w:r>
      <w:r>
        <w:rPr>
          <w:rFonts w:ascii="Book Antiqua" w:eastAsia="Book Antiqua" w:hAnsi="Book Antiqua" w:cs="Book Antiqua"/>
          <w:color w:val="000000"/>
        </w:rPr>
        <w:t xml:space="preserve">. Therefore, we further determined whether hypoxia and inflammatory factor preconditioning induced MMP dysfunction in UC-MSCs. We used the sensitive fluorescent probe JC-1 to evaluate the effect of pretreatment. We determined whether the membrane potential changed in UC-MSCs by measuring a change in JC-1 red fluorescence to green fluorescence. Microscopically, untreated UC-MSCs showed a normal MMP, as shown by red fluorescence staining with JC-1 (Figure 3C). Neither the red and green fluorescence nor the MMP was significantly different between PUC-MSCs and UC-MSCs. We further measured the JC-1 red/green fluorescence ratio by flow cytometry and confirmed our microscopy results (Figure 3D). </w:t>
      </w:r>
      <w:r>
        <w:rPr>
          <w:rFonts w:ascii="Book Antiqua" w:eastAsia="Book Antiqua" w:hAnsi="Book Antiqua" w:cs="Book Antiqua"/>
          <w:color w:val="000000"/>
        </w:rPr>
        <w:lastRenderedPageBreak/>
        <w:t>These results showed that mitochondrial function in UC-MSCs was not damaged by hypoxia and inflammatory factor pretreatment.</w:t>
      </w:r>
    </w:p>
    <w:p w14:paraId="10BDBA27" w14:textId="77777777" w:rsidR="00556032" w:rsidRDefault="00556032">
      <w:pPr>
        <w:spacing w:line="360" w:lineRule="auto"/>
        <w:jc w:val="both"/>
        <w:rPr>
          <w:rFonts w:ascii="Book Antiqua" w:hAnsi="Book Antiqua"/>
        </w:rPr>
      </w:pPr>
    </w:p>
    <w:p w14:paraId="599B188C" w14:textId="77777777" w:rsidR="00556032" w:rsidRDefault="00000000">
      <w:pPr>
        <w:spacing w:line="360" w:lineRule="auto"/>
        <w:jc w:val="both"/>
        <w:rPr>
          <w:rFonts w:ascii="Book Antiqua" w:hAnsi="Book Antiqua"/>
        </w:rPr>
      </w:pPr>
      <w:r>
        <w:rPr>
          <w:rFonts w:ascii="Book Antiqua" w:eastAsia="Book Antiqua" w:hAnsi="Book Antiqua" w:cs="Book Antiqua"/>
          <w:b/>
          <w:bCs/>
          <w:i/>
          <w:iCs/>
          <w:color w:val="000000"/>
        </w:rPr>
        <w:t>Hypoxia and inflammatory factor preconditioning induces UC-MSC</w:t>
      </w:r>
      <w:r>
        <w:rPr>
          <w:rFonts w:ascii="Book Antiqua" w:hAnsi="Book Antiqua"/>
        </w:rPr>
        <w:t xml:space="preserve"> </w:t>
      </w:r>
      <w:r>
        <w:rPr>
          <w:rFonts w:ascii="Book Antiqua" w:eastAsia="Book Antiqua" w:hAnsi="Book Antiqua" w:cs="Book Antiqua"/>
          <w:b/>
          <w:bCs/>
          <w:i/>
          <w:iCs/>
          <w:color w:val="000000"/>
        </w:rPr>
        <w:t xml:space="preserve">apoptosis and senescence </w:t>
      </w:r>
    </w:p>
    <w:p w14:paraId="2E099D69"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Bax expression decreased and Bcl2 and SIRT1 expression increased after pretreatment, suggesting that the anti-apoptotic capacity increased after pretreatment (Figure 4A). The expression of the senescence-related genes P53, P16 and P21 was upregulated by pretreatment (Figure 4B). We analyzed apoptosis by Annexin V-PI staining and flow cytometry. We compared the proportion of cells that were positive for both Annexin V-FITC and PI (necrotic cells), and the apoptotic index of PUC-MSCs (15.08% ± 4.11%) significantly increased (Figure 4C) compared to UC-MSCs (6.22% ± 3.03%). Next, we investigated the effect of preconditioning on cell senescence. SA-β-gal has been the most widely accepted senescence marker since Dimri first published its use in 1995</w:t>
      </w:r>
      <w:r>
        <w:rPr>
          <w:rFonts w:ascii="Book Antiqua" w:eastAsia="Book Antiqua" w:hAnsi="Book Antiqua" w:cs="Book Antiqua"/>
          <w:color w:val="000000"/>
          <w:vertAlign w:val="superscript"/>
        </w:rPr>
        <w:t>[46]</w:t>
      </w:r>
      <w:r>
        <w:rPr>
          <w:rFonts w:ascii="Book Antiqua" w:eastAsia="Book Antiqua" w:hAnsi="Book Antiqua" w:cs="Book Antiqua"/>
          <w:color w:val="000000"/>
        </w:rPr>
        <w:t>, so we performed SA-β-gal staining to evaluate cell senescence ratios. SA-β-gal levels increased in PUC-MSCs (14.83% ± 1.57%) compared to UC-MSCs (4.83% ± 1.34%) (Figure 4D). These results suggest that hypoxia and inflammatory factor preconditioning not only induces UC-MSC apoptosis and senescence but also increases anti-apoptotic factor levels.</w:t>
      </w:r>
    </w:p>
    <w:p w14:paraId="41E883DC" w14:textId="77777777" w:rsidR="00556032" w:rsidRDefault="00556032">
      <w:pPr>
        <w:spacing w:line="360" w:lineRule="auto"/>
        <w:jc w:val="both"/>
        <w:rPr>
          <w:rFonts w:ascii="Book Antiqua" w:hAnsi="Book Antiqua"/>
        </w:rPr>
      </w:pPr>
    </w:p>
    <w:p w14:paraId="10176A0A" w14:textId="77777777" w:rsidR="00556032" w:rsidRDefault="00000000">
      <w:pPr>
        <w:spacing w:line="360" w:lineRule="auto"/>
        <w:jc w:val="both"/>
        <w:rPr>
          <w:rFonts w:ascii="Book Antiqua" w:eastAsia="Book Antiqua" w:hAnsi="Book Antiqua" w:cs="Book Antiqua"/>
          <w:b/>
          <w:bCs/>
          <w:i/>
          <w:iCs/>
          <w:color w:val="000000"/>
        </w:rPr>
      </w:pPr>
      <w:r>
        <w:rPr>
          <w:rFonts w:ascii="Book Antiqua" w:eastAsia="Book Antiqua" w:hAnsi="Book Antiqua" w:cs="Book Antiqua"/>
          <w:b/>
          <w:bCs/>
          <w:i/>
          <w:iCs/>
          <w:color w:val="000000"/>
        </w:rPr>
        <w:t>Hypoxia and inflammatory factor preconditioning enhances UC-MSC</w:t>
      </w:r>
      <w:r>
        <w:rPr>
          <w:rFonts w:ascii="Book Antiqua" w:hAnsi="Book Antiqua"/>
        </w:rPr>
        <w:t xml:space="preserve"> </w:t>
      </w:r>
      <w:r>
        <w:rPr>
          <w:rFonts w:ascii="Book Antiqua" w:eastAsia="Book Antiqua" w:hAnsi="Book Antiqua" w:cs="Book Antiqua"/>
          <w:b/>
          <w:bCs/>
          <w:i/>
          <w:iCs/>
          <w:color w:val="000000"/>
        </w:rPr>
        <w:t xml:space="preserve">immunosuppressive properties </w:t>
      </w:r>
    </w:p>
    <w:p w14:paraId="6D4BB050"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MSCs are pluripotent stem cells that have been shown to hold promise in tissue regeneration due to their ability to self-renew and differentiate and their broad immunomodulatory properties</w:t>
      </w:r>
      <w:r>
        <w:rPr>
          <w:rFonts w:ascii="Book Antiqua" w:eastAsia="Book Antiqua" w:hAnsi="Book Antiqua" w:cs="Book Antiqua"/>
          <w:color w:val="000000"/>
          <w:vertAlign w:val="superscript"/>
        </w:rPr>
        <w:t>[1-5]</w:t>
      </w:r>
      <w:r>
        <w:rPr>
          <w:rFonts w:ascii="Book Antiqua" w:eastAsia="Book Antiqua" w:hAnsi="Book Antiqua" w:cs="Book Antiqua"/>
          <w:color w:val="000000"/>
        </w:rPr>
        <w:t xml:space="preserve">. We evaluated whether UC-MSC immunomodulatory activities increased after pretreatment. qRT-PCR analysis revealed that the expression of PGE2, IDO, KYN, COX2, IL-10, TGF-β1, TSG-6, HLA-G5, and PD-L1 increased in PUC-MSCs compared to untreated UC-MSCs. IL-1ra expression was slightly elevated, but the difference was not statistically significant (Figure 5A). Because paracrine activity is a key mechanism underlying MSC effects, we compared the bioactive factor secretion levels in PUC-MSCs and untreated UC-MSCs. We assessed MSC paracrine function by measuring </w:t>
      </w:r>
      <w:r>
        <w:rPr>
          <w:rFonts w:ascii="Book Antiqua" w:eastAsia="Book Antiqua" w:hAnsi="Book Antiqua" w:cs="Book Antiqua"/>
          <w:color w:val="000000"/>
        </w:rPr>
        <w:lastRenderedPageBreak/>
        <w:t>the protein levels of immunosuppression-related soluble factors released into the culture supernatant, including IDO, PGE2, TGF-β1, TSG-6, and IL-10 by ELISAs. IDO, PGE2, TGF-β1 and TSG-6 levels significantly increased in the PUC-MSC supernatant, while IL-10 levels slightly increased but did not reach statistical significance (Figure 5B). In summary, these data strongly suggest that UC-MSC preconditioning with hypoxia and inflammatory factors upregulates the expression of soluble immunomodulatory factors and enhances their immunomodulatory activity.</w:t>
      </w:r>
    </w:p>
    <w:p w14:paraId="0BB7CD20" w14:textId="77777777" w:rsidR="00556032" w:rsidRDefault="00556032">
      <w:pPr>
        <w:spacing w:line="360" w:lineRule="auto"/>
        <w:jc w:val="both"/>
        <w:rPr>
          <w:rFonts w:ascii="Book Antiqua" w:hAnsi="Book Antiqua"/>
        </w:rPr>
      </w:pPr>
    </w:p>
    <w:p w14:paraId="2544F302" w14:textId="77777777" w:rsidR="00556032" w:rsidRDefault="00000000">
      <w:pPr>
        <w:spacing w:line="360" w:lineRule="auto"/>
        <w:jc w:val="both"/>
        <w:rPr>
          <w:rFonts w:ascii="Book Antiqua" w:eastAsia="Book Antiqua" w:hAnsi="Book Antiqua" w:cs="Book Antiqua"/>
          <w:b/>
          <w:bCs/>
          <w:i/>
          <w:iCs/>
          <w:color w:val="000000"/>
        </w:rPr>
      </w:pPr>
      <w:r>
        <w:rPr>
          <w:rFonts w:ascii="Book Antiqua" w:eastAsia="Book Antiqua" w:hAnsi="Book Antiqua" w:cs="Book Antiqua"/>
          <w:b/>
          <w:bCs/>
          <w:i/>
          <w:iCs/>
          <w:color w:val="000000"/>
        </w:rPr>
        <w:t>Hypoxia and inflammatory factor preconditioning increases UC-MSC immunosuppressive properties</w:t>
      </w:r>
    </w:p>
    <w:p w14:paraId="612B57E9"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Considering the high expression of immunomodulatory molecules in PUC-MSCs, we evaluated their immunosuppressive capacity. We compared UC-MSC and PUC-MSC immunosuppressive capacity using PBMC and NK cell proliferation assays by analyzing growth dynamics of PBMCs cultured alone, with UC-MSCs or with PUC-MSCs (Figure 6A). Both UC-MSCs and PUC-MSCs significantly inhibited PBMC proliferation compared to PBMCs cultured alone. However, PUC-MSCs had a stronger inhibitory effect on PBMC proliferation, further indicating that pretreatment enhanced UC-MSC immunosuppressive abilities. We further investigated MSC-mediated inhibition of NK cell proliferation in the presence of the two MSC populations. We cultured CFSE-stained NK cells in the presence of IL-2 alone or with UC-MSCs or PUC-MSCs and analyzed CFSE fluorescence intensity by flow cytometry after 3 d. The proliferation rate of NK cells was reduced in cocultures with UC-MSCs or PUC-MSCs compared to NK cells cultured alone, but the PUC-MSC group exerted stronger inhibitory effects on NK cells compared to UC-MSCs (Figure 6B).</w:t>
      </w:r>
    </w:p>
    <w:p w14:paraId="56D86AB9" w14:textId="77777777" w:rsidR="00556032" w:rsidRDefault="00000000">
      <w:pPr>
        <w:spacing w:line="360" w:lineRule="auto"/>
        <w:ind w:firstLine="240"/>
        <w:jc w:val="both"/>
        <w:rPr>
          <w:rFonts w:ascii="Book Antiqua" w:hAnsi="Book Antiqua"/>
        </w:rPr>
      </w:pPr>
      <w:r>
        <w:rPr>
          <w:rFonts w:ascii="Book Antiqua" w:eastAsia="Book Antiqua" w:hAnsi="Book Antiqua" w:cs="Book Antiqua"/>
          <w:color w:val="000000"/>
        </w:rPr>
        <w:t xml:space="preserve">Finally, we evaluated the effect of UC-MSC pretreatment with hypoxia exposure and inflammatory factor treatment on NK cell cytotoxic activity. NK cells were cultured alone or with UC-MSCs/PUC-MSCs at a 3:1 ratio for 72 h, then collected and incubated with CFSE-stained K562 target cells at an effective target ratio (E:T = 1:5) for 4 h. The cells were collected, and K562 cell apoptosis was analyzed by PI staining. The results showed that NK cells cocultured with UC-MSCs or PUC-MSCs had lower cytolytic activity, and the </w:t>
      </w:r>
      <w:r>
        <w:rPr>
          <w:rFonts w:ascii="Book Antiqua" w:eastAsia="Book Antiqua" w:hAnsi="Book Antiqua" w:cs="Book Antiqua"/>
          <w:color w:val="000000"/>
        </w:rPr>
        <w:lastRenderedPageBreak/>
        <w:t>inhibition of NK cell-mediated cytotoxic activity was higher with PUC-MSCs than UC-MSCs (Figure 6C).</w:t>
      </w:r>
    </w:p>
    <w:p w14:paraId="47831652" w14:textId="77777777" w:rsidR="00556032" w:rsidRDefault="00556032">
      <w:pPr>
        <w:spacing w:line="360" w:lineRule="auto"/>
        <w:jc w:val="both"/>
        <w:rPr>
          <w:rFonts w:ascii="Book Antiqua" w:hAnsi="Book Antiqua"/>
        </w:rPr>
      </w:pPr>
    </w:p>
    <w:p w14:paraId="0AFC1CD6" w14:textId="77777777" w:rsidR="00556032" w:rsidRDefault="00000000">
      <w:pPr>
        <w:spacing w:line="360" w:lineRule="auto"/>
        <w:jc w:val="both"/>
        <w:rPr>
          <w:rFonts w:ascii="Book Antiqua" w:hAnsi="Book Antiqua"/>
        </w:rPr>
      </w:pPr>
      <w:r>
        <w:rPr>
          <w:rFonts w:ascii="Book Antiqua" w:eastAsia="Book Antiqua" w:hAnsi="Book Antiqua" w:cs="Book Antiqua"/>
          <w:b/>
          <w:caps/>
          <w:color w:val="000000"/>
          <w:u w:val="single"/>
        </w:rPr>
        <w:t>DISCUSSION</w:t>
      </w:r>
    </w:p>
    <w:p w14:paraId="04EAF771"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Intravenous injection of MSCs has been increasingly used in clinical research and has shown great potential in the treatment of various diseases. Because of their immunomodulatory functions, MSCs have become a promising alternative treatment for inflammatory diseases. MSCs come from a wide range of sources. Currently, the most studied MSCs are derived from bone marrow and adipose tissue, followed by those from umbilical cord tissue</w:t>
      </w:r>
      <w:r>
        <w:rPr>
          <w:rFonts w:ascii="Book Antiqua" w:eastAsia="Book Antiqua" w:hAnsi="Book Antiqua" w:cs="Book Antiqua"/>
          <w:color w:val="000000"/>
          <w:vertAlign w:val="superscript"/>
        </w:rPr>
        <w:t>[47]</w:t>
      </w:r>
      <w:r>
        <w:rPr>
          <w:rFonts w:ascii="Book Antiqua" w:eastAsia="Book Antiqua" w:hAnsi="Book Antiqua" w:cs="Book Antiqua"/>
          <w:color w:val="000000"/>
        </w:rPr>
        <w:t>. Compared with those from other sources, umbilical cord-derived MSCs are abundant, easy to collect, genetically stable, and do not readily mutate. Therefore, umbilical cord MSCs have broad application prospects in the cell therapy field</w:t>
      </w:r>
      <w:r>
        <w:rPr>
          <w:rFonts w:ascii="Book Antiqua" w:eastAsia="Book Antiqua" w:hAnsi="Book Antiqua" w:cs="Book Antiqua"/>
          <w:color w:val="000000"/>
          <w:vertAlign w:val="superscript"/>
        </w:rPr>
        <w:t>[48-50]</w:t>
      </w:r>
      <w:r>
        <w:rPr>
          <w:rFonts w:ascii="Book Antiqua" w:eastAsia="Book Antiqua" w:hAnsi="Book Antiqua" w:cs="Book Antiqua"/>
          <w:color w:val="000000"/>
        </w:rPr>
        <w:t>. Therefore, we focused on UC-MSCs in this study.</w:t>
      </w:r>
    </w:p>
    <w:p w14:paraId="45235848" w14:textId="77777777" w:rsidR="00556032" w:rsidRDefault="00000000">
      <w:pPr>
        <w:spacing w:line="360" w:lineRule="auto"/>
        <w:ind w:firstLine="240"/>
        <w:jc w:val="both"/>
        <w:rPr>
          <w:rFonts w:ascii="Book Antiqua" w:hAnsi="Book Antiqua"/>
        </w:rPr>
      </w:pPr>
      <w:r>
        <w:rPr>
          <w:rFonts w:ascii="Book Antiqua" w:eastAsia="Book Antiqua" w:hAnsi="Book Antiqua" w:cs="Book Antiqua"/>
          <w:color w:val="000000"/>
        </w:rPr>
        <w:t>In addition to the effects of their origin, MSCs exhibit decreased biological performance when subjected to vein transplantation and exposure to the harsh inflammatory environment of damaged tissue</w:t>
      </w:r>
      <w:r>
        <w:rPr>
          <w:rFonts w:ascii="Book Antiqua" w:eastAsia="Book Antiqua" w:hAnsi="Book Antiqua" w:cs="Book Antiqua"/>
          <w:color w:val="000000"/>
          <w:vertAlign w:val="superscript"/>
        </w:rPr>
        <w:t>[29]</w:t>
      </w:r>
      <w:r>
        <w:rPr>
          <w:rFonts w:ascii="Book Antiqua" w:eastAsia="Book Antiqua" w:hAnsi="Book Antiqua" w:cs="Book Antiqua"/>
          <w:color w:val="000000"/>
        </w:rPr>
        <w:t xml:space="preserve">. Studies have shown that preconditioning cells by exposing them to the external environment can enhance their therapeutic effects by preparing them for the harsh conditions they encounter when injected into the body. Antebi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[51]</w:t>
      </w:r>
      <w:r>
        <w:rPr>
          <w:rFonts w:ascii="Book Antiqua" w:eastAsia="Book Antiqua" w:hAnsi="Book Antiqua" w:cs="Book Antiqua"/>
          <w:color w:val="000000"/>
        </w:rPr>
        <w:t xml:space="preserve"> showed that hypoxic preconditioning of bone marrow MSCs enhanced the therapeutic function of these cells. Gorgun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[34]</w:t>
      </w:r>
      <w:r>
        <w:rPr>
          <w:rFonts w:ascii="Book Antiqua" w:eastAsia="Book Antiqua" w:hAnsi="Book Antiqua" w:cs="Book Antiqua"/>
          <w:color w:val="000000"/>
        </w:rPr>
        <w:t xml:space="preserve"> analyzed the effects of hypoxia and inflammatory factor (TNF-α, IL-1α) pretreatment on AD-MSC angiogenic potential. In addition, Rodriguez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[52]</w:t>
      </w:r>
      <w:r>
        <w:rPr>
          <w:rFonts w:ascii="Book Antiqua" w:eastAsia="Book Antiqua" w:hAnsi="Book Antiqua" w:cs="Book Antiqua"/>
          <w:color w:val="000000"/>
        </w:rPr>
        <w:t xml:space="preserve"> pretreated AD-MSCs with a mixture of inflammatory factors under anoxic culture conditions, which significantly enhanced their functional characteristics and immunosuppressive and immunoregulatory functions.</w:t>
      </w:r>
    </w:p>
    <w:p w14:paraId="5456991E" w14:textId="77777777" w:rsidR="00556032" w:rsidRDefault="00000000">
      <w:pPr>
        <w:spacing w:line="360" w:lineRule="auto"/>
        <w:ind w:firstLine="240"/>
        <w:jc w:val="both"/>
        <w:rPr>
          <w:rFonts w:ascii="Book Antiqua" w:hAnsi="Book Antiqua"/>
        </w:rPr>
      </w:pPr>
      <w:r>
        <w:rPr>
          <w:rFonts w:ascii="Book Antiqua" w:eastAsia="Book Antiqua" w:hAnsi="Book Antiqua" w:cs="Book Antiqua"/>
          <w:color w:val="000000"/>
        </w:rPr>
        <w:t xml:space="preserve">In this study, we developed a combination strategy of hypoxia plus a mixture of TNF-α, IL-1β, and IFN-γ preconditioning to enhance hUC-MSC immunomodulatory capacity. To our knowledge, this is a previously unanalyzed combination pretreatment. We found that this preconditioning approach successfully mimicked the harsh inflammatory environment and effectively enhanced the immunosuppressive function of MSCs. To simulate hypoxia, we cultured UC-MSCs in a special three-gas incubator containing 2% </w:t>
      </w:r>
      <w:r>
        <w:rPr>
          <w:rFonts w:ascii="Book Antiqua" w:eastAsia="Book Antiqua" w:hAnsi="Book Antiqua" w:cs="Book Antiqua"/>
          <w:color w:val="000000"/>
        </w:rPr>
        <w:lastRenderedPageBreak/>
        <w:t>O</w:t>
      </w:r>
      <w:r>
        <w:rPr>
          <w:rFonts w:ascii="Book Antiqua" w:eastAsia="Book Antiqua" w:hAnsi="Book Antiqua" w:cs="Book Antiqua"/>
          <w:color w:val="000000"/>
          <w:vertAlign w:val="subscript"/>
        </w:rPr>
        <w:t>2</w:t>
      </w:r>
      <w:r>
        <w:rPr>
          <w:rFonts w:ascii="Book Antiqua" w:eastAsia="Book Antiqua" w:hAnsi="Book Antiqua" w:cs="Book Antiqua"/>
          <w:color w:val="000000"/>
        </w:rPr>
        <w:t>, 5% CO</w:t>
      </w:r>
      <w:r>
        <w:rPr>
          <w:rFonts w:ascii="Book Antiqua" w:eastAsia="Book Antiqua" w:hAnsi="Book Antiqua" w:cs="Book Antiqua"/>
          <w:color w:val="000000"/>
          <w:vertAlign w:val="subscript"/>
        </w:rPr>
        <w:t>2</w:t>
      </w:r>
      <w:r>
        <w:rPr>
          <w:rFonts w:ascii="Book Antiqua" w:eastAsia="Book Antiqua" w:hAnsi="Book Antiqua" w:cs="Book Antiqua"/>
          <w:color w:val="000000"/>
        </w:rPr>
        <w:t xml:space="preserve"> and 93% N</w:t>
      </w:r>
      <w:r>
        <w:rPr>
          <w:rFonts w:ascii="Book Antiqua" w:eastAsia="Book Antiqua" w:hAnsi="Book Antiqua" w:cs="Book Antiqua"/>
          <w:color w:val="000000"/>
          <w:vertAlign w:val="subscript"/>
        </w:rPr>
        <w:t>2</w:t>
      </w:r>
      <w:r>
        <w:rPr>
          <w:rFonts w:ascii="Book Antiqua" w:eastAsia="Book Antiqua" w:hAnsi="Book Antiqua" w:cs="Book Antiqua"/>
          <w:color w:val="000000"/>
        </w:rPr>
        <w:t xml:space="preserve"> at 37°C for 24 h. We had previously evaluated these gas conditions and found them to be most suitable for preserving the functional characteristics of MSCs. To simulate the harsh inflammatory environment, we independently developed and utilized a mixture of IL-1β, IFN-γ and TNF-α. After pretreatment, we found that the cells became elongated, but their proliferation, viability and size did not significantly change. Notably, Klinker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[53]</w:t>
      </w:r>
      <w:r>
        <w:rPr>
          <w:rFonts w:ascii="Book Antiqua" w:eastAsia="Book Antiqua" w:hAnsi="Book Antiqua" w:cs="Book Antiqua"/>
          <w:color w:val="000000"/>
        </w:rPr>
        <w:t xml:space="preserve"> recently demonstrated that the morphological characteristics of MSCs were significantly correlated with their immunosuppressive ability and can be used to predict their overall immunosuppressive effects</w:t>
      </w:r>
      <w:r>
        <w:rPr>
          <w:rFonts w:ascii="Book Antiqua" w:eastAsia="Book Antiqua" w:hAnsi="Book Antiqua" w:cs="Book Antiqua"/>
          <w:color w:val="000000"/>
          <w:vertAlign w:val="superscript"/>
        </w:rPr>
        <w:t>[53]</w:t>
      </w:r>
      <w:r>
        <w:rPr>
          <w:rFonts w:ascii="Book Antiqua" w:eastAsia="Book Antiqua" w:hAnsi="Book Antiqua" w:cs="Book Antiqua"/>
          <w:color w:val="000000"/>
        </w:rPr>
        <w:t xml:space="preserve">. The results of the study by Klinker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[53]</w:t>
      </w:r>
      <w:r>
        <w:rPr>
          <w:rFonts w:ascii="Book Antiqua" w:eastAsia="Book Antiqua" w:hAnsi="Book Antiqua" w:cs="Book Antiqua"/>
          <w:color w:val="000000"/>
        </w:rPr>
        <w:t xml:space="preserve"> showed that pretreated UC-MSCs became elongated and had stronger immunosuppressive ability, consistent with the results of our study.</w:t>
      </w:r>
    </w:p>
    <w:p w14:paraId="193CF708" w14:textId="77777777" w:rsidR="00556032" w:rsidRDefault="00000000">
      <w:pPr>
        <w:spacing w:line="360" w:lineRule="auto"/>
        <w:ind w:firstLine="240"/>
        <w:jc w:val="both"/>
        <w:rPr>
          <w:rFonts w:ascii="Book Antiqua" w:hAnsi="Book Antiqua"/>
        </w:rPr>
      </w:pPr>
      <w:r>
        <w:rPr>
          <w:rFonts w:ascii="Book Antiqua" w:eastAsia="Book Antiqua" w:hAnsi="Book Antiqua" w:cs="Book Antiqua"/>
          <w:color w:val="000000"/>
        </w:rPr>
        <w:t>Although different forms of preconditioning have been shown to successfully enhance cell properties and increase cell function, there are still noteworthy safety concerns. Because pretreatment may have negative effects on cell function, we used flow cytometry to characterize MSC phenotypes. The expression of specific MSC surface markers can be used as indicators of cell differentiation potential, lineage commitment, aging, and therapeutic function</w:t>
      </w:r>
      <w:r>
        <w:rPr>
          <w:rFonts w:ascii="Book Antiqua" w:eastAsia="Book Antiqua" w:hAnsi="Book Antiqua" w:cs="Book Antiqua"/>
          <w:color w:val="000000"/>
          <w:vertAlign w:val="superscript"/>
        </w:rPr>
        <w:t>[54]</w:t>
      </w:r>
      <w:r>
        <w:rPr>
          <w:rFonts w:ascii="Book Antiqua" w:eastAsia="Book Antiqua" w:hAnsi="Book Antiqua" w:cs="Book Antiqua"/>
          <w:color w:val="000000"/>
        </w:rPr>
        <w:t>. The International Society for Cell and Gene Therapy defines minimum standards for MSC characterization, and most experiments are conducted on this basis</w:t>
      </w:r>
      <w:r>
        <w:rPr>
          <w:rFonts w:ascii="Book Antiqua" w:eastAsia="Book Antiqua" w:hAnsi="Book Antiqua" w:cs="Book Antiqua"/>
          <w:color w:val="000000"/>
          <w:vertAlign w:val="superscript"/>
        </w:rPr>
        <w:t>[55]</w:t>
      </w:r>
      <w:r>
        <w:rPr>
          <w:rFonts w:ascii="Book Antiqua" w:eastAsia="Book Antiqua" w:hAnsi="Book Antiqua" w:cs="Book Antiqua"/>
          <w:color w:val="000000"/>
        </w:rPr>
        <w:t xml:space="preserve">. However, we examined additional MSC surface markers. We found that UC-MSCs and PUC-MSCs from three donors retained high expression levels of CD105, CD90, CD73, CD29, CD166, CD47 and HLA-ABC and were negative for CD31, CD45, CD14, and CD34 expression. These findings indicated that UC-MSCs retained MSC properties after pretreatment. Interestingly, we found that CD142 expression significantly decreased after pretreatment. Oeller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[39]</w:t>
      </w:r>
      <w:r>
        <w:rPr>
          <w:rFonts w:ascii="Book Antiqua" w:eastAsia="Book Antiqua" w:hAnsi="Book Antiqua" w:cs="Book Antiqua"/>
          <w:color w:val="000000"/>
        </w:rPr>
        <w:t xml:space="preserve"> found that UC-MSCs showed higher procoagulant activity than adipose-derived MSCs, and UC-MSCs showed extensive TF (CD142) expression and long-lasting clotting; a higher cell number significantly increased clot formation, which was partially dependent on coagulation factors</w:t>
      </w:r>
      <w:r>
        <w:rPr>
          <w:rFonts w:ascii="Book Antiqua" w:eastAsia="Book Antiqua" w:hAnsi="Book Antiqua" w:cs="Book Antiqua"/>
          <w:color w:val="000000"/>
          <w:vertAlign w:val="superscript"/>
        </w:rPr>
        <w:t>[43]</w:t>
      </w:r>
      <w:r>
        <w:rPr>
          <w:rFonts w:ascii="Book Antiqua" w:eastAsia="Book Antiqua" w:hAnsi="Book Antiqua" w:cs="Book Antiqua"/>
          <w:color w:val="000000"/>
        </w:rPr>
        <w:t xml:space="preserve">. Our study showed that CD142 expression in UC-MSCs without treatment exceeded 99% and CD142 expression significantly decreased after pretreatment (59.3%). Our experiment showed significant decreases in TF expression, which has been shown to be closely related to procoagulant </w:t>
      </w:r>
      <w:r>
        <w:rPr>
          <w:rFonts w:ascii="Book Antiqua" w:eastAsia="Book Antiqua" w:hAnsi="Book Antiqua" w:cs="Book Antiqua"/>
          <w:color w:val="000000"/>
        </w:rPr>
        <w:lastRenderedPageBreak/>
        <w:t>activity</w:t>
      </w:r>
      <w:r>
        <w:rPr>
          <w:rFonts w:ascii="Book Antiqua" w:eastAsia="Book Antiqua" w:hAnsi="Book Antiqua" w:cs="Book Antiqua"/>
          <w:color w:val="000000"/>
          <w:vertAlign w:val="superscript"/>
        </w:rPr>
        <w:t>[38]</w:t>
      </w:r>
      <w:r>
        <w:rPr>
          <w:rFonts w:ascii="Book Antiqua" w:eastAsia="Book Antiqua" w:hAnsi="Book Antiqua" w:cs="Book Antiqua"/>
          <w:color w:val="000000"/>
        </w:rPr>
        <w:t xml:space="preserve">. However, Rodriguez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[52]</w:t>
      </w:r>
      <w:r>
        <w:rPr>
          <w:rFonts w:ascii="Book Antiqua" w:eastAsia="Book Antiqua" w:hAnsi="Book Antiqua" w:cs="Book Antiqua"/>
          <w:color w:val="000000"/>
        </w:rPr>
        <w:t xml:space="preserve"> demonstrated that bone marrow-derived MSCs (BM-MSCs) and AD-MSCs that were pretreated with a combination of hypoxia and inflammatory factors showed increased CD142 expression, which was inconsistent with previous studies</w:t>
      </w:r>
      <w:r>
        <w:rPr>
          <w:rFonts w:ascii="Book Antiqua" w:eastAsia="Book Antiqua" w:hAnsi="Book Antiqua" w:cs="Book Antiqua"/>
          <w:color w:val="000000"/>
          <w:vertAlign w:val="superscript"/>
        </w:rPr>
        <w:t>[53]</w:t>
      </w:r>
      <w:r>
        <w:rPr>
          <w:rFonts w:ascii="Book Antiqua" w:eastAsia="Book Antiqua" w:hAnsi="Book Antiqua" w:cs="Book Antiqua"/>
          <w:color w:val="000000"/>
        </w:rPr>
        <w:t>. We determined that these discrepancies may be due to different origins of MSCs, MSC heterogeneity and/or differences between culture systems. However, we found pretreatment significantly reduced CD142 expression. In addition, studies have suggested the use of anticoagulants or genetic methods to inhibit TF activity for the clinical application of MSCs to maximize clinical benefits for patients, which also underscores the importance of insights into the mechanisms underlying safety issues related to nonhematopoietic cell transplantation</w:t>
      </w:r>
      <w:r>
        <w:rPr>
          <w:rFonts w:ascii="Book Antiqua" w:eastAsia="Book Antiqua" w:hAnsi="Book Antiqua" w:cs="Book Antiqua"/>
          <w:color w:val="000000"/>
          <w:vertAlign w:val="superscript"/>
        </w:rPr>
        <w:t>[43]</w:t>
      </w:r>
      <w:r>
        <w:rPr>
          <w:rFonts w:ascii="Book Antiqua" w:eastAsia="Book Antiqua" w:hAnsi="Book Antiqua" w:cs="Book Antiqua"/>
          <w:color w:val="000000"/>
        </w:rPr>
        <w:t>.</w:t>
      </w:r>
    </w:p>
    <w:p w14:paraId="52DDAD4B" w14:textId="77777777" w:rsidR="00556032" w:rsidRDefault="00000000">
      <w:pPr>
        <w:spacing w:line="360" w:lineRule="auto"/>
        <w:ind w:firstLine="240"/>
        <w:jc w:val="both"/>
        <w:rPr>
          <w:rFonts w:ascii="Book Antiqua" w:hAnsi="Book Antiqua"/>
        </w:rPr>
      </w:pPr>
      <w:r>
        <w:rPr>
          <w:rFonts w:ascii="Book Antiqua" w:eastAsia="Book Antiqua" w:hAnsi="Book Antiqua" w:cs="Book Antiqua"/>
          <w:color w:val="000000"/>
        </w:rPr>
        <w:t>The efficacy of MSCs depends on the full function of their mitochondria, which can be damaged after cell exposure to harmful environments</w:t>
      </w:r>
      <w:r>
        <w:rPr>
          <w:rFonts w:ascii="Book Antiqua" w:eastAsia="Book Antiqua" w:hAnsi="Book Antiqua" w:cs="Book Antiqua"/>
          <w:color w:val="000000"/>
          <w:vertAlign w:val="superscript"/>
        </w:rPr>
        <w:t>[56]</w:t>
      </w:r>
      <w:r>
        <w:rPr>
          <w:rFonts w:ascii="Book Antiqua" w:eastAsia="Book Antiqua" w:hAnsi="Book Antiqua" w:cs="Book Antiqua"/>
          <w:color w:val="000000"/>
        </w:rPr>
        <w:t>. Therefore, we examined the effects of hypoxia and inflammatory factor pretreatment on mitochondrial function. ROS levels were increased after pretreatment but were within the range of those in the positive controls. In addition, the increased expression of antioxidants such as STC1, catalase and HOMX1 can eliminate ROS to maintain cell redox homeostasis</w:t>
      </w:r>
      <w:r>
        <w:rPr>
          <w:rFonts w:ascii="Book Antiqua" w:eastAsia="Book Antiqua" w:hAnsi="Book Antiqua" w:cs="Book Antiqua"/>
          <w:color w:val="000000"/>
          <w:vertAlign w:val="superscript"/>
        </w:rPr>
        <w:t>[57]</w:t>
      </w:r>
      <w:r>
        <w:rPr>
          <w:rFonts w:ascii="Book Antiqua" w:eastAsia="Book Antiqua" w:hAnsi="Book Antiqua" w:cs="Book Antiqua"/>
          <w:color w:val="000000"/>
        </w:rPr>
        <w:t>. Previous studies have shown that both HMOX1 and catalase play key roles in protecting cells from ROS-induced damage</w:t>
      </w:r>
      <w:r>
        <w:rPr>
          <w:rFonts w:ascii="Book Antiqua" w:eastAsia="Book Antiqua" w:hAnsi="Book Antiqua" w:cs="Book Antiqua"/>
          <w:color w:val="000000"/>
          <w:vertAlign w:val="superscript"/>
        </w:rPr>
        <w:t>[58,59]</w:t>
      </w:r>
      <w:r>
        <w:rPr>
          <w:rFonts w:ascii="Book Antiqua" w:eastAsia="Book Antiqua" w:hAnsi="Book Antiqua" w:cs="Book Antiqua"/>
          <w:color w:val="000000"/>
        </w:rPr>
        <w:t>. Therefore, although ROS levels increased after pretreatment, the antioxidant capacity of the cells also correspondingly increased and the ROS removal rate increased. In addition, the MMP (Δψm) plays a key role in important mitochondrial functions, and its dissipation is an indicator of mitochondrial dysfunction</w:t>
      </w:r>
      <w:r>
        <w:rPr>
          <w:rFonts w:ascii="Book Antiqua" w:eastAsia="Book Antiqua" w:hAnsi="Book Antiqua" w:cs="Book Antiqua"/>
          <w:color w:val="000000"/>
          <w:vertAlign w:val="superscript"/>
        </w:rPr>
        <w:t>[60]</w:t>
      </w:r>
      <w:r>
        <w:rPr>
          <w:rFonts w:ascii="Book Antiqua" w:eastAsia="Book Antiqua" w:hAnsi="Book Antiqua" w:cs="Book Antiqua"/>
          <w:color w:val="000000"/>
        </w:rPr>
        <w:t>. Maintaining a stable MMP (Ψm) is essential for ensuring efficient ROS clearance and preventing apoptosis or other stress-related events caused by excessive ROS. Therefore, we examined the MMP and found that pretreatment had no effect on MMP. In summary, although ROS levels increased after pretreatment, the antioxidant capacity also increased, and the MMP did not change, indicating that there was no damage to mitochondrial function after pretreatment.</w:t>
      </w:r>
    </w:p>
    <w:p w14:paraId="1D4E09B7" w14:textId="77777777" w:rsidR="00556032" w:rsidRDefault="00000000">
      <w:pPr>
        <w:spacing w:line="360" w:lineRule="auto"/>
        <w:ind w:firstLine="240"/>
        <w:jc w:val="both"/>
        <w:rPr>
          <w:rFonts w:ascii="Book Antiqua" w:hAnsi="Book Antiqua"/>
        </w:rPr>
      </w:pPr>
      <w:r>
        <w:rPr>
          <w:rFonts w:ascii="Book Antiqua" w:eastAsia="Book Antiqua" w:hAnsi="Book Antiqua" w:cs="Book Antiqua"/>
          <w:color w:val="000000"/>
        </w:rPr>
        <w:t xml:space="preserve">We next examined the effect of pretreatment on MSC apoptosis and senescence and found that the apoptosis index of UC-MSCs increased to a certain extent after pretreatment. Galleu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[61]</w:t>
      </w:r>
      <w:r>
        <w:rPr>
          <w:rFonts w:ascii="Book Antiqua" w:eastAsia="Book Antiqua" w:hAnsi="Book Antiqua" w:cs="Book Antiqua"/>
          <w:color w:val="000000"/>
        </w:rPr>
        <w:t xml:space="preserve"> showed that all patients can receive apoptotic MSCs for </w:t>
      </w:r>
      <w:r>
        <w:rPr>
          <w:rFonts w:ascii="Book Antiqua" w:eastAsia="Book Antiqua" w:hAnsi="Book Antiqua" w:cs="Book Antiqua"/>
          <w:i/>
          <w:iCs/>
          <w:color w:val="000000"/>
        </w:rPr>
        <w:t xml:space="preserve">in </w:t>
      </w:r>
      <w:r>
        <w:rPr>
          <w:rFonts w:ascii="Book Antiqua" w:eastAsia="Book Antiqua" w:hAnsi="Book Antiqua" w:cs="Book Antiqua"/>
          <w:i/>
          <w:iCs/>
          <w:color w:val="000000"/>
        </w:rPr>
        <w:lastRenderedPageBreak/>
        <w:t>vivo</w:t>
      </w:r>
      <w:r>
        <w:rPr>
          <w:rFonts w:ascii="Book Antiqua" w:eastAsia="Book Antiqua" w:hAnsi="Book Antiqua" w:cs="Book Antiqua"/>
          <w:color w:val="000000"/>
        </w:rPr>
        <w:t xml:space="preserve"> injection and that these cells can induce receptor-mediated immune regulation. MSC apoptosis of is critical to their therapeutic functions</w:t>
      </w:r>
      <w:r>
        <w:rPr>
          <w:rFonts w:ascii="Book Antiqua" w:eastAsia="Book Antiqua" w:hAnsi="Book Antiqua" w:cs="Book Antiqua"/>
          <w:color w:val="000000"/>
          <w:vertAlign w:val="superscript"/>
        </w:rPr>
        <w:t>[62]</w:t>
      </w:r>
      <w:r>
        <w:rPr>
          <w:rFonts w:ascii="Book Antiqua" w:eastAsia="Book Antiqua" w:hAnsi="Book Antiqua" w:cs="Book Antiqua"/>
          <w:color w:val="000000"/>
        </w:rPr>
        <w:t>. BCL-2, BAX and SIRT1 genes play important roles in the apoptosis pathway. In this study, we found increased expression of the SIRT1 gene, which protected cells from apoptosis by activating autophagy</w:t>
      </w:r>
      <w:r>
        <w:rPr>
          <w:rFonts w:ascii="Book Antiqua" w:eastAsia="Book Antiqua" w:hAnsi="Book Antiqua" w:cs="Book Antiqua"/>
          <w:color w:val="000000"/>
          <w:vertAlign w:val="superscript"/>
        </w:rPr>
        <w:t>[63]</w:t>
      </w:r>
      <w:r>
        <w:rPr>
          <w:rFonts w:ascii="Book Antiqua" w:eastAsia="Book Antiqua" w:hAnsi="Book Antiqua" w:cs="Book Antiqua"/>
          <w:color w:val="000000"/>
        </w:rPr>
        <w:t>. The ratio of BAX/BCL-2 is closely related to the apoptosis potential of cells</w:t>
      </w:r>
      <w:r>
        <w:rPr>
          <w:rFonts w:ascii="Book Antiqua" w:eastAsia="Book Antiqua" w:hAnsi="Book Antiqua" w:cs="Book Antiqua"/>
          <w:color w:val="000000"/>
          <w:vertAlign w:val="superscript"/>
        </w:rPr>
        <w:t>[64]</w:t>
      </w:r>
      <w:r>
        <w:rPr>
          <w:rFonts w:ascii="Book Antiqua" w:eastAsia="Book Antiqua" w:hAnsi="Book Antiqua" w:cs="Book Antiqua"/>
          <w:color w:val="000000"/>
        </w:rPr>
        <w:t xml:space="preserve">. In this study, an inverse proportional relationship between BAX and BCL-2 indicated that MSCs exerted stronger anti-apoptosis effects after pretreatment. This may indicate that the cells were protecting themselves from the harmful inflammatory environment. In addition, MSCs showed increased SA-β-gal activity and p53, P16 and p21 expression after hypoxia and inflammatory factor pretreatment, suggesting that MSCs underwent senescence after pretreatment. Salminen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[65]</w:t>
      </w:r>
      <w:r>
        <w:rPr>
          <w:rFonts w:ascii="Book Antiqua" w:eastAsia="Book Antiqua" w:hAnsi="Book Antiqua" w:cs="Book Antiqua"/>
          <w:color w:val="000000"/>
        </w:rPr>
        <w:t xml:space="preserve"> found that aging MSCs exert stronger immunosuppressive effects. The experimental results showed that even when some of the pretreated UC-MSCs underwent senescence and apoptosis, these effects did not reduce their immunoregulatory abilities, and even apoptotic and senescent MSCs showed increased immunosuppressive abilities.</w:t>
      </w:r>
    </w:p>
    <w:p w14:paraId="55D7616F" w14:textId="77777777" w:rsidR="00556032" w:rsidRDefault="00000000">
      <w:pPr>
        <w:spacing w:line="360" w:lineRule="auto"/>
        <w:ind w:firstLine="240"/>
        <w:jc w:val="both"/>
        <w:rPr>
          <w:rFonts w:ascii="Book Antiqua" w:hAnsi="Book Antiqua"/>
        </w:rPr>
      </w:pPr>
      <w:r>
        <w:rPr>
          <w:rFonts w:ascii="Book Antiqua" w:eastAsia="Book Antiqua" w:hAnsi="Book Antiqua" w:cs="Book Antiqua"/>
          <w:color w:val="000000"/>
        </w:rPr>
        <w:t>The pleiotropic effect of MSCs is mostly mediated by soluble paracrine factors, and active paracrine factors produced by these cells regulate cellular immunity when they come into contact with the host</w:t>
      </w:r>
      <w:r>
        <w:rPr>
          <w:rFonts w:ascii="Book Antiqua" w:eastAsia="Book Antiqua" w:hAnsi="Book Antiqua" w:cs="Book Antiqua"/>
          <w:color w:val="000000"/>
          <w:vertAlign w:val="superscript"/>
        </w:rPr>
        <w:t>[66]</w:t>
      </w:r>
      <w:r>
        <w:rPr>
          <w:rFonts w:ascii="Book Antiqua" w:eastAsia="Book Antiqua" w:hAnsi="Book Antiqua" w:cs="Book Antiqua"/>
          <w:color w:val="000000"/>
        </w:rPr>
        <w:t>. Therefore, we investigated the response of paracrine factors involved in the immune regulation of MSCs to preconditioning. Many bioactive molecules produced by MSCs, such as IDO, PGE2, IL-10, TSG-6, and TGF-β1, effectively regulate innate and adaptive immunity and play a key role in the immunosuppressive effect of MSCs</w:t>
      </w:r>
      <w:r>
        <w:rPr>
          <w:rFonts w:ascii="Book Antiqua" w:eastAsia="Book Antiqua" w:hAnsi="Book Antiqua" w:cs="Book Antiqua"/>
          <w:color w:val="000000"/>
          <w:vertAlign w:val="superscript"/>
        </w:rPr>
        <w:t>[67]</w:t>
      </w:r>
      <w:r>
        <w:rPr>
          <w:rFonts w:ascii="Book Antiqua" w:eastAsia="Book Antiqua" w:hAnsi="Book Antiqua" w:cs="Book Antiqua"/>
          <w:color w:val="000000"/>
        </w:rPr>
        <w:t>. The detection of immunomodulation-related genes showed that the expression levels of PGE2, KYN, IDO, COX2, IL-10, TGF-β1, TSG-6, HLA-G5 and PD-L1 were significantly increased in addition to that of IL-1ra. In addition, PGE2, TSG-6, TGF-β1 and IDO protein levels in the supernatant were significantly increased. IL-10 levels were slightly increased, but the difference between the pretreatment and control groups was not significant. These results showed that preconditioning can promote the production of immunomodulatory paracrine factors in UC-MSCs and increase their immunomodulatory effect.</w:t>
      </w:r>
    </w:p>
    <w:p w14:paraId="42C1C2C1" w14:textId="77777777" w:rsidR="00556032" w:rsidRDefault="00000000">
      <w:pPr>
        <w:spacing w:line="360" w:lineRule="auto"/>
        <w:ind w:firstLine="240"/>
        <w:jc w:val="both"/>
        <w:rPr>
          <w:rFonts w:ascii="Book Antiqua" w:hAnsi="Book Antiqua"/>
        </w:rPr>
      </w:pPr>
      <w:r>
        <w:rPr>
          <w:rFonts w:ascii="Book Antiqua" w:eastAsia="Book Antiqua" w:hAnsi="Book Antiqua" w:cs="Book Antiqua"/>
          <w:color w:val="000000"/>
        </w:rPr>
        <w:lastRenderedPageBreak/>
        <w:t xml:space="preserve">Finally, we studied the immunosuppressive effects of MSCs on PBMCs and NK cells. We found that UC-MSCs and PUC-MSCs inhibited PBMCs and NK cell proliferation, but PUC-MSCs exerted a stronger inhibitory effect. Some work has been done to characterize the interaction </w:t>
      </w:r>
      <w:bookmarkStart w:id="9" w:name="_Hlk148972606"/>
      <w:r>
        <w:rPr>
          <w:rFonts w:ascii="Book Antiqua" w:eastAsia="Book Antiqua" w:hAnsi="Book Antiqua" w:cs="Book Antiqua"/>
          <w:color w:val="000000"/>
        </w:rPr>
        <w:t>between BM-MSCs</w:t>
      </w:r>
      <w:bookmarkEnd w:id="9"/>
      <w:r>
        <w:rPr>
          <w:rFonts w:ascii="Book Antiqua" w:eastAsia="Book Antiqua" w:hAnsi="Book Antiqua" w:cs="Book Antiqua"/>
          <w:color w:val="000000"/>
        </w:rPr>
        <w:t xml:space="preserve"> and NK cells</w:t>
      </w:r>
      <w:r>
        <w:rPr>
          <w:rFonts w:ascii="Book Antiqua" w:eastAsia="Book Antiqua" w:hAnsi="Book Antiqua" w:cs="Book Antiqua"/>
          <w:color w:val="000000"/>
          <w:vertAlign w:val="superscript"/>
        </w:rPr>
        <w:t>[22,68,69]</w:t>
      </w:r>
      <w:r>
        <w:rPr>
          <w:rFonts w:ascii="Book Antiqua" w:eastAsia="Book Antiqua" w:hAnsi="Book Antiqua" w:cs="Book Antiqua"/>
          <w:color w:val="000000"/>
        </w:rPr>
        <w:t>. However, the interaction of UC-MSCs with NK cells has been largely unexplored. Our results add to our understanding of the immunosuppressive effects of UC-MSCs</w:t>
      </w:r>
      <w:r>
        <w:rPr>
          <w:rFonts w:ascii="Book Antiqua" w:eastAsia="Book Antiqua" w:hAnsi="Book Antiqua" w:cs="Book Antiqua"/>
          <w:color w:val="000000"/>
          <w:vertAlign w:val="superscript"/>
        </w:rPr>
        <w:t>[70,71]</w:t>
      </w:r>
      <w:r>
        <w:rPr>
          <w:rFonts w:ascii="Book Antiqua" w:eastAsia="Book Antiqua" w:hAnsi="Book Antiqua" w:cs="Book Antiqua"/>
          <w:color w:val="000000"/>
        </w:rPr>
        <w:t>. In addition, we found that PUC-MSCs exerted a stronger inhibitory effect on NK cell-mediated cytotoxic activity. Reportedly, IDO and PGE2 or TGF-β1 produced by MSCs are critical for inhibiting NK cell cytotoxicity</w:t>
      </w:r>
      <w:r>
        <w:rPr>
          <w:rFonts w:ascii="Book Antiqua" w:eastAsia="Book Antiqua" w:hAnsi="Book Antiqua" w:cs="Book Antiqua"/>
          <w:color w:val="000000"/>
          <w:vertAlign w:val="superscript"/>
        </w:rPr>
        <w:t>[22,72]</w:t>
      </w:r>
      <w:r>
        <w:rPr>
          <w:rFonts w:ascii="Book Antiqua" w:eastAsia="Book Antiqua" w:hAnsi="Book Antiqua" w:cs="Book Antiqua"/>
          <w:color w:val="000000"/>
        </w:rPr>
        <w:t>. PUC-MSCs may exert stronger inhibitory effects on NK cell-mediated toxicity due to increased IDO, TGF-β1 and PGE2 expression.</w:t>
      </w:r>
    </w:p>
    <w:p w14:paraId="1E594161" w14:textId="77777777" w:rsidR="00556032" w:rsidRDefault="00000000">
      <w:pPr>
        <w:spacing w:line="360" w:lineRule="auto"/>
        <w:ind w:firstLine="240"/>
        <w:jc w:val="both"/>
        <w:rPr>
          <w:rFonts w:ascii="Book Antiqua" w:hAnsi="Book Antiqua"/>
        </w:rPr>
      </w:pPr>
      <w:r>
        <w:rPr>
          <w:rFonts w:ascii="Book Antiqua" w:eastAsia="Book Antiqua" w:hAnsi="Book Antiqua" w:cs="Book Antiqua"/>
          <w:color w:val="000000"/>
        </w:rPr>
        <w:t>We acknowledge that this study has limitations. Whether the combination of hypoxia (2% O</w:t>
      </w:r>
      <w:r>
        <w:rPr>
          <w:rFonts w:ascii="Book Antiqua" w:eastAsia="Book Antiqua" w:hAnsi="Book Antiqua" w:cs="Book Antiqua"/>
          <w:color w:val="000000"/>
          <w:vertAlign w:val="subscript"/>
        </w:rPr>
        <w:t>2</w:t>
      </w:r>
      <w:r>
        <w:rPr>
          <w:rFonts w:ascii="Book Antiqua" w:eastAsia="Book Antiqua" w:hAnsi="Book Antiqua" w:cs="Book Antiqua"/>
          <w:color w:val="000000"/>
        </w:rPr>
        <w:t xml:space="preserve">) and inflammatory factors (IL-1β, TNF-α, IFN-γ) is superior to other preconditioning methods is unclear. However, our study shows a preconditioning strategy that adds to the existing experimental options to use in further research. In addition, whether these cells exhibit superior immunomodulatory functions under harsh </w:t>
      </w:r>
      <w:r>
        <w:rPr>
          <w:rFonts w:ascii="Book Antiqua" w:eastAsia="Book Antiqua" w:hAnsi="Book Antiqua" w:cs="Book Antiqua"/>
          <w:i/>
          <w:iCs/>
          <w:color w:val="000000"/>
        </w:rPr>
        <w:t>in vivo</w:t>
      </w:r>
      <w:r>
        <w:rPr>
          <w:rFonts w:ascii="Book Antiqua" w:eastAsia="Book Antiqua" w:hAnsi="Book Antiqua" w:cs="Book Antiqua"/>
          <w:color w:val="000000"/>
        </w:rPr>
        <w:t xml:space="preserve"> inflammatory conditions remains to be demonstrated and is the focus of our future work. Moreover, although TF expression is reduced by preconditioning, the mechanism is unclear. Thromboembolism may still have significant clinical consequences for patients who receive MSCs after preconditioning. Therefore, for whole-body cell administration, it is still necessary to use anticoagulants during the clinical application of MSCs to inhibit TF activity and increase the clinical benefits to patients.</w:t>
      </w:r>
    </w:p>
    <w:p w14:paraId="612DE2DB" w14:textId="77777777" w:rsidR="00556032" w:rsidRDefault="00556032">
      <w:pPr>
        <w:spacing w:line="360" w:lineRule="auto"/>
        <w:ind w:firstLine="240"/>
        <w:jc w:val="both"/>
        <w:rPr>
          <w:rFonts w:ascii="Book Antiqua" w:hAnsi="Book Antiqua"/>
        </w:rPr>
      </w:pPr>
    </w:p>
    <w:p w14:paraId="3864C360" w14:textId="77777777" w:rsidR="00556032" w:rsidRDefault="00000000">
      <w:pPr>
        <w:spacing w:line="360" w:lineRule="auto"/>
        <w:jc w:val="both"/>
        <w:rPr>
          <w:rFonts w:ascii="Book Antiqua" w:hAnsi="Book Antiqua"/>
        </w:rPr>
      </w:pPr>
      <w:r>
        <w:rPr>
          <w:rFonts w:ascii="Book Antiqua" w:eastAsia="Book Antiqua" w:hAnsi="Book Antiqua" w:cs="Book Antiqua"/>
          <w:b/>
          <w:caps/>
          <w:color w:val="000000"/>
          <w:u w:val="single"/>
        </w:rPr>
        <w:t>CONCLUSION</w:t>
      </w:r>
    </w:p>
    <w:p w14:paraId="0CA80F39"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 xml:space="preserve">In conclusion, we successfully developed an </w:t>
      </w:r>
      <w:r>
        <w:rPr>
          <w:rFonts w:ascii="Book Antiqua" w:eastAsia="Book Antiqua" w:hAnsi="Book Antiqua" w:cs="Book Antiqua"/>
          <w:i/>
          <w:iCs/>
          <w:color w:val="000000"/>
        </w:rPr>
        <w:t>in vitro</w:t>
      </w:r>
      <w:r>
        <w:rPr>
          <w:rFonts w:ascii="Book Antiqua" w:eastAsia="Book Antiqua" w:hAnsi="Book Antiqua" w:cs="Book Antiqua"/>
          <w:color w:val="000000"/>
        </w:rPr>
        <w:t xml:space="preserve"> preconditioning method that mimics the impaired environment through a combination of hypoxia (2% O</w:t>
      </w:r>
      <w:r>
        <w:rPr>
          <w:rFonts w:ascii="Book Antiqua" w:eastAsia="Book Antiqua" w:hAnsi="Book Antiqua" w:cs="Book Antiqua"/>
          <w:color w:val="000000"/>
          <w:vertAlign w:val="subscript"/>
        </w:rPr>
        <w:t>2</w:t>
      </w:r>
      <w:r>
        <w:rPr>
          <w:rFonts w:ascii="Book Antiqua" w:eastAsia="Book Antiqua" w:hAnsi="Book Antiqua" w:cs="Book Antiqua"/>
          <w:color w:val="000000"/>
        </w:rPr>
        <w:t>) and inflammatory factors (IL-1β, TNF-α, IFN-γ) to enhance UC-MSC immunosuppressive ability without compromising their biological characteristics. Most notably, this approach greatly reduced the expression of the clotting-related TF in MSCs, which was a surprising result.</w:t>
      </w:r>
    </w:p>
    <w:p w14:paraId="265CACEA" w14:textId="77777777" w:rsidR="00556032" w:rsidRDefault="00556032">
      <w:pPr>
        <w:spacing w:line="360" w:lineRule="auto"/>
        <w:jc w:val="both"/>
        <w:rPr>
          <w:rFonts w:ascii="Book Antiqua" w:hAnsi="Book Antiqua"/>
        </w:rPr>
      </w:pPr>
    </w:p>
    <w:p w14:paraId="4C62511E" w14:textId="77777777" w:rsidR="00556032" w:rsidRDefault="00000000">
      <w:pPr>
        <w:spacing w:line="360" w:lineRule="auto"/>
        <w:jc w:val="both"/>
        <w:rPr>
          <w:rFonts w:ascii="Book Antiqua" w:hAnsi="Book Antiqua"/>
        </w:rPr>
      </w:pPr>
      <w:r>
        <w:rPr>
          <w:rFonts w:ascii="Book Antiqua" w:eastAsia="Book Antiqua" w:hAnsi="Book Antiqua" w:cs="Book Antiqua"/>
          <w:b/>
          <w:caps/>
          <w:color w:val="000000"/>
          <w:u w:val="single"/>
        </w:rPr>
        <w:t>ARTICLE HIGHLIGHTS</w:t>
      </w:r>
    </w:p>
    <w:p w14:paraId="72CECA01" w14:textId="77777777" w:rsidR="00556032" w:rsidRDefault="00000000">
      <w:pPr>
        <w:spacing w:line="360" w:lineRule="auto"/>
        <w:jc w:val="both"/>
        <w:rPr>
          <w:rFonts w:ascii="Book Antiqua" w:hAnsi="Book Antiqua"/>
        </w:rPr>
      </w:pPr>
      <w:r>
        <w:rPr>
          <w:rFonts w:ascii="Book Antiqua" w:eastAsia="Book Antiqua" w:hAnsi="Book Antiqua" w:cs="Book Antiqua"/>
          <w:b/>
          <w:i/>
          <w:color w:val="000000"/>
        </w:rPr>
        <w:lastRenderedPageBreak/>
        <w:t>Research background</w:t>
      </w:r>
    </w:p>
    <w:p w14:paraId="02288DF7"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 xml:space="preserve">Mesenchymal stem cells (MSCs) have great potential in the treatment of a variety of immune-related diseases due to their unique immunomodulatory and anti-inflammatory abilities. However, after intravenous transplantation, MSCs cannot effectively exert their biological effects when they encounter a harsh environment </w:t>
      </w:r>
      <w:r>
        <w:rPr>
          <w:rFonts w:ascii="Book Antiqua" w:eastAsia="Book Antiqua" w:hAnsi="Book Antiqua" w:cs="Book Antiqua"/>
          <w:i/>
          <w:iCs/>
          <w:color w:val="000000"/>
        </w:rPr>
        <w:t>in vivo</w:t>
      </w:r>
      <w:r>
        <w:rPr>
          <w:rFonts w:ascii="Book Antiqua" w:eastAsia="Book Antiqua" w:hAnsi="Book Antiqua" w:cs="Book Antiqua"/>
          <w:color w:val="000000"/>
        </w:rPr>
        <w:t>, which reduces the efficacy of cell therapy. To increase transplantation efficacy, appropriate pretreatment methods are particularly important.</w:t>
      </w:r>
    </w:p>
    <w:p w14:paraId="68DAEB1C" w14:textId="77777777" w:rsidR="00556032" w:rsidRDefault="00556032">
      <w:pPr>
        <w:spacing w:line="360" w:lineRule="auto"/>
        <w:jc w:val="both"/>
        <w:rPr>
          <w:rFonts w:ascii="Book Antiqua" w:hAnsi="Book Antiqua"/>
        </w:rPr>
      </w:pPr>
    </w:p>
    <w:p w14:paraId="317A7BB9" w14:textId="77777777" w:rsidR="00556032" w:rsidRDefault="00000000">
      <w:pPr>
        <w:spacing w:line="360" w:lineRule="auto"/>
        <w:jc w:val="both"/>
        <w:rPr>
          <w:rFonts w:ascii="Book Antiqua" w:hAnsi="Book Antiqua"/>
        </w:rPr>
      </w:pPr>
      <w:r>
        <w:rPr>
          <w:rFonts w:ascii="Book Antiqua" w:eastAsia="Book Antiqua" w:hAnsi="Book Antiqua" w:cs="Book Antiqua"/>
          <w:b/>
          <w:i/>
          <w:color w:val="000000"/>
        </w:rPr>
        <w:t>Research motivation</w:t>
      </w:r>
    </w:p>
    <w:p w14:paraId="42E93DED"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 xml:space="preserve">Although a variety of pretreatment methods are used to increase MSC transplantation efficacy, suitable and effective </w:t>
      </w:r>
      <w:r>
        <w:rPr>
          <w:rFonts w:ascii="Book Antiqua" w:eastAsia="Book Antiqua" w:hAnsi="Book Antiqua" w:cs="Book Antiqua"/>
          <w:i/>
          <w:iCs/>
          <w:color w:val="000000"/>
        </w:rPr>
        <w:t>in vitro</w:t>
      </w:r>
      <w:r>
        <w:rPr>
          <w:rFonts w:ascii="Book Antiqua" w:eastAsia="Book Antiqua" w:hAnsi="Book Antiqua" w:cs="Book Antiqua"/>
          <w:color w:val="000000"/>
        </w:rPr>
        <w:t xml:space="preserve"> pretreatment methods are still worth studying.</w:t>
      </w:r>
    </w:p>
    <w:p w14:paraId="08F97F26" w14:textId="77777777" w:rsidR="00556032" w:rsidRDefault="00556032">
      <w:pPr>
        <w:spacing w:line="360" w:lineRule="auto"/>
        <w:jc w:val="both"/>
        <w:rPr>
          <w:rFonts w:ascii="Book Antiqua" w:hAnsi="Book Antiqua"/>
        </w:rPr>
      </w:pPr>
    </w:p>
    <w:p w14:paraId="668F844F" w14:textId="77777777" w:rsidR="00556032" w:rsidRDefault="00000000">
      <w:pPr>
        <w:spacing w:line="360" w:lineRule="auto"/>
        <w:jc w:val="both"/>
        <w:rPr>
          <w:rFonts w:ascii="Book Antiqua" w:hAnsi="Book Antiqua"/>
        </w:rPr>
      </w:pPr>
      <w:r>
        <w:rPr>
          <w:rFonts w:ascii="Book Antiqua" w:eastAsia="Book Antiqua" w:hAnsi="Book Antiqua" w:cs="Book Antiqua"/>
          <w:b/>
          <w:i/>
          <w:color w:val="000000"/>
        </w:rPr>
        <w:t>Research objectives</w:t>
      </w:r>
    </w:p>
    <w:p w14:paraId="2AD3AAAF"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To evaluate whether umbilical cord MSCs (UC-MSCs) pretreated with hypoxia exposure and inflammatory factors show enhanced immunosuppressive effects without affecting cell biological characteristics.</w:t>
      </w:r>
    </w:p>
    <w:p w14:paraId="1547C934" w14:textId="77777777" w:rsidR="00556032" w:rsidRDefault="00556032">
      <w:pPr>
        <w:spacing w:line="360" w:lineRule="auto"/>
        <w:jc w:val="both"/>
        <w:rPr>
          <w:rFonts w:ascii="Book Antiqua" w:hAnsi="Book Antiqua"/>
        </w:rPr>
      </w:pPr>
    </w:p>
    <w:p w14:paraId="7DFE8A42" w14:textId="77777777" w:rsidR="00556032" w:rsidRDefault="00000000">
      <w:pPr>
        <w:spacing w:line="360" w:lineRule="auto"/>
        <w:jc w:val="both"/>
        <w:rPr>
          <w:rFonts w:ascii="Book Antiqua" w:hAnsi="Book Antiqua"/>
        </w:rPr>
      </w:pPr>
      <w:r>
        <w:rPr>
          <w:rFonts w:ascii="Book Antiqua" w:eastAsia="Book Antiqua" w:hAnsi="Book Antiqua" w:cs="Book Antiqua"/>
          <w:b/>
          <w:i/>
          <w:color w:val="000000"/>
        </w:rPr>
        <w:t>Research methods</w:t>
      </w:r>
    </w:p>
    <w:p w14:paraId="290AF2ED"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In this study, we used a combination of hypoxia (2% O</w:t>
      </w:r>
      <w:r>
        <w:rPr>
          <w:rFonts w:ascii="Book Antiqua" w:eastAsia="Book Antiqua" w:hAnsi="Book Antiqua" w:cs="Book Antiqua"/>
          <w:color w:val="000000"/>
          <w:vertAlign w:val="subscript"/>
        </w:rPr>
        <w:t>2</w:t>
      </w:r>
      <w:r>
        <w:rPr>
          <w:rFonts w:ascii="Book Antiqua" w:eastAsia="Book Antiqua" w:hAnsi="Book Antiqua" w:cs="Book Antiqua"/>
          <w:color w:val="000000"/>
        </w:rPr>
        <w:t xml:space="preserve">) and inflammatory factors (interleukin-1β, tumor necrosis factor-α, interferon-γ) to pretreat UC-MSCs for 24 h to simulate the </w:t>
      </w:r>
      <w:r>
        <w:rPr>
          <w:rFonts w:ascii="Book Antiqua" w:eastAsia="Book Antiqua" w:hAnsi="Book Antiqua" w:cs="Book Antiqua"/>
          <w:i/>
          <w:iCs/>
          <w:color w:val="000000"/>
        </w:rPr>
        <w:t>in vivo</w:t>
      </w:r>
      <w:r>
        <w:rPr>
          <w:rFonts w:ascii="Book Antiqua" w:eastAsia="Book Antiqua" w:hAnsi="Book Antiqua" w:cs="Book Antiqua"/>
          <w:color w:val="000000"/>
        </w:rPr>
        <w:t xml:space="preserve"> injury environment. We then comprehensively evaluated the biological properties of pretreated UC-MSCs and investigated their immunosuppressive properties.</w:t>
      </w:r>
    </w:p>
    <w:p w14:paraId="241625C5" w14:textId="77777777" w:rsidR="00556032" w:rsidRDefault="00556032">
      <w:pPr>
        <w:spacing w:line="360" w:lineRule="auto"/>
        <w:jc w:val="both"/>
        <w:rPr>
          <w:rFonts w:ascii="Book Antiqua" w:hAnsi="Book Antiqua"/>
        </w:rPr>
      </w:pPr>
    </w:p>
    <w:p w14:paraId="00B3CED6" w14:textId="77777777" w:rsidR="00556032" w:rsidRDefault="00000000">
      <w:pPr>
        <w:spacing w:line="360" w:lineRule="auto"/>
        <w:jc w:val="both"/>
        <w:rPr>
          <w:rFonts w:ascii="Book Antiqua" w:hAnsi="Book Antiqua"/>
        </w:rPr>
      </w:pPr>
      <w:r>
        <w:rPr>
          <w:rFonts w:ascii="Book Antiqua" w:eastAsia="Book Antiqua" w:hAnsi="Book Antiqua" w:cs="Book Antiqua"/>
          <w:b/>
          <w:i/>
          <w:color w:val="000000"/>
        </w:rPr>
        <w:t>Research results</w:t>
      </w:r>
    </w:p>
    <w:p w14:paraId="0D129A2C"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 xml:space="preserve">Our results showed that compared to UC-MSCs, pretreated UC-MSCs were morphologically elongated, but their viability, proliferation and size were not affected, the expression of coagulation-related tissue factors was significantly reduced, and mitochondria maintained their function and integrity. Although some cells underwent apoptosis or senescence, polymerase chain reactions and enzyme-linked immunosorbent </w:t>
      </w:r>
      <w:r>
        <w:rPr>
          <w:rFonts w:ascii="Book Antiqua" w:eastAsia="Book Antiqua" w:hAnsi="Book Antiqua" w:cs="Book Antiqua"/>
          <w:color w:val="000000"/>
        </w:rPr>
        <w:lastRenderedPageBreak/>
        <w:t>assays revealed a significant increase in the levels of immunomodulation-related factors. Coculture with peripheral blood mononuclear cell and natural killer cells exerted a stronger immunosuppressive effect.</w:t>
      </w:r>
    </w:p>
    <w:p w14:paraId="1DB146D4" w14:textId="77777777" w:rsidR="00556032" w:rsidRDefault="00556032">
      <w:pPr>
        <w:spacing w:line="360" w:lineRule="auto"/>
        <w:jc w:val="both"/>
        <w:rPr>
          <w:rFonts w:ascii="Book Antiqua" w:hAnsi="Book Antiqua"/>
        </w:rPr>
      </w:pPr>
    </w:p>
    <w:p w14:paraId="34F704E0" w14:textId="77777777" w:rsidR="00556032" w:rsidRDefault="00000000">
      <w:pPr>
        <w:spacing w:line="360" w:lineRule="auto"/>
        <w:jc w:val="both"/>
        <w:rPr>
          <w:rFonts w:ascii="Book Antiqua" w:hAnsi="Book Antiqua"/>
        </w:rPr>
      </w:pPr>
      <w:r>
        <w:rPr>
          <w:rFonts w:ascii="Book Antiqua" w:eastAsia="Book Antiqua" w:hAnsi="Book Antiqua" w:cs="Book Antiqua"/>
          <w:b/>
          <w:i/>
          <w:color w:val="000000"/>
        </w:rPr>
        <w:t>Research conclusions</w:t>
      </w:r>
    </w:p>
    <w:p w14:paraId="0382DD02"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The combined pretreatment of hypoxia exposure and inflammatory factors enhanced the immunosuppressive ability of MSCs but did not affect the biological characteristics of these cells.</w:t>
      </w:r>
    </w:p>
    <w:p w14:paraId="4E654678" w14:textId="77777777" w:rsidR="00556032" w:rsidRDefault="00556032">
      <w:pPr>
        <w:spacing w:line="360" w:lineRule="auto"/>
        <w:jc w:val="both"/>
        <w:rPr>
          <w:rFonts w:ascii="Book Antiqua" w:hAnsi="Book Antiqua"/>
        </w:rPr>
      </w:pPr>
    </w:p>
    <w:p w14:paraId="1E4D3649" w14:textId="77777777" w:rsidR="00556032" w:rsidRDefault="00000000">
      <w:pPr>
        <w:spacing w:line="360" w:lineRule="auto"/>
        <w:jc w:val="both"/>
        <w:rPr>
          <w:rFonts w:ascii="Book Antiqua" w:hAnsi="Book Antiqua"/>
        </w:rPr>
      </w:pPr>
      <w:r>
        <w:rPr>
          <w:rFonts w:ascii="Book Antiqua" w:eastAsia="Book Antiqua" w:hAnsi="Book Antiqua" w:cs="Book Antiqua"/>
          <w:b/>
          <w:i/>
          <w:color w:val="000000"/>
        </w:rPr>
        <w:t>Research perspectives</w:t>
      </w:r>
    </w:p>
    <w:p w14:paraId="132851A9"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Our study provides new strategies for the preconditioning of UC-MSCs.</w:t>
      </w:r>
    </w:p>
    <w:p w14:paraId="0CD16A48" w14:textId="77777777" w:rsidR="00556032" w:rsidRDefault="00556032">
      <w:pPr>
        <w:spacing w:line="360" w:lineRule="auto"/>
        <w:jc w:val="both"/>
        <w:rPr>
          <w:rFonts w:ascii="Book Antiqua" w:hAnsi="Book Antiqua"/>
        </w:rPr>
      </w:pPr>
    </w:p>
    <w:p w14:paraId="58E7143C" w14:textId="77777777" w:rsidR="00556032" w:rsidRDefault="00000000">
      <w:pPr>
        <w:spacing w:line="360" w:lineRule="auto"/>
        <w:jc w:val="both"/>
        <w:rPr>
          <w:rFonts w:ascii="Book Antiqua" w:hAnsi="Book Antiqua"/>
        </w:rPr>
      </w:pPr>
      <w:r>
        <w:rPr>
          <w:rFonts w:ascii="Book Antiqua" w:eastAsia="Book Antiqua" w:hAnsi="Book Antiqua" w:cs="Book Antiqua"/>
          <w:b/>
          <w:caps/>
          <w:color w:val="000000"/>
          <w:u w:val="single"/>
        </w:rPr>
        <w:t>ACKNOWLEDGEMENTS</w:t>
      </w:r>
    </w:p>
    <w:p w14:paraId="340037F6" w14:textId="77777777" w:rsidR="00556032" w:rsidRDefault="00000000">
      <w:pPr>
        <w:spacing w:line="360" w:lineRule="auto"/>
        <w:jc w:val="both"/>
        <w:rPr>
          <w:rFonts w:ascii="Book Antiqua" w:hAnsi="Book Antiqua"/>
        </w:rPr>
      </w:pPr>
      <w:r>
        <w:rPr>
          <w:rFonts w:ascii="Book Antiqua" w:eastAsia="Book Antiqua" w:hAnsi="Book Antiqua" w:cs="Book Antiqua"/>
          <w:color w:val="000000"/>
        </w:rPr>
        <w:t>I would like to thank the people who helped me in the process of writing this article, the Second Hospital of Shanxi Medical University for technical support, and my friends and colleagues for their help during the experiments.</w:t>
      </w:r>
    </w:p>
    <w:p w14:paraId="076F9D01" w14:textId="77777777" w:rsidR="00556032" w:rsidRDefault="00556032">
      <w:pPr>
        <w:spacing w:line="360" w:lineRule="auto"/>
        <w:jc w:val="both"/>
        <w:rPr>
          <w:rFonts w:ascii="Book Antiqua" w:hAnsi="Book Antiqua"/>
        </w:rPr>
      </w:pPr>
    </w:p>
    <w:p w14:paraId="5FE6F186" w14:textId="77777777" w:rsidR="00556032" w:rsidRDefault="00000000">
      <w:pPr>
        <w:spacing w:line="360" w:lineRule="auto"/>
        <w:jc w:val="both"/>
        <w:rPr>
          <w:rFonts w:ascii="Book Antiqua" w:hAnsi="Book Antiqua"/>
        </w:rPr>
      </w:pPr>
      <w:r>
        <w:rPr>
          <w:rFonts w:ascii="Book Antiqua" w:eastAsia="Book Antiqua" w:hAnsi="Book Antiqua" w:cs="Book Antiqua"/>
          <w:b/>
          <w:color w:val="000000"/>
        </w:rPr>
        <w:t>REFERENCES</w:t>
      </w:r>
    </w:p>
    <w:p w14:paraId="39CC8A6E" w14:textId="77777777" w:rsidR="00556032" w:rsidRDefault="00000000">
      <w:pPr>
        <w:spacing w:line="360" w:lineRule="auto"/>
        <w:jc w:val="both"/>
        <w:rPr>
          <w:rFonts w:ascii="Book Antiqua" w:hAnsi="Book Antiqua"/>
        </w:rPr>
      </w:pPr>
      <w:r>
        <w:rPr>
          <w:rFonts w:ascii="Book Antiqua" w:hAnsi="Book Antiqua"/>
        </w:rPr>
        <w:t xml:space="preserve">1 </w:t>
      </w:r>
      <w:r>
        <w:rPr>
          <w:rFonts w:ascii="Book Antiqua" w:hAnsi="Book Antiqua"/>
          <w:b/>
          <w:bCs/>
        </w:rPr>
        <w:t>Yu M</w:t>
      </w:r>
      <w:r>
        <w:rPr>
          <w:rFonts w:ascii="Book Antiqua" w:hAnsi="Book Antiqua"/>
        </w:rPr>
        <w:t xml:space="preserve">, Ma L, Yuan Y, Ye X, Montagne A, He J, Ho TV, Wu Y, Zhao Z, Sta Maria N, Jacobs R, Urata M, Wang H, Zlokovic BV, Chen JF, Chai Y. Cranial Suture Regeneration Mitigates Skull and Neurocognitive Defects in Craniosynostosis. </w:t>
      </w:r>
      <w:r>
        <w:rPr>
          <w:rFonts w:ascii="Book Antiqua" w:hAnsi="Book Antiqua"/>
          <w:i/>
          <w:iCs/>
        </w:rPr>
        <w:t>Cell</w:t>
      </w:r>
      <w:r>
        <w:rPr>
          <w:rFonts w:ascii="Book Antiqua" w:hAnsi="Book Antiqua"/>
        </w:rPr>
        <w:t xml:space="preserve"> 2021; </w:t>
      </w:r>
      <w:r>
        <w:rPr>
          <w:rFonts w:ascii="Book Antiqua" w:hAnsi="Book Antiqua"/>
          <w:b/>
          <w:bCs/>
        </w:rPr>
        <w:t>184</w:t>
      </w:r>
      <w:r>
        <w:rPr>
          <w:rFonts w:ascii="Book Antiqua" w:hAnsi="Book Antiqua"/>
        </w:rPr>
        <w:t>: 243-256.e18 [PMID: 33417861 DOI: 10.1016/j.cell.2020.11.037]</w:t>
      </w:r>
    </w:p>
    <w:p w14:paraId="76E77540" w14:textId="77777777" w:rsidR="00556032" w:rsidRDefault="00000000">
      <w:pPr>
        <w:spacing w:line="360" w:lineRule="auto"/>
        <w:jc w:val="both"/>
        <w:rPr>
          <w:rFonts w:ascii="Book Antiqua" w:hAnsi="Book Antiqua"/>
        </w:rPr>
      </w:pPr>
      <w:r>
        <w:rPr>
          <w:rFonts w:ascii="Book Antiqua" w:hAnsi="Book Antiqua"/>
        </w:rPr>
        <w:t xml:space="preserve">2 </w:t>
      </w:r>
      <w:r>
        <w:rPr>
          <w:rFonts w:ascii="Book Antiqua" w:hAnsi="Book Antiqua"/>
          <w:b/>
          <w:bCs/>
        </w:rPr>
        <w:t>Berebichez-Fridman R</w:t>
      </w:r>
      <w:r>
        <w:rPr>
          <w:rFonts w:ascii="Book Antiqua" w:hAnsi="Book Antiqua"/>
        </w:rPr>
        <w:t xml:space="preserve">, Montero-Olvera PR. Sources and Clinical Applications of Mesenchymal Stem Cells: State-of-the-art review. </w:t>
      </w:r>
      <w:r>
        <w:rPr>
          <w:rFonts w:ascii="Book Antiqua" w:hAnsi="Book Antiqua"/>
          <w:i/>
          <w:iCs/>
        </w:rPr>
        <w:t>Sultan Qaboos Univ Med J</w:t>
      </w:r>
      <w:r>
        <w:rPr>
          <w:rFonts w:ascii="Book Antiqua" w:hAnsi="Book Antiqua"/>
        </w:rPr>
        <w:t xml:space="preserve"> 2018; </w:t>
      </w:r>
      <w:r>
        <w:rPr>
          <w:rFonts w:ascii="Book Antiqua" w:hAnsi="Book Antiqua"/>
          <w:b/>
          <w:bCs/>
        </w:rPr>
        <w:t>18</w:t>
      </w:r>
      <w:r>
        <w:rPr>
          <w:rFonts w:ascii="Book Antiqua" w:hAnsi="Book Antiqua"/>
        </w:rPr>
        <w:t>: e264-e277 [PMID: 30607265 DOI: 10.18295/squmj.2018.18.03.002]</w:t>
      </w:r>
    </w:p>
    <w:p w14:paraId="288A098B" w14:textId="77777777" w:rsidR="00556032" w:rsidRDefault="00000000">
      <w:pPr>
        <w:spacing w:line="360" w:lineRule="auto"/>
        <w:jc w:val="both"/>
        <w:rPr>
          <w:rFonts w:ascii="Book Antiqua" w:hAnsi="Book Antiqua"/>
        </w:rPr>
      </w:pPr>
      <w:r>
        <w:rPr>
          <w:rFonts w:ascii="Book Antiqua" w:hAnsi="Book Antiqua"/>
        </w:rPr>
        <w:t xml:space="preserve">3 </w:t>
      </w:r>
      <w:r>
        <w:rPr>
          <w:rFonts w:ascii="Book Antiqua" w:hAnsi="Book Antiqua"/>
          <w:b/>
          <w:bCs/>
        </w:rPr>
        <w:t>Stefańska K</w:t>
      </w:r>
      <w:r>
        <w:rPr>
          <w:rFonts w:ascii="Book Antiqua" w:hAnsi="Book Antiqua"/>
        </w:rPr>
        <w:t xml:space="preserve">, Nemcova L, Blatkiewicz M, Pieńkowski W, Ruciński M, Zabel M, Mozdziak P, Podhorska-Okołów M, Dzięgiel P, Kempisty B. Apoptosis Related Human Wharton's Jelly-Derived Stem Cells Differentiation into Osteoblasts, Chondrocytes, Adipocytes and Neural-like Cells-Complete Transcriptomic Assays. </w:t>
      </w:r>
      <w:r>
        <w:rPr>
          <w:rFonts w:ascii="Book Antiqua" w:hAnsi="Book Antiqua"/>
          <w:i/>
          <w:iCs/>
        </w:rPr>
        <w:t>Int J Mol Sci</w:t>
      </w:r>
      <w:r>
        <w:rPr>
          <w:rFonts w:ascii="Book Antiqua" w:hAnsi="Book Antiqua"/>
        </w:rPr>
        <w:t xml:space="preserve"> 2023; </w:t>
      </w:r>
      <w:r>
        <w:rPr>
          <w:rFonts w:ascii="Book Antiqua" w:hAnsi="Book Antiqua"/>
          <w:b/>
          <w:bCs/>
        </w:rPr>
        <w:t>24</w:t>
      </w:r>
      <w:r>
        <w:rPr>
          <w:rFonts w:ascii="Book Antiqua" w:hAnsi="Book Antiqua"/>
        </w:rPr>
        <w:t xml:space="preserve"> [PMID: 37373173 DOI: 10.3390/ijms241210023]</w:t>
      </w:r>
    </w:p>
    <w:p w14:paraId="529CE58C" w14:textId="77777777" w:rsidR="00556032" w:rsidRDefault="00000000">
      <w:pPr>
        <w:spacing w:line="360" w:lineRule="auto"/>
        <w:jc w:val="both"/>
        <w:rPr>
          <w:rFonts w:ascii="Book Antiqua" w:hAnsi="Book Antiqua"/>
        </w:rPr>
      </w:pPr>
      <w:r>
        <w:rPr>
          <w:rFonts w:ascii="Book Antiqua" w:hAnsi="Book Antiqua"/>
        </w:rPr>
        <w:lastRenderedPageBreak/>
        <w:t xml:space="preserve">4 </w:t>
      </w:r>
      <w:r>
        <w:rPr>
          <w:rFonts w:ascii="Book Antiqua" w:hAnsi="Book Antiqua"/>
          <w:b/>
          <w:bCs/>
        </w:rPr>
        <w:t>Zhou T</w:t>
      </w:r>
      <w:r>
        <w:rPr>
          <w:rFonts w:ascii="Book Antiqua" w:hAnsi="Book Antiqua"/>
        </w:rPr>
        <w:t xml:space="preserve">, Yuan Z, Weng J, Pei D, Du X, He C, Lai P. Challenges and advances in clinical applications of mesenchymal stromal cells. </w:t>
      </w:r>
      <w:r>
        <w:rPr>
          <w:rFonts w:ascii="Book Antiqua" w:hAnsi="Book Antiqua"/>
          <w:i/>
          <w:iCs/>
        </w:rPr>
        <w:t>J Hematol Oncol</w:t>
      </w:r>
      <w:r>
        <w:rPr>
          <w:rFonts w:ascii="Book Antiqua" w:hAnsi="Book Antiqua"/>
        </w:rPr>
        <w:t xml:space="preserve"> 2021; </w:t>
      </w:r>
      <w:r>
        <w:rPr>
          <w:rFonts w:ascii="Book Antiqua" w:hAnsi="Book Antiqua"/>
          <w:b/>
          <w:bCs/>
        </w:rPr>
        <w:t>14</w:t>
      </w:r>
      <w:r>
        <w:rPr>
          <w:rFonts w:ascii="Book Antiqua" w:hAnsi="Book Antiqua"/>
        </w:rPr>
        <w:t>: 24 [PMID: 33579329 DOI: 10.1186/s13045-021-01037-x]</w:t>
      </w:r>
    </w:p>
    <w:p w14:paraId="681F13B5" w14:textId="77777777" w:rsidR="00556032" w:rsidRDefault="00000000">
      <w:pPr>
        <w:spacing w:line="360" w:lineRule="auto"/>
        <w:jc w:val="both"/>
        <w:rPr>
          <w:rFonts w:ascii="Book Antiqua" w:hAnsi="Book Antiqua"/>
        </w:rPr>
      </w:pPr>
      <w:r>
        <w:rPr>
          <w:rFonts w:ascii="Book Antiqua" w:hAnsi="Book Antiqua"/>
        </w:rPr>
        <w:t xml:space="preserve">5 </w:t>
      </w:r>
      <w:r>
        <w:rPr>
          <w:rFonts w:ascii="Book Antiqua" w:hAnsi="Book Antiqua"/>
          <w:b/>
          <w:bCs/>
        </w:rPr>
        <w:t>Gao F</w:t>
      </w:r>
      <w:r>
        <w:rPr>
          <w:rFonts w:ascii="Book Antiqua" w:hAnsi="Book Antiqua"/>
        </w:rPr>
        <w:t xml:space="preserve">, Chiu SM, Motan DA, Zhang Z, Chen L, Ji HL, Tse HF, Fu QL, Lian Q. Mesenchymal stem cells and immunomodulation: current status and future prospects. </w:t>
      </w:r>
      <w:r>
        <w:rPr>
          <w:rFonts w:ascii="Book Antiqua" w:hAnsi="Book Antiqua"/>
          <w:i/>
          <w:iCs/>
        </w:rPr>
        <w:t>Cell Death Dis</w:t>
      </w:r>
      <w:r>
        <w:rPr>
          <w:rFonts w:ascii="Book Antiqua" w:hAnsi="Book Antiqua"/>
        </w:rPr>
        <w:t xml:space="preserve"> 2016; </w:t>
      </w:r>
      <w:r>
        <w:rPr>
          <w:rFonts w:ascii="Book Antiqua" w:hAnsi="Book Antiqua"/>
          <w:b/>
          <w:bCs/>
        </w:rPr>
        <w:t>7</w:t>
      </w:r>
      <w:r>
        <w:rPr>
          <w:rFonts w:ascii="Book Antiqua" w:hAnsi="Book Antiqua"/>
        </w:rPr>
        <w:t>: e2062 [PMID: 26794657 DOI: 10.1038/cddis.2015.327]</w:t>
      </w:r>
    </w:p>
    <w:p w14:paraId="0B43FD85" w14:textId="77777777" w:rsidR="00556032" w:rsidRDefault="00000000">
      <w:pPr>
        <w:spacing w:line="360" w:lineRule="auto"/>
        <w:jc w:val="both"/>
        <w:rPr>
          <w:rFonts w:ascii="Book Antiqua" w:hAnsi="Book Antiqua"/>
        </w:rPr>
      </w:pPr>
      <w:r>
        <w:rPr>
          <w:rFonts w:ascii="Book Antiqua" w:hAnsi="Book Antiqua"/>
        </w:rPr>
        <w:t xml:space="preserve">6 </w:t>
      </w:r>
      <w:r>
        <w:rPr>
          <w:rFonts w:ascii="Book Antiqua" w:hAnsi="Book Antiqua"/>
          <w:b/>
          <w:bCs/>
        </w:rPr>
        <w:t>Li F</w:t>
      </w:r>
      <w:r>
        <w:rPr>
          <w:rFonts w:ascii="Book Antiqua" w:hAnsi="Book Antiqua"/>
        </w:rPr>
        <w:t xml:space="preserve">, Guo X, Chen SY. Function and Therapeutic Potential of Mesenchymal Stem Cells in Atherosclerosis. </w:t>
      </w:r>
      <w:r>
        <w:rPr>
          <w:rFonts w:ascii="Book Antiqua" w:hAnsi="Book Antiqua"/>
          <w:i/>
          <w:iCs/>
        </w:rPr>
        <w:t>Front Cardiovasc Med</w:t>
      </w:r>
      <w:r>
        <w:rPr>
          <w:rFonts w:ascii="Book Antiqua" w:hAnsi="Book Antiqua"/>
        </w:rPr>
        <w:t xml:space="preserve"> 2017; </w:t>
      </w:r>
      <w:r>
        <w:rPr>
          <w:rFonts w:ascii="Book Antiqua" w:hAnsi="Book Antiqua"/>
          <w:b/>
          <w:bCs/>
        </w:rPr>
        <w:t>4</w:t>
      </w:r>
      <w:r>
        <w:rPr>
          <w:rFonts w:ascii="Book Antiqua" w:hAnsi="Book Antiqua"/>
        </w:rPr>
        <w:t>: 32 [PMID: 28589127 DOI: 10.3389/fcvm.2017.00032]</w:t>
      </w:r>
    </w:p>
    <w:p w14:paraId="4A6186F8" w14:textId="77777777" w:rsidR="00556032" w:rsidRDefault="00000000">
      <w:pPr>
        <w:spacing w:line="360" w:lineRule="auto"/>
        <w:jc w:val="both"/>
        <w:rPr>
          <w:rFonts w:ascii="Book Antiqua" w:hAnsi="Book Antiqua"/>
        </w:rPr>
      </w:pPr>
      <w:r>
        <w:rPr>
          <w:rFonts w:ascii="Book Antiqua" w:hAnsi="Book Antiqua"/>
        </w:rPr>
        <w:t xml:space="preserve">7 </w:t>
      </w:r>
      <w:r>
        <w:rPr>
          <w:rFonts w:ascii="Book Antiqua" w:hAnsi="Book Antiqua"/>
          <w:b/>
          <w:bCs/>
        </w:rPr>
        <w:t>Ha DH</w:t>
      </w:r>
      <w:r>
        <w:rPr>
          <w:rFonts w:ascii="Book Antiqua" w:hAnsi="Book Antiqua"/>
        </w:rPr>
        <w:t xml:space="preserve">, Kim HK, Lee J, Kwon HH, Park GH, Yang SH, Jung JY, Choi H, Lee JH, Sung S, Yi YW, Cho BS. Mesenchymal Stem/Stromal Cell-Derived Exosomes for Immunomodulatory Therapeutics and Skin Regeneration. </w:t>
      </w:r>
      <w:r>
        <w:rPr>
          <w:rFonts w:ascii="Book Antiqua" w:hAnsi="Book Antiqua"/>
          <w:i/>
          <w:iCs/>
        </w:rPr>
        <w:t>Cells</w:t>
      </w:r>
      <w:r>
        <w:rPr>
          <w:rFonts w:ascii="Book Antiqua" w:hAnsi="Book Antiqua"/>
        </w:rPr>
        <w:t xml:space="preserve"> 2020; </w:t>
      </w:r>
      <w:r>
        <w:rPr>
          <w:rFonts w:ascii="Book Antiqua" w:hAnsi="Book Antiqua"/>
          <w:b/>
          <w:bCs/>
        </w:rPr>
        <w:t>9</w:t>
      </w:r>
      <w:r>
        <w:rPr>
          <w:rFonts w:ascii="Book Antiqua" w:hAnsi="Book Antiqua"/>
        </w:rPr>
        <w:t xml:space="preserve"> [PMID: 32392899 DOI: 10.3390/cells9051157]</w:t>
      </w:r>
    </w:p>
    <w:p w14:paraId="1A83C604" w14:textId="77777777" w:rsidR="00556032" w:rsidRDefault="00000000">
      <w:pPr>
        <w:spacing w:line="360" w:lineRule="auto"/>
        <w:jc w:val="both"/>
        <w:rPr>
          <w:rFonts w:ascii="Book Antiqua" w:hAnsi="Book Antiqua"/>
        </w:rPr>
      </w:pPr>
      <w:r>
        <w:rPr>
          <w:rFonts w:ascii="Book Antiqua" w:hAnsi="Book Antiqua"/>
        </w:rPr>
        <w:t xml:space="preserve">8 </w:t>
      </w:r>
      <w:r>
        <w:rPr>
          <w:rFonts w:ascii="Book Antiqua" w:hAnsi="Book Antiqua"/>
          <w:b/>
          <w:bCs/>
        </w:rPr>
        <w:t>Tsuji M</w:t>
      </w:r>
      <w:r>
        <w:rPr>
          <w:rFonts w:ascii="Book Antiqua" w:hAnsi="Book Antiqua"/>
        </w:rPr>
        <w:t xml:space="preserve">, Mukai T, Sato Y, Azuma Y, Yamamoto S, Cayetanot F, Bodineau L, Onoda A, Nagamura-Inoue T, Coq JO. Umbilical cord-derived mesenchymal stromal cell therapy to prevent the development of neurodevelopmental disorders related to low birth weight. </w:t>
      </w:r>
      <w:r>
        <w:rPr>
          <w:rFonts w:ascii="Book Antiqua" w:hAnsi="Book Antiqua"/>
          <w:i/>
          <w:iCs/>
        </w:rPr>
        <w:t>Sci Rep</w:t>
      </w:r>
      <w:r>
        <w:rPr>
          <w:rFonts w:ascii="Book Antiqua" w:hAnsi="Book Antiqua"/>
        </w:rPr>
        <w:t xml:space="preserve"> 2023; </w:t>
      </w:r>
      <w:r>
        <w:rPr>
          <w:rFonts w:ascii="Book Antiqua" w:hAnsi="Book Antiqua"/>
          <w:b/>
          <w:bCs/>
        </w:rPr>
        <w:t>13</w:t>
      </w:r>
      <w:r>
        <w:rPr>
          <w:rFonts w:ascii="Book Antiqua" w:hAnsi="Book Antiqua"/>
        </w:rPr>
        <w:t>: 3841 [PMID: 36882440 DOI: 10.1038/s41598-023-30817-3]</w:t>
      </w:r>
    </w:p>
    <w:p w14:paraId="4C504CD6" w14:textId="77777777" w:rsidR="00556032" w:rsidRDefault="00000000">
      <w:pPr>
        <w:spacing w:line="360" w:lineRule="auto"/>
        <w:jc w:val="both"/>
        <w:rPr>
          <w:rFonts w:ascii="Book Antiqua" w:hAnsi="Book Antiqua"/>
        </w:rPr>
      </w:pPr>
      <w:r>
        <w:rPr>
          <w:rFonts w:ascii="Book Antiqua" w:hAnsi="Book Antiqua"/>
        </w:rPr>
        <w:t xml:space="preserve">9 </w:t>
      </w:r>
      <w:r>
        <w:rPr>
          <w:rFonts w:ascii="Book Antiqua" w:hAnsi="Book Antiqua"/>
          <w:b/>
          <w:bCs/>
        </w:rPr>
        <w:t>Jiang Y</w:t>
      </w:r>
      <w:r>
        <w:rPr>
          <w:rFonts w:ascii="Book Antiqua" w:hAnsi="Book Antiqua"/>
        </w:rPr>
        <w:t xml:space="preserve">, Zhang P, Zhang X, Lv L, Zhou Y. Advances in mesenchymal stem cell transplantation for the treatment of osteoporosis. </w:t>
      </w:r>
      <w:r>
        <w:rPr>
          <w:rFonts w:ascii="Book Antiqua" w:hAnsi="Book Antiqua"/>
          <w:i/>
          <w:iCs/>
        </w:rPr>
        <w:t>Cell Prolif</w:t>
      </w:r>
      <w:r>
        <w:rPr>
          <w:rFonts w:ascii="Book Antiqua" w:hAnsi="Book Antiqua"/>
        </w:rPr>
        <w:t xml:space="preserve"> 2021; </w:t>
      </w:r>
      <w:r>
        <w:rPr>
          <w:rFonts w:ascii="Book Antiqua" w:hAnsi="Book Antiqua"/>
          <w:b/>
          <w:bCs/>
        </w:rPr>
        <w:t>54</w:t>
      </w:r>
      <w:r>
        <w:rPr>
          <w:rFonts w:ascii="Book Antiqua" w:hAnsi="Book Antiqua"/>
        </w:rPr>
        <w:t>: e12956 [PMID: 33210341 DOI: 10.1111/cpr.12956]</w:t>
      </w:r>
    </w:p>
    <w:p w14:paraId="3FA08F39" w14:textId="77777777" w:rsidR="00556032" w:rsidRDefault="00000000">
      <w:pPr>
        <w:spacing w:line="360" w:lineRule="auto"/>
        <w:jc w:val="both"/>
        <w:rPr>
          <w:rFonts w:ascii="Book Antiqua" w:hAnsi="Book Antiqua"/>
        </w:rPr>
      </w:pPr>
      <w:r>
        <w:rPr>
          <w:rFonts w:ascii="Book Antiqua" w:hAnsi="Book Antiqua"/>
        </w:rPr>
        <w:t xml:space="preserve">10 </w:t>
      </w:r>
      <w:r>
        <w:rPr>
          <w:rFonts w:ascii="Book Antiqua" w:hAnsi="Book Antiqua"/>
          <w:b/>
          <w:bCs/>
        </w:rPr>
        <w:t>Kirwin T</w:t>
      </w:r>
      <w:r>
        <w:rPr>
          <w:rFonts w:ascii="Book Antiqua" w:hAnsi="Book Antiqua"/>
        </w:rPr>
        <w:t xml:space="preserve">, Gomes A, Amin R, Sufi A, Goswami S, Wang B. Mechanisms underlying the therapeutic potential of mesenchymal stem cells in atherosclerosis. </w:t>
      </w:r>
      <w:r>
        <w:rPr>
          <w:rFonts w:ascii="Book Antiqua" w:hAnsi="Book Antiqua"/>
          <w:i/>
          <w:iCs/>
        </w:rPr>
        <w:t>Regen Med</w:t>
      </w:r>
      <w:r>
        <w:rPr>
          <w:rFonts w:ascii="Book Antiqua" w:hAnsi="Book Antiqua"/>
        </w:rPr>
        <w:t xml:space="preserve"> 2021; </w:t>
      </w:r>
      <w:r>
        <w:rPr>
          <w:rFonts w:ascii="Book Antiqua" w:hAnsi="Book Antiqua"/>
          <w:b/>
          <w:bCs/>
        </w:rPr>
        <w:t>16</w:t>
      </w:r>
      <w:r>
        <w:rPr>
          <w:rFonts w:ascii="Book Antiqua" w:hAnsi="Book Antiqua"/>
        </w:rPr>
        <w:t>: 669-682 [PMID: 34189963 DOI: 10.2217/rme-2021-0024]</w:t>
      </w:r>
    </w:p>
    <w:p w14:paraId="0DA3639D" w14:textId="77777777" w:rsidR="00556032" w:rsidRDefault="00000000">
      <w:pPr>
        <w:spacing w:line="360" w:lineRule="auto"/>
        <w:jc w:val="both"/>
        <w:rPr>
          <w:rFonts w:ascii="Book Antiqua" w:hAnsi="Book Antiqua"/>
        </w:rPr>
      </w:pPr>
      <w:r>
        <w:rPr>
          <w:rFonts w:ascii="Book Antiqua" w:hAnsi="Book Antiqua"/>
        </w:rPr>
        <w:t xml:space="preserve">11 </w:t>
      </w:r>
      <w:r>
        <w:rPr>
          <w:rFonts w:ascii="Book Antiqua" w:hAnsi="Book Antiqua"/>
          <w:b/>
          <w:bCs/>
        </w:rPr>
        <w:t>Liang J</w:t>
      </w:r>
      <w:r>
        <w:rPr>
          <w:rFonts w:ascii="Book Antiqua" w:hAnsi="Book Antiqua"/>
        </w:rPr>
        <w:t xml:space="preserve">, Zhang H, Kong W, Deng W, Wang D, Feng X, Zhao C, Hua B, Wang H, Sun L. Safety analysis in patients with autoimmune disease receiving allogeneic mesenchymal stem cells infusion: a long-term retrospective study. </w:t>
      </w:r>
      <w:r>
        <w:rPr>
          <w:rFonts w:ascii="Book Antiqua" w:hAnsi="Book Antiqua"/>
          <w:i/>
          <w:iCs/>
        </w:rPr>
        <w:t>Stem Cell Res Ther</w:t>
      </w:r>
      <w:r>
        <w:rPr>
          <w:rFonts w:ascii="Book Antiqua" w:hAnsi="Book Antiqua"/>
        </w:rPr>
        <w:t xml:space="preserve"> 2018; </w:t>
      </w:r>
      <w:r>
        <w:rPr>
          <w:rFonts w:ascii="Book Antiqua" w:hAnsi="Book Antiqua"/>
          <w:b/>
          <w:bCs/>
        </w:rPr>
        <w:t>9</w:t>
      </w:r>
      <w:r>
        <w:rPr>
          <w:rFonts w:ascii="Book Antiqua" w:hAnsi="Book Antiqua"/>
        </w:rPr>
        <w:t>: 312 [PMID: 30428931 DOI: 10.1186/s13287-018-1053-4]</w:t>
      </w:r>
    </w:p>
    <w:p w14:paraId="503132B6" w14:textId="77777777" w:rsidR="00556032" w:rsidRDefault="00000000">
      <w:pPr>
        <w:spacing w:line="360" w:lineRule="auto"/>
        <w:jc w:val="both"/>
        <w:rPr>
          <w:rFonts w:ascii="Book Antiqua" w:hAnsi="Book Antiqua"/>
        </w:rPr>
      </w:pPr>
      <w:r>
        <w:rPr>
          <w:rFonts w:ascii="Book Antiqua" w:hAnsi="Book Antiqua"/>
        </w:rPr>
        <w:t xml:space="preserve">12 </w:t>
      </w:r>
      <w:r>
        <w:rPr>
          <w:rFonts w:ascii="Book Antiqua" w:hAnsi="Book Antiqua"/>
          <w:b/>
          <w:bCs/>
        </w:rPr>
        <w:t>Munir H</w:t>
      </w:r>
      <w:r>
        <w:rPr>
          <w:rFonts w:ascii="Book Antiqua" w:hAnsi="Book Antiqua"/>
        </w:rPr>
        <w:t xml:space="preserve">, McGettrick HM. Mesenchymal Stem Cell Therapy for Autoimmune Disease: Risks and Rewards. </w:t>
      </w:r>
      <w:r>
        <w:rPr>
          <w:rFonts w:ascii="Book Antiqua" w:hAnsi="Book Antiqua"/>
          <w:i/>
          <w:iCs/>
        </w:rPr>
        <w:t>Stem Cells Dev</w:t>
      </w:r>
      <w:r>
        <w:rPr>
          <w:rFonts w:ascii="Book Antiqua" w:hAnsi="Book Antiqua"/>
        </w:rPr>
        <w:t xml:space="preserve"> 2015; </w:t>
      </w:r>
      <w:r>
        <w:rPr>
          <w:rFonts w:ascii="Book Antiqua" w:hAnsi="Book Antiqua"/>
          <w:b/>
          <w:bCs/>
        </w:rPr>
        <w:t>24</w:t>
      </w:r>
      <w:r>
        <w:rPr>
          <w:rFonts w:ascii="Book Antiqua" w:hAnsi="Book Antiqua"/>
        </w:rPr>
        <w:t>: 2091-2100 [PMID: 26068030 DOI: 10.1089/scd.2015.0008]</w:t>
      </w:r>
    </w:p>
    <w:p w14:paraId="0A733E32" w14:textId="77777777" w:rsidR="00556032" w:rsidRDefault="00000000">
      <w:pPr>
        <w:spacing w:line="360" w:lineRule="auto"/>
        <w:jc w:val="both"/>
        <w:rPr>
          <w:rFonts w:ascii="Book Antiqua" w:hAnsi="Book Antiqua"/>
        </w:rPr>
      </w:pPr>
      <w:r>
        <w:rPr>
          <w:rFonts w:ascii="Book Antiqua" w:hAnsi="Book Antiqua"/>
        </w:rPr>
        <w:lastRenderedPageBreak/>
        <w:t xml:space="preserve">13 </w:t>
      </w:r>
      <w:r>
        <w:rPr>
          <w:rFonts w:ascii="Book Antiqua" w:hAnsi="Book Antiqua"/>
          <w:b/>
          <w:bCs/>
        </w:rPr>
        <w:t>Dunavin N</w:t>
      </w:r>
      <w:r>
        <w:rPr>
          <w:rFonts w:ascii="Book Antiqua" w:hAnsi="Book Antiqua"/>
        </w:rPr>
        <w:t xml:space="preserve">, Dias A, Li M, McGuirk J. Mesenchymal Stromal Cells: What Is the Mechanism in Acute Graft-Versus-Host Disease? </w:t>
      </w:r>
      <w:r>
        <w:rPr>
          <w:rFonts w:ascii="Book Antiqua" w:hAnsi="Book Antiqua"/>
          <w:i/>
          <w:iCs/>
        </w:rPr>
        <w:t>Biomedicines</w:t>
      </w:r>
      <w:r>
        <w:rPr>
          <w:rFonts w:ascii="Book Antiqua" w:hAnsi="Book Antiqua"/>
        </w:rPr>
        <w:t xml:space="preserve"> 2017; </w:t>
      </w:r>
      <w:r>
        <w:rPr>
          <w:rFonts w:ascii="Book Antiqua" w:hAnsi="Book Antiqua"/>
          <w:b/>
          <w:bCs/>
        </w:rPr>
        <w:t>5</w:t>
      </w:r>
      <w:r>
        <w:rPr>
          <w:rFonts w:ascii="Book Antiqua" w:hAnsi="Book Antiqua"/>
        </w:rPr>
        <w:t xml:space="preserve"> [PMID: 28671556 DOI: 10.3390/biomedicines5030039]</w:t>
      </w:r>
    </w:p>
    <w:p w14:paraId="0225C1FC" w14:textId="77777777" w:rsidR="00556032" w:rsidRDefault="00000000">
      <w:pPr>
        <w:spacing w:line="360" w:lineRule="auto"/>
        <w:jc w:val="both"/>
        <w:rPr>
          <w:rFonts w:ascii="Book Antiqua" w:hAnsi="Book Antiqua"/>
        </w:rPr>
      </w:pPr>
      <w:r>
        <w:rPr>
          <w:rFonts w:ascii="Book Antiqua" w:hAnsi="Book Antiqua"/>
        </w:rPr>
        <w:t xml:space="preserve">14 </w:t>
      </w:r>
      <w:r>
        <w:rPr>
          <w:rFonts w:ascii="Book Antiqua" w:hAnsi="Book Antiqua"/>
          <w:b/>
          <w:bCs/>
        </w:rPr>
        <w:t>White IA</w:t>
      </w:r>
      <w:r>
        <w:rPr>
          <w:rFonts w:ascii="Book Antiqua" w:hAnsi="Book Antiqua"/>
        </w:rPr>
        <w:t xml:space="preserve">, Sanina C, Balkan W, Hare JM. Mesenchymal Stem Cells in Cardiology. </w:t>
      </w:r>
      <w:r>
        <w:rPr>
          <w:rFonts w:ascii="Book Antiqua" w:hAnsi="Book Antiqua"/>
          <w:i/>
          <w:iCs/>
        </w:rPr>
        <w:t>Methods Mol Biol</w:t>
      </w:r>
      <w:r>
        <w:rPr>
          <w:rFonts w:ascii="Book Antiqua" w:hAnsi="Book Antiqua"/>
        </w:rPr>
        <w:t xml:space="preserve"> 2016; </w:t>
      </w:r>
      <w:r>
        <w:rPr>
          <w:rFonts w:ascii="Book Antiqua" w:hAnsi="Book Antiqua"/>
          <w:b/>
          <w:bCs/>
        </w:rPr>
        <w:t>1416</w:t>
      </w:r>
      <w:r>
        <w:rPr>
          <w:rFonts w:ascii="Book Antiqua" w:hAnsi="Book Antiqua"/>
        </w:rPr>
        <w:t>: 55-87 [PMID: 27236666 DOI: 10.1007/978-1-4939-3584-0_4]</w:t>
      </w:r>
    </w:p>
    <w:p w14:paraId="7D8F8E66" w14:textId="77777777" w:rsidR="00556032" w:rsidRDefault="00000000">
      <w:pPr>
        <w:spacing w:line="360" w:lineRule="auto"/>
        <w:jc w:val="both"/>
        <w:rPr>
          <w:rFonts w:ascii="Book Antiqua" w:hAnsi="Book Antiqua"/>
        </w:rPr>
      </w:pPr>
      <w:r>
        <w:rPr>
          <w:rFonts w:ascii="Book Antiqua" w:hAnsi="Book Antiqua"/>
        </w:rPr>
        <w:t xml:space="preserve">15 </w:t>
      </w:r>
      <w:r>
        <w:rPr>
          <w:rFonts w:ascii="Book Antiqua" w:hAnsi="Book Antiqua"/>
          <w:b/>
          <w:bCs/>
        </w:rPr>
        <w:t>Brychtova M</w:t>
      </w:r>
      <w:r>
        <w:rPr>
          <w:rFonts w:ascii="Book Antiqua" w:hAnsi="Book Antiqua"/>
        </w:rPr>
        <w:t xml:space="preserve">, Thiele JA, Lysak D, Holubova M, Kralickova M, Vistejnova L. Mesenchymal stem cells as the near future of cardiology medicine - truth or wish? </w:t>
      </w:r>
      <w:r>
        <w:rPr>
          <w:rFonts w:ascii="Book Antiqua" w:hAnsi="Book Antiqua"/>
          <w:i/>
          <w:iCs/>
        </w:rPr>
        <w:t>Biomed Pap Med Fac Univ Palacky Olomouc Czech Repub</w:t>
      </w:r>
      <w:r>
        <w:rPr>
          <w:rFonts w:ascii="Book Antiqua" w:hAnsi="Book Antiqua"/>
        </w:rPr>
        <w:t xml:space="preserve"> 2019; </w:t>
      </w:r>
      <w:r>
        <w:rPr>
          <w:rFonts w:ascii="Book Antiqua" w:hAnsi="Book Antiqua"/>
          <w:b/>
          <w:bCs/>
        </w:rPr>
        <w:t>163</w:t>
      </w:r>
      <w:r>
        <w:rPr>
          <w:rFonts w:ascii="Book Antiqua" w:hAnsi="Book Antiqua"/>
        </w:rPr>
        <w:t>: 8-18 [PMID: 30439932 DOI: 10.5507/bp.2018.071]</w:t>
      </w:r>
    </w:p>
    <w:p w14:paraId="0756E58F" w14:textId="77777777" w:rsidR="00556032" w:rsidRDefault="00000000">
      <w:pPr>
        <w:spacing w:line="360" w:lineRule="auto"/>
        <w:jc w:val="both"/>
        <w:rPr>
          <w:rFonts w:ascii="Book Antiqua" w:hAnsi="Book Antiqua"/>
        </w:rPr>
      </w:pPr>
      <w:r>
        <w:rPr>
          <w:rFonts w:ascii="Book Antiqua" w:hAnsi="Book Antiqua"/>
        </w:rPr>
        <w:t xml:space="preserve">16 </w:t>
      </w:r>
      <w:r>
        <w:rPr>
          <w:rFonts w:ascii="Book Antiqua" w:hAnsi="Book Antiqua"/>
          <w:b/>
          <w:bCs/>
        </w:rPr>
        <w:t>Wang YH</w:t>
      </w:r>
      <w:r>
        <w:rPr>
          <w:rFonts w:ascii="Book Antiqua" w:hAnsi="Book Antiqua"/>
        </w:rPr>
        <w:t xml:space="preserve">, Wu DB, Chen B, Chen EQ, Tang H. Progress in mesenchymal stem cell-based therapy for acute liver failure. </w:t>
      </w:r>
      <w:r>
        <w:rPr>
          <w:rFonts w:ascii="Book Antiqua" w:hAnsi="Book Antiqua"/>
          <w:i/>
          <w:iCs/>
        </w:rPr>
        <w:t>Stem Cell Res Ther</w:t>
      </w:r>
      <w:r>
        <w:rPr>
          <w:rFonts w:ascii="Book Antiqua" w:hAnsi="Book Antiqua"/>
        </w:rPr>
        <w:t xml:space="preserve"> 2018; </w:t>
      </w:r>
      <w:r>
        <w:rPr>
          <w:rFonts w:ascii="Book Antiqua" w:hAnsi="Book Antiqua"/>
          <w:b/>
          <w:bCs/>
        </w:rPr>
        <w:t>9</w:t>
      </w:r>
      <w:r>
        <w:rPr>
          <w:rFonts w:ascii="Book Antiqua" w:hAnsi="Book Antiqua"/>
        </w:rPr>
        <w:t>: 227 [PMID: 30143052 DOI: 10.1186/s13287-018-0972-4]</w:t>
      </w:r>
    </w:p>
    <w:p w14:paraId="2BB144CA" w14:textId="77777777" w:rsidR="00556032" w:rsidRDefault="00000000">
      <w:pPr>
        <w:spacing w:line="360" w:lineRule="auto"/>
        <w:jc w:val="both"/>
        <w:rPr>
          <w:rFonts w:ascii="Book Antiqua" w:hAnsi="Book Antiqua"/>
        </w:rPr>
      </w:pPr>
      <w:r>
        <w:rPr>
          <w:rFonts w:ascii="Book Antiqua" w:hAnsi="Book Antiqua"/>
        </w:rPr>
        <w:t xml:space="preserve">17 </w:t>
      </w:r>
      <w:r>
        <w:rPr>
          <w:rFonts w:ascii="Book Antiqua" w:hAnsi="Book Antiqua"/>
          <w:b/>
          <w:bCs/>
        </w:rPr>
        <w:t>Zhang Y</w:t>
      </w:r>
      <w:r>
        <w:rPr>
          <w:rFonts w:ascii="Book Antiqua" w:hAnsi="Book Antiqua"/>
        </w:rPr>
        <w:t xml:space="preserve">, Li Y, Zhang L, Li J, Zhu C. Mesenchymal stem cells: potential application for the treatment of hepatic cirrhosis. </w:t>
      </w:r>
      <w:r>
        <w:rPr>
          <w:rFonts w:ascii="Book Antiqua" w:hAnsi="Book Antiqua"/>
          <w:i/>
          <w:iCs/>
        </w:rPr>
        <w:t>Stem Cell Res Ther</w:t>
      </w:r>
      <w:r>
        <w:rPr>
          <w:rFonts w:ascii="Book Antiqua" w:hAnsi="Book Antiqua"/>
        </w:rPr>
        <w:t xml:space="preserve"> 2018; </w:t>
      </w:r>
      <w:r>
        <w:rPr>
          <w:rFonts w:ascii="Book Antiqua" w:hAnsi="Book Antiqua"/>
          <w:b/>
          <w:bCs/>
        </w:rPr>
        <w:t>9</w:t>
      </w:r>
      <w:r>
        <w:rPr>
          <w:rFonts w:ascii="Book Antiqua" w:hAnsi="Book Antiqua"/>
        </w:rPr>
        <w:t>: 59 [PMID: 29523186 DOI: 10.1186/s13287-018-0814-4]</w:t>
      </w:r>
    </w:p>
    <w:p w14:paraId="4AA8C8CE" w14:textId="77777777" w:rsidR="00556032" w:rsidRDefault="00000000">
      <w:pPr>
        <w:spacing w:line="360" w:lineRule="auto"/>
        <w:jc w:val="both"/>
        <w:rPr>
          <w:rFonts w:ascii="Book Antiqua" w:hAnsi="Book Antiqua"/>
        </w:rPr>
      </w:pPr>
      <w:r>
        <w:rPr>
          <w:rFonts w:ascii="Book Antiqua" w:hAnsi="Book Antiqua"/>
        </w:rPr>
        <w:t xml:space="preserve">18 </w:t>
      </w:r>
      <w:r>
        <w:rPr>
          <w:rFonts w:ascii="Book Antiqua" w:hAnsi="Book Antiqua"/>
          <w:b/>
          <w:bCs/>
        </w:rPr>
        <w:t>Liang J</w:t>
      </w:r>
      <w:r>
        <w:rPr>
          <w:rFonts w:ascii="Book Antiqua" w:hAnsi="Book Antiqua"/>
        </w:rPr>
        <w:t xml:space="preserve">, Zhang H, Hua B, Wang H, Lu L, Shi S, Hou Y, Zeng X, Gilkeson GS, Sun L. Allogenic mesenchymal stem cells transplantation in refractory systemic lupus erythematosus: a pilot clinical study. </w:t>
      </w:r>
      <w:r>
        <w:rPr>
          <w:rFonts w:ascii="Book Antiqua" w:hAnsi="Book Antiqua"/>
          <w:i/>
          <w:iCs/>
        </w:rPr>
        <w:t>Ann Rheum Dis</w:t>
      </w:r>
      <w:r>
        <w:rPr>
          <w:rFonts w:ascii="Book Antiqua" w:hAnsi="Book Antiqua"/>
        </w:rPr>
        <w:t xml:space="preserve"> 2010; </w:t>
      </w:r>
      <w:r>
        <w:rPr>
          <w:rFonts w:ascii="Book Antiqua" w:hAnsi="Book Antiqua"/>
          <w:b/>
          <w:bCs/>
        </w:rPr>
        <w:t>69</w:t>
      </w:r>
      <w:r>
        <w:rPr>
          <w:rFonts w:ascii="Book Antiqua" w:hAnsi="Book Antiqua"/>
        </w:rPr>
        <w:t>: 1423-1429 [PMID: 20650877 DOI: 10.1136/ard.2009.123463]</w:t>
      </w:r>
    </w:p>
    <w:p w14:paraId="482C755B" w14:textId="77777777" w:rsidR="00556032" w:rsidRDefault="00000000">
      <w:pPr>
        <w:spacing w:line="360" w:lineRule="auto"/>
        <w:jc w:val="both"/>
        <w:rPr>
          <w:rFonts w:ascii="Book Antiqua" w:hAnsi="Book Antiqua"/>
        </w:rPr>
      </w:pPr>
      <w:r>
        <w:rPr>
          <w:rFonts w:ascii="Book Antiqua" w:hAnsi="Book Antiqua"/>
        </w:rPr>
        <w:t xml:space="preserve">19 </w:t>
      </w:r>
      <w:r>
        <w:rPr>
          <w:rFonts w:ascii="Book Antiqua" w:hAnsi="Book Antiqua"/>
          <w:b/>
          <w:bCs/>
        </w:rPr>
        <w:t>Volkman R</w:t>
      </w:r>
      <w:r>
        <w:rPr>
          <w:rFonts w:ascii="Book Antiqua" w:hAnsi="Book Antiqua"/>
        </w:rPr>
        <w:t xml:space="preserve">, Offen D. Concise Review: Mesenchymal Stem Cells in Neurodegenerative Diseases. </w:t>
      </w:r>
      <w:r>
        <w:rPr>
          <w:rFonts w:ascii="Book Antiqua" w:hAnsi="Book Antiqua"/>
          <w:i/>
          <w:iCs/>
        </w:rPr>
        <w:t>Stem Cells</w:t>
      </w:r>
      <w:r>
        <w:rPr>
          <w:rFonts w:ascii="Book Antiqua" w:hAnsi="Book Antiqua"/>
        </w:rPr>
        <w:t xml:space="preserve"> 2017; </w:t>
      </w:r>
      <w:r>
        <w:rPr>
          <w:rFonts w:ascii="Book Antiqua" w:hAnsi="Book Antiqua"/>
          <w:b/>
          <w:bCs/>
        </w:rPr>
        <w:t>35</w:t>
      </w:r>
      <w:r>
        <w:rPr>
          <w:rFonts w:ascii="Book Antiqua" w:hAnsi="Book Antiqua"/>
        </w:rPr>
        <w:t>: 1867-1880 [PMID: 28589621 DOI: 10.1002/stem.2651]</w:t>
      </w:r>
    </w:p>
    <w:p w14:paraId="6C9EFAD3" w14:textId="77777777" w:rsidR="00556032" w:rsidRDefault="00000000">
      <w:pPr>
        <w:spacing w:line="360" w:lineRule="auto"/>
        <w:jc w:val="both"/>
        <w:rPr>
          <w:rFonts w:ascii="Book Antiqua" w:hAnsi="Book Antiqua"/>
        </w:rPr>
      </w:pPr>
      <w:r>
        <w:rPr>
          <w:rFonts w:ascii="Book Antiqua" w:hAnsi="Book Antiqua"/>
        </w:rPr>
        <w:t xml:space="preserve">20 </w:t>
      </w:r>
      <w:r>
        <w:rPr>
          <w:rFonts w:ascii="Book Antiqua" w:hAnsi="Book Antiqua"/>
          <w:b/>
          <w:bCs/>
        </w:rPr>
        <w:t>Lo Furno D</w:t>
      </w:r>
      <w:r>
        <w:rPr>
          <w:rFonts w:ascii="Book Antiqua" w:hAnsi="Book Antiqua"/>
        </w:rPr>
        <w:t xml:space="preserve">, Mannino G, Giuffrida R. Functional role of mesenchymal stem cells in the treatment of chronic neurodegenerative diseases. </w:t>
      </w:r>
      <w:r>
        <w:rPr>
          <w:rFonts w:ascii="Book Antiqua" w:hAnsi="Book Antiqua"/>
          <w:i/>
          <w:iCs/>
        </w:rPr>
        <w:t>J Cell Physiol</w:t>
      </w:r>
      <w:r>
        <w:rPr>
          <w:rFonts w:ascii="Book Antiqua" w:hAnsi="Book Antiqua"/>
        </w:rPr>
        <w:t xml:space="preserve"> 2018; </w:t>
      </w:r>
      <w:r>
        <w:rPr>
          <w:rFonts w:ascii="Book Antiqua" w:hAnsi="Book Antiqua"/>
          <w:b/>
          <w:bCs/>
        </w:rPr>
        <w:t>233</w:t>
      </w:r>
      <w:r>
        <w:rPr>
          <w:rFonts w:ascii="Book Antiqua" w:hAnsi="Book Antiqua"/>
        </w:rPr>
        <w:t>: 3982-3999 [PMID: 28926091 DOI: 10.1002/jcp.26192]</w:t>
      </w:r>
    </w:p>
    <w:p w14:paraId="2A095788" w14:textId="77777777" w:rsidR="00556032" w:rsidRDefault="00000000">
      <w:pPr>
        <w:spacing w:line="360" w:lineRule="auto"/>
        <w:jc w:val="both"/>
        <w:rPr>
          <w:rFonts w:ascii="Book Antiqua" w:hAnsi="Book Antiqua"/>
        </w:rPr>
      </w:pPr>
      <w:r>
        <w:rPr>
          <w:rFonts w:ascii="Book Antiqua" w:hAnsi="Book Antiqua"/>
        </w:rPr>
        <w:t xml:space="preserve">21 </w:t>
      </w:r>
      <w:r>
        <w:rPr>
          <w:rFonts w:ascii="Book Antiqua" w:hAnsi="Book Antiqua"/>
          <w:b/>
          <w:bCs/>
        </w:rPr>
        <w:t>Fan XL</w:t>
      </w:r>
      <w:r>
        <w:rPr>
          <w:rFonts w:ascii="Book Antiqua" w:hAnsi="Book Antiqua"/>
        </w:rPr>
        <w:t xml:space="preserve">, Zhang Y, Li X, Fu QL. Mechanisms underlying the protective effects of mesenchymal stem cell-based therapy. </w:t>
      </w:r>
      <w:r>
        <w:rPr>
          <w:rFonts w:ascii="Book Antiqua" w:hAnsi="Book Antiqua"/>
          <w:i/>
          <w:iCs/>
        </w:rPr>
        <w:t>Cell Mol Life Sci</w:t>
      </w:r>
      <w:r>
        <w:rPr>
          <w:rFonts w:ascii="Book Antiqua" w:hAnsi="Book Antiqua"/>
        </w:rPr>
        <w:t xml:space="preserve"> 2020; </w:t>
      </w:r>
      <w:r>
        <w:rPr>
          <w:rFonts w:ascii="Book Antiqua" w:hAnsi="Book Antiqua"/>
          <w:b/>
          <w:bCs/>
        </w:rPr>
        <w:t>77</w:t>
      </w:r>
      <w:r>
        <w:rPr>
          <w:rFonts w:ascii="Book Antiqua" w:hAnsi="Book Antiqua"/>
        </w:rPr>
        <w:t>: 2771-2794 [PMID: 31965214 DOI: 10.1007/s00018-020-03454-6]</w:t>
      </w:r>
    </w:p>
    <w:p w14:paraId="436FBF05" w14:textId="77777777" w:rsidR="00556032" w:rsidRDefault="00000000">
      <w:pPr>
        <w:spacing w:line="360" w:lineRule="auto"/>
        <w:jc w:val="both"/>
        <w:rPr>
          <w:rFonts w:ascii="Book Antiqua" w:hAnsi="Book Antiqua"/>
        </w:rPr>
      </w:pPr>
      <w:r>
        <w:rPr>
          <w:rFonts w:ascii="Book Antiqua" w:hAnsi="Book Antiqua"/>
        </w:rPr>
        <w:t xml:space="preserve">22 </w:t>
      </w:r>
      <w:r>
        <w:rPr>
          <w:rFonts w:ascii="Book Antiqua" w:hAnsi="Book Antiqua"/>
          <w:b/>
          <w:bCs/>
        </w:rPr>
        <w:t>Spaggiari GM</w:t>
      </w:r>
      <w:r>
        <w:rPr>
          <w:rFonts w:ascii="Book Antiqua" w:hAnsi="Book Antiqua"/>
        </w:rPr>
        <w:t xml:space="preserve">, Capobianco A, Abdelrazik H, Becchetti F, Mingari MC, Moretta L. Mesenchymal stem cells inhibit natural killer-cell proliferation, cytotoxicity, and cytokine </w:t>
      </w:r>
      <w:r>
        <w:rPr>
          <w:rFonts w:ascii="Book Antiqua" w:hAnsi="Book Antiqua"/>
        </w:rPr>
        <w:lastRenderedPageBreak/>
        <w:t xml:space="preserve">production: role of indoleamine 2,3-dioxygenase and prostaglandin E2. </w:t>
      </w:r>
      <w:r>
        <w:rPr>
          <w:rFonts w:ascii="Book Antiqua" w:hAnsi="Book Antiqua"/>
          <w:i/>
          <w:iCs/>
        </w:rPr>
        <w:t>Blood</w:t>
      </w:r>
      <w:r>
        <w:rPr>
          <w:rFonts w:ascii="Book Antiqua" w:hAnsi="Book Antiqua"/>
        </w:rPr>
        <w:t xml:space="preserve"> 2008; </w:t>
      </w:r>
      <w:r>
        <w:rPr>
          <w:rFonts w:ascii="Book Antiqua" w:hAnsi="Book Antiqua"/>
          <w:b/>
          <w:bCs/>
        </w:rPr>
        <w:t>111</w:t>
      </w:r>
      <w:r>
        <w:rPr>
          <w:rFonts w:ascii="Book Antiqua" w:hAnsi="Book Antiqua"/>
        </w:rPr>
        <w:t>: 1327-1333 [PMID: 17951526 DOI: 10.1182/blood-2007-02-074997]</w:t>
      </w:r>
    </w:p>
    <w:p w14:paraId="30FFE8A7" w14:textId="77777777" w:rsidR="00556032" w:rsidRDefault="00000000">
      <w:pPr>
        <w:spacing w:line="360" w:lineRule="auto"/>
        <w:jc w:val="both"/>
        <w:rPr>
          <w:rFonts w:ascii="Book Antiqua" w:hAnsi="Book Antiqua"/>
        </w:rPr>
      </w:pPr>
      <w:r>
        <w:rPr>
          <w:rFonts w:ascii="Book Antiqua" w:hAnsi="Book Antiqua"/>
        </w:rPr>
        <w:t xml:space="preserve">23 </w:t>
      </w:r>
      <w:r>
        <w:rPr>
          <w:rFonts w:ascii="Book Antiqua" w:hAnsi="Book Antiqua"/>
          <w:b/>
          <w:bCs/>
        </w:rPr>
        <w:t>Fan XL</w:t>
      </w:r>
      <w:r>
        <w:rPr>
          <w:rFonts w:ascii="Book Antiqua" w:hAnsi="Book Antiqua"/>
        </w:rPr>
        <w:t xml:space="preserve">, Zeng QX, Li X, Li CL, Xu ZB, Deng XQ, Shi J, Chen D, Zheng SG, Fu QL. Induced pluripotent stem cell-derived mesenchymal stem cells activate quiescent T cells and elevate regulatory T cell response via NF-κB in allergic rhinitis patients. </w:t>
      </w:r>
      <w:r>
        <w:rPr>
          <w:rFonts w:ascii="Book Antiqua" w:hAnsi="Book Antiqua"/>
          <w:i/>
          <w:iCs/>
        </w:rPr>
        <w:t>Stem Cell Res Ther</w:t>
      </w:r>
      <w:r>
        <w:rPr>
          <w:rFonts w:ascii="Book Antiqua" w:hAnsi="Book Antiqua"/>
        </w:rPr>
        <w:t xml:space="preserve"> 2018; </w:t>
      </w:r>
      <w:r>
        <w:rPr>
          <w:rFonts w:ascii="Book Antiqua" w:hAnsi="Book Antiqua"/>
          <w:b/>
          <w:bCs/>
        </w:rPr>
        <w:t>9</w:t>
      </w:r>
      <w:r>
        <w:rPr>
          <w:rFonts w:ascii="Book Antiqua" w:hAnsi="Book Antiqua"/>
        </w:rPr>
        <w:t>: 170 [PMID: 29921316 DOI: 10.1186/s13287-018-0896-z]</w:t>
      </w:r>
    </w:p>
    <w:p w14:paraId="648D0D3B" w14:textId="77777777" w:rsidR="00556032" w:rsidRDefault="00000000">
      <w:pPr>
        <w:spacing w:line="360" w:lineRule="auto"/>
        <w:jc w:val="both"/>
        <w:rPr>
          <w:rFonts w:ascii="Book Antiqua" w:hAnsi="Book Antiqua"/>
        </w:rPr>
      </w:pPr>
      <w:r>
        <w:rPr>
          <w:rFonts w:ascii="Book Antiqua" w:hAnsi="Book Antiqua"/>
        </w:rPr>
        <w:t xml:space="preserve">24 </w:t>
      </w:r>
      <w:r>
        <w:rPr>
          <w:rFonts w:ascii="Book Antiqua" w:hAnsi="Book Antiqua"/>
          <w:b/>
          <w:bCs/>
        </w:rPr>
        <w:t>Selmani Z</w:t>
      </w:r>
      <w:r>
        <w:rPr>
          <w:rFonts w:ascii="Book Antiqua" w:hAnsi="Book Antiqua"/>
        </w:rPr>
        <w:t xml:space="preserve">, Naji A, Zidi I, Favier B, Gaiffe E, Obert L, Borg C, Saas P, Tiberghien P, Rouas-Freiss N, Carosella ED, Deschaseaux F. Human leukocyte antigen-G5 secretion by human mesenchymal stem cells is required to suppress T lymphocyte and natural killer function and to induce CD4+CD25highFOXP3+ regulatory T cells. </w:t>
      </w:r>
      <w:r>
        <w:rPr>
          <w:rFonts w:ascii="Book Antiqua" w:hAnsi="Book Antiqua"/>
          <w:i/>
          <w:iCs/>
        </w:rPr>
        <w:t>Stem Cells</w:t>
      </w:r>
      <w:r>
        <w:rPr>
          <w:rFonts w:ascii="Book Antiqua" w:hAnsi="Book Antiqua"/>
        </w:rPr>
        <w:t xml:space="preserve"> 2008; </w:t>
      </w:r>
      <w:r>
        <w:rPr>
          <w:rFonts w:ascii="Book Antiqua" w:hAnsi="Book Antiqua"/>
          <w:b/>
          <w:bCs/>
        </w:rPr>
        <w:t>26</w:t>
      </w:r>
      <w:r>
        <w:rPr>
          <w:rFonts w:ascii="Book Antiqua" w:hAnsi="Book Antiqua"/>
        </w:rPr>
        <w:t>: 212-222 [PMID: 17932417 DOI: 10.1634/stemcells.2007-0554]</w:t>
      </w:r>
    </w:p>
    <w:p w14:paraId="124183FA" w14:textId="77777777" w:rsidR="00556032" w:rsidRDefault="00000000">
      <w:pPr>
        <w:spacing w:line="360" w:lineRule="auto"/>
        <w:jc w:val="both"/>
        <w:rPr>
          <w:rFonts w:ascii="Book Antiqua" w:hAnsi="Book Antiqua"/>
        </w:rPr>
      </w:pPr>
      <w:r>
        <w:rPr>
          <w:rFonts w:ascii="Book Antiqua" w:hAnsi="Book Antiqua"/>
        </w:rPr>
        <w:t xml:space="preserve">25 </w:t>
      </w:r>
      <w:r>
        <w:rPr>
          <w:rFonts w:ascii="Book Antiqua" w:hAnsi="Book Antiqua"/>
          <w:b/>
          <w:bCs/>
        </w:rPr>
        <w:t>Augello A</w:t>
      </w:r>
      <w:r>
        <w:rPr>
          <w:rFonts w:ascii="Book Antiqua" w:hAnsi="Book Antiqua"/>
        </w:rPr>
        <w:t xml:space="preserve">, Tasso R, Negrini SM, Amateis A, Indiveri F, Cancedda R, Pennesi G. Bone marrow mesenchymal progenitor cells inhibit lymphocyte proliferation by activation of the programmed death 1 pathway. </w:t>
      </w:r>
      <w:r>
        <w:rPr>
          <w:rFonts w:ascii="Book Antiqua" w:hAnsi="Book Antiqua"/>
          <w:i/>
          <w:iCs/>
        </w:rPr>
        <w:t>Eur J Immunol</w:t>
      </w:r>
      <w:r>
        <w:rPr>
          <w:rFonts w:ascii="Book Antiqua" w:hAnsi="Book Antiqua"/>
        </w:rPr>
        <w:t xml:space="preserve"> 2005; </w:t>
      </w:r>
      <w:r>
        <w:rPr>
          <w:rFonts w:ascii="Book Antiqua" w:hAnsi="Book Antiqua"/>
          <w:b/>
          <w:bCs/>
        </w:rPr>
        <w:t>35</w:t>
      </w:r>
      <w:r>
        <w:rPr>
          <w:rFonts w:ascii="Book Antiqua" w:hAnsi="Book Antiqua"/>
        </w:rPr>
        <w:t>: 1482-1490 [PMID: 15827960 DOI: 10.1002/eji.200425405]</w:t>
      </w:r>
    </w:p>
    <w:p w14:paraId="7670C4BD" w14:textId="77777777" w:rsidR="00556032" w:rsidRDefault="00000000">
      <w:pPr>
        <w:spacing w:line="360" w:lineRule="auto"/>
        <w:jc w:val="both"/>
        <w:rPr>
          <w:rFonts w:ascii="Book Antiqua" w:hAnsi="Book Antiqua"/>
        </w:rPr>
      </w:pPr>
      <w:r>
        <w:rPr>
          <w:rFonts w:ascii="Book Antiqua" w:hAnsi="Book Antiqua"/>
        </w:rPr>
        <w:t xml:space="preserve">26 </w:t>
      </w:r>
      <w:r>
        <w:rPr>
          <w:rFonts w:ascii="Book Antiqua" w:hAnsi="Book Antiqua"/>
          <w:b/>
          <w:bCs/>
        </w:rPr>
        <w:t>Corcione A</w:t>
      </w:r>
      <w:r>
        <w:rPr>
          <w:rFonts w:ascii="Book Antiqua" w:hAnsi="Book Antiqua"/>
        </w:rPr>
        <w:t xml:space="preserve">, Benvenuto F, Ferretti E, Giunti D, Cappiello V, Cazzanti F, Risso M, Gualandi F, Mancardi GL, Pistoia V, Uccelli A. Human mesenchymal stem cells modulate B-cell functions. </w:t>
      </w:r>
      <w:r>
        <w:rPr>
          <w:rFonts w:ascii="Book Antiqua" w:hAnsi="Book Antiqua"/>
          <w:i/>
          <w:iCs/>
        </w:rPr>
        <w:t>Blood</w:t>
      </w:r>
      <w:r>
        <w:rPr>
          <w:rFonts w:ascii="Book Antiqua" w:hAnsi="Book Antiqua"/>
        </w:rPr>
        <w:t xml:space="preserve"> 2006; </w:t>
      </w:r>
      <w:r>
        <w:rPr>
          <w:rFonts w:ascii="Book Antiqua" w:hAnsi="Book Antiqua"/>
          <w:b/>
          <w:bCs/>
        </w:rPr>
        <w:t>107</w:t>
      </w:r>
      <w:r>
        <w:rPr>
          <w:rFonts w:ascii="Book Antiqua" w:hAnsi="Book Antiqua"/>
        </w:rPr>
        <w:t>: 367-372 [PMID: 16141348 DOI: 10.1182/blood-2005-07-2657]</w:t>
      </w:r>
    </w:p>
    <w:p w14:paraId="5F388C55" w14:textId="77777777" w:rsidR="00556032" w:rsidRDefault="00000000">
      <w:pPr>
        <w:spacing w:line="360" w:lineRule="auto"/>
        <w:jc w:val="both"/>
        <w:rPr>
          <w:rFonts w:ascii="Book Antiqua" w:hAnsi="Book Antiqua"/>
        </w:rPr>
      </w:pPr>
      <w:r>
        <w:rPr>
          <w:rFonts w:ascii="Book Antiqua" w:hAnsi="Book Antiqua"/>
        </w:rPr>
        <w:t xml:space="preserve">27 </w:t>
      </w:r>
      <w:r>
        <w:rPr>
          <w:rFonts w:ascii="Book Antiqua" w:hAnsi="Book Antiqua"/>
          <w:b/>
          <w:bCs/>
        </w:rPr>
        <w:t>MacLeod AS</w:t>
      </w:r>
      <w:r>
        <w:rPr>
          <w:rFonts w:ascii="Book Antiqua" w:hAnsi="Book Antiqua"/>
        </w:rPr>
        <w:t xml:space="preserve">, Mansbridge JN. The Innate Immune System in Acute and Chronic Wounds. </w:t>
      </w:r>
      <w:r>
        <w:rPr>
          <w:rFonts w:ascii="Book Antiqua" w:hAnsi="Book Antiqua"/>
          <w:i/>
          <w:iCs/>
        </w:rPr>
        <w:t>Adv Wound Care (New Rochelle)</w:t>
      </w:r>
      <w:r>
        <w:rPr>
          <w:rFonts w:ascii="Book Antiqua" w:hAnsi="Book Antiqua"/>
        </w:rPr>
        <w:t xml:space="preserve"> 2016; </w:t>
      </w:r>
      <w:r>
        <w:rPr>
          <w:rFonts w:ascii="Book Antiqua" w:hAnsi="Book Antiqua"/>
          <w:b/>
          <w:bCs/>
        </w:rPr>
        <w:t>5</w:t>
      </w:r>
      <w:r>
        <w:rPr>
          <w:rFonts w:ascii="Book Antiqua" w:hAnsi="Book Antiqua"/>
        </w:rPr>
        <w:t>: 65-78 [PMID: 26862464 DOI: 10.1089/wound.2014.0608]</w:t>
      </w:r>
    </w:p>
    <w:p w14:paraId="176C7485" w14:textId="77777777" w:rsidR="00556032" w:rsidRDefault="00000000">
      <w:pPr>
        <w:spacing w:line="360" w:lineRule="auto"/>
        <w:jc w:val="both"/>
        <w:rPr>
          <w:rFonts w:ascii="Book Antiqua" w:hAnsi="Book Antiqua"/>
        </w:rPr>
      </w:pPr>
      <w:r>
        <w:rPr>
          <w:rFonts w:ascii="Book Antiqua" w:hAnsi="Book Antiqua"/>
        </w:rPr>
        <w:t xml:space="preserve">28 </w:t>
      </w:r>
      <w:r>
        <w:rPr>
          <w:rFonts w:ascii="Book Antiqua" w:hAnsi="Book Antiqua"/>
          <w:b/>
          <w:bCs/>
        </w:rPr>
        <w:t>Hong WX</w:t>
      </w:r>
      <w:r>
        <w:rPr>
          <w:rFonts w:ascii="Book Antiqua" w:hAnsi="Book Antiqua"/>
        </w:rPr>
        <w:t xml:space="preserve">, Hu MS, Esquivel M, Liang GY, Rennert RC, McArdle A, Paik KJ, Duscher D, Gurtner GC, Lorenz HP, Longaker MT. The Role of Hypoxia-Inducible Factor in Wound Healing. </w:t>
      </w:r>
      <w:r>
        <w:rPr>
          <w:rFonts w:ascii="Book Antiqua" w:hAnsi="Book Antiqua"/>
          <w:i/>
          <w:iCs/>
        </w:rPr>
        <w:t>Adv Wound Care (New Rochelle)</w:t>
      </w:r>
      <w:r>
        <w:rPr>
          <w:rFonts w:ascii="Book Antiqua" w:hAnsi="Book Antiqua"/>
        </w:rPr>
        <w:t xml:space="preserve"> 2014; </w:t>
      </w:r>
      <w:r>
        <w:rPr>
          <w:rFonts w:ascii="Book Antiqua" w:hAnsi="Book Antiqua"/>
          <w:b/>
          <w:bCs/>
        </w:rPr>
        <w:t>3</w:t>
      </w:r>
      <w:r>
        <w:rPr>
          <w:rFonts w:ascii="Book Antiqua" w:hAnsi="Book Antiqua"/>
        </w:rPr>
        <w:t>: 390-399 [PMID: 24804159 DOI: 10.1089/wound.2013.0520]</w:t>
      </w:r>
    </w:p>
    <w:p w14:paraId="36BECB6A" w14:textId="77777777" w:rsidR="00556032" w:rsidRDefault="00000000">
      <w:pPr>
        <w:spacing w:line="360" w:lineRule="auto"/>
        <w:jc w:val="both"/>
        <w:rPr>
          <w:rFonts w:ascii="Book Antiqua" w:hAnsi="Book Antiqua"/>
        </w:rPr>
      </w:pPr>
      <w:r>
        <w:rPr>
          <w:rFonts w:ascii="Book Antiqua" w:hAnsi="Book Antiqua"/>
        </w:rPr>
        <w:t xml:space="preserve">29 </w:t>
      </w:r>
      <w:r>
        <w:rPr>
          <w:rFonts w:ascii="Book Antiqua" w:hAnsi="Book Antiqua"/>
          <w:b/>
          <w:bCs/>
        </w:rPr>
        <w:t>Hu C</w:t>
      </w:r>
      <w:r>
        <w:rPr>
          <w:rFonts w:ascii="Book Antiqua" w:hAnsi="Book Antiqua"/>
        </w:rPr>
        <w:t xml:space="preserve">, Li L. Preconditioning influences mesenchymal stem cell properties in vitro and in vivo. </w:t>
      </w:r>
      <w:r>
        <w:rPr>
          <w:rFonts w:ascii="Book Antiqua" w:hAnsi="Book Antiqua"/>
          <w:i/>
          <w:iCs/>
        </w:rPr>
        <w:t>J Cell Mol Med</w:t>
      </w:r>
      <w:r>
        <w:rPr>
          <w:rFonts w:ascii="Book Antiqua" w:hAnsi="Book Antiqua"/>
        </w:rPr>
        <w:t xml:space="preserve"> 2018; </w:t>
      </w:r>
      <w:r>
        <w:rPr>
          <w:rFonts w:ascii="Book Antiqua" w:hAnsi="Book Antiqua"/>
          <w:b/>
          <w:bCs/>
        </w:rPr>
        <w:t>22</w:t>
      </w:r>
      <w:r>
        <w:rPr>
          <w:rFonts w:ascii="Book Antiqua" w:hAnsi="Book Antiqua"/>
        </w:rPr>
        <w:t>: 1428-1442 [PMID: 29392844 DOI: 10.1111/jcmm.13492]</w:t>
      </w:r>
    </w:p>
    <w:p w14:paraId="508E64B8" w14:textId="77777777" w:rsidR="00556032" w:rsidRDefault="00000000">
      <w:pPr>
        <w:spacing w:line="360" w:lineRule="auto"/>
        <w:jc w:val="both"/>
        <w:rPr>
          <w:rFonts w:ascii="Book Antiqua" w:hAnsi="Book Antiqua"/>
        </w:rPr>
      </w:pPr>
      <w:r>
        <w:rPr>
          <w:rFonts w:ascii="Book Antiqua" w:hAnsi="Book Antiqua"/>
        </w:rPr>
        <w:lastRenderedPageBreak/>
        <w:t xml:space="preserve">30 </w:t>
      </w:r>
      <w:r>
        <w:rPr>
          <w:rFonts w:ascii="Book Antiqua" w:hAnsi="Book Antiqua"/>
          <w:b/>
          <w:bCs/>
        </w:rPr>
        <w:t>Harrell CR</w:t>
      </w:r>
      <w:r>
        <w:rPr>
          <w:rFonts w:ascii="Book Antiqua" w:hAnsi="Book Antiqua"/>
        </w:rPr>
        <w:t xml:space="preserve">, Fellabaum C, Jovicic N, Djonov V, Arsenijevic N, Volarevic V. Molecular Mechanisms Responsible for Therapeutic Potential of Mesenchymal Stem Cell-Derived Secretome. </w:t>
      </w:r>
      <w:r>
        <w:rPr>
          <w:rFonts w:ascii="Book Antiqua" w:hAnsi="Book Antiqua"/>
          <w:i/>
          <w:iCs/>
        </w:rPr>
        <w:t>Cells</w:t>
      </w:r>
      <w:r>
        <w:rPr>
          <w:rFonts w:ascii="Book Antiqua" w:hAnsi="Book Antiqua"/>
        </w:rPr>
        <w:t xml:space="preserve"> 2019; </w:t>
      </w:r>
      <w:r>
        <w:rPr>
          <w:rFonts w:ascii="Book Antiqua" w:hAnsi="Book Antiqua"/>
          <w:b/>
          <w:bCs/>
        </w:rPr>
        <w:t>8</w:t>
      </w:r>
      <w:r>
        <w:rPr>
          <w:rFonts w:ascii="Book Antiqua" w:hAnsi="Book Antiqua"/>
        </w:rPr>
        <w:t xml:space="preserve"> [PMID: 31100966 DOI: 10.3390/cells8050467]</w:t>
      </w:r>
    </w:p>
    <w:p w14:paraId="01BABE10" w14:textId="77777777" w:rsidR="00556032" w:rsidRDefault="00000000">
      <w:pPr>
        <w:spacing w:line="360" w:lineRule="auto"/>
        <w:jc w:val="both"/>
        <w:rPr>
          <w:rFonts w:ascii="Book Antiqua" w:hAnsi="Book Antiqua"/>
        </w:rPr>
      </w:pPr>
      <w:r>
        <w:rPr>
          <w:rFonts w:ascii="Book Antiqua" w:hAnsi="Book Antiqua"/>
        </w:rPr>
        <w:t xml:space="preserve">31 </w:t>
      </w:r>
      <w:r>
        <w:rPr>
          <w:rFonts w:ascii="Book Antiqua" w:hAnsi="Book Antiqua"/>
          <w:b/>
          <w:bCs/>
        </w:rPr>
        <w:t>Sarsenova M</w:t>
      </w:r>
      <w:r>
        <w:rPr>
          <w:rFonts w:ascii="Book Antiqua" w:hAnsi="Book Antiqua"/>
        </w:rPr>
        <w:t xml:space="preserve">, Kim Y, Raziyeva K, Kazybay B, Ogay V, Saparov A. Recent advances to enhance the immunomodulatory potential of mesenchymal stem cells. </w:t>
      </w:r>
      <w:r>
        <w:rPr>
          <w:rFonts w:ascii="Book Antiqua" w:hAnsi="Book Antiqua"/>
          <w:i/>
          <w:iCs/>
        </w:rPr>
        <w:t>Front Immunol</w:t>
      </w:r>
      <w:r>
        <w:rPr>
          <w:rFonts w:ascii="Book Antiqua" w:hAnsi="Book Antiqua"/>
        </w:rPr>
        <w:t xml:space="preserve"> 2022; </w:t>
      </w:r>
      <w:r>
        <w:rPr>
          <w:rFonts w:ascii="Book Antiqua" w:hAnsi="Book Antiqua"/>
          <w:b/>
          <w:bCs/>
        </w:rPr>
        <w:t>13</w:t>
      </w:r>
      <w:r>
        <w:rPr>
          <w:rFonts w:ascii="Book Antiqua" w:hAnsi="Book Antiqua"/>
        </w:rPr>
        <w:t>: 1010399 [PMID: 36211399 DOI: 10.3389/fimmu.2022.1010399]</w:t>
      </w:r>
    </w:p>
    <w:p w14:paraId="741A2FC5" w14:textId="77777777" w:rsidR="00556032" w:rsidRDefault="00000000">
      <w:pPr>
        <w:spacing w:line="360" w:lineRule="auto"/>
        <w:jc w:val="both"/>
        <w:rPr>
          <w:rFonts w:ascii="Book Antiqua" w:hAnsi="Book Antiqua"/>
        </w:rPr>
      </w:pPr>
      <w:r>
        <w:rPr>
          <w:rFonts w:ascii="Book Antiqua" w:hAnsi="Book Antiqua"/>
        </w:rPr>
        <w:t xml:space="preserve">32 </w:t>
      </w:r>
      <w:r>
        <w:rPr>
          <w:rFonts w:ascii="Book Antiqua" w:hAnsi="Book Antiqua"/>
          <w:b/>
          <w:bCs/>
        </w:rPr>
        <w:t>Shi Y</w:t>
      </w:r>
      <w:r>
        <w:rPr>
          <w:rFonts w:ascii="Book Antiqua" w:hAnsi="Book Antiqua"/>
        </w:rPr>
        <w:t xml:space="preserve">, Wang Y, Li Q, Liu K, Hou J, Shao C, Wang Y. Immunoregulatory mechanisms of mesenchymal stem and stromal cells in inflammatory diseases. </w:t>
      </w:r>
      <w:r>
        <w:rPr>
          <w:rFonts w:ascii="Book Antiqua" w:hAnsi="Book Antiqua"/>
          <w:i/>
          <w:iCs/>
        </w:rPr>
        <w:t>Nat Rev Nephrol</w:t>
      </w:r>
      <w:r>
        <w:rPr>
          <w:rFonts w:ascii="Book Antiqua" w:hAnsi="Book Antiqua"/>
        </w:rPr>
        <w:t xml:space="preserve"> 2018; </w:t>
      </w:r>
      <w:r>
        <w:rPr>
          <w:rFonts w:ascii="Book Antiqua" w:hAnsi="Book Antiqua"/>
          <w:b/>
          <w:bCs/>
        </w:rPr>
        <w:t>14</w:t>
      </w:r>
      <w:r>
        <w:rPr>
          <w:rFonts w:ascii="Book Antiqua" w:hAnsi="Book Antiqua"/>
        </w:rPr>
        <w:t>: 493-507 [PMID: 29895977 DOI: 10.1038/s41581-018-0023-5]</w:t>
      </w:r>
    </w:p>
    <w:p w14:paraId="2BA78F1B" w14:textId="77777777" w:rsidR="00556032" w:rsidRDefault="00000000">
      <w:pPr>
        <w:spacing w:line="360" w:lineRule="auto"/>
        <w:jc w:val="both"/>
        <w:rPr>
          <w:rFonts w:ascii="Book Antiqua" w:hAnsi="Book Antiqua"/>
        </w:rPr>
      </w:pPr>
      <w:r>
        <w:rPr>
          <w:rFonts w:ascii="Book Antiqua" w:hAnsi="Book Antiqua"/>
        </w:rPr>
        <w:t xml:space="preserve">33 </w:t>
      </w:r>
      <w:r>
        <w:rPr>
          <w:rFonts w:ascii="Book Antiqua" w:hAnsi="Book Antiqua"/>
          <w:b/>
          <w:bCs/>
        </w:rPr>
        <w:t>Su Y</w:t>
      </w:r>
      <w:r>
        <w:rPr>
          <w:rFonts w:ascii="Book Antiqua" w:hAnsi="Book Antiqua"/>
        </w:rPr>
        <w:t xml:space="preserve">, Xu C, Cheng W, Zhao Y, Sui L, Zhao Y. Pretreated Mesenchymal Stem Cells and Their Secretome: Enhanced Immunotherapeutic Strategies. </w:t>
      </w:r>
      <w:r>
        <w:rPr>
          <w:rFonts w:ascii="Book Antiqua" w:hAnsi="Book Antiqua"/>
          <w:i/>
          <w:iCs/>
        </w:rPr>
        <w:t>Int J Mol Sci</w:t>
      </w:r>
      <w:r>
        <w:rPr>
          <w:rFonts w:ascii="Book Antiqua" w:hAnsi="Book Antiqua"/>
        </w:rPr>
        <w:t xml:space="preserve"> 2023; </w:t>
      </w:r>
      <w:r>
        <w:rPr>
          <w:rFonts w:ascii="Book Antiqua" w:hAnsi="Book Antiqua"/>
          <w:b/>
          <w:bCs/>
        </w:rPr>
        <w:t>24</w:t>
      </w:r>
      <w:r>
        <w:rPr>
          <w:rFonts w:ascii="Book Antiqua" w:hAnsi="Book Antiqua"/>
        </w:rPr>
        <w:t xml:space="preserve"> [PMID: 36674790 DOI: 10.3390/ijms24021277]</w:t>
      </w:r>
    </w:p>
    <w:p w14:paraId="5629D700" w14:textId="77777777" w:rsidR="00556032" w:rsidRDefault="00000000">
      <w:pPr>
        <w:spacing w:line="360" w:lineRule="auto"/>
        <w:jc w:val="both"/>
        <w:rPr>
          <w:rFonts w:ascii="Book Antiqua" w:hAnsi="Book Antiqua"/>
        </w:rPr>
      </w:pPr>
      <w:r>
        <w:rPr>
          <w:rFonts w:ascii="Book Antiqua" w:hAnsi="Book Antiqua"/>
        </w:rPr>
        <w:t xml:space="preserve">34 </w:t>
      </w:r>
      <w:r>
        <w:rPr>
          <w:rFonts w:ascii="Book Antiqua" w:hAnsi="Book Antiqua"/>
          <w:b/>
          <w:bCs/>
        </w:rPr>
        <w:t>Gorgun C</w:t>
      </w:r>
      <w:r>
        <w:rPr>
          <w:rFonts w:ascii="Book Antiqua" w:hAnsi="Book Antiqua"/>
        </w:rPr>
        <w:t xml:space="preserve">, Ceresa D, Lesage R, Villa F, Reverberi D, Balbi C, Santamaria S, Cortese K, Malatesta P, Geris L, Quarto R, Tasso R. Dissecting the effects of preconditioning with inflammatory cytokines and hypoxia on the angiogenic potential of mesenchymal stromal cell (MSC)-derived soluble proteins and extracellular vesicles (EVs). </w:t>
      </w:r>
      <w:r>
        <w:rPr>
          <w:rFonts w:ascii="Book Antiqua" w:hAnsi="Book Antiqua"/>
          <w:i/>
          <w:iCs/>
        </w:rPr>
        <w:t>Biomaterials</w:t>
      </w:r>
      <w:r>
        <w:rPr>
          <w:rFonts w:ascii="Book Antiqua" w:hAnsi="Book Antiqua"/>
        </w:rPr>
        <w:t xml:space="preserve"> 2021; </w:t>
      </w:r>
      <w:r>
        <w:rPr>
          <w:rFonts w:ascii="Book Antiqua" w:hAnsi="Book Antiqua"/>
          <w:b/>
          <w:bCs/>
        </w:rPr>
        <w:t>269</w:t>
      </w:r>
      <w:r>
        <w:rPr>
          <w:rFonts w:ascii="Book Antiqua" w:hAnsi="Book Antiqua"/>
        </w:rPr>
        <w:t>: 120633 [PMID: 33453634 DOI: 10.1016/j.biomaterials.2020.120633]</w:t>
      </w:r>
    </w:p>
    <w:p w14:paraId="1E29ECD3" w14:textId="77777777" w:rsidR="00556032" w:rsidRDefault="00000000">
      <w:pPr>
        <w:spacing w:line="360" w:lineRule="auto"/>
        <w:jc w:val="both"/>
        <w:rPr>
          <w:rFonts w:ascii="Book Antiqua" w:hAnsi="Book Antiqua"/>
        </w:rPr>
      </w:pPr>
      <w:r>
        <w:rPr>
          <w:rFonts w:ascii="Book Antiqua" w:hAnsi="Book Antiqua"/>
        </w:rPr>
        <w:t xml:space="preserve">35 </w:t>
      </w:r>
      <w:r>
        <w:rPr>
          <w:rFonts w:ascii="Book Antiqua" w:hAnsi="Book Antiqua"/>
          <w:b/>
          <w:bCs/>
        </w:rPr>
        <w:t>Liu L</w:t>
      </w:r>
      <w:r>
        <w:rPr>
          <w:rFonts w:ascii="Book Antiqua" w:hAnsi="Book Antiqua"/>
        </w:rPr>
        <w:t xml:space="preserve">, Gao J, Yuan Y, Chang Q, Liao Y, Lu F. Hypoxia preconditioned human adipose derived mesenchymal stem cells enhance angiogenic potential via secretion of increased VEGF and bFGF. </w:t>
      </w:r>
      <w:r>
        <w:rPr>
          <w:rFonts w:ascii="Book Antiqua" w:hAnsi="Book Antiqua"/>
          <w:i/>
          <w:iCs/>
        </w:rPr>
        <w:t>Cell Biol Int</w:t>
      </w:r>
      <w:r>
        <w:rPr>
          <w:rFonts w:ascii="Book Antiqua" w:hAnsi="Book Antiqua"/>
        </w:rPr>
        <w:t xml:space="preserve"> 2013; </w:t>
      </w:r>
      <w:r>
        <w:rPr>
          <w:rFonts w:ascii="Book Antiqua" w:hAnsi="Book Antiqua"/>
          <w:b/>
          <w:bCs/>
        </w:rPr>
        <w:t>37</w:t>
      </w:r>
      <w:r>
        <w:rPr>
          <w:rFonts w:ascii="Book Antiqua" w:hAnsi="Book Antiqua"/>
        </w:rPr>
        <w:t>: 551-560 [PMID: 23505143 DOI: 10.1002/cbin.10097]</w:t>
      </w:r>
    </w:p>
    <w:p w14:paraId="496F1B9D" w14:textId="77777777" w:rsidR="00556032" w:rsidRDefault="00000000">
      <w:pPr>
        <w:spacing w:line="360" w:lineRule="auto"/>
        <w:jc w:val="both"/>
        <w:rPr>
          <w:rFonts w:ascii="Book Antiqua" w:hAnsi="Book Antiqua"/>
        </w:rPr>
      </w:pPr>
      <w:r>
        <w:rPr>
          <w:rFonts w:ascii="Book Antiqua" w:hAnsi="Book Antiqua"/>
        </w:rPr>
        <w:t xml:space="preserve">36 </w:t>
      </w:r>
      <w:r>
        <w:rPr>
          <w:rFonts w:ascii="Book Antiqua" w:hAnsi="Book Antiqua"/>
          <w:b/>
          <w:bCs/>
        </w:rPr>
        <w:t>Ferreira JR</w:t>
      </w:r>
      <w:r>
        <w:rPr>
          <w:rFonts w:ascii="Book Antiqua" w:hAnsi="Book Antiqua"/>
        </w:rPr>
        <w:t xml:space="preserve">, Teixeira GQ, Santos SG, Barbosa MA, Almeida-Porada G, Gonçalves RM. Mesenchymal Stromal Cell Secretome: Influencing Therapeutic Potential by Cellular Pre-conditioning. </w:t>
      </w:r>
      <w:r>
        <w:rPr>
          <w:rFonts w:ascii="Book Antiqua" w:hAnsi="Book Antiqua"/>
          <w:i/>
          <w:iCs/>
        </w:rPr>
        <w:t>Front Immunol</w:t>
      </w:r>
      <w:r>
        <w:rPr>
          <w:rFonts w:ascii="Book Antiqua" w:hAnsi="Book Antiqua"/>
        </w:rPr>
        <w:t xml:space="preserve"> 2018; </w:t>
      </w:r>
      <w:r>
        <w:rPr>
          <w:rFonts w:ascii="Book Antiqua" w:hAnsi="Book Antiqua"/>
          <w:b/>
          <w:bCs/>
        </w:rPr>
        <w:t>9</w:t>
      </w:r>
      <w:r>
        <w:rPr>
          <w:rFonts w:ascii="Book Antiqua" w:hAnsi="Book Antiqua"/>
        </w:rPr>
        <w:t>: 2837 [PMID: 30564236 DOI: 10.3389/fimmu.2018.02837]</w:t>
      </w:r>
    </w:p>
    <w:p w14:paraId="46834262" w14:textId="77777777" w:rsidR="00556032" w:rsidRDefault="00000000">
      <w:pPr>
        <w:spacing w:line="360" w:lineRule="auto"/>
        <w:jc w:val="both"/>
        <w:rPr>
          <w:rFonts w:ascii="Book Antiqua" w:hAnsi="Book Antiqua"/>
        </w:rPr>
      </w:pPr>
      <w:r>
        <w:rPr>
          <w:rFonts w:ascii="Book Antiqua" w:hAnsi="Book Antiqua"/>
        </w:rPr>
        <w:t xml:space="preserve">37 </w:t>
      </w:r>
      <w:r>
        <w:rPr>
          <w:rFonts w:ascii="Book Antiqua" w:hAnsi="Book Antiqua"/>
          <w:b/>
          <w:bCs/>
        </w:rPr>
        <w:t>Paliwal S</w:t>
      </w:r>
      <w:r>
        <w:rPr>
          <w:rFonts w:ascii="Book Antiqua" w:hAnsi="Book Antiqua"/>
        </w:rPr>
        <w:t xml:space="preserve">, Chaudhuri R, Agrawal A, Mohanty S. Regenerative abilities of mesenchymal stem cells through mitochondrial transfer. </w:t>
      </w:r>
      <w:r>
        <w:rPr>
          <w:rFonts w:ascii="Book Antiqua" w:hAnsi="Book Antiqua"/>
          <w:i/>
          <w:iCs/>
        </w:rPr>
        <w:t>J Biomed Sci</w:t>
      </w:r>
      <w:r>
        <w:rPr>
          <w:rFonts w:ascii="Book Antiqua" w:hAnsi="Book Antiqua"/>
        </w:rPr>
        <w:t xml:space="preserve"> 2018; </w:t>
      </w:r>
      <w:r>
        <w:rPr>
          <w:rFonts w:ascii="Book Antiqua" w:hAnsi="Book Antiqua"/>
          <w:b/>
          <w:bCs/>
        </w:rPr>
        <w:t>25</w:t>
      </w:r>
      <w:r>
        <w:rPr>
          <w:rFonts w:ascii="Book Antiqua" w:hAnsi="Book Antiqua"/>
        </w:rPr>
        <w:t>: 31 [PMID: 29602309 DOI: 10.1186/s12929-018-0429-1]</w:t>
      </w:r>
    </w:p>
    <w:p w14:paraId="3496761B" w14:textId="77777777" w:rsidR="00556032" w:rsidRDefault="00000000">
      <w:pPr>
        <w:spacing w:line="360" w:lineRule="auto"/>
        <w:jc w:val="both"/>
        <w:rPr>
          <w:rFonts w:ascii="Book Antiqua" w:hAnsi="Book Antiqua"/>
        </w:rPr>
      </w:pPr>
      <w:r>
        <w:rPr>
          <w:rFonts w:ascii="Book Antiqua" w:hAnsi="Book Antiqua"/>
        </w:rPr>
        <w:t xml:space="preserve">38 </w:t>
      </w:r>
      <w:r>
        <w:rPr>
          <w:rFonts w:ascii="Book Antiqua" w:hAnsi="Book Antiqua"/>
          <w:b/>
          <w:bCs/>
        </w:rPr>
        <w:t>Christy BA</w:t>
      </w:r>
      <w:r>
        <w:rPr>
          <w:rFonts w:ascii="Book Antiqua" w:hAnsi="Book Antiqua"/>
        </w:rPr>
        <w:t xml:space="preserve">, Herzig MC, Montgomery RK, Delavan C, Bynum JA, Reddoch KM, Cap AP. Procoagulant activity of human mesenchymal stem cells. </w:t>
      </w:r>
      <w:r>
        <w:rPr>
          <w:rFonts w:ascii="Book Antiqua" w:hAnsi="Book Antiqua"/>
          <w:i/>
          <w:iCs/>
        </w:rPr>
        <w:t>J Trauma Acute Care Surg</w:t>
      </w:r>
      <w:r>
        <w:rPr>
          <w:rFonts w:ascii="Book Antiqua" w:hAnsi="Book Antiqua"/>
        </w:rPr>
        <w:t xml:space="preserve"> 2017; </w:t>
      </w:r>
      <w:r>
        <w:rPr>
          <w:rFonts w:ascii="Book Antiqua" w:hAnsi="Book Antiqua"/>
          <w:b/>
          <w:bCs/>
        </w:rPr>
        <w:t>83</w:t>
      </w:r>
      <w:r>
        <w:rPr>
          <w:rFonts w:ascii="Book Antiqua" w:hAnsi="Book Antiqua"/>
        </w:rPr>
        <w:t>: S164-S169 [PMID: 28628602 DOI: 10.1097/TA.0000000000001485]</w:t>
      </w:r>
    </w:p>
    <w:p w14:paraId="0B3DAEBF" w14:textId="77777777" w:rsidR="00556032" w:rsidRDefault="00000000">
      <w:pPr>
        <w:spacing w:line="360" w:lineRule="auto"/>
        <w:jc w:val="both"/>
        <w:rPr>
          <w:rFonts w:ascii="Book Antiqua" w:hAnsi="Book Antiqua"/>
        </w:rPr>
      </w:pPr>
      <w:r>
        <w:rPr>
          <w:rFonts w:ascii="Book Antiqua" w:hAnsi="Book Antiqua"/>
        </w:rPr>
        <w:lastRenderedPageBreak/>
        <w:t xml:space="preserve">39 </w:t>
      </w:r>
      <w:r>
        <w:rPr>
          <w:rFonts w:ascii="Book Antiqua" w:hAnsi="Book Antiqua"/>
          <w:b/>
          <w:bCs/>
        </w:rPr>
        <w:t>Oeller M</w:t>
      </w:r>
      <w:r>
        <w:rPr>
          <w:rFonts w:ascii="Book Antiqua" w:hAnsi="Book Antiqua"/>
        </w:rPr>
        <w:t xml:space="preserve">, Laner-Plamberger S, Hochmann S, Ketterl N, Feichtner M, Brachtl G, Hochreiter A, Scharler C, Bieler L, Romanelli P, Couillard-Despres S, Russe E, Schallmoser K, Strunk D. Selection of Tissue Factor-Deficient Cell Transplants as a Novel Strategy for Improving Hemocompatibility of Human Bone Marrow Stromal Cells. </w:t>
      </w:r>
      <w:r>
        <w:rPr>
          <w:rFonts w:ascii="Book Antiqua" w:hAnsi="Book Antiqua"/>
          <w:i/>
          <w:iCs/>
        </w:rPr>
        <w:t>Theranostics</w:t>
      </w:r>
      <w:r>
        <w:rPr>
          <w:rFonts w:ascii="Book Antiqua" w:hAnsi="Book Antiqua"/>
        </w:rPr>
        <w:t xml:space="preserve"> 2018; </w:t>
      </w:r>
      <w:r>
        <w:rPr>
          <w:rFonts w:ascii="Book Antiqua" w:hAnsi="Book Antiqua"/>
          <w:b/>
          <w:bCs/>
        </w:rPr>
        <w:t>8</w:t>
      </w:r>
      <w:r>
        <w:rPr>
          <w:rFonts w:ascii="Book Antiqua" w:hAnsi="Book Antiqua"/>
        </w:rPr>
        <w:t>: 1421-1434 [PMID: 29507631 DOI: 10.7150/thno.21906]</w:t>
      </w:r>
    </w:p>
    <w:p w14:paraId="58658D0F" w14:textId="77777777" w:rsidR="00556032" w:rsidRDefault="00000000">
      <w:pPr>
        <w:spacing w:line="360" w:lineRule="auto"/>
        <w:jc w:val="both"/>
        <w:rPr>
          <w:rFonts w:ascii="Book Antiqua" w:hAnsi="Book Antiqua"/>
        </w:rPr>
      </w:pPr>
      <w:r>
        <w:rPr>
          <w:rFonts w:ascii="Book Antiqua" w:hAnsi="Book Antiqua"/>
        </w:rPr>
        <w:t xml:space="preserve">40 </w:t>
      </w:r>
      <w:r>
        <w:rPr>
          <w:rFonts w:ascii="Book Antiqua" w:hAnsi="Book Antiqua"/>
          <w:b/>
          <w:bCs/>
        </w:rPr>
        <w:t>Tatsumi K</w:t>
      </w:r>
      <w:r>
        <w:rPr>
          <w:rFonts w:ascii="Book Antiqua" w:hAnsi="Book Antiqua"/>
        </w:rPr>
        <w:t xml:space="preserve">, Ohashi K, Matsubara Y, Kohori A, Ohno T, Kakidachi H, Horii A, Kanegae K, Utoh R, Iwata T, Okano T. Tissue factor triggers procoagulation in transplanted mesenchymal stem cells leading to thromboembolism. </w:t>
      </w:r>
      <w:r>
        <w:rPr>
          <w:rFonts w:ascii="Book Antiqua" w:hAnsi="Book Antiqua"/>
          <w:i/>
          <w:iCs/>
        </w:rPr>
        <w:t>Biochem Biophys Res Commun</w:t>
      </w:r>
      <w:r>
        <w:rPr>
          <w:rFonts w:ascii="Book Antiqua" w:hAnsi="Book Antiqua"/>
        </w:rPr>
        <w:t xml:space="preserve"> 2013; </w:t>
      </w:r>
      <w:r>
        <w:rPr>
          <w:rFonts w:ascii="Book Antiqua" w:hAnsi="Book Antiqua"/>
          <w:b/>
          <w:bCs/>
        </w:rPr>
        <w:t>431</w:t>
      </w:r>
      <w:r>
        <w:rPr>
          <w:rFonts w:ascii="Book Antiqua" w:hAnsi="Book Antiqua"/>
        </w:rPr>
        <w:t>: 203-209 [PMID: 23313481 DOI: 10.1016/j.bbrc.2012.12.134]</w:t>
      </w:r>
    </w:p>
    <w:p w14:paraId="4AE150B7" w14:textId="77777777" w:rsidR="00556032" w:rsidRDefault="00000000">
      <w:pPr>
        <w:spacing w:line="360" w:lineRule="auto"/>
        <w:jc w:val="both"/>
        <w:rPr>
          <w:rFonts w:ascii="Book Antiqua" w:hAnsi="Book Antiqua"/>
        </w:rPr>
      </w:pPr>
      <w:r>
        <w:rPr>
          <w:rFonts w:ascii="Book Antiqua" w:hAnsi="Book Antiqua"/>
        </w:rPr>
        <w:t xml:space="preserve">41 </w:t>
      </w:r>
      <w:r>
        <w:rPr>
          <w:rFonts w:ascii="Book Antiqua" w:hAnsi="Book Antiqua"/>
          <w:b/>
          <w:bCs/>
        </w:rPr>
        <w:t>George MJ</w:t>
      </w:r>
      <w:r>
        <w:rPr>
          <w:rFonts w:ascii="Book Antiqua" w:hAnsi="Book Antiqua"/>
        </w:rPr>
        <w:t xml:space="preserve">, Prabhakara K, Toledano-Furman NE, Wang YW, Gill BS, Wade CE, Olson SD, Cox CS Jr. Clinical Cellular Therapeutics Accelerate Clot Formation. </w:t>
      </w:r>
      <w:r>
        <w:rPr>
          <w:rFonts w:ascii="Book Antiqua" w:hAnsi="Book Antiqua"/>
          <w:i/>
          <w:iCs/>
        </w:rPr>
        <w:t>Stem Cells Transl Med</w:t>
      </w:r>
      <w:r>
        <w:rPr>
          <w:rFonts w:ascii="Book Antiqua" w:hAnsi="Book Antiqua"/>
        </w:rPr>
        <w:t xml:space="preserve"> 2018; </w:t>
      </w:r>
      <w:r>
        <w:rPr>
          <w:rFonts w:ascii="Book Antiqua" w:hAnsi="Book Antiqua"/>
          <w:b/>
          <w:bCs/>
        </w:rPr>
        <w:t>7</w:t>
      </w:r>
      <w:r>
        <w:rPr>
          <w:rFonts w:ascii="Book Antiqua" w:hAnsi="Book Antiqua"/>
        </w:rPr>
        <w:t>: 731-739 [PMID: 30070065 DOI: 10.1002/sctm.18-0015]</w:t>
      </w:r>
    </w:p>
    <w:p w14:paraId="40E25545" w14:textId="77777777" w:rsidR="00556032" w:rsidRDefault="00000000">
      <w:pPr>
        <w:spacing w:line="360" w:lineRule="auto"/>
        <w:jc w:val="both"/>
        <w:rPr>
          <w:rFonts w:ascii="Book Antiqua" w:hAnsi="Book Antiqua"/>
        </w:rPr>
      </w:pPr>
      <w:r>
        <w:rPr>
          <w:rFonts w:ascii="Book Antiqua" w:hAnsi="Book Antiqua"/>
        </w:rPr>
        <w:t xml:space="preserve">42 </w:t>
      </w:r>
      <w:r>
        <w:rPr>
          <w:rFonts w:ascii="Book Antiqua" w:hAnsi="Book Antiqua"/>
          <w:b/>
          <w:bCs/>
        </w:rPr>
        <w:t>Coppin L</w:t>
      </w:r>
      <w:r>
        <w:rPr>
          <w:rFonts w:ascii="Book Antiqua" w:hAnsi="Book Antiqua"/>
        </w:rPr>
        <w:t xml:space="preserve">, Sokal E, Stéphenne X. Thrombogenic Risk Induced by Intravascular Mesenchymal Stem Cell Therapy: Current Status and Future Perspectives. </w:t>
      </w:r>
      <w:r>
        <w:rPr>
          <w:rFonts w:ascii="Book Antiqua" w:hAnsi="Book Antiqua"/>
          <w:i/>
          <w:iCs/>
        </w:rPr>
        <w:t>Cells</w:t>
      </w:r>
      <w:r>
        <w:rPr>
          <w:rFonts w:ascii="Book Antiqua" w:hAnsi="Book Antiqua"/>
        </w:rPr>
        <w:t xml:space="preserve"> 2019; </w:t>
      </w:r>
      <w:r>
        <w:rPr>
          <w:rFonts w:ascii="Book Antiqua" w:hAnsi="Book Antiqua"/>
          <w:b/>
          <w:bCs/>
        </w:rPr>
        <w:t>8</w:t>
      </w:r>
      <w:r>
        <w:rPr>
          <w:rFonts w:ascii="Book Antiqua" w:hAnsi="Book Antiqua"/>
        </w:rPr>
        <w:t xml:space="preserve"> [PMID: 31569696 DOI: 10.3390/cells8101160]</w:t>
      </w:r>
    </w:p>
    <w:p w14:paraId="45EE1B45" w14:textId="77777777" w:rsidR="00556032" w:rsidRDefault="00000000">
      <w:pPr>
        <w:spacing w:line="360" w:lineRule="auto"/>
        <w:jc w:val="both"/>
        <w:rPr>
          <w:rFonts w:ascii="Book Antiqua" w:hAnsi="Book Antiqua"/>
        </w:rPr>
      </w:pPr>
      <w:r>
        <w:rPr>
          <w:rFonts w:ascii="Book Antiqua" w:hAnsi="Book Antiqua"/>
        </w:rPr>
        <w:t xml:space="preserve">43 </w:t>
      </w:r>
      <w:r>
        <w:rPr>
          <w:rFonts w:ascii="Book Antiqua" w:hAnsi="Book Antiqua"/>
          <w:b/>
          <w:bCs/>
        </w:rPr>
        <w:t>Stéphenne X</w:t>
      </w:r>
      <w:r>
        <w:rPr>
          <w:rFonts w:ascii="Book Antiqua" w:hAnsi="Book Antiqua"/>
        </w:rPr>
        <w:t xml:space="preserve">, Vosters O, Najimi M, Beuneu C, Dung KN, Wijns W, Goldman M, Sokal EM. Tissue factor-dependent procoagulant activity of isolated human hepatocytes: relevance to liver cell transplantation. </w:t>
      </w:r>
      <w:r>
        <w:rPr>
          <w:rFonts w:ascii="Book Antiqua" w:hAnsi="Book Antiqua"/>
          <w:i/>
          <w:iCs/>
        </w:rPr>
        <w:t>Liver Transpl</w:t>
      </w:r>
      <w:r>
        <w:rPr>
          <w:rFonts w:ascii="Book Antiqua" w:hAnsi="Book Antiqua"/>
        </w:rPr>
        <w:t xml:space="preserve"> 2007; </w:t>
      </w:r>
      <w:r>
        <w:rPr>
          <w:rFonts w:ascii="Book Antiqua" w:hAnsi="Book Antiqua"/>
          <w:b/>
          <w:bCs/>
        </w:rPr>
        <w:t>13</w:t>
      </w:r>
      <w:r>
        <w:rPr>
          <w:rFonts w:ascii="Book Antiqua" w:hAnsi="Book Antiqua"/>
        </w:rPr>
        <w:t>: 599-606 [PMID: 17394166 DOI: 10.1002/Lt.21128]</w:t>
      </w:r>
    </w:p>
    <w:p w14:paraId="5A9912C9" w14:textId="77777777" w:rsidR="00556032" w:rsidRDefault="00000000">
      <w:pPr>
        <w:spacing w:line="360" w:lineRule="auto"/>
        <w:jc w:val="both"/>
        <w:rPr>
          <w:rFonts w:ascii="Book Antiqua" w:hAnsi="Book Antiqua"/>
        </w:rPr>
      </w:pPr>
      <w:r>
        <w:rPr>
          <w:rFonts w:ascii="Book Antiqua" w:hAnsi="Book Antiqua"/>
        </w:rPr>
        <w:t xml:space="preserve">44 </w:t>
      </w:r>
      <w:r>
        <w:rPr>
          <w:rFonts w:ascii="Book Antiqua" w:hAnsi="Book Antiqua"/>
          <w:b/>
          <w:bCs/>
        </w:rPr>
        <w:t>Maryanovich M</w:t>
      </w:r>
      <w:r>
        <w:rPr>
          <w:rFonts w:ascii="Book Antiqua" w:hAnsi="Book Antiqua"/>
        </w:rPr>
        <w:t xml:space="preserve">, Gross A. A ROS rheostat for cell fate regulation. </w:t>
      </w:r>
      <w:r>
        <w:rPr>
          <w:rFonts w:ascii="Book Antiqua" w:hAnsi="Book Antiqua"/>
          <w:i/>
          <w:iCs/>
        </w:rPr>
        <w:t>Trends Cell Biol</w:t>
      </w:r>
      <w:r>
        <w:rPr>
          <w:rFonts w:ascii="Book Antiqua" w:hAnsi="Book Antiqua"/>
        </w:rPr>
        <w:t xml:space="preserve"> 2013; </w:t>
      </w:r>
      <w:r>
        <w:rPr>
          <w:rFonts w:ascii="Book Antiqua" w:hAnsi="Book Antiqua"/>
          <w:b/>
          <w:bCs/>
        </w:rPr>
        <w:t>23</w:t>
      </w:r>
      <w:r>
        <w:rPr>
          <w:rFonts w:ascii="Book Antiqua" w:hAnsi="Book Antiqua"/>
        </w:rPr>
        <w:t>: 129-134 [PMID: 23117019 DOI: 10.1016/j.tcb.2012.09.007]</w:t>
      </w:r>
    </w:p>
    <w:p w14:paraId="3D72985D" w14:textId="77777777" w:rsidR="00556032" w:rsidRDefault="00000000">
      <w:pPr>
        <w:spacing w:line="360" w:lineRule="auto"/>
        <w:jc w:val="both"/>
        <w:rPr>
          <w:rFonts w:ascii="Book Antiqua" w:hAnsi="Book Antiqua"/>
        </w:rPr>
      </w:pPr>
      <w:r>
        <w:rPr>
          <w:rFonts w:ascii="Book Antiqua" w:hAnsi="Book Antiqua"/>
        </w:rPr>
        <w:t xml:space="preserve">45 </w:t>
      </w:r>
      <w:r>
        <w:rPr>
          <w:rFonts w:ascii="Book Antiqua" w:hAnsi="Book Antiqua"/>
          <w:b/>
          <w:bCs/>
        </w:rPr>
        <w:t>Brand MD</w:t>
      </w:r>
      <w:r>
        <w:rPr>
          <w:rFonts w:ascii="Book Antiqua" w:hAnsi="Book Antiqua"/>
        </w:rPr>
        <w:t xml:space="preserve">, Buckingham JA, Esteves TC, Green K, Lambert AJ, Miwa S, Murphy MP, Pakay JL, Talbot DA, Echtay KS. Mitochondrial superoxide and aging: uncoupling-protein activity and superoxide production. </w:t>
      </w:r>
      <w:r>
        <w:rPr>
          <w:rFonts w:ascii="Book Antiqua" w:hAnsi="Book Antiqua"/>
          <w:i/>
          <w:iCs/>
        </w:rPr>
        <w:t>Biochem Soc Symp</w:t>
      </w:r>
      <w:r>
        <w:rPr>
          <w:rFonts w:ascii="Book Antiqua" w:hAnsi="Book Antiqua"/>
        </w:rPr>
        <w:t xml:space="preserve"> 2004: 203-213 [PMID: 15777023 DOI: 10.1042/bss0710203]</w:t>
      </w:r>
    </w:p>
    <w:p w14:paraId="704BFE79" w14:textId="77777777" w:rsidR="00556032" w:rsidRDefault="00000000">
      <w:pPr>
        <w:spacing w:line="360" w:lineRule="auto"/>
        <w:jc w:val="both"/>
        <w:rPr>
          <w:rFonts w:ascii="Book Antiqua" w:hAnsi="Book Antiqua"/>
        </w:rPr>
      </w:pPr>
      <w:r>
        <w:rPr>
          <w:rFonts w:ascii="Book Antiqua" w:hAnsi="Book Antiqua"/>
        </w:rPr>
        <w:t xml:space="preserve">46 </w:t>
      </w:r>
      <w:r>
        <w:rPr>
          <w:rFonts w:ascii="Book Antiqua" w:hAnsi="Book Antiqua"/>
          <w:b/>
          <w:bCs/>
        </w:rPr>
        <w:t>Dimri GP</w:t>
      </w:r>
      <w:r>
        <w:rPr>
          <w:rFonts w:ascii="Book Antiqua" w:hAnsi="Book Antiqua"/>
        </w:rPr>
        <w:t xml:space="preserve">, Lee X, Basile G, Acosta M, Scott G, Roskelley C, Medrano EE, Linskens M, Rubelj I, Pereira-Smith O. A biomarker that identifies senescent human cells in culture and in aging skin in vivo. </w:t>
      </w:r>
      <w:r>
        <w:rPr>
          <w:rFonts w:ascii="Book Antiqua" w:hAnsi="Book Antiqua"/>
          <w:i/>
          <w:iCs/>
        </w:rPr>
        <w:t>Proc Natl Acad Sci U S A</w:t>
      </w:r>
      <w:r>
        <w:rPr>
          <w:rFonts w:ascii="Book Antiqua" w:hAnsi="Book Antiqua"/>
        </w:rPr>
        <w:t xml:space="preserve"> 1995; </w:t>
      </w:r>
      <w:r>
        <w:rPr>
          <w:rFonts w:ascii="Book Antiqua" w:hAnsi="Book Antiqua"/>
          <w:b/>
          <w:bCs/>
        </w:rPr>
        <w:t>92</w:t>
      </w:r>
      <w:r>
        <w:rPr>
          <w:rFonts w:ascii="Book Antiqua" w:hAnsi="Book Antiqua"/>
        </w:rPr>
        <w:t>: 9363-9367 [PMID: 7568133 DOI: 10.1073/pnas.92.20.9363]</w:t>
      </w:r>
    </w:p>
    <w:p w14:paraId="2E6E6E3B" w14:textId="77777777" w:rsidR="00556032" w:rsidRDefault="00000000">
      <w:pPr>
        <w:spacing w:line="360" w:lineRule="auto"/>
        <w:jc w:val="both"/>
        <w:rPr>
          <w:rFonts w:ascii="Book Antiqua" w:hAnsi="Book Antiqua"/>
        </w:rPr>
      </w:pPr>
      <w:r>
        <w:rPr>
          <w:rFonts w:ascii="Book Antiqua" w:hAnsi="Book Antiqua"/>
        </w:rPr>
        <w:lastRenderedPageBreak/>
        <w:t xml:space="preserve">47 </w:t>
      </w:r>
      <w:r>
        <w:rPr>
          <w:rFonts w:ascii="Book Antiqua" w:hAnsi="Book Antiqua"/>
          <w:b/>
          <w:bCs/>
        </w:rPr>
        <w:t>Wang ZG</w:t>
      </w:r>
      <w:r>
        <w:rPr>
          <w:rFonts w:ascii="Book Antiqua" w:hAnsi="Book Antiqua"/>
        </w:rPr>
        <w:t xml:space="preserve">, He ZY, Liang S, Yang Q, Cheng P, Chen AM. Comprehensive proteomic analysis of exosomes derived from human bone marrow, adipose tissue, and umbilical cord mesenchymal stem cells. </w:t>
      </w:r>
      <w:r>
        <w:rPr>
          <w:rFonts w:ascii="Book Antiqua" w:hAnsi="Book Antiqua"/>
          <w:i/>
          <w:iCs/>
        </w:rPr>
        <w:t>Stem Cell Res Ther</w:t>
      </w:r>
      <w:r>
        <w:rPr>
          <w:rFonts w:ascii="Book Antiqua" w:hAnsi="Book Antiqua"/>
        </w:rPr>
        <w:t xml:space="preserve"> 2020; </w:t>
      </w:r>
      <w:r>
        <w:rPr>
          <w:rFonts w:ascii="Book Antiqua" w:hAnsi="Book Antiqua"/>
          <w:b/>
          <w:bCs/>
        </w:rPr>
        <w:t>11</w:t>
      </w:r>
      <w:r>
        <w:rPr>
          <w:rFonts w:ascii="Book Antiqua" w:hAnsi="Book Antiqua"/>
        </w:rPr>
        <w:t>: 511 [PMID: 33246507 DOI: 10.1186/s13287-020-02032-8]</w:t>
      </w:r>
    </w:p>
    <w:p w14:paraId="5D879417" w14:textId="77777777" w:rsidR="00556032" w:rsidRDefault="00000000">
      <w:pPr>
        <w:spacing w:line="360" w:lineRule="auto"/>
        <w:jc w:val="both"/>
        <w:rPr>
          <w:rFonts w:ascii="Book Antiqua" w:hAnsi="Book Antiqua"/>
        </w:rPr>
      </w:pPr>
      <w:r>
        <w:rPr>
          <w:rFonts w:ascii="Book Antiqua" w:hAnsi="Book Antiqua"/>
        </w:rPr>
        <w:t xml:space="preserve">48 </w:t>
      </w:r>
      <w:r>
        <w:rPr>
          <w:rFonts w:ascii="Book Antiqua" w:hAnsi="Book Antiqua"/>
          <w:b/>
          <w:bCs/>
        </w:rPr>
        <w:t>Ding DC</w:t>
      </w:r>
      <w:r>
        <w:rPr>
          <w:rFonts w:ascii="Book Antiqua" w:hAnsi="Book Antiqua"/>
        </w:rPr>
        <w:t xml:space="preserve">, Chang YH, Shyu WC, Lin SZ. Human umbilical cord mesenchymal stem cells: a new era for stem cell therapy. </w:t>
      </w:r>
      <w:r>
        <w:rPr>
          <w:rFonts w:ascii="Book Antiqua" w:hAnsi="Book Antiqua"/>
          <w:i/>
          <w:iCs/>
        </w:rPr>
        <w:t>Cell Transplant</w:t>
      </w:r>
      <w:r>
        <w:rPr>
          <w:rFonts w:ascii="Book Antiqua" w:hAnsi="Book Antiqua"/>
        </w:rPr>
        <w:t xml:space="preserve"> 2015; </w:t>
      </w:r>
      <w:r>
        <w:rPr>
          <w:rFonts w:ascii="Book Antiqua" w:hAnsi="Book Antiqua"/>
          <w:b/>
          <w:bCs/>
        </w:rPr>
        <w:t>24</w:t>
      </w:r>
      <w:r>
        <w:rPr>
          <w:rFonts w:ascii="Book Antiqua" w:hAnsi="Book Antiqua"/>
        </w:rPr>
        <w:t>: 339-347 [PMID: 25622293 DOI: 10.3727/096368915X686841]</w:t>
      </w:r>
    </w:p>
    <w:p w14:paraId="35491B36" w14:textId="77777777" w:rsidR="00556032" w:rsidRDefault="00000000">
      <w:pPr>
        <w:spacing w:line="360" w:lineRule="auto"/>
        <w:jc w:val="both"/>
        <w:rPr>
          <w:rFonts w:ascii="Book Antiqua" w:hAnsi="Book Antiqua"/>
        </w:rPr>
      </w:pPr>
      <w:r>
        <w:rPr>
          <w:rFonts w:ascii="Book Antiqua" w:hAnsi="Book Antiqua"/>
        </w:rPr>
        <w:t xml:space="preserve">49 </w:t>
      </w:r>
      <w:r>
        <w:rPr>
          <w:rFonts w:ascii="Book Antiqua" w:hAnsi="Book Antiqua"/>
          <w:b/>
          <w:bCs/>
        </w:rPr>
        <w:t>Mushahary D</w:t>
      </w:r>
      <w:r>
        <w:rPr>
          <w:rFonts w:ascii="Book Antiqua" w:hAnsi="Book Antiqua"/>
        </w:rPr>
        <w:t xml:space="preserve">, Spittler A, Kasper C, Weber V, Charwat V. Isolation, cultivation, and characterization of human mesenchymal stem cells. </w:t>
      </w:r>
      <w:r>
        <w:rPr>
          <w:rFonts w:ascii="Book Antiqua" w:hAnsi="Book Antiqua"/>
          <w:i/>
          <w:iCs/>
        </w:rPr>
        <w:t>Cytometry A</w:t>
      </w:r>
      <w:r>
        <w:rPr>
          <w:rFonts w:ascii="Book Antiqua" w:hAnsi="Book Antiqua"/>
        </w:rPr>
        <w:t xml:space="preserve"> 2018; </w:t>
      </w:r>
      <w:r>
        <w:rPr>
          <w:rFonts w:ascii="Book Antiqua" w:hAnsi="Book Antiqua"/>
          <w:b/>
          <w:bCs/>
        </w:rPr>
        <w:t>93</w:t>
      </w:r>
      <w:r>
        <w:rPr>
          <w:rFonts w:ascii="Book Antiqua" w:hAnsi="Book Antiqua"/>
        </w:rPr>
        <w:t>: 19-31 [PMID: 29072818 DOI: 10.1002/cyto.a.23242]</w:t>
      </w:r>
    </w:p>
    <w:p w14:paraId="50A5ACD3" w14:textId="77777777" w:rsidR="00556032" w:rsidRDefault="00000000">
      <w:pPr>
        <w:spacing w:line="360" w:lineRule="auto"/>
        <w:jc w:val="both"/>
        <w:rPr>
          <w:rFonts w:ascii="Book Antiqua" w:hAnsi="Book Antiqua"/>
        </w:rPr>
      </w:pPr>
      <w:r>
        <w:rPr>
          <w:rFonts w:ascii="Book Antiqua" w:hAnsi="Book Antiqua"/>
        </w:rPr>
        <w:t xml:space="preserve">50 </w:t>
      </w:r>
      <w:r>
        <w:rPr>
          <w:rFonts w:ascii="Book Antiqua" w:hAnsi="Book Antiqua"/>
          <w:b/>
          <w:bCs/>
        </w:rPr>
        <w:t>Beeravolu N</w:t>
      </w:r>
      <w:r>
        <w:rPr>
          <w:rFonts w:ascii="Book Antiqua" w:hAnsi="Book Antiqua"/>
        </w:rPr>
        <w:t xml:space="preserve">, McKee C, Alamri A, Mikhael S, Brown C, Perez-Cruet M, Chaudhry GR. Isolation and Characterization of Mesenchymal Stromal Cells from Human Umbilical Cord and Fetal Placenta. </w:t>
      </w:r>
      <w:r>
        <w:rPr>
          <w:rFonts w:ascii="Book Antiqua" w:hAnsi="Book Antiqua"/>
          <w:i/>
          <w:iCs/>
        </w:rPr>
        <w:t>J Vis Exp</w:t>
      </w:r>
      <w:r>
        <w:rPr>
          <w:rFonts w:ascii="Book Antiqua" w:hAnsi="Book Antiqua"/>
        </w:rPr>
        <w:t xml:space="preserve"> 2017 [PMID: 28447991 DOI: 10.3791/55224]</w:t>
      </w:r>
    </w:p>
    <w:p w14:paraId="7EE3FC0E" w14:textId="77777777" w:rsidR="00556032" w:rsidRDefault="00000000">
      <w:pPr>
        <w:spacing w:line="360" w:lineRule="auto"/>
        <w:jc w:val="both"/>
        <w:rPr>
          <w:rFonts w:ascii="Book Antiqua" w:hAnsi="Book Antiqua"/>
        </w:rPr>
      </w:pPr>
      <w:r>
        <w:rPr>
          <w:rFonts w:ascii="Book Antiqua" w:hAnsi="Book Antiqua"/>
        </w:rPr>
        <w:t xml:space="preserve">51 </w:t>
      </w:r>
      <w:r>
        <w:rPr>
          <w:rFonts w:ascii="Book Antiqua" w:hAnsi="Book Antiqua"/>
          <w:b/>
          <w:bCs/>
        </w:rPr>
        <w:t>Antebi B</w:t>
      </w:r>
      <w:r>
        <w:rPr>
          <w:rFonts w:ascii="Book Antiqua" w:hAnsi="Book Antiqua"/>
        </w:rPr>
        <w:t xml:space="preserve">, Rodriguez LA 2nd, Walker KP 3rd, Asher AM, Kamucheka RM, Alvarado L, Mohammadipoor A, Cancio LC. Short-term physiological hypoxia potentiates the therapeutic function of mesenchymal stem cells. </w:t>
      </w:r>
      <w:r>
        <w:rPr>
          <w:rFonts w:ascii="Book Antiqua" w:hAnsi="Book Antiqua"/>
          <w:i/>
          <w:iCs/>
        </w:rPr>
        <w:t>Stem Cell Res Ther</w:t>
      </w:r>
      <w:r>
        <w:rPr>
          <w:rFonts w:ascii="Book Antiqua" w:hAnsi="Book Antiqua"/>
        </w:rPr>
        <w:t xml:space="preserve"> 2018; </w:t>
      </w:r>
      <w:r>
        <w:rPr>
          <w:rFonts w:ascii="Book Antiqua" w:hAnsi="Book Antiqua"/>
          <w:b/>
          <w:bCs/>
        </w:rPr>
        <w:t>9</w:t>
      </w:r>
      <w:r>
        <w:rPr>
          <w:rFonts w:ascii="Book Antiqua" w:hAnsi="Book Antiqua"/>
        </w:rPr>
        <w:t>: 265 [PMID: 30305185 DOI: 10.1186/s13287-018-1007-x]</w:t>
      </w:r>
    </w:p>
    <w:p w14:paraId="0B49AA63" w14:textId="77777777" w:rsidR="00556032" w:rsidRDefault="00000000">
      <w:pPr>
        <w:spacing w:line="360" w:lineRule="auto"/>
        <w:jc w:val="both"/>
        <w:rPr>
          <w:rFonts w:ascii="Book Antiqua" w:hAnsi="Book Antiqua"/>
        </w:rPr>
      </w:pPr>
      <w:r>
        <w:rPr>
          <w:rFonts w:ascii="Book Antiqua" w:hAnsi="Book Antiqua"/>
        </w:rPr>
        <w:t xml:space="preserve">52 </w:t>
      </w:r>
      <w:r>
        <w:rPr>
          <w:rFonts w:ascii="Book Antiqua" w:hAnsi="Book Antiqua"/>
          <w:b/>
          <w:bCs/>
        </w:rPr>
        <w:t>Rodriguez LA 2nd</w:t>
      </w:r>
      <w:r>
        <w:rPr>
          <w:rFonts w:ascii="Book Antiqua" w:hAnsi="Book Antiqua"/>
        </w:rPr>
        <w:t xml:space="preserve">, Mohammadipoor A, Alvarado L, Kamucheka RM, Asher AM, Cancio LC, Antebi B. Preconditioning in an Inflammatory Milieu Augments the Immunotherapeutic Function of Mesenchymal Stromal Cells. </w:t>
      </w:r>
      <w:r>
        <w:rPr>
          <w:rFonts w:ascii="Book Antiqua" w:hAnsi="Book Antiqua"/>
          <w:i/>
          <w:iCs/>
        </w:rPr>
        <w:t>Cells</w:t>
      </w:r>
      <w:r>
        <w:rPr>
          <w:rFonts w:ascii="Book Antiqua" w:hAnsi="Book Antiqua"/>
        </w:rPr>
        <w:t xml:space="preserve"> 2019; </w:t>
      </w:r>
      <w:r>
        <w:rPr>
          <w:rFonts w:ascii="Book Antiqua" w:hAnsi="Book Antiqua"/>
          <w:b/>
          <w:bCs/>
        </w:rPr>
        <w:t>8</w:t>
      </w:r>
      <w:r>
        <w:rPr>
          <w:rFonts w:ascii="Book Antiqua" w:hAnsi="Book Antiqua"/>
        </w:rPr>
        <w:t xml:space="preserve"> [PMID: 31096722 DOI: 10.3390/cells8050462]</w:t>
      </w:r>
    </w:p>
    <w:p w14:paraId="241A50D6" w14:textId="77777777" w:rsidR="00556032" w:rsidRDefault="00000000">
      <w:pPr>
        <w:spacing w:line="360" w:lineRule="auto"/>
        <w:jc w:val="both"/>
        <w:rPr>
          <w:rFonts w:ascii="Book Antiqua" w:hAnsi="Book Antiqua"/>
        </w:rPr>
      </w:pPr>
      <w:r>
        <w:rPr>
          <w:rFonts w:ascii="Book Antiqua" w:hAnsi="Book Antiqua"/>
        </w:rPr>
        <w:t xml:space="preserve">53 </w:t>
      </w:r>
      <w:r>
        <w:rPr>
          <w:rFonts w:ascii="Book Antiqua" w:hAnsi="Book Antiqua"/>
          <w:b/>
          <w:bCs/>
        </w:rPr>
        <w:t>Klinker MW</w:t>
      </w:r>
      <w:r>
        <w:rPr>
          <w:rFonts w:ascii="Book Antiqua" w:hAnsi="Book Antiqua"/>
        </w:rPr>
        <w:t xml:space="preserve">, Marklein RA, Lo Surdo JL, Wei CH, Bauer SR. Morphological features of IFN-γ-stimulated mesenchymal stromal cells predict overall immunosuppressive capacity. </w:t>
      </w:r>
      <w:r>
        <w:rPr>
          <w:rFonts w:ascii="Book Antiqua" w:hAnsi="Book Antiqua"/>
          <w:i/>
          <w:iCs/>
        </w:rPr>
        <w:t>Proc Natl Acad Sci U S A</w:t>
      </w:r>
      <w:r>
        <w:rPr>
          <w:rFonts w:ascii="Book Antiqua" w:hAnsi="Book Antiqua"/>
        </w:rPr>
        <w:t xml:space="preserve"> 2017; </w:t>
      </w:r>
      <w:r>
        <w:rPr>
          <w:rFonts w:ascii="Book Antiqua" w:hAnsi="Book Antiqua"/>
          <w:b/>
          <w:bCs/>
        </w:rPr>
        <w:t>114</w:t>
      </w:r>
      <w:r>
        <w:rPr>
          <w:rFonts w:ascii="Book Antiqua" w:hAnsi="Book Antiqua"/>
        </w:rPr>
        <w:t>: E2598-E2607 [PMID: 28283659 DOI: 10.1073/pnas.1617933114]</w:t>
      </w:r>
    </w:p>
    <w:p w14:paraId="209BF66A" w14:textId="77777777" w:rsidR="00556032" w:rsidRDefault="00000000">
      <w:pPr>
        <w:spacing w:line="360" w:lineRule="auto"/>
        <w:jc w:val="both"/>
        <w:rPr>
          <w:rFonts w:ascii="Book Antiqua" w:hAnsi="Book Antiqua"/>
        </w:rPr>
      </w:pPr>
      <w:r>
        <w:rPr>
          <w:rFonts w:ascii="Book Antiqua" w:hAnsi="Book Antiqua"/>
        </w:rPr>
        <w:t xml:space="preserve">54 </w:t>
      </w:r>
      <w:r>
        <w:rPr>
          <w:rFonts w:ascii="Book Antiqua" w:hAnsi="Book Antiqua"/>
          <w:b/>
          <w:bCs/>
        </w:rPr>
        <w:t>Yin JQ</w:t>
      </w:r>
      <w:r>
        <w:rPr>
          <w:rFonts w:ascii="Book Antiqua" w:hAnsi="Book Antiqua"/>
        </w:rPr>
        <w:t xml:space="preserve">, Zhu J, Ankrum JA. Manufacturing of primed mesenchymal stromal cells for therapy. </w:t>
      </w:r>
      <w:r>
        <w:rPr>
          <w:rFonts w:ascii="Book Antiqua" w:hAnsi="Book Antiqua"/>
          <w:i/>
          <w:iCs/>
        </w:rPr>
        <w:t>Nat Biomed Eng</w:t>
      </w:r>
      <w:r>
        <w:rPr>
          <w:rFonts w:ascii="Book Antiqua" w:hAnsi="Book Antiqua"/>
        </w:rPr>
        <w:t xml:space="preserve"> 2019; </w:t>
      </w:r>
      <w:r>
        <w:rPr>
          <w:rFonts w:ascii="Book Antiqua" w:hAnsi="Book Antiqua"/>
          <w:b/>
          <w:bCs/>
        </w:rPr>
        <w:t>3</w:t>
      </w:r>
      <w:r>
        <w:rPr>
          <w:rFonts w:ascii="Book Antiqua" w:hAnsi="Book Antiqua"/>
        </w:rPr>
        <w:t>: 90-104 [PMID: 30944433 DOI: 10.1038/s41551-018-0325-8]</w:t>
      </w:r>
    </w:p>
    <w:p w14:paraId="1A48FDBA" w14:textId="77777777" w:rsidR="00556032" w:rsidRDefault="00000000">
      <w:pPr>
        <w:spacing w:line="360" w:lineRule="auto"/>
        <w:jc w:val="both"/>
        <w:rPr>
          <w:rFonts w:ascii="Book Antiqua" w:hAnsi="Book Antiqua"/>
        </w:rPr>
      </w:pPr>
      <w:r>
        <w:rPr>
          <w:rFonts w:ascii="Book Antiqua" w:hAnsi="Book Antiqua"/>
        </w:rPr>
        <w:t xml:space="preserve">55 </w:t>
      </w:r>
      <w:r>
        <w:rPr>
          <w:rFonts w:ascii="Book Antiqua" w:hAnsi="Book Antiqua"/>
          <w:b/>
          <w:bCs/>
        </w:rPr>
        <w:t>Dominici M</w:t>
      </w:r>
      <w:r>
        <w:rPr>
          <w:rFonts w:ascii="Book Antiqua" w:hAnsi="Book Antiqua"/>
        </w:rPr>
        <w:t xml:space="preserve">, Le Blanc K, Mueller I, Slaper-Cortenbach I, Marini F, Krause D, Deans R, Keating A, Prockop Dj, Horwitz E. Minimal criteria for defining multipotent mesenchymal stromal cells. The International Society for Cellular Therapy position statement. </w:t>
      </w:r>
      <w:r>
        <w:rPr>
          <w:rFonts w:ascii="Book Antiqua" w:hAnsi="Book Antiqua"/>
          <w:i/>
          <w:iCs/>
        </w:rPr>
        <w:t>Cytotherapy</w:t>
      </w:r>
      <w:r>
        <w:rPr>
          <w:rFonts w:ascii="Book Antiqua" w:hAnsi="Book Antiqua"/>
        </w:rPr>
        <w:t xml:space="preserve"> 2006; </w:t>
      </w:r>
      <w:r>
        <w:rPr>
          <w:rFonts w:ascii="Book Antiqua" w:hAnsi="Book Antiqua"/>
          <w:b/>
          <w:bCs/>
        </w:rPr>
        <w:t>8</w:t>
      </w:r>
      <w:r>
        <w:rPr>
          <w:rFonts w:ascii="Book Antiqua" w:hAnsi="Book Antiqua"/>
        </w:rPr>
        <w:t>: 315-317 [PMID: 16923606 DOI: 10.1080/14653240600855905]</w:t>
      </w:r>
    </w:p>
    <w:p w14:paraId="7D3A8B67" w14:textId="77777777" w:rsidR="00556032" w:rsidRDefault="00000000">
      <w:pPr>
        <w:spacing w:line="360" w:lineRule="auto"/>
        <w:jc w:val="both"/>
        <w:rPr>
          <w:rFonts w:ascii="Book Antiqua" w:hAnsi="Book Antiqua"/>
        </w:rPr>
      </w:pPr>
      <w:r>
        <w:rPr>
          <w:rFonts w:ascii="Book Antiqua" w:hAnsi="Book Antiqua"/>
        </w:rPr>
        <w:t xml:space="preserve">56 </w:t>
      </w:r>
      <w:r>
        <w:rPr>
          <w:rFonts w:ascii="Book Antiqua" w:hAnsi="Book Antiqua"/>
          <w:b/>
          <w:bCs/>
        </w:rPr>
        <w:t>Meng Y</w:t>
      </w:r>
      <w:r>
        <w:rPr>
          <w:rFonts w:ascii="Book Antiqua" w:hAnsi="Book Antiqua"/>
        </w:rPr>
        <w:t xml:space="preserve">, Eirin A, Zhu XY, Tang H, Chanana P, Lerman A, van Wijnen AJ, Lerman LO. Obesity-induced mitochondrial dysfunction in porcine adipose tissue-derived mesenchymal stem cells. </w:t>
      </w:r>
      <w:r>
        <w:rPr>
          <w:rFonts w:ascii="Book Antiqua" w:hAnsi="Book Antiqua"/>
          <w:i/>
          <w:iCs/>
        </w:rPr>
        <w:t>J Cell Physiol</w:t>
      </w:r>
      <w:r>
        <w:rPr>
          <w:rFonts w:ascii="Book Antiqua" w:hAnsi="Book Antiqua"/>
        </w:rPr>
        <w:t xml:space="preserve"> 2018; </w:t>
      </w:r>
      <w:r>
        <w:rPr>
          <w:rFonts w:ascii="Book Antiqua" w:hAnsi="Book Antiqua"/>
          <w:b/>
          <w:bCs/>
        </w:rPr>
        <w:t>233</w:t>
      </w:r>
      <w:r>
        <w:rPr>
          <w:rFonts w:ascii="Book Antiqua" w:hAnsi="Book Antiqua"/>
        </w:rPr>
        <w:t>: 5926-5936 [PMID: 29243809 DOI: 10.1002/jcp.26402]</w:t>
      </w:r>
    </w:p>
    <w:p w14:paraId="4A02EF85" w14:textId="77777777" w:rsidR="00556032" w:rsidRDefault="00000000">
      <w:pPr>
        <w:spacing w:line="360" w:lineRule="auto"/>
        <w:jc w:val="both"/>
        <w:rPr>
          <w:rFonts w:ascii="Book Antiqua" w:hAnsi="Book Antiqua"/>
        </w:rPr>
      </w:pPr>
      <w:r>
        <w:rPr>
          <w:rFonts w:ascii="Book Antiqua" w:hAnsi="Book Antiqua"/>
        </w:rPr>
        <w:t xml:space="preserve">57 </w:t>
      </w:r>
      <w:r>
        <w:rPr>
          <w:rFonts w:ascii="Book Antiqua" w:hAnsi="Book Antiqua"/>
          <w:b/>
          <w:bCs/>
        </w:rPr>
        <w:t>He L</w:t>
      </w:r>
      <w:r>
        <w:rPr>
          <w:rFonts w:ascii="Book Antiqua" w:hAnsi="Book Antiqua"/>
        </w:rPr>
        <w:t xml:space="preserve">, He T, Farrar S, Ji L, Liu T, Ma X. Antioxidants Maintain Cellular Redox Homeostasis by Elimination of Reactive Oxygen Species. </w:t>
      </w:r>
      <w:r>
        <w:rPr>
          <w:rFonts w:ascii="Book Antiqua" w:hAnsi="Book Antiqua"/>
          <w:i/>
          <w:iCs/>
        </w:rPr>
        <w:t>Cell Physiol Biochem</w:t>
      </w:r>
      <w:r>
        <w:rPr>
          <w:rFonts w:ascii="Book Antiqua" w:hAnsi="Book Antiqua"/>
        </w:rPr>
        <w:t xml:space="preserve"> 2017; </w:t>
      </w:r>
      <w:r>
        <w:rPr>
          <w:rFonts w:ascii="Book Antiqua" w:hAnsi="Book Antiqua"/>
          <w:b/>
          <w:bCs/>
        </w:rPr>
        <w:t>44</w:t>
      </w:r>
      <w:r>
        <w:rPr>
          <w:rFonts w:ascii="Book Antiqua" w:hAnsi="Book Antiqua"/>
        </w:rPr>
        <w:t>: 532-553 [PMID: 29145191 DOI: 10.1159/000485089]</w:t>
      </w:r>
    </w:p>
    <w:p w14:paraId="6DAB99F4" w14:textId="77777777" w:rsidR="00556032" w:rsidRDefault="00000000">
      <w:pPr>
        <w:spacing w:line="360" w:lineRule="auto"/>
        <w:jc w:val="both"/>
        <w:rPr>
          <w:rFonts w:ascii="Book Antiqua" w:hAnsi="Book Antiqua"/>
        </w:rPr>
      </w:pPr>
      <w:r>
        <w:rPr>
          <w:rFonts w:ascii="Book Antiqua" w:hAnsi="Book Antiqua"/>
        </w:rPr>
        <w:t xml:space="preserve">58 </w:t>
      </w:r>
      <w:r>
        <w:rPr>
          <w:rFonts w:ascii="Book Antiqua" w:hAnsi="Book Antiqua"/>
          <w:b/>
          <w:bCs/>
        </w:rPr>
        <w:t>Loboda A</w:t>
      </w:r>
      <w:r>
        <w:rPr>
          <w:rFonts w:ascii="Book Antiqua" w:hAnsi="Book Antiqua"/>
        </w:rPr>
        <w:t xml:space="preserve">, Damulewicz M, Pyza E, Jozkowicz A, Dulak J. Role of Nrf2/HO-1 system in development, oxidative stress response and diseases: an evolutionarily conserved mechanism. </w:t>
      </w:r>
      <w:r>
        <w:rPr>
          <w:rFonts w:ascii="Book Antiqua" w:hAnsi="Book Antiqua"/>
          <w:i/>
          <w:iCs/>
        </w:rPr>
        <w:t>Cell Mol Life Sci</w:t>
      </w:r>
      <w:r>
        <w:rPr>
          <w:rFonts w:ascii="Book Antiqua" w:hAnsi="Book Antiqua"/>
        </w:rPr>
        <w:t xml:space="preserve"> 2016; </w:t>
      </w:r>
      <w:r>
        <w:rPr>
          <w:rFonts w:ascii="Book Antiqua" w:hAnsi="Book Antiqua"/>
          <w:b/>
          <w:bCs/>
        </w:rPr>
        <w:t>73</w:t>
      </w:r>
      <w:r>
        <w:rPr>
          <w:rFonts w:ascii="Book Antiqua" w:hAnsi="Book Antiqua"/>
        </w:rPr>
        <w:t>: 3221-3247 [PMID: 27100828 DOI: 10.1007/s00018-016-2223-0]</w:t>
      </w:r>
    </w:p>
    <w:p w14:paraId="6B3E2145" w14:textId="77777777" w:rsidR="00556032" w:rsidRDefault="00000000">
      <w:pPr>
        <w:spacing w:line="360" w:lineRule="auto"/>
        <w:jc w:val="both"/>
        <w:rPr>
          <w:rFonts w:ascii="Book Antiqua" w:hAnsi="Book Antiqua"/>
        </w:rPr>
      </w:pPr>
      <w:r>
        <w:rPr>
          <w:rFonts w:ascii="Book Antiqua" w:hAnsi="Book Antiqua"/>
        </w:rPr>
        <w:t xml:space="preserve">59 </w:t>
      </w:r>
      <w:r>
        <w:rPr>
          <w:rFonts w:ascii="Book Antiqua" w:hAnsi="Book Antiqua"/>
          <w:b/>
          <w:bCs/>
        </w:rPr>
        <w:t>Zhang ZH</w:t>
      </w:r>
      <w:r>
        <w:rPr>
          <w:rFonts w:ascii="Book Antiqua" w:hAnsi="Book Antiqua"/>
        </w:rPr>
        <w:t xml:space="preserve">, Zhu W, Ren HZ, Zhao X, Wang S, Ma HC, Shi XL. Mesenchymal stem cells increase expression of heme oxygenase-1 leading to anti-inflammatory activity in treatment of acute liver failure. </w:t>
      </w:r>
      <w:r>
        <w:rPr>
          <w:rFonts w:ascii="Book Antiqua" w:hAnsi="Book Antiqua"/>
          <w:i/>
          <w:iCs/>
        </w:rPr>
        <w:t>Stem Cell Res Ther</w:t>
      </w:r>
      <w:r>
        <w:rPr>
          <w:rFonts w:ascii="Book Antiqua" w:hAnsi="Book Antiqua"/>
        </w:rPr>
        <w:t xml:space="preserve"> 2017; </w:t>
      </w:r>
      <w:r>
        <w:rPr>
          <w:rFonts w:ascii="Book Antiqua" w:hAnsi="Book Antiqua"/>
          <w:b/>
          <w:bCs/>
        </w:rPr>
        <w:t>8</w:t>
      </w:r>
      <w:r>
        <w:rPr>
          <w:rFonts w:ascii="Book Antiqua" w:hAnsi="Book Antiqua"/>
        </w:rPr>
        <w:t>: 70 [PMID: 28320485 DOI: 10.1186/s13287-017-0524-3]</w:t>
      </w:r>
    </w:p>
    <w:p w14:paraId="498F492E" w14:textId="77777777" w:rsidR="00556032" w:rsidRDefault="00000000">
      <w:pPr>
        <w:spacing w:line="360" w:lineRule="auto"/>
        <w:jc w:val="both"/>
        <w:rPr>
          <w:rFonts w:ascii="Book Antiqua" w:hAnsi="Book Antiqua"/>
        </w:rPr>
      </w:pPr>
      <w:r>
        <w:rPr>
          <w:rFonts w:ascii="Book Antiqua" w:hAnsi="Book Antiqua"/>
        </w:rPr>
        <w:t xml:space="preserve">60 </w:t>
      </w:r>
      <w:r>
        <w:rPr>
          <w:rFonts w:ascii="Book Antiqua" w:hAnsi="Book Antiqua"/>
          <w:b/>
          <w:bCs/>
        </w:rPr>
        <w:t>Audi SH</w:t>
      </w:r>
      <w:r>
        <w:rPr>
          <w:rFonts w:ascii="Book Antiqua" w:hAnsi="Book Antiqua"/>
        </w:rPr>
        <w:t xml:space="preserve">, Cammarata A, Clough AV, Dash RK, Jacobs ER. Quantification of mitochondrial membrane potential in the isolated rat lung using rhodamine 6G. </w:t>
      </w:r>
      <w:r>
        <w:rPr>
          <w:rFonts w:ascii="Book Antiqua" w:hAnsi="Book Antiqua"/>
          <w:i/>
          <w:iCs/>
        </w:rPr>
        <w:t>J Appl Physiol (1985)</w:t>
      </w:r>
      <w:r>
        <w:rPr>
          <w:rFonts w:ascii="Book Antiqua" w:hAnsi="Book Antiqua"/>
        </w:rPr>
        <w:t xml:space="preserve"> 2020; </w:t>
      </w:r>
      <w:r>
        <w:rPr>
          <w:rFonts w:ascii="Book Antiqua" w:hAnsi="Book Antiqua"/>
          <w:b/>
          <w:bCs/>
        </w:rPr>
        <w:t>128</w:t>
      </w:r>
      <w:r>
        <w:rPr>
          <w:rFonts w:ascii="Book Antiqua" w:hAnsi="Book Antiqua"/>
        </w:rPr>
        <w:t>: 892-906 [PMID: 32134711 DOI: 10.1152/japplphysiol.00789.2019]</w:t>
      </w:r>
    </w:p>
    <w:p w14:paraId="18F73FF5" w14:textId="77777777" w:rsidR="00556032" w:rsidRDefault="00000000">
      <w:pPr>
        <w:spacing w:line="360" w:lineRule="auto"/>
        <w:jc w:val="both"/>
        <w:rPr>
          <w:rFonts w:ascii="Book Antiqua" w:hAnsi="Book Antiqua"/>
        </w:rPr>
      </w:pPr>
      <w:r>
        <w:rPr>
          <w:rFonts w:ascii="Book Antiqua" w:hAnsi="Book Antiqua"/>
        </w:rPr>
        <w:t xml:space="preserve">61 </w:t>
      </w:r>
      <w:r>
        <w:rPr>
          <w:rFonts w:ascii="Book Antiqua" w:hAnsi="Book Antiqua"/>
          <w:b/>
          <w:bCs/>
        </w:rPr>
        <w:t>Galleu A</w:t>
      </w:r>
      <w:r>
        <w:rPr>
          <w:rFonts w:ascii="Book Antiqua" w:hAnsi="Book Antiqua"/>
        </w:rPr>
        <w:t xml:space="preserve">, Riffo-Vasquez Y, Trento C, Lomas C, Dolcetti L, Cheung TS, von Bonin M, Barbieri L, Halai K, Ward S, Weng L, Chakraverty R, Lombardi G, Watt FM, Orchard K, Marks DI, Apperley J, Bornhauser M, Walczak H, Bennett C, Dazzi F. Apoptosis in mesenchymal stromal cells induces in vivo recipient-mediated immunomodulation. </w:t>
      </w:r>
      <w:r>
        <w:rPr>
          <w:rFonts w:ascii="Book Antiqua" w:hAnsi="Book Antiqua"/>
          <w:i/>
          <w:iCs/>
        </w:rPr>
        <w:t>Sci Transl Med</w:t>
      </w:r>
      <w:r>
        <w:rPr>
          <w:rFonts w:ascii="Book Antiqua" w:hAnsi="Book Antiqua"/>
        </w:rPr>
        <w:t xml:space="preserve"> 2017; </w:t>
      </w:r>
      <w:r>
        <w:rPr>
          <w:rFonts w:ascii="Book Antiqua" w:hAnsi="Book Antiqua"/>
          <w:b/>
          <w:bCs/>
        </w:rPr>
        <w:t>9</w:t>
      </w:r>
      <w:r>
        <w:rPr>
          <w:rFonts w:ascii="Book Antiqua" w:hAnsi="Book Antiqua"/>
        </w:rPr>
        <w:t xml:space="preserve"> [PMID: 29141887 DOI: 10.1126/scitranslmed.aam7828]</w:t>
      </w:r>
    </w:p>
    <w:p w14:paraId="605D501A" w14:textId="77777777" w:rsidR="00556032" w:rsidRDefault="00000000">
      <w:pPr>
        <w:spacing w:line="360" w:lineRule="auto"/>
        <w:jc w:val="both"/>
        <w:rPr>
          <w:rFonts w:ascii="Book Antiqua" w:hAnsi="Book Antiqua"/>
        </w:rPr>
      </w:pPr>
      <w:r>
        <w:rPr>
          <w:rFonts w:ascii="Book Antiqua" w:hAnsi="Book Antiqua"/>
        </w:rPr>
        <w:t xml:space="preserve">62 </w:t>
      </w:r>
      <w:r>
        <w:rPr>
          <w:rFonts w:ascii="Book Antiqua" w:hAnsi="Book Antiqua"/>
          <w:b/>
          <w:bCs/>
        </w:rPr>
        <w:t>Pang SHM</w:t>
      </w:r>
      <w:r>
        <w:rPr>
          <w:rFonts w:ascii="Book Antiqua" w:hAnsi="Book Antiqua"/>
        </w:rPr>
        <w:t xml:space="preserve">, D'Rozario J, Mendonca S, Bhuvan T, Payne NL, Zheng D, Hisana A, Wallis G, Barugahare A, Powell D, Rautela J, Huntington ND, Dewson G, Huang DCS, Gray DHD, Heng TSP. Mesenchymal stromal cell apoptosis is required for their therapeutic function. </w:t>
      </w:r>
      <w:r>
        <w:rPr>
          <w:rFonts w:ascii="Book Antiqua" w:hAnsi="Book Antiqua"/>
          <w:i/>
          <w:iCs/>
        </w:rPr>
        <w:t>Nat Commun</w:t>
      </w:r>
      <w:r>
        <w:rPr>
          <w:rFonts w:ascii="Book Antiqua" w:hAnsi="Book Antiqua"/>
        </w:rPr>
        <w:t xml:space="preserve"> 2021; </w:t>
      </w:r>
      <w:r>
        <w:rPr>
          <w:rFonts w:ascii="Book Antiqua" w:hAnsi="Book Antiqua"/>
          <w:b/>
          <w:bCs/>
        </w:rPr>
        <w:t>12</w:t>
      </w:r>
      <w:r>
        <w:rPr>
          <w:rFonts w:ascii="Book Antiqua" w:hAnsi="Book Antiqua"/>
        </w:rPr>
        <w:t>: 6495 [PMID: 34764248 DOI: 10.1038/s41467-021-26834-3]</w:t>
      </w:r>
    </w:p>
    <w:p w14:paraId="76D6D4D3" w14:textId="77777777" w:rsidR="00556032" w:rsidRDefault="00000000">
      <w:pPr>
        <w:spacing w:line="360" w:lineRule="auto"/>
        <w:jc w:val="both"/>
        <w:rPr>
          <w:rFonts w:ascii="Book Antiqua" w:hAnsi="Book Antiqua"/>
        </w:rPr>
      </w:pPr>
      <w:r>
        <w:rPr>
          <w:rFonts w:ascii="Book Antiqua" w:hAnsi="Book Antiqua"/>
        </w:rPr>
        <w:t xml:space="preserve">63 </w:t>
      </w:r>
      <w:r>
        <w:rPr>
          <w:rFonts w:ascii="Book Antiqua" w:hAnsi="Book Antiqua"/>
          <w:b/>
          <w:bCs/>
        </w:rPr>
        <w:t>He F</w:t>
      </w:r>
      <w:r>
        <w:rPr>
          <w:rFonts w:ascii="Book Antiqua" w:hAnsi="Book Antiqua"/>
        </w:rPr>
        <w:t xml:space="preserve">, Li Q, Sheng B, Yang H, Jiang W. SIRT1 Inhibits Apoptosis by Promoting Autophagic Flux in Human Nucleus Pulposus Cells in the Key Stage of Degeneration via ERK Signal Pathway. </w:t>
      </w:r>
      <w:r>
        <w:rPr>
          <w:rFonts w:ascii="Book Antiqua" w:hAnsi="Book Antiqua"/>
          <w:i/>
          <w:iCs/>
        </w:rPr>
        <w:t>Biomed Res Int</w:t>
      </w:r>
      <w:r>
        <w:rPr>
          <w:rFonts w:ascii="Book Antiqua" w:hAnsi="Book Antiqua"/>
        </w:rPr>
        <w:t xml:space="preserve"> 2021; </w:t>
      </w:r>
      <w:r>
        <w:rPr>
          <w:rFonts w:ascii="Book Antiqua" w:hAnsi="Book Antiqua"/>
          <w:b/>
          <w:bCs/>
        </w:rPr>
        <w:t>2021</w:t>
      </w:r>
      <w:r>
        <w:rPr>
          <w:rFonts w:ascii="Book Antiqua" w:hAnsi="Book Antiqua"/>
        </w:rPr>
        <w:t>: 8818713 [PMID: 33728342 DOI: 10.1155/2021/8818713]</w:t>
      </w:r>
    </w:p>
    <w:p w14:paraId="2AAFAB9F" w14:textId="77777777" w:rsidR="00556032" w:rsidRDefault="00000000">
      <w:pPr>
        <w:spacing w:line="360" w:lineRule="auto"/>
        <w:jc w:val="both"/>
        <w:rPr>
          <w:rFonts w:ascii="Book Antiqua" w:hAnsi="Book Antiqua"/>
        </w:rPr>
      </w:pPr>
      <w:r>
        <w:rPr>
          <w:rFonts w:ascii="Book Antiqua" w:hAnsi="Book Antiqua"/>
        </w:rPr>
        <w:t xml:space="preserve">64 </w:t>
      </w:r>
      <w:r>
        <w:rPr>
          <w:rFonts w:ascii="Book Antiqua" w:hAnsi="Book Antiqua"/>
          <w:b/>
          <w:bCs/>
        </w:rPr>
        <w:t>Perlman H</w:t>
      </w:r>
      <w:r>
        <w:rPr>
          <w:rFonts w:ascii="Book Antiqua" w:hAnsi="Book Antiqua"/>
        </w:rPr>
        <w:t xml:space="preserve">, Zhang X, Chen MW, Walsh K, Buttyan R. An elevated bax/bcl-2 ratio corresponds with the onset of prostate epithelial cell apoptosis. </w:t>
      </w:r>
      <w:r>
        <w:rPr>
          <w:rFonts w:ascii="Book Antiqua" w:hAnsi="Book Antiqua"/>
          <w:i/>
          <w:iCs/>
        </w:rPr>
        <w:t>Cell Death Differ</w:t>
      </w:r>
      <w:r>
        <w:rPr>
          <w:rFonts w:ascii="Book Antiqua" w:hAnsi="Book Antiqua"/>
        </w:rPr>
        <w:t xml:space="preserve"> 1999; </w:t>
      </w:r>
      <w:r>
        <w:rPr>
          <w:rFonts w:ascii="Book Antiqua" w:hAnsi="Book Antiqua"/>
          <w:b/>
          <w:bCs/>
        </w:rPr>
        <w:t>6</w:t>
      </w:r>
      <w:r>
        <w:rPr>
          <w:rFonts w:ascii="Book Antiqua" w:hAnsi="Book Antiqua"/>
        </w:rPr>
        <w:t>: 48-54 [PMID: 10200547 DOI: 10.1038/sj.cdd.4400453]</w:t>
      </w:r>
    </w:p>
    <w:p w14:paraId="3057CE1A" w14:textId="77777777" w:rsidR="00556032" w:rsidRDefault="00000000">
      <w:pPr>
        <w:spacing w:line="360" w:lineRule="auto"/>
        <w:jc w:val="both"/>
        <w:rPr>
          <w:rFonts w:ascii="Book Antiqua" w:hAnsi="Book Antiqua"/>
        </w:rPr>
      </w:pPr>
      <w:r>
        <w:rPr>
          <w:rFonts w:ascii="Book Antiqua" w:hAnsi="Book Antiqua"/>
        </w:rPr>
        <w:t xml:space="preserve">65 </w:t>
      </w:r>
      <w:r>
        <w:rPr>
          <w:rFonts w:ascii="Book Antiqua" w:hAnsi="Book Antiqua"/>
          <w:b/>
          <w:bCs/>
        </w:rPr>
        <w:t>Salminen A</w:t>
      </w:r>
      <w:r>
        <w:rPr>
          <w:rFonts w:ascii="Book Antiqua" w:hAnsi="Book Antiqua"/>
        </w:rPr>
        <w:t xml:space="preserve">, Kaarniranta K, Kauppinen A. Exosomal vesicles enhance immunosuppression in chronic inflammation: Impact in cellular senescence and the aging process. </w:t>
      </w:r>
      <w:r>
        <w:rPr>
          <w:rFonts w:ascii="Book Antiqua" w:hAnsi="Book Antiqua"/>
          <w:i/>
          <w:iCs/>
        </w:rPr>
        <w:t>Cell Signal</w:t>
      </w:r>
      <w:r>
        <w:rPr>
          <w:rFonts w:ascii="Book Antiqua" w:hAnsi="Book Antiqua"/>
        </w:rPr>
        <w:t xml:space="preserve"> 2020; </w:t>
      </w:r>
      <w:r>
        <w:rPr>
          <w:rFonts w:ascii="Book Antiqua" w:hAnsi="Book Antiqua"/>
          <w:b/>
          <w:bCs/>
        </w:rPr>
        <w:t>75</w:t>
      </w:r>
      <w:r>
        <w:rPr>
          <w:rFonts w:ascii="Book Antiqua" w:hAnsi="Book Antiqua"/>
        </w:rPr>
        <w:t>: 109771 [PMID: 32896608 DOI: 10.1016/j.cellsig.2020.109771]</w:t>
      </w:r>
    </w:p>
    <w:p w14:paraId="338A7F08" w14:textId="77777777" w:rsidR="00556032" w:rsidRDefault="00000000">
      <w:pPr>
        <w:spacing w:line="360" w:lineRule="auto"/>
        <w:jc w:val="both"/>
        <w:rPr>
          <w:rFonts w:ascii="Book Antiqua" w:hAnsi="Book Antiqua"/>
        </w:rPr>
      </w:pPr>
      <w:r>
        <w:rPr>
          <w:rFonts w:ascii="Book Antiqua" w:hAnsi="Book Antiqua"/>
        </w:rPr>
        <w:t xml:space="preserve">66 </w:t>
      </w:r>
      <w:r>
        <w:rPr>
          <w:rFonts w:ascii="Book Antiqua" w:hAnsi="Book Antiqua"/>
          <w:b/>
          <w:bCs/>
        </w:rPr>
        <w:t>Bhujel B</w:t>
      </w:r>
      <w:r>
        <w:rPr>
          <w:rFonts w:ascii="Book Antiqua" w:hAnsi="Book Antiqua"/>
        </w:rPr>
        <w:t xml:space="preserve">, Shin HE, Choi DJ, Han I. Mesenchymal Stem Cell-Derived Exosomes and Intervertebral Disc Regeneration: Review. </w:t>
      </w:r>
      <w:r>
        <w:rPr>
          <w:rFonts w:ascii="Book Antiqua" w:hAnsi="Book Antiqua"/>
          <w:i/>
          <w:iCs/>
        </w:rPr>
        <w:t>Int J Mol Sci</w:t>
      </w:r>
      <w:r>
        <w:rPr>
          <w:rFonts w:ascii="Book Antiqua" w:hAnsi="Book Antiqua"/>
        </w:rPr>
        <w:t xml:space="preserve"> 2022; </w:t>
      </w:r>
      <w:r>
        <w:rPr>
          <w:rFonts w:ascii="Book Antiqua" w:hAnsi="Book Antiqua"/>
          <w:b/>
          <w:bCs/>
        </w:rPr>
        <w:t>23</w:t>
      </w:r>
      <w:r>
        <w:rPr>
          <w:rFonts w:ascii="Book Antiqua" w:hAnsi="Book Antiqua"/>
        </w:rPr>
        <w:t xml:space="preserve"> [PMID: 35806304 DOI: 10.3390/ijms23137306]</w:t>
      </w:r>
    </w:p>
    <w:p w14:paraId="63382999" w14:textId="77777777" w:rsidR="00556032" w:rsidRDefault="00000000">
      <w:pPr>
        <w:spacing w:line="360" w:lineRule="auto"/>
        <w:jc w:val="both"/>
        <w:rPr>
          <w:rFonts w:ascii="Book Antiqua" w:hAnsi="Book Antiqua"/>
        </w:rPr>
      </w:pPr>
      <w:r>
        <w:rPr>
          <w:rFonts w:ascii="Book Antiqua" w:hAnsi="Book Antiqua"/>
        </w:rPr>
        <w:t xml:space="preserve">67 </w:t>
      </w:r>
      <w:r>
        <w:rPr>
          <w:rFonts w:ascii="Book Antiqua" w:hAnsi="Book Antiqua"/>
          <w:b/>
          <w:bCs/>
        </w:rPr>
        <w:t>Gonzalez-Pujana A</w:t>
      </w:r>
      <w:r>
        <w:rPr>
          <w:rFonts w:ascii="Book Antiqua" w:hAnsi="Book Antiqua"/>
        </w:rPr>
        <w:t xml:space="preserve">, Igartua M, Santos-Vizcaino E, Hernandez RM. Mesenchymal stromal cell based therapies for the treatment of immune disorders: recent milestones and future challenges. </w:t>
      </w:r>
      <w:r>
        <w:rPr>
          <w:rFonts w:ascii="Book Antiqua" w:hAnsi="Book Antiqua"/>
          <w:i/>
          <w:iCs/>
        </w:rPr>
        <w:t>Expert Opin Drug Deliv</w:t>
      </w:r>
      <w:r>
        <w:rPr>
          <w:rFonts w:ascii="Book Antiqua" w:hAnsi="Book Antiqua"/>
        </w:rPr>
        <w:t xml:space="preserve"> 2020; </w:t>
      </w:r>
      <w:r>
        <w:rPr>
          <w:rFonts w:ascii="Book Antiqua" w:hAnsi="Book Antiqua"/>
          <w:b/>
          <w:bCs/>
        </w:rPr>
        <w:t>17</w:t>
      </w:r>
      <w:r>
        <w:rPr>
          <w:rFonts w:ascii="Book Antiqua" w:hAnsi="Book Antiqua"/>
        </w:rPr>
        <w:t>: 189-200 [PMID: 31918562 DOI: 10.1080/17425247.2020.1714587]</w:t>
      </w:r>
    </w:p>
    <w:p w14:paraId="7CA0CEA9" w14:textId="77777777" w:rsidR="00556032" w:rsidRDefault="00000000">
      <w:pPr>
        <w:spacing w:line="360" w:lineRule="auto"/>
        <w:jc w:val="both"/>
        <w:rPr>
          <w:rFonts w:ascii="Book Antiqua" w:hAnsi="Book Antiqua"/>
        </w:rPr>
      </w:pPr>
      <w:r>
        <w:rPr>
          <w:rFonts w:ascii="Book Antiqua" w:hAnsi="Book Antiqua"/>
        </w:rPr>
        <w:t xml:space="preserve">68 </w:t>
      </w:r>
      <w:r>
        <w:rPr>
          <w:rFonts w:ascii="Book Antiqua" w:hAnsi="Book Antiqua"/>
          <w:b/>
          <w:bCs/>
        </w:rPr>
        <w:t>Sotiropoulou PA</w:t>
      </w:r>
      <w:r>
        <w:rPr>
          <w:rFonts w:ascii="Book Antiqua" w:hAnsi="Book Antiqua"/>
        </w:rPr>
        <w:t xml:space="preserve">, Perez SA, Gritzapis AD, Baxevanis CN, Papamichail M. Interactions between human mesenchymal stem cells and natural killer cells. </w:t>
      </w:r>
      <w:r>
        <w:rPr>
          <w:rFonts w:ascii="Book Antiqua" w:hAnsi="Book Antiqua"/>
          <w:i/>
          <w:iCs/>
        </w:rPr>
        <w:t>Stem Cells</w:t>
      </w:r>
      <w:r>
        <w:rPr>
          <w:rFonts w:ascii="Book Antiqua" w:hAnsi="Book Antiqua"/>
        </w:rPr>
        <w:t xml:space="preserve"> 2006; </w:t>
      </w:r>
      <w:r>
        <w:rPr>
          <w:rFonts w:ascii="Book Antiqua" w:hAnsi="Book Antiqua"/>
          <w:b/>
          <w:bCs/>
        </w:rPr>
        <w:t>24</w:t>
      </w:r>
      <w:r>
        <w:rPr>
          <w:rFonts w:ascii="Book Antiqua" w:hAnsi="Book Antiqua"/>
        </w:rPr>
        <w:t>: 74-85 [PMID: 16099998 DOI: 10.1634/stemcells.2004-0359]</w:t>
      </w:r>
    </w:p>
    <w:p w14:paraId="402521CE" w14:textId="77777777" w:rsidR="00556032" w:rsidRDefault="00000000">
      <w:pPr>
        <w:spacing w:line="360" w:lineRule="auto"/>
        <w:jc w:val="both"/>
        <w:rPr>
          <w:rFonts w:ascii="Book Antiqua" w:hAnsi="Book Antiqua"/>
        </w:rPr>
      </w:pPr>
      <w:r>
        <w:rPr>
          <w:rFonts w:ascii="Book Antiqua" w:hAnsi="Book Antiqua"/>
        </w:rPr>
        <w:t xml:space="preserve">69 </w:t>
      </w:r>
      <w:r>
        <w:rPr>
          <w:rFonts w:ascii="Book Antiqua" w:hAnsi="Book Antiqua"/>
          <w:b/>
          <w:bCs/>
        </w:rPr>
        <w:t>Spaggiari GM</w:t>
      </w:r>
      <w:r>
        <w:rPr>
          <w:rFonts w:ascii="Book Antiqua" w:hAnsi="Book Antiqua"/>
        </w:rPr>
        <w:t xml:space="preserve">, Capobianco A, Becchetti S, Mingari MC, Moretta L. Mesenchymal stem cell-natural killer cell interactions: evidence that activated NK cells are capable of killing MSCs, whereas MSCs can inhibit IL-2-induced NK-cell proliferation. </w:t>
      </w:r>
      <w:r>
        <w:rPr>
          <w:rFonts w:ascii="Book Antiqua" w:hAnsi="Book Antiqua"/>
          <w:i/>
          <w:iCs/>
        </w:rPr>
        <w:t>Blood</w:t>
      </w:r>
      <w:r>
        <w:rPr>
          <w:rFonts w:ascii="Book Antiqua" w:hAnsi="Book Antiqua"/>
        </w:rPr>
        <w:t xml:space="preserve"> 2006; </w:t>
      </w:r>
      <w:r>
        <w:rPr>
          <w:rFonts w:ascii="Book Antiqua" w:hAnsi="Book Antiqua"/>
          <w:b/>
          <w:bCs/>
        </w:rPr>
        <w:t>107</w:t>
      </w:r>
      <w:r>
        <w:rPr>
          <w:rFonts w:ascii="Book Antiqua" w:hAnsi="Book Antiqua"/>
        </w:rPr>
        <w:t>: 1484-1490 [PMID: 16239427 DOI: 10.1182/blood-2005-07-2775]</w:t>
      </w:r>
    </w:p>
    <w:p w14:paraId="6B8EB1C7" w14:textId="77777777" w:rsidR="00556032" w:rsidRDefault="00000000">
      <w:pPr>
        <w:spacing w:line="360" w:lineRule="auto"/>
        <w:jc w:val="both"/>
        <w:rPr>
          <w:rFonts w:ascii="Book Antiqua" w:hAnsi="Book Antiqua"/>
        </w:rPr>
      </w:pPr>
      <w:r>
        <w:rPr>
          <w:rFonts w:ascii="Book Antiqua" w:hAnsi="Book Antiqua"/>
        </w:rPr>
        <w:t xml:space="preserve">70 </w:t>
      </w:r>
      <w:r>
        <w:rPr>
          <w:rFonts w:ascii="Book Antiqua" w:hAnsi="Book Antiqua"/>
          <w:b/>
          <w:bCs/>
        </w:rPr>
        <w:t>Chatterjee D</w:t>
      </w:r>
      <w:r>
        <w:rPr>
          <w:rFonts w:ascii="Book Antiqua" w:hAnsi="Book Antiqua"/>
        </w:rPr>
        <w:t xml:space="preserve">, Marquardt N, Tufa DM, Hatlapatka T, Hass R, Kasper C, von Kaisenberg C, Schmidt RE, Jacobs R. Human Umbilical Cord-Derived Mesenchymal Stem Cells Utilize Activin-A to Suppress Interferon-γ Production by Natural Killer Cells. </w:t>
      </w:r>
      <w:r>
        <w:rPr>
          <w:rFonts w:ascii="Book Antiqua" w:hAnsi="Book Antiqua"/>
          <w:i/>
          <w:iCs/>
        </w:rPr>
        <w:t>Front Immunol</w:t>
      </w:r>
      <w:r>
        <w:rPr>
          <w:rFonts w:ascii="Book Antiqua" w:hAnsi="Book Antiqua"/>
        </w:rPr>
        <w:t xml:space="preserve"> 2014; </w:t>
      </w:r>
      <w:r>
        <w:rPr>
          <w:rFonts w:ascii="Book Antiqua" w:hAnsi="Book Antiqua"/>
          <w:b/>
          <w:bCs/>
        </w:rPr>
        <w:t>5</w:t>
      </w:r>
      <w:r>
        <w:rPr>
          <w:rFonts w:ascii="Book Antiqua" w:hAnsi="Book Antiqua"/>
        </w:rPr>
        <w:t>: 662 [PMID: 25584044 DOI: 10.3389/fimmu.2014.00662]</w:t>
      </w:r>
    </w:p>
    <w:p w14:paraId="5C47063E" w14:textId="77777777" w:rsidR="00556032" w:rsidRDefault="00000000">
      <w:pPr>
        <w:spacing w:line="360" w:lineRule="auto"/>
        <w:jc w:val="both"/>
        <w:rPr>
          <w:rFonts w:ascii="Book Antiqua" w:hAnsi="Book Antiqua"/>
        </w:rPr>
      </w:pPr>
      <w:r>
        <w:rPr>
          <w:rFonts w:ascii="Book Antiqua" w:hAnsi="Book Antiqua"/>
        </w:rPr>
        <w:t xml:space="preserve">71 </w:t>
      </w:r>
      <w:r>
        <w:rPr>
          <w:rFonts w:ascii="Book Antiqua" w:hAnsi="Book Antiqua"/>
          <w:b/>
          <w:bCs/>
        </w:rPr>
        <w:t>Sarhan D</w:t>
      </w:r>
      <w:r>
        <w:rPr>
          <w:rFonts w:ascii="Book Antiqua" w:hAnsi="Book Antiqua"/>
        </w:rPr>
        <w:t xml:space="preserve">, Wang J, Sunil Arvindam U, Hallstrom C, Verneris MR, Grzywacz B, Warlick E, Blazar BR, Miller JS. Mesenchymal stromal cells shape the MDS microenvironment by inducing suppressive monocytes that dampen NK cell function. </w:t>
      </w:r>
      <w:r>
        <w:rPr>
          <w:rFonts w:ascii="Book Antiqua" w:hAnsi="Book Antiqua"/>
          <w:i/>
          <w:iCs/>
        </w:rPr>
        <w:t>JCI Insight</w:t>
      </w:r>
      <w:r>
        <w:rPr>
          <w:rFonts w:ascii="Book Antiqua" w:hAnsi="Book Antiqua"/>
        </w:rPr>
        <w:t xml:space="preserve"> 2020; </w:t>
      </w:r>
      <w:r>
        <w:rPr>
          <w:rFonts w:ascii="Book Antiqua" w:hAnsi="Book Antiqua"/>
          <w:b/>
          <w:bCs/>
        </w:rPr>
        <w:t>5</w:t>
      </w:r>
      <w:r>
        <w:rPr>
          <w:rFonts w:ascii="Book Antiqua" w:hAnsi="Book Antiqua"/>
        </w:rPr>
        <w:t xml:space="preserve"> [PMID: 32045384 DOI: 10.1172/jci.insight.130155]</w:t>
      </w:r>
    </w:p>
    <w:p w14:paraId="2BC7688B" w14:textId="77777777" w:rsidR="00556032" w:rsidRDefault="00000000">
      <w:pPr>
        <w:spacing w:line="360" w:lineRule="auto"/>
        <w:jc w:val="both"/>
        <w:rPr>
          <w:rFonts w:ascii="Book Antiqua" w:hAnsi="Book Antiqua"/>
        </w:rPr>
      </w:pPr>
      <w:r>
        <w:rPr>
          <w:rFonts w:ascii="Book Antiqua" w:hAnsi="Book Antiqua"/>
        </w:rPr>
        <w:t xml:space="preserve">72 </w:t>
      </w:r>
      <w:r>
        <w:rPr>
          <w:rFonts w:ascii="Book Antiqua" w:hAnsi="Book Antiqua"/>
          <w:b/>
          <w:bCs/>
        </w:rPr>
        <w:t>Chatterjee D</w:t>
      </w:r>
      <w:r>
        <w:rPr>
          <w:rFonts w:ascii="Book Antiqua" w:hAnsi="Book Antiqua"/>
        </w:rPr>
        <w:t xml:space="preserve">, Marquardt N, Tufa DM, Beauclair G, Low HZ, Hatlapatka T, Hass R, Kasper C, von Kaisenberg C, Schmidt RE, Jacobs R. Role of gamma-secretase in human umbilical-cord derived mesenchymal stem cell mediated suppression of NK cell cytotoxicity. </w:t>
      </w:r>
      <w:r>
        <w:rPr>
          <w:rFonts w:ascii="Book Antiqua" w:hAnsi="Book Antiqua"/>
          <w:i/>
          <w:iCs/>
        </w:rPr>
        <w:t>Cell Commun Signal</w:t>
      </w:r>
      <w:r>
        <w:rPr>
          <w:rFonts w:ascii="Book Antiqua" w:hAnsi="Book Antiqua"/>
        </w:rPr>
        <w:t xml:space="preserve"> 2014; </w:t>
      </w:r>
      <w:r>
        <w:rPr>
          <w:rFonts w:ascii="Book Antiqua" w:hAnsi="Book Antiqua"/>
          <w:b/>
          <w:bCs/>
        </w:rPr>
        <w:t>12</w:t>
      </w:r>
      <w:r>
        <w:rPr>
          <w:rFonts w:ascii="Book Antiqua" w:hAnsi="Book Antiqua"/>
        </w:rPr>
        <w:t>: 63 [PMID: 25266361 DOI: 10.1186/s12964-014-0063-9]</w:t>
      </w:r>
    </w:p>
    <w:p w14:paraId="1C02652E" w14:textId="77777777" w:rsidR="00556032" w:rsidRDefault="00556032">
      <w:pPr>
        <w:spacing w:line="360" w:lineRule="auto"/>
        <w:jc w:val="both"/>
        <w:rPr>
          <w:rFonts w:ascii="Book Antiqua" w:hAnsi="Book Antiqua"/>
        </w:rPr>
        <w:sectPr w:rsidR="00556032">
          <w:pgSz w:w="12240" w:h="15840"/>
          <w:pgMar w:top="1440" w:right="1440" w:bottom="1440" w:left="1440" w:header="720" w:footer="720" w:gutter="0"/>
          <w:cols w:space="720"/>
          <w:docGrid w:linePitch="360"/>
        </w:sectPr>
      </w:pPr>
    </w:p>
    <w:p w14:paraId="22F05088" w14:textId="77777777" w:rsidR="00556032" w:rsidRDefault="00000000">
      <w:pPr>
        <w:spacing w:line="360" w:lineRule="auto"/>
        <w:jc w:val="both"/>
        <w:rPr>
          <w:rFonts w:ascii="Book Antiqua" w:hAnsi="Book Antiqua"/>
        </w:rPr>
      </w:pPr>
      <w:r>
        <w:rPr>
          <w:rFonts w:ascii="Book Antiqua" w:eastAsia="Book Antiqua" w:hAnsi="Book Antiqua" w:cs="Book Antiqua"/>
          <w:b/>
          <w:color w:val="000000"/>
        </w:rPr>
        <w:t>Footnotes</w:t>
      </w:r>
    </w:p>
    <w:p w14:paraId="784E3B6F" w14:textId="77777777" w:rsidR="00556032" w:rsidRDefault="00000000">
      <w:pPr>
        <w:spacing w:line="360" w:lineRule="auto"/>
        <w:jc w:val="both"/>
        <w:rPr>
          <w:rFonts w:ascii="Book Antiqua" w:hAnsi="Book Antiqua"/>
        </w:rPr>
      </w:pPr>
      <w:r>
        <w:rPr>
          <w:rFonts w:ascii="Book Antiqua" w:eastAsia="Book Antiqua" w:hAnsi="Book Antiqua" w:cs="Book Antiqua"/>
          <w:b/>
          <w:bCs/>
        </w:rPr>
        <w:t xml:space="preserve">Institutional review board statement: </w:t>
      </w:r>
      <w:r>
        <w:rPr>
          <w:rFonts w:ascii="Book Antiqua" w:eastAsia="Book Antiqua" w:hAnsi="Book Antiqua" w:cs="Book Antiqua"/>
        </w:rPr>
        <w:t>This study was approved by the Medical Ethics Committee of Shanxi Medical University (Approval No. 2018LL016).</w:t>
      </w:r>
    </w:p>
    <w:p w14:paraId="6C4AFCD8" w14:textId="77777777" w:rsidR="00556032" w:rsidRDefault="00556032">
      <w:pPr>
        <w:spacing w:line="360" w:lineRule="auto"/>
        <w:jc w:val="both"/>
        <w:rPr>
          <w:rFonts w:ascii="Book Antiqua" w:hAnsi="Book Antiqua"/>
        </w:rPr>
      </w:pPr>
    </w:p>
    <w:p w14:paraId="13D2DD7D" w14:textId="77777777" w:rsidR="00556032" w:rsidRDefault="00000000">
      <w:pPr>
        <w:spacing w:line="360" w:lineRule="auto"/>
        <w:jc w:val="both"/>
        <w:rPr>
          <w:rFonts w:ascii="Book Antiqua" w:hAnsi="Book Antiqua"/>
        </w:rPr>
      </w:pPr>
      <w:r>
        <w:rPr>
          <w:rFonts w:ascii="Book Antiqua" w:eastAsia="Book Antiqua" w:hAnsi="Book Antiqua" w:cs="Book Antiqua"/>
          <w:b/>
          <w:bCs/>
        </w:rPr>
        <w:t xml:space="preserve">Conflict-of-interest statement: </w:t>
      </w:r>
      <w:r>
        <w:rPr>
          <w:rFonts w:ascii="Book Antiqua" w:eastAsia="Book Antiqua" w:hAnsi="Book Antiqua" w:cs="Book Antiqua"/>
          <w:color w:val="000000"/>
        </w:rPr>
        <w:t>The authors report no relevant conflicts of interest for this article.</w:t>
      </w:r>
    </w:p>
    <w:p w14:paraId="1B87B0FF" w14:textId="77777777" w:rsidR="00556032" w:rsidRDefault="00556032">
      <w:pPr>
        <w:spacing w:line="360" w:lineRule="auto"/>
        <w:jc w:val="both"/>
        <w:rPr>
          <w:rFonts w:ascii="Book Antiqua" w:hAnsi="Book Antiqua"/>
        </w:rPr>
      </w:pPr>
    </w:p>
    <w:p w14:paraId="3F9DDD09" w14:textId="77777777" w:rsidR="00556032" w:rsidRDefault="00000000">
      <w:pPr>
        <w:spacing w:line="360" w:lineRule="auto"/>
        <w:jc w:val="both"/>
        <w:rPr>
          <w:rFonts w:ascii="Book Antiqua" w:hAnsi="Book Antiqua"/>
        </w:rPr>
      </w:pPr>
      <w:r>
        <w:rPr>
          <w:rFonts w:ascii="Book Antiqua" w:eastAsia="Book Antiqua" w:hAnsi="Book Antiqua" w:cs="Book Antiqua"/>
          <w:b/>
          <w:bCs/>
        </w:rPr>
        <w:t xml:space="preserve">Data sharing statement: </w:t>
      </w:r>
      <w:r>
        <w:rPr>
          <w:rFonts w:ascii="Book Antiqua" w:eastAsia="Book Antiqua" w:hAnsi="Book Antiqua" w:cs="Book Antiqua"/>
        </w:rPr>
        <w:t>No additional data are available.</w:t>
      </w:r>
    </w:p>
    <w:p w14:paraId="2635772A" w14:textId="77777777" w:rsidR="00556032" w:rsidRDefault="00556032">
      <w:pPr>
        <w:spacing w:line="360" w:lineRule="auto"/>
        <w:jc w:val="both"/>
        <w:rPr>
          <w:rFonts w:ascii="Book Antiqua" w:hAnsi="Book Antiqua"/>
        </w:rPr>
      </w:pPr>
    </w:p>
    <w:p w14:paraId="6C295860" w14:textId="77777777" w:rsidR="00556032" w:rsidRDefault="00000000">
      <w:pPr>
        <w:spacing w:line="360" w:lineRule="auto"/>
        <w:jc w:val="both"/>
        <w:rPr>
          <w:rFonts w:ascii="Book Antiqua" w:hAnsi="Book Antiqua"/>
        </w:rPr>
      </w:pPr>
      <w:r>
        <w:rPr>
          <w:rFonts w:ascii="Book Antiqua" w:eastAsia="Book Antiqua" w:hAnsi="Book Antiqua" w:cs="Book Antiqua"/>
          <w:b/>
          <w:bCs/>
        </w:rPr>
        <w:t xml:space="preserve">Open-Access: </w:t>
      </w:r>
      <w:r>
        <w:rPr>
          <w:rFonts w:ascii="Book Antiqua" w:eastAsia="Book Antiqua" w:hAnsi="Book Antiqua" w:cs="Book Antiqua"/>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09305E14" w14:textId="77777777" w:rsidR="00556032" w:rsidRDefault="00556032">
      <w:pPr>
        <w:spacing w:line="360" w:lineRule="auto"/>
        <w:jc w:val="both"/>
        <w:rPr>
          <w:rFonts w:ascii="Book Antiqua" w:hAnsi="Book Antiqua"/>
        </w:rPr>
      </w:pPr>
    </w:p>
    <w:p w14:paraId="1F95DAD7" w14:textId="77777777" w:rsidR="00556032" w:rsidRDefault="00000000">
      <w:pPr>
        <w:spacing w:line="360" w:lineRule="auto"/>
        <w:jc w:val="both"/>
        <w:rPr>
          <w:rFonts w:ascii="Book Antiqua" w:hAnsi="Book Antiqua"/>
        </w:rPr>
      </w:pPr>
      <w:r>
        <w:rPr>
          <w:rFonts w:ascii="Book Antiqua" w:eastAsia="Book Antiqua" w:hAnsi="Book Antiqua" w:cs="Book Antiqua"/>
          <w:b/>
          <w:color w:val="000000"/>
        </w:rPr>
        <w:t xml:space="preserve">Provenance and peer review: </w:t>
      </w:r>
      <w:r>
        <w:rPr>
          <w:rFonts w:ascii="Book Antiqua" w:eastAsia="Book Antiqua" w:hAnsi="Book Antiqua" w:cs="Book Antiqua"/>
        </w:rPr>
        <w:t>Unsolicited article; Externally peer reviewed.</w:t>
      </w:r>
    </w:p>
    <w:p w14:paraId="52F93F13" w14:textId="77777777" w:rsidR="00556032" w:rsidRDefault="00000000">
      <w:pPr>
        <w:spacing w:line="360" w:lineRule="auto"/>
        <w:jc w:val="both"/>
        <w:rPr>
          <w:rFonts w:ascii="Book Antiqua" w:hAnsi="Book Antiqua"/>
        </w:rPr>
      </w:pPr>
      <w:r>
        <w:rPr>
          <w:rFonts w:ascii="Book Antiqua" w:eastAsia="Book Antiqua" w:hAnsi="Book Antiqua" w:cs="Book Antiqua"/>
          <w:b/>
          <w:color w:val="000000"/>
        </w:rPr>
        <w:t xml:space="preserve">Peer-review model: </w:t>
      </w:r>
      <w:r>
        <w:rPr>
          <w:rFonts w:ascii="Book Antiqua" w:eastAsia="Book Antiqua" w:hAnsi="Book Antiqua" w:cs="Book Antiqua"/>
        </w:rPr>
        <w:t>Single blind</w:t>
      </w:r>
    </w:p>
    <w:p w14:paraId="3EF594FE" w14:textId="77777777" w:rsidR="00556032" w:rsidRDefault="00556032">
      <w:pPr>
        <w:spacing w:line="360" w:lineRule="auto"/>
        <w:jc w:val="both"/>
        <w:rPr>
          <w:rFonts w:ascii="Book Antiqua" w:hAnsi="Book Antiqua"/>
        </w:rPr>
      </w:pPr>
    </w:p>
    <w:p w14:paraId="6E61ACFC" w14:textId="77777777" w:rsidR="00556032" w:rsidRDefault="00000000">
      <w:pPr>
        <w:spacing w:line="360" w:lineRule="auto"/>
        <w:jc w:val="both"/>
        <w:rPr>
          <w:rFonts w:ascii="Book Antiqua" w:hAnsi="Book Antiqua"/>
        </w:rPr>
      </w:pPr>
      <w:r>
        <w:rPr>
          <w:rFonts w:ascii="Book Antiqua" w:eastAsia="Book Antiqua" w:hAnsi="Book Antiqua" w:cs="Book Antiqua"/>
          <w:b/>
          <w:color w:val="000000"/>
        </w:rPr>
        <w:t xml:space="preserve">Peer-review started: </w:t>
      </w:r>
      <w:r>
        <w:rPr>
          <w:rFonts w:ascii="Book Antiqua" w:eastAsia="Book Antiqua" w:hAnsi="Book Antiqua" w:cs="Book Antiqua"/>
        </w:rPr>
        <w:t>August 15, 2023</w:t>
      </w:r>
    </w:p>
    <w:p w14:paraId="34364226" w14:textId="77777777" w:rsidR="00556032" w:rsidRDefault="00000000">
      <w:pPr>
        <w:spacing w:line="360" w:lineRule="auto"/>
        <w:jc w:val="both"/>
        <w:rPr>
          <w:rFonts w:ascii="Book Antiqua" w:hAnsi="Book Antiqua"/>
        </w:rPr>
      </w:pPr>
      <w:r>
        <w:rPr>
          <w:rFonts w:ascii="Book Antiqua" w:eastAsia="Book Antiqua" w:hAnsi="Book Antiqua" w:cs="Book Antiqua"/>
          <w:b/>
          <w:color w:val="000000"/>
        </w:rPr>
        <w:t xml:space="preserve">First decision: </w:t>
      </w:r>
      <w:r>
        <w:rPr>
          <w:rFonts w:ascii="Book Antiqua" w:eastAsia="Book Antiqua" w:hAnsi="Book Antiqua" w:cs="Book Antiqua"/>
        </w:rPr>
        <w:t>September 5, 2023</w:t>
      </w:r>
    </w:p>
    <w:p w14:paraId="2094765C" w14:textId="20AD6071" w:rsidR="00556032" w:rsidRDefault="00000000">
      <w:pPr>
        <w:spacing w:line="360" w:lineRule="auto"/>
        <w:jc w:val="both"/>
        <w:rPr>
          <w:rFonts w:ascii="Book Antiqua" w:hAnsi="Book Antiqua"/>
        </w:rPr>
      </w:pPr>
      <w:r>
        <w:rPr>
          <w:rFonts w:ascii="Book Antiqua" w:eastAsia="Book Antiqua" w:hAnsi="Book Antiqua" w:cs="Book Antiqua"/>
          <w:b/>
          <w:color w:val="000000"/>
        </w:rPr>
        <w:t xml:space="preserve">Article in press: </w:t>
      </w:r>
      <w:r w:rsidR="004F046E">
        <w:rPr>
          <w:rFonts w:ascii="Book Antiqua" w:eastAsia="Book Antiqua" w:hAnsi="Book Antiqua" w:cs="Book Antiqua"/>
        </w:rPr>
        <w:t>October 30, 2023</w:t>
      </w:r>
    </w:p>
    <w:p w14:paraId="7A8D76FE" w14:textId="77777777" w:rsidR="00556032" w:rsidRDefault="00556032">
      <w:pPr>
        <w:spacing w:line="360" w:lineRule="auto"/>
        <w:jc w:val="both"/>
        <w:rPr>
          <w:rFonts w:ascii="Book Antiqua" w:hAnsi="Book Antiqua"/>
        </w:rPr>
      </w:pPr>
    </w:p>
    <w:p w14:paraId="201AEABB" w14:textId="77777777" w:rsidR="00556032" w:rsidRDefault="00000000">
      <w:pPr>
        <w:spacing w:line="360" w:lineRule="auto"/>
        <w:jc w:val="both"/>
        <w:rPr>
          <w:rFonts w:ascii="Book Antiqua" w:hAnsi="Book Antiqua"/>
        </w:rPr>
      </w:pPr>
      <w:r>
        <w:rPr>
          <w:rFonts w:ascii="Book Antiqua" w:eastAsia="Book Antiqua" w:hAnsi="Book Antiqua" w:cs="Book Antiqua"/>
          <w:b/>
          <w:color w:val="000000"/>
        </w:rPr>
        <w:t xml:space="preserve">Specialty type: </w:t>
      </w:r>
      <w:bookmarkStart w:id="10" w:name="OLE_LINK20"/>
      <w:bookmarkStart w:id="11" w:name="OLE_LINK1805"/>
      <w:bookmarkStart w:id="12" w:name="OLE_LINK21"/>
      <w:bookmarkStart w:id="13" w:name="OLE_LINK2101"/>
      <w:bookmarkStart w:id="14" w:name="OLE_LINK1673"/>
      <w:r>
        <w:rPr>
          <w:rFonts w:ascii="Book Antiqua" w:eastAsia="微软雅黑" w:hAnsi="Book Antiqua" w:cs="宋体"/>
        </w:rPr>
        <w:t>Cell and tissue engineering</w:t>
      </w:r>
      <w:bookmarkEnd w:id="10"/>
      <w:bookmarkEnd w:id="11"/>
      <w:bookmarkEnd w:id="12"/>
      <w:bookmarkEnd w:id="13"/>
      <w:bookmarkEnd w:id="14"/>
    </w:p>
    <w:p w14:paraId="43ABD689" w14:textId="77777777" w:rsidR="00556032" w:rsidRDefault="00000000">
      <w:pPr>
        <w:spacing w:line="360" w:lineRule="auto"/>
        <w:jc w:val="both"/>
        <w:rPr>
          <w:rFonts w:ascii="Book Antiqua" w:hAnsi="Book Antiqua"/>
        </w:rPr>
      </w:pPr>
      <w:r>
        <w:rPr>
          <w:rFonts w:ascii="Book Antiqua" w:eastAsia="Book Antiqua" w:hAnsi="Book Antiqua" w:cs="Book Antiqua"/>
          <w:b/>
          <w:color w:val="000000"/>
        </w:rPr>
        <w:t xml:space="preserve">Country/Territory of origin: </w:t>
      </w:r>
      <w:r>
        <w:rPr>
          <w:rFonts w:ascii="Book Antiqua" w:eastAsia="Book Antiqua" w:hAnsi="Book Antiqua" w:cs="Book Antiqua"/>
        </w:rPr>
        <w:t>China</w:t>
      </w:r>
    </w:p>
    <w:p w14:paraId="32520E00" w14:textId="77777777" w:rsidR="00556032" w:rsidRDefault="00000000">
      <w:pPr>
        <w:spacing w:line="360" w:lineRule="auto"/>
        <w:jc w:val="both"/>
        <w:rPr>
          <w:rFonts w:ascii="Book Antiqua" w:hAnsi="Book Antiqua"/>
        </w:rPr>
      </w:pPr>
      <w:r>
        <w:rPr>
          <w:rFonts w:ascii="Book Antiqua" w:eastAsia="Book Antiqua" w:hAnsi="Book Antiqua" w:cs="Book Antiqua"/>
          <w:b/>
          <w:color w:val="000000"/>
        </w:rPr>
        <w:t>Peer-review report’s scientific quality classification</w:t>
      </w:r>
    </w:p>
    <w:p w14:paraId="10EFF3BD" w14:textId="77777777" w:rsidR="00556032" w:rsidRDefault="00000000">
      <w:pPr>
        <w:spacing w:line="360" w:lineRule="auto"/>
        <w:jc w:val="both"/>
        <w:rPr>
          <w:rFonts w:ascii="Book Antiqua" w:hAnsi="Book Antiqua"/>
        </w:rPr>
      </w:pPr>
      <w:r>
        <w:rPr>
          <w:rFonts w:ascii="Book Antiqua" w:eastAsia="Book Antiqua" w:hAnsi="Book Antiqua" w:cs="Book Antiqua"/>
        </w:rPr>
        <w:t>Grade A (Excellent): A</w:t>
      </w:r>
    </w:p>
    <w:p w14:paraId="6066560D" w14:textId="77777777" w:rsidR="00556032" w:rsidRDefault="00000000">
      <w:pPr>
        <w:spacing w:line="360" w:lineRule="auto"/>
        <w:jc w:val="both"/>
        <w:rPr>
          <w:rFonts w:ascii="Book Antiqua" w:hAnsi="Book Antiqua"/>
        </w:rPr>
      </w:pPr>
      <w:r>
        <w:rPr>
          <w:rFonts w:ascii="Book Antiqua" w:eastAsia="Book Antiqua" w:hAnsi="Book Antiqua" w:cs="Book Antiqua"/>
        </w:rPr>
        <w:t>Grade B (Very good): B</w:t>
      </w:r>
    </w:p>
    <w:p w14:paraId="510019FF" w14:textId="77777777" w:rsidR="00556032" w:rsidRDefault="00000000">
      <w:pPr>
        <w:spacing w:line="360" w:lineRule="auto"/>
        <w:jc w:val="both"/>
        <w:rPr>
          <w:rFonts w:ascii="Book Antiqua" w:hAnsi="Book Antiqua"/>
        </w:rPr>
      </w:pPr>
      <w:r>
        <w:rPr>
          <w:rFonts w:ascii="Book Antiqua" w:eastAsia="Book Antiqua" w:hAnsi="Book Antiqua" w:cs="Book Antiqua"/>
        </w:rPr>
        <w:t>Grade C (Good): C</w:t>
      </w:r>
    </w:p>
    <w:p w14:paraId="0BF22D59" w14:textId="77777777" w:rsidR="00556032" w:rsidRDefault="00000000">
      <w:pPr>
        <w:spacing w:line="360" w:lineRule="auto"/>
        <w:jc w:val="both"/>
        <w:rPr>
          <w:rFonts w:ascii="Book Antiqua" w:hAnsi="Book Antiqua"/>
        </w:rPr>
      </w:pPr>
      <w:r>
        <w:rPr>
          <w:rFonts w:ascii="Book Antiqua" w:eastAsia="Book Antiqua" w:hAnsi="Book Antiqua" w:cs="Book Antiqua"/>
        </w:rPr>
        <w:t>Grade D (Fair): 0</w:t>
      </w:r>
    </w:p>
    <w:p w14:paraId="64C25D69" w14:textId="77777777" w:rsidR="00556032" w:rsidRDefault="00000000">
      <w:pPr>
        <w:spacing w:line="360" w:lineRule="auto"/>
        <w:jc w:val="both"/>
        <w:rPr>
          <w:rFonts w:ascii="Book Antiqua" w:hAnsi="Book Antiqua"/>
        </w:rPr>
      </w:pPr>
      <w:r>
        <w:rPr>
          <w:rFonts w:ascii="Book Antiqua" w:eastAsia="Book Antiqua" w:hAnsi="Book Antiqua" w:cs="Book Antiqua"/>
        </w:rPr>
        <w:t>Grade E (Poor): 0</w:t>
      </w:r>
    </w:p>
    <w:p w14:paraId="0F867A30" w14:textId="77777777" w:rsidR="00556032" w:rsidRDefault="00556032">
      <w:pPr>
        <w:spacing w:line="360" w:lineRule="auto"/>
        <w:jc w:val="both"/>
        <w:rPr>
          <w:rFonts w:ascii="Book Antiqua" w:hAnsi="Book Antiqua"/>
        </w:rPr>
      </w:pPr>
    </w:p>
    <w:p w14:paraId="350A2C46" w14:textId="5FAFB2A5" w:rsidR="00556032" w:rsidRDefault="00000000">
      <w:pPr>
        <w:spacing w:line="360" w:lineRule="auto"/>
        <w:jc w:val="both"/>
        <w:rPr>
          <w:rFonts w:ascii="Book Antiqua" w:hAnsi="Book Antiqua"/>
        </w:rPr>
        <w:sectPr w:rsidR="00556032">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P-Reviewer: </w:t>
      </w:r>
      <w:r>
        <w:rPr>
          <w:rFonts w:ascii="Book Antiqua" w:eastAsia="Book Antiqua" w:hAnsi="Book Antiqua" w:cs="Book Antiqua"/>
        </w:rPr>
        <w:t>Al-Hashmi S, Oman; Li SC, United States</w:t>
      </w:r>
      <w:r>
        <w:rPr>
          <w:rFonts w:ascii="Book Antiqua" w:eastAsia="Book Antiqua" w:hAnsi="Book Antiqua" w:cs="Book Antiqua"/>
          <w:b/>
          <w:color w:val="000000"/>
        </w:rPr>
        <w:t xml:space="preserve"> S-Editor: </w:t>
      </w:r>
      <w:r>
        <w:rPr>
          <w:rFonts w:ascii="Book Antiqua" w:eastAsia="Book Antiqua" w:hAnsi="Book Antiqua" w:cs="Book Antiqua"/>
          <w:bCs/>
          <w:color w:val="000000"/>
        </w:rPr>
        <w:t>Wang JJ</w:t>
      </w:r>
      <w:r>
        <w:rPr>
          <w:rFonts w:ascii="Book Antiqua" w:eastAsia="Book Antiqua" w:hAnsi="Book Antiqua" w:cs="Book Antiqua"/>
          <w:b/>
          <w:color w:val="000000"/>
        </w:rPr>
        <w:t xml:space="preserve"> L-Editor: </w:t>
      </w:r>
      <w:r>
        <w:rPr>
          <w:rFonts w:ascii="Book Antiqua" w:eastAsia="Book Antiqua" w:hAnsi="Book Antiqua" w:cs="Book Antiqua"/>
          <w:bCs/>
          <w:color w:val="000000"/>
        </w:rPr>
        <w:t>Filipodia</w:t>
      </w:r>
      <w:r>
        <w:rPr>
          <w:rFonts w:ascii="Book Antiqua" w:eastAsia="Book Antiqua" w:hAnsi="Book Antiqua" w:cs="Book Antiqua"/>
          <w:b/>
          <w:color w:val="000000"/>
        </w:rPr>
        <w:t xml:space="preserve"> P-Editor: </w:t>
      </w:r>
      <w:r w:rsidR="004F046E" w:rsidRPr="004F046E">
        <w:rPr>
          <w:rFonts w:ascii="Book Antiqua" w:eastAsia="Book Antiqua" w:hAnsi="Book Antiqua" w:cs="Book Antiqua"/>
          <w:bCs/>
          <w:color w:val="000000"/>
        </w:rPr>
        <w:t>Cai YX</w:t>
      </w:r>
    </w:p>
    <w:p w14:paraId="6251530B" w14:textId="77777777" w:rsidR="00556032" w:rsidRDefault="00000000">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Figure Legends</w:t>
      </w:r>
    </w:p>
    <w:p w14:paraId="64EBB020" w14:textId="0A170E02" w:rsidR="00556032" w:rsidRDefault="00430235">
      <w:pPr>
        <w:spacing w:line="360" w:lineRule="auto"/>
        <w:jc w:val="both"/>
        <w:rPr>
          <w:rFonts w:ascii="Book Antiqua" w:hAnsi="Book Antiqua"/>
        </w:rPr>
      </w:pPr>
      <w:r>
        <w:rPr>
          <w:rFonts w:ascii="Book Antiqua" w:hAnsi="Book Antiqua"/>
          <w:noProof/>
        </w:rPr>
        <w:drawing>
          <wp:inline distT="0" distB="0" distL="0" distR="0" wp14:anchorId="1D84540C" wp14:editId="4E48ABAF">
            <wp:extent cx="5943600" cy="5768975"/>
            <wp:effectExtent l="0" t="0" r="0" b="0"/>
            <wp:docPr id="6930644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064450" name="图片 693064450"/>
                    <pic:cNvPicPr/>
                  </pic:nvPicPr>
                  <pic:blipFill>
                    <a:blip r:embed="rId8"/>
                    <a:stretch>
                      <a:fillRect/>
                    </a:stretch>
                  </pic:blipFill>
                  <pic:spPr>
                    <a:xfrm>
                      <a:off x="0" y="0"/>
                      <a:ext cx="5943600" cy="5768975"/>
                    </a:xfrm>
                    <a:prstGeom prst="rect">
                      <a:avLst/>
                    </a:prstGeom>
                  </pic:spPr>
                </pic:pic>
              </a:graphicData>
            </a:graphic>
          </wp:inline>
        </w:drawing>
      </w:r>
    </w:p>
    <w:p w14:paraId="40D0A161" w14:textId="77777777" w:rsidR="00556032"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bCs/>
        </w:rPr>
        <w:t xml:space="preserve">Figure 1 Morphology, viability, proliferation, and size of mesenchymal stem cells. </w:t>
      </w:r>
      <w:r>
        <w:rPr>
          <w:rFonts w:ascii="Book Antiqua" w:eastAsia="Book Antiqua" w:hAnsi="Book Antiqua" w:cs="Book Antiqua"/>
        </w:rPr>
        <w:t>A: Representative micrographs showing umbilical cord mesenchymal stem cells (UC-MSCs) and primed umbilical cord mesenchymal stem cells (PUC-MSCs). Microscopy observation of cell morphology revealed that UC-MSCs were elongated after hypoxia and inflammatory factor pretreatment (</w:t>
      </w:r>
      <w:r>
        <w:rPr>
          <w:rFonts w:ascii="Book Antiqua" w:eastAsia="Book Antiqua" w:hAnsi="Book Antiqua" w:cs="Book Antiqua"/>
          <w:color w:val="000000"/>
        </w:rPr>
        <w:t>Bar = 200 μm</w:t>
      </w:r>
      <w:r>
        <w:rPr>
          <w:rFonts w:ascii="Book Antiqua" w:eastAsia="Book Antiqua" w:hAnsi="Book Antiqua" w:cs="Book Antiqua"/>
        </w:rPr>
        <w:t xml:space="preserve">); B: The DNA concentration was measured by an ultramicro nucleic acid protein detector. The DNA concentration of PUC-MSCs was not significantly different from that of UC-MSCs, and pretreatment had no effect on their proliferation; C: Cell viability was determined by an acridine orange (AO) propidium iodide (PI) staining cell image analyzer, and no significant difference between UC-MSCs and PUC-MSCs was observed; D: Cell size was determined with a cell imaging analyzer, and the sizes of the UC-MSCs and PUC-MSCs were comparable. </w:t>
      </w:r>
      <w:r>
        <w:rPr>
          <w:rFonts w:ascii="Book Antiqua" w:eastAsia="Book Antiqua" w:hAnsi="Book Antiqua" w:cs="Book Antiqua"/>
          <w:vertAlign w:val="superscript"/>
        </w:rPr>
        <w:t>d</w:t>
      </w:r>
      <w:r>
        <w:rPr>
          <w:rFonts w:ascii="Book Antiqua" w:eastAsia="Book Antiqua" w:hAnsi="Book Antiqua" w:cs="Book Antiqua"/>
          <w:i/>
          <w:iCs/>
        </w:rPr>
        <w:t xml:space="preserve">P </w:t>
      </w:r>
      <w:r>
        <w:rPr>
          <w:rFonts w:ascii="Book Antiqua" w:eastAsia="Book Antiqua" w:hAnsi="Book Antiqua" w:cs="Book Antiqua"/>
        </w:rPr>
        <w:t xml:space="preserve">&gt; 0.05. </w:t>
      </w:r>
    </w:p>
    <w:p w14:paraId="1ECBD358" w14:textId="77777777" w:rsidR="00556032" w:rsidRDefault="00556032">
      <w:pPr>
        <w:spacing w:line="360" w:lineRule="auto"/>
        <w:jc w:val="both"/>
        <w:rPr>
          <w:rFonts w:ascii="Book Antiqua" w:hAnsi="Book Antiqua"/>
        </w:rPr>
        <w:sectPr w:rsidR="00556032">
          <w:pgSz w:w="12240" w:h="15840"/>
          <w:pgMar w:top="1440" w:right="1440" w:bottom="1440" w:left="1440" w:header="720" w:footer="720" w:gutter="0"/>
          <w:cols w:space="720"/>
          <w:docGrid w:linePitch="360"/>
        </w:sectPr>
      </w:pPr>
    </w:p>
    <w:p w14:paraId="607FEF2A" w14:textId="770F74B3" w:rsidR="00556032" w:rsidRDefault="00430235">
      <w:pPr>
        <w:spacing w:line="360" w:lineRule="auto"/>
        <w:jc w:val="both"/>
        <w:rPr>
          <w:rFonts w:ascii="Book Antiqua" w:hAnsi="Book Antiqua"/>
        </w:rPr>
      </w:pPr>
      <w:r>
        <w:rPr>
          <w:rFonts w:ascii="Book Antiqua" w:hAnsi="Book Antiqua"/>
          <w:noProof/>
        </w:rPr>
        <w:drawing>
          <wp:inline distT="0" distB="0" distL="0" distR="0" wp14:anchorId="0622DC77" wp14:editId="7AC493E7">
            <wp:extent cx="5743575" cy="8229600"/>
            <wp:effectExtent l="0" t="0" r="0" b="0"/>
            <wp:docPr id="1036839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83961" name="图片 103683961"/>
                    <pic:cNvPicPr/>
                  </pic:nvPicPr>
                  <pic:blipFill>
                    <a:blip r:embed="rId9"/>
                    <a:stretch>
                      <a:fillRect/>
                    </a:stretch>
                  </pic:blipFill>
                  <pic:spPr>
                    <a:xfrm>
                      <a:off x="0" y="0"/>
                      <a:ext cx="5743575" cy="8229600"/>
                    </a:xfrm>
                    <a:prstGeom prst="rect">
                      <a:avLst/>
                    </a:prstGeom>
                  </pic:spPr>
                </pic:pic>
              </a:graphicData>
            </a:graphic>
          </wp:inline>
        </w:drawing>
      </w:r>
    </w:p>
    <w:p w14:paraId="2706F986" w14:textId="77777777" w:rsidR="00556032"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bCs/>
        </w:rPr>
        <w:t xml:space="preserve">Figure 2 Phenotypes of mesenchymal stem cells were detected by flow cytometry. </w:t>
      </w:r>
      <w:r>
        <w:rPr>
          <w:rFonts w:ascii="Book Antiqua" w:eastAsia="Book Antiqua" w:hAnsi="Book Antiqua" w:cs="Book Antiqua"/>
        </w:rPr>
        <w:t xml:space="preserve">A: Cell surface markers of umbilical cord mesenchymal stem cells (UC-MSCs); B: Cell surface markers of primed umbilical cord mesenchymal stem cells (PUC-MSCs). The signals from the unstained control cells are shown in blue in the histogram, and the signals from stained cells are shown in red in the histogram. </w:t>
      </w:r>
      <w:r>
        <w:rPr>
          <w:rFonts w:ascii="Book Antiqua" w:eastAsia="Book Antiqua" w:hAnsi="Book Antiqua" w:cs="Book Antiqua"/>
          <w:color w:val="000000"/>
        </w:rPr>
        <w:t>HLA: Human leukocyte antigen.</w:t>
      </w:r>
    </w:p>
    <w:p w14:paraId="519F464C" w14:textId="77777777" w:rsidR="00556032" w:rsidRDefault="00556032">
      <w:pPr>
        <w:spacing w:line="360" w:lineRule="auto"/>
        <w:jc w:val="both"/>
        <w:rPr>
          <w:rFonts w:ascii="Book Antiqua" w:hAnsi="Book Antiqua"/>
        </w:rPr>
        <w:sectPr w:rsidR="00556032">
          <w:pgSz w:w="12240" w:h="15840"/>
          <w:pgMar w:top="1440" w:right="1440" w:bottom="1440" w:left="1440" w:header="720" w:footer="720" w:gutter="0"/>
          <w:cols w:space="720"/>
          <w:docGrid w:linePitch="360"/>
        </w:sectPr>
      </w:pPr>
    </w:p>
    <w:p w14:paraId="6658A96C" w14:textId="278CC6CB" w:rsidR="00556032" w:rsidRDefault="00430235">
      <w:pPr>
        <w:spacing w:line="360" w:lineRule="auto"/>
        <w:jc w:val="both"/>
        <w:rPr>
          <w:rFonts w:ascii="Book Antiqua" w:hAnsi="Book Antiqua"/>
        </w:rPr>
      </w:pPr>
      <w:r>
        <w:rPr>
          <w:rFonts w:ascii="Book Antiqua" w:hAnsi="Book Antiqua"/>
          <w:noProof/>
        </w:rPr>
        <w:drawing>
          <wp:inline distT="0" distB="0" distL="0" distR="0" wp14:anchorId="13ACE488" wp14:editId="01BC6D2B">
            <wp:extent cx="5943600" cy="6005830"/>
            <wp:effectExtent l="0" t="0" r="0" b="1270"/>
            <wp:docPr id="11349896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989631" name="图片 1134989631"/>
                    <pic:cNvPicPr/>
                  </pic:nvPicPr>
                  <pic:blipFill>
                    <a:blip r:embed="rId10"/>
                    <a:stretch>
                      <a:fillRect/>
                    </a:stretch>
                  </pic:blipFill>
                  <pic:spPr>
                    <a:xfrm>
                      <a:off x="0" y="0"/>
                      <a:ext cx="5943600" cy="6005830"/>
                    </a:xfrm>
                    <a:prstGeom prst="rect">
                      <a:avLst/>
                    </a:prstGeom>
                  </pic:spPr>
                </pic:pic>
              </a:graphicData>
            </a:graphic>
          </wp:inline>
        </w:drawing>
      </w:r>
    </w:p>
    <w:p w14:paraId="72688FF0" w14:textId="77777777" w:rsidR="00556032"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bCs/>
        </w:rPr>
        <w:t>Figure 3 Mitochondrial function.</w:t>
      </w:r>
      <w:r>
        <w:rPr>
          <w:rFonts w:ascii="Book Antiqua" w:eastAsia="Book Antiqua" w:hAnsi="Book Antiqua" w:cs="Book Antiqua"/>
        </w:rPr>
        <w:t xml:space="preserve"> A: Reactive oxygen species (ROS) levels in umbilical cord mesenchymal stem cells (UC-MSCs) and primed UC-MSCs (PUC-MSCs) were analyzed by flow cytometry. The fluorescence intensity of </w:t>
      </w:r>
      <w:r>
        <w:rPr>
          <w:rFonts w:ascii="Book Antiqua" w:eastAsia="Book Antiqua" w:hAnsi="Book Antiqua" w:cs="Book Antiqua"/>
          <w:color w:val="000000"/>
        </w:rPr>
        <w:t>2,7-dichlorodihydrofluorescein</w:t>
      </w:r>
      <w:r>
        <w:rPr>
          <w:rFonts w:ascii="Book Antiqua" w:eastAsia="Book Antiqua" w:hAnsi="Book Antiqua" w:cs="Book Antiqua"/>
        </w:rPr>
        <w:t xml:space="preserve"> (</w:t>
      </w:r>
      <w:r>
        <w:rPr>
          <w:rFonts w:ascii="Book Antiqua" w:eastAsia="Book Antiqua" w:hAnsi="Book Antiqua" w:cs="Book Antiqua"/>
          <w:color w:val="000000"/>
        </w:rPr>
        <w:t>DCFH-DA</w:t>
      </w:r>
      <w:r>
        <w:rPr>
          <w:rFonts w:ascii="Book Antiqua" w:eastAsia="Book Antiqua" w:hAnsi="Book Antiqua" w:cs="Book Antiqua"/>
        </w:rPr>
        <w:t>) in PUC-MSCs increased by 3-fold compared to UC-MSCs; B: The expression of the antioxidant-related genes catalase, stanniocalcin-1 (</w:t>
      </w:r>
      <w:r>
        <w:rPr>
          <w:rFonts w:ascii="Book Antiqua" w:eastAsia="Book Antiqua" w:hAnsi="Book Antiqua" w:cs="Book Antiqua"/>
          <w:color w:val="000000"/>
        </w:rPr>
        <w:t>STC1)</w:t>
      </w:r>
      <w:r>
        <w:rPr>
          <w:rFonts w:ascii="Book Antiqua" w:eastAsia="Book Antiqua" w:hAnsi="Book Antiqua" w:cs="Book Antiqua"/>
        </w:rPr>
        <w:t>, and hemeoxygenase-1 (HOMX1) was increased;</w:t>
      </w:r>
      <w:r>
        <w:rPr>
          <w:rFonts w:ascii="Book Antiqua" w:eastAsia="Book Antiqua" w:hAnsi="Book Antiqua" w:cs="Book Antiqua"/>
          <w:color w:val="000000"/>
          <w:vertAlign w:val="superscript"/>
        </w:rPr>
        <w:t xml:space="preserve"> </w:t>
      </w:r>
      <w:r>
        <w:rPr>
          <w:rFonts w:ascii="Book Antiqua" w:eastAsia="Book Antiqua" w:hAnsi="Book Antiqua" w:cs="Book Antiqua"/>
        </w:rPr>
        <w:t xml:space="preserve">C: Representative image showing the mitochondrial membrane potential (MMP) of mesenchymal stem cells stained with JC-1. The red fluorescence of potential-dependent JC-1 aggregation in each group and the green fluorescence of the JC-1 monomer in the cytoplasm after depolarization of the mitochondrial membrane were observed. Fluorescence microscopy showed no significant difference in red and green fluorescence between UC-MSCs and PU-MSCs; Bar = 200 </w:t>
      </w:r>
      <w:r>
        <w:rPr>
          <w:rFonts w:ascii="Book Antiqua" w:hAnsi="Book Antiqua" w:cs="Book Antiqua"/>
          <w:lang w:eastAsia="zh-CN"/>
        </w:rPr>
        <w:t>μm;</w:t>
      </w:r>
      <w:r>
        <w:rPr>
          <w:rFonts w:ascii="Book Antiqua" w:eastAsia="Book Antiqua" w:hAnsi="Book Antiqua" w:cs="Book Antiqua"/>
        </w:rPr>
        <w:t xml:space="preserve"> D: Flow cytometry was used to detect the red and green fluorescence of the JC-1 probe in UC-MSCs and PUC-MSCs. There was no difference in the ratios of red and green fluorescence.</w:t>
      </w:r>
      <w:r>
        <w:rPr>
          <w:rFonts w:ascii="Book Antiqua" w:eastAsia="Book Antiqua" w:hAnsi="Book Antiqua" w:cs="Book Antiqua"/>
          <w:color w:val="000000"/>
          <w:vertAlign w:val="superscript"/>
        </w:rPr>
        <w:t xml:space="preserve"> a</w:t>
      </w:r>
      <w:r>
        <w:rPr>
          <w:rFonts w:ascii="Book Antiqua" w:eastAsia="Book Antiqua" w:hAnsi="Book Antiqua" w:cs="Book Antiqua"/>
          <w:i/>
          <w:iCs/>
          <w:color w:val="000000"/>
        </w:rPr>
        <w:t>P</w:t>
      </w:r>
      <w:r>
        <w:rPr>
          <w:rFonts w:ascii="Book Antiqua" w:eastAsia="Book Antiqua" w:hAnsi="Book Antiqua" w:cs="Book Antiqua"/>
          <w:color w:val="000000"/>
        </w:rPr>
        <w:t xml:space="preserve"> &lt; 0.05; </w:t>
      </w:r>
      <w:r>
        <w:rPr>
          <w:rFonts w:ascii="Book Antiqua" w:eastAsia="Book Antiqua" w:hAnsi="Book Antiqua" w:cs="Book Antiqua"/>
          <w:color w:val="000000"/>
          <w:vertAlign w:val="superscript"/>
        </w:rPr>
        <w:t>b</w:t>
      </w:r>
      <w:r>
        <w:rPr>
          <w:rFonts w:ascii="Book Antiqua" w:eastAsia="Book Antiqua" w:hAnsi="Book Antiqua" w:cs="Book Antiqua"/>
          <w:i/>
          <w:iCs/>
          <w:color w:val="000000"/>
        </w:rPr>
        <w:t>P</w:t>
      </w:r>
      <w:r>
        <w:rPr>
          <w:rFonts w:ascii="Book Antiqua" w:eastAsia="Book Antiqua" w:hAnsi="Book Antiqua" w:cs="Book Antiqua"/>
          <w:color w:val="000000"/>
        </w:rPr>
        <w:t xml:space="preserve"> &lt; 0.01; </w:t>
      </w:r>
      <w:r>
        <w:rPr>
          <w:rFonts w:ascii="Book Antiqua" w:eastAsia="Book Antiqua" w:hAnsi="Book Antiqua" w:cs="Book Antiqua"/>
          <w:color w:val="000000"/>
          <w:vertAlign w:val="superscript"/>
        </w:rPr>
        <w:t>c</w:t>
      </w:r>
      <w:r>
        <w:rPr>
          <w:rFonts w:ascii="Book Antiqua" w:eastAsia="Book Antiqua" w:hAnsi="Book Antiqua" w:cs="Book Antiqua"/>
          <w:i/>
          <w:iCs/>
          <w:color w:val="000000"/>
        </w:rPr>
        <w:t>P</w:t>
      </w:r>
      <w:r>
        <w:rPr>
          <w:rFonts w:ascii="Book Antiqua" w:eastAsia="Book Antiqua" w:hAnsi="Book Antiqua" w:cs="Book Antiqua"/>
          <w:color w:val="000000"/>
        </w:rPr>
        <w:t xml:space="preserve"> &lt; 0.001;</w:t>
      </w:r>
      <w:r>
        <w:rPr>
          <w:rFonts w:ascii="Book Antiqua" w:eastAsia="Book Antiqua" w:hAnsi="Book Antiqua" w:cs="Book Antiqua"/>
          <w:color w:val="000000"/>
          <w:vertAlign w:val="superscript"/>
        </w:rPr>
        <w:t xml:space="preserve"> d</w:t>
      </w:r>
      <w:r>
        <w:rPr>
          <w:rFonts w:ascii="Book Antiqua" w:eastAsia="Book Antiqua" w:hAnsi="Book Antiqua" w:cs="Book Antiqua"/>
          <w:i/>
          <w:iCs/>
          <w:color w:val="000000"/>
        </w:rPr>
        <w:t>P</w:t>
      </w:r>
      <w:r>
        <w:rPr>
          <w:rFonts w:ascii="Book Antiqua" w:eastAsia="Book Antiqua" w:hAnsi="Book Antiqua" w:cs="Book Antiqua"/>
          <w:color w:val="000000"/>
        </w:rPr>
        <w:t xml:space="preserve"> &gt; 0.05. </w:t>
      </w:r>
    </w:p>
    <w:p w14:paraId="3066E61F" w14:textId="77777777" w:rsidR="00556032" w:rsidRDefault="00556032">
      <w:pPr>
        <w:spacing w:line="360" w:lineRule="auto"/>
        <w:jc w:val="both"/>
        <w:rPr>
          <w:rFonts w:ascii="Book Antiqua" w:hAnsi="Book Antiqua"/>
        </w:rPr>
        <w:sectPr w:rsidR="00556032">
          <w:pgSz w:w="12240" w:h="15840"/>
          <w:pgMar w:top="1440" w:right="1440" w:bottom="1440" w:left="1440" w:header="720" w:footer="720" w:gutter="0"/>
          <w:cols w:space="720"/>
          <w:docGrid w:linePitch="360"/>
        </w:sectPr>
      </w:pPr>
    </w:p>
    <w:p w14:paraId="7696F785" w14:textId="05185F99" w:rsidR="00556032" w:rsidRDefault="00430235">
      <w:pPr>
        <w:spacing w:line="360" w:lineRule="auto"/>
        <w:jc w:val="both"/>
        <w:rPr>
          <w:rFonts w:ascii="Book Antiqua" w:hAnsi="Book Antiqua"/>
        </w:rPr>
      </w:pPr>
      <w:r>
        <w:rPr>
          <w:rFonts w:ascii="Book Antiqua" w:hAnsi="Book Antiqua"/>
          <w:noProof/>
        </w:rPr>
        <w:drawing>
          <wp:inline distT="0" distB="0" distL="0" distR="0" wp14:anchorId="20594430" wp14:editId="15E74353">
            <wp:extent cx="5943600" cy="5194300"/>
            <wp:effectExtent l="0" t="0" r="0" b="0"/>
            <wp:docPr id="7233188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18873" name="图片 723318873"/>
                    <pic:cNvPicPr/>
                  </pic:nvPicPr>
                  <pic:blipFill>
                    <a:blip r:embed="rId11"/>
                    <a:stretch>
                      <a:fillRect/>
                    </a:stretch>
                  </pic:blipFill>
                  <pic:spPr>
                    <a:xfrm>
                      <a:off x="0" y="0"/>
                      <a:ext cx="5943600" cy="5194300"/>
                    </a:xfrm>
                    <a:prstGeom prst="rect">
                      <a:avLst/>
                    </a:prstGeom>
                  </pic:spPr>
                </pic:pic>
              </a:graphicData>
            </a:graphic>
          </wp:inline>
        </w:drawing>
      </w:r>
    </w:p>
    <w:p w14:paraId="18A2955E" w14:textId="77777777" w:rsidR="00556032" w:rsidRDefault="00000000">
      <w:pPr>
        <w:spacing w:line="360" w:lineRule="auto"/>
        <w:jc w:val="both"/>
        <w:rPr>
          <w:rFonts w:ascii="Book Antiqua" w:eastAsia="Book Antiqua" w:hAnsi="Book Antiqua" w:cs="Book Antiqua"/>
        </w:rPr>
      </w:pPr>
      <w:r>
        <w:rPr>
          <w:rFonts w:ascii="Book Antiqua" w:eastAsia="Book Antiqua" w:hAnsi="Book Antiqua" w:cs="Book Antiqua"/>
          <w:b/>
          <w:bCs/>
        </w:rPr>
        <w:t>Figure 4 Effects of pretreatment on apoptosis and senescence in mesenchymal stem cells.</w:t>
      </w:r>
      <w:r>
        <w:rPr>
          <w:rFonts w:ascii="Book Antiqua" w:eastAsia="Book Antiqua" w:hAnsi="Book Antiqua" w:cs="Book Antiqua"/>
        </w:rPr>
        <w:t xml:space="preserve"> A: Apoptosis-related gene analysis showed that the expression of B-cell lymphoma 2 (BCL-2)-associated protein (Bax) was decreased and the expression of Bcl2 and silencing information regulator 2-related enzyme 1 (SIRT1) was increased after hypoxia and inflammatory factor pretreatment; B: Expression of P53, P16 and P21 was upregulated after hypoxia and inflammatory factor pretreatment; C: Umbilical cord mesenchymal stem cells (UC-MSCs) and primed UC-MSCs (PUC-MSCs) were stained with Annexin V-FITC apoptosis assay kit reagents and apoptotic cells were detected by flow cytometry. The results showed that the apoptosis index of PUC-MSCs increased; D: Representative images of β-galactosidase (SA-β-gal) staining and quantitative analysis of positive SA-β-gal staining. Compared with that of the UC-MSCs, the number of SA-β-gal-positive PUC-MSCs was significantly increased; Bar = 100 μm. </w:t>
      </w:r>
      <w:r>
        <w:rPr>
          <w:rFonts w:ascii="Book Antiqua" w:eastAsia="Book Antiqua" w:hAnsi="Book Antiqua" w:cs="Book Antiqua"/>
          <w:color w:val="000000"/>
          <w:vertAlign w:val="superscript"/>
        </w:rPr>
        <w:t>a</w:t>
      </w:r>
      <w:r>
        <w:rPr>
          <w:rFonts w:ascii="Book Antiqua" w:eastAsia="Book Antiqua" w:hAnsi="Book Antiqua" w:cs="Book Antiqua"/>
          <w:i/>
          <w:iCs/>
          <w:color w:val="000000"/>
        </w:rPr>
        <w:t>P</w:t>
      </w:r>
      <w:r>
        <w:rPr>
          <w:rFonts w:ascii="Book Antiqua" w:eastAsia="Book Antiqua" w:hAnsi="Book Antiqua" w:cs="Book Antiqua"/>
          <w:color w:val="000000"/>
        </w:rPr>
        <w:t xml:space="preserve"> &lt; 0.05; </w:t>
      </w:r>
      <w:r>
        <w:rPr>
          <w:rFonts w:ascii="Book Antiqua" w:eastAsia="Book Antiqua" w:hAnsi="Book Antiqua" w:cs="Book Antiqua"/>
          <w:color w:val="000000"/>
          <w:vertAlign w:val="superscript"/>
        </w:rPr>
        <w:t>b</w:t>
      </w:r>
      <w:r>
        <w:rPr>
          <w:rFonts w:ascii="Book Antiqua" w:eastAsia="Book Antiqua" w:hAnsi="Book Antiqua" w:cs="Book Antiqua"/>
          <w:i/>
          <w:iCs/>
          <w:color w:val="000000"/>
        </w:rPr>
        <w:t>P</w:t>
      </w:r>
      <w:r>
        <w:rPr>
          <w:rFonts w:ascii="Book Antiqua" w:eastAsia="Book Antiqua" w:hAnsi="Book Antiqua" w:cs="Book Antiqua"/>
          <w:color w:val="000000"/>
        </w:rPr>
        <w:t xml:space="preserve"> &lt; 0.01; </w:t>
      </w:r>
      <w:r>
        <w:rPr>
          <w:rFonts w:ascii="Book Antiqua" w:eastAsia="Book Antiqua" w:hAnsi="Book Antiqua" w:cs="Book Antiqua"/>
          <w:color w:val="000000"/>
          <w:vertAlign w:val="superscript"/>
        </w:rPr>
        <w:t>c</w:t>
      </w:r>
      <w:r>
        <w:rPr>
          <w:rFonts w:ascii="Book Antiqua" w:eastAsia="Book Antiqua" w:hAnsi="Book Antiqua" w:cs="Book Antiqua"/>
          <w:i/>
          <w:iCs/>
          <w:color w:val="000000"/>
        </w:rPr>
        <w:t>P</w:t>
      </w:r>
      <w:r>
        <w:rPr>
          <w:rFonts w:ascii="Book Antiqua" w:eastAsia="Book Antiqua" w:hAnsi="Book Antiqua" w:cs="Book Antiqua"/>
          <w:color w:val="000000"/>
        </w:rPr>
        <w:t xml:space="preserve"> &lt; 0.001.</w:t>
      </w:r>
    </w:p>
    <w:p w14:paraId="3048E7EE" w14:textId="77777777" w:rsidR="00556032" w:rsidRDefault="00556032">
      <w:pPr>
        <w:spacing w:line="360" w:lineRule="auto"/>
        <w:jc w:val="both"/>
        <w:rPr>
          <w:rFonts w:ascii="Book Antiqua" w:hAnsi="Book Antiqua"/>
        </w:rPr>
        <w:sectPr w:rsidR="00556032">
          <w:pgSz w:w="12240" w:h="15840"/>
          <w:pgMar w:top="1440" w:right="1440" w:bottom="1440" w:left="1440" w:header="720" w:footer="720" w:gutter="0"/>
          <w:cols w:space="720"/>
          <w:docGrid w:linePitch="360"/>
        </w:sectPr>
      </w:pPr>
    </w:p>
    <w:p w14:paraId="77F65273" w14:textId="586FFB6C" w:rsidR="00556032" w:rsidRDefault="00430235">
      <w:pPr>
        <w:spacing w:line="360" w:lineRule="auto"/>
        <w:jc w:val="both"/>
        <w:rPr>
          <w:rFonts w:ascii="Book Antiqua" w:hAnsi="Book Antiqua"/>
        </w:rPr>
      </w:pPr>
      <w:r>
        <w:rPr>
          <w:rFonts w:ascii="Book Antiqua" w:hAnsi="Book Antiqua"/>
          <w:noProof/>
        </w:rPr>
        <w:drawing>
          <wp:inline distT="0" distB="0" distL="0" distR="0" wp14:anchorId="77C14026" wp14:editId="42D1C899">
            <wp:extent cx="5943600" cy="4994910"/>
            <wp:effectExtent l="0" t="0" r="0" b="0"/>
            <wp:docPr id="843365329" name="图片 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365329" name="图片 5" descr="图示&#10;&#10;描述已自动生成"/>
                    <pic:cNvPicPr/>
                  </pic:nvPicPr>
                  <pic:blipFill>
                    <a:blip r:embed="rId12"/>
                    <a:stretch>
                      <a:fillRect/>
                    </a:stretch>
                  </pic:blipFill>
                  <pic:spPr>
                    <a:xfrm>
                      <a:off x="0" y="0"/>
                      <a:ext cx="5943600" cy="4994910"/>
                    </a:xfrm>
                    <a:prstGeom prst="rect">
                      <a:avLst/>
                    </a:prstGeom>
                  </pic:spPr>
                </pic:pic>
              </a:graphicData>
            </a:graphic>
          </wp:inline>
        </w:drawing>
      </w:r>
    </w:p>
    <w:p w14:paraId="3FC6006F" w14:textId="77777777" w:rsidR="00556032"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bCs/>
        </w:rPr>
        <w:t>Figure 5 Relative expression of immunomodulatory genes and proteins in umbilical cord mesenchymal stem cells after pretreatment.</w:t>
      </w:r>
      <w:r>
        <w:rPr>
          <w:rFonts w:ascii="Book Antiqua" w:eastAsia="Book Antiqua" w:hAnsi="Book Antiqua" w:cs="Book Antiqua"/>
        </w:rPr>
        <w:t xml:space="preserve"> A: Gene expression levels of </w:t>
      </w:r>
      <w:bookmarkStart w:id="15" w:name="_Hlk148974825"/>
      <w:r>
        <w:rPr>
          <w:rFonts w:ascii="Book Antiqua" w:eastAsia="Book Antiqua" w:hAnsi="Book Antiqua" w:cs="Book Antiqua"/>
        </w:rPr>
        <w:t>umbilical cord mesenchymal stem cells</w:t>
      </w:r>
      <w:bookmarkEnd w:id="15"/>
      <w:r>
        <w:rPr>
          <w:rFonts w:ascii="Book Antiqua" w:eastAsia="Book Antiqua" w:hAnsi="Book Antiqua" w:cs="Book Antiqua"/>
        </w:rPr>
        <w:t xml:space="preserve"> (UC-MSCs) and primed UC-MSCs (PUC-MSCs) were analyzed by quantitative real-time polymerase chain reaction. </w:t>
      </w:r>
      <w:r>
        <w:rPr>
          <w:rFonts w:ascii="Book Antiqua" w:eastAsia="Book Antiqua" w:hAnsi="Book Antiqua" w:cs="Book Antiqua"/>
          <w:color w:val="000000"/>
        </w:rPr>
        <w:t>Expression levels of prostaglandin E2 (PGE2), kynurenine, idoleamine-2,3-dioxygenase (IDO), cyclooxygenaese-2 (COX2), interleukin-10 (IL-10), transforming growth factor-beta 1 (TGF-β1), human leukocyte antigen-G5 (</w:t>
      </w:r>
      <w:r>
        <w:rPr>
          <w:rFonts w:ascii="Book Antiqua" w:eastAsia="Book Antiqua" w:hAnsi="Book Antiqua" w:cs="Book Antiqua"/>
        </w:rPr>
        <w:t>HLA-G5)</w:t>
      </w:r>
      <w:r>
        <w:rPr>
          <w:rFonts w:ascii="Book Antiqua" w:eastAsia="Book Antiqua" w:hAnsi="Book Antiqua" w:cs="Book Antiqua"/>
          <w:color w:val="000000"/>
        </w:rPr>
        <w:t>, tumor necrosis factor-α-induced protein-6 (TSG-6) and ligands for programmed cell death 1 (PD-L1) were all increased after hypoxia and inflammatory factor preconditioning. IL-1 receptor antagonist (IL-1ra) was not significantly different between the two groups;</w:t>
      </w:r>
      <w:r>
        <w:rPr>
          <w:rFonts w:ascii="Book Antiqua" w:eastAsia="Book Antiqua" w:hAnsi="Book Antiqua" w:cs="Book Antiqua"/>
        </w:rPr>
        <w:t xml:space="preserve"> B: Levels of immunoregulatory proteins in UC-MSCs and PUC-MSCs were detected by enzyme-linked immunosorbent assay. After hypoxia and inflammatory factor pretreatment, the protein levels of IDO, PGE2, TGF-β1 and TSG-6 were increased, while the expression of IL-10 was not significantly different, as determined </w:t>
      </w:r>
      <w:r>
        <w:rPr>
          <w:rFonts w:ascii="Book Antiqua" w:eastAsia="Book Antiqua" w:hAnsi="Book Antiqua" w:cs="Book Antiqua"/>
          <w:i/>
          <w:iCs/>
        </w:rPr>
        <w:t>via</w:t>
      </w:r>
      <w:r>
        <w:rPr>
          <w:rFonts w:ascii="Book Antiqua" w:eastAsia="Book Antiqua" w:hAnsi="Book Antiqua" w:cs="Book Antiqua"/>
        </w:rPr>
        <w:t xml:space="preserve"> three independent experiments. </w:t>
      </w:r>
      <w:r>
        <w:rPr>
          <w:rFonts w:ascii="Book Antiqua" w:eastAsia="Book Antiqua" w:hAnsi="Book Antiqua" w:cs="Book Antiqua"/>
          <w:color w:val="000000"/>
          <w:vertAlign w:val="superscript"/>
        </w:rPr>
        <w:t>a</w:t>
      </w:r>
      <w:r>
        <w:rPr>
          <w:rFonts w:ascii="Book Antiqua" w:eastAsia="Book Antiqua" w:hAnsi="Book Antiqua" w:cs="Book Antiqua"/>
          <w:i/>
          <w:iCs/>
          <w:color w:val="000000"/>
        </w:rPr>
        <w:t>P</w:t>
      </w:r>
      <w:r>
        <w:rPr>
          <w:rFonts w:ascii="Book Antiqua" w:eastAsia="Book Antiqua" w:hAnsi="Book Antiqua" w:cs="Book Antiqua"/>
          <w:color w:val="000000"/>
        </w:rPr>
        <w:t xml:space="preserve"> &lt; 0.05; </w:t>
      </w:r>
      <w:r>
        <w:rPr>
          <w:rFonts w:ascii="Book Antiqua" w:eastAsia="Book Antiqua" w:hAnsi="Book Antiqua" w:cs="Book Antiqua"/>
          <w:color w:val="000000"/>
          <w:vertAlign w:val="superscript"/>
        </w:rPr>
        <w:t>b</w:t>
      </w:r>
      <w:r>
        <w:rPr>
          <w:rFonts w:ascii="Book Antiqua" w:eastAsia="Book Antiqua" w:hAnsi="Book Antiqua" w:cs="Book Antiqua"/>
          <w:i/>
          <w:iCs/>
          <w:color w:val="000000"/>
        </w:rPr>
        <w:t>P</w:t>
      </w:r>
      <w:r>
        <w:rPr>
          <w:rFonts w:ascii="Book Antiqua" w:eastAsia="Book Antiqua" w:hAnsi="Book Antiqua" w:cs="Book Antiqua"/>
          <w:color w:val="000000"/>
        </w:rPr>
        <w:t xml:space="preserve"> &lt; 0.01; </w:t>
      </w:r>
      <w:r>
        <w:rPr>
          <w:rFonts w:ascii="Book Antiqua" w:eastAsia="Book Antiqua" w:hAnsi="Book Antiqua" w:cs="Book Antiqua"/>
          <w:color w:val="000000"/>
          <w:vertAlign w:val="superscript"/>
        </w:rPr>
        <w:t>c</w:t>
      </w:r>
      <w:r>
        <w:rPr>
          <w:rFonts w:ascii="Book Antiqua" w:eastAsia="Book Antiqua" w:hAnsi="Book Antiqua" w:cs="Book Antiqua"/>
          <w:i/>
          <w:iCs/>
          <w:color w:val="000000"/>
        </w:rPr>
        <w:t>P</w:t>
      </w:r>
      <w:r>
        <w:rPr>
          <w:rFonts w:ascii="Book Antiqua" w:eastAsia="Book Antiqua" w:hAnsi="Book Antiqua" w:cs="Book Antiqua"/>
          <w:color w:val="000000"/>
        </w:rPr>
        <w:t xml:space="preserve"> &lt; 0.001; </w:t>
      </w:r>
      <w:r>
        <w:rPr>
          <w:rFonts w:ascii="Book Antiqua" w:eastAsia="Book Antiqua" w:hAnsi="Book Antiqua" w:cs="Book Antiqua"/>
          <w:color w:val="000000"/>
          <w:vertAlign w:val="superscript"/>
        </w:rPr>
        <w:t>d</w:t>
      </w:r>
      <w:r>
        <w:rPr>
          <w:rFonts w:ascii="Book Antiqua" w:eastAsia="Book Antiqua" w:hAnsi="Book Antiqua" w:cs="Book Antiqua"/>
          <w:i/>
          <w:iCs/>
          <w:color w:val="000000"/>
        </w:rPr>
        <w:t>P</w:t>
      </w:r>
      <w:r>
        <w:rPr>
          <w:rFonts w:ascii="Book Antiqua" w:eastAsia="Book Antiqua" w:hAnsi="Book Antiqua" w:cs="Book Antiqua"/>
          <w:color w:val="000000"/>
        </w:rPr>
        <w:t xml:space="preserve"> &gt; 0.05. </w:t>
      </w:r>
    </w:p>
    <w:p w14:paraId="2A0B8981" w14:textId="77777777" w:rsidR="00556032" w:rsidRDefault="00556032">
      <w:pPr>
        <w:spacing w:line="360" w:lineRule="auto"/>
        <w:jc w:val="both"/>
        <w:rPr>
          <w:rFonts w:ascii="Book Antiqua" w:hAnsi="Book Antiqua"/>
        </w:rPr>
        <w:sectPr w:rsidR="00556032">
          <w:pgSz w:w="12240" w:h="15840"/>
          <w:pgMar w:top="1440" w:right="1440" w:bottom="1440" w:left="1440" w:header="720" w:footer="720" w:gutter="0"/>
          <w:cols w:space="720"/>
          <w:docGrid w:linePitch="360"/>
        </w:sectPr>
      </w:pPr>
    </w:p>
    <w:p w14:paraId="17A6D1EA" w14:textId="468F73AE" w:rsidR="00556032" w:rsidRDefault="00430235">
      <w:pPr>
        <w:spacing w:line="360" w:lineRule="auto"/>
        <w:jc w:val="both"/>
        <w:rPr>
          <w:rFonts w:ascii="Book Antiqua" w:hAnsi="Book Antiqua"/>
        </w:rPr>
      </w:pPr>
      <w:r>
        <w:rPr>
          <w:rFonts w:ascii="Book Antiqua" w:hAnsi="Book Antiqua"/>
          <w:noProof/>
        </w:rPr>
        <w:drawing>
          <wp:inline distT="0" distB="0" distL="0" distR="0" wp14:anchorId="5A77CFB2" wp14:editId="69474047">
            <wp:extent cx="5943600" cy="5643880"/>
            <wp:effectExtent l="0" t="0" r="0" b="0"/>
            <wp:docPr id="6791757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175764" name="图片 679175764"/>
                    <pic:cNvPicPr/>
                  </pic:nvPicPr>
                  <pic:blipFill>
                    <a:blip r:embed="rId13"/>
                    <a:stretch>
                      <a:fillRect/>
                    </a:stretch>
                  </pic:blipFill>
                  <pic:spPr>
                    <a:xfrm>
                      <a:off x="0" y="0"/>
                      <a:ext cx="5943600" cy="5643880"/>
                    </a:xfrm>
                    <a:prstGeom prst="rect">
                      <a:avLst/>
                    </a:prstGeom>
                  </pic:spPr>
                </pic:pic>
              </a:graphicData>
            </a:graphic>
          </wp:inline>
        </w:drawing>
      </w:r>
    </w:p>
    <w:p w14:paraId="75CFAC63" w14:textId="77777777" w:rsidR="00556032" w:rsidRDefault="00000000">
      <w:pPr>
        <w:spacing w:line="360" w:lineRule="auto"/>
        <w:jc w:val="both"/>
        <w:rPr>
          <w:rFonts w:ascii="Book Antiqua" w:eastAsia="Book Antiqua" w:hAnsi="Book Antiqua" w:cs="Book Antiqua"/>
        </w:rPr>
      </w:pPr>
      <w:r>
        <w:rPr>
          <w:rFonts w:ascii="Book Antiqua" w:eastAsia="Book Antiqua" w:hAnsi="Book Antiqua" w:cs="Book Antiqua"/>
          <w:b/>
          <w:bCs/>
        </w:rPr>
        <w:t xml:space="preserve">Figure 6 Detection of the immunomodulatory function of umbilical cord mesenchymal stem cells after preconditioning. </w:t>
      </w:r>
      <w:r>
        <w:rPr>
          <w:rFonts w:ascii="Book Antiqua" w:eastAsia="Book Antiqua" w:hAnsi="Book Antiqua" w:cs="Book Antiqua"/>
          <w:color w:val="000000"/>
        </w:rPr>
        <w:t xml:space="preserve">A: Peripheral blood mononuclear cells (PBMCs) alone or directly exposed to </w:t>
      </w:r>
      <w:r>
        <w:rPr>
          <w:rFonts w:ascii="Book Antiqua" w:eastAsia="Book Antiqua" w:hAnsi="Book Antiqua" w:cs="Book Antiqua"/>
        </w:rPr>
        <w:t>umbilical cord mesenchymal stem cells (UC-MSCs/primed UC-MSCs)</w:t>
      </w:r>
      <w:r>
        <w:rPr>
          <w:rFonts w:ascii="Book Antiqua" w:eastAsia="Book Antiqua" w:hAnsi="Book Antiqua" w:cs="Book Antiqua"/>
          <w:color w:val="000000"/>
        </w:rPr>
        <w:t xml:space="preserve"> for 5 d in a 3:1 ratio.</w:t>
      </w:r>
      <w:r>
        <w:rPr>
          <w:rFonts w:ascii="Book Antiqua" w:eastAsia="Book Antiqua" w:hAnsi="Book Antiqua" w:cs="Book Antiqua"/>
        </w:rPr>
        <w:t xml:space="preserve"> The number of PBMCs in three groups was measured daily and the growth curve was plotted; B: Carboxyfluorescein diacetate succinimidyl ester (CFSE)-stained natural killer (NK) cells were cultured alone or cocultured with UC-MSCs/PUC-MSCs at a 3:1 ratio for 72 h. NK cells were harvested, and the fluorescence intensity of CFSE was measured by flow cytometry to measure the proliferation rate of NK cells; C: NK cells were collected and incubated with CFSE-stained K562 target cells for 4 h at an effector ratio (E:T = 1:5). Effector cell (NK cell)-mediated cytotoxicity of K562 cells was analyzed by flow cytometry. </w:t>
      </w:r>
      <w:r>
        <w:rPr>
          <w:rFonts w:ascii="Book Antiqua" w:eastAsia="Book Antiqua" w:hAnsi="Book Antiqua" w:cs="Book Antiqua"/>
          <w:color w:val="000000"/>
          <w:vertAlign w:val="superscript"/>
        </w:rPr>
        <w:t>a</w:t>
      </w:r>
      <w:r>
        <w:rPr>
          <w:rFonts w:ascii="Book Antiqua" w:eastAsia="Book Antiqua" w:hAnsi="Book Antiqua" w:cs="Book Antiqua"/>
          <w:i/>
          <w:iCs/>
          <w:color w:val="000000"/>
        </w:rPr>
        <w:t>P</w:t>
      </w:r>
      <w:r>
        <w:rPr>
          <w:rFonts w:ascii="Book Antiqua" w:eastAsia="Book Antiqua" w:hAnsi="Book Antiqua" w:cs="Book Antiqua"/>
          <w:color w:val="000000"/>
        </w:rPr>
        <w:t xml:space="preserve"> &lt; 0.05; </w:t>
      </w:r>
      <w:r>
        <w:rPr>
          <w:rFonts w:ascii="Book Antiqua" w:eastAsia="Book Antiqua" w:hAnsi="Book Antiqua" w:cs="Book Antiqua"/>
          <w:color w:val="000000"/>
          <w:vertAlign w:val="superscript"/>
        </w:rPr>
        <w:t>b</w:t>
      </w:r>
      <w:r>
        <w:rPr>
          <w:rFonts w:ascii="Book Antiqua" w:eastAsia="Book Antiqua" w:hAnsi="Book Antiqua" w:cs="Book Antiqua"/>
          <w:i/>
          <w:iCs/>
          <w:color w:val="000000"/>
        </w:rPr>
        <w:t>P</w:t>
      </w:r>
      <w:r>
        <w:rPr>
          <w:rFonts w:ascii="Book Antiqua" w:eastAsia="Book Antiqua" w:hAnsi="Book Antiqua" w:cs="Book Antiqua"/>
          <w:color w:val="000000"/>
        </w:rPr>
        <w:t xml:space="preserve"> &lt; 0.01; </w:t>
      </w:r>
      <w:r>
        <w:rPr>
          <w:rFonts w:ascii="Book Antiqua" w:eastAsia="Book Antiqua" w:hAnsi="Book Antiqua" w:cs="Book Antiqua"/>
          <w:color w:val="000000"/>
          <w:vertAlign w:val="superscript"/>
        </w:rPr>
        <w:t>c</w:t>
      </w:r>
      <w:r>
        <w:rPr>
          <w:rFonts w:ascii="Book Antiqua" w:eastAsia="Book Antiqua" w:hAnsi="Book Antiqua" w:cs="Book Antiqua"/>
          <w:i/>
          <w:iCs/>
          <w:color w:val="000000"/>
        </w:rPr>
        <w:t>P</w:t>
      </w:r>
      <w:r>
        <w:rPr>
          <w:rFonts w:ascii="Book Antiqua" w:eastAsia="Book Antiqua" w:hAnsi="Book Antiqua" w:cs="Book Antiqua"/>
          <w:color w:val="000000"/>
        </w:rPr>
        <w:t xml:space="preserve"> &lt; 0.001; </w:t>
      </w:r>
      <w:r>
        <w:rPr>
          <w:rFonts w:ascii="Book Antiqua" w:eastAsia="Book Antiqua" w:hAnsi="Book Antiqua" w:cs="Book Antiqua"/>
          <w:color w:val="000000"/>
          <w:vertAlign w:val="superscript"/>
        </w:rPr>
        <w:t>d</w:t>
      </w:r>
      <w:r>
        <w:rPr>
          <w:rFonts w:ascii="Book Antiqua" w:eastAsia="Book Antiqua" w:hAnsi="Book Antiqua" w:cs="Book Antiqua"/>
          <w:i/>
          <w:iCs/>
          <w:color w:val="000000"/>
        </w:rPr>
        <w:t>P</w:t>
      </w:r>
      <w:r>
        <w:rPr>
          <w:rFonts w:ascii="Book Antiqua" w:eastAsia="Book Antiqua" w:hAnsi="Book Antiqua" w:cs="Book Antiqua"/>
          <w:color w:val="000000"/>
        </w:rPr>
        <w:t xml:space="preserve"> &gt; 0.05. </w:t>
      </w:r>
    </w:p>
    <w:p w14:paraId="3B153C83" w14:textId="77777777" w:rsidR="00556032" w:rsidRDefault="00556032">
      <w:pPr>
        <w:spacing w:line="360" w:lineRule="auto"/>
        <w:jc w:val="both"/>
        <w:rPr>
          <w:rFonts w:ascii="Book Antiqua" w:hAnsi="Book Antiqua"/>
        </w:rPr>
        <w:sectPr w:rsidR="00556032">
          <w:pgSz w:w="12240" w:h="15840"/>
          <w:pgMar w:top="1440" w:right="1440" w:bottom="1440" w:left="1440" w:header="720" w:footer="720" w:gutter="0"/>
          <w:cols w:space="720"/>
          <w:docGrid w:linePitch="360"/>
        </w:sectPr>
      </w:pPr>
    </w:p>
    <w:p w14:paraId="38BF52D2" w14:textId="77777777" w:rsidR="00556032" w:rsidRDefault="00000000">
      <w:pPr>
        <w:spacing w:line="360" w:lineRule="auto"/>
        <w:jc w:val="both"/>
        <w:rPr>
          <w:rFonts w:ascii="Book Antiqua" w:eastAsiaTheme="minorHAnsi" w:hAnsi="Book Antiqua"/>
          <w:b/>
          <w:color w:val="000000"/>
        </w:rPr>
      </w:pPr>
      <w:r>
        <w:rPr>
          <w:rFonts w:ascii="Book Antiqua" w:eastAsiaTheme="minorHAnsi" w:hAnsi="Book Antiqua"/>
          <w:b/>
          <w:color w:val="000000"/>
        </w:rPr>
        <w:t xml:space="preserve">Table 1 </w:t>
      </w:r>
      <w:bookmarkStart w:id="16" w:name="_Hlk502765245"/>
      <w:r>
        <w:rPr>
          <w:rFonts w:ascii="Book Antiqua" w:eastAsiaTheme="minorHAnsi" w:hAnsi="Book Antiqua"/>
          <w:b/>
          <w:color w:val="000000"/>
        </w:rPr>
        <w:t xml:space="preserve">Primer used to amplify the human transcripts during real-time quantitative </w:t>
      </w:r>
      <w:bookmarkEnd w:id="16"/>
      <w:r>
        <w:rPr>
          <w:rFonts w:ascii="Book Antiqua" w:eastAsiaTheme="minorHAnsi" w:hAnsi="Book Antiqua"/>
          <w:b/>
          <w:color w:val="000000"/>
        </w:rPr>
        <w:t>polymerase chain reaction</w:t>
      </w:r>
    </w:p>
    <w:tbl>
      <w:tblPr>
        <w:tblW w:w="9747" w:type="dxa"/>
        <w:tblLayout w:type="fixed"/>
        <w:tblLook w:val="04A0" w:firstRow="1" w:lastRow="0" w:firstColumn="1" w:lastColumn="0" w:noHBand="0" w:noVBand="1"/>
      </w:tblPr>
      <w:tblGrid>
        <w:gridCol w:w="2235"/>
        <w:gridCol w:w="5811"/>
        <w:gridCol w:w="1701"/>
      </w:tblGrid>
      <w:tr w:rsidR="00556032" w14:paraId="4E7AC197" w14:textId="77777777">
        <w:trPr>
          <w:trHeight w:val="370"/>
        </w:trPr>
        <w:tc>
          <w:tcPr>
            <w:tcW w:w="2235" w:type="dxa"/>
            <w:tcBorders>
              <w:top w:val="single" w:sz="4" w:space="0" w:color="auto"/>
              <w:bottom w:val="single" w:sz="4" w:space="0" w:color="auto"/>
            </w:tcBorders>
          </w:tcPr>
          <w:p w14:paraId="1ED904FA" w14:textId="77777777" w:rsidR="00556032" w:rsidRDefault="00000000">
            <w:pPr>
              <w:spacing w:line="360" w:lineRule="auto"/>
              <w:jc w:val="both"/>
              <w:rPr>
                <w:rFonts w:ascii="Book Antiqua" w:eastAsiaTheme="minorHAnsi" w:hAnsi="Book Antiqua"/>
              </w:rPr>
            </w:pPr>
            <w:r>
              <w:rPr>
                <w:rFonts w:ascii="Book Antiqua" w:eastAsiaTheme="minorHAnsi" w:hAnsi="Book Antiqua"/>
                <w:b/>
                <w:color w:val="2E2E2E"/>
              </w:rPr>
              <w:t>Gene</w:t>
            </w:r>
          </w:p>
        </w:tc>
        <w:tc>
          <w:tcPr>
            <w:tcW w:w="5811" w:type="dxa"/>
            <w:tcBorders>
              <w:top w:val="single" w:sz="4" w:space="0" w:color="auto"/>
              <w:bottom w:val="single" w:sz="4" w:space="0" w:color="auto"/>
            </w:tcBorders>
          </w:tcPr>
          <w:p w14:paraId="06A0B7A0" w14:textId="77777777" w:rsidR="00556032" w:rsidRDefault="00000000">
            <w:pPr>
              <w:spacing w:line="360" w:lineRule="auto"/>
              <w:jc w:val="both"/>
              <w:rPr>
                <w:rFonts w:ascii="Book Antiqua" w:eastAsiaTheme="minorHAnsi" w:hAnsi="Book Antiqua"/>
              </w:rPr>
            </w:pPr>
            <w:r>
              <w:rPr>
                <w:rFonts w:ascii="Book Antiqua" w:eastAsiaTheme="minorHAnsi" w:hAnsi="Book Antiqua"/>
                <w:b/>
                <w:color w:val="2E2E2E"/>
              </w:rPr>
              <w:t>Sequence, 5’ to 3’</w:t>
            </w:r>
          </w:p>
        </w:tc>
        <w:tc>
          <w:tcPr>
            <w:tcW w:w="1701" w:type="dxa"/>
            <w:tcBorders>
              <w:top w:val="single" w:sz="4" w:space="0" w:color="auto"/>
              <w:bottom w:val="single" w:sz="4" w:space="0" w:color="auto"/>
            </w:tcBorders>
          </w:tcPr>
          <w:p w14:paraId="5EB12F91" w14:textId="77777777" w:rsidR="00556032" w:rsidRDefault="00000000">
            <w:pPr>
              <w:spacing w:line="360" w:lineRule="auto"/>
              <w:jc w:val="both"/>
              <w:rPr>
                <w:rFonts w:ascii="Book Antiqua" w:eastAsiaTheme="minorHAnsi" w:hAnsi="Book Antiqua"/>
              </w:rPr>
            </w:pPr>
            <w:r>
              <w:rPr>
                <w:rFonts w:ascii="Book Antiqua" w:eastAsiaTheme="minorHAnsi" w:hAnsi="Book Antiqua"/>
                <w:b/>
                <w:color w:val="2E2E2E"/>
              </w:rPr>
              <w:t>Application</w:t>
            </w:r>
          </w:p>
        </w:tc>
      </w:tr>
      <w:tr w:rsidR="00556032" w14:paraId="2101F1E0" w14:textId="77777777">
        <w:trPr>
          <w:trHeight w:val="370"/>
        </w:trPr>
        <w:tc>
          <w:tcPr>
            <w:tcW w:w="2235" w:type="dxa"/>
            <w:vMerge w:val="restart"/>
            <w:tcBorders>
              <w:top w:val="single" w:sz="4" w:space="0" w:color="auto"/>
            </w:tcBorders>
          </w:tcPr>
          <w:p w14:paraId="5661979E"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Catalae (human)</w:t>
            </w:r>
          </w:p>
        </w:tc>
        <w:tc>
          <w:tcPr>
            <w:tcW w:w="5811" w:type="dxa"/>
            <w:tcBorders>
              <w:top w:val="single" w:sz="4" w:space="0" w:color="auto"/>
            </w:tcBorders>
          </w:tcPr>
          <w:p w14:paraId="79027976"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Upper: TTCTGTTGAAGATGCGGCGAGAC</w:t>
            </w:r>
          </w:p>
        </w:tc>
        <w:tc>
          <w:tcPr>
            <w:tcW w:w="1701" w:type="dxa"/>
            <w:vMerge w:val="restart"/>
            <w:tcBorders>
              <w:top w:val="single" w:sz="4" w:space="0" w:color="auto"/>
            </w:tcBorders>
          </w:tcPr>
          <w:p w14:paraId="6EFAA7BD"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qRT-PCR</w:t>
            </w:r>
          </w:p>
        </w:tc>
      </w:tr>
      <w:tr w:rsidR="00556032" w14:paraId="20FE304A" w14:textId="77777777">
        <w:trPr>
          <w:trHeight w:val="370"/>
        </w:trPr>
        <w:tc>
          <w:tcPr>
            <w:tcW w:w="2235" w:type="dxa"/>
            <w:vMerge/>
          </w:tcPr>
          <w:p w14:paraId="62A8EDB9" w14:textId="77777777" w:rsidR="00556032" w:rsidRDefault="00556032">
            <w:pPr>
              <w:spacing w:line="360" w:lineRule="auto"/>
              <w:jc w:val="both"/>
              <w:rPr>
                <w:rFonts w:ascii="Book Antiqua" w:eastAsiaTheme="minorHAnsi" w:hAnsi="Book Antiqua"/>
                <w:bCs/>
                <w:color w:val="2E2E2E"/>
              </w:rPr>
            </w:pPr>
          </w:p>
        </w:tc>
        <w:tc>
          <w:tcPr>
            <w:tcW w:w="5811" w:type="dxa"/>
          </w:tcPr>
          <w:p w14:paraId="05B4B9C3"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Lower: GGGGTACTTTCCTGTGGCAATGG</w:t>
            </w:r>
          </w:p>
        </w:tc>
        <w:tc>
          <w:tcPr>
            <w:tcW w:w="1701" w:type="dxa"/>
            <w:vMerge/>
          </w:tcPr>
          <w:p w14:paraId="0147225E" w14:textId="77777777" w:rsidR="00556032" w:rsidRDefault="00556032">
            <w:pPr>
              <w:spacing w:line="360" w:lineRule="auto"/>
              <w:jc w:val="both"/>
              <w:rPr>
                <w:rFonts w:ascii="Book Antiqua" w:eastAsiaTheme="minorHAnsi" w:hAnsi="Book Antiqua"/>
                <w:bCs/>
                <w:color w:val="2E2E2E"/>
              </w:rPr>
            </w:pPr>
          </w:p>
        </w:tc>
      </w:tr>
      <w:tr w:rsidR="00556032" w14:paraId="302D7D80" w14:textId="77777777">
        <w:trPr>
          <w:trHeight w:val="370"/>
        </w:trPr>
        <w:tc>
          <w:tcPr>
            <w:tcW w:w="2235" w:type="dxa"/>
            <w:vMerge w:val="restart"/>
          </w:tcPr>
          <w:p w14:paraId="5E879885" w14:textId="0F2C13D4"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STC-1 (human)</w:t>
            </w:r>
          </w:p>
        </w:tc>
        <w:tc>
          <w:tcPr>
            <w:tcW w:w="5811" w:type="dxa"/>
          </w:tcPr>
          <w:p w14:paraId="12F31C1B"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Upper: CCATGAGGCGGAGCAGAATGAC</w:t>
            </w:r>
          </w:p>
        </w:tc>
        <w:tc>
          <w:tcPr>
            <w:tcW w:w="1701" w:type="dxa"/>
            <w:vMerge w:val="restart"/>
          </w:tcPr>
          <w:p w14:paraId="1389FFF8"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qRT-PCR</w:t>
            </w:r>
          </w:p>
        </w:tc>
      </w:tr>
      <w:tr w:rsidR="00556032" w14:paraId="3FB285C4" w14:textId="77777777">
        <w:trPr>
          <w:trHeight w:val="370"/>
        </w:trPr>
        <w:tc>
          <w:tcPr>
            <w:tcW w:w="2235" w:type="dxa"/>
            <w:vMerge/>
          </w:tcPr>
          <w:p w14:paraId="5C345803" w14:textId="77777777" w:rsidR="00556032" w:rsidRDefault="00556032">
            <w:pPr>
              <w:spacing w:line="360" w:lineRule="auto"/>
              <w:jc w:val="both"/>
              <w:rPr>
                <w:rFonts w:ascii="Book Antiqua" w:eastAsiaTheme="minorHAnsi" w:hAnsi="Book Antiqua"/>
                <w:bCs/>
                <w:color w:val="2E2E2E"/>
              </w:rPr>
            </w:pPr>
          </w:p>
        </w:tc>
        <w:tc>
          <w:tcPr>
            <w:tcW w:w="5811" w:type="dxa"/>
          </w:tcPr>
          <w:p w14:paraId="5F2153FD"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Lower: GCCGACCTGTAGAGCACTGTTG</w:t>
            </w:r>
          </w:p>
        </w:tc>
        <w:tc>
          <w:tcPr>
            <w:tcW w:w="1701" w:type="dxa"/>
            <w:vMerge/>
          </w:tcPr>
          <w:p w14:paraId="1C9FF624" w14:textId="77777777" w:rsidR="00556032" w:rsidRDefault="00556032">
            <w:pPr>
              <w:spacing w:line="360" w:lineRule="auto"/>
              <w:jc w:val="both"/>
              <w:rPr>
                <w:rFonts w:ascii="Book Antiqua" w:eastAsiaTheme="minorHAnsi" w:hAnsi="Book Antiqua"/>
                <w:bCs/>
                <w:color w:val="2E2E2E"/>
              </w:rPr>
            </w:pPr>
          </w:p>
        </w:tc>
      </w:tr>
      <w:tr w:rsidR="00556032" w14:paraId="19050289" w14:textId="77777777">
        <w:trPr>
          <w:trHeight w:val="270"/>
        </w:trPr>
        <w:tc>
          <w:tcPr>
            <w:tcW w:w="2235" w:type="dxa"/>
            <w:vMerge w:val="restart"/>
          </w:tcPr>
          <w:p w14:paraId="3EC27D01"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HMOX1 (human)</w:t>
            </w:r>
          </w:p>
        </w:tc>
        <w:tc>
          <w:tcPr>
            <w:tcW w:w="5811" w:type="dxa"/>
          </w:tcPr>
          <w:p w14:paraId="4642702C"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Upper: TGCCAGTGCCACCAAGTTCAAG</w:t>
            </w:r>
          </w:p>
        </w:tc>
        <w:tc>
          <w:tcPr>
            <w:tcW w:w="1701" w:type="dxa"/>
            <w:vMerge w:val="restart"/>
          </w:tcPr>
          <w:p w14:paraId="7DD61588"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qRT-PCR</w:t>
            </w:r>
          </w:p>
        </w:tc>
      </w:tr>
      <w:tr w:rsidR="00556032" w14:paraId="52F5BCD6" w14:textId="77777777">
        <w:trPr>
          <w:trHeight w:val="270"/>
        </w:trPr>
        <w:tc>
          <w:tcPr>
            <w:tcW w:w="2235" w:type="dxa"/>
            <w:vMerge/>
          </w:tcPr>
          <w:p w14:paraId="703F0C9F" w14:textId="77777777" w:rsidR="00556032" w:rsidRDefault="00556032">
            <w:pPr>
              <w:spacing w:line="360" w:lineRule="auto"/>
              <w:jc w:val="both"/>
              <w:rPr>
                <w:rFonts w:ascii="Book Antiqua" w:eastAsiaTheme="minorHAnsi" w:hAnsi="Book Antiqua"/>
                <w:bCs/>
                <w:color w:val="2E2E2E"/>
              </w:rPr>
            </w:pPr>
          </w:p>
        </w:tc>
        <w:tc>
          <w:tcPr>
            <w:tcW w:w="5811" w:type="dxa"/>
          </w:tcPr>
          <w:p w14:paraId="3DD41B36"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Lower: TGTTGAGCAGGAACGCAGTCTTG</w:t>
            </w:r>
          </w:p>
        </w:tc>
        <w:tc>
          <w:tcPr>
            <w:tcW w:w="1701" w:type="dxa"/>
            <w:vMerge/>
          </w:tcPr>
          <w:p w14:paraId="0D24AC61" w14:textId="77777777" w:rsidR="00556032" w:rsidRDefault="00556032">
            <w:pPr>
              <w:spacing w:line="360" w:lineRule="auto"/>
              <w:jc w:val="both"/>
              <w:rPr>
                <w:rFonts w:ascii="Book Antiqua" w:eastAsiaTheme="minorHAnsi" w:hAnsi="Book Antiqua"/>
                <w:bCs/>
                <w:color w:val="2E2E2E"/>
              </w:rPr>
            </w:pPr>
          </w:p>
        </w:tc>
      </w:tr>
      <w:tr w:rsidR="00556032" w14:paraId="3F300278" w14:textId="77777777">
        <w:trPr>
          <w:trHeight w:val="270"/>
        </w:trPr>
        <w:tc>
          <w:tcPr>
            <w:tcW w:w="2235" w:type="dxa"/>
            <w:vMerge w:val="restart"/>
          </w:tcPr>
          <w:p w14:paraId="385A2F0A"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Bax (human)</w:t>
            </w:r>
          </w:p>
        </w:tc>
        <w:tc>
          <w:tcPr>
            <w:tcW w:w="5811" w:type="dxa"/>
          </w:tcPr>
          <w:p w14:paraId="76CB6F8A"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Upper: ACCAAGAAGCTGAGCGAGTGTC</w:t>
            </w:r>
          </w:p>
        </w:tc>
        <w:tc>
          <w:tcPr>
            <w:tcW w:w="1701" w:type="dxa"/>
            <w:vMerge w:val="restart"/>
          </w:tcPr>
          <w:p w14:paraId="75830A53"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qRT-PCR</w:t>
            </w:r>
          </w:p>
        </w:tc>
      </w:tr>
      <w:tr w:rsidR="00556032" w14:paraId="14EFDDF8" w14:textId="77777777">
        <w:trPr>
          <w:trHeight w:val="270"/>
        </w:trPr>
        <w:tc>
          <w:tcPr>
            <w:tcW w:w="2235" w:type="dxa"/>
            <w:vMerge/>
          </w:tcPr>
          <w:p w14:paraId="2FDB9A39" w14:textId="77777777" w:rsidR="00556032" w:rsidRDefault="00556032">
            <w:pPr>
              <w:spacing w:line="360" w:lineRule="auto"/>
              <w:jc w:val="both"/>
              <w:rPr>
                <w:rFonts w:ascii="Book Antiqua" w:eastAsiaTheme="minorHAnsi" w:hAnsi="Book Antiqua"/>
                <w:bCs/>
                <w:color w:val="2E2E2E"/>
              </w:rPr>
            </w:pPr>
          </w:p>
        </w:tc>
        <w:tc>
          <w:tcPr>
            <w:tcW w:w="5811" w:type="dxa"/>
          </w:tcPr>
          <w:p w14:paraId="16B85460"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Lower: TGTCCACGGCGGCAATCATC</w:t>
            </w:r>
          </w:p>
        </w:tc>
        <w:tc>
          <w:tcPr>
            <w:tcW w:w="1701" w:type="dxa"/>
            <w:vMerge/>
          </w:tcPr>
          <w:p w14:paraId="3889AE48" w14:textId="77777777" w:rsidR="00556032" w:rsidRDefault="00556032">
            <w:pPr>
              <w:spacing w:line="360" w:lineRule="auto"/>
              <w:jc w:val="both"/>
              <w:rPr>
                <w:rFonts w:ascii="Book Antiqua" w:eastAsiaTheme="minorHAnsi" w:hAnsi="Book Antiqua"/>
                <w:bCs/>
                <w:color w:val="2E2E2E"/>
              </w:rPr>
            </w:pPr>
          </w:p>
        </w:tc>
      </w:tr>
      <w:tr w:rsidR="00556032" w14:paraId="3F877770" w14:textId="77777777">
        <w:trPr>
          <w:trHeight w:val="270"/>
        </w:trPr>
        <w:tc>
          <w:tcPr>
            <w:tcW w:w="2235" w:type="dxa"/>
            <w:vMerge w:val="restart"/>
          </w:tcPr>
          <w:p w14:paraId="51233674"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Bcl2 (human)</w:t>
            </w:r>
          </w:p>
        </w:tc>
        <w:tc>
          <w:tcPr>
            <w:tcW w:w="5811" w:type="dxa"/>
          </w:tcPr>
          <w:p w14:paraId="4EECE54B"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Upper: TGAGTTCGGTGGGGTCATGT</w:t>
            </w:r>
          </w:p>
        </w:tc>
        <w:tc>
          <w:tcPr>
            <w:tcW w:w="1701" w:type="dxa"/>
            <w:vMerge w:val="restart"/>
          </w:tcPr>
          <w:p w14:paraId="71255053"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qRT-PCR</w:t>
            </w:r>
          </w:p>
        </w:tc>
      </w:tr>
      <w:tr w:rsidR="00556032" w14:paraId="2EB49915" w14:textId="77777777">
        <w:trPr>
          <w:trHeight w:val="270"/>
        </w:trPr>
        <w:tc>
          <w:tcPr>
            <w:tcW w:w="2235" w:type="dxa"/>
            <w:vMerge/>
          </w:tcPr>
          <w:p w14:paraId="4AFDE41F" w14:textId="77777777" w:rsidR="00556032" w:rsidRDefault="00556032">
            <w:pPr>
              <w:spacing w:line="360" w:lineRule="auto"/>
              <w:jc w:val="both"/>
              <w:rPr>
                <w:rFonts w:ascii="Book Antiqua" w:eastAsiaTheme="minorHAnsi" w:hAnsi="Book Antiqua"/>
                <w:bCs/>
                <w:color w:val="2E2E2E"/>
              </w:rPr>
            </w:pPr>
          </w:p>
        </w:tc>
        <w:tc>
          <w:tcPr>
            <w:tcW w:w="5811" w:type="dxa"/>
          </w:tcPr>
          <w:p w14:paraId="09254A56"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Lower: TTCCACAAAGGCATCCCAGC</w:t>
            </w:r>
          </w:p>
        </w:tc>
        <w:tc>
          <w:tcPr>
            <w:tcW w:w="1701" w:type="dxa"/>
            <w:vMerge/>
          </w:tcPr>
          <w:p w14:paraId="76A18D3F" w14:textId="77777777" w:rsidR="00556032" w:rsidRDefault="00556032">
            <w:pPr>
              <w:spacing w:line="360" w:lineRule="auto"/>
              <w:jc w:val="both"/>
              <w:rPr>
                <w:rFonts w:ascii="Book Antiqua" w:eastAsiaTheme="minorHAnsi" w:hAnsi="Book Antiqua"/>
                <w:bCs/>
                <w:color w:val="2E2E2E"/>
              </w:rPr>
            </w:pPr>
          </w:p>
        </w:tc>
      </w:tr>
      <w:tr w:rsidR="00556032" w14:paraId="080373CB" w14:textId="77777777">
        <w:trPr>
          <w:trHeight w:val="270"/>
        </w:trPr>
        <w:tc>
          <w:tcPr>
            <w:tcW w:w="2235" w:type="dxa"/>
            <w:vMerge w:val="restart"/>
          </w:tcPr>
          <w:p w14:paraId="61618362"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SIRT1 (human)</w:t>
            </w:r>
          </w:p>
        </w:tc>
        <w:tc>
          <w:tcPr>
            <w:tcW w:w="5811" w:type="dxa"/>
          </w:tcPr>
          <w:p w14:paraId="74FA2EC0"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Upper: CCTGGACAATTCCAGCCATCT</w:t>
            </w:r>
          </w:p>
        </w:tc>
        <w:tc>
          <w:tcPr>
            <w:tcW w:w="1701" w:type="dxa"/>
            <w:vMerge w:val="restart"/>
          </w:tcPr>
          <w:p w14:paraId="3CE06806"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qRT-PCR</w:t>
            </w:r>
          </w:p>
        </w:tc>
      </w:tr>
      <w:tr w:rsidR="00556032" w14:paraId="146D3828" w14:textId="77777777">
        <w:trPr>
          <w:trHeight w:val="270"/>
        </w:trPr>
        <w:tc>
          <w:tcPr>
            <w:tcW w:w="2235" w:type="dxa"/>
            <w:vMerge/>
          </w:tcPr>
          <w:p w14:paraId="077DDC69" w14:textId="77777777" w:rsidR="00556032" w:rsidRDefault="00556032">
            <w:pPr>
              <w:spacing w:line="360" w:lineRule="auto"/>
              <w:jc w:val="both"/>
              <w:rPr>
                <w:rFonts w:ascii="Book Antiqua" w:eastAsiaTheme="minorHAnsi" w:hAnsi="Book Antiqua"/>
                <w:bCs/>
                <w:color w:val="2E2E2E"/>
              </w:rPr>
            </w:pPr>
          </w:p>
        </w:tc>
        <w:tc>
          <w:tcPr>
            <w:tcW w:w="5811" w:type="dxa"/>
          </w:tcPr>
          <w:p w14:paraId="027D5B53"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Lower: TGCAAAGGAACCATGACACTGA</w:t>
            </w:r>
          </w:p>
        </w:tc>
        <w:tc>
          <w:tcPr>
            <w:tcW w:w="1701" w:type="dxa"/>
            <w:vMerge/>
          </w:tcPr>
          <w:p w14:paraId="1E2534F4" w14:textId="77777777" w:rsidR="00556032" w:rsidRDefault="00556032">
            <w:pPr>
              <w:spacing w:line="360" w:lineRule="auto"/>
              <w:jc w:val="both"/>
              <w:rPr>
                <w:rFonts w:ascii="Book Antiqua" w:eastAsiaTheme="minorHAnsi" w:hAnsi="Book Antiqua"/>
                <w:bCs/>
                <w:color w:val="2E2E2E"/>
              </w:rPr>
            </w:pPr>
          </w:p>
        </w:tc>
      </w:tr>
      <w:tr w:rsidR="00556032" w14:paraId="1A4E5868" w14:textId="77777777">
        <w:trPr>
          <w:trHeight w:val="270"/>
        </w:trPr>
        <w:tc>
          <w:tcPr>
            <w:tcW w:w="2235" w:type="dxa"/>
            <w:vMerge w:val="restart"/>
          </w:tcPr>
          <w:p w14:paraId="3D1013E6"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P53 (human)</w:t>
            </w:r>
          </w:p>
        </w:tc>
        <w:tc>
          <w:tcPr>
            <w:tcW w:w="5811" w:type="dxa"/>
          </w:tcPr>
          <w:p w14:paraId="2CD82F54"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Upper: GCCCATCCTCACCATCATCACAC</w:t>
            </w:r>
          </w:p>
        </w:tc>
        <w:tc>
          <w:tcPr>
            <w:tcW w:w="1701" w:type="dxa"/>
            <w:vMerge w:val="restart"/>
          </w:tcPr>
          <w:p w14:paraId="7C9C7C02"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qRT-PCR</w:t>
            </w:r>
          </w:p>
        </w:tc>
      </w:tr>
      <w:tr w:rsidR="00556032" w14:paraId="566CC76B" w14:textId="77777777">
        <w:trPr>
          <w:trHeight w:val="270"/>
        </w:trPr>
        <w:tc>
          <w:tcPr>
            <w:tcW w:w="2235" w:type="dxa"/>
            <w:vMerge/>
          </w:tcPr>
          <w:p w14:paraId="4AA2550A" w14:textId="77777777" w:rsidR="00556032" w:rsidRDefault="00556032">
            <w:pPr>
              <w:spacing w:line="360" w:lineRule="auto"/>
              <w:jc w:val="both"/>
              <w:rPr>
                <w:rFonts w:ascii="Book Antiqua" w:eastAsiaTheme="minorHAnsi" w:hAnsi="Book Antiqua"/>
                <w:bCs/>
                <w:color w:val="2E2E2E"/>
              </w:rPr>
            </w:pPr>
          </w:p>
        </w:tc>
        <w:tc>
          <w:tcPr>
            <w:tcW w:w="5811" w:type="dxa"/>
          </w:tcPr>
          <w:p w14:paraId="50A53081"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Lower: GCACAAACACGCACCTCAAAGC</w:t>
            </w:r>
          </w:p>
        </w:tc>
        <w:tc>
          <w:tcPr>
            <w:tcW w:w="1701" w:type="dxa"/>
            <w:vMerge/>
          </w:tcPr>
          <w:p w14:paraId="6C42B6D4" w14:textId="77777777" w:rsidR="00556032" w:rsidRDefault="00556032">
            <w:pPr>
              <w:spacing w:line="360" w:lineRule="auto"/>
              <w:jc w:val="both"/>
              <w:rPr>
                <w:rFonts w:ascii="Book Antiqua" w:eastAsiaTheme="minorHAnsi" w:hAnsi="Book Antiqua"/>
                <w:bCs/>
                <w:color w:val="2E2E2E"/>
              </w:rPr>
            </w:pPr>
          </w:p>
        </w:tc>
      </w:tr>
      <w:tr w:rsidR="00556032" w14:paraId="268D3985" w14:textId="77777777">
        <w:trPr>
          <w:trHeight w:val="270"/>
        </w:trPr>
        <w:tc>
          <w:tcPr>
            <w:tcW w:w="2235" w:type="dxa"/>
            <w:vMerge w:val="restart"/>
          </w:tcPr>
          <w:p w14:paraId="262B3CFF"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P16 (human)</w:t>
            </w:r>
          </w:p>
        </w:tc>
        <w:tc>
          <w:tcPr>
            <w:tcW w:w="5811" w:type="dxa"/>
          </w:tcPr>
          <w:p w14:paraId="63CFD668"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Upper: CCGTGGACCTGGCTGAGGAG</w:t>
            </w:r>
          </w:p>
        </w:tc>
        <w:tc>
          <w:tcPr>
            <w:tcW w:w="1701" w:type="dxa"/>
            <w:vMerge w:val="restart"/>
          </w:tcPr>
          <w:p w14:paraId="37613078"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qRT-PCR</w:t>
            </w:r>
          </w:p>
        </w:tc>
      </w:tr>
      <w:tr w:rsidR="00556032" w14:paraId="2013E3A7" w14:textId="77777777">
        <w:trPr>
          <w:trHeight w:val="270"/>
        </w:trPr>
        <w:tc>
          <w:tcPr>
            <w:tcW w:w="2235" w:type="dxa"/>
            <w:vMerge/>
          </w:tcPr>
          <w:p w14:paraId="12E47990" w14:textId="77777777" w:rsidR="00556032" w:rsidRDefault="00556032">
            <w:pPr>
              <w:spacing w:line="360" w:lineRule="auto"/>
              <w:jc w:val="both"/>
              <w:rPr>
                <w:rFonts w:ascii="Book Antiqua" w:eastAsiaTheme="minorHAnsi" w:hAnsi="Book Antiqua"/>
                <w:bCs/>
                <w:color w:val="2E2E2E"/>
              </w:rPr>
            </w:pPr>
          </w:p>
        </w:tc>
        <w:tc>
          <w:tcPr>
            <w:tcW w:w="5811" w:type="dxa"/>
          </w:tcPr>
          <w:p w14:paraId="62183F69"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Lower: CGGGGATGTCTGAGGGACCTTC</w:t>
            </w:r>
          </w:p>
        </w:tc>
        <w:tc>
          <w:tcPr>
            <w:tcW w:w="1701" w:type="dxa"/>
            <w:vMerge/>
          </w:tcPr>
          <w:p w14:paraId="57457E87" w14:textId="77777777" w:rsidR="00556032" w:rsidRDefault="00556032">
            <w:pPr>
              <w:spacing w:line="360" w:lineRule="auto"/>
              <w:jc w:val="both"/>
              <w:rPr>
                <w:rFonts w:ascii="Book Antiqua" w:eastAsiaTheme="minorHAnsi" w:hAnsi="Book Antiqua"/>
                <w:bCs/>
                <w:color w:val="2E2E2E"/>
              </w:rPr>
            </w:pPr>
          </w:p>
        </w:tc>
      </w:tr>
      <w:tr w:rsidR="00556032" w14:paraId="525D5D61" w14:textId="77777777">
        <w:trPr>
          <w:trHeight w:val="270"/>
        </w:trPr>
        <w:tc>
          <w:tcPr>
            <w:tcW w:w="2235" w:type="dxa"/>
            <w:vMerge w:val="restart"/>
          </w:tcPr>
          <w:p w14:paraId="361132A5"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P21 (human)</w:t>
            </w:r>
          </w:p>
        </w:tc>
        <w:tc>
          <w:tcPr>
            <w:tcW w:w="5811" w:type="dxa"/>
          </w:tcPr>
          <w:p w14:paraId="4CD0A787"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Upper: CTTGTACCCTTGTGCCTCGC</w:t>
            </w:r>
          </w:p>
        </w:tc>
        <w:tc>
          <w:tcPr>
            <w:tcW w:w="1701" w:type="dxa"/>
            <w:vMerge w:val="restart"/>
          </w:tcPr>
          <w:p w14:paraId="7BB7B9BC"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qRT-PCR</w:t>
            </w:r>
          </w:p>
        </w:tc>
      </w:tr>
      <w:tr w:rsidR="00556032" w14:paraId="743D22FA" w14:textId="77777777">
        <w:trPr>
          <w:trHeight w:val="270"/>
        </w:trPr>
        <w:tc>
          <w:tcPr>
            <w:tcW w:w="2235" w:type="dxa"/>
            <w:vMerge/>
          </w:tcPr>
          <w:p w14:paraId="62D42448" w14:textId="77777777" w:rsidR="00556032" w:rsidRDefault="00556032">
            <w:pPr>
              <w:spacing w:line="360" w:lineRule="auto"/>
              <w:jc w:val="both"/>
              <w:rPr>
                <w:rFonts w:ascii="Book Antiqua" w:eastAsiaTheme="minorHAnsi" w:hAnsi="Book Antiqua"/>
                <w:bCs/>
                <w:color w:val="2E2E2E"/>
              </w:rPr>
            </w:pPr>
          </w:p>
        </w:tc>
        <w:tc>
          <w:tcPr>
            <w:tcW w:w="5811" w:type="dxa"/>
          </w:tcPr>
          <w:p w14:paraId="7F80DA62"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Lower: AGAAGATCAGCCGGCGTTTG</w:t>
            </w:r>
          </w:p>
        </w:tc>
        <w:tc>
          <w:tcPr>
            <w:tcW w:w="1701" w:type="dxa"/>
            <w:vMerge/>
          </w:tcPr>
          <w:p w14:paraId="0D46E7F4" w14:textId="77777777" w:rsidR="00556032" w:rsidRDefault="00556032">
            <w:pPr>
              <w:spacing w:line="360" w:lineRule="auto"/>
              <w:jc w:val="both"/>
              <w:rPr>
                <w:rFonts w:ascii="Book Antiqua" w:eastAsiaTheme="minorHAnsi" w:hAnsi="Book Antiqua"/>
                <w:bCs/>
                <w:color w:val="2E2E2E"/>
              </w:rPr>
            </w:pPr>
          </w:p>
        </w:tc>
      </w:tr>
      <w:tr w:rsidR="00556032" w14:paraId="35348E6A" w14:textId="77777777">
        <w:trPr>
          <w:trHeight w:val="270"/>
        </w:trPr>
        <w:tc>
          <w:tcPr>
            <w:tcW w:w="2235" w:type="dxa"/>
            <w:vMerge w:val="restart"/>
          </w:tcPr>
          <w:p w14:paraId="6873B885"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β-actin (human)</w:t>
            </w:r>
          </w:p>
        </w:tc>
        <w:tc>
          <w:tcPr>
            <w:tcW w:w="5811" w:type="dxa"/>
          </w:tcPr>
          <w:p w14:paraId="3A7AAF24"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Upper: AGTGTGACGTGGACATCCGCA</w:t>
            </w:r>
          </w:p>
        </w:tc>
        <w:tc>
          <w:tcPr>
            <w:tcW w:w="1701" w:type="dxa"/>
            <w:vMerge w:val="restart"/>
          </w:tcPr>
          <w:p w14:paraId="0F9DD657" w14:textId="77777777" w:rsidR="00556032" w:rsidRDefault="00000000">
            <w:pPr>
              <w:widowControl w:val="0"/>
              <w:spacing w:line="360" w:lineRule="auto"/>
              <w:jc w:val="both"/>
              <w:rPr>
                <w:rFonts w:ascii="Book Antiqua" w:eastAsiaTheme="minorHAnsi" w:hAnsi="Book Antiqua"/>
                <w:bCs/>
                <w:color w:val="2E2E2E"/>
              </w:rPr>
            </w:pPr>
            <w:r>
              <w:rPr>
                <w:rFonts w:ascii="Book Antiqua" w:eastAsiaTheme="minorHAnsi" w:hAnsi="Book Antiqua"/>
                <w:bCs/>
                <w:color w:val="2E2E2E"/>
              </w:rPr>
              <w:t>qRT-PCR</w:t>
            </w:r>
          </w:p>
        </w:tc>
      </w:tr>
      <w:tr w:rsidR="00556032" w14:paraId="40EB4B0B" w14:textId="77777777">
        <w:trPr>
          <w:trHeight w:val="270"/>
        </w:trPr>
        <w:tc>
          <w:tcPr>
            <w:tcW w:w="2235" w:type="dxa"/>
            <w:vMerge/>
          </w:tcPr>
          <w:p w14:paraId="3C4844EF" w14:textId="77777777" w:rsidR="00556032" w:rsidRDefault="00556032">
            <w:pPr>
              <w:spacing w:line="360" w:lineRule="auto"/>
              <w:jc w:val="both"/>
              <w:rPr>
                <w:rFonts w:ascii="Book Antiqua" w:eastAsiaTheme="minorHAnsi" w:hAnsi="Book Antiqua"/>
                <w:bCs/>
                <w:color w:val="2E2E2E"/>
              </w:rPr>
            </w:pPr>
          </w:p>
        </w:tc>
        <w:tc>
          <w:tcPr>
            <w:tcW w:w="5811" w:type="dxa"/>
          </w:tcPr>
          <w:p w14:paraId="3B896927"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Lower: ATCCACATCTGCTGGAAGGTGGAC</w:t>
            </w:r>
          </w:p>
        </w:tc>
        <w:tc>
          <w:tcPr>
            <w:tcW w:w="1701" w:type="dxa"/>
            <w:vMerge/>
          </w:tcPr>
          <w:p w14:paraId="2193DF54" w14:textId="77777777" w:rsidR="00556032" w:rsidRDefault="00556032">
            <w:pPr>
              <w:spacing w:line="360" w:lineRule="auto"/>
              <w:jc w:val="both"/>
              <w:rPr>
                <w:rFonts w:ascii="Book Antiqua" w:eastAsiaTheme="minorHAnsi" w:hAnsi="Book Antiqua"/>
                <w:bCs/>
                <w:color w:val="2E2E2E"/>
              </w:rPr>
            </w:pPr>
          </w:p>
        </w:tc>
      </w:tr>
      <w:tr w:rsidR="00556032" w14:paraId="0ED27C79" w14:textId="77777777">
        <w:trPr>
          <w:trHeight w:val="270"/>
        </w:trPr>
        <w:tc>
          <w:tcPr>
            <w:tcW w:w="2235" w:type="dxa"/>
            <w:vMerge w:val="restart"/>
          </w:tcPr>
          <w:p w14:paraId="1DAAC14F"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PGE2 (human)</w:t>
            </w:r>
          </w:p>
        </w:tc>
        <w:tc>
          <w:tcPr>
            <w:tcW w:w="5811" w:type="dxa"/>
          </w:tcPr>
          <w:p w14:paraId="3AC6C526"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Upper: ATTCTCCTGGCTATCATGAC</w:t>
            </w:r>
          </w:p>
        </w:tc>
        <w:tc>
          <w:tcPr>
            <w:tcW w:w="1701" w:type="dxa"/>
            <w:vMerge w:val="restart"/>
          </w:tcPr>
          <w:p w14:paraId="76860749" w14:textId="77777777" w:rsidR="00556032" w:rsidRDefault="00000000">
            <w:pPr>
              <w:widowControl w:val="0"/>
              <w:spacing w:line="360" w:lineRule="auto"/>
              <w:jc w:val="both"/>
              <w:rPr>
                <w:rFonts w:ascii="Book Antiqua" w:eastAsiaTheme="minorHAnsi" w:hAnsi="Book Antiqua"/>
                <w:bCs/>
                <w:color w:val="2E2E2E"/>
              </w:rPr>
            </w:pPr>
            <w:r>
              <w:rPr>
                <w:rFonts w:ascii="Book Antiqua" w:eastAsiaTheme="minorHAnsi" w:hAnsi="Book Antiqua"/>
                <w:bCs/>
                <w:color w:val="2E2E2E"/>
              </w:rPr>
              <w:t>qRT-PCR</w:t>
            </w:r>
          </w:p>
        </w:tc>
      </w:tr>
      <w:tr w:rsidR="00556032" w14:paraId="5B2779A0" w14:textId="77777777">
        <w:trPr>
          <w:trHeight w:val="270"/>
        </w:trPr>
        <w:tc>
          <w:tcPr>
            <w:tcW w:w="2235" w:type="dxa"/>
            <w:vMerge/>
          </w:tcPr>
          <w:p w14:paraId="3BFDF8A9" w14:textId="77777777" w:rsidR="00556032" w:rsidRDefault="00556032">
            <w:pPr>
              <w:spacing w:line="360" w:lineRule="auto"/>
              <w:jc w:val="both"/>
              <w:rPr>
                <w:rFonts w:ascii="Book Antiqua" w:eastAsiaTheme="minorHAnsi" w:hAnsi="Book Antiqua"/>
                <w:bCs/>
                <w:color w:val="2E2E2E"/>
              </w:rPr>
            </w:pPr>
          </w:p>
        </w:tc>
        <w:tc>
          <w:tcPr>
            <w:tcW w:w="5811" w:type="dxa"/>
          </w:tcPr>
          <w:p w14:paraId="193948E8"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Lower: GAACAGGAGGCCTAAGGATG</w:t>
            </w:r>
          </w:p>
        </w:tc>
        <w:tc>
          <w:tcPr>
            <w:tcW w:w="1701" w:type="dxa"/>
            <w:vMerge/>
          </w:tcPr>
          <w:p w14:paraId="45AEBA22" w14:textId="77777777" w:rsidR="00556032" w:rsidRDefault="00556032">
            <w:pPr>
              <w:spacing w:line="360" w:lineRule="auto"/>
              <w:jc w:val="both"/>
              <w:rPr>
                <w:rFonts w:ascii="Book Antiqua" w:eastAsiaTheme="minorHAnsi" w:hAnsi="Book Antiqua"/>
                <w:bCs/>
                <w:color w:val="2E2E2E"/>
              </w:rPr>
            </w:pPr>
          </w:p>
        </w:tc>
      </w:tr>
      <w:tr w:rsidR="00556032" w14:paraId="01D052C1" w14:textId="77777777">
        <w:trPr>
          <w:trHeight w:val="270"/>
        </w:trPr>
        <w:tc>
          <w:tcPr>
            <w:tcW w:w="2235" w:type="dxa"/>
            <w:vMerge w:val="restart"/>
          </w:tcPr>
          <w:p w14:paraId="1471CFB6"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IDO (human)</w:t>
            </w:r>
          </w:p>
        </w:tc>
        <w:tc>
          <w:tcPr>
            <w:tcW w:w="5811" w:type="dxa"/>
          </w:tcPr>
          <w:p w14:paraId="6D3A31C3"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Upper: CTCTGCCAAATCCACAGGAAA</w:t>
            </w:r>
          </w:p>
        </w:tc>
        <w:tc>
          <w:tcPr>
            <w:tcW w:w="1701" w:type="dxa"/>
            <w:vMerge w:val="restart"/>
          </w:tcPr>
          <w:p w14:paraId="6C93EBF7" w14:textId="77777777" w:rsidR="00556032" w:rsidRDefault="00000000">
            <w:pPr>
              <w:widowControl w:val="0"/>
              <w:spacing w:line="360" w:lineRule="auto"/>
              <w:jc w:val="both"/>
              <w:rPr>
                <w:rFonts w:ascii="Book Antiqua" w:eastAsiaTheme="minorHAnsi" w:hAnsi="Book Antiqua"/>
                <w:bCs/>
                <w:color w:val="2E2E2E"/>
              </w:rPr>
            </w:pPr>
            <w:r>
              <w:rPr>
                <w:rFonts w:ascii="Book Antiqua" w:eastAsiaTheme="minorHAnsi" w:hAnsi="Book Antiqua"/>
                <w:bCs/>
                <w:color w:val="2E2E2E"/>
              </w:rPr>
              <w:t>qRT-PCR</w:t>
            </w:r>
          </w:p>
        </w:tc>
      </w:tr>
      <w:tr w:rsidR="00556032" w14:paraId="1FAC4D9E" w14:textId="77777777">
        <w:trPr>
          <w:trHeight w:val="270"/>
        </w:trPr>
        <w:tc>
          <w:tcPr>
            <w:tcW w:w="2235" w:type="dxa"/>
            <w:vMerge/>
          </w:tcPr>
          <w:p w14:paraId="30035882" w14:textId="77777777" w:rsidR="00556032" w:rsidRDefault="00556032">
            <w:pPr>
              <w:spacing w:line="360" w:lineRule="auto"/>
              <w:jc w:val="both"/>
              <w:rPr>
                <w:rFonts w:ascii="Book Antiqua" w:eastAsiaTheme="minorHAnsi" w:hAnsi="Book Antiqua"/>
                <w:bCs/>
                <w:color w:val="2E2E2E"/>
              </w:rPr>
            </w:pPr>
          </w:p>
        </w:tc>
        <w:tc>
          <w:tcPr>
            <w:tcW w:w="5811" w:type="dxa"/>
          </w:tcPr>
          <w:p w14:paraId="0B673505"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Lower: ATGACCTTTGCCCCACACAT</w:t>
            </w:r>
          </w:p>
        </w:tc>
        <w:tc>
          <w:tcPr>
            <w:tcW w:w="1701" w:type="dxa"/>
            <w:vMerge/>
          </w:tcPr>
          <w:p w14:paraId="1169B75E" w14:textId="77777777" w:rsidR="00556032" w:rsidRDefault="00556032">
            <w:pPr>
              <w:spacing w:line="360" w:lineRule="auto"/>
              <w:jc w:val="both"/>
              <w:rPr>
                <w:rFonts w:ascii="Book Antiqua" w:eastAsiaTheme="minorHAnsi" w:hAnsi="Book Antiqua"/>
                <w:bCs/>
                <w:color w:val="2E2E2E"/>
              </w:rPr>
            </w:pPr>
          </w:p>
        </w:tc>
      </w:tr>
      <w:tr w:rsidR="00556032" w14:paraId="4AF9A99A" w14:textId="77777777">
        <w:trPr>
          <w:trHeight w:val="270"/>
        </w:trPr>
        <w:tc>
          <w:tcPr>
            <w:tcW w:w="2235" w:type="dxa"/>
            <w:vMerge w:val="restart"/>
          </w:tcPr>
          <w:p w14:paraId="302A7047"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KYN (human)</w:t>
            </w:r>
          </w:p>
        </w:tc>
        <w:tc>
          <w:tcPr>
            <w:tcW w:w="5811" w:type="dxa"/>
          </w:tcPr>
          <w:p w14:paraId="67223160"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Upper: CAAGCGAAGGGTTGTTATGTTGGC</w:t>
            </w:r>
          </w:p>
        </w:tc>
        <w:tc>
          <w:tcPr>
            <w:tcW w:w="1701" w:type="dxa"/>
            <w:vMerge w:val="restart"/>
          </w:tcPr>
          <w:p w14:paraId="25CD2B0F" w14:textId="77777777" w:rsidR="00556032" w:rsidRDefault="00000000">
            <w:pPr>
              <w:widowControl w:val="0"/>
              <w:spacing w:line="360" w:lineRule="auto"/>
              <w:jc w:val="both"/>
              <w:rPr>
                <w:rFonts w:ascii="Book Antiqua" w:eastAsiaTheme="minorHAnsi" w:hAnsi="Book Antiqua"/>
                <w:bCs/>
                <w:color w:val="2E2E2E"/>
              </w:rPr>
            </w:pPr>
            <w:r>
              <w:rPr>
                <w:rFonts w:ascii="Book Antiqua" w:eastAsiaTheme="minorHAnsi" w:hAnsi="Book Antiqua"/>
                <w:bCs/>
                <w:color w:val="2E2E2E"/>
              </w:rPr>
              <w:t>qRT-PCR</w:t>
            </w:r>
          </w:p>
        </w:tc>
      </w:tr>
      <w:tr w:rsidR="00556032" w14:paraId="5A74A4CA" w14:textId="77777777">
        <w:trPr>
          <w:trHeight w:val="270"/>
        </w:trPr>
        <w:tc>
          <w:tcPr>
            <w:tcW w:w="2235" w:type="dxa"/>
            <w:vMerge/>
          </w:tcPr>
          <w:p w14:paraId="66EC59E7" w14:textId="77777777" w:rsidR="00556032" w:rsidRDefault="00556032">
            <w:pPr>
              <w:spacing w:line="360" w:lineRule="auto"/>
              <w:jc w:val="both"/>
              <w:rPr>
                <w:rFonts w:ascii="Book Antiqua" w:eastAsiaTheme="minorHAnsi" w:hAnsi="Book Antiqua"/>
                <w:bCs/>
                <w:color w:val="2E2E2E"/>
              </w:rPr>
            </w:pPr>
          </w:p>
        </w:tc>
        <w:tc>
          <w:tcPr>
            <w:tcW w:w="5811" w:type="dxa"/>
          </w:tcPr>
          <w:p w14:paraId="1441CE69"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Lower: GGAACACCAGCAGGCAAAATCAAC</w:t>
            </w:r>
          </w:p>
        </w:tc>
        <w:tc>
          <w:tcPr>
            <w:tcW w:w="1701" w:type="dxa"/>
            <w:vMerge/>
          </w:tcPr>
          <w:p w14:paraId="3B983D4E" w14:textId="77777777" w:rsidR="00556032" w:rsidRDefault="00556032">
            <w:pPr>
              <w:spacing w:line="360" w:lineRule="auto"/>
              <w:jc w:val="both"/>
              <w:rPr>
                <w:rFonts w:ascii="Book Antiqua" w:eastAsiaTheme="minorHAnsi" w:hAnsi="Book Antiqua"/>
                <w:bCs/>
                <w:color w:val="2E2E2E"/>
              </w:rPr>
            </w:pPr>
          </w:p>
        </w:tc>
      </w:tr>
      <w:tr w:rsidR="00556032" w14:paraId="29302A97" w14:textId="77777777">
        <w:trPr>
          <w:trHeight w:val="270"/>
        </w:trPr>
        <w:tc>
          <w:tcPr>
            <w:tcW w:w="2235" w:type="dxa"/>
            <w:vMerge w:val="restart"/>
          </w:tcPr>
          <w:p w14:paraId="47E2AFDA"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COX2 (human)</w:t>
            </w:r>
          </w:p>
        </w:tc>
        <w:tc>
          <w:tcPr>
            <w:tcW w:w="5811" w:type="dxa"/>
          </w:tcPr>
          <w:p w14:paraId="5E810932"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Upper: AATCTGGCTGCGGGAACACAAC</w:t>
            </w:r>
          </w:p>
        </w:tc>
        <w:tc>
          <w:tcPr>
            <w:tcW w:w="1701" w:type="dxa"/>
            <w:vMerge w:val="restart"/>
          </w:tcPr>
          <w:p w14:paraId="174ABC8D" w14:textId="77777777" w:rsidR="00556032" w:rsidRDefault="00000000">
            <w:pPr>
              <w:widowControl w:val="0"/>
              <w:spacing w:line="360" w:lineRule="auto"/>
              <w:jc w:val="both"/>
              <w:rPr>
                <w:rFonts w:ascii="Book Antiqua" w:eastAsiaTheme="minorHAnsi" w:hAnsi="Book Antiqua"/>
                <w:bCs/>
                <w:color w:val="2E2E2E"/>
              </w:rPr>
            </w:pPr>
            <w:r>
              <w:rPr>
                <w:rFonts w:ascii="Book Antiqua" w:eastAsiaTheme="minorHAnsi" w:hAnsi="Book Antiqua"/>
                <w:bCs/>
                <w:color w:val="2E2E2E"/>
              </w:rPr>
              <w:t>qRT-PCR</w:t>
            </w:r>
          </w:p>
        </w:tc>
      </w:tr>
      <w:tr w:rsidR="00556032" w14:paraId="4096128B" w14:textId="77777777">
        <w:trPr>
          <w:trHeight w:val="270"/>
        </w:trPr>
        <w:tc>
          <w:tcPr>
            <w:tcW w:w="2235" w:type="dxa"/>
            <w:vMerge/>
          </w:tcPr>
          <w:p w14:paraId="37DEB3A1" w14:textId="77777777" w:rsidR="00556032" w:rsidRDefault="00556032">
            <w:pPr>
              <w:spacing w:line="360" w:lineRule="auto"/>
              <w:jc w:val="both"/>
              <w:rPr>
                <w:rFonts w:ascii="Book Antiqua" w:eastAsiaTheme="minorHAnsi" w:hAnsi="Book Antiqua"/>
                <w:bCs/>
                <w:color w:val="2E2E2E"/>
              </w:rPr>
            </w:pPr>
          </w:p>
        </w:tc>
        <w:tc>
          <w:tcPr>
            <w:tcW w:w="5811" w:type="dxa"/>
          </w:tcPr>
          <w:p w14:paraId="759DF9FB"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Lower: TGTCTGGAACAACTGCTCATCACC</w:t>
            </w:r>
          </w:p>
        </w:tc>
        <w:tc>
          <w:tcPr>
            <w:tcW w:w="1701" w:type="dxa"/>
            <w:vMerge/>
          </w:tcPr>
          <w:p w14:paraId="488C11DC" w14:textId="77777777" w:rsidR="00556032" w:rsidRDefault="00556032">
            <w:pPr>
              <w:spacing w:line="360" w:lineRule="auto"/>
              <w:jc w:val="both"/>
              <w:rPr>
                <w:rFonts w:ascii="Book Antiqua" w:eastAsiaTheme="minorHAnsi" w:hAnsi="Book Antiqua"/>
                <w:bCs/>
                <w:color w:val="2E2E2E"/>
              </w:rPr>
            </w:pPr>
          </w:p>
        </w:tc>
      </w:tr>
      <w:tr w:rsidR="00556032" w14:paraId="0C07DA51" w14:textId="77777777">
        <w:trPr>
          <w:trHeight w:val="270"/>
        </w:trPr>
        <w:tc>
          <w:tcPr>
            <w:tcW w:w="2235" w:type="dxa"/>
            <w:vMerge w:val="restart"/>
          </w:tcPr>
          <w:p w14:paraId="58522E5E"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IL-1ra (human)</w:t>
            </w:r>
          </w:p>
        </w:tc>
        <w:tc>
          <w:tcPr>
            <w:tcW w:w="5811" w:type="dxa"/>
          </w:tcPr>
          <w:p w14:paraId="63C9BE1D"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Upper: GTGCCTGTCCTGTGTCAAGTCTG</w:t>
            </w:r>
          </w:p>
        </w:tc>
        <w:tc>
          <w:tcPr>
            <w:tcW w:w="1701" w:type="dxa"/>
            <w:vMerge w:val="restart"/>
          </w:tcPr>
          <w:p w14:paraId="4D8F42F0" w14:textId="77777777" w:rsidR="00556032" w:rsidRDefault="00000000">
            <w:pPr>
              <w:widowControl w:val="0"/>
              <w:spacing w:line="360" w:lineRule="auto"/>
              <w:jc w:val="both"/>
              <w:rPr>
                <w:rFonts w:ascii="Book Antiqua" w:eastAsiaTheme="minorHAnsi" w:hAnsi="Book Antiqua"/>
                <w:bCs/>
                <w:color w:val="2E2E2E"/>
              </w:rPr>
            </w:pPr>
            <w:r>
              <w:rPr>
                <w:rFonts w:ascii="Book Antiqua" w:eastAsiaTheme="minorHAnsi" w:hAnsi="Book Antiqua"/>
                <w:bCs/>
                <w:color w:val="2E2E2E"/>
              </w:rPr>
              <w:t>qRT-PCR</w:t>
            </w:r>
          </w:p>
        </w:tc>
      </w:tr>
      <w:tr w:rsidR="00556032" w14:paraId="69EC7FB0" w14:textId="77777777">
        <w:trPr>
          <w:trHeight w:val="270"/>
        </w:trPr>
        <w:tc>
          <w:tcPr>
            <w:tcW w:w="2235" w:type="dxa"/>
            <w:vMerge/>
          </w:tcPr>
          <w:p w14:paraId="244F02D6" w14:textId="77777777" w:rsidR="00556032" w:rsidRDefault="00556032">
            <w:pPr>
              <w:spacing w:line="360" w:lineRule="auto"/>
              <w:jc w:val="both"/>
              <w:rPr>
                <w:rFonts w:ascii="Book Antiqua" w:eastAsiaTheme="minorHAnsi" w:hAnsi="Book Antiqua"/>
                <w:bCs/>
                <w:color w:val="2E2E2E"/>
              </w:rPr>
            </w:pPr>
          </w:p>
        </w:tc>
        <w:tc>
          <w:tcPr>
            <w:tcW w:w="5811" w:type="dxa"/>
          </w:tcPr>
          <w:p w14:paraId="062C8212"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Lower: GCCACTGTCTGAGCGGATGAAG</w:t>
            </w:r>
          </w:p>
        </w:tc>
        <w:tc>
          <w:tcPr>
            <w:tcW w:w="1701" w:type="dxa"/>
            <w:vMerge/>
          </w:tcPr>
          <w:p w14:paraId="74869419" w14:textId="77777777" w:rsidR="00556032" w:rsidRDefault="00556032">
            <w:pPr>
              <w:spacing w:line="360" w:lineRule="auto"/>
              <w:jc w:val="both"/>
              <w:rPr>
                <w:rFonts w:ascii="Book Antiqua" w:eastAsiaTheme="minorHAnsi" w:hAnsi="Book Antiqua"/>
                <w:bCs/>
                <w:color w:val="2E2E2E"/>
              </w:rPr>
            </w:pPr>
          </w:p>
        </w:tc>
      </w:tr>
      <w:tr w:rsidR="00556032" w14:paraId="6E01CAC9" w14:textId="77777777">
        <w:trPr>
          <w:trHeight w:val="270"/>
        </w:trPr>
        <w:tc>
          <w:tcPr>
            <w:tcW w:w="2235" w:type="dxa"/>
            <w:vMerge w:val="restart"/>
          </w:tcPr>
          <w:p w14:paraId="30EB5F7A"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IL-10 (human)</w:t>
            </w:r>
          </w:p>
        </w:tc>
        <w:tc>
          <w:tcPr>
            <w:tcW w:w="5811" w:type="dxa"/>
          </w:tcPr>
          <w:p w14:paraId="50BA8B4F"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Upper: GCCAAGCCTTGTCTGAGATGATCC</w:t>
            </w:r>
          </w:p>
        </w:tc>
        <w:tc>
          <w:tcPr>
            <w:tcW w:w="1701" w:type="dxa"/>
            <w:vMerge w:val="restart"/>
          </w:tcPr>
          <w:p w14:paraId="1F7F3430" w14:textId="77777777" w:rsidR="00556032" w:rsidRDefault="00000000">
            <w:pPr>
              <w:widowControl w:val="0"/>
              <w:spacing w:line="360" w:lineRule="auto"/>
              <w:jc w:val="both"/>
              <w:rPr>
                <w:rFonts w:ascii="Book Antiqua" w:eastAsiaTheme="minorHAnsi" w:hAnsi="Book Antiqua"/>
                <w:bCs/>
                <w:color w:val="2E2E2E"/>
              </w:rPr>
            </w:pPr>
            <w:r>
              <w:rPr>
                <w:rFonts w:ascii="Book Antiqua" w:eastAsiaTheme="minorHAnsi" w:hAnsi="Book Antiqua"/>
                <w:bCs/>
                <w:color w:val="2E2E2E"/>
              </w:rPr>
              <w:t>qRT-PCR</w:t>
            </w:r>
          </w:p>
        </w:tc>
      </w:tr>
      <w:tr w:rsidR="00556032" w14:paraId="3DDAEDDA" w14:textId="77777777">
        <w:trPr>
          <w:trHeight w:val="270"/>
        </w:trPr>
        <w:tc>
          <w:tcPr>
            <w:tcW w:w="2235" w:type="dxa"/>
            <w:vMerge/>
          </w:tcPr>
          <w:p w14:paraId="55CD6772" w14:textId="77777777" w:rsidR="00556032" w:rsidRDefault="00556032">
            <w:pPr>
              <w:spacing w:line="360" w:lineRule="auto"/>
              <w:jc w:val="both"/>
              <w:rPr>
                <w:rFonts w:ascii="Book Antiqua" w:eastAsiaTheme="minorHAnsi" w:hAnsi="Book Antiqua"/>
                <w:bCs/>
                <w:color w:val="2E2E2E"/>
              </w:rPr>
            </w:pPr>
          </w:p>
        </w:tc>
        <w:tc>
          <w:tcPr>
            <w:tcW w:w="5811" w:type="dxa"/>
          </w:tcPr>
          <w:p w14:paraId="440665F1"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Lower: GCCTTGATGTCTGGGTCTTGGTTC</w:t>
            </w:r>
          </w:p>
        </w:tc>
        <w:tc>
          <w:tcPr>
            <w:tcW w:w="1701" w:type="dxa"/>
            <w:vMerge/>
          </w:tcPr>
          <w:p w14:paraId="4481AD1C" w14:textId="77777777" w:rsidR="00556032" w:rsidRDefault="00556032">
            <w:pPr>
              <w:spacing w:line="360" w:lineRule="auto"/>
              <w:jc w:val="both"/>
              <w:rPr>
                <w:rFonts w:ascii="Book Antiqua" w:eastAsiaTheme="minorHAnsi" w:hAnsi="Book Antiqua"/>
                <w:bCs/>
                <w:color w:val="2E2E2E"/>
              </w:rPr>
            </w:pPr>
          </w:p>
        </w:tc>
      </w:tr>
      <w:tr w:rsidR="00556032" w14:paraId="2A30C0B1" w14:textId="77777777">
        <w:trPr>
          <w:trHeight w:val="270"/>
        </w:trPr>
        <w:tc>
          <w:tcPr>
            <w:tcW w:w="2235" w:type="dxa"/>
            <w:vMerge w:val="restart"/>
          </w:tcPr>
          <w:p w14:paraId="12E3A681"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TGF-β1 (human)</w:t>
            </w:r>
          </w:p>
        </w:tc>
        <w:tc>
          <w:tcPr>
            <w:tcW w:w="5811" w:type="dxa"/>
          </w:tcPr>
          <w:p w14:paraId="42776254"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Upper: AGCAACAATTCCTGGCGATACCTC</w:t>
            </w:r>
          </w:p>
        </w:tc>
        <w:tc>
          <w:tcPr>
            <w:tcW w:w="1701" w:type="dxa"/>
            <w:vMerge w:val="restart"/>
          </w:tcPr>
          <w:p w14:paraId="79040495"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qRT-PCR</w:t>
            </w:r>
          </w:p>
        </w:tc>
      </w:tr>
      <w:tr w:rsidR="00556032" w14:paraId="3F188FA8" w14:textId="77777777">
        <w:trPr>
          <w:trHeight w:val="270"/>
        </w:trPr>
        <w:tc>
          <w:tcPr>
            <w:tcW w:w="2235" w:type="dxa"/>
            <w:vMerge/>
          </w:tcPr>
          <w:p w14:paraId="2B5D03D2" w14:textId="77777777" w:rsidR="00556032" w:rsidRDefault="00556032">
            <w:pPr>
              <w:spacing w:line="360" w:lineRule="auto"/>
              <w:jc w:val="both"/>
              <w:rPr>
                <w:rFonts w:ascii="Book Antiqua" w:eastAsiaTheme="minorHAnsi" w:hAnsi="Book Antiqua"/>
                <w:bCs/>
                <w:color w:val="2E2E2E"/>
              </w:rPr>
            </w:pPr>
          </w:p>
        </w:tc>
        <w:tc>
          <w:tcPr>
            <w:tcW w:w="5811" w:type="dxa"/>
          </w:tcPr>
          <w:p w14:paraId="2A6847A3"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Lower: TCAACCACTGCCGCACAACTC</w:t>
            </w:r>
          </w:p>
        </w:tc>
        <w:tc>
          <w:tcPr>
            <w:tcW w:w="1701" w:type="dxa"/>
            <w:vMerge/>
          </w:tcPr>
          <w:p w14:paraId="7D910277" w14:textId="77777777" w:rsidR="00556032" w:rsidRDefault="00556032">
            <w:pPr>
              <w:spacing w:line="360" w:lineRule="auto"/>
              <w:jc w:val="both"/>
              <w:rPr>
                <w:rFonts w:ascii="Book Antiqua" w:eastAsiaTheme="minorHAnsi" w:hAnsi="Book Antiqua"/>
                <w:bCs/>
                <w:color w:val="2E2E2E"/>
              </w:rPr>
            </w:pPr>
          </w:p>
        </w:tc>
      </w:tr>
      <w:tr w:rsidR="00556032" w14:paraId="2CF237E8" w14:textId="77777777">
        <w:trPr>
          <w:trHeight w:val="270"/>
        </w:trPr>
        <w:tc>
          <w:tcPr>
            <w:tcW w:w="2235" w:type="dxa"/>
            <w:vMerge w:val="restart"/>
          </w:tcPr>
          <w:p w14:paraId="2C4C06C2"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HLA-G5 (human)</w:t>
            </w:r>
          </w:p>
        </w:tc>
        <w:tc>
          <w:tcPr>
            <w:tcW w:w="5811" w:type="dxa"/>
          </w:tcPr>
          <w:p w14:paraId="7BAC1B70"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Upper: AGAGGAGACACGGAACACCAAGG</w:t>
            </w:r>
          </w:p>
        </w:tc>
        <w:tc>
          <w:tcPr>
            <w:tcW w:w="1701" w:type="dxa"/>
            <w:vMerge w:val="restart"/>
          </w:tcPr>
          <w:p w14:paraId="14A58529"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qRT-PCR</w:t>
            </w:r>
          </w:p>
        </w:tc>
      </w:tr>
      <w:tr w:rsidR="00556032" w14:paraId="09F083D8" w14:textId="77777777">
        <w:trPr>
          <w:trHeight w:val="270"/>
        </w:trPr>
        <w:tc>
          <w:tcPr>
            <w:tcW w:w="2235" w:type="dxa"/>
            <w:vMerge/>
          </w:tcPr>
          <w:p w14:paraId="63579A18" w14:textId="77777777" w:rsidR="00556032" w:rsidRDefault="00556032">
            <w:pPr>
              <w:spacing w:line="360" w:lineRule="auto"/>
              <w:jc w:val="both"/>
              <w:rPr>
                <w:rFonts w:ascii="Book Antiqua" w:eastAsiaTheme="minorHAnsi" w:hAnsi="Book Antiqua"/>
                <w:bCs/>
                <w:color w:val="2E2E2E"/>
              </w:rPr>
            </w:pPr>
          </w:p>
        </w:tc>
        <w:tc>
          <w:tcPr>
            <w:tcW w:w="5811" w:type="dxa"/>
          </w:tcPr>
          <w:p w14:paraId="32BF6A41"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Lower: CAGGTCGCAGCCAATCATCCAC</w:t>
            </w:r>
          </w:p>
        </w:tc>
        <w:tc>
          <w:tcPr>
            <w:tcW w:w="1701" w:type="dxa"/>
            <w:vMerge/>
          </w:tcPr>
          <w:p w14:paraId="745C09CA" w14:textId="77777777" w:rsidR="00556032" w:rsidRDefault="00556032">
            <w:pPr>
              <w:spacing w:line="360" w:lineRule="auto"/>
              <w:jc w:val="both"/>
              <w:rPr>
                <w:rFonts w:ascii="Book Antiqua" w:eastAsiaTheme="minorHAnsi" w:hAnsi="Book Antiqua"/>
                <w:bCs/>
                <w:color w:val="2E2E2E"/>
              </w:rPr>
            </w:pPr>
          </w:p>
        </w:tc>
      </w:tr>
      <w:tr w:rsidR="00556032" w14:paraId="61F86626" w14:textId="77777777">
        <w:trPr>
          <w:trHeight w:val="270"/>
        </w:trPr>
        <w:tc>
          <w:tcPr>
            <w:tcW w:w="2235" w:type="dxa"/>
            <w:vMerge w:val="restart"/>
          </w:tcPr>
          <w:p w14:paraId="6AFEB9E0"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TSG-6 (human)</w:t>
            </w:r>
          </w:p>
        </w:tc>
        <w:tc>
          <w:tcPr>
            <w:tcW w:w="5811" w:type="dxa"/>
          </w:tcPr>
          <w:p w14:paraId="492DC05C"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Upper: AGAGAAGCACGGTCTGGCAAATAC</w:t>
            </w:r>
          </w:p>
        </w:tc>
        <w:tc>
          <w:tcPr>
            <w:tcW w:w="1701" w:type="dxa"/>
            <w:vMerge w:val="restart"/>
          </w:tcPr>
          <w:p w14:paraId="7B39582B"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qRT-PCR</w:t>
            </w:r>
          </w:p>
        </w:tc>
      </w:tr>
      <w:tr w:rsidR="00556032" w14:paraId="3C660049" w14:textId="77777777">
        <w:trPr>
          <w:trHeight w:val="270"/>
        </w:trPr>
        <w:tc>
          <w:tcPr>
            <w:tcW w:w="2235" w:type="dxa"/>
            <w:vMerge/>
          </w:tcPr>
          <w:p w14:paraId="1173BBD0" w14:textId="77777777" w:rsidR="00556032" w:rsidRDefault="00556032">
            <w:pPr>
              <w:spacing w:line="360" w:lineRule="auto"/>
              <w:jc w:val="both"/>
              <w:rPr>
                <w:rFonts w:ascii="Book Antiqua" w:eastAsiaTheme="minorHAnsi" w:hAnsi="Book Antiqua"/>
                <w:bCs/>
                <w:color w:val="2E2E2E"/>
              </w:rPr>
            </w:pPr>
          </w:p>
        </w:tc>
        <w:tc>
          <w:tcPr>
            <w:tcW w:w="5811" w:type="dxa"/>
          </w:tcPr>
          <w:p w14:paraId="1FF8E5A5"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Lower: GCCATCCATCCAGCAGCACAG</w:t>
            </w:r>
          </w:p>
        </w:tc>
        <w:tc>
          <w:tcPr>
            <w:tcW w:w="1701" w:type="dxa"/>
            <w:vMerge/>
          </w:tcPr>
          <w:p w14:paraId="2A8E9E92" w14:textId="77777777" w:rsidR="00556032" w:rsidRDefault="00556032">
            <w:pPr>
              <w:spacing w:line="360" w:lineRule="auto"/>
              <w:jc w:val="both"/>
              <w:rPr>
                <w:rFonts w:ascii="Book Antiqua" w:eastAsiaTheme="minorHAnsi" w:hAnsi="Book Antiqua"/>
                <w:bCs/>
                <w:color w:val="2E2E2E"/>
              </w:rPr>
            </w:pPr>
          </w:p>
        </w:tc>
      </w:tr>
      <w:tr w:rsidR="00556032" w14:paraId="6841B7E0" w14:textId="77777777">
        <w:trPr>
          <w:trHeight w:val="270"/>
        </w:trPr>
        <w:tc>
          <w:tcPr>
            <w:tcW w:w="2235" w:type="dxa"/>
            <w:vMerge w:val="restart"/>
          </w:tcPr>
          <w:p w14:paraId="3025C1AB"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PD-L1 (human)</w:t>
            </w:r>
          </w:p>
        </w:tc>
        <w:tc>
          <w:tcPr>
            <w:tcW w:w="5811" w:type="dxa"/>
          </w:tcPr>
          <w:p w14:paraId="33838C19"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Upper: TGACCTACTGGCATTTGCTGAACG</w:t>
            </w:r>
          </w:p>
        </w:tc>
        <w:tc>
          <w:tcPr>
            <w:tcW w:w="1701" w:type="dxa"/>
            <w:vMerge w:val="restart"/>
            <w:tcBorders>
              <w:bottom w:val="single" w:sz="4" w:space="0" w:color="auto"/>
            </w:tcBorders>
          </w:tcPr>
          <w:p w14:paraId="58A25FCA"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qRT-PCR</w:t>
            </w:r>
          </w:p>
        </w:tc>
      </w:tr>
      <w:tr w:rsidR="00556032" w14:paraId="5D61CFDF" w14:textId="77777777">
        <w:trPr>
          <w:trHeight w:val="270"/>
        </w:trPr>
        <w:tc>
          <w:tcPr>
            <w:tcW w:w="2235" w:type="dxa"/>
            <w:vMerge/>
            <w:tcBorders>
              <w:bottom w:val="single" w:sz="4" w:space="0" w:color="auto"/>
            </w:tcBorders>
          </w:tcPr>
          <w:p w14:paraId="3C37F101" w14:textId="77777777" w:rsidR="00556032" w:rsidRDefault="00556032">
            <w:pPr>
              <w:spacing w:line="360" w:lineRule="auto"/>
              <w:jc w:val="both"/>
              <w:rPr>
                <w:rFonts w:ascii="Book Antiqua" w:eastAsiaTheme="minorHAnsi" w:hAnsi="Book Antiqua"/>
                <w:bCs/>
                <w:color w:val="2E2E2E"/>
              </w:rPr>
            </w:pPr>
          </w:p>
        </w:tc>
        <w:tc>
          <w:tcPr>
            <w:tcW w:w="5811" w:type="dxa"/>
            <w:tcBorders>
              <w:bottom w:val="single" w:sz="4" w:space="0" w:color="auto"/>
            </w:tcBorders>
          </w:tcPr>
          <w:p w14:paraId="49258B07" w14:textId="77777777" w:rsidR="00556032" w:rsidRDefault="00000000">
            <w:pPr>
              <w:spacing w:line="360" w:lineRule="auto"/>
              <w:jc w:val="both"/>
              <w:rPr>
                <w:rFonts w:ascii="Book Antiqua" w:eastAsiaTheme="minorHAnsi" w:hAnsi="Book Antiqua"/>
                <w:bCs/>
                <w:color w:val="2E2E2E"/>
              </w:rPr>
            </w:pPr>
            <w:r>
              <w:rPr>
                <w:rFonts w:ascii="Book Antiqua" w:eastAsiaTheme="minorHAnsi" w:hAnsi="Book Antiqua"/>
                <w:bCs/>
                <w:color w:val="2E2E2E"/>
              </w:rPr>
              <w:t>Lower: CACTGCTTGTCCAGATGACTTCGG</w:t>
            </w:r>
          </w:p>
        </w:tc>
        <w:tc>
          <w:tcPr>
            <w:tcW w:w="1701" w:type="dxa"/>
            <w:vMerge/>
            <w:tcBorders>
              <w:bottom w:val="single" w:sz="4" w:space="0" w:color="auto"/>
            </w:tcBorders>
          </w:tcPr>
          <w:p w14:paraId="40537950" w14:textId="77777777" w:rsidR="00556032" w:rsidRDefault="00556032">
            <w:pPr>
              <w:spacing w:line="360" w:lineRule="auto"/>
              <w:jc w:val="both"/>
              <w:rPr>
                <w:rFonts w:ascii="Book Antiqua" w:eastAsiaTheme="minorHAnsi" w:hAnsi="Book Antiqua"/>
                <w:bCs/>
                <w:color w:val="2E2E2E"/>
              </w:rPr>
            </w:pPr>
          </w:p>
        </w:tc>
      </w:tr>
    </w:tbl>
    <w:p w14:paraId="0C7087BD" w14:textId="5878EEAE" w:rsidR="005A7EC0" w:rsidRDefault="00000000">
      <w:pPr>
        <w:spacing w:line="360" w:lineRule="auto"/>
        <w:jc w:val="both"/>
        <w:rPr>
          <w:rFonts w:ascii="Book Antiqua" w:eastAsia="Book Antiqua" w:hAnsi="Book Antiqua" w:cs="Book Antiqua"/>
        </w:rPr>
      </w:pPr>
      <w:r>
        <w:rPr>
          <w:rFonts w:ascii="Book Antiqua" w:eastAsia="Book Antiqua" w:hAnsi="Book Antiqua" w:cs="Book Antiqua"/>
          <w:color w:val="000000"/>
        </w:rPr>
        <w:t>Bax: B-cell lymphoma 2-associated protein; Bcl2: B-cell lymphoma 2; COX2: Cyclooxygenaese-2; HLA-G5: Human leukocyte antigen-G5;</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HOMX1: Hemeoxygenase-1; IDO: Idoleamine-2,3-dioxygenase; IL-1ra: Interleukin-1 receptor antagonist; IL-10: Interleukin-10; KYN: Kynurenine; PD-L1: Ligands for programmed cell death 1; PGE2: Prostaglandin E2; qRT-PCR:</w:t>
      </w:r>
      <w:r>
        <w:rPr>
          <w:rFonts w:ascii="Book Antiqua" w:eastAsia="Book Antiqua" w:hAnsi="Book Antiqua" w:cs="Book Antiqua"/>
        </w:rPr>
        <w:t xml:space="preserve"> Quantitative real-time polymerase chain reaction;</w:t>
      </w:r>
      <w:r>
        <w:rPr>
          <w:rFonts w:ascii="Book Antiqua" w:eastAsia="Book Antiqua" w:hAnsi="Book Antiqua" w:cs="Book Antiqua"/>
          <w:color w:val="000000"/>
        </w:rPr>
        <w:t xml:space="preserve"> SIRT1: Silencing information regulator 2-related enzyme 1; STC1: Stanniocalcin-1; TGF-β1: Transforming growth factor-beta 1; TSG-6: Tumor necrosis factor-α-induced protein-6</w:t>
      </w:r>
      <w:r>
        <w:rPr>
          <w:rFonts w:ascii="Book Antiqua" w:eastAsia="Book Antiqua" w:hAnsi="Book Antiqua" w:cs="Book Antiqua"/>
        </w:rPr>
        <w:t>.</w:t>
      </w:r>
    </w:p>
    <w:p w14:paraId="32696A3F" w14:textId="77777777" w:rsidR="005A7EC0" w:rsidRDefault="005A7EC0">
      <w:pPr>
        <w:rPr>
          <w:rFonts w:ascii="Book Antiqua" w:eastAsia="Book Antiqua" w:hAnsi="Book Antiqua" w:cs="Book Antiqua"/>
        </w:rPr>
      </w:pPr>
      <w:r>
        <w:rPr>
          <w:rFonts w:ascii="Book Antiqua" w:eastAsia="Book Antiqua" w:hAnsi="Book Antiqua" w:cs="Book Antiqua"/>
        </w:rPr>
        <w:br w:type="page"/>
      </w:r>
    </w:p>
    <w:p w14:paraId="111DAEFB" w14:textId="77777777" w:rsidR="005A7EC0" w:rsidRDefault="005A7EC0" w:rsidP="005A7EC0">
      <w:pPr>
        <w:snapToGrid w:val="0"/>
        <w:ind w:leftChars="100" w:left="240"/>
        <w:jc w:val="center"/>
        <w:rPr>
          <w:rFonts w:ascii="Book Antiqua" w:hAnsi="Book Antiqua"/>
        </w:rPr>
      </w:pPr>
    </w:p>
    <w:p w14:paraId="3ACEA096" w14:textId="77777777" w:rsidR="005A7EC0" w:rsidRDefault="005A7EC0" w:rsidP="005A7EC0">
      <w:pPr>
        <w:snapToGrid w:val="0"/>
        <w:ind w:leftChars="100" w:left="240"/>
        <w:jc w:val="center"/>
        <w:rPr>
          <w:rFonts w:ascii="Book Antiqua" w:hAnsi="Book Antiqua"/>
        </w:rPr>
      </w:pPr>
    </w:p>
    <w:p w14:paraId="23F36652" w14:textId="77777777" w:rsidR="005A7EC0" w:rsidRDefault="005A7EC0" w:rsidP="005A7EC0">
      <w:pPr>
        <w:snapToGrid w:val="0"/>
        <w:ind w:leftChars="100" w:left="240"/>
        <w:jc w:val="center"/>
        <w:rPr>
          <w:rFonts w:ascii="Book Antiqua" w:hAnsi="Book Antiqua"/>
        </w:rPr>
      </w:pPr>
    </w:p>
    <w:p w14:paraId="4BA92ABC" w14:textId="77777777" w:rsidR="005A7EC0" w:rsidRDefault="005A7EC0" w:rsidP="005A7EC0">
      <w:pPr>
        <w:snapToGrid w:val="0"/>
        <w:ind w:leftChars="100" w:left="240"/>
        <w:jc w:val="center"/>
        <w:rPr>
          <w:rFonts w:ascii="Book Antiqua" w:hAnsi="Book Antiqua"/>
        </w:rPr>
      </w:pPr>
    </w:p>
    <w:p w14:paraId="33D94B0F" w14:textId="77777777" w:rsidR="005A7EC0" w:rsidRDefault="005A7EC0" w:rsidP="005A7EC0">
      <w:pPr>
        <w:snapToGrid w:val="0"/>
        <w:ind w:leftChars="100" w:left="240"/>
        <w:jc w:val="center"/>
        <w:rPr>
          <w:rFonts w:ascii="Book Antiqua" w:hAnsi="Book Antiqua"/>
        </w:rPr>
      </w:pPr>
      <w:r>
        <w:rPr>
          <w:rFonts w:ascii="Book Antiqua" w:hAnsi="Book Antiqua"/>
          <w:noProof/>
        </w:rPr>
        <w:drawing>
          <wp:inline distT="0" distB="0" distL="0" distR="0" wp14:anchorId="67E9CEF9" wp14:editId="0FB606BE">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8810513029\Desktop\logo.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p w14:paraId="32215358" w14:textId="77777777" w:rsidR="005A7EC0" w:rsidRDefault="005A7EC0" w:rsidP="005A7EC0">
      <w:pPr>
        <w:snapToGrid w:val="0"/>
        <w:ind w:leftChars="100" w:left="240"/>
        <w:jc w:val="center"/>
        <w:rPr>
          <w:rFonts w:ascii="Book Antiqua" w:hAnsi="Book Antiqua"/>
        </w:rPr>
      </w:pPr>
    </w:p>
    <w:p w14:paraId="43872917" w14:textId="77777777" w:rsidR="005A7EC0" w:rsidRDefault="005A7EC0" w:rsidP="005A7EC0">
      <w:pPr>
        <w:autoSpaceDE w:val="0"/>
        <w:autoSpaceDN w:val="0"/>
        <w:adjustRightInd w:val="0"/>
        <w:snapToGrid w:val="0"/>
        <w:spacing w:line="240" w:lineRule="atLeast"/>
        <w:ind w:leftChars="100" w:left="24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r>
        <w:rPr>
          <w:rFonts w:ascii="Book Antiqua" w:eastAsia="Garamond-Bold" w:hAnsi="Book Antiqua" w:cs="Garamond-Bold"/>
          <w:b/>
          <w:bCs/>
          <w:color w:val="000000"/>
          <w:sz w:val="28"/>
          <w:szCs w:val="28"/>
        </w:rPr>
        <w:t>Baishideng Publishing Group Inc</w:t>
      </w:r>
    </w:p>
    <w:p w14:paraId="33403431" w14:textId="77777777" w:rsidR="005A7EC0" w:rsidRDefault="005A7EC0" w:rsidP="005A7EC0">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14:paraId="411F17AA" w14:textId="77777777" w:rsidR="005A7EC0" w:rsidRDefault="005A7EC0" w:rsidP="005A7EC0">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14:paraId="60DBA2C2" w14:textId="77777777" w:rsidR="005A7EC0" w:rsidRDefault="005A7EC0" w:rsidP="005A7EC0">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14:paraId="64FFC9AF" w14:textId="77777777" w:rsidR="005A7EC0" w:rsidRDefault="005A7EC0" w:rsidP="005A7EC0">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14:paraId="43E93D47" w14:textId="77777777" w:rsidR="005A7EC0" w:rsidRDefault="005A7EC0" w:rsidP="005A7EC0">
      <w:pPr>
        <w:snapToGrid w:val="0"/>
        <w:ind w:leftChars="100" w:left="240"/>
        <w:jc w:val="center"/>
        <w:rPr>
          <w:rFonts w:ascii="Book Antiqua" w:hAnsi="Book Antiqua"/>
        </w:rPr>
      </w:pPr>
      <w:r>
        <w:rPr>
          <w:rFonts w:ascii="Book Antiqua" w:eastAsia="TimesNewRomanPSMT" w:hAnsi="Book Antiqua" w:cs="Garamond"/>
          <w:color w:val="D56400"/>
          <w:sz w:val="28"/>
          <w:szCs w:val="28"/>
        </w:rPr>
        <w:t>https://www.wjgnet.com</w:t>
      </w:r>
    </w:p>
    <w:p w14:paraId="65E0AC8D" w14:textId="77777777" w:rsidR="005A7EC0" w:rsidRDefault="005A7EC0" w:rsidP="005A7EC0">
      <w:pPr>
        <w:snapToGrid w:val="0"/>
        <w:ind w:leftChars="100" w:left="240"/>
        <w:jc w:val="center"/>
        <w:rPr>
          <w:rFonts w:ascii="Book Antiqua" w:hAnsi="Book Antiqua"/>
        </w:rPr>
      </w:pPr>
    </w:p>
    <w:p w14:paraId="77487C4E" w14:textId="77777777" w:rsidR="005A7EC0" w:rsidRDefault="005A7EC0" w:rsidP="005A7EC0">
      <w:pPr>
        <w:snapToGrid w:val="0"/>
        <w:ind w:leftChars="100" w:left="240"/>
        <w:jc w:val="center"/>
        <w:rPr>
          <w:rFonts w:ascii="Book Antiqua" w:hAnsi="Book Antiqua"/>
        </w:rPr>
      </w:pPr>
    </w:p>
    <w:p w14:paraId="32D5A96F" w14:textId="77777777" w:rsidR="005A7EC0" w:rsidRDefault="005A7EC0" w:rsidP="005A7EC0">
      <w:pPr>
        <w:snapToGrid w:val="0"/>
        <w:ind w:leftChars="100" w:left="240"/>
        <w:jc w:val="center"/>
        <w:rPr>
          <w:rFonts w:ascii="Book Antiqua" w:hAnsi="Book Antiqua"/>
        </w:rPr>
      </w:pPr>
    </w:p>
    <w:p w14:paraId="49D1CCC8" w14:textId="77777777" w:rsidR="005A7EC0" w:rsidRDefault="005A7EC0" w:rsidP="005A7EC0">
      <w:pPr>
        <w:snapToGrid w:val="0"/>
        <w:ind w:leftChars="100" w:left="240"/>
        <w:jc w:val="center"/>
        <w:rPr>
          <w:rFonts w:ascii="Book Antiqua" w:hAnsi="Book Antiqua"/>
        </w:rPr>
      </w:pPr>
      <w:r>
        <w:rPr>
          <w:rFonts w:ascii="Book Antiqua" w:hAnsi="Book Antiqua"/>
          <w:noProof/>
        </w:rPr>
        <w:drawing>
          <wp:inline distT="0" distB="0" distL="0" distR="0" wp14:anchorId="552D6A29" wp14:editId="4A4E7724">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8810513029\Desktop\二维码.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1447800" cy="1440180"/>
                    </a:xfrm>
                    <a:prstGeom prst="rect">
                      <a:avLst/>
                    </a:prstGeom>
                    <a:noFill/>
                    <a:ln>
                      <a:noFill/>
                    </a:ln>
                  </pic:spPr>
                </pic:pic>
              </a:graphicData>
            </a:graphic>
          </wp:inline>
        </w:drawing>
      </w:r>
    </w:p>
    <w:p w14:paraId="10A9FD1C" w14:textId="77777777" w:rsidR="005A7EC0" w:rsidRDefault="005A7EC0" w:rsidP="005A7EC0">
      <w:pPr>
        <w:snapToGrid w:val="0"/>
        <w:ind w:leftChars="100" w:left="240"/>
        <w:jc w:val="center"/>
        <w:rPr>
          <w:rFonts w:ascii="Book Antiqua" w:hAnsi="Book Antiqua"/>
        </w:rPr>
      </w:pPr>
    </w:p>
    <w:p w14:paraId="645FD697" w14:textId="77777777" w:rsidR="005A7EC0" w:rsidRDefault="005A7EC0" w:rsidP="005A7EC0">
      <w:pPr>
        <w:snapToGrid w:val="0"/>
        <w:ind w:leftChars="100" w:left="240"/>
        <w:jc w:val="center"/>
        <w:rPr>
          <w:rFonts w:ascii="Book Antiqua" w:hAnsi="Book Antiqua"/>
        </w:rPr>
      </w:pPr>
    </w:p>
    <w:p w14:paraId="4BB83A45" w14:textId="77777777" w:rsidR="005A7EC0" w:rsidRDefault="005A7EC0" w:rsidP="005A7EC0">
      <w:pPr>
        <w:snapToGrid w:val="0"/>
        <w:ind w:leftChars="100" w:left="240"/>
        <w:jc w:val="center"/>
        <w:rPr>
          <w:rFonts w:ascii="Book Antiqua" w:hAnsi="Book Antiqua"/>
        </w:rPr>
      </w:pPr>
    </w:p>
    <w:p w14:paraId="75A0339E" w14:textId="77777777" w:rsidR="005A7EC0" w:rsidRDefault="005A7EC0" w:rsidP="005A7EC0">
      <w:pPr>
        <w:snapToGrid w:val="0"/>
        <w:ind w:leftChars="100" w:left="240"/>
        <w:jc w:val="center"/>
        <w:rPr>
          <w:rFonts w:ascii="Book Antiqua" w:hAnsi="Book Antiqua"/>
        </w:rPr>
      </w:pPr>
    </w:p>
    <w:p w14:paraId="1DE92A57" w14:textId="77777777" w:rsidR="005A7EC0" w:rsidRDefault="005A7EC0" w:rsidP="005A7EC0">
      <w:pPr>
        <w:snapToGrid w:val="0"/>
        <w:ind w:leftChars="100" w:left="240"/>
        <w:jc w:val="center"/>
        <w:rPr>
          <w:rFonts w:ascii="Book Antiqua" w:hAnsi="Book Antiqua"/>
        </w:rPr>
      </w:pPr>
    </w:p>
    <w:p w14:paraId="1509FB56" w14:textId="77777777" w:rsidR="005A7EC0" w:rsidRDefault="005A7EC0" w:rsidP="005A7EC0">
      <w:pPr>
        <w:snapToGrid w:val="0"/>
        <w:ind w:leftChars="100" w:left="240"/>
        <w:jc w:val="center"/>
        <w:rPr>
          <w:rFonts w:ascii="Book Antiqua" w:hAnsi="Book Antiqua"/>
        </w:rPr>
      </w:pPr>
    </w:p>
    <w:p w14:paraId="3AFBE0C5" w14:textId="77777777" w:rsidR="005A7EC0" w:rsidRDefault="005A7EC0" w:rsidP="005A7EC0">
      <w:pPr>
        <w:snapToGrid w:val="0"/>
        <w:ind w:leftChars="100" w:left="240"/>
        <w:jc w:val="center"/>
        <w:rPr>
          <w:rFonts w:ascii="Book Antiqua" w:hAnsi="Book Antiqua"/>
        </w:rPr>
      </w:pPr>
    </w:p>
    <w:p w14:paraId="6BEAA6D4" w14:textId="77777777" w:rsidR="005A7EC0" w:rsidRDefault="005A7EC0" w:rsidP="005A7EC0">
      <w:pPr>
        <w:snapToGrid w:val="0"/>
        <w:ind w:leftChars="100" w:left="240"/>
        <w:jc w:val="center"/>
        <w:rPr>
          <w:rFonts w:ascii="Book Antiqua" w:hAnsi="Book Antiqua"/>
        </w:rPr>
      </w:pPr>
    </w:p>
    <w:p w14:paraId="240EF4E0" w14:textId="77777777" w:rsidR="005A7EC0" w:rsidRDefault="005A7EC0" w:rsidP="005A7EC0">
      <w:pPr>
        <w:snapToGrid w:val="0"/>
        <w:ind w:leftChars="100" w:left="240"/>
        <w:jc w:val="center"/>
        <w:rPr>
          <w:rFonts w:ascii="Book Antiqua" w:hAnsi="Book Antiqua"/>
        </w:rPr>
      </w:pPr>
    </w:p>
    <w:p w14:paraId="6CD4F164" w14:textId="77777777" w:rsidR="005A7EC0" w:rsidRDefault="005A7EC0" w:rsidP="005A7EC0">
      <w:pPr>
        <w:snapToGrid w:val="0"/>
        <w:ind w:leftChars="100" w:left="240"/>
        <w:jc w:val="right"/>
        <w:rPr>
          <w:rFonts w:ascii="Book Antiqua" w:hAnsi="Book Antiqua"/>
          <w:color w:val="000000" w:themeColor="text1"/>
        </w:rPr>
      </w:pPr>
    </w:p>
    <w:p w14:paraId="403D7620" w14:textId="77777777" w:rsidR="005A7EC0" w:rsidRDefault="005A7EC0" w:rsidP="005A7EC0">
      <w:pPr>
        <w:snapToGrid w:val="0"/>
        <w:jc w:val="center"/>
        <w:rPr>
          <w:rFonts w:ascii="Book Antiqua" w:hAnsi="Book Antiqua"/>
          <w:shd w:val="clear" w:color="auto" w:fill="FFFFFF"/>
        </w:rPr>
      </w:pPr>
      <w:r>
        <w:rPr>
          <w:rFonts w:ascii="Book Antiqua" w:eastAsia="BookAntiqua-Bold" w:hAnsi="Book Antiqua" w:cs="BookAntiqua-Bold"/>
          <w:b/>
          <w:bCs/>
          <w:color w:val="000000" w:themeColor="text1"/>
        </w:rPr>
        <w:t>© 202</w:t>
      </w:r>
      <w:r>
        <w:rPr>
          <w:rFonts w:ascii="Book Antiqua" w:hAnsi="Book Antiqua" w:cs="BookAntiqua-Bold"/>
          <w:b/>
          <w:bCs/>
          <w:color w:val="000000" w:themeColor="text1"/>
        </w:rPr>
        <w:t>3</w:t>
      </w:r>
      <w:r>
        <w:rPr>
          <w:rFonts w:ascii="Book Antiqua" w:eastAsia="BookAntiqua-Bold" w:hAnsi="Book Antiqua" w:cs="BookAntiqua-Bold"/>
          <w:b/>
          <w:bCs/>
          <w:color w:val="000000" w:themeColor="text1"/>
        </w:rPr>
        <w:t xml:space="preserve"> Baishideng Publishing Group Inc. All rights reserved.</w:t>
      </w:r>
    </w:p>
    <w:p w14:paraId="10E97994" w14:textId="77777777" w:rsidR="005A7EC0" w:rsidRDefault="005A7EC0" w:rsidP="005A7EC0">
      <w:pPr>
        <w:rPr>
          <w:rFonts w:ascii="Book Antiqua" w:hAnsi="Book Antiqua" w:cs="Book Antiqua"/>
          <w:b/>
          <w:bCs/>
          <w:color w:val="000000"/>
        </w:rPr>
      </w:pPr>
    </w:p>
    <w:p w14:paraId="44FA7C22" w14:textId="77777777" w:rsidR="00556032" w:rsidRDefault="00556032">
      <w:pPr>
        <w:spacing w:line="360" w:lineRule="auto"/>
        <w:jc w:val="both"/>
        <w:rPr>
          <w:rFonts w:ascii="Book Antiqua" w:hAnsi="Book Antiqua"/>
        </w:rPr>
      </w:pPr>
    </w:p>
    <w:sectPr w:rsidR="0055603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62FA99" w14:textId="77777777" w:rsidR="00310F60" w:rsidRDefault="00310F60">
      <w:r>
        <w:separator/>
      </w:r>
    </w:p>
  </w:endnote>
  <w:endnote w:type="continuationSeparator" w:id="0">
    <w:p w14:paraId="6ABD3593" w14:textId="77777777" w:rsidR="00310F60" w:rsidRDefault="00310F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TimesNewRomanPSMT">
    <w:altName w:val="宋体"/>
    <w:panose1 w:val="020B0604020202020204"/>
    <w:charset w:val="86"/>
    <w:family w:val="auto"/>
    <w:pitch w:val="default"/>
    <w:sig w:usb0="00000000" w:usb1="00000000" w:usb2="00000010" w:usb3="00000000" w:csb0="00060002" w:csb1="00000000"/>
  </w:font>
  <w:font w:name="Garamond-Bold">
    <w:altName w:val="Segoe Print"/>
    <w:panose1 w:val="020B0604020202020204"/>
    <w:charset w:val="00"/>
    <w:family w:val="auto"/>
    <w:pitch w:val="default"/>
    <w:sig w:usb0="00000000" w:usb1="00000000" w:usb2="00000010" w:usb3="00000000" w:csb0="0004009F" w:csb1="00000000"/>
  </w:font>
  <w:font w:name="Garamond">
    <w:panose1 w:val="02020404030301010803"/>
    <w:charset w:val="00"/>
    <w:family w:val="roman"/>
    <w:pitch w:val="variable"/>
    <w:sig w:usb0="00000287" w:usb1="00000002" w:usb2="00000000" w:usb3="00000000" w:csb0="0000009F" w:csb1="00000000"/>
  </w:font>
  <w:font w:name="BookAntiqua-Bold">
    <w:altName w:val="Calibri"/>
    <w:panose1 w:val="020B0604020202020204"/>
    <w:charset w:val="00"/>
    <w:family w:val="swiss"/>
    <w:pitch w:val="default"/>
    <w:sig w:usb0="00000000"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60155" w14:textId="77777777" w:rsidR="00556032" w:rsidRDefault="00000000">
    <w:pPr>
      <w:pStyle w:val="a5"/>
      <w:jc w:val="right"/>
      <w:rPr>
        <w:rFonts w:ascii="Book Antiqua" w:hAnsi="Book Antiqua"/>
        <w:color w:val="000000" w:themeColor="text1"/>
        <w:sz w:val="24"/>
        <w:szCs w:val="24"/>
      </w:rPr>
    </w:pPr>
    <w:r>
      <w:rPr>
        <w:rFonts w:ascii="Book Antiqua" w:hAnsi="Book Antiqua"/>
        <w:color w:val="000000" w:themeColor="text1"/>
        <w:sz w:val="24"/>
        <w:szCs w:val="24"/>
        <w:lang w:val="zh-CN" w:eastAsia="zh-CN"/>
      </w:rPr>
      <w:t xml:space="preserve"> </w:t>
    </w:r>
    <w:r>
      <w:rPr>
        <w:rFonts w:ascii="Book Antiqua" w:hAnsi="Book Antiqua"/>
        <w:color w:val="000000" w:themeColor="text1"/>
        <w:sz w:val="24"/>
        <w:szCs w:val="24"/>
      </w:rPr>
      <w:fldChar w:fldCharType="begin"/>
    </w:r>
    <w:r>
      <w:rPr>
        <w:rFonts w:ascii="Book Antiqua" w:hAnsi="Book Antiqua"/>
        <w:color w:val="000000" w:themeColor="text1"/>
        <w:sz w:val="24"/>
        <w:szCs w:val="24"/>
      </w:rPr>
      <w:instrText>PAGE  \* Arabic  \* MERGEFORMAT</w:instrText>
    </w:r>
    <w:r>
      <w:rPr>
        <w:rFonts w:ascii="Book Antiqua" w:hAnsi="Book Antiqua"/>
        <w:color w:val="000000" w:themeColor="text1"/>
        <w:sz w:val="24"/>
        <w:szCs w:val="24"/>
      </w:rPr>
      <w:fldChar w:fldCharType="separate"/>
    </w:r>
    <w:r>
      <w:rPr>
        <w:rFonts w:ascii="Book Antiqua" w:hAnsi="Book Antiqua"/>
        <w:color w:val="000000" w:themeColor="text1"/>
        <w:sz w:val="24"/>
        <w:szCs w:val="24"/>
        <w:lang w:val="zh-CN" w:eastAsia="zh-CN"/>
      </w:rPr>
      <w:t>2</w:t>
    </w:r>
    <w:r>
      <w:rPr>
        <w:rFonts w:ascii="Book Antiqua" w:hAnsi="Book Antiqua"/>
        <w:color w:val="000000" w:themeColor="text1"/>
        <w:sz w:val="24"/>
        <w:szCs w:val="24"/>
      </w:rPr>
      <w:fldChar w:fldCharType="end"/>
    </w:r>
    <w:r>
      <w:rPr>
        <w:rFonts w:ascii="Book Antiqua" w:hAnsi="Book Antiqua"/>
        <w:color w:val="000000" w:themeColor="text1"/>
        <w:sz w:val="24"/>
        <w:szCs w:val="24"/>
        <w:lang w:val="zh-CN" w:eastAsia="zh-CN"/>
      </w:rPr>
      <w:t xml:space="preserve"> / </w:t>
    </w:r>
    <w:r>
      <w:rPr>
        <w:rFonts w:ascii="Book Antiqua" w:hAnsi="Book Antiqua"/>
        <w:color w:val="000000" w:themeColor="text1"/>
        <w:sz w:val="24"/>
        <w:szCs w:val="24"/>
      </w:rPr>
      <w:fldChar w:fldCharType="begin"/>
    </w:r>
    <w:r>
      <w:rPr>
        <w:rFonts w:ascii="Book Antiqua" w:hAnsi="Book Antiqua"/>
        <w:color w:val="000000" w:themeColor="text1"/>
        <w:sz w:val="24"/>
        <w:szCs w:val="24"/>
      </w:rPr>
      <w:instrText>NUMPAGES  \* Arabic  \* MERGEFORMAT</w:instrText>
    </w:r>
    <w:r>
      <w:rPr>
        <w:rFonts w:ascii="Book Antiqua" w:hAnsi="Book Antiqua"/>
        <w:color w:val="000000" w:themeColor="text1"/>
        <w:sz w:val="24"/>
        <w:szCs w:val="24"/>
      </w:rPr>
      <w:fldChar w:fldCharType="separate"/>
    </w:r>
    <w:r>
      <w:rPr>
        <w:rFonts w:ascii="Book Antiqua" w:hAnsi="Book Antiqua"/>
        <w:color w:val="000000" w:themeColor="text1"/>
        <w:sz w:val="24"/>
        <w:szCs w:val="24"/>
        <w:lang w:val="zh-CN" w:eastAsia="zh-CN"/>
      </w:rPr>
      <w:t>2</w:t>
    </w:r>
    <w:r>
      <w:rPr>
        <w:rFonts w:ascii="Book Antiqua" w:hAnsi="Book Antiqua"/>
        <w:color w:val="000000" w:themeColor="text1"/>
        <w:sz w:val="24"/>
        <w:szCs w:val="24"/>
      </w:rPr>
      <w:fldChar w:fldCharType="end"/>
    </w:r>
  </w:p>
  <w:p w14:paraId="3F0DCBDB" w14:textId="77777777" w:rsidR="00556032" w:rsidRDefault="00556032">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DE59B7" w14:textId="77777777" w:rsidR="00310F60" w:rsidRDefault="00310F60">
      <w:r>
        <w:separator/>
      </w:r>
    </w:p>
  </w:footnote>
  <w:footnote w:type="continuationSeparator" w:id="0">
    <w:p w14:paraId="3EC1347F" w14:textId="77777777" w:rsidR="00310F60" w:rsidRDefault="00310F6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3"/>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TViODE3NzJjYzk0OGU1NmZiNTliYjFkN2U5NzQzMzAifQ=="/>
  </w:docVars>
  <w:rsids>
    <w:rsidRoot w:val="00A77B3E"/>
    <w:rsid w:val="00025497"/>
    <w:rsid w:val="00063507"/>
    <w:rsid w:val="000905CA"/>
    <w:rsid w:val="000A4DB6"/>
    <w:rsid w:val="000C265E"/>
    <w:rsid w:val="000E156C"/>
    <w:rsid w:val="000E285A"/>
    <w:rsid w:val="000E5D07"/>
    <w:rsid w:val="000F020F"/>
    <w:rsid w:val="001047C2"/>
    <w:rsid w:val="00113A16"/>
    <w:rsid w:val="00132294"/>
    <w:rsid w:val="001408FE"/>
    <w:rsid w:val="00166F3D"/>
    <w:rsid w:val="001875ED"/>
    <w:rsid w:val="00192E39"/>
    <w:rsid w:val="001A1BF3"/>
    <w:rsid w:val="001A4173"/>
    <w:rsid w:val="001D0E67"/>
    <w:rsid w:val="001D5F30"/>
    <w:rsid w:val="001E2BBD"/>
    <w:rsid w:val="001F17EC"/>
    <w:rsid w:val="001F505E"/>
    <w:rsid w:val="00220D9B"/>
    <w:rsid w:val="002604F8"/>
    <w:rsid w:val="00271554"/>
    <w:rsid w:val="002807BC"/>
    <w:rsid w:val="00285098"/>
    <w:rsid w:val="0029369D"/>
    <w:rsid w:val="0029777D"/>
    <w:rsid w:val="002C49B1"/>
    <w:rsid w:val="002D32E8"/>
    <w:rsid w:val="002E0AA1"/>
    <w:rsid w:val="00302022"/>
    <w:rsid w:val="00310F60"/>
    <w:rsid w:val="00324120"/>
    <w:rsid w:val="0035258D"/>
    <w:rsid w:val="00381C8E"/>
    <w:rsid w:val="00387C8E"/>
    <w:rsid w:val="003A4F2A"/>
    <w:rsid w:val="003C22D1"/>
    <w:rsid w:val="0040079B"/>
    <w:rsid w:val="0041733F"/>
    <w:rsid w:val="00430235"/>
    <w:rsid w:val="004719BC"/>
    <w:rsid w:val="004954C5"/>
    <w:rsid w:val="004C491D"/>
    <w:rsid w:val="004C6E7F"/>
    <w:rsid w:val="004E0EC2"/>
    <w:rsid w:val="004F046E"/>
    <w:rsid w:val="004F47A3"/>
    <w:rsid w:val="00502661"/>
    <w:rsid w:val="0050517E"/>
    <w:rsid w:val="0050643B"/>
    <w:rsid w:val="00506C8A"/>
    <w:rsid w:val="00511C30"/>
    <w:rsid w:val="00524644"/>
    <w:rsid w:val="00537420"/>
    <w:rsid w:val="00540DBB"/>
    <w:rsid w:val="00556032"/>
    <w:rsid w:val="00577DE0"/>
    <w:rsid w:val="005824DB"/>
    <w:rsid w:val="005A7EC0"/>
    <w:rsid w:val="005C012D"/>
    <w:rsid w:val="005F6C3E"/>
    <w:rsid w:val="00606812"/>
    <w:rsid w:val="00625E9E"/>
    <w:rsid w:val="00666668"/>
    <w:rsid w:val="00684118"/>
    <w:rsid w:val="0068486A"/>
    <w:rsid w:val="00696F73"/>
    <w:rsid w:val="006B7582"/>
    <w:rsid w:val="006E0A16"/>
    <w:rsid w:val="006E4439"/>
    <w:rsid w:val="006F55A3"/>
    <w:rsid w:val="00700E38"/>
    <w:rsid w:val="00731211"/>
    <w:rsid w:val="00790374"/>
    <w:rsid w:val="00793E82"/>
    <w:rsid w:val="007A1586"/>
    <w:rsid w:val="007C7356"/>
    <w:rsid w:val="007D6209"/>
    <w:rsid w:val="007E4F0D"/>
    <w:rsid w:val="007F728E"/>
    <w:rsid w:val="00815E47"/>
    <w:rsid w:val="00824C0F"/>
    <w:rsid w:val="00847AE6"/>
    <w:rsid w:val="00870868"/>
    <w:rsid w:val="00887F55"/>
    <w:rsid w:val="008B1A13"/>
    <w:rsid w:val="008E5FAC"/>
    <w:rsid w:val="008F3F8F"/>
    <w:rsid w:val="00901CC2"/>
    <w:rsid w:val="0090657C"/>
    <w:rsid w:val="009162F7"/>
    <w:rsid w:val="00940DFB"/>
    <w:rsid w:val="00967E2A"/>
    <w:rsid w:val="00991CBA"/>
    <w:rsid w:val="00993C5A"/>
    <w:rsid w:val="009B34FB"/>
    <w:rsid w:val="009D057F"/>
    <w:rsid w:val="009E1EF0"/>
    <w:rsid w:val="009E21AC"/>
    <w:rsid w:val="009E2D27"/>
    <w:rsid w:val="00A217DA"/>
    <w:rsid w:val="00A31952"/>
    <w:rsid w:val="00A52E6D"/>
    <w:rsid w:val="00A649B7"/>
    <w:rsid w:val="00A77B3E"/>
    <w:rsid w:val="00A80116"/>
    <w:rsid w:val="00A861F6"/>
    <w:rsid w:val="00A957F8"/>
    <w:rsid w:val="00A97D5B"/>
    <w:rsid w:val="00AB3F04"/>
    <w:rsid w:val="00AF5D31"/>
    <w:rsid w:val="00AF5EAC"/>
    <w:rsid w:val="00B324BD"/>
    <w:rsid w:val="00B42601"/>
    <w:rsid w:val="00B702E4"/>
    <w:rsid w:val="00B85F6F"/>
    <w:rsid w:val="00B94280"/>
    <w:rsid w:val="00B97D6D"/>
    <w:rsid w:val="00BA40F5"/>
    <w:rsid w:val="00BA50FA"/>
    <w:rsid w:val="00BB65AB"/>
    <w:rsid w:val="00BC311C"/>
    <w:rsid w:val="00BC421B"/>
    <w:rsid w:val="00BD050B"/>
    <w:rsid w:val="00BE0412"/>
    <w:rsid w:val="00BF3B6C"/>
    <w:rsid w:val="00C17C28"/>
    <w:rsid w:val="00C31E0C"/>
    <w:rsid w:val="00C63998"/>
    <w:rsid w:val="00C7094F"/>
    <w:rsid w:val="00C76D5E"/>
    <w:rsid w:val="00CA2A55"/>
    <w:rsid w:val="00CB1A59"/>
    <w:rsid w:val="00CE4305"/>
    <w:rsid w:val="00CF4259"/>
    <w:rsid w:val="00CF65EB"/>
    <w:rsid w:val="00D036BC"/>
    <w:rsid w:val="00D16A0D"/>
    <w:rsid w:val="00D6360D"/>
    <w:rsid w:val="00D90DE1"/>
    <w:rsid w:val="00DC1683"/>
    <w:rsid w:val="00DC7231"/>
    <w:rsid w:val="00DD2878"/>
    <w:rsid w:val="00DE3CF9"/>
    <w:rsid w:val="00DE4974"/>
    <w:rsid w:val="00DE4F6B"/>
    <w:rsid w:val="00E03454"/>
    <w:rsid w:val="00E37AF6"/>
    <w:rsid w:val="00EA7D02"/>
    <w:rsid w:val="00EB07EA"/>
    <w:rsid w:val="00EF3720"/>
    <w:rsid w:val="00F06B7F"/>
    <w:rsid w:val="00F31B23"/>
    <w:rsid w:val="00F41322"/>
    <w:rsid w:val="00F53355"/>
    <w:rsid w:val="00F62127"/>
    <w:rsid w:val="00F722A9"/>
    <w:rsid w:val="00F83F98"/>
    <w:rsid w:val="00FA3394"/>
    <w:rsid w:val="00FC3270"/>
    <w:rsid w:val="67D7514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F852F1E"/>
  <w15:docId w15:val="{8FEEC27E-1CD8-45D7-BFEC-21D9FBBED7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Default Paragraph Font" w:semiHidden="1" w:uiPriority="1" w:unhideWhenUsed="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style>
  <w:style w:type="paragraph" w:styleId="a5">
    <w:name w:val="footer"/>
    <w:basedOn w:val="a"/>
    <w:link w:val="a6"/>
    <w:uiPriority w:val="99"/>
    <w:pPr>
      <w:tabs>
        <w:tab w:val="center" w:pos="4153"/>
        <w:tab w:val="right" w:pos="8306"/>
      </w:tabs>
      <w:snapToGrid w:val="0"/>
    </w:pPr>
    <w:rPr>
      <w:sz w:val="18"/>
      <w:szCs w:val="18"/>
    </w:rPr>
  </w:style>
  <w:style w:type="paragraph" w:styleId="a7">
    <w:name w:val="header"/>
    <w:basedOn w:val="a"/>
    <w:link w:val="a8"/>
    <w:pPr>
      <w:tabs>
        <w:tab w:val="center" w:pos="4153"/>
        <w:tab w:val="right" w:pos="8306"/>
      </w:tabs>
      <w:snapToGrid w:val="0"/>
      <w:jc w:val="center"/>
    </w:pPr>
    <w:rPr>
      <w:sz w:val="18"/>
      <w:szCs w:val="18"/>
    </w:rPr>
  </w:style>
  <w:style w:type="paragraph" w:styleId="a9">
    <w:name w:val="annotation subject"/>
    <w:basedOn w:val="a3"/>
    <w:next w:val="a3"/>
    <w:link w:val="aa"/>
    <w:rPr>
      <w:b/>
      <w:bCs/>
    </w:rPr>
  </w:style>
  <w:style w:type="character" w:styleId="ab">
    <w:name w:val="annotation reference"/>
    <w:basedOn w:val="a0"/>
    <w:rPr>
      <w:sz w:val="21"/>
      <w:szCs w:val="21"/>
    </w:rPr>
  </w:style>
  <w:style w:type="character" w:customStyle="1" w:styleId="a8">
    <w:name w:val="页眉 字符"/>
    <w:basedOn w:val="a0"/>
    <w:link w:val="a7"/>
    <w:rPr>
      <w:sz w:val="18"/>
      <w:szCs w:val="18"/>
    </w:rPr>
  </w:style>
  <w:style w:type="character" w:customStyle="1" w:styleId="a6">
    <w:name w:val="页脚 字符"/>
    <w:basedOn w:val="a0"/>
    <w:link w:val="a5"/>
    <w:uiPriority w:val="99"/>
    <w:rPr>
      <w:sz w:val="18"/>
      <w:szCs w:val="18"/>
    </w:rPr>
  </w:style>
  <w:style w:type="paragraph" w:customStyle="1" w:styleId="1">
    <w:name w:val="修订1"/>
    <w:hidden/>
    <w:uiPriority w:val="99"/>
    <w:semiHidden/>
    <w:rPr>
      <w:sz w:val="24"/>
      <w:szCs w:val="24"/>
      <w:lang w:eastAsia="en-US"/>
    </w:rPr>
  </w:style>
  <w:style w:type="character" w:customStyle="1" w:styleId="a4">
    <w:name w:val="批注文字 字符"/>
    <w:basedOn w:val="a0"/>
    <w:link w:val="a3"/>
    <w:rPr>
      <w:sz w:val="24"/>
      <w:szCs w:val="24"/>
    </w:rPr>
  </w:style>
  <w:style w:type="character" w:customStyle="1" w:styleId="aa">
    <w:name w:val="批注主题 字符"/>
    <w:basedOn w:val="a4"/>
    <w:link w:val="a9"/>
    <w:rPr>
      <w:b/>
      <w:bCs/>
      <w:sz w:val="24"/>
      <w:szCs w:val="24"/>
    </w:rPr>
  </w:style>
  <w:style w:type="paragraph" w:styleId="ac">
    <w:name w:val="Revision"/>
    <w:hidden/>
    <w:uiPriority w:val="99"/>
    <w:unhideWhenUsed/>
    <w:rsid w:val="00132294"/>
    <w:rPr>
      <w:sz w:val="24"/>
      <w:szCs w:val="24"/>
      <w:lang w:eastAsia="en-US"/>
    </w:rPr>
  </w:style>
  <w:style w:type="character" w:styleId="ad">
    <w:name w:val="Hyperlink"/>
    <w:basedOn w:val="a0"/>
    <w:rsid w:val="005A7EC0"/>
    <w:rPr>
      <w:color w:val="0000FF" w:themeColor="hyperlink"/>
      <w:u w:val="single"/>
    </w:rPr>
  </w:style>
  <w:style w:type="character" w:styleId="ae">
    <w:name w:val="Unresolved Mention"/>
    <w:basedOn w:val="a0"/>
    <w:uiPriority w:val="99"/>
    <w:semiHidden/>
    <w:unhideWhenUsed/>
    <w:rsid w:val="005A7EC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F2F3C3-F2D2-4B56-B2CC-3281E6B633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28</Pages>
  <Words>10630</Words>
  <Characters>60596</Characters>
  <Application>Microsoft Office Word</Application>
  <DocSecurity>0</DocSecurity>
  <Lines>504</Lines>
  <Paragraphs>142</Paragraphs>
  <ScaleCrop>false</ScaleCrop>
  <Company/>
  <LinksUpToDate>false</LinksUpToDate>
  <CharactersWithSpaces>71084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soul mate</dc:creator>
  <cp:lastModifiedBy>M18955</cp:lastModifiedBy>
  <cp:revision>7</cp:revision>
  <dcterms:created xsi:type="dcterms:W3CDTF">2023-11-09T00:07:00Z</dcterms:created>
  <dcterms:modified xsi:type="dcterms:W3CDTF">2023-11-23T04:40:00Z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2052-11.1.0.15319</vt:lpwstr>
  </property>
  <property fmtid="{D5CDD505-2E9C-101B-9397-08002B2CF9AE}" pid="3" name="ICV">
    <vt:lpwstr>66E3CA3388964D3191690B04555AB3BF_12</vt:lpwstr>
  </property>
</Properties>
</file>