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3C3D9"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rPr>
        <w:t xml:space="preserve">Name of Journal: </w:t>
      </w:r>
      <w:r w:rsidRPr="00F427F0">
        <w:rPr>
          <w:rFonts w:ascii="Book Antiqua" w:eastAsia="Book Antiqua" w:hAnsi="Book Antiqua" w:cs="Book Antiqua"/>
          <w:i/>
        </w:rPr>
        <w:t>World Journal of Diabetes</w:t>
      </w:r>
    </w:p>
    <w:p w14:paraId="625D3E83"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rPr>
        <w:t xml:space="preserve">Manuscript NO: </w:t>
      </w:r>
      <w:r w:rsidRPr="00F427F0">
        <w:rPr>
          <w:rFonts w:ascii="Book Antiqua" w:eastAsia="Book Antiqua" w:hAnsi="Book Antiqua" w:cs="Book Antiqua"/>
        </w:rPr>
        <w:t>88359</w:t>
      </w:r>
    </w:p>
    <w:p w14:paraId="2E3409E6"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rPr>
        <w:t xml:space="preserve">Manuscript Type: </w:t>
      </w:r>
      <w:r w:rsidRPr="00F427F0">
        <w:rPr>
          <w:rFonts w:ascii="Book Antiqua" w:eastAsia="Book Antiqua" w:hAnsi="Book Antiqua" w:cs="Book Antiqua"/>
        </w:rPr>
        <w:t>ORIGINAL ARTICLE</w:t>
      </w:r>
    </w:p>
    <w:p w14:paraId="1D6C7C05" w14:textId="77777777" w:rsidR="00D23823" w:rsidRPr="00F427F0" w:rsidRDefault="00D23823">
      <w:pPr>
        <w:spacing w:line="360" w:lineRule="auto"/>
        <w:jc w:val="both"/>
        <w:rPr>
          <w:rFonts w:ascii="Book Antiqua" w:hAnsi="Book Antiqua"/>
        </w:rPr>
      </w:pPr>
    </w:p>
    <w:p w14:paraId="65DE9FE2"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i/>
        </w:rPr>
        <w:t>Clinical and Translational Research</w:t>
      </w:r>
    </w:p>
    <w:p w14:paraId="28A899AA"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bCs/>
        </w:rPr>
        <w:t xml:space="preserve">Identification of hub genes associated with </w:t>
      </w:r>
      <w:r w:rsidRPr="00F427F0">
        <w:rPr>
          <w:rFonts w:ascii="Book Antiqua" w:eastAsia="Book Antiqua" w:hAnsi="Book Antiqua" w:cs="Book Antiqua"/>
          <w:b/>
          <w:bCs/>
          <w:i/>
          <w:iCs/>
        </w:rPr>
        <w:t>Helicobacter pylori</w:t>
      </w:r>
      <w:r w:rsidRPr="00F427F0">
        <w:rPr>
          <w:rFonts w:ascii="Book Antiqua" w:eastAsia="Book Antiqua" w:hAnsi="Book Antiqua" w:cs="Book Antiqua"/>
          <w:b/>
          <w:bCs/>
        </w:rPr>
        <w:t xml:space="preserve"> infection and type 2 diabetes mellitus: A pilot bioinformatics study</w:t>
      </w:r>
    </w:p>
    <w:p w14:paraId="671BCC32" w14:textId="77777777" w:rsidR="00D23823" w:rsidRPr="00F427F0" w:rsidRDefault="00D23823">
      <w:pPr>
        <w:spacing w:line="360" w:lineRule="auto"/>
        <w:jc w:val="both"/>
        <w:rPr>
          <w:rFonts w:ascii="Book Antiqua" w:hAnsi="Book Antiqua"/>
        </w:rPr>
      </w:pPr>
    </w:p>
    <w:p w14:paraId="30759845"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Chen</w:t>
      </w:r>
      <w:r w:rsidRPr="00F427F0">
        <w:rPr>
          <w:rFonts w:ascii="Book Antiqua" w:eastAsia="Book Antiqua" w:hAnsi="Book Antiqua" w:cs="Book Antiqua"/>
          <w:i/>
          <w:iCs/>
        </w:rPr>
        <w:t xml:space="preserve"> </w:t>
      </w:r>
      <w:r w:rsidRPr="00F427F0">
        <w:rPr>
          <w:rFonts w:ascii="Book Antiqua" w:eastAsia="Book Antiqua" w:hAnsi="Book Antiqua" w:cs="Book Antiqua"/>
        </w:rPr>
        <w:t xml:space="preserve">H </w:t>
      </w:r>
      <w:r w:rsidRPr="00F427F0">
        <w:rPr>
          <w:rFonts w:ascii="Book Antiqua" w:eastAsia="Book Antiqua" w:hAnsi="Book Antiqua" w:cs="Book Antiqua"/>
          <w:i/>
          <w:iCs/>
        </w:rPr>
        <w:t>et al. H. pylori</w:t>
      </w:r>
      <w:r w:rsidRPr="00F427F0">
        <w:rPr>
          <w:rFonts w:ascii="Book Antiqua" w:eastAsia="Book Antiqua" w:hAnsi="Book Antiqua" w:cs="Book Antiqua"/>
        </w:rPr>
        <w:t xml:space="preserve"> infection and T2DM</w:t>
      </w:r>
    </w:p>
    <w:p w14:paraId="2A5F5D71" w14:textId="77777777" w:rsidR="00D23823" w:rsidRPr="00F427F0" w:rsidRDefault="00D23823">
      <w:pPr>
        <w:spacing w:line="360" w:lineRule="auto"/>
        <w:jc w:val="both"/>
        <w:rPr>
          <w:rFonts w:ascii="Book Antiqua" w:hAnsi="Book Antiqua"/>
        </w:rPr>
      </w:pPr>
    </w:p>
    <w:p w14:paraId="279091BE"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Han Chen, Guo-Xin Zhang, Xiao-Ying Zhou</w:t>
      </w:r>
    </w:p>
    <w:p w14:paraId="7033E9C2" w14:textId="77777777" w:rsidR="00D23823" w:rsidRPr="00F427F0" w:rsidRDefault="00D23823">
      <w:pPr>
        <w:spacing w:line="360" w:lineRule="auto"/>
        <w:jc w:val="both"/>
        <w:rPr>
          <w:rFonts w:ascii="Book Antiqua" w:hAnsi="Book Antiqua"/>
        </w:rPr>
      </w:pPr>
    </w:p>
    <w:p w14:paraId="129B991C"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bCs/>
        </w:rPr>
        <w:t xml:space="preserve">Han Chen, </w:t>
      </w:r>
      <w:r w:rsidRPr="00F427F0">
        <w:rPr>
          <w:rFonts w:ascii="Book Antiqua" w:eastAsia="Book Antiqua" w:hAnsi="Book Antiqua" w:cs="Book Antiqua"/>
        </w:rPr>
        <w:t>Department of Gastroenterology, The First Affiliated Hospital of Nanjing Medical University, Nanjing 210003, Jiangsu Province, China</w:t>
      </w:r>
    </w:p>
    <w:p w14:paraId="764D94B8" w14:textId="77777777" w:rsidR="00D23823" w:rsidRPr="00F427F0" w:rsidRDefault="00D23823">
      <w:pPr>
        <w:spacing w:line="360" w:lineRule="auto"/>
        <w:jc w:val="both"/>
        <w:rPr>
          <w:rFonts w:ascii="Book Antiqua" w:hAnsi="Book Antiqua"/>
        </w:rPr>
      </w:pPr>
    </w:p>
    <w:p w14:paraId="194F56F9"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bCs/>
        </w:rPr>
        <w:t xml:space="preserve">Guo-Xin Zhang, Xiao-Ying Zhou, </w:t>
      </w:r>
      <w:r w:rsidRPr="00F427F0">
        <w:rPr>
          <w:rFonts w:ascii="Book Antiqua" w:eastAsia="Book Antiqua" w:hAnsi="Book Antiqua" w:cs="Book Antiqua"/>
        </w:rPr>
        <w:t>Department of Gastroenterology, Jiangsu Province Hospital, Nanjing 210029, Jiangsu Province, China</w:t>
      </w:r>
    </w:p>
    <w:p w14:paraId="13C85950" w14:textId="77777777" w:rsidR="00D23823" w:rsidRPr="00F427F0" w:rsidRDefault="00D23823">
      <w:pPr>
        <w:spacing w:line="360" w:lineRule="auto"/>
        <w:jc w:val="both"/>
        <w:rPr>
          <w:rFonts w:ascii="Book Antiqua" w:hAnsi="Book Antiqua"/>
        </w:rPr>
      </w:pPr>
    </w:p>
    <w:p w14:paraId="08171726"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bCs/>
        </w:rPr>
        <w:t xml:space="preserve">Co-corresponding authors: </w:t>
      </w:r>
      <w:r w:rsidRPr="00F427F0">
        <w:rPr>
          <w:rFonts w:ascii="Book Antiqua" w:eastAsia="Book Antiqua" w:hAnsi="Book Antiqua" w:cs="Book Antiqua"/>
        </w:rPr>
        <w:t>Guo-Xin Zhang and Xiao-Ying Zhou.</w:t>
      </w:r>
    </w:p>
    <w:p w14:paraId="78DFD269" w14:textId="77777777" w:rsidR="00D23823" w:rsidRPr="00F427F0" w:rsidRDefault="00D23823">
      <w:pPr>
        <w:spacing w:line="360" w:lineRule="auto"/>
        <w:jc w:val="both"/>
        <w:rPr>
          <w:rFonts w:ascii="Book Antiqua" w:hAnsi="Book Antiqua"/>
        </w:rPr>
      </w:pPr>
    </w:p>
    <w:p w14:paraId="3D97FC88"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bCs/>
        </w:rPr>
        <w:t xml:space="preserve">Author contributions: </w:t>
      </w:r>
      <w:r w:rsidRPr="00F427F0">
        <w:rPr>
          <w:rFonts w:ascii="Book Antiqua" w:eastAsia="Book Antiqua" w:hAnsi="Book Antiqua" w:cs="Book Antiqua"/>
        </w:rPr>
        <w:t xml:space="preserve">Zhou XY and Zhang GX concepted and designed the research study; Chen H and Zhou X developed methodology; Chen H acquired the data; Zhou XY analyzed and interpretated the data; Chen H wrote the first version of the manuscript; Zhang GX and Zhou XY revised the manuscript; all authors were involved in the critical review of the results and have contributed to, read, and approved the final manuscript. </w:t>
      </w:r>
      <w:r w:rsidRPr="00F427F0">
        <w:rPr>
          <w:rFonts w:ascii="Book Antiqua" w:eastAsia="宋体" w:hAnsi="Book Antiqua" w:cs="Book Antiqua"/>
          <w:lang w:eastAsia="zh-CN"/>
        </w:rPr>
        <w:t>Zhou</w:t>
      </w:r>
      <w:r w:rsidRPr="00F427F0">
        <w:rPr>
          <w:rFonts w:ascii="Book Antiqua" w:eastAsia="Book Antiqua" w:hAnsi="Book Antiqua" w:cs="Book Antiqua"/>
        </w:rPr>
        <w:t xml:space="preserve"> XY and</w:t>
      </w:r>
      <w:r w:rsidRPr="00F427F0">
        <w:rPr>
          <w:rFonts w:ascii="Book Antiqua" w:eastAsia="宋体" w:hAnsi="Book Antiqua" w:cs="Book Antiqua"/>
          <w:lang w:eastAsia="zh-CN"/>
        </w:rPr>
        <w:t xml:space="preserve"> Zhang</w:t>
      </w:r>
      <w:r w:rsidRPr="00F427F0">
        <w:rPr>
          <w:rFonts w:ascii="Book Antiqua" w:eastAsia="Book Antiqua" w:hAnsi="Book Antiqua" w:cs="Book Antiqua"/>
        </w:rPr>
        <w:t xml:space="preserve"> GX contributed equally to this work as co-corresponding authors. </w:t>
      </w:r>
      <w:r w:rsidRPr="00F427F0">
        <w:rPr>
          <w:rFonts w:ascii="Book Antiqua" w:hAnsi="Book Antiqua" w:cs="Book Antiqua"/>
          <w:lang w:eastAsia="zh-CN"/>
        </w:rPr>
        <w:t>The</w:t>
      </w:r>
      <w:r w:rsidRPr="00F427F0">
        <w:rPr>
          <w:rFonts w:ascii="Book Antiqua" w:eastAsia="Book Antiqua" w:hAnsi="Book Antiqua" w:cs="Book Antiqua"/>
        </w:rPr>
        <w:t xml:space="preserve"> reasons for designating </w:t>
      </w:r>
      <w:r w:rsidRPr="00F427F0">
        <w:rPr>
          <w:rFonts w:ascii="Book Antiqua" w:eastAsia="宋体" w:hAnsi="Book Antiqua" w:cs="Book Antiqua"/>
          <w:lang w:eastAsia="zh-CN"/>
        </w:rPr>
        <w:t>Zhou</w:t>
      </w:r>
      <w:r w:rsidRPr="00F427F0">
        <w:rPr>
          <w:rFonts w:ascii="Book Antiqua" w:eastAsia="Book Antiqua" w:hAnsi="Book Antiqua" w:cs="Book Antiqua"/>
        </w:rPr>
        <w:t xml:space="preserve"> XY and</w:t>
      </w:r>
      <w:r w:rsidRPr="00F427F0">
        <w:rPr>
          <w:rFonts w:ascii="Book Antiqua" w:eastAsia="宋体" w:hAnsi="Book Antiqua" w:cs="Book Antiqua"/>
          <w:lang w:eastAsia="zh-CN"/>
        </w:rPr>
        <w:t xml:space="preserve"> Zhang</w:t>
      </w:r>
      <w:r w:rsidRPr="00F427F0">
        <w:rPr>
          <w:rFonts w:ascii="Book Antiqua" w:eastAsia="Book Antiqua" w:hAnsi="Book Antiqua" w:cs="Book Antiqua"/>
        </w:rPr>
        <w:t xml:space="preserve"> GX as co-corresponding authors are threefold. First, the research was performed as a collaborative effort, and the designation of co-corresponding authorship accurately </w:t>
      </w:r>
      <w:r w:rsidRPr="00F427F0">
        <w:rPr>
          <w:rFonts w:ascii="Book Antiqua" w:eastAsia="Book Antiqua" w:hAnsi="Book Antiqua" w:cs="Book Antiqua"/>
        </w:rPr>
        <w:lastRenderedPageBreak/>
        <w:t xml:space="preserve">reflects the distribution of responsibilities and burdens associated with the time and effort required to complete the study and the resultant paper. This also ensures effective communication and management of post-submission matters, ultimately enhancing the paper's quality and reliability. Second, the overall research team encompassed authors with a variety of expertise and skills from different fields, and the designation of co-corresponding authors best reflects this diversity. This also promotes the most comprehensive and in-depth examination of the research topic, ultimately enriching readers' understanding by offering various expert perspectives. Third, </w:t>
      </w:r>
      <w:r w:rsidRPr="00F427F0">
        <w:rPr>
          <w:rFonts w:ascii="Book Antiqua" w:eastAsia="宋体" w:hAnsi="Book Antiqua" w:cs="Book Antiqua"/>
          <w:lang w:eastAsia="zh-CN"/>
        </w:rPr>
        <w:t>Zhou</w:t>
      </w:r>
      <w:r w:rsidRPr="00F427F0">
        <w:rPr>
          <w:rFonts w:ascii="Book Antiqua" w:eastAsia="Book Antiqua" w:hAnsi="Book Antiqua" w:cs="Book Antiqua"/>
        </w:rPr>
        <w:t xml:space="preserve"> XY and</w:t>
      </w:r>
      <w:r w:rsidRPr="00F427F0">
        <w:rPr>
          <w:rFonts w:ascii="Book Antiqua" w:eastAsia="宋体" w:hAnsi="Book Antiqua" w:cs="Book Antiqua"/>
          <w:lang w:eastAsia="zh-CN"/>
        </w:rPr>
        <w:t xml:space="preserve"> Zhang</w:t>
      </w:r>
      <w:r w:rsidRPr="00F427F0">
        <w:rPr>
          <w:rFonts w:ascii="Book Antiqua" w:eastAsia="Book Antiqua" w:hAnsi="Book Antiqua" w:cs="Book Antiqua"/>
        </w:rPr>
        <w:t xml:space="preserve"> GX contributed </w:t>
      </w:r>
      <w:r w:rsidRPr="00F427F0">
        <w:rPr>
          <w:rFonts w:ascii="Book Antiqua" w:eastAsia="宋体" w:hAnsi="Book Antiqua" w:cs="Book Antiqua"/>
          <w:lang w:eastAsia="zh-CN"/>
        </w:rPr>
        <w:t>to almost the same funding on this research</w:t>
      </w:r>
      <w:r w:rsidRPr="00F427F0">
        <w:rPr>
          <w:rFonts w:ascii="Book Antiqua" w:eastAsia="Book Antiqua" w:hAnsi="Book Antiqua" w:cs="Book Antiqua"/>
        </w:rPr>
        <w:t>. The choice of these researchers as co-corresponding authors acknowledges and respects this equal contribution, while recognizing the spirit of teamwork and collaboration of this study.</w:t>
      </w:r>
      <w:r w:rsidRPr="00F427F0">
        <w:rPr>
          <w:rFonts w:ascii="Book Antiqua" w:hAnsi="Book Antiqua"/>
        </w:rPr>
        <w:t xml:space="preserve"> </w:t>
      </w:r>
      <w:r w:rsidRPr="00F427F0">
        <w:rPr>
          <w:rFonts w:ascii="Book Antiqua" w:eastAsia="Book Antiqua" w:hAnsi="Book Antiqua" w:cs="Book Antiqua"/>
        </w:rPr>
        <w:t xml:space="preserve">In summary, we believe that designating </w:t>
      </w:r>
      <w:r w:rsidRPr="00F427F0">
        <w:rPr>
          <w:rFonts w:ascii="Book Antiqua" w:eastAsia="宋体" w:hAnsi="Book Antiqua" w:cs="Book Antiqua"/>
          <w:lang w:eastAsia="zh-CN"/>
        </w:rPr>
        <w:t>Zhou</w:t>
      </w:r>
      <w:r w:rsidRPr="00F427F0">
        <w:rPr>
          <w:rFonts w:ascii="Book Antiqua" w:eastAsia="Book Antiqua" w:hAnsi="Book Antiqua" w:cs="Book Antiqua"/>
        </w:rPr>
        <w:t xml:space="preserve"> XY and</w:t>
      </w:r>
      <w:r w:rsidRPr="00F427F0">
        <w:rPr>
          <w:rFonts w:ascii="Book Antiqua" w:eastAsia="宋体" w:hAnsi="Book Antiqua" w:cs="Book Antiqua"/>
          <w:lang w:eastAsia="zh-CN"/>
        </w:rPr>
        <w:t xml:space="preserve"> Zhang</w:t>
      </w:r>
      <w:r w:rsidRPr="00F427F0">
        <w:rPr>
          <w:rFonts w:ascii="Book Antiqua" w:eastAsia="Book Antiqua" w:hAnsi="Book Antiqua" w:cs="Book Antiqua"/>
        </w:rPr>
        <w:t xml:space="preserve"> GX as co-corresponding authors of is fitting for our manuscript as it accurately reflects our team's collaborative spirit, equal contributions, and diversity.</w:t>
      </w:r>
    </w:p>
    <w:p w14:paraId="0ABFC6F3" w14:textId="77777777" w:rsidR="00D23823" w:rsidRPr="00F427F0" w:rsidRDefault="00D23823">
      <w:pPr>
        <w:spacing w:line="360" w:lineRule="auto"/>
        <w:jc w:val="both"/>
        <w:rPr>
          <w:rFonts w:ascii="Book Antiqua" w:hAnsi="Book Antiqua"/>
        </w:rPr>
      </w:pPr>
    </w:p>
    <w:p w14:paraId="7A400E13"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bCs/>
        </w:rPr>
        <w:t xml:space="preserve">Supported by </w:t>
      </w:r>
      <w:r w:rsidRPr="00F427F0">
        <w:rPr>
          <w:rFonts w:ascii="Book Antiqua" w:eastAsia="Book Antiqua" w:hAnsi="Book Antiqua" w:cs="Book Antiqua"/>
        </w:rPr>
        <w:t>National Natural Science Foundation of China, No. 82100594.</w:t>
      </w:r>
    </w:p>
    <w:p w14:paraId="0668D8C8" w14:textId="77777777" w:rsidR="00D23823" w:rsidRPr="00F427F0" w:rsidRDefault="00D23823">
      <w:pPr>
        <w:spacing w:line="360" w:lineRule="auto"/>
        <w:jc w:val="both"/>
        <w:rPr>
          <w:rFonts w:ascii="Book Antiqua" w:hAnsi="Book Antiqua"/>
        </w:rPr>
      </w:pPr>
    </w:p>
    <w:p w14:paraId="7F511717"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bCs/>
        </w:rPr>
        <w:t xml:space="preserve">Corresponding author: Xiao-Ying Zhou, MD, PhD, Associate Chief Physician, </w:t>
      </w:r>
      <w:r w:rsidRPr="00F427F0">
        <w:rPr>
          <w:rFonts w:ascii="Book Antiqua" w:eastAsia="Book Antiqua" w:hAnsi="Book Antiqua" w:cs="Book Antiqua"/>
        </w:rPr>
        <w:t>Department of Gastroenterology, Jiangsu Province Hospital, No. 300 Guangzhou Road, Nanjing 210029, Jiangsu Province, China. zhouxiaoying0926@njmu.edu.cn</w:t>
      </w:r>
    </w:p>
    <w:p w14:paraId="64EFD486" w14:textId="77777777" w:rsidR="00D23823" w:rsidRPr="00F427F0" w:rsidRDefault="00D23823">
      <w:pPr>
        <w:spacing w:line="360" w:lineRule="auto"/>
        <w:jc w:val="both"/>
        <w:rPr>
          <w:rFonts w:ascii="Book Antiqua" w:hAnsi="Book Antiqua"/>
        </w:rPr>
      </w:pPr>
    </w:p>
    <w:p w14:paraId="5FB90C98"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bCs/>
        </w:rPr>
        <w:t xml:space="preserve">Received: </w:t>
      </w:r>
      <w:r w:rsidRPr="00F427F0">
        <w:rPr>
          <w:rFonts w:ascii="Book Antiqua" w:eastAsia="Book Antiqua" w:hAnsi="Book Antiqua" w:cs="Book Antiqua"/>
        </w:rPr>
        <w:t>September 21, 2023</w:t>
      </w:r>
    </w:p>
    <w:p w14:paraId="5924FCFB"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bCs/>
        </w:rPr>
        <w:t xml:space="preserve">Revised: </w:t>
      </w:r>
      <w:r w:rsidRPr="00F427F0">
        <w:rPr>
          <w:rFonts w:ascii="Book Antiqua" w:eastAsia="Book Antiqua" w:hAnsi="Book Antiqua" w:cs="Book Antiqua"/>
        </w:rPr>
        <w:t>November 21, 2023</w:t>
      </w:r>
    </w:p>
    <w:p w14:paraId="7B0A1A3F" w14:textId="1B44C7FF" w:rsidR="00D23823" w:rsidRPr="00F427F0" w:rsidRDefault="00000000" w:rsidP="008A5B5E">
      <w:pPr>
        <w:spacing w:line="360" w:lineRule="auto"/>
        <w:rPr>
          <w:rFonts w:ascii="Book Antiqua" w:hAnsi="Book Antiqua"/>
        </w:rPr>
      </w:pPr>
      <w:r w:rsidRPr="00F427F0">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r w:rsidR="00AB37CA" w:rsidRPr="00E0103E">
        <w:rPr>
          <w:rFonts w:ascii="Book Antiqua" w:hAnsi="Book Antiqua"/>
        </w:rPr>
        <w:t xml:space="preserve">December </w:t>
      </w:r>
      <w:r w:rsidR="00AB37CA">
        <w:rPr>
          <w:rFonts w:ascii="Book Antiqua" w:hAnsi="Book Antiqua"/>
        </w:rPr>
        <w:t>27</w:t>
      </w:r>
      <w:r w:rsidR="00AB37CA" w:rsidRPr="00E0103E">
        <w:rPr>
          <w:rFonts w:ascii="Book Antiqua" w:hAnsi="Book Antiqua"/>
        </w:rPr>
        <w:t>,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4D9DE6C3" w14:textId="79C3FF8F" w:rsidR="00D23823" w:rsidRPr="00F427F0" w:rsidRDefault="00000000">
      <w:pPr>
        <w:spacing w:line="360" w:lineRule="auto"/>
        <w:jc w:val="both"/>
        <w:rPr>
          <w:rFonts w:ascii="Book Antiqua" w:hAnsi="Book Antiqua"/>
        </w:rPr>
      </w:pPr>
      <w:r w:rsidRPr="00F427F0">
        <w:rPr>
          <w:rFonts w:ascii="Book Antiqua" w:eastAsia="Book Antiqua" w:hAnsi="Book Antiqua" w:cs="Book Antiqua"/>
          <w:b/>
          <w:bCs/>
        </w:rPr>
        <w:t xml:space="preserve">Published online: </w:t>
      </w:r>
      <w:r w:rsidR="00E60305" w:rsidRPr="00E60305">
        <w:rPr>
          <w:rFonts w:ascii="Book Antiqua" w:eastAsia="Book Antiqua" w:hAnsi="Book Antiqua" w:cs="Book Antiqua"/>
        </w:rPr>
        <w:t>February</w:t>
      </w:r>
      <w:r w:rsidR="00553848" w:rsidRPr="00553848">
        <w:rPr>
          <w:rFonts w:ascii="Book Antiqua" w:eastAsia="Book Antiqua" w:hAnsi="Book Antiqua" w:cs="Book Antiqua"/>
        </w:rPr>
        <w:t xml:space="preserve"> 15, 2024</w:t>
      </w:r>
    </w:p>
    <w:p w14:paraId="1FFDCE8A" w14:textId="77777777" w:rsidR="00D23823" w:rsidRPr="00F427F0" w:rsidRDefault="00D23823">
      <w:pPr>
        <w:spacing w:line="360" w:lineRule="auto"/>
        <w:jc w:val="both"/>
        <w:rPr>
          <w:rFonts w:ascii="Book Antiqua" w:hAnsi="Book Antiqua"/>
        </w:rPr>
        <w:sectPr w:rsidR="00D23823" w:rsidRPr="00F427F0">
          <w:footerReference w:type="default" r:id="rId6"/>
          <w:pgSz w:w="12240" w:h="15840"/>
          <w:pgMar w:top="1440" w:right="1440" w:bottom="1440" w:left="1440" w:header="720" w:footer="720" w:gutter="0"/>
          <w:cols w:space="720"/>
          <w:docGrid w:linePitch="360"/>
        </w:sectPr>
      </w:pPr>
    </w:p>
    <w:p w14:paraId="66E94CF6"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rPr>
        <w:lastRenderedPageBreak/>
        <w:t>Abstract</w:t>
      </w:r>
    </w:p>
    <w:p w14:paraId="1F3A687D"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BACKGROUND</w:t>
      </w:r>
    </w:p>
    <w:p w14:paraId="1EC74533"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i/>
          <w:iCs/>
        </w:rPr>
        <w:t>Helicobacter pylori</w:t>
      </w:r>
      <w:r w:rsidRPr="00F427F0">
        <w:rPr>
          <w:rFonts w:ascii="Book Antiqua" w:eastAsia="Book Antiqua" w:hAnsi="Book Antiqua" w:cs="Book Antiqua"/>
        </w:rPr>
        <w:t xml:space="preserve">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is related to various extragastric diseases including type 2 diabetes mellitus (T2DM). However, the possible mechanisms connecting </w:t>
      </w:r>
      <w:r w:rsidRPr="00F427F0">
        <w:rPr>
          <w:rFonts w:ascii="Book Antiqua" w:eastAsia="Book Antiqua" w:hAnsi="Book Antiqua" w:cs="Book Antiqua"/>
          <w:i/>
          <w:iCs/>
        </w:rPr>
        <w:t xml:space="preserve">H. pylori </w:t>
      </w:r>
      <w:r w:rsidRPr="00F427F0">
        <w:rPr>
          <w:rFonts w:ascii="Book Antiqua" w:eastAsia="Book Antiqua" w:hAnsi="Book Antiqua" w:cs="Book Antiqua"/>
        </w:rPr>
        <w:t>infection and T2DM remain unknown.</w:t>
      </w:r>
    </w:p>
    <w:p w14:paraId="5DB67B6F" w14:textId="77777777" w:rsidR="00D23823" w:rsidRPr="00F427F0" w:rsidRDefault="00D23823">
      <w:pPr>
        <w:spacing w:line="360" w:lineRule="auto"/>
        <w:jc w:val="both"/>
        <w:rPr>
          <w:rFonts w:ascii="Book Antiqua" w:hAnsi="Book Antiqua"/>
        </w:rPr>
      </w:pPr>
    </w:p>
    <w:p w14:paraId="3CAA3D39"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AIM</w:t>
      </w:r>
    </w:p>
    <w:p w14:paraId="69FB7CC3"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To explore potential molecular connections between</w:t>
      </w:r>
      <w:r w:rsidRPr="00F427F0">
        <w:rPr>
          <w:rFonts w:ascii="Book Antiqua" w:eastAsia="Book Antiqua" w:hAnsi="Book Antiqua" w:cs="Book Antiqua"/>
          <w:i/>
          <w:iCs/>
        </w:rPr>
        <w:t xml:space="preserve"> H. pylori </w:t>
      </w:r>
      <w:r w:rsidRPr="00F427F0">
        <w:rPr>
          <w:rFonts w:ascii="Book Antiqua" w:eastAsia="Book Antiqua" w:hAnsi="Book Antiqua" w:cs="Book Antiqua"/>
        </w:rPr>
        <w:t>infection and T2DM.</w:t>
      </w:r>
    </w:p>
    <w:p w14:paraId="6FEE227F" w14:textId="77777777" w:rsidR="00D23823" w:rsidRPr="00F427F0" w:rsidRDefault="00D23823">
      <w:pPr>
        <w:spacing w:line="360" w:lineRule="auto"/>
        <w:jc w:val="both"/>
        <w:rPr>
          <w:rFonts w:ascii="Book Antiqua" w:hAnsi="Book Antiqua"/>
        </w:rPr>
      </w:pPr>
    </w:p>
    <w:p w14:paraId="1DAE644A"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METHODS</w:t>
      </w:r>
    </w:p>
    <w:p w14:paraId="464A31FD"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We extracted gene expression arrays from three online datasets (GSE60427, GSE27411 and GSE115601). Differentially expressed genes (DEGs) commonly present in patients with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and T2DM were identified. Hub genes were validated using human gastric biopsy samples. Correlations between hub genes and immune cell infiltration, miRNAs, and transcription factors (TFs) were further analyzed.</w:t>
      </w:r>
    </w:p>
    <w:p w14:paraId="276C9F36" w14:textId="77777777" w:rsidR="00D23823" w:rsidRPr="00F427F0" w:rsidRDefault="00D23823">
      <w:pPr>
        <w:spacing w:line="360" w:lineRule="auto"/>
        <w:jc w:val="both"/>
        <w:rPr>
          <w:rFonts w:ascii="Book Antiqua" w:hAnsi="Book Antiqua"/>
        </w:rPr>
      </w:pPr>
    </w:p>
    <w:p w14:paraId="0D24AE77"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RESULTS</w:t>
      </w:r>
    </w:p>
    <w:p w14:paraId="5345C885"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A total of 67 DEGs were commonly presented in patients with </w:t>
      </w:r>
      <w:r w:rsidRPr="00F427F0">
        <w:rPr>
          <w:rFonts w:ascii="Book Antiqua" w:eastAsia="Book Antiqua" w:hAnsi="Book Antiqua" w:cs="Book Antiqua"/>
          <w:i/>
          <w:iCs/>
        </w:rPr>
        <w:t xml:space="preserve">H. pylori </w:t>
      </w:r>
      <w:r w:rsidRPr="00F427F0">
        <w:rPr>
          <w:rFonts w:ascii="Book Antiqua" w:eastAsia="Book Antiqua" w:hAnsi="Book Antiqua" w:cs="Book Antiqua"/>
        </w:rPr>
        <w:t xml:space="preserve">infection and T2DM. Five significantly upregulated hub genes, including </w:t>
      </w:r>
      <w:r w:rsidRPr="00F427F0">
        <w:rPr>
          <w:rFonts w:ascii="Book Antiqua" w:eastAsia="Book Antiqua" w:hAnsi="Book Antiqua" w:cs="Book Antiqua"/>
          <w:i/>
          <w:iCs/>
        </w:rPr>
        <w:t>TLR4</w:t>
      </w:r>
      <w:r w:rsidRPr="00F427F0">
        <w:rPr>
          <w:rFonts w:ascii="Book Antiqua" w:eastAsia="Book Antiqua" w:hAnsi="Book Antiqua" w:cs="Book Antiqua"/>
        </w:rPr>
        <w:t xml:space="preserve">, </w:t>
      </w:r>
      <w:r w:rsidRPr="00F427F0">
        <w:rPr>
          <w:rFonts w:ascii="Book Antiqua" w:eastAsia="Book Antiqua" w:hAnsi="Book Antiqua" w:cs="Book Antiqua"/>
          <w:i/>
          <w:iCs/>
        </w:rPr>
        <w:t>ITGAM</w:t>
      </w:r>
      <w:r w:rsidRPr="00F427F0">
        <w:rPr>
          <w:rFonts w:ascii="Book Antiqua" w:eastAsia="Book Antiqua" w:hAnsi="Book Antiqua" w:cs="Book Antiqua"/>
        </w:rPr>
        <w:t xml:space="preserve">, </w:t>
      </w:r>
      <w:r w:rsidRPr="00F427F0">
        <w:rPr>
          <w:rFonts w:ascii="Book Antiqua" w:eastAsia="Book Antiqua" w:hAnsi="Book Antiqua" w:cs="Book Antiqua"/>
          <w:i/>
          <w:iCs/>
        </w:rPr>
        <w:t>C5AR1</w:t>
      </w:r>
      <w:r w:rsidRPr="00F427F0">
        <w:rPr>
          <w:rFonts w:ascii="Book Antiqua" w:eastAsia="Book Antiqua" w:hAnsi="Book Antiqua" w:cs="Book Antiqua"/>
        </w:rPr>
        <w:t xml:space="preserve">, </w:t>
      </w:r>
      <w:r w:rsidRPr="00F427F0">
        <w:rPr>
          <w:rFonts w:ascii="Book Antiqua" w:eastAsia="Book Antiqua" w:hAnsi="Book Antiqua" w:cs="Book Antiqua"/>
          <w:i/>
          <w:iCs/>
        </w:rPr>
        <w:t>FCER1G</w:t>
      </w:r>
      <w:r w:rsidRPr="00F427F0">
        <w:rPr>
          <w:rFonts w:ascii="Book Antiqua" w:eastAsia="Book Antiqua" w:hAnsi="Book Antiqua" w:cs="Book Antiqua"/>
        </w:rPr>
        <w:t xml:space="preserve">, and </w:t>
      </w:r>
      <w:r w:rsidRPr="00F427F0">
        <w:rPr>
          <w:rFonts w:ascii="Book Antiqua" w:eastAsia="Book Antiqua" w:hAnsi="Book Antiqua" w:cs="Book Antiqua"/>
          <w:i/>
          <w:iCs/>
        </w:rPr>
        <w:t>FCGR2A</w:t>
      </w:r>
      <w:r w:rsidRPr="00F427F0">
        <w:rPr>
          <w:rFonts w:ascii="Book Antiqua" w:eastAsia="Book Antiqua" w:hAnsi="Book Antiqua" w:cs="Book Antiqua"/>
        </w:rPr>
        <w:t xml:space="preserve">, were finally identified, all of which are closely related to immune cell infiltration. The gene-miRNA analysis detected 13 miRNAs with at least two gene cross-links. TF-gene interaction networks showed that </w:t>
      </w:r>
      <w:r w:rsidRPr="00F427F0">
        <w:rPr>
          <w:rFonts w:ascii="Book Antiqua" w:eastAsia="Book Antiqua" w:hAnsi="Book Antiqua" w:cs="Book Antiqua"/>
          <w:i/>
          <w:iCs/>
        </w:rPr>
        <w:t>TLR4</w:t>
      </w:r>
      <w:r w:rsidRPr="00F427F0">
        <w:rPr>
          <w:rFonts w:ascii="Book Antiqua" w:eastAsia="Book Antiqua" w:hAnsi="Book Antiqua" w:cs="Book Antiqua"/>
        </w:rPr>
        <w:t xml:space="preserve"> was coregulated by 26 TFs, the largest number of TFs among the 5 hub genes.</w:t>
      </w:r>
    </w:p>
    <w:p w14:paraId="372A867C" w14:textId="77777777" w:rsidR="00D23823" w:rsidRPr="00F427F0" w:rsidRDefault="00D23823">
      <w:pPr>
        <w:spacing w:line="360" w:lineRule="auto"/>
        <w:jc w:val="both"/>
        <w:rPr>
          <w:rFonts w:ascii="Book Antiqua" w:hAnsi="Book Antiqua"/>
        </w:rPr>
      </w:pPr>
    </w:p>
    <w:p w14:paraId="757619A9"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CONCLUSION</w:t>
      </w:r>
    </w:p>
    <w:p w14:paraId="4EC367B2"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We identified five hub genes that may have molecular connections between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and T2DM. This study provides new insights into the pathogenesis of </w:t>
      </w:r>
      <w:r w:rsidRPr="00F427F0">
        <w:rPr>
          <w:rFonts w:ascii="Book Antiqua" w:eastAsia="Book Antiqua" w:hAnsi="Book Antiqua" w:cs="Book Antiqua"/>
          <w:i/>
          <w:iCs/>
        </w:rPr>
        <w:t>H. pylori</w:t>
      </w:r>
      <w:r w:rsidRPr="00F427F0">
        <w:rPr>
          <w:rFonts w:ascii="Book Antiqua" w:eastAsia="Book Antiqua" w:hAnsi="Book Antiqua" w:cs="Book Antiqua"/>
        </w:rPr>
        <w:t>-induced onset of T2DM.</w:t>
      </w:r>
    </w:p>
    <w:p w14:paraId="396E08E2" w14:textId="77777777" w:rsidR="00D23823" w:rsidRPr="00F427F0" w:rsidRDefault="00D23823">
      <w:pPr>
        <w:spacing w:line="360" w:lineRule="auto"/>
        <w:jc w:val="both"/>
        <w:rPr>
          <w:rFonts w:ascii="Book Antiqua" w:hAnsi="Book Antiqua"/>
        </w:rPr>
      </w:pPr>
    </w:p>
    <w:p w14:paraId="4D578B2F"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bCs/>
        </w:rPr>
        <w:lastRenderedPageBreak/>
        <w:t xml:space="preserve">Key Words: </w:t>
      </w:r>
      <w:r w:rsidRPr="00F427F0">
        <w:rPr>
          <w:rFonts w:ascii="Book Antiqua" w:eastAsia="Book Antiqua" w:hAnsi="Book Antiqua" w:cs="Book Antiqua"/>
          <w:i/>
          <w:iCs/>
        </w:rPr>
        <w:t>Helicobacter pylori</w:t>
      </w:r>
      <w:r w:rsidRPr="00F427F0">
        <w:rPr>
          <w:rFonts w:ascii="Book Antiqua" w:eastAsia="Book Antiqua" w:hAnsi="Book Antiqua" w:cs="Book Antiqua"/>
        </w:rPr>
        <w:t>; Type 2 diabetes mellitus; Bioinformatics analysis; Differentially expressed genes;</w:t>
      </w:r>
      <w:r w:rsidRPr="00F427F0">
        <w:rPr>
          <w:rFonts w:ascii="MS Mincho" w:eastAsia="MS Mincho" w:hAnsi="MS Mincho" w:cs="MS Mincho" w:hint="eastAsia"/>
        </w:rPr>
        <w:t> </w:t>
      </w:r>
      <w:r w:rsidRPr="00F427F0">
        <w:rPr>
          <w:rFonts w:ascii="Book Antiqua" w:eastAsia="Book Antiqua" w:hAnsi="Book Antiqua" w:cs="Book Antiqua"/>
        </w:rPr>
        <w:t>Hub genes</w:t>
      </w:r>
    </w:p>
    <w:p w14:paraId="5B1BDF86" w14:textId="77777777" w:rsidR="00430874" w:rsidRDefault="00430874" w:rsidP="00430874"/>
    <w:p w14:paraId="575AF8C9" w14:textId="77777777" w:rsidR="00430874" w:rsidRDefault="00430874" w:rsidP="00430874">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2024. </w:t>
      </w:r>
      <w:r>
        <w:rPr>
          <w:rFonts w:ascii="Book Antiqua" w:eastAsia="Book Antiqua" w:hAnsi="Book Antiqua" w:cs="Book Antiqua"/>
          <w:color w:val="000000"/>
        </w:rPr>
        <w:t>Published by Baishideng Publishing Group Inc. All rights reserved.</w:t>
      </w:r>
    </w:p>
    <w:p w14:paraId="3283760C" w14:textId="77777777" w:rsidR="00D23823" w:rsidRPr="00F427F0" w:rsidRDefault="00D23823">
      <w:pPr>
        <w:spacing w:line="360" w:lineRule="auto"/>
        <w:jc w:val="both"/>
        <w:rPr>
          <w:rFonts w:ascii="Book Antiqua" w:hAnsi="Book Antiqua"/>
        </w:rPr>
      </w:pPr>
    </w:p>
    <w:p w14:paraId="0FF904F0" w14:textId="3AB5397C" w:rsidR="00430874" w:rsidRDefault="00430874">
      <w:pPr>
        <w:spacing w:line="360" w:lineRule="auto"/>
        <w:jc w:val="both"/>
        <w:rPr>
          <w:rFonts w:ascii="Book Antiqua" w:eastAsia="Book Antiqua" w:hAnsi="Book Antiqua" w:cs="Book Antiqua"/>
        </w:rPr>
      </w:pPr>
      <w:r w:rsidRPr="00404416">
        <w:rPr>
          <w:rFonts w:ascii="Book Antiqua" w:eastAsia="Book Antiqua" w:hAnsi="Book Antiqua" w:cs="Book Antiqua"/>
          <w:b/>
          <w:bCs/>
        </w:rPr>
        <w:t>Citation</w:t>
      </w:r>
      <w:r w:rsidRPr="00404416">
        <w:rPr>
          <w:rFonts w:ascii="Book Antiqua" w:eastAsia="Book Antiqua" w:hAnsi="Book Antiqua" w:cs="Book Antiqua"/>
        </w:rPr>
        <w:t xml:space="preserve">: </w:t>
      </w:r>
      <w:r w:rsidRPr="00F427F0">
        <w:rPr>
          <w:rFonts w:ascii="Book Antiqua" w:eastAsia="Book Antiqua" w:hAnsi="Book Antiqua" w:cs="Book Antiqua"/>
        </w:rPr>
        <w:t xml:space="preserve">Chen H, Zhang GX, Zhou XY. Identification of hub genes associated with </w:t>
      </w:r>
      <w:r w:rsidRPr="00F427F0">
        <w:rPr>
          <w:rFonts w:ascii="Book Antiqua" w:eastAsia="Book Antiqua" w:hAnsi="Book Antiqua" w:cs="Book Antiqua"/>
          <w:i/>
          <w:iCs/>
        </w:rPr>
        <w:t>Helicobacter pylori</w:t>
      </w:r>
      <w:r w:rsidRPr="00F427F0">
        <w:rPr>
          <w:rFonts w:ascii="Book Antiqua" w:eastAsia="Book Antiqua" w:hAnsi="Book Antiqua" w:cs="Book Antiqua"/>
        </w:rPr>
        <w:t xml:space="preserve"> infection and type 2 diabetes mellitus: A pilot bioinformatics study. </w:t>
      </w:r>
      <w:r w:rsidRPr="00F427F0">
        <w:rPr>
          <w:rFonts w:ascii="Book Antiqua" w:eastAsia="Book Antiqua" w:hAnsi="Book Antiqua" w:cs="Book Antiqua"/>
          <w:i/>
          <w:iCs/>
        </w:rPr>
        <w:t>World J Diabetes</w:t>
      </w:r>
      <w:r w:rsidRPr="00F427F0">
        <w:rPr>
          <w:rFonts w:ascii="Book Antiqua" w:eastAsia="Book Antiqua" w:hAnsi="Book Antiqua" w:cs="Book Antiqua"/>
        </w:rPr>
        <w:t xml:space="preserve"> 202</w:t>
      </w:r>
      <w:r w:rsidR="007524C4">
        <w:rPr>
          <w:rFonts w:ascii="Book Antiqua" w:eastAsia="Book Antiqua" w:hAnsi="Book Antiqua" w:cs="Book Antiqua"/>
        </w:rPr>
        <w:t>4</w:t>
      </w:r>
      <w:r w:rsidRPr="00F427F0">
        <w:rPr>
          <w:rFonts w:ascii="Book Antiqua" w:eastAsia="Book Antiqua" w:hAnsi="Book Antiqua" w:cs="Book Antiqua"/>
        </w:rPr>
        <w:t xml:space="preserve">; </w:t>
      </w:r>
      <w:r w:rsidR="007E4674" w:rsidRPr="007E4674">
        <w:rPr>
          <w:rFonts w:ascii="Book Antiqua" w:eastAsia="Book Antiqua" w:hAnsi="Book Antiqua" w:cs="Book Antiqua"/>
        </w:rPr>
        <w:t xml:space="preserve">15(2): </w:t>
      </w:r>
      <w:r w:rsidR="005329BC" w:rsidRPr="005329BC">
        <w:rPr>
          <w:rFonts w:ascii="Book Antiqua" w:eastAsia="Book Antiqua" w:hAnsi="Book Antiqua" w:cs="Book Antiqua"/>
        </w:rPr>
        <w:t>170-185</w:t>
      </w:r>
    </w:p>
    <w:p w14:paraId="1DC5A94C" w14:textId="2D3B5938" w:rsidR="00430874" w:rsidRDefault="007E4674">
      <w:pPr>
        <w:spacing w:line="360" w:lineRule="auto"/>
        <w:jc w:val="both"/>
        <w:rPr>
          <w:rFonts w:ascii="Book Antiqua" w:eastAsia="Book Antiqua" w:hAnsi="Book Antiqua" w:cs="Book Antiqua"/>
        </w:rPr>
      </w:pPr>
      <w:r w:rsidRPr="00430874">
        <w:rPr>
          <w:rFonts w:ascii="Book Antiqua" w:eastAsia="Book Antiqua" w:hAnsi="Book Antiqua" w:cs="Book Antiqua"/>
          <w:b/>
          <w:bCs/>
        </w:rPr>
        <w:t>URL</w:t>
      </w:r>
      <w:r w:rsidRPr="007E4674">
        <w:rPr>
          <w:rFonts w:ascii="Book Antiqua" w:eastAsia="Book Antiqua" w:hAnsi="Book Antiqua" w:cs="Book Antiqua"/>
        </w:rPr>
        <w:t>: https://www.wjgnet.com/1948-9358/full/v15/i2/</w:t>
      </w:r>
      <w:r w:rsidR="005329BC" w:rsidRPr="005329BC">
        <w:rPr>
          <w:rFonts w:ascii="Book Antiqua" w:eastAsia="Book Antiqua" w:hAnsi="Book Antiqua" w:cs="Book Antiqua"/>
        </w:rPr>
        <w:t>170</w:t>
      </w:r>
      <w:r w:rsidRPr="007E4674">
        <w:rPr>
          <w:rFonts w:ascii="Book Antiqua" w:eastAsia="Book Antiqua" w:hAnsi="Book Antiqua" w:cs="Book Antiqua"/>
        </w:rPr>
        <w:t>.htm</w:t>
      </w:r>
    </w:p>
    <w:p w14:paraId="78547A61" w14:textId="3DE755CA" w:rsidR="00D23823" w:rsidRPr="00F427F0" w:rsidRDefault="007E4674" w:rsidP="005329BC">
      <w:pPr>
        <w:spacing w:line="360" w:lineRule="auto"/>
        <w:jc w:val="both"/>
        <w:rPr>
          <w:rFonts w:ascii="Book Antiqua" w:hAnsi="Book Antiqua"/>
        </w:rPr>
      </w:pPr>
      <w:r w:rsidRPr="00430874">
        <w:rPr>
          <w:rFonts w:ascii="Book Antiqua" w:eastAsia="Book Antiqua" w:hAnsi="Book Antiqua" w:cs="Book Antiqua"/>
          <w:b/>
          <w:bCs/>
        </w:rPr>
        <w:t>DOI</w:t>
      </w:r>
      <w:r w:rsidRPr="007E4674">
        <w:rPr>
          <w:rFonts w:ascii="Book Antiqua" w:eastAsia="Book Antiqua" w:hAnsi="Book Antiqua" w:cs="Book Antiqua"/>
        </w:rPr>
        <w:t>: https://dx.doi.org/10.4239/wjd.v15.i2.</w:t>
      </w:r>
      <w:r w:rsidR="005329BC" w:rsidRPr="005329BC">
        <w:rPr>
          <w:rFonts w:ascii="Book Antiqua" w:eastAsia="Book Antiqua" w:hAnsi="Book Antiqua" w:cs="Book Antiqua"/>
        </w:rPr>
        <w:t>170</w:t>
      </w:r>
    </w:p>
    <w:p w14:paraId="5BE7DB24" w14:textId="77777777" w:rsidR="00D23823" w:rsidRPr="00F427F0" w:rsidRDefault="00D23823">
      <w:pPr>
        <w:spacing w:line="360" w:lineRule="auto"/>
        <w:jc w:val="both"/>
        <w:rPr>
          <w:rFonts w:ascii="Book Antiqua" w:hAnsi="Book Antiqua"/>
        </w:rPr>
      </w:pPr>
    </w:p>
    <w:p w14:paraId="68CED050"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bCs/>
        </w:rPr>
        <w:t xml:space="preserve">Core Tip: </w:t>
      </w:r>
      <w:r w:rsidRPr="00F427F0">
        <w:rPr>
          <w:rFonts w:ascii="Book Antiqua" w:eastAsia="Book Antiqua" w:hAnsi="Book Antiqua" w:cs="Book Antiqua"/>
        </w:rPr>
        <w:t xml:space="preserve">This </w:t>
      </w:r>
      <w:r w:rsidRPr="00F427F0">
        <w:rPr>
          <w:rFonts w:ascii="Book Antiqua" w:eastAsia="宋体" w:hAnsi="Book Antiqua" w:cs="Book Antiqua"/>
          <w:lang w:eastAsia="zh-CN"/>
        </w:rPr>
        <w:t xml:space="preserve">bioinformatic research </w:t>
      </w:r>
      <w:r w:rsidRPr="00F427F0">
        <w:rPr>
          <w:rFonts w:ascii="Book Antiqua" w:eastAsia="Book Antiqua" w:hAnsi="Book Antiqua" w:cs="Book Antiqua"/>
        </w:rPr>
        <w:t xml:space="preserve">is the </w:t>
      </w:r>
      <w:r w:rsidRPr="00F427F0">
        <w:rPr>
          <w:rFonts w:ascii="Book Antiqua" w:eastAsia="宋体" w:hAnsi="Book Antiqua" w:cs="Book Antiqua"/>
          <w:lang w:eastAsia="zh-CN"/>
        </w:rPr>
        <w:t xml:space="preserve">one of the </w:t>
      </w:r>
      <w:r w:rsidRPr="00F427F0">
        <w:rPr>
          <w:rFonts w:ascii="Book Antiqua" w:eastAsia="Book Antiqua" w:hAnsi="Book Antiqua" w:cs="Book Antiqua"/>
        </w:rPr>
        <w:t>first stud</w:t>
      </w:r>
      <w:r w:rsidRPr="00F427F0">
        <w:rPr>
          <w:rFonts w:ascii="Book Antiqua" w:eastAsia="宋体" w:hAnsi="Book Antiqua" w:cs="Book Antiqua"/>
          <w:lang w:eastAsia="zh-CN"/>
        </w:rPr>
        <w:t>ies</w:t>
      </w:r>
      <w:r w:rsidRPr="00F427F0">
        <w:rPr>
          <w:rFonts w:ascii="Book Antiqua" w:eastAsia="Book Antiqua" w:hAnsi="Book Antiqua" w:cs="Book Antiqua"/>
        </w:rPr>
        <w:t xml:space="preserve"> to identify the key genes and pathways associated with </w:t>
      </w:r>
      <w:r w:rsidRPr="00F427F0">
        <w:rPr>
          <w:rFonts w:ascii="Book Antiqua" w:eastAsia="宋体" w:hAnsi="Book Antiqua" w:cs="Book Antiqua"/>
          <w:lang w:eastAsia="zh-CN"/>
        </w:rPr>
        <w:t xml:space="preserve">both </w:t>
      </w:r>
      <w:r w:rsidRPr="00F427F0">
        <w:rPr>
          <w:rFonts w:ascii="Book Antiqua" w:eastAsia="Book Antiqua" w:hAnsi="Book Antiqua" w:cs="Book Antiqua"/>
          <w:i/>
          <w:iCs/>
        </w:rPr>
        <w:t xml:space="preserve">Helicobacter pylori </w:t>
      </w:r>
      <w:r w:rsidRPr="00F427F0">
        <w:rPr>
          <w:rFonts w:ascii="Book Antiqua" w:eastAsia="Book Antiqua" w:hAnsi="Book Antiqua" w:cs="Book Antiqua"/>
        </w:rPr>
        <w:t>(</w:t>
      </w:r>
      <w:r w:rsidRPr="00F427F0">
        <w:rPr>
          <w:rFonts w:ascii="Book Antiqua" w:eastAsia="Book Antiqua" w:hAnsi="Book Antiqua" w:cs="Book Antiqua"/>
          <w:i/>
          <w:iCs/>
        </w:rPr>
        <w:t>H. pylori</w:t>
      </w:r>
      <w:r w:rsidRPr="00F427F0">
        <w:rPr>
          <w:rFonts w:ascii="Book Antiqua" w:eastAsia="Book Antiqua" w:hAnsi="Book Antiqua" w:cs="Book Antiqua"/>
        </w:rPr>
        <w:t>)</w:t>
      </w:r>
      <w:r w:rsidRPr="00F427F0">
        <w:rPr>
          <w:rFonts w:ascii="Book Antiqua" w:eastAsia="宋体" w:hAnsi="Book Antiqua" w:cs="Book Antiqua"/>
          <w:lang w:eastAsia="zh-CN"/>
        </w:rPr>
        <w:t xml:space="preserve"> </w:t>
      </w:r>
      <w:r w:rsidRPr="00F427F0">
        <w:rPr>
          <w:rFonts w:ascii="Book Antiqua" w:eastAsia="Book Antiqua" w:hAnsi="Book Antiqua" w:cs="Book Antiqua"/>
        </w:rPr>
        <w:t>infection and type 2 diabetes mellitus (T2DM)</w:t>
      </w:r>
      <w:r w:rsidRPr="00F427F0">
        <w:rPr>
          <w:rFonts w:ascii="Book Antiqua" w:eastAsia="宋体" w:hAnsi="Book Antiqua" w:cs="Book Antiqua"/>
          <w:lang w:eastAsia="zh-CN"/>
        </w:rPr>
        <w:t>,</w:t>
      </w:r>
      <w:r w:rsidRPr="00F427F0">
        <w:rPr>
          <w:rFonts w:ascii="Book Antiqua" w:eastAsia="Book Antiqua" w:hAnsi="Book Antiqua" w:cs="Book Antiqua"/>
        </w:rPr>
        <w:t xml:space="preserve"> using integrated bioinformatics analyses. </w:t>
      </w:r>
      <w:r w:rsidRPr="00F427F0">
        <w:rPr>
          <w:rFonts w:ascii="Book Antiqua" w:eastAsia="宋体" w:hAnsi="Book Antiqua" w:cs="Book Antiqua"/>
          <w:lang w:eastAsia="zh-CN"/>
        </w:rPr>
        <w:t>F</w:t>
      </w:r>
      <w:r w:rsidRPr="00F427F0">
        <w:rPr>
          <w:rFonts w:ascii="Book Antiqua" w:eastAsia="Book Antiqua" w:hAnsi="Book Antiqua" w:cs="Book Antiqua"/>
        </w:rPr>
        <w:t>ive hub genes</w:t>
      </w:r>
      <w:r w:rsidRPr="00F427F0">
        <w:rPr>
          <w:rFonts w:ascii="Book Antiqua" w:eastAsia="宋体" w:hAnsi="Book Antiqua" w:cs="Book Antiqua"/>
          <w:lang w:eastAsia="zh-CN"/>
        </w:rPr>
        <w:t xml:space="preserve"> were identified</w:t>
      </w:r>
      <w:r w:rsidRPr="00F427F0">
        <w:rPr>
          <w:rFonts w:ascii="Book Antiqua" w:eastAsia="Book Antiqua" w:hAnsi="Book Antiqua" w:cs="Book Antiqua"/>
        </w:rPr>
        <w:t>,</w:t>
      </w:r>
      <w:r w:rsidRPr="00F427F0">
        <w:rPr>
          <w:rFonts w:ascii="Book Antiqua" w:eastAsia="宋体" w:hAnsi="Book Antiqua" w:cs="Book Antiqua"/>
          <w:lang w:eastAsia="zh-CN"/>
        </w:rPr>
        <w:t xml:space="preserve"> including </w:t>
      </w:r>
      <w:r w:rsidRPr="00F427F0">
        <w:rPr>
          <w:rFonts w:ascii="Book Antiqua" w:eastAsia="宋体" w:hAnsi="Book Antiqua" w:cs="Book Antiqua"/>
          <w:i/>
          <w:iCs/>
          <w:lang w:eastAsia="zh-CN"/>
        </w:rPr>
        <w:t>TLR4</w:t>
      </w:r>
      <w:r w:rsidRPr="00F427F0">
        <w:rPr>
          <w:rFonts w:ascii="Book Antiqua" w:eastAsia="宋体" w:hAnsi="Book Antiqua" w:cs="Book Antiqua"/>
          <w:lang w:eastAsia="zh-CN"/>
        </w:rPr>
        <w:t xml:space="preserve">, </w:t>
      </w:r>
      <w:r w:rsidRPr="00F427F0">
        <w:rPr>
          <w:rFonts w:ascii="Book Antiqua" w:eastAsia="宋体" w:hAnsi="Book Antiqua" w:cs="Book Antiqua"/>
          <w:i/>
          <w:iCs/>
          <w:lang w:eastAsia="zh-CN"/>
        </w:rPr>
        <w:t>C5AR1</w:t>
      </w:r>
      <w:r w:rsidRPr="00F427F0">
        <w:rPr>
          <w:rFonts w:ascii="Book Antiqua" w:eastAsia="宋体" w:hAnsi="Book Antiqua" w:cs="Book Antiqua"/>
          <w:lang w:eastAsia="zh-CN"/>
        </w:rPr>
        <w:t xml:space="preserve">, </w:t>
      </w:r>
      <w:r w:rsidRPr="00F427F0">
        <w:rPr>
          <w:rFonts w:ascii="Book Antiqua" w:eastAsia="宋体" w:hAnsi="Book Antiqua" w:cs="Book Antiqua"/>
          <w:i/>
          <w:iCs/>
          <w:lang w:eastAsia="zh-CN"/>
        </w:rPr>
        <w:t>ITGAM</w:t>
      </w:r>
      <w:r w:rsidRPr="00F427F0">
        <w:rPr>
          <w:rFonts w:ascii="Book Antiqua" w:eastAsia="宋体" w:hAnsi="Book Antiqua" w:cs="Book Antiqua"/>
          <w:lang w:eastAsia="zh-CN"/>
        </w:rPr>
        <w:t xml:space="preserve">, </w:t>
      </w:r>
      <w:r w:rsidRPr="00F427F0">
        <w:rPr>
          <w:rFonts w:ascii="Book Antiqua" w:eastAsia="宋体" w:hAnsi="Book Antiqua" w:cs="Book Antiqua"/>
          <w:i/>
          <w:iCs/>
          <w:lang w:eastAsia="zh-CN"/>
        </w:rPr>
        <w:t>FCGR2A</w:t>
      </w:r>
      <w:r w:rsidRPr="00F427F0">
        <w:rPr>
          <w:rFonts w:ascii="Book Antiqua" w:eastAsia="宋体" w:hAnsi="Book Antiqua" w:cs="Book Antiqua"/>
          <w:lang w:eastAsia="zh-CN"/>
        </w:rPr>
        <w:t xml:space="preserve">, </w:t>
      </w:r>
      <w:r w:rsidRPr="00F427F0">
        <w:rPr>
          <w:rFonts w:ascii="Book Antiqua" w:eastAsia="宋体" w:hAnsi="Book Antiqua" w:cs="Book Antiqua"/>
          <w:i/>
          <w:iCs/>
          <w:lang w:eastAsia="zh-CN"/>
        </w:rPr>
        <w:t>FCER1G</w:t>
      </w:r>
      <w:r w:rsidRPr="00F427F0">
        <w:rPr>
          <w:rFonts w:ascii="Book Antiqua" w:eastAsia="宋体" w:hAnsi="Book Antiqua" w:cs="Book Antiqua"/>
          <w:lang w:eastAsia="zh-CN"/>
        </w:rPr>
        <w:t>,</w:t>
      </w:r>
      <w:r w:rsidRPr="00F427F0">
        <w:rPr>
          <w:rFonts w:ascii="Book Antiqua" w:eastAsia="Book Antiqua" w:hAnsi="Book Antiqua" w:cs="Book Antiqua"/>
        </w:rPr>
        <w:t xml:space="preserve"> </w:t>
      </w:r>
      <w:r w:rsidRPr="00F427F0">
        <w:rPr>
          <w:rFonts w:ascii="Book Antiqua" w:eastAsia="宋体" w:hAnsi="Book Antiqua" w:cs="Book Antiqua"/>
          <w:lang w:eastAsia="zh-CN"/>
        </w:rPr>
        <w:t xml:space="preserve">and </w:t>
      </w:r>
      <w:r w:rsidRPr="00F427F0">
        <w:rPr>
          <w:rFonts w:ascii="Book Antiqua" w:eastAsia="Book Antiqua" w:hAnsi="Book Antiqua" w:cs="Book Antiqua"/>
        </w:rPr>
        <w:t>all of which were closely related to immune cell infiltration. We also verified their expression in clinical specimens.</w:t>
      </w:r>
      <w:r w:rsidRPr="00F427F0">
        <w:rPr>
          <w:rFonts w:ascii="Book Antiqua" w:eastAsia="宋体" w:hAnsi="Book Antiqua" w:cs="Book Antiqua"/>
          <w:lang w:eastAsia="zh-CN"/>
        </w:rPr>
        <w:t xml:space="preserve"> </w:t>
      </w:r>
      <w:r w:rsidRPr="00F427F0">
        <w:rPr>
          <w:rFonts w:ascii="Book Antiqua" w:eastAsia="Book Antiqua" w:hAnsi="Book Antiqua" w:cs="Book Antiqua"/>
        </w:rPr>
        <w:t xml:space="preserve">Hopefully, this study will shed some light on the pathogenesis of </w:t>
      </w:r>
      <w:r w:rsidRPr="00F427F0">
        <w:rPr>
          <w:rFonts w:ascii="Book Antiqua" w:eastAsia="Book Antiqua" w:hAnsi="Book Antiqua" w:cs="Book Antiqua"/>
          <w:i/>
          <w:iCs/>
        </w:rPr>
        <w:t>H. pylori</w:t>
      </w:r>
      <w:r w:rsidRPr="00F427F0">
        <w:rPr>
          <w:rFonts w:ascii="Book Antiqua" w:eastAsia="Book Antiqua" w:hAnsi="Book Antiqua" w:cs="Book Antiqua"/>
        </w:rPr>
        <w:t>-induced T2DM in the future. This study is of great clinical importance.</w:t>
      </w:r>
    </w:p>
    <w:p w14:paraId="611A7DE7" w14:textId="77777777" w:rsidR="00D23823" w:rsidRPr="00F427F0" w:rsidRDefault="00D23823">
      <w:pPr>
        <w:spacing w:line="360" w:lineRule="auto"/>
        <w:jc w:val="both"/>
        <w:rPr>
          <w:rFonts w:ascii="Book Antiqua" w:hAnsi="Book Antiqua"/>
        </w:rPr>
      </w:pPr>
    </w:p>
    <w:p w14:paraId="505CF5E3"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caps/>
          <w:u w:val="single"/>
        </w:rPr>
        <w:t>INTRODUCTION</w:t>
      </w:r>
    </w:p>
    <w:p w14:paraId="1951DFAE" w14:textId="77777777" w:rsidR="00D23823" w:rsidRPr="00F427F0" w:rsidRDefault="00000000">
      <w:pPr>
        <w:spacing w:line="360" w:lineRule="auto"/>
        <w:jc w:val="both"/>
        <w:rPr>
          <w:rFonts w:ascii="Book Antiqua" w:hAnsi="Book Antiqua"/>
        </w:rPr>
      </w:pPr>
      <w:r w:rsidRPr="00F427F0">
        <w:rPr>
          <w:rFonts w:ascii="Book Antiqua" w:eastAsia="宋体" w:hAnsi="Book Antiqua" w:cs="Book Antiqua"/>
          <w:lang w:eastAsia="zh-CN"/>
        </w:rPr>
        <w:t xml:space="preserve">The infection rate of </w:t>
      </w:r>
      <w:r w:rsidRPr="00F427F0">
        <w:rPr>
          <w:rFonts w:ascii="Book Antiqua" w:eastAsia="Book Antiqua" w:hAnsi="Book Antiqua" w:cs="Book Antiqua"/>
          <w:i/>
          <w:iCs/>
        </w:rPr>
        <w:t xml:space="preserve">Helicobacter pylori </w:t>
      </w:r>
      <w:r w:rsidRPr="00F427F0">
        <w:rPr>
          <w:rFonts w:ascii="Book Antiqua" w:eastAsia="Book Antiqua" w:hAnsi="Book Antiqua" w:cs="Book Antiqua"/>
        </w:rPr>
        <w:t>(</w:t>
      </w:r>
      <w:r w:rsidRPr="00F427F0">
        <w:rPr>
          <w:rFonts w:ascii="Book Antiqua" w:eastAsia="Book Antiqua" w:hAnsi="Book Antiqua" w:cs="Book Antiqua"/>
          <w:i/>
          <w:iCs/>
        </w:rPr>
        <w:t>H. pylori</w:t>
      </w:r>
      <w:r w:rsidRPr="00F427F0">
        <w:rPr>
          <w:rFonts w:ascii="Book Antiqua" w:eastAsia="Book Antiqua" w:hAnsi="Book Antiqua" w:cs="Book Antiqua"/>
        </w:rPr>
        <w:t>)</w:t>
      </w:r>
      <w:r w:rsidRPr="00F427F0">
        <w:rPr>
          <w:rFonts w:ascii="Book Antiqua" w:eastAsia="宋体" w:hAnsi="Book Antiqua" w:cs="Book Antiqua"/>
          <w:lang w:eastAsia="zh-CN"/>
        </w:rPr>
        <w:t xml:space="preserve"> is still increasing recently and it infects almost</w:t>
      </w:r>
      <w:r w:rsidRPr="00F427F0">
        <w:rPr>
          <w:rFonts w:ascii="Book Antiqua" w:eastAsia="Book Antiqua" w:hAnsi="Book Antiqua" w:cs="Book Antiqua"/>
        </w:rPr>
        <w:t xml:space="preserve"> 50% of the world’ population</w:t>
      </w:r>
      <w:r w:rsidRPr="00F427F0">
        <w:rPr>
          <w:rFonts w:ascii="Book Antiqua" w:eastAsia="宋体" w:hAnsi="Book Antiqua" w:cs="Book Antiqua"/>
          <w:lang w:eastAsia="zh-CN"/>
        </w:rPr>
        <w:t>.</w:t>
      </w:r>
      <w:r w:rsidRPr="00F427F0">
        <w:rPr>
          <w:rFonts w:ascii="Book Antiqua" w:eastAsia="Book Antiqua" w:hAnsi="Book Antiqua" w:cs="Book Antiqua"/>
        </w:rPr>
        <w:t xml:space="preserve"> Th</w:t>
      </w:r>
      <w:r w:rsidRPr="00F427F0">
        <w:rPr>
          <w:rFonts w:ascii="Book Antiqua" w:eastAsia="宋体" w:hAnsi="Book Antiqua" w:cs="Book Antiqua"/>
          <w:lang w:eastAsia="zh-CN"/>
        </w:rPr>
        <w:t>e</w:t>
      </w:r>
      <w:r w:rsidRPr="00F427F0">
        <w:rPr>
          <w:rFonts w:ascii="Book Antiqua" w:eastAsia="Book Antiqua" w:hAnsi="Book Antiqua" w:cs="Book Antiqua"/>
        </w:rPr>
        <w:t xml:space="preserve"> prevalence rate is even highe</w:t>
      </w:r>
      <w:r w:rsidRPr="00F427F0">
        <w:rPr>
          <w:rFonts w:ascii="Book Antiqua" w:eastAsia="宋体" w:hAnsi="Book Antiqua" w:cs="Book Antiqua"/>
          <w:lang w:eastAsia="zh-CN"/>
        </w:rPr>
        <w:t>r in less developed countries</w:t>
      </w:r>
      <w:r w:rsidRPr="00F427F0">
        <w:rPr>
          <w:rFonts w:ascii="Book Antiqua" w:eastAsia="Book Antiqua" w:hAnsi="Book Antiqua" w:cs="Book Antiqua"/>
          <w:vertAlign w:val="superscript"/>
        </w:rPr>
        <w:t>[1]</w:t>
      </w:r>
      <w:r w:rsidRPr="00F427F0">
        <w:rPr>
          <w:rFonts w:ascii="Book Antiqua" w:eastAsia="Book Antiqua" w:hAnsi="Book Antiqua" w:cs="Book Antiqua"/>
        </w:rPr>
        <w:t>. It not only affects gastric disease but also affects extragastric diseases such as non-alcoholic fatty liver disease</w:t>
      </w:r>
      <w:r w:rsidRPr="00F427F0">
        <w:rPr>
          <w:rFonts w:ascii="Book Antiqua" w:eastAsia="Book Antiqua" w:hAnsi="Book Antiqua" w:cs="Book Antiqua"/>
          <w:vertAlign w:val="superscript"/>
        </w:rPr>
        <w:t>[2]</w:t>
      </w:r>
      <w:r w:rsidRPr="00F427F0">
        <w:rPr>
          <w:rFonts w:ascii="Book Antiqua" w:eastAsia="Book Antiqua" w:hAnsi="Book Antiqua" w:cs="Book Antiqua"/>
        </w:rPr>
        <w:t>, cardiovascular disease</w:t>
      </w:r>
      <w:r w:rsidRPr="00F427F0">
        <w:rPr>
          <w:rFonts w:ascii="Book Antiqua" w:eastAsia="Book Antiqua" w:hAnsi="Book Antiqua" w:cs="Book Antiqua"/>
          <w:vertAlign w:val="superscript"/>
        </w:rPr>
        <w:t>[3]</w:t>
      </w:r>
      <w:r w:rsidRPr="00F427F0">
        <w:rPr>
          <w:rFonts w:ascii="Book Antiqua" w:eastAsia="Book Antiqua" w:hAnsi="Book Antiqua" w:cs="Book Antiqua"/>
        </w:rPr>
        <w:t>, autoimmune disease</w:t>
      </w:r>
      <w:r w:rsidRPr="00F427F0">
        <w:rPr>
          <w:rFonts w:ascii="Book Antiqua" w:eastAsia="Book Antiqua" w:hAnsi="Book Antiqua" w:cs="Book Antiqua"/>
          <w:vertAlign w:val="superscript"/>
        </w:rPr>
        <w:t>[4]</w:t>
      </w:r>
      <w:r w:rsidRPr="00F427F0">
        <w:rPr>
          <w:rFonts w:ascii="Book Antiqua" w:eastAsia="Book Antiqua" w:hAnsi="Book Antiqua" w:cs="Book Antiqua"/>
        </w:rPr>
        <w:t>, and endocrine disorders, such as diabetes</w:t>
      </w:r>
      <w:r w:rsidRPr="00F427F0">
        <w:rPr>
          <w:rFonts w:ascii="Book Antiqua" w:eastAsia="Book Antiqua" w:hAnsi="Book Antiqua" w:cs="Book Antiqua"/>
          <w:vertAlign w:val="superscript"/>
        </w:rPr>
        <w:t>[5]</w:t>
      </w:r>
      <w:r w:rsidRPr="00F427F0">
        <w:rPr>
          <w:rFonts w:ascii="Book Antiqua" w:eastAsia="Book Antiqua" w:hAnsi="Book Antiqua" w:cs="Book Antiqua"/>
        </w:rPr>
        <w:t xml:space="preserve">. </w:t>
      </w:r>
      <w:r w:rsidRPr="00F427F0">
        <w:rPr>
          <w:rFonts w:ascii="Book Antiqua" w:eastAsia="宋体" w:hAnsi="Book Antiqua" w:cs="Book Antiqua"/>
          <w:lang w:eastAsia="zh-CN"/>
        </w:rPr>
        <w:t>In recent years</w:t>
      </w:r>
      <w:r w:rsidRPr="00F427F0">
        <w:rPr>
          <w:rFonts w:ascii="Book Antiqua" w:eastAsia="Book Antiqua" w:hAnsi="Book Antiqua" w:cs="Book Antiqua"/>
        </w:rPr>
        <w:t xml:space="preserve">, the </w:t>
      </w:r>
      <w:r w:rsidRPr="00F427F0">
        <w:rPr>
          <w:rFonts w:ascii="Book Antiqua" w:eastAsia="宋体" w:hAnsi="Book Antiqua" w:cs="Book Antiqua"/>
          <w:lang w:eastAsia="zh-CN"/>
        </w:rPr>
        <w:t>prevalence rate</w:t>
      </w:r>
      <w:r w:rsidRPr="00F427F0">
        <w:rPr>
          <w:rFonts w:ascii="Book Antiqua" w:eastAsia="Book Antiqua" w:hAnsi="Book Antiqua" w:cs="Book Antiqua"/>
        </w:rPr>
        <w:t xml:space="preserve"> of type 2 diabetes mellitus (T2DM) and its complications have </w:t>
      </w:r>
      <w:r w:rsidRPr="00F427F0">
        <w:rPr>
          <w:rFonts w:ascii="Book Antiqua" w:eastAsia="宋体" w:hAnsi="Book Antiqua" w:cs="Book Antiqua"/>
          <w:lang w:eastAsia="zh-CN"/>
        </w:rPr>
        <w:t xml:space="preserve">also </w:t>
      </w:r>
      <w:r w:rsidRPr="00F427F0">
        <w:rPr>
          <w:rFonts w:ascii="Book Antiqua" w:eastAsia="Book Antiqua" w:hAnsi="Book Antiqua" w:cs="Book Antiqua"/>
        </w:rPr>
        <w:t>increased significantly</w:t>
      </w:r>
      <w:r w:rsidRPr="00F427F0">
        <w:rPr>
          <w:rFonts w:ascii="Book Antiqua" w:eastAsia="Book Antiqua" w:hAnsi="Book Antiqua" w:cs="Book Antiqua"/>
          <w:vertAlign w:val="superscript"/>
        </w:rPr>
        <w:t>[6]</w:t>
      </w:r>
      <w:r w:rsidRPr="00F427F0">
        <w:rPr>
          <w:rFonts w:ascii="Book Antiqua" w:eastAsia="Book Antiqua" w:hAnsi="Book Antiqua" w:cs="Book Antiqua"/>
        </w:rPr>
        <w:t>. The consequences of poor glycem</w:t>
      </w:r>
      <w:r w:rsidRPr="00F427F0">
        <w:rPr>
          <w:rFonts w:ascii="Book Antiqua" w:eastAsia="宋体" w:hAnsi="Book Antiqua" w:cs="Book Antiqua"/>
          <w:lang w:eastAsia="zh-CN"/>
        </w:rPr>
        <w:t>ic control in the long and short term can be significant on s</w:t>
      </w:r>
      <w:r w:rsidRPr="00F427F0">
        <w:rPr>
          <w:rFonts w:ascii="Book Antiqua" w:eastAsia="Book Antiqua" w:hAnsi="Book Antiqua" w:cs="Book Antiqua"/>
        </w:rPr>
        <w:t>ocial and economic levels</w:t>
      </w:r>
      <w:r w:rsidRPr="00F427F0">
        <w:rPr>
          <w:rFonts w:ascii="Book Antiqua" w:eastAsia="Book Antiqua" w:hAnsi="Book Antiqua" w:cs="Book Antiqua"/>
          <w:vertAlign w:val="superscript"/>
        </w:rPr>
        <w:t>[7,8]</w:t>
      </w:r>
      <w:r w:rsidRPr="00F427F0">
        <w:rPr>
          <w:rFonts w:ascii="Book Antiqua" w:eastAsia="Book Antiqua" w:hAnsi="Book Antiqua" w:cs="Book Antiqua"/>
        </w:rPr>
        <w:t xml:space="preserve">. Patients with T2DM are </w:t>
      </w:r>
      <w:r w:rsidRPr="00F427F0">
        <w:rPr>
          <w:rFonts w:ascii="Book Antiqua" w:eastAsia="Book Antiqua" w:hAnsi="Book Antiqua" w:cs="Book Antiqua"/>
        </w:rPr>
        <w:lastRenderedPageBreak/>
        <w:t xml:space="preserve">more susceptible to </w:t>
      </w:r>
      <w:r w:rsidRPr="00F427F0">
        <w:rPr>
          <w:rFonts w:ascii="Book Antiqua" w:eastAsia="Book Antiqua" w:hAnsi="Book Antiqua" w:cs="Book Antiqua"/>
          <w:i/>
          <w:iCs/>
        </w:rPr>
        <w:t xml:space="preserve">H. pylori </w:t>
      </w:r>
      <w:r w:rsidRPr="00F427F0">
        <w:rPr>
          <w:rFonts w:ascii="Book Antiqua" w:eastAsia="Book Antiqua" w:hAnsi="Book Antiqua" w:cs="Book Antiqua"/>
        </w:rPr>
        <w:t>infection, according to our previous meta-analysis</w:t>
      </w:r>
      <w:r w:rsidRPr="00F427F0">
        <w:rPr>
          <w:rFonts w:ascii="Book Antiqua" w:eastAsia="Book Antiqua" w:hAnsi="Book Antiqua" w:cs="Book Antiqua"/>
          <w:vertAlign w:val="superscript"/>
        </w:rPr>
        <w:t>[9,10]</w:t>
      </w:r>
      <w:r w:rsidRPr="00F427F0">
        <w:rPr>
          <w:rFonts w:ascii="Book Antiqua" w:eastAsia="Book Antiqua" w:hAnsi="Book Antiqua" w:cs="Book Antiqua"/>
        </w:rPr>
        <w:t xml:space="preserve">. There is a significant decrease in the eradication rate of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in T2DM patients with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compared to T2DM patients without infection</w:t>
      </w:r>
      <w:r w:rsidRPr="00F427F0">
        <w:rPr>
          <w:rFonts w:ascii="Book Antiqua" w:eastAsia="Book Antiqua" w:hAnsi="Book Antiqua" w:cs="Book Antiqua"/>
          <w:vertAlign w:val="superscript"/>
        </w:rPr>
        <w:t>[11]</w:t>
      </w:r>
      <w:r w:rsidRPr="00F427F0">
        <w:rPr>
          <w:rFonts w:ascii="Book Antiqua" w:eastAsia="Book Antiqua" w:hAnsi="Book Antiqua" w:cs="Book Antiqua"/>
        </w:rPr>
        <w:t xml:space="preserve">. Additionally, </w:t>
      </w:r>
      <w:r w:rsidRPr="00F427F0">
        <w:rPr>
          <w:rFonts w:ascii="Book Antiqua" w:eastAsia="Book Antiqua" w:hAnsi="Book Antiqua" w:cs="Book Antiqua"/>
          <w:i/>
          <w:iCs/>
        </w:rPr>
        <w:t>H. pylori</w:t>
      </w:r>
      <w:r w:rsidRPr="00F427F0">
        <w:rPr>
          <w:rFonts w:ascii="Book Antiqua" w:eastAsia="Book Antiqua" w:hAnsi="Book Antiqua" w:cs="Book Antiqua"/>
        </w:rPr>
        <w:t>-infected T2DM patients have worse glycemic control capability</w:t>
      </w:r>
      <w:r w:rsidRPr="00F427F0">
        <w:rPr>
          <w:rFonts w:ascii="Book Antiqua" w:eastAsia="Book Antiqua" w:hAnsi="Book Antiqua" w:cs="Book Antiqua"/>
          <w:vertAlign w:val="superscript"/>
        </w:rPr>
        <w:t>[12]</w:t>
      </w:r>
      <w:r w:rsidRPr="00F427F0">
        <w:rPr>
          <w:rFonts w:ascii="Book Antiqua" w:eastAsia="Book Antiqua" w:hAnsi="Book Antiqua" w:cs="Book Antiqua"/>
        </w:rPr>
        <w:t xml:space="preserve">. All these clinical studies strongly suggest that there is an association between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and T2DM.</w:t>
      </w:r>
    </w:p>
    <w:p w14:paraId="74FEE45C" w14:textId="77777777" w:rsidR="00D23823" w:rsidRPr="00F427F0" w:rsidRDefault="00000000">
      <w:pPr>
        <w:spacing w:line="360" w:lineRule="auto"/>
        <w:ind w:firstLineChars="200" w:firstLine="480"/>
        <w:jc w:val="both"/>
        <w:rPr>
          <w:rFonts w:ascii="Book Antiqua" w:hAnsi="Book Antiqua"/>
        </w:rPr>
      </w:pPr>
      <w:r w:rsidRPr="00F427F0">
        <w:rPr>
          <w:rFonts w:ascii="Book Antiqua" w:eastAsia="Book Antiqua" w:hAnsi="Book Antiqua" w:cs="Book Antiqua"/>
        </w:rPr>
        <w:t xml:space="preserve">However, the detailed mechanisms underlying </w:t>
      </w:r>
      <w:r w:rsidRPr="00F427F0">
        <w:rPr>
          <w:rFonts w:ascii="Book Antiqua" w:eastAsia="Book Antiqua" w:hAnsi="Book Antiqua" w:cs="Book Antiqua"/>
          <w:i/>
          <w:iCs/>
        </w:rPr>
        <w:t xml:space="preserve">H. pylori </w:t>
      </w:r>
      <w:r w:rsidRPr="00F427F0">
        <w:rPr>
          <w:rFonts w:ascii="Book Antiqua" w:eastAsia="Book Antiqua" w:hAnsi="Book Antiqua" w:cs="Book Antiqua"/>
        </w:rPr>
        <w:t xml:space="preserve">infection and T2DM remain unclear. According to previous studies, both innate and adaptive immune reactions may be activated in the mucosa of the stomach as a result of </w:t>
      </w:r>
      <w:r w:rsidRPr="00F427F0">
        <w:rPr>
          <w:rFonts w:ascii="Book Antiqua" w:eastAsia="Book Antiqua" w:hAnsi="Book Antiqua" w:cs="Book Antiqua"/>
          <w:i/>
          <w:iCs/>
        </w:rPr>
        <w:t xml:space="preserve">H. pylori </w:t>
      </w:r>
      <w:r w:rsidRPr="00F427F0">
        <w:rPr>
          <w:rFonts w:ascii="Book Antiqua" w:eastAsia="Book Antiqua" w:hAnsi="Book Antiqua" w:cs="Book Antiqua"/>
        </w:rPr>
        <w:t>infection</w:t>
      </w:r>
      <w:r w:rsidRPr="00F427F0">
        <w:rPr>
          <w:rFonts w:ascii="Book Antiqua" w:eastAsia="Book Antiqua" w:hAnsi="Book Antiqua" w:cs="Book Antiqua"/>
          <w:vertAlign w:val="superscript"/>
        </w:rPr>
        <w:t>[13]</w:t>
      </w:r>
      <w:r w:rsidRPr="00F427F0">
        <w:rPr>
          <w:rFonts w:ascii="Book Antiqua" w:eastAsia="Book Antiqua" w:hAnsi="Book Antiqua" w:cs="Book Antiqua"/>
        </w:rPr>
        <w:t>. This local inflammation in the stomach may spread systematically as a result of proinflammatory cytokines released by the stomach</w:t>
      </w:r>
      <w:r w:rsidRPr="00F427F0">
        <w:rPr>
          <w:rFonts w:ascii="Book Antiqua" w:eastAsia="Book Antiqua" w:hAnsi="Book Antiqua" w:cs="Book Antiqua"/>
          <w:vertAlign w:val="superscript"/>
        </w:rPr>
        <w:t>[14]</w:t>
      </w:r>
      <w:r w:rsidRPr="00F427F0">
        <w:rPr>
          <w:rFonts w:ascii="Book Antiqua" w:eastAsia="Book Antiqua" w:hAnsi="Book Antiqua" w:cs="Book Antiqua"/>
        </w:rPr>
        <w:t xml:space="preserve">. Chronic low-grade inflammation, which is a feature of </w:t>
      </w:r>
      <w:r w:rsidRPr="00F427F0">
        <w:rPr>
          <w:rFonts w:ascii="Book Antiqua" w:eastAsia="Book Antiqua" w:hAnsi="Book Antiqua" w:cs="Book Antiqua"/>
          <w:i/>
          <w:iCs/>
        </w:rPr>
        <w:t>H. pylori</w:t>
      </w:r>
      <w:r w:rsidRPr="00F427F0">
        <w:rPr>
          <w:rFonts w:ascii="Book Antiqua" w:eastAsia="Book Antiqua" w:hAnsi="Book Antiqua" w:cs="Book Antiqua"/>
        </w:rPr>
        <w:t>-associated T2DM, would be more likely to develop as a result</w:t>
      </w:r>
      <w:r w:rsidRPr="00F427F0">
        <w:rPr>
          <w:rFonts w:ascii="Book Antiqua" w:eastAsia="Book Antiqua" w:hAnsi="Book Antiqua" w:cs="Book Antiqua"/>
          <w:vertAlign w:val="superscript"/>
        </w:rPr>
        <w:t>[15]</w:t>
      </w:r>
      <w:r w:rsidRPr="00F427F0">
        <w:rPr>
          <w:rFonts w:ascii="Book Antiqua" w:eastAsia="Book Antiqua" w:hAnsi="Book Antiqua" w:cs="Book Antiqua"/>
        </w:rPr>
        <w:t>.</w:t>
      </w:r>
      <w:r w:rsidRPr="00F427F0">
        <w:rPr>
          <w:rFonts w:ascii="Book Antiqua" w:eastAsia="宋体" w:hAnsi="Book Antiqua" w:cs="Book Antiqua"/>
          <w:lang w:eastAsia="zh-CN"/>
        </w:rPr>
        <w:t xml:space="preserve"> Our previous mechanistic study suggested that </w:t>
      </w:r>
      <w:r w:rsidRPr="00F427F0">
        <w:rPr>
          <w:rFonts w:ascii="Book Antiqua" w:eastAsia="宋体" w:hAnsi="Book Antiqua" w:cs="Book Antiqua"/>
          <w:i/>
          <w:iCs/>
          <w:lang w:eastAsia="zh-CN"/>
        </w:rPr>
        <w:t xml:space="preserve">H. pylori </w:t>
      </w:r>
      <w:r w:rsidRPr="00F427F0">
        <w:rPr>
          <w:rFonts w:ascii="Book Antiqua" w:eastAsia="宋体" w:hAnsi="Book Antiqua" w:cs="Book Antiqua"/>
          <w:lang w:eastAsia="zh-CN"/>
        </w:rPr>
        <w:t>infection induces hepatic ins</w:t>
      </w:r>
      <w:r w:rsidRPr="00F427F0">
        <w:rPr>
          <w:rFonts w:ascii="Book Antiqua" w:eastAsia="Book Antiqua" w:hAnsi="Book Antiqua" w:cs="Book Antiqua"/>
        </w:rPr>
        <w:t>ulin resistance by the c-Jun/miR-203/SOCS3 signaling pathway</w:t>
      </w:r>
      <w:r w:rsidRPr="00F427F0">
        <w:rPr>
          <w:rFonts w:ascii="Book Antiqua" w:eastAsia="Book Antiqua" w:hAnsi="Book Antiqua" w:cs="Book Antiqua"/>
          <w:vertAlign w:val="superscript"/>
        </w:rPr>
        <w:t>[16]</w:t>
      </w:r>
      <w:r w:rsidRPr="00F427F0">
        <w:rPr>
          <w:rFonts w:ascii="Book Antiqua" w:eastAsia="Book Antiqua" w:hAnsi="Book Antiqua" w:cs="Book Antiqua"/>
        </w:rPr>
        <w:t xml:space="preserve">. The gut microbiota may also play </w:t>
      </w:r>
      <w:r w:rsidRPr="00F427F0">
        <w:rPr>
          <w:rFonts w:ascii="Book Antiqua" w:eastAsia="宋体" w:hAnsi="Book Antiqua" w:cs="Book Antiqua"/>
          <w:lang w:eastAsia="zh-CN"/>
        </w:rPr>
        <w:t>a role in the immune a</w:t>
      </w:r>
      <w:r w:rsidRPr="00F427F0">
        <w:rPr>
          <w:rFonts w:ascii="Book Antiqua" w:eastAsia="Book Antiqua" w:hAnsi="Book Antiqua" w:cs="Book Antiqua"/>
        </w:rPr>
        <w:t xml:space="preserve">nd metabolic homeostasis of the host, and the infection </w:t>
      </w:r>
      <w:r w:rsidRPr="00F427F0">
        <w:rPr>
          <w:rFonts w:ascii="Book Antiqua" w:eastAsia="宋体" w:hAnsi="Book Antiqua" w:cs="Book Antiqua"/>
          <w:lang w:eastAsia="zh-CN"/>
        </w:rPr>
        <w:t xml:space="preserve">of </w:t>
      </w:r>
      <w:r w:rsidRPr="00F427F0">
        <w:rPr>
          <w:rFonts w:ascii="Book Antiqua" w:eastAsia="宋体" w:hAnsi="Book Antiqua" w:cs="Book Antiqua"/>
          <w:i/>
          <w:iCs/>
          <w:lang w:eastAsia="zh-CN"/>
        </w:rPr>
        <w:t>H. pylori</w:t>
      </w:r>
      <w:r w:rsidRPr="00F427F0">
        <w:rPr>
          <w:rFonts w:ascii="Book Antiqua" w:eastAsia="宋体" w:hAnsi="Book Antiqua" w:cs="Book Antiqua"/>
          <w:lang w:eastAsia="zh-CN"/>
        </w:rPr>
        <w:t xml:space="preserve"> not</w:t>
      </w:r>
      <w:r w:rsidRPr="00F427F0">
        <w:rPr>
          <w:rFonts w:ascii="Book Antiqua" w:eastAsia="Book Antiqua" w:hAnsi="Book Antiqua" w:cs="Book Antiqua"/>
        </w:rPr>
        <w:t xml:space="preserve"> only disrupts the balance of commensal bacterial species in the gastric mucosa but also causes alterations in the microbial composition of the human gut</w:t>
      </w:r>
      <w:r w:rsidRPr="00F427F0">
        <w:rPr>
          <w:rFonts w:ascii="Book Antiqua" w:eastAsia="Book Antiqua" w:hAnsi="Book Antiqua" w:cs="Book Antiqua"/>
          <w:vertAlign w:val="superscript"/>
        </w:rPr>
        <w:t>[17]</w:t>
      </w:r>
      <w:r w:rsidRPr="00F427F0">
        <w:rPr>
          <w:rFonts w:ascii="Book Antiqua" w:eastAsia="Book Antiqua" w:hAnsi="Book Antiqua" w:cs="Book Antiqua"/>
        </w:rPr>
        <w:t>. However, these hypotheses have not been formally confirmed and validated.</w:t>
      </w:r>
    </w:p>
    <w:p w14:paraId="718B8891" w14:textId="788F42A1" w:rsidR="00D23823" w:rsidRPr="00F427F0" w:rsidRDefault="00000000">
      <w:pPr>
        <w:spacing w:line="360" w:lineRule="auto"/>
        <w:ind w:firstLineChars="200" w:firstLine="480"/>
        <w:jc w:val="both"/>
        <w:rPr>
          <w:rFonts w:ascii="Book Antiqua" w:hAnsi="Book Antiqua"/>
        </w:rPr>
      </w:pPr>
      <w:r w:rsidRPr="00F427F0">
        <w:rPr>
          <w:rFonts w:ascii="Book Antiqua" w:eastAsia="Book Antiqua" w:hAnsi="Book Antiqua" w:cs="Book Antiqua"/>
        </w:rPr>
        <w:t xml:space="preserve">This study aimed to investigate the potential molecular connections between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and T2DM. We identified differentially expressed genes (DEGs) by analyzing gene expression datasets through comprehensive bioinformatics analysis. DEGs were screened by combining the results from GEO datasets. </w:t>
      </w:r>
      <w:r w:rsidRPr="00F427F0">
        <w:rPr>
          <w:rFonts w:ascii="Book Antiqua" w:eastAsia="宋体" w:hAnsi="Book Antiqua" w:cs="Book Antiqua"/>
          <w:lang w:eastAsia="zh-CN"/>
        </w:rPr>
        <w:t>P</w:t>
      </w:r>
      <w:r w:rsidRPr="00F427F0">
        <w:rPr>
          <w:rFonts w:ascii="Book Antiqua" w:eastAsia="Book Antiqua" w:hAnsi="Book Antiqua" w:cs="Book Antiqua"/>
        </w:rPr>
        <w:t>rotein-protein interaction (PPI) construction, Gene Ontology (GO) term analysis, and Kyoto Encyclopedia of Genes and Genomes (KEGG) pathway enrichment analyses were performed to identify the hub genes linked to the two diseases.</w:t>
      </w:r>
      <w:r w:rsidRPr="00F427F0">
        <w:rPr>
          <w:rFonts w:ascii="Book Antiqua" w:eastAsia="宋体" w:hAnsi="Book Antiqua" w:cs="Book Antiqua"/>
          <w:lang w:eastAsia="zh-CN"/>
        </w:rPr>
        <w:t xml:space="preserve"> </w:t>
      </w:r>
      <w:r w:rsidRPr="00F427F0">
        <w:rPr>
          <w:rFonts w:ascii="Book Antiqua" w:eastAsia="Book Antiqua" w:hAnsi="Book Antiqua" w:cs="Book Antiqua"/>
        </w:rPr>
        <w:t>A miRNA-hub gene network and transcription factor (TF)</w:t>
      </w:r>
      <w:r w:rsidR="00BE63DD">
        <w:rPr>
          <w:rFonts w:ascii="MS Mincho" w:hAnsi="MS Mincho" w:cs="MS Mincho" w:hint="eastAsia"/>
          <w:lang w:eastAsia="zh-CN"/>
        </w:rPr>
        <w:t>-</w:t>
      </w:r>
      <w:r w:rsidRPr="00F427F0">
        <w:rPr>
          <w:rFonts w:ascii="Book Antiqua" w:eastAsia="Book Antiqua" w:hAnsi="Book Antiqua" w:cs="Book Antiqua"/>
        </w:rPr>
        <w:t xml:space="preserve">gene mRNA interaction network were also constructed. We sought to provide new insights into the pathogenesis of </w:t>
      </w:r>
      <w:r w:rsidRPr="00F427F0">
        <w:rPr>
          <w:rFonts w:ascii="Book Antiqua" w:eastAsia="Book Antiqua" w:hAnsi="Book Antiqua" w:cs="Book Antiqua"/>
          <w:i/>
          <w:iCs/>
        </w:rPr>
        <w:t>H. pylori</w:t>
      </w:r>
      <w:r w:rsidRPr="00F427F0">
        <w:rPr>
          <w:rFonts w:ascii="Book Antiqua" w:eastAsia="Book Antiqua" w:hAnsi="Book Antiqua" w:cs="Book Antiqua"/>
        </w:rPr>
        <w:t>-induced onset of T2DM.</w:t>
      </w:r>
    </w:p>
    <w:p w14:paraId="1103194A" w14:textId="77777777" w:rsidR="00D23823" w:rsidRPr="00F427F0" w:rsidRDefault="00D23823">
      <w:pPr>
        <w:spacing w:line="360" w:lineRule="auto"/>
        <w:jc w:val="both"/>
        <w:rPr>
          <w:rFonts w:ascii="Book Antiqua" w:hAnsi="Book Antiqua"/>
        </w:rPr>
      </w:pPr>
    </w:p>
    <w:p w14:paraId="3EEDF40A"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caps/>
          <w:u w:val="single"/>
        </w:rPr>
        <w:t>MATERIALS AND METHODS</w:t>
      </w:r>
    </w:p>
    <w:p w14:paraId="49B7FA66" w14:textId="77777777" w:rsidR="00D23823" w:rsidRPr="00F427F0" w:rsidRDefault="00000000">
      <w:pPr>
        <w:spacing w:line="360" w:lineRule="auto"/>
        <w:jc w:val="both"/>
        <w:rPr>
          <w:rFonts w:ascii="Book Antiqua" w:hAnsi="Book Antiqua"/>
          <w:i/>
          <w:iCs/>
        </w:rPr>
      </w:pPr>
      <w:r w:rsidRPr="00F427F0">
        <w:rPr>
          <w:rFonts w:ascii="Book Antiqua" w:eastAsia="Book Antiqua" w:hAnsi="Book Antiqua" w:cs="Book Antiqua"/>
          <w:b/>
          <w:bCs/>
          <w:i/>
          <w:iCs/>
        </w:rPr>
        <w:t>Data sources</w:t>
      </w:r>
    </w:p>
    <w:p w14:paraId="320E01EF" w14:textId="713082A9"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The NCBI-GEO database is a publicly available database containing gene expression datasets</w:t>
      </w:r>
      <w:r w:rsidRPr="00F427F0">
        <w:rPr>
          <w:rFonts w:ascii="Book Antiqua" w:eastAsia="Book Antiqua" w:hAnsi="Book Antiqua" w:cs="Book Antiqua"/>
          <w:vertAlign w:val="superscript"/>
        </w:rPr>
        <w:t>[18,19]</w:t>
      </w:r>
      <w:r w:rsidRPr="00F427F0">
        <w:rPr>
          <w:rFonts w:ascii="Book Antiqua" w:eastAsia="Book Antiqua" w:hAnsi="Book Antiqua" w:cs="Book Antiqua"/>
        </w:rPr>
        <w:t xml:space="preserve">. Three datasets were retrieved from the GEO database (https://www.ncbi.nlm.nih.gov/geo/), including two gene expression profiles related to </w:t>
      </w:r>
      <w:r w:rsidRPr="00F427F0">
        <w:rPr>
          <w:rFonts w:ascii="Book Antiqua" w:eastAsia="Book Antiqua" w:hAnsi="Book Antiqua" w:cs="Book Antiqua"/>
          <w:i/>
          <w:iCs/>
        </w:rPr>
        <w:t>H. pylori</w:t>
      </w:r>
      <w:r w:rsidRPr="00F427F0">
        <w:rPr>
          <w:rFonts w:ascii="Book Antiqua" w:eastAsia="Book Antiqua" w:hAnsi="Book Antiqua" w:cs="Book Antiqua"/>
        </w:rPr>
        <w:t xml:space="preserve"> (GSE60427 and GSE27411) and one dataset related to T2DM (GSE115601). Detailed information on the microarray datasets is provided in Supplementary Table 1. Gene expression profiles were set accordingly, including</w:t>
      </w:r>
      <w:r w:rsidR="005E7121">
        <w:rPr>
          <w:rFonts w:ascii="Book Antiqua" w:eastAsia="Book Antiqua" w:hAnsi="Book Antiqua" w:cs="Book Antiqua"/>
        </w:rPr>
        <w:t>:</w:t>
      </w:r>
      <w:r w:rsidRPr="00F427F0">
        <w:rPr>
          <w:rFonts w:ascii="Book Antiqua" w:eastAsia="Book Antiqua" w:hAnsi="Book Antiqua" w:cs="Book Antiqua"/>
        </w:rPr>
        <w:t xml:space="preserve"> (1</w:t>
      </w:r>
      <w:r w:rsidRPr="00F427F0">
        <w:rPr>
          <w:rFonts w:ascii="Book Antiqua" w:eastAsia="宋体" w:hAnsi="Book Antiqua" w:cs="Book Antiqua"/>
          <w:lang w:eastAsia="zh-CN"/>
        </w:rPr>
        <w:t xml:space="preserve">) </w:t>
      </w:r>
      <w:r w:rsidR="005E7121">
        <w:rPr>
          <w:rFonts w:ascii="Book Antiqua" w:eastAsia="宋体" w:hAnsi="Book Antiqua" w:cs="Book Antiqua"/>
          <w:lang w:eastAsia="zh-CN"/>
        </w:rPr>
        <w:t>T</w:t>
      </w:r>
      <w:r w:rsidRPr="00F427F0">
        <w:rPr>
          <w:rFonts w:ascii="Book Antiqua" w:eastAsia="宋体" w:hAnsi="Book Antiqua" w:cs="Book Antiqua"/>
          <w:lang w:eastAsia="zh-CN"/>
        </w:rPr>
        <w:t>issue samples co</w:t>
      </w:r>
      <w:r w:rsidRPr="00F427F0">
        <w:rPr>
          <w:rFonts w:ascii="Book Antiqua" w:eastAsia="Book Antiqua" w:hAnsi="Book Antiqua" w:cs="Book Antiqua"/>
        </w:rPr>
        <w:t>llected from diseased and normal gastric tissues and (2) datasets with more than three samples.</w:t>
      </w:r>
    </w:p>
    <w:p w14:paraId="5E6CF05C" w14:textId="77777777" w:rsidR="00D23823" w:rsidRPr="00F427F0" w:rsidRDefault="00D23823">
      <w:pPr>
        <w:spacing w:line="360" w:lineRule="auto"/>
        <w:jc w:val="both"/>
        <w:rPr>
          <w:rFonts w:ascii="Book Antiqua" w:hAnsi="Book Antiqua"/>
        </w:rPr>
      </w:pPr>
    </w:p>
    <w:p w14:paraId="144DDEA7" w14:textId="77777777" w:rsidR="00D23823" w:rsidRPr="00F427F0" w:rsidRDefault="00000000">
      <w:pPr>
        <w:spacing w:line="360" w:lineRule="auto"/>
        <w:jc w:val="both"/>
        <w:rPr>
          <w:rFonts w:ascii="Book Antiqua" w:eastAsia="宋体" w:hAnsi="Book Antiqua" w:cs="Book Antiqua"/>
          <w:b/>
          <w:bCs/>
          <w:i/>
          <w:iCs/>
          <w:lang w:eastAsia="zh-CN"/>
        </w:rPr>
      </w:pPr>
      <w:r w:rsidRPr="00F427F0">
        <w:rPr>
          <w:rFonts w:ascii="Book Antiqua" w:eastAsia="宋体" w:hAnsi="Book Antiqua" w:cs="Book Antiqua"/>
          <w:b/>
          <w:bCs/>
          <w:i/>
          <w:iCs/>
          <w:lang w:eastAsia="zh-CN"/>
        </w:rPr>
        <w:t>Identification of DEGs</w:t>
      </w:r>
    </w:p>
    <w:p w14:paraId="0A636F5C"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The NCBI-GEO2R interactive tool was u</w:t>
      </w:r>
      <w:r w:rsidRPr="00F427F0">
        <w:rPr>
          <w:rFonts w:ascii="Book Antiqua" w:eastAsia="宋体" w:hAnsi="Book Antiqua" w:cs="Book Antiqua"/>
          <w:lang w:eastAsia="zh-CN"/>
        </w:rPr>
        <w:t>tilize</w:t>
      </w:r>
      <w:r w:rsidRPr="00F427F0">
        <w:rPr>
          <w:rFonts w:ascii="Book Antiqua" w:eastAsia="Book Antiqua" w:hAnsi="Book Antiqua" w:cs="Book Antiqua"/>
        </w:rPr>
        <w:t>d to analyze and compare data under similar experimental conditions</w:t>
      </w:r>
      <w:r w:rsidRPr="00F427F0">
        <w:rPr>
          <w:rFonts w:ascii="Book Antiqua" w:eastAsia="宋体" w:hAnsi="Book Antiqua" w:cs="Book Antiqua"/>
          <w:lang w:eastAsia="zh-CN"/>
        </w:rPr>
        <w:t xml:space="preserve"> </w:t>
      </w:r>
      <w:r w:rsidRPr="00F427F0">
        <w:rPr>
          <w:rFonts w:ascii="Book Antiqua" w:eastAsia="Book Antiqua" w:hAnsi="Book Antiqua" w:cs="Book Antiqua"/>
        </w:rPr>
        <w:t xml:space="preserve">from two or more sample groups to identify genes </w:t>
      </w:r>
      <w:r w:rsidRPr="00F427F0">
        <w:rPr>
          <w:rFonts w:ascii="Book Antiqua" w:eastAsia="宋体" w:hAnsi="Book Antiqua" w:cs="Book Antiqua"/>
          <w:lang w:eastAsia="zh-CN"/>
        </w:rPr>
        <w:t xml:space="preserve">significantly </w:t>
      </w:r>
      <w:r w:rsidRPr="00F427F0">
        <w:rPr>
          <w:rFonts w:ascii="Book Antiqua" w:eastAsia="Book Antiqua" w:hAnsi="Book Antiqua" w:cs="Book Antiqua"/>
        </w:rPr>
        <w:t>differentially expressed for both diseases (https://www.ncbi.nlm.nih.gov/geo/query/acc.cgi?)</w:t>
      </w:r>
      <w:r w:rsidRPr="00F427F0">
        <w:rPr>
          <w:rFonts w:ascii="Book Antiqua" w:eastAsia="Book Antiqua" w:hAnsi="Book Antiqua" w:cs="Book Antiqua"/>
          <w:vertAlign w:val="superscript"/>
        </w:rPr>
        <w:t>[20]</w:t>
      </w:r>
      <w:r w:rsidRPr="00F427F0">
        <w:rPr>
          <w:rFonts w:ascii="Book Antiqua" w:eastAsia="Book Antiqua" w:hAnsi="Book Antiqua" w:cs="Book Antiqua"/>
        </w:rPr>
        <w:t xml:space="preserve">. Genes that satisfied the criteria of log fold change &gt; 0.4 </w:t>
      </w:r>
      <w:r w:rsidRPr="00F427F0">
        <w:rPr>
          <w:rFonts w:ascii="Book Antiqua" w:eastAsia="宋体" w:hAnsi="Book Antiqua" w:cs="Book Antiqua"/>
          <w:lang w:eastAsia="zh-CN"/>
        </w:rPr>
        <w:t>with</w:t>
      </w:r>
      <w:r w:rsidRPr="00F427F0">
        <w:rPr>
          <w:rFonts w:ascii="Book Antiqua" w:eastAsia="Book Antiqua" w:hAnsi="Book Antiqua" w:cs="Book Antiqua"/>
        </w:rPr>
        <w:t xml:space="preserve"> adjusted </w:t>
      </w:r>
      <w:r w:rsidRPr="00F427F0">
        <w:rPr>
          <w:rFonts w:ascii="Book Antiqua" w:eastAsia="Book Antiqua" w:hAnsi="Book Antiqua" w:cs="Book Antiqua"/>
          <w:i/>
          <w:iCs/>
        </w:rPr>
        <w:t>P</w:t>
      </w:r>
      <w:r w:rsidRPr="00F427F0">
        <w:rPr>
          <w:rFonts w:ascii="Book Antiqua" w:eastAsia="Book Antiqua" w:hAnsi="Book Antiqua" w:cs="Book Antiqua"/>
        </w:rPr>
        <w:t xml:space="preserve"> value </w:t>
      </w:r>
      <w:r w:rsidRPr="00F427F0">
        <w:rPr>
          <w:rFonts w:ascii="Book Antiqua" w:eastAsia="宋体" w:hAnsi="Book Antiqua" w:cs="Book Antiqua"/>
          <w:lang w:eastAsia="zh-CN"/>
        </w:rPr>
        <w:t>less than</w:t>
      </w:r>
      <w:r w:rsidRPr="00F427F0">
        <w:rPr>
          <w:rFonts w:ascii="Book Antiqua" w:eastAsia="Book Antiqua" w:hAnsi="Book Antiqua" w:cs="Book Antiqua"/>
        </w:rPr>
        <w:t xml:space="preserve"> 0.05 were identified as DEGs. Genes </w:t>
      </w:r>
      <w:r w:rsidRPr="00F427F0">
        <w:rPr>
          <w:rFonts w:ascii="Book Antiqua" w:eastAsia="宋体" w:hAnsi="Book Antiqua" w:cs="Book Antiqua"/>
          <w:lang w:eastAsia="zh-CN"/>
        </w:rPr>
        <w:t xml:space="preserve">presenting </w:t>
      </w:r>
      <w:r w:rsidRPr="00F427F0">
        <w:rPr>
          <w:rFonts w:ascii="Book Antiqua" w:eastAsia="Book Antiqua" w:hAnsi="Book Antiqua" w:cs="Book Antiqua"/>
        </w:rPr>
        <w:t xml:space="preserve">upregulation or downregulation in both </w:t>
      </w:r>
      <w:r w:rsidRPr="00F427F0">
        <w:rPr>
          <w:rFonts w:ascii="Book Antiqua" w:eastAsia="Book Antiqua" w:hAnsi="Book Antiqua" w:cs="Book Antiqua"/>
          <w:i/>
          <w:iCs/>
        </w:rPr>
        <w:t>H. pylori</w:t>
      </w:r>
      <w:r w:rsidRPr="00F427F0">
        <w:rPr>
          <w:rFonts w:ascii="Book Antiqua" w:eastAsia="Book Antiqua" w:hAnsi="Book Antiqua" w:cs="Book Antiqua"/>
        </w:rPr>
        <w:t xml:space="preserve"> and T2DM were </w:t>
      </w:r>
      <w:r w:rsidRPr="00F427F0">
        <w:rPr>
          <w:rFonts w:ascii="Book Antiqua" w:eastAsia="宋体" w:hAnsi="Book Antiqua" w:cs="Book Antiqua"/>
          <w:lang w:eastAsia="zh-CN"/>
        </w:rPr>
        <w:t>selected using</w:t>
      </w:r>
      <w:r w:rsidRPr="00F427F0">
        <w:rPr>
          <w:rFonts w:ascii="Book Antiqua" w:eastAsia="Book Antiqua" w:hAnsi="Book Antiqua" w:cs="Book Antiqua"/>
        </w:rPr>
        <w:t xml:space="preserve"> the Venn diagram web tool (http://bioinfogp.cnb.csic.es/tools/venny/).</w:t>
      </w:r>
    </w:p>
    <w:p w14:paraId="23B3C2DD" w14:textId="77777777" w:rsidR="00D23823" w:rsidRPr="00F427F0" w:rsidRDefault="00D23823">
      <w:pPr>
        <w:spacing w:line="360" w:lineRule="auto"/>
        <w:jc w:val="both"/>
        <w:rPr>
          <w:rFonts w:ascii="Book Antiqua" w:hAnsi="Book Antiqua"/>
        </w:rPr>
      </w:pPr>
    </w:p>
    <w:p w14:paraId="424752BB" w14:textId="77777777" w:rsidR="00D23823" w:rsidRPr="00F427F0" w:rsidRDefault="00000000">
      <w:pPr>
        <w:spacing w:line="360" w:lineRule="auto"/>
        <w:jc w:val="both"/>
        <w:rPr>
          <w:rFonts w:ascii="Book Antiqua" w:hAnsi="Book Antiqua"/>
          <w:i/>
          <w:iCs/>
        </w:rPr>
      </w:pPr>
      <w:r w:rsidRPr="00F427F0">
        <w:rPr>
          <w:rFonts w:ascii="Book Antiqua" w:eastAsia="Book Antiqua" w:hAnsi="Book Antiqua" w:cs="Book Antiqua"/>
          <w:b/>
          <w:bCs/>
          <w:i/>
          <w:iCs/>
        </w:rPr>
        <w:t>Functional enrichment analysis of DEGs</w:t>
      </w:r>
    </w:p>
    <w:p w14:paraId="453D9D7C" w14:textId="77777777" w:rsidR="00D23823" w:rsidRPr="00F427F0" w:rsidRDefault="00000000">
      <w:pPr>
        <w:spacing w:line="360" w:lineRule="auto"/>
        <w:jc w:val="both"/>
        <w:rPr>
          <w:rFonts w:ascii="Book Antiqua" w:hAnsi="Book Antiqua"/>
        </w:rPr>
      </w:pPr>
      <w:r w:rsidRPr="00F427F0">
        <w:rPr>
          <w:rFonts w:ascii="Book Antiqua" w:eastAsia="宋体" w:hAnsi="Book Antiqua" w:cs="Book Antiqua"/>
          <w:lang w:eastAsia="zh-CN"/>
        </w:rPr>
        <w:t xml:space="preserve">DAVID (Database for Annotation, Visualization, and Integrated Discovery), as an online tool, was used to predict the functions of hub genes based on GO enrichment analysis and KEGG pathway analysis </w:t>
      </w:r>
      <w:r w:rsidRPr="00F427F0">
        <w:rPr>
          <w:rFonts w:ascii="Book Antiqua" w:eastAsia="Book Antiqua" w:hAnsi="Book Antiqua" w:cs="Book Antiqua"/>
        </w:rPr>
        <w:t>(https://david.ncifcrf.gov/)</w:t>
      </w:r>
      <w:r w:rsidRPr="00F427F0">
        <w:rPr>
          <w:rFonts w:ascii="Book Antiqua" w:eastAsia="Book Antiqua" w:hAnsi="Book Antiqua" w:cs="Book Antiqua"/>
          <w:vertAlign w:val="superscript"/>
        </w:rPr>
        <w:t>[21]</w:t>
      </w:r>
      <w:r w:rsidRPr="00F427F0">
        <w:rPr>
          <w:rFonts w:ascii="Book Antiqua" w:eastAsia="Book Antiqua" w:hAnsi="Book Antiqua" w:cs="Book Antiqua"/>
        </w:rPr>
        <w:t xml:space="preserve"> at three levels: Biological process (BP), molecular function (MF), and cellular component (CC). Bubble maps were </w:t>
      </w:r>
      <w:r w:rsidRPr="00F427F0">
        <w:rPr>
          <w:rFonts w:ascii="Book Antiqua" w:eastAsia="宋体" w:hAnsi="Book Antiqua" w:cs="Book Antiqua"/>
          <w:lang w:eastAsia="zh-CN"/>
        </w:rPr>
        <w:t xml:space="preserve">used for representing </w:t>
      </w:r>
      <w:r w:rsidRPr="00F427F0">
        <w:rPr>
          <w:rFonts w:ascii="Book Antiqua" w:eastAsia="Book Antiqua" w:hAnsi="Book Antiqua" w:cs="Book Antiqua"/>
        </w:rPr>
        <w:t>BP</w:t>
      </w:r>
      <w:r w:rsidRPr="00F427F0">
        <w:rPr>
          <w:rFonts w:ascii="Book Antiqua" w:eastAsia="宋体" w:hAnsi="Book Antiqua" w:cs="Book Antiqua"/>
          <w:lang w:eastAsia="zh-CN"/>
        </w:rPr>
        <w:t xml:space="preserve">, </w:t>
      </w:r>
      <w:r w:rsidRPr="00F427F0">
        <w:rPr>
          <w:rFonts w:ascii="Book Antiqua" w:eastAsia="Book Antiqua" w:hAnsi="Book Antiqua" w:cs="Book Antiqua"/>
        </w:rPr>
        <w:t xml:space="preserve">MF, </w:t>
      </w:r>
      <w:r w:rsidRPr="00F427F0">
        <w:rPr>
          <w:rFonts w:ascii="Book Antiqua" w:eastAsia="宋体" w:hAnsi="Book Antiqua" w:cs="Book Antiqua"/>
          <w:lang w:eastAsia="zh-CN"/>
        </w:rPr>
        <w:t>C</w:t>
      </w:r>
      <w:r w:rsidRPr="00F427F0">
        <w:rPr>
          <w:rFonts w:ascii="Book Antiqua" w:eastAsia="Book Antiqua" w:hAnsi="Book Antiqua" w:cs="Book Antiqua"/>
        </w:rPr>
        <w:t>C, and KEGG pathways</w:t>
      </w:r>
      <w:r w:rsidRPr="00F427F0">
        <w:rPr>
          <w:rFonts w:ascii="Book Antiqua" w:eastAsia="宋体" w:hAnsi="Book Antiqua" w:cs="Book Antiqua"/>
          <w:lang w:eastAsia="zh-CN"/>
        </w:rPr>
        <w:t>,</w:t>
      </w:r>
      <w:r w:rsidRPr="00F427F0">
        <w:rPr>
          <w:rFonts w:ascii="Book Antiqua" w:eastAsia="Book Antiqua" w:hAnsi="Book Antiqua" w:cs="Book Antiqua"/>
        </w:rPr>
        <w:t xml:space="preserve"> </w:t>
      </w:r>
      <w:r w:rsidRPr="00F427F0">
        <w:rPr>
          <w:rFonts w:ascii="Book Antiqua" w:eastAsia="宋体" w:hAnsi="Book Antiqua" w:cs="Book Antiqua"/>
          <w:lang w:eastAsia="zh-CN"/>
        </w:rPr>
        <w:t>using</w:t>
      </w:r>
      <w:r w:rsidRPr="00F427F0">
        <w:rPr>
          <w:rFonts w:ascii="Book Antiqua" w:eastAsia="Book Antiqua" w:hAnsi="Book Antiqua" w:cs="Book Antiqua"/>
        </w:rPr>
        <w:t xml:space="preserve"> R package</w:t>
      </w:r>
      <w:r w:rsidRPr="00F427F0">
        <w:rPr>
          <w:rFonts w:ascii="Book Antiqua" w:eastAsia="宋体" w:hAnsi="Book Antiqua" w:cs="Book Antiqua"/>
          <w:lang w:eastAsia="zh-CN"/>
        </w:rPr>
        <w:t xml:space="preserve"> of </w:t>
      </w:r>
      <w:r w:rsidRPr="00F427F0">
        <w:rPr>
          <w:rFonts w:ascii="Book Antiqua" w:eastAsia="Book Antiqua" w:hAnsi="Book Antiqua" w:cs="Book Antiqua"/>
        </w:rPr>
        <w:t>ggPlot2</w:t>
      </w:r>
      <w:r w:rsidRPr="00F427F0">
        <w:rPr>
          <w:rFonts w:ascii="Book Antiqua" w:eastAsia="宋体" w:hAnsi="Book Antiqua" w:cs="Book Antiqua"/>
          <w:lang w:eastAsia="zh-CN"/>
        </w:rPr>
        <w:t>. A</w:t>
      </w:r>
      <w:r w:rsidRPr="00F427F0">
        <w:rPr>
          <w:rFonts w:ascii="Book Antiqua" w:eastAsia="Book Antiqua" w:hAnsi="Book Antiqua" w:cs="Book Antiqua"/>
        </w:rPr>
        <w:t xml:space="preserve"> statistically significant </w:t>
      </w:r>
      <w:r w:rsidRPr="00F427F0">
        <w:rPr>
          <w:rFonts w:ascii="Book Antiqua" w:eastAsia="Book Antiqua" w:hAnsi="Book Antiqua" w:cs="Book Antiqua"/>
          <w:i/>
          <w:iCs/>
        </w:rPr>
        <w:t>P</w:t>
      </w:r>
      <w:r w:rsidRPr="00F427F0">
        <w:rPr>
          <w:rFonts w:ascii="Book Antiqua" w:eastAsia="Book Antiqua" w:hAnsi="Book Antiqua" w:cs="Book Antiqua"/>
        </w:rPr>
        <w:t xml:space="preserve"> value </w:t>
      </w:r>
      <w:r w:rsidRPr="00F427F0">
        <w:rPr>
          <w:rFonts w:ascii="Book Antiqua" w:eastAsia="宋体" w:hAnsi="Book Antiqua" w:cs="Book Antiqua"/>
          <w:lang w:eastAsia="zh-CN"/>
        </w:rPr>
        <w:t xml:space="preserve">was defined as </w:t>
      </w:r>
      <w:r w:rsidRPr="00F427F0">
        <w:rPr>
          <w:rFonts w:ascii="Book Antiqua" w:eastAsia="Book Antiqua" w:hAnsi="Book Antiqua" w:cs="Book Antiqua"/>
          <w:i/>
          <w:iCs/>
        </w:rPr>
        <w:t>P</w:t>
      </w:r>
      <w:r w:rsidRPr="00F427F0">
        <w:rPr>
          <w:rFonts w:ascii="Book Antiqua" w:eastAsia="Book Antiqua" w:hAnsi="Book Antiqua" w:cs="Book Antiqua"/>
        </w:rPr>
        <w:t xml:space="preserve"> </w:t>
      </w:r>
      <w:r w:rsidRPr="00F427F0">
        <w:rPr>
          <w:rFonts w:ascii="Book Antiqua" w:eastAsia="宋体" w:hAnsi="Book Antiqua" w:cs="Book Antiqua"/>
          <w:lang w:eastAsia="zh-CN"/>
        </w:rPr>
        <w:t>value less than</w:t>
      </w:r>
      <w:r w:rsidRPr="00F427F0">
        <w:rPr>
          <w:rFonts w:ascii="Book Antiqua" w:eastAsia="Book Antiqua" w:hAnsi="Book Antiqua" w:cs="Book Antiqua"/>
        </w:rPr>
        <w:t xml:space="preserve"> 0.05.</w:t>
      </w:r>
    </w:p>
    <w:p w14:paraId="67CF77CF" w14:textId="77777777" w:rsidR="00D23823" w:rsidRPr="00F427F0" w:rsidRDefault="00D23823">
      <w:pPr>
        <w:spacing w:line="360" w:lineRule="auto"/>
        <w:jc w:val="both"/>
        <w:rPr>
          <w:rFonts w:ascii="Book Antiqua" w:hAnsi="Book Antiqua"/>
        </w:rPr>
      </w:pPr>
    </w:p>
    <w:p w14:paraId="1D343145" w14:textId="77777777" w:rsidR="00D23823" w:rsidRPr="00F427F0" w:rsidRDefault="00000000">
      <w:pPr>
        <w:spacing w:line="360" w:lineRule="auto"/>
        <w:jc w:val="both"/>
        <w:rPr>
          <w:rFonts w:ascii="Book Antiqua" w:eastAsia="宋体" w:hAnsi="Book Antiqua"/>
          <w:i/>
          <w:iCs/>
          <w:lang w:eastAsia="zh-CN"/>
        </w:rPr>
      </w:pPr>
      <w:r w:rsidRPr="00F427F0">
        <w:rPr>
          <w:rFonts w:ascii="Book Antiqua" w:eastAsia="宋体" w:hAnsi="Book Antiqua" w:cs="Book Antiqua"/>
          <w:b/>
          <w:bCs/>
          <w:i/>
          <w:iCs/>
          <w:lang w:eastAsia="zh-CN"/>
        </w:rPr>
        <w:lastRenderedPageBreak/>
        <w:t>C</w:t>
      </w:r>
      <w:r w:rsidRPr="00F427F0">
        <w:rPr>
          <w:rFonts w:ascii="Book Antiqua" w:eastAsia="Book Antiqua" w:hAnsi="Book Antiqua" w:cs="Book Antiqua"/>
          <w:b/>
          <w:bCs/>
          <w:i/>
          <w:iCs/>
        </w:rPr>
        <w:t xml:space="preserve">onstruction </w:t>
      </w:r>
      <w:r w:rsidRPr="00F427F0">
        <w:rPr>
          <w:rFonts w:ascii="Book Antiqua" w:eastAsia="宋体" w:hAnsi="Book Antiqua" w:cs="Book Antiqua"/>
          <w:b/>
          <w:bCs/>
          <w:i/>
          <w:iCs/>
          <w:lang w:eastAsia="zh-CN"/>
        </w:rPr>
        <w:t xml:space="preserve">of PPI network </w:t>
      </w:r>
      <w:r w:rsidRPr="00F427F0">
        <w:rPr>
          <w:rFonts w:ascii="Book Antiqua" w:eastAsia="Book Antiqua" w:hAnsi="Book Antiqua" w:cs="Book Antiqua"/>
          <w:b/>
          <w:bCs/>
          <w:i/>
          <w:iCs/>
        </w:rPr>
        <w:t xml:space="preserve">and </w:t>
      </w:r>
      <w:r w:rsidRPr="00F427F0">
        <w:rPr>
          <w:rFonts w:ascii="Book Antiqua" w:eastAsia="宋体" w:hAnsi="Book Antiqua" w:cs="Book Antiqua"/>
          <w:b/>
          <w:bCs/>
          <w:i/>
          <w:iCs/>
          <w:lang w:eastAsia="zh-CN"/>
        </w:rPr>
        <w:t>i</w:t>
      </w:r>
      <w:r w:rsidRPr="00F427F0">
        <w:rPr>
          <w:rFonts w:ascii="Book Antiqua" w:eastAsia="Book Antiqua" w:hAnsi="Book Antiqua" w:cs="Book Antiqua"/>
          <w:b/>
          <w:bCs/>
          <w:i/>
          <w:iCs/>
        </w:rPr>
        <w:t>dentification</w:t>
      </w:r>
      <w:r w:rsidRPr="00F427F0">
        <w:rPr>
          <w:rFonts w:ascii="Book Antiqua" w:eastAsia="宋体" w:hAnsi="Book Antiqua" w:cs="Book Antiqua"/>
          <w:b/>
          <w:bCs/>
          <w:i/>
          <w:iCs/>
          <w:lang w:eastAsia="zh-CN"/>
        </w:rPr>
        <w:t xml:space="preserve"> of </w:t>
      </w:r>
      <w:r w:rsidRPr="00F427F0">
        <w:rPr>
          <w:rFonts w:ascii="Book Antiqua" w:eastAsia="Book Antiqua" w:hAnsi="Book Antiqua" w:cs="Book Antiqua"/>
          <w:b/>
          <w:bCs/>
          <w:i/>
          <w:iCs/>
        </w:rPr>
        <w:t>hub gene</w:t>
      </w:r>
      <w:r w:rsidRPr="00F427F0">
        <w:rPr>
          <w:rFonts w:ascii="Book Antiqua" w:eastAsia="宋体" w:hAnsi="Book Antiqua" w:cs="Book Antiqua"/>
          <w:b/>
          <w:bCs/>
          <w:i/>
          <w:iCs/>
          <w:lang w:eastAsia="zh-CN"/>
        </w:rPr>
        <w:t>s</w:t>
      </w:r>
    </w:p>
    <w:p w14:paraId="7652DB36" w14:textId="77777777" w:rsidR="00D23823" w:rsidRPr="00F427F0" w:rsidRDefault="00000000">
      <w:pPr>
        <w:spacing w:line="360" w:lineRule="auto"/>
        <w:jc w:val="both"/>
        <w:rPr>
          <w:rFonts w:ascii="Book Antiqua" w:eastAsia="Book Antiqua" w:hAnsi="Book Antiqua" w:cs="Book Antiqua"/>
        </w:rPr>
      </w:pPr>
      <w:r w:rsidRPr="00F427F0">
        <w:rPr>
          <w:rFonts w:ascii="Book Antiqua" w:eastAsia="Book Antiqua" w:hAnsi="Book Antiqua" w:cs="Book Antiqua"/>
        </w:rPr>
        <w:t xml:space="preserve">A public online database, </w:t>
      </w:r>
      <w:r w:rsidRPr="00F427F0">
        <w:rPr>
          <w:rFonts w:ascii="Book Antiqua" w:eastAsia="宋体" w:hAnsi="Book Antiqua" w:cs="Book Antiqua"/>
          <w:lang w:eastAsia="zh-CN"/>
        </w:rPr>
        <w:t xml:space="preserve">named </w:t>
      </w:r>
      <w:r w:rsidRPr="00F427F0">
        <w:rPr>
          <w:rFonts w:ascii="Book Antiqua" w:eastAsia="Book Antiqua" w:hAnsi="Book Antiqua" w:cs="Book Antiqua"/>
        </w:rPr>
        <w:t>STRING (https://string-db.org/), can be used to search for and predict PPIs</w:t>
      </w:r>
      <w:r w:rsidRPr="00F427F0">
        <w:rPr>
          <w:rFonts w:ascii="Book Antiqua" w:eastAsia="宋体" w:hAnsi="Book Antiqua" w:cs="Book Antiqua"/>
          <w:lang w:eastAsia="zh-CN"/>
        </w:rPr>
        <w:t>. This inclusive resource facilitates the investigation of direct physical associations between proteins, as well as the detection of indirect functional connections unveiled through correlation analyses</w:t>
      </w:r>
      <w:r w:rsidRPr="00F427F0">
        <w:rPr>
          <w:rFonts w:ascii="Book Antiqua" w:eastAsia="Book Antiqua" w:hAnsi="Book Antiqua" w:cs="Book Antiqua"/>
          <w:vertAlign w:val="superscript"/>
        </w:rPr>
        <w:t>[22]</w:t>
      </w:r>
      <w:r w:rsidRPr="00F427F0">
        <w:rPr>
          <w:rFonts w:ascii="Book Antiqua" w:eastAsia="Book Antiqua" w:hAnsi="Book Antiqua" w:cs="Book Antiqua"/>
        </w:rPr>
        <w:t xml:space="preserve">. </w:t>
      </w:r>
      <w:r w:rsidRPr="00F427F0">
        <w:rPr>
          <w:rFonts w:ascii="Book Antiqua" w:eastAsia="宋体" w:hAnsi="Book Antiqua" w:cs="Book Antiqua"/>
          <w:lang w:eastAsia="zh-CN"/>
        </w:rPr>
        <w:t>When common DEGs between different groups were identified, they were uploaded</w:t>
      </w:r>
      <w:r w:rsidRPr="00F427F0">
        <w:rPr>
          <w:rFonts w:ascii="Book Antiqua" w:eastAsia="Book Antiqua" w:hAnsi="Book Antiqua" w:cs="Book Antiqua"/>
        </w:rPr>
        <w:t xml:space="preserve"> to STRING’s official website (https://cn.string-db.org/)</w:t>
      </w:r>
      <w:r w:rsidRPr="00F427F0">
        <w:rPr>
          <w:rFonts w:ascii="Book Antiqua" w:eastAsia="宋体" w:hAnsi="Book Antiqua" w:cs="Book Antiqua"/>
          <w:lang w:eastAsia="zh-CN"/>
        </w:rPr>
        <w:t xml:space="preserve"> and the</w:t>
      </w:r>
      <w:r w:rsidRPr="00F427F0">
        <w:rPr>
          <w:rFonts w:ascii="Book Antiqua" w:eastAsia="Book Antiqua" w:hAnsi="Book Antiqua" w:cs="Book Antiqua"/>
        </w:rPr>
        <w:t xml:space="preserve"> </w:t>
      </w:r>
      <w:r w:rsidRPr="00F427F0">
        <w:rPr>
          <w:rFonts w:ascii="Book Antiqua" w:eastAsia="宋体" w:hAnsi="Book Antiqua" w:cs="Book Antiqua"/>
          <w:lang w:eastAsia="zh-CN"/>
        </w:rPr>
        <w:t>interactions</w:t>
      </w:r>
      <w:r w:rsidRPr="00F427F0">
        <w:rPr>
          <w:rFonts w:ascii="Book Antiqua" w:eastAsia="Book Antiqua" w:hAnsi="Book Antiqua" w:cs="Book Antiqua"/>
        </w:rPr>
        <w:t xml:space="preserve"> between DEGs and STRING database proteins were </w:t>
      </w:r>
      <w:r w:rsidRPr="00F427F0">
        <w:rPr>
          <w:rFonts w:ascii="Book Antiqua" w:eastAsia="宋体" w:hAnsi="Book Antiqua" w:cs="Book Antiqua"/>
          <w:lang w:eastAsia="zh-CN"/>
        </w:rPr>
        <w:t>then assigned</w:t>
      </w:r>
      <w:r w:rsidRPr="00F427F0">
        <w:rPr>
          <w:rFonts w:ascii="Book Antiqua" w:eastAsia="Book Antiqua" w:hAnsi="Book Antiqua" w:cs="Book Antiqua"/>
        </w:rPr>
        <w:t xml:space="preserve"> </w:t>
      </w:r>
      <w:r w:rsidRPr="00F427F0">
        <w:rPr>
          <w:rFonts w:ascii="Book Antiqua" w:eastAsia="宋体" w:hAnsi="Book Antiqua" w:cs="Book Antiqua"/>
          <w:lang w:eastAsia="zh-CN"/>
        </w:rPr>
        <w:t xml:space="preserve">(with </w:t>
      </w:r>
      <w:r w:rsidRPr="00F427F0">
        <w:rPr>
          <w:rFonts w:ascii="Book Antiqua" w:eastAsia="Book Antiqua" w:hAnsi="Book Antiqua" w:cs="Book Antiqua"/>
        </w:rPr>
        <w:t xml:space="preserve">a minimum needed interaction score </w:t>
      </w:r>
      <w:r w:rsidRPr="00F427F0">
        <w:rPr>
          <w:rFonts w:ascii="Book Antiqua" w:eastAsia="宋体" w:hAnsi="Book Antiqua" w:cs="Book Antiqua"/>
          <w:lang w:eastAsia="zh-CN"/>
        </w:rPr>
        <w:t>of</w:t>
      </w:r>
      <w:r w:rsidRPr="00F427F0">
        <w:rPr>
          <w:rFonts w:ascii="Book Antiqua" w:eastAsia="Book Antiqua" w:hAnsi="Book Antiqua" w:cs="Book Antiqua"/>
        </w:rPr>
        <w:t xml:space="preserve"> 0.40</w:t>
      </w:r>
      <w:r w:rsidRPr="00F427F0">
        <w:rPr>
          <w:rFonts w:ascii="Book Antiqua" w:eastAsia="宋体" w:hAnsi="Book Antiqua" w:cs="Book Antiqua"/>
          <w:lang w:eastAsia="zh-CN"/>
        </w:rPr>
        <w:t>)</w:t>
      </w:r>
      <w:r w:rsidRPr="00F427F0">
        <w:rPr>
          <w:rFonts w:ascii="Book Antiqua" w:eastAsia="Book Antiqua" w:hAnsi="Book Antiqua" w:cs="Book Antiqua"/>
        </w:rPr>
        <w:t xml:space="preserve">. We followed the method of Liu </w:t>
      </w:r>
      <w:r w:rsidRPr="00F427F0">
        <w:rPr>
          <w:rFonts w:ascii="Book Antiqua" w:eastAsia="Book Antiqua" w:hAnsi="Book Antiqua" w:cs="Book Antiqua"/>
          <w:i/>
          <w:iCs/>
        </w:rPr>
        <w:t>et al</w:t>
      </w:r>
      <w:r w:rsidRPr="00F427F0">
        <w:rPr>
          <w:rFonts w:ascii="Book Antiqua" w:eastAsia="Book Antiqua" w:hAnsi="Book Antiqua" w:cs="Book Antiqua"/>
          <w:vertAlign w:val="superscript"/>
        </w:rPr>
        <w:t>[23]</w:t>
      </w:r>
      <w:r w:rsidRPr="00F427F0">
        <w:rPr>
          <w:rFonts w:ascii="Book Antiqua" w:eastAsia="Book Antiqua" w:hAnsi="Book Antiqua" w:cs="Book Antiqua"/>
        </w:rPr>
        <w:t>, in which PPI interaction networks were visualized using Cytoscape (Version 3.6.1</w:t>
      </w:r>
      <w:r w:rsidRPr="00F427F0">
        <w:rPr>
          <w:rFonts w:ascii="Book Antiqua" w:eastAsia="宋体" w:hAnsi="Book Antiqua" w:cs="Book Antiqua"/>
          <w:lang w:eastAsia="zh-CN"/>
        </w:rPr>
        <w:t xml:space="preserve">). </w:t>
      </w:r>
      <w:r w:rsidRPr="00F427F0">
        <w:rPr>
          <w:rFonts w:ascii="Book Antiqua" w:eastAsia="Book Antiqua" w:hAnsi="Book Antiqua" w:cs="Book Antiqua"/>
        </w:rPr>
        <w:t>Cytoscape</w:t>
      </w:r>
      <w:r w:rsidRPr="00F427F0">
        <w:rPr>
          <w:rFonts w:ascii="Book Antiqua" w:eastAsia="宋体" w:hAnsi="Book Antiqua" w:cs="Book Antiqua"/>
          <w:lang w:eastAsia="zh-CN"/>
        </w:rPr>
        <w:t xml:space="preserve"> is from </w:t>
      </w:r>
      <w:r w:rsidRPr="00F427F0">
        <w:rPr>
          <w:rFonts w:ascii="Book Antiqua" w:eastAsia="Book Antiqua" w:hAnsi="Book Antiqua" w:cs="Book Antiqua"/>
        </w:rPr>
        <w:t>National Institute of General Medical Sciences, United States. We used CytoHubba (Version 0.1)</w:t>
      </w:r>
      <w:r w:rsidRPr="00F427F0">
        <w:rPr>
          <w:rFonts w:ascii="Book Antiqua" w:eastAsia="宋体" w:hAnsi="Book Antiqua" w:cs="Book Antiqua"/>
          <w:lang w:eastAsia="zh-CN"/>
        </w:rPr>
        <w:t xml:space="preserve"> </w:t>
      </w:r>
      <w:r w:rsidRPr="00F427F0">
        <w:rPr>
          <w:rFonts w:ascii="Book Antiqua" w:eastAsia="Book Antiqua" w:hAnsi="Book Antiqua" w:cs="Book Antiqua"/>
        </w:rPr>
        <w:t>to identify hub genes using a maximal clique centrality algorithm.</w:t>
      </w:r>
    </w:p>
    <w:p w14:paraId="63B09AD4" w14:textId="77777777" w:rsidR="00D23823" w:rsidRPr="00F427F0" w:rsidRDefault="00D23823">
      <w:pPr>
        <w:spacing w:line="360" w:lineRule="auto"/>
        <w:jc w:val="both"/>
        <w:rPr>
          <w:rFonts w:ascii="Book Antiqua" w:hAnsi="Book Antiqua"/>
        </w:rPr>
      </w:pPr>
    </w:p>
    <w:p w14:paraId="0930ACBB" w14:textId="77777777" w:rsidR="00D23823" w:rsidRPr="00F427F0" w:rsidRDefault="00000000">
      <w:pPr>
        <w:spacing w:line="360" w:lineRule="auto"/>
        <w:jc w:val="both"/>
        <w:rPr>
          <w:rFonts w:ascii="Book Antiqua" w:hAnsi="Book Antiqua"/>
          <w:i/>
          <w:iCs/>
        </w:rPr>
      </w:pPr>
      <w:r w:rsidRPr="00F427F0">
        <w:rPr>
          <w:rFonts w:ascii="Book Antiqua" w:eastAsia="Book Antiqua" w:hAnsi="Book Antiqua" w:cs="Book Antiqua"/>
          <w:b/>
          <w:bCs/>
          <w:i/>
          <w:iCs/>
        </w:rPr>
        <w:t>Evaluation of infiltrated immune cells</w:t>
      </w:r>
    </w:p>
    <w:p w14:paraId="2B5F431F"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To explore the association between infiltrating immune cells and </w:t>
      </w:r>
      <w:r w:rsidRPr="00F427F0">
        <w:rPr>
          <w:rFonts w:ascii="Book Antiqua" w:eastAsia="Book Antiqua" w:hAnsi="Book Antiqua" w:cs="Book Antiqua"/>
          <w:i/>
          <w:iCs/>
        </w:rPr>
        <w:t xml:space="preserve">H. pylori </w:t>
      </w:r>
      <w:r w:rsidRPr="00F427F0">
        <w:rPr>
          <w:rFonts w:ascii="Book Antiqua" w:eastAsia="Book Antiqua" w:hAnsi="Book Antiqua" w:cs="Book Antiqua"/>
        </w:rPr>
        <w:t xml:space="preserve">infection, data on proportions of the 22 immune cell types were obtained using the “cell-type identification by estimating relative subsets of RNA transcripts” (CIBERSORT) algorithm (https://cibersort.stanford.edu/). As a result, only samples with a </w:t>
      </w:r>
      <w:r w:rsidRPr="00F427F0">
        <w:rPr>
          <w:rFonts w:ascii="Book Antiqua" w:eastAsia="Book Antiqua" w:hAnsi="Book Antiqua" w:cs="Book Antiqua"/>
          <w:i/>
          <w:iCs/>
        </w:rPr>
        <w:t>P</w:t>
      </w:r>
      <w:r w:rsidRPr="00F427F0">
        <w:rPr>
          <w:rFonts w:ascii="Book Antiqua" w:eastAsia="Book Antiqua" w:hAnsi="Book Antiqua" w:cs="Book Antiqua"/>
        </w:rPr>
        <w:t xml:space="preserve"> value of </w:t>
      </w:r>
      <w:r w:rsidRPr="00F427F0">
        <w:rPr>
          <w:rFonts w:ascii="Book Antiqua" w:eastAsia="宋体" w:hAnsi="Book Antiqua" w:cs="Book Antiqua"/>
          <w:lang w:eastAsia="zh-CN"/>
        </w:rPr>
        <w:t xml:space="preserve">&lt; </w:t>
      </w:r>
      <w:r w:rsidRPr="00F427F0">
        <w:rPr>
          <w:rFonts w:ascii="Book Antiqua" w:eastAsia="Book Antiqua" w:hAnsi="Book Antiqua" w:cs="Book Antiqua"/>
        </w:rPr>
        <w:t xml:space="preserve">0.05 were included in the immune cell infiltration matrix. Boxplots and violin plots were </w:t>
      </w:r>
      <w:r w:rsidRPr="00F427F0">
        <w:rPr>
          <w:rFonts w:ascii="Book Antiqua" w:eastAsia="宋体" w:hAnsi="Book Antiqua" w:cs="Book Antiqua"/>
          <w:lang w:eastAsia="zh-CN"/>
        </w:rPr>
        <w:t>utilized</w:t>
      </w:r>
      <w:r w:rsidRPr="00F427F0">
        <w:rPr>
          <w:rFonts w:ascii="Book Antiqua" w:eastAsia="Book Antiqua" w:hAnsi="Book Antiqua" w:cs="Book Antiqua"/>
        </w:rPr>
        <w:t xml:space="preserve"> to visualize the proportions of infiltrated immune cells in each sample and each</w:t>
      </w:r>
      <w:r w:rsidRPr="00F427F0">
        <w:rPr>
          <w:rFonts w:ascii="Book Antiqua" w:eastAsia="宋体" w:hAnsi="Book Antiqua" w:cs="Book Antiqua"/>
          <w:lang w:eastAsia="zh-CN"/>
        </w:rPr>
        <w:t xml:space="preserve"> </w:t>
      </w:r>
      <w:r w:rsidRPr="00F427F0">
        <w:rPr>
          <w:rFonts w:ascii="Book Antiqua" w:eastAsia="Book Antiqua" w:hAnsi="Book Antiqua" w:cs="Book Antiqua"/>
        </w:rPr>
        <w:t>group. The correlation between expression of the five hub genes and the abundance of six immune cell subsets [B cells, CD4+ T cells, CD8+ T cells, macrophages, dendritic cells (DCs), and neutrophils] was analyzed in the gene module of TIMER (http://timer.cistrome.org/)</w:t>
      </w:r>
      <w:r w:rsidRPr="00F427F0">
        <w:rPr>
          <w:rFonts w:ascii="Book Antiqua" w:eastAsia="宋体" w:hAnsi="Book Antiqua" w:cs="Book Antiqua"/>
          <w:vertAlign w:val="superscript"/>
          <w:lang w:eastAsia="zh-CN"/>
        </w:rPr>
        <w:t>[24]</w:t>
      </w:r>
      <w:r w:rsidRPr="00F427F0">
        <w:rPr>
          <w:rFonts w:ascii="Book Antiqua" w:eastAsia="Book Antiqua" w:hAnsi="Book Antiqua" w:cs="Book Antiqua"/>
        </w:rPr>
        <w:t>.</w:t>
      </w:r>
    </w:p>
    <w:p w14:paraId="009ED727" w14:textId="77777777" w:rsidR="00D23823" w:rsidRPr="00F427F0" w:rsidRDefault="00D23823">
      <w:pPr>
        <w:spacing w:line="360" w:lineRule="auto"/>
        <w:jc w:val="both"/>
        <w:rPr>
          <w:rFonts w:ascii="Book Antiqua" w:hAnsi="Book Antiqua"/>
        </w:rPr>
      </w:pPr>
    </w:p>
    <w:p w14:paraId="68B0B34E" w14:textId="77777777" w:rsidR="00D23823" w:rsidRPr="00F427F0" w:rsidRDefault="00000000">
      <w:pPr>
        <w:spacing w:line="360" w:lineRule="auto"/>
        <w:jc w:val="both"/>
        <w:rPr>
          <w:rFonts w:ascii="Book Antiqua" w:eastAsia="宋体" w:hAnsi="Book Antiqua"/>
          <w:i/>
          <w:iCs/>
          <w:lang w:eastAsia="zh-CN"/>
        </w:rPr>
      </w:pPr>
      <w:r w:rsidRPr="00F427F0">
        <w:rPr>
          <w:rFonts w:ascii="Book Antiqua" w:eastAsia="宋体" w:hAnsi="Book Antiqua" w:cs="Book Antiqua"/>
          <w:b/>
          <w:bCs/>
          <w:i/>
          <w:iCs/>
          <w:lang w:eastAsia="zh-CN"/>
        </w:rPr>
        <w:t>M</w:t>
      </w:r>
      <w:r w:rsidRPr="00F427F0">
        <w:rPr>
          <w:rFonts w:ascii="Book Antiqua" w:eastAsia="Book Antiqua" w:hAnsi="Book Antiqua" w:cs="Book Antiqua"/>
          <w:b/>
          <w:bCs/>
          <w:i/>
          <w:iCs/>
        </w:rPr>
        <w:t xml:space="preserve">iRNAs </w:t>
      </w:r>
      <w:r w:rsidRPr="00F427F0">
        <w:rPr>
          <w:rFonts w:ascii="Book Antiqua" w:eastAsia="宋体" w:hAnsi="Book Antiqua" w:cs="Book Antiqua"/>
          <w:b/>
          <w:bCs/>
          <w:i/>
          <w:iCs/>
          <w:lang w:eastAsia="zh-CN"/>
        </w:rPr>
        <w:t xml:space="preserve">prediction </w:t>
      </w:r>
      <w:r w:rsidRPr="00F427F0">
        <w:rPr>
          <w:rFonts w:ascii="Book Antiqua" w:eastAsia="Book Antiqua" w:hAnsi="Book Antiqua" w:cs="Book Antiqua"/>
          <w:b/>
          <w:bCs/>
          <w:i/>
          <w:iCs/>
        </w:rPr>
        <w:t>and</w:t>
      </w:r>
      <w:r w:rsidRPr="00F427F0">
        <w:rPr>
          <w:rFonts w:ascii="Book Antiqua" w:eastAsia="宋体" w:hAnsi="Book Antiqua" w:cs="Book Antiqua"/>
          <w:b/>
          <w:bCs/>
          <w:i/>
          <w:iCs/>
          <w:lang w:eastAsia="zh-CN"/>
        </w:rPr>
        <w:t xml:space="preserve"> </w:t>
      </w:r>
      <w:r w:rsidRPr="00F427F0">
        <w:rPr>
          <w:rFonts w:ascii="Book Antiqua" w:eastAsia="Book Antiqua" w:hAnsi="Book Antiqua" w:cs="Book Antiqua"/>
          <w:b/>
          <w:bCs/>
          <w:i/>
          <w:iCs/>
        </w:rPr>
        <w:t>gene–miRNA interaction network</w:t>
      </w:r>
      <w:r w:rsidRPr="00F427F0">
        <w:rPr>
          <w:rFonts w:ascii="Book Antiqua" w:eastAsia="宋体" w:hAnsi="Book Antiqua" w:cs="Book Antiqua"/>
          <w:b/>
          <w:bCs/>
          <w:i/>
          <w:iCs/>
          <w:lang w:eastAsia="zh-CN"/>
        </w:rPr>
        <w:t xml:space="preserve"> construction</w:t>
      </w:r>
    </w:p>
    <w:p w14:paraId="5DDBA3C2" w14:textId="0B942B8A"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In order to predict their targeted miRNAs, hub genes were selected and analyzed using the miRWalk database (http://mirwalk.umm.uni-heidelberg.de/). The filter setting with a score of &gt; 0.90 was implemented</w:t>
      </w:r>
      <w:r w:rsidRPr="00F427F0">
        <w:rPr>
          <w:rFonts w:ascii="Book Antiqua" w:eastAsia="宋体" w:hAnsi="Book Antiqua" w:cs="Book Antiqua"/>
          <w:lang w:eastAsia="zh-CN"/>
        </w:rPr>
        <w:t>.</w:t>
      </w:r>
      <w:r w:rsidRPr="00F427F0">
        <w:rPr>
          <w:rFonts w:ascii="Book Antiqua" w:eastAsia="Book Antiqua" w:hAnsi="Book Antiqua" w:cs="Book Antiqua"/>
        </w:rPr>
        <w:t xml:space="preserve"> </w:t>
      </w:r>
      <w:r w:rsidRPr="00F427F0">
        <w:rPr>
          <w:rFonts w:ascii="Book Antiqua" w:eastAsia="宋体" w:hAnsi="Book Antiqua" w:cs="Book Antiqua"/>
          <w:lang w:eastAsia="zh-CN"/>
        </w:rPr>
        <w:t>T</w:t>
      </w:r>
      <w:r w:rsidRPr="00F427F0">
        <w:rPr>
          <w:rFonts w:ascii="Book Antiqua" w:eastAsia="Book Antiqua" w:hAnsi="Book Antiqua" w:cs="Book Antiqua"/>
        </w:rPr>
        <w:t>he target gene binding region was the 3</w:t>
      </w:r>
      <w:r w:rsidR="007579BD">
        <w:rPr>
          <w:rFonts w:eastAsia="Book Antiqua"/>
        </w:rPr>
        <w:t>’</w:t>
      </w:r>
      <w:r w:rsidR="00993D6E">
        <w:rPr>
          <w:rFonts w:ascii="Book Antiqua" w:eastAsia="Book Antiqua" w:hAnsi="Book Antiqua" w:cs="Book Antiqua"/>
        </w:rPr>
        <w:t>-</w:t>
      </w:r>
      <w:r w:rsidRPr="00F427F0">
        <w:rPr>
          <w:rFonts w:ascii="Book Antiqua" w:eastAsia="Book Antiqua" w:hAnsi="Book Antiqua" w:cs="Book Antiqua"/>
        </w:rPr>
        <w:t>UTR,</w:t>
      </w:r>
      <w:r w:rsidRPr="00F427F0">
        <w:rPr>
          <w:rFonts w:ascii="Book Antiqua" w:eastAsia="宋体" w:hAnsi="Book Antiqua" w:cs="Book Antiqua"/>
          <w:lang w:eastAsia="zh-CN"/>
        </w:rPr>
        <w:t xml:space="preserve"> </w:t>
      </w:r>
      <w:r w:rsidRPr="00F427F0">
        <w:rPr>
          <w:rFonts w:ascii="Book Antiqua" w:eastAsia="宋体" w:hAnsi="Book Antiqua" w:cs="Book Antiqua"/>
          <w:lang w:eastAsia="zh-CN"/>
        </w:rPr>
        <w:lastRenderedPageBreak/>
        <w:t>and the intersection with other</w:t>
      </w:r>
      <w:r w:rsidRPr="00F427F0">
        <w:rPr>
          <w:rFonts w:ascii="Book Antiqua" w:eastAsia="Book Antiqua" w:hAnsi="Book Antiqua" w:cs="Book Antiqua"/>
        </w:rPr>
        <w:t xml:space="preserve"> databases was set to miRDB. Further </w:t>
      </w:r>
      <w:r w:rsidRPr="00F427F0">
        <w:rPr>
          <w:rFonts w:ascii="Book Antiqua" w:eastAsia="宋体" w:hAnsi="Book Antiqua" w:cs="Book Antiqua"/>
          <w:lang w:eastAsia="zh-CN"/>
        </w:rPr>
        <w:t xml:space="preserve">data </w:t>
      </w:r>
      <w:r w:rsidRPr="00F427F0">
        <w:rPr>
          <w:rFonts w:ascii="Book Antiqua" w:eastAsia="Book Antiqua" w:hAnsi="Book Antiqua" w:cs="Book Antiqua"/>
        </w:rPr>
        <w:t xml:space="preserve">processing was carried out </w:t>
      </w:r>
      <w:r w:rsidRPr="00F427F0">
        <w:rPr>
          <w:rFonts w:ascii="Book Antiqua" w:eastAsia="宋体" w:hAnsi="Book Antiqua" w:cs="Book Antiqua"/>
          <w:lang w:eastAsia="zh-CN"/>
        </w:rPr>
        <w:t>by</w:t>
      </w:r>
      <w:r w:rsidRPr="00F427F0">
        <w:rPr>
          <w:rFonts w:ascii="Book Antiqua" w:eastAsia="Book Antiqua" w:hAnsi="Book Antiqua" w:cs="Book Antiqua"/>
        </w:rPr>
        <w:t xml:space="preserve"> Cytoscape.</w:t>
      </w:r>
    </w:p>
    <w:p w14:paraId="4E262869" w14:textId="77777777" w:rsidR="00D23823" w:rsidRPr="00F427F0" w:rsidRDefault="00D23823">
      <w:pPr>
        <w:spacing w:line="360" w:lineRule="auto"/>
        <w:jc w:val="both"/>
        <w:rPr>
          <w:rFonts w:ascii="Book Antiqua" w:hAnsi="Book Antiqua"/>
        </w:rPr>
      </w:pPr>
    </w:p>
    <w:p w14:paraId="28E9234E" w14:textId="77777777" w:rsidR="00D23823" w:rsidRPr="00F427F0" w:rsidRDefault="00000000">
      <w:pPr>
        <w:spacing w:line="360" w:lineRule="auto"/>
        <w:jc w:val="both"/>
        <w:rPr>
          <w:rFonts w:ascii="Book Antiqua" w:hAnsi="Book Antiqua"/>
          <w:i/>
          <w:iCs/>
        </w:rPr>
      </w:pPr>
      <w:r w:rsidRPr="00F427F0">
        <w:rPr>
          <w:rFonts w:ascii="Book Antiqua" w:eastAsia="Book Antiqua" w:hAnsi="Book Antiqua" w:cs="Book Antiqua"/>
          <w:b/>
          <w:bCs/>
          <w:i/>
          <w:iCs/>
        </w:rPr>
        <w:t>TF-gene interaction network</w:t>
      </w:r>
    </w:p>
    <w:p w14:paraId="12FC350A"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The Network Analyst database (https://www.networkanalyst.ca/) was </w:t>
      </w:r>
      <w:r w:rsidRPr="00F427F0">
        <w:rPr>
          <w:rFonts w:ascii="Book Antiqua" w:eastAsia="宋体" w:hAnsi="Book Antiqua" w:cs="Book Antiqua"/>
          <w:lang w:eastAsia="zh-CN"/>
        </w:rPr>
        <w:t xml:space="preserve">applied </w:t>
      </w:r>
      <w:r w:rsidRPr="00F427F0">
        <w:rPr>
          <w:rFonts w:ascii="Book Antiqua" w:eastAsia="Book Antiqua" w:hAnsi="Book Antiqua" w:cs="Book Antiqua"/>
        </w:rPr>
        <w:t xml:space="preserve">to </w:t>
      </w:r>
      <w:r w:rsidRPr="00F427F0">
        <w:rPr>
          <w:rFonts w:ascii="Book Antiqua" w:eastAsia="宋体" w:hAnsi="Book Antiqua" w:cs="Book Antiqua"/>
          <w:lang w:eastAsia="zh-CN"/>
        </w:rPr>
        <w:t xml:space="preserve">identify </w:t>
      </w:r>
      <w:r w:rsidRPr="00F427F0">
        <w:rPr>
          <w:rFonts w:ascii="Book Antiqua" w:eastAsia="Book Antiqua" w:hAnsi="Book Antiqua" w:cs="Book Antiqua"/>
        </w:rPr>
        <w:t>human TFs of the related hub genes</w:t>
      </w:r>
      <w:r w:rsidRPr="00F427F0">
        <w:rPr>
          <w:rFonts w:ascii="Book Antiqua" w:eastAsia="Book Antiqua" w:hAnsi="Book Antiqua" w:cs="Book Antiqua"/>
          <w:vertAlign w:val="superscript"/>
        </w:rPr>
        <w:t>[2</w:t>
      </w:r>
      <w:r w:rsidRPr="00F427F0">
        <w:rPr>
          <w:rFonts w:ascii="Book Antiqua" w:eastAsia="宋体" w:hAnsi="Book Antiqua" w:cs="Book Antiqua"/>
          <w:vertAlign w:val="superscript"/>
          <w:lang w:eastAsia="zh-CN"/>
        </w:rPr>
        <w:t>5</w:t>
      </w:r>
      <w:r w:rsidRPr="00F427F0">
        <w:rPr>
          <w:rFonts w:ascii="Book Antiqua" w:eastAsia="Book Antiqua" w:hAnsi="Book Antiqua" w:cs="Book Antiqua"/>
          <w:vertAlign w:val="superscript"/>
        </w:rPr>
        <w:t>]</w:t>
      </w:r>
      <w:r w:rsidRPr="00F427F0">
        <w:rPr>
          <w:rFonts w:ascii="Book Antiqua" w:eastAsia="Book Antiqua" w:hAnsi="Book Antiqua" w:cs="Book Antiqua"/>
        </w:rPr>
        <w:t xml:space="preserve">. The database </w:t>
      </w:r>
      <w:r w:rsidRPr="00F427F0">
        <w:rPr>
          <w:rFonts w:ascii="Book Antiqua" w:eastAsia="宋体" w:hAnsi="Book Antiqua" w:cs="Book Antiqua"/>
          <w:lang w:eastAsia="zh-CN"/>
        </w:rPr>
        <w:t>includes</w:t>
      </w:r>
      <w:r w:rsidRPr="00F427F0">
        <w:rPr>
          <w:rFonts w:ascii="Book Antiqua" w:eastAsia="Book Antiqua" w:hAnsi="Book Antiqua" w:cs="Book Antiqua"/>
        </w:rPr>
        <w:t xml:space="preserve"> </w:t>
      </w:r>
      <w:r w:rsidRPr="00F427F0">
        <w:rPr>
          <w:rFonts w:ascii="Book Antiqua" w:eastAsia="宋体" w:hAnsi="Book Antiqua" w:cs="Book Antiqua"/>
          <w:lang w:eastAsia="zh-CN"/>
        </w:rPr>
        <w:t xml:space="preserve">all </w:t>
      </w:r>
      <w:r w:rsidRPr="00F427F0">
        <w:rPr>
          <w:rFonts w:ascii="Book Antiqua" w:eastAsia="Book Antiqua" w:hAnsi="Book Antiqua" w:cs="Book Antiqua"/>
        </w:rPr>
        <w:t xml:space="preserve">three </w:t>
      </w:r>
      <w:r w:rsidRPr="00F427F0">
        <w:rPr>
          <w:rFonts w:ascii="Book Antiqua" w:eastAsia="宋体" w:hAnsi="Book Antiqua" w:cs="Book Antiqua"/>
          <w:lang w:eastAsia="zh-CN"/>
        </w:rPr>
        <w:t>data sources</w:t>
      </w:r>
      <w:r w:rsidRPr="00F427F0">
        <w:rPr>
          <w:rFonts w:ascii="Book Antiqua" w:eastAsia="Book Antiqua" w:hAnsi="Book Antiqua" w:cs="Book Antiqua"/>
        </w:rPr>
        <w:t xml:space="preserve"> named JASPAR, ENCODE and ChIP Enrichment Analysis. ChIP Enrichment Analysis was used to identify target TFs of hub genes in </w:t>
      </w:r>
      <w:r w:rsidRPr="00F427F0">
        <w:rPr>
          <w:rFonts w:ascii="Book Antiqua" w:eastAsia="宋体" w:hAnsi="Book Antiqua" w:cs="Book Antiqua"/>
          <w:lang w:eastAsia="zh-CN"/>
        </w:rPr>
        <w:t>our</w:t>
      </w:r>
      <w:r w:rsidRPr="00F427F0">
        <w:rPr>
          <w:rFonts w:ascii="Book Antiqua" w:eastAsia="Book Antiqua" w:hAnsi="Book Antiqua" w:cs="Book Antiqua"/>
        </w:rPr>
        <w:t xml:space="preserve"> current study. Moreover, the Cytoscape tool was used to visualize the TF-gene interaction network among TFs and hub genes.</w:t>
      </w:r>
    </w:p>
    <w:p w14:paraId="708B81F8" w14:textId="77777777" w:rsidR="00D23823" w:rsidRPr="00F427F0" w:rsidRDefault="00D23823">
      <w:pPr>
        <w:spacing w:line="360" w:lineRule="auto"/>
        <w:jc w:val="both"/>
        <w:rPr>
          <w:rFonts w:ascii="Book Antiqua" w:hAnsi="Book Antiqua"/>
        </w:rPr>
      </w:pPr>
    </w:p>
    <w:p w14:paraId="3305EFEB" w14:textId="77777777" w:rsidR="00D23823" w:rsidRPr="00F427F0" w:rsidRDefault="00000000">
      <w:pPr>
        <w:spacing w:line="360" w:lineRule="auto"/>
        <w:jc w:val="both"/>
        <w:rPr>
          <w:rFonts w:ascii="Book Antiqua" w:hAnsi="Book Antiqua"/>
          <w:i/>
          <w:iCs/>
        </w:rPr>
      </w:pPr>
      <w:r w:rsidRPr="00F427F0">
        <w:rPr>
          <w:rFonts w:ascii="Book Antiqua" w:eastAsia="Book Antiqua" w:hAnsi="Book Antiqua" w:cs="Book Antiqua"/>
          <w:b/>
          <w:bCs/>
          <w:i/>
          <w:iCs/>
        </w:rPr>
        <w:t>Single</w:t>
      </w:r>
      <w:r w:rsidRPr="00F427F0">
        <w:rPr>
          <w:rFonts w:ascii="Book Antiqua" w:eastAsia="Book Antiqua" w:hAnsi="Book Antiqua" w:cs="Book Antiqua"/>
          <w:b/>
          <w:bCs/>
          <w:i/>
          <w:iCs/>
        </w:rPr>
        <w:noBreakHyphen/>
        <w:t>gene gene set enrichment analysis</w:t>
      </w:r>
    </w:p>
    <w:p w14:paraId="05D1E8B6"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Gene set enrichment analysis (GSEA) of each hub gene was performed using the “clusterProfiler” R package to identify regulatory pathways and biological functions associated with each hub gene. An adjusted </w:t>
      </w:r>
      <w:r w:rsidRPr="00F427F0">
        <w:rPr>
          <w:rFonts w:ascii="Book Antiqua" w:eastAsia="Book Antiqua" w:hAnsi="Book Antiqua" w:cs="Book Antiqua"/>
          <w:i/>
          <w:iCs/>
        </w:rPr>
        <w:t>P</w:t>
      </w:r>
      <w:r w:rsidRPr="00F427F0">
        <w:rPr>
          <w:rFonts w:ascii="Book Antiqua" w:eastAsia="Book Antiqua" w:hAnsi="Book Antiqua" w:cs="Book Antiqua"/>
        </w:rPr>
        <w:t xml:space="preserve"> &lt; 0.05 was used to indicate significant thresholds for GSEA.</w:t>
      </w:r>
    </w:p>
    <w:p w14:paraId="60D93587" w14:textId="77777777" w:rsidR="00D23823" w:rsidRPr="00F427F0" w:rsidRDefault="00D23823">
      <w:pPr>
        <w:spacing w:line="360" w:lineRule="auto"/>
        <w:jc w:val="both"/>
        <w:rPr>
          <w:rFonts w:ascii="Book Antiqua" w:hAnsi="Book Antiqua"/>
        </w:rPr>
      </w:pPr>
    </w:p>
    <w:p w14:paraId="07E76AB7" w14:textId="77777777" w:rsidR="00D23823" w:rsidRPr="00F427F0" w:rsidRDefault="00000000">
      <w:pPr>
        <w:spacing w:line="360" w:lineRule="auto"/>
        <w:jc w:val="both"/>
        <w:rPr>
          <w:rFonts w:ascii="Book Antiqua" w:eastAsia="宋体" w:hAnsi="Book Antiqua"/>
          <w:i/>
          <w:iCs/>
          <w:lang w:eastAsia="zh-CN"/>
        </w:rPr>
      </w:pPr>
      <w:r w:rsidRPr="00F427F0">
        <w:rPr>
          <w:rFonts w:ascii="Book Antiqua" w:eastAsia="宋体" w:hAnsi="Book Antiqua" w:cs="Book Antiqua"/>
          <w:b/>
          <w:bCs/>
          <w:i/>
          <w:iCs/>
          <w:lang w:eastAsia="zh-CN"/>
        </w:rPr>
        <w:t>H</w:t>
      </w:r>
      <w:r w:rsidRPr="00F427F0">
        <w:rPr>
          <w:rFonts w:ascii="Book Antiqua" w:eastAsia="Book Antiqua" w:hAnsi="Book Antiqua" w:cs="Book Antiqua"/>
          <w:b/>
          <w:bCs/>
          <w:i/>
          <w:iCs/>
        </w:rPr>
        <w:t>ub genes</w:t>
      </w:r>
      <w:r w:rsidRPr="00F427F0">
        <w:rPr>
          <w:rFonts w:ascii="Book Antiqua" w:eastAsia="宋体" w:hAnsi="Book Antiqua" w:cs="Book Antiqua"/>
          <w:b/>
          <w:bCs/>
          <w:i/>
          <w:iCs/>
          <w:lang w:eastAsia="zh-CN"/>
        </w:rPr>
        <w:t xml:space="preserve"> validated in clinical specimens</w:t>
      </w:r>
    </w:p>
    <w:p w14:paraId="53F5ACD2"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The results of our bioinformatics-based analysis were </w:t>
      </w:r>
      <w:r w:rsidRPr="00F427F0">
        <w:rPr>
          <w:rFonts w:ascii="Book Antiqua" w:eastAsia="宋体" w:hAnsi="Book Antiqua" w:cs="Book Antiqua"/>
          <w:lang w:eastAsia="zh-CN"/>
        </w:rPr>
        <w:t xml:space="preserve">further </w:t>
      </w:r>
      <w:r w:rsidRPr="00F427F0">
        <w:rPr>
          <w:rFonts w:ascii="Book Antiqua" w:eastAsia="Book Antiqua" w:hAnsi="Book Antiqua" w:cs="Book Antiqua"/>
        </w:rPr>
        <w:t>verified by RT-qPCR</w:t>
      </w:r>
      <w:r w:rsidRPr="00F427F0">
        <w:rPr>
          <w:rFonts w:ascii="Book Antiqua" w:eastAsia="宋体" w:hAnsi="Book Antiqua" w:cs="Book Antiqua"/>
          <w:lang w:eastAsia="zh-CN"/>
        </w:rPr>
        <w:t xml:space="preserve"> assays</w:t>
      </w:r>
      <w:r w:rsidRPr="00F427F0">
        <w:rPr>
          <w:rFonts w:ascii="Book Antiqua" w:eastAsia="Book Antiqua" w:hAnsi="Book Antiqua" w:cs="Book Antiqua"/>
        </w:rPr>
        <w:t>.</w:t>
      </w:r>
      <w:r w:rsidRPr="00F427F0">
        <w:rPr>
          <w:rFonts w:ascii="Book Antiqua" w:eastAsia="宋体" w:hAnsi="Book Antiqua" w:cs="Book Antiqua"/>
          <w:lang w:eastAsia="zh-CN"/>
        </w:rPr>
        <w:t xml:space="preserve"> </w:t>
      </w:r>
      <w:r w:rsidRPr="00F427F0">
        <w:rPr>
          <w:rFonts w:ascii="Book Antiqua" w:eastAsia="Book Antiqua" w:hAnsi="Book Antiqua" w:cs="Book Antiqua"/>
        </w:rPr>
        <w:t xml:space="preserve">Gastric antrum tissues from patients and controls were collected (control: </w:t>
      </w:r>
      <w:r w:rsidRPr="00F427F0">
        <w:rPr>
          <w:rFonts w:ascii="Book Antiqua" w:eastAsia="Book Antiqua" w:hAnsi="Book Antiqua" w:cs="Book Antiqua"/>
          <w:i/>
          <w:iCs/>
        </w:rPr>
        <w:t>n</w:t>
      </w:r>
      <w:r w:rsidRPr="00F427F0">
        <w:rPr>
          <w:rFonts w:ascii="Book Antiqua" w:eastAsia="Book Antiqua" w:hAnsi="Book Antiqua" w:cs="Book Antiqua"/>
        </w:rPr>
        <w:t xml:space="preserve"> = 30; T2DM: </w:t>
      </w:r>
      <w:r w:rsidRPr="00F427F0">
        <w:rPr>
          <w:rFonts w:ascii="Book Antiqua" w:eastAsia="Book Antiqua" w:hAnsi="Book Antiqua" w:cs="Book Antiqua"/>
          <w:i/>
          <w:iCs/>
        </w:rPr>
        <w:t>n</w:t>
      </w:r>
      <w:r w:rsidRPr="00F427F0">
        <w:rPr>
          <w:rFonts w:ascii="Book Antiqua" w:eastAsia="Book Antiqua" w:hAnsi="Book Antiqua" w:cs="Book Antiqua"/>
        </w:rPr>
        <w:t xml:space="preserve"> = 30; </w:t>
      </w:r>
      <w:r w:rsidRPr="00F427F0">
        <w:rPr>
          <w:rFonts w:ascii="Book Antiqua" w:eastAsia="Book Antiqua" w:hAnsi="Book Antiqua" w:cs="Book Antiqua"/>
          <w:i/>
          <w:iCs/>
        </w:rPr>
        <w:t>H. pylori</w:t>
      </w:r>
      <w:r w:rsidRPr="00F427F0">
        <w:rPr>
          <w:rFonts w:ascii="Book Antiqua" w:eastAsia="Book Antiqua" w:hAnsi="Book Antiqua" w:cs="Book Antiqua"/>
        </w:rPr>
        <w:t xml:space="preserve">: </w:t>
      </w:r>
      <w:r w:rsidRPr="00F427F0">
        <w:rPr>
          <w:rFonts w:ascii="Book Antiqua" w:eastAsia="Book Antiqua" w:hAnsi="Book Antiqua" w:cs="Book Antiqua"/>
          <w:i/>
          <w:iCs/>
        </w:rPr>
        <w:t>n</w:t>
      </w:r>
      <w:r w:rsidRPr="00F427F0">
        <w:rPr>
          <w:rFonts w:ascii="Book Antiqua" w:eastAsia="Book Antiqua" w:hAnsi="Book Antiqua" w:cs="Book Antiqua"/>
        </w:rPr>
        <w:t xml:space="preserve"> = 30; T2DM + </w:t>
      </w:r>
      <w:r w:rsidRPr="00F427F0">
        <w:rPr>
          <w:rFonts w:ascii="Book Antiqua" w:eastAsia="Book Antiqua" w:hAnsi="Book Antiqua" w:cs="Book Antiqua"/>
          <w:i/>
          <w:iCs/>
        </w:rPr>
        <w:t>H. pylori</w:t>
      </w:r>
      <w:r w:rsidRPr="00F427F0">
        <w:rPr>
          <w:rFonts w:ascii="Book Antiqua" w:eastAsia="Book Antiqua" w:hAnsi="Book Antiqua" w:cs="Book Antiqua"/>
        </w:rPr>
        <w:t xml:space="preserve">: </w:t>
      </w:r>
      <w:r w:rsidRPr="00F427F0">
        <w:rPr>
          <w:rFonts w:ascii="Book Antiqua" w:eastAsia="Book Antiqua" w:hAnsi="Book Antiqua" w:cs="Book Antiqua"/>
          <w:i/>
          <w:iCs/>
        </w:rPr>
        <w:t>n</w:t>
      </w:r>
      <w:r w:rsidRPr="00F427F0">
        <w:rPr>
          <w:rFonts w:ascii="Book Antiqua" w:eastAsia="Book Antiqua" w:hAnsi="Book Antiqua" w:cs="Book Antiqua"/>
        </w:rPr>
        <w:t xml:space="preserve"> = 30).</w:t>
      </w:r>
    </w:p>
    <w:p w14:paraId="12F3D2ED" w14:textId="77777777" w:rsidR="00D23823" w:rsidRPr="00F427F0" w:rsidRDefault="00000000">
      <w:pPr>
        <w:spacing w:line="360" w:lineRule="auto"/>
        <w:ind w:firstLineChars="200" w:firstLine="480"/>
        <w:jc w:val="both"/>
        <w:rPr>
          <w:rFonts w:ascii="Book Antiqua" w:hAnsi="Book Antiqua"/>
        </w:rPr>
      </w:pP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was diagnosed by the 13C-urea breath test (Headway Bio-Sci Co., Ltd, Shenzhen, China) according to the manufacturer’s instructions. A delta over baseline of &gt; 4% indicates a positive </w:t>
      </w:r>
      <w:r w:rsidRPr="00F427F0">
        <w:rPr>
          <w:rFonts w:ascii="Book Antiqua" w:eastAsia="Book Antiqua" w:hAnsi="Book Antiqua" w:cs="Book Antiqua"/>
          <w:i/>
          <w:iCs/>
        </w:rPr>
        <w:t xml:space="preserve">H. pylori </w:t>
      </w:r>
      <w:r w:rsidRPr="00F427F0">
        <w:rPr>
          <w:rFonts w:ascii="Book Antiqua" w:eastAsia="Book Antiqua" w:hAnsi="Book Antiqua" w:cs="Book Antiqua"/>
        </w:rPr>
        <w:t>infection status. Patients with T2DM were diagnosed based on one of the following American Diabetes Association diagnostic criteria: fasting blood glucose level ≥ 7.0 mmol/L, 2-hour postload glucose level ≥ 11.1 mmol/L during an oral glucose tolerance test, glycated hemoglobin level ≥ 6.5%, or a random plasma glucose level ≥ 11.1 mmol/L in a patient with classic symptoms of hyperglycemia or hyperglycemic crisis. This study was approv</w:t>
      </w:r>
      <w:r w:rsidRPr="00F427F0">
        <w:rPr>
          <w:rFonts w:ascii="Book Antiqua" w:eastAsia="宋体" w:hAnsi="Book Antiqua" w:cs="Book Antiqua"/>
          <w:lang w:eastAsia="zh-CN"/>
        </w:rPr>
        <w:t xml:space="preserve">ed by the ethics </w:t>
      </w:r>
      <w:r w:rsidRPr="00F427F0">
        <w:rPr>
          <w:rFonts w:ascii="Book Antiqua" w:eastAsia="宋体" w:hAnsi="Book Antiqua" w:cs="Book Antiqua"/>
          <w:lang w:eastAsia="zh-CN"/>
        </w:rPr>
        <w:lastRenderedPageBreak/>
        <w:t>committee of the First Affiliated Hospital of Nanjing Medical Univ</w:t>
      </w:r>
      <w:r w:rsidRPr="00F427F0">
        <w:rPr>
          <w:rFonts w:ascii="Book Antiqua" w:eastAsia="Book Antiqua" w:hAnsi="Book Antiqua" w:cs="Book Antiqua"/>
        </w:rPr>
        <w:t>ersity (2021-SRFA-034). Total RNA was extracted from each tissue sample using TRIzol (Invitrogen, F10488, Waltham, MA, United States)</w:t>
      </w:r>
      <w:r w:rsidRPr="00F427F0">
        <w:rPr>
          <w:rFonts w:ascii="Book Antiqua" w:eastAsia="宋体" w:hAnsi="Book Antiqua" w:cs="Book Antiqua"/>
          <w:lang w:eastAsia="zh-CN"/>
        </w:rPr>
        <w:t>, following</w:t>
      </w:r>
      <w:r w:rsidRPr="00F427F0">
        <w:rPr>
          <w:rFonts w:ascii="Book Antiqua" w:eastAsia="Book Antiqua" w:hAnsi="Book Antiqua" w:cs="Book Antiqua"/>
        </w:rPr>
        <w:t xml:space="preserve"> the manufacturer’s instructions. </w:t>
      </w:r>
      <w:r w:rsidRPr="00F427F0">
        <w:rPr>
          <w:rFonts w:ascii="Book Antiqua" w:eastAsia="宋体" w:hAnsi="Book Antiqua" w:cs="Book Antiqua"/>
          <w:lang w:eastAsia="zh-CN"/>
        </w:rPr>
        <w:t xml:space="preserve">The kit, </w:t>
      </w:r>
      <w:r w:rsidRPr="00F427F0">
        <w:rPr>
          <w:rFonts w:ascii="Book Antiqua" w:eastAsia="Book Antiqua" w:hAnsi="Book Antiqua" w:cs="Book Antiqua"/>
        </w:rPr>
        <w:t>EasyScript All-in-One First-Strand cDNA Synthesis SuperMix for RT-qPCR Kit (TransGen Biotech, Beijing, China)</w:t>
      </w:r>
      <w:r w:rsidRPr="00F427F0">
        <w:rPr>
          <w:rFonts w:ascii="Book Antiqua" w:eastAsia="宋体" w:hAnsi="Book Antiqua" w:cs="Book Antiqua"/>
          <w:lang w:eastAsia="zh-CN"/>
        </w:rPr>
        <w:t>, was utilized for reverse transcription,</w:t>
      </w:r>
      <w:r w:rsidRPr="00F427F0">
        <w:rPr>
          <w:rFonts w:ascii="Book Antiqua" w:eastAsia="Book Antiqua" w:hAnsi="Book Antiqua" w:cs="Book Antiqua"/>
        </w:rPr>
        <w:t xml:space="preserve"> with incubations </w:t>
      </w:r>
      <w:r w:rsidRPr="00F427F0">
        <w:rPr>
          <w:rFonts w:ascii="Book Antiqua" w:eastAsia="宋体" w:hAnsi="Book Antiqua" w:cs="Book Antiqua"/>
          <w:lang w:eastAsia="zh-CN"/>
        </w:rPr>
        <w:t>performed at a tempertature</w:t>
      </w:r>
      <w:r w:rsidRPr="00F427F0">
        <w:rPr>
          <w:rFonts w:ascii="Book Antiqua" w:eastAsia="Book Antiqua" w:hAnsi="Book Antiqua" w:cs="Book Antiqua"/>
        </w:rPr>
        <w:t xml:space="preserve"> 42°C for 15 min and then at 85°C for 15 s. Subsequently, StarLighter SYBR Green RT-qPCR Mix (Universal) (Forever Star, Beijing, China)</w:t>
      </w:r>
      <w:r w:rsidRPr="00F427F0">
        <w:rPr>
          <w:rFonts w:ascii="Book Antiqua" w:eastAsia="宋体" w:hAnsi="Book Antiqua" w:cs="Book Antiqua"/>
          <w:lang w:eastAsia="zh-CN"/>
        </w:rPr>
        <w:t xml:space="preserve"> kit was utilized for </w:t>
      </w:r>
      <w:r w:rsidRPr="00F427F0">
        <w:rPr>
          <w:rFonts w:ascii="Book Antiqua" w:eastAsia="Book Antiqua" w:hAnsi="Book Antiqua" w:cs="Book Antiqua"/>
        </w:rPr>
        <w:t>RT-qPCR</w:t>
      </w:r>
      <w:r w:rsidRPr="00F427F0">
        <w:rPr>
          <w:rFonts w:ascii="Book Antiqua" w:eastAsia="宋体" w:hAnsi="Book Antiqua" w:cs="Book Antiqua"/>
          <w:lang w:eastAsia="zh-CN"/>
        </w:rPr>
        <w:t xml:space="preserve"> analysis,</w:t>
      </w:r>
      <w:r w:rsidRPr="00F427F0">
        <w:rPr>
          <w:rFonts w:ascii="Book Antiqua" w:eastAsia="Book Antiqua" w:hAnsi="Book Antiqua" w:cs="Book Antiqua"/>
        </w:rPr>
        <w:t xml:space="preserve"> with an ABI 7500 system (Applied Biosystems, United States). The primers used are listed in Supplementary Table 2. The reaction conditions were as follows: Predenaturation (95°C for 5 min), 40 cycles of denaturation (94°C for 20 s), annealing and extension (60°C for 34 s). β-actin </w:t>
      </w:r>
      <w:r w:rsidRPr="00F427F0">
        <w:rPr>
          <w:rFonts w:ascii="Book Antiqua" w:eastAsia="宋体" w:hAnsi="Book Antiqua" w:cs="Book Antiqua"/>
          <w:lang w:eastAsia="zh-CN"/>
        </w:rPr>
        <w:t xml:space="preserve">was </w:t>
      </w:r>
      <w:r w:rsidRPr="00F427F0">
        <w:rPr>
          <w:rFonts w:ascii="Book Antiqua" w:eastAsia="Book Antiqua" w:hAnsi="Book Antiqua" w:cs="Book Antiqua"/>
        </w:rPr>
        <w:t>serve</w:t>
      </w:r>
      <w:r w:rsidRPr="00F427F0">
        <w:rPr>
          <w:rFonts w:ascii="Book Antiqua" w:eastAsia="宋体" w:hAnsi="Book Antiqua" w:cs="Book Antiqua"/>
          <w:lang w:eastAsia="zh-CN"/>
        </w:rPr>
        <w:t>d</w:t>
      </w:r>
      <w:r w:rsidRPr="00F427F0">
        <w:rPr>
          <w:rFonts w:ascii="Book Antiqua" w:eastAsia="Book Antiqua" w:hAnsi="Book Antiqua" w:cs="Book Antiqua"/>
        </w:rPr>
        <w:t xml:space="preserve"> as an internal control</w:t>
      </w:r>
      <w:r w:rsidRPr="00F427F0">
        <w:rPr>
          <w:rFonts w:ascii="Book Antiqua" w:eastAsia="宋体" w:hAnsi="Book Antiqua" w:cs="Book Antiqua"/>
          <w:lang w:eastAsia="zh-CN"/>
        </w:rPr>
        <w:t xml:space="preserve"> for RT-qPCR</w:t>
      </w:r>
      <w:r w:rsidRPr="00F427F0">
        <w:rPr>
          <w:rFonts w:ascii="Book Antiqua" w:eastAsia="Book Antiqua" w:hAnsi="Book Antiqua" w:cs="Book Antiqua"/>
        </w:rPr>
        <w:t>. The 2^</w:t>
      </w:r>
      <w:r w:rsidRPr="00F427F0">
        <w:rPr>
          <w:rFonts w:ascii="Book Antiqua" w:eastAsia="Book Antiqua" w:hAnsi="Book Antiqua" w:cs="Book Antiqua"/>
          <w:vertAlign w:val="superscript"/>
        </w:rPr>
        <w:t>-ΔΔCt</w:t>
      </w:r>
      <w:r w:rsidRPr="00F427F0">
        <w:rPr>
          <w:rFonts w:ascii="Book Antiqua" w:eastAsia="Book Antiqua" w:hAnsi="Book Antiqua" w:cs="Book Antiqua"/>
        </w:rPr>
        <w:t xml:space="preserve"> method was utilized to determine relative </w:t>
      </w:r>
      <w:r w:rsidRPr="00F427F0">
        <w:rPr>
          <w:rFonts w:ascii="Book Antiqua" w:eastAsia="宋体" w:hAnsi="Book Antiqua" w:cs="Book Antiqua"/>
          <w:lang w:eastAsia="zh-CN"/>
        </w:rPr>
        <w:t xml:space="preserve">the </w:t>
      </w:r>
      <w:r w:rsidRPr="00F427F0">
        <w:rPr>
          <w:rFonts w:ascii="Book Antiqua" w:eastAsia="Book Antiqua" w:hAnsi="Book Antiqua" w:cs="Book Antiqua"/>
        </w:rPr>
        <w:t>expression levels</w:t>
      </w:r>
      <w:r w:rsidRPr="00F427F0">
        <w:rPr>
          <w:rFonts w:ascii="Book Antiqua" w:eastAsia="宋体" w:hAnsi="Book Antiqua" w:cs="Book Antiqua"/>
          <w:lang w:eastAsia="zh-CN"/>
        </w:rPr>
        <w:t xml:space="preserve"> of genes</w:t>
      </w:r>
      <w:r w:rsidRPr="00F427F0">
        <w:rPr>
          <w:rFonts w:ascii="Book Antiqua" w:eastAsia="Book Antiqua" w:hAnsi="Book Antiqua" w:cs="Book Antiqua"/>
        </w:rPr>
        <w:t xml:space="preserve">. Statistical analysis was performed using GraphPad Prism (Version 9.0, Boston, MA, United States). Expression differences of hub genes were compared using one-way ANOVA in four groups (control,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T2DM, and T2DM with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and pairwise comparisons within the two groups were performed using Student’s </w:t>
      </w:r>
      <w:r w:rsidRPr="00F427F0">
        <w:rPr>
          <w:rFonts w:ascii="Book Antiqua" w:eastAsia="Book Antiqua" w:hAnsi="Book Antiqua" w:cs="Book Antiqua"/>
          <w:i/>
          <w:iCs/>
        </w:rPr>
        <w:t>t</w:t>
      </w:r>
      <w:r w:rsidRPr="00F427F0">
        <w:rPr>
          <w:rFonts w:ascii="Book Antiqua" w:eastAsia="Book Antiqua" w:hAnsi="Book Antiqua" w:cs="Book Antiqua"/>
        </w:rPr>
        <w:t xml:space="preserve"> test. </w:t>
      </w:r>
      <w:r w:rsidRPr="00F427F0">
        <w:rPr>
          <w:rFonts w:ascii="Book Antiqua" w:eastAsia="宋体" w:hAnsi="Book Antiqua" w:cs="Book Antiqua"/>
          <w:lang w:eastAsia="zh-CN"/>
        </w:rPr>
        <w:t>S</w:t>
      </w:r>
      <w:r w:rsidRPr="00F427F0">
        <w:rPr>
          <w:rFonts w:ascii="Book Antiqua" w:eastAsia="Book Antiqua" w:hAnsi="Book Antiqua" w:cs="Book Antiqua"/>
        </w:rPr>
        <w:t>tatistically significant</w:t>
      </w:r>
      <w:r w:rsidRPr="00F427F0">
        <w:rPr>
          <w:rFonts w:ascii="Book Antiqua" w:eastAsia="宋体" w:hAnsi="Book Antiqua" w:cs="Book Antiqua"/>
          <w:lang w:eastAsia="zh-CN"/>
        </w:rPr>
        <w:t xml:space="preserve"> was defined as </w:t>
      </w:r>
      <w:r w:rsidRPr="00F427F0">
        <w:rPr>
          <w:rFonts w:ascii="Book Antiqua" w:eastAsia="Book Antiqua" w:hAnsi="Book Antiqua" w:cs="Book Antiqua"/>
          <w:i/>
          <w:iCs/>
        </w:rPr>
        <w:t xml:space="preserve">P </w:t>
      </w:r>
      <w:r w:rsidRPr="00F427F0">
        <w:rPr>
          <w:rFonts w:ascii="Book Antiqua" w:eastAsia="Book Antiqua" w:hAnsi="Book Antiqua" w:cs="Book Antiqua"/>
        </w:rPr>
        <w:t>&lt; 0.05.</w:t>
      </w:r>
    </w:p>
    <w:p w14:paraId="2EEF9162" w14:textId="77777777" w:rsidR="00D23823" w:rsidRPr="00F427F0" w:rsidRDefault="00D23823">
      <w:pPr>
        <w:spacing w:line="360" w:lineRule="auto"/>
        <w:jc w:val="both"/>
        <w:rPr>
          <w:rFonts w:ascii="Book Antiqua" w:hAnsi="Book Antiqua"/>
        </w:rPr>
      </w:pPr>
    </w:p>
    <w:p w14:paraId="37A93ACA"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caps/>
          <w:u w:val="single"/>
        </w:rPr>
        <w:t>RESULTS</w:t>
      </w:r>
    </w:p>
    <w:p w14:paraId="72411738" w14:textId="77777777" w:rsidR="00D23823" w:rsidRPr="00F427F0" w:rsidRDefault="00000000">
      <w:pPr>
        <w:spacing w:line="360" w:lineRule="auto"/>
        <w:jc w:val="both"/>
        <w:rPr>
          <w:rFonts w:ascii="Book Antiqua" w:hAnsi="Book Antiqua"/>
          <w:i/>
          <w:iCs/>
        </w:rPr>
      </w:pPr>
      <w:r w:rsidRPr="00F427F0">
        <w:rPr>
          <w:rFonts w:ascii="Book Antiqua" w:eastAsia="Book Antiqua" w:hAnsi="Book Antiqua" w:cs="Book Antiqua"/>
          <w:b/>
          <w:bCs/>
          <w:i/>
          <w:iCs/>
        </w:rPr>
        <w:t>Identification of DEGs</w:t>
      </w:r>
    </w:p>
    <w:p w14:paraId="4624B641" w14:textId="6260F0A0"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Figure 1</w:t>
      </w:r>
      <w:r w:rsidRPr="00F427F0">
        <w:rPr>
          <w:rFonts w:ascii="Book Antiqua" w:eastAsia="宋体" w:hAnsi="Book Antiqua" w:cs="Book Antiqua"/>
          <w:lang w:eastAsia="zh-CN"/>
        </w:rPr>
        <w:t xml:space="preserve"> illustrated the overall study design</w:t>
      </w:r>
      <w:r w:rsidRPr="00F427F0">
        <w:rPr>
          <w:rFonts w:ascii="Book Antiqua" w:eastAsia="Book Antiqua" w:hAnsi="Book Antiqua" w:cs="Book Antiqua"/>
        </w:rPr>
        <w:t xml:space="preserve">. </w:t>
      </w:r>
      <w:r w:rsidRPr="00F427F0">
        <w:rPr>
          <w:rFonts w:ascii="Book Antiqua" w:eastAsia="宋体" w:hAnsi="Book Antiqua" w:cs="Book Antiqua"/>
          <w:lang w:eastAsia="zh-CN"/>
        </w:rPr>
        <w:t>In brief, a</w:t>
      </w:r>
      <w:r w:rsidRPr="00F427F0">
        <w:rPr>
          <w:rFonts w:ascii="Book Antiqua" w:eastAsia="Book Antiqua" w:hAnsi="Book Antiqua" w:cs="Book Antiqua"/>
        </w:rPr>
        <w:t xml:space="preserve"> total of 3541, 2186 and 1364 DEGs were identified from the GSE60427, GSE217411 and GSE115601 datasets, respectively.</w:t>
      </w:r>
      <w:r w:rsidRPr="00F427F0">
        <w:rPr>
          <w:rFonts w:ascii="Book Antiqua" w:eastAsia="宋体" w:hAnsi="Book Antiqua" w:cs="Book Antiqua"/>
          <w:lang w:eastAsia="zh-CN"/>
        </w:rPr>
        <w:t xml:space="preserve"> I</w:t>
      </w:r>
      <w:r w:rsidRPr="00F427F0">
        <w:rPr>
          <w:rFonts w:ascii="Book Antiqua" w:eastAsia="Book Antiqua" w:hAnsi="Book Antiqua" w:cs="Book Antiqua"/>
        </w:rPr>
        <w:t>n the GEO datasets</w:t>
      </w:r>
      <w:r w:rsidRPr="00F427F0">
        <w:rPr>
          <w:rFonts w:ascii="Book Antiqua" w:eastAsia="宋体" w:hAnsi="Book Antiqua" w:cs="Book Antiqua"/>
          <w:lang w:eastAsia="zh-CN"/>
        </w:rPr>
        <w:t>, v</w:t>
      </w:r>
      <w:r w:rsidRPr="00F427F0">
        <w:rPr>
          <w:rFonts w:ascii="Book Antiqua" w:eastAsia="Book Antiqua" w:hAnsi="Book Antiqua" w:cs="Book Antiqua"/>
        </w:rPr>
        <w:t xml:space="preserve">olcano plots (Figure 2A-C) and heatmaps (Supplementary Figure 1) were </w:t>
      </w:r>
      <w:r w:rsidRPr="00F427F0">
        <w:rPr>
          <w:rFonts w:ascii="Book Antiqua" w:eastAsia="宋体" w:hAnsi="Book Antiqua" w:cs="Book Antiqua"/>
          <w:lang w:eastAsia="zh-CN"/>
        </w:rPr>
        <w:t>used</w:t>
      </w:r>
      <w:r w:rsidRPr="00F427F0">
        <w:rPr>
          <w:rFonts w:ascii="Book Antiqua" w:eastAsia="Book Antiqua" w:hAnsi="Book Antiqua" w:cs="Book Antiqua"/>
        </w:rPr>
        <w:t xml:space="preserve"> to illustrate the </w:t>
      </w:r>
      <w:r w:rsidRPr="00F427F0">
        <w:rPr>
          <w:rFonts w:ascii="Book Antiqua" w:eastAsia="宋体" w:hAnsi="Book Antiqua" w:cs="Book Antiqua"/>
          <w:lang w:eastAsia="zh-CN"/>
        </w:rPr>
        <w:t>dys</w:t>
      </w:r>
      <w:r w:rsidRPr="00F427F0">
        <w:rPr>
          <w:rFonts w:ascii="Book Antiqua" w:eastAsia="Book Antiqua" w:hAnsi="Book Antiqua" w:cs="Book Antiqua"/>
        </w:rPr>
        <w:t xml:space="preserve">regulated genes </w:t>
      </w:r>
      <w:r w:rsidRPr="00F427F0">
        <w:rPr>
          <w:rFonts w:ascii="Book Antiqua" w:eastAsia="宋体" w:hAnsi="Book Antiqua" w:cs="Book Antiqua"/>
          <w:lang w:eastAsia="zh-CN"/>
        </w:rPr>
        <w:t>(including upregulated and downregulated)</w:t>
      </w:r>
      <w:r w:rsidRPr="00F427F0">
        <w:rPr>
          <w:rFonts w:ascii="Book Antiqua" w:eastAsia="Book Antiqua" w:hAnsi="Book Antiqua" w:cs="Book Antiqua"/>
        </w:rPr>
        <w:t>. Among these data</w:t>
      </w:r>
      <w:r w:rsidRPr="00F427F0">
        <w:rPr>
          <w:rFonts w:ascii="Book Antiqua" w:eastAsia="宋体" w:hAnsi="Book Antiqua" w:cs="Book Antiqua"/>
          <w:lang w:eastAsia="zh-CN"/>
        </w:rPr>
        <w:t>sets, 67 common DEGs were extracted, including 48 upregulated and 19 downregulate</w:t>
      </w:r>
      <w:r w:rsidRPr="00F427F0">
        <w:rPr>
          <w:rFonts w:ascii="Book Antiqua" w:eastAsia="Book Antiqua" w:hAnsi="Book Antiqua" w:cs="Book Antiqua"/>
        </w:rPr>
        <w:t>d genes (Supplementary Table 3</w:t>
      </w:r>
      <w:r w:rsidR="00AD723B">
        <w:rPr>
          <w:rFonts w:ascii="Book Antiqua" w:eastAsia="Book Antiqua" w:hAnsi="Book Antiqua" w:cs="Book Antiqua"/>
        </w:rPr>
        <w:t>;</w:t>
      </w:r>
      <w:r w:rsidR="00AD723B" w:rsidRPr="00F427F0">
        <w:rPr>
          <w:rFonts w:ascii="Book Antiqua" w:eastAsia="Book Antiqua" w:hAnsi="Book Antiqua" w:cs="Book Antiqua"/>
        </w:rPr>
        <w:t xml:space="preserve"> </w:t>
      </w:r>
      <w:r w:rsidRPr="00F427F0">
        <w:rPr>
          <w:rFonts w:ascii="Book Antiqua" w:eastAsia="Book Antiqua" w:hAnsi="Book Antiqua" w:cs="Book Antiqua"/>
        </w:rPr>
        <w:t>Figure 2D).</w:t>
      </w:r>
    </w:p>
    <w:p w14:paraId="0970BFA5" w14:textId="77777777" w:rsidR="00D23823" w:rsidRPr="00F427F0" w:rsidRDefault="00D23823">
      <w:pPr>
        <w:spacing w:line="360" w:lineRule="auto"/>
        <w:jc w:val="both"/>
        <w:rPr>
          <w:rFonts w:ascii="Book Antiqua" w:hAnsi="Book Antiqua"/>
        </w:rPr>
      </w:pPr>
    </w:p>
    <w:p w14:paraId="4574E339" w14:textId="77777777" w:rsidR="00D23823" w:rsidRPr="00F427F0" w:rsidRDefault="00000000">
      <w:pPr>
        <w:spacing w:line="360" w:lineRule="auto"/>
        <w:jc w:val="both"/>
        <w:rPr>
          <w:rFonts w:ascii="Book Antiqua" w:hAnsi="Book Antiqua"/>
          <w:i/>
          <w:iCs/>
        </w:rPr>
      </w:pPr>
      <w:r w:rsidRPr="00F427F0">
        <w:rPr>
          <w:rFonts w:ascii="Book Antiqua" w:eastAsia="Book Antiqua" w:hAnsi="Book Antiqua" w:cs="Book Antiqua"/>
          <w:b/>
          <w:bCs/>
          <w:i/>
          <w:iCs/>
        </w:rPr>
        <w:lastRenderedPageBreak/>
        <w:t>Functional annotation of DEGs</w:t>
      </w:r>
    </w:p>
    <w:p w14:paraId="303DEA15"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After DEGs were selected, GO and KEGG pathway enrichment analyses were performed to explore the biological functions of these genes involving three functional categories: BP, MF, and CC. Major BP terms associated with DEGs included regulation of the immune effector process, neutrophil activation and neutrophil mediated immunity (Figure 3A). Major CC terms associated with these DEGs included the secretory granule membrane, blood microparticle, and tertiary granule (Figure 3B). Finally, MF-associated GO terms were mainly associated with sulfur compound binding, heparin binding, glycosaminoglycan binding, </w:t>
      </w:r>
      <w:r w:rsidRPr="00F427F0">
        <w:rPr>
          <w:rFonts w:ascii="Book Antiqua" w:eastAsia="Book Antiqua" w:hAnsi="Book Antiqua" w:cs="Book Antiqua"/>
          <w:i/>
          <w:iCs/>
        </w:rPr>
        <w:t>etc.</w:t>
      </w:r>
      <w:r w:rsidRPr="00F427F0">
        <w:rPr>
          <w:rFonts w:ascii="Book Antiqua" w:eastAsia="Book Antiqua" w:hAnsi="Book Antiqua" w:cs="Book Antiqua"/>
        </w:rPr>
        <w:t xml:space="preserve"> (Figure 3C). </w:t>
      </w:r>
      <w:r w:rsidRPr="00F427F0">
        <w:rPr>
          <w:rFonts w:ascii="Book Antiqua" w:eastAsia="宋体" w:hAnsi="Book Antiqua" w:cs="Book Antiqua"/>
          <w:lang w:eastAsia="zh-CN"/>
        </w:rPr>
        <w:t>According</w:t>
      </w:r>
      <w:r w:rsidRPr="00F427F0">
        <w:rPr>
          <w:rFonts w:ascii="Book Antiqua" w:eastAsia="Book Antiqua" w:hAnsi="Book Antiqua" w:cs="Book Antiqua"/>
        </w:rPr>
        <w:t xml:space="preserve"> to KEGG pathway analysis results, the DEGs were mainly enriched for pathways </w:t>
      </w:r>
      <w:r w:rsidRPr="00F427F0">
        <w:rPr>
          <w:rFonts w:ascii="Book Antiqua" w:eastAsia="宋体" w:hAnsi="Book Antiqua" w:cs="Book Antiqua"/>
          <w:lang w:eastAsia="zh-CN"/>
        </w:rPr>
        <w:t>related to</w:t>
      </w:r>
      <w:r w:rsidRPr="00F427F0">
        <w:rPr>
          <w:rFonts w:ascii="Book Antiqua" w:eastAsia="Book Antiqua" w:hAnsi="Book Antiqua" w:cs="Book Antiqua"/>
        </w:rPr>
        <w:t xml:space="preserve"> complement and coagulation cascades, </w:t>
      </w:r>
      <w:r w:rsidRPr="00F427F0">
        <w:rPr>
          <w:rFonts w:ascii="Book Antiqua" w:eastAsia="Book Antiqua" w:hAnsi="Book Antiqua" w:cs="Book Antiqua"/>
          <w:i/>
          <w:iCs/>
        </w:rPr>
        <w:t>Staphylococcus aureus</w:t>
      </w:r>
      <w:r w:rsidRPr="00F427F0">
        <w:rPr>
          <w:rFonts w:ascii="Book Antiqua" w:eastAsia="Book Antiqua" w:hAnsi="Book Antiqua" w:cs="Book Antiqua"/>
        </w:rPr>
        <w:t xml:space="preserve"> infection, and neutrophil extracellular trap formation (</w:t>
      </w:r>
      <w:bookmarkStart w:id="179" w:name="OLE_LINK1316"/>
      <w:bookmarkStart w:id="180" w:name="OLE_LINK1317"/>
      <w:r w:rsidRPr="00F427F0">
        <w:rPr>
          <w:rFonts w:ascii="Book Antiqua" w:eastAsia="Book Antiqua" w:hAnsi="Book Antiqua" w:cs="Book Antiqua"/>
        </w:rPr>
        <w:t>Fig</w:t>
      </w:r>
      <w:bookmarkEnd w:id="179"/>
      <w:bookmarkEnd w:id="180"/>
      <w:r w:rsidRPr="00F427F0">
        <w:rPr>
          <w:rFonts w:ascii="Book Antiqua" w:eastAsia="Book Antiqua" w:hAnsi="Book Antiqua" w:cs="Book Antiqua"/>
        </w:rPr>
        <w:t>ure 3D).</w:t>
      </w:r>
    </w:p>
    <w:p w14:paraId="524A0271" w14:textId="77777777" w:rsidR="00D23823" w:rsidRPr="00F427F0" w:rsidRDefault="00D23823">
      <w:pPr>
        <w:spacing w:line="360" w:lineRule="auto"/>
        <w:jc w:val="both"/>
        <w:rPr>
          <w:rFonts w:ascii="Book Antiqua" w:hAnsi="Book Antiqua"/>
        </w:rPr>
      </w:pPr>
    </w:p>
    <w:p w14:paraId="7C4C8895" w14:textId="77777777" w:rsidR="00D23823" w:rsidRPr="00F427F0" w:rsidRDefault="00000000">
      <w:pPr>
        <w:spacing w:line="360" w:lineRule="auto"/>
        <w:jc w:val="both"/>
        <w:rPr>
          <w:rFonts w:ascii="Book Antiqua" w:hAnsi="Book Antiqua"/>
          <w:i/>
          <w:iCs/>
        </w:rPr>
      </w:pPr>
      <w:r w:rsidRPr="00F427F0">
        <w:rPr>
          <w:rFonts w:ascii="Book Antiqua" w:eastAsia="Book Antiqua" w:hAnsi="Book Antiqua" w:cs="Book Antiqua"/>
          <w:b/>
          <w:bCs/>
          <w:i/>
          <w:iCs/>
        </w:rPr>
        <w:t>PPI network construction and hub gene selection</w:t>
      </w:r>
    </w:p>
    <w:p w14:paraId="1F20ACAC"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The PPI network of DEGs obtained from STRING</w:t>
      </w:r>
      <w:r w:rsidRPr="00F427F0">
        <w:rPr>
          <w:rStyle w:val="15"/>
          <w:rFonts w:ascii="Book Antiqua" w:eastAsia="Book Antiqua" w:hAnsi="Book Antiqua" w:cs="Book Antiqua"/>
        </w:rPr>
        <w:t xml:space="preserve"> </w:t>
      </w:r>
      <w:r w:rsidRPr="00F427F0">
        <w:rPr>
          <w:rFonts w:ascii="Book Antiqua" w:eastAsia="Book Antiqua" w:hAnsi="Book Antiqua" w:cs="Book Antiqua"/>
        </w:rPr>
        <w:t>was subjected to the MCODE plugin of Cytoscape to analyze significant modules. A total of 38 nodes and 84 edges were mapped in the PPI network (Figure 4A). From these modules, the top functional cluster of modules was selected based on the cutoff criteria of node &gt; 3 and score &gt; 3 (Figure 4B).</w:t>
      </w:r>
    </w:p>
    <w:p w14:paraId="438D15BB" w14:textId="77777777" w:rsidR="00D23823" w:rsidRPr="00F427F0" w:rsidRDefault="00000000">
      <w:pPr>
        <w:spacing w:line="360" w:lineRule="auto"/>
        <w:ind w:firstLineChars="200" w:firstLine="480"/>
        <w:jc w:val="both"/>
        <w:rPr>
          <w:rFonts w:ascii="Book Antiqua" w:hAnsi="Book Antiqua"/>
        </w:rPr>
      </w:pPr>
      <w:r w:rsidRPr="00F427F0">
        <w:rPr>
          <w:rFonts w:ascii="Book Antiqua" w:eastAsia="Book Antiqua" w:hAnsi="Book Antiqua" w:cs="Book Antiqua"/>
        </w:rPr>
        <w:t>Then, the key genes with degree connectivity were ranked by the CytoHubba plugin of Cytoscape. Finally, five intersecting genes (</w:t>
      </w:r>
      <w:r w:rsidRPr="00F427F0">
        <w:rPr>
          <w:rFonts w:ascii="Book Antiqua" w:eastAsia="Book Antiqua" w:hAnsi="Book Antiqua" w:cs="Book Antiqua"/>
          <w:i/>
          <w:iCs/>
        </w:rPr>
        <w:t>TLR4</w:t>
      </w:r>
      <w:r w:rsidRPr="00F427F0">
        <w:rPr>
          <w:rFonts w:ascii="Book Antiqua" w:eastAsia="Book Antiqua" w:hAnsi="Book Antiqua" w:cs="Book Antiqua"/>
        </w:rPr>
        <w:t xml:space="preserve">, </w:t>
      </w:r>
      <w:r w:rsidRPr="00F427F0">
        <w:rPr>
          <w:rFonts w:ascii="Book Antiqua" w:eastAsia="Book Antiqua" w:hAnsi="Book Antiqua" w:cs="Book Antiqua"/>
          <w:i/>
          <w:iCs/>
        </w:rPr>
        <w:t>ITGAM</w:t>
      </w:r>
      <w:r w:rsidRPr="00F427F0">
        <w:rPr>
          <w:rFonts w:ascii="Book Antiqua" w:eastAsia="Book Antiqua" w:hAnsi="Book Antiqua" w:cs="Book Antiqua"/>
        </w:rPr>
        <w:t xml:space="preserve">, </w:t>
      </w:r>
      <w:r w:rsidRPr="00F427F0">
        <w:rPr>
          <w:rFonts w:ascii="Book Antiqua" w:eastAsia="Book Antiqua" w:hAnsi="Book Antiqua" w:cs="Book Antiqua"/>
          <w:i/>
          <w:iCs/>
        </w:rPr>
        <w:t>C5AR1</w:t>
      </w:r>
      <w:r w:rsidRPr="00F427F0">
        <w:rPr>
          <w:rFonts w:ascii="Book Antiqua" w:eastAsia="Book Antiqua" w:hAnsi="Book Antiqua" w:cs="Book Antiqua"/>
        </w:rPr>
        <w:t xml:space="preserve">, </w:t>
      </w:r>
      <w:r w:rsidRPr="00F427F0">
        <w:rPr>
          <w:rFonts w:ascii="Book Antiqua" w:eastAsia="Book Antiqua" w:hAnsi="Book Antiqua" w:cs="Book Antiqua"/>
          <w:i/>
          <w:iCs/>
        </w:rPr>
        <w:t>FCER1G</w:t>
      </w:r>
      <w:r w:rsidRPr="00F427F0">
        <w:rPr>
          <w:rFonts w:ascii="Book Antiqua" w:eastAsia="Book Antiqua" w:hAnsi="Book Antiqua" w:cs="Book Antiqua"/>
        </w:rPr>
        <w:t xml:space="preserve"> and </w:t>
      </w:r>
      <w:r w:rsidRPr="00F427F0">
        <w:rPr>
          <w:rFonts w:ascii="Book Antiqua" w:eastAsia="Book Antiqua" w:hAnsi="Book Antiqua" w:cs="Book Antiqua"/>
          <w:i/>
          <w:iCs/>
        </w:rPr>
        <w:t>FCGR2A</w:t>
      </w:r>
      <w:r w:rsidRPr="00F427F0">
        <w:rPr>
          <w:rFonts w:ascii="Book Antiqua" w:eastAsia="Book Antiqua" w:hAnsi="Book Antiqua" w:cs="Book Antiqua"/>
        </w:rPr>
        <w:t xml:space="preserve">) with the highest degree were considered hub genes for further analyses (Figure 4C and D). </w:t>
      </w:r>
    </w:p>
    <w:p w14:paraId="16877935" w14:textId="77777777" w:rsidR="00D23823" w:rsidRPr="00F427F0" w:rsidRDefault="00D23823">
      <w:pPr>
        <w:spacing w:line="360" w:lineRule="auto"/>
        <w:jc w:val="both"/>
        <w:rPr>
          <w:rFonts w:ascii="Book Antiqua" w:hAnsi="Book Antiqua"/>
        </w:rPr>
      </w:pPr>
    </w:p>
    <w:p w14:paraId="6641AAA9" w14:textId="77777777" w:rsidR="00D23823" w:rsidRPr="00F427F0" w:rsidRDefault="00000000">
      <w:pPr>
        <w:spacing w:line="360" w:lineRule="auto"/>
        <w:jc w:val="both"/>
        <w:rPr>
          <w:rFonts w:ascii="Book Antiqua" w:hAnsi="Book Antiqua"/>
          <w:i/>
          <w:iCs/>
        </w:rPr>
      </w:pPr>
      <w:r w:rsidRPr="00F427F0">
        <w:rPr>
          <w:rFonts w:ascii="Book Antiqua" w:eastAsia="Book Antiqua" w:hAnsi="Book Antiqua" w:cs="Book Antiqua"/>
          <w:b/>
          <w:bCs/>
          <w:i/>
          <w:iCs/>
        </w:rPr>
        <w:t>Validation of hub genes in human gastric tissues</w:t>
      </w:r>
    </w:p>
    <w:p w14:paraId="003D0F62"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Expression levels of the five hub genes in the three datasets are shown in Supplementary Figure 2; and were significantly upregulated in patients with either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or T2DM alone compared to negative controls. Human gastric tissues from four groups were collected (control group,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alone group, T2DM </w:t>
      </w:r>
      <w:r w:rsidRPr="00F427F0">
        <w:rPr>
          <w:rFonts w:ascii="Book Antiqua" w:eastAsia="Book Antiqua" w:hAnsi="Book Antiqua" w:cs="Book Antiqua"/>
        </w:rPr>
        <w:lastRenderedPageBreak/>
        <w:t xml:space="preserve">alone group and T2DM with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group). All included patients underwent upper gastrointestinal endoscopy and were pathologically diagnosed with chronic superficial gastritis without acute inflammation or atrophy according to the Sydney System</w:t>
      </w:r>
      <w:r w:rsidRPr="00F427F0">
        <w:rPr>
          <w:rFonts w:ascii="Book Antiqua" w:eastAsia="宋体" w:hAnsi="Book Antiqua" w:cs="Book Antiqua"/>
          <w:vertAlign w:val="superscript"/>
          <w:lang w:eastAsia="zh-CN"/>
        </w:rPr>
        <w:t>[26]</w:t>
      </w:r>
      <w:r w:rsidRPr="00F427F0">
        <w:rPr>
          <w:rFonts w:ascii="Book Antiqua" w:eastAsia="Book Antiqua" w:hAnsi="Book Antiqua" w:cs="Book Antiqua"/>
        </w:rPr>
        <w:t xml:space="preserve">. The baseline characteristics of the groups are shown in Supplementary Table 4. Through RT-qPCR analysis, we found that </w:t>
      </w:r>
      <w:r w:rsidRPr="00F427F0">
        <w:rPr>
          <w:rFonts w:ascii="Book Antiqua" w:eastAsia="Book Antiqua" w:hAnsi="Book Antiqua" w:cs="Book Antiqua"/>
          <w:i/>
          <w:iCs/>
        </w:rPr>
        <w:t>TLR4</w:t>
      </w:r>
      <w:r w:rsidRPr="00F427F0">
        <w:rPr>
          <w:rFonts w:ascii="Book Antiqua" w:eastAsia="Book Antiqua" w:hAnsi="Book Antiqua" w:cs="Book Antiqua"/>
        </w:rPr>
        <w:t xml:space="preserve">, </w:t>
      </w:r>
      <w:r w:rsidRPr="00F427F0">
        <w:rPr>
          <w:rFonts w:ascii="Book Antiqua" w:eastAsia="Book Antiqua" w:hAnsi="Book Antiqua" w:cs="Book Antiqua"/>
          <w:i/>
          <w:iCs/>
        </w:rPr>
        <w:t>ITGAM</w:t>
      </w:r>
      <w:r w:rsidRPr="00F427F0">
        <w:rPr>
          <w:rFonts w:ascii="Book Antiqua" w:eastAsia="Book Antiqua" w:hAnsi="Book Antiqua" w:cs="Book Antiqua"/>
        </w:rPr>
        <w:t xml:space="preserve">, </w:t>
      </w:r>
      <w:r w:rsidRPr="00F427F0">
        <w:rPr>
          <w:rFonts w:ascii="Book Antiqua" w:eastAsia="Book Antiqua" w:hAnsi="Book Antiqua" w:cs="Book Antiqua"/>
          <w:i/>
          <w:iCs/>
        </w:rPr>
        <w:t>C5AR1</w:t>
      </w:r>
      <w:r w:rsidRPr="00F427F0">
        <w:rPr>
          <w:rFonts w:ascii="Book Antiqua" w:eastAsia="Book Antiqua" w:hAnsi="Book Antiqua" w:cs="Book Antiqua"/>
        </w:rPr>
        <w:t xml:space="preserve">, </w:t>
      </w:r>
      <w:r w:rsidRPr="00F427F0">
        <w:rPr>
          <w:rFonts w:ascii="Book Antiqua" w:eastAsia="Book Antiqua" w:hAnsi="Book Antiqua" w:cs="Book Antiqua"/>
          <w:i/>
          <w:iCs/>
        </w:rPr>
        <w:t>FCER1G</w:t>
      </w:r>
      <w:r w:rsidRPr="00F427F0">
        <w:rPr>
          <w:rFonts w:ascii="Book Antiqua" w:eastAsia="Book Antiqua" w:hAnsi="Book Antiqua" w:cs="Book Antiqua"/>
        </w:rPr>
        <w:t xml:space="preserve"> and </w:t>
      </w:r>
      <w:r w:rsidRPr="00F427F0">
        <w:rPr>
          <w:rFonts w:ascii="Book Antiqua" w:eastAsia="Book Antiqua" w:hAnsi="Book Antiqua" w:cs="Book Antiqua"/>
          <w:i/>
          <w:iCs/>
        </w:rPr>
        <w:t>FCGR2</w:t>
      </w:r>
      <w:r w:rsidRPr="00F427F0">
        <w:rPr>
          <w:rFonts w:ascii="Book Antiqua" w:eastAsia="宋体" w:hAnsi="Book Antiqua" w:cs="Book Antiqua"/>
          <w:lang w:eastAsia="zh-CN"/>
        </w:rPr>
        <w:t>A were expressed at signifi</w:t>
      </w:r>
      <w:r w:rsidRPr="00F427F0">
        <w:rPr>
          <w:rFonts w:ascii="Book Antiqua" w:eastAsia="Book Antiqua" w:hAnsi="Book Antiqua" w:cs="Book Antiqua"/>
        </w:rPr>
        <w:t xml:space="preserve">cantly higher levels in the T2DM with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group (</w:t>
      </w:r>
      <w:r w:rsidRPr="00F427F0">
        <w:rPr>
          <w:rFonts w:ascii="Book Antiqua" w:eastAsia="Book Antiqua" w:hAnsi="Book Antiqua" w:cs="Book Antiqua"/>
          <w:i/>
          <w:iCs/>
        </w:rPr>
        <w:t>P</w:t>
      </w:r>
      <w:r w:rsidRPr="00F427F0">
        <w:rPr>
          <w:rFonts w:ascii="Book Antiqua" w:eastAsia="Book Antiqua" w:hAnsi="Book Antiqua" w:cs="Book Antiqua"/>
        </w:rPr>
        <w:t xml:space="preserve"> &lt; 0.05) than in the T2DM group or the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group alone (Figure 4E).</w:t>
      </w:r>
    </w:p>
    <w:p w14:paraId="4183CAFD" w14:textId="77777777" w:rsidR="00D23823" w:rsidRPr="00F427F0" w:rsidRDefault="00D23823">
      <w:pPr>
        <w:spacing w:line="360" w:lineRule="auto"/>
        <w:jc w:val="both"/>
        <w:rPr>
          <w:rFonts w:ascii="Book Antiqua" w:hAnsi="Book Antiqua"/>
        </w:rPr>
      </w:pPr>
    </w:p>
    <w:p w14:paraId="780F2213" w14:textId="77777777" w:rsidR="00D23823" w:rsidRPr="00F427F0" w:rsidRDefault="00000000">
      <w:pPr>
        <w:spacing w:line="360" w:lineRule="auto"/>
        <w:jc w:val="both"/>
        <w:rPr>
          <w:rFonts w:ascii="Book Antiqua" w:hAnsi="Book Antiqua"/>
          <w:i/>
          <w:iCs/>
        </w:rPr>
      </w:pPr>
      <w:r w:rsidRPr="00F427F0">
        <w:rPr>
          <w:rFonts w:ascii="Book Antiqua" w:eastAsia="Book Antiqua" w:hAnsi="Book Antiqua" w:cs="Book Antiqua"/>
          <w:b/>
          <w:bCs/>
          <w:i/>
          <w:iCs/>
        </w:rPr>
        <w:t>Immune infiltration analysis</w:t>
      </w:r>
    </w:p>
    <w:p w14:paraId="779B3D24" w14:textId="77777777" w:rsidR="00D23823" w:rsidRPr="00F427F0" w:rsidRDefault="00000000">
      <w:pPr>
        <w:spacing w:line="360" w:lineRule="auto"/>
        <w:jc w:val="both"/>
        <w:rPr>
          <w:rFonts w:ascii="Book Antiqua" w:eastAsia="宋体" w:hAnsi="Book Antiqua" w:cs="Book Antiqua"/>
          <w:lang w:eastAsia="zh-CN"/>
        </w:rPr>
      </w:pPr>
      <w:r w:rsidRPr="00F427F0">
        <w:rPr>
          <w:rFonts w:ascii="Book Antiqua" w:eastAsia="Book Antiqua" w:hAnsi="Book Antiqua" w:cs="Book Antiqua"/>
        </w:rPr>
        <w:t xml:space="preserve">Using the CIBERSORT algorithm, we explored differences in immune infiltration between </w:t>
      </w:r>
      <w:r w:rsidRPr="00F427F0">
        <w:rPr>
          <w:rFonts w:ascii="Book Antiqua" w:eastAsia="Book Antiqua" w:hAnsi="Book Antiqua" w:cs="Book Antiqua"/>
          <w:i/>
          <w:iCs/>
        </w:rPr>
        <w:t>H. pylori-</w:t>
      </w:r>
      <w:r w:rsidRPr="00F427F0">
        <w:rPr>
          <w:rFonts w:ascii="Book Antiqua" w:eastAsia="Book Antiqua" w:hAnsi="Book Antiqua" w:cs="Book Antiqua"/>
        </w:rPr>
        <w:t xml:space="preserve">infected versus normal gastric tissues. Compared with normal tissues, </w:t>
      </w:r>
      <w:r w:rsidRPr="00F427F0">
        <w:rPr>
          <w:rFonts w:ascii="Book Antiqua" w:eastAsia="Book Antiqua" w:hAnsi="Book Antiqua" w:cs="Book Antiqua"/>
          <w:i/>
          <w:iCs/>
        </w:rPr>
        <w:t>H. pylori-</w:t>
      </w:r>
      <w:r w:rsidRPr="00F427F0">
        <w:rPr>
          <w:rFonts w:ascii="Book Antiqua" w:eastAsia="Book Antiqua" w:hAnsi="Book Antiqua" w:cs="Book Antiqua"/>
        </w:rPr>
        <w:t>infected gastric tissues generally contained a higher proportion of regulatory T cells, activated NK cells, eosinophils and neutrophils, whereas the proportions of plasma cells, activated mast cells and M2 macrophag</w:t>
      </w:r>
      <w:r w:rsidRPr="00F427F0">
        <w:rPr>
          <w:rFonts w:ascii="Book Antiqua" w:eastAsia="宋体" w:hAnsi="Book Antiqua" w:cs="Book Antiqua"/>
          <w:lang w:eastAsia="zh-CN"/>
        </w:rPr>
        <w:t xml:space="preserve">es were lower in </w:t>
      </w:r>
      <w:r w:rsidRPr="00F427F0">
        <w:rPr>
          <w:rFonts w:ascii="Book Antiqua" w:eastAsia="宋体" w:hAnsi="Book Antiqua" w:cs="Book Antiqua"/>
          <w:i/>
          <w:iCs/>
          <w:lang w:eastAsia="zh-CN"/>
        </w:rPr>
        <w:t>H. pylori</w:t>
      </w:r>
      <w:r w:rsidRPr="00F427F0">
        <w:rPr>
          <w:rFonts w:ascii="Book Antiqua" w:eastAsia="宋体" w:hAnsi="Book Antiqua" w:cs="Book Antiqua"/>
          <w:lang w:eastAsia="zh-CN"/>
        </w:rPr>
        <w:t>-infected gastric tissues (Figure 5A and B).</w:t>
      </w:r>
    </w:p>
    <w:p w14:paraId="1985933A" w14:textId="77777777" w:rsidR="00D23823" w:rsidRPr="00F427F0" w:rsidRDefault="00000000">
      <w:pPr>
        <w:spacing w:line="360" w:lineRule="auto"/>
        <w:ind w:firstLineChars="200" w:firstLine="480"/>
        <w:jc w:val="both"/>
        <w:rPr>
          <w:rFonts w:ascii="Book Antiqua" w:hAnsi="Book Antiqua"/>
        </w:rPr>
      </w:pPr>
      <w:r w:rsidRPr="00F427F0">
        <w:rPr>
          <w:rFonts w:ascii="Book Antiqua" w:eastAsia="Book Antiqua" w:hAnsi="Book Antiqua" w:cs="Book Antiqua"/>
        </w:rPr>
        <w:t xml:space="preserve">The results obtained using TIMER showed that </w:t>
      </w:r>
      <w:r w:rsidRPr="00F427F0">
        <w:rPr>
          <w:rFonts w:ascii="Book Antiqua" w:eastAsia="Book Antiqua" w:hAnsi="Book Antiqua" w:cs="Book Antiqua"/>
          <w:i/>
          <w:iCs/>
        </w:rPr>
        <w:t>TLR4</w:t>
      </w:r>
      <w:r w:rsidRPr="00F427F0">
        <w:rPr>
          <w:rFonts w:ascii="Book Antiqua" w:eastAsia="Book Antiqua" w:hAnsi="Book Antiqua" w:cs="Book Antiqua"/>
        </w:rPr>
        <w:t xml:space="preserve"> and </w:t>
      </w:r>
      <w:r w:rsidRPr="00F427F0">
        <w:rPr>
          <w:rFonts w:ascii="Book Antiqua" w:eastAsia="Book Antiqua" w:hAnsi="Book Antiqua" w:cs="Book Antiqua"/>
          <w:i/>
          <w:iCs/>
        </w:rPr>
        <w:t>ITGAM</w:t>
      </w:r>
      <w:r w:rsidRPr="00F427F0">
        <w:rPr>
          <w:rFonts w:ascii="Book Antiqua" w:eastAsia="Book Antiqua" w:hAnsi="Book Antiqua" w:cs="Book Antiqua"/>
        </w:rPr>
        <w:t xml:space="preserve"> expression correlated positively with CD8+ T cells, CD4+ T cells, macrophages, neutrophils, and DCs. </w:t>
      </w:r>
      <w:r w:rsidRPr="00F427F0">
        <w:rPr>
          <w:rFonts w:ascii="Book Antiqua" w:eastAsia="Book Antiqua" w:hAnsi="Book Antiqua" w:cs="Book Antiqua"/>
          <w:i/>
          <w:iCs/>
        </w:rPr>
        <w:t>C5AR1</w:t>
      </w:r>
      <w:r w:rsidRPr="00F427F0">
        <w:rPr>
          <w:rFonts w:ascii="Book Antiqua" w:eastAsia="Book Antiqua" w:hAnsi="Book Antiqua" w:cs="Book Antiqua"/>
        </w:rPr>
        <w:t xml:space="preserve">, </w:t>
      </w:r>
      <w:r w:rsidRPr="00F427F0">
        <w:rPr>
          <w:rFonts w:ascii="Book Antiqua" w:eastAsia="Book Antiqua" w:hAnsi="Book Antiqua" w:cs="Book Antiqua"/>
          <w:i/>
          <w:iCs/>
        </w:rPr>
        <w:t>FCER1G</w:t>
      </w:r>
      <w:r w:rsidRPr="00F427F0">
        <w:rPr>
          <w:rFonts w:ascii="Book Antiqua" w:eastAsia="Book Antiqua" w:hAnsi="Book Antiqua" w:cs="Book Antiqua"/>
        </w:rPr>
        <w:t xml:space="preserve"> and </w:t>
      </w:r>
      <w:r w:rsidRPr="00F427F0">
        <w:rPr>
          <w:rFonts w:ascii="Book Antiqua" w:eastAsia="Book Antiqua" w:hAnsi="Book Antiqua" w:cs="Book Antiqua"/>
          <w:i/>
          <w:iCs/>
        </w:rPr>
        <w:t>FCGR2A</w:t>
      </w:r>
      <w:r w:rsidRPr="00F427F0">
        <w:rPr>
          <w:rFonts w:ascii="Book Antiqua" w:eastAsia="Book Antiqua" w:hAnsi="Book Antiqua" w:cs="Book Antiqua"/>
        </w:rPr>
        <w:t xml:space="preserve"> expression was significantly associated with infiltration of B cells, CD8+ T cells, macrophages, neutrophils, and DCs, among which their mRNA expression levels all correlated negatively with B cells (Figure 5C).</w:t>
      </w:r>
    </w:p>
    <w:p w14:paraId="346DE95E" w14:textId="77777777" w:rsidR="00D23823" w:rsidRPr="00F427F0" w:rsidRDefault="00D23823">
      <w:pPr>
        <w:spacing w:line="360" w:lineRule="auto"/>
        <w:jc w:val="both"/>
        <w:rPr>
          <w:rFonts w:ascii="Book Antiqua" w:hAnsi="Book Antiqua"/>
        </w:rPr>
      </w:pPr>
    </w:p>
    <w:p w14:paraId="779E980E" w14:textId="77777777" w:rsidR="00D23823" w:rsidRPr="00F427F0" w:rsidRDefault="00000000">
      <w:pPr>
        <w:spacing w:line="360" w:lineRule="auto"/>
        <w:jc w:val="both"/>
        <w:rPr>
          <w:rFonts w:ascii="Book Antiqua" w:hAnsi="Book Antiqua"/>
          <w:i/>
          <w:iCs/>
        </w:rPr>
      </w:pPr>
      <w:r w:rsidRPr="00F427F0">
        <w:rPr>
          <w:rFonts w:ascii="Book Antiqua" w:eastAsia="宋体" w:hAnsi="Book Antiqua" w:cs="Book Antiqua"/>
          <w:b/>
          <w:bCs/>
          <w:i/>
          <w:iCs/>
          <w:lang w:eastAsia="zh-CN"/>
        </w:rPr>
        <w:t>P</w:t>
      </w:r>
      <w:r w:rsidRPr="00F427F0">
        <w:rPr>
          <w:rFonts w:ascii="Book Antiqua" w:eastAsia="Book Antiqua" w:hAnsi="Book Antiqua" w:cs="Book Antiqua"/>
          <w:b/>
          <w:bCs/>
          <w:i/>
          <w:iCs/>
        </w:rPr>
        <w:t>rediction</w:t>
      </w:r>
      <w:r w:rsidRPr="00F427F0">
        <w:rPr>
          <w:rFonts w:ascii="Book Antiqua" w:eastAsia="宋体" w:hAnsi="Book Antiqua" w:cs="Book Antiqua"/>
          <w:b/>
          <w:bCs/>
          <w:i/>
          <w:iCs/>
          <w:lang w:eastAsia="zh-CN"/>
        </w:rPr>
        <w:t xml:space="preserve"> of f</w:t>
      </w:r>
      <w:r w:rsidRPr="00F427F0">
        <w:rPr>
          <w:rFonts w:ascii="Book Antiqua" w:eastAsia="Book Antiqua" w:hAnsi="Book Antiqua" w:cs="Book Antiqua"/>
          <w:b/>
          <w:bCs/>
          <w:i/>
          <w:iCs/>
        </w:rPr>
        <w:t>urther miRNA and analysis</w:t>
      </w:r>
      <w:r w:rsidRPr="00F427F0">
        <w:rPr>
          <w:rFonts w:ascii="Book Antiqua" w:eastAsia="宋体" w:hAnsi="Book Antiqua" w:cs="Book Antiqua"/>
          <w:b/>
          <w:bCs/>
          <w:i/>
          <w:iCs/>
          <w:lang w:eastAsia="zh-CN"/>
        </w:rPr>
        <w:t xml:space="preserve"> of</w:t>
      </w:r>
      <w:r w:rsidRPr="00F427F0">
        <w:rPr>
          <w:rFonts w:ascii="Book Antiqua" w:eastAsia="Book Antiqua" w:hAnsi="Book Antiqua" w:cs="Book Antiqua"/>
          <w:b/>
          <w:bCs/>
          <w:i/>
          <w:iCs/>
        </w:rPr>
        <w:t xml:space="preserve"> gene-miRNA network</w:t>
      </w:r>
    </w:p>
    <w:p w14:paraId="1A3C5A48" w14:textId="77777777" w:rsidR="00D23823" w:rsidRPr="00F427F0" w:rsidRDefault="00000000">
      <w:pPr>
        <w:spacing w:line="360" w:lineRule="auto"/>
        <w:jc w:val="both"/>
        <w:rPr>
          <w:rFonts w:ascii="Book Antiqua" w:hAnsi="Book Antiqua"/>
        </w:rPr>
      </w:pPr>
      <w:r w:rsidRPr="00F427F0">
        <w:rPr>
          <w:rFonts w:ascii="Book Antiqua" w:eastAsia="宋体" w:hAnsi="Book Antiqua" w:cs="Book Antiqua"/>
          <w:lang w:eastAsia="zh-CN"/>
        </w:rPr>
        <w:t>A total of 225 miRNAs was predicted after w</w:t>
      </w:r>
      <w:r w:rsidRPr="00F427F0">
        <w:rPr>
          <w:rFonts w:ascii="Book Antiqua" w:eastAsia="Book Antiqua" w:hAnsi="Book Antiqua" w:cs="Book Antiqua"/>
        </w:rPr>
        <w:t>e upload</w:t>
      </w:r>
      <w:r w:rsidRPr="00F427F0">
        <w:rPr>
          <w:rFonts w:ascii="Book Antiqua" w:eastAsia="宋体" w:hAnsi="Book Antiqua" w:cs="Book Antiqua"/>
          <w:lang w:eastAsia="zh-CN"/>
        </w:rPr>
        <w:t>ing</w:t>
      </w:r>
      <w:r w:rsidRPr="00F427F0">
        <w:rPr>
          <w:rFonts w:ascii="Book Antiqua" w:eastAsia="Book Antiqua" w:hAnsi="Book Antiqua" w:cs="Book Antiqua"/>
        </w:rPr>
        <w:t xml:space="preserve"> the 5 </w:t>
      </w:r>
      <w:r w:rsidRPr="00F427F0">
        <w:rPr>
          <w:rFonts w:ascii="Book Antiqua" w:eastAsia="宋体" w:hAnsi="Book Antiqua" w:cs="Book Antiqua"/>
          <w:lang w:eastAsia="zh-CN"/>
        </w:rPr>
        <w:t xml:space="preserve">identified </w:t>
      </w:r>
      <w:r w:rsidRPr="00F427F0">
        <w:rPr>
          <w:rFonts w:ascii="Book Antiqua" w:eastAsia="Book Antiqua" w:hAnsi="Book Antiqua" w:cs="Book Antiqua"/>
        </w:rPr>
        <w:t>hub genes to the miRWalk database. The gene–miRNA interaction network is shown in Figure 6A. We detected 13 miRNAs (miR-6848-5p, miR-6796-5p, miR-6740-5p, miR-8060, miR-6730-5p, miR-5698, miR-12119, miR-6881-5p, miR-6846-5p, miR-7703, miR-6728-5p, miR-7107-5p and miR-1914-3p) associated with at least two gene cross-links, as shown in Supplementary Table 5.</w:t>
      </w:r>
    </w:p>
    <w:p w14:paraId="1860461D" w14:textId="77777777" w:rsidR="00D23823" w:rsidRPr="00F427F0" w:rsidRDefault="00D23823">
      <w:pPr>
        <w:spacing w:line="360" w:lineRule="auto"/>
        <w:jc w:val="both"/>
        <w:rPr>
          <w:rFonts w:ascii="Book Antiqua" w:hAnsi="Book Antiqua"/>
        </w:rPr>
      </w:pPr>
    </w:p>
    <w:p w14:paraId="406E84BA" w14:textId="77777777" w:rsidR="00D23823" w:rsidRPr="00F427F0" w:rsidRDefault="00000000">
      <w:pPr>
        <w:spacing w:line="360" w:lineRule="auto"/>
        <w:jc w:val="both"/>
        <w:rPr>
          <w:rFonts w:ascii="Book Antiqua" w:hAnsi="Book Antiqua"/>
          <w:i/>
          <w:iCs/>
        </w:rPr>
      </w:pPr>
      <w:r w:rsidRPr="00F427F0">
        <w:rPr>
          <w:rFonts w:ascii="Book Antiqua" w:eastAsia="Book Antiqua" w:hAnsi="Book Antiqua" w:cs="Book Antiqua"/>
          <w:b/>
          <w:bCs/>
          <w:i/>
          <w:iCs/>
        </w:rPr>
        <w:t>TF-gene interaction network</w:t>
      </w:r>
    </w:p>
    <w:p w14:paraId="6AE6A444" w14:textId="77777777" w:rsidR="00D23823" w:rsidRPr="00F427F0" w:rsidRDefault="00000000">
      <w:pPr>
        <w:spacing w:line="360" w:lineRule="auto"/>
        <w:jc w:val="both"/>
        <w:rPr>
          <w:rFonts w:ascii="Book Antiqua" w:eastAsia="宋体" w:hAnsi="Book Antiqua" w:cs="Book Antiqua"/>
          <w:lang w:eastAsia="zh-CN"/>
        </w:rPr>
      </w:pPr>
      <w:r w:rsidRPr="00F427F0">
        <w:rPr>
          <w:rFonts w:ascii="Book Antiqua" w:eastAsia="Book Antiqua" w:hAnsi="Book Antiqua" w:cs="Book Antiqua"/>
        </w:rPr>
        <w:t xml:space="preserve">The top ranked TFs were SPI1, MECOM, GATA2, TP63, SALL4, GATA1, MITF, RUNX1 and FLI1 (Figure 6B). Based on the results, we found that </w:t>
      </w:r>
      <w:r w:rsidRPr="00F427F0">
        <w:rPr>
          <w:rFonts w:ascii="Book Antiqua" w:eastAsia="Book Antiqua" w:hAnsi="Book Antiqua" w:cs="Book Antiqua"/>
          <w:i/>
          <w:iCs/>
        </w:rPr>
        <w:t>TLR4</w:t>
      </w:r>
      <w:r w:rsidRPr="00F427F0">
        <w:rPr>
          <w:rFonts w:ascii="Book Antiqua" w:eastAsia="Book Antiqua" w:hAnsi="Book Antiqua" w:cs="Book Antiqua"/>
        </w:rPr>
        <w:t xml:space="preserve"> was coregulated by 26 TFs</w:t>
      </w:r>
      <w:r w:rsidRPr="00F427F0">
        <w:rPr>
          <w:rFonts w:ascii="Book Antiqua" w:eastAsia="宋体" w:hAnsi="Book Antiqua" w:cs="Book Antiqua"/>
          <w:lang w:eastAsia="zh-CN"/>
        </w:rPr>
        <w:t>, the highest among the identified hub genes.</w:t>
      </w:r>
    </w:p>
    <w:p w14:paraId="2D38B698" w14:textId="77777777" w:rsidR="00D23823" w:rsidRPr="00F427F0" w:rsidRDefault="00D23823">
      <w:pPr>
        <w:spacing w:line="360" w:lineRule="auto"/>
        <w:jc w:val="both"/>
        <w:rPr>
          <w:rFonts w:ascii="Book Antiqua" w:hAnsi="Book Antiqua"/>
        </w:rPr>
      </w:pPr>
    </w:p>
    <w:p w14:paraId="73C1C2A7" w14:textId="77777777" w:rsidR="00D23823" w:rsidRPr="00F427F0" w:rsidRDefault="00000000">
      <w:pPr>
        <w:spacing w:line="360" w:lineRule="auto"/>
        <w:jc w:val="both"/>
        <w:rPr>
          <w:rFonts w:ascii="Book Antiqua" w:hAnsi="Book Antiqua"/>
          <w:i/>
          <w:iCs/>
        </w:rPr>
      </w:pPr>
      <w:r w:rsidRPr="00F427F0">
        <w:rPr>
          <w:rFonts w:ascii="Book Antiqua" w:eastAsia="Book Antiqua" w:hAnsi="Book Antiqua" w:cs="Book Antiqua"/>
          <w:b/>
          <w:bCs/>
          <w:i/>
          <w:iCs/>
        </w:rPr>
        <w:t>Functional analysis of hub genes by single-gene GSEA</w:t>
      </w:r>
    </w:p>
    <w:p w14:paraId="6B556DE9"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We performed GSEA on </w:t>
      </w:r>
      <w:r w:rsidRPr="00F427F0">
        <w:rPr>
          <w:rFonts w:ascii="Book Antiqua" w:eastAsia="Book Antiqua" w:hAnsi="Book Antiqua" w:cs="Book Antiqua"/>
          <w:i/>
          <w:iCs/>
        </w:rPr>
        <w:t>TLR4</w:t>
      </w:r>
      <w:r w:rsidRPr="00F427F0">
        <w:rPr>
          <w:rFonts w:ascii="Book Antiqua" w:eastAsia="Book Antiqua" w:hAnsi="Book Antiqua" w:cs="Book Antiqua"/>
        </w:rPr>
        <w:t xml:space="preserve">, </w:t>
      </w:r>
      <w:r w:rsidRPr="00F427F0">
        <w:rPr>
          <w:rFonts w:ascii="Book Antiqua" w:eastAsia="Book Antiqua" w:hAnsi="Book Antiqua" w:cs="Book Antiqua"/>
          <w:i/>
          <w:iCs/>
        </w:rPr>
        <w:t>ITGAM</w:t>
      </w:r>
      <w:r w:rsidRPr="00F427F0">
        <w:rPr>
          <w:rFonts w:ascii="Book Antiqua" w:eastAsia="Book Antiqua" w:hAnsi="Book Antiqua" w:cs="Book Antiqua"/>
        </w:rPr>
        <w:t xml:space="preserve">, </w:t>
      </w:r>
      <w:r w:rsidRPr="00F427F0">
        <w:rPr>
          <w:rFonts w:ascii="Book Antiqua" w:eastAsia="Book Antiqua" w:hAnsi="Book Antiqua" w:cs="Book Antiqua"/>
          <w:i/>
          <w:iCs/>
        </w:rPr>
        <w:t>C5AR1</w:t>
      </w:r>
      <w:r w:rsidRPr="00F427F0">
        <w:rPr>
          <w:rFonts w:ascii="Book Antiqua" w:eastAsia="Book Antiqua" w:hAnsi="Book Antiqua" w:cs="Book Antiqua"/>
        </w:rPr>
        <w:t xml:space="preserve">, </w:t>
      </w:r>
      <w:r w:rsidRPr="00F427F0">
        <w:rPr>
          <w:rFonts w:ascii="Book Antiqua" w:eastAsia="Book Antiqua" w:hAnsi="Book Antiqua" w:cs="Book Antiqua"/>
          <w:i/>
          <w:iCs/>
        </w:rPr>
        <w:t>FCER1G</w:t>
      </w:r>
      <w:r w:rsidRPr="00F427F0">
        <w:rPr>
          <w:rFonts w:ascii="Book Antiqua" w:eastAsia="Book Antiqua" w:hAnsi="Book Antiqua" w:cs="Book Antiqua"/>
        </w:rPr>
        <w:t xml:space="preserve"> and </w:t>
      </w:r>
      <w:r w:rsidRPr="00F427F0">
        <w:rPr>
          <w:rFonts w:ascii="Book Antiqua" w:eastAsia="Book Antiqua" w:hAnsi="Book Antiqua" w:cs="Book Antiqua"/>
          <w:i/>
          <w:iCs/>
        </w:rPr>
        <w:t>FCGR2A</w:t>
      </w:r>
      <w:r w:rsidRPr="00F427F0">
        <w:rPr>
          <w:rFonts w:ascii="Book Antiqua" w:eastAsia="Book Antiqua" w:hAnsi="Book Antiqua" w:cs="Book Antiqua"/>
        </w:rPr>
        <w:t xml:space="preserve"> to explore the role of these genes in the course of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and T2DM and found the top 10 significant items (Figure 7). </w:t>
      </w:r>
      <w:r w:rsidRPr="00F427F0">
        <w:rPr>
          <w:rFonts w:ascii="Book Antiqua" w:eastAsia="宋体" w:hAnsi="Book Antiqua" w:cs="Book Antiqua"/>
          <w:lang w:eastAsia="zh-CN"/>
        </w:rPr>
        <w:t>According to GSEA results, it</w:t>
      </w:r>
      <w:r w:rsidRPr="00F427F0">
        <w:rPr>
          <w:rFonts w:ascii="Book Antiqua" w:eastAsia="Book Antiqua" w:hAnsi="Book Antiqua" w:cs="Book Antiqua"/>
        </w:rPr>
        <w:t xml:space="preserve"> </w:t>
      </w:r>
      <w:r w:rsidRPr="00F427F0">
        <w:rPr>
          <w:rFonts w:ascii="Book Antiqua" w:eastAsia="宋体" w:hAnsi="Book Antiqua" w:cs="Book Antiqua"/>
          <w:lang w:eastAsia="zh-CN"/>
        </w:rPr>
        <w:t>suggested</w:t>
      </w:r>
      <w:r w:rsidRPr="00F427F0">
        <w:rPr>
          <w:rFonts w:ascii="Book Antiqua" w:eastAsia="Book Antiqua" w:hAnsi="Book Antiqua" w:cs="Book Antiqua"/>
        </w:rPr>
        <w:t xml:space="preserve"> that </w:t>
      </w:r>
      <w:r w:rsidRPr="00F427F0">
        <w:rPr>
          <w:rFonts w:ascii="Book Antiqua" w:eastAsia="宋体" w:hAnsi="Book Antiqua" w:cs="Book Antiqua"/>
          <w:lang w:eastAsia="zh-CN"/>
        </w:rPr>
        <w:t xml:space="preserve">all </w:t>
      </w:r>
      <w:r w:rsidRPr="00F427F0">
        <w:rPr>
          <w:rFonts w:ascii="Book Antiqua" w:eastAsia="Book Antiqua" w:hAnsi="Book Antiqua" w:cs="Book Antiqua"/>
        </w:rPr>
        <w:t xml:space="preserve">these five genes play </w:t>
      </w:r>
      <w:r w:rsidRPr="00F427F0">
        <w:rPr>
          <w:rFonts w:ascii="Book Antiqua" w:eastAsia="宋体" w:hAnsi="Book Antiqua" w:cs="Book Antiqua"/>
          <w:lang w:eastAsia="zh-CN"/>
        </w:rPr>
        <w:t xml:space="preserve">a </w:t>
      </w:r>
      <w:r w:rsidRPr="00F427F0">
        <w:rPr>
          <w:rFonts w:ascii="Book Antiqua" w:eastAsia="Book Antiqua" w:hAnsi="Book Antiqua" w:cs="Book Antiqua"/>
        </w:rPr>
        <w:t xml:space="preserve">direct or indirect role in the </w:t>
      </w:r>
      <w:r w:rsidRPr="00F427F0">
        <w:rPr>
          <w:rFonts w:ascii="Book Antiqua" w:eastAsia="宋体" w:hAnsi="Book Antiqua" w:cs="Book Antiqua"/>
          <w:lang w:eastAsia="zh-CN"/>
        </w:rPr>
        <w:t>pathogenesis</w:t>
      </w:r>
      <w:r w:rsidRPr="00F427F0">
        <w:rPr>
          <w:rFonts w:ascii="Book Antiqua" w:eastAsia="Book Antiqua" w:hAnsi="Book Antiqua" w:cs="Book Antiqua"/>
        </w:rPr>
        <w:t xml:space="preserve"> of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and T2DM. For example, </w:t>
      </w:r>
      <w:r w:rsidRPr="00F427F0">
        <w:rPr>
          <w:rFonts w:ascii="Book Antiqua" w:eastAsia="Book Antiqua" w:hAnsi="Book Antiqua" w:cs="Book Antiqua"/>
          <w:i/>
          <w:iCs/>
        </w:rPr>
        <w:t>FCG2A</w:t>
      </w:r>
      <w:r w:rsidRPr="00F427F0">
        <w:rPr>
          <w:rFonts w:ascii="Book Antiqua" w:eastAsia="Book Antiqua" w:hAnsi="Book Antiqua" w:cs="Book Antiqua"/>
        </w:rPr>
        <w:t xml:space="preserve"> is involved in the signaling pathway of “type 1 diabetes mellitus” and the “insulin signaling pathway”, </w:t>
      </w:r>
      <w:r w:rsidRPr="00F427F0">
        <w:rPr>
          <w:rFonts w:ascii="Book Antiqua" w:eastAsia="Book Antiqua" w:hAnsi="Book Antiqua" w:cs="Book Antiqua"/>
          <w:i/>
          <w:iCs/>
        </w:rPr>
        <w:t>C5AR1</w:t>
      </w:r>
      <w:r w:rsidRPr="00F427F0">
        <w:rPr>
          <w:rFonts w:ascii="Book Antiqua" w:eastAsia="Book Antiqua" w:hAnsi="Book Antiqua" w:cs="Book Antiqua"/>
        </w:rPr>
        <w:t xml:space="preserve"> and </w:t>
      </w:r>
      <w:r w:rsidRPr="00F427F0">
        <w:rPr>
          <w:rFonts w:ascii="Book Antiqua" w:eastAsia="Book Antiqua" w:hAnsi="Book Antiqua" w:cs="Book Antiqua"/>
          <w:i/>
          <w:iCs/>
        </w:rPr>
        <w:t>FCER1G</w:t>
      </w:r>
      <w:r w:rsidRPr="00F427F0">
        <w:rPr>
          <w:rFonts w:ascii="Book Antiqua" w:eastAsia="Book Antiqua" w:hAnsi="Book Antiqua" w:cs="Book Antiqua"/>
        </w:rPr>
        <w:t xml:space="preserve"> are involved in the signaling pathway of “type 1 diabetes mellitus”, and </w:t>
      </w:r>
      <w:r w:rsidRPr="00F427F0">
        <w:rPr>
          <w:rFonts w:ascii="Book Antiqua" w:eastAsia="Book Antiqua" w:hAnsi="Book Antiqua" w:cs="Book Antiqua"/>
          <w:i/>
          <w:iCs/>
        </w:rPr>
        <w:t>ITGAM</w:t>
      </w:r>
      <w:r w:rsidRPr="00F427F0">
        <w:rPr>
          <w:rFonts w:ascii="Book Antiqua" w:eastAsia="Book Antiqua" w:hAnsi="Book Antiqua" w:cs="Book Antiqua"/>
        </w:rPr>
        <w:t xml:space="preserve"> is involved in the signaling pathway of “glycosaminoglycan biosynthesis chondroitin sulfate”.</w:t>
      </w:r>
    </w:p>
    <w:p w14:paraId="47667D8E" w14:textId="77777777" w:rsidR="00D23823" w:rsidRPr="00F427F0" w:rsidRDefault="00D23823">
      <w:pPr>
        <w:spacing w:line="360" w:lineRule="auto"/>
        <w:jc w:val="both"/>
        <w:rPr>
          <w:rFonts w:ascii="Book Antiqua" w:hAnsi="Book Antiqua"/>
        </w:rPr>
      </w:pPr>
    </w:p>
    <w:p w14:paraId="41EB7871"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caps/>
          <w:u w:val="single"/>
        </w:rPr>
        <w:t>DISCUSSION</w:t>
      </w:r>
    </w:p>
    <w:p w14:paraId="01786850"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Approximately 50% of the world’s population is infected with </w:t>
      </w:r>
      <w:r w:rsidRPr="00F427F0">
        <w:rPr>
          <w:rFonts w:ascii="Book Antiqua" w:eastAsia="Book Antiqua" w:hAnsi="Book Antiqua" w:cs="Book Antiqua"/>
          <w:i/>
          <w:iCs/>
        </w:rPr>
        <w:t>H. pylori</w:t>
      </w:r>
      <w:r w:rsidRPr="00F427F0">
        <w:rPr>
          <w:rFonts w:ascii="Book Antiqua" w:eastAsia="Book Antiqua" w:hAnsi="Book Antiqua" w:cs="Book Antiqua"/>
        </w:rPr>
        <w:t>, and the infection rate is even higher in patients with T2DM. Infected patients with T2DM have worse blood glucose control abilities, with great social and economic burdens</w:t>
      </w:r>
      <w:r w:rsidRPr="00F427F0">
        <w:rPr>
          <w:rFonts w:ascii="Book Antiqua" w:eastAsia="Book Antiqua" w:hAnsi="Book Antiqua" w:cs="Book Antiqua"/>
          <w:vertAlign w:val="superscript"/>
        </w:rPr>
        <w:t>[</w:t>
      </w:r>
      <w:r w:rsidRPr="00F427F0">
        <w:rPr>
          <w:rFonts w:ascii="Book Antiqua" w:eastAsia="宋体" w:hAnsi="Book Antiqua" w:cs="Book Antiqua"/>
          <w:vertAlign w:val="superscript"/>
          <w:lang w:eastAsia="zh-CN"/>
        </w:rPr>
        <w:t>7,8</w:t>
      </w:r>
      <w:r w:rsidRPr="00F427F0">
        <w:rPr>
          <w:rFonts w:ascii="Book Antiqua" w:eastAsia="Book Antiqua" w:hAnsi="Book Antiqua" w:cs="Book Antiqua"/>
          <w:vertAlign w:val="superscript"/>
        </w:rPr>
        <w:t>]</w:t>
      </w:r>
      <w:r w:rsidRPr="00F427F0">
        <w:rPr>
          <w:rFonts w:ascii="Book Antiqua" w:eastAsia="Book Antiqua" w:hAnsi="Book Antiqua" w:cs="Book Antiqua"/>
        </w:rPr>
        <w:t xml:space="preserve">. However, the detailed mechanism of the interaction between T2DM and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remains unknown. Therefore, it is necessary to increase our understanding of the underlying mechanisms leading to the risk of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and T2DM to develop effective treatment approaches.</w:t>
      </w:r>
    </w:p>
    <w:p w14:paraId="03466FB3" w14:textId="77777777" w:rsidR="00D23823" w:rsidRPr="00F427F0" w:rsidRDefault="00000000">
      <w:pPr>
        <w:spacing w:line="360" w:lineRule="auto"/>
        <w:ind w:firstLineChars="200" w:firstLine="480"/>
        <w:jc w:val="both"/>
        <w:rPr>
          <w:rFonts w:ascii="Book Antiqua" w:hAnsi="Book Antiqua"/>
        </w:rPr>
      </w:pPr>
      <w:r w:rsidRPr="00F427F0">
        <w:rPr>
          <w:rFonts w:ascii="Book Antiqua" w:eastAsia="Book Antiqua" w:hAnsi="Book Antiqua" w:cs="Book Antiqua"/>
        </w:rPr>
        <w:t xml:space="preserve">In this study, we investigated the biological functions, expression levels, and correlations with immune infiltrates of common genes with significantly altered expression in both </w:t>
      </w:r>
      <w:r w:rsidRPr="00F427F0">
        <w:rPr>
          <w:rFonts w:ascii="Book Antiqua" w:eastAsia="Book Antiqua" w:hAnsi="Book Antiqua" w:cs="Book Antiqua"/>
          <w:i/>
          <w:iCs/>
        </w:rPr>
        <w:t>H. pylori-</w:t>
      </w:r>
      <w:r w:rsidRPr="00F427F0">
        <w:rPr>
          <w:rFonts w:ascii="Book Antiqua" w:eastAsia="Book Antiqua" w:hAnsi="Book Antiqua" w:cs="Book Antiqua"/>
        </w:rPr>
        <w:t xml:space="preserve">infected individuals and T2DM patients through integrated bioinformatics analyses. Our results showed that expression of 67 overlapping genes was altered in gastric samples from both </w:t>
      </w:r>
      <w:r w:rsidRPr="00F427F0">
        <w:rPr>
          <w:rFonts w:ascii="Book Antiqua" w:eastAsia="Book Antiqua" w:hAnsi="Book Antiqua" w:cs="Book Antiqua"/>
          <w:i/>
          <w:iCs/>
        </w:rPr>
        <w:t>H. pylori</w:t>
      </w:r>
      <w:r w:rsidRPr="00F427F0">
        <w:rPr>
          <w:rFonts w:ascii="Book Antiqua" w:eastAsia="Book Antiqua" w:hAnsi="Book Antiqua" w:cs="Book Antiqua"/>
        </w:rPr>
        <w:t xml:space="preserve">-infected individuals and T2DM </w:t>
      </w:r>
      <w:r w:rsidRPr="00F427F0">
        <w:rPr>
          <w:rFonts w:ascii="Book Antiqua" w:eastAsia="Book Antiqua" w:hAnsi="Book Antiqua" w:cs="Book Antiqua"/>
        </w:rPr>
        <w:lastRenderedPageBreak/>
        <w:t>patients. Among these genes, 48 were upregulated and 19 downregulated. Five hub genes were further identified through PPI analysis. However, regardless of the statistical probability, the causality between a candidate genotype and the phenotype of the host remains uncertain</w:t>
      </w:r>
      <w:r w:rsidRPr="00F427F0">
        <w:rPr>
          <w:rFonts w:ascii="Book Antiqua" w:eastAsia="Book Antiqua" w:hAnsi="Book Antiqua" w:cs="Book Antiqua"/>
          <w:vertAlign w:val="superscript"/>
        </w:rPr>
        <w:t>[27]</w:t>
      </w:r>
      <w:r w:rsidRPr="00F427F0">
        <w:rPr>
          <w:rFonts w:ascii="Book Antiqua" w:eastAsia="Book Antiqua" w:hAnsi="Book Antiqua" w:cs="Book Antiqua"/>
        </w:rPr>
        <w:t>. To further identify the relationship between genotype (the 5 hub genes) and phenotype (</w:t>
      </w:r>
      <w:r w:rsidRPr="00F427F0">
        <w:rPr>
          <w:rFonts w:ascii="Book Antiqua" w:eastAsia="Book Antiqua" w:hAnsi="Book Antiqua" w:cs="Book Antiqua"/>
          <w:i/>
          <w:iCs/>
        </w:rPr>
        <w:t>H. pylori</w:t>
      </w:r>
      <w:r w:rsidRPr="00F427F0">
        <w:rPr>
          <w:rFonts w:ascii="Book Antiqua" w:eastAsia="Book Antiqua" w:hAnsi="Book Antiqua" w:cs="Book Antiqua"/>
        </w:rPr>
        <w:t>-associated T2DM), rigorous validation of mechanisms at the molecular, cellular, tissue, and whole-organism levels is needed.</w:t>
      </w:r>
    </w:p>
    <w:p w14:paraId="4037E711" w14:textId="77777777" w:rsidR="00D23823" w:rsidRPr="00F427F0" w:rsidRDefault="00000000">
      <w:pPr>
        <w:spacing w:line="360" w:lineRule="auto"/>
        <w:ind w:firstLine="480"/>
        <w:jc w:val="both"/>
        <w:rPr>
          <w:rFonts w:ascii="Book Antiqua" w:eastAsia="宋体" w:hAnsi="Book Antiqua" w:cs="Book Antiqua"/>
          <w:lang w:eastAsia="zh-CN"/>
        </w:rPr>
      </w:pPr>
      <w:r w:rsidRPr="00F427F0">
        <w:rPr>
          <w:rFonts w:ascii="Book Antiqua" w:eastAsia="Book Antiqua" w:hAnsi="Book Antiqua" w:cs="Book Antiqua"/>
        </w:rPr>
        <w:t>Chronic low-grade inflammation has been definitively shown to correspond with obesity</w:t>
      </w:r>
      <w:r w:rsidRPr="00F427F0">
        <w:rPr>
          <w:rFonts w:ascii="Book Antiqua" w:eastAsia="Book Antiqua" w:hAnsi="Book Antiqua" w:cs="Book Antiqua"/>
          <w:vertAlign w:val="superscript"/>
        </w:rPr>
        <w:t>[28]</w:t>
      </w:r>
      <w:r w:rsidRPr="00F427F0">
        <w:rPr>
          <w:rFonts w:ascii="Book Antiqua" w:eastAsia="Book Antiqua" w:hAnsi="Book Antiqua" w:cs="Book Antiqua"/>
        </w:rPr>
        <w:t xml:space="preserve"> and diabetes</w:t>
      </w:r>
      <w:r w:rsidRPr="00F427F0">
        <w:rPr>
          <w:rFonts w:ascii="Book Antiqua" w:eastAsia="Book Antiqua" w:hAnsi="Book Antiqua" w:cs="Book Antiqua"/>
          <w:vertAlign w:val="superscript"/>
        </w:rPr>
        <w:t>[29]</w:t>
      </w:r>
      <w:r w:rsidRPr="00F427F0">
        <w:rPr>
          <w:rFonts w:ascii="Book Antiqua" w:eastAsia="Book Antiqua" w:hAnsi="Book Antiqua" w:cs="Book Antiqua"/>
        </w:rPr>
        <w:t>. However, whether obesity and diabetes drive the inflammation or vice versa remains to be elucidated. Gut microbiota play a critical role in the development of the host immune system, making it an important immune organ</w:t>
      </w:r>
      <w:r w:rsidRPr="00F427F0">
        <w:rPr>
          <w:rFonts w:ascii="Book Antiqua" w:eastAsia="Book Antiqua" w:hAnsi="Book Antiqua" w:cs="Book Antiqua"/>
          <w:vertAlign w:val="superscript"/>
        </w:rPr>
        <w:t>[30]</w:t>
      </w:r>
      <w:r w:rsidRPr="00F427F0">
        <w:rPr>
          <w:rFonts w:ascii="Book Antiqua" w:eastAsia="Book Antiqua" w:hAnsi="Book Antiqua" w:cs="Book Antiqua"/>
        </w:rPr>
        <w:t>. Disturbance of the gut microbiota promotes inflammation within the lining of the intestines</w:t>
      </w:r>
      <w:r w:rsidRPr="00F427F0">
        <w:rPr>
          <w:rFonts w:ascii="Book Antiqua" w:eastAsia="Book Antiqua" w:hAnsi="Book Antiqua" w:cs="Book Antiqua"/>
          <w:vertAlign w:val="superscript"/>
        </w:rPr>
        <w:t>[31]</w:t>
      </w:r>
      <w:r w:rsidRPr="00F427F0">
        <w:rPr>
          <w:rFonts w:ascii="Book Antiqua" w:eastAsia="Book Antiqua" w:hAnsi="Book Antiqua" w:cs="Book Antiqua"/>
        </w:rPr>
        <w:t>. The dysbiosis of the gut results in bacterial infiltration, allowing microbes to contact the epithelium and causing inflammation</w:t>
      </w:r>
      <w:r w:rsidRPr="00F427F0">
        <w:rPr>
          <w:rFonts w:ascii="Book Antiqua" w:eastAsia="Book Antiqua" w:hAnsi="Book Antiqua" w:cs="Book Antiqua"/>
          <w:vertAlign w:val="superscript"/>
        </w:rPr>
        <w:t>[32]</w:t>
      </w:r>
      <w:r w:rsidRPr="00F427F0">
        <w:rPr>
          <w:rFonts w:ascii="Book Antiqua" w:eastAsia="Book Antiqua" w:hAnsi="Book Antiqua" w:cs="Book Antiqua"/>
        </w:rPr>
        <w:t>.</w:t>
      </w:r>
      <w:r w:rsidRPr="00F427F0">
        <w:rPr>
          <w:rFonts w:ascii="Book Antiqua" w:eastAsia="宋体" w:hAnsi="Book Antiqua" w:cs="Book Antiqua"/>
          <w:lang w:eastAsia="zh-CN"/>
        </w:rPr>
        <w:t xml:space="preserve"> Toll-like receptors (</w:t>
      </w:r>
      <w:r w:rsidRPr="00F427F0">
        <w:rPr>
          <w:rFonts w:ascii="Book Antiqua" w:eastAsia="Book Antiqua" w:hAnsi="Book Antiqua" w:cs="Book Antiqua"/>
        </w:rPr>
        <w:t>TLR</w:t>
      </w:r>
      <w:r w:rsidRPr="00F427F0">
        <w:rPr>
          <w:rFonts w:ascii="Book Antiqua" w:eastAsia="宋体" w:hAnsi="Book Antiqua" w:cs="Book Antiqua"/>
          <w:lang w:eastAsia="zh-CN"/>
        </w:rPr>
        <w:t>) play a key role in host recognition of microbes</w:t>
      </w:r>
      <w:r w:rsidRPr="00F427F0">
        <w:rPr>
          <w:rFonts w:ascii="Book Antiqua" w:eastAsia="宋体" w:hAnsi="Book Antiqua" w:cs="Book Antiqua"/>
          <w:vertAlign w:val="superscript"/>
          <w:lang w:eastAsia="zh-CN"/>
        </w:rPr>
        <w:t>[33]</w:t>
      </w:r>
      <w:r w:rsidRPr="00F427F0">
        <w:rPr>
          <w:rFonts w:ascii="Book Antiqua" w:eastAsia="宋体" w:hAnsi="Book Antiqua" w:cs="Book Antiqua"/>
          <w:lang w:eastAsia="zh-CN"/>
        </w:rPr>
        <w:t xml:space="preserve">. </w:t>
      </w:r>
      <w:r w:rsidRPr="00F427F0">
        <w:rPr>
          <w:rFonts w:ascii="Book Antiqua" w:eastAsia="宋体" w:hAnsi="Book Antiqua" w:cs="Book Antiqua"/>
          <w:i/>
          <w:iCs/>
          <w:lang w:eastAsia="zh-CN"/>
        </w:rPr>
        <w:t>TLR4</w:t>
      </w:r>
      <w:r w:rsidRPr="00F427F0">
        <w:rPr>
          <w:rFonts w:ascii="Book Antiqua" w:eastAsia="宋体" w:hAnsi="Book Antiqua" w:cs="Book Antiqua"/>
          <w:lang w:eastAsia="zh-CN"/>
        </w:rPr>
        <w:t xml:space="preserve"> ha</w:t>
      </w:r>
      <w:r w:rsidRPr="00F427F0">
        <w:rPr>
          <w:rFonts w:ascii="Book Antiqua" w:eastAsia="Book Antiqua" w:hAnsi="Book Antiqua" w:cs="Book Antiqua"/>
        </w:rPr>
        <w:t xml:space="preserve">s been implicated in recognition of bacterial lipopolysaccharides, a key element of the cell walls of gram-negative bacteria. This triggers the expression of proinflammatory cytokines and chemokines, including </w:t>
      </w:r>
      <w:r w:rsidRPr="00F427F0">
        <w:rPr>
          <w:rFonts w:ascii="Book Antiqua" w:eastAsia="宋体" w:hAnsi="Book Antiqua" w:cs="Book Antiqua"/>
          <w:lang w:eastAsia="zh-CN"/>
        </w:rPr>
        <w:t>tumor necrosis factor-alpha</w:t>
      </w:r>
      <w:r w:rsidRPr="00F427F0">
        <w:rPr>
          <w:rFonts w:ascii="Book Antiqua" w:eastAsia="宋体" w:hAnsi="Book Antiqua" w:cs="Book Antiqua"/>
          <w:vertAlign w:val="superscript"/>
          <w:lang w:eastAsia="zh-CN"/>
        </w:rPr>
        <w:t>[34]</w:t>
      </w:r>
      <w:r w:rsidRPr="00F427F0">
        <w:rPr>
          <w:rFonts w:ascii="Book Antiqua" w:eastAsia="宋体" w:hAnsi="Book Antiqua" w:cs="Book Antiqua"/>
          <w:lang w:eastAsia="zh-CN"/>
        </w:rPr>
        <w:t>.</w:t>
      </w:r>
      <w:r w:rsidRPr="00F427F0">
        <w:rPr>
          <w:rFonts w:ascii="Book Antiqua" w:eastAsia="Book Antiqua" w:hAnsi="Book Antiqua" w:cs="Book Antiqua"/>
        </w:rPr>
        <w:t xml:space="preserve"> This inflammatory response is strongly linked to insulin resistance, and both </w:t>
      </w:r>
      <w:r w:rsidRPr="00F427F0">
        <w:rPr>
          <w:rFonts w:ascii="Book Antiqua" w:eastAsia="Book Antiqua" w:hAnsi="Book Antiqua" w:cs="Book Antiqua"/>
          <w:i/>
          <w:iCs/>
        </w:rPr>
        <w:t>TLR4</w:t>
      </w:r>
      <w:r w:rsidRPr="00F427F0">
        <w:rPr>
          <w:rFonts w:ascii="Book Antiqua" w:eastAsia="Book Antiqua" w:hAnsi="Book Antiqua" w:cs="Book Antiqua"/>
        </w:rPr>
        <w:t xml:space="preserve"> and its coreceptor CD14 are needed to induce insulin resistance in mice</w:t>
      </w:r>
      <w:r w:rsidRPr="00F427F0">
        <w:rPr>
          <w:rFonts w:ascii="Book Antiqua" w:eastAsia="Book Antiqua" w:hAnsi="Book Antiqua" w:cs="Book Antiqua"/>
          <w:vertAlign w:val="superscript"/>
        </w:rPr>
        <w:t>[35]</w:t>
      </w:r>
      <w:r w:rsidRPr="00F427F0">
        <w:rPr>
          <w:rFonts w:ascii="Book Antiqua" w:eastAsia="Book Antiqua" w:hAnsi="Book Antiqua" w:cs="Book Antiqua"/>
        </w:rPr>
        <w:t xml:space="preserve">. </w:t>
      </w:r>
      <w:r w:rsidRPr="00F427F0">
        <w:rPr>
          <w:rFonts w:ascii="Book Antiqua" w:eastAsia="宋体" w:hAnsi="Book Antiqua" w:cs="Book Antiqua"/>
          <w:lang w:eastAsia="zh-CN"/>
        </w:rPr>
        <w:t xml:space="preserve">It is believed that </w:t>
      </w:r>
      <w:r w:rsidRPr="00F427F0">
        <w:rPr>
          <w:rFonts w:ascii="Book Antiqua" w:eastAsia="Book Antiqua" w:hAnsi="Book Antiqua" w:cs="Book Antiqua"/>
          <w:i/>
          <w:iCs/>
        </w:rPr>
        <w:t>TLR4</w:t>
      </w:r>
      <w:r w:rsidRPr="00F427F0">
        <w:rPr>
          <w:rFonts w:ascii="Book Antiqua" w:eastAsia="Book Antiqua" w:hAnsi="Book Antiqua" w:cs="Book Antiqua"/>
        </w:rPr>
        <w:t xml:space="preserve">, </w:t>
      </w:r>
      <w:r w:rsidRPr="00F427F0">
        <w:rPr>
          <w:rFonts w:ascii="Book Antiqua" w:eastAsia="宋体" w:hAnsi="Book Antiqua" w:cs="Book Antiqua"/>
          <w:lang w:eastAsia="zh-CN"/>
        </w:rPr>
        <w:t xml:space="preserve">one of </w:t>
      </w:r>
      <w:r w:rsidRPr="00F427F0">
        <w:rPr>
          <w:rFonts w:ascii="Book Antiqua" w:eastAsia="Book Antiqua" w:hAnsi="Book Antiqua" w:cs="Book Antiqua"/>
        </w:rPr>
        <w:t>the TLR family</w:t>
      </w:r>
      <w:r w:rsidRPr="00F427F0">
        <w:rPr>
          <w:rFonts w:ascii="Book Antiqua" w:eastAsia="宋体" w:hAnsi="Book Antiqua" w:cs="Book Antiqua"/>
          <w:lang w:eastAsia="zh-CN"/>
        </w:rPr>
        <w:t xml:space="preserve"> members</w:t>
      </w:r>
      <w:r w:rsidRPr="00F427F0">
        <w:rPr>
          <w:rFonts w:ascii="Book Antiqua" w:eastAsia="Book Antiqua" w:hAnsi="Book Antiqua" w:cs="Book Antiqua"/>
        </w:rPr>
        <w:t>, possesses the potential to trigger nuclear factor-κB when confronted with short-chain fatty acids. Consequently, this leads to subsequent stimulation of the immune system</w:t>
      </w:r>
      <w:r w:rsidRPr="00F427F0">
        <w:rPr>
          <w:rFonts w:ascii="Book Antiqua" w:eastAsia="Book Antiqua" w:hAnsi="Book Antiqua" w:cs="Book Antiqua"/>
          <w:vertAlign w:val="superscript"/>
        </w:rPr>
        <w:t>[36]</w:t>
      </w:r>
      <w:r w:rsidRPr="00F427F0">
        <w:rPr>
          <w:rFonts w:ascii="Book Antiqua" w:eastAsia="Book Antiqua" w:hAnsi="Book Antiqua" w:cs="Book Antiqua"/>
        </w:rPr>
        <w:t xml:space="preserve">. Therefore, the inflammation caused by </w:t>
      </w:r>
      <w:r w:rsidRPr="00F427F0">
        <w:rPr>
          <w:rFonts w:ascii="Book Antiqua" w:eastAsia="Book Antiqua" w:hAnsi="Book Antiqua" w:cs="Book Antiqua"/>
          <w:i/>
          <w:iCs/>
        </w:rPr>
        <w:t>TLR4</w:t>
      </w:r>
      <w:r w:rsidRPr="00F427F0">
        <w:rPr>
          <w:rFonts w:ascii="Book Antiqua" w:eastAsia="Book Antiqua" w:hAnsi="Book Antiqua" w:cs="Book Antiqua"/>
        </w:rPr>
        <w:t xml:space="preserve"> serves a crucial function in the development of T2DM related to </w:t>
      </w:r>
      <w:r w:rsidRPr="00F427F0">
        <w:rPr>
          <w:rFonts w:ascii="Book Antiqua" w:eastAsia="Book Antiqua" w:hAnsi="Book Antiqua" w:cs="Book Antiqua"/>
          <w:i/>
          <w:iCs/>
        </w:rPr>
        <w:t>H. pylori</w:t>
      </w:r>
      <w:r w:rsidRPr="00F427F0">
        <w:rPr>
          <w:rFonts w:ascii="Book Antiqua" w:eastAsia="Book Antiqua" w:hAnsi="Book Antiqua" w:cs="Book Antiqua"/>
        </w:rPr>
        <w:t xml:space="preserve">. The study conducted by Devaraj </w:t>
      </w:r>
      <w:r w:rsidRPr="00F427F0">
        <w:rPr>
          <w:rFonts w:ascii="Book Antiqua" w:eastAsia="Book Antiqua" w:hAnsi="Book Antiqua" w:cs="Book Antiqua"/>
          <w:i/>
          <w:iCs/>
        </w:rPr>
        <w:t>et al</w:t>
      </w:r>
      <w:r w:rsidRPr="00F427F0">
        <w:rPr>
          <w:rFonts w:ascii="Book Antiqua" w:eastAsia="Book Antiqua" w:hAnsi="Book Antiqua" w:cs="Book Antiqua"/>
          <w:vertAlign w:val="superscript"/>
        </w:rPr>
        <w:t>[37]</w:t>
      </w:r>
      <w:r w:rsidRPr="00F427F0">
        <w:rPr>
          <w:rFonts w:ascii="Book Antiqua" w:eastAsia="Book Antiqua" w:hAnsi="Book Antiqua" w:cs="Book Antiqua"/>
        </w:rPr>
        <w:t xml:space="preserve"> exhibited a notable rise in the level of </w:t>
      </w:r>
      <w:r w:rsidRPr="00F427F0">
        <w:rPr>
          <w:rFonts w:ascii="Book Antiqua" w:eastAsia="Book Antiqua" w:hAnsi="Book Antiqua" w:cs="Book Antiqua"/>
          <w:i/>
          <w:iCs/>
        </w:rPr>
        <w:t>TLR4</w:t>
      </w:r>
      <w:r w:rsidRPr="00F427F0">
        <w:rPr>
          <w:rFonts w:ascii="Book Antiqua" w:eastAsia="Book Antiqua" w:hAnsi="Book Antiqua" w:cs="Book Antiqua"/>
        </w:rPr>
        <w:t xml:space="preserve"> expression among individuals diagnosed with type 1 diabetes. This finding implies that </w:t>
      </w:r>
      <w:r w:rsidRPr="00F427F0">
        <w:rPr>
          <w:rFonts w:ascii="Book Antiqua" w:eastAsia="Book Antiqua" w:hAnsi="Book Antiqua" w:cs="Book Antiqua"/>
          <w:i/>
          <w:iCs/>
        </w:rPr>
        <w:t>TLR4</w:t>
      </w:r>
      <w:r w:rsidRPr="00F427F0">
        <w:rPr>
          <w:rFonts w:ascii="Book Antiqua" w:eastAsia="Book Antiqua" w:hAnsi="Book Antiqua" w:cs="Book Antiqua"/>
        </w:rPr>
        <w:t xml:space="preserve"> actively participates in the inflammatory state associated with diabetes.</w:t>
      </w:r>
      <w:r w:rsidRPr="00F427F0">
        <w:rPr>
          <w:rFonts w:ascii="Book Antiqua" w:eastAsia="宋体" w:hAnsi="Book Antiqua" w:cs="Book Antiqua"/>
          <w:lang w:eastAsia="zh-CN"/>
        </w:rPr>
        <w:t xml:space="preserve"> </w:t>
      </w:r>
      <w:r w:rsidRPr="00F427F0">
        <w:rPr>
          <w:rFonts w:ascii="Book Antiqua" w:eastAsia="Book Antiqua" w:hAnsi="Book Antiqua" w:cs="Book Antiqua"/>
        </w:rPr>
        <w:t xml:space="preserve">Moreover, knockout of </w:t>
      </w:r>
      <w:r w:rsidRPr="00F427F0">
        <w:rPr>
          <w:rFonts w:ascii="Book Antiqua" w:eastAsia="Book Antiqua" w:hAnsi="Book Antiqua" w:cs="Book Antiqua"/>
          <w:i/>
          <w:iCs/>
        </w:rPr>
        <w:t xml:space="preserve">TLR4 </w:t>
      </w:r>
      <w:r w:rsidRPr="00F427F0">
        <w:rPr>
          <w:rFonts w:ascii="Book Antiqua" w:eastAsia="Book Antiqua" w:hAnsi="Book Antiqua" w:cs="Book Antiqua"/>
        </w:rPr>
        <w:t xml:space="preserve">alleviated inflammation in rats with diabetes and </w:t>
      </w:r>
      <w:r w:rsidRPr="00F427F0">
        <w:rPr>
          <w:rFonts w:ascii="Book Antiqua" w:eastAsia="Book Antiqua" w:hAnsi="Book Antiqua" w:cs="Book Antiqua"/>
          <w:i/>
          <w:iCs/>
        </w:rPr>
        <w:t>TLR4</w:t>
      </w:r>
      <w:r w:rsidRPr="00F427F0">
        <w:rPr>
          <w:rFonts w:ascii="Book Antiqua" w:eastAsia="Book Antiqua" w:hAnsi="Book Antiqua" w:cs="Book Antiqua"/>
        </w:rPr>
        <w:t xml:space="preserve"> antagonists attenuated atherogenesis in mice with diabetes</w:t>
      </w:r>
      <w:r w:rsidRPr="00F427F0">
        <w:rPr>
          <w:rFonts w:ascii="Book Antiqua" w:eastAsia="Book Antiqua" w:hAnsi="Book Antiqua" w:cs="Book Antiqua"/>
          <w:vertAlign w:val="superscript"/>
        </w:rPr>
        <w:t>[38]</w:t>
      </w:r>
      <w:r w:rsidRPr="00F427F0">
        <w:rPr>
          <w:rFonts w:ascii="Book Antiqua" w:eastAsia="Book Antiqua" w:hAnsi="Book Antiqua" w:cs="Book Antiqua"/>
        </w:rPr>
        <w:t xml:space="preserve">. Based on our results, we speculated that </w:t>
      </w:r>
      <w:r w:rsidRPr="00F427F0">
        <w:rPr>
          <w:rFonts w:ascii="Book Antiqua" w:eastAsia="Book Antiqua" w:hAnsi="Book Antiqua" w:cs="Book Antiqua"/>
          <w:i/>
          <w:iCs/>
        </w:rPr>
        <w:t>TLR4</w:t>
      </w:r>
      <w:r w:rsidRPr="00F427F0">
        <w:rPr>
          <w:rFonts w:ascii="Book Antiqua" w:eastAsia="Book Antiqua" w:hAnsi="Book Antiqua" w:cs="Book Antiqua"/>
        </w:rPr>
        <w:t xml:space="preserve"> </w:t>
      </w:r>
      <w:r w:rsidRPr="00F427F0">
        <w:rPr>
          <w:rFonts w:ascii="Book Antiqua" w:eastAsia="Book Antiqua" w:hAnsi="Book Antiqua" w:cs="Book Antiqua"/>
        </w:rPr>
        <w:lastRenderedPageBreak/>
        <w:t>participates in the pathogenes</w:t>
      </w:r>
      <w:r w:rsidRPr="00F427F0">
        <w:rPr>
          <w:rFonts w:ascii="Book Antiqua" w:eastAsia="宋体" w:hAnsi="Book Antiqua" w:cs="Book Antiqua"/>
          <w:lang w:eastAsia="zh-CN"/>
        </w:rPr>
        <w:t xml:space="preserve">is of H. pylori-associated T2DM </w:t>
      </w:r>
      <w:r w:rsidRPr="00F427F0">
        <w:rPr>
          <w:rFonts w:ascii="Book Antiqua" w:eastAsia="宋体" w:hAnsi="Book Antiqua" w:cs="Book Antiqua"/>
          <w:i/>
          <w:iCs/>
          <w:lang w:eastAsia="zh-CN"/>
        </w:rPr>
        <w:t>via</w:t>
      </w:r>
      <w:r w:rsidRPr="00F427F0">
        <w:rPr>
          <w:rFonts w:ascii="Book Antiqua" w:eastAsia="宋体" w:hAnsi="Book Antiqua" w:cs="Book Antiqua"/>
          <w:lang w:eastAsia="zh-CN"/>
        </w:rPr>
        <w:t xml:space="preserve"> the TLR signaling pathway.</w:t>
      </w:r>
    </w:p>
    <w:p w14:paraId="4303938D" w14:textId="77777777" w:rsidR="00D23823" w:rsidRPr="00F427F0" w:rsidRDefault="00000000">
      <w:pPr>
        <w:spacing w:line="360" w:lineRule="auto"/>
        <w:ind w:firstLine="480"/>
        <w:jc w:val="both"/>
        <w:rPr>
          <w:rFonts w:ascii="Book Antiqua" w:hAnsi="Book Antiqua"/>
        </w:rPr>
      </w:pPr>
      <w:r w:rsidRPr="00F427F0">
        <w:rPr>
          <w:rFonts w:ascii="Book Antiqua" w:eastAsia="Book Antiqua" w:hAnsi="Book Antiqua" w:cs="Book Antiqua"/>
        </w:rPr>
        <w:t xml:space="preserve">Other hub genes, </w:t>
      </w:r>
      <w:r w:rsidRPr="00F427F0">
        <w:rPr>
          <w:rFonts w:ascii="Book Antiqua" w:eastAsia="Book Antiqua" w:hAnsi="Book Antiqua" w:cs="Book Antiqua"/>
          <w:i/>
          <w:iCs/>
        </w:rPr>
        <w:t>ITGAM</w:t>
      </w:r>
      <w:r w:rsidRPr="00F427F0">
        <w:rPr>
          <w:rFonts w:ascii="Book Antiqua" w:eastAsia="Book Antiqua" w:hAnsi="Book Antiqua" w:cs="Book Antiqua"/>
          <w:vertAlign w:val="superscript"/>
        </w:rPr>
        <w:t>[39]</w:t>
      </w:r>
      <w:r w:rsidRPr="00F427F0">
        <w:rPr>
          <w:rFonts w:ascii="Book Antiqua" w:eastAsia="Book Antiqua" w:hAnsi="Book Antiqua" w:cs="Book Antiqua"/>
        </w:rPr>
        <w:t xml:space="preserve">, </w:t>
      </w:r>
      <w:r w:rsidRPr="00F427F0">
        <w:rPr>
          <w:rFonts w:ascii="Book Antiqua" w:eastAsia="Book Antiqua" w:hAnsi="Book Antiqua" w:cs="Book Antiqua"/>
          <w:i/>
          <w:iCs/>
        </w:rPr>
        <w:t>C5AR1</w:t>
      </w:r>
      <w:r w:rsidRPr="00F427F0">
        <w:rPr>
          <w:rFonts w:ascii="Book Antiqua" w:eastAsia="Book Antiqua" w:hAnsi="Book Antiqua" w:cs="Book Antiqua"/>
          <w:vertAlign w:val="superscript"/>
        </w:rPr>
        <w:t>[40]</w:t>
      </w:r>
      <w:r w:rsidRPr="00F427F0">
        <w:rPr>
          <w:rFonts w:ascii="Book Antiqua" w:eastAsia="Book Antiqua" w:hAnsi="Book Antiqua" w:cs="Book Antiqua"/>
        </w:rPr>
        <w:t xml:space="preserve">, </w:t>
      </w:r>
      <w:r w:rsidRPr="00F427F0">
        <w:rPr>
          <w:rFonts w:ascii="Book Antiqua" w:eastAsia="Book Antiqua" w:hAnsi="Book Antiqua" w:cs="Book Antiqua"/>
          <w:i/>
          <w:iCs/>
        </w:rPr>
        <w:t>FCER1G</w:t>
      </w:r>
      <w:r w:rsidRPr="00F427F0">
        <w:rPr>
          <w:rFonts w:ascii="Book Antiqua" w:eastAsia="Book Antiqua" w:hAnsi="Book Antiqua" w:cs="Book Antiqua"/>
          <w:vertAlign w:val="superscript"/>
        </w:rPr>
        <w:t>[41]</w:t>
      </w:r>
      <w:r w:rsidRPr="00F427F0">
        <w:rPr>
          <w:rFonts w:ascii="Book Antiqua" w:eastAsia="Book Antiqua" w:hAnsi="Book Antiqua" w:cs="Book Antiqua"/>
        </w:rPr>
        <w:t xml:space="preserve"> and </w:t>
      </w:r>
      <w:r w:rsidRPr="00F427F0">
        <w:rPr>
          <w:rFonts w:ascii="Book Antiqua" w:eastAsia="Book Antiqua" w:hAnsi="Book Antiqua" w:cs="Book Antiqua"/>
          <w:i/>
          <w:iCs/>
        </w:rPr>
        <w:t>FCGR2A</w:t>
      </w:r>
      <w:r w:rsidRPr="00F427F0">
        <w:rPr>
          <w:rFonts w:ascii="Book Antiqua" w:eastAsia="Book Antiqua" w:hAnsi="Book Antiqua" w:cs="Book Antiqua"/>
          <w:vertAlign w:val="superscript"/>
        </w:rPr>
        <w:t>[42]</w:t>
      </w:r>
      <w:r w:rsidRPr="00F427F0">
        <w:rPr>
          <w:rFonts w:ascii="Book Antiqua" w:eastAsia="Book Antiqua" w:hAnsi="Book Antiqua" w:cs="Book Antiqua"/>
        </w:rPr>
        <w:t xml:space="preserve">, are also reported to be associated with diabetes. </w:t>
      </w:r>
      <w:r w:rsidRPr="00F427F0">
        <w:rPr>
          <w:rFonts w:ascii="Book Antiqua" w:eastAsia="Book Antiqua" w:hAnsi="Book Antiqua" w:cs="Book Antiqua"/>
          <w:i/>
          <w:iCs/>
        </w:rPr>
        <w:t>ITGAM</w:t>
      </w:r>
      <w:r w:rsidRPr="00F427F0">
        <w:rPr>
          <w:rFonts w:ascii="Book Antiqua" w:eastAsia="Book Antiqua" w:hAnsi="Book Antiqua" w:cs="Book Antiqua"/>
        </w:rPr>
        <w:t>, a monocyte/macrophage marker, is upregulated in T2DM patients</w:t>
      </w:r>
      <w:r w:rsidRPr="00F427F0">
        <w:rPr>
          <w:rFonts w:ascii="Book Antiqua" w:eastAsia="Book Antiqua" w:hAnsi="Book Antiqua" w:cs="Book Antiqua"/>
          <w:vertAlign w:val="superscript"/>
        </w:rPr>
        <w:t>[39]</w:t>
      </w:r>
      <w:r w:rsidRPr="00F427F0">
        <w:rPr>
          <w:rFonts w:ascii="Book Antiqua" w:eastAsia="Book Antiqua" w:hAnsi="Book Antiqua" w:cs="Book Antiqua"/>
        </w:rPr>
        <w:t xml:space="preserve">. </w:t>
      </w:r>
      <w:r w:rsidRPr="00F427F0">
        <w:rPr>
          <w:rFonts w:ascii="Book Antiqua" w:eastAsia="Book Antiqua" w:hAnsi="Book Antiqua" w:cs="Book Antiqua"/>
          <w:i/>
          <w:iCs/>
        </w:rPr>
        <w:t>FCER1G</w:t>
      </w:r>
      <w:r w:rsidRPr="00F427F0">
        <w:rPr>
          <w:rFonts w:ascii="Book Antiqua" w:eastAsia="Book Antiqua" w:hAnsi="Book Antiqua" w:cs="Book Antiqua"/>
        </w:rPr>
        <w:t xml:space="preserve"> was identified as a </w:t>
      </w:r>
      <w:r w:rsidRPr="00F427F0">
        <w:rPr>
          <w:rFonts w:ascii="Book Antiqua" w:eastAsia="宋体" w:hAnsi="Book Antiqua" w:cs="Book Antiqua"/>
          <w:lang w:eastAsia="zh-CN"/>
        </w:rPr>
        <w:t xml:space="preserve">significant </w:t>
      </w:r>
      <w:r w:rsidRPr="00F427F0">
        <w:rPr>
          <w:rFonts w:ascii="Book Antiqua" w:eastAsia="Book Antiqua" w:hAnsi="Book Antiqua" w:cs="Book Antiqua"/>
        </w:rPr>
        <w:t>gene related t</w:t>
      </w:r>
      <w:r w:rsidRPr="00F427F0">
        <w:rPr>
          <w:rFonts w:ascii="Book Antiqua" w:eastAsia="宋体" w:hAnsi="Book Antiqua" w:cs="Book Antiqua"/>
          <w:lang w:eastAsia="zh-CN"/>
        </w:rPr>
        <w:t>o diabetic kidney disease. Gene Expression Omnibus validation using additional datasets showed that FCER1G is upregulated in diabetic glomerular lesions compared with normal tissues. This report also revealed that a</w:t>
      </w:r>
      <w:r w:rsidRPr="00F427F0">
        <w:rPr>
          <w:rFonts w:ascii="Book Antiqua" w:eastAsia="Book Antiqua" w:hAnsi="Book Antiqua" w:cs="Book Antiqua"/>
        </w:rPr>
        <w:t xml:space="preserve">bnormal upregulation of </w:t>
      </w:r>
      <w:r w:rsidRPr="00F427F0">
        <w:rPr>
          <w:rFonts w:ascii="Book Antiqua" w:eastAsia="Book Antiqua" w:hAnsi="Book Antiqua" w:cs="Book Antiqua"/>
          <w:i/>
          <w:iCs/>
        </w:rPr>
        <w:t>FCER1G</w:t>
      </w:r>
      <w:r w:rsidRPr="00F427F0">
        <w:rPr>
          <w:rFonts w:ascii="Book Antiqua" w:eastAsia="Book Antiqua" w:hAnsi="Book Antiqua" w:cs="Book Antiqua"/>
        </w:rPr>
        <w:t xml:space="preserve"> is related to diabetic glomerular lesions</w:t>
      </w:r>
      <w:r w:rsidRPr="00F427F0">
        <w:rPr>
          <w:rFonts w:ascii="Book Antiqua" w:eastAsia="Book Antiqua" w:hAnsi="Book Antiqua" w:cs="Book Antiqua"/>
          <w:vertAlign w:val="superscript"/>
        </w:rPr>
        <w:t>[41]</w:t>
      </w:r>
      <w:r w:rsidRPr="00F427F0">
        <w:rPr>
          <w:rFonts w:ascii="Book Antiqua" w:eastAsia="Book Antiqua" w:hAnsi="Book Antiqua" w:cs="Book Antiqua"/>
        </w:rPr>
        <w:t>.</w:t>
      </w:r>
    </w:p>
    <w:p w14:paraId="7B406DAC" w14:textId="77777777" w:rsidR="00D23823" w:rsidRPr="00F427F0" w:rsidRDefault="00000000">
      <w:pPr>
        <w:spacing w:line="360" w:lineRule="auto"/>
        <w:ind w:firstLine="480"/>
        <w:jc w:val="both"/>
        <w:rPr>
          <w:rFonts w:ascii="Book Antiqua" w:eastAsia="宋体" w:hAnsi="Book Antiqua" w:cs="Book Antiqua"/>
          <w:lang w:eastAsia="zh-CN"/>
        </w:rPr>
      </w:pPr>
      <w:r w:rsidRPr="00F427F0">
        <w:rPr>
          <w:rFonts w:ascii="Book Antiqua" w:eastAsia="Book Antiqua" w:hAnsi="Book Antiqua" w:cs="Book Antiqua"/>
        </w:rPr>
        <w:t>Clinical variability betwee</w:t>
      </w:r>
      <w:r w:rsidRPr="00F427F0">
        <w:rPr>
          <w:rFonts w:ascii="Book Antiqua" w:eastAsia="宋体" w:hAnsi="Book Antiqua" w:cs="Book Antiqua"/>
          <w:lang w:eastAsia="zh-CN"/>
        </w:rPr>
        <w:t>n individuals infected wit</w:t>
      </w:r>
      <w:r w:rsidRPr="00F427F0">
        <w:rPr>
          <w:rFonts w:ascii="Book Antiqua" w:eastAsia="Book Antiqua" w:hAnsi="Book Antiqua" w:cs="Book Antiqua"/>
        </w:rPr>
        <w:t>h any pathogen is enormous, ranging from silent to lethal. One of the main reasons is immunity differs among individuals</w:t>
      </w:r>
      <w:r w:rsidRPr="00F427F0">
        <w:rPr>
          <w:rFonts w:ascii="Book Antiqua" w:eastAsia="Book Antiqua" w:hAnsi="Book Antiqua" w:cs="Book Antiqua"/>
          <w:vertAlign w:val="superscript"/>
        </w:rPr>
        <w:t>[43]</w:t>
      </w:r>
      <w:r w:rsidRPr="00F427F0">
        <w:rPr>
          <w:rFonts w:ascii="Book Antiqua" w:eastAsia="Book Antiqua" w:hAnsi="Book Antiqua" w:cs="Book Antiqua"/>
        </w:rPr>
        <w:t xml:space="preserve">. Tumor-infltrating immune cells function together to defend the body against invading factors, such as bacterial infection. Therefore, they can be used as important predictors for diagnosis and </w:t>
      </w:r>
      <w:r w:rsidRPr="00F427F0">
        <w:rPr>
          <w:rFonts w:ascii="Book Antiqua" w:eastAsia="宋体" w:hAnsi="Book Antiqua" w:cs="Book Antiqua"/>
          <w:lang w:eastAsia="zh-CN"/>
        </w:rPr>
        <w:t>treatment of diseases</w:t>
      </w:r>
      <w:r w:rsidRPr="00F427F0">
        <w:rPr>
          <w:rFonts w:ascii="Book Antiqua" w:eastAsia="Book Antiqua" w:hAnsi="Book Antiqua" w:cs="Book Antiqua"/>
          <w:vertAlign w:val="superscript"/>
        </w:rPr>
        <w:t>[44]</w:t>
      </w:r>
      <w:r w:rsidRPr="00F427F0">
        <w:rPr>
          <w:rFonts w:ascii="Book Antiqua" w:eastAsia="Book Antiqua" w:hAnsi="Book Antiqua" w:cs="Book Antiqua"/>
        </w:rPr>
        <w:t xml:space="preserve">. Based on KEGG pathway and immune cell infiltration analyses, we found that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is associated with multiple immune cell changes, especially NK cells and regulatory T cells. Through single-gene GSEA, we found that high expression of the hub genes </w:t>
      </w:r>
      <w:r w:rsidRPr="00F427F0">
        <w:rPr>
          <w:rFonts w:ascii="Book Antiqua" w:eastAsia="Book Antiqua" w:hAnsi="Book Antiqua" w:cs="Book Antiqua"/>
          <w:i/>
          <w:iCs/>
        </w:rPr>
        <w:t>TLR4</w:t>
      </w:r>
      <w:r w:rsidRPr="00F427F0">
        <w:rPr>
          <w:rFonts w:ascii="Book Antiqua" w:eastAsia="Book Antiqua" w:hAnsi="Book Antiqua" w:cs="Book Antiqua"/>
        </w:rPr>
        <w:t xml:space="preserve">, </w:t>
      </w:r>
      <w:r w:rsidRPr="00F427F0">
        <w:rPr>
          <w:rFonts w:ascii="Book Antiqua" w:eastAsia="Book Antiqua" w:hAnsi="Book Antiqua" w:cs="Book Antiqua"/>
          <w:i/>
          <w:iCs/>
        </w:rPr>
        <w:t>FCGR2A</w:t>
      </w:r>
      <w:r w:rsidRPr="00F427F0">
        <w:rPr>
          <w:rFonts w:ascii="Book Antiqua" w:eastAsia="Book Antiqua" w:hAnsi="Book Antiqua" w:cs="Book Antiqua"/>
        </w:rPr>
        <w:t xml:space="preserve">, and </w:t>
      </w:r>
      <w:r w:rsidRPr="00F427F0">
        <w:rPr>
          <w:rFonts w:ascii="Book Antiqua" w:eastAsia="Book Antiqua" w:hAnsi="Book Antiqua" w:cs="Book Antiqua"/>
          <w:i/>
          <w:iCs/>
        </w:rPr>
        <w:t>FCER1G</w:t>
      </w:r>
      <w:r w:rsidRPr="00F427F0">
        <w:rPr>
          <w:rFonts w:ascii="Book Antiqua" w:eastAsia="Book Antiqua" w:hAnsi="Book Antiqua" w:cs="Book Antiqua"/>
        </w:rPr>
        <w:t xml:space="preserve"> was associated with</w:t>
      </w:r>
      <w:r w:rsidRPr="00F427F0">
        <w:rPr>
          <w:rFonts w:ascii="Book Antiqua" w:eastAsia="宋体" w:hAnsi="Book Antiqua" w:cs="Book Antiqua"/>
          <w:lang w:eastAsia="zh-CN"/>
        </w:rPr>
        <w:t xml:space="preserve"> NK cell-mediated cytotoxicity in</w:t>
      </w:r>
      <w:r w:rsidRPr="00F427F0">
        <w:rPr>
          <w:rFonts w:ascii="Book Antiqua" w:eastAsia="Book Antiqua" w:hAnsi="Book Antiqua" w:cs="Book Antiqua"/>
        </w:rPr>
        <w:t xml:space="preserve"> diabetes, which suggests that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might change hub gene expression and downstream NK cells to induce T2DM. Further analysis suggested that these 5 hub genes all correlated with B cells, CD8+ T cells, macrophages, neutrophils, and DCs. It has been shown that isolated NK cells from T2DM subjects show defects in the NK cell-activating receptors NKG2D and NKp46, in association with functional defects in NK degranulation capacity</w:t>
      </w:r>
      <w:r w:rsidRPr="00F427F0">
        <w:rPr>
          <w:rFonts w:ascii="Book Antiqua" w:eastAsia="Book Antiqua" w:hAnsi="Book Antiqua" w:cs="Book Antiqua"/>
          <w:vertAlign w:val="superscript"/>
        </w:rPr>
        <w:t>[45]</w:t>
      </w:r>
      <w:r w:rsidRPr="00F427F0">
        <w:rPr>
          <w:rFonts w:ascii="Book Antiqua" w:eastAsia="Book Antiqua" w:hAnsi="Book Antiqua" w:cs="Book Antiqua"/>
        </w:rPr>
        <w:t xml:space="preserve">. Restrepo </w:t>
      </w:r>
      <w:r w:rsidRPr="00F427F0">
        <w:rPr>
          <w:rFonts w:ascii="Book Antiqua" w:eastAsia="Book Antiqua" w:hAnsi="Book Antiqua" w:cs="Book Antiqua"/>
          <w:i/>
          <w:iCs/>
        </w:rPr>
        <w:t>et al</w:t>
      </w:r>
      <w:r w:rsidRPr="00F427F0">
        <w:rPr>
          <w:rFonts w:ascii="Book Antiqua" w:eastAsia="Book Antiqua" w:hAnsi="Book Antiqua" w:cs="Book Antiqua"/>
          <w:vertAlign w:val="superscript"/>
        </w:rPr>
        <w:t>[46]</w:t>
      </w:r>
      <w:r w:rsidRPr="00F427F0">
        <w:rPr>
          <w:rFonts w:ascii="Book Antiqua" w:eastAsia="Book Antiqua" w:hAnsi="Book Antiqua" w:cs="Book Antiqua"/>
        </w:rPr>
        <w:t xml:space="preserve"> demonstrated that chronic hyperglycaemia is significantly associated with defects in complement receptors and Fcγ receptors on isolated monocytes, resulting in phagocytosis impairment. An </w:t>
      </w:r>
      <w:r w:rsidRPr="00F427F0">
        <w:rPr>
          <w:rFonts w:ascii="Book Antiqua" w:eastAsia="Book Antiqua" w:hAnsi="Book Antiqua" w:cs="Book Antiqua"/>
          <w:i/>
          <w:iCs/>
        </w:rPr>
        <w:t>in vitro</w:t>
      </w:r>
      <w:r w:rsidRPr="00F427F0">
        <w:rPr>
          <w:rFonts w:ascii="Book Antiqua" w:eastAsia="Book Antiqua" w:hAnsi="Book Antiqua" w:cs="Book Antiqua"/>
        </w:rPr>
        <w:t xml:space="preserve"> study using macrophages derived from mouse bone marrow and treated with high glucose showed reduced antibacterial activity and phagocytosis for the treated macrophages</w:t>
      </w:r>
      <w:r w:rsidRPr="00F427F0">
        <w:rPr>
          <w:rFonts w:ascii="Book Antiqua" w:eastAsia="Book Antiqua" w:hAnsi="Book Antiqua" w:cs="Book Antiqua"/>
          <w:vertAlign w:val="superscript"/>
        </w:rPr>
        <w:t>[47]</w:t>
      </w:r>
      <w:r w:rsidRPr="00F427F0">
        <w:rPr>
          <w:rFonts w:ascii="Book Antiqua" w:eastAsia="Book Antiqua" w:hAnsi="Book Antiqua" w:cs="Book Antiqua"/>
        </w:rPr>
        <w:t xml:space="preserve">. In the same study, reduced phagocytosis was shown in peritoneal macrophages from mice </w:t>
      </w:r>
      <w:r w:rsidRPr="00F427F0">
        <w:rPr>
          <w:rFonts w:ascii="Book Antiqua" w:eastAsia="Book Antiqua" w:hAnsi="Book Antiqua" w:cs="Book Antiqua"/>
        </w:rPr>
        <w:lastRenderedPageBreak/>
        <w:t>with T2DM. This might be related to the reduced glycolytic capacity and reserve of macrophages following long-term sensitization to high levels of glucose. Reactive oxygen species production was reportedly reduced in isolated neutrophils from T2DM tuberculosis patients following phorbol 12-myristate 13-acetate stimulation, and this defect in reactive oxygen species production was associated with increased levels of resistin in T2DM patient serum</w:t>
      </w:r>
      <w:r w:rsidRPr="00F427F0">
        <w:rPr>
          <w:rFonts w:ascii="Book Antiqua" w:eastAsia="Book Antiqua" w:hAnsi="Book Antiqua" w:cs="Book Antiqua"/>
          <w:vertAlign w:val="superscript"/>
        </w:rPr>
        <w:t>[48]</w:t>
      </w:r>
      <w:r w:rsidRPr="00F427F0">
        <w:rPr>
          <w:rFonts w:ascii="Book Antiqua" w:eastAsia="Book Antiqua" w:hAnsi="Book Antiqua" w:cs="Book Antiqua"/>
        </w:rPr>
        <w:t xml:space="preserve">. In a comparable study, Perner </w:t>
      </w:r>
      <w:r w:rsidRPr="00F427F0">
        <w:rPr>
          <w:rFonts w:ascii="Book Antiqua" w:eastAsia="Book Antiqua" w:hAnsi="Book Antiqua" w:cs="Book Antiqua"/>
          <w:i/>
          <w:iCs/>
        </w:rPr>
        <w:t>et al</w:t>
      </w:r>
      <w:r w:rsidRPr="00F427F0">
        <w:rPr>
          <w:rFonts w:ascii="Book Antiqua" w:eastAsia="Book Antiqua" w:hAnsi="Book Antiqua" w:cs="Book Antiqua"/>
          <w:vertAlign w:val="superscript"/>
        </w:rPr>
        <w:t>[49]</w:t>
      </w:r>
      <w:r w:rsidRPr="00F427F0">
        <w:rPr>
          <w:rFonts w:ascii="Book Antiqua" w:eastAsia="Book Antiqua" w:hAnsi="Book Antiqua" w:cs="Book Antiqua"/>
        </w:rPr>
        <w:t xml:space="preserve"> documented the inhibition of superoxide production in neutrophils isolated from </w:t>
      </w:r>
      <w:r w:rsidRPr="00F427F0">
        <w:rPr>
          <w:rFonts w:ascii="Book Antiqua" w:eastAsia="宋体" w:hAnsi="Book Antiqua" w:cs="Book Antiqua"/>
          <w:lang w:eastAsia="zh-CN"/>
        </w:rPr>
        <w:t xml:space="preserve">healthy </w:t>
      </w:r>
      <w:r w:rsidRPr="00F427F0">
        <w:rPr>
          <w:rFonts w:ascii="Book Antiqua" w:eastAsia="Book Antiqua" w:hAnsi="Book Antiqua" w:cs="Book Antiqua"/>
        </w:rPr>
        <w:t>individuals</w:t>
      </w:r>
      <w:r w:rsidRPr="00F427F0">
        <w:rPr>
          <w:rFonts w:ascii="Book Antiqua" w:eastAsia="宋体" w:hAnsi="Book Antiqua" w:cs="Book Antiqua"/>
          <w:lang w:eastAsia="zh-CN"/>
        </w:rPr>
        <w:t xml:space="preserve"> </w:t>
      </w:r>
      <w:r w:rsidRPr="00F427F0">
        <w:rPr>
          <w:rFonts w:ascii="Book Antiqua" w:eastAsia="Book Antiqua" w:hAnsi="Book Antiqua" w:cs="Book Antiqua"/>
        </w:rPr>
        <w:t>when subjected to a high-glucose environment. This hindrance was observed to be a consequence of the suppression of glucose-6-phosphate dehydrogenase, which disrupted the generation of nicotinamide adenine dinucleotide phosphate. Thus, we speculate that these 5 hub gene</w:t>
      </w:r>
      <w:r w:rsidRPr="00F427F0">
        <w:rPr>
          <w:rFonts w:ascii="Book Antiqua" w:eastAsia="宋体" w:hAnsi="Book Antiqua" w:cs="Book Antiqua"/>
          <w:lang w:eastAsia="zh-CN"/>
        </w:rPr>
        <w:t xml:space="preserve">s are involved in </w:t>
      </w:r>
      <w:r w:rsidRPr="00F427F0">
        <w:rPr>
          <w:rFonts w:ascii="Book Antiqua" w:eastAsia="Book Antiqua" w:hAnsi="Book Antiqua" w:cs="Book Antiqua"/>
          <w:i/>
          <w:iCs/>
        </w:rPr>
        <w:t>H. pylori</w:t>
      </w:r>
      <w:r w:rsidRPr="00F427F0">
        <w:rPr>
          <w:rFonts w:ascii="Book Antiqua" w:eastAsia="Book Antiqua" w:hAnsi="Book Antiqua" w:cs="Book Antiqua"/>
        </w:rPr>
        <w:t xml:space="preserve">-associated T2DM through immune infiltration. We will validate their relationship </w:t>
      </w:r>
      <w:r w:rsidRPr="00F427F0">
        <w:rPr>
          <w:rFonts w:ascii="Book Antiqua" w:eastAsia="宋体" w:hAnsi="Book Antiqua" w:cs="Book Antiqua"/>
          <w:lang w:eastAsia="zh-CN"/>
        </w:rPr>
        <w:t xml:space="preserve">through experiments in the future. </w:t>
      </w:r>
    </w:p>
    <w:p w14:paraId="71BC5D70" w14:textId="77777777" w:rsidR="00D23823" w:rsidRPr="00F427F0" w:rsidRDefault="00000000">
      <w:pPr>
        <w:spacing w:line="360" w:lineRule="auto"/>
        <w:ind w:firstLineChars="200" w:firstLine="480"/>
        <w:jc w:val="both"/>
        <w:rPr>
          <w:rFonts w:ascii="Book Antiqua" w:hAnsi="Book Antiqua"/>
        </w:rPr>
      </w:pPr>
      <w:r w:rsidRPr="00F427F0">
        <w:rPr>
          <w:rFonts w:ascii="Book Antiqua" w:eastAsia="Book Antiqua" w:hAnsi="Book Antiqua" w:cs="Book Antiqua"/>
        </w:rPr>
        <w:t xml:space="preserve">This study provides some new insights into the pathogenesis of </w:t>
      </w:r>
      <w:r w:rsidRPr="00F427F0">
        <w:rPr>
          <w:rFonts w:ascii="Book Antiqua" w:eastAsia="Book Antiqua" w:hAnsi="Book Antiqua" w:cs="Book Antiqua"/>
          <w:i/>
          <w:iCs/>
        </w:rPr>
        <w:t>H. pylori-</w:t>
      </w:r>
      <w:r w:rsidRPr="00F427F0">
        <w:rPr>
          <w:rFonts w:ascii="Book Antiqua" w:eastAsia="Book Antiqua" w:hAnsi="Book Antiqua" w:cs="Book Antiqua"/>
        </w:rPr>
        <w:t xml:space="preserve">associated T2DM. However, several limitations should be mentioned. </w:t>
      </w:r>
      <w:r w:rsidRPr="00F427F0">
        <w:rPr>
          <w:rFonts w:ascii="Book Antiqua" w:eastAsia="宋体" w:hAnsi="Book Antiqua" w:cs="Book Antiqua"/>
          <w:lang w:eastAsia="zh-CN"/>
        </w:rPr>
        <w:t>First</w:t>
      </w:r>
      <w:r w:rsidRPr="00F427F0">
        <w:rPr>
          <w:rFonts w:ascii="Book Antiqua" w:eastAsia="Book Antiqua" w:hAnsi="Book Antiqua" w:cs="Book Antiqua"/>
        </w:rPr>
        <w:t xml:space="preserve"> of all, this study had a relatively small sample size</w:t>
      </w:r>
      <w:r w:rsidRPr="00F427F0">
        <w:rPr>
          <w:rFonts w:ascii="Book Antiqua" w:eastAsia="宋体" w:hAnsi="Book Antiqua" w:cs="Book Antiqua"/>
          <w:lang w:eastAsia="zh-CN"/>
        </w:rPr>
        <w:t xml:space="preserve"> and </w:t>
      </w:r>
      <w:r w:rsidRPr="00F427F0">
        <w:rPr>
          <w:rFonts w:ascii="Book Antiqua" w:eastAsia="Book Antiqua" w:hAnsi="Book Antiqua" w:cs="Book Antiqua"/>
        </w:rPr>
        <w:t>a larger sample size would be necessary for further investigation</w:t>
      </w:r>
      <w:r w:rsidRPr="00F427F0">
        <w:rPr>
          <w:rFonts w:ascii="Book Antiqua" w:eastAsia="宋体" w:hAnsi="Book Antiqua" w:cs="Book Antiqua"/>
          <w:lang w:eastAsia="zh-CN"/>
        </w:rPr>
        <w:t>s</w:t>
      </w:r>
      <w:r w:rsidRPr="00F427F0">
        <w:rPr>
          <w:rFonts w:ascii="Book Antiqua" w:eastAsia="Book Antiqua" w:hAnsi="Book Antiqua" w:cs="Book Antiqua"/>
        </w:rPr>
        <w:t>.</w:t>
      </w:r>
      <w:r w:rsidRPr="00F427F0">
        <w:rPr>
          <w:rFonts w:ascii="Book Antiqua" w:eastAsia="宋体" w:hAnsi="Book Antiqua" w:cs="Book Antiqua"/>
          <w:lang w:eastAsia="zh-CN"/>
        </w:rPr>
        <w:t xml:space="preserve"> </w:t>
      </w:r>
      <w:r w:rsidRPr="00F427F0">
        <w:rPr>
          <w:rFonts w:ascii="Book Antiqua" w:eastAsia="Book Antiqua" w:hAnsi="Book Antiqua" w:cs="Book Antiqua"/>
        </w:rPr>
        <w:t>Second</w:t>
      </w:r>
      <w:r w:rsidRPr="00F427F0">
        <w:rPr>
          <w:rFonts w:ascii="Book Antiqua" w:eastAsia="宋体" w:hAnsi="Book Antiqua" w:cs="Book Antiqua"/>
          <w:lang w:eastAsia="zh-CN"/>
        </w:rPr>
        <w:t>ly</w:t>
      </w:r>
      <w:r w:rsidRPr="00F427F0">
        <w:rPr>
          <w:rFonts w:ascii="Book Antiqua" w:eastAsia="Book Antiqua" w:hAnsi="Book Antiqua" w:cs="Book Antiqua"/>
        </w:rPr>
        <w:t xml:space="preserve">, hub genes were identified using bioinformatics analysis and validated by a small clinical sample. Validation including RNA-seq from a larger clinical cohort is needed. </w:t>
      </w:r>
      <w:r w:rsidRPr="00F427F0">
        <w:rPr>
          <w:rFonts w:ascii="Book Antiqua" w:eastAsia="宋体" w:hAnsi="Book Antiqua" w:cs="Book Antiqua"/>
          <w:lang w:eastAsia="zh-CN"/>
        </w:rPr>
        <w:t xml:space="preserve">It is necessary to investigate the potential underlying mechanisms involved in these findings in future large-scale prospective studies. </w:t>
      </w:r>
      <w:r w:rsidRPr="00F427F0">
        <w:rPr>
          <w:rFonts w:ascii="Book Antiqua" w:eastAsia="Book Antiqua" w:hAnsi="Book Antiqua" w:cs="Book Antiqua"/>
        </w:rPr>
        <w:t>Third</w:t>
      </w:r>
      <w:r w:rsidRPr="00F427F0">
        <w:rPr>
          <w:rFonts w:ascii="Book Antiqua" w:eastAsia="宋体" w:hAnsi="Book Antiqua" w:cs="Book Antiqua"/>
          <w:lang w:eastAsia="zh-CN"/>
        </w:rPr>
        <w:t>ly</w:t>
      </w:r>
      <w:r w:rsidRPr="00F427F0">
        <w:rPr>
          <w:rFonts w:ascii="Book Antiqua" w:eastAsia="Book Antiqua" w:hAnsi="Book Antiqua" w:cs="Book Antiqua"/>
        </w:rPr>
        <w:t>, despite statistical probability, the causality between a candidate genotype and the phenotype of the host is uncertain[</w:t>
      </w:r>
      <w:r w:rsidRPr="00F427F0">
        <w:rPr>
          <w:rFonts w:ascii="Book Antiqua" w:eastAsia="Book Antiqua" w:hAnsi="Book Antiqua" w:cs="Book Antiqua"/>
          <w:vertAlign w:val="superscript"/>
        </w:rPr>
        <w:t>27]</w:t>
      </w:r>
      <w:r w:rsidRPr="00F427F0">
        <w:rPr>
          <w:rFonts w:ascii="Book Antiqua" w:eastAsia="Book Antiqua" w:hAnsi="Book Antiqua" w:cs="Book Antiqua"/>
        </w:rPr>
        <w:t>. To identify the relationship between genotype (the 5 hub genes) and phenotype (</w:t>
      </w:r>
      <w:r w:rsidRPr="00F427F0">
        <w:rPr>
          <w:rFonts w:ascii="Book Antiqua" w:eastAsia="Book Antiqua" w:hAnsi="Book Antiqua" w:cs="Book Antiqua"/>
          <w:i/>
          <w:iCs/>
        </w:rPr>
        <w:t>H. pylori</w:t>
      </w:r>
      <w:r w:rsidRPr="00F427F0">
        <w:rPr>
          <w:rFonts w:ascii="Book Antiqua" w:eastAsia="Book Antiqua" w:hAnsi="Book Antiqua" w:cs="Book Antiqua"/>
        </w:rPr>
        <w:t>-associated T2DM), rigorous validation of mechanisms at the molecular, cellular, tissue, and whole-organism levels is needed.</w:t>
      </w:r>
    </w:p>
    <w:p w14:paraId="62597890" w14:textId="77777777" w:rsidR="00D23823" w:rsidRPr="00F427F0" w:rsidRDefault="00D23823">
      <w:pPr>
        <w:spacing w:line="360" w:lineRule="auto"/>
        <w:ind w:firstLine="480"/>
        <w:jc w:val="both"/>
        <w:rPr>
          <w:rFonts w:ascii="Book Antiqua" w:hAnsi="Book Antiqua"/>
        </w:rPr>
      </w:pPr>
    </w:p>
    <w:p w14:paraId="1D73154A"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caps/>
          <w:u w:val="single"/>
        </w:rPr>
        <w:t>CONCLUSION</w:t>
      </w:r>
    </w:p>
    <w:p w14:paraId="63047DB7"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We report 67 common DEGs and five hub genes (</w:t>
      </w:r>
      <w:r w:rsidRPr="00F427F0">
        <w:rPr>
          <w:rFonts w:ascii="Book Antiqua" w:eastAsia="Book Antiqua" w:hAnsi="Book Antiqua" w:cs="Book Antiqua"/>
          <w:i/>
          <w:iCs/>
        </w:rPr>
        <w:t>TLR4</w:t>
      </w:r>
      <w:r w:rsidRPr="00F427F0">
        <w:rPr>
          <w:rFonts w:ascii="Book Antiqua" w:eastAsia="Book Antiqua" w:hAnsi="Book Antiqua" w:cs="Book Antiqua"/>
        </w:rPr>
        <w:t xml:space="preserve">, </w:t>
      </w:r>
      <w:r w:rsidRPr="00F427F0">
        <w:rPr>
          <w:rFonts w:ascii="Book Antiqua" w:eastAsia="Book Antiqua" w:hAnsi="Book Antiqua" w:cs="Book Antiqua"/>
          <w:i/>
          <w:iCs/>
        </w:rPr>
        <w:t>ITGAM</w:t>
      </w:r>
      <w:r w:rsidRPr="00F427F0">
        <w:rPr>
          <w:rFonts w:ascii="Book Antiqua" w:eastAsia="Book Antiqua" w:hAnsi="Book Antiqua" w:cs="Book Antiqua"/>
        </w:rPr>
        <w:t xml:space="preserve">, </w:t>
      </w:r>
      <w:r w:rsidRPr="00F427F0">
        <w:rPr>
          <w:rFonts w:ascii="Book Antiqua" w:eastAsia="Book Antiqua" w:hAnsi="Book Antiqua" w:cs="Book Antiqua"/>
          <w:i/>
          <w:iCs/>
        </w:rPr>
        <w:t>C5AR1</w:t>
      </w:r>
      <w:r w:rsidRPr="00F427F0">
        <w:rPr>
          <w:rFonts w:ascii="Book Antiqua" w:eastAsia="Book Antiqua" w:hAnsi="Book Antiqua" w:cs="Book Antiqua"/>
        </w:rPr>
        <w:t xml:space="preserve">, </w:t>
      </w:r>
      <w:r w:rsidRPr="00F427F0">
        <w:rPr>
          <w:rFonts w:ascii="Book Antiqua" w:eastAsia="Book Antiqua" w:hAnsi="Book Antiqua" w:cs="Book Antiqua"/>
          <w:i/>
          <w:iCs/>
        </w:rPr>
        <w:t>FCER1G</w:t>
      </w:r>
      <w:r w:rsidRPr="00F427F0">
        <w:rPr>
          <w:rFonts w:ascii="Book Antiqua" w:eastAsia="Book Antiqua" w:hAnsi="Book Antiqua" w:cs="Book Antiqua"/>
        </w:rPr>
        <w:t xml:space="preserve"> and </w:t>
      </w:r>
      <w:r w:rsidRPr="00F427F0">
        <w:rPr>
          <w:rFonts w:ascii="Book Antiqua" w:eastAsia="Book Antiqua" w:hAnsi="Book Antiqua" w:cs="Book Antiqua"/>
          <w:i/>
          <w:iCs/>
        </w:rPr>
        <w:t>FCGR2A</w:t>
      </w:r>
      <w:r w:rsidRPr="00F427F0">
        <w:rPr>
          <w:rFonts w:ascii="Book Antiqua" w:eastAsia="Book Antiqua" w:hAnsi="Book Antiqua" w:cs="Book Antiqua"/>
        </w:rPr>
        <w:t xml:space="preserve">) in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and T2DM. We validated expression of the five hub genes by RT-qPCR. All hub genes were significantly upregulated in T2DM patients </w:t>
      </w:r>
      <w:r w:rsidRPr="00F427F0">
        <w:rPr>
          <w:rFonts w:ascii="Book Antiqua" w:eastAsia="Book Antiqua" w:hAnsi="Book Antiqua" w:cs="Book Antiqua"/>
        </w:rPr>
        <w:lastRenderedPageBreak/>
        <w:t xml:space="preserve">with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compared with noninfected T2DM patients. Immune infiltration analysis showed that </w:t>
      </w:r>
      <w:r w:rsidRPr="00F427F0">
        <w:rPr>
          <w:rFonts w:ascii="Book Antiqua" w:eastAsia="Book Antiqua" w:hAnsi="Book Antiqua" w:cs="Book Antiqua"/>
          <w:i/>
          <w:iCs/>
        </w:rPr>
        <w:t>H. pylori-</w:t>
      </w:r>
      <w:r w:rsidRPr="00F427F0">
        <w:rPr>
          <w:rFonts w:ascii="Book Antiqua" w:eastAsia="Book Antiqua" w:hAnsi="Book Antiqua" w:cs="Book Antiqua"/>
        </w:rPr>
        <w:t xml:space="preserve">infected gastric tissues generally contained a higher proportion of regulatory T cells, activated NK cells, eosinophils and neutrophils. Our gene-miRNA analysis detected 13 miRNAs with at least two gene cross-links, and TF-gene interaction networks showed that </w:t>
      </w:r>
      <w:r w:rsidRPr="00F427F0">
        <w:rPr>
          <w:rFonts w:ascii="Book Antiqua" w:eastAsia="Book Antiqua" w:hAnsi="Book Antiqua" w:cs="Book Antiqua"/>
          <w:i/>
          <w:iCs/>
        </w:rPr>
        <w:t>TLR4</w:t>
      </w:r>
      <w:r w:rsidRPr="00F427F0">
        <w:rPr>
          <w:rFonts w:ascii="Book Antiqua" w:eastAsia="Book Antiqua" w:hAnsi="Book Antiqua" w:cs="Book Antiqua"/>
        </w:rPr>
        <w:t xml:space="preserve"> to be coregulated by 26 TFs, the largest number of TFs among the 5 hub genes. This study provides a new idea for elucidating the pathogenesis </w:t>
      </w:r>
      <w:r w:rsidRPr="00F427F0">
        <w:rPr>
          <w:rFonts w:ascii="Book Antiqua" w:eastAsia="宋体" w:hAnsi="Book Antiqua" w:cs="Book Antiqua"/>
          <w:lang w:eastAsia="zh-CN"/>
        </w:rPr>
        <w:t xml:space="preserve">of H. pylori-associated T2DM </w:t>
      </w:r>
      <w:r w:rsidRPr="00F427F0">
        <w:rPr>
          <w:rFonts w:ascii="Book Antiqua" w:eastAsia="Book Antiqua" w:hAnsi="Book Antiqua" w:cs="Book Antiqua"/>
        </w:rPr>
        <w:t>at the genetic level.</w:t>
      </w:r>
    </w:p>
    <w:p w14:paraId="3E57BA69" w14:textId="77777777" w:rsidR="00D23823" w:rsidRPr="00F427F0" w:rsidRDefault="00D23823">
      <w:pPr>
        <w:spacing w:line="360" w:lineRule="auto"/>
        <w:jc w:val="both"/>
        <w:rPr>
          <w:rFonts w:ascii="Book Antiqua" w:hAnsi="Book Antiqua"/>
        </w:rPr>
      </w:pPr>
    </w:p>
    <w:p w14:paraId="46971B52"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caps/>
          <w:u w:val="single"/>
        </w:rPr>
        <w:t>ARTICLE HIGHLIGHTS</w:t>
      </w:r>
    </w:p>
    <w:p w14:paraId="2DFFF614"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i/>
        </w:rPr>
        <w:t>Research background</w:t>
      </w:r>
    </w:p>
    <w:p w14:paraId="4F901636"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This prevalence rate of </w:t>
      </w:r>
      <w:r w:rsidRPr="00F427F0">
        <w:rPr>
          <w:rFonts w:ascii="Book Antiqua" w:eastAsia="Book Antiqua" w:hAnsi="Book Antiqua" w:cs="Book Antiqua"/>
          <w:i/>
          <w:iCs/>
        </w:rPr>
        <w:t xml:space="preserve">Helicobacter pylori </w:t>
      </w:r>
      <w:r w:rsidRPr="00F427F0">
        <w:rPr>
          <w:rFonts w:ascii="Book Antiqua" w:eastAsia="Book Antiqua" w:hAnsi="Book Antiqua" w:cs="Book Antiqua"/>
        </w:rPr>
        <w:t>(</w:t>
      </w:r>
      <w:r w:rsidRPr="00F427F0">
        <w:rPr>
          <w:rFonts w:ascii="Book Antiqua" w:eastAsia="Book Antiqua" w:hAnsi="Book Antiqua" w:cs="Book Antiqua"/>
          <w:i/>
          <w:iCs/>
        </w:rPr>
        <w:t>H. pylori</w:t>
      </w:r>
      <w:r w:rsidRPr="00F427F0">
        <w:rPr>
          <w:rFonts w:ascii="Book Antiqua" w:eastAsia="Book Antiqua" w:hAnsi="Book Antiqua" w:cs="Book Antiqua"/>
        </w:rPr>
        <w:t xml:space="preserve">) is high, especially in less developed countries. Its infection related to not only gastric diseases but also extragastric diseases such as type 2 diabetes mellitus (T2DM). However, the underlying mechanisms connecting </w:t>
      </w:r>
      <w:r w:rsidRPr="00F427F0">
        <w:rPr>
          <w:rFonts w:ascii="Book Antiqua" w:eastAsia="Book Antiqua" w:hAnsi="Book Antiqua" w:cs="Book Antiqua"/>
          <w:i/>
          <w:iCs/>
        </w:rPr>
        <w:t xml:space="preserve">H. pylori </w:t>
      </w:r>
      <w:r w:rsidRPr="00F427F0">
        <w:rPr>
          <w:rFonts w:ascii="Book Antiqua" w:eastAsia="Book Antiqua" w:hAnsi="Book Antiqua" w:cs="Book Antiqua"/>
        </w:rPr>
        <w:t>infection and T2DM remains unclear.</w:t>
      </w:r>
    </w:p>
    <w:p w14:paraId="65B0F141" w14:textId="77777777" w:rsidR="00D23823" w:rsidRPr="00F427F0" w:rsidRDefault="00D23823">
      <w:pPr>
        <w:spacing w:line="360" w:lineRule="auto"/>
        <w:jc w:val="both"/>
        <w:rPr>
          <w:rFonts w:ascii="Book Antiqua" w:hAnsi="Book Antiqua"/>
        </w:rPr>
      </w:pPr>
    </w:p>
    <w:p w14:paraId="50242A12"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i/>
        </w:rPr>
        <w:t>Research motivation</w:t>
      </w:r>
    </w:p>
    <w:p w14:paraId="166EDE1E"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The potential molecular connections between</w:t>
      </w:r>
      <w:r w:rsidRPr="00F427F0">
        <w:rPr>
          <w:rFonts w:ascii="Book Antiqua" w:eastAsia="Book Antiqua" w:hAnsi="Book Antiqua" w:cs="Book Antiqua"/>
          <w:i/>
          <w:iCs/>
        </w:rPr>
        <w:t xml:space="preserve"> H. pylori </w:t>
      </w:r>
      <w:r w:rsidRPr="00F427F0">
        <w:rPr>
          <w:rFonts w:ascii="Book Antiqua" w:eastAsia="Book Antiqua" w:hAnsi="Book Antiqua" w:cs="Book Antiqua"/>
        </w:rPr>
        <w:t xml:space="preserve">infection and T2DM are needed to be identified, in order to further elucidate the pathogenesis and the new treatment strategy of </w:t>
      </w:r>
      <w:r w:rsidRPr="00F427F0">
        <w:rPr>
          <w:rFonts w:ascii="Book Antiqua" w:eastAsia="Book Antiqua" w:hAnsi="Book Antiqua" w:cs="Book Antiqua"/>
          <w:i/>
          <w:iCs/>
        </w:rPr>
        <w:t>H. pylori-</w:t>
      </w:r>
      <w:r w:rsidRPr="00F427F0">
        <w:rPr>
          <w:rFonts w:ascii="Book Antiqua" w:eastAsia="Book Antiqua" w:hAnsi="Book Antiqua" w:cs="Book Antiqua"/>
        </w:rPr>
        <w:t xml:space="preserve">infected T2DM. </w:t>
      </w:r>
    </w:p>
    <w:p w14:paraId="364BD5C1" w14:textId="77777777" w:rsidR="00D23823" w:rsidRPr="00F427F0" w:rsidRDefault="00D23823">
      <w:pPr>
        <w:spacing w:line="360" w:lineRule="auto"/>
        <w:jc w:val="both"/>
        <w:rPr>
          <w:rFonts w:ascii="Book Antiqua" w:hAnsi="Book Antiqua"/>
        </w:rPr>
      </w:pPr>
    </w:p>
    <w:p w14:paraId="16541113"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i/>
        </w:rPr>
        <w:t>Research objectives</w:t>
      </w:r>
    </w:p>
    <w:p w14:paraId="321FD614"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We aimed to explore the potential molecular connections between</w:t>
      </w:r>
      <w:r w:rsidRPr="00F427F0">
        <w:rPr>
          <w:rFonts w:ascii="Book Antiqua" w:eastAsia="Book Antiqua" w:hAnsi="Book Antiqua" w:cs="Book Antiqua"/>
          <w:i/>
          <w:iCs/>
        </w:rPr>
        <w:t xml:space="preserve"> H. pylori </w:t>
      </w:r>
      <w:r w:rsidRPr="00F427F0">
        <w:rPr>
          <w:rFonts w:ascii="Book Antiqua" w:eastAsia="Book Antiqua" w:hAnsi="Book Antiqua" w:cs="Book Antiqua"/>
        </w:rPr>
        <w:t>infection and T2DM using bioinformatics analysis. In the future research, we will investigating these identified genes and downstream signaling pathway to further understand their relationship.</w:t>
      </w:r>
    </w:p>
    <w:p w14:paraId="0A647E62" w14:textId="77777777" w:rsidR="00D23823" w:rsidRPr="00F427F0" w:rsidRDefault="00D23823">
      <w:pPr>
        <w:spacing w:line="360" w:lineRule="auto"/>
        <w:jc w:val="both"/>
        <w:rPr>
          <w:rFonts w:ascii="Book Antiqua" w:hAnsi="Book Antiqua"/>
        </w:rPr>
      </w:pPr>
    </w:p>
    <w:p w14:paraId="4C512328"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i/>
        </w:rPr>
        <w:t>Research methods</w:t>
      </w:r>
    </w:p>
    <w:p w14:paraId="5FBEA027"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Differentially expressed genes from three datasets commonly present in patients with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and T2DM were identified. Hub genes were validated by RT-qPCR </w:t>
      </w:r>
      <w:r w:rsidRPr="00F427F0">
        <w:rPr>
          <w:rFonts w:ascii="Book Antiqua" w:eastAsia="Book Antiqua" w:hAnsi="Book Antiqua" w:cs="Book Antiqua"/>
        </w:rPr>
        <w:lastRenderedPageBreak/>
        <w:t>using human gastric biopsy samples. Correlations between hub genes and immune cell infiltration, miRNAs, and transcription factors were further analyzed.</w:t>
      </w:r>
    </w:p>
    <w:p w14:paraId="2F12E437" w14:textId="77777777" w:rsidR="00D23823" w:rsidRPr="00F427F0" w:rsidRDefault="00D23823">
      <w:pPr>
        <w:spacing w:line="360" w:lineRule="auto"/>
        <w:jc w:val="both"/>
        <w:rPr>
          <w:rFonts w:ascii="Book Antiqua" w:hAnsi="Book Antiqua"/>
        </w:rPr>
      </w:pPr>
    </w:p>
    <w:p w14:paraId="02C9E8FA"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i/>
        </w:rPr>
        <w:t>Research results</w:t>
      </w:r>
    </w:p>
    <w:p w14:paraId="16FB6DE1"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This is the first study to identify the key genes and pathways associated with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and T2DM using integrated bioinformatics analysis. We identified five hub genes, all of which were closely related to immune cell infiltration.</w:t>
      </w:r>
    </w:p>
    <w:p w14:paraId="46B306EA" w14:textId="77777777" w:rsidR="00D23823" w:rsidRPr="00F427F0" w:rsidRDefault="00D23823">
      <w:pPr>
        <w:spacing w:line="360" w:lineRule="auto"/>
        <w:jc w:val="both"/>
        <w:rPr>
          <w:rFonts w:ascii="Book Antiqua" w:hAnsi="Book Antiqua"/>
        </w:rPr>
      </w:pPr>
    </w:p>
    <w:p w14:paraId="5D1D1600"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i/>
        </w:rPr>
        <w:t>Research conclusions</w:t>
      </w:r>
    </w:p>
    <w:p w14:paraId="3FE1D36B"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We were the first to find out that the 5 hub genes identified are playing important roles in the pathogenesis of </w:t>
      </w:r>
      <w:r w:rsidRPr="00F427F0">
        <w:rPr>
          <w:rFonts w:ascii="Book Antiqua" w:eastAsia="Book Antiqua" w:hAnsi="Book Antiqua" w:cs="Book Antiqua"/>
          <w:i/>
          <w:iCs/>
        </w:rPr>
        <w:t>H. pylori-</w:t>
      </w:r>
      <w:r w:rsidRPr="00F427F0">
        <w:rPr>
          <w:rFonts w:ascii="Book Antiqua" w:eastAsia="Book Antiqua" w:hAnsi="Book Antiqua" w:cs="Book Antiqua"/>
        </w:rPr>
        <w:t>infected T2DM.</w:t>
      </w:r>
    </w:p>
    <w:p w14:paraId="55788C68" w14:textId="77777777" w:rsidR="00D23823" w:rsidRPr="00F427F0" w:rsidRDefault="00D23823">
      <w:pPr>
        <w:spacing w:line="360" w:lineRule="auto"/>
        <w:jc w:val="both"/>
        <w:rPr>
          <w:rFonts w:ascii="Book Antiqua" w:hAnsi="Book Antiqua"/>
        </w:rPr>
      </w:pPr>
    </w:p>
    <w:p w14:paraId="0CAF5823"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i/>
        </w:rPr>
        <w:t>Research perspectives</w:t>
      </w:r>
    </w:p>
    <w:p w14:paraId="3DD4EED6" w14:textId="77777777" w:rsidR="00D23823" w:rsidRPr="00F427F0" w:rsidRDefault="00000000">
      <w:pPr>
        <w:spacing w:line="360" w:lineRule="auto"/>
        <w:jc w:val="both"/>
        <w:rPr>
          <w:rFonts w:ascii="Book Antiqua" w:eastAsia="宋体" w:hAnsi="Book Antiqua"/>
          <w:lang w:eastAsia="zh-CN"/>
        </w:rPr>
      </w:pPr>
      <w:r w:rsidRPr="00F427F0">
        <w:rPr>
          <w:rFonts w:ascii="Book Antiqua" w:eastAsia="Book Antiqua" w:hAnsi="Book Antiqua" w:cs="Book Antiqua"/>
        </w:rPr>
        <w:t xml:space="preserve"> </w:t>
      </w:r>
      <w:r w:rsidRPr="00F427F0">
        <w:rPr>
          <w:rFonts w:ascii="Book Antiqua" w:eastAsia="宋体" w:hAnsi="Book Antiqua" w:cs="Book Antiqua"/>
          <w:lang w:eastAsia="zh-CN"/>
        </w:rPr>
        <w:t>It is necessary to investigate the potential underlying mechanisms involved in these findings in future large-scale prospective studies.</w:t>
      </w:r>
    </w:p>
    <w:p w14:paraId="2CDB6375" w14:textId="77777777" w:rsidR="00D23823" w:rsidRPr="00F427F0" w:rsidRDefault="00D23823">
      <w:pPr>
        <w:spacing w:line="360" w:lineRule="auto"/>
        <w:jc w:val="both"/>
        <w:rPr>
          <w:rFonts w:ascii="Book Antiqua" w:hAnsi="Book Antiqua"/>
        </w:rPr>
      </w:pPr>
    </w:p>
    <w:p w14:paraId="77833F91"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rPr>
        <w:t>REFERENCES</w:t>
      </w:r>
    </w:p>
    <w:p w14:paraId="012A8322" w14:textId="77777777" w:rsidR="00D23823" w:rsidRPr="008A5B5E" w:rsidRDefault="00000000">
      <w:pPr>
        <w:spacing w:line="360" w:lineRule="auto"/>
        <w:jc w:val="both"/>
        <w:rPr>
          <w:rFonts w:ascii="Book Antiqua" w:hAnsi="Book Antiqua"/>
        </w:rPr>
      </w:pPr>
      <w:bookmarkStart w:id="181" w:name="OLE_LINK1311"/>
      <w:bookmarkStart w:id="182" w:name="OLE_LINK1312"/>
      <w:bookmarkStart w:id="183" w:name="OLE_LINK1313"/>
      <w:r w:rsidRPr="008A5B5E">
        <w:rPr>
          <w:rFonts w:ascii="Book Antiqua" w:eastAsia="Book Antiqua" w:hAnsi="Book Antiqua" w:cs="Book Antiqua"/>
        </w:rPr>
        <w:t xml:space="preserve">1 </w:t>
      </w:r>
      <w:r w:rsidRPr="008A5B5E">
        <w:rPr>
          <w:rFonts w:ascii="Book Antiqua" w:eastAsia="Book Antiqua" w:hAnsi="Book Antiqua" w:cs="Book Antiqua"/>
          <w:b/>
          <w:bCs/>
        </w:rPr>
        <w:t>Butt J</w:t>
      </w:r>
      <w:r w:rsidRPr="008A5B5E">
        <w:rPr>
          <w:rFonts w:ascii="Book Antiqua" w:eastAsia="Book Antiqua" w:hAnsi="Book Antiqua" w:cs="Book Antiqua"/>
        </w:rPr>
        <w:t xml:space="preserve">, Epplein M. How do global trends in Helicobacter pylori prevalence inform prevention planning? </w:t>
      </w:r>
      <w:r w:rsidRPr="008A5B5E">
        <w:rPr>
          <w:rFonts w:ascii="Book Antiqua" w:eastAsia="Book Antiqua" w:hAnsi="Book Antiqua" w:cs="Book Antiqua"/>
          <w:i/>
          <w:iCs/>
        </w:rPr>
        <w:t>Lancet Gastroenterol Hepatol</w:t>
      </w:r>
      <w:r w:rsidRPr="008A5B5E">
        <w:rPr>
          <w:rFonts w:ascii="Book Antiqua" w:eastAsia="Book Antiqua" w:hAnsi="Book Antiqua" w:cs="Book Antiqua"/>
        </w:rPr>
        <w:t xml:space="preserve"> 2023; </w:t>
      </w:r>
      <w:r w:rsidRPr="008A5B5E">
        <w:rPr>
          <w:rFonts w:ascii="Book Antiqua" w:eastAsia="Book Antiqua" w:hAnsi="Book Antiqua" w:cs="Book Antiqua"/>
          <w:b/>
          <w:bCs/>
        </w:rPr>
        <w:t>8</w:t>
      </w:r>
      <w:r w:rsidRPr="008A5B5E">
        <w:rPr>
          <w:rFonts w:ascii="Book Antiqua" w:eastAsia="Book Antiqua" w:hAnsi="Book Antiqua" w:cs="Book Antiqua"/>
        </w:rPr>
        <w:t>: 498-499 [PMID: 37086740 DOI: 10.1016/S2468-1253(23)00101-2]</w:t>
      </w:r>
    </w:p>
    <w:p w14:paraId="56F560BA"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2 </w:t>
      </w:r>
      <w:r w:rsidRPr="008A5B5E">
        <w:rPr>
          <w:rFonts w:ascii="Book Antiqua" w:eastAsia="Book Antiqua" w:hAnsi="Book Antiqua" w:cs="Book Antiqua"/>
          <w:b/>
          <w:bCs/>
        </w:rPr>
        <w:t>Alvarez CS</w:t>
      </w:r>
      <w:r w:rsidRPr="008A5B5E">
        <w:rPr>
          <w:rFonts w:ascii="Book Antiqua" w:eastAsia="Book Antiqua" w:hAnsi="Book Antiqua" w:cs="Book Antiqua"/>
        </w:rPr>
        <w:t xml:space="preserve">, Florio AA, Butt J, Rivera-Andrade A, Kroker-Lobos MF, Waterboer T, Camargo MC, Freedman ND, Graubard BI, Lazo M, Guallar E, Groopman JD, Ramírez-Zea M, McGlynn KA. Associations between Helicobacter pylori with nonalcoholic fatty liver disease and other metabolic conditions in Guatemala. </w:t>
      </w:r>
      <w:r w:rsidRPr="008A5B5E">
        <w:rPr>
          <w:rFonts w:ascii="Book Antiqua" w:eastAsia="Book Antiqua" w:hAnsi="Book Antiqua" w:cs="Book Antiqua"/>
          <w:i/>
          <w:iCs/>
        </w:rPr>
        <w:t>Helicobacter</w:t>
      </w:r>
      <w:r w:rsidRPr="008A5B5E">
        <w:rPr>
          <w:rFonts w:ascii="Book Antiqua" w:eastAsia="Book Antiqua" w:hAnsi="Book Antiqua" w:cs="Book Antiqua"/>
        </w:rPr>
        <w:t xml:space="preserve"> 2020; </w:t>
      </w:r>
      <w:r w:rsidRPr="008A5B5E">
        <w:rPr>
          <w:rFonts w:ascii="Book Antiqua" w:eastAsia="Book Antiqua" w:hAnsi="Book Antiqua" w:cs="Book Antiqua"/>
          <w:b/>
          <w:bCs/>
        </w:rPr>
        <w:t>25</w:t>
      </w:r>
      <w:r w:rsidRPr="008A5B5E">
        <w:rPr>
          <w:rFonts w:ascii="Book Antiqua" w:eastAsia="Book Antiqua" w:hAnsi="Book Antiqua" w:cs="Book Antiqua"/>
        </w:rPr>
        <w:t>: e12756 [PMID: 33006810 DOI: 10.1111/hel.12756]</w:t>
      </w:r>
    </w:p>
    <w:p w14:paraId="1E8CB450"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3 </w:t>
      </w:r>
      <w:r w:rsidRPr="008A5B5E">
        <w:rPr>
          <w:rFonts w:ascii="Book Antiqua" w:eastAsia="Book Antiqua" w:hAnsi="Book Antiqua" w:cs="Book Antiqua"/>
          <w:b/>
          <w:bCs/>
        </w:rPr>
        <w:t>Zhang P</w:t>
      </w:r>
      <w:r w:rsidRPr="008A5B5E">
        <w:rPr>
          <w:rFonts w:ascii="Book Antiqua" w:eastAsia="Book Antiqua" w:hAnsi="Book Antiqua" w:cs="Book Antiqua"/>
        </w:rPr>
        <w:t xml:space="preserve">, He Q, Song D, Wang Y, Liu X, Ding G, Xing W. Association of Helicobacter pylori Infection With Carotid Atherosclerosis in a Northern Chinese Population: A Cross-Sectional Study. </w:t>
      </w:r>
      <w:r w:rsidRPr="008A5B5E">
        <w:rPr>
          <w:rFonts w:ascii="Book Antiqua" w:eastAsia="Book Antiqua" w:hAnsi="Book Antiqua" w:cs="Book Antiqua"/>
          <w:i/>
          <w:iCs/>
        </w:rPr>
        <w:t>Front Cardiovasc Med</w:t>
      </w:r>
      <w:r w:rsidRPr="008A5B5E">
        <w:rPr>
          <w:rFonts w:ascii="Book Antiqua" w:eastAsia="Book Antiqua" w:hAnsi="Book Antiqua" w:cs="Book Antiqua"/>
        </w:rPr>
        <w:t xml:space="preserve"> 2021; </w:t>
      </w:r>
      <w:r w:rsidRPr="008A5B5E">
        <w:rPr>
          <w:rFonts w:ascii="Book Antiqua" w:eastAsia="Book Antiqua" w:hAnsi="Book Antiqua" w:cs="Book Antiqua"/>
          <w:b/>
          <w:bCs/>
        </w:rPr>
        <w:t>8</w:t>
      </w:r>
      <w:r w:rsidRPr="008A5B5E">
        <w:rPr>
          <w:rFonts w:ascii="Book Antiqua" w:eastAsia="Book Antiqua" w:hAnsi="Book Antiqua" w:cs="Book Antiqua"/>
        </w:rPr>
        <w:t>: 795795 [PMID: 35174222 DOI: 10.3389/fcvm.2021.795795]</w:t>
      </w:r>
    </w:p>
    <w:p w14:paraId="16EE1FDB"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lastRenderedPageBreak/>
        <w:t xml:space="preserve">4 </w:t>
      </w:r>
      <w:r w:rsidRPr="008A5B5E">
        <w:rPr>
          <w:rFonts w:ascii="Book Antiqua" w:eastAsia="Book Antiqua" w:hAnsi="Book Antiqua" w:cs="Book Antiqua"/>
          <w:b/>
          <w:bCs/>
        </w:rPr>
        <w:t>Wang L</w:t>
      </w:r>
      <w:r w:rsidRPr="008A5B5E">
        <w:rPr>
          <w:rFonts w:ascii="Book Antiqua" w:eastAsia="Book Antiqua" w:hAnsi="Book Antiqua" w:cs="Book Antiqua"/>
        </w:rPr>
        <w:t xml:space="preserve">, Cao ZM, Zhang LL, Dai XC, Liu ZJ, Zeng YX, Li XY, Wu QJ, Lv WL. Helicobacter Pylori and Autoimmune Diseases: Involving Multiple Systems. </w:t>
      </w:r>
      <w:r w:rsidRPr="008A5B5E">
        <w:rPr>
          <w:rFonts w:ascii="Book Antiqua" w:eastAsia="Book Antiqua" w:hAnsi="Book Antiqua" w:cs="Book Antiqua"/>
          <w:i/>
          <w:iCs/>
        </w:rPr>
        <w:t>Front Immunol</w:t>
      </w:r>
      <w:r w:rsidRPr="008A5B5E">
        <w:rPr>
          <w:rFonts w:ascii="Book Antiqua" w:eastAsia="Book Antiqua" w:hAnsi="Book Antiqua" w:cs="Book Antiqua"/>
        </w:rPr>
        <w:t xml:space="preserve"> 2022; </w:t>
      </w:r>
      <w:r w:rsidRPr="008A5B5E">
        <w:rPr>
          <w:rFonts w:ascii="Book Antiqua" w:eastAsia="Book Antiqua" w:hAnsi="Book Antiqua" w:cs="Book Antiqua"/>
          <w:b/>
          <w:bCs/>
        </w:rPr>
        <w:t>13</w:t>
      </w:r>
      <w:r w:rsidRPr="008A5B5E">
        <w:rPr>
          <w:rFonts w:ascii="Book Antiqua" w:eastAsia="Book Antiqua" w:hAnsi="Book Antiqua" w:cs="Book Antiqua"/>
        </w:rPr>
        <w:t>: 833424 [PMID: 35222423 DOI: 10.3389/fimmu.2022.833424]</w:t>
      </w:r>
    </w:p>
    <w:p w14:paraId="4848D047"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5 </w:t>
      </w:r>
      <w:r w:rsidRPr="008A5B5E">
        <w:rPr>
          <w:rFonts w:ascii="Book Antiqua" w:eastAsia="Book Antiqua" w:hAnsi="Book Antiqua" w:cs="Book Antiqua"/>
          <w:b/>
          <w:bCs/>
        </w:rPr>
        <w:t>Mansori K</w:t>
      </w:r>
      <w:r w:rsidRPr="008A5B5E">
        <w:rPr>
          <w:rFonts w:ascii="Book Antiqua" w:eastAsia="Book Antiqua" w:hAnsi="Book Antiqua" w:cs="Book Antiqua"/>
        </w:rPr>
        <w:t xml:space="preserve">, Dehghanbanadaki H, Naderpour S, Rashti R, Moghaddam AB, Moradi Y. A systematic review and meta-analysis of the prevalence of Helicobacter pylori in patients with diabetes. </w:t>
      </w:r>
      <w:r w:rsidRPr="008A5B5E">
        <w:rPr>
          <w:rFonts w:ascii="Book Antiqua" w:eastAsia="Book Antiqua" w:hAnsi="Book Antiqua" w:cs="Book Antiqua"/>
          <w:i/>
          <w:iCs/>
        </w:rPr>
        <w:t>Diabetes Metab Syndr</w:t>
      </w:r>
      <w:r w:rsidRPr="008A5B5E">
        <w:rPr>
          <w:rFonts w:ascii="Book Antiqua" w:eastAsia="Book Antiqua" w:hAnsi="Book Antiqua" w:cs="Book Antiqua"/>
        </w:rPr>
        <w:t xml:space="preserve"> 2020; </w:t>
      </w:r>
      <w:r w:rsidRPr="008A5B5E">
        <w:rPr>
          <w:rFonts w:ascii="Book Antiqua" w:eastAsia="Book Antiqua" w:hAnsi="Book Antiqua" w:cs="Book Antiqua"/>
          <w:b/>
          <w:bCs/>
        </w:rPr>
        <w:t>14</w:t>
      </w:r>
      <w:r w:rsidRPr="008A5B5E">
        <w:rPr>
          <w:rFonts w:ascii="Book Antiqua" w:eastAsia="Book Antiqua" w:hAnsi="Book Antiqua" w:cs="Book Antiqua"/>
        </w:rPr>
        <w:t>: 601-607 [PMID: 32417710 DOI: 10.1016/j.dsx.2020.05.009]</w:t>
      </w:r>
    </w:p>
    <w:p w14:paraId="2C6B04B8"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6 </w:t>
      </w:r>
      <w:r w:rsidRPr="008A5B5E">
        <w:rPr>
          <w:rFonts w:ascii="Book Antiqua" w:eastAsia="Book Antiqua" w:hAnsi="Book Antiqua" w:cs="Book Antiqua"/>
          <w:b/>
          <w:bCs/>
        </w:rPr>
        <w:t>Zhang K</w:t>
      </w:r>
      <w:r w:rsidRPr="008A5B5E">
        <w:rPr>
          <w:rFonts w:ascii="Book Antiqua" w:eastAsia="Book Antiqua" w:hAnsi="Book Antiqua" w:cs="Book Antiqua"/>
        </w:rPr>
        <w:t xml:space="preserve">, Ma Y, Luo Y, Song Y, Xiong G, Ma Y, Sun X, Kan C. Metabolic diseases and healthy aging: identifying environmental and behavioral risk factors and promoting public health. </w:t>
      </w:r>
      <w:r w:rsidRPr="008A5B5E">
        <w:rPr>
          <w:rFonts w:ascii="Book Antiqua" w:eastAsia="Book Antiqua" w:hAnsi="Book Antiqua" w:cs="Book Antiqua"/>
          <w:i/>
          <w:iCs/>
        </w:rPr>
        <w:t>Front Public Health</w:t>
      </w:r>
      <w:r w:rsidRPr="008A5B5E">
        <w:rPr>
          <w:rFonts w:ascii="Book Antiqua" w:eastAsia="Book Antiqua" w:hAnsi="Book Antiqua" w:cs="Book Antiqua"/>
        </w:rPr>
        <w:t xml:space="preserve"> 2023; </w:t>
      </w:r>
      <w:r w:rsidRPr="008A5B5E">
        <w:rPr>
          <w:rFonts w:ascii="Book Antiqua" w:eastAsia="Book Antiqua" w:hAnsi="Book Antiqua" w:cs="Book Antiqua"/>
          <w:b/>
          <w:bCs/>
        </w:rPr>
        <w:t>11</w:t>
      </w:r>
      <w:r w:rsidRPr="008A5B5E">
        <w:rPr>
          <w:rFonts w:ascii="Book Antiqua" w:eastAsia="Book Antiqua" w:hAnsi="Book Antiqua" w:cs="Book Antiqua"/>
        </w:rPr>
        <w:t>: 1253506 [PMID: 37900047 DOI: 10.3389/fpubh.2023.1253506]</w:t>
      </w:r>
    </w:p>
    <w:p w14:paraId="20A0C0EA"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7 </w:t>
      </w:r>
      <w:r w:rsidRPr="008A5B5E">
        <w:rPr>
          <w:rFonts w:ascii="Book Antiqua" w:eastAsia="Book Antiqua" w:hAnsi="Book Antiqua" w:cs="Book Antiqua"/>
          <w:b/>
          <w:bCs/>
        </w:rPr>
        <w:t>Pan Y</w:t>
      </w:r>
      <w:r w:rsidRPr="008A5B5E">
        <w:rPr>
          <w:rFonts w:ascii="Book Antiqua" w:eastAsia="Book Antiqua" w:hAnsi="Book Antiqua" w:cs="Book Antiqua"/>
        </w:rPr>
        <w:t xml:space="preserve">, Zhong S, Zhou K, Tian Z, Chen F, Liu Z, Geng Z, Li S, Huang R, Wang H, Zou W, Hu J. Association between Diabetes Complications and the Triglyceride-Glucose Index in Hospitalized Patients with Type 2 Diabetes. </w:t>
      </w:r>
      <w:r w:rsidRPr="008A5B5E">
        <w:rPr>
          <w:rFonts w:ascii="Book Antiqua" w:eastAsia="Book Antiqua" w:hAnsi="Book Antiqua" w:cs="Book Antiqua"/>
          <w:i/>
          <w:iCs/>
        </w:rPr>
        <w:t>J Diabetes Res</w:t>
      </w:r>
      <w:r w:rsidRPr="008A5B5E">
        <w:rPr>
          <w:rFonts w:ascii="Book Antiqua" w:eastAsia="Book Antiqua" w:hAnsi="Book Antiqua" w:cs="Book Antiqua"/>
        </w:rPr>
        <w:t xml:space="preserve"> 2021; </w:t>
      </w:r>
      <w:r w:rsidRPr="008A5B5E">
        <w:rPr>
          <w:rFonts w:ascii="Book Antiqua" w:eastAsia="Book Antiqua" w:hAnsi="Book Antiqua" w:cs="Book Antiqua"/>
          <w:b/>
          <w:bCs/>
        </w:rPr>
        <w:t>2021</w:t>
      </w:r>
      <w:r w:rsidRPr="008A5B5E">
        <w:rPr>
          <w:rFonts w:ascii="Book Antiqua" w:eastAsia="Book Antiqua" w:hAnsi="Book Antiqua" w:cs="Book Antiqua"/>
        </w:rPr>
        <w:t>: 8757996 [PMID: 34671683 DOI: 10.1155/2021/8757996]</w:t>
      </w:r>
    </w:p>
    <w:p w14:paraId="5215A214"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8 </w:t>
      </w:r>
      <w:r w:rsidRPr="008A5B5E">
        <w:rPr>
          <w:rFonts w:ascii="Book Antiqua" w:eastAsia="Book Antiqua" w:hAnsi="Book Antiqua" w:cs="Book Antiqua"/>
          <w:b/>
          <w:bCs/>
        </w:rPr>
        <w:t>Wang M</w:t>
      </w:r>
      <w:r w:rsidRPr="008A5B5E">
        <w:rPr>
          <w:rFonts w:ascii="Book Antiqua" w:eastAsia="Book Antiqua" w:hAnsi="Book Antiqua" w:cs="Book Antiqua"/>
        </w:rPr>
        <w:t xml:space="preserve">, He Y, He Q, Di F, Zou K, Wang W, Sun X. Comparison of clinical characteristics and disease burden between early- and late-onset type 2 diabetes patients: a population-based cohort study. </w:t>
      </w:r>
      <w:r w:rsidRPr="008A5B5E">
        <w:rPr>
          <w:rFonts w:ascii="Book Antiqua" w:eastAsia="Book Antiqua" w:hAnsi="Book Antiqua" w:cs="Book Antiqua"/>
          <w:i/>
          <w:iCs/>
        </w:rPr>
        <w:t>BMC Public Health</w:t>
      </w:r>
      <w:r w:rsidRPr="008A5B5E">
        <w:rPr>
          <w:rFonts w:ascii="Book Antiqua" w:eastAsia="Book Antiqua" w:hAnsi="Book Antiqua" w:cs="Book Antiqua"/>
        </w:rPr>
        <w:t xml:space="preserve"> 2023; </w:t>
      </w:r>
      <w:r w:rsidRPr="008A5B5E">
        <w:rPr>
          <w:rFonts w:ascii="Book Antiqua" w:eastAsia="Book Antiqua" w:hAnsi="Book Antiqua" w:cs="Book Antiqua"/>
          <w:b/>
          <w:bCs/>
        </w:rPr>
        <w:t>23</w:t>
      </w:r>
      <w:r w:rsidRPr="008A5B5E">
        <w:rPr>
          <w:rFonts w:ascii="Book Antiqua" w:eastAsia="Book Antiqua" w:hAnsi="Book Antiqua" w:cs="Book Antiqua"/>
        </w:rPr>
        <w:t>: 2411 [PMID: 38049796 DOI: 10.1186/s12889-023-17280-5]</w:t>
      </w:r>
    </w:p>
    <w:p w14:paraId="22F7C7A3"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9 </w:t>
      </w:r>
      <w:r w:rsidRPr="008A5B5E">
        <w:rPr>
          <w:rFonts w:ascii="Book Antiqua" w:eastAsia="Book Antiqua" w:hAnsi="Book Antiqua" w:cs="Book Antiqua"/>
          <w:b/>
          <w:bCs/>
        </w:rPr>
        <w:t>Zhou X</w:t>
      </w:r>
      <w:r w:rsidRPr="008A5B5E">
        <w:rPr>
          <w:rFonts w:ascii="Book Antiqua" w:eastAsia="Book Antiqua" w:hAnsi="Book Antiqua" w:cs="Book Antiqua"/>
        </w:rPr>
        <w:t xml:space="preserve">, Zhang C, Wu J, Zhang G. Association between Helicobacter pylori infection and diabetes mellitus: a meta-analysis of observational studies. </w:t>
      </w:r>
      <w:r w:rsidRPr="008A5B5E">
        <w:rPr>
          <w:rFonts w:ascii="Book Antiqua" w:eastAsia="Book Antiqua" w:hAnsi="Book Antiqua" w:cs="Book Antiqua"/>
          <w:i/>
          <w:iCs/>
        </w:rPr>
        <w:t>Diabetes Res Clin Pract</w:t>
      </w:r>
      <w:r w:rsidRPr="008A5B5E">
        <w:rPr>
          <w:rFonts w:ascii="Book Antiqua" w:eastAsia="Book Antiqua" w:hAnsi="Book Antiqua" w:cs="Book Antiqua"/>
        </w:rPr>
        <w:t xml:space="preserve"> 2013; </w:t>
      </w:r>
      <w:r w:rsidRPr="008A5B5E">
        <w:rPr>
          <w:rFonts w:ascii="Book Antiqua" w:eastAsia="Book Antiqua" w:hAnsi="Book Antiqua" w:cs="Book Antiqua"/>
          <w:b/>
          <w:bCs/>
        </w:rPr>
        <w:t>99</w:t>
      </w:r>
      <w:r w:rsidRPr="008A5B5E">
        <w:rPr>
          <w:rFonts w:ascii="Book Antiqua" w:eastAsia="Book Antiqua" w:hAnsi="Book Antiqua" w:cs="Book Antiqua"/>
        </w:rPr>
        <w:t>: 200-208 [PMID: 23395214 DOI: 10.1016/j.diabres.2012.11.012]</w:t>
      </w:r>
    </w:p>
    <w:p w14:paraId="16B2810C"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10 </w:t>
      </w:r>
      <w:r w:rsidRPr="008A5B5E">
        <w:rPr>
          <w:rFonts w:ascii="Book Antiqua" w:eastAsia="Book Antiqua" w:hAnsi="Book Antiqua" w:cs="Book Antiqua"/>
          <w:b/>
          <w:bCs/>
        </w:rPr>
        <w:t>Bener A</w:t>
      </w:r>
      <w:r w:rsidRPr="008A5B5E">
        <w:rPr>
          <w:rFonts w:ascii="Book Antiqua" w:eastAsia="Book Antiqua" w:hAnsi="Book Antiqua" w:cs="Book Antiqua"/>
        </w:rPr>
        <w:t xml:space="preserve">, Ağan AF, Al-Hamaq AOAA, Barisik CC, Öztürk M, Ömer A. Prevalence of Helicobacter pylori Infection among Type 2 Diabetes Mellitus. </w:t>
      </w:r>
      <w:r w:rsidRPr="008A5B5E">
        <w:rPr>
          <w:rFonts w:ascii="Book Antiqua" w:eastAsia="Book Antiqua" w:hAnsi="Book Antiqua" w:cs="Book Antiqua"/>
          <w:i/>
          <w:iCs/>
        </w:rPr>
        <w:t>Adv Biomed Res</w:t>
      </w:r>
      <w:r w:rsidRPr="008A5B5E">
        <w:rPr>
          <w:rFonts w:ascii="Book Antiqua" w:eastAsia="Book Antiqua" w:hAnsi="Book Antiqua" w:cs="Book Antiqua"/>
        </w:rPr>
        <w:t xml:space="preserve"> 2020; </w:t>
      </w:r>
      <w:r w:rsidRPr="008A5B5E">
        <w:rPr>
          <w:rFonts w:ascii="Book Antiqua" w:eastAsia="Book Antiqua" w:hAnsi="Book Antiqua" w:cs="Book Antiqua"/>
          <w:b/>
          <w:bCs/>
        </w:rPr>
        <w:t>9</w:t>
      </w:r>
      <w:r w:rsidRPr="008A5B5E">
        <w:rPr>
          <w:rFonts w:ascii="Book Antiqua" w:eastAsia="Book Antiqua" w:hAnsi="Book Antiqua" w:cs="Book Antiqua"/>
        </w:rPr>
        <w:t>: 27 [PMID: 33072639 DOI: 10.4103/abr.abr_248_19]</w:t>
      </w:r>
    </w:p>
    <w:p w14:paraId="590D721D"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11 </w:t>
      </w:r>
      <w:r w:rsidRPr="008A5B5E">
        <w:rPr>
          <w:rFonts w:ascii="Book Antiqua" w:eastAsia="Book Antiqua" w:hAnsi="Book Antiqua" w:cs="Book Antiqua"/>
          <w:b/>
          <w:bCs/>
        </w:rPr>
        <w:t>Yao CC</w:t>
      </w:r>
      <w:r w:rsidRPr="008A5B5E">
        <w:rPr>
          <w:rFonts w:ascii="Book Antiqua" w:eastAsia="Book Antiqua" w:hAnsi="Book Antiqua" w:cs="Book Antiqua"/>
        </w:rPr>
        <w:t xml:space="preserve">, Kuo CM, Hsu CN, Yang SC, Wu CK, Tai WC, Liang CM, Wu KL, Huang CF, Bi KW, Lee CH, Chuah SK. First-line Helicobacter pylori eradication rates are significantly lower in patients with than those without type 2 diabetes mellitus. </w:t>
      </w:r>
      <w:r w:rsidRPr="008A5B5E">
        <w:rPr>
          <w:rFonts w:ascii="Book Antiqua" w:eastAsia="Book Antiqua" w:hAnsi="Book Antiqua" w:cs="Book Antiqua"/>
          <w:i/>
          <w:iCs/>
        </w:rPr>
        <w:t>Infect Drug Resist</w:t>
      </w:r>
      <w:r w:rsidRPr="008A5B5E">
        <w:rPr>
          <w:rFonts w:ascii="Book Antiqua" w:eastAsia="Book Antiqua" w:hAnsi="Book Antiqua" w:cs="Book Antiqua"/>
        </w:rPr>
        <w:t xml:space="preserve"> 2019; </w:t>
      </w:r>
      <w:r w:rsidRPr="008A5B5E">
        <w:rPr>
          <w:rFonts w:ascii="Book Antiqua" w:eastAsia="Book Antiqua" w:hAnsi="Book Antiqua" w:cs="Book Antiqua"/>
          <w:b/>
          <w:bCs/>
        </w:rPr>
        <w:t>12</w:t>
      </w:r>
      <w:r w:rsidRPr="008A5B5E">
        <w:rPr>
          <w:rFonts w:ascii="Book Antiqua" w:eastAsia="Book Antiqua" w:hAnsi="Book Antiqua" w:cs="Book Antiqua"/>
        </w:rPr>
        <w:t>: 1425-1431 [PMID: 31239721 DOI: 10.2147/IDR.S194584]</w:t>
      </w:r>
    </w:p>
    <w:p w14:paraId="73DFAAAF"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lastRenderedPageBreak/>
        <w:t xml:space="preserve">12 </w:t>
      </w:r>
      <w:r w:rsidRPr="008A5B5E">
        <w:rPr>
          <w:rFonts w:ascii="Book Antiqua" w:eastAsia="Book Antiqua" w:hAnsi="Book Antiqua" w:cs="Book Antiqua"/>
          <w:b/>
          <w:bCs/>
        </w:rPr>
        <w:t>Song X</w:t>
      </w:r>
      <w:r w:rsidRPr="008A5B5E">
        <w:rPr>
          <w:rFonts w:ascii="Book Antiqua" w:eastAsia="Book Antiqua" w:hAnsi="Book Antiqua" w:cs="Book Antiqua"/>
        </w:rPr>
        <w:t xml:space="preserve">, Cai C, Jin Q, Chen X, Yu C. The efficacy of Helicobacter pylori eradication in diabetics and its effect on glycemic control: A systematic review and meta-analysis. </w:t>
      </w:r>
      <w:r w:rsidRPr="008A5B5E">
        <w:rPr>
          <w:rFonts w:ascii="Book Antiqua" w:eastAsia="Book Antiqua" w:hAnsi="Book Antiqua" w:cs="Book Antiqua"/>
          <w:i/>
          <w:iCs/>
        </w:rPr>
        <w:t>Helicobacter</w:t>
      </w:r>
      <w:r w:rsidRPr="008A5B5E">
        <w:rPr>
          <w:rFonts w:ascii="Book Antiqua" w:eastAsia="Book Antiqua" w:hAnsi="Book Antiqua" w:cs="Book Antiqua"/>
        </w:rPr>
        <w:t xml:space="preserve"> 2021; </w:t>
      </w:r>
      <w:r w:rsidRPr="008A5B5E">
        <w:rPr>
          <w:rFonts w:ascii="Book Antiqua" w:eastAsia="Book Antiqua" w:hAnsi="Book Antiqua" w:cs="Book Antiqua"/>
          <w:b/>
          <w:bCs/>
        </w:rPr>
        <w:t>26</w:t>
      </w:r>
      <w:r w:rsidRPr="008A5B5E">
        <w:rPr>
          <w:rFonts w:ascii="Book Antiqua" w:eastAsia="Book Antiqua" w:hAnsi="Book Antiqua" w:cs="Book Antiqua"/>
        </w:rPr>
        <w:t>: e12781 [PMID: 33465265 DOI: 10.1111/hel.12781]</w:t>
      </w:r>
    </w:p>
    <w:p w14:paraId="66A3E7D8"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13 </w:t>
      </w:r>
      <w:r w:rsidRPr="008A5B5E">
        <w:rPr>
          <w:rFonts w:ascii="Book Antiqua" w:eastAsia="Book Antiqua" w:hAnsi="Book Antiqua" w:cs="Book Antiqua"/>
          <w:b/>
          <w:bCs/>
        </w:rPr>
        <w:t>Thai TD</w:t>
      </w:r>
      <w:r w:rsidRPr="008A5B5E">
        <w:rPr>
          <w:rFonts w:ascii="Book Antiqua" w:eastAsia="Book Antiqua" w:hAnsi="Book Antiqua" w:cs="Book Antiqua"/>
        </w:rPr>
        <w:t xml:space="preserve">, Chuenchom C, Donsa W, Faksri K, Sripa B, Edwards SW, Salao K. Helicobacter pylori extract induces purified neutrophils to produce reactive oxygen species only in the presence of plasma. </w:t>
      </w:r>
      <w:r w:rsidRPr="008A5B5E">
        <w:rPr>
          <w:rFonts w:ascii="Book Antiqua" w:eastAsia="Book Antiqua" w:hAnsi="Book Antiqua" w:cs="Book Antiqua"/>
          <w:i/>
          <w:iCs/>
        </w:rPr>
        <w:t>Biomed Rep</w:t>
      </w:r>
      <w:r w:rsidRPr="008A5B5E">
        <w:rPr>
          <w:rFonts w:ascii="Book Antiqua" w:eastAsia="Book Antiqua" w:hAnsi="Book Antiqua" w:cs="Book Antiqua"/>
        </w:rPr>
        <w:t xml:space="preserve"> 2023; </w:t>
      </w:r>
      <w:r w:rsidRPr="008A5B5E">
        <w:rPr>
          <w:rFonts w:ascii="Book Antiqua" w:eastAsia="Book Antiqua" w:hAnsi="Book Antiqua" w:cs="Book Antiqua"/>
          <w:b/>
          <w:bCs/>
        </w:rPr>
        <w:t>19</w:t>
      </w:r>
      <w:r w:rsidRPr="008A5B5E">
        <w:rPr>
          <w:rFonts w:ascii="Book Antiqua" w:eastAsia="Book Antiqua" w:hAnsi="Book Antiqua" w:cs="Book Antiqua"/>
        </w:rPr>
        <w:t>: 89 [PMID: 37901879 DOI: 10.3892/br.2023.1671]</w:t>
      </w:r>
    </w:p>
    <w:p w14:paraId="39023571"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14 </w:t>
      </w:r>
      <w:r w:rsidRPr="008A5B5E">
        <w:rPr>
          <w:rFonts w:ascii="Book Antiqua" w:eastAsia="Book Antiqua" w:hAnsi="Book Antiqua" w:cs="Book Antiqua"/>
          <w:b/>
          <w:bCs/>
        </w:rPr>
        <w:t>Han L</w:t>
      </w:r>
      <w:r w:rsidRPr="008A5B5E">
        <w:rPr>
          <w:rFonts w:ascii="Book Antiqua" w:eastAsia="Book Antiqua" w:hAnsi="Book Antiqua" w:cs="Book Antiqua"/>
        </w:rPr>
        <w:t xml:space="preserve">, Shu X, Wang J. Helicobacter pylori-Mediated Oxidative Stress and Gastric Diseases: A Review. </w:t>
      </w:r>
      <w:r w:rsidRPr="008A5B5E">
        <w:rPr>
          <w:rFonts w:ascii="Book Antiqua" w:eastAsia="Book Antiqua" w:hAnsi="Book Antiqua" w:cs="Book Antiqua"/>
          <w:i/>
          <w:iCs/>
        </w:rPr>
        <w:t>Front Microbiol</w:t>
      </w:r>
      <w:r w:rsidRPr="008A5B5E">
        <w:rPr>
          <w:rFonts w:ascii="Book Antiqua" w:eastAsia="Book Antiqua" w:hAnsi="Book Antiqua" w:cs="Book Antiqua"/>
        </w:rPr>
        <w:t xml:space="preserve"> 2022; </w:t>
      </w:r>
      <w:r w:rsidRPr="008A5B5E">
        <w:rPr>
          <w:rFonts w:ascii="Book Antiqua" w:eastAsia="Book Antiqua" w:hAnsi="Book Antiqua" w:cs="Book Antiqua"/>
          <w:b/>
          <w:bCs/>
        </w:rPr>
        <w:t>13</w:t>
      </w:r>
      <w:r w:rsidRPr="008A5B5E">
        <w:rPr>
          <w:rFonts w:ascii="Book Antiqua" w:eastAsia="Book Antiqua" w:hAnsi="Book Antiqua" w:cs="Book Antiqua"/>
        </w:rPr>
        <w:t>: 811258 [PMID: 35211104 DOI: 10.3389/fmicb.2022.811258]</w:t>
      </w:r>
    </w:p>
    <w:p w14:paraId="24C90014"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15 </w:t>
      </w:r>
      <w:r w:rsidRPr="008A5B5E">
        <w:rPr>
          <w:rFonts w:ascii="Book Antiqua" w:eastAsia="Book Antiqua" w:hAnsi="Book Antiqua" w:cs="Book Antiqua"/>
          <w:b/>
          <w:bCs/>
        </w:rPr>
        <w:t>Wu YY</w:t>
      </w:r>
      <w:r w:rsidRPr="008A5B5E">
        <w:rPr>
          <w:rFonts w:ascii="Book Antiqua" w:eastAsia="Book Antiqua" w:hAnsi="Book Antiqua" w:cs="Book Antiqua"/>
        </w:rPr>
        <w:t xml:space="preserve">, Hsieh CT, Tsay GJ, Kao JT, Chiu YM, Shieh DC, Lee YJ. Recruitment of CCR6(+ ) Foxp3(+) regulatory gastric infiltrating lymphocytes in Helicobacter pylori gastritis. </w:t>
      </w:r>
      <w:r w:rsidRPr="008A5B5E">
        <w:rPr>
          <w:rFonts w:ascii="Book Antiqua" w:eastAsia="Book Antiqua" w:hAnsi="Book Antiqua" w:cs="Book Antiqua"/>
          <w:i/>
          <w:iCs/>
        </w:rPr>
        <w:t>Helicobacter</w:t>
      </w:r>
      <w:r w:rsidRPr="008A5B5E">
        <w:rPr>
          <w:rFonts w:ascii="Book Antiqua" w:eastAsia="Book Antiqua" w:hAnsi="Book Antiqua" w:cs="Book Antiqua"/>
        </w:rPr>
        <w:t xml:space="preserve"> 2019; </w:t>
      </w:r>
      <w:r w:rsidRPr="008A5B5E">
        <w:rPr>
          <w:rFonts w:ascii="Book Antiqua" w:eastAsia="Book Antiqua" w:hAnsi="Book Antiqua" w:cs="Book Antiqua"/>
          <w:b/>
          <w:bCs/>
        </w:rPr>
        <w:t>24</w:t>
      </w:r>
      <w:r w:rsidRPr="008A5B5E">
        <w:rPr>
          <w:rFonts w:ascii="Book Antiqua" w:eastAsia="Book Antiqua" w:hAnsi="Book Antiqua" w:cs="Book Antiqua"/>
        </w:rPr>
        <w:t>: e12550 [PMID: 30412323 DOI: 10.1111/hel.12550]</w:t>
      </w:r>
    </w:p>
    <w:p w14:paraId="4E14B271"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16 </w:t>
      </w:r>
      <w:r w:rsidRPr="008A5B5E">
        <w:rPr>
          <w:rFonts w:ascii="Book Antiqua" w:eastAsia="Book Antiqua" w:hAnsi="Book Antiqua" w:cs="Book Antiqua"/>
          <w:b/>
          <w:bCs/>
        </w:rPr>
        <w:t>Zhou X</w:t>
      </w:r>
      <w:r w:rsidRPr="008A5B5E">
        <w:rPr>
          <w:rFonts w:ascii="Book Antiqua" w:eastAsia="Book Antiqua" w:hAnsi="Book Antiqua" w:cs="Book Antiqua"/>
        </w:rPr>
        <w:t xml:space="preserve">, Liu W, Gu M, Zhou H, Zhang G. Helicobacter pylori infection causes hepatic insulin resistance by the c-Jun/miR-203/SOCS3 signaling pathway. </w:t>
      </w:r>
      <w:r w:rsidRPr="008A5B5E">
        <w:rPr>
          <w:rFonts w:ascii="Book Antiqua" w:eastAsia="Book Antiqua" w:hAnsi="Book Antiqua" w:cs="Book Antiqua"/>
          <w:i/>
          <w:iCs/>
        </w:rPr>
        <w:t>J Gastroenterol</w:t>
      </w:r>
      <w:r w:rsidRPr="008A5B5E">
        <w:rPr>
          <w:rFonts w:ascii="Book Antiqua" w:eastAsia="Book Antiqua" w:hAnsi="Book Antiqua" w:cs="Book Antiqua"/>
        </w:rPr>
        <w:t xml:space="preserve"> 2015; </w:t>
      </w:r>
      <w:r w:rsidRPr="008A5B5E">
        <w:rPr>
          <w:rFonts w:ascii="Book Antiqua" w:eastAsia="Book Antiqua" w:hAnsi="Book Antiqua" w:cs="Book Antiqua"/>
          <w:b/>
          <w:bCs/>
        </w:rPr>
        <w:t>50</w:t>
      </w:r>
      <w:r w:rsidRPr="008A5B5E">
        <w:rPr>
          <w:rFonts w:ascii="Book Antiqua" w:eastAsia="Book Antiqua" w:hAnsi="Book Antiqua" w:cs="Book Antiqua"/>
        </w:rPr>
        <w:t>: 1027-1040 [PMID: 25689935 DOI: 10.1007/s00535-015-1051-6]</w:t>
      </w:r>
    </w:p>
    <w:p w14:paraId="0B0E7537"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17 </w:t>
      </w:r>
      <w:r w:rsidRPr="008A5B5E">
        <w:rPr>
          <w:rFonts w:ascii="Book Antiqua" w:eastAsia="Book Antiqua" w:hAnsi="Book Antiqua" w:cs="Book Antiqua"/>
          <w:b/>
          <w:bCs/>
        </w:rPr>
        <w:t>Martin-Nuñez GM</w:t>
      </w:r>
      <w:r w:rsidRPr="008A5B5E">
        <w:rPr>
          <w:rFonts w:ascii="Book Antiqua" w:eastAsia="Book Antiqua" w:hAnsi="Book Antiqua" w:cs="Book Antiqua"/>
        </w:rPr>
        <w:t xml:space="preserve">, Cornejo-Pareja I, Clemente-Postigo M, Tinahones FJ. Gut Microbiota: The Missing Link Between Helicobacter pylori Infection and Metabolic Disorders? </w:t>
      </w:r>
      <w:r w:rsidRPr="008A5B5E">
        <w:rPr>
          <w:rFonts w:ascii="Book Antiqua" w:eastAsia="Book Antiqua" w:hAnsi="Book Antiqua" w:cs="Book Antiqua"/>
          <w:i/>
          <w:iCs/>
        </w:rPr>
        <w:t>Front Endocrinol (Lausanne)</w:t>
      </w:r>
      <w:r w:rsidRPr="008A5B5E">
        <w:rPr>
          <w:rFonts w:ascii="Book Antiqua" w:eastAsia="Book Antiqua" w:hAnsi="Book Antiqua" w:cs="Book Antiqua"/>
        </w:rPr>
        <w:t xml:space="preserve"> 2021; </w:t>
      </w:r>
      <w:r w:rsidRPr="008A5B5E">
        <w:rPr>
          <w:rFonts w:ascii="Book Antiqua" w:eastAsia="Book Antiqua" w:hAnsi="Book Antiqua" w:cs="Book Antiqua"/>
          <w:b/>
          <w:bCs/>
        </w:rPr>
        <w:t>12</w:t>
      </w:r>
      <w:r w:rsidRPr="008A5B5E">
        <w:rPr>
          <w:rFonts w:ascii="Book Antiqua" w:eastAsia="Book Antiqua" w:hAnsi="Book Antiqua" w:cs="Book Antiqua"/>
        </w:rPr>
        <w:t>: 639856 [PMID: 34220702 DOI: 10.3389/fendo.2021.639856]</w:t>
      </w:r>
    </w:p>
    <w:p w14:paraId="44B3827E"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18 </w:t>
      </w:r>
      <w:r w:rsidRPr="008A5B5E">
        <w:rPr>
          <w:rFonts w:ascii="Book Antiqua" w:eastAsia="Book Antiqua" w:hAnsi="Book Antiqua" w:cs="Book Antiqua"/>
          <w:b/>
          <w:bCs/>
        </w:rPr>
        <w:t>Pfeifer SP</w:t>
      </w:r>
      <w:r w:rsidRPr="008A5B5E">
        <w:rPr>
          <w:rFonts w:ascii="Book Antiqua" w:eastAsia="Book Antiqua" w:hAnsi="Book Antiqua" w:cs="Book Antiqua"/>
        </w:rPr>
        <w:t xml:space="preserve">. From next-generation resequencing reads to a high-quality variant data set. </w:t>
      </w:r>
      <w:r w:rsidRPr="008A5B5E">
        <w:rPr>
          <w:rFonts w:ascii="Book Antiqua" w:eastAsia="Book Antiqua" w:hAnsi="Book Antiqua" w:cs="Book Antiqua"/>
          <w:i/>
          <w:iCs/>
        </w:rPr>
        <w:t>Heredity (Edinb)</w:t>
      </w:r>
      <w:r w:rsidRPr="008A5B5E">
        <w:rPr>
          <w:rFonts w:ascii="Book Antiqua" w:eastAsia="Book Antiqua" w:hAnsi="Book Antiqua" w:cs="Book Antiqua"/>
        </w:rPr>
        <w:t xml:space="preserve"> 2017; </w:t>
      </w:r>
      <w:r w:rsidRPr="008A5B5E">
        <w:rPr>
          <w:rFonts w:ascii="Book Antiqua" w:eastAsia="Book Antiqua" w:hAnsi="Book Antiqua" w:cs="Book Antiqua"/>
          <w:b/>
          <w:bCs/>
        </w:rPr>
        <w:t>118</w:t>
      </w:r>
      <w:r w:rsidRPr="008A5B5E">
        <w:rPr>
          <w:rFonts w:ascii="Book Antiqua" w:eastAsia="Book Antiqua" w:hAnsi="Book Antiqua" w:cs="Book Antiqua"/>
        </w:rPr>
        <w:t>: 111-124 [PMID: 27759079 DOI: 10.1038/hdy.2016.102]</w:t>
      </w:r>
    </w:p>
    <w:p w14:paraId="35A1E880"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19 </w:t>
      </w:r>
      <w:r w:rsidRPr="008A5B5E">
        <w:rPr>
          <w:rFonts w:ascii="Book Antiqua" w:eastAsia="Book Antiqua" w:hAnsi="Book Antiqua" w:cs="Book Antiqua"/>
          <w:b/>
          <w:bCs/>
        </w:rPr>
        <w:t>Davis S</w:t>
      </w:r>
      <w:r w:rsidRPr="008A5B5E">
        <w:rPr>
          <w:rFonts w:ascii="Book Antiqua" w:eastAsia="Book Antiqua" w:hAnsi="Book Antiqua" w:cs="Book Antiqua"/>
        </w:rPr>
        <w:t xml:space="preserve">, Meltzer PS. GEOquery: a bridge between the Gene Expression Omnibus (GEO) and BioConductor. </w:t>
      </w:r>
      <w:r w:rsidRPr="008A5B5E">
        <w:rPr>
          <w:rFonts w:ascii="Book Antiqua" w:eastAsia="Book Antiqua" w:hAnsi="Book Antiqua" w:cs="Book Antiqua"/>
          <w:i/>
          <w:iCs/>
        </w:rPr>
        <w:t>Bioinformatics</w:t>
      </w:r>
      <w:r w:rsidRPr="008A5B5E">
        <w:rPr>
          <w:rFonts w:ascii="Book Antiqua" w:eastAsia="Book Antiqua" w:hAnsi="Book Antiqua" w:cs="Book Antiqua"/>
        </w:rPr>
        <w:t xml:space="preserve"> 2007; </w:t>
      </w:r>
      <w:r w:rsidRPr="008A5B5E">
        <w:rPr>
          <w:rFonts w:ascii="Book Antiqua" w:eastAsia="Book Antiqua" w:hAnsi="Book Antiqua" w:cs="Book Antiqua"/>
          <w:b/>
          <w:bCs/>
        </w:rPr>
        <w:t>23</w:t>
      </w:r>
      <w:r w:rsidRPr="008A5B5E">
        <w:rPr>
          <w:rFonts w:ascii="Book Antiqua" w:eastAsia="Book Antiqua" w:hAnsi="Book Antiqua" w:cs="Book Antiqua"/>
        </w:rPr>
        <w:t>: 1846-1847 [PMID: 17496320 DOI: 10.1093/bioinformatics/btm</w:t>
      </w:r>
      <w:r w:rsidRPr="008A5B5E">
        <w:rPr>
          <w:rFonts w:ascii="Book Antiqua" w:eastAsia="Book Antiqua" w:hAnsi="Book Antiqua" w:cs="Book Antiqua"/>
          <w:vertAlign w:val="superscript"/>
        </w:rPr>
        <w:t>2</w:t>
      </w:r>
      <w:r w:rsidRPr="008A5B5E">
        <w:rPr>
          <w:rFonts w:ascii="Book Antiqua" w:eastAsia="Book Antiqua" w:hAnsi="Book Antiqua" w:cs="Book Antiqua"/>
        </w:rPr>
        <w:t>54]</w:t>
      </w:r>
    </w:p>
    <w:p w14:paraId="1F615057"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20 </w:t>
      </w:r>
      <w:r w:rsidRPr="008A5B5E">
        <w:rPr>
          <w:rFonts w:ascii="Book Antiqua" w:eastAsia="Book Antiqua" w:hAnsi="Book Antiqua" w:cs="Book Antiqua"/>
          <w:b/>
          <w:bCs/>
        </w:rPr>
        <w:t>Sufyan M</w:t>
      </w:r>
      <w:r w:rsidRPr="008A5B5E">
        <w:rPr>
          <w:rFonts w:ascii="Book Antiqua" w:eastAsia="Book Antiqua" w:hAnsi="Book Antiqua" w:cs="Book Antiqua"/>
        </w:rPr>
        <w:t xml:space="preserve">, Ali Ashfaq U, Ahmad S, Noor F, Hamzah Saleem M, Farhan Aslam M, El-Serehy HA, Aslam S. Identifying key genes and screening therapeutic agents associated with diabetes mellitus and HCV-related hepatocellular carcinoma by bioinformatics </w:t>
      </w:r>
      <w:r w:rsidRPr="008A5B5E">
        <w:rPr>
          <w:rFonts w:ascii="Book Antiqua" w:eastAsia="Book Antiqua" w:hAnsi="Book Antiqua" w:cs="Book Antiqua"/>
        </w:rPr>
        <w:lastRenderedPageBreak/>
        <w:t xml:space="preserve">analysis. </w:t>
      </w:r>
      <w:r w:rsidRPr="008A5B5E">
        <w:rPr>
          <w:rFonts w:ascii="Book Antiqua" w:eastAsia="Book Antiqua" w:hAnsi="Book Antiqua" w:cs="Book Antiqua"/>
          <w:i/>
          <w:iCs/>
        </w:rPr>
        <w:t>Saudi J Biol Sci</w:t>
      </w:r>
      <w:r w:rsidRPr="008A5B5E">
        <w:rPr>
          <w:rFonts w:ascii="Book Antiqua" w:eastAsia="Book Antiqua" w:hAnsi="Book Antiqua" w:cs="Book Antiqua"/>
        </w:rPr>
        <w:t xml:space="preserve"> 2021; </w:t>
      </w:r>
      <w:r w:rsidRPr="008A5B5E">
        <w:rPr>
          <w:rFonts w:ascii="Book Antiqua" w:eastAsia="Book Antiqua" w:hAnsi="Book Antiqua" w:cs="Book Antiqua"/>
          <w:b/>
          <w:bCs/>
        </w:rPr>
        <w:t>28</w:t>
      </w:r>
      <w:r w:rsidRPr="008A5B5E">
        <w:rPr>
          <w:rFonts w:ascii="Book Antiqua" w:eastAsia="Book Antiqua" w:hAnsi="Book Antiqua" w:cs="Book Antiqua"/>
        </w:rPr>
        <w:t>: 5518-5525 [PMID: 34588861 DOI: 10.1016/j.sjbs.2021.07.068]</w:t>
      </w:r>
    </w:p>
    <w:p w14:paraId="7353EB46"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21 </w:t>
      </w:r>
      <w:r w:rsidRPr="008A5B5E">
        <w:rPr>
          <w:rFonts w:ascii="Book Antiqua" w:eastAsia="Book Antiqua" w:hAnsi="Book Antiqua" w:cs="Book Antiqua"/>
          <w:b/>
          <w:bCs/>
        </w:rPr>
        <w:t>Huang DW</w:t>
      </w:r>
      <w:r w:rsidRPr="008A5B5E">
        <w:rPr>
          <w:rFonts w:ascii="Book Antiqua" w:eastAsia="Book Antiqua" w:hAnsi="Book Antiqua" w:cs="Book Antiqua"/>
        </w:rPr>
        <w:t xml:space="preserve">, Sherman BT, Tan Q, Collins JR, Alvord WG, Roayaei J, Stephens R, Baseler MW, Lane HC, Lempicki RA. The DAVID Gene Functional Classification Tool: a novel biological module-centric algorithm to functionally analyze large gene lists. </w:t>
      </w:r>
      <w:r w:rsidRPr="008A5B5E">
        <w:rPr>
          <w:rFonts w:ascii="Book Antiqua" w:eastAsia="Book Antiqua" w:hAnsi="Book Antiqua" w:cs="Book Antiqua"/>
          <w:i/>
          <w:iCs/>
        </w:rPr>
        <w:t>Genome Biol</w:t>
      </w:r>
      <w:r w:rsidRPr="008A5B5E">
        <w:rPr>
          <w:rFonts w:ascii="Book Antiqua" w:eastAsia="Book Antiqua" w:hAnsi="Book Antiqua" w:cs="Book Antiqua"/>
        </w:rPr>
        <w:t xml:space="preserve"> 2007; </w:t>
      </w:r>
      <w:r w:rsidRPr="008A5B5E">
        <w:rPr>
          <w:rFonts w:ascii="Book Antiqua" w:eastAsia="Book Antiqua" w:hAnsi="Book Antiqua" w:cs="Book Antiqua"/>
          <w:b/>
          <w:bCs/>
        </w:rPr>
        <w:t>8</w:t>
      </w:r>
      <w:r w:rsidRPr="008A5B5E">
        <w:rPr>
          <w:rFonts w:ascii="Book Antiqua" w:eastAsia="Book Antiqua" w:hAnsi="Book Antiqua" w:cs="Book Antiqua"/>
        </w:rPr>
        <w:t>: R183 [PMID: 17784955 DOI: 10.1186/gb-2007-8-9-r183]</w:t>
      </w:r>
    </w:p>
    <w:p w14:paraId="7575DC2E"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22 </w:t>
      </w:r>
      <w:r w:rsidRPr="008A5B5E">
        <w:rPr>
          <w:rFonts w:ascii="Book Antiqua" w:eastAsia="Book Antiqua" w:hAnsi="Book Antiqua" w:cs="Book Antiqua"/>
          <w:b/>
          <w:bCs/>
        </w:rPr>
        <w:t>Rosandić M</w:t>
      </w:r>
      <w:r w:rsidRPr="008A5B5E">
        <w:rPr>
          <w:rFonts w:ascii="Book Antiqua" w:eastAsia="Book Antiqua" w:hAnsi="Book Antiqua" w:cs="Book Antiqua"/>
        </w:rPr>
        <w:t xml:space="preserve">, Paar V, Gluncić M, Basar I, Pavin N. Key-string algorithm--novel approach to computational analysis of repetitive sequences in human centromeric DNA. </w:t>
      </w:r>
      <w:r w:rsidRPr="008A5B5E">
        <w:rPr>
          <w:rFonts w:ascii="Book Antiqua" w:eastAsia="Book Antiqua" w:hAnsi="Book Antiqua" w:cs="Book Antiqua"/>
          <w:i/>
          <w:iCs/>
        </w:rPr>
        <w:t>Croat Med J</w:t>
      </w:r>
      <w:r w:rsidRPr="008A5B5E">
        <w:rPr>
          <w:rFonts w:ascii="Book Antiqua" w:eastAsia="Book Antiqua" w:hAnsi="Book Antiqua" w:cs="Book Antiqua"/>
        </w:rPr>
        <w:t xml:space="preserve"> 2003; </w:t>
      </w:r>
      <w:r w:rsidRPr="008A5B5E">
        <w:rPr>
          <w:rFonts w:ascii="Book Antiqua" w:eastAsia="Book Antiqua" w:hAnsi="Book Antiqua" w:cs="Book Antiqua"/>
          <w:b/>
          <w:bCs/>
        </w:rPr>
        <w:t>44</w:t>
      </w:r>
      <w:r w:rsidRPr="008A5B5E">
        <w:rPr>
          <w:rFonts w:ascii="Book Antiqua" w:eastAsia="Book Antiqua" w:hAnsi="Book Antiqua" w:cs="Book Antiqua"/>
        </w:rPr>
        <w:t>: 386-406 [PMID: 12950141]</w:t>
      </w:r>
    </w:p>
    <w:p w14:paraId="458CC560"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23 </w:t>
      </w:r>
      <w:r w:rsidRPr="008A5B5E">
        <w:rPr>
          <w:rFonts w:ascii="Book Antiqua" w:eastAsia="Book Antiqua" w:hAnsi="Book Antiqua" w:cs="Book Antiqua"/>
          <w:b/>
          <w:bCs/>
        </w:rPr>
        <w:t>Liu S</w:t>
      </w:r>
      <w:r w:rsidRPr="008A5B5E">
        <w:rPr>
          <w:rFonts w:ascii="Book Antiqua" w:eastAsia="Book Antiqua" w:hAnsi="Book Antiqua" w:cs="Book Antiqua"/>
        </w:rPr>
        <w:t xml:space="preserve">, Ren W, Yu J, Li C, Tang S. Identification of Hub Genes Associated with Diabetes Mellitus and Tuberculosis Using Bioinformatic Analysis. </w:t>
      </w:r>
      <w:r w:rsidRPr="008A5B5E">
        <w:rPr>
          <w:rFonts w:ascii="Book Antiqua" w:eastAsia="Book Antiqua" w:hAnsi="Book Antiqua" w:cs="Book Antiqua"/>
          <w:i/>
          <w:iCs/>
        </w:rPr>
        <w:t>Int J Gen Med</w:t>
      </w:r>
      <w:r w:rsidRPr="008A5B5E">
        <w:rPr>
          <w:rFonts w:ascii="Book Antiqua" w:eastAsia="Book Antiqua" w:hAnsi="Book Antiqua" w:cs="Book Antiqua"/>
        </w:rPr>
        <w:t xml:space="preserve"> 2021; </w:t>
      </w:r>
      <w:r w:rsidRPr="008A5B5E">
        <w:rPr>
          <w:rFonts w:ascii="Book Antiqua" w:eastAsia="Book Antiqua" w:hAnsi="Book Antiqua" w:cs="Book Antiqua"/>
          <w:b/>
          <w:bCs/>
        </w:rPr>
        <w:t>14</w:t>
      </w:r>
      <w:r w:rsidRPr="008A5B5E">
        <w:rPr>
          <w:rFonts w:ascii="Book Antiqua" w:eastAsia="Book Antiqua" w:hAnsi="Book Antiqua" w:cs="Book Antiqua"/>
        </w:rPr>
        <w:t>: 4061-4072 [PMID: 34354368 DOI: 10.2147/IJGM.S318071]</w:t>
      </w:r>
    </w:p>
    <w:p w14:paraId="447CC6AC"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24 </w:t>
      </w:r>
      <w:r w:rsidRPr="008A5B5E">
        <w:rPr>
          <w:rFonts w:ascii="Book Antiqua" w:eastAsia="Book Antiqua" w:hAnsi="Book Antiqua" w:cs="Book Antiqua"/>
          <w:b/>
          <w:bCs/>
        </w:rPr>
        <w:t>Wang Y</w:t>
      </w:r>
      <w:r w:rsidRPr="008A5B5E">
        <w:rPr>
          <w:rFonts w:ascii="Book Antiqua" w:eastAsia="Book Antiqua" w:hAnsi="Book Antiqua" w:cs="Book Antiqua"/>
        </w:rPr>
        <w:t xml:space="preserve">, Zhao M, Zhang Y. Identification of fibronectin 1 (FN1) and complement component 3 (C3) as immune infiltration-related biomarkers for diabetic nephropathy using integrated bioinformatic analysis. </w:t>
      </w:r>
      <w:r w:rsidRPr="008A5B5E">
        <w:rPr>
          <w:rFonts w:ascii="Book Antiqua" w:eastAsia="Book Antiqua" w:hAnsi="Book Antiqua" w:cs="Book Antiqua"/>
          <w:i/>
          <w:iCs/>
        </w:rPr>
        <w:t>Bioengineered</w:t>
      </w:r>
      <w:r w:rsidRPr="008A5B5E">
        <w:rPr>
          <w:rFonts w:ascii="Book Antiqua" w:eastAsia="Book Antiqua" w:hAnsi="Book Antiqua" w:cs="Book Antiqua"/>
        </w:rPr>
        <w:t xml:space="preserve"> 2021; </w:t>
      </w:r>
      <w:r w:rsidRPr="008A5B5E">
        <w:rPr>
          <w:rFonts w:ascii="Book Antiqua" w:eastAsia="Book Antiqua" w:hAnsi="Book Antiqua" w:cs="Book Antiqua"/>
          <w:b/>
          <w:bCs/>
        </w:rPr>
        <w:t>12</w:t>
      </w:r>
      <w:r w:rsidRPr="008A5B5E">
        <w:rPr>
          <w:rFonts w:ascii="Book Antiqua" w:eastAsia="Book Antiqua" w:hAnsi="Book Antiqua" w:cs="Book Antiqua"/>
        </w:rPr>
        <w:t>: 5386-5401 [PMID: 34424825 DOI: 10.1080/21655979.2021.1960766]</w:t>
      </w:r>
    </w:p>
    <w:p w14:paraId="01DE8350"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25 </w:t>
      </w:r>
      <w:r w:rsidRPr="008A5B5E">
        <w:rPr>
          <w:rFonts w:ascii="Book Antiqua" w:eastAsia="Book Antiqua" w:hAnsi="Book Antiqua" w:cs="Book Antiqua"/>
          <w:b/>
          <w:bCs/>
        </w:rPr>
        <w:t>Stolte M</w:t>
      </w:r>
      <w:r w:rsidRPr="008A5B5E">
        <w:rPr>
          <w:rFonts w:ascii="Book Antiqua" w:eastAsia="Book Antiqua" w:hAnsi="Book Antiqua" w:cs="Book Antiqua"/>
        </w:rPr>
        <w:t xml:space="preserve">, Meining A. The updated Sydney system: classification and grading of gastritis as the basis of diagnosis and treatment. </w:t>
      </w:r>
      <w:r w:rsidRPr="008A5B5E">
        <w:rPr>
          <w:rFonts w:ascii="Book Antiqua" w:eastAsia="Book Antiqua" w:hAnsi="Book Antiqua" w:cs="Book Antiqua"/>
          <w:i/>
          <w:iCs/>
        </w:rPr>
        <w:t>Can J Gastroenterol</w:t>
      </w:r>
      <w:r w:rsidRPr="008A5B5E">
        <w:rPr>
          <w:rFonts w:ascii="Book Antiqua" w:eastAsia="Book Antiqua" w:hAnsi="Book Antiqua" w:cs="Book Antiqua"/>
        </w:rPr>
        <w:t xml:space="preserve"> 2001; </w:t>
      </w:r>
      <w:r w:rsidRPr="008A5B5E">
        <w:rPr>
          <w:rFonts w:ascii="Book Antiqua" w:eastAsia="Book Antiqua" w:hAnsi="Book Antiqua" w:cs="Book Antiqua"/>
          <w:b/>
          <w:bCs/>
        </w:rPr>
        <w:t>15</w:t>
      </w:r>
      <w:r w:rsidRPr="008A5B5E">
        <w:rPr>
          <w:rFonts w:ascii="Book Antiqua" w:eastAsia="Book Antiqua" w:hAnsi="Book Antiqua" w:cs="Book Antiqua"/>
        </w:rPr>
        <w:t>: 591-598 [PMID: 11573102 DOI: 10.1155/2001/367832]</w:t>
      </w:r>
    </w:p>
    <w:p w14:paraId="50604AD6"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26 </w:t>
      </w:r>
      <w:r w:rsidRPr="008A5B5E">
        <w:rPr>
          <w:rFonts w:ascii="Book Antiqua" w:eastAsia="Book Antiqua" w:hAnsi="Book Antiqua" w:cs="Book Antiqua"/>
          <w:b/>
          <w:bCs/>
        </w:rPr>
        <w:t>Cheng KP</w:t>
      </w:r>
      <w:r w:rsidRPr="008A5B5E">
        <w:rPr>
          <w:rFonts w:ascii="Book Antiqua" w:eastAsia="Book Antiqua" w:hAnsi="Book Antiqua" w:cs="Book Antiqua"/>
        </w:rPr>
        <w:t xml:space="preserve">, Yang YJ, Hung HC, Lin CH, Wu CT, Hung MH, Sheu BS, Ou HY. Helicobacter pylori eradication improves glycemic control in type 2 diabetes patients with asymptomatic active Helicobacter pylori infection. </w:t>
      </w:r>
      <w:r w:rsidRPr="008A5B5E">
        <w:rPr>
          <w:rFonts w:ascii="Book Antiqua" w:eastAsia="Book Antiqua" w:hAnsi="Book Antiqua" w:cs="Book Antiqua"/>
          <w:i/>
          <w:iCs/>
        </w:rPr>
        <w:t>J Diabetes Investig</w:t>
      </w:r>
      <w:r w:rsidRPr="008A5B5E">
        <w:rPr>
          <w:rFonts w:ascii="Book Antiqua" w:eastAsia="Book Antiqua" w:hAnsi="Book Antiqua" w:cs="Book Antiqua"/>
        </w:rPr>
        <w:t xml:space="preserve"> 2019; </w:t>
      </w:r>
      <w:r w:rsidRPr="008A5B5E">
        <w:rPr>
          <w:rFonts w:ascii="Book Antiqua" w:eastAsia="Book Antiqua" w:hAnsi="Book Antiqua" w:cs="Book Antiqua"/>
          <w:b/>
          <w:bCs/>
        </w:rPr>
        <w:t>10</w:t>
      </w:r>
      <w:r w:rsidRPr="008A5B5E">
        <w:rPr>
          <w:rFonts w:ascii="Book Antiqua" w:eastAsia="Book Antiqua" w:hAnsi="Book Antiqua" w:cs="Book Antiqua"/>
        </w:rPr>
        <w:t>: 1092-1101 [PMID: 30556347 DOI: 10.1111/jdi.12991]</w:t>
      </w:r>
    </w:p>
    <w:p w14:paraId="1923C51F"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27 </w:t>
      </w:r>
      <w:r w:rsidRPr="008A5B5E">
        <w:rPr>
          <w:rFonts w:ascii="Book Antiqua" w:eastAsia="Book Antiqua" w:hAnsi="Book Antiqua" w:cs="Book Antiqua"/>
          <w:b/>
          <w:bCs/>
        </w:rPr>
        <w:t>Casanova JL</w:t>
      </w:r>
      <w:r w:rsidRPr="008A5B5E">
        <w:rPr>
          <w:rFonts w:ascii="Book Antiqua" w:eastAsia="Book Antiqua" w:hAnsi="Book Antiqua" w:cs="Book Antiqua"/>
        </w:rPr>
        <w:t xml:space="preserve">, Su HC; COVID Human Genetic Effort. A Global Effort to Define the Human Genetics of Protective Immunity to SARS-CoV-2 Infection. </w:t>
      </w:r>
      <w:r w:rsidRPr="008A5B5E">
        <w:rPr>
          <w:rFonts w:ascii="Book Antiqua" w:eastAsia="Book Antiqua" w:hAnsi="Book Antiqua" w:cs="Book Antiqua"/>
          <w:i/>
          <w:iCs/>
        </w:rPr>
        <w:t>Cell</w:t>
      </w:r>
      <w:r w:rsidRPr="008A5B5E">
        <w:rPr>
          <w:rFonts w:ascii="Book Antiqua" w:eastAsia="Book Antiqua" w:hAnsi="Book Antiqua" w:cs="Book Antiqua"/>
        </w:rPr>
        <w:t xml:space="preserve"> 2020; </w:t>
      </w:r>
      <w:r w:rsidRPr="008A5B5E">
        <w:rPr>
          <w:rFonts w:ascii="Book Antiqua" w:eastAsia="Book Antiqua" w:hAnsi="Book Antiqua" w:cs="Book Antiqua"/>
          <w:b/>
          <w:bCs/>
        </w:rPr>
        <w:t>181</w:t>
      </w:r>
      <w:r w:rsidRPr="008A5B5E">
        <w:rPr>
          <w:rFonts w:ascii="Book Antiqua" w:eastAsia="Book Antiqua" w:hAnsi="Book Antiqua" w:cs="Book Antiqua"/>
        </w:rPr>
        <w:t>: 1194-1199 [PMID: 32405102 DOI: 10.1016/j.cell.2020.05.016]</w:t>
      </w:r>
    </w:p>
    <w:p w14:paraId="0C4DE46C"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28 </w:t>
      </w:r>
      <w:r w:rsidRPr="008A5B5E">
        <w:rPr>
          <w:rFonts w:ascii="Book Antiqua" w:eastAsia="Book Antiqua" w:hAnsi="Book Antiqua" w:cs="Book Antiqua"/>
          <w:b/>
          <w:bCs/>
        </w:rPr>
        <w:t>She Y</w:t>
      </w:r>
      <w:r w:rsidRPr="008A5B5E">
        <w:rPr>
          <w:rFonts w:ascii="Book Antiqua" w:eastAsia="Book Antiqua" w:hAnsi="Book Antiqua" w:cs="Book Antiqua"/>
        </w:rPr>
        <w:t xml:space="preserve">, Mangat R, Tsai S, Proctor SD, Richard C. The Interplay of Obesity, Dyslipidemia and Immune Dysfunction: A Brief Overview on Pathophysiology, Animal </w:t>
      </w:r>
      <w:r w:rsidRPr="008A5B5E">
        <w:rPr>
          <w:rFonts w:ascii="Book Antiqua" w:eastAsia="Book Antiqua" w:hAnsi="Book Antiqua" w:cs="Book Antiqua"/>
        </w:rPr>
        <w:lastRenderedPageBreak/>
        <w:t xml:space="preserve">Models, and Nutritional Modulation. </w:t>
      </w:r>
      <w:r w:rsidRPr="008A5B5E">
        <w:rPr>
          <w:rFonts w:ascii="Book Antiqua" w:eastAsia="Book Antiqua" w:hAnsi="Book Antiqua" w:cs="Book Antiqua"/>
          <w:i/>
          <w:iCs/>
        </w:rPr>
        <w:t>Front Nutr</w:t>
      </w:r>
      <w:r w:rsidRPr="008A5B5E">
        <w:rPr>
          <w:rFonts w:ascii="Book Antiqua" w:eastAsia="Book Antiqua" w:hAnsi="Book Antiqua" w:cs="Book Antiqua"/>
        </w:rPr>
        <w:t xml:space="preserve"> 2022; </w:t>
      </w:r>
      <w:r w:rsidRPr="008A5B5E">
        <w:rPr>
          <w:rFonts w:ascii="Book Antiqua" w:eastAsia="Book Antiqua" w:hAnsi="Book Antiqua" w:cs="Book Antiqua"/>
          <w:b/>
          <w:bCs/>
        </w:rPr>
        <w:t>9</w:t>
      </w:r>
      <w:r w:rsidRPr="008A5B5E">
        <w:rPr>
          <w:rFonts w:ascii="Book Antiqua" w:eastAsia="Book Antiqua" w:hAnsi="Book Antiqua" w:cs="Book Antiqua"/>
        </w:rPr>
        <w:t>: 840209 [PMID: 35252310 DOI: 10.3389/fnut.2022.840209]</w:t>
      </w:r>
    </w:p>
    <w:p w14:paraId="2340B284"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29 </w:t>
      </w:r>
      <w:r w:rsidRPr="008A5B5E">
        <w:rPr>
          <w:rFonts w:ascii="Book Antiqua" w:eastAsia="Book Antiqua" w:hAnsi="Book Antiqua" w:cs="Book Antiqua"/>
          <w:b/>
          <w:bCs/>
        </w:rPr>
        <w:t>Koh GY</w:t>
      </w:r>
      <w:r w:rsidRPr="008A5B5E">
        <w:rPr>
          <w:rFonts w:ascii="Book Antiqua" w:eastAsia="Book Antiqua" w:hAnsi="Book Antiqua" w:cs="Book Antiqua"/>
        </w:rPr>
        <w:t xml:space="preserve">, Rowling MJ, Pritchard SK. Possible role of type 1 and type 2 taste receptors on obesity-induced inflammation. </w:t>
      </w:r>
      <w:r w:rsidRPr="008A5B5E">
        <w:rPr>
          <w:rFonts w:ascii="Book Antiqua" w:eastAsia="Book Antiqua" w:hAnsi="Book Antiqua" w:cs="Book Antiqua"/>
          <w:i/>
          <w:iCs/>
        </w:rPr>
        <w:t>Nutr Rev</w:t>
      </w:r>
      <w:r w:rsidRPr="008A5B5E">
        <w:rPr>
          <w:rFonts w:ascii="Book Antiqua" w:eastAsia="Book Antiqua" w:hAnsi="Book Antiqua" w:cs="Book Antiqua"/>
        </w:rPr>
        <w:t xml:space="preserve"> 2022; </w:t>
      </w:r>
      <w:r w:rsidRPr="008A5B5E">
        <w:rPr>
          <w:rFonts w:ascii="Book Antiqua" w:eastAsia="Book Antiqua" w:hAnsi="Book Antiqua" w:cs="Book Antiqua"/>
          <w:b/>
          <w:bCs/>
        </w:rPr>
        <w:t>80</w:t>
      </w:r>
      <w:r w:rsidRPr="008A5B5E">
        <w:rPr>
          <w:rFonts w:ascii="Book Antiqua" w:eastAsia="Book Antiqua" w:hAnsi="Book Antiqua" w:cs="Book Antiqua"/>
        </w:rPr>
        <w:t>: 1919-1926 [PMID: 35150265 DOI: 10.1093/nutrit/nuac007]</w:t>
      </w:r>
    </w:p>
    <w:p w14:paraId="040D3D09"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30 </w:t>
      </w:r>
      <w:r w:rsidRPr="008A5B5E">
        <w:rPr>
          <w:rFonts w:ascii="Book Antiqua" w:eastAsia="Book Antiqua" w:hAnsi="Book Antiqua" w:cs="Book Antiqua"/>
          <w:b/>
          <w:bCs/>
        </w:rPr>
        <w:t>Bonde A</w:t>
      </w:r>
      <w:r w:rsidRPr="008A5B5E">
        <w:rPr>
          <w:rFonts w:ascii="Book Antiqua" w:eastAsia="Book Antiqua" w:hAnsi="Book Antiqua" w:cs="Book Antiqua"/>
        </w:rPr>
        <w:t xml:space="preserve">, Daly S, Kirsten J, Kondapaneni S, Mellnick V, Menias CO, Katabathina VS. Human Gut Microbiota-associated Gastrointestinal Malignancies: A Comprehensive Review. </w:t>
      </w:r>
      <w:r w:rsidRPr="008A5B5E">
        <w:rPr>
          <w:rFonts w:ascii="Book Antiqua" w:eastAsia="Book Antiqua" w:hAnsi="Book Antiqua" w:cs="Book Antiqua"/>
          <w:i/>
          <w:iCs/>
        </w:rPr>
        <w:t>Radiographics</w:t>
      </w:r>
      <w:r w:rsidRPr="008A5B5E">
        <w:rPr>
          <w:rFonts w:ascii="Book Antiqua" w:eastAsia="Book Antiqua" w:hAnsi="Book Antiqua" w:cs="Book Antiqua"/>
        </w:rPr>
        <w:t xml:space="preserve"> 2021; </w:t>
      </w:r>
      <w:r w:rsidRPr="008A5B5E">
        <w:rPr>
          <w:rFonts w:ascii="Book Antiqua" w:eastAsia="Book Antiqua" w:hAnsi="Book Antiqua" w:cs="Book Antiqua"/>
          <w:b/>
          <w:bCs/>
        </w:rPr>
        <w:t>41</w:t>
      </w:r>
      <w:r w:rsidRPr="008A5B5E">
        <w:rPr>
          <w:rFonts w:ascii="Book Antiqua" w:eastAsia="Book Antiqua" w:hAnsi="Book Antiqua" w:cs="Book Antiqua"/>
        </w:rPr>
        <w:t>: 1103-1122 [PMID: 33989072 DOI: 10.1148/rg.2021200168]</w:t>
      </w:r>
    </w:p>
    <w:p w14:paraId="0AEB35E6"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31 </w:t>
      </w:r>
      <w:r w:rsidRPr="008A5B5E">
        <w:rPr>
          <w:rFonts w:ascii="Book Antiqua" w:eastAsia="Book Antiqua" w:hAnsi="Book Antiqua" w:cs="Book Antiqua"/>
          <w:b/>
          <w:bCs/>
        </w:rPr>
        <w:t>Lock JY</w:t>
      </w:r>
      <w:r w:rsidRPr="008A5B5E">
        <w:rPr>
          <w:rFonts w:ascii="Book Antiqua" w:eastAsia="Book Antiqua" w:hAnsi="Book Antiqua" w:cs="Book Antiqua"/>
        </w:rPr>
        <w:t xml:space="preserve">, Caboni M, Strandwitz P, Morrissette M, DiBona K, Joughin BA, Lewis K, Carrier RL. An </w:t>
      </w:r>
      <w:r w:rsidRPr="008A5B5E">
        <w:rPr>
          <w:rFonts w:ascii="Book Antiqua" w:eastAsia="Book Antiqua" w:hAnsi="Book Antiqua" w:cs="Book Antiqua"/>
          <w:i/>
          <w:iCs/>
        </w:rPr>
        <w:t>in vitro</w:t>
      </w:r>
      <w:r w:rsidRPr="008A5B5E">
        <w:rPr>
          <w:rFonts w:ascii="Book Antiqua" w:eastAsia="Book Antiqua" w:hAnsi="Book Antiqua" w:cs="Book Antiqua"/>
        </w:rPr>
        <w:t xml:space="preserve"> intestinal model captures immunomodulatory properties of the microbiota in inflammation. </w:t>
      </w:r>
      <w:r w:rsidRPr="008A5B5E">
        <w:rPr>
          <w:rFonts w:ascii="Book Antiqua" w:eastAsia="Book Antiqua" w:hAnsi="Book Antiqua" w:cs="Book Antiqua"/>
          <w:i/>
          <w:iCs/>
        </w:rPr>
        <w:t>Gut Microbes</w:t>
      </w:r>
      <w:r w:rsidRPr="008A5B5E">
        <w:rPr>
          <w:rFonts w:ascii="Book Antiqua" w:eastAsia="Book Antiqua" w:hAnsi="Book Antiqua" w:cs="Book Antiqua"/>
        </w:rPr>
        <w:t xml:space="preserve"> 2022; </w:t>
      </w:r>
      <w:r w:rsidRPr="008A5B5E">
        <w:rPr>
          <w:rFonts w:ascii="Book Antiqua" w:eastAsia="Book Antiqua" w:hAnsi="Book Antiqua" w:cs="Book Antiqua"/>
          <w:b/>
          <w:bCs/>
        </w:rPr>
        <w:t>14</w:t>
      </w:r>
      <w:r w:rsidRPr="008A5B5E">
        <w:rPr>
          <w:rFonts w:ascii="Book Antiqua" w:eastAsia="Book Antiqua" w:hAnsi="Book Antiqua" w:cs="Book Antiqua"/>
        </w:rPr>
        <w:t>: 2039002 [PMID: 35316142 DOI: 10.1080/19490976.2022.2039002]</w:t>
      </w:r>
    </w:p>
    <w:p w14:paraId="7C7F71CC"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32 </w:t>
      </w:r>
      <w:r w:rsidRPr="008A5B5E">
        <w:rPr>
          <w:rFonts w:ascii="Book Antiqua" w:eastAsia="Book Antiqua" w:hAnsi="Book Antiqua" w:cs="Book Antiqua"/>
          <w:b/>
          <w:bCs/>
        </w:rPr>
        <w:t>Bui TI</w:t>
      </w:r>
      <w:r w:rsidRPr="008A5B5E">
        <w:rPr>
          <w:rFonts w:ascii="Book Antiqua" w:eastAsia="Book Antiqua" w:hAnsi="Book Antiqua" w:cs="Book Antiqua"/>
        </w:rPr>
        <w:t xml:space="preserve">, Gill AL, Mooney RA, Gill SR. Modulation of Gut Microbiota Metabolism in Obesity-Related Type 2 Diabetes Reduces Osteomyelitis Severity. </w:t>
      </w:r>
      <w:r w:rsidRPr="008A5B5E">
        <w:rPr>
          <w:rFonts w:ascii="Book Antiqua" w:eastAsia="Book Antiqua" w:hAnsi="Book Antiqua" w:cs="Book Antiqua"/>
          <w:i/>
          <w:iCs/>
        </w:rPr>
        <w:t>Microbiol Spectr</w:t>
      </w:r>
      <w:r w:rsidRPr="008A5B5E">
        <w:rPr>
          <w:rFonts w:ascii="Book Antiqua" w:eastAsia="Book Antiqua" w:hAnsi="Book Antiqua" w:cs="Book Antiqua"/>
        </w:rPr>
        <w:t xml:space="preserve"> 2022; </w:t>
      </w:r>
      <w:r w:rsidRPr="008A5B5E">
        <w:rPr>
          <w:rFonts w:ascii="Book Antiqua" w:eastAsia="Book Antiqua" w:hAnsi="Book Antiqua" w:cs="Book Antiqua"/>
          <w:b/>
          <w:bCs/>
        </w:rPr>
        <w:t>10</w:t>
      </w:r>
      <w:r w:rsidRPr="008A5B5E">
        <w:rPr>
          <w:rFonts w:ascii="Book Antiqua" w:eastAsia="Book Antiqua" w:hAnsi="Book Antiqua" w:cs="Book Antiqua"/>
        </w:rPr>
        <w:t>: e0017022 [PMID: 35315698 DOI: 10.1128/spectrum.00170-22]</w:t>
      </w:r>
    </w:p>
    <w:p w14:paraId="403D969F"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33 </w:t>
      </w:r>
      <w:r w:rsidRPr="008A5B5E">
        <w:rPr>
          <w:rFonts w:ascii="Book Antiqua" w:eastAsia="Book Antiqua" w:hAnsi="Book Antiqua" w:cs="Book Antiqua"/>
          <w:b/>
          <w:bCs/>
        </w:rPr>
        <w:t>Rong Z</w:t>
      </w:r>
      <w:r w:rsidRPr="008A5B5E">
        <w:rPr>
          <w:rFonts w:ascii="Book Antiqua" w:eastAsia="Book Antiqua" w:hAnsi="Book Antiqua" w:cs="Book Antiqua"/>
        </w:rPr>
        <w:t xml:space="preserve">, Huang Y, Cai H, Chen M, Wang H, Liu G, Zhang Z, Wu J. Gut Microbiota Disorders Promote Inflammation and Aggravate Spinal Cord Injury Through the TLR4/MyD88 Signaling Pathway. </w:t>
      </w:r>
      <w:r w:rsidRPr="008A5B5E">
        <w:rPr>
          <w:rFonts w:ascii="Book Antiqua" w:eastAsia="Book Antiqua" w:hAnsi="Book Antiqua" w:cs="Book Antiqua"/>
          <w:i/>
          <w:iCs/>
        </w:rPr>
        <w:t>Front Nutr</w:t>
      </w:r>
      <w:r w:rsidRPr="008A5B5E">
        <w:rPr>
          <w:rFonts w:ascii="Book Antiqua" w:eastAsia="Book Antiqua" w:hAnsi="Book Antiqua" w:cs="Book Antiqua"/>
        </w:rPr>
        <w:t xml:space="preserve"> 2021; </w:t>
      </w:r>
      <w:r w:rsidRPr="008A5B5E">
        <w:rPr>
          <w:rFonts w:ascii="Book Antiqua" w:eastAsia="Book Antiqua" w:hAnsi="Book Antiqua" w:cs="Book Antiqua"/>
          <w:b/>
          <w:bCs/>
        </w:rPr>
        <w:t>8</w:t>
      </w:r>
      <w:r w:rsidRPr="008A5B5E">
        <w:rPr>
          <w:rFonts w:ascii="Book Antiqua" w:eastAsia="Book Antiqua" w:hAnsi="Book Antiqua" w:cs="Book Antiqua"/>
        </w:rPr>
        <w:t>: 702659 [PMID: 34589510 DOI: 10.3389/fnut.2021.702659]</w:t>
      </w:r>
    </w:p>
    <w:p w14:paraId="15C820D0"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34 </w:t>
      </w:r>
      <w:r w:rsidRPr="008A5B5E">
        <w:rPr>
          <w:rFonts w:ascii="Book Antiqua" w:eastAsia="Book Antiqua" w:hAnsi="Book Antiqua" w:cs="Book Antiqua"/>
          <w:b/>
          <w:bCs/>
        </w:rPr>
        <w:t>Noori MS</w:t>
      </w:r>
      <w:r w:rsidRPr="008A5B5E">
        <w:rPr>
          <w:rFonts w:ascii="Book Antiqua" w:eastAsia="Book Antiqua" w:hAnsi="Book Antiqua" w:cs="Book Antiqua"/>
        </w:rPr>
        <w:t xml:space="preserve">, Courreges MC, Bergmeier SC, McCall KD, Goetz DJ. Modulation of LPS-induced inflammatory cytokine production by a novel glycogen synthase kinase-3 inhibitor. </w:t>
      </w:r>
      <w:r w:rsidRPr="008A5B5E">
        <w:rPr>
          <w:rFonts w:ascii="Book Antiqua" w:eastAsia="Book Antiqua" w:hAnsi="Book Antiqua" w:cs="Book Antiqua"/>
          <w:i/>
          <w:iCs/>
        </w:rPr>
        <w:t>Eur J Pharmacol</w:t>
      </w:r>
      <w:r w:rsidRPr="008A5B5E">
        <w:rPr>
          <w:rFonts w:ascii="Book Antiqua" w:eastAsia="Book Antiqua" w:hAnsi="Book Antiqua" w:cs="Book Antiqua"/>
        </w:rPr>
        <w:t xml:space="preserve"> 2020; </w:t>
      </w:r>
      <w:r w:rsidRPr="008A5B5E">
        <w:rPr>
          <w:rFonts w:ascii="Book Antiqua" w:eastAsia="Book Antiqua" w:hAnsi="Book Antiqua" w:cs="Book Antiqua"/>
          <w:b/>
          <w:bCs/>
        </w:rPr>
        <w:t>883</w:t>
      </w:r>
      <w:r w:rsidRPr="008A5B5E">
        <w:rPr>
          <w:rFonts w:ascii="Book Antiqua" w:eastAsia="Book Antiqua" w:hAnsi="Book Antiqua" w:cs="Book Antiqua"/>
        </w:rPr>
        <w:t>: 173340 [PMID: 32634441 DOI: 10.1016/j.ejphar.2020.173340]</w:t>
      </w:r>
    </w:p>
    <w:p w14:paraId="399F973E"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35 </w:t>
      </w:r>
      <w:r w:rsidRPr="008A5B5E">
        <w:rPr>
          <w:rFonts w:ascii="Book Antiqua" w:eastAsia="Book Antiqua" w:hAnsi="Book Antiqua" w:cs="Book Antiqua"/>
          <w:b/>
          <w:bCs/>
        </w:rPr>
        <w:t>Lu Z</w:t>
      </w:r>
      <w:r w:rsidRPr="008A5B5E">
        <w:rPr>
          <w:rFonts w:ascii="Book Antiqua" w:eastAsia="Book Antiqua" w:hAnsi="Book Antiqua" w:cs="Book Antiqua"/>
        </w:rPr>
        <w:t xml:space="preserve">, Zhang X, Li Y, Lopes-Virella MF, Huang Y. TLR4 antagonist attenuates atherogenesis in LDL receptor-deficient mice with diet-induced type 2 diabetes. </w:t>
      </w:r>
      <w:r w:rsidRPr="008A5B5E">
        <w:rPr>
          <w:rFonts w:ascii="Book Antiqua" w:eastAsia="Book Antiqua" w:hAnsi="Book Antiqua" w:cs="Book Antiqua"/>
          <w:i/>
          <w:iCs/>
        </w:rPr>
        <w:t>Immunobiology</w:t>
      </w:r>
      <w:r w:rsidRPr="008A5B5E">
        <w:rPr>
          <w:rFonts w:ascii="Book Antiqua" w:eastAsia="Book Antiqua" w:hAnsi="Book Antiqua" w:cs="Book Antiqua"/>
        </w:rPr>
        <w:t xml:space="preserve"> 2015; </w:t>
      </w:r>
      <w:r w:rsidRPr="008A5B5E">
        <w:rPr>
          <w:rFonts w:ascii="Book Antiqua" w:eastAsia="Book Antiqua" w:hAnsi="Book Antiqua" w:cs="Book Antiqua"/>
          <w:b/>
          <w:bCs/>
        </w:rPr>
        <w:t>220</w:t>
      </w:r>
      <w:r w:rsidRPr="008A5B5E">
        <w:rPr>
          <w:rFonts w:ascii="Book Antiqua" w:eastAsia="Book Antiqua" w:hAnsi="Book Antiqua" w:cs="Book Antiqua"/>
        </w:rPr>
        <w:t>: 1246-1254 [PMID: 26162692 DOI: 10.1016/j.imbio.2015.06.016]</w:t>
      </w:r>
    </w:p>
    <w:p w14:paraId="3A79EA88"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36 </w:t>
      </w:r>
      <w:r w:rsidRPr="008A5B5E">
        <w:rPr>
          <w:rFonts w:ascii="Book Antiqua" w:eastAsia="Book Antiqua" w:hAnsi="Book Antiqua" w:cs="Book Antiqua"/>
          <w:b/>
          <w:bCs/>
        </w:rPr>
        <w:t>Yuan Y</w:t>
      </w:r>
      <w:r w:rsidRPr="008A5B5E">
        <w:rPr>
          <w:rFonts w:ascii="Book Antiqua" w:eastAsia="Book Antiqua" w:hAnsi="Book Antiqua" w:cs="Book Antiqua"/>
        </w:rPr>
        <w:t xml:space="preserve">, Lu L, Bo N, Chaoyue Y, Haiyang Y. Allicin Ameliorates Intestinal Barrier Damage </w:t>
      </w:r>
      <w:r w:rsidRPr="008A5B5E">
        <w:rPr>
          <w:rFonts w:ascii="Book Antiqua" w:eastAsia="Book Antiqua" w:hAnsi="Book Antiqua" w:cs="Book Antiqua"/>
          <w:i/>
          <w:iCs/>
        </w:rPr>
        <w:t>via</w:t>
      </w:r>
      <w:r w:rsidRPr="008A5B5E">
        <w:rPr>
          <w:rFonts w:ascii="Book Antiqua" w:eastAsia="Book Antiqua" w:hAnsi="Book Antiqua" w:cs="Book Antiqua"/>
        </w:rPr>
        <w:t xml:space="preserve"> Microbiota-Regulated Short-Chain Fatty Acids-TLR4/MyD88/NF-κB </w:t>
      </w:r>
      <w:r w:rsidRPr="008A5B5E">
        <w:rPr>
          <w:rFonts w:ascii="Book Antiqua" w:eastAsia="Book Antiqua" w:hAnsi="Book Antiqua" w:cs="Book Antiqua"/>
        </w:rPr>
        <w:lastRenderedPageBreak/>
        <w:t xml:space="preserve">Cascade Response in Acrylamide-Induced Rats. </w:t>
      </w:r>
      <w:r w:rsidRPr="008A5B5E">
        <w:rPr>
          <w:rFonts w:ascii="Book Antiqua" w:eastAsia="Book Antiqua" w:hAnsi="Book Antiqua" w:cs="Book Antiqua"/>
          <w:i/>
          <w:iCs/>
        </w:rPr>
        <w:t>J Agric Food Chem</w:t>
      </w:r>
      <w:r w:rsidRPr="008A5B5E">
        <w:rPr>
          <w:rFonts w:ascii="Book Antiqua" w:eastAsia="Book Antiqua" w:hAnsi="Book Antiqua" w:cs="Book Antiqua"/>
        </w:rPr>
        <w:t xml:space="preserve"> 2021; </w:t>
      </w:r>
      <w:r w:rsidRPr="008A5B5E">
        <w:rPr>
          <w:rFonts w:ascii="Book Antiqua" w:eastAsia="Book Antiqua" w:hAnsi="Book Antiqua" w:cs="Book Antiqua"/>
          <w:b/>
          <w:bCs/>
        </w:rPr>
        <w:t>69</w:t>
      </w:r>
      <w:r w:rsidRPr="008A5B5E">
        <w:rPr>
          <w:rFonts w:ascii="Book Antiqua" w:eastAsia="Book Antiqua" w:hAnsi="Book Antiqua" w:cs="Book Antiqua"/>
        </w:rPr>
        <w:t>: 12837-12852 [PMID: 34694121 DOI: 10.1021/acs.jafc.1c05014]</w:t>
      </w:r>
    </w:p>
    <w:p w14:paraId="72274868"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37 </w:t>
      </w:r>
      <w:r w:rsidRPr="008A5B5E">
        <w:rPr>
          <w:rFonts w:ascii="Book Antiqua" w:eastAsia="Book Antiqua" w:hAnsi="Book Antiqua" w:cs="Book Antiqua"/>
          <w:b/>
          <w:bCs/>
        </w:rPr>
        <w:t>Devaraj S</w:t>
      </w:r>
      <w:r w:rsidRPr="008A5B5E">
        <w:rPr>
          <w:rFonts w:ascii="Book Antiqua" w:eastAsia="Book Antiqua" w:hAnsi="Book Antiqua" w:cs="Book Antiqua"/>
        </w:rPr>
        <w:t xml:space="preserve">, Tobias P, Jialal I. Knockout of toll-like receptor-4 attenuates the pro-inflammatory state of diabetes. </w:t>
      </w:r>
      <w:r w:rsidRPr="008A5B5E">
        <w:rPr>
          <w:rFonts w:ascii="Book Antiqua" w:eastAsia="Book Antiqua" w:hAnsi="Book Antiqua" w:cs="Book Antiqua"/>
          <w:i/>
          <w:iCs/>
        </w:rPr>
        <w:t>Cytokine</w:t>
      </w:r>
      <w:r w:rsidRPr="008A5B5E">
        <w:rPr>
          <w:rFonts w:ascii="Book Antiqua" w:eastAsia="Book Antiqua" w:hAnsi="Book Antiqua" w:cs="Book Antiqua"/>
        </w:rPr>
        <w:t xml:space="preserve"> 2011; </w:t>
      </w:r>
      <w:r w:rsidRPr="008A5B5E">
        <w:rPr>
          <w:rFonts w:ascii="Book Antiqua" w:eastAsia="Book Antiqua" w:hAnsi="Book Antiqua" w:cs="Book Antiqua"/>
          <w:b/>
          <w:bCs/>
        </w:rPr>
        <w:t>55</w:t>
      </w:r>
      <w:r w:rsidRPr="008A5B5E">
        <w:rPr>
          <w:rFonts w:ascii="Book Antiqua" w:eastAsia="Book Antiqua" w:hAnsi="Book Antiqua" w:cs="Book Antiqua"/>
        </w:rPr>
        <w:t>: 441-445 [PMID: 21498084 DOI: 10.1016/j.cyto.2011.03.023]</w:t>
      </w:r>
    </w:p>
    <w:p w14:paraId="6811B849"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38 </w:t>
      </w:r>
      <w:r w:rsidRPr="008A5B5E">
        <w:rPr>
          <w:rFonts w:ascii="Book Antiqua" w:eastAsia="Book Antiqua" w:hAnsi="Book Antiqua" w:cs="Book Antiqua"/>
          <w:b/>
          <w:bCs/>
        </w:rPr>
        <w:t>Ekuni D</w:t>
      </w:r>
      <w:r w:rsidRPr="008A5B5E">
        <w:rPr>
          <w:rFonts w:ascii="Book Antiqua" w:eastAsia="Book Antiqua" w:hAnsi="Book Antiqua" w:cs="Book Antiqua"/>
        </w:rPr>
        <w:t xml:space="preserve">, Yoneda T, Endo Y, Kasuyama K, Irie K, Mizutani S, Azuma T, Tomofuji T, Morita M. Occlusal disharmony accelerates the initiation of atherosclerosis in apoE knockout rats. </w:t>
      </w:r>
      <w:r w:rsidRPr="008A5B5E">
        <w:rPr>
          <w:rFonts w:ascii="Book Antiqua" w:eastAsia="Book Antiqua" w:hAnsi="Book Antiqua" w:cs="Book Antiqua"/>
          <w:i/>
          <w:iCs/>
        </w:rPr>
        <w:t>Lipids Health Dis</w:t>
      </w:r>
      <w:r w:rsidRPr="008A5B5E">
        <w:rPr>
          <w:rFonts w:ascii="Book Antiqua" w:eastAsia="Book Antiqua" w:hAnsi="Book Antiqua" w:cs="Book Antiqua"/>
        </w:rPr>
        <w:t xml:space="preserve"> 2014; </w:t>
      </w:r>
      <w:r w:rsidRPr="008A5B5E">
        <w:rPr>
          <w:rFonts w:ascii="Book Antiqua" w:eastAsia="Book Antiqua" w:hAnsi="Book Antiqua" w:cs="Book Antiqua"/>
          <w:b/>
          <w:bCs/>
        </w:rPr>
        <w:t>13</w:t>
      </w:r>
      <w:r w:rsidRPr="008A5B5E">
        <w:rPr>
          <w:rFonts w:ascii="Book Antiqua" w:eastAsia="Book Antiqua" w:hAnsi="Book Antiqua" w:cs="Book Antiqua"/>
        </w:rPr>
        <w:t>: 144 [PMID: 25189624 DOI: 10.1186/1476-511X-13-144]</w:t>
      </w:r>
    </w:p>
    <w:p w14:paraId="0AD7C820"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39 </w:t>
      </w:r>
      <w:r w:rsidRPr="008A5B5E">
        <w:rPr>
          <w:rFonts w:ascii="Book Antiqua" w:eastAsia="Book Antiqua" w:hAnsi="Book Antiqua" w:cs="Book Antiqua"/>
          <w:b/>
          <w:bCs/>
        </w:rPr>
        <w:t>Westerbacka J</w:t>
      </w:r>
      <w:r w:rsidRPr="008A5B5E">
        <w:rPr>
          <w:rFonts w:ascii="Book Antiqua" w:eastAsia="Book Antiqua" w:hAnsi="Book Antiqua" w:cs="Book Antiqua"/>
        </w:rPr>
        <w:t xml:space="preserve">, Cornér A, Kolak M, Makkonen J, Turpeinen U, Hamsten A, Fisher RM, Yki-Järvinen H. Insulin regulation of MCP-1 in human adipose tissue of obese and lean women. </w:t>
      </w:r>
      <w:r w:rsidRPr="008A5B5E">
        <w:rPr>
          <w:rFonts w:ascii="Book Antiqua" w:eastAsia="Book Antiqua" w:hAnsi="Book Antiqua" w:cs="Book Antiqua"/>
          <w:i/>
          <w:iCs/>
        </w:rPr>
        <w:t>Am J Physiol Endocrinol Metab</w:t>
      </w:r>
      <w:r w:rsidRPr="008A5B5E">
        <w:rPr>
          <w:rFonts w:ascii="Book Antiqua" w:eastAsia="Book Antiqua" w:hAnsi="Book Antiqua" w:cs="Book Antiqua"/>
        </w:rPr>
        <w:t xml:space="preserve"> 2008; </w:t>
      </w:r>
      <w:r w:rsidRPr="008A5B5E">
        <w:rPr>
          <w:rFonts w:ascii="Book Antiqua" w:eastAsia="Book Antiqua" w:hAnsi="Book Antiqua" w:cs="Book Antiqua"/>
          <w:b/>
          <w:bCs/>
        </w:rPr>
        <w:t>294</w:t>
      </w:r>
      <w:r w:rsidRPr="008A5B5E">
        <w:rPr>
          <w:rFonts w:ascii="Book Antiqua" w:eastAsia="Book Antiqua" w:hAnsi="Book Antiqua" w:cs="Book Antiqua"/>
        </w:rPr>
        <w:t>: E841-E845 [PMID: 18270300 DOI: 10.1152/ajpendo.00653.2006]</w:t>
      </w:r>
    </w:p>
    <w:p w14:paraId="132533EB"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40 </w:t>
      </w:r>
      <w:r w:rsidRPr="008A5B5E">
        <w:rPr>
          <w:rFonts w:ascii="Book Antiqua" w:eastAsia="Book Antiqua" w:hAnsi="Book Antiqua" w:cs="Book Antiqua"/>
          <w:b/>
          <w:bCs/>
        </w:rPr>
        <w:t>Li L</w:t>
      </w:r>
      <w:r w:rsidRPr="008A5B5E">
        <w:rPr>
          <w:rFonts w:ascii="Book Antiqua" w:eastAsia="Book Antiqua" w:hAnsi="Book Antiqua" w:cs="Book Antiqua"/>
        </w:rPr>
        <w:t xml:space="preserve">, Wei T, Liu S, Wang C, Zhao M, Feng Y, Ma L, Lu Y, Fu P, Liu J. Complement C5 activation promotes type 2 diabetic kidney disease </w:t>
      </w:r>
      <w:r w:rsidRPr="008A5B5E">
        <w:rPr>
          <w:rFonts w:ascii="Book Antiqua" w:eastAsia="Book Antiqua" w:hAnsi="Book Antiqua" w:cs="Book Antiqua"/>
          <w:i/>
          <w:iCs/>
        </w:rPr>
        <w:t>via</w:t>
      </w:r>
      <w:r w:rsidRPr="008A5B5E">
        <w:rPr>
          <w:rFonts w:ascii="Book Antiqua" w:eastAsia="Book Antiqua" w:hAnsi="Book Antiqua" w:cs="Book Antiqua"/>
        </w:rPr>
        <w:t xml:space="preserve"> activating STAT3 pathway and disrupting the gut-kidney axis. </w:t>
      </w:r>
      <w:r w:rsidRPr="008A5B5E">
        <w:rPr>
          <w:rFonts w:ascii="Book Antiqua" w:eastAsia="Book Antiqua" w:hAnsi="Book Antiqua" w:cs="Book Antiqua"/>
          <w:i/>
          <w:iCs/>
        </w:rPr>
        <w:t>J Cell Mol Med</w:t>
      </w:r>
      <w:r w:rsidRPr="008A5B5E">
        <w:rPr>
          <w:rFonts w:ascii="Book Antiqua" w:eastAsia="Book Antiqua" w:hAnsi="Book Antiqua" w:cs="Book Antiqua"/>
        </w:rPr>
        <w:t xml:space="preserve"> 2021; </w:t>
      </w:r>
      <w:r w:rsidRPr="008A5B5E">
        <w:rPr>
          <w:rFonts w:ascii="Book Antiqua" w:eastAsia="Book Antiqua" w:hAnsi="Book Antiqua" w:cs="Book Antiqua"/>
          <w:b/>
          <w:bCs/>
        </w:rPr>
        <w:t>25</w:t>
      </w:r>
      <w:r w:rsidRPr="008A5B5E">
        <w:rPr>
          <w:rFonts w:ascii="Book Antiqua" w:eastAsia="Book Antiqua" w:hAnsi="Book Antiqua" w:cs="Book Antiqua"/>
        </w:rPr>
        <w:t>: 960-974 [PMID: 33280239 DOI: 10.1111/jcmm.16157]</w:t>
      </w:r>
    </w:p>
    <w:p w14:paraId="15456C01"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41 </w:t>
      </w:r>
      <w:r w:rsidRPr="008A5B5E">
        <w:rPr>
          <w:rFonts w:ascii="Book Antiqua" w:eastAsia="Book Antiqua" w:hAnsi="Book Antiqua" w:cs="Book Antiqua"/>
          <w:b/>
          <w:bCs/>
        </w:rPr>
        <w:t>Liu S</w:t>
      </w:r>
      <w:r w:rsidRPr="008A5B5E">
        <w:rPr>
          <w:rFonts w:ascii="Book Antiqua" w:eastAsia="Book Antiqua" w:hAnsi="Book Antiqua" w:cs="Book Antiqua"/>
        </w:rPr>
        <w:t xml:space="preserve">, Wang C, Yang H, Zhu T, Jiang H, Chen J. Weighted gene co-expression network analysis identifies FCER1G as a key gene associated with diabetic kidney disease. </w:t>
      </w:r>
      <w:r w:rsidRPr="008A5B5E">
        <w:rPr>
          <w:rFonts w:ascii="Book Antiqua" w:eastAsia="Book Antiqua" w:hAnsi="Book Antiqua" w:cs="Book Antiqua"/>
          <w:i/>
          <w:iCs/>
        </w:rPr>
        <w:t>Ann Transl Med</w:t>
      </w:r>
      <w:r w:rsidRPr="008A5B5E">
        <w:rPr>
          <w:rFonts w:ascii="Book Antiqua" w:eastAsia="Book Antiqua" w:hAnsi="Book Antiqua" w:cs="Book Antiqua"/>
        </w:rPr>
        <w:t xml:space="preserve"> 2020; </w:t>
      </w:r>
      <w:r w:rsidRPr="008A5B5E">
        <w:rPr>
          <w:rFonts w:ascii="Book Antiqua" w:eastAsia="Book Antiqua" w:hAnsi="Book Antiqua" w:cs="Book Antiqua"/>
          <w:b/>
          <w:bCs/>
        </w:rPr>
        <w:t>8</w:t>
      </w:r>
      <w:r w:rsidRPr="008A5B5E">
        <w:rPr>
          <w:rFonts w:ascii="Book Antiqua" w:eastAsia="Book Antiqua" w:hAnsi="Book Antiqua" w:cs="Book Antiqua"/>
        </w:rPr>
        <w:t>: 1427 [PMID: 33313172 DOI: 10.21037/atm-20-1087]</w:t>
      </w:r>
    </w:p>
    <w:p w14:paraId="234D2D98"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42 </w:t>
      </w:r>
      <w:r w:rsidRPr="008A5B5E">
        <w:rPr>
          <w:rFonts w:ascii="Book Antiqua" w:eastAsia="Book Antiqua" w:hAnsi="Book Antiqua" w:cs="Book Antiqua"/>
          <w:b/>
          <w:bCs/>
        </w:rPr>
        <w:t>Mehrbod P</w:t>
      </w:r>
      <w:r w:rsidRPr="008A5B5E">
        <w:rPr>
          <w:rFonts w:ascii="Book Antiqua" w:eastAsia="Book Antiqua" w:hAnsi="Book Antiqua" w:cs="Book Antiqua"/>
        </w:rPr>
        <w:t xml:space="preserve">, Eybpoosh S, Farahmand B, Fotouhi F, Khanzadeh Alishahi M. Association of the host genetic factors, hypercholesterolemia and diabetes with mild influenza in an Iranian population. </w:t>
      </w:r>
      <w:r w:rsidRPr="008A5B5E">
        <w:rPr>
          <w:rFonts w:ascii="Book Antiqua" w:eastAsia="Book Antiqua" w:hAnsi="Book Antiqua" w:cs="Book Antiqua"/>
          <w:i/>
          <w:iCs/>
        </w:rPr>
        <w:t>Virol J</w:t>
      </w:r>
      <w:r w:rsidRPr="008A5B5E">
        <w:rPr>
          <w:rFonts w:ascii="Book Antiqua" w:eastAsia="Book Antiqua" w:hAnsi="Book Antiqua" w:cs="Book Antiqua"/>
        </w:rPr>
        <w:t xml:space="preserve"> 2021; </w:t>
      </w:r>
      <w:r w:rsidRPr="008A5B5E">
        <w:rPr>
          <w:rFonts w:ascii="Book Antiqua" w:eastAsia="Book Antiqua" w:hAnsi="Book Antiqua" w:cs="Book Antiqua"/>
          <w:b/>
          <w:bCs/>
        </w:rPr>
        <w:t>18</w:t>
      </w:r>
      <w:r w:rsidRPr="008A5B5E">
        <w:rPr>
          <w:rFonts w:ascii="Book Antiqua" w:eastAsia="Book Antiqua" w:hAnsi="Book Antiqua" w:cs="Book Antiqua"/>
        </w:rPr>
        <w:t>: 64 [PMID: 33766078 DOI: 10.1186/s12985-021-01486-3]</w:t>
      </w:r>
    </w:p>
    <w:p w14:paraId="62DAE1C7"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43 </w:t>
      </w:r>
      <w:r w:rsidRPr="008A5B5E">
        <w:rPr>
          <w:rFonts w:ascii="Book Antiqua" w:eastAsia="Book Antiqua" w:hAnsi="Book Antiqua" w:cs="Book Antiqua"/>
          <w:b/>
          <w:bCs/>
        </w:rPr>
        <w:t>Casanova JL</w:t>
      </w:r>
      <w:r w:rsidRPr="008A5B5E">
        <w:rPr>
          <w:rFonts w:ascii="Book Antiqua" w:eastAsia="Book Antiqua" w:hAnsi="Book Antiqua" w:cs="Book Antiqua"/>
        </w:rPr>
        <w:t xml:space="preserve">. Human genetic basis of interindividual variability in the course of infection. </w:t>
      </w:r>
      <w:r w:rsidRPr="008A5B5E">
        <w:rPr>
          <w:rFonts w:ascii="Book Antiqua" w:eastAsia="Book Antiqua" w:hAnsi="Book Antiqua" w:cs="Book Antiqua"/>
          <w:i/>
          <w:iCs/>
        </w:rPr>
        <w:t>Proc Natl Acad Sci U S A</w:t>
      </w:r>
      <w:r w:rsidRPr="008A5B5E">
        <w:rPr>
          <w:rFonts w:ascii="Book Antiqua" w:eastAsia="Book Antiqua" w:hAnsi="Book Antiqua" w:cs="Book Antiqua"/>
        </w:rPr>
        <w:t xml:space="preserve"> 2015; </w:t>
      </w:r>
      <w:r w:rsidRPr="008A5B5E">
        <w:rPr>
          <w:rFonts w:ascii="Book Antiqua" w:eastAsia="Book Antiqua" w:hAnsi="Book Antiqua" w:cs="Book Antiqua"/>
          <w:b/>
          <w:bCs/>
        </w:rPr>
        <w:t>112</w:t>
      </w:r>
      <w:r w:rsidRPr="008A5B5E">
        <w:rPr>
          <w:rFonts w:ascii="Book Antiqua" w:eastAsia="Book Antiqua" w:hAnsi="Book Antiqua" w:cs="Book Antiqua"/>
        </w:rPr>
        <w:t>: E7118-E7127 [PMID: 26621739 DOI: 10.1073/pnas.1521644112]</w:t>
      </w:r>
    </w:p>
    <w:p w14:paraId="02148D07"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44 </w:t>
      </w:r>
      <w:r w:rsidRPr="008A5B5E">
        <w:rPr>
          <w:rFonts w:ascii="Book Antiqua" w:eastAsia="Book Antiqua" w:hAnsi="Book Antiqua" w:cs="Book Antiqua"/>
          <w:b/>
          <w:bCs/>
        </w:rPr>
        <w:t>Qi Z</w:t>
      </w:r>
      <w:r w:rsidRPr="008A5B5E">
        <w:rPr>
          <w:rFonts w:ascii="Book Antiqua" w:eastAsia="Book Antiqua" w:hAnsi="Book Antiqua" w:cs="Book Antiqua"/>
        </w:rPr>
        <w:t xml:space="preserve">, Yan F, Chen D, Xing W, Li Q, Zeng W, Bi B, Xie J. Identification of prognostic biomarkers and correlations with immune infiltrates among cGAS-STING in </w:t>
      </w:r>
      <w:r w:rsidRPr="008A5B5E">
        <w:rPr>
          <w:rFonts w:ascii="Book Antiqua" w:eastAsia="Book Antiqua" w:hAnsi="Book Antiqua" w:cs="Book Antiqua"/>
        </w:rPr>
        <w:lastRenderedPageBreak/>
        <w:t xml:space="preserve">hepatocellular carcinoma. </w:t>
      </w:r>
      <w:r w:rsidRPr="008A5B5E">
        <w:rPr>
          <w:rFonts w:ascii="Book Antiqua" w:eastAsia="Book Antiqua" w:hAnsi="Book Antiqua" w:cs="Book Antiqua"/>
          <w:i/>
          <w:iCs/>
        </w:rPr>
        <w:t>Biosci Rep</w:t>
      </w:r>
      <w:r w:rsidRPr="008A5B5E">
        <w:rPr>
          <w:rFonts w:ascii="Book Antiqua" w:eastAsia="Book Antiqua" w:hAnsi="Book Antiqua" w:cs="Book Antiqua"/>
        </w:rPr>
        <w:t xml:space="preserve"> 2020; </w:t>
      </w:r>
      <w:r w:rsidRPr="008A5B5E">
        <w:rPr>
          <w:rFonts w:ascii="Book Antiqua" w:eastAsia="Book Antiqua" w:hAnsi="Book Antiqua" w:cs="Book Antiqua"/>
          <w:b/>
          <w:bCs/>
        </w:rPr>
        <w:t>40</w:t>
      </w:r>
      <w:r w:rsidRPr="008A5B5E">
        <w:rPr>
          <w:rFonts w:ascii="Book Antiqua" w:eastAsia="Book Antiqua" w:hAnsi="Book Antiqua" w:cs="Book Antiqua"/>
        </w:rPr>
        <w:t xml:space="preserve"> [PMID: 33006365 DOI: 10.1042/BSR20202603]</w:t>
      </w:r>
    </w:p>
    <w:p w14:paraId="6972F113"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45 </w:t>
      </w:r>
      <w:r w:rsidRPr="008A5B5E">
        <w:rPr>
          <w:rFonts w:ascii="Book Antiqua" w:eastAsia="Book Antiqua" w:hAnsi="Book Antiqua" w:cs="Book Antiqua"/>
          <w:b/>
          <w:bCs/>
        </w:rPr>
        <w:t>Gajovic N</w:t>
      </w:r>
      <w:r w:rsidRPr="008A5B5E">
        <w:rPr>
          <w:rFonts w:ascii="Book Antiqua" w:eastAsia="Book Antiqua" w:hAnsi="Book Antiqua" w:cs="Book Antiqua"/>
        </w:rPr>
        <w:t xml:space="preserve">, Jurisevic M, Pantic J, Radosavljevic G, Arsenijevic N, Lukic ML, Jovanovic I. Attenuation of NK cells facilitates mammary tumor growth in streptozotocin-induced diabetes in mice. </w:t>
      </w:r>
      <w:r w:rsidRPr="008A5B5E">
        <w:rPr>
          <w:rFonts w:ascii="Book Antiqua" w:eastAsia="Book Antiqua" w:hAnsi="Book Antiqua" w:cs="Book Antiqua"/>
          <w:i/>
          <w:iCs/>
        </w:rPr>
        <w:t>Endocr Relat Cancer</w:t>
      </w:r>
      <w:r w:rsidRPr="008A5B5E">
        <w:rPr>
          <w:rFonts w:ascii="Book Antiqua" w:eastAsia="Book Antiqua" w:hAnsi="Book Antiqua" w:cs="Book Antiqua"/>
        </w:rPr>
        <w:t xml:space="preserve"> 2018; </w:t>
      </w:r>
      <w:r w:rsidRPr="008A5B5E">
        <w:rPr>
          <w:rFonts w:ascii="Book Antiqua" w:eastAsia="Book Antiqua" w:hAnsi="Book Antiqua" w:cs="Book Antiqua"/>
          <w:b/>
          <w:bCs/>
        </w:rPr>
        <w:t>25</w:t>
      </w:r>
      <w:r w:rsidRPr="008A5B5E">
        <w:rPr>
          <w:rFonts w:ascii="Book Antiqua" w:eastAsia="Book Antiqua" w:hAnsi="Book Antiqua" w:cs="Book Antiqua"/>
        </w:rPr>
        <w:t>: 493-507 [PMID: 29459428 DOI: 10.1530/ERC-17-0529]</w:t>
      </w:r>
    </w:p>
    <w:p w14:paraId="79975432"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46 </w:t>
      </w:r>
      <w:r w:rsidRPr="008A5B5E">
        <w:rPr>
          <w:rFonts w:ascii="Book Antiqua" w:eastAsia="Book Antiqua" w:hAnsi="Book Antiqua" w:cs="Book Antiqua"/>
          <w:b/>
          <w:bCs/>
        </w:rPr>
        <w:t>Restrepo BI</w:t>
      </w:r>
      <w:r w:rsidRPr="008A5B5E">
        <w:rPr>
          <w:rFonts w:ascii="Book Antiqua" w:eastAsia="Book Antiqua" w:hAnsi="Book Antiqua" w:cs="Book Antiqua"/>
        </w:rPr>
        <w:t xml:space="preserve">, Twahirwa M, Rahbar MH, Schlesinger LS. Phagocytosis </w:t>
      </w:r>
      <w:r w:rsidRPr="008A5B5E">
        <w:rPr>
          <w:rFonts w:ascii="Book Antiqua" w:eastAsia="Book Antiqua" w:hAnsi="Book Antiqua" w:cs="Book Antiqua"/>
          <w:i/>
          <w:iCs/>
        </w:rPr>
        <w:t>via</w:t>
      </w:r>
      <w:r w:rsidRPr="008A5B5E">
        <w:rPr>
          <w:rFonts w:ascii="Book Antiqua" w:eastAsia="Book Antiqua" w:hAnsi="Book Antiqua" w:cs="Book Antiqua"/>
        </w:rPr>
        <w:t xml:space="preserve"> complement or Fc-gamma receptors is compromised in monocytes from type 2 diabetes patients with chronic hyperglycemia. </w:t>
      </w:r>
      <w:r w:rsidRPr="008A5B5E">
        <w:rPr>
          <w:rFonts w:ascii="Book Antiqua" w:eastAsia="Book Antiqua" w:hAnsi="Book Antiqua" w:cs="Book Antiqua"/>
          <w:i/>
          <w:iCs/>
        </w:rPr>
        <w:t>PLoS One</w:t>
      </w:r>
      <w:r w:rsidRPr="008A5B5E">
        <w:rPr>
          <w:rFonts w:ascii="Book Antiqua" w:eastAsia="Book Antiqua" w:hAnsi="Book Antiqua" w:cs="Book Antiqua"/>
        </w:rPr>
        <w:t xml:space="preserve"> 2014; </w:t>
      </w:r>
      <w:r w:rsidRPr="008A5B5E">
        <w:rPr>
          <w:rFonts w:ascii="Book Antiqua" w:eastAsia="Book Antiqua" w:hAnsi="Book Antiqua" w:cs="Book Antiqua"/>
          <w:b/>
          <w:bCs/>
        </w:rPr>
        <w:t>9</w:t>
      </w:r>
      <w:r w:rsidRPr="008A5B5E">
        <w:rPr>
          <w:rFonts w:ascii="Book Antiqua" w:eastAsia="Book Antiqua" w:hAnsi="Book Antiqua" w:cs="Book Antiqua"/>
        </w:rPr>
        <w:t>: e92977 [PMID: 24671137 DOI: 10.1371/journal.pone.0092977]</w:t>
      </w:r>
    </w:p>
    <w:p w14:paraId="3D860165"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47 </w:t>
      </w:r>
      <w:r w:rsidRPr="008A5B5E">
        <w:rPr>
          <w:rFonts w:ascii="Book Antiqua" w:eastAsia="Book Antiqua" w:hAnsi="Book Antiqua" w:cs="Book Antiqua"/>
          <w:b/>
          <w:bCs/>
        </w:rPr>
        <w:t>Srinontong P</w:t>
      </w:r>
      <w:r w:rsidRPr="008A5B5E">
        <w:rPr>
          <w:rFonts w:ascii="Book Antiqua" w:eastAsia="Book Antiqua" w:hAnsi="Book Antiqua" w:cs="Book Antiqua"/>
        </w:rPr>
        <w:t xml:space="preserve">, Wandee J, Aengwanich W. Paraquat modulates immunological function in bone marrow-derived macrophages. </w:t>
      </w:r>
      <w:r w:rsidRPr="008A5B5E">
        <w:rPr>
          <w:rFonts w:ascii="Book Antiqua" w:eastAsia="Book Antiqua" w:hAnsi="Book Antiqua" w:cs="Book Antiqua"/>
          <w:i/>
          <w:iCs/>
        </w:rPr>
        <w:t>Acta Vet Hung</w:t>
      </w:r>
      <w:r w:rsidRPr="008A5B5E">
        <w:rPr>
          <w:rFonts w:ascii="Book Antiqua" w:eastAsia="Book Antiqua" w:hAnsi="Book Antiqua" w:cs="Book Antiqua"/>
        </w:rPr>
        <w:t xml:space="preserve"> 2022 [PMID: </w:t>
      </w:r>
      <w:bookmarkStart w:id="184" w:name="OLE_LINK1314"/>
      <w:bookmarkStart w:id="185" w:name="OLE_LINK1315"/>
      <w:r w:rsidRPr="008A5B5E">
        <w:rPr>
          <w:rFonts w:ascii="Book Antiqua" w:eastAsia="Book Antiqua" w:hAnsi="Book Antiqua" w:cs="Book Antiqua"/>
        </w:rPr>
        <w:t xml:space="preserve">35262507 </w:t>
      </w:r>
      <w:bookmarkEnd w:id="184"/>
      <w:bookmarkEnd w:id="185"/>
      <w:r w:rsidRPr="008A5B5E">
        <w:rPr>
          <w:rFonts w:ascii="Book Antiqua" w:eastAsia="Book Antiqua" w:hAnsi="Book Antiqua" w:cs="Book Antiqua"/>
        </w:rPr>
        <w:t>DOI: 10.1556/004.2022.00003]</w:t>
      </w:r>
    </w:p>
    <w:p w14:paraId="58F043A6" w14:textId="77777777" w:rsidR="00D23823" w:rsidRPr="008A5B5E" w:rsidRDefault="00000000">
      <w:pPr>
        <w:spacing w:line="360" w:lineRule="auto"/>
        <w:jc w:val="both"/>
        <w:rPr>
          <w:rFonts w:ascii="Book Antiqua" w:hAnsi="Book Antiqua"/>
        </w:rPr>
      </w:pPr>
      <w:r w:rsidRPr="008A5B5E">
        <w:rPr>
          <w:rFonts w:ascii="Book Antiqua" w:eastAsia="Book Antiqua" w:hAnsi="Book Antiqua" w:cs="Book Antiqua"/>
        </w:rPr>
        <w:t xml:space="preserve">48 </w:t>
      </w:r>
      <w:r w:rsidRPr="008A5B5E">
        <w:rPr>
          <w:rFonts w:ascii="Book Antiqua" w:eastAsia="Book Antiqua" w:hAnsi="Book Antiqua" w:cs="Book Antiqua"/>
          <w:b/>
          <w:bCs/>
        </w:rPr>
        <w:t>Chao WC</w:t>
      </w:r>
      <w:r w:rsidRPr="008A5B5E">
        <w:rPr>
          <w:rFonts w:ascii="Book Antiqua" w:eastAsia="Book Antiqua" w:hAnsi="Book Antiqua" w:cs="Book Antiqua"/>
        </w:rPr>
        <w:t xml:space="preserve">, Yen CL, Wu YH, Chen SY, Hsieh CY, Chang TC, Ou HY, Shieh CC. Increased resistin may suppress reactive oxygen species production and inflammasome activation in type 2 diabetic patients with pulmonary tuberculosis infection. </w:t>
      </w:r>
      <w:r w:rsidRPr="008A5B5E">
        <w:rPr>
          <w:rFonts w:ascii="Book Antiqua" w:eastAsia="Book Antiqua" w:hAnsi="Book Antiqua" w:cs="Book Antiqua"/>
          <w:i/>
          <w:iCs/>
        </w:rPr>
        <w:t>Microbes Infect</w:t>
      </w:r>
      <w:r w:rsidRPr="008A5B5E">
        <w:rPr>
          <w:rFonts w:ascii="Book Antiqua" w:eastAsia="Book Antiqua" w:hAnsi="Book Antiqua" w:cs="Book Antiqua"/>
        </w:rPr>
        <w:t xml:space="preserve"> 2015; </w:t>
      </w:r>
      <w:r w:rsidRPr="008A5B5E">
        <w:rPr>
          <w:rFonts w:ascii="Book Antiqua" w:eastAsia="Book Antiqua" w:hAnsi="Book Antiqua" w:cs="Book Antiqua"/>
          <w:b/>
          <w:bCs/>
        </w:rPr>
        <w:t>17</w:t>
      </w:r>
      <w:r w:rsidRPr="008A5B5E">
        <w:rPr>
          <w:rFonts w:ascii="Book Antiqua" w:eastAsia="Book Antiqua" w:hAnsi="Book Antiqua" w:cs="Book Antiqua"/>
        </w:rPr>
        <w:t>: 195-204 [PMID: 25528597 DOI: 10.1016/j.micinf.2014.11.009]</w:t>
      </w:r>
    </w:p>
    <w:p w14:paraId="14602DD8" w14:textId="77777777" w:rsidR="00D23823" w:rsidRPr="00F427F0" w:rsidRDefault="00000000">
      <w:pPr>
        <w:spacing w:line="360" w:lineRule="auto"/>
        <w:jc w:val="both"/>
        <w:rPr>
          <w:rFonts w:ascii="Book Antiqua" w:hAnsi="Book Antiqua"/>
        </w:rPr>
      </w:pPr>
      <w:r w:rsidRPr="008A5B5E">
        <w:rPr>
          <w:rFonts w:ascii="Book Antiqua" w:eastAsia="Book Antiqua" w:hAnsi="Book Antiqua" w:cs="Book Antiqua"/>
        </w:rPr>
        <w:t xml:space="preserve">49 </w:t>
      </w:r>
      <w:r w:rsidRPr="008A5B5E">
        <w:rPr>
          <w:rFonts w:ascii="Book Antiqua" w:eastAsia="Book Antiqua" w:hAnsi="Book Antiqua" w:cs="Book Antiqua"/>
          <w:b/>
          <w:bCs/>
        </w:rPr>
        <w:t>Perner A</w:t>
      </w:r>
      <w:r w:rsidRPr="008A5B5E">
        <w:rPr>
          <w:rFonts w:ascii="Book Antiqua" w:eastAsia="Book Antiqua" w:hAnsi="Book Antiqua" w:cs="Book Antiqua"/>
        </w:rPr>
        <w:t xml:space="preserve">, Nielsen SE, Rask-Madsen J. High glucose impairs superoxide production from isolated blood neutrophils. </w:t>
      </w:r>
      <w:r w:rsidRPr="008A5B5E">
        <w:rPr>
          <w:rFonts w:ascii="Book Antiqua" w:eastAsia="Book Antiqua" w:hAnsi="Book Antiqua" w:cs="Book Antiqua"/>
          <w:i/>
          <w:iCs/>
        </w:rPr>
        <w:t>Intensive Care Med</w:t>
      </w:r>
      <w:r w:rsidRPr="008A5B5E">
        <w:rPr>
          <w:rFonts w:ascii="Book Antiqua" w:eastAsia="Book Antiqua" w:hAnsi="Book Antiqua" w:cs="Book Antiqua"/>
        </w:rPr>
        <w:t xml:space="preserve"> 2003; </w:t>
      </w:r>
      <w:r w:rsidRPr="008A5B5E">
        <w:rPr>
          <w:rFonts w:ascii="Book Antiqua" w:eastAsia="Book Antiqua" w:hAnsi="Book Antiqua" w:cs="Book Antiqua"/>
          <w:b/>
          <w:bCs/>
        </w:rPr>
        <w:t>29</w:t>
      </w:r>
      <w:r w:rsidRPr="008A5B5E">
        <w:rPr>
          <w:rFonts w:ascii="Book Antiqua" w:eastAsia="Book Antiqua" w:hAnsi="Book Antiqua" w:cs="Book Antiqua"/>
        </w:rPr>
        <w:t>: 642-645 [PMID: 12552364 DOI: 10.1007/s00134-002-1628-4]</w:t>
      </w:r>
    </w:p>
    <w:bookmarkEnd w:id="181"/>
    <w:bookmarkEnd w:id="182"/>
    <w:bookmarkEnd w:id="183"/>
    <w:p w14:paraId="48CB7895" w14:textId="77777777" w:rsidR="00D23823" w:rsidRPr="00F427F0" w:rsidRDefault="00D23823">
      <w:pPr>
        <w:spacing w:line="360" w:lineRule="auto"/>
        <w:jc w:val="both"/>
        <w:rPr>
          <w:rFonts w:ascii="Book Antiqua" w:hAnsi="Book Antiqua"/>
        </w:rPr>
        <w:sectPr w:rsidR="00D23823" w:rsidRPr="00F427F0">
          <w:pgSz w:w="12240" w:h="15840"/>
          <w:pgMar w:top="1440" w:right="1440" w:bottom="1440" w:left="1440" w:header="720" w:footer="720" w:gutter="0"/>
          <w:cols w:space="720"/>
          <w:docGrid w:linePitch="360"/>
        </w:sectPr>
      </w:pPr>
    </w:p>
    <w:p w14:paraId="40DDC00D"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rPr>
        <w:lastRenderedPageBreak/>
        <w:t>Footnotes</w:t>
      </w:r>
    </w:p>
    <w:p w14:paraId="2407196D" w14:textId="10911B70" w:rsidR="00D23823" w:rsidRPr="00F427F0" w:rsidRDefault="00000000">
      <w:pPr>
        <w:spacing w:line="360" w:lineRule="auto"/>
        <w:jc w:val="both"/>
        <w:rPr>
          <w:rFonts w:ascii="Book Antiqua" w:hAnsi="Book Antiqua"/>
        </w:rPr>
      </w:pPr>
      <w:r w:rsidRPr="00F427F0">
        <w:rPr>
          <w:rFonts w:ascii="Book Antiqua" w:eastAsia="Book Antiqua" w:hAnsi="Book Antiqua" w:cs="Book Antiqua"/>
          <w:b/>
          <w:bCs/>
        </w:rPr>
        <w:t xml:space="preserve">Institutional review board statement: </w:t>
      </w:r>
      <w:r w:rsidRPr="00F427F0">
        <w:rPr>
          <w:rFonts w:ascii="Book Antiqua" w:eastAsia="Book Antiqua" w:hAnsi="Book Antiqua" w:cs="Book Antiqua"/>
        </w:rPr>
        <w:t>The original data in this study were retrieved from the public GEO database with an open license for data use. This study was approved by the ethic committee of the First Affiliated Hospital of Nanjing Medical University (Approval No. 2022-SR-406).</w:t>
      </w:r>
    </w:p>
    <w:p w14:paraId="3F674004" w14:textId="77777777" w:rsidR="00D23823" w:rsidRPr="00F427F0" w:rsidRDefault="00D23823">
      <w:pPr>
        <w:spacing w:line="360" w:lineRule="auto"/>
        <w:jc w:val="both"/>
        <w:rPr>
          <w:rFonts w:ascii="Book Antiqua" w:hAnsi="Book Antiqua"/>
        </w:rPr>
      </w:pPr>
    </w:p>
    <w:p w14:paraId="770FB5FD"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bCs/>
        </w:rPr>
        <w:t xml:space="preserve">Informed consent statement: </w:t>
      </w:r>
      <w:r w:rsidRPr="00F427F0">
        <w:rPr>
          <w:rFonts w:ascii="Book Antiqua" w:eastAsia="Book Antiqua" w:hAnsi="Book Antiqua" w:cs="Book Antiqua"/>
        </w:rPr>
        <w:t>All study participants or their legal guardian provided informed written consent about personal and medical data collection prior to study enrollment.</w:t>
      </w:r>
    </w:p>
    <w:p w14:paraId="30C59143" w14:textId="77777777" w:rsidR="00D23823" w:rsidRPr="00F427F0" w:rsidRDefault="00D23823">
      <w:pPr>
        <w:spacing w:line="360" w:lineRule="auto"/>
        <w:jc w:val="both"/>
        <w:rPr>
          <w:rFonts w:ascii="Book Antiqua" w:hAnsi="Book Antiqua"/>
        </w:rPr>
      </w:pPr>
    </w:p>
    <w:p w14:paraId="266295FA"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bCs/>
        </w:rPr>
        <w:t xml:space="preserve">Conflict-of-interest statement: </w:t>
      </w:r>
      <w:r w:rsidRPr="00F427F0">
        <w:rPr>
          <w:rFonts w:ascii="Book Antiqua" w:eastAsia="Book Antiqua" w:hAnsi="Book Antiqua" w:cs="Book Antiqua"/>
        </w:rPr>
        <w:t>The authors declare no potential conflicts of interest with respect to the research, authorship, and/or publication of this article.</w:t>
      </w:r>
    </w:p>
    <w:p w14:paraId="2F205B1B" w14:textId="77777777" w:rsidR="00D23823" w:rsidRPr="00F427F0" w:rsidRDefault="00D23823">
      <w:pPr>
        <w:spacing w:line="360" w:lineRule="auto"/>
        <w:jc w:val="both"/>
        <w:rPr>
          <w:rFonts w:ascii="Book Antiqua" w:hAnsi="Book Antiqua"/>
        </w:rPr>
      </w:pPr>
    </w:p>
    <w:p w14:paraId="61B65F60" w14:textId="345B4D78" w:rsidR="00F427F0" w:rsidRPr="00F427F0" w:rsidRDefault="00000000">
      <w:pPr>
        <w:spacing w:line="360" w:lineRule="auto"/>
        <w:jc w:val="both"/>
        <w:rPr>
          <w:rFonts w:ascii="Book Antiqua" w:hAnsi="Book Antiqua"/>
        </w:rPr>
      </w:pPr>
      <w:r w:rsidRPr="00F427F0">
        <w:rPr>
          <w:rFonts w:ascii="Book Antiqua" w:eastAsia="Book Antiqua" w:hAnsi="Book Antiqua" w:cs="Book Antiqua"/>
          <w:b/>
          <w:bCs/>
        </w:rPr>
        <w:t xml:space="preserve">Data sharing statement: </w:t>
      </w:r>
      <w:r w:rsidRPr="00F427F0">
        <w:rPr>
          <w:rFonts w:ascii="Book Antiqua" w:eastAsia="Book Antiqua" w:hAnsi="Book Antiqua" w:cs="Book Antiqua"/>
        </w:rPr>
        <w:t>The datasets used and analyzed during the current study are available from the corresponding author on reasonable request.</w:t>
      </w:r>
    </w:p>
    <w:p w14:paraId="5B7E9F9F" w14:textId="77777777" w:rsidR="00D23823" w:rsidRPr="00F427F0" w:rsidRDefault="00D23823">
      <w:pPr>
        <w:spacing w:line="360" w:lineRule="auto"/>
        <w:jc w:val="both"/>
        <w:rPr>
          <w:rFonts w:ascii="Book Antiqua" w:hAnsi="Book Antiqua"/>
        </w:rPr>
      </w:pPr>
    </w:p>
    <w:p w14:paraId="23BE8343"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bCs/>
        </w:rPr>
        <w:t xml:space="preserve">Open-Access: </w:t>
      </w:r>
      <w:r w:rsidRPr="00F427F0">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EBE556A" w14:textId="77777777" w:rsidR="00D23823" w:rsidRPr="00F427F0" w:rsidRDefault="00D23823">
      <w:pPr>
        <w:spacing w:line="360" w:lineRule="auto"/>
        <w:jc w:val="both"/>
        <w:rPr>
          <w:rFonts w:ascii="Book Antiqua" w:hAnsi="Book Antiqua"/>
        </w:rPr>
      </w:pPr>
    </w:p>
    <w:p w14:paraId="46DFA690" w14:textId="77777777" w:rsidR="00D23823" w:rsidRPr="00F427F0" w:rsidRDefault="00000000">
      <w:pPr>
        <w:spacing w:line="360" w:lineRule="auto"/>
        <w:jc w:val="both"/>
        <w:rPr>
          <w:rFonts w:ascii="Book Antiqua" w:eastAsia="Book Antiqua" w:hAnsi="Book Antiqua" w:cs="Book Antiqua"/>
        </w:rPr>
      </w:pPr>
      <w:r w:rsidRPr="00F427F0">
        <w:rPr>
          <w:rFonts w:ascii="Book Antiqua" w:eastAsia="Book Antiqua" w:hAnsi="Book Antiqua" w:cs="Book Antiqua"/>
          <w:b/>
        </w:rPr>
        <w:t xml:space="preserve">Provenance and peer review: </w:t>
      </w:r>
      <w:r w:rsidRPr="00F427F0">
        <w:rPr>
          <w:rFonts w:ascii="Book Antiqua" w:eastAsia="Book Antiqua" w:hAnsi="Book Antiqua" w:cs="Book Antiqua"/>
        </w:rPr>
        <w:t>Unsolicited article; Externally peer reviewed.</w:t>
      </w:r>
    </w:p>
    <w:p w14:paraId="0D05C11A" w14:textId="77777777" w:rsidR="00D23823" w:rsidRPr="00F427F0" w:rsidRDefault="00D23823">
      <w:pPr>
        <w:spacing w:line="360" w:lineRule="auto"/>
        <w:jc w:val="both"/>
        <w:rPr>
          <w:rFonts w:ascii="Book Antiqua" w:hAnsi="Book Antiqua"/>
        </w:rPr>
      </w:pPr>
    </w:p>
    <w:p w14:paraId="30CDAD4E"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rPr>
        <w:t xml:space="preserve">Peer-review model: </w:t>
      </w:r>
      <w:r w:rsidRPr="00F427F0">
        <w:rPr>
          <w:rFonts w:ascii="Book Antiqua" w:eastAsia="Book Antiqua" w:hAnsi="Book Antiqua" w:cs="Book Antiqua"/>
        </w:rPr>
        <w:t>Single blind</w:t>
      </w:r>
    </w:p>
    <w:p w14:paraId="5D7E5F47" w14:textId="77777777" w:rsidR="00D23823" w:rsidRPr="00F427F0" w:rsidRDefault="00D23823">
      <w:pPr>
        <w:spacing w:line="360" w:lineRule="auto"/>
        <w:jc w:val="both"/>
        <w:rPr>
          <w:rFonts w:ascii="Book Antiqua" w:hAnsi="Book Antiqua"/>
        </w:rPr>
      </w:pPr>
    </w:p>
    <w:p w14:paraId="541A0DBE"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rPr>
        <w:t xml:space="preserve">Peer-review started: </w:t>
      </w:r>
      <w:r w:rsidRPr="00F427F0">
        <w:rPr>
          <w:rFonts w:ascii="Book Antiqua" w:eastAsia="Book Antiqua" w:hAnsi="Book Antiqua" w:cs="Book Antiqua"/>
        </w:rPr>
        <w:t>September 21, 2023</w:t>
      </w:r>
    </w:p>
    <w:p w14:paraId="068E21E5"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rPr>
        <w:lastRenderedPageBreak/>
        <w:t xml:space="preserve">First decision: </w:t>
      </w:r>
      <w:r w:rsidRPr="00F427F0">
        <w:rPr>
          <w:rFonts w:ascii="Book Antiqua" w:eastAsia="Book Antiqua" w:hAnsi="Book Antiqua" w:cs="Book Antiqua"/>
        </w:rPr>
        <w:t>November 9, 2023</w:t>
      </w:r>
    </w:p>
    <w:p w14:paraId="15B708F0" w14:textId="0E55530D" w:rsidR="00D23823" w:rsidRPr="00F427F0" w:rsidRDefault="00000000">
      <w:pPr>
        <w:spacing w:line="360" w:lineRule="auto"/>
        <w:jc w:val="both"/>
        <w:rPr>
          <w:rFonts w:ascii="Book Antiqua" w:hAnsi="Book Antiqua"/>
        </w:rPr>
      </w:pPr>
      <w:r w:rsidRPr="00F427F0">
        <w:rPr>
          <w:rFonts w:ascii="Book Antiqua" w:eastAsia="Book Antiqua" w:hAnsi="Book Antiqua" w:cs="Book Antiqua"/>
          <w:b/>
        </w:rPr>
        <w:t xml:space="preserve">Article in press: </w:t>
      </w:r>
      <w:r w:rsidR="008A5B5E" w:rsidRPr="00E0103E">
        <w:rPr>
          <w:rFonts w:ascii="Book Antiqua" w:hAnsi="Book Antiqua"/>
        </w:rPr>
        <w:t xml:space="preserve">December </w:t>
      </w:r>
      <w:r w:rsidR="008A5B5E">
        <w:rPr>
          <w:rFonts w:ascii="Book Antiqua" w:hAnsi="Book Antiqua"/>
        </w:rPr>
        <w:t>27</w:t>
      </w:r>
      <w:r w:rsidR="008A5B5E" w:rsidRPr="00E0103E">
        <w:rPr>
          <w:rFonts w:ascii="Book Antiqua" w:hAnsi="Book Antiqua"/>
        </w:rPr>
        <w:t>, 2023</w:t>
      </w:r>
    </w:p>
    <w:p w14:paraId="29DEA240" w14:textId="77777777" w:rsidR="00D23823" w:rsidRPr="00F427F0" w:rsidRDefault="00D23823">
      <w:pPr>
        <w:spacing w:line="360" w:lineRule="auto"/>
        <w:jc w:val="both"/>
        <w:rPr>
          <w:rFonts w:ascii="Book Antiqua" w:hAnsi="Book Antiqua"/>
        </w:rPr>
      </w:pPr>
    </w:p>
    <w:p w14:paraId="5D033A87"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rPr>
        <w:t xml:space="preserve">Specialty type: </w:t>
      </w:r>
      <w:r w:rsidRPr="00F427F0">
        <w:rPr>
          <w:rFonts w:ascii="Book Antiqua" w:eastAsia="Book Antiqua" w:hAnsi="Book Antiqua" w:cs="Book Antiqua"/>
        </w:rPr>
        <w:t>Endocrinology and metabolism</w:t>
      </w:r>
    </w:p>
    <w:p w14:paraId="5FE93F9B"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rPr>
        <w:t xml:space="preserve">Country/Territory of origin: </w:t>
      </w:r>
      <w:r w:rsidRPr="00F427F0">
        <w:rPr>
          <w:rFonts w:ascii="Book Antiqua" w:eastAsia="Book Antiqua" w:hAnsi="Book Antiqua" w:cs="Book Antiqua"/>
        </w:rPr>
        <w:t>China</w:t>
      </w:r>
    </w:p>
    <w:p w14:paraId="123A1319"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rPr>
        <w:t>Peer-review report’s scientific quality classification</w:t>
      </w:r>
    </w:p>
    <w:p w14:paraId="58FB6E3D"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Grade A (Excellent): 0</w:t>
      </w:r>
    </w:p>
    <w:p w14:paraId="40C0F0ED"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Grade B (Very good): B, B</w:t>
      </w:r>
    </w:p>
    <w:p w14:paraId="44E79AF9" w14:textId="25FA47F1" w:rsidR="00D23823" w:rsidRPr="00F427F0" w:rsidRDefault="00000000">
      <w:pPr>
        <w:spacing w:line="360" w:lineRule="auto"/>
        <w:jc w:val="both"/>
        <w:rPr>
          <w:rFonts w:ascii="Book Antiqua" w:hAnsi="Book Antiqua"/>
          <w:lang w:eastAsia="zh-CN"/>
        </w:rPr>
      </w:pPr>
      <w:r w:rsidRPr="00F427F0">
        <w:rPr>
          <w:rFonts w:ascii="Book Antiqua" w:eastAsia="Book Antiqua" w:hAnsi="Book Antiqua" w:cs="Book Antiqua"/>
        </w:rPr>
        <w:t>Grade C (Good): C, C</w:t>
      </w:r>
      <w:r w:rsidR="008C71F8">
        <w:rPr>
          <w:rFonts w:ascii="Book Antiqua" w:eastAsia="Book Antiqua" w:hAnsi="Book Antiqua" w:cs="Book Antiqua"/>
        </w:rPr>
        <w:t>, C</w:t>
      </w:r>
    </w:p>
    <w:p w14:paraId="04312B5C"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Grade D (Fair): 0</w:t>
      </w:r>
    </w:p>
    <w:p w14:paraId="6D592749"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Grade E (Poor): 0</w:t>
      </w:r>
    </w:p>
    <w:p w14:paraId="10450492" w14:textId="77777777" w:rsidR="00D23823" w:rsidRPr="00F427F0" w:rsidRDefault="00D23823">
      <w:pPr>
        <w:spacing w:line="360" w:lineRule="auto"/>
        <w:jc w:val="both"/>
        <w:rPr>
          <w:rFonts w:ascii="Book Antiqua" w:hAnsi="Book Antiqua"/>
        </w:rPr>
      </w:pPr>
    </w:p>
    <w:p w14:paraId="42CD21FE" w14:textId="391D053A" w:rsidR="00D23823" w:rsidRPr="00F427F0" w:rsidRDefault="00000000">
      <w:pPr>
        <w:spacing w:line="360" w:lineRule="auto"/>
        <w:jc w:val="both"/>
        <w:rPr>
          <w:rFonts w:ascii="Book Antiqua" w:hAnsi="Book Antiqua"/>
        </w:rPr>
        <w:sectPr w:rsidR="00D23823" w:rsidRPr="00F427F0">
          <w:pgSz w:w="12240" w:h="15840"/>
          <w:pgMar w:top="1440" w:right="1440" w:bottom="1440" w:left="1440" w:header="720" w:footer="720" w:gutter="0"/>
          <w:cols w:space="720"/>
          <w:docGrid w:linePitch="360"/>
        </w:sectPr>
      </w:pPr>
      <w:r w:rsidRPr="00F427F0">
        <w:rPr>
          <w:rFonts w:ascii="Book Antiqua" w:eastAsia="Book Antiqua" w:hAnsi="Book Antiqua" w:cs="Book Antiqua"/>
          <w:b/>
        </w:rPr>
        <w:t xml:space="preserve">P-Reviewer: </w:t>
      </w:r>
      <w:r w:rsidRPr="00F427F0">
        <w:rPr>
          <w:rFonts w:ascii="Book Antiqua" w:eastAsia="Book Antiqua" w:hAnsi="Book Antiqua" w:cs="Book Antiqua"/>
        </w:rPr>
        <w:t>Arumugam VA, India</w:t>
      </w:r>
      <w:r w:rsidR="00F24172">
        <w:rPr>
          <w:rFonts w:ascii="Book Antiqua" w:eastAsia="Book Antiqua" w:hAnsi="Book Antiqua" w:cs="Book Antiqua"/>
        </w:rPr>
        <w:t xml:space="preserve">; </w:t>
      </w:r>
      <w:r w:rsidR="00F24172" w:rsidRPr="00F24172">
        <w:rPr>
          <w:rFonts w:ascii="Book Antiqua" w:eastAsia="Book Antiqua" w:hAnsi="Book Antiqua" w:cs="Book Antiqua"/>
        </w:rPr>
        <w:t>Horowitz</w:t>
      </w:r>
      <w:r w:rsidR="00F24172">
        <w:rPr>
          <w:rFonts w:ascii="Book Antiqua" w:eastAsia="Book Antiqua" w:hAnsi="Book Antiqua" w:cs="Book Antiqua"/>
        </w:rPr>
        <w:t xml:space="preserve"> M, </w:t>
      </w:r>
      <w:r w:rsidR="00F24172" w:rsidRPr="00F24172">
        <w:rPr>
          <w:rFonts w:ascii="Book Antiqua" w:eastAsia="Book Antiqua" w:hAnsi="Book Antiqua" w:cs="Book Antiqua"/>
        </w:rPr>
        <w:t>Australia</w:t>
      </w:r>
      <w:r w:rsidRPr="00F427F0">
        <w:rPr>
          <w:rFonts w:ascii="Book Antiqua" w:eastAsia="Book Antiqua" w:hAnsi="Book Antiqua" w:cs="Book Antiqua"/>
        </w:rPr>
        <w:t>; Suzuki H, Japan</w:t>
      </w:r>
      <w:r w:rsidRPr="00F427F0">
        <w:rPr>
          <w:rFonts w:ascii="Book Antiqua" w:eastAsia="Book Antiqua" w:hAnsi="Book Antiqua" w:cs="Book Antiqua"/>
          <w:b/>
        </w:rPr>
        <w:t xml:space="preserve"> S-Editor: </w:t>
      </w:r>
      <w:r w:rsidRPr="00F427F0">
        <w:rPr>
          <w:rFonts w:ascii="Book Antiqua" w:eastAsia="Book Antiqua" w:hAnsi="Book Antiqua" w:cs="Book Antiqua"/>
          <w:bCs/>
        </w:rPr>
        <w:t xml:space="preserve">Lin C </w:t>
      </w:r>
      <w:r w:rsidRPr="00F427F0">
        <w:rPr>
          <w:rFonts w:ascii="Book Antiqua" w:eastAsia="Book Antiqua" w:hAnsi="Book Antiqua" w:cs="Book Antiqua"/>
          <w:b/>
        </w:rPr>
        <w:t xml:space="preserve">L-Editor: </w:t>
      </w:r>
      <w:r w:rsidRPr="00F427F0">
        <w:rPr>
          <w:rFonts w:ascii="Book Antiqua" w:eastAsia="Book Antiqua" w:hAnsi="Book Antiqua" w:cs="Book Antiqua"/>
          <w:bCs/>
        </w:rPr>
        <w:t>A</w:t>
      </w:r>
      <w:r w:rsidRPr="00F427F0">
        <w:rPr>
          <w:rFonts w:ascii="Book Antiqua" w:eastAsia="Book Antiqua" w:hAnsi="Book Antiqua" w:cs="Book Antiqua"/>
          <w:b/>
        </w:rPr>
        <w:t xml:space="preserve"> P-Editor: </w:t>
      </w:r>
      <w:r w:rsidR="008A5B5E">
        <w:rPr>
          <w:rFonts w:ascii="Book Antiqua" w:eastAsia="Book Antiqua" w:hAnsi="Book Antiqua" w:cs="Book Antiqua"/>
        </w:rPr>
        <w:t>Chen YX</w:t>
      </w:r>
    </w:p>
    <w:p w14:paraId="529DD5A7" w14:textId="77777777" w:rsidR="00D23823" w:rsidRPr="00F427F0" w:rsidRDefault="00000000">
      <w:pPr>
        <w:spacing w:line="360" w:lineRule="auto"/>
        <w:jc w:val="both"/>
        <w:rPr>
          <w:rFonts w:ascii="Book Antiqua" w:eastAsia="Book Antiqua" w:hAnsi="Book Antiqua" w:cs="Book Antiqua"/>
          <w:b/>
        </w:rPr>
      </w:pPr>
      <w:r w:rsidRPr="00F427F0">
        <w:rPr>
          <w:rFonts w:ascii="Book Antiqua" w:eastAsia="Book Antiqua" w:hAnsi="Book Antiqua" w:cs="Book Antiqua"/>
          <w:b/>
        </w:rPr>
        <w:lastRenderedPageBreak/>
        <w:t>Figure Legends</w:t>
      </w:r>
    </w:p>
    <w:p w14:paraId="0C1A5358" w14:textId="6857AF3C" w:rsidR="00D23823" w:rsidRPr="00F427F0" w:rsidRDefault="00A80599">
      <w:pPr>
        <w:spacing w:line="360" w:lineRule="auto"/>
        <w:jc w:val="both"/>
        <w:rPr>
          <w:rFonts w:ascii="Book Antiqua" w:hAnsi="Book Antiqua"/>
        </w:rPr>
      </w:pPr>
      <w:r>
        <w:rPr>
          <w:rFonts w:ascii="Book Antiqua" w:hAnsi="Book Antiqua"/>
          <w:noProof/>
        </w:rPr>
        <w:drawing>
          <wp:inline distT="0" distB="0" distL="0" distR="0" wp14:anchorId="20CCA7DC" wp14:editId="55D0D3FC">
            <wp:extent cx="6024015" cy="405110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24015" cy="4051108"/>
                    </a:xfrm>
                    <a:prstGeom prst="rect">
                      <a:avLst/>
                    </a:prstGeom>
                  </pic:spPr>
                </pic:pic>
              </a:graphicData>
            </a:graphic>
          </wp:inline>
        </w:drawing>
      </w:r>
    </w:p>
    <w:p w14:paraId="68FC0B1E" w14:textId="77777777" w:rsidR="00D23823" w:rsidRPr="00F427F0" w:rsidRDefault="00000000">
      <w:pPr>
        <w:spacing w:line="360" w:lineRule="auto"/>
        <w:jc w:val="both"/>
        <w:rPr>
          <w:rFonts w:ascii="Book Antiqua" w:eastAsia="Book Antiqua" w:hAnsi="Book Antiqua" w:cs="Book Antiqua"/>
        </w:rPr>
        <w:sectPr w:rsidR="00D23823" w:rsidRPr="00F427F0" w:rsidSect="00A80599">
          <w:pgSz w:w="12240" w:h="15840"/>
          <w:pgMar w:top="1440" w:right="1440" w:bottom="1440" w:left="1440" w:header="720" w:footer="720" w:gutter="0"/>
          <w:cols w:space="720"/>
          <w:docGrid w:linePitch="360"/>
        </w:sectPr>
      </w:pPr>
      <w:r w:rsidRPr="00F427F0">
        <w:rPr>
          <w:rFonts w:ascii="Book Antiqua" w:eastAsia="Book Antiqua" w:hAnsi="Book Antiqua" w:cs="Book Antiqua"/>
          <w:b/>
          <w:bCs/>
        </w:rPr>
        <w:t>Figure 1 Overall workflow of the study.</w:t>
      </w:r>
      <w:r w:rsidRPr="00F427F0">
        <w:rPr>
          <w:rFonts w:ascii="Book Antiqua" w:eastAsia="Book Antiqua" w:hAnsi="Book Antiqua" w:cs="Book Antiqua"/>
        </w:rPr>
        <w:t xml:space="preserve"> T2DM: Type 2 diabetes mellitus; </w:t>
      </w:r>
      <w:r w:rsidRPr="00F427F0">
        <w:rPr>
          <w:rFonts w:ascii="Book Antiqua" w:eastAsia="Book Antiqua" w:hAnsi="Book Antiqua" w:cs="Book Antiqua"/>
          <w:i/>
          <w:iCs/>
        </w:rPr>
        <w:t>H. pylori</w:t>
      </w:r>
      <w:r w:rsidRPr="00F427F0">
        <w:rPr>
          <w:rFonts w:ascii="Book Antiqua" w:eastAsia="Book Antiqua" w:hAnsi="Book Antiqua" w:cs="Book Antiqua"/>
        </w:rPr>
        <w:t xml:space="preserve">: </w:t>
      </w:r>
      <w:r w:rsidRPr="00F427F0">
        <w:rPr>
          <w:rFonts w:ascii="Book Antiqua" w:eastAsia="Book Antiqua" w:hAnsi="Book Antiqua" w:cs="Book Antiqua"/>
          <w:i/>
          <w:iCs/>
        </w:rPr>
        <w:t>Helicobacter pylori</w:t>
      </w:r>
      <w:r w:rsidRPr="00F427F0">
        <w:rPr>
          <w:rFonts w:ascii="Book Antiqua" w:eastAsia="Book Antiqua" w:hAnsi="Book Antiqua" w:cs="Book Antiqua"/>
        </w:rPr>
        <w:t>; DEGs: Differentially expressed genes; TF: Transcriptional factor; PPI: Protein-protein interaction; GSEA: Gene set enrichment analysis.</w:t>
      </w:r>
    </w:p>
    <w:p w14:paraId="284367EC" w14:textId="6B1DB478" w:rsidR="00D23823" w:rsidRPr="00F427F0" w:rsidRDefault="00A80599">
      <w:pPr>
        <w:spacing w:line="360" w:lineRule="auto"/>
        <w:jc w:val="both"/>
        <w:rPr>
          <w:rFonts w:ascii="Book Antiqua" w:eastAsia="Book Antiqua" w:hAnsi="Book Antiqua" w:cs="Book Antiqua"/>
        </w:rPr>
      </w:pPr>
      <w:r>
        <w:rPr>
          <w:rFonts w:ascii="Book Antiqua" w:hAnsi="Book Antiqua"/>
          <w:noProof/>
        </w:rPr>
        <w:lastRenderedPageBreak/>
        <w:drawing>
          <wp:inline distT="0" distB="0" distL="0" distR="0" wp14:anchorId="6DA1535B" wp14:editId="6A6C7628">
            <wp:extent cx="5943600" cy="503568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035689"/>
                    </a:xfrm>
                    <a:prstGeom prst="rect">
                      <a:avLst/>
                    </a:prstGeom>
                  </pic:spPr>
                </pic:pic>
              </a:graphicData>
            </a:graphic>
          </wp:inline>
        </w:drawing>
      </w:r>
    </w:p>
    <w:p w14:paraId="3CF6A366" w14:textId="77777777" w:rsidR="00D23823" w:rsidRPr="00F427F0" w:rsidRDefault="00000000">
      <w:pPr>
        <w:spacing w:line="360" w:lineRule="auto"/>
        <w:jc w:val="both"/>
        <w:rPr>
          <w:rFonts w:ascii="Book Antiqua" w:hAnsi="Book Antiqua" w:cs="Book Antiqua"/>
          <w:lang w:eastAsia="zh-CN"/>
        </w:rPr>
      </w:pPr>
      <w:r w:rsidRPr="00F427F0">
        <w:rPr>
          <w:rFonts w:ascii="Book Antiqua" w:eastAsia="Book Antiqua" w:hAnsi="Book Antiqua" w:cs="Book Antiqua"/>
          <w:b/>
          <w:bCs/>
        </w:rPr>
        <w:t>Figure 2 The expression levels of differentially expressed genes in three datasets.</w:t>
      </w:r>
      <w:r w:rsidRPr="00F427F0">
        <w:rPr>
          <w:rFonts w:ascii="Book Antiqua" w:eastAsia="Book Antiqua" w:hAnsi="Book Antiqua" w:cs="Book Antiqua"/>
        </w:rPr>
        <w:t xml:space="preserve"> A-C: The volcano plot distribution of differentially expressed genes (DEGs) of GSE60427 (A), GSE27411 (B) and GSE115601 (C). The blue dots indicate the screened downregulated DEGs, red dots indicate the screened upregulated DEGs, and the grey dots indicate genes with no significant differences; D: The Venn diagram of DEGs based on the three datasets. DEGs: Differentially expressed genes</w:t>
      </w:r>
      <w:r w:rsidRPr="00F427F0">
        <w:rPr>
          <w:rFonts w:ascii="Book Antiqua" w:hAnsi="Book Antiqua" w:cs="Book Antiqua"/>
          <w:lang w:eastAsia="zh-CN"/>
        </w:rPr>
        <w:t>.</w:t>
      </w:r>
    </w:p>
    <w:p w14:paraId="5CE751A6" w14:textId="68D1F566" w:rsidR="00D23823" w:rsidRPr="00F427F0" w:rsidRDefault="00A80599">
      <w:pPr>
        <w:spacing w:line="360" w:lineRule="auto"/>
        <w:jc w:val="both"/>
        <w:rPr>
          <w:rFonts w:ascii="Book Antiqua" w:eastAsia="Book Antiqua" w:hAnsi="Book Antiqua" w:cs="Book Antiqua"/>
        </w:rPr>
      </w:pPr>
      <w:r>
        <w:rPr>
          <w:rFonts w:ascii="Book Antiqua" w:hAnsi="Book Antiqua"/>
          <w:noProof/>
        </w:rPr>
        <w:lastRenderedPageBreak/>
        <w:drawing>
          <wp:inline distT="0" distB="0" distL="0" distR="0" wp14:anchorId="59C04BC1" wp14:editId="6D119011">
            <wp:extent cx="5943600" cy="515714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157149"/>
                    </a:xfrm>
                    <a:prstGeom prst="rect">
                      <a:avLst/>
                    </a:prstGeom>
                  </pic:spPr>
                </pic:pic>
              </a:graphicData>
            </a:graphic>
          </wp:inline>
        </w:drawing>
      </w:r>
    </w:p>
    <w:p w14:paraId="31344617" w14:textId="77777777" w:rsidR="00D23823" w:rsidRPr="00F427F0" w:rsidRDefault="00000000">
      <w:pPr>
        <w:spacing w:line="360" w:lineRule="auto"/>
        <w:jc w:val="both"/>
        <w:rPr>
          <w:rFonts w:ascii="Book Antiqua" w:eastAsia="Book Antiqua" w:hAnsi="Book Antiqua" w:cs="Book Antiqua"/>
        </w:rPr>
      </w:pPr>
      <w:r w:rsidRPr="00F427F0">
        <w:rPr>
          <w:rFonts w:ascii="Book Antiqua" w:eastAsia="Book Antiqua" w:hAnsi="Book Antiqua" w:cs="Book Antiqua"/>
          <w:b/>
          <w:bCs/>
        </w:rPr>
        <w:t>Figure 3 Functional enrichment analysis of common differentially expressed genes.</w:t>
      </w:r>
      <w:r w:rsidRPr="00F427F0">
        <w:rPr>
          <w:rFonts w:ascii="Book Antiqua" w:eastAsia="Book Antiqua" w:hAnsi="Book Antiqua" w:cs="Book Antiqua"/>
        </w:rPr>
        <w:t xml:space="preserve"> A: Biological process analysis of differentially expressed genes (DEGs); B: Cellular component analysis of DEGs; C: Molecular function analysis of DEGs; D: Kyoto Encyclopedia of Genes and Genomes pathway analysis of DEGs. BP: Biological process; CC: Cellular component; MF: Molecular function; KEGG: Kyoto Encyclopedia of Genes and Genomes.</w:t>
      </w:r>
    </w:p>
    <w:p w14:paraId="3D71B2B4" w14:textId="77777777" w:rsidR="00D23823" w:rsidRPr="00F427F0" w:rsidRDefault="00D23823">
      <w:pPr>
        <w:spacing w:line="360" w:lineRule="auto"/>
        <w:jc w:val="both"/>
        <w:rPr>
          <w:rFonts w:ascii="Book Antiqua" w:eastAsia="Book Antiqua" w:hAnsi="Book Antiqua" w:cs="Book Antiqua"/>
        </w:rPr>
        <w:sectPr w:rsidR="00D23823" w:rsidRPr="00F427F0">
          <w:pgSz w:w="12240" w:h="15840"/>
          <w:pgMar w:top="1440" w:right="1440" w:bottom="1440" w:left="1440" w:header="720" w:footer="720" w:gutter="0"/>
          <w:cols w:space="720"/>
          <w:docGrid w:linePitch="360"/>
        </w:sectPr>
      </w:pPr>
    </w:p>
    <w:p w14:paraId="4DE16EC5" w14:textId="5F382616" w:rsidR="00D23823" w:rsidRPr="00F427F0" w:rsidRDefault="00A80599">
      <w:pPr>
        <w:spacing w:line="360" w:lineRule="auto"/>
        <w:jc w:val="both"/>
        <w:rPr>
          <w:rFonts w:ascii="Book Antiqua" w:eastAsia="Book Antiqua" w:hAnsi="Book Antiqua" w:cs="Book Antiqua"/>
        </w:rPr>
      </w:pPr>
      <w:r>
        <w:rPr>
          <w:rFonts w:ascii="Book Antiqua" w:hAnsi="Book Antiqua"/>
          <w:noProof/>
        </w:rPr>
        <w:lastRenderedPageBreak/>
        <w:drawing>
          <wp:inline distT="0" distB="0" distL="0" distR="0" wp14:anchorId="0819F64F" wp14:editId="4CED3186">
            <wp:extent cx="4499610" cy="5943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99610" cy="5943600"/>
                    </a:xfrm>
                    <a:prstGeom prst="rect">
                      <a:avLst/>
                    </a:prstGeom>
                  </pic:spPr>
                </pic:pic>
              </a:graphicData>
            </a:graphic>
          </wp:inline>
        </w:drawing>
      </w:r>
    </w:p>
    <w:p w14:paraId="5C634B10" w14:textId="77777777" w:rsidR="00D23823" w:rsidRPr="00F427F0" w:rsidRDefault="00000000">
      <w:pPr>
        <w:spacing w:line="360" w:lineRule="auto"/>
        <w:jc w:val="both"/>
        <w:rPr>
          <w:rFonts w:ascii="Book Antiqua" w:eastAsia="Book Antiqua" w:hAnsi="Book Antiqua" w:cs="Book Antiqua"/>
        </w:rPr>
      </w:pPr>
      <w:r w:rsidRPr="00F427F0">
        <w:rPr>
          <w:rFonts w:ascii="Book Antiqua" w:eastAsia="Book Antiqua" w:hAnsi="Book Antiqua" w:cs="Book Antiqua"/>
          <w:b/>
          <w:bCs/>
        </w:rPr>
        <w:t>Figure 4 Protein-protein interaction network showing interactions between common genes and identification of differentially expressed genes from this network.</w:t>
      </w:r>
      <w:r w:rsidRPr="00F427F0">
        <w:rPr>
          <w:rFonts w:ascii="Book Antiqua" w:eastAsia="Book Antiqua" w:hAnsi="Book Antiqua" w:cs="Book Antiqua"/>
        </w:rPr>
        <w:t xml:space="preserve"> A: The protein-protein interaction (PPI) network of differentially expressed genes was constructed by Cytoscape software. The criteria of the PPI network were as follows: Confidence score ≥ 0.4 and a maximum number of interactions ≤ 5; B: The top module of the PPI network. MCODE score ≥ 3, 9 nodes and 21 edges; C: Construction of the PPI network among the 5 hub genes; D: Coexpression analysis of the 5 hub genes using </w:t>
      </w:r>
      <w:r w:rsidRPr="00F427F0">
        <w:rPr>
          <w:rFonts w:ascii="Book Antiqua" w:eastAsia="Book Antiqua" w:hAnsi="Book Antiqua" w:cs="Book Antiqua"/>
        </w:rPr>
        <w:lastRenderedPageBreak/>
        <w:t xml:space="preserve">STRING; E: The expression of 5 hub genes in clinical specimens by RT-qPCR analysis. </w:t>
      </w:r>
      <w:r w:rsidRPr="00F427F0">
        <w:rPr>
          <w:rFonts w:ascii="Book Antiqua" w:eastAsia="Book Antiqua" w:hAnsi="Book Antiqua" w:cs="Book Antiqua"/>
          <w:vertAlign w:val="superscript"/>
        </w:rPr>
        <w:t>a</w:t>
      </w:r>
      <w:r w:rsidRPr="00F427F0">
        <w:rPr>
          <w:rFonts w:ascii="Book Antiqua" w:eastAsia="Book Antiqua" w:hAnsi="Book Antiqua" w:cs="Book Antiqua"/>
          <w:i/>
          <w:iCs/>
        </w:rPr>
        <w:t>P</w:t>
      </w:r>
      <w:r w:rsidRPr="00F427F0">
        <w:rPr>
          <w:rFonts w:ascii="Book Antiqua" w:eastAsia="Book Antiqua" w:hAnsi="Book Antiqua" w:cs="Book Antiqua"/>
        </w:rPr>
        <w:t xml:space="preserve"> &lt; 0.05; </w:t>
      </w:r>
      <w:r w:rsidRPr="00F427F0">
        <w:rPr>
          <w:rFonts w:ascii="Book Antiqua" w:eastAsia="Book Antiqua" w:hAnsi="Book Antiqua" w:cs="Book Antiqua"/>
          <w:vertAlign w:val="superscript"/>
        </w:rPr>
        <w:t>b</w:t>
      </w:r>
      <w:r w:rsidRPr="00F427F0">
        <w:rPr>
          <w:rFonts w:ascii="Book Antiqua" w:eastAsia="Book Antiqua" w:hAnsi="Book Antiqua" w:cs="Book Antiqua"/>
          <w:i/>
          <w:iCs/>
        </w:rPr>
        <w:t>P</w:t>
      </w:r>
      <w:r w:rsidRPr="00F427F0">
        <w:rPr>
          <w:rFonts w:ascii="Book Antiqua" w:eastAsia="Book Antiqua" w:hAnsi="Book Antiqua" w:cs="Book Antiqua"/>
        </w:rPr>
        <w:t xml:space="preserve"> &lt; 0.01). T2DM: Type 2 diabetes mellitus; </w:t>
      </w:r>
      <w:r w:rsidRPr="00F427F0">
        <w:rPr>
          <w:rFonts w:ascii="Book Antiqua" w:eastAsia="Book Antiqua" w:hAnsi="Book Antiqua" w:cs="Book Antiqua"/>
          <w:i/>
          <w:iCs/>
        </w:rPr>
        <w:t>H. pylori</w:t>
      </w:r>
      <w:r w:rsidRPr="00F427F0">
        <w:rPr>
          <w:rFonts w:ascii="Book Antiqua" w:eastAsia="Book Antiqua" w:hAnsi="Book Antiqua" w:cs="Book Antiqua"/>
        </w:rPr>
        <w:t xml:space="preserve">: </w:t>
      </w:r>
      <w:r w:rsidRPr="00F427F0">
        <w:rPr>
          <w:rFonts w:ascii="Book Antiqua" w:eastAsia="Book Antiqua" w:hAnsi="Book Antiqua" w:cs="Book Antiqua"/>
          <w:i/>
          <w:iCs/>
        </w:rPr>
        <w:t>Helicobacter pylori</w:t>
      </w:r>
      <w:r w:rsidRPr="00F427F0">
        <w:rPr>
          <w:rFonts w:ascii="Book Antiqua" w:eastAsia="Book Antiqua" w:hAnsi="Book Antiqua" w:cs="Book Antiqua"/>
        </w:rPr>
        <w:t>.</w:t>
      </w:r>
    </w:p>
    <w:p w14:paraId="68439A4C" w14:textId="77777777" w:rsidR="00D23823" w:rsidRPr="00F427F0" w:rsidRDefault="00D23823">
      <w:pPr>
        <w:spacing w:line="360" w:lineRule="auto"/>
        <w:jc w:val="both"/>
        <w:rPr>
          <w:rFonts w:ascii="Book Antiqua" w:eastAsia="Book Antiqua" w:hAnsi="Book Antiqua" w:cs="Book Antiqua"/>
        </w:rPr>
      </w:pPr>
    </w:p>
    <w:p w14:paraId="04834E9F" w14:textId="3A59737E" w:rsidR="00D23823" w:rsidRPr="00F427F0" w:rsidRDefault="00A80599">
      <w:pPr>
        <w:spacing w:line="360" w:lineRule="auto"/>
        <w:jc w:val="both"/>
        <w:rPr>
          <w:rFonts w:ascii="Book Antiqua" w:eastAsia="Book Antiqua" w:hAnsi="Book Antiqua" w:cs="Book Antiqua"/>
        </w:rPr>
      </w:pPr>
      <w:r>
        <w:rPr>
          <w:rFonts w:ascii="Book Antiqua" w:hAnsi="Book Antiqua"/>
          <w:noProof/>
        </w:rPr>
        <w:drawing>
          <wp:inline distT="0" distB="0" distL="0" distR="0" wp14:anchorId="14B0719B" wp14:editId="0295EE8C">
            <wp:extent cx="2041525" cy="5943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1525" cy="5943600"/>
                    </a:xfrm>
                    <a:prstGeom prst="rect">
                      <a:avLst/>
                    </a:prstGeom>
                  </pic:spPr>
                </pic:pic>
              </a:graphicData>
            </a:graphic>
          </wp:inline>
        </w:drawing>
      </w:r>
    </w:p>
    <w:p w14:paraId="3C6BEAA6" w14:textId="7CCAFBDA" w:rsidR="00D23823" w:rsidRPr="00F427F0" w:rsidRDefault="00000000">
      <w:pPr>
        <w:spacing w:line="360" w:lineRule="auto"/>
        <w:jc w:val="both"/>
        <w:rPr>
          <w:rFonts w:ascii="Book Antiqua" w:eastAsia="Book Antiqua" w:hAnsi="Book Antiqua" w:cs="Book Antiqua"/>
        </w:rPr>
      </w:pPr>
      <w:r w:rsidRPr="00F427F0">
        <w:rPr>
          <w:rFonts w:ascii="Book Antiqua" w:eastAsia="Book Antiqua" w:hAnsi="Book Antiqua" w:cs="Book Antiqua"/>
          <w:b/>
          <w:bCs/>
        </w:rPr>
        <w:t>Figure 5 The relationship between hub genes and immune infiltration.</w:t>
      </w:r>
      <w:r w:rsidRPr="00F427F0">
        <w:rPr>
          <w:rFonts w:ascii="Book Antiqua" w:eastAsia="Book Antiqua" w:hAnsi="Book Antiqua" w:cs="Book Antiqua"/>
        </w:rPr>
        <w:t xml:space="preserve"> A and B The differences in immune infiltration between </w:t>
      </w:r>
      <w:r w:rsidRPr="00F427F0">
        <w:rPr>
          <w:rFonts w:ascii="Book Antiqua" w:eastAsia="Book Antiqua" w:hAnsi="Book Antiqua" w:cs="Book Antiqua"/>
          <w:i/>
          <w:iCs/>
        </w:rPr>
        <w:t xml:space="preserve">Helicobacter pylori </w:t>
      </w:r>
      <w:r w:rsidRPr="00F427F0">
        <w:rPr>
          <w:rFonts w:ascii="Book Antiqua" w:eastAsia="Book Antiqua" w:hAnsi="Book Antiqua" w:cs="Book Antiqua"/>
        </w:rPr>
        <w:t>(</w:t>
      </w:r>
      <w:r w:rsidRPr="00F427F0">
        <w:rPr>
          <w:rFonts w:ascii="Book Antiqua" w:eastAsia="Book Antiqua" w:hAnsi="Book Antiqua" w:cs="Book Antiqua"/>
          <w:i/>
          <w:iCs/>
        </w:rPr>
        <w:t>H. pylori</w:t>
      </w:r>
      <w:r w:rsidRPr="00F427F0">
        <w:rPr>
          <w:rFonts w:ascii="Book Antiqua" w:eastAsia="Book Antiqua" w:hAnsi="Book Antiqua" w:cs="Book Antiqua"/>
        </w:rPr>
        <w:t xml:space="preserve">)-infected gastric tissues and normal gastric tissues; C: Correlation analysis between hub gene expression and immune cell infiltration levels in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w:t>
      </w:r>
      <w:r w:rsidRPr="00F427F0">
        <w:rPr>
          <w:rFonts w:ascii="Book Antiqua" w:eastAsia="Book Antiqua" w:hAnsi="Book Antiqua" w:cs="Book Antiqua"/>
          <w:i/>
          <w:iCs/>
        </w:rPr>
        <w:t xml:space="preserve"> H. pylori</w:t>
      </w:r>
      <w:r w:rsidRPr="00F427F0">
        <w:rPr>
          <w:rFonts w:ascii="Book Antiqua" w:eastAsia="Book Antiqua" w:hAnsi="Book Antiqua" w:cs="Book Antiqua"/>
        </w:rPr>
        <w:t xml:space="preserve">: </w:t>
      </w:r>
      <w:r w:rsidRPr="00F427F0">
        <w:rPr>
          <w:rFonts w:ascii="Book Antiqua" w:eastAsia="Book Antiqua" w:hAnsi="Book Antiqua" w:cs="Book Antiqua"/>
          <w:i/>
          <w:iCs/>
        </w:rPr>
        <w:t>Helicobacter pylori</w:t>
      </w:r>
      <w:r w:rsidRPr="00F427F0">
        <w:rPr>
          <w:rFonts w:ascii="Book Antiqua" w:eastAsia="Book Antiqua" w:hAnsi="Book Antiqua" w:cs="Book Antiqua"/>
        </w:rPr>
        <w:t>.</w:t>
      </w:r>
      <w:r w:rsidR="002659C9" w:rsidRPr="002659C9">
        <w:t xml:space="preserve"> </w:t>
      </w:r>
      <w:r w:rsidR="002659C9" w:rsidRPr="002659C9">
        <w:rPr>
          <w:rFonts w:ascii="Book Antiqua" w:eastAsia="Book Antiqua" w:hAnsi="Book Antiqua" w:cs="Book Antiqua"/>
          <w:vertAlign w:val="superscript"/>
        </w:rPr>
        <w:t>a</w:t>
      </w:r>
      <w:r w:rsidR="002659C9" w:rsidRPr="002659C9">
        <w:rPr>
          <w:rFonts w:ascii="Book Antiqua" w:eastAsia="Book Antiqua" w:hAnsi="Book Antiqua" w:cs="Book Antiqua"/>
        </w:rPr>
        <w:t>P &lt; 0</w:t>
      </w:r>
      <w:r w:rsidR="00B5172E">
        <w:rPr>
          <w:rFonts w:ascii="Book Antiqua" w:eastAsia="Book Antiqua" w:hAnsi="Book Antiqua" w:cs="Book Antiqua"/>
        </w:rPr>
        <w:t>.</w:t>
      </w:r>
      <w:r w:rsidR="002659C9" w:rsidRPr="002659C9">
        <w:rPr>
          <w:rFonts w:ascii="Book Antiqua" w:eastAsia="Book Antiqua" w:hAnsi="Book Antiqua" w:cs="Book Antiqua"/>
        </w:rPr>
        <w:t xml:space="preserve">05, </w:t>
      </w:r>
      <w:r w:rsidR="002659C9" w:rsidRPr="002659C9">
        <w:rPr>
          <w:rFonts w:ascii="Book Antiqua" w:eastAsia="Book Antiqua" w:hAnsi="Book Antiqua" w:cs="Book Antiqua"/>
          <w:vertAlign w:val="superscript"/>
        </w:rPr>
        <w:t>b</w:t>
      </w:r>
      <w:r w:rsidR="002659C9" w:rsidRPr="002659C9">
        <w:rPr>
          <w:rFonts w:ascii="Book Antiqua" w:eastAsia="Book Antiqua" w:hAnsi="Book Antiqua" w:cs="Book Antiqua"/>
        </w:rPr>
        <w:t xml:space="preserve">P &lt; 0.01, </w:t>
      </w:r>
      <w:r w:rsidR="002659C9" w:rsidRPr="002659C9">
        <w:rPr>
          <w:rFonts w:ascii="Book Antiqua" w:eastAsia="Book Antiqua" w:hAnsi="Book Antiqua" w:cs="Book Antiqua"/>
          <w:vertAlign w:val="superscript"/>
        </w:rPr>
        <w:t>c</w:t>
      </w:r>
      <w:r w:rsidR="002659C9" w:rsidRPr="002659C9">
        <w:rPr>
          <w:rFonts w:ascii="Book Antiqua" w:eastAsia="Book Antiqua" w:hAnsi="Book Antiqua" w:cs="Book Antiqua"/>
        </w:rPr>
        <w:t>P &lt; 0.001.</w:t>
      </w:r>
    </w:p>
    <w:p w14:paraId="1315C7B0" w14:textId="77777777" w:rsidR="00D23823" w:rsidRPr="00F427F0" w:rsidRDefault="00D23823">
      <w:pPr>
        <w:spacing w:line="360" w:lineRule="auto"/>
        <w:jc w:val="both"/>
        <w:rPr>
          <w:rFonts w:ascii="Book Antiqua" w:eastAsia="Book Antiqua" w:hAnsi="Book Antiqua" w:cs="Book Antiqua"/>
        </w:rPr>
      </w:pPr>
    </w:p>
    <w:p w14:paraId="459A5532" w14:textId="6302EA61" w:rsidR="00D23823" w:rsidRPr="00F427F0" w:rsidRDefault="00D23823">
      <w:pPr>
        <w:spacing w:line="360" w:lineRule="auto"/>
        <w:jc w:val="both"/>
        <w:rPr>
          <w:rFonts w:ascii="Book Antiqua" w:eastAsia="Book Antiqua" w:hAnsi="Book Antiqua" w:cs="Book Antiqua"/>
        </w:rPr>
      </w:pPr>
    </w:p>
    <w:p w14:paraId="4CC34A16" w14:textId="01E66F7F" w:rsidR="00D23823" w:rsidRPr="00F427F0" w:rsidRDefault="00A80599">
      <w:pPr>
        <w:spacing w:line="360" w:lineRule="auto"/>
        <w:jc w:val="both"/>
        <w:rPr>
          <w:rFonts w:ascii="Book Antiqua" w:eastAsia="Book Antiqua" w:hAnsi="Book Antiqua" w:cs="Book Antiqua"/>
        </w:rPr>
      </w:pPr>
      <w:r>
        <w:rPr>
          <w:rFonts w:ascii="Book Antiqua" w:hAnsi="Book Antiqua"/>
          <w:noProof/>
        </w:rPr>
        <w:drawing>
          <wp:inline distT="0" distB="0" distL="0" distR="0" wp14:anchorId="00500FF7" wp14:editId="7DCB7D61">
            <wp:extent cx="4786745" cy="63157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89231" cy="6319030"/>
                    </a:xfrm>
                    <a:prstGeom prst="rect">
                      <a:avLst/>
                    </a:prstGeom>
                  </pic:spPr>
                </pic:pic>
              </a:graphicData>
            </a:graphic>
          </wp:inline>
        </w:drawing>
      </w:r>
    </w:p>
    <w:p w14:paraId="7AFE0F8C" w14:textId="77777777" w:rsidR="00D23823" w:rsidRPr="00F427F0" w:rsidRDefault="00000000">
      <w:pPr>
        <w:spacing w:line="360" w:lineRule="auto"/>
        <w:jc w:val="both"/>
        <w:rPr>
          <w:rFonts w:ascii="Book Antiqua" w:eastAsia="Book Antiqua" w:hAnsi="Book Antiqua" w:cs="Book Antiqua"/>
        </w:rPr>
      </w:pPr>
      <w:r w:rsidRPr="00F427F0">
        <w:rPr>
          <w:rFonts w:ascii="Book Antiqua" w:eastAsia="Book Antiqua" w:hAnsi="Book Antiqua" w:cs="Book Antiqua"/>
          <w:b/>
          <w:bCs/>
        </w:rPr>
        <w:t>Figure 6 The interaction of hub genes with miRNA/transcriptional factors.</w:t>
      </w:r>
      <w:r w:rsidRPr="00F427F0">
        <w:rPr>
          <w:rFonts w:ascii="Book Antiqua" w:eastAsia="Book Antiqua" w:hAnsi="Book Antiqua" w:cs="Book Antiqua"/>
        </w:rPr>
        <w:t xml:space="preserve"> A: Interaction network between the hub genes and their targeted miRNAs. Hub genes are presented in red squares, whereas miRNAs are shown in green circles. Orange circles </w:t>
      </w:r>
      <w:r w:rsidRPr="00F427F0">
        <w:rPr>
          <w:rFonts w:ascii="Book Antiqua" w:eastAsia="Book Antiqua" w:hAnsi="Book Antiqua" w:cs="Book Antiqua"/>
        </w:rPr>
        <w:lastRenderedPageBreak/>
        <w:t>represent miRNAs targeting two or more genes simultaneously; B: Construction of the transcriptional factor-gene interaction network from Cytoscape.</w:t>
      </w:r>
    </w:p>
    <w:p w14:paraId="7FA75ABA" w14:textId="77777777" w:rsidR="00D23823" w:rsidRPr="00F427F0" w:rsidRDefault="00D23823">
      <w:pPr>
        <w:spacing w:line="360" w:lineRule="auto"/>
        <w:jc w:val="both"/>
        <w:rPr>
          <w:rFonts w:ascii="Book Antiqua" w:eastAsia="Book Antiqua" w:hAnsi="Book Antiqua" w:cs="Book Antiqua"/>
        </w:rPr>
      </w:pPr>
    </w:p>
    <w:p w14:paraId="52508EED" w14:textId="77777777" w:rsidR="00D23823" w:rsidRPr="00F427F0" w:rsidRDefault="00D23823">
      <w:pPr>
        <w:spacing w:line="360" w:lineRule="auto"/>
        <w:jc w:val="both"/>
        <w:rPr>
          <w:rFonts w:ascii="Book Antiqua" w:eastAsia="Book Antiqua" w:hAnsi="Book Antiqua" w:cs="Book Antiqua"/>
        </w:rPr>
      </w:pPr>
    </w:p>
    <w:p w14:paraId="7787EF96" w14:textId="44450EC9" w:rsidR="00D23823" w:rsidRPr="00F427F0" w:rsidRDefault="00A80599">
      <w:pPr>
        <w:spacing w:line="360" w:lineRule="auto"/>
        <w:jc w:val="both"/>
        <w:rPr>
          <w:rFonts w:ascii="Book Antiqua" w:eastAsia="Book Antiqua" w:hAnsi="Book Antiqua" w:cs="Book Antiqua"/>
        </w:rPr>
      </w:pPr>
      <w:r>
        <w:rPr>
          <w:rFonts w:ascii="Book Antiqua" w:hAnsi="Book Antiqua"/>
          <w:noProof/>
        </w:rPr>
        <w:lastRenderedPageBreak/>
        <w:drawing>
          <wp:inline distT="0" distB="0" distL="0" distR="0" wp14:anchorId="2855051F" wp14:editId="3623283D">
            <wp:extent cx="4946073" cy="711249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53416" cy="7123056"/>
                    </a:xfrm>
                    <a:prstGeom prst="rect">
                      <a:avLst/>
                    </a:prstGeom>
                  </pic:spPr>
                </pic:pic>
              </a:graphicData>
            </a:graphic>
          </wp:inline>
        </w:drawing>
      </w:r>
    </w:p>
    <w:p w14:paraId="4B03A08C" w14:textId="295EEE25" w:rsidR="00AC5FA7" w:rsidRDefault="00000000" w:rsidP="00F427F0">
      <w:pPr>
        <w:spacing w:line="360" w:lineRule="auto"/>
        <w:jc w:val="both"/>
        <w:rPr>
          <w:rFonts w:ascii="Book Antiqua" w:eastAsia="Book Antiqua" w:hAnsi="Book Antiqua" w:cs="Book Antiqua"/>
        </w:rPr>
        <w:sectPr w:rsidR="00AC5FA7" w:rsidSect="00A80599">
          <w:pgSz w:w="12240" w:h="15840" w:code="119"/>
          <w:pgMar w:top="1440" w:right="1440" w:bottom="1440" w:left="1440" w:header="720" w:footer="720" w:gutter="0"/>
          <w:cols w:space="720"/>
          <w:docGrid w:linePitch="360"/>
        </w:sectPr>
      </w:pPr>
      <w:r w:rsidRPr="00F427F0">
        <w:rPr>
          <w:rFonts w:ascii="Book Antiqua" w:eastAsia="Book Antiqua" w:hAnsi="Book Antiqua" w:cs="Book Antiqua"/>
          <w:b/>
          <w:bCs/>
        </w:rPr>
        <w:t>Figure 7 Results of single-gene gene set enrichment analysis.</w:t>
      </w:r>
      <w:r w:rsidRPr="00F427F0">
        <w:rPr>
          <w:rFonts w:ascii="Book Antiqua" w:eastAsia="Book Antiqua" w:hAnsi="Book Antiqua" w:cs="Book Antiqua"/>
        </w:rPr>
        <w:t xml:space="preserve"> A</w:t>
      </w:r>
      <w:r w:rsidR="00CF237A">
        <w:rPr>
          <w:rFonts w:ascii="Book Antiqua" w:eastAsia="Book Antiqua" w:hAnsi="Book Antiqua" w:cs="Book Antiqua"/>
        </w:rPr>
        <w:t>-E</w:t>
      </w:r>
      <w:r w:rsidRPr="00F427F0">
        <w:rPr>
          <w:rFonts w:ascii="Book Antiqua" w:eastAsia="Book Antiqua" w:hAnsi="Book Antiqua" w:cs="Book Antiqua"/>
        </w:rPr>
        <w:t xml:space="preserve">: </w:t>
      </w:r>
      <w:r w:rsidRPr="00F427F0">
        <w:rPr>
          <w:rFonts w:ascii="Book Antiqua" w:eastAsia="Book Antiqua" w:hAnsi="Book Antiqua" w:cs="Book Antiqua"/>
          <w:i/>
          <w:iCs/>
        </w:rPr>
        <w:t>Helicobacter pylori</w:t>
      </w:r>
      <w:r w:rsidRPr="00F427F0">
        <w:rPr>
          <w:rFonts w:ascii="Book Antiqua" w:eastAsia="Book Antiqua" w:hAnsi="Book Antiqua" w:cs="Book Antiqua"/>
        </w:rPr>
        <w:t xml:space="preserve"> infection; </w:t>
      </w:r>
      <w:r w:rsidR="00CF237A">
        <w:rPr>
          <w:rFonts w:ascii="Book Antiqua" w:eastAsia="Book Antiqua" w:hAnsi="Book Antiqua" w:cs="Book Antiqua"/>
        </w:rPr>
        <w:t>F-J</w:t>
      </w:r>
      <w:r w:rsidRPr="00F427F0">
        <w:rPr>
          <w:rFonts w:ascii="Book Antiqua" w:eastAsia="Book Antiqua" w:hAnsi="Book Antiqua" w:cs="Book Antiqua"/>
        </w:rPr>
        <w:t>: Type 2 diabetes mellitus.</w:t>
      </w:r>
    </w:p>
    <w:p w14:paraId="6532F452" w14:textId="77777777" w:rsidR="00AC5FA7" w:rsidRPr="006D4EDA" w:rsidRDefault="00AC5FA7" w:rsidP="00AC5FA7">
      <w:pPr>
        <w:snapToGrid w:val="0"/>
        <w:ind w:leftChars="100" w:left="240"/>
        <w:jc w:val="center"/>
        <w:rPr>
          <w:rFonts w:ascii="Book Antiqua" w:hAnsi="Book Antiqua"/>
        </w:rPr>
      </w:pPr>
    </w:p>
    <w:p w14:paraId="6ED3E958" w14:textId="77777777" w:rsidR="00AC5FA7" w:rsidRPr="006D4EDA" w:rsidRDefault="00AC5FA7" w:rsidP="00AC5FA7">
      <w:pPr>
        <w:snapToGrid w:val="0"/>
        <w:ind w:leftChars="100" w:left="240"/>
        <w:jc w:val="center"/>
        <w:rPr>
          <w:rFonts w:ascii="Book Antiqua" w:hAnsi="Book Antiqua"/>
        </w:rPr>
      </w:pPr>
    </w:p>
    <w:p w14:paraId="52ABC2F6" w14:textId="77777777" w:rsidR="00AC5FA7" w:rsidRPr="006D4EDA" w:rsidRDefault="00AC5FA7" w:rsidP="00AC5FA7">
      <w:pPr>
        <w:snapToGrid w:val="0"/>
        <w:ind w:leftChars="100" w:left="240"/>
        <w:jc w:val="center"/>
        <w:rPr>
          <w:rFonts w:ascii="Book Antiqua" w:hAnsi="Book Antiqua"/>
        </w:rPr>
      </w:pPr>
    </w:p>
    <w:p w14:paraId="22634A16" w14:textId="77777777" w:rsidR="00AC5FA7" w:rsidRPr="006D4EDA" w:rsidRDefault="00AC5FA7" w:rsidP="00AC5FA7">
      <w:pPr>
        <w:snapToGrid w:val="0"/>
        <w:ind w:leftChars="100" w:left="240"/>
        <w:jc w:val="center"/>
        <w:rPr>
          <w:rFonts w:ascii="Book Antiqua" w:hAnsi="Book Antiqua"/>
        </w:rPr>
      </w:pPr>
    </w:p>
    <w:p w14:paraId="561DE4FD" w14:textId="77777777" w:rsidR="00AC5FA7" w:rsidRPr="006D4EDA" w:rsidRDefault="00AC5FA7" w:rsidP="00AC5FA7">
      <w:pPr>
        <w:snapToGrid w:val="0"/>
        <w:ind w:leftChars="100" w:left="240"/>
        <w:jc w:val="center"/>
        <w:rPr>
          <w:rFonts w:ascii="Book Antiqua" w:hAnsi="Book Antiqua"/>
        </w:rPr>
      </w:pPr>
      <w:r w:rsidRPr="006D4EDA">
        <w:rPr>
          <w:rFonts w:ascii="Book Antiqua" w:hAnsi="Book Antiqua"/>
          <w:noProof/>
        </w:rPr>
        <w:drawing>
          <wp:inline distT="0" distB="0" distL="0" distR="0" wp14:anchorId="6E59A970" wp14:editId="00C617B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3E6A430" w14:textId="77777777" w:rsidR="00AC5FA7" w:rsidRPr="006D4EDA" w:rsidRDefault="00AC5FA7" w:rsidP="00AC5FA7">
      <w:pPr>
        <w:snapToGrid w:val="0"/>
        <w:ind w:leftChars="100" w:left="240"/>
        <w:jc w:val="center"/>
        <w:rPr>
          <w:rFonts w:ascii="Book Antiqua" w:hAnsi="Book Antiqua"/>
        </w:rPr>
      </w:pPr>
    </w:p>
    <w:p w14:paraId="52359CF4" w14:textId="77777777" w:rsidR="00AC5FA7" w:rsidRPr="006D4EDA" w:rsidRDefault="00AC5FA7" w:rsidP="00AC5FA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6DD31C79" w14:textId="77777777" w:rsidR="00AC5FA7" w:rsidRPr="006D4EDA" w:rsidRDefault="00AC5FA7" w:rsidP="00AC5FA7">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56F83402" w14:textId="77777777" w:rsidR="00AC5FA7" w:rsidRPr="006D4EDA" w:rsidRDefault="00AC5FA7" w:rsidP="00AC5FA7">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0AF019DB" w14:textId="77777777" w:rsidR="00AC5FA7" w:rsidRPr="006D4EDA" w:rsidRDefault="00AC5FA7" w:rsidP="00AC5FA7">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381C93F7" w14:textId="77777777" w:rsidR="00AC5FA7" w:rsidRPr="006D4EDA" w:rsidRDefault="00AC5FA7" w:rsidP="00AC5FA7">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3B65476B" w14:textId="77777777" w:rsidR="00AC5FA7" w:rsidRPr="006D4EDA" w:rsidRDefault="00AC5FA7" w:rsidP="00AC5FA7">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3771A1CC" w14:textId="77777777" w:rsidR="00AC5FA7" w:rsidRPr="006D4EDA" w:rsidRDefault="00AC5FA7" w:rsidP="00AC5FA7">
      <w:pPr>
        <w:snapToGrid w:val="0"/>
        <w:ind w:leftChars="100" w:left="240"/>
        <w:jc w:val="center"/>
        <w:rPr>
          <w:rFonts w:ascii="Book Antiqua" w:hAnsi="Book Antiqua"/>
        </w:rPr>
      </w:pPr>
    </w:p>
    <w:p w14:paraId="1D58E55B" w14:textId="77777777" w:rsidR="00AC5FA7" w:rsidRPr="006D4EDA" w:rsidRDefault="00AC5FA7" w:rsidP="00AC5FA7">
      <w:pPr>
        <w:snapToGrid w:val="0"/>
        <w:ind w:leftChars="100" w:left="240"/>
        <w:jc w:val="center"/>
        <w:rPr>
          <w:rFonts w:ascii="Book Antiqua" w:hAnsi="Book Antiqua"/>
        </w:rPr>
      </w:pPr>
    </w:p>
    <w:p w14:paraId="76638A27" w14:textId="77777777" w:rsidR="00AC5FA7" w:rsidRPr="006D4EDA" w:rsidRDefault="00AC5FA7" w:rsidP="00AC5FA7">
      <w:pPr>
        <w:snapToGrid w:val="0"/>
        <w:ind w:leftChars="100" w:left="240"/>
        <w:jc w:val="center"/>
        <w:rPr>
          <w:rFonts w:ascii="Book Antiqua" w:hAnsi="Book Antiqua"/>
        </w:rPr>
      </w:pPr>
    </w:p>
    <w:p w14:paraId="63B7FFEA" w14:textId="77777777" w:rsidR="00AC5FA7" w:rsidRPr="006D4EDA" w:rsidRDefault="00AC5FA7" w:rsidP="00AC5FA7">
      <w:pPr>
        <w:snapToGrid w:val="0"/>
        <w:ind w:leftChars="100" w:left="240"/>
        <w:jc w:val="center"/>
        <w:rPr>
          <w:rFonts w:ascii="Book Antiqua" w:hAnsi="Book Antiqua"/>
        </w:rPr>
      </w:pPr>
      <w:r w:rsidRPr="006D4EDA">
        <w:rPr>
          <w:rFonts w:ascii="Book Antiqua" w:hAnsi="Book Antiqua"/>
          <w:noProof/>
        </w:rPr>
        <w:drawing>
          <wp:inline distT="0" distB="0" distL="0" distR="0" wp14:anchorId="4A887BDB" wp14:editId="7104591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4E196B1" w14:textId="77777777" w:rsidR="00AC5FA7" w:rsidRPr="006D4EDA" w:rsidRDefault="00AC5FA7" w:rsidP="00AC5FA7">
      <w:pPr>
        <w:snapToGrid w:val="0"/>
        <w:ind w:leftChars="100" w:left="240"/>
        <w:jc w:val="center"/>
        <w:rPr>
          <w:rFonts w:ascii="Book Antiqua" w:hAnsi="Book Antiqua"/>
        </w:rPr>
      </w:pPr>
    </w:p>
    <w:p w14:paraId="7D5EC03D" w14:textId="77777777" w:rsidR="00AC5FA7" w:rsidRPr="006D4EDA" w:rsidRDefault="00AC5FA7" w:rsidP="00AC5FA7">
      <w:pPr>
        <w:snapToGrid w:val="0"/>
        <w:ind w:leftChars="100" w:left="240"/>
        <w:jc w:val="center"/>
        <w:rPr>
          <w:rFonts w:ascii="Book Antiqua" w:hAnsi="Book Antiqua"/>
        </w:rPr>
      </w:pPr>
    </w:p>
    <w:p w14:paraId="3701F05A" w14:textId="77777777" w:rsidR="00AC5FA7" w:rsidRPr="006D4EDA" w:rsidRDefault="00AC5FA7" w:rsidP="00AC5FA7">
      <w:pPr>
        <w:snapToGrid w:val="0"/>
        <w:ind w:leftChars="100" w:left="240"/>
        <w:jc w:val="center"/>
        <w:rPr>
          <w:rFonts w:ascii="Book Antiqua" w:hAnsi="Book Antiqua"/>
        </w:rPr>
      </w:pPr>
    </w:p>
    <w:p w14:paraId="606E80D7" w14:textId="77777777" w:rsidR="00AC5FA7" w:rsidRPr="006D4EDA" w:rsidRDefault="00AC5FA7" w:rsidP="00AC5FA7">
      <w:pPr>
        <w:snapToGrid w:val="0"/>
        <w:ind w:leftChars="100" w:left="240"/>
        <w:jc w:val="center"/>
        <w:rPr>
          <w:rFonts w:ascii="Book Antiqua" w:hAnsi="Book Antiqua"/>
        </w:rPr>
      </w:pPr>
    </w:p>
    <w:p w14:paraId="0A519146" w14:textId="77777777" w:rsidR="00AC5FA7" w:rsidRPr="006D4EDA" w:rsidRDefault="00AC5FA7" w:rsidP="00AC5FA7">
      <w:pPr>
        <w:snapToGrid w:val="0"/>
        <w:ind w:leftChars="100" w:left="240"/>
        <w:jc w:val="center"/>
        <w:rPr>
          <w:rFonts w:ascii="Book Antiqua" w:hAnsi="Book Antiqua"/>
        </w:rPr>
      </w:pPr>
    </w:p>
    <w:p w14:paraId="763EE3BF" w14:textId="77777777" w:rsidR="00AC5FA7" w:rsidRPr="006D4EDA" w:rsidRDefault="00AC5FA7" w:rsidP="00AC5FA7">
      <w:pPr>
        <w:snapToGrid w:val="0"/>
        <w:ind w:leftChars="100" w:left="240"/>
        <w:jc w:val="center"/>
        <w:rPr>
          <w:rFonts w:ascii="Book Antiqua" w:hAnsi="Book Antiqua"/>
        </w:rPr>
      </w:pPr>
    </w:p>
    <w:p w14:paraId="65B414DD" w14:textId="77777777" w:rsidR="00AC5FA7" w:rsidRPr="006D4EDA" w:rsidRDefault="00AC5FA7" w:rsidP="00AC5FA7">
      <w:pPr>
        <w:snapToGrid w:val="0"/>
        <w:ind w:leftChars="100" w:left="240"/>
        <w:jc w:val="center"/>
        <w:rPr>
          <w:rFonts w:ascii="Book Antiqua" w:hAnsi="Book Antiqua"/>
        </w:rPr>
      </w:pPr>
    </w:p>
    <w:p w14:paraId="48915380" w14:textId="77777777" w:rsidR="00AC5FA7" w:rsidRPr="006D4EDA" w:rsidRDefault="00AC5FA7" w:rsidP="00AC5FA7">
      <w:pPr>
        <w:snapToGrid w:val="0"/>
        <w:ind w:leftChars="100" w:left="240"/>
        <w:jc w:val="center"/>
        <w:rPr>
          <w:rFonts w:ascii="Book Antiqua" w:hAnsi="Book Antiqua"/>
        </w:rPr>
      </w:pPr>
    </w:p>
    <w:p w14:paraId="0A3D40F3" w14:textId="77777777" w:rsidR="00AC5FA7" w:rsidRPr="006D4EDA" w:rsidRDefault="00AC5FA7" w:rsidP="00AC5FA7">
      <w:pPr>
        <w:snapToGrid w:val="0"/>
        <w:ind w:leftChars="100" w:left="240"/>
        <w:jc w:val="center"/>
        <w:rPr>
          <w:rFonts w:ascii="Book Antiqua" w:hAnsi="Book Antiqua"/>
        </w:rPr>
      </w:pPr>
    </w:p>
    <w:p w14:paraId="6AF16FE2" w14:textId="77777777" w:rsidR="00AC5FA7" w:rsidRPr="006D4EDA" w:rsidRDefault="00AC5FA7" w:rsidP="00AC5FA7">
      <w:pPr>
        <w:snapToGrid w:val="0"/>
        <w:ind w:leftChars="100" w:left="240"/>
        <w:jc w:val="right"/>
        <w:rPr>
          <w:rFonts w:ascii="Book Antiqua" w:hAnsi="Book Antiqua"/>
          <w:color w:val="000000" w:themeColor="text1"/>
        </w:rPr>
      </w:pPr>
    </w:p>
    <w:p w14:paraId="4B5E277D" w14:textId="77777777" w:rsidR="00AC5FA7" w:rsidRPr="006D4EDA" w:rsidRDefault="00AC5FA7" w:rsidP="00AC5FA7">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761DBFF2" w14:textId="77777777" w:rsidR="00AC5FA7" w:rsidRPr="00EE65AF" w:rsidRDefault="00AC5FA7" w:rsidP="00AC5FA7">
      <w:pPr>
        <w:rPr>
          <w:rFonts w:ascii="Book Antiqua" w:hAnsi="Book Antiqua" w:cs="Book Antiqua"/>
          <w:b/>
          <w:bCs/>
          <w:color w:val="000000"/>
        </w:rPr>
      </w:pPr>
    </w:p>
    <w:p w14:paraId="674C3198" w14:textId="2B57139A" w:rsidR="00D23823" w:rsidRPr="00F427F0" w:rsidRDefault="00D23823" w:rsidP="00F427F0">
      <w:pPr>
        <w:spacing w:line="360" w:lineRule="auto"/>
        <w:jc w:val="both"/>
        <w:rPr>
          <w:rFonts w:ascii="Book Antiqua" w:eastAsia="Book Antiqua" w:hAnsi="Book Antiqua" w:cs="Book Antiqua"/>
        </w:rPr>
      </w:pPr>
    </w:p>
    <w:sectPr w:rsidR="00D23823" w:rsidRPr="00F427F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61A23" w14:textId="77777777" w:rsidR="00626844" w:rsidRDefault="00626844">
      <w:r>
        <w:separator/>
      </w:r>
    </w:p>
  </w:endnote>
  <w:endnote w:type="continuationSeparator" w:id="0">
    <w:p w14:paraId="48776293" w14:textId="77777777" w:rsidR="00626844" w:rsidRDefault="00626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宋体"/>
    <w:charset w:val="86"/>
    <w:family w:val="auto"/>
    <w:pitch w:val="default"/>
    <w:sig w:usb0="00000000" w:usb1="00000000" w:usb2="00000010" w:usb3="00000000" w:csb0="00060002" w:csb1="00000000"/>
  </w:font>
  <w:font w:name="Garamond-Bold">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4344497"/>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0B4CF81A" w14:textId="77777777" w:rsidR="00D23823"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22D6A828" w14:textId="77777777" w:rsidR="00D23823" w:rsidRDefault="00D2382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99968" w14:textId="77777777" w:rsidR="00626844" w:rsidRDefault="00626844">
      <w:r>
        <w:separator/>
      </w:r>
    </w:p>
  </w:footnote>
  <w:footnote w:type="continuationSeparator" w:id="0">
    <w:p w14:paraId="10BEA564" w14:textId="77777777" w:rsidR="00626844" w:rsidRDefault="006268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NjUwYjM0YzVlN2NjNTlhZGM2ZjExOGZkYTQ3OWVhYmEifQ=="/>
  </w:docVars>
  <w:rsids>
    <w:rsidRoot w:val="00A77B3E"/>
    <w:rsid w:val="00062A54"/>
    <w:rsid w:val="000A692D"/>
    <w:rsid w:val="000D0A7B"/>
    <w:rsid w:val="00130077"/>
    <w:rsid w:val="00143B87"/>
    <w:rsid w:val="0019096C"/>
    <w:rsid w:val="00195D38"/>
    <w:rsid w:val="001A3D39"/>
    <w:rsid w:val="001C465C"/>
    <w:rsid w:val="00211E66"/>
    <w:rsid w:val="002659C9"/>
    <w:rsid w:val="0028026E"/>
    <w:rsid w:val="00286B88"/>
    <w:rsid w:val="00292AEA"/>
    <w:rsid w:val="002A60B3"/>
    <w:rsid w:val="002D07EA"/>
    <w:rsid w:val="002D7530"/>
    <w:rsid w:val="002F0DBF"/>
    <w:rsid w:val="003034BA"/>
    <w:rsid w:val="00322B1B"/>
    <w:rsid w:val="003231DE"/>
    <w:rsid w:val="00323BD3"/>
    <w:rsid w:val="00366E83"/>
    <w:rsid w:val="003671C4"/>
    <w:rsid w:val="00367ECC"/>
    <w:rsid w:val="00384A69"/>
    <w:rsid w:val="003F4379"/>
    <w:rsid w:val="00422384"/>
    <w:rsid w:val="004271CE"/>
    <w:rsid w:val="00430874"/>
    <w:rsid w:val="00464EC9"/>
    <w:rsid w:val="004910C2"/>
    <w:rsid w:val="004C4E0E"/>
    <w:rsid w:val="004E5EC1"/>
    <w:rsid w:val="004F20A8"/>
    <w:rsid w:val="005301D0"/>
    <w:rsid w:val="005329BC"/>
    <w:rsid w:val="005457BE"/>
    <w:rsid w:val="00553848"/>
    <w:rsid w:val="00570FB8"/>
    <w:rsid w:val="00574407"/>
    <w:rsid w:val="00576FDD"/>
    <w:rsid w:val="00592286"/>
    <w:rsid w:val="005B3D54"/>
    <w:rsid w:val="005E7121"/>
    <w:rsid w:val="00626844"/>
    <w:rsid w:val="00633D7D"/>
    <w:rsid w:val="00635E27"/>
    <w:rsid w:val="006421AF"/>
    <w:rsid w:val="00651B34"/>
    <w:rsid w:val="00674F72"/>
    <w:rsid w:val="00693E8C"/>
    <w:rsid w:val="006A26A5"/>
    <w:rsid w:val="006B2434"/>
    <w:rsid w:val="007020AE"/>
    <w:rsid w:val="0072630A"/>
    <w:rsid w:val="0073335C"/>
    <w:rsid w:val="007524C4"/>
    <w:rsid w:val="007579BD"/>
    <w:rsid w:val="007678E4"/>
    <w:rsid w:val="007723BD"/>
    <w:rsid w:val="007726D5"/>
    <w:rsid w:val="007770DB"/>
    <w:rsid w:val="007857F5"/>
    <w:rsid w:val="00793DCE"/>
    <w:rsid w:val="00794CFA"/>
    <w:rsid w:val="007C6823"/>
    <w:rsid w:val="007D2C96"/>
    <w:rsid w:val="007E4674"/>
    <w:rsid w:val="008046A0"/>
    <w:rsid w:val="00845B45"/>
    <w:rsid w:val="00892CF3"/>
    <w:rsid w:val="008A5B5E"/>
    <w:rsid w:val="008B09FD"/>
    <w:rsid w:val="008C71F8"/>
    <w:rsid w:val="008D3807"/>
    <w:rsid w:val="008F0330"/>
    <w:rsid w:val="0092403A"/>
    <w:rsid w:val="00940A42"/>
    <w:rsid w:val="00945B64"/>
    <w:rsid w:val="00946E91"/>
    <w:rsid w:val="009641BE"/>
    <w:rsid w:val="00993D6E"/>
    <w:rsid w:val="009A1BF5"/>
    <w:rsid w:val="009C337B"/>
    <w:rsid w:val="009F6B5C"/>
    <w:rsid w:val="00A0358C"/>
    <w:rsid w:val="00A42EEE"/>
    <w:rsid w:val="00A642FA"/>
    <w:rsid w:val="00A7175C"/>
    <w:rsid w:val="00A72E5A"/>
    <w:rsid w:val="00A73C1D"/>
    <w:rsid w:val="00A77B3E"/>
    <w:rsid w:val="00A80599"/>
    <w:rsid w:val="00A8783E"/>
    <w:rsid w:val="00AB37CA"/>
    <w:rsid w:val="00AC5FA7"/>
    <w:rsid w:val="00AD723B"/>
    <w:rsid w:val="00B24F92"/>
    <w:rsid w:val="00B5172E"/>
    <w:rsid w:val="00B6206D"/>
    <w:rsid w:val="00BA2C15"/>
    <w:rsid w:val="00BC3ADF"/>
    <w:rsid w:val="00BD1268"/>
    <w:rsid w:val="00BE63DD"/>
    <w:rsid w:val="00C20A6A"/>
    <w:rsid w:val="00C25E1C"/>
    <w:rsid w:val="00C60482"/>
    <w:rsid w:val="00C6318F"/>
    <w:rsid w:val="00C633BE"/>
    <w:rsid w:val="00C66AA8"/>
    <w:rsid w:val="00C84950"/>
    <w:rsid w:val="00CA2A55"/>
    <w:rsid w:val="00CD1511"/>
    <w:rsid w:val="00CF237A"/>
    <w:rsid w:val="00D23823"/>
    <w:rsid w:val="00D31384"/>
    <w:rsid w:val="00D3761D"/>
    <w:rsid w:val="00D91015"/>
    <w:rsid w:val="00D95213"/>
    <w:rsid w:val="00DC3B66"/>
    <w:rsid w:val="00DE5755"/>
    <w:rsid w:val="00DE7C26"/>
    <w:rsid w:val="00E04523"/>
    <w:rsid w:val="00E40903"/>
    <w:rsid w:val="00E50D4C"/>
    <w:rsid w:val="00E54A21"/>
    <w:rsid w:val="00E60305"/>
    <w:rsid w:val="00E92C47"/>
    <w:rsid w:val="00EA2244"/>
    <w:rsid w:val="00F24172"/>
    <w:rsid w:val="00F427F0"/>
    <w:rsid w:val="12490E8B"/>
    <w:rsid w:val="128A3EFF"/>
    <w:rsid w:val="140B4A15"/>
    <w:rsid w:val="167F1334"/>
    <w:rsid w:val="1A05368C"/>
    <w:rsid w:val="1CA16281"/>
    <w:rsid w:val="26AA26F6"/>
    <w:rsid w:val="283D6F28"/>
    <w:rsid w:val="291E3963"/>
    <w:rsid w:val="309969A7"/>
    <w:rsid w:val="35DF103A"/>
    <w:rsid w:val="378C0B0C"/>
    <w:rsid w:val="3AB90E4E"/>
    <w:rsid w:val="3CFD4585"/>
    <w:rsid w:val="3D4C6AC8"/>
    <w:rsid w:val="3EAA192C"/>
    <w:rsid w:val="45136C25"/>
    <w:rsid w:val="45350C77"/>
    <w:rsid w:val="467B1F3B"/>
    <w:rsid w:val="4A7C7B23"/>
    <w:rsid w:val="4BB41A46"/>
    <w:rsid w:val="4E540B63"/>
    <w:rsid w:val="540D389E"/>
    <w:rsid w:val="56D218CF"/>
    <w:rsid w:val="61D61607"/>
    <w:rsid w:val="69405EF4"/>
    <w:rsid w:val="6AFA59AE"/>
    <w:rsid w:val="73F97BFF"/>
    <w:rsid w:val="799D6C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1A07B6"/>
  <w15:docId w15:val="{64758E4F-C854-47BE-A89A-5A01046EA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Hyperlink"/>
    <w:basedOn w:val="a0"/>
    <w:rPr>
      <w:color w:val="0000FF"/>
      <w:u w:val="single"/>
    </w:rPr>
  </w:style>
  <w:style w:type="character" w:styleId="ac">
    <w:name w:val="annotation reference"/>
    <w:basedOn w:val="a0"/>
    <w:qFormat/>
    <w:rPr>
      <w:sz w:val="21"/>
      <w:szCs w:val="21"/>
    </w:rPr>
  </w:style>
  <w:style w:type="character" w:customStyle="1" w:styleId="15">
    <w:name w:val="15"/>
    <w:basedOn w:val="a0"/>
    <w:qFormat/>
  </w:style>
  <w:style w:type="character" w:customStyle="1" w:styleId="a4">
    <w:name w:val="批注文字 字符"/>
    <w:basedOn w:val="a0"/>
    <w:link w:val="a3"/>
    <w:qFormat/>
    <w:rPr>
      <w:sz w:val="24"/>
      <w:szCs w:val="24"/>
    </w:rPr>
  </w:style>
  <w:style w:type="character" w:customStyle="1" w:styleId="aa">
    <w:name w:val="批注主题 字符"/>
    <w:basedOn w:val="a4"/>
    <w:link w:val="a9"/>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paragraph" w:customStyle="1" w:styleId="2">
    <w:name w:val="修订2"/>
    <w:hidden/>
    <w:uiPriority w:val="99"/>
    <w:unhideWhenUsed/>
    <w:rPr>
      <w:rFonts w:eastAsiaTheme="minorEastAsia"/>
      <w:sz w:val="24"/>
      <w:szCs w:val="24"/>
      <w:lang w:eastAsia="en-US"/>
    </w:rPr>
  </w:style>
  <w:style w:type="paragraph" w:styleId="ad">
    <w:name w:val="Revision"/>
    <w:hidden/>
    <w:uiPriority w:val="99"/>
    <w:unhideWhenUsed/>
    <w:rsid w:val="000D0A7B"/>
    <w:rPr>
      <w:rFonts w:eastAsiaTheme="minorEastAsia"/>
      <w:sz w:val="24"/>
      <w:szCs w:val="24"/>
      <w:lang w:eastAsia="en-US"/>
    </w:rPr>
  </w:style>
  <w:style w:type="character" w:styleId="ae">
    <w:name w:val="Unresolved Mention"/>
    <w:basedOn w:val="a0"/>
    <w:uiPriority w:val="99"/>
    <w:semiHidden/>
    <w:unhideWhenUsed/>
    <w:rsid w:val="004308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382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34</Pages>
  <Words>7236</Words>
  <Characters>41251</Characters>
  <Application>Microsoft Office Word</Application>
  <DocSecurity>0</DocSecurity>
  <Lines>343</Lines>
  <Paragraphs>96</Paragraphs>
  <ScaleCrop>false</ScaleCrop>
  <Company/>
  <LinksUpToDate>false</LinksUpToDate>
  <CharactersWithSpaces>48391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Xiaoying Zhou</dc:creator>
  <cp:lastModifiedBy>Chen YX</cp:lastModifiedBy>
  <cp:revision>69</cp:revision>
  <dcterms:created xsi:type="dcterms:W3CDTF">2023-12-04T03:20:00Z</dcterms:created>
  <dcterms:modified xsi:type="dcterms:W3CDTF">2024-02-04T09:12:00Z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07D1EC3CBEDA431B8AA70F6160CD210B_12</vt:lpwstr>
  </property>
</Properties>
</file>