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ED" w:rsidRPr="005C227E" w:rsidRDefault="00F31EED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Tahoma"/>
          <w:b/>
          <w:color w:val="000000" w:themeColor="text1"/>
          <w:sz w:val="24"/>
          <w:szCs w:val="24"/>
          <w:lang w:val="en-CA"/>
        </w:rPr>
        <w:t xml:space="preserve">Name of journal: </w:t>
      </w:r>
      <w:r w:rsidRPr="005C227E">
        <w:rPr>
          <w:rFonts w:ascii="Book Antiqua" w:hAnsi="Book Antiqua" w:cs="Arial"/>
          <w:bCs/>
          <w:i/>
          <w:color w:val="000000" w:themeColor="text1"/>
          <w:sz w:val="24"/>
          <w:szCs w:val="24"/>
          <w:lang w:val="en-US"/>
        </w:rPr>
        <w:t>World Journal of Gastroenterology</w:t>
      </w:r>
    </w:p>
    <w:p w:rsidR="00F31EED" w:rsidRPr="005C227E" w:rsidRDefault="00F31EED" w:rsidP="00705018">
      <w:pPr>
        <w:pStyle w:val="ac"/>
        <w:snapToGrid w:val="0"/>
        <w:spacing w:line="360" w:lineRule="auto"/>
        <w:rPr>
          <w:rFonts w:ascii="Book Antiqua" w:hAnsi="Book Antiqua" w:cs="Tahoma"/>
          <w:b/>
          <w:color w:val="000000" w:themeColor="text1"/>
          <w:sz w:val="24"/>
          <w:szCs w:val="24"/>
        </w:rPr>
      </w:pPr>
      <w:r w:rsidRPr="005C227E">
        <w:rPr>
          <w:rFonts w:ascii="Book Antiqua" w:hAnsi="Book Antiqua" w:cs="Tahoma"/>
          <w:b/>
          <w:color w:val="000000" w:themeColor="text1"/>
          <w:sz w:val="24"/>
          <w:szCs w:val="24"/>
        </w:rPr>
        <w:t>ESPS Manuscript NO: 8899</w:t>
      </w:r>
    </w:p>
    <w:p w:rsidR="00616D23" w:rsidRDefault="00616D23" w:rsidP="00705018">
      <w:pPr>
        <w:suppressAutoHyphens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5C227E">
        <w:rPr>
          <w:rFonts w:ascii="Book Antiqua" w:hAnsi="Book Antiqua"/>
          <w:b/>
          <w:color w:val="000000" w:themeColor="text1"/>
          <w:sz w:val="24"/>
          <w:szCs w:val="24"/>
        </w:rPr>
        <w:t xml:space="preserve">Columns: </w:t>
      </w:r>
      <w:r w:rsidRPr="005C227E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>TOPIC HIGHLIGHT</w:t>
      </w:r>
    </w:p>
    <w:p w:rsidR="00714C7B" w:rsidRPr="005C227E" w:rsidRDefault="00714C7B" w:rsidP="00705018">
      <w:pPr>
        <w:suppressAutoHyphens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:rsidR="00616D23" w:rsidRPr="005C227E" w:rsidRDefault="00616D23" w:rsidP="00705018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C227E">
        <w:rPr>
          <w:rFonts w:ascii="Book Antiqua" w:hAnsi="Book Antiqua" w:cs="TwCenMT-Bold"/>
          <w:bCs/>
          <w:sz w:val="24"/>
          <w:szCs w:val="24"/>
        </w:rPr>
        <w:t>WJG 20th Anniversary Special Issues</w:t>
      </w:r>
      <w:r w:rsidRPr="005C227E">
        <w:rPr>
          <w:rFonts w:ascii="Book Antiqua" w:hAnsi="Book Antiqua"/>
          <w:sz w:val="24"/>
          <w:szCs w:val="24"/>
        </w:rPr>
        <w:t xml:space="preserve"> (12): </w:t>
      </w:r>
      <w:r w:rsidR="007B59A7" w:rsidRPr="008B7AB1">
        <w:rPr>
          <w:rFonts w:ascii="Book Antiqua" w:hAnsi="Book Antiqua"/>
          <w:color w:val="000000"/>
          <w:sz w:val="24"/>
          <w:szCs w:val="24"/>
        </w:rPr>
        <w:t>Nonalcoholic fatty liver disease</w:t>
      </w:r>
    </w:p>
    <w:p w:rsidR="00616D23" w:rsidRPr="005C227E" w:rsidRDefault="00616D23" w:rsidP="00705018">
      <w:pPr>
        <w:suppressAutoHyphens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:rsidR="00DD3AF7" w:rsidRPr="005C227E" w:rsidRDefault="00DA4883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 xml:space="preserve">Liver </w:t>
      </w:r>
      <w:r w:rsidR="00616D23"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 xml:space="preserve">transplantation and non-alcoholic fatty liver disease </w:t>
      </w:r>
    </w:p>
    <w:p w:rsidR="001F358F" w:rsidRPr="005C227E" w:rsidRDefault="001F358F" w:rsidP="00705018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</w:p>
    <w:p w:rsidR="00521E19" w:rsidRPr="005C227E" w:rsidRDefault="00F31EED" w:rsidP="00705018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Zezos P </w:t>
      </w:r>
      <w:r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>et al.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DA488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Liver Transplantation and NA</w:t>
      </w:r>
      <w:r w:rsidR="00DD3AF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F</w:t>
      </w:r>
      <w:r w:rsidR="00DA488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LD</w:t>
      </w:r>
    </w:p>
    <w:p w:rsidR="00AE6BE2" w:rsidRPr="005C227E" w:rsidRDefault="00AE6BE2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</w:p>
    <w:p w:rsidR="00F31EED" w:rsidRPr="005C227E" w:rsidRDefault="00AB0882" w:rsidP="00705018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proofErr w:type="spell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Petros</w:t>
      </w:r>
      <w:proofErr w:type="spellEnd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Zezos</w:t>
      </w:r>
      <w:proofErr w:type="spellEnd"/>
      <w:r w:rsidR="00F31EE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</w:t>
      </w:r>
      <w:r w:rsidR="008C40A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Eberhard L</w:t>
      </w:r>
      <w:r w:rsidR="000D332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Renner</w:t>
      </w:r>
    </w:p>
    <w:p w:rsidR="00F31EED" w:rsidRPr="005C227E" w:rsidRDefault="00DD454D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565557" w:rsidRPr="005C227E" w:rsidRDefault="008C40A0" w:rsidP="00705018">
      <w:pPr>
        <w:snapToGrid w:val="0"/>
        <w:spacing w:after="0" w:line="360" w:lineRule="auto"/>
        <w:jc w:val="both"/>
        <w:rPr>
          <w:rFonts w:ascii="Book Antiqua" w:hAnsi="Book Antiqua" w:cs="Courier New"/>
          <w:color w:val="000000" w:themeColor="text1"/>
          <w:sz w:val="24"/>
          <w:szCs w:val="24"/>
          <w:lang w:val="en-US" w:eastAsia="zh-CN" w:bidi="hi-IN"/>
        </w:rPr>
      </w:pP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>Petros Zezos, Eberhard L</w:t>
      </w:r>
      <w:r w:rsidR="00F31EED"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 xml:space="preserve"> Renner, </w:t>
      </w:r>
      <w:r w:rsidR="00565557" w:rsidRPr="005C227E">
        <w:rPr>
          <w:rFonts w:ascii="Book Antiqua" w:eastAsia="Times New Roman" w:hAnsi="Book Antiqua" w:cs="Courier New"/>
          <w:color w:val="000000" w:themeColor="text1"/>
          <w:sz w:val="24"/>
          <w:szCs w:val="24"/>
          <w:lang w:val="en-US" w:eastAsia="el-GR" w:bidi="hi-IN"/>
        </w:rPr>
        <w:t>Liver Transplant Program</w:t>
      </w:r>
      <w:r w:rsidRPr="005C227E">
        <w:rPr>
          <w:rFonts w:ascii="Book Antiqua" w:hAnsi="Book Antiqua" w:cs="Courier New"/>
          <w:color w:val="000000" w:themeColor="text1"/>
          <w:sz w:val="24"/>
          <w:szCs w:val="24"/>
          <w:lang w:val="en-US" w:eastAsia="zh-CN" w:bidi="hi-IN"/>
        </w:rPr>
        <w:t xml:space="preserve"> and </w:t>
      </w:r>
      <w:r w:rsidR="00565557" w:rsidRPr="005C227E">
        <w:rPr>
          <w:rFonts w:ascii="Book Antiqua" w:eastAsia="Times New Roman" w:hAnsi="Book Antiqua" w:cs="Courier New"/>
          <w:color w:val="000000" w:themeColor="text1"/>
          <w:sz w:val="24"/>
          <w:szCs w:val="24"/>
          <w:lang w:val="en-US" w:eastAsia="el-GR" w:bidi="hi-IN"/>
        </w:rPr>
        <w:t>Multi-Organ Transplant Program, University Health Network</w:t>
      </w:r>
      <w:r w:rsidRPr="005C227E">
        <w:rPr>
          <w:rFonts w:ascii="Book Antiqua" w:hAnsi="Book Antiqua" w:cs="Courier New"/>
          <w:color w:val="000000" w:themeColor="text1"/>
          <w:sz w:val="24"/>
          <w:szCs w:val="24"/>
          <w:lang w:val="en-US" w:eastAsia="zh-CN" w:bidi="hi-IN"/>
        </w:rPr>
        <w:t xml:space="preserve"> and </w:t>
      </w:r>
      <w:r w:rsidR="00565557" w:rsidRPr="005C227E">
        <w:rPr>
          <w:rFonts w:ascii="Book Antiqua" w:eastAsia="Times New Roman" w:hAnsi="Book Antiqua" w:cs="Courier New"/>
          <w:color w:val="000000" w:themeColor="text1"/>
          <w:sz w:val="24"/>
          <w:szCs w:val="24"/>
          <w:lang w:val="en-US" w:eastAsia="el-GR" w:bidi="hi-IN"/>
        </w:rPr>
        <w:t xml:space="preserve">Toronto General Hospital, University of Toronto, </w:t>
      </w:r>
      <w:r w:rsidR="00F31EED" w:rsidRPr="005C227E"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el-GR" w:bidi="hi-IN"/>
        </w:rPr>
        <w:t>Toronto, Ontario M5G 2N2, Canada</w:t>
      </w:r>
    </w:p>
    <w:p w:rsidR="00E6714C" w:rsidRPr="005C227E" w:rsidRDefault="00E6714C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 w:eastAsia="zh-CN"/>
        </w:rPr>
      </w:pPr>
    </w:p>
    <w:p w:rsidR="00E6714C" w:rsidRPr="005C227E" w:rsidRDefault="00FE3E32" w:rsidP="00705018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 xml:space="preserve">Author contributions: </w:t>
      </w:r>
      <w:proofErr w:type="spellStart"/>
      <w:r w:rsidR="00DA488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Z</w:t>
      </w:r>
      <w:r w:rsidR="00E43A5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ezos</w:t>
      </w:r>
      <w:proofErr w:type="spellEnd"/>
      <w:r w:rsidR="008C40A0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 P</w:t>
      </w:r>
      <w:r w:rsidR="005B666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</w:t>
      </w:r>
      <w:r w:rsidR="00E43A5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</w:t>
      </w:r>
      <w:r w:rsidR="00DA488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earched and reviewed the literature</w:t>
      </w:r>
      <w:r w:rsidR="002A785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</w:t>
      </w:r>
      <w:r w:rsidR="00DA488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and </w:t>
      </w:r>
      <w:r w:rsidR="002A785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wrote</w:t>
      </w:r>
      <w:r w:rsidR="008C40A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the manuscript;</w:t>
      </w:r>
      <w:r w:rsidR="008C40A0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 </w:t>
      </w:r>
      <w:r w:rsidR="00DA488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R</w:t>
      </w:r>
      <w:r w:rsidR="00E43A5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enner</w:t>
      </w:r>
      <w:r w:rsidR="00DA488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8C40A0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EL </w:t>
      </w:r>
      <w:r w:rsidR="00DA488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advised on searching the literature</w:t>
      </w:r>
      <w:r w:rsidR="002A785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 contributed to developing the man</w:t>
      </w:r>
      <w:r w:rsidR="00DC45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uscript</w:t>
      </w:r>
      <w:r w:rsidR="002A785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outline, and reviewed the manuscript.</w:t>
      </w:r>
      <w:r w:rsidR="00A91D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</w:p>
    <w:p w:rsidR="00DD3AF7" w:rsidRPr="005C227E" w:rsidRDefault="00DD3AF7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 w:eastAsia="zh-CN"/>
        </w:rPr>
      </w:pPr>
    </w:p>
    <w:p w:rsidR="005E027B" w:rsidRPr="005C227E" w:rsidRDefault="005A3831" w:rsidP="00705018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 w:eastAsia="zh-CN" w:bidi="hi-IN"/>
        </w:rPr>
      </w:pP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 xml:space="preserve">Correspondence to: </w:t>
      </w:r>
      <w:proofErr w:type="spellStart"/>
      <w:r w:rsidR="00DC456A" w:rsidRPr="005C227E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val="en-US" w:eastAsia="el-GR" w:bidi="hi-IN"/>
        </w:rPr>
        <w:t>Petros</w:t>
      </w:r>
      <w:proofErr w:type="spellEnd"/>
      <w:r w:rsidR="00DC456A" w:rsidRPr="005C227E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val="en-US" w:eastAsia="el-GR" w:bidi="hi-IN"/>
        </w:rPr>
        <w:t xml:space="preserve"> </w:t>
      </w:r>
      <w:proofErr w:type="spellStart"/>
      <w:r w:rsidR="00DC456A" w:rsidRPr="005C227E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val="en-US" w:eastAsia="el-GR" w:bidi="hi-IN"/>
        </w:rPr>
        <w:t>Zezos</w:t>
      </w:r>
      <w:proofErr w:type="spellEnd"/>
      <w:r w:rsidR="00565557" w:rsidRPr="005C227E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val="en-US" w:eastAsia="el-GR" w:bidi="hi-IN"/>
        </w:rPr>
        <w:t>, MD,</w:t>
      </w:r>
      <w:r w:rsidR="00565557" w:rsidRPr="005C227E"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el-GR" w:bidi="hi-IN"/>
        </w:rPr>
        <w:t xml:space="preserve"> </w:t>
      </w:r>
      <w:r w:rsidR="005E027B" w:rsidRPr="005C227E">
        <w:rPr>
          <w:rFonts w:ascii="Book Antiqua" w:eastAsia="Times New Roman" w:hAnsi="Book Antiqua" w:cs="Courier New"/>
          <w:color w:val="000000" w:themeColor="text1"/>
          <w:sz w:val="24"/>
          <w:szCs w:val="24"/>
          <w:lang w:val="en-US" w:eastAsia="el-GR" w:bidi="hi-IN"/>
        </w:rPr>
        <w:t>Liver Transplant Program</w:t>
      </w:r>
      <w:r w:rsidR="005E027B" w:rsidRPr="005C227E">
        <w:rPr>
          <w:rFonts w:ascii="Book Antiqua" w:hAnsi="Book Antiqua" w:cs="Courier New"/>
          <w:color w:val="000000" w:themeColor="text1"/>
          <w:sz w:val="24"/>
          <w:szCs w:val="24"/>
          <w:lang w:val="en-US" w:eastAsia="zh-CN" w:bidi="hi-IN"/>
        </w:rPr>
        <w:t xml:space="preserve"> and </w:t>
      </w:r>
      <w:r w:rsidR="005E027B" w:rsidRPr="005C227E">
        <w:rPr>
          <w:rFonts w:ascii="Book Antiqua" w:eastAsia="Times New Roman" w:hAnsi="Book Antiqua" w:cs="Courier New"/>
          <w:color w:val="000000" w:themeColor="text1"/>
          <w:sz w:val="24"/>
          <w:szCs w:val="24"/>
          <w:lang w:val="en-US" w:eastAsia="el-GR" w:bidi="hi-IN"/>
        </w:rPr>
        <w:t>Multi-Organ Transplant Program, University Health Network</w:t>
      </w:r>
      <w:r w:rsidR="005E027B" w:rsidRPr="005C227E">
        <w:rPr>
          <w:rFonts w:ascii="Book Antiqua" w:hAnsi="Book Antiqua" w:cs="Courier New"/>
          <w:color w:val="000000" w:themeColor="text1"/>
          <w:sz w:val="24"/>
          <w:szCs w:val="24"/>
          <w:lang w:val="en-US" w:eastAsia="zh-CN" w:bidi="hi-IN"/>
        </w:rPr>
        <w:t xml:space="preserve"> and </w:t>
      </w:r>
      <w:r w:rsidR="005E027B" w:rsidRPr="005C227E">
        <w:rPr>
          <w:rFonts w:ascii="Book Antiqua" w:eastAsia="Times New Roman" w:hAnsi="Book Antiqua" w:cs="Courier New"/>
          <w:color w:val="000000" w:themeColor="text1"/>
          <w:sz w:val="24"/>
          <w:szCs w:val="24"/>
          <w:lang w:val="en-US" w:eastAsia="el-GR" w:bidi="hi-IN"/>
        </w:rPr>
        <w:t xml:space="preserve">Toronto General Hospital, University of Toronto, </w:t>
      </w:r>
      <w:r w:rsidR="00565557" w:rsidRPr="005C227E"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el-GR" w:bidi="hi-IN"/>
        </w:rPr>
        <w:t xml:space="preserve">585 University Avenue, NCSB 11C-1238, Toronto, Ontario M5G 2N2, Canada. </w:t>
      </w:r>
    </w:p>
    <w:p w:rsidR="00E43A5C" w:rsidRPr="005C227E" w:rsidRDefault="00DD454D" w:rsidP="00705018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el-GR" w:bidi="hi-IN"/>
        </w:rPr>
      </w:pPr>
      <w:hyperlink r:id="rId9" w:history="1">
        <w:r w:rsidR="001F358F" w:rsidRPr="005C227E">
          <w:rPr>
            <w:rStyle w:val="a9"/>
            <w:rFonts w:ascii="Book Antiqua" w:eastAsia="Times New Roman" w:hAnsi="Book Antiqua" w:cs="Arial"/>
            <w:color w:val="000000" w:themeColor="text1"/>
            <w:sz w:val="24"/>
            <w:szCs w:val="24"/>
            <w:u w:val="none"/>
            <w:lang w:val="en-US" w:eastAsia="el-GR" w:bidi="hi-IN"/>
          </w:rPr>
          <w:t>zezosp13@hotmail.com</w:t>
        </w:r>
      </w:hyperlink>
      <w:r w:rsidR="001F358F" w:rsidRPr="005C227E"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el-GR" w:bidi="hi-IN"/>
        </w:rPr>
        <w:t xml:space="preserve">. </w:t>
      </w:r>
    </w:p>
    <w:p w:rsidR="00E43A5C" w:rsidRPr="005C227E" w:rsidRDefault="00E43A5C" w:rsidP="00705018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val="en-US" w:eastAsia="el-GR" w:bidi="hi-IN"/>
        </w:rPr>
      </w:pPr>
    </w:p>
    <w:p w:rsidR="00565557" w:rsidRPr="005C227E" w:rsidRDefault="00565557" w:rsidP="00705018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 w:eastAsia="zh-CN" w:bidi="hi-IN"/>
        </w:rPr>
      </w:pPr>
      <w:r w:rsidRPr="005C227E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val="en-US" w:eastAsia="el-GR" w:bidi="hi-IN"/>
        </w:rPr>
        <w:t>Telephone</w:t>
      </w:r>
      <w:r w:rsidR="00635387" w:rsidRPr="005C227E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val="en-US" w:eastAsia="el-GR" w:bidi="hi-IN"/>
        </w:rPr>
        <w:t>:</w:t>
      </w:r>
      <w:r w:rsidR="00635387" w:rsidRPr="005C227E"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el-GR" w:bidi="hi-IN"/>
        </w:rPr>
        <w:t xml:space="preserve"> +</w:t>
      </w:r>
      <w:r w:rsidRPr="005C227E"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el-GR" w:bidi="hi-IN"/>
        </w:rPr>
        <w:t>1</w:t>
      </w:r>
      <w:r w:rsidR="005E027B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 w:bidi="hi-IN"/>
        </w:rPr>
        <w:t>-</w:t>
      </w:r>
      <w:r w:rsidR="005E027B" w:rsidRPr="005C227E"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el-GR" w:bidi="hi-IN"/>
        </w:rPr>
        <w:t>416-340</w:t>
      </w:r>
      <w:r w:rsidRPr="005C227E"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el-GR" w:bidi="hi-IN"/>
        </w:rPr>
        <w:t>6821</w:t>
      </w:r>
      <w:r w:rsidR="00A91D95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 w:bidi="hi-IN"/>
        </w:rPr>
        <w:t xml:space="preserve">  </w:t>
      </w:r>
      <w:r w:rsidR="005E027B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 w:bidi="hi-IN"/>
        </w:rPr>
        <w:t xml:space="preserve"> </w:t>
      </w:r>
      <w:r w:rsidRPr="005C227E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val="en-US" w:eastAsia="el-GR" w:bidi="hi-IN"/>
        </w:rPr>
        <w:t>Fax:</w:t>
      </w:r>
      <w:r w:rsidR="005E027B" w:rsidRPr="005C227E">
        <w:rPr>
          <w:rFonts w:ascii="Book Antiqua" w:hAnsi="Book Antiqua" w:cs="Arial"/>
          <w:b/>
          <w:color w:val="000000" w:themeColor="text1"/>
          <w:sz w:val="24"/>
          <w:szCs w:val="24"/>
          <w:lang w:val="en-US" w:eastAsia="zh-CN" w:bidi="hi-IN"/>
        </w:rPr>
        <w:t xml:space="preserve"> </w:t>
      </w:r>
      <w:r w:rsidRPr="005C227E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val="en-US" w:eastAsia="el-GR" w:bidi="hi-IN"/>
        </w:rPr>
        <w:t>+</w:t>
      </w:r>
      <w:r w:rsidR="005E027B" w:rsidRPr="005C227E"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el-GR" w:bidi="hi-IN"/>
        </w:rPr>
        <w:t>1</w:t>
      </w:r>
      <w:r w:rsidR="005E027B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 w:bidi="hi-IN"/>
        </w:rPr>
        <w:t>-</w:t>
      </w:r>
      <w:r w:rsidR="005E027B" w:rsidRPr="005C227E"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el-GR" w:bidi="hi-IN"/>
        </w:rPr>
        <w:t>416-340-3126</w:t>
      </w:r>
    </w:p>
    <w:p w:rsidR="005E027B" w:rsidRPr="005C227E" w:rsidRDefault="00E43A5C" w:rsidP="0070501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CA" w:eastAsia="zh-CN"/>
        </w:rPr>
      </w:pPr>
      <w:r w:rsidRPr="005C227E">
        <w:rPr>
          <w:rFonts w:ascii="Book Antiqua" w:hAnsi="Book Antiqua"/>
          <w:b/>
          <w:color w:val="000000" w:themeColor="text1"/>
          <w:sz w:val="24"/>
          <w:szCs w:val="24"/>
          <w:lang w:val="en-CA"/>
        </w:rPr>
        <w:t xml:space="preserve">Received: </w:t>
      </w:r>
      <w:r w:rsidR="005E027B" w:rsidRPr="005C227E">
        <w:rPr>
          <w:rFonts w:ascii="Book Antiqua" w:hAnsi="Book Antiqua"/>
          <w:color w:val="000000" w:themeColor="text1"/>
          <w:sz w:val="24"/>
          <w:szCs w:val="24"/>
          <w:lang w:val="en-CA" w:eastAsia="zh-CN"/>
        </w:rPr>
        <w:t>January 10, 2014</w:t>
      </w:r>
      <w:r w:rsidR="00A91D95" w:rsidRPr="005C227E">
        <w:rPr>
          <w:rFonts w:ascii="Book Antiqua" w:hAnsi="Book Antiqua"/>
          <w:b/>
          <w:color w:val="000000" w:themeColor="text1"/>
          <w:sz w:val="24"/>
          <w:szCs w:val="24"/>
          <w:lang w:val="en-CA" w:eastAsia="zh-CN"/>
        </w:rPr>
        <w:t xml:space="preserve">   </w:t>
      </w:r>
      <w:r w:rsidRPr="005C227E">
        <w:rPr>
          <w:rFonts w:ascii="Book Antiqua" w:hAnsi="Book Antiqua"/>
          <w:b/>
          <w:color w:val="000000" w:themeColor="text1"/>
          <w:sz w:val="24"/>
          <w:szCs w:val="24"/>
          <w:lang w:val="en-CA"/>
        </w:rPr>
        <w:t>Revised:</w:t>
      </w:r>
      <w:r w:rsidR="00A91D95" w:rsidRPr="005C227E">
        <w:rPr>
          <w:rFonts w:ascii="Book Antiqua" w:hAnsi="Book Antiqua"/>
          <w:b/>
          <w:color w:val="000000" w:themeColor="text1"/>
          <w:sz w:val="24"/>
          <w:szCs w:val="24"/>
          <w:lang w:val="en-CA"/>
        </w:rPr>
        <w:t xml:space="preserve"> </w:t>
      </w:r>
      <w:r w:rsidR="005E027B" w:rsidRPr="005C227E">
        <w:rPr>
          <w:rFonts w:ascii="Book Antiqua" w:hAnsi="Book Antiqua"/>
          <w:color w:val="000000" w:themeColor="text1"/>
          <w:sz w:val="24"/>
          <w:szCs w:val="24"/>
          <w:lang w:val="en-CA" w:eastAsia="zh-CN"/>
        </w:rPr>
        <w:t>February 13, 2014</w:t>
      </w:r>
    </w:p>
    <w:p w:rsidR="00224D14" w:rsidRDefault="00E43A5C" w:rsidP="00224D14">
      <w:pPr>
        <w:rPr>
          <w:rFonts w:ascii="Book Antiqua" w:hAnsi="Book Antiqua"/>
          <w:color w:val="000000"/>
          <w:sz w:val="24"/>
        </w:rPr>
      </w:pPr>
      <w:r w:rsidRPr="005C227E">
        <w:rPr>
          <w:rFonts w:ascii="Book Antiqua" w:hAnsi="Book Antiqua"/>
          <w:b/>
          <w:color w:val="000000" w:themeColor="text1"/>
          <w:sz w:val="24"/>
          <w:szCs w:val="24"/>
          <w:lang w:val="en-CA"/>
        </w:rPr>
        <w:t>Accepted: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9"/>
      <w:bookmarkStart w:id="8" w:name="OLE_LINK10"/>
      <w:bookmarkStart w:id="9" w:name="OLE_LINK13"/>
      <w:bookmarkStart w:id="10" w:name="OLE_LINK14"/>
      <w:bookmarkStart w:id="11" w:name="OLE_LINK17"/>
      <w:bookmarkStart w:id="12" w:name="OLE_LINK18"/>
      <w:bookmarkStart w:id="13" w:name="OLE_LINK19"/>
      <w:bookmarkStart w:id="14" w:name="OLE_LINK22"/>
      <w:bookmarkStart w:id="15" w:name="OLE_LINK24"/>
      <w:bookmarkStart w:id="16" w:name="OLE_LINK25"/>
      <w:bookmarkStart w:id="17" w:name="OLE_LINK26"/>
      <w:r w:rsidR="00224D14" w:rsidRPr="00224D14">
        <w:rPr>
          <w:rFonts w:ascii="Book Antiqua" w:hAnsi="Book Antiqua"/>
          <w:color w:val="000000"/>
          <w:sz w:val="24"/>
        </w:rPr>
        <w:t xml:space="preserve"> </w:t>
      </w:r>
      <w:r w:rsidR="00224D14">
        <w:rPr>
          <w:rFonts w:ascii="Book Antiqua" w:hAnsi="Book Antiqua"/>
          <w:color w:val="000000"/>
          <w:sz w:val="24"/>
        </w:rPr>
        <w:t>June 14, 2014</w:t>
      </w:r>
    </w:p>
    <w:p w:rsidR="005E027B" w:rsidRPr="005C227E" w:rsidRDefault="00A91D95" w:rsidP="00705018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CA" w:eastAsia="zh-CN"/>
        </w:rPr>
      </w:pPr>
      <w:bookmarkStart w:id="1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5C227E">
        <w:rPr>
          <w:rFonts w:ascii="Book Antiqua" w:hAnsi="Book Antiqua"/>
          <w:b/>
          <w:color w:val="000000" w:themeColor="text1"/>
          <w:sz w:val="24"/>
          <w:szCs w:val="24"/>
          <w:lang w:val="en-CA"/>
        </w:rPr>
        <w:t xml:space="preserve"> </w:t>
      </w:r>
    </w:p>
    <w:p w:rsidR="00E43A5C" w:rsidRPr="005C227E" w:rsidRDefault="00E43A5C" w:rsidP="00705018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CA"/>
        </w:rPr>
      </w:pPr>
      <w:r w:rsidRPr="005C227E">
        <w:rPr>
          <w:rFonts w:ascii="Book Antiqua" w:hAnsi="Book Antiqua"/>
          <w:b/>
          <w:color w:val="000000" w:themeColor="text1"/>
          <w:sz w:val="24"/>
          <w:szCs w:val="24"/>
          <w:lang w:val="en-CA"/>
        </w:rPr>
        <w:t xml:space="preserve">Published online: </w:t>
      </w:r>
    </w:p>
    <w:p w:rsidR="00E43A5C" w:rsidRPr="005C227E" w:rsidRDefault="00E43A5C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CA" w:eastAsia="zh-CN"/>
        </w:rPr>
      </w:pPr>
    </w:p>
    <w:p w:rsidR="005E027B" w:rsidRPr="005C227E" w:rsidRDefault="005E027B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CA" w:eastAsia="zh-CN"/>
        </w:rPr>
      </w:pPr>
    </w:p>
    <w:p w:rsidR="00042482" w:rsidRPr="005C227E" w:rsidRDefault="005A3831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>Abstract</w:t>
      </w:r>
    </w:p>
    <w:p w:rsidR="005A3831" w:rsidRPr="005C227E" w:rsidRDefault="005B7032" w:rsidP="00705018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Non</w:t>
      </w:r>
      <w:r w:rsidR="00A121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-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alcoholic fatty liver disease (NAFLD) is a</w:t>
      </w:r>
      <w:r w:rsidR="00CF58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 important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health problem worldwide.</w:t>
      </w:r>
      <w:r w:rsidR="00E032E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NAFLD </w:t>
      </w:r>
      <w:r w:rsidR="00CF58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encompasses a histological spectrum</w:t>
      </w:r>
      <w:r w:rsidR="00A121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ranging</w:t>
      </w:r>
      <w:r w:rsidR="00CF58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from </w:t>
      </w:r>
      <w:r w:rsidR="00A121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bland </w:t>
      </w:r>
      <w:r w:rsidR="00CF58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liver </w:t>
      </w:r>
      <w:proofErr w:type="spellStart"/>
      <w:r w:rsidR="00CF58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steatosis</w:t>
      </w:r>
      <w:proofErr w:type="spellEnd"/>
      <w:r w:rsidR="00CF58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to </w:t>
      </w:r>
      <w:r w:rsidR="00A121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severe </w:t>
      </w:r>
      <w:proofErr w:type="spellStart"/>
      <w:r w:rsidR="00CF58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steatohepatitis</w:t>
      </w:r>
      <w:proofErr w:type="spellEnd"/>
      <w:r w:rsidR="00CF58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(</w:t>
      </w:r>
      <w:r w:rsidR="0069403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nonalcoholic </w:t>
      </w:r>
      <w:proofErr w:type="spellStart"/>
      <w:r w:rsidR="0069403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steatohepatitis</w:t>
      </w:r>
      <w:proofErr w:type="spellEnd"/>
      <w:r w:rsidR="0069403E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,</w:t>
      </w:r>
      <w:r w:rsidR="0069403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CF58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NASH) </w:t>
      </w:r>
      <w:r w:rsidR="00A121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with the potential of progressing to </w:t>
      </w:r>
      <w:r w:rsidR="00CF58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cirrhosis</w:t>
      </w:r>
      <w:r w:rsidR="00A121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and its associated morbidity and mortality</w:t>
      </w:r>
      <w:r w:rsidR="00CF58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  <w:r w:rsidR="00E032E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NAFLD is </w:t>
      </w:r>
      <w:r w:rsidR="00A121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thought </w:t>
      </w:r>
      <w:r w:rsidR="002E150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to be the hepatic manife</w:t>
      </w:r>
      <w:r w:rsidR="00A121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sta</w:t>
      </w:r>
      <w:r w:rsidR="002E150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tio</w:t>
      </w:r>
      <w:r w:rsidR="00A121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 of insulin resistance</w:t>
      </w:r>
      <w:r w:rsidR="002E086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A121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(or the metabolic syndrome); its prevalence is increasing worldwide in </w:t>
      </w:r>
      <w:r w:rsidR="00E032E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parallel </w:t>
      </w:r>
      <w:r w:rsidR="00A121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with the obesity epidemic</w:t>
      </w:r>
      <w:r w:rsidR="00E032E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  <w:r w:rsidR="0092201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 many developed cou</w:t>
      </w:r>
      <w:r w:rsidR="00DD3AF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</w:t>
      </w:r>
      <w:r w:rsidR="0092201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tries, </w:t>
      </w:r>
      <w:r w:rsidR="00E032E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NAFLD </w:t>
      </w:r>
      <w:r w:rsidR="0092201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is</w:t>
      </w:r>
      <w:r w:rsidR="0072775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the most common </w:t>
      </w:r>
      <w:r w:rsidR="000367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cause of </w:t>
      </w:r>
      <w:r w:rsidR="0072775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liver disease and</w:t>
      </w:r>
      <w:r w:rsidR="00805E7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E032E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NASH related cirrhosis is </w:t>
      </w:r>
      <w:r w:rsidR="0092201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currently </w:t>
      </w:r>
      <w:r w:rsidR="00E032E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the third most common indica</w:t>
      </w:r>
      <w:r w:rsidR="00805E7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tion for liver transplantation</w:t>
      </w:r>
      <w:r w:rsidR="0092201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NASH related cirrhosis is anticipated to become </w:t>
      </w:r>
      <w:r w:rsidR="00805E7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leading </w:t>
      </w:r>
      <w:r w:rsidR="0092201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indication for </w:t>
      </w:r>
      <w:r w:rsidR="00805E7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liver transplantation </w:t>
      </w:r>
      <w:r w:rsidR="0092201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within </w:t>
      </w:r>
      <w:r w:rsidR="00805E7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next one or two decades. </w:t>
      </w:r>
      <w:r w:rsidR="007978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 this review, we </w:t>
      </w:r>
      <w:r w:rsidR="0092201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discuss </w:t>
      </w:r>
      <w:r w:rsidR="0004012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how</w:t>
      </w:r>
      <w:r w:rsidR="00C74F0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2E150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liver transplantation is affected by </w:t>
      </w:r>
      <w:r w:rsidR="00C74F0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NAFLD</w:t>
      </w:r>
      <w:r w:rsidR="0004012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 specifically the following</w:t>
      </w:r>
      <w:r w:rsidR="00C74F0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: </w:t>
      </w:r>
      <w:r w:rsidR="00705018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(1</w:t>
      </w:r>
      <w:r w:rsidR="00C74F0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) </w:t>
      </w:r>
      <w:r w:rsidR="0004012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increasing need for liver transplantation due to </w:t>
      </w:r>
      <w:r w:rsidR="007978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NASH</w:t>
      </w:r>
      <w:r w:rsidR="00705018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;</w:t>
      </w:r>
      <w:r w:rsidR="003B52E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705018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(2</w:t>
      </w:r>
      <w:r w:rsidR="0070501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)</w:t>
      </w:r>
      <w:r w:rsidR="00705018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 </w:t>
      </w:r>
      <w:r w:rsidR="003B52E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the impact of</w:t>
      </w:r>
      <w:r w:rsidR="00C74F0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the increasing preva</w:t>
      </w:r>
      <w:r w:rsidR="0004012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lenc</w:t>
      </w:r>
      <w:r w:rsidR="00C74F0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e of </w:t>
      </w:r>
      <w:r w:rsidR="003B52E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NAFLD</w:t>
      </w:r>
      <w:r w:rsidR="00C74F0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in the general population</w:t>
      </w:r>
      <w:r w:rsidR="003B52E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o</w:t>
      </w:r>
      <w:r w:rsidR="007978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 the quality</w:t>
      </w:r>
      <w:r w:rsidR="00C74F0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7978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of </w:t>
      </w:r>
      <w:r w:rsidR="00C74F0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deceased and live </w:t>
      </w:r>
      <w:r w:rsidR="007978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donor livers</w:t>
      </w:r>
      <w:r w:rsidR="0004012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available for transplantation</w:t>
      </w:r>
      <w:r w:rsidR="00705018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;</w:t>
      </w:r>
      <w:r w:rsidR="007978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705018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(3</w:t>
      </w:r>
      <w:r w:rsidR="0070501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)</w:t>
      </w:r>
      <w:r w:rsidR="00705018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 </w:t>
      </w:r>
      <w:r w:rsidR="007978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long term </w:t>
      </w:r>
      <w:r w:rsidR="0004012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graft and patient </w:t>
      </w:r>
      <w:r w:rsidR="007978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outcomes after liver transplantation for NASH</w:t>
      </w:r>
      <w:r w:rsidR="00C74F0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A91D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7978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and</w:t>
      </w:r>
      <w:r w:rsidR="00C74F0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finally</w:t>
      </w:r>
      <w:r w:rsidR="00705018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; and</w:t>
      </w:r>
      <w:r w:rsidR="00C74F0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705018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(4</w:t>
      </w:r>
      <w:r w:rsidR="0070501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)</w:t>
      </w:r>
      <w:r w:rsidR="00705018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 </w:t>
      </w:r>
      <w:r w:rsidR="007978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</w:t>
      </w:r>
      <w:r w:rsidR="00705018" w:rsidRPr="005C227E">
        <w:rPr>
          <w:rFonts w:ascii="Book Antiqua" w:hAnsi="Book Antiqua" w:cs="Arial"/>
          <w:i/>
          <w:color w:val="000000" w:themeColor="text1"/>
          <w:sz w:val="24"/>
          <w:szCs w:val="24"/>
          <w:lang w:val="en-US"/>
        </w:rPr>
        <w:t>de novo</w:t>
      </w:r>
      <w:r w:rsidR="007978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occurrence of NAFLD/NASH after liver transplantation</w:t>
      </w:r>
      <w:r w:rsidR="0004012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and its i</w:t>
      </w:r>
      <w:r w:rsidR="00C74F0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mpact on </w:t>
      </w:r>
      <w:r w:rsidR="0004012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graft and patient</w:t>
      </w:r>
      <w:r w:rsidR="00C74F0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outcomes</w:t>
      </w:r>
      <w:r w:rsidR="007978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</w:p>
    <w:p w:rsidR="00705018" w:rsidRPr="005C227E" w:rsidRDefault="00705018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 w:eastAsia="zh-CN"/>
        </w:rPr>
      </w:pPr>
    </w:p>
    <w:p w:rsidR="00705018" w:rsidRPr="005C227E" w:rsidRDefault="00705018" w:rsidP="00705018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bookmarkStart w:id="19" w:name="OLE_LINK98"/>
      <w:bookmarkStart w:id="20" w:name="OLE_LINK156"/>
      <w:bookmarkStart w:id="21" w:name="OLE_LINK196"/>
      <w:bookmarkStart w:id="22" w:name="OLE_LINK217"/>
      <w:bookmarkStart w:id="23" w:name="OLE_LINK242"/>
      <w:bookmarkStart w:id="24" w:name="OLE_LINK247"/>
      <w:bookmarkStart w:id="25" w:name="OLE_LINK311"/>
      <w:bookmarkStart w:id="26" w:name="OLE_LINK312"/>
      <w:bookmarkStart w:id="27" w:name="OLE_LINK325"/>
      <w:bookmarkStart w:id="28" w:name="OLE_LINK330"/>
      <w:bookmarkStart w:id="29" w:name="OLE_LINK513"/>
      <w:bookmarkStart w:id="30" w:name="OLE_LINK514"/>
      <w:bookmarkStart w:id="31" w:name="OLE_LINK464"/>
      <w:bookmarkStart w:id="32" w:name="OLE_LINK465"/>
      <w:bookmarkStart w:id="33" w:name="OLE_LINK466"/>
      <w:bookmarkStart w:id="34" w:name="OLE_LINK470"/>
      <w:bookmarkStart w:id="35" w:name="OLE_LINK471"/>
      <w:bookmarkStart w:id="36" w:name="OLE_LINK472"/>
      <w:bookmarkStart w:id="37" w:name="OLE_LINK474"/>
      <w:bookmarkStart w:id="38" w:name="OLE_LINK512"/>
      <w:bookmarkStart w:id="39" w:name="OLE_LINK800"/>
      <w:bookmarkStart w:id="40" w:name="OLE_LINK982"/>
      <w:bookmarkStart w:id="41" w:name="OLE_LINK1027"/>
      <w:bookmarkStart w:id="42" w:name="OLE_LINK504"/>
      <w:bookmarkStart w:id="43" w:name="OLE_LINK546"/>
      <w:bookmarkStart w:id="44" w:name="OLE_LINK547"/>
      <w:bookmarkStart w:id="45" w:name="OLE_LINK575"/>
      <w:bookmarkStart w:id="46" w:name="OLE_LINK640"/>
      <w:bookmarkStart w:id="47" w:name="OLE_LINK672"/>
      <w:bookmarkStart w:id="48" w:name="OLE_LINK714"/>
      <w:bookmarkStart w:id="49" w:name="OLE_LINK651"/>
      <w:bookmarkStart w:id="50" w:name="OLE_LINK652"/>
      <w:bookmarkStart w:id="51" w:name="OLE_LINK744"/>
      <w:bookmarkStart w:id="52" w:name="OLE_LINK758"/>
      <w:bookmarkStart w:id="53" w:name="OLE_LINK787"/>
      <w:bookmarkStart w:id="54" w:name="OLE_LINK807"/>
      <w:bookmarkStart w:id="55" w:name="OLE_LINK820"/>
      <w:bookmarkStart w:id="56" w:name="OLE_LINK862"/>
      <w:bookmarkStart w:id="57" w:name="OLE_LINK879"/>
      <w:bookmarkStart w:id="58" w:name="OLE_LINK906"/>
      <w:bookmarkStart w:id="59" w:name="OLE_LINK928"/>
      <w:bookmarkStart w:id="60" w:name="OLE_LINK960"/>
      <w:bookmarkStart w:id="61" w:name="OLE_LINK861"/>
      <w:bookmarkStart w:id="62" w:name="OLE_LINK983"/>
      <w:bookmarkStart w:id="63" w:name="OLE_LINK1334"/>
      <w:bookmarkStart w:id="64" w:name="OLE_LINK1029"/>
      <w:bookmarkStart w:id="65" w:name="OLE_LINK1060"/>
      <w:bookmarkStart w:id="66" w:name="OLE_LINK1061"/>
      <w:bookmarkStart w:id="67" w:name="OLE_LINK1348"/>
      <w:bookmarkStart w:id="68" w:name="OLE_LINK1086"/>
      <w:bookmarkStart w:id="69" w:name="OLE_LINK1100"/>
      <w:bookmarkStart w:id="70" w:name="OLE_LINK1125"/>
      <w:bookmarkStart w:id="71" w:name="OLE_LINK1163"/>
      <w:bookmarkStart w:id="72" w:name="OLE_LINK1193"/>
      <w:bookmarkStart w:id="73" w:name="OLE_LINK1219"/>
      <w:bookmarkStart w:id="74" w:name="OLE_LINK1247"/>
      <w:bookmarkStart w:id="75" w:name="OLE_LINK1284"/>
      <w:bookmarkStart w:id="76" w:name="OLE_LINK1313"/>
      <w:bookmarkStart w:id="77" w:name="OLE_LINK1361"/>
      <w:bookmarkStart w:id="78" w:name="OLE_LINK1384"/>
      <w:bookmarkStart w:id="79" w:name="OLE_LINK1403"/>
      <w:bookmarkStart w:id="80" w:name="OLE_LINK1437"/>
      <w:bookmarkStart w:id="81" w:name="OLE_LINK1454"/>
      <w:bookmarkStart w:id="82" w:name="OLE_LINK1480"/>
      <w:bookmarkStart w:id="83" w:name="OLE_LINK1504"/>
      <w:bookmarkStart w:id="84" w:name="OLE_LINK1516"/>
      <w:bookmarkStart w:id="85" w:name="OLE_LINK135"/>
      <w:bookmarkStart w:id="86" w:name="OLE_LINK216"/>
      <w:bookmarkStart w:id="87" w:name="OLE_LINK259"/>
      <w:bookmarkStart w:id="88" w:name="OLE_LINK1186"/>
      <w:bookmarkStart w:id="89" w:name="OLE_LINK1265"/>
      <w:bookmarkStart w:id="90" w:name="OLE_LINK1373"/>
      <w:bookmarkStart w:id="91" w:name="OLE_LINK1478"/>
      <w:bookmarkStart w:id="92" w:name="OLE_LINK1644"/>
      <w:bookmarkStart w:id="93" w:name="OLE_LINK1884"/>
      <w:bookmarkStart w:id="94" w:name="OLE_LINK1885"/>
      <w:bookmarkStart w:id="95" w:name="OLE_LINK1538"/>
      <w:bookmarkStart w:id="96" w:name="OLE_LINK1539"/>
      <w:bookmarkStart w:id="97" w:name="OLE_LINK1543"/>
      <w:bookmarkStart w:id="98" w:name="OLE_LINK1549"/>
      <w:bookmarkStart w:id="99" w:name="OLE_LINK1778"/>
      <w:bookmarkStart w:id="100" w:name="OLE_LINK1756"/>
      <w:bookmarkStart w:id="101" w:name="OLE_LINK1776"/>
      <w:bookmarkStart w:id="102" w:name="OLE_LINK1777"/>
      <w:bookmarkStart w:id="103" w:name="OLE_LINK1868"/>
      <w:bookmarkStart w:id="104" w:name="OLE_LINK1744"/>
      <w:bookmarkStart w:id="105" w:name="OLE_LINK1817"/>
      <w:bookmarkStart w:id="106" w:name="OLE_LINK1835"/>
      <w:bookmarkStart w:id="107" w:name="OLE_LINK1866"/>
      <w:bookmarkStart w:id="108" w:name="OLE_LINK1882"/>
      <w:bookmarkStart w:id="109" w:name="OLE_LINK1901"/>
      <w:bookmarkStart w:id="110" w:name="OLE_LINK1902"/>
      <w:bookmarkStart w:id="111" w:name="OLE_LINK2013"/>
      <w:bookmarkStart w:id="112" w:name="OLE_LINK1894"/>
      <w:bookmarkStart w:id="113" w:name="OLE_LINK1929"/>
      <w:bookmarkStart w:id="114" w:name="OLE_LINK1941"/>
      <w:bookmarkStart w:id="115" w:name="OLE_LINK1995"/>
      <w:bookmarkStart w:id="116" w:name="OLE_LINK1938"/>
      <w:bookmarkStart w:id="117" w:name="OLE_LINK2081"/>
      <w:bookmarkStart w:id="118" w:name="OLE_LINK2082"/>
      <w:bookmarkStart w:id="119" w:name="OLE_LINK2292"/>
      <w:bookmarkStart w:id="120" w:name="OLE_LINK1931"/>
      <w:bookmarkStart w:id="121" w:name="OLE_LINK1964"/>
      <w:bookmarkStart w:id="122" w:name="OLE_LINK2020"/>
      <w:bookmarkStart w:id="123" w:name="OLE_LINK2071"/>
      <w:bookmarkStart w:id="124" w:name="OLE_LINK2134"/>
      <w:bookmarkStart w:id="125" w:name="OLE_LINK2265"/>
      <w:bookmarkStart w:id="126" w:name="OLE_LINK2562"/>
      <w:bookmarkStart w:id="127" w:name="OLE_LINK1923"/>
      <w:bookmarkStart w:id="128" w:name="OLE_LINK2192"/>
      <w:bookmarkStart w:id="129" w:name="OLE_LINK2110"/>
      <w:bookmarkStart w:id="130" w:name="OLE_LINK2445"/>
      <w:bookmarkStart w:id="131" w:name="OLE_LINK2446"/>
      <w:bookmarkStart w:id="132" w:name="OLE_LINK2169"/>
      <w:bookmarkStart w:id="133" w:name="OLE_LINK2190"/>
      <w:bookmarkStart w:id="134" w:name="OLE_LINK2331"/>
      <w:bookmarkStart w:id="135" w:name="OLE_LINK2345"/>
      <w:bookmarkStart w:id="136" w:name="OLE_LINK2467"/>
      <w:bookmarkStart w:id="137" w:name="OLE_LINK2484"/>
      <w:bookmarkStart w:id="138" w:name="OLE_LINK2157"/>
      <w:bookmarkStart w:id="139" w:name="OLE_LINK2221"/>
      <w:bookmarkStart w:id="140" w:name="OLE_LINK2252"/>
      <w:bookmarkStart w:id="141" w:name="OLE_LINK2348"/>
      <w:bookmarkStart w:id="142" w:name="OLE_LINK2451"/>
      <w:bookmarkStart w:id="143" w:name="OLE_LINK2627"/>
      <w:bookmarkStart w:id="144" w:name="OLE_LINK2482"/>
      <w:bookmarkStart w:id="145" w:name="OLE_LINK2663"/>
      <w:bookmarkStart w:id="146" w:name="OLE_LINK2761"/>
      <w:bookmarkStart w:id="147" w:name="OLE_LINK2856"/>
      <w:bookmarkStart w:id="148" w:name="OLE_LINK2993"/>
      <w:bookmarkStart w:id="149" w:name="OLE_LINK2643"/>
      <w:bookmarkStart w:id="150" w:name="OLE_LINK2583"/>
      <w:bookmarkStart w:id="151" w:name="OLE_LINK2762"/>
      <w:bookmarkStart w:id="152" w:name="OLE_LINK2962"/>
      <w:bookmarkStart w:id="153" w:name="OLE_LINK2582"/>
      <w:r w:rsidRPr="005C227E">
        <w:rPr>
          <w:rFonts w:ascii="Book Antiqua" w:hAnsi="Book Antiqua"/>
          <w:sz w:val="24"/>
          <w:szCs w:val="24"/>
        </w:rPr>
        <w:t>© 2014 Baishideng Publishing Group Inc. All rights reserved.</w:t>
      </w:r>
      <w:r w:rsidR="00A91D95" w:rsidRPr="005C227E">
        <w:rPr>
          <w:rFonts w:ascii="Book Antiqua" w:hAnsi="Book Antiqua"/>
          <w:sz w:val="24"/>
          <w:szCs w:val="24"/>
        </w:rPr>
        <w:t xml:space="preserve"> </w:t>
      </w: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p w:rsidR="00E6714C" w:rsidRPr="005C227E" w:rsidRDefault="00E6714C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</w:rPr>
      </w:pPr>
    </w:p>
    <w:p w:rsidR="005A3831" w:rsidRPr="005C227E" w:rsidRDefault="005A3831" w:rsidP="00705018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 xml:space="preserve">Key words: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Liver transplantation, non</w:t>
      </w:r>
      <w:r w:rsidR="00FB133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-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alcoholic fatty liver disease, hepatic steatosis, steatohepatitis, liver cirrhosis, metabolic syndrome</w:t>
      </w:r>
      <w:r w:rsidR="00FB133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 insulin resistance, obesity</w:t>
      </w:r>
    </w:p>
    <w:p w:rsidR="004B4271" w:rsidRPr="005C227E" w:rsidRDefault="004B4271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</w:p>
    <w:p w:rsidR="001F358F" w:rsidRPr="005C227E" w:rsidRDefault="001F358F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>Core tip</w:t>
      </w:r>
      <w:r w:rsidR="00705018"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 w:eastAsia="zh-CN"/>
        </w:rPr>
        <w:t xml:space="preserve">: </w:t>
      </w:r>
      <w:r w:rsidR="0069403E" w:rsidRPr="005C227E">
        <w:rPr>
          <w:rFonts w:ascii="Book Antiqua" w:hAnsi="Book Antiqua" w:cs="Arial"/>
          <w:bCs/>
          <w:color w:val="000000" w:themeColor="text1"/>
          <w:sz w:val="24"/>
          <w:szCs w:val="24"/>
          <w:lang w:val="en-US" w:eastAsia="zh-CN"/>
        </w:rPr>
        <w:t xml:space="preserve">Nonalcoholic </w:t>
      </w:r>
      <w:proofErr w:type="spellStart"/>
      <w:r w:rsidR="0069403E" w:rsidRPr="005C227E">
        <w:rPr>
          <w:rFonts w:ascii="Book Antiqua" w:hAnsi="Book Antiqua" w:cs="Arial"/>
          <w:bCs/>
          <w:color w:val="000000" w:themeColor="text1"/>
          <w:sz w:val="24"/>
          <w:szCs w:val="24"/>
          <w:lang w:val="en-US" w:eastAsia="zh-CN"/>
        </w:rPr>
        <w:t>steatohepatitis</w:t>
      </w:r>
      <w:proofErr w:type="spellEnd"/>
      <w:r w:rsidR="0069403E"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 w:eastAsia="zh-CN"/>
        </w:rPr>
        <w:t xml:space="preserve"> </w:t>
      </w:r>
      <w:r w:rsidR="0069403E" w:rsidRPr="005C227E">
        <w:rPr>
          <w:rFonts w:ascii="Book Antiqua" w:hAnsi="Book Antiqua" w:cs="Arial"/>
          <w:bCs/>
          <w:color w:val="000000" w:themeColor="text1"/>
          <w:sz w:val="24"/>
          <w:szCs w:val="24"/>
          <w:lang w:val="en-US" w:eastAsia="zh-CN"/>
        </w:rPr>
        <w:t>(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NASH</w:t>
      </w:r>
      <w:r w:rsidR="0069403E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)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related cirrhosis is anticipated to become the leading indication for liver transplantation within the next one or two decades. In this review, we discuss how liver transplantation is affected by </w:t>
      </w:r>
      <w:r w:rsidR="0069403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non-alcoholic fatty liver disease (NAFLD)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 specifically the following: the increasing need for liver transplantation due to NASH</w:t>
      </w:r>
      <w:r w:rsidR="0069403E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;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the impact of the increasing prevalence of</w:t>
      </w:r>
      <w:r w:rsidR="00A91D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NAFLD in the general population on the quality of deceased and live donor livers available for transplantation</w:t>
      </w:r>
      <w:r w:rsidR="0069403E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;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the long term graft and patients outcomes after liver transplantation for NASH, and, finally</w:t>
      </w:r>
      <w:r w:rsidR="0069403E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;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the </w:t>
      </w:r>
      <w:r w:rsidR="00705018" w:rsidRPr="005C227E">
        <w:rPr>
          <w:rFonts w:ascii="Book Antiqua" w:hAnsi="Book Antiqua" w:cs="Arial"/>
          <w:i/>
          <w:color w:val="000000" w:themeColor="text1"/>
          <w:sz w:val="24"/>
          <w:szCs w:val="24"/>
          <w:lang w:val="en-US"/>
        </w:rPr>
        <w:t>de novo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lastRenderedPageBreak/>
        <w:t>occurrence of NAFLD/NASH after liver transplantation and its impact on graft and patient outcomes.</w:t>
      </w:r>
    </w:p>
    <w:p w:rsidR="001F358F" w:rsidRPr="001D5BE3" w:rsidRDefault="004B4271" w:rsidP="00705018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proofErr w:type="spell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Zezos</w:t>
      </w:r>
      <w:proofErr w:type="spellEnd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P, Renner EL</w:t>
      </w:r>
      <w:r w:rsidRPr="005C227E">
        <w:rPr>
          <w:rFonts w:ascii="Book Antiqua" w:hAnsi="Book Antiqua"/>
          <w:color w:val="000000" w:themeColor="text1"/>
          <w:sz w:val="24"/>
          <w:szCs w:val="24"/>
          <w:lang w:val="en-CA"/>
        </w:rPr>
        <w:t xml:space="preserve">.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Liver </w:t>
      </w:r>
      <w:r w:rsidR="0069403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transplantation and non-alcoholic fatty liver disease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  <w:bookmarkStart w:id="154" w:name="OLE_LINK335"/>
      <w:bookmarkStart w:id="155" w:name="OLE_LINK336"/>
      <w:bookmarkStart w:id="156" w:name="OLE_LINK87"/>
      <w:bookmarkStart w:id="157" w:name="OLE_LINK97"/>
      <w:bookmarkStart w:id="158" w:name="OLE_LINK144"/>
      <w:bookmarkStart w:id="159" w:name="OLE_LINK152"/>
      <w:bookmarkStart w:id="160" w:name="OLE_LINK163"/>
      <w:bookmarkStart w:id="161" w:name="OLE_LINK1297"/>
      <w:bookmarkStart w:id="162" w:name="OLE_LINK1298"/>
      <w:bookmarkStart w:id="163" w:name="OLE_LINK1689"/>
      <w:bookmarkStart w:id="164" w:name="OLE_LINK1895"/>
      <w:bookmarkStart w:id="165" w:name="OLE_LINK1897"/>
      <w:bookmarkStart w:id="166" w:name="OLE_LINK1937"/>
      <w:bookmarkStart w:id="167" w:name="OLE_LINK2087"/>
      <w:bookmarkStart w:id="168" w:name="OLE_LINK2088"/>
      <w:bookmarkStart w:id="169" w:name="OLE_LINK2569"/>
      <w:bookmarkStart w:id="170" w:name="OLE_LINK2570"/>
      <w:bookmarkStart w:id="171" w:name="OLE_LINK2127"/>
      <w:bookmarkStart w:id="172" w:name="OLE_LINK2128"/>
      <w:bookmarkStart w:id="173" w:name="OLE_LINK2200"/>
      <w:bookmarkStart w:id="174" w:name="OLE_LINK2113"/>
      <w:bookmarkStart w:id="175" w:name="OLE_LINK2391"/>
      <w:bookmarkStart w:id="176" w:name="OLE_LINK2392"/>
      <w:bookmarkStart w:id="177" w:name="OLE_LINK2499"/>
      <w:bookmarkStart w:id="178" w:name="OLE_LINK2782"/>
      <w:bookmarkStart w:id="179" w:name="OLE_LINK2783"/>
      <w:bookmarkStart w:id="180" w:name="OLE_LINK2667"/>
      <w:bookmarkStart w:id="181" w:name="OLE_LINK2668"/>
      <w:bookmarkStart w:id="182" w:name="OLE_LINK2766"/>
      <w:bookmarkStart w:id="183" w:name="OLE_LINK3008"/>
      <w:bookmarkStart w:id="184" w:name="OLE_LINK3156"/>
      <w:bookmarkStart w:id="185" w:name="OLE_LINK3303"/>
      <w:bookmarkStart w:id="186" w:name="OLE_LINK3304"/>
      <w:bookmarkStart w:id="187" w:name="OLE_LINK2689"/>
      <w:bookmarkStart w:id="188" w:name="OLE_LINK2588"/>
      <w:bookmarkStart w:id="189" w:name="OLE_LINK2769"/>
      <w:bookmarkStart w:id="190" w:name="OLE_LINK3019"/>
      <w:bookmarkStart w:id="191" w:name="OLE_LINK3020"/>
      <w:r w:rsidR="0069403E" w:rsidRPr="005C227E">
        <w:rPr>
          <w:rFonts w:ascii="Book Antiqua" w:hAnsi="Book Antiqua"/>
          <w:i/>
          <w:sz w:val="24"/>
          <w:szCs w:val="24"/>
        </w:rPr>
        <w:t>World J Gastroenterol</w:t>
      </w:r>
      <w:r w:rsidR="0069403E" w:rsidRPr="005C227E">
        <w:rPr>
          <w:rFonts w:ascii="Book Antiqua" w:hAnsi="Book Antiqua"/>
          <w:sz w:val="24"/>
          <w:szCs w:val="24"/>
        </w:rPr>
        <w:t xml:space="preserve"> </w:t>
      </w:r>
      <w:bookmarkEnd w:id="154"/>
      <w:bookmarkEnd w:id="155"/>
      <w:r w:rsidR="0069403E" w:rsidRPr="005C227E">
        <w:rPr>
          <w:rFonts w:ascii="Book Antiqua" w:hAnsi="Book Antiqua"/>
          <w:sz w:val="24"/>
          <w:szCs w:val="24"/>
        </w:rPr>
        <w:t>2014; In press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714C7B" w:rsidRDefault="00714C7B">
      <w:pPr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 w:eastAsia="zh-CN"/>
        </w:rPr>
      </w:pPr>
      <w:r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 w:eastAsia="zh-CN"/>
        </w:rPr>
        <w:br w:type="page"/>
      </w:r>
    </w:p>
    <w:p w:rsidR="0069403E" w:rsidRPr="005C227E" w:rsidRDefault="0069403E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 w:eastAsia="zh-CN"/>
        </w:rPr>
      </w:pPr>
    </w:p>
    <w:p w:rsidR="00CD0A17" w:rsidRPr="005C227E" w:rsidRDefault="00B37A4B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>INTRODUCTION</w:t>
      </w:r>
    </w:p>
    <w:p w:rsidR="009917AE" w:rsidRPr="005C227E" w:rsidRDefault="008C4F6A" w:rsidP="00705018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The term non-</w:t>
      </w:r>
      <w:r w:rsidR="00486A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alcoholic fatty liver disease (NAFLD)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covers a </w:t>
      </w:r>
      <w:r w:rsidR="00486A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wide spectrum of </w:t>
      </w:r>
      <w:r w:rsidR="009C1B7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non-alcohol related,</w:t>
      </w:r>
      <w:r w:rsidR="00486A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fatty liver disorders</w:t>
      </w:r>
      <w:r w:rsidR="009C1B7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</w:t>
      </w:r>
      <w:r w:rsidR="00486A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ranging from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bland</w:t>
      </w:r>
      <w:r w:rsidR="00486A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steatosis</w:t>
      </w:r>
      <w:r w:rsidR="007D0E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(NAFL, non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-</w:t>
      </w:r>
      <w:r w:rsidR="007D0E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alcoholic fatty liver)</w:t>
      </w:r>
      <w:r w:rsidR="0085641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9C1B7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to severe </w:t>
      </w:r>
      <w:proofErr w:type="spellStart"/>
      <w:r w:rsidR="009C1B7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steatohepatitis</w:t>
      </w:r>
      <w:proofErr w:type="spellEnd"/>
      <w:r w:rsidR="009C1B7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(</w:t>
      </w:r>
      <w:r w:rsidR="007D0E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nonalcoholic </w:t>
      </w:r>
      <w:proofErr w:type="spellStart"/>
      <w:r w:rsidR="007D0E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steatohepatitis</w:t>
      </w:r>
      <w:proofErr w:type="spellEnd"/>
      <w:r w:rsidR="007B3AC8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, </w:t>
      </w:r>
      <w:r w:rsidR="007B3AC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NASH</w:t>
      </w:r>
      <w:r w:rsidR="009C1B7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)</w:t>
      </w:r>
      <w:r w:rsidR="00D7657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(Figure 1)</w:t>
      </w:r>
      <w:r w:rsidR="004425E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  <w:r w:rsidR="007D0E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NAFL </w:t>
      </w:r>
      <w:r w:rsidR="004425E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is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thought to be </w:t>
      </w:r>
      <w:r w:rsidR="004425E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 benign condition</w:t>
      </w:r>
      <w:r w:rsidR="00C81C9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</w:t>
      </w:r>
      <w:r w:rsidR="007D0E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characterized by the presence of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hepatocyte </w:t>
      </w:r>
      <w:r w:rsidR="007D0E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steatosis without evidence of hepatocellular injury or fibrosis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 Thus, NAFL</w:t>
      </w:r>
      <w:r w:rsidR="00C81C9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is</w:t>
      </w:r>
      <w:r w:rsidR="00210BE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C81C9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 general</w:t>
      </w:r>
      <w:r w:rsidR="00210BE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believed not to progress to relevant liver disease</w:t>
      </w:r>
      <w:r w:rsidR="00C81C9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 contrast, </w:t>
      </w:r>
      <w:r w:rsidR="00C81C9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NASH is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histologically characterized by hepatocyte damage (</w:t>
      </w:r>
      <w:r w:rsidR="007B3AC8" w:rsidRPr="005C227E">
        <w:rPr>
          <w:rFonts w:ascii="Book Antiqua" w:hAnsi="Book Antiqua" w:cs="Arial"/>
          <w:i/>
          <w:color w:val="000000" w:themeColor="text1"/>
          <w:sz w:val="24"/>
          <w:szCs w:val="24"/>
          <w:lang w:val="en-US"/>
        </w:rPr>
        <w:t>e.g.,</w:t>
      </w:r>
      <w:r w:rsidR="000B07F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ballooning) and inflammation with the </w:t>
      </w:r>
      <w:r w:rsidR="00210BE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potential to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progress </w:t>
      </w:r>
      <w:r w:rsidR="00210BE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to </w:t>
      </w:r>
      <w:r w:rsidR="007D0E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fibrosis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and cirrhosis</w:t>
      </w:r>
      <w:r w:rsidR="000B07F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0B07F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and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its associated morbidit</w:t>
      </w:r>
      <w:r w:rsidR="00210BE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y (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incl</w:t>
      </w:r>
      <w:r w:rsidR="00210BE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ud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ing hepatocellular carcinoma) and </w:t>
      </w:r>
      <w:proofErr w:type="gram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mortality</w:t>
      </w:r>
      <w:r w:rsidR="00B37A4B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B37A4B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1]</w:t>
      </w:r>
      <w:r w:rsidR="00B37A4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</w:p>
    <w:p w:rsidR="003B78E3" w:rsidRPr="005C227E" w:rsidRDefault="00A53E13" w:rsidP="007B3AC8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NAFLD is </w:t>
      </w:r>
      <w:r w:rsidR="00643CF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associated with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obe</w:t>
      </w:r>
      <w:r w:rsidR="007B3AC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sity, type 2 diabetes mellitus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 dyslipidemia</w:t>
      </w:r>
      <w:r w:rsidR="00643CF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and </w:t>
      </w:r>
      <w:r w:rsidR="00004C9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</w:t>
      </w:r>
      <w:r w:rsidR="007B3AC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metabolic syndrome</w:t>
      </w:r>
      <w:r w:rsidR="0020795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It is </w:t>
      </w:r>
      <w:r w:rsidR="00E25D5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presumed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that the underlying common pathophysiology </w:t>
      </w:r>
      <w:r w:rsidR="00814CD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among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these conditions is insulin resistance (IR) and that NAFLD is the hepatic manifestation of </w:t>
      </w:r>
      <w:proofErr w:type="gramStart"/>
      <w:r w:rsidR="00E6232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IR</w:t>
      </w:r>
      <w:r w:rsidR="007B3AC8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3B78E3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1-3]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</w:p>
    <w:p w:rsidR="00CA30E0" w:rsidRPr="005C227E" w:rsidRDefault="00C60C87" w:rsidP="00714C7B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Not too surprisingly, patients </w:t>
      </w:r>
      <w:r w:rsidR="00A53E1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with NAFLD (</w:t>
      </w:r>
      <w:r w:rsidR="00DB29C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NAFL and NASH</w:t>
      </w:r>
      <w:r w:rsidR="00A53E1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) have an increased mortality due to cardiovascular disease, while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liver-related mortality is, in addition, increased in </w:t>
      </w:r>
      <w:r w:rsidR="00A53E1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patients with </w:t>
      </w:r>
      <w:proofErr w:type="gramStart"/>
      <w:r w:rsidR="00A53E1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NASH</w:t>
      </w:r>
      <w:r w:rsidR="007B3AC8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BA7D89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1,4,5]</w:t>
      </w:r>
      <w:r w:rsidR="00A53E1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</w:p>
    <w:p w:rsidR="00A53E13" w:rsidRPr="005C227E" w:rsidRDefault="00AF08E8" w:rsidP="007B3AC8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</w:t>
      </w:r>
      <w:r w:rsidR="00C60C8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 parallel with the obesity epidemic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 the prevalence of NAFLD is increasing worldwide</w:t>
      </w:r>
      <w:r w:rsidR="00C60C8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  <w:r w:rsidR="000B07F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Thus, it</w:t>
      </w:r>
      <w:r w:rsidR="0022709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is estimated that NASH will become the most common </w:t>
      </w:r>
      <w:r w:rsidR="00006CB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cause of advanced liver disease </w:t>
      </w:r>
      <w:r w:rsidR="00023C3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within the next ten to twenty years, </w:t>
      </w:r>
      <w:r w:rsidR="00006CB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and </w:t>
      </w:r>
      <w:r w:rsidR="00023C3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that </w:t>
      </w:r>
      <w:r w:rsidR="00B132A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NASH-related end</w:t>
      </w:r>
      <w:r w:rsidR="00023C3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-</w:t>
      </w:r>
      <w:r w:rsidR="00B132A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stage liver disease will be</w:t>
      </w:r>
      <w:r w:rsidR="00023C3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come</w:t>
      </w:r>
      <w:r w:rsidR="00B132A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006CB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most common </w:t>
      </w:r>
      <w:r w:rsidR="0022709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indication for liver </w:t>
      </w:r>
      <w:proofErr w:type="gramStart"/>
      <w:r w:rsidR="0022709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transplantation</w:t>
      </w:r>
      <w:r w:rsidR="00CA5A76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CA5A76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6]</w:t>
      </w:r>
      <w:r w:rsidR="00006CB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22709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0B07F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 addition, t</w:t>
      </w:r>
      <w:r w:rsidR="00023C3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he increasing prevalen</w:t>
      </w:r>
      <w:r w:rsidR="002F4FC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ce</w:t>
      </w:r>
      <w:r w:rsidR="00023C3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of NAFLD in the general population, also affects the presence of steatosis in deceased and live donor livers available for transplantation. </w:t>
      </w:r>
      <w:r w:rsidR="000B07F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Furthermore, l</w:t>
      </w:r>
      <w:r w:rsidR="00023C3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iver transplantation for NASH related end-stage liver disease, does not improve </w:t>
      </w:r>
      <w:r w:rsidR="000B07F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factors (such as </w:t>
      </w:r>
      <w:r w:rsidR="00E6232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IR</w:t>
      </w:r>
      <w:r w:rsidR="000B07F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)</w:t>
      </w:r>
      <w:r w:rsidR="00023C3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predisposing </w:t>
      </w:r>
      <w:r w:rsidR="000B07F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to</w:t>
      </w:r>
      <w:r w:rsidR="00023C3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NAFLD. Thus, these recipients are at risk for recurrence </w:t>
      </w:r>
      <w:r w:rsidR="000B07F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of NAFLD </w:t>
      </w:r>
      <w:r w:rsidR="00023C3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 the graft. </w:t>
      </w:r>
      <w:r w:rsidR="000B07F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Finally</w:t>
      </w:r>
      <w:r w:rsidR="00023C3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the prevalence of </w:t>
      </w:r>
      <w:r w:rsidR="00E6232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IR</w:t>
      </w:r>
      <w:r w:rsidR="00023C3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is high after liver transplantation for any (also non NAFLD related) </w:t>
      </w:r>
      <w:proofErr w:type="gramStart"/>
      <w:r w:rsidR="00023C3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indications,</w:t>
      </w:r>
      <w:proofErr w:type="gramEnd"/>
      <w:r w:rsidR="00023C3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and these patients may develop</w:t>
      </w:r>
      <w:r w:rsidR="000B07F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705018" w:rsidRPr="005C227E">
        <w:rPr>
          <w:rFonts w:ascii="Book Antiqua" w:hAnsi="Book Antiqua" w:cs="Arial"/>
          <w:i/>
          <w:color w:val="000000" w:themeColor="text1"/>
          <w:sz w:val="24"/>
          <w:szCs w:val="24"/>
          <w:lang w:val="en-US"/>
        </w:rPr>
        <w:t>de novo</w:t>
      </w:r>
      <w:r w:rsidR="00023C3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NAFLD in the graft</w:t>
      </w:r>
      <w:r w:rsidR="00F525D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(Figure 2)</w:t>
      </w:r>
      <w:r w:rsidR="00006CB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92021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In the following, all the above aspects are reviewed in sequence. </w:t>
      </w:r>
    </w:p>
    <w:p w:rsidR="00B77ACC" w:rsidRPr="005C227E" w:rsidRDefault="00B77ACC" w:rsidP="00705018">
      <w:pPr>
        <w:snapToGrid w:val="0"/>
        <w:spacing w:after="0" w:line="360" w:lineRule="auto"/>
        <w:ind w:firstLine="7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</w:p>
    <w:p w:rsidR="00AB1F06" w:rsidRPr="005C227E" w:rsidRDefault="009E479F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lastRenderedPageBreak/>
        <w:t xml:space="preserve">NASH </w:t>
      </w:r>
      <w:r w:rsidR="00614AE3"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 xml:space="preserve">RELATED END-STAGE LIVER DISEASE </w:t>
      </w: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 xml:space="preserve">AS </w:t>
      </w:r>
      <w:r w:rsidR="00614AE3"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 xml:space="preserve">INDICATION FOR </w:t>
      </w: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>LIVER TRANSPLANTATION</w:t>
      </w:r>
    </w:p>
    <w:p w:rsidR="00304BDF" w:rsidRPr="005C227E" w:rsidRDefault="002943E0" w:rsidP="00705018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As mentioned above, the </w:t>
      </w:r>
      <w:r w:rsidR="00541C5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prevalence</w:t>
      </w:r>
      <w:r w:rsidR="00EA004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of NAFLD is </w:t>
      </w:r>
      <w:r w:rsidR="00541C5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increasing</w:t>
      </w:r>
      <w:r w:rsidR="004147C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worldwide</w:t>
      </w:r>
      <w:r w:rsidR="00EA004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in parallel with </w:t>
      </w:r>
      <w:r w:rsidR="00B77D7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</w:t>
      </w:r>
      <w:r w:rsidR="00EA004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obesity</w:t>
      </w:r>
      <w:r w:rsidR="00A53E1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4147C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epidemic</w:t>
      </w:r>
      <w:r w:rsidR="00EA004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7459C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ED21B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It</w:t>
      </w:r>
      <w:r w:rsidR="007459C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is estimated that </w:t>
      </w:r>
      <w:r w:rsidR="00B77D7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prevalence of NAFLD </w:t>
      </w:r>
      <w:r w:rsidR="009627A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 the adult </w:t>
      </w:r>
      <w:r w:rsidR="00ED21B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US </w:t>
      </w:r>
      <w:r w:rsidR="009627A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population </w:t>
      </w:r>
      <w:r w:rsidR="00B77D7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is </w:t>
      </w:r>
      <w:r w:rsidR="007459C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30%</w:t>
      </w:r>
      <w:r w:rsidR="0089029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-40%</w:t>
      </w:r>
      <w:r w:rsidR="00B77D7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while </w:t>
      </w:r>
      <w:r w:rsidR="00A7566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studies</w:t>
      </w:r>
      <w:r w:rsidR="009E479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from </w:t>
      </w:r>
      <w:r w:rsidR="009627A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other parts</w:t>
      </w:r>
      <w:r w:rsidR="009E479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of the world report</w:t>
      </w:r>
      <w:r w:rsidR="00B77D7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9964A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 </w:t>
      </w:r>
      <w:r w:rsidR="00B77D7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prevalenc</w:t>
      </w:r>
      <w:r w:rsidR="009A2BF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e ranging</w:t>
      </w:r>
      <w:r w:rsidR="00B77D7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from 6% to 35% (median approximately 20%)</w:t>
      </w:r>
      <w:r w:rsidR="009E479F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[6]</w:t>
      </w:r>
      <w:r w:rsidR="009E479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 Furthermore, i</w:t>
      </w:r>
      <w:r w:rsidR="0079669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 has been estimated that 15</w:t>
      </w:r>
      <w:r w:rsidR="00861EA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%</w:t>
      </w:r>
      <w:r w:rsidR="0079669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-20% of patients with NAFLD have NASH</w:t>
      </w:r>
      <w:r w:rsidR="0093476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This translates </w:t>
      </w:r>
      <w:r w:rsidR="0079669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into </w:t>
      </w:r>
      <w:proofErr w:type="gramStart"/>
      <w:r w:rsidR="0079669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 </w:t>
      </w:r>
      <w:r w:rsidR="0093476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NASH</w:t>
      </w:r>
      <w:proofErr w:type="gramEnd"/>
      <w:r w:rsidR="0093476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79669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prevalence </w:t>
      </w:r>
      <w:r w:rsidR="0093476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 the general population </w:t>
      </w:r>
      <w:r w:rsidR="00DD1C5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of </w:t>
      </w:r>
      <w:r w:rsidR="009E479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3%-5%</w:t>
      </w:r>
      <w:r w:rsidR="0093476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Thus, millions of people are </w:t>
      </w:r>
      <w:r w:rsidR="0079669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at risk</w:t>
      </w:r>
      <w:r w:rsidR="0093476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of their liver disease progressing </w:t>
      </w:r>
      <w:r w:rsidR="009358D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to</w:t>
      </w:r>
      <w:r w:rsidR="00A12A2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79669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cirrhosis</w:t>
      </w:r>
      <w:r w:rsidR="0093476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DD1C5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and </w:t>
      </w:r>
      <w:r w:rsidR="009358D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potentially </w:t>
      </w:r>
      <w:r w:rsidR="00DD1C5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requiring liver transplant (LT</w:t>
      </w:r>
      <w:proofErr w:type="gramStart"/>
      <w:r w:rsidR="00DD1C5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)</w:t>
      </w:r>
      <w:r w:rsidR="009E479F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9E479F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7]</w:t>
      </w:r>
      <w:r w:rsidR="009E479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79669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CD6F2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 more</w:t>
      </w:r>
      <w:r w:rsidR="00BA42F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recent study</w:t>
      </w:r>
      <w:r w:rsidR="006E785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CD6F2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from </w:t>
      </w:r>
      <w:r w:rsidR="0063223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</w:t>
      </w:r>
      <w:r w:rsidR="006E785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US</w:t>
      </w:r>
      <w:r w:rsidR="00BA42F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observed an even higher prevalence of NAFLD</w:t>
      </w:r>
      <w:r w:rsidR="009A5A5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and </w:t>
      </w:r>
      <w:r w:rsidR="00BA42F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NASH </w:t>
      </w:r>
      <w:r w:rsidR="00CD6F2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 the general population </w:t>
      </w:r>
      <w:r w:rsidR="009A5A5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(46% and 12%</w:t>
      </w:r>
      <w:r w:rsidR="00CD6F2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9A5A5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respectively)</w:t>
      </w:r>
      <w:r w:rsidR="00EF5E8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9A5A5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CD6F2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and </w:t>
      </w:r>
      <w:r w:rsidR="009A5A5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2.7% in </w:t>
      </w:r>
      <w:r w:rsidR="00EF5E8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</w:t>
      </w:r>
      <w:r w:rsidR="00CD6F2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entire </w:t>
      </w:r>
      <w:r w:rsidR="009A5A5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cohort had </w:t>
      </w:r>
      <w:r w:rsidR="00CD6F2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established, </w:t>
      </w:r>
      <w:r w:rsidR="00BA42F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advanced NASH </w:t>
      </w:r>
      <w:r w:rsidR="00CD6F2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related liver </w:t>
      </w:r>
      <w:r w:rsidR="00BA42F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fibrosis</w:t>
      </w:r>
      <w:r w:rsidR="00CD6F2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 leading to an</w:t>
      </w:r>
      <w:r w:rsidR="00BA42F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estimat</w:t>
      </w:r>
      <w:r w:rsidR="00CD6F2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ed &gt;</w:t>
      </w:r>
      <w:r w:rsidR="00861EAF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 </w:t>
      </w:r>
      <w:r w:rsidR="009A5A5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2 million </w:t>
      </w:r>
      <w:r w:rsidR="0065484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US </w:t>
      </w:r>
      <w:r w:rsidR="009A5A5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adults with </w:t>
      </w:r>
      <w:r w:rsidR="00CD6F2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NASH related, advanced</w:t>
      </w:r>
      <w:r w:rsidR="009A5A5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liver disease</w:t>
      </w:r>
      <w:r w:rsidR="009E479F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[8]</w:t>
      </w:r>
      <w:r w:rsidR="009A5A5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9E479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9358D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</w:t>
      </w:r>
      <w:r w:rsidR="0020795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he prevalence of NAFLD increases to 70%-90% among patients </w:t>
      </w:r>
      <w:r w:rsidR="0065484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 high risk populations such as the morbidly</w:t>
      </w:r>
      <w:r w:rsidR="0020795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65484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obese </w:t>
      </w:r>
      <w:r w:rsidR="0020795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or </w:t>
      </w:r>
      <w:proofErr w:type="gramStart"/>
      <w:r w:rsidR="0065484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diabetics</w:t>
      </w:r>
      <w:r w:rsidR="007B3AC8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A338C6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1</w:t>
      </w:r>
      <w:r w:rsidR="000E4C0D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,6</w:t>
      </w:r>
      <w:r w:rsidR="003D2226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,8</w:t>
      </w:r>
      <w:r w:rsidR="00A338C6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="00A338C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20795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</w:p>
    <w:p w:rsidR="00CD618D" w:rsidRPr="005C227E" w:rsidRDefault="006F6DCE" w:rsidP="00861EAF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According to </w:t>
      </w:r>
      <w:r w:rsidR="00C60D6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</w:t>
      </w:r>
      <w:r w:rsidR="00861EA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scientific registry of transplant recipients </w:t>
      </w:r>
      <w:r w:rsidR="00BF0CD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(SRTR)</w:t>
      </w:r>
      <w:r w:rsidR="00C60D6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in the </w:t>
      </w:r>
      <w:r w:rsidR="00861EA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United </w:t>
      </w:r>
      <w:proofErr w:type="gramStart"/>
      <w:r w:rsidR="00861EA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States</w:t>
      </w:r>
      <w:r w:rsidR="002F0AAE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2F0AAE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9]</w:t>
      </w:r>
      <w:r w:rsidR="00C60D6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 NASH</w:t>
      </w:r>
      <w:r w:rsidR="00BD02A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related cirrhosis</w:t>
      </w:r>
      <w:r w:rsidR="00C60D6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9048D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is currently </w:t>
      </w:r>
      <w:r w:rsidR="00C60D6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third most common indication for liver transplantation </w:t>
      </w:r>
      <w:r w:rsidR="009048D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surpassed </w:t>
      </w:r>
      <w:r w:rsidR="009048D4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only </w:t>
      </w:r>
      <w:r w:rsidR="00635387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by </w:t>
      </w:r>
      <w:r w:rsidR="003B0515" w:rsidRPr="005C227E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>hepatitis</w:t>
      </w:r>
      <w:r w:rsidR="003B051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3B0515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C virus (</w:t>
      </w:r>
      <w:r w:rsidR="0063538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HCV</w:t>
      </w:r>
      <w:r w:rsidR="003B0515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)</w:t>
      </w:r>
      <w:r w:rsidR="009048D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</w:t>
      </w:r>
      <w:r w:rsidR="006E4DB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and alcoholic </w:t>
      </w:r>
      <w:r w:rsidR="00ED21B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related </w:t>
      </w:r>
      <w:r w:rsidR="006E4DB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cirrhosis. During the last 10 years there was a substantial increase in the proportion of transplants performed for NASH, from 1.2% in 2001 to 9.7 in 2009. </w:t>
      </w:r>
      <w:r w:rsidR="003B754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 a</w:t>
      </w:r>
      <w:r w:rsidR="009048D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nother</w:t>
      </w:r>
      <w:r w:rsidR="003B754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recent analysi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</w:t>
      </w:r>
      <w:r w:rsidR="003B754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using the</w:t>
      </w:r>
      <w:r w:rsidR="005228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united network for organ sharing </w:t>
      </w:r>
      <w:r w:rsidR="00E2677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(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UNOS</w:t>
      </w:r>
      <w:r w:rsidR="00E2677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)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database, </w:t>
      </w:r>
      <w:proofErr w:type="spell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Kemmer</w:t>
      </w:r>
      <w:proofErr w:type="spellEnd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 xml:space="preserve">et </w:t>
      </w:r>
      <w:proofErr w:type="gramStart"/>
      <w:r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>al</w:t>
      </w:r>
      <w:r w:rsidR="002F0AAE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2F0AAE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10]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report</w:t>
      </w:r>
      <w:r w:rsidR="00810C3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ed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that 7.7% of all </w:t>
      </w:r>
      <w:r w:rsidR="00CD61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adult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LT recipients had a diagnosis of NASH</w:t>
      </w:r>
      <w:r w:rsidR="00C9590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-cirrhosis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CD61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during the period 2007-2010. They also found a steady increase in LT </w:t>
      </w:r>
      <w:r w:rsidR="009048D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for NASH related end-stage liver disease </w:t>
      </w:r>
      <w:r w:rsidR="00CD61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from 5.1% in 2007 to 7.5</w:t>
      </w:r>
      <w:r w:rsidR="0078593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%</w:t>
      </w:r>
      <w:r w:rsidR="00CD61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in 2010</w:t>
      </w:r>
      <w:r w:rsidR="009048D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CD61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9048D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which held true for</w:t>
      </w:r>
      <w:r w:rsidR="00CD61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all age groups. Furthermore, NASH</w:t>
      </w:r>
      <w:r w:rsidR="00880A1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-cirrhosis</w:t>
      </w:r>
      <w:r w:rsidR="00CD61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was the most common non-malignant indication for LT in patients older than 65 years, whereas it was the third indication for LT in patients younger than 65 years.</w:t>
      </w:r>
      <w:r w:rsidR="009048D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</w:p>
    <w:p w:rsidR="00ED21B8" w:rsidRPr="005C227E" w:rsidRDefault="00123DD9" w:rsidP="00522870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Based on</w:t>
      </w:r>
      <w:r w:rsidR="00C6086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5228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organ procurement and transplantation network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data as of November 1, 2013</w:t>
      </w:r>
      <w:r w:rsidR="00784CA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</w:t>
      </w:r>
      <w:r w:rsidR="0043090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1</w:t>
      </w:r>
      <w:r w:rsidR="005228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6</w:t>
      </w:r>
      <w:r w:rsidR="00C6086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629 patients </w:t>
      </w:r>
      <w:r w:rsidR="00784CA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were</w:t>
      </w:r>
      <w:r w:rsidR="00C6086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registered </w:t>
      </w:r>
      <w:r w:rsidR="00784CA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on </w:t>
      </w:r>
      <w:r w:rsidR="00C6086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the waiting list for liver transplantation</w:t>
      </w:r>
      <w:r w:rsidR="00784CA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in the US</w:t>
      </w:r>
      <w:r w:rsidR="00C6086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NASH cirrhosis </w:t>
      </w:r>
      <w:r w:rsidR="00906B6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was </w:t>
      </w:r>
      <w:r w:rsidR="00C6086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</w:t>
      </w:r>
      <w:r w:rsidR="002F0A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indication</w:t>
      </w:r>
      <w:r w:rsidR="00CF4FB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for 1427 </w:t>
      </w:r>
      <w:r w:rsidR="00906B6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of these </w:t>
      </w:r>
      <w:r w:rsidR="00CF4FB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patients (8.5%)</w:t>
      </w:r>
      <w:r w:rsidR="00906B6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CF4FB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and c</w:t>
      </w:r>
      <w:r w:rsidR="00C6086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ryptogenic cirrhosis </w:t>
      </w:r>
      <w:r w:rsidR="00EF2AC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(CC) </w:t>
      </w:r>
      <w:r w:rsidR="00C6086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for </w:t>
      </w:r>
      <w:r w:rsidR="00906B6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another </w:t>
      </w:r>
      <w:r w:rsidR="00C6086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954 patients (5.7</w:t>
      </w:r>
      <w:r w:rsidR="00B124D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%</w:t>
      </w:r>
      <w:r w:rsidR="00C6086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).</w:t>
      </w:r>
      <w:r w:rsidR="00B124D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906B6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Taking into account that the majority of</w:t>
      </w:r>
      <w:r w:rsidR="00B124D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cryptogenic </w:t>
      </w:r>
      <w:r w:rsidR="000D0A7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cirrhos</w:t>
      </w:r>
      <w:r w:rsidR="0025497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</w:t>
      </w:r>
      <w:r w:rsidR="000D0A7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</w:t>
      </w:r>
      <w:r w:rsidR="00B124D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is considered </w:t>
      </w:r>
      <w:r w:rsidR="00906B6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to be secondary to </w:t>
      </w:r>
      <w:r w:rsidR="00B124D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unrecognized </w:t>
      </w:r>
      <w:proofErr w:type="gramStart"/>
      <w:r w:rsidR="00352EF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NASH</w:t>
      </w:r>
      <w:r w:rsidR="00E24590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E24590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11,12</w:t>
      </w:r>
      <w:r w:rsidR="00CF4FB8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="00B124D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CF4FB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B124D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NASH related end-</w:t>
      </w:r>
      <w:r w:rsidR="00B124D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lastRenderedPageBreak/>
        <w:t xml:space="preserve">stage liver disease is </w:t>
      </w:r>
      <w:r w:rsidR="00906B6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likely the </w:t>
      </w:r>
      <w:r w:rsidR="00B124D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indication</w:t>
      </w:r>
      <w:r w:rsidR="00CA31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for liver transplantation</w:t>
      </w:r>
      <w:r w:rsidR="00B124D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63538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 more</w:t>
      </w:r>
      <w:r w:rsidR="00906B6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than</w:t>
      </w:r>
      <w:r w:rsidR="00B124D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10% of the patients </w:t>
      </w:r>
      <w:r w:rsidR="00906B6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currently listed</w:t>
      </w:r>
      <w:r w:rsidR="00B124D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in </w:t>
      </w:r>
      <w:r w:rsidR="002834C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</w:t>
      </w:r>
      <w:r w:rsidR="00B124D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US</w:t>
      </w:r>
      <w:r w:rsidR="00F636E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(Table 1)</w:t>
      </w:r>
      <w:r w:rsidR="00B124D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EB35F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</w:p>
    <w:p w:rsidR="00EB35FC" w:rsidRPr="005C227E" w:rsidRDefault="00ED21B8" w:rsidP="00522870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Collectively, these observations indicate that NASH is a rapidly growing, in fact, the only growing indication for liver transplantation in the US.</w:t>
      </w:r>
    </w:p>
    <w:p w:rsidR="00700185" w:rsidRPr="005C227E" w:rsidRDefault="00700185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</w:p>
    <w:p w:rsidR="00D02F6A" w:rsidRPr="005C227E" w:rsidRDefault="002735FD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 xml:space="preserve">IMPACT OF </w:t>
      </w:r>
      <w:r w:rsidR="009914C9"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 xml:space="preserve">NAFLD ON </w:t>
      </w:r>
      <w:r w:rsidR="00D02F6A"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 xml:space="preserve">DONOR LIVERS </w:t>
      </w:r>
      <w:r w:rsidR="009914C9"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 xml:space="preserve">AVAILABLE FOR </w:t>
      </w: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>TRANSPLANTATION</w:t>
      </w:r>
    </w:p>
    <w:p w:rsidR="00353515" w:rsidRPr="005C227E" w:rsidRDefault="009B5FBC" w:rsidP="00705018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The</w:t>
      </w:r>
      <w:r w:rsidR="0035351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increasing </w:t>
      </w:r>
      <w:r w:rsidR="0035351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prevalence of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NAFLD</w:t>
      </w:r>
      <w:r w:rsidR="0035351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in the general population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translate</w:t>
      </w:r>
      <w:r w:rsidR="001A05C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directly </w:t>
      </w:r>
      <w:proofErr w:type="gram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into</w:t>
      </w:r>
      <w:r w:rsidR="00507FF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an increasing prevalence of </w:t>
      </w:r>
      <w:r w:rsidR="00507FF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NAFLD in both, potential deceased and live liver donors</w:t>
      </w:r>
      <w:proofErr w:type="gramEnd"/>
      <w:r w:rsidR="00507FF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Graft steatosis, in turn, affects </w:t>
      </w:r>
      <w:r w:rsidR="0035351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both</w:t>
      </w:r>
      <w:r w:rsidR="00507FF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35351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the qualit</w:t>
      </w:r>
      <w:r w:rsidR="004C6BB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y and the quantity of </w:t>
      </w:r>
      <w:r w:rsidR="00507FF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donor </w:t>
      </w:r>
      <w:r w:rsidR="004C6BB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liver</w:t>
      </w:r>
      <w:r w:rsidR="00507FF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</w:t>
      </w:r>
      <w:r w:rsidR="00B93C5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35351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available for </w:t>
      </w:r>
      <w:proofErr w:type="gramStart"/>
      <w:r w:rsidR="0035351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transplantation</w:t>
      </w:r>
      <w:r w:rsidR="00930E5D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930E5D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13-16</w:t>
      </w:r>
      <w:r w:rsidR="000B53D8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="0035351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</w:p>
    <w:p w:rsidR="00FE40B2" w:rsidRPr="005C227E" w:rsidRDefault="00A1697E" w:rsidP="00522870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Thus, it is well known that primary graft no</w:t>
      </w:r>
      <w:r w:rsidR="00AB3BC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-function, primary graft dysfunction/delayed graft function</w:t>
      </w:r>
      <w:r w:rsidR="00AB3BC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 and</w:t>
      </w:r>
      <w:r w:rsidR="00D348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AB3BC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consecutivel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y graft outcome</w:t>
      </w:r>
      <w:r w:rsidR="00D348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are associated with graft </w:t>
      </w:r>
      <w:proofErr w:type="gram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steatosis</w:t>
      </w:r>
      <w:r w:rsidR="00930E5D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930E5D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15,16</w:t>
      </w:r>
      <w:r w:rsidR="00E22278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="00D02F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  <w:r w:rsidR="0048175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Upon reperfusion, steatosis </w:t>
      </w:r>
      <w:r w:rsidR="002E526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induces microcirculatory and cellular changes in the liver</w:t>
      </w:r>
      <w:r w:rsidR="0048175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graft potentially leading to hepatocyte</w:t>
      </w:r>
      <w:r w:rsidR="0000527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necrosis. </w:t>
      </w:r>
      <w:r w:rsidR="0048175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 addition, the regeneration potential of steatotic livers is </w:t>
      </w:r>
      <w:proofErr w:type="gramStart"/>
      <w:r w:rsidR="0048175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impaired</w:t>
      </w:r>
      <w:r w:rsidR="00930E5D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930E5D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17-19</w:t>
      </w:r>
      <w:r w:rsidR="003C16B3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="003C16B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</w:p>
    <w:p w:rsidR="00986E0D" w:rsidRPr="005C227E" w:rsidRDefault="0048175F" w:rsidP="00522870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Compared to </w:t>
      </w:r>
      <w:proofErr w:type="spell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microvesicular</w:t>
      </w:r>
      <w:proofErr w:type="spellEnd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steatosis</w:t>
      </w:r>
      <w:proofErr w:type="spellEnd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macrovesicular</w:t>
      </w:r>
      <w:proofErr w:type="spellEnd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steatosis</w:t>
      </w:r>
      <w:proofErr w:type="spellEnd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3C16B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renders livers more vuln</w:t>
      </w:r>
      <w:r w:rsidR="00FE40B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erable to injury and cell </w:t>
      </w:r>
      <w:proofErr w:type="gramStart"/>
      <w:r w:rsidR="00FE40B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death</w:t>
      </w:r>
      <w:r w:rsidR="00022208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022208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2</w:t>
      </w:r>
      <w:r w:rsidR="00930E5D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0</w:t>
      </w:r>
      <w:r w:rsidR="00EA63E3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="00EA63E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  <w:r w:rsidR="00377C3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 addition</w:t>
      </w:r>
      <w:r w:rsidR="00C03F2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</w:t>
      </w:r>
      <w:r w:rsidR="00050E9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mild </w:t>
      </w:r>
      <w:proofErr w:type="spellStart"/>
      <w:r w:rsidR="00050E9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steatosis</w:t>
      </w:r>
      <w:proofErr w:type="spellEnd"/>
      <w:r w:rsidR="00050E9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(</w:t>
      </w:r>
      <w:r w:rsidR="0079570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&lt;</w:t>
      </w:r>
      <w:r w:rsidR="00522870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 </w:t>
      </w:r>
      <w:r w:rsidR="00050E9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30%) is </w:t>
      </w:r>
      <w:r w:rsidR="001A05C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associated </w:t>
      </w:r>
      <w:r w:rsidR="00050E9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with less postoperative complications </w:t>
      </w:r>
      <w:r w:rsidR="001A05C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than</w:t>
      </w:r>
      <w:r w:rsidR="008E0F2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050E9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more severe degrees of </w:t>
      </w:r>
      <w:proofErr w:type="spellStart"/>
      <w:r w:rsidR="00050E9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steatosis</w:t>
      </w:r>
      <w:proofErr w:type="spellEnd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(&gt;</w:t>
      </w:r>
      <w:r w:rsidR="00522870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30%</w:t>
      </w:r>
      <w:proofErr w:type="gram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)</w:t>
      </w:r>
      <w:r w:rsidR="007B3AC8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930E5D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13,14</w:t>
      </w:r>
      <w:r w:rsidR="00C03F2F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,2</w:t>
      </w:r>
      <w:r w:rsidR="00930E5D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1</w:t>
      </w:r>
      <w:r w:rsidR="00C03F2F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="00050E9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A91D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</w:t>
      </w:r>
      <w:r w:rsidR="00986E0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recent study using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UNOS </w:t>
      </w:r>
      <w:r w:rsidR="0032757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data </w:t>
      </w:r>
      <w:r w:rsidR="00292E9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showed that</w:t>
      </w:r>
      <w:r w:rsidR="00986E0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the presence of more than 30% of macr</w:t>
      </w:r>
      <w:r w:rsidR="00EA05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ovesicular steatosis was an indepe</w:t>
      </w:r>
      <w:r w:rsidR="00263FA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ndent risk factor for </w:t>
      </w:r>
      <w:r w:rsidR="00292E9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impaired </w:t>
      </w:r>
      <w:r w:rsidR="00263FA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1-</w:t>
      </w:r>
      <w:r w:rsidR="00EA05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year graft </w:t>
      </w:r>
      <w:proofErr w:type="gramStart"/>
      <w:r w:rsidR="00EA05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survival</w:t>
      </w:r>
      <w:r w:rsidR="00930E5D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930E5D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16</w:t>
      </w:r>
      <w:r w:rsidR="00EA056A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="00EA05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</w:p>
    <w:p w:rsidR="00A44DB6" w:rsidRPr="005C227E" w:rsidRDefault="001F1319" w:rsidP="00522870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gold standard for </w:t>
      </w:r>
      <w:r w:rsidR="000800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assessing the severity </w:t>
      </w:r>
      <w:r w:rsidR="0027220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and type </w:t>
      </w:r>
      <w:r w:rsidR="000800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of s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teatosis </w:t>
      </w:r>
      <w:r w:rsidR="000800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 a potential donor liver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E7192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remains the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liver biopsy</w:t>
      </w:r>
      <w:r w:rsidR="000800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 Routine i</w:t>
      </w:r>
      <w:r w:rsidR="00E7192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maging modalities (</w:t>
      </w:r>
      <w:r w:rsidR="003B0515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u</w:t>
      </w:r>
      <w:r w:rsidR="005228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ltrasonography</w:t>
      </w:r>
      <w:r w:rsidR="0016058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 computed tomography or magnetic resonance imaging</w:t>
      </w:r>
      <w:r w:rsidR="00E7192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) are not sensitive</w:t>
      </w:r>
      <w:r w:rsidR="000800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and precise</w:t>
      </w:r>
      <w:r w:rsidR="00E7192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enough to </w:t>
      </w:r>
      <w:r w:rsidR="000800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quantitate </w:t>
      </w:r>
      <w:r w:rsidR="00E7192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steatosis below 30%</w:t>
      </w:r>
      <w:r w:rsidR="00A44DB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and cannot discriminate between micro- and </w:t>
      </w:r>
      <w:proofErr w:type="spellStart"/>
      <w:r w:rsidR="00A44DB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macrovesicular</w:t>
      </w:r>
      <w:proofErr w:type="spellEnd"/>
      <w:r w:rsidR="00A44DB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DB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steatosis</w:t>
      </w:r>
      <w:proofErr w:type="spellEnd"/>
      <w:r w:rsidR="00E7192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A91D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A44DB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Unfortunately, waiting for the result of a liver biopsy </w:t>
      </w:r>
      <w:r w:rsidR="0027220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prior to decision making regarding accepting a deceased donor </w:t>
      </w:r>
      <w:proofErr w:type="gramStart"/>
      <w:r w:rsidR="0027220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organ,</w:t>
      </w:r>
      <w:proofErr w:type="gramEnd"/>
      <w:r w:rsidR="0027220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A44DB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w</w:t>
      </w:r>
      <w:r w:rsidR="0027220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ill</w:t>
      </w:r>
      <w:r w:rsidR="00A44DB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27220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unduly prolong co</w:t>
      </w:r>
      <w:r w:rsidR="00A44DB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ld ischemia time </w:t>
      </w:r>
      <w:r w:rsidR="0027220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and is therefore not feasible in most instances</w:t>
      </w:r>
      <w:r w:rsidR="001A05C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(</w:t>
      </w:r>
      <w:r w:rsidR="0027220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and a frozen section is notoriously inadequate for this purpose</w:t>
      </w:r>
      <w:r w:rsidR="001A05C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)</w:t>
      </w:r>
      <w:r w:rsidR="0027220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</w:p>
    <w:p w:rsidR="00340508" w:rsidRPr="005C227E" w:rsidRDefault="00520B44" w:rsidP="00160584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For live</w:t>
      </w:r>
      <w:r w:rsidR="00D02F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432A0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liver donation, most programs exclude donors with </w:t>
      </w:r>
      <w:proofErr w:type="spellStart"/>
      <w:r w:rsidR="00432A0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macrovesicular</w:t>
      </w:r>
      <w:proofErr w:type="spellEnd"/>
      <w:r w:rsidR="00432A0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32A0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steatosis</w:t>
      </w:r>
      <w:proofErr w:type="spellEnd"/>
      <w:r w:rsidR="00432A0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&gt;</w:t>
      </w:r>
      <w:r w:rsidR="00160584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 </w:t>
      </w:r>
      <w:r w:rsidR="00D02F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10</w:t>
      </w:r>
      <w:r w:rsidR="0016058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%</w:t>
      </w:r>
      <w:r w:rsidR="00355E5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-15</w:t>
      </w:r>
      <w:proofErr w:type="gramStart"/>
      <w:r w:rsidR="00432A0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%</w:t>
      </w:r>
      <w:r w:rsidR="00840520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840520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22,23</w:t>
      </w:r>
      <w:r w:rsidR="00DF5192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="004D297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  <w:r w:rsidR="00432A0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</w:t>
      </w:r>
      <w:r w:rsidR="00B626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oninvasive preoperative evaluation of living donors</w:t>
      </w:r>
      <w:r w:rsidR="00432A0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for liver steatosis</w:t>
      </w:r>
      <w:r w:rsidR="00B626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has</w:t>
      </w:r>
      <w:r w:rsidR="00432A0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432A0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lastRenderedPageBreak/>
        <w:t>its</w:t>
      </w:r>
      <w:r w:rsidR="00B626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limitations</w:t>
      </w:r>
      <w:r w:rsidR="00432A0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Some programs therefore perform donor liver biopsies universally, others only in cases where </w:t>
      </w:r>
      <w:proofErr w:type="spellStart"/>
      <w:r w:rsidR="00432A0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steatosis</w:t>
      </w:r>
      <w:proofErr w:type="spellEnd"/>
      <w:r w:rsidR="00432A0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&gt;</w:t>
      </w:r>
      <w:r w:rsidR="00160584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 </w:t>
      </w:r>
      <w:r w:rsidR="00432A0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10</w:t>
      </w:r>
      <w:r w:rsidR="0016058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%</w:t>
      </w:r>
      <w:r w:rsidR="00432A0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-15% can otherwise not be ruled out</w:t>
      </w:r>
      <w:r w:rsidR="001A05C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with reasonable </w:t>
      </w:r>
      <w:proofErr w:type="gramStart"/>
      <w:r w:rsidR="001A05C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certainty</w:t>
      </w:r>
      <w:r w:rsidR="00840520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840520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24</w:t>
      </w:r>
      <w:r w:rsidR="004960DF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="004960D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B0158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In a re</w:t>
      </w:r>
      <w:r w:rsidR="00256D6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cent study, </w:t>
      </w:r>
      <w:proofErr w:type="spellStart"/>
      <w:r w:rsidR="00B0158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Ahn</w:t>
      </w:r>
      <w:proofErr w:type="spellEnd"/>
      <w:r w:rsidR="00B0158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B01587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 xml:space="preserve">et </w:t>
      </w:r>
      <w:proofErr w:type="gramStart"/>
      <w:r w:rsidR="00B01587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>al</w:t>
      </w:r>
      <w:r w:rsidR="00723578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723578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25</w:t>
      </w:r>
      <w:r w:rsidR="00B01587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 xml:space="preserve">] </w:t>
      </w:r>
      <w:r w:rsidR="00B0158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assessed histologically the degree and type of steatosis in a cohort of 492 living liver donors with negative</w:t>
      </w:r>
      <w:r w:rsidR="00AD64F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liver</w:t>
      </w:r>
      <w:r w:rsidR="00B0158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US and normal aminotransferase levels. They found that although </w:t>
      </w:r>
      <w:r w:rsidR="006C78D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most of these patients had minimal or mild degree</w:t>
      </w:r>
      <w:r w:rsidR="00AD64F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</w:t>
      </w:r>
      <w:r w:rsidR="006C78D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of steatosis</w:t>
      </w:r>
      <w:r w:rsidR="00AD64F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a few had </w:t>
      </w:r>
      <w:r w:rsidR="006C78D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moderate </w:t>
      </w:r>
      <w:r w:rsidR="001C507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microsteatosis </w:t>
      </w:r>
      <w:r w:rsidR="00AD64F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that had not been detected by imaging</w:t>
      </w:r>
      <w:r w:rsidR="001C507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</w:p>
    <w:p w:rsidR="004E5673" w:rsidRPr="005C227E" w:rsidRDefault="004E5673" w:rsidP="00705018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</w:p>
    <w:p w:rsidR="00153C04" w:rsidRPr="005C227E" w:rsidRDefault="002B51D5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 xml:space="preserve">LONG TERM </w:t>
      </w:r>
      <w:r w:rsidR="00B6439C"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 xml:space="preserve">OUTCOMES </w:t>
      </w:r>
      <w:r w:rsidR="008D5FD8"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>OF</w:t>
      </w:r>
      <w:r w:rsidR="00B6439C"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 xml:space="preserve"> LIVER TRANSPLANTATION FOR NAFLD AND NASH</w:t>
      </w:r>
    </w:p>
    <w:p w:rsidR="00313AE3" w:rsidRPr="005C227E" w:rsidRDefault="00D51CAF" w:rsidP="00705018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There are several recent</w:t>
      </w:r>
      <w:r w:rsidR="0085258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 retrospective</w:t>
      </w:r>
      <w:r w:rsidR="002276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85258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single center series reporting on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outcomes after liver transplanta</w:t>
      </w:r>
      <w:r w:rsidR="00FA15C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tion for NASH related end-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stage liver disease</w:t>
      </w:r>
      <w:r w:rsidR="00FE48F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(Table 2)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Malik </w:t>
      </w:r>
      <w:r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 xml:space="preserve">et </w:t>
      </w:r>
      <w:proofErr w:type="gramStart"/>
      <w:r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>al</w:t>
      </w:r>
      <w:r w:rsidR="00145AA6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145AA6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26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="00C765DA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2276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compared </w:t>
      </w:r>
      <w:r w:rsidR="00C765D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the outcomes</w:t>
      </w:r>
      <w:r w:rsidR="003A160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C765D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 patients transplanted for NASH cirrhosis </w:t>
      </w:r>
      <w:r w:rsidR="002276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with</w:t>
      </w:r>
      <w:r w:rsidR="00C765D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those transplanted for other indications</w:t>
      </w:r>
      <w:r w:rsidR="0061364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3B0515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[</w:t>
      </w:r>
      <w:r w:rsidR="003B051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primary biliary cirrhosis, primary </w:t>
      </w:r>
      <w:proofErr w:type="spellStart"/>
      <w:r w:rsidR="003B051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sclerosing</w:t>
      </w:r>
      <w:proofErr w:type="spellEnd"/>
      <w:r w:rsidR="003B051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cholangitis (PSC),</w:t>
      </w:r>
      <w:r w:rsidR="003B0515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 </w:t>
      </w:r>
      <w:r w:rsidR="00C765D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alcoholic liver disease and </w:t>
      </w:r>
      <w:r w:rsidR="006043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HCV</w:t>
      </w:r>
      <w:r w:rsidR="003B0515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]</w:t>
      </w:r>
      <w:r w:rsidR="00C765D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  <w:r w:rsidR="002276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Early</w:t>
      </w:r>
      <w:r w:rsidR="006043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mortality in </w:t>
      </w:r>
      <w:r w:rsidR="002276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NASH recipients was increased</w:t>
      </w:r>
      <w:r w:rsidR="0061364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 but the</w:t>
      </w:r>
      <w:r w:rsidR="006043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5-year mortality was similar to patients transplanted for other indications. </w:t>
      </w:r>
      <w:r w:rsidR="002276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Infection</w:t>
      </w:r>
      <w:r w:rsidR="0061364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was the main cause of death (50%) in the NASH</w:t>
      </w:r>
      <w:r w:rsidR="002276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 but not the</w:t>
      </w:r>
      <w:r w:rsidR="0061364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2276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control </w:t>
      </w:r>
      <w:r w:rsidR="0061364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group. </w:t>
      </w:r>
      <w:r w:rsidR="002276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Recipients characterized by</w:t>
      </w:r>
      <w:r w:rsidR="0061364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2276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NASH cirrhosis,</w:t>
      </w:r>
      <w:r w:rsidR="0061364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older age (&gt;</w:t>
      </w:r>
      <w:r w:rsidR="00DA026A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 </w:t>
      </w:r>
      <w:r w:rsidR="0061364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60 years), higher BMI (&gt;</w:t>
      </w:r>
      <w:r w:rsidR="00DA026A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 </w:t>
      </w:r>
      <w:r w:rsidR="0061364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30</w:t>
      </w:r>
      <w:r w:rsidR="00DA026A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 </w:t>
      </w:r>
      <w:r w:rsidR="00DA02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k</w:t>
      </w:r>
      <w:r w:rsidR="0061364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g/m</w:t>
      </w:r>
      <w:r w:rsidR="00613646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2</w:t>
      </w:r>
      <w:r w:rsidR="0061364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), pre-LT diabetes mellitus</w:t>
      </w:r>
      <w:r w:rsidR="002276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61364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and hypertension</w:t>
      </w:r>
      <w:r w:rsidR="00D7063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61364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had </w:t>
      </w:r>
      <w:r w:rsidR="00C038C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1-year </w:t>
      </w:r>
      <w:r w:rsidR="002276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post-transplant </w:t>
      </w:r>
      <w:r w:rsidR="00C038C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mortality </w:t>
      </w:r>
      <w:r w:rsidR="002276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of 50%.</w:t>
      </w:r>
    </w:p>
    <w:p w:rsidR="000325CA" w:rsidRPr="005C227E" w:rsidRDefault="00C84681" w:rsidP="00DA026A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proofErr w:type="spell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Bhagat</w:t>
      </w:r>
      <w:proofErr w:type="spellEnd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 xml:space="preserve">et </w:t>
      </w:r>
      <w:proofErr w:type="gramStart"/>
      <w:r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>al</w:t>
      </w:r>
      <w:r w:rsidR="00145AA6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145AA6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27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ED65A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compared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he outcomes of liver transplantation </w:t>
      </w:r>
      <w:r w:rsidR="00ED65A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patient</w:t>
      </w:r>
      <w:r w:rsidR="00ED65A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with NASH cirrhosis and alcoholic cirrhosis (ETOH)</w:t>
      </w:r>
      <w:r w:rsidR="00F3429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</w:t>
      </w:r>
      <w:r w:rsidR="0063538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and found</w:t>
      </w:r>
      <w:r w:rsidR="005B279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that the overall and cardiovascular mortality was numerically – albeit not significantly -</w:t>
      </w:r>
      <w:r w:rsidR="00F3429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5B279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increased</w:t>
      </w:r>
      <w:r w:rsidR="00F3429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5B279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 the NASH group. </w:t>
      </w:r>
      <w:proofErr w:type="spellStart"/>
      <w:r w:rsidR="00EF2B2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Barrit</w:t>
      </w:r>
      <w:proofErr w:type="spellEnd"/>
      <w:r w:rsidR="00EF2B2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EF2B26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 xml:space="preserve">et </w:t>
      </w:r>
      <w:proofErr w:type="gramStart"/>
      <w:r w:rsidR="00EF2B26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>al</w:t>
      </w:r>
      <w:r w:rsidR="00145AA6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145AA6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28</w:t>
      </w:r>
      <w:r w:rsidR="00EF2B26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="00EF2B2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reported that </w:t>
      </w:r>
      <w:r w:rsidR="00ED65A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NASH cirrhosis as indication for LT </w:t>
      </w:r>
      <w:r w:rsidR="00EF2B2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is an independent factor associated wi</w:t>
      </w:r>
      <w:r w:rsidR="003B233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 early (30</w:t>
      </w:r>
      <w:r w:rsidR="003715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-d</w:t>
      </w:r>
      <w:r w:rsidR="003B233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) post-LT</w:t>
      </w:r>
      <w:r w:rsidR="00EF2B2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mortality</w:t>
      </w:r>
      <w:r w:rsidR="0037156A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,</w:t>
      </w:r>
      <w:r w:rsidR="0037156A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 w:eastAsia="zh-CN"/>
        </w:rPr>
        <w:t xml:space="preserve"> </w:t>
      </w:r>
      <w:r w:rsidR="0016364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hazard ratio </w:t>
      </w:r>
      <w:r w:rsidR="00F32E3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8.96</w:t>
      </w:r>
      <w:r w:rsidR="003715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(95%</w:t>
      </w:r>
      <w:r w:rsidR="0016364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CI: 1.06-75.8</w:t>
      </w:r>
      <w:r w:rsidR="00D7063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)</w:t>
      </w:r>
      <w:r w:rsidR="0037156A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,</w:t>
      </w:r>
      <w:r w:rsidR="003B233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37156A" w:rsidRPr="005C227E">
        <w:rPr>
          <w:rFonts w:ascii="Book Antiqua" w:hAnsi="Book Antiqua" w:cs="Arial"/>
          <w:i/>
          <w:color w:val="000000" w:themeColor="text1"/>
          <w:sz w:val="24"/>
          <w:szCs w:val="24"/>
          <w:lang w:val="en-US"/>
        </w:rPr>
        <w:t>P</w:t>
      </w:r>
      <w:r w:rsidR="003715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= </w:t>
      </w:r>
      <w:r w:rsidR="00F32E3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0.04</w:t>
      </w:r>
      <w:r w:rsidR="00D7063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]</w:t>
      </w:r>
      <w:r w:rsidR="0016364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</w:p>
    <w:p w:rsidR="002F7631" w:rsidRPr="005C227E" w:rsidRDefault="000325CA" w:rsidP="0037156A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Two large national US studies addressing outcomes of LT for NASH cirrhosis were recently published. </w:t>
      </w:r>
      <w:r w:rsidR="00FF420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Charlton </w:t>
      </w:r>
      <w:r w:rsidR="00FF420A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 xml:space="preserve">et </w:t>
      </w:r>
      <w:proofErr w:type="gramStart"/>
      <w:r w:rsidR="00FF420A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>al</w:t>
      </w:r>
      <w:r w:rsidR="00C37E05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C37E05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9</w:t>
      </w:r>
      <w:r w:rsidR="00FF420A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 xml:space="preserve">] </w:t>
      </w:r>
      <w:r w:rsidR="00FF420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used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</w:t>
      </w:r>
      <w:r w:rsidR="00FF420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SRTR database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D7063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420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Afzali</w:t>
      </w:r>
      <w:proofErr w:type="spellEnd"/>
      <w:r w:rsidR="00FF420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FF420A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>et al</w:t>
      </w:r>
      <w:r w:rsidR="00814F3A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[29</w:t>
      </w:r>
      <w:r w:rsidR="00FF420A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="00FF420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</w:t>
      </w:r>
      <w:r w:rsidR="00FF420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UNOS database</w:t>
      </w:r>
      <w:r w:rsidR="00DF723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Both studies found</w:t>
      </w:r>
      <w:r w:rsidR="00FF420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0766B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that the post</w:t>
      </w:r>
      <w:r w:rsidR="00FE110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-LT </w:t>
      </w:r>
      <w:r w:rsidR="000766B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survival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of NASH </w:t>
      </w:r>
      <w:r w:rsidR="000766B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recipients was excellent </w:t>
      </w:r>
      <w:r w:rsidR="00F610E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(1-year 87.6%, 3-year 82.2%, 5-year 76.7%) </w:t>
      </w:r>
      <w:r w:rsidR="000766B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and similar to recipients with non-NASH indications. </w:t>
      </w:r>
      <w:r w:rsidR="00137D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Another recent study</w:t>
      </w:r>
      <w:r w:rsidR="00561E2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137D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by </w:t>
      </w:r>
      <w:proofErr w:type="spellStart"/>
      <w:r w:rsidR="00561E2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Singal</w:t>
      </w:r>
      <w:proofErr w:type="spellEnd"/>
      <w:r w:rsidR="00561E2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561E21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 xml:space="preserve">et </w:t>
      </w:r>
      <w:proofErr w:type="gramStart"/>
      <w:r w:rsidR="00561E21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>al</w:t>
      </w:r>
      <w:r w:rsidR="00814F3A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814F3A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30</w:t>
      </w:r>
      <w:r w:rsidR="00561E21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="00FE110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137D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corroborated </w:t>
      </w:r>
      <w:r w:rsidR="00561E2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that</w:t>
      </w:r>
      <w:r w:rsidR="00137D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1-10 year</w:t>
      </w:r>
      <w:r w:rsidR="00561E2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graft and patient survival</w:t>
      </w:r>
      <w:r w:rsidR="00137D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rates</w:t>
      </w:r>
      <w:r w:rsidR="00561E2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137D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were </w:t>
      </w:r>
      <w:r w:rsidR="00561E2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similar </w:t>
      </w:r>
      <w:r w:rsidR="00137D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 patients transplanted for </w:t>
      </w:r>
      <w:r w:rsidR="00561E2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NASH</w:t>
      </w:r>
      <w:r w:rsidR="00137D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561E2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PSC and HBV</w:t>
      </w:r>
      <w:r w:rsidR="00137D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related cirrhosis, respectively.</w:t>
      </w:r>
    </w:p>
    <w:p w:rsidR="00313AE3" w:rsidRPr="005C227E" w:rsidRDefault="00635CD6" w:rsidP="0037156A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lastRenderedPageBreak/>
        <w:t xml:space="preserve">Finally, </w:t>
      </w:r>
      <w:r w:rsidR="003245C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 recent systematic review and meta-analysis </w:t>
      </w:r>
      <w:r w:rsidR="00137D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compared</w:t>
      </w:r>
      <w:r w:rsidR="003245C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survival</w:t>
      </w:r>
      <w:r w:rsidR="00137D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and causes of death </w:t>
      </w:r>
      <w:r w:rsidR="003245C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after liver transplantation for NASH</w:t>
      </w:r>
      <w:r w:rsidR="00137D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and other </w:t>
      </w:r>
      <w:proofErr w:type="gramStart"/>
      <w:r w:rsidR="00137D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etiologies</w:t>
      </w:r>
      <w:r w:rsidR="006E75B8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6E75B8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31</w:t>
      </w:r>
      <w:r w:rsidR="00137DAE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="003245C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F3560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One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-, 3- and 5-year patient </w:t>
      </w:r>
      <w:r w:rsidR="0063538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survivals were</w:t>
      </w:r>
      <w:r w:rsidR="003C313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similar in NASH and non-NASH recipients.</w:t>
      </w:r>
      <w:r w:rsidR="004542D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137D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However,</w:t>
      </w:r>
      <w:r w:rsidR="004542D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cardiovascular </w:t>
      </w:r>
      <w:r w:rsidR="0035191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(CV) </w:t>
      </w:r>
      <w:r w:rsidR="004542D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events and sepsis were more </w:t>
      </w:r>
      <w:r w:rsidR="00137D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frequent</w:t>
      </w:r>
      <w:r w:rsidR="003C313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as</w:t>
      </w:r>
      <w:r w:rsidR="00137D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4542D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causes of death in NASH recipients</w:t>
      </w:r>
      <w:r w:rsidR="00D8221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  <w:r w:rsidR="00CB72C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authors </w:t>
      </w:r>
      <w:r w:rsidR="00137DA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concluded </w:t>
      </w:r>
      <w:r w:rsidR="00CB72C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that patients with NASH cirrhosis </w:t>
      </w:r>
      <w:r w:rsidR="00380E7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must be carefully </w:t>
      </w:r>
      <w:r w:rsidR="00DD6B0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evaluated and </w:t>
      </w:r>
      <w:r w:rsidR="00380E7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selected </w:t>
      </w:r>
      <w:r w:rsidR="00CB72C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for transplantation </w:t>
      </w:r>
      <w:r w:rsidR="00380E7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and that </w:t>
      </w:r>
      <w:r w:rsidR="000B18C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post-LT </w:t>
      </w:r>
      <w:r w:rsidR="00380E7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cardiovascular and infection complications must be treated aggressively.</w:t>
      </w:r>
      <w:r w:rsidR="008B005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</w:p>
    <w:p w:rsidR="00592B06" w:rsidRPr="005C227E" w:rsidRDefault="003C3131" w:rsidP="0037156A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These observations are further corroborated by the study of</w:t>
      </w:r>
      <w:r w:rsidR="008B005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2579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Van</w:t>
      </w:r>
      <w:r w:rsidR="00CC7F8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W</w:t>
      </w:r>
      <w:r w:rsidR="0002579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agner</w:t>
      </w:r>
      <w:proofErr w:type="spellEnd"/>
      <w:r w:rsidR="0002579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02579D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>et al</w:t>
      </w:r>
      <w:r w:rsidR="006E75B8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[32</w:t>
      </w:r>
      <w:r w:rsidR="0002579D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="0002579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who found </w:t>
      </w:r>
      <w:r w:rsidR="00DE09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</w:t>
      </w:r>
      <w:r w:rsidR="0002579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hat NASH pat</w:t>
      </w:r>
      <w:r w:rsidR="0035191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ients had</w:t>
      </w:r>
      <w:r w:rsidR="0002579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an increased risk for the development of cardiovascular</w:t>
      </w:r>
      <w:r w:rsidR="001D79B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(CV)</w:t>
      </w:r>
      <w:r w:rsidR="0002579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events </w:t>
      </w:r>
      <w:r w:rsidR="0056577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during the first year of liver transplantation compared to ETOH patients</w:t>
      </w:r>
      <w:r w:rsidR="00221DF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(26% </w:t>
      </w:r>
      <w:r w:rsidR="0037156A" w:rsidRPr="005C227E">
        <w:rPr>
          <w:rFonts w:ascii="Book Antiqua" w:hAnsi="Book Antiqua" w:cs="Arial"/>
          <w:i/>
          <w:color w:val="000000" w:themeColor="text1"/>
          <w:sz w:val="24"/>
          <w:szCs w:val="24"/>
          <w:lang w:val="en-US"/>
        </w:rPr>
        <w:t>vs</w:t>
      </w:r>
      <w:r w:rsidR="00BA06F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8%</w:t>
      </w:r>
      <w:r w:rsidR="0037156A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,</w:t>
      </w:r>
      <w:r w:rsidR="00BA06F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37156A" w:rsidRPr="005C227E">
        <w:rPr>
          <w:rFonts w:ascii="Book Antiqua" w:hAnsi="Book Antiqua" w:cs="Arial"/>
          <w:i/>
          <w:color w:val="000000" w:themeColor="text1"/>
          <w:sz w:val="24"/>
          <w:szCs w:val="24"/>
          <w:lang w:val="en-US"/>
        </w:rPr>
        <w:t>P</w:t>
      </w:r>
      <w:r w:rsidR="003715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&lt; </w:t>
      </w:r>
      <w:r w:rsidR="00BA06F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0.001, respectively)</w:t>
      </w:r>
      <w:r w:rsidR="0056577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BA06F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The</w:t>
      </w:r>
      <w:r w:rsidR="00BA06F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majority of the CV events occurred during the immediate perioperative period, and over 50% of NASH patients with a post-LT CV event had underlying risk factors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such as the </w:t>
      </w:r>
      <w:r w:rsidR="00BA06F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metabolic syndrome</w:t>
      </w:r>
      <w:r w:rsidR="00CC328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A91D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CV events were the second most common cause </w:t>
      </w:r>
      <w:r w:rsidR="000D793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of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death in NASH recipients (</w:t>
      </w:r>
      <w:r w:rsidR="000D793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9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% </w:t>
      </w:r>
      <w:r w:rsidR="00E00943" w:rsidRPr="005C227E">
        <w:rPr>
          <w:rFonts w:ascii="Book Antiqua" w:hAnsi="Book Antiqua" w:cs="Arial"/>
          <w:i/>
          <w:color w:val="000000" w:themeColor="text1"/>
          <w:sz w:val="24"/>
          <w:szCs w:val="24"/>
          <w:lang w:val="en-US"/>
        </w:rPr>
        <w:t>vs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4% in </w:t>
      </w:r>
      <w:proofErr w:type="spell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EtOH</w:t>
      </w:r>
      <w:proofErr w:type="spellEnd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recipients)</w:t>
      </w:r>
      <w:r w:rsidR="00DE09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</w:t>
      </w:r>
      <w:r w:rsidR="0060732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surpassed only by sepsis (11% </w:t>
      </w:r>
      <w:r w:rsidR="00E00943" w:rsidRPr="005C227E">
        <w:rPr>
          <w:rFonts w:ascii="Book Antiqua" w:hAnsi="Book Antiqua" w:cs="Arial"/>
          <w:i/>
          <w:color w:val="000000" w:themeColor="text1"/>
          <w:sz w:val="24"/>
          <w:szCs w:val="24"/>
          <w:lang w:val="en-US"/>
        </w:rPr>
        <w:t>vs</w:t>
      </w:r>
      <w:r w:rsidR="0060732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1%).</w:t>
      </w:r>
      <w:r w:rsidR="00A91D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</w:p>
    <w:p w:rsidR="00607325" w:rsidRPr="005C227E" w:rsidRDefault="00607325" w:rsidP="00E00943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Collectively</w:t>
      </w:r>
      <w:r w:rsidR="0071427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liver transplantation for NASH see</w:t>
      </w:r>
      <w:r w:rsidR="00DE09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ms, with the current selection process,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to result in excellent overall graft and patient survival (up to 10 years). However, CV events and mortality,</w:t>
      </w:r>
      <w:r w:rsidR="0071427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as well as sepsis events and mortality seem to be more frequent in recipients transplanted for NASH compared to other indications. </w:t>
      </w:r>
    </w:p>
    <w:p w:rsidR="00700185" w:rsidRPr="005C227E" w:rsidRDefault="00700185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</w:p>
    <w:p w:rsidR="00B71591" w:rsidRPr="005C227E" w:rsidRDefault="00126B7E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>FATTY LIVER DISEASE AFTER LIVER TRANSPLANTATION</w:t>
      </w:r>
    </w:p>
    <w:p w:rsidR="00722C05" w:rsidRPr="005C227E" w:rsidRDefault="00DC1BEA" w:rsidP="00705018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proofErr w:type="gram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prevalence of </w:t>
      </w:r>
      <w:r w:rsidR="00E6232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IR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and of other risk factors for NAFLD increase after liver transplantation.</w:t>
      </w:r>
      <w:proofErr w:type="gramEnd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Thus, not too surprisingly, b</w:t>
      </w:r>
      <w:r w:rsidR="0060004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oth recurrent NAFLD </w:t>
      </w:r>
      <w:r w:rsidR="0075475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and </w:t>
      </w:r>
      <w:r w:rsidR="00705018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>de novo</w:t>
      </w:r>
      <w:r w:rsidR="0075475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NAFLD</w:t>
      </w:r>
      <w:r w:rsidR="001513B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in the allograft </w:t>
      </w:r>
      <w:r w:rsidR="0075475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have </w:t>
      </w:r>
      <w:r w:rsidR="00FD1D5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been described</w:t>
      </w:r>
      <w:r w:rsidR="0075475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60004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</w:p>
    <w:p w:rsidR="001513B0" w:rsidRPr="005C227E" w:rsidRDefault="001513B0" w:rsidP="00E00943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Recurrence of NAFLD in the allograft is common post-LT. </w:t>
      </w:r>
      <w:proofErr w:type="spellStart"/>
      <w:r w:rsidR="004676D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Bhagat</w:t>
      </w:r>
      <w:proofErr w:type="spellEnd"/>
      <w:r w:rsidR="004676D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4676D2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>et al</w:t>
      </w:r>
      <w:r w:rsidR="00DD7142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[27</w:t>
      </w:r>
      <w:r w:rsidR="004676D2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 xml:space="preserve">] </w:t>
      </w:r>
      <w:r w:rsidR="004676D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reported 33% recurrence of steatohepatitis in biopsy specimens at any time during the</w:t>
      </w:r>
      <w:r w:rsidR="00A81ED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first 6 months post-LT in NASH</w:t>
      </w:r>
      <w:r w:rsidR="004676D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–cirrhosis recipients</w:t>
      </w:r>
      <w:r w:rsidR="00F72A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but the course of recurrent NASH was benign since none of these patients developed cirrhosis or </w:t>
      </w:r>
      <w:r w:rsidR="0082132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required </w:t>
      </w:r>
      <w:r w:rsidR="00F72A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re-</w:t>
      </w:r>
      <w:r w:rsidR="0082132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transplantation </w:t>
      </w:r>
      <w:r w:rsidR="00F72A8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during a 10-year follow-up. </w:t>
      </w:r>
      <w:proofErr w:type="spellStart"/>
      <w:r w:rsidR="004676D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Yal</w:t>
      </w:r>
      <w:r w:rsidR="00A9212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amanchili</w:t>
      </w:r>
      <w:proofErr w:type="spellEnd"/>
      <w:r w:rsidR="00A9212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A92128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 xml:space="preserve">et </w:t>
      </w:r>
      <w:proofErr w:type="gramStart"/>
      <w:r w:rsidR="00A92128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>al</w:t>
      </w:r>
      <w:r w:rsidR="00F57F91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F57F91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33</w:t>
      </w:r>
      <w:r w:rsidR="00A81EDB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="00677B2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studied </w:t>
      </w:r>
      <w:r w:rsidR="00401F5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</w:t>
      </w:r>
      <w:r w:rsidR="00677B2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post-</w:t>
      </w:r>
      <w:r w:rsidR="00A81ED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LT outcomes </w:t>
      </w:r>
      <w:r w:rsidR="007C647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 a 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257</w:t>
      </w:r>
      <w:r w:rsidR="007C6476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patients 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transplanted for</w:t>
      </w:r>
      <w:r w:rsidR="00A81ED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CC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or NASH cirrhosis.</w:t>
      </w:r>
      <w:r w:rsidR="001A7E1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1C4ED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They </w:t>
      </w:r>
      <w:r w:rsidR="00A81ED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found that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A81ED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677B2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 the CC/NASH group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677B2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1C4ED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probability of </w:t>
      </w:r>
      <w:r w:rsidR="00677B2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developing hepatic steatosis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(NAFL)</w:t>
      </w:r>
      <w:r w:rsidR="00677B2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at </w:t>
      </w:r>
      <w:r w:rsidR="00677B2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1, 2, 5 and 10 years post-LT was 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with </w:t>
      </w:r>
      <w:r w:rsidR="00677B2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8.2%, 13.6%, </w:t>
      </w:r>
      <w:r w:rsidR="00677B2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lastRenderedPageBreak/>
        <w:t>24.9%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677B28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and 32.9%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at all time points higher than in patients transplanted for other indications (</w:t>
      </w:r>
      <w:r w:rsidR="00F00EF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3.1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%,</w:t>
      </w:r>
      <w:r w:rsidR="00F00EF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5.9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%,</w:t>
      </w:r>
      <w:r w:rsidR="00F00EF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9.6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%, and</w:t>
      </w:r>
      <w:r w:rsidR="00F00EF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10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%, re</w:t>
      </w:r>
      <w:r w:rsidR="00F00EF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spe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ctively). However, development of </w:t>
      </w:r>
      <w:r w:rsidR="00FE2A7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NASH 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 the graft </w:t>
      </w:r>
      <w:r w:rsidR="001C74A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was rare (13 out of 257 patients)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</w:t>
      </w:r>
      <w:r w:rsidR="001C74A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advanced fibrosis was uncommon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 and overall</w:t>
      </w:r>
      <w:r w:rsidR="00E950F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1C74A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survival in the CC/NASH group was the same 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as in </w:t>
      </w:r>
      <w:r w:rsidR="00E950F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patients transplanted for other indications.</w:t>
      </w:r>
      <w:r w:rsidR="007E1A7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Finally, </w:t>
      </w:r>
      <w:proofErr w:type="spellStart"/>
      <w:r w:rsidR="007E1A7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Dureja</w:t>
      </w:r>
      <w:proofErr w:type="spellEnd"/>
      <w:r w:rsidR="007E1A7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7E1A7C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 xml:space="preserve">et </w:t>
      </w:r>
      <w:proofErr w:type="gramStart"/>
      <w:r w:rsidR="007E1A7C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>al</w:t>
      </w:r>
      <w:r w:rsidR="007E1A7C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F57F91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34</w:t>
      </w:r>
      <w:r w:rsidR="007E1A7C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 xml:space="preserve">] </w:t>
      </w:r>
      <w:r w:rsidR="007E1A7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reported that recurrent NAFLD </w:t>
      </w:r>
      <w:r w:rsidR="00A9505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(predominantly NASH) </w:t>
      </w:r>
      <w:r w:rsidR="007E1A7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was </w:t>
      </w:r>
      <w:r w:rsidR="00A9505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histologically </w:t>
      </w:r>
      <w:r w:rsidR="007E1A7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found in 39% </w:t>
      </w:r>
      <w:r w:rsidR="00D13B5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of recipients transplanted for NAFLD related 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or cryptogenic </w:t>
      </w:r>
      <w:r w:rsidR="00D13B5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cirrhosis associated with the metabolic syndrome.</w:t>
      </w:r>
      <w:r w:rsidR="004B33D2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While</w:t>
      </w:r>
      <w:r w:rsidR="00CC7C4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survival was not affected by NAFLD recurrence, </w:t>
      </w:r>
      <w:r w:rsidR="0058276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 high </w:t>
      </w:r>
      <w:r w:rsidR="00625FC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frequency</w:t>
      </w:r>
      <w:r w:rsidR="00171A8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CC7C4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of cardiovascular disease and 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of </w:t>
      </w:r>
      <w:r w:rsidR="00CC7C4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infection-related </w:t>
      </w:r>
      <w:r w:rsidR="00313AE3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morbidity and </w:t>
      </w:r>
      <w:r w:rsidR="00CC7C4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mortality was noted in </w:t>
      </w:r>
      <w:r w:rsidR="00DE55B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patients</w:t>
      </w:r>
      <w:r w:rsidR="007D62C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with NAFLD recurrence</w:t>
      </w:r>
      <w:r w:rsidR="00CC7C4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</w:p>
    <w:p w:rsidR="00DE55B1" w:rsidRPr="005C227E" w:rsidRDefault="00DE55B1" w:rsidP="00E00943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Col</w:t>
      </w:r>
      <w:r w:rsidR="00881C2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lectivel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y, NAFLD seems to recur in at lea</w:t>
      </w:r>
      <w:r w:rsidR="002E501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 1/3 of patients transplanted for NASH cirrhosis. While, NAFLD recurrence does not seem to affect overall </w:t>
      </w:r>
      <w:r w:rsidR="00881C2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graft and patient </w:t>
      </w:r>
      <w:r w:rsidR="00EE6A1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survival </w:t>
      </w:r>
      <w:r w:rsidR="00881C2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up to 10 years, CV and infection related morbidity and mortality </w:t>
      </w:r>
      <w:r w:rsidR="002E501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seem</w:t>
      </w:r>
      <w:r w:rsidR="00881C2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to be increased in these patients.</w:t>
      </w:r>
    </w:p>
    <w:p w:rsidR="00AB2EA0" w:rsidRPr="005C227E" w:rsidRDefault="00881C29" w:rsidP="00E00943">
      <w:pPr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At least 30% of liver transplant recipients for non NAFLD related indications develop </w:t>
      </w:r>
      <w:r w:rsidR="00E6232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IR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and/or other risk factors for NAFLD typically within 1-3 years post </w:t>
      </w:r>
      <w:proofErr w:type="gram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LT</w:t>
      </w:r>
      <w:r w:rsidR="00560C3B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60C3B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35-38]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2D1E4A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There is therefore</w:t>
      </w:r>
      <w:r w:rsidR="000B651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growing interest in the </w:t>
      </w:r>
      <w:r w:rsidR="00705018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>de novo</w:t>
      </w:r>
      <w:r w:rsidR="000B651B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occurrence of p</w:t>
      </w:r>
      <w:r w:rsidR="00BA4BE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ost-LT NAFLD in recipients transpl</w:t>
      </w:r>
      <w:r w:rsidR="00FA62F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anted for non-NAFLD </w:t>
      </w:r>
      <w:proofErr w:type="gramStart"/>
      <w:r w:rsidR="00FA62F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indications</w:t>
      </w:r>
      <w:r w:rsidR="009E1496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9E1496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39,40</w:t>
      </w:r>
      <w:r w:rsidR="00FA1799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]</w:t>
      </w:r>
      <w:r w:rsidR="00FA62F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594F0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Dumortier</w:t>
      </w:r>
      <w:proofErr w:type="spellEnd"/>
      <w:r w:rsidR="00594F0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594F04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 xml:space="preserve">et </w:t>
      </w:r>
      <w:proofErr w:type="gramStart"/>
      <w:r w:rsidR="00594F04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>al</w:t>
      </w:r>
      <w:r w:rsidR="009E1496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9E1496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41</w:t>
      </w:r>
      <w:r w:rsidR="00594F04"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 xml:space="preserve">] </w:t>
      </w:r>
      <w:r w:rsidR="00453C8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studied retrospectively the prevalence of </w:t>
      </w:r>
      <w:r w:rsidR="002D1E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NAFLD </w:t>
      </w:r>
      <w:r w:rsidR="00453C8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 post-LT liver </w:t>
      </w:r>
      <w:r w:rsidR="002D1E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biopsy </w:t>
      </w:r>
      <w:r w:rsidR="00453C8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specimens </w:t>
      </w:r>
      <w:r w:rsidR="002D1E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obtained by protocol biopsies in </w:t>
      </w:r>
      <w:r w:rsidR="00453C8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 population of recipients transplanted for non-NAFLD/CC cirrhosis and assessed the risk factors for NAFLD development. They found that </w:t>
      </w:r>
      <w:r w:rsidR="00705018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>de novo</w:t>
      </w:r>
      <w:r w:rsidR="00453C8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liver </w:t>
      </w:r>
      <w:proofErr w:type="spellStart"/>
      <w:r w:rsidR="00453C8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steatosis</w:t>
      </w:r>
      <w:proofErr w:type="spellEnd"/>
      <w:r w:rsidR="00453C8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developed in 30% and steatohepatitis in 5%</w:t>
      </w:r>
      <w:r w:rsidR="009F474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of the recipients. Analysis of data revealed that obesity, hyperlipidemia, diabetes mellitus, </w:t>
      </w:r>
      <w:r w:rsidR="00D26B7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arterial hypertension, </w:t>
      </w:r>
      <w:r w:rsidR="009F474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tacrolimus treatment, alcoholic cirrhosis as an indication for transplantation</w:t>
      </w:r>
      <w:r w:rsidR="002D1E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9F474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and pre-transplant liver graft steatosis, were risk factors for </w:t>
      </w:r>
      <w:r w:rsidR="00F9755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</w:t>
      </w:r>
      <w:r w:rsidR="00705018" w:rsidRPr="005C227E">
        <w:rPr>
          <w:rFonts w:ascii="Book Antiqua" w:hAnsi="Book Antiqua" w:cs="Arial"/>
          <w:i/>
          <w:iCs/>
          <w:color w:val="000000" w:themeColor="text1"/>
          <w:sz w:val="24"/>
          <w:szCs w:val="24"/>
          <w:lang w:val="en-US"/>
        </w:rPr>
        <w:t>de novo</w:t>
      </w:r>
      <w:r w:rsidR="009F474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development of post-LT NAFLD. The more </w:t>
      </w:r>
      <w:r w:rsidR="002D1E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of these </w:t>
      </w:r>
      <w:r w:rsidR="009F474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factors </w:t>
      </w:r>
      <w:r w:rsidR="002D1E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were </w:t>
      </w:r>
      <w:r w:rsidR="009F474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present</w:t>
      </w:r>
      <w:r w:rsidR="002D1E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9F474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the higher </w:t>
      </w:r>
      <w:r w:rsidR="002D1E4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was the </w:t>
      </w:r>
      <w:r w:rsidR="009F474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prevalence of </w:t>
      </w:r>
      <w:proofErr w:type="spellStart"/>
      <w:r w:rsidR="009F474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steatosis</w:t>
      </w:r>
      <w:proofErr w:type="spellEnd"/>
      <w:r w:rsidR="009F474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A91D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</w:p>
    <w:p w:rsidR="00C82817" w:rsidRPr="005C227E" w:rsidRDefault="00C82817" w:rsidP="00E00943">
      <w:pPr>
        <w:autoSpaceDE w:val="0"/>
        <w:autoSpaceDN w:val="0"/>
        <w:adjustRightInd w:val="0"/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  <w:t xml:space="preserve">Recent data suggest that </w:t>
      </w:r>
      <w:r w:rsidR="009C0852" w:rsidRPr="005C227E"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  <w:t xml:space="preserve">the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  <w:t xml:space="preserve">genetic predisposition plays role in the post-LT recurrence of NAFLD. It is well established that the </w:t>
      </w:r>
      <w:proofErr w:type="spellStart"/>
      <w:r w:rsidRPr="005C227E">
        <w:rPr>
          <w:rFonts w:ascii="Book Antiqua" w:hAnsi="Book Antiqua"/>
          <w:color w:val="000000" w:themeColor="text1"/>
          <w:sz w:val="24"/>
          <w:szCs w:val="24"/>
          <w:lang w:val="en-CA"/>
        </w:rPr>
        <w:t>patatin</w:t>
      </w:r>
      <w:proofErr w:type="spellEnd"/>
      <w:r w:rsidRPr="005C227E">
        <w:rPr>
          <w:rFonts w:ascii="Book Antiqua" w:hAnsi="Book Antiqua"/>
          <w:color w:val="000000" w:themeColor="text1"/>
          <w:sz w:val="24"/>
          <w:szCs w:val="24"/>
          <w:lang w:val="en-CA"/>
        </w:rPr>
        <w:t>-like phospholipase domain-containing protein 3 (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  <w:t>PNPLA3) rs738409-G allele is associated with an increased fat accumulation in the liver</w:t>
      </w:r>
      <w:r w:rsidR="009C0852" w:rsidRPr="005C227E"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  <w:t>,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  <w:t xml:space="preserve"> and is a risk factor for developing more advanced liver disease in NAFLD </w:t>
      </w:r>
      <w:proofErr w:type="gram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  <w:t>patients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CA" w:eastAsia="el-GR" w:bidi="hi-IN"/>
        </w:rPr>
        <w:t>[</w:t>
      </w:r>
      <w:proofErr w:type="gramEnd"/>
      <w:r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CA" w:eastAsia="el-GR" w:bidi="hi-IN"/>
        </w:rPr>
        <w:t>42]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  <w:t>.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CA"/>
        </w:rPr>
        <w:t xml:space="preserve"> A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recent study showed that the presence of the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CA"/>
        </w:rPr>
        <w:t xml:space="preserve">rs738409-G allele </w:t>
      </w:r>
      <w:r w:rsidRPr="005C227E">
        <w:rPr>
          <w:rFonts w:ascii="Book Antiqua" w:hAnsi="Book Antiqua"/>
          <w:color w:val="000000" w:themeColor="text1"/>
          <w:sz w:val="24"/>
          <w:szCs w:val="24"/>
          <w:lang w:val="en-CA"/>
        </w:rPr>
        <w:t xml:space="preserve">of the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CA"/>
        </w:rPr>
        <w:t xml:space="preserve">PNPLA3 in the recipients, </w:t>
      </w:r>
      <w:r w:rsidR="009C0852" w:rsidRPr="005C227E">
        <w:rPr>
          <w:rFonts w:ascii="Book Antiqua" w:hAnsi="Book Antiqua" w:cs="Arial"/>
          <w:color w:val="000000" w:themeColor="text1"/>
          <w:sz w:val="24"/>
          <w:szCs w:val="24"/>
          <w:lang w:val="en-CA"/>
        </w:rPr>
        <w:t>but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CA"/>
        </w:rPr>
        <w:t xml:space="preserve"> not in the donors, is an independent risk factor for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post-LT </w:t>
      </w:r>
      <w:proofErr w:type="gram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steatosis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43]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  <w:lastRenderedPageBreak/>
        <w:t>These findings are</w:t>
      </w:r>
      <w:r w:rsidR="009C0852" w:rsidRPr="005C227E"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  <w:t xml:space="preserve"> in keeping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  <w:t xml:space="preserve"> </w:t>
      </w:r>
      <w:r w:rsidR="009C0852" w:rsidRPr="005C227E"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  <w:t xml:space="preserve">with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  <w:t xml:space="preserve">a previous study </w:t>
      </w:r>
      <w:r w:rsidR="009C0852" w:rsidRPr="005C227E"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  <w:t xml:space="preserve">demonstrating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  <w:t xml:space="preserve">that the presence of the PNPLA-3 rs738409 G- allele was associated with the development of post-LT obesity and diabetes </w:t>
      </w:r>
      <w:proofErr w:type="gram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  <w:t>mellitus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CA" w:eastAsia="el-GR" w:bidi="hi-IN"/>
        </w:rPr>
        <w:t>[</w:t>
      </w:r>
      <w:proofErr w:type="gramEnd"/>
      <w:r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CA" w:eastAsia="el-GR" w:bidi="hi-IN"/>
        </w:rPr>
        <w:t>44]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CA" w:eastAsia="el-GR" w:bidi="hi-IN"/>
        </w:rPr>
        <w:t xml:space="preserve">. </w:t>
      </w:r>
    </w:p>
    <w:p w:rsidR="00C82817" w:rsidRPr="005C227E" w:rsidRDefault="00C82817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</w:p>
    <w:p w:rsidR="00126B7E" w:rsidRPr="005C227E" w:rsidRDefault="00126B7E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 xml:space="preserve">MANAGEMENT </w:t>
      </w:r>
      <w:r w:rsidR="00BE0450"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 xml:space="preserve">OF NAFLD </w:t>
      </w: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>AFTER LIVER TRANSPLANTATION</w:t>
      </w:r>
    </w:p>
    <w:p w:rsidR="00C82817" w:rsidRPr="005C227E" w:rsidRDefault="00C82817" w:rsidP="0070501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Many drugs have been evaluated for treating NAFLD/NASH in the non-transplant setting (</w:t>
      </w:r>
      <w:r w:rsidR="007B3AC8" w:rsidRPr="005C227E">
        <w:rPr>
          <w:rFonts w:ascii="Book Antiqua" w:hAnsi="Book Antiqua" w:cs="Arial"/>
          <w:i/>
          <w:color w:val="000000" w:themeColor="text1"/>
          <w:sz w:val="24"/>
          <w:szCs w:val="24"/>
          <w:lang w:val="en-US"/>
        </w:rPr>
        <w:t>e.g.,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pioglitazone, metformin, vitamin E, pentoxyphilline, ursodeoxycholic acid). Suffice it to say that no drug intervention trial was able to demonstrate a benefit that would justify the wide spread use of the drug in NAFLD/</w:t>
      </w:r>
      <w:proofErr w:type="gram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NASH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45-47]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</w:t>
      </w:r>
      <w:r w:rsidR="0007336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We are not aware of </w:t>
      </w:r>
      <w:r w:rsidR="0007336C" w:rsidRPr="005C227E">
        <w:rPr>
          <w:rFonts w:ascii="Book Antiqua" w:hAnsi="Book Antiqua" w:cs="Arial"/>
          <w:color w:val="000000" w:themeColor="text1"/>
          <w:sz w:val="24"/>
          <w:szCs w:val="24"/>
          <w:lang w:val="en-GB"/>
        </w:rPr>
        <w:t xml:space="preserve">solid data on the effects on post liver transplant outcomes of treatment of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GB"/>
        </w:rPr>
        <w:t xml:space="preserve">insulin-resistance </w:t>
      </w:r>
      <w:r w:rsidR="0007336C" w:rsidRPr="005C227E">
        <w:rPr>
          <w:rFonts w:ascii="Book Antiqua" w:hAnsi="Book Antiqua" w:cs="Arial"/>
          <w:color w:val="000000" w:themeColor="text1"/>
          <w:sz w:val="24"/>
          <w:szCs w:val="24"/>
          <w:lang w:val="en-GB"/>
        </w:rPr>
        <w:t>prior to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GB"/>
        </w:rPr>
        <w:t xml:space="preserve"> liver transplantation in patients with NAFLD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. Thus, beyond life style measures and the control of risk </w:t>
      </w:r>
      <w:proofErr w:type="gram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factors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48]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there is currently no universally accepted medical therapy with proven efficacy available for NAFLD/NASH. </w:t>
      </w:r>
      <w:r w:rsidRPr="005C227E">
        <w:rPr>
          <w:rFonts w:ascii="Book Antiqua" w:hAnsi="Book Antiqua"/>
          <w:color w:val="000000" w:themeColor="text1"/>
          <w:sz w:val="24"/>
          <w:szCs w:val="24"/>
          <w:lang w:val="en-CA"/>
        </w:rPr>
        <w:t>Dietary modifications could affect the progress</w:t>
      </w:r>
      <w:r w:rsidR="008F06DD" w:rsidRPr="005C227E">
        <w:rPr>
          <w:rFonts w:ascii="Book Antiqua" w:hAnsi="Book Antiqua"/>
          <w:color w:val="000000" w:themeColor="text1"/>
          <w:sz w:val="24"/>
          <w:szCs w:val="24"/>
          <w:lang w:val="en-CA"/>
        </w:rPr>
        <w:t>ion</w:t>
      </w:r>
      <w:r w:rsidRPr="005C227E">
        <w:rPr>
          <w:rFonts w:ascii="Book Antiqua" w:hAnsi="Book Antiqua"/>
          <w:color w:val="000000" w:themeColor="text1"/>
          <w:sz w:val="24"/>
          <w:szCs w:val="24"/>
          <w:lang w:val="en-CA"/>
        </w:rPr>
        <w:t xml:space="preserve"> of NAFLD. In a recent study, </w:t>
      </w:r>
      <w:proofErr w:type="spellStart"/>
      <w:r w:rsidRPr="005C227E">
        <w:rPr>
          <w:rFonts w:ascii="Book Antiqua" w:hAnsi="Book Antiqua"/>
          <w:color w:val="000000" w:themeColor="text1"/>
          <w:sz w:val="24"/>
          <w:szCs w:val="24"/>
          <w:lang w:val="en-CA"/>
        </w:rPr>
        <w:t>Kontogianni</w:t>
      </w:r>
      <w:proofErr w:type="spellEnd"/>
      <w:r w:rsidRPr="005C227E">
        <w:rPr>
          <w:rFonts w:ascii="Book Antiqua" w:hAnsi="Book Antiqua"/>
          <w:color w:val="000000" w:themeColor="text1"/>
          <w:sz w:val="24"/>
          <w:szCs w:val="24"/>
          <w:lang w:val="en-CA"/>
        </w:rPr>
        <w:t xml:space="preserve"> </w:t>
      </w:r>
      <w:r w:rsidRPr="005C227E">
        <w:rPr>
          <w:rFonts w:ascii="Book Antiqua" w:hAnsi="Book Antiqua"/>
          <w:i/>
          <w:iCs/>
          <w:color w:val="000000" w:themeColor="text1"/>
          <w:sz w:val="24"/>
          <w:szCs w:val="24"/>
          <w:lang w:val="en-CA"/>
        </w:rPr>
        <w:t xml:space="preserve">et </w:t>
      </w:r>
      <w:proofErr w:type="gramStart"/>
      <w:r w:rsidRPr="005C227E">
        <w:rPr>
          <w:rFonts w:ascii="Book Antiqua" w:hAnsi="Book Antiqua"/>
          <w:i/>
          <w:iCs/>
          <w:color w:val="000000" w:themeColor="text1"/>
          <w:sz w:val="24"/>
          <w:szCs w:val="24"/>
          <w:lang w:val="en-CA"/>
        </w:rPr>
        <w:t>al</w:t>
      </w:r>
      <w:r w:rsidR="007B3AC8" w:rsidRPr="005C227E">
        <w:rPr>
          <w:rFonts w:ascii="Book Antiqua" w:hAnsi="Book Antiqua"/>
          <w:color w:val="000000" w:themeColor="text1"/>
          <w:sz w:val="24"/>
          <w:szCs w:val="24"/>
          <w:vertAlign w:val="superscript"/>
          <w:lang w:val="en-CA"/>
        </w:rPr>
        <w:t>[</w:t>
      </w:r>
      <w:proofErr w:type="gramEnd"/>
      <w:r w:rsidRPr="005C227E">
        <w:rPr>
          <w:rFonts w:ascii="Book Antiqua" w:hAnsi="Book Antiqua"/>
          <w:color w:val="000000" w:themeColor="text1"/>
          <w:sz w:val="24"/>
          <w:szCs w:val="24"/>
          <w:vertAlign w:val="superscript"/>
          <w:lang w:val="en-CA"/>
        </w:rPr>
        <w:t xml:space="preserve">49] </w:t>
      </w:r>
      <w:r w:rsidRPr="005C227E">
        <w:rPr>
          <w:rFonts w:ascii="Book Antiqua" w:hAnsi="Book Antiqua"/>
          <w:color w:val="000000" w:themeColor="text1"/>
          <w:sz w:val="24"/>
          <w:szCs w:val="24"/>
          <w:lang w:val="en-CA"/>
        </w:rPr>
        <w:t>found that patients with NAFLD adhering to a Mediterranean diet had less severe liver disease and lower degree of IR</w:t>
      </w:r>
      <w:r w:rsidRPr="005C227E">
        <w:rPr>
          <w:rFonts w:ascii="Book Antiqua" w:hAnsi="Book Antiqua"/>
          <w:color w:val="000000" w:themeColor="text1"/>
          <w:sz w:val="24"/>
          <w:szCs w:val="24"/>
          <w:vertAlign w:val="superscript"/>
          <w:lang w:val="en-CA"/>
        </w:rPr>
        <w:t>[49]</w:t>
      </w:r>
      <w:r w:rsidRPr="005C227E">
        <w:rPr>
          <w:rFonts w:ascii="Book Antiqua" w:hAnsi="Book Antiqua"/>
          <w:color w:val="000000" w:themeColor="text1"/>
          <w:sz w:val="24"/>
          <w:szCs w:val="24"/>
          <w:lang w:val="en-CA"/>
        </w:rPr>
        <w:t xml:space="preserve">. </w:t>
      </w:r>
      <w:r w:rsidR="007152C0" w:rsidRPr="005C227E">
        <w:rPr>
          <w:rFonts w:ascii="Book Antiqua" w:hAnsi="Book Antiqua"/>
          <w:color w:val="000000" w:themeColor="text1"/>
          <w:sz w:val="24"/>
          <w:szCs w:val="24"/>
          <w:lang w:val="en-CA"/>
        </w:rPr>
        <w:t>Additionally, t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he role of bariatric surgery at time of LT in patients with obesity and NASH related cirrhosis remains to be </w:t>
      </w:r>
      <w:proofErr w:type="gram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defined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Pr="005C227E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50]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</w:p>
    <w:p w:rsidR="005B552F" w:rsidRPr="005C227E" w:rsidRDefault="005B552F" w:rsidP="00705018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</w:p>
    <w:p w:rsidR="00126B7E" w:rsidRPr="005C227E" w:rsidRDefault="00277070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>CONCLUSION</w:t>
      </w:r>
    </w:p>
    <w:p w:rsidR="00EC5D1C" w:rsidRPr="005C227E" w:rsidRDefault="00617EBB" w:rsidP="00705018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NAFLD is expected to become the most </w:t>
      </w:r>
      <w:r w:rsidR="00C86259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common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indication for liver transplantation </w:t>
      </w:r>
      <w:r w:rsidR="000919D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within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next </w:t>
      </w:r>
      <w:r w:rsidR="000919D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1-2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decades</w:t>
      </w:r>
      <w:r w:rsidR="000919D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A91D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A9293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Despite the fact that recent studies have shed some light </w:t>
      </w:r>
      <w:r w:rsidR="000919D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on </w:t>
      </w:r>
      <w:r w:rsidR="00A9293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prevalence of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NAFLD</w:t>
      </w:r>
      <w:r w:rsidR="000919D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</w:t>
      </w:r>
      <w:r w:rsidR="000919D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patients awaiting LT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A9293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and </w:t>
      </w:r>
      <w:r w:rsidR="000919D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on </w:t>
      </w:r>
      <w:r w:rsidR="00A9293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the outcom</w:t>
      </w:r>
      <w:r w:rsidR="00A24AF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es of recipients </w:t>
      </w:r>
      <w:r w:rsidR="000919D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tr</w:t>
      </w:r>
      <w:r w:rsidR="00AB555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an</w:t>
      </w:r>
      <w:r w:rsidR="000919D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spl</w:t>
      </w:r>
      <w:r w:rsidR="00AB555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an</w:t>
      </w:r>
      <w:r w:rsidR="000919D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ted for NASH related cirrhosis</w:t>
      </w:r>
      <w:r w:rsidR="00A24AF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</w:t>
      </w:r>
      <w:r w:rsidR="000919D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many aspects remain ill defined</w:t>
      </w:r>
      <w:r w:rsidR="00AB555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 The latter include, but are not limited to,</w:t>
      </w:r>
      <w:r w:rsidR="000919D7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the proportion of patients with NASH cirrhosis </w:t>
      </w:r>
      <w:r w:rsidR="00AB555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that is a priori excluded from liver transplantation because of co-morbidities, as well as strategies allowing </w:t>
      </w:r>
      <w:proofErr w:type="gramStart"/>
      <w:r w:rsidR="00AB555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to prevent</w:t>
      </w:r>
      <w:proofErr w:type="gramEnd"/>
      <w:r w:rsidR="00CD1DD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AB555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increased CV and infection related morbidity and mortality in recipients transplanted for NASH. </w:t>
      </w:r>
      <w:r w:rsidR="00564C8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The latter include bariatric surgery at the time of LT</w:t>
      </w:r>
      <w:r w:rsidR="00DA111E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564C8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and attempt to tailor immunosuppressive regimens to the risk factor profile in NASH recipients. </w:t>
      </w:r>
      <w:r w:rsidR="00AB555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To a</w:t>
      </w:r>
      <w:r w:rsidR="00C20DA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ddress these and other issues, </w:t>
      </w:r>
      <w:r w:rsidR="00AB555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adequately powered, prospective, and whenever possible controlled trials will be required. </w:t>
      </w:r>
    </w:p>
    <w:p w:rsidR="00710B9C" w:rsidRPr="005C227E" w:rsidRDefault="00710B9C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 w:eastAsia="zh-CN"/>
        </w:rPr>
      </w:pPr>
    </w:p>
    <w:p w:rsidR="00DA111E" w:rsidRPr="005C227E" w:rsidRDefault="00B37A4B" w:rsidP="00462AEF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lastRenderedPageBreak/>
        <w:t>REFERENCES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Chalasani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N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Younossi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Z,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Lavine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JE, Diehl AM, Brunt EM,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Cusi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Charlton M,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Sanyal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AJ. The diagnosis and management of non-alcoholic fatty liver disease: practice Guideline by the American Association for the Study of Liver Diseases, American College of Gastroenterology, and the American Gastroenterological Association. 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55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2005-2023 [PMID: 22488764 DOI: 10.1002/hep.25762]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Lazo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Clark JM.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The epidemiology of nonalcoholic fatty liver disease: a global perspective. 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Semin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Liver Dis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28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339-350 [PMID: 18956290 DOI: 10.1055/s-0028-1091978]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Farrell GC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Larter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CZ. Nonalcoholic fatty liver disease: from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steatosis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to cirrhosis. 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43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S99-S112 [PMID: 16447287]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Targher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G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Day CP,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Bonora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E. Risk of cardiovascular disease in patients with nonalcoholic fatty liver disease.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N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Engl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Med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363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1341-1350 [PMID: 20879883 DOI: 10.1056/NEJMra0912063]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Rafiq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N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Bai C, Fang Y,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Srishord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McCullough A,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Gramlich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Younossi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ZM. </w:t>
      </w: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Long-term follow-up of patients with nonalcoholic fatty liver.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234-238 [PMID: 19049831 DOI: 10.1016/j.cgh.2008.11.005]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Vernon G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Baranova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Younossi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ZM.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Systematic review: the epidemiology and natural history of non-alcoholic fatty liver disease and non-alcoholic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steatohepatitis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adults.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Aliment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Pharmacol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Ther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34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274-285 [PMID: 21623852 DOI: 10.1111/j.1365-2036.2011.04724.x]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McCullough AJ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Pathophysiology of nonalcoholic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steatohepatitis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40 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Suppl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1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S17-S29 [PMID: 16540762]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Williams CD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Stengel J,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Asike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MI, Torres DM, Shaw J, Contreras M,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Landt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CL, Harrison SA. Prevalence of nonalcoholic fatty liver disease and nonalcoholic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steatohepatitis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among a largely middle-aged population utilizing ultrasound and liver biopsy: a prospective study.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Gastroenterology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140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124-131 [PMID: 20858492 DOI: 10.1053/j.gastro.2010.09.038]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Charlton MR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Burns JM, Pedersen RA, Watt KD,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Heimbach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JK,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Dierkhising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RA. </w:t>
      </w: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Frequency and outcomes of liver transplantation for nonalcoholic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steatohepatitis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the United States.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Gastroenterology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141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1249-1253 [PMID: 21726509 DOI: 10.1053/j.gastro.2011.06.061]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Kemmer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N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Neff GW, Franco E, Osman-Mohammed H, Leone J, Parkinson E,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Cece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Alsina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Nonalcoholic fatty liver disease epidemic and its implications for liver transplantation.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Transplantation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96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860-862 [PMID: 24247899 DOI: 10.1097/01.TP.0000436723.59879.01]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Caldwell SH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Oelsner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DH,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Iezzoni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JC,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Hespenheide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EE, Battle EH, Driscoll CJ. Cryptogenic cirrhosis: clinical characterization and risk factors for underlying disease. 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1999;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29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664-669 [PMID: 10051466]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Liou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I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Kowdley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KV. </w:t>
      </w: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Natural history of nonalcoholic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steatohepatitis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40 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Suppl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1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S11-S16 [PMID: 16540761]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McCormack L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Dutkowski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El-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Badry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AM,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Clavien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PA.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Liver transplantation using fatty livers: always feasible?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54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1055-1062 [PMID: 21145846 DOI: 10.1016/j.jhep.2010.11.004]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Angulo P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Nonalcoholic fatty liver disease and liver transplantation.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Liver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Transpl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523-534 [PMID: 16555318]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15 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de 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Graaf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EL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Kench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Dilworth P,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Shackel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NA,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Strasser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SI, Joseph D,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Pleass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Crawford M,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McCaughan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GW,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Verran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DJ. Grade of deceased donor liver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macrovesicular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steatosis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impacts graft and recipient outcomes more than the Donor Risk Index.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27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540-546 [PMID: 21777274 DOI: 10.1111/j.1440-1746.2011.06844.x]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16 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Spitzer AL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Lao OB, Dick AA,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Bakthavatsalam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Halldorson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JB,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Yeh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MM, Upton MP, Reyes JD, Perkins JD. The biopsied donor liver: incorporating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macrosteatosis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into high-risk donor assessment.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Liver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Transpl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874-884 [PMID: 20583086 DOI: 10.1002/lt.22085]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17 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Selzner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Rüdiger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HA,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Sindram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Madden J,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Clavien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PA. Mechanisms of ischemic injury are different in the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steatotic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normal rat liver. 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2000;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32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1280-1288 [PMID: 11093735]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18 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Selzner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Clavien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PA.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Failure of regeneration of the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steatotic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rat liver: disruption at two different levels in the regeneration pathway. 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2000;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31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35-42 [PMID: 10613725]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19 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Farrell GC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Teoh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NC,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McCuskey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RS.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Hepatic microcirculation in fatty liver disease.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Anat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Rec (Hoboken)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291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684-692 [PMID: 18484615 DOI: 10.1002/ar.20715]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20 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Selzner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N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Selzner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Jochum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Amann-Vesti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Graf R,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Clavien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PA. Mouse livers with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macrosteatosis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are more susceptible to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normothermic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ischemic injury than those with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microsteatosis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44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694-701 [PMID: 16229921]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21 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Dutkowski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Schlegel A,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Slankamenac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Oberkofler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CE, Adam R, Burroughs AK,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Schadde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Müllhaupt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Clavien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PA. The use of fatty liver grafts in modern allocation systems: risk assessment by the balance of risk (BAR) score.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Ann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256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861-88; discussion 861-88; [PMID: 23095632 DOI: 10.1097/SLA.0b013e318272dea2]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22 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Kwon CH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Joh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JW, Lee KW, Kim SJ, Han YS, Park JW, Kim DJ, Park JB, Lee SK. Safety of donors with fatty liver in liver transplantation.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Transplant Proc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38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2106-2107 [PMID: 16980014]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23 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Cho JY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Suh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KS, Kwon CH, Yi NJ, Lee KU.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Mild hepatic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steatosis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is not a major risk factor for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hepatectomy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regenerative power is not impaired.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Surgery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139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508-515 [PMID: 16627060]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24 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Yamamoto K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Takada Y, Fujimoto Y,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Haga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Oike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Kobayashi N, Tanaka K. Nonalcoholic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steatohepatitis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donors for living donor liver transplantation.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Transplantation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83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257-262 [PMID: 17297396]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25 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Ahn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JS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Sinn DH,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Gwak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GY, Kim JM, Kwon CH,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Joh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JW, Paik YH, Choi MS, Lee JH,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Koh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KC, Paik SW,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Yoo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BC.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Steatosis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among living liver donors without evidence of fatty liver on ultrasonography: potential implications for preoperative liver biopsy.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Transplantation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95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1404-1409 [PMID: 23542472 DOI: 10.1097/TP.0b013e31828d1588]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26 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Malik SM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deVera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ME,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Fontes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Shaikh O, Ahmad J. Outcome after liver transplantation for NASH cirrhosis.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Am J Transplant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782-793 [PMID: 19344467 DOI: 10.1111/j.1600-6143.2009.02590.x]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27 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Bhagat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V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Mindikoglu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AL,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Nudo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CG, Schiff ER,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Tzakis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Regev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Outcomes of liver transplantation in patients with cirrhosis due to nonalcoholic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steatohepatitis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versus patients with cirrhosis due to alcoholic liver disease.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Liver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Transpl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1814-1820 [PMID: 19938128 DOI: 10.1002/lt.21927]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28 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Barritt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AS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Dellon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ES, Kozlowski T, Gerber DA, Hayashi PH.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The influence of nonalcoholic fatty liver disease and its associated comorbidities on liver transplant 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outcomes.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45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372-378 [PMID: 20733515 DOI: 10.1097/MCG.0b013e3181eeaff0]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29 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Afzali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Berry K,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Ioannou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GN.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Excellent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posttransplant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survival for patients with nonalcoholic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steatohepatitis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the United States.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Liver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Transpl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18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29-37 [PMID: 21932374 DOI: 10.1002/lt.22435]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30 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Singal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AK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Guturu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Hmoud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Kuo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YF,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Salameh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Wiesner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RH. Evolving frequency and outcomes of liver transplantation based on etiology of liver disease.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Transplantation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95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755-760 [PMID: 23370710 DOI: 10.1097/TP.0b013e31827afb3a]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31 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Wang X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Li J,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Riaz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DR, Shi G, Liu C, Dai Y. Outcomes of liver transplantation for nonalcoholic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steatohepatitis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a systematic review and meta-analysis. 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394-402.e1 [PMID: 24076414 DOI: PII</w:t>
      </w: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]</w:t>
      </w:r>
      <w:proofErr w:type="gramEnd"/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32 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Vanwagner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LB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Bhave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HS,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Feinglass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Alvarez L,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Rinella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ME.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Patients transplanted for nonalcoholic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steatohepatitis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are at increased risk for postoperative cardiovascular events. 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56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1741-1750 [PMID: 22611040 DOI: 10.1002/hep.25855]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33 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Yalamanchili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K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Saadeh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Klintmalm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GB, Jennings LW, Davis GL. Nonalcoholic fatty liver disease after liver transplantation for cryptogenic cirrhosis or nonalcoholic fatty liver disease.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Liver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Transpl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431-439 [PMID: 20373454 DOI: 10.1002/lt.22004]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34 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Dureja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Mellinger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Agni R, Chang F,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Avey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Lucey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Said A. NAFLD recurrence in liver transplant recipients.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Transplantation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91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684-689 [PMID: 21248661 DOI: 10.1097/TP.0b013e31820b6b84]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35 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Watt KD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Charlton MR. Metabolic syndrome and liver transplantation: a review and guide to management.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53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199-206 [PMID: 20451282 DOI: 10.1016/j.jhep.2010.01.040]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36 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Pagadala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Dasarathy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Eghtesad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McCullough AJ.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Posttransplant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metabolic syndrome: an epidemic waiting to happen.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Liver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Transpl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1662-1670 [PMID: 19938136 DOI: 10.1002/lt.21952]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37 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Laish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I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Braun M,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Sulkes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Harif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Ben Ari Z. Metabolic syndrome in liver transplant recipients: prevalence, risk factors, and association with cardiovascular events.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Liver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Transpl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15-22 [PMID: 21254340 DOI: 10.1002/lt.22198]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38 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Sprinzl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MF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Weinmann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Lohse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Tönissen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Koch S,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Schattenberg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Hoppe-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Lotichius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Zimmermann T, Galle PR, Hansen T, Otto G,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Schuchmann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Metabolic syndrome and its association with fatty liver disease after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orthotopic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liver transplantation. 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Transpl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26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67-74 [PMID: 23126674 DOI: 10.1111/j.1432-2277.2012.01576.x]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39 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Seo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Maganti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Khehra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Ramsamooj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Tsodikov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Bowlus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McVicar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Zern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Torok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N. De novo nonalcoholic fatty liver disease after liver transplantation.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Liver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Transpl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844-847 [PMID: 17029282]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40 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Lim LG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Cheng CL, Wee A, Lim SG, Lee YM,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Sutedja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DS, Da Costa M,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Prabhakaran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Wai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CT. Prevalence and clinical associations of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posttransplant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fatty liver disease.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Liver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27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76-80 [PMID: 17241384]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41 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Dumortier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Giostra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Belbouab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Morard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Guillaud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Spahr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Boillot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O, Rubbia-Brandt L,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Scoazec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JY,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Hadengue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Non-alcoholic fatty liver disease in liver transplant recipients: another story of "seed and soil".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Am J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105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613-620 [PMID: 20040915 DOI: 10.1038/ajg.2009.717]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42 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Rotman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Y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Koh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Zmuda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JM,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Kleiner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DE, Liang TJ. </w:t>
      </w: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The association of genetic variability in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patatin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-like phospholipase domain-containing protein 3 (PNPLA3) with histological severity of nonalcoholic fatty liver disease.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52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894-903 [PMID: 20684021 DOI: 10.1002/hep.23759]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43 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Finkenstedt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Auer C,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Glodny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Posch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Steitzer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Lanzer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Pratschke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Biebl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Steurer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Graziadei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Vogel W,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Zoller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H.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Patatin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-like phospholipase domain-containing protein 3 rs738409-G in recipients of liver transplants is a risk factor for graft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steatosis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1667-1672 [PMID: 23872669 DOI: 10.1016/j.cgh.2013.06.025]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44 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Watt KD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Dierkhising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Fan C,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Heimbach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JK, Tillman H, Goldstein D, Thompson A, Krishnan A, Charlton MR. Investigation of PNPLA3 and IL28B genotypes on diabetes and obesity after liver transplantation: insight into mechanisms of disease.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Am J Transplant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2450-2457 [PMID: 23859071 DOI: 10.1111/ajt.12355]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45 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Charlton M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. Evolving aspects of liver transplantation for nonalcoholic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steatohepatitis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Curr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Opin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Organ Transplant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18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251-258 [PMID: 23652610 DOI: 10.1097/MOT.0b013e3283615d30]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46 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Van Wagner LB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Rinella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ME.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The role of insulin-sensitizing agents in the treatment of nonalcoholic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steatohepatitis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Therap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Adv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249-263 [PMID: 21765869]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47 </w:t>
      </w:r>
      <w:proofErr w:type="spellStart"/>
      <w:r w:rsidRPr="0031388D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Satapathy</w:t>
      </w:r>
      <w:proofErr w:type="spellEnd"/>
      <w:r w:rsidRPr="0031388D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SK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Nair S,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Vanatta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JM. </w:t>
      </w: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Nonalcoholic fatty liver disease following liver transplantation.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1388D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Hepatol</w:t>
      </w:r>
      <w:proofErr w:type="spellEnd"/>
      <w:r w:rsidRPr="0031388D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1388D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Int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2013; </w:t>
      </w:r>
      <w:r w:rsidRPr="0031388D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7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400-412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48 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Newsome PN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Allison ME, Andrews PA,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Auzinger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Day CP, Ferguson JW,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Henriksen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PA,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Hubscher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SG, Manley H, McKiernan PJ,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Millson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Mirza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Neuberger JM,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Oben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Pollard S, Simpson KJ,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Thorburn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Tomlinson JW, Wyatt JS. </w:t>
      </w: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Guidelines for liver transplantation for patients with non-alcoholic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steatohepatitis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Gut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61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484-500 [PMID: 22234978 DOI: 10.1136/gutjnl-2011-300886]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49 </w:t>
      </w:r>
      <w:r w:rsidRPr="005C227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Kontogianni MD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Tileli N, Margariti A, Georgoulis M, Deutsch M, Tiniakos D, Fragopoulou E, Zafiropoulou R, Manios Y, Papatheodoridis G. Adherence to the Mediterranean diet is associated with the severity of non-alcoholic fatty liver disease. 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Nutr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proofErr w:type="gramStart"/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In</w:t>
      </w:r>
      <w:proofErr w:type="gramEnd"/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 press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[PMID: 24064253 DOI: 10.1016/j.clnu.2013.08.014]</w:t>
      </w:r>
    </w:p>
    <w:p w:rsidR="005C227E" w:rsidRPr="005C227E" w:rsidRDefault="005C227E" w:rsidP="005C227E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50 </w:t>
      </w:r>
      <w:proofErr w:type="spellStart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Heimbach</w:t>
      </w:r>
      <w:proofErr w:type="spellEnd"/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JK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Watt KD,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Poterucha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JJ,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Ziller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NF,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Cecco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SD, Charlton MR, Hay JE, </w:t>
      </w:r>
      <w:proofErr w:type="spell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Wiesner</w:t>
      </w:r>
      <w:proofErr w:type="spell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RH, Sanchez W, Rosen CB, Swain JM. </w:t>
      </w:r>
      <w:proofErr w:type="gramStart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Combined liver transplantation and gastric sleeve resection for patients with medically complicated obesity and end-stage liver disease.</w:t>
      </w:r>
      <w:proofErr w:type="gramEnd"/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5C227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Am J Transplant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5C227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</w:t>
      </w:r>
      <w:r w:rsidRPr="005C22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363-368 [PMID: 23137119 DOI: 10.1111/j.1600-6143.2012.04318.x</w:t>
      </w:r>
      <w:r w:rsidR="0031388D" w:rsidRPr="0031388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]</w:t>
      </w:r>
    </w:p>
    <w:p w:rsidR="00DA111E" w:rsidRPr="005C227E" w:rsidRDefault="00DA111E" w:rsidP="00705018">
      <w:pPr>
        <w:pStyle w:val="HTML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sz w:val="24"/>
          <w:szCs w:val="24"/>
          <w:lang w:val="en-US" w:eastAsia="zh-CN"/>
        </w:rPr>
      </w:pPr>
    </w:p>
    <w:p w:rsidR="00863FD4" w:rsidRDefault="0031388D" w:rsidP="0031388D">
      <w:pPr>
        <w:tabs>
          <w:tab w:val="left" w:pos="180"/>
          <w:tab w:val="left" w:pos="360"/>
        </w:tabs>
        <w:adjustRightInd w:val="0"/>
        <w:snapToGrid w:val="0"/>
        <w:spacing w:line="360" w:lineRule="auto"/>
        <w:jc w:val="right"/>
        <w:rPr>
          <w:rFonts w:ascii="Book Antiqua" w:hAnsi="Book Antiqua" w:cs="Tahoma"/>
          <w:b/>
          <w:color w:val="000000"/>
          <w:sz w:val="24"/>
          <w:lang w:eastAsia="zh-CN"/>
        </w:rPr>
      </w:pPr>
      <w:bookmarkStart w:id="192" w:name="OLE_LINK874"/>
      <w:bookmarkStart w:id="193" w:name="OLE_LINK875"/>
      <w:bookmarkStart w:id="194" w:name="OLE_LINK347"/>
      <w:bookmarkStart w:id="195" w:name="OLE_LINK384"/>
      <w:bookmarkStart w:id="196" w:name="OLE_LINK557"/>
      <w:bookmarkStart w:id="197" w:name="OLE_LINK558"/>
      <w:bookmarkStart w:id="198" w:name="OLE_LINK631"/>
      <w:bookmarkStart w:id="199" w:name="OLE_LINK632"/>
      <w:bookmarkStart w:id="200" w:name="OLE_LINK386"/>
      <w:bookmarkStart w:id="201" w:name="OLE_LINK431"/>
      <w:bookmarkStart w:id="202" w:name="OLE_LINK564"/>
      <w:bookmarkStart w:id="203" w:name="OLE_LINK493"/>
      <w:bookmarkStart w:id="204" w:name="OLE_LINK442"/>
      <w:bookmarkStart w:id="205" w:name="OLE_LINK551"/>
      <w:bookmarkStart w:id="206" w:name="OLE_LINK668"/>
      <w:bookmarkStart w:id="207" w:name="OLE_LINK669"/>
      <w:bookmarkStart w:id="208" w:name="OLE_LINK725"/>
      <w:bookmarkStart w:id="209" w:name="OLE_LINK489"/>
      <w:bookmarkStart w:id="210" w:name="OLE_LINK602"/>
      <w:bookmarkStart w:id="211" w:name="OLE_LINK658"/>
      <w:bookmarkStart w:id="212" w:name="OLE_LINK747"/>
      <w:bookmarkStart w:id="213" w:name="OLE_LINK897"/>
      <w:bookmarkStart w:id="214" w:name="OLE_LINK1138"/>
      <w:bookmarkStart w:id="215" w:name="OLE_LINK1139"/>
      <w:bookmarkStart w:id="216" w:name="OLE_LINK882"/>
      <w:bookmarkStart w:id="217" w:name="OLE_LINK1095"/>
      <w:bookmarkStart w:id="218" w:name="OLE_LINK1305"/>
      <w:bookmarkStart w:id="219" w:name="OLE_LINK1390"/>
      <w:bookmarkStart w:id="220" w:name="OLE_LINK964"/>
      <w:bookmarkStart w:id="221" w:name="OLE_LINK1190"/>
      <w:bookmarkStart w:id="222" w:name="OLE_LINK1314"/>
      <w:bookmarkStart w:id="223" w:name="OLE_LINK1031"/>
      <w:bookmarkStart w:id="224" w:name="OLE_LINK1092"/>
      <w:bookmarkStart w:id="225" w:name="OLE_LINK1258"/>
      <w:bookmarkStart w:id="226" w:name="OLE_LINK1259"/>
      <w:bookmarkStart w:id="227" w:name="OLE_LINK1337"/>
      <w:bookmarkStart w:id="228" w:name="OLE_LINK1338"/>
      <w:bookmarkStart w:id="229" w:name="OLE_LINK1363"/>
      <w:bookmarkStart w:id="230" w:name="OLE_LINK1364"/>
      <w:bookmarkStart w:id="231" w:name="OLE_LINK86"/>
      <w:bookmarkStart w:id="232" w:name="OLE_LINK1595"/>
      <w:bookmarkStart w:id="233" w:name="OLE_LINK1613"/>
      <w:bookmarkStart w:id="234" w:name="OLE_LINK1708"/>
      <w:bookmarkStart w:id="235" w:name="OLE_LINK1774"/>
      <w:bookmarkStart w:id="236" w:name="OLE_LINK1872"/>
      <w:bookmarkStart w:id="237" w:name="OLE_LINK1899"/>
      <w:bookmarkStart w:id="238" w:name="OLE_LINK1492"/>
      <w:bookmarkStart w:id="239" w:name="OLE_LINK1497"/>
      <w:bookmarkStart w:id="240" w:name="OLE_LINK1498"/>
      <w:bookmarkStart w:id="241" w:name="OLE_LINK1589"/>
      <w:bookmarkStart w:id="242" w:name="OLE_LINK1666"/>
      <w:bookmarkStart w:id="243" w:name="OLE_LINK1752"/>
      <w:bookmarkStart w:id="244" w:name="OLE_LINK1616"/>
      <w:bookmarkStart w:id="245" w:name="OLE_LINK1696"/>
      <w:bookmarkStart w:id="246" w:name="OLE_LINK1855"/>
      <w:bookmarkStart w:id="247" w:name="OLE_LINK1942"/>
      <w:bookmarkStart w:id="248" w:name="OLE_LINK1943"/>
      <w:bookmarkStart w:id="249" w:name="OLE_LINK1573"/>
      <w:bookmarkStart w:id="250" w:name="OLE_LINK1574"/>
      <w:bookmarkStart w:id="251" w:name="OLE_LINK1575"/>
      <w:bookmarkStart w:id="252" w:name="OLE_LINK1739"/>
      <w:bookmarkStart w:id="253" w:name="OLE_LINK1761"/>
      <w:bookmarkStart w:id="254" w:name="OLE_LINK1743"/>
      <w:bookmarkStart w:id="255" w:name="OLE_LINK1841"/>
      <w:bookmarkStart w:id="256" w:name="OLE_LINK1858"/>
      <w:bookmarkStart w:id="257" w:name="OLE_LINK1890"/>
      <w:bookmarkStart w:id="258" w:name="OLE_LINK1915"/>
      <w:bookmarkStart w:id="259" w:name="OLE_LINK1980"/>
      <w:bookmarkStart w:id="260" w:name="OLE_LINK1883"/>
      <w:bookmarkStart w:id="261" w:name="OLE_LINK1935"/>
      <w:bookmarkStart w:id="262" w:name="OLE_LINK1936"/>
      <w:bookmarkStart w:id="263" w:name="OLE_LINK1952"/>
      <w:bookmarkStart w:id="264" w:name="OLE_LINK1953"/>
      <w:bookmarkStart w:id="265" w:name="OLE_LINK1999"/>
      <w:bookmarkStart w:id="266" w:name="OLE_LINK2050"/>
      <w:bookmarkStart w:id="267" w:name="OLE_LINK1862"/>
      <w:bookmarkStart w:id="268" w:name="OLE_LINK1963"/>
      <w:bookmarkStart w:id="269" w:name="OLE_LINK2052"/>
      <w:bookmarkStart w:id="270" w:name="OLE_LINK1906"/>
      <w:bookmarkStart w:id="271" w:name="OLE_LINK2031"/>
      <w:bookmarkStart w:id="272" w:name="OLE_LINK2032"/>
      <w:bookmarkStart w:id="273" w:name="OLE_LINK1907"/>
      <w:bookmarkStart w:id="274" w:name="OLE_LINK2004"/>
      <w:bookmarkStart w:id="275" w:name="OLE_LINK2238"/>
      <w:bookmarkStart w:id="276" w:name="OLE_LINK2239"/>
      <w:bookmarkStart w:id="277" w:name="OLE_LINK2163"/>
      <w:bookmarkStart w:id="278" w:name="OLE_LINK2207"/>
      <w:bookmarkStart w:id="279" w:name="OLE_LINK2341"/>
      <w:bookmarkStart w:id="280" w:name="OLE_LINK2417"/>
      <w:bookmarkStart w:id="281" w:name="OLE_LINK2509"/>
      <w:bookmarkStart w:id="282" w:name="OLE_LINK2510"/>
      <w:bookmarkStart w:id="283" w:name="OLE_LINK2511"/>
      <w:bookmarkStart w:id="284" w:name="OLE_LINK2512"/>
      <w:bookmarkStart w:id="285" w:name="OLE_LINK2513"/>
      <w:bookmarkStart w:id="286" w:name="OLE_LINK2514"/>
      <w:bookmarkStart w:id="287" w:name="OLE_LINK2515"/>
      <w:bookmarkStart w:id="288" w:name="OLE_LINK2516"/>
      <w:bookmarkStart w:id="289" w:name="OLE_LINK2517"/>
      <w:bookmarkStart w:id="290" w:name="OLE_LINK2518"/>
      <w:bookmarkStart w:id="291" w:name="OLE_LINK2519"/>
      <w:bookmarkStart w:id="292" w:name="OLE_LINK2520"/>
      <w:bookmarkStart w:id="293" w:name="OLE_LINK2521"/>
      <w:bookmarkStart w:id="294" w:name="OLE_LINK2522"/>
      <w:bookmarkStart w:id="295" w:name="OLE_LINK2523"/>
      <w:bookmarkStart w:id="296" w:name="OLE_LINK2524"/>
      <w:bookmarkStart w:id="297" w:name="OLE_LINK2051"/>
      <w:bookmarkStart w:id="298" w:name="OLE_LINK2109"/>
      <w:bookmarkStart w:id="299" w:name="OLE_LINK2165"/>
      <w:bookmarkStart w:id="300" w:name="OLE_LINK2385"/>
      <w:bookmarkStart w:id="301" w:name="OLE_LINK2593"/>
      <w:bookmarkStart w:id="302" w:name="OLE_LINK2332"/>
      <w:bookmarkStart w:id="303" w:name="OLE_LINK2448"/>
      <w:bookmarkStart w:id="304" w:name="OLE_LINK2525"/>
      <w:bookmarkStart w:id="305" w:name="OLE_LINK2506"/>
      <w:bookmarkStart w:id="306" w:name="OLE_LINK2507"/>
      <w:bookmarkStart w:id="307" w:name="OLE_LINK2291"/>
      <w:bookmarkStart w:id="308" w:name="OLE_LINK2294"/>
      <w:bookmarkStart w:id="309" w:name="OLE_LINK2298"/>
      <w:bookmarkStart w:id="310" w:name="OLE_LINK2300"/>
      <w:bookmarkStart w:id="311" w:name="OLE_LINK2301"/>
      <w:bookmarkStart w:id="312" w:name="OLE_LINK2546"/>
      <w:bookmarkStart w:id="313" w:name="OLE_LINK2756"/>
      <w:bookmarkStart w:id="314" w:name="OLE_LINK2757"/>
      <w:bookmarkStart w:id="315" w:name="OLE_LINK2736"/>
      <w:bookmarkStart w:id="316" w:name="OLE_LINK2923"/>
      <w:bookmarkStart w:id="317" w:name="OLE_LINK2974"/>
      <w:bookmarkStart w:id="318" w:name="OLE_LINK3125"/>
      <w:bookmarkStart w:id="319" w:name="OLE_LINK3218"/>
      <w:bookmarkStart w:id="320" w:name="OLE_LINK2575"/>
      <w:bookmarkStart w:id="321" w:name="OLE_LINK2687"/>
      <w:bookmarkStart w:id="322" w:name="OLE_LINK2688"/>
      <w:bookmarkStart w:id="323" w:name="OLE_LINK2700"/>
      <w:bookmarkStart w:id="324" w:name="OLE_LINK2576"/>
      <w:bookmarkStart w:id="325" w:name="OLE_LINK2674"/>
      <w:bookmarkStart w:id="326" w:name="OLE_LINK2738"/>
      <w:bookmarkStart w:id="327" w:name="OLE_LINK2983"/>
      <w:bookmarkStart w:id="328" w:name="OLE_LINK76"/>
      <w:bookmarkStart w:id="329" w:name="OLE_LINK115"/>
      <w:bookmarkStart w:id="330" w:name="OLE_LINK155"/>
      <w:r w:rsidRPr="00C56046">
        <w:rPr>
          <w:rFonts w:ascii="Book Antiqua" w:hAnsi="Book Antiqua" w:cs="Tahoma"/>
          <w:b/>
          <w:color w:val="000000"/>
          <w:sz w:val="24"/>
        </w:rPr>
        <w:t>P-Reviewer</w:t>
      </w:r>
      <w:r>
        <w:rPr>
          <w:rFonts w:ascii="Book Antiqua" w:hAnsi="Book Antiqua" w:cs="Tahoma" w:hint="eastAsia"/>
          <w:b/>
          <w:color w:val="000000"/>
          <w:sz w:val="24"/>
        </w:rPr>
        <w:t>s:</w:t>
      </w:r>
      <w:r w:rsidR="00863FD4">
        <w:rPr>
          <w:rFonts w:ascii="Book Antiqua" w:hAnsi="Book Antiqua" w:cs="Tahoma" w:hint="eastAsia"/>
          <w:b/>
          <w:color w:val="000000"/>
          <w:sz w:val="24"/>
          <w:lang w:eastAsia="zh-CN"/>
        </w:rPr>
        <w:t xml:space="preserve"> </w:t>
      </w:r>
      <w:r w:rsidR="00863FD4" w:rsidRPr="00863FD4">
        <w:rPr>
          <w:rFonts w:ascii="Book Antiqua" w:hAnsi="Book Antiqua" w:cs="Tahoma"/>
          <w:color w:val="000000"/>
          <w:sz w:val="24"/>
          <w:lang w:eastAsia="zh-CN"/>
        </w:rPr>
        <w:t>Abenavoli L, Mikolasevic I, Navarro-Jarabo JM</w:t>
      </w:r>
      <w:r w:rsidRPr="00C56046">
        <w:rPr>
          <w:rFonts w:ascii="Book Antiqua" w:hAnsi="Book Antiqua" w:cs="Tahoma"/>
          <w:b/>
          <w:color w:val="000000"/>
          <w:sz w:val="24"/>
        </w:rPr>
        <w:t xml:space="preserve"> S-Editor</w:t>
      </w:r>
      <w:r>
        <w:rPr>
          <w:rFonts w:ascii="Book Antiqua" w:hAnsi="Book Antiqua" w:cs="Tahoma" w:hint="eastAsia"/>
          <w:b/>
          <w:color w:val="000000"/>
          <w:sz w:val="24"/>
        </w:rPr>
        <w:t>:</w:t>
      </w:r>
      <w:r w:rsidRPr="00C56046">
        <w:rPr>
          <w:rFonts w:ascii="Book Antiqua" w:hAnsi="Book Antiqua" w:cs="Tahoma"/>
          <w:b/>
          <w:color w:val="000000"/>
          <w:sz w:val="24"/>
        </w:rPr>
        <w:t xml:space="preserve"> </w:t>
      </w:r>
      <w:r w:rsidRPr="00C56046">
        <w:rPr>
          <w:rFonts w:ascii="Book Antiqua" w:hAnsi="Book Antiqua" w:cs="Tahoma"/>
          <w:color w:val="000000"/>
          <w:sz w:val="24"/>
        </w:rPr>
        <w:t xml:space="preserve">Gou SX </w:t>
      </w:r>
      <w:r w:rsidRPr="00C56046">
        <w:rPr>
          <w:rFonts w:ascii="Book Antiqua" w:hAnsi="Book Antiqua" w:cs="Tahoma"/>
          <w:b/>
          <w:color w:val="000000"/>
          <w:sz w:val="24"/>
        </w:rPr>
        <w:t xml:space="preserve">  </w:t>
      </w:r>
    </w:p>
    <w:p w:rsidR="0031388D" w:rsidRPr="00C56046" w:rsidRDefault="0031388D" w:rsidP="0031388D">
      <w:pPr>
        <w:tabs>
          <w:tab w:val="left" w:pos="180"/>
          <w:tab w:val="left" w:pos="360"/>
        </w:tabs>
        <w:adjustRightInd w:val="0"/>
        <w:snapToGrid w:val="0"/>
        <w:spacing w:line="360" w:lineRule="auto"/>
        <w:jc w:val="right"/>
        <w:rPr>
          <w:rFonts w:ascii="Book Antiqua" w:hAnsi="Book Antiqua" w:cs="Tahoma"/>
          <w:b/>
          <w:color w:val="000000"/>
          <w:sz w:val="24"/>
        </w:rPr>
      </w:pPr>
      <w:r w:rsidRPr="00C56046">
        <w:rPr>
          <w:rFonts w:ascii="Book Antiqua" w:hAnsi="Book Antiqua" w:cs="Tahoma"/>
          <w:b/>
          <w:color w:val="000000"/>
          <w:sz w:val="24"/>
        </w:rPr>
        <w:t>L-Editor</w:t>
      </w:r>
      <w:r>
        <w:rPr>
          <w:rFonts w:ascii="Book Antiqua" w:hAnsi="Book Antiqua" w:cs="Tahoma" w:hint="eastAsia"/>
          <w:b/>
          <w:color w:val="000000"/>
          <w:sz w:val="24"/>
        </w:rPr>
        <w:t>:</w:t>
      </w:r>
      <w:r w:rsidRPr="00C56046">
        <w:rPr>
          <w:rFonts w:ascii="Book Antiqua" w:hAnsi="Book Antiqua" w:cs="Tahoma"/>
          <w:b/>
          <w:color w:val="000000"/>
          <w:sz w:val="24"/>
        </w:rPr>
        <w:t xml:space="preserve">    E-Edito</w:t>
      </w:r>
      <w:bookmarkEnd w:id="192"/>
      <w:bookmarkEnd w:id="193"/>
      <w:r w:rsidRPr="00C56046">
        <w:rPr>
          <w:rFonts w:ascii="Book Antiqua" w:hAnsi="Book Antiqua" w:cs="Tahoma"/>
          <w:b/>
          <w:color w:val="000000"/>
          <w:sz w:val="24"/>
        </w:rPr>
        <w:t>r</w:t>
      </w:r>
      <w:r>
        <w:rPr>
          <w:rFonts w:ascii="Book Antiqua" w:hAnsi="Book Antiqua" w:cs="Tahoma" w:hint="eastAsia"/>
          <w:b/>
          <w:color w:val="000000"/>
          <w:sz w:val="24"/>
        </w:rPr>
        <w:t>:</w:t>
      </w:r>
    </w:p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p w:rsidR="00DA111E" w:rsidRPr="005C227E" w:rsidRDefault="00DA111E" w:rsidP="00705018">
      <w:pPr>
        <w:pStyle w:val="HTML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:rsidR="00DA111E" w:rsidRPr="005C227E" w:rsidRDefault="00DA111E" w:rsidP="00705018">
      <w:pPr>
        <w:pStyle w:val="HTML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:rsidR="00DA111E" w:rsidRPr="005C227E" w:rsidRDefault="00DA111E" w:rsidP="00705018">
      <w:pPr>
        <w:pStyle w:val="HTML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:rsidR="00462AEF" w:rsidRPr="005C227E" w:rsidRDefault="00462AEF" w:rsidP="00705018">
      <w:pPr>
        <w:snapToGrid w:val="0"/>
        <w:spacing w:after="0" w:line="360" w:lineRule="auto"/>
        <w:jc w:val="both"/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zh-CN" w:bidi="hi-IN"/>
        </w:rPr>
      </w:pPr>
    </w:p>
    <w:p w:rsidR="00462AEF" w:rsidRPr="005C227E" w:rsidRDefault="00462AEF" w:rsidP="00705018">
      <w:pPr>
        <w:snapToGrid w:val="0"/>
        <w:spacing w:after="0" w:line="360" w:lineRule="auto"/>
        <w:jc w:val="both"/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zh-CN" w:bidi="hi-IN"/>
        </w:rPr>
      </w:pPr>
    </w:p>
    <w:p w:rsidR="00714E4F" w:rsidRPr="005C227E" w:rsidRDefault="0031388D" w:rsidP="00714E4F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  <w:r w:rsidRPr="0031388D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9.35pt;height:269.85pt" o:ole="">
            <v:imagedata r:id="rId10" o:title=""/>
          </v:shape>
          <o:OLEObject Type="Embed" ProgID="PowerPoint.Slide.12" ShapeID="_x0000_i1026" DrawAspect="Content" ObjectID="_1464239462" r:id="rId11"/>
        </w:object>
      </w:r>
    </w:p>
    <w:p w:rsidR="00714E4F" w:rsidRPr="005C227E" w:rsidRDefault="00714E4F" w:rsidP="00714E4F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</w:pPr>
      <w:proofErr w:type="gramStart"/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>Figure 1 Natural history of the nonalcoh</w:t>
      </w:r>
      <w:r w:rsidR="008F09AC"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>olic fatty liver disease</w:t>
      </w:r>
      <w:r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>.</w:t>
      </w:r>
      <w:proofErr w:type="gramEnd"/>
      <w:r w:rsidR="008F09AC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NAFL: </w:t>
      </w:r>
      <w:r w:rsidR="008F09A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onalcoholic fatty liver</w:t>
      </w:r>
      <w:r w:rsidR="008F09AC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;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NASH: </w:t>
      </w:r>
      <w:r w:rsidR="008F09A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onalcoholic </w:t>
      </w:r>
      <w:proofErr w:type="spell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steatohepatitis</w:t>
      </w:r>
      <w:proofErr w:type="spellEnd"/>
      <w:r w:rsidR="008F09AC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;</w:t>
      </w:r>
      <w:r w:rsidR="008F09A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HCC: </w:t>
      </w:r>
      <w:r w:rsidR="008F09AC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H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epatocellular carcinoma</w:t>
      </w:r>
      <w:r w:rsidR="008F09AC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; NA</w:t>
      </w:r>
      <w:r w:rsidR="001121EA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FLD: </w:t>
      </w:r>
      <w:r w:rsidR="001121EA" w:rsidRPr="005C227E">
        <w:rPr>
          <w:rFonts w:ascii="Book Antiqua" w:hAnsi="Book Antiqua" w:cs="Arial"/>
          <w:bCs/>
          <w:color w:val="000000" w:themeColor="text1"/>
          <w:sz w:val="24"/>
          <w:szCs w:val="24"/>
          <w:lang w:val="en-US"/>
        </w:rPr>
        <w:t>N</w:t>
      </w:r>
      <w:r w:rsidR="008F09AC" w:rsidRPr="005C227E">
        <w:rPr>
          <w:rFonts w:ascii="Book Antiqua" w:hAnsi="Book Antiqua" w:cs="Arial"/>
          <w:bCs/>
          <w:color w:val="000000" w:themeColor="text1"/>
          <w:sz w:val="24"/>
          <w:szCs w:val="24"/>
          <w:lang w:val="en-US"/>
        </w:rPr>
        <w:t>onalcoholic fatty liver disease</w:t>
      </w:r>
      <w:r w:rsidR="001121EA" w:rsidRPr="005C227E">
        <w:rPr>
          <w:rFonts w:ascii="Book Antiqua" w:hAnsi="Book Antiqua" w:cs="Arial"/>
          <w:bCs/>
          <w:color w:val="000000" w:themeColor="text1"/>
          <w:sz w:val="24"/>
          <w:szCs w:val="24"/>
          <w:lang w:val="en-US" w:eastAsia="zh-CN"/>
        </w:rPr>
        <w:t>.</w:t>
      </w:r>
    </w:p>
    <w:p w:rsidR="00714E4F" w:rsidRPr="005C227E" w:rsidRDefault="0031388D" w:rsidP="00714E4F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31388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object w:dxaOrig="7181" w:dyaOrig="5401">
          <v:shape id="_x0000_i1027" type="#_x0000_t75" style="width:359.35pt;height:269.85pt" o:ole="">
            <v:imagedata r:id="rId12" o:title=""/>
          </v:shape>
          <o:OLEObject Type="Embed" ProgID="PowerPoint.Slide.12" ShapeID="_x0000_i1027" DrawAspect="Content" ObjectID="_1464239463" r:id="rId13"/>
        </w:object>
      </w:r>
    </w:p>
    <w:p w:rsidR="00714E4F" w:rsidRPr="005C227E" w:rsidRDefault="00714E4F" w:rsidP="00714E4F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</w:p>
    <w:p w:rsidR="001121EA" w:rsidRPr="005C227E" w:rsidRDefault="00714E4F" w:rsidP="001121EA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</w:pPr>
      <w:r w:rsidRPr="005C227E"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el-GR" w:bidi="hi-IN"/>
        </w:rPr>
        <w:lastRenderedPageBreak/>
        <w:t xml:space="preserve">Figure 2 </w:t>
      </w:r>
      <w:r w:rsidR="00B31624" w:rsidRPr="005C227E"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el-GR" w:bidi="hi-IN"/>
        </w:rPr>
        <w:t xml:space="preserve">Impact </w:t>
      </w:r>
      <w:r w:rsidRPr="005C227E"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el-GR" w:bidi="hi-IN"/>
        </w:rPr>
        <w:t xml:space="preserve">of </w:t>
      </w:r>
      <w:r w:rsidR="001121EA" w:rsidRPr="005C227E"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  <w:t>nonalcoholic fatty liver disease</w:t>
      </w:r>
      <w:r w:rsidRPr="005C227E"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el-GR" w:bidi="hi-IN"/>
        </w:rPr>
        <w:t>/</w:t>
      </w:r>
      <w:r w:rsidR="001121EA" w:rsidRPr="005C227E">
        <w:rPr>
          <w:rFonts w:ascii="Book Antiqua" w:hAnsi="Book Antiqua" w:cs="Arial"/>
          <w:b/>
          <w:color w:val="000000" w:themeColor="text1"/>
          <w:sz w:val="24"/>
          <w:szCs w:val="24"/>
          <w:lang w:val="en-US"/>
        </w:rPr>
        <w:t xml:space="preserve">nonalcoholic </w:t>
      </w:r>
      <w:proofErr w:type="spellStart"/>
      <w:r w:rsidR="001121EA" w:rsidRPr="005C227E">
        <w:rPr>
          <w:rFonts w:ascii="Book Antiqua" w:hAnsi="Book Antiqua" w:cs="Arial"/>
          <w:b/>
          <w:color w:val="000000" w:themeColor="text1"/>
          <w:sz w:val="24"/>
          <w:szCs w:val="24"/>
          <w:lang w:val="en-US"/>
        </w:rPr>
        <w:t>steatohepatitis</w:t>
      </w:r>
      <w:proofErr w:type="spellEnd"/>
      <w:r w:rsidR="001121EA" w:rsidRPr="005C227E"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el-GR" w:bidi="hi-IN"/>
        </w:rPr>
        <w:t xml:space="preserve"> on liver transplantation</w:t>
      </w:r>
      <w:r w:rsidRPr="005C227E"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el-GR" w:bidi="hi-IN"/>
        </w:rPr>
        <w:t>.</w:t>
      </w:r>
      <w:r w:rsidR="001121EA" w:rsidRPr="005C227E"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zh-CN" w:bidi="hi-IN"/>
        </w:rPr>
        <w:t xml:space="preserve"> </w:t>
      </w:r>
      <w:r w:rsidR="003D24ED" w:rsidRPr="005C227E">
        <w:rPr>
          <w:rFonts w:ascii="Book Antiqua" w:hAnsi="Book Antiqua"/>
          <w:bCs/>
          <w:noProof/>
          <w:color w:val="000000" w:themeColor="text1"/>
          <w:sz w:val="24"/>
          <w:szCs w:val="24"/>
          <w:lang w:val="en-US" w:eastAsia="zh-CN" w:bidi="hi-IN"/>
        </w:rPr>
        <w:t xml:space="preserve">LT: </w:t>
      </w:r>
      <w:r w:rsidR="003D24ED" w:rsidRPr="005C227E">
        <w:rPr>
          <w:rFonts w:ascii="Book Antiqua" w:hAnsi="Book Antiqua"/>
          <w:bCs/>
          <w:noProof/>
          <w:color w:val="000000" w:themeColor="text1"/>
          <w:sz w:val="24"/>
          <w:szCs w:val="24"/>
          <w:lang w:val="en-US" w:eastAsia="el-GR" w:bidi="hi-IN"/>
        </w:rPr>
        <w:t>Liver transplantation</w:t>
      </w:r>
      <w:r w:rsidR="003D24ED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;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NASH: </w:t>
      </w:r>
      <w:r w:rsidR="003D24E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onalcoholic </w:t>
      </w:r>
      <w:proofErr w:type="spell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steatohepatitis</w:t>
      </w:r>
      <w:proofErr w:type="spellEnd"/>
      <w:r w:rsidR="003D24ED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;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HCC: </w:t>
      </w:r>
      <w:r w:rsidR="003D24ED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H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epatocellular carcinoma</w:t>
      </w:r>
      <w:r w:rsidR="001121EA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; NAFLD: </w:t>
      </w:r>
      <w:r w:rsidR="001121EA" w:rsidRPr="005C227E">
        <w:rPr>
          <w:rFonts w:ascii="Book Antiqua" w:hAnsi="Book Antiqua" w:cs="Arial"/>
          <w:bCs/>
          <w:color w:val="000000" w:themeColor="text1"/>
          <w:sz w:val="24"/>
          <w:szCs w:val="24"/>
          <w:lang w:val="en-US"/>
        </w:rPr>
        <w:t>Nonalcoholic fatty liver disease</w:t>
      </w:r>
      <w:r w:rsidR="001121EA" w:rsidRPr="005C227E">
        <w:rPr>
          <w:rFonts w:ascii="Book Antiqua" w:hAnsi="Book Antiqua" w:cs="Arial"/>
          <w:bCs/>
          <w:color w:val="000000" w:themeColor="text1"/>
          <w:sz w:val="24"/>
          <w:szCs w:val="24"/>
          <w:lang w:val="en-US" w:eastAsia="zh-CN"/>
        </w:rPr>
        <w:t>.</w:t>
      </w:r>
    </w:p>
    <w:p w:rsidR="00714E4F" w:rsidRPr="005C227E" w:rsidRDefault="00714E4F" w:rsidP="00714E4F">
      <w:pPr>
        <w:snapToGrid w:val="0"/>
        <w:spacing w:after="0" w:line="360" w:lineRule="auto"/>
        <w:jc w:val="both"/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zh-CN" w:bidi="hi-IN"/>
        </w:rPr>
      </w:pPr>
    </w:p>
    <w:p w:rsidR="00462AEF" w:rsidRPr="005C227E" w:rsidRDefault="00462AEF" w:rsidP="00705018">
      <w:pPr>
        <w:snapToGrid w:val="0"/>
        <w:spacing w:after="0" w:line="360" w:lineRule="auto"/>
        <w:jc w:val="both"/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zh-CN" w:bidi="hi-IN"/>
        </w:rPr>
      </w:pPr>
    </w:p>
    <w:p w:rsidR="00DF6B91" w:rsidRPr="005C227E" w:rsidRDefault="00DF6B91" w:rsidP="00705018">
      <w:pPr>
        <w:snapToGrid w:val="0"/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</w:pPr>
      <w:r w:rsidRPr="005C227E"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el-GR" w:bidi="hi-IN"/>
        </w:rPr>
        <w:t>Table 1</w:t>
      </w:r>
      <w:r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 xml:space="preserve"> </w:t>
      </w:r>
      <w:r w:rsidR="00462AEF" w:rsidRPr="005C227E">
        <w:rPr>
          <w:rFonts w:ascii="Book Antiqua" w:hAnsi="Book Antiqua" w:cs="Arial"/>
          <w:b/>
          <w:color w:val="000000" w:themeColor="text1"/>
          <w:sz w:val="24"/>
          <w:szCs w:val="24"/>
          <w:lang w:val="en-US"/>
        </w:rPr>
        <w:t xml:space="preserve">Nonalcoholic </w:t>
      </w:r>
      <w:proofErr w:type="spellStart"/>
      <w:r w:rsidR="00462AEF" w:rsidRPr="005C227E">
        <w:rPr>
          <w:rFonts w:ascii="Book Antiqua" w:hAnsi="Book Antiqua" w:cs="Arial"/>
          <w:b/>
          <w:color w:val="000000" w:themeColor="text1"/>
          <w:sz w:val="24"/>
          <w:szCs w:val="24"/>
          <w:lang w:val="en-US"/>
        </w:rPr>
        <w:t>steatohepatitis</w:t>
      </w:r>
      <w:proofErr w:type="spellEnd"/>
      <w:r w:rsidRPr="005C227E"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el-GR" w:bidi="hi-IN"/>
        </w:rPr>
        <w:t xml:space="preserve"> related cirrhosis as an indi</w:t>
      </w:r>
      <w:r w:rsidR="007213D5" w:rsidRPr="005C227E"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el-GR" w:bidi="hi-IN"/>
        </w:rPr>
        <w:t>cation for liver tranplantation</w:t>
      </w:r>
      <w:r w:rsidR="0058636A" w:rsidRPr="005C227E"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el-GR" w:bidi="hi-IN"/>
        </w:rPr>
        <w:t>.</w:t>
      </w:r>
    </w:p>
    <w:tbl>
      <w:tblPr>
        <w:tblStyle w:val="a5"/>
        <w:tblW w:w="9107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1229"/>
        <w:gridCol w:w="1368"/>
        <w:gridCol w:w="1412"/>
        <w:gridCol w:w="1474"/>
      </w:tblGrid>
      <w:tr w:rsidR="00DF6B91" w:rsidRPr="005C227E" w:rsidTr="00462AEF">
        <w:tc>
          <w:tcPr>
            <w:tcW w:w="334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F6B91" w:rsidRPr="005C227E" w:rsidRDefault="00DF6B91" w:rsidP="0070501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en-US"/>
              </w:rPr>
              <w:t>Database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en-US"/>
              </w:rPr>
              <w:t>Years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NASH Cirrhosis </w:t>
            </w:r>
            <w:proofErr w:type="spellStart"/>
            <w:r w:rsidRPr="005C227E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en-US"/>
              </w:rPr>
              <w:t>Tx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en-US"/>
              </w:rPr>
              <w:t>NASH Cirrhosis waiting list</w:t>
            </w:r>
          </w:p>
        </w:tc>
      </w:tr>
      <w:tr w:rsidR="00DF6B91" w:rsidRPr="005C227E" w:rsidTr="007F42AD">
        <w:tc>
          <w:tcPr>
            <w:tcW w:w="3340" w:type="dxa"/>
            <w:tcBorders>
              <w:top w:val="single" w:sz="4" w:space="0" w:color="auto"/>
            </w:tcBorders>
            <w:vAlign w:val="center"/>
          </w:tcPr>
          <w:p w:rsidR="00DF6B91" w:rsidRPr="005C227E" w:rsidRDefault="00DF6B91" w:rsidP="0070501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 xml:space="preserve">Charlton </w:t>
            </w:r>
            <w:r w:rsidRPr="005C227E">
              <w:rPr>
                <w:rFonts w:ascii="Book Antiqua" w:hAnsi="Book Antiqua"/>
                <w:i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en-US"/>
              </w:rPr>
              <w:t>[9]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SRTR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2001-2009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Increased</w:t>
            </w:r>
          </w:p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 xml:space="preserve">1.2% </w:t>
            </w: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sym w:font="Wingdings" w:char="F0E0"/>
            </w: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 xml:space="preserve"> 9.7%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F6B91" w:rsidRPr="005C227E" w:rsidTr="0031388D">
        <w:tc>
          <w:tcPr>
            <w:tcW w:w="3340" w:type="dxa"/>
            <w:tcBorders>
              <w:bottom w:val="nil"/>
            </w:tcBorders>
            <w:vAlign w:val="center"/>
          </w:tcPr>
          <w:p w:rsidR="00DF6B91" w:rsidRPr="005C227E" w:rsidRDefault="00DF6B91" w:rsidP="0070501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Kemmer</w:t>
            </w:r>
            <w:proofErr w:type="spellEnd"/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C227E">
              <w:rPr>
                <w:rFonts w:ascii="Book Antiqua" w:hAnsi="Book Antiqua"/>
                <w:i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en-US"/>
              </w:rPr>
              <w:t>[10]</w:t>
            </w:r>
          </w:p>
        </w:tc>
        <w:tc>
          <w:tcPr>
            <w:tcW w:w="1145" w:type="dxa"/>
            <w:tcBorders>
              <w:bottom w:val="nil"/>
            </w:tcBorders>
            <w:vAlign w:val="center"/>
          </w:tcPr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UNOS</w:t>
            </w:r>
          </w:p>
        </w:tc>
        <w:tc>
          <w:tcPr>
            <w:tcW w:w="1577" w:type="dxa"/>
            <w:tcBorders>
              <w:bottom w:val="nil"/>
            </w:tcBorders>
            <w:vAlign w:val="center"/>
          </w:tcPr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2007-2010</w:t>
            </w: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Increased</w:t>
            </w:r>
          </w:p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 xml:space="preserve">5.1% </w:t>
            </w: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sym w:font="Wingdings" w:char="F0E0"/>
            </w: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7.5%</w:t>
            </w: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F6B91" w:rsidRPr="005C227E" w:rsidTr="0031388D">
        <w:tc>
          <w:tcPr>
            <w:tcW w:w="3340" w:type="dxa"/>
            <w:tcBorders>
              <w:top w:val="nil"/>
              <w:bottom w:val="single" w:sz="4" w:space="0" w:color="000000"/>
            </w:tcBorders>
            <w:vAlign w:val="center"/>
          </w:tcPr>
          <w:p w:rsidR="00DF6B91" w:rsidRPr="005C227E" w:rsidRDefault="00DF6B91" w:rsidP="0070501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optn</w:t>
            </w:r>
            <w:proofErr w:type="spellEnd"/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</w:rPr>
              <w:t>.</w:t>
            </w: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transplant</w:t>
            </w: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hrsa</w:t>
            </w:r>
            <w:proofErr w:type="spellEnd"/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</w:p>
        </w:tc>
        <w:tc>
          <w:tcPr>
            <w:tcW w:w="1145" w:type="dxa"/>
            <w:tcBorders>
              <w:top w:val="nil"/>
              <w:bottom w:val="single" w:sz="4" w:space="0" w:color="000000"/>
            </w:tcBorders>
            <w:vAlign w:val="center"/>
          </w:tcPr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OTPN</w:t>
            </w:r>
          </w:p>
        </w:tc>
        <w:tc>
          <w:tcPr>
            <w:tcW w:w="1577" w:type="dxa"/>
            <w:tcBorders>
              <w:top w:val="nil"/>
              <w:bottom w:val="single" w:sz="4" w:space="0" w:color="000000"/>
            </w:tcBorders>
            <w:vAlign w:val="center"/>
          </w:tcPr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2013 Nov 1st</w:t>
            </w:r>
          </w:p>
        </w:tc>
        <w:tc>
          <w:tcPr>
            <w:tcW w:w="1478" w:type="dxa"/>
            <w:tcBorders>
              <w:top w:val="nil"/>
              <w:bottom w:val="single" w:sz="4" w:space="0" w:color="000000"/>
            </w:tcBorders>
            <w:vAlign w:val="center"/>
          </w:tcPr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000000"/>
            </w:tcBorders>
            <w:vAlign w:val="center"/>
          </w:tcPr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8.5%</w:t>
            </w:r>
          </w:p>
          <w:p w:rsidR="00DF6B91" w:rsidRPr="005C227E" w:rsidRDefault="00DF6B91" w:rsidP="00462AEF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+5.5% for CC</w:t>
            </w:r>
          </w:p>
        </w:tc>
      </w:tr>
    </w:tbl>
    <w:p w:rsidR="00DF6B91" w:rsidRPr="005C227E" w:rsidRDefault="00C9286A" w:rsidP="00705018">
      <w:pPr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NASH</w:t>
      </w:r>
      <w:r w:rsidR="0053005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:</w:t>
      </w:r>
      <w:r w:rsidR="003715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onalcoholic </w:t>
      </w:r>
      <w:proofErr w:type="spellStart"/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steatohepatitis</w:t>
      </w:r>
      <w:proofErr w:type="spellEnd"/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;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CC</w:t>
      </w:r>
      <w:r w:rsidR="0053005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:</w:t>
      </w:r>
      <w:r w:rsidR="00A91D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</w:t>
      </w:r>
      <w:r w:rsidR="00DF6B9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ryptogenic cirrhosis</w:t>
      </w:r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;</w:t>
      </w:r>
      <w:r w:rsidR="00005D2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005D2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Tx</w:t>
      </w:r>
      <w:proofErr w:type="spellEnd"/>
      <w:proofErr w:type="gramEnd"/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: T</w:t>
      </w:r>
      <w:r w:rsidR="00005D2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ransplantation</w:t>
      </w:r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;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SRTR</w:t>
      </w:r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: </w:t>
      </w:r>
      <w:r w:rsidR="00A91D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DF6B9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Scientific </w:t>
      </w:r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registry of transplant recipients</w:t>
      </w:r>
      <w:r w:rsidR="00DF6B9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</w:t>
      </w:r>
      <w:r w:rsidR="00861EA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United States</w:t>
      </w:r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;</w:t>
      </w:r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UNOS</w:t>
      </w:r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: </w:t>
      </w:r>
      <w:r w:rsidR="00DF6B9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United </w:t>
      </w:r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network for organ sharing</w:t>
      </w:r>
      <w:r w:rsidR="00DF6B9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, </w:t>
      </w:r>
      <w:r w:rsidR="00861EA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United States</w:t>
      </w:r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;</w:t>
      </w:r>
      <w:r w:rsidR="00DF6B9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OTPN</w:t>
      </w:r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: </w:t>
      </w:r>
      <w:r w:rsidR="00DF6B9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Organ </w:t>
      </w:r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p</w:t>
      </w:r>
      <w:r w:rsidR="00DF6B9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rocurement </w:t>
      </w:r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and transplantation n</w:t>
      </w:r>
      <w:r w:rsidR="00DF6B91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etwork, </w:t>
      </w:r>
      <w:r w:rsidR="00861EAF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United States</w:t>
      </w:r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.</w:t>
      </w:r>
    </w:p>
    <w:p w:rsidR="009138A5" w:rsidRPr="005C227E" w:rsidRDefault="009138A5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</w:p>
    <w:p w:rsidR="009138A5" w:rsidRPr="005C227E" w:rsidRDefault="009138A5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</w:p>
    <w:p w:rsidR="009138A5" w:rsidRPr="005C227E" w:rsidRDefault="009138A5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</w:p>
    <w:p w:rsidR="009138A5" w:rsidRPr="005C227E" w:rsidRDefault="009138A5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</w:p>
    <w:p w:rsidR="009138A5" w:rsidRPr="005C227E" w:rsidRDefault="009138A5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</w:p>
    <w:p w:rsidR="009138A5" w:rsidRPr="005C227E" w:rsidRDefault="009138A5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</w:p>
    <w:p w:rsidR="009138A5" w:rsidRPr="005C227E" w:rsidRDefault="009138A5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</w:p>
    <w:p w:rsidR="009138A5" w:rsidRPr="005C227E" w:rsidRDefault="009138A5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</w:p>
    <w:p w:rsidR="00D25002" w:rsidRPr="005C227E" w:rsidRDefault="00D25002" w:rsidP="00705018">
      <w:pPr>
        <w:snapToGrid w:val="0"/>
        <w:spacing w:after="0" w:line="360" w:lineRule="auto"/>
        <w:jc w:val="both"/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zh-CN" w:bidi="hi-IN"/>
        </w:rPr>
      </w:pPr>
    </w:p>
    <w:p w:rsidR="008E450C" w:rsidRPr="005C227E" w:rsidRDefault="008E450C" w:rsidP="00705018">
      <w:pPr>
        <w:snapToGrid w:val="0"/>
        <w:spacing w:after="0" w:line="360" w:lineRule="auto"/>
        <w:jc w:val="both"/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zh-CN" w:bidi="hi-IN"/>
        </w:rPr>
      </w:pPr>
      <w:r w:rsidRPr="005C227E"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el-GR" w:bidi="hi-IN"/>
        </w:rPr>
        <w:t xml:space="preserve">Table 2 </w:t>
      </w:r>
      <w:r w:rsidR="00986E70" w:rsidRPr="005C227E">
        <w:rPr>
          <w:rFonts w:ascii="Book Antiqua" w:hAnsi="Book Antiqua" w:cs="Arial"/>
          <w:b/>
          <w:color w:val="000000" w:themeColor="text1"/>
          <w:sz w:val="24"/>
          <w:szCs w:val="24"/>
          <w:lang w:val="en-US"/>
        </w:rPr>
        <w:t>Post liver transplantation</w:t>
      </w:r>
      <w:r w:rsidR="00986E70" w:rsidRPr="005C227E"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el-GR" w:bidi="hi-IN"/>
        </w:rPr>
        <w:t xml:space="preserve"> </w:t>
      </w:r>
      <w:r w:rsidRPr="005C227E"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el-GR" w:bidi="hi-IN"/>
        </w:rPr>
        <w:t xml:space="preserve">outcomes for </w:t>
      </w:r>
      <w:r w:rsidR="00986E70" w:rsidRPr="005C227E">
        <w:rPr>
          <w:rFonts w:ascii="Book Antiqua" w:hAnsi="Book Antiqua" w:cs="Arial"/>
          <w:b/>
          <w:color w:val="000000" w:themeColor="text1"/>
          <w:sz w:val="24"/>
          <w:szCs w:val="24"/>
          <w:lang w:val="en-US"/>
        </w:rPr>
        <w:t xml:space="preserve">nonalcoholic fatty liver disease, nonalcoholic </w:t>
      </w:r>
      <w:proofErr w:type="spellStart"/>
      <w:r w:rsidR="00986E70" w:rsidRPr="005C227E">
        <w:rPr>
          <w:rFonts w:ascii="Book Antiqua" w:hAnsi="Book Antiqua" w:cs="Arial"/>
          <w:b/>
          <w:color w:val="000000" w:themeColor="text1"/>
          <w:sz w:val="24"/>
          <w:szCs w:val="24"/>
          <w:lang w:val="en-US"/>
        </w:rPr>
        <w:t>steatohepatitis</w:t>
      </w:r>
      <w:proofErr w:type="spellEnd"/>
    </w:p>
    <w:tbl>
      <w:tblPr>
        <w:tblStyle w:val="a5"/>
        <w:tblW w:w="9322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992"/>
        <w:gridCol w:w="1419"/>
        <w:gridCol w:w="4677"/>
      </w:tblGrid>
      <w:tr w:rsidR="004F0DD5" w:rsidRPr="005C227E" w:rsidTr="004F0DD5">
        <w:trPr>
          <w:trHeight w:val="1312"/>
        </w:trPr>
        <w:tc>
          <w:tcPr>
            <w:tcW w:w="2234" w:type="dxa"/>
            <w:tcBorders>
              <w:bottom w:val="single" w:sz="4" w:space="0" w:color="000000"/>
            </w:tcBorders>
            <w:vAlign w:val="center"/>
          </w:tcPr>
          <w:p w:rsidR="004F0DD5" w:rsidRPr="005C227E" w:rsidRDefault="004F0DD5" w:rsidP="00045D55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b/>
                <w:bCs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Reference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0DD5" w:rsidRPr="005C227E" w:rsidRDefault="004F0DD5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b/>
                <w:bCs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NASH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vAlign w:val="center"/>
          </w:tcPr>
          <w:p w:rsidR="004F0DD5" w:rsidRPr="005C227E" w:rsidRDefault="00530054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b/>
                <w:bCs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N</w:t>
            </w:r>
            <w:r w:rsidR="004F0DD5" w:rsidRPr="005C227E">
              <w:rPr>
                <w:rFonts w:ascii="Book Antiqua" w:hAnsi="Book Antiqua"/>
                <w:b/>
                <w:bCs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on-NASH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vAlign w:val="center"/>
          </w:tcPr>
          <w:p w:rsidR="004F0DD5" w:rsidRPr="005C227E" w:rsidRDefault="004F0DD5" w:rsidP="00530054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b/>
                <w:bCs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Remarks</w:t>
            </w:r>
          </w:p>
        </w:tc>
      </w:tr>
      <w:tr w:rsidR="004F0DD5" w:rsidRPr="005C227E" w:rsidTr="004F0DD5">
        <w:tc>
          <w:tcPr>
            <w:tcW w:w="2234" w:type="dxa"/>
            <w:tcBorders>
              <w:top w:val="single" w:sz="4" w:space="0" w:color="000000"/>
              <w:bottom w:val="nil"/>
            </w:tcBorders>
          </w:tcPr>
          <w:p w:rsidR="004F0DD5" w:rsidRPr="005C227E" w:rsidRDefault="004F0DD5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bottom w:val="nil"/>
            </w:tcBorders>
          </w:tcPr>
          <w:p w:rsidR="004F0DD5" w:rsidRPr="005C227E" w:rsidRDefault="004F0DD5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b/>
                <w:bCs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Post-LT mortality</w:t>
            </w:r>
          </w:p>
        </w:tc>
        <w:tc>
          <w:tcPr>
            <w:tcW w:w="4677" w:type="dxa"/>
            <w:tcBorders>
              <w:top w:val="single" w:sz="4" w:space="0" w:color="000000"/>
              <w:bottom w:val="nil"/>
            </w:tcBorders>
          </w:tcPr>
          <w:p w:rsidR="004F0DD5" w:rsidRPr="005C227E" w:rsidRDefault="004F0DD5" w:rsidP="00530054">
            <w:pPr>
              <w:snapToGrid w:val="0"/>
              <w:spacing w:line="360" w:lineRule="auto"/>
              <w:ind w:left="360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</w:tc>
      </w:tr>
      <w:tr w:rsidR="00DC1205" w:rsidRPr="005C227E" w:rsidTr="004F0DD5">
        <w:tc>
          <w:tcPr>
            <w:tcW w:w="2234" w:type="dxa"/>
            <w:tcBorders>
              <w:top w:val="nil"/>
            </w:tcBorders>
          </w:tcPr>
          <w:p w:rsidR="008E450C" w:rsidRPr="005C227E" w:rsidRDefault="008E450C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Malik</w:t>
            </w:r>
            <w:r w:rsidR="00A91D95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 </w:t>
            </w:r>
            <w:r w:rsidRPr="005C227E">
              <w:rPr>
                <w:rFonts w:ascii="Book Antiqua" w:hAnsi="Book Antiqua"/>
                <w:i/>
                <w:iCs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et al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  <w:lang w:val="en-US" w:eastAsia="el-GR" w:bidi="hi-IN"/>
              </w:rPr>
              <w:t>[</w:t>
            </w:r>
            <w:r w:rsidR="00DC1205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  <w:lang w:val="en-US" w:eastAsia="el-GR" w:bidi="hi-IN"/>
              </w:rPr>
              <w:t>26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  <w:lang w:val="en-US" w:eastAsia="el-GR" w:bidi="hi-IN"/>
              </w:rPr>
              <w:t>]</w:t>
            </w:r>
          </w:p>
          <w:p w:rsidR="008E450C" w:rsidRPr="005C227E" w:rsidRDefault="008E450C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24</w:t>
            </w:r>
            <w:r w:rsidR="00045D55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zh-CN" w:bidi="hi-IN"/>
              </w:rPr>
              <w:t xml:space="preserve"> </w:t>
            </w:r>
            <w:r w:rsidR="00045D55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h</w:t>
            </w:r>
          </w:p>
          <w:p w:rsidR="008E450C" w:rsidRPr="005C227E" w:rsidRDefault="008E450C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30</w:t>
            </w:r>
            <w:r w:rsidR="0037156A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-d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 </w:t>
            </w:r>
          </w:p>
          <w:p w:rsidR="008E450C" w:rsidRPr="005C227E" w:rsidRDefault="00045D55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1-y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r </w:t>
            </w:r>
          </w:p>
          <w:p w:rsidR="008E450C" w:rsidRPr="005C227E" w:rsidRDefault="00045D55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3-y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r </w:t>
            </w:r>
          </w:p>
          <w:p w:rsidR="008E450C" w:rsidRPr="005C227E" w:rsidRDefault="00045D55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5-y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r </w:t>
            </w:r>
          </w:p>
        </w:tc>
        <w:tc>
          <w:tcPr>
            <w:tcW w:w="992" w:type="dxa"/>
            <w:tcBorders>
              <w:top w:val="nil"/>
            </w:tcBorders>
          </w:tcPr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4%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6%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21.5%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25.5%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27.5%</w:t>
            </w:r>
          </w:p>
        </w:tc>
        <w:tc>
          <w:tcPr>
            <w:tcW w:w="1419" w:type="dxa"/>
            <w:tcBorders>
              <w:top w:val="nil"/>
            </w:tcBorders>
          </w:tcPr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1-3%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2-5%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13-18%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16-30%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19-35%</w:t>
            </w:r>
          </w:p>
        </w:tc>
        <w:tc>
          <w:tcPr>
            <w:tcW w:w="4677" w:type="dxa"/>
            <w:tcBorders>
              <w:top w:val="nil"/>
            </w:tcBorders>
          </w:tcPr>
          <w:p w:rsidR="008E450C" w:rsidRPr="005C227E" w:rsidRDefault="00986E70" w:rsidP="00530054">
            <w:pPr>
              <w:snapToGrid w:val="0"/>
              <w:spacing w:line="360" w:lineRule="auto"/>
              <w:ind w:left="360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N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on-NASH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:</w:t>
            </w:r>
            <w:r w:rsidR="00A91D95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 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PBC, PSC, ALD, HCV</w:t>
            </w:r>
          </w:p>
          <w:p w:rsidR="008E450C" w:rsidRPr="005C227E" w:rsidRDefault="008E450C" w:rsidP="00530054">
            <w:pPr>
              <w:snapToGrid w:val="0"/>
              <w:spacing w:line="360" w:lineRule="auto"/>
              <w:ind w:left="360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NASH group</w:t>
            </w:r>
            <w:r w:rsidR="00986E70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:</w:t>
            </w:r>
            <w:r w:rsidR="00530054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zh-CN" w:bidi="hi-IN"/>
              </w:rPr>
              <w:t xml:space="preserve"> </w:t>
            </w:r>
            <w:r w:rsidR="00530054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I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ncreased early mortality</w:t>
            </w:r>
          </w:p>
          <w:p w:rsidR="008E450C" w:rsidRPr="005C227E" w:rsidRDefault="00986E70" w:rsidP="00530054">
            <w:pPr>
              <w:snapToGrid w:val="0"/>
              <w:spacing w:line="360" w:lineRule="auto"/>
              <w:ind w:left="360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I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nfection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:</w:t>
            </w:r>
            <w:r w:rsidR="00A91D95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 </w:t>
            </w:r>
            <w:r w:rsidR="00530054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M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ain cause of death in NASH group (50%)</w:t>
            </w:r>
          </w:p>
          <w:p w:rsidR="008E450C" w:rsidRPr="005C227E" w:rsidRDefault="00986E70" w:rsidP="00530054">
            <w:pPr>
              <w:snapToGrid w:val="0"/>
              <w:spacing w:line="360" w:lineRule="auto"/>
              <w:ind w:left="360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H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igh risk NASH group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: </w:t>
            </w:r>
            <w:r w:rsidR="00530054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>50% 1-y</w:t>
            </w:r>
            <w:r w:rsidR="005B4EA9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>r mortality</w:t>
            </w:r>
          </w:p>
          <w:p w:rsidR="005B4EA9" w:rsidRPr="005C227E" w:rsidRDefault="00A91D95" w:rsidP="00530054">
            <w:pPr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 xml:space="preserve">        </w:t>
            </w:r>
            <w:r w:rsidR="005B4EA9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86E70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>O</w:t>
            </w:r>
            <w:r w:rsidR="008E450C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>lder age (&gt;</w:t>
            </w:r>
            <w:r w:rsidR="00986E70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  <w:r w:rsidR="00986E70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>60 yr</w:t>
            </w:r>
            <w:r w:rsidR="008E450C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 xml:space="preserve">), </w:t>
            </w:r>
          </w:p>
          <w:p w:rsidR="008E450C" w:rsidRPr="005C227E" w:rsidRDefault="00A91D95" w:rsidP="00530054">
            <w:pPr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 xml:space="preserve">        </w:t>
            </w:r>
            <w:r w:rsidR="005B4EA9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86E70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>H</w:t>
            </w:r>
            <w:r w:rsidR="008E450C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>igher BMI (&gt;</w:t>
            </w:r>
            <w:r w:rsidR="00986E70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  <w:r w:rsidR="008E450C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>30</w:t>
            </w:r>
            <w:r w:rsidR="00986E70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  <w:r w:rsidR="00986E70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>k</w:t>
            </w:r>
            <w:r w:rsidR="008E450C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>g/m</w:t>
            </w:r>
            <w:r w:rsidR="008E450C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  <w:r w:rsidR="008E450C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 xml:space="preserve">), </w:t>
            </w:r>
          </w:p>
          <w:p w:rsidR="005B4EA9" w:rsidRPr="005C227E" w:rsidRDefault="00A91D95" w:rsidP="00530054">
            <w:pPr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 xml:space="preserve">        </w:t>
            </w:r>
            <w:r w:rsidR="005B4EA9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86E70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>P</w:t>
            </w:r>
            <w:r w:rsidR="008E450C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 xml:space="preserve">re-LT diabetes mellitus and </w:t>
            </w:r>
          </w:p>
          <w:p w:rsidR="008E450C" w:rsidRPr="005C227E" w:rsidRDefault="00A91D95" w:rsidP="00530054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 xml:space="preserve">        </w:t>
            </w:r>
            <w:r w:rsidR="005B4EA9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86E70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>H</w:t>
            </w:r>
            <w:r w:rsidR="008E450C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>ypertension</w:t>
            </w:r>
          </w:p>
        </w:tc>
      </w:tr>
      <w:tr w:rsidR="00DC1205" w:rsidRPr="005C227E" w:rsidTr="004F0DD5">
        <w:tc>
          <w:tcPr>
            <w:tcW w:w="2234" w:type="dxa"/>
          </w:tcPr>
          <w:p w:rsidR="005B233B" w:rsidRPr="005C227E" w:rsidRDefault="005B233B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</w:tc>
        <w:tc>
          <w:tcPr>
            <w:tcW w:w="2411" w:type="dxa"/>
            <w:gridSpan w:val="2"/>
          </w:tcPr>
          <w:p w:rsidR="005B233B" w:rsidRPr="005C227E" w:rsidRDefault="005B233B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b/>
                <w:bCs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Post-LT survival</w:t>
            </w:r>
          </w:p>
        </w:tc>
        <w:tc>
          <w:tcPr>
            <w:tcW w:w="4677" w:type="dxa"/>
          </w:tcPr>
          <w:p w:rsidR="005B233B" w:rsidRPr="005C227E" w:rsidRDefault="005B233B" w:rsidP="00530054">
            <w:pPr>
              <w:pStyle w:val="a4"/>
              <w:snapToGrid w:val="0"/>
              <w:spacing w:line="360" w:lineRule="auto"/>
              <w:contextualSpacing w:val="0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</w:tc>
      </w:tr>
      <w:tr w:rsidR="00DC1205" w:rsidRPr="005C227E" w:rsidTr="004F0DD5">
        <w:tc>
          <w:tcPr>
            <w:tcW w:w="2234" w:type="dxa"/>
          </w:tcPr>
          <w:p w:rsidR="008E450C" w:rsidRPr="005C227E" w:rsidRDefault="008E450C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Bhagat </w:t>
            </w:r>
            <w:r w:rsidRPr="005C227E">
              <w:rPr>
                <w:rFonts w:ascii="Book Antiqua" w:hAnsi="Book Antiqua"/>
                <w:i/>
                <w:iCs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el al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  <w:lang w:val="en-US" w:eastAsia="el-GR" w:bidi="hi-IN"/>
              </w:rPr>
              <w:t>[</w:t>
            </w:r>
            <w:r w:rsidR="00DC1205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  <w:lang w:val="en-US" w:eastAsia="el-GR" w:bidi="hi-IN"/>
              </w:rPr>
              <w:t>27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  <w:lang w:val="en-US" w:eastAsia="el-GR" w:bidi="hi-IN"/>
              </w:rPr>
              <w:t>]</w:t>
            </w:r>
          </w:p>
          <w:p w:rsidR="008E450C" w:rsidRPr="005C227E" w:rsidRDefault="00045D55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1-y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r</w:t>
            </w:r>
          </w:p>
          <w:p w:rsidR="008E450C" w:rsidRPr="005C227E" w:rsidRDefault="00045D55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3-y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r</w:t>
            </w:r>
          </w:p>
          <w:p w:rsidR="008E450C" w:rsidRPr="005C227E" w:rsidRDefault="00045D55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5-y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r</w:t>
            </w:r>
          </w:p>
          <w:p w:rsidR="008E450C" w:rsidRPr="005C227E" w:rsidRDefault="00045D55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9-y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r</w:t>
            </w:r>
          </w:p>
        </w:tc>
        <w:tc>
          <w:tcPr>
            <w:tcW w:w="992" w:type="dxa"/>
          </w:tcPr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82%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79%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75%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62%</w:t>
            </w:r>
          </w:p>
        </w:tc>
        <w:tc>
          <w:tcPr>
            <w:tcW w:w="1419" w:type="dxa"/>
          </w:tcPr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92%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86%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86%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76%</w:t>
            </w:r>
          </w:p>
        </w:tc>
        <w:tc>
          <w:tcPr>
            <w:tcW w:w="4677" w:type="dxa"/>
          </w:tcPr>
          <w:p w:rsidR="004234B0" w:rsidRPr="005C227E" w:rsidRDefault="004234B0" w:rsidP="00530054">
            <w:pPr>
              <w:pStyle w:val="a4"/>
              <w:snapToGrid w:val="0"/>
              <w:spacing w:line="360" w:lineRule="auto"/>
              <w:contextualSpacing w:val="0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  <w:p w:rsidR="008E450C" w:rsidRPr="005C227E" w:rsidRDefault="004F0DD5" w:rsidP="00530054">
            <w:pPr>
              <w:snapToGrid w:val="0"/>
              <w:spacing w:line="360" w:lineRule="auto"/>
              <w:ind w:left="360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N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on-NASH</w:t>
            </w:r>
            <w:r w:rsidR="00986E70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: </w:t>
            </w:r>
            <w:r w:rsidR="0037156A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 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ETOH</w:t>
            </w:r>
          </w:p>
          <w:p w:rsidR="008E450C" w:rsidRPr="005C227E" w:rsidRDefault="008E450C" w:rsidP="00530054">
            <w:pPr>
              <w:snapToGrid w:val="0"/>
              <w:spacing w:line="360" w:lineRule="auto"/>
              <w:ind w:left="360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>NASH group</w:t>
            </w:r>
          </w:p>
          <w:p w:rsidR="00C9762E" w:rsidRPr="005C227E" w:rsidRDefault="004F0DD5" w:rsidP="00530054">
            <w:pPr>
              <w:snapToGrid w:val="0"/>
              <w:spacing w:line="360" w:lineRule="auto"/>
              <w:ind w:firstLineChars="200" w:firstLine="480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>H</w:t>
            </w:r>
            <w:r w:rsidR="00C9762E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>igher cardiovascular morbidity</w:t>
            </w:r>
          </w:p>
          <w:p w:rsidR="008E450C" w:rsidRPr="005C227E" w:rsidRDefault="00A91D95" w:rsidP="00530054">
            <w:pPr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 xml:space="preserve">        </w:t>
            </w:r>
            <w:r w:rsidR="004F0DD5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>H</w:t>
            </w:r>
            <w:r w:rsidR="008E450C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 xml:space="preserve">igher risk of acute rejection and </w:t>
            </w:r>
          </w:p>
          <w:p w:rsidR="008E450C" w:rsidRPr="005C227E" w:rsidRDefault="00A91D95" w:rsidP="00530054">
            <w:pPr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</w:pPr>
            <w:r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 xml:space="preserve">               </w:t>
            </w:r>
            <w:r w:rsidR="008E450C" w:rsidRPr="005C227E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 xml:space="preserve"> recurrent steatohepatitis</w:t>
            </w:r>
          </w:p>
        </w:tc>
      </w:tr>
      <w:tr w:rsidR="00DC1205" w:rsidRPr="005C227E" w:rsidTr="004F0DD5">
        <w:tc>
          <w:tcPr>
            <w:tcW w:w="2234" w:type="dxa"/>
          </w:tcPr>
          <w:p w:rsidR="008E450C" w:rsidRPr="005C227E" w:rsidRDefault="008E450C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Barrit </w:t>
            </w:r>
            <w:r w:rsidRPr="005C227E">
              <w:rPr>
                <w:rFonts w:ascii="Book Antiqua" w:hAnsi="Book Antiqua"/>
                <w:i/>
                <w:iCs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et al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  <w:lang w:val="en-US" w:eastAsia="el-GR" w:bidi="hi-IN"/>
              </w:rPr>
              <w:t>[</w:t>
            </w:r>
            <w:r w:rsidR="00DC1205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  <w:lang w:val="en-US" w:eastAsia="el-GR" w:bidi="hi-IN"/>
              </w:rPr>
              <w:t>28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  <w:lang w:val="en-US" w:eastAsia="el-GR" w:bidi="hi-IN"/>
              </w:rPr>
              <w:t>]</w:t>
            </w:r>
          </w:p>
          <w:p w:rsidR="008E450C" w:rsidRPr="005C227E" w:rsidRDefault="008E450C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30</w:t>
            </w:r>
            <w:r w:rsidR="0037156A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-d</w:t>
            </w:r>
          </w:p>
          <w:p w:rsidR="008E450C" w:rsidRPr="005C227E" w:rsidRDefault="00045D55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1-y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r</w:t>
            </w:r>
          </w:p>
          <w:p w:rsidR="008E450C" w:rsidRPr="005C227E" w:rsidRDefault="00045D55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3-y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r</w:t>
            </w:r>
          </w:p>
        </w:tc>
        <w:tc>
          <w:tcPr>
            <w:tcW w:w="992" w:type="dxa"/>
          </w:tcPr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81%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76%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76%</w:t>
            </w:r>
          </w:p>
        </w:tc>
        <w:tc>
          <w:tcPr>
            <w:tcW w:w="1419" w:type="dxa"/>
          </w:tcPr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97%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89.5%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83.5%</w:t>
            </w:r>
          </w:p>
        </w:tc>
        <w:tc>
          <w:tcPr>
            <w:tcW w:w="4677" w:type="dxa"/>
          </w:tcPr>
          <w:p w:rsidR="004234B0" w:rsidRPr="005C227E" w:rsidRDefault="004234B0" w:rsidP="00530054">
            <w:pPr>
              <w:pStyle w:val="a4"/>
              <w:snapToGrid w:val="0"/>
              <w:spacing w:line="360" w:lineRule="auto"/>
              <w:contextualSpacing w:val="0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  <w:p w:rsidR="008E450C" w:rsidRPr="005C227E" w:rsidRDefault="008E450C" w:rsidP="00530054">
            <w:pPr>
              <w:snapToGrid w:val="0"/>
              <w:spacing w:line="360" w:lineRule="auto"/>
              <w:ind w:left="360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NASH group</w:t>
            </w:r>
            <w:r w:rsidR="00986E70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: </w:t>
            </w:r>
            <w:r w:rsidR="00530054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I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ncreased early mortality</w:t>
            </w:r>
          </w:p>
          <w:p w:rsidR="008E450C" w:rsidRPr="005C227E" w:rsidRDefault="008E450C" w:rsidP="00530054">
            <w:pPr>
              <w:snapToGrid w:val="0"/>
              <w:spacing w:line="360" w:lineRule="auto"/>
              <w:ind w:leftChars="139" w:left="306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All recipients</w:t>
            </w:r>
            <w:r w:rsidR="00986E70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: </w:t>
            </w:r>
            <w:r w:rsidR="00A91D95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 </w:t>
            </w:r>
            <w:r w:rsidR="00530054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D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iabetes, risk factor for</w:t>
            </w:r>
            <w:r w:rsidR="00A91D95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     </w:t>
            </w:r>
            <w:r w:rsidR="00530054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increased 3-y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r mortality</w:t>
            </w:r>
          </w:p>
        </w:tc>
      </w:tr>
      <w:tr w:rsidR="00DC1205" w:rsidRPr="005C227E" w:rsidTr="004F0DD5">
        <w:tc>
          <w:tcPr>
            <w:tcW w:w="2234" w:type="dxa"/>
          </w:tcPr>
          <w:p w:rsidR="008E450C" w:rsidRPr="005C227E" w:rsidRDefault="008E450C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Afzali </w:t>
            </w:r>
            <w:r w:rsidRPr="005C227E">
              <w:rPr>
                <w:rFonts w:ascii="Book Antiqua" w:hAnsi="Book Antiqua"/>
                <w:i/>
                <w:iCs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et al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  <w:lang w:val="en-US" w:eastAsia="el-GR" w:bidi="hi-IN"/>
              </w:rPr>
              <w:t>[</w:t>
            </w:r>
            <w:r w:rsidR="00DC1205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  <w:lang w:val="en-US" w:eastAsia="el-GR" w:bidi="hi-IN"/>
              </w:rPr>
              <w:t>29]</w:t>
            </w:r>
          </w:p>
          <w:p w:rsidR="008E450C" w:rsidRPr="005C227E" w:rsidRDefault="00045D55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lastRenderedPageBreak/>
              <w:t>1-y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r</w:t>
            </w:r>
          </w:p>
          <w:p w:rsidR="008E450C" w:rsidRPr="005C227E" w:rsidRDefault="00045D55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3-y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r</w:t>
            </w:r>
          </w:p>
          <w:p w:rsidR="008E450C" w:rsidRPr="005C227E" w:rsidRDefault="00045D55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5-y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r</w:t>
            </w:r>
          </w:p>
        </w:tc>
        <w:tc>
          <w:tcPr>
            <w:tcW w:w="992" w:type="dxa"/>
          </w:tcPr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lastRenderedPageBreak/>
              <w:br/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lastRenderedPageBreak/>
              <w:t>87.6%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82.2%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76.7%</w:t>
            </w:r>
          </w:p>
        </w:tc>
        <w:tc>
          <w:tcPr>
            <w:tcW w:w="1419" w:type="dxa"/>
          </w:tcPr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Variable</w:t>
            </w:r>
          </w:p>
        </w:tc>
        <w:tc>
          <w:tcPr>
            <w:tcW w:w="4677" w:type="dxa"/>
          </w:tcPr>
          <w:p w:rsidR="004234B0" w:rsidRPr="005C227E" w:rsidRDefault="004234B0" w:rsidP="00530054">
            <w:pPr>
              <w:pStyle w:val="a4"/>
              <w:snapToGrid w:val="0"/>
              <w:spacing w:line="360" w:lineRule="auto"/>
              <w:contextualSpacing w:val="0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  <w:p w:rsidR="008E450C" w:rsidRPr="005C227E" w:rsidRDefault="004F0DD5" w:rsidP="00530054">
            <w:pPr>
              <w:snapToGrid w:val="0"/>
              <w:spacing w:line="360" w:lineRule="auto"/>
              <w:ind w:left="360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lastRenderedPageBreak/>
              <w:t>N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on-NASH</w:t>
            </w:r>
            <w:r w:rsidR="00986E70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: </w:t>
            </w:r>
            <w:r w:rsidR="00530054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A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ny other indication</w:t>
            </w:r>
          </w:p>
          <w:p w:rsidR="008E450C" w:rsidRPr="005C227E" w:rsidRDefault="008E450C" w:rsidP="00530054">
            <w:pPr>
              <w:snapToGrid w:val="0"/>
              <w:spacing w:line="360" w:lineRule="auto"/>
              <w:ind w:left="360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NASH group</w:t>
            </w:r>
            <w:r w:rsidR="004F0DD5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:</w:t>
            </w:r>
            <w:r w:rsidR="004F0DD5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zh-CN" w:bidi="hi-IN"/>
              </w:rPr>
              <w:t xml:space="preserve"> </w:t>
            </w:r>
            <w:r w:rsidR="00530054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E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xcellent survival, similar to PSC </w:t>
            </w:r>
            <w:r w:rsidR="004F0DD5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zh-CN" w:bidi="hi-IN"/>
              </w:rPr>
              <w:t>and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 HBV</w:t>
            </w:r>
          </w:p>
        </w:tc>
      </w:tr>
      <w:tr w:rsidR="00DC1205" w:rsidRPr="005C227E" w:rsidTr="004F0DD5">
        <w:tc>
          <w:tcPr>
            <w:tcW w:w="2234" w:type="dxa"/>
          </w:tcPr>
          <w:p w:rsidR="008E450C" w:rsidRPr="005C227E" w:rsidRDefault="008E450C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lastRenderedPageBreak/>
              <w:t xml:space="preserve">Singal </w:t>
            </w:r>
            <w:r w:rsidRPr="005C227E">
              <w:rPr>
                <w:rFonts w:ascii="Book Antiqua" w:hAnsi="Book Antiqua"/>
                <w:i/>
                <w:iCs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et al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  <w:lang w:val="en-US" w:eastAsia="el-GR" w:bidi="hi-IN"/>
              </w:rPr>
              <w:t>[</w:t>
            </w:r>
            <w:r w:rsidR="00DC1205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  <w:lang w:val="en-US" w:eastAsia="el-GR" w:bidi="hi-IN"/>
              </w:rPr>
              <w:t>30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  <w:lang w:val="en-US" w:eastAsia="el-GR" w:bidi="hi-IN"/>
              </w:rPr>
              <w:t>]</w:t>
            </w:r>
          </w:p>
          <w:p w:rsidR="008E450C" w:rsidRPr="005C227E" w:rsidRDefault="00045D55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1-y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r</w:t>
            </w:r>
          </w:p>
          <w:p w:rsidR="008E450C" w:rsidRPr="005C227E" w:rsidRDefault="00045D55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3-y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r</w:t>
            </w:r>
          </w:p>
          <w:p w:rsidR="008E450C" w:rsidRPr="005C227E" w:rsidRDefault="00045D55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5-y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r</w:t>
            </w:r>
          </w:p>
          <w:p w:rsidR="008E450C" w:rsidRPr="005C227E" w:rsidRDefault="00045D55" w:rsidP="00045D55">
            <w:pPr>
              <w:snapToGrid w:val="0"/>
              <w:spacing w:line="36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10-y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r</w:t>
            </w:r>
          </w:p>
        </w:tc>
        <w:tc>
          <w:tcPr>
            <w:tcW w:w="992" w:type="dxa"/>
          </w:tcPr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89%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85.5%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84%</w:t>
            </w: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84%</w:t>
            </w:r>
          </w:p>
        </w:tc>
        <w:tc>
          <w:tcPr>
            <w:tcW w:w="1419" w:type="dxa"/>
          </w:tcPr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  <w:p w:rsidR="008E450C" w:rsidRPr="005C227E" w:rsidRDefault="008E450C" w:rsidP="00045D55">
            <w:pPr>
              <w:snapToGrid w:val="0"/>
              <w:spacing w:line="360" w:lineRule="auto"/>
              <w:jc w:val="center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Variable</w:t>
            </w:r>
          </w:p>
        </w:tc>
        <w:tc>
          <w:tcPr>
            <w:tcW w:w="4677" w:type="dxa"/>
          </w:tcPr>
          <w:p w:rsidR="004234B0" w:rsidRPr="005C227E" w:rsidRDefault="004234B0" w:rsidP="00530054">
            <w:pPr>
              <w:pStyle w:val="a4"/>
              <w:snapToGrid w:val="0"/>
              <w:spacing w:line="360" w:lineRule="auto"/>
              <w:contextualSpacing w:val="0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</w:p>
          <w:p w:rsidR="008E450C" w:rsidRPr="005C227E" w:rsidRDefault="004F0DD5" w:rsidP="00530054">
            <w:pPr>
              <w:snapToGrid w:val="0"/>
              <w:spacing w:line="360" w:lineRule="auto"/>
              <w:ind w:left="360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N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on-NASH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:</w:t>
            </w:r>
            <w:r w:rsidR="0037156A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 </w:t>
            </w:r>
            <w:r w:rsidR="008E450C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PSC, PBC, ALD, HCV, HVB, CC, HCC</w:t>
            </w:r>
          </w:p>
          <w:p w:rsidR="008E450C" w:rsidRPr="005C227E" w:rsidRDefault="008E450C" w:rsidP="00530054">
            <w:pPr>
              <w:snapToGrid w:val="0"/>
              <w:spacing w:line="360" w:lineRule="auto"/>
              <w:ind w:left="360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</w:pP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NASH group</w:t>
            </w:r>
            <w:r w:rsidR="004F0DD5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:</w:t>
            </w:r>
            <w:r w:rsidR="00A91D95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 </w:t>
            </w:r>
            <w:r w:rsidR="00530054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E</w:t>
            </w:r>
            <w:r w:rsidR="00986E70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xcellent survival, 3-</w:t>
            </w:r>
            <w:r w:rsidR="00986E70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zh-CN" w:bidi="hi-IN"/>
              </w:rPr>
              <w:t>,</w:t>
            </w:r>
            <w:r w:rsidR="00530054"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 xml:space="preserve"> 5-y</w:t>
            </w:r>
            <w:r w:rsidRPr="005C227E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en-US" w:eastAsia="el-GR" w:bidi="hi-IN"/>
              </w:rPr>
              <w:t>r survival best of all</w:t>
            </w:r>
          </w:p>
        </w:tc>
      </w:tr>
    </w:tbl>
    <w:p w:rsidR="00760530" w:rsidRPr="005C227E" w:rsidRDefault="002222DE" w:rsidP="00705018">
      <w:pPr>
        <w:snapToGrid w:val="0"/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4"/>
          <w:szCs w:val="24"/>
          <w:lang w:val="en-US" w:eastAsia="zh-CN" w:bidi="hi-IN"/>
        </w:rPr>
      </w:pP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Post-LT</w:t>
      </w:r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:</w:t>
      </w:r>
      <w:r w:rsidR="003715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53005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P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ost liver transplantation</w:t>
      </w:r>
      <w:r w:rsidR="00530054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;</w:t>
      </w:r>
      <w:r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C928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NAFLD</w:t>
      </w:r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: </w:t>
      </w:r>
      <w:r w:rsidR="0053005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</w:t>
      </w:r>
      <w:r w:rsidR="00C928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onalcoholic fatty liver disease</w:t>
      </w:r>
      <w:r w:rsidR="00530054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;</w:t>
      </w:r>
      <w:r w:rsidR="00C928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NASH</w:t>
      </w:r>
      <w:r w:rsidR="00986E70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: </w:t>
      </w:r>
      <w:r w:rsidR="00A91D95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530054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N</w:t>
      </w:r>
      <w:r w:rsidR="00C928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onalcoholic </w:t>
      </w:r>
      <w:proofErr w:type="spellStart"/>
      <w:r w:rsidR="00C9286A" w:rsidRPr="005C227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steatohepatitis</w:t>
      </w:r>
      <w:proofErr w:type="spellEnd"/>
      <w:r w:rsidR="00530054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;</w:t>
      </w:r>
      <w:r w:rsidR="00C9286A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 xml:space="preserve"> </w:t>
      </w:r>
      <w:r w:rsidR="00760530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PSC</w:t>
      </w:r>
      <w:r w:rsidR="00530054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:</w:t>
      </w:r>
      <w:r w:rsidR="0037156A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 xml:space="preserve"> </w:t>
      </w:r>
      <w:r w:rsidR="00530054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P</w:t>
      </w:r>
      <w:r w:rsidR="00760530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rimary sclerosing cholangitis</w:t>
      </w:r>
      <w:r w:rsidR="00530054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;</w:t>
      </w:r>
      <w:r w:rsidR="00760530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 xml:space="preserve"> PBC</w:t>
      </w:r>
      <w:r w:rsidR="00530054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:</w:t>
      </w:r>
      <w:r w:rsidR="0037156A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 xml:space="preserve"> </w:t>
      </w:r>
      <w:r w:rsidR="00530054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P</w:t>
      </w:r>
      <w:r w:rsidR="00760530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rimary biliary cirrhosis</w:t>
      </w:r>
      <w:r w:rsidR="00530054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;</w:t>
      </w:r>
      <w:r w:rsidR="00760530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 xml:space="preserve"> ALD</w:t>
      </w:r>
      <w:r w:rsidR="00986E70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 xml:space="preserve">: </w:t>
      </w:r>
      <w:r w:rsidR="0037156A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 xml:space="preserve"> </w:t>
      </w:r>
      <w:r w:rsidR="00530054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A</w:t>
      </w:r>
      <w:r w:rsidR="00760530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lcoholic liver disease (ETOH)</w:t>
      </w:r>
      <w:r w:rsidR="00530054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zh-CN" w:bidi="hi-IN"/>
        </w:rPr>
        <w:t>;</w:t>
      </w:r>
      <w:r w:rsidR="00760530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 xml:space="preserve"> HCV</w:t>
      </w:r>
      <w:r w:rsidR="00530054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:</w:t>
      </w:r>
      <w:r w:rsidR="0037156A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 xml:space="preserve"> </w:t>
      </w:r>
      <w:r w:rsidR="00530054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H</w:t>
      </w:r>
      <w:r w:rsidR="00760530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epatitis C virus</w:t>
      </w:r>
      <w:r w:rsidR="00530054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;</w:t>
      </w:r>
      <w:r w:rsidR="00760530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 xml:space="preserve"> HVB</w:t>
      </w:r>
      <w:r w:rsidR="00986E70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 xml:space="preserve">: </w:t>
      </w:r>
      <w:r w:rsidR="00530054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H</w:t>
      </w:r>
      <w:r w:rsidR="00760530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epatotis B virus</w:t>
      </w:r>
      <w:r w:rsidR="00530054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;</w:t>
      </w:r>
      <w:r w:rsidR="00760530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 xml:space="preserve"> CC</w:t>
      </w:r>
      <w:r w:rsidR="00530054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:</w:t>
      </w:r>
      <w:r w:rsidR="0037156A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 xml:space="preserve"> </w:t>
      </w:r>
      <w:r w:rsidR="00530054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C</w:t>
      </w:r>
      <w:r w:rsidR="00760530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ryptogenic cirrhosis</w:t>
      </w:r>
      <w:r w:rsidR="00530054" w:rsidRPr="005C227E">
        <w:rPr>
          <w:rFonts w:ascii="Book Antiqua" w:hAnsi="Book Antiqua" w:cs="Arial"/>
          <w:color w:val="000000" w:themeColor="text1"/>
          <w:sz w:val="24"/>
          <w:szCs w:val="24"/>
          <w:lang w:val="en-US" w:eastAsia="zh-CN"/>
        </w:rPr>
        <w:t>;</w:t>
      </w:r>
      <w:r w:rsidR="00760530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 xml:space="preserve"> HCC</w:t>
      </w:r>
      <w:r w:rsidR="00530054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:</w:t>
      </w:r>
      <w:r w:rsidR="0037156A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 xml:space="preserve"> </w:t>
      </w:r>
      <w:r w:rsidR="00530054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H</w:t>
      </w:r>
      <w:r w:rsidR="00760530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  <w:t>epatocellular carcinoma</w:t>
      </w:r>
      <w:r w:rsidR="00530054" w:rsidRPr="005C227E">
        <w:rPr>
          <w:rFonts w:ascii="Book Antiqua" w:hAnsi="Book Antiqua"/>
          <w:noProof/>
          <w:color w:val="000000" w:themeColor="text1"/>
          <w:sz w:val="24"/>
          <w:szCs w:val="24"/>
          <w:lang w:val="en-US" w:eastAsia="zh-CN" w:bidi="hi-IN"/>
        </w:rPr>
        <w:t>.</w:t>
      </w:r>
    </w:p>
    <w:p w:rsidR="008E450C" w:rsidRPr="005C227E" w:rsidRDefault="008E450C" w:rsidP="00705018">
      <w:pPr>
        <w:snapToGrid w:val="0"/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4"/>
          <w:szCs w:val="24"/>
          <w:lang w:val="en-US" w:eastAsia="el-GR" w:bidi="hi-IN"/>
        </w:rPr>
      </w:pPr>
    </w:p>
    <w:p w:rsidR="008E450C" w:rsidRPr="005C227E" w:rsidRDefault="008E450C" w:rsidP="00705018">
      <w:pPr>
        <w:snapToGrid w:val="0"/>
        <w:spacing w:after="0" w:line="360" w:lineRule="auto"/>
        <w:jc w:val="both"/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val="en-US" w:eastAsia="el-GR" w:bidi="hi-IN"/>
        </w:rPr>
      </w:pPr>
    </w:p>
    <w:p w:rsidR="008E450C" w:rsidRPr="005C227E" w:rsidRDefault="008E450C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</w:p>
    <w:p w:rsidR="008E450C" w:rsidRPr="005C227E" w:rsidRDefault="008E450C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</w:p>
    <w:p w:rsidR="008E450C" w:rsidRPr="005C227E" w:rsidRDefault="008E450C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</w:p>
    <w:p w:rsidR="008E450C" w:rsidRPr="005C227E" w:rsidRDefault="008E450C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</w:p>
    <w:p w:rsidR="008E450C" w:rsidRPr="005C227E" w:rsidRDefault="008E450C" w:rsidP="00705018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lang w:val="en-US"/>
        </w:rPr>
      </w:pPr>
    </w:p>
    <w:sectPr w:rsidR="008E450C" w:rsidRPr="005C227E" w:rsidSect="00557A78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4D" w:rsidRDefault="00DD454D" w:rsidP="00B97A9B">
      <w:pPr>
        <w:spacing w:after="0" w:line="240" w:lineRule="auto"/>
      </w:pPr>
      <w:r>
        <w:separator/>
      </w:r>
    </w:p>
  </w:endnote>
  <w:endnote w:type="continuationSeparator" w:id="0">
    <w:p w:rsidR="00DD454D" w:rsidRDefault="00DD454D" w:rsidP="00B9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2010600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Cen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4D" w:rsidRDefault="00DD454D" w:rsidP="00B97A9B">
      <w:pPr>
        <w:spacing w:after="0" w:line="240" w:lineRule="auto"/>
      </w:pPr>
      <w:r>
        <w:separator/>
      </w:r>
    </w:p>
  </w:footnote>
  <w:footnote w:type="continuationSeparator" w:id="0">
    <w:p w:rsidR="00DD454D" w:rsidRDefault="00DD454D" w:rsidP="00B9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87165"/>
      <w:docPartObj>
        <w:docPartGallery w:val="Page Numbers (Top of Page)"/>
        <w:docPartUnique/>
      </w:docPartObj>
    </w:sdtPr>
    <w:sdtEndPr/>
    <w:sdtContent>
      <w:p w:rsidR="005C227E" w:rsidRDefault="00C714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D1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C227E" w:rsidRDefault="005C22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E8"/>
    <w:multiLevelType w:val="hybridMultilevel"/>
    <w:tmpl w:val="84D8C8E2"/>
    <w:lvl w:ilvl="0" w:tplc="1A0A433C">
      <w:start w:val="1"/>
      <w:numFmt w:val="decimal"/>
      <w:lvlText w:val="%1"/>
      <w:lvlJc w:val="lef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7248"/>
    <w:multiLevelType w:val="hybridMultilevel"/>
    <w:tmpl w:val="2430A098"/>
    <w:lvl w:ilvl="0" w:tplc="36A26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F76C9"/>
    <w:multiLevelType w:val="hybridMultilevel"/>
    <w:tmpl w:val="7DEE7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401BB"/>
    <w:multiLevelType w:val="hybridMultilevel"/>
    <w:tmpl w:val="FF88C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E08D6"/>
    <w:multiLevelType w:val="hybridMultilevel"/>
    <w:tmpl w:val="477E1B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4291C"/>
    <w:multiLevelType w:val="hybridMultilevel"/>
    <w:tmpl w:val="C61CD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B18EB"/>
    <w:multiLevelType w:val="hybridMultilevel"/>
    <w:tmpl w:val="5288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E6"/>
    <w:rsid w:val="00002B25"/>
    <w:rsid w:val="00004C91"/>
    <w:rsid w:val="00005276"/>
    <w:rsid w:val="00005D20"/>
    <w:rsid w:val="000062BF"/>
    <w:rsid w:val="00006977"/>
    <w:rsid w:val="00006CB0"/>
    <w:rsid w:val="00013493"/>
    <w:rsid w:val="00013DAE"/>
    <w:rsid w:val="00020C50"/>
    <w:rsid w:val="00020DBF"/>
    <w:rsid w:val="00022208"/>
    <w:rsid w:val="00023C36"/>
    <w:rsid w:val="0002579D"/>
    <w:rsid w:val="0003201B"/>
    <w:rsid w:val="000325CA"/>
    <w:rsid w:val="000341EB"/>
    <w:rsid w:val="000367AE"/>
    <w:rsid w:val="00036B0E"/>
    <w:rsid w:val="0004012C"/>
    <w:rsid w:val="00040D68"/>
    <w:rsid w:val="00041F7B"/>
    <w:rsid w:val="00042482"/>
    <w:rsid w:val="00043968"/>
    <w:rsid w:val="00045D55"/>
    <w:rsid w:val="00050E9C"/>
    <w:rsid w:val="000520FF"/>
    <w:rsid w:val="00065123"/>
    <w:rsid w:val="000679E1"/>
    <w:rsid w:val="0007336C"/>
    <w:rsid w:val="00074E81"/>
    <w:rsid w:val="000766B5"/>
    <w:rsid w:val="000768DC"/>
    <w:rsid w:val="0008004A"/>
    <w:rsid w:val="00080347"/>
    <w:rsid w:val="000826D4"/>
    <w:rsid w:val="00082BC2"/>
    <w:rsid w:val="000836BF"/>
    <w:rsid w:val="000919D7"/>
    <w:rsid w:val="00092862"/>
    <w:rsid w:val="00093C34"/>
    <w:rsid w:val="00094EC4"/>
    <w:rsid w:val="000960DD"/>
    <w:rsid w:val="00097142"/>
    <w:rsid w:val="000A4131"/>
    <w:rsid w:val="000A6A5F"/>
    <w:rsid w:val="000B07F8"/>
    <w:rsid w:val="000B18CC"/>
    <w:rsid w:val="000B53D8"/>
    <w:rsid w:val="000B651B"/>
    <w:rsid w:val="000D0396"/>
    <w:rsid w:val="000D0A7E"/>
    <w:rsid w:val="000D1EB3"/>
    <w:rsid w:val="000D2749"/>
    <w:rsid w:val="000D332C"/>
    <w:rsid w:val="000D5937"/>
    <w:rsid w:val="000D61B7"/>
    <w:rsid w:val="000D7322"/>
    <w:rsid w:val="000D7939"/>
    <w:rsid w:val="000E1244"/>
    <w:rsid w:val="000E4C0D"/>
    <w:rsid w:val="000F4986"/>
    <w:rsid w:val="001040FD"/>
    <w:rsid w:val="001121EA"/>
    <w:rsid w:val="00114132"/>
    <w:rsid w:val="00114408"/>
    <w:rsid w:val="001201BD"/>
    <w:rsid w:val="00123DD9"/>
    <w:rsid w:val="00126B7E"/>
    <w:rsid w:val="0013393B"/>
    <w:rsid w:val="00137DAE"/>
    <w:rsid w:val="00137DD6"/>
    <w:rsid w:val="00141EFC"/>
    <w:rsid w:val="00142A96"/>
    <w:rsid w:val="001457FF"/>
    <w:rsid w:val="00145AA6"/>
    <w:rsid w:val="001513B0"/>
    <w:rsid w:val="00153C04"/>
    <w:rsid w:val="00154492"/>
    <w:rsid w:val="00160584"/>
    <w:rsid w:val="00163643"/>
    <w:rsid w:val="00163E00"/>
    <w:rsid w:val="001659C2"/>
    <w:rsid w:val="00167A4D"/>
    <w:rsid w:val="00171A8E"/>
    <w:rsid w:val="00173CB2"/>
    <w:rsid w:val="00174D37"/>
    <w:rsid w:val="00187392"/>
    <w:rsid w:val="00190F6A"/>
    <w:rsid w:val="00193583"/>
    <w:rsid w:val="00193F5B"/>
    <w:rsid w:val="0019498F"/>
    <w:rsid w:val="0019708D"/>
    <w:rsid w:val="001A0189"/>
    <w:rsid w:val="001A05C2"/>
    <w:rsid w:val="001A5137"/>
    <w:rsid w:val="001A7E13"/>
    <w:rsid w:val="001B13E3"/>
    <w:rsid w:val="001B17F8"/>
    <w:rsid w:val="001B64A2"/>
    <w:rsid w:val="001C4EDF"/>
    <w:rsid w:val="001C507E"/>
    <w:rsid w:val="001C6C7A"/>
    <w:rsid w:val="001C74A3"/>
    <w:rsid w:val="001C7F28"/>
    <w:rsid w:val="001D3B5B"/>
    <w:rsid w:val="001D40D9"/>
    <w:rsid w:val="001D5BE3"/>
    <w:rsid w:val="001D79B0"/>
    <w:rsid w:val="001F1319"/>
    <w:rsid w:val="001F358F"/>
    <w:rsid w:val="001F553F"/>
    <w:rsid w:val="001F59E9"/>
    <w:rsid w:val="002009F8"/>
    <w:rsid w:val="00202360"/>
    <w:rsid w:val="00202394"/>
    <w:rsid w:val="00202C26"/>
    <w:rsid w:val="002030A1"/>
    <w:rsid w:val="0020746C"/>
    <w:rsid w:val="00207955"/>
    <w:rsid w:val="00210BEF"/>
    <w:rsid w:val="00211F1C"/>
    <w:rsid w:val="00217DA8"/>
    <w:rsid w:val="00221DF5"/>
    <w:rsid w:val="002222DE"/>
    <w:rsid w:val="00224D14"/>
    <w:rsid w:val="00227098"/>
    <w:rsid w:val="00227695"/>
    <w:rsid w:val="002403CD"/>
    <w:rsid w:val="002458F8"/>
    <w:rsid w:val="00247CA9"/>
    <w:rsid w:val="00250EA5"/>
    <w:rsid w:val="00254975"/>
    <w:rsid w:val="0025552A"/>
    <w:rsid w:val="00256D6E"/>
    <w:rsid w:val="00263FA0"/>
    <w:rsid w:val="002666BB"/>
    <w:rsid w:val="00272200"/>
    <w:rsid w:val="00272492"/>
    <w:rsid w:val="002735FD"/>
    <w:rsid w:val="00277070"/>
    <w:rsid w:val="002834C7"/>
    <w:rsid w:val="002859B3"/>
    <w:rsid w:val="00291BD6"/>
    <w:rsid w:val="00292E9D"/>
    <w:rsid w:val="002943E0"/>
    <w:rsid w:val="002950CC"/>
    <w:rsid w:val="002A3499"/>
    <w:rsid w:val="002A44D3"/>
    <w:rsid w:val="002A469E"/>
    <w:rsid w:val="002A659E"/>
    <w:rsid w:val="002A7854"/>
    <w:rsid w:val="002A7A57"/>
    <w:rsid w:val="002A7B8F"/>
    <w:rsid w:val="002B51D5"/>
    <w:rsid w:val="002B5C37"/>
    <w:rsid w:val="002C7BE0"/>
    <w:rsid w:val="002D1113"/>
    <w:rsid w:val="002D1E4A"/>
    <w:rsid w:val="002E0860"/>
    <w:rsid w:val="002E1501"/>
    <w:rsid w:val="002E20C0"/>
    <w:rsid w:val="002E2A10"/>
    <w:rsid w:val="002E3A25"/>
    <w:rsid w:val="002E501B"/>
    <w:rsid w:val="002E5260"/>
    <w:rsid w:val="002E7FCE"/>
    <w:rsid w:val="002F0AAE"/>
    <w:rsid w:val="002F2CA2"/>
    <w:rsid w:val="002F34F2"/>
    <w:rsid w:val="002F4FC2"/>
    <w:rsid w:val="002F5DFD"/>
    <w:rsid w:val="002F7631"/>
    <w:rsid w:val="0030002B"/>
    <w:rsid w:val="00300E24"/>
    <w:rsid w:val="00304BDF"/>
    <w:rsid w:val="0031388D"/>
    <w:rsid w:val="00313AE3"/>
    <w:rsid w:val="00321738"/>
    <w:rsid w:val="003245CC"/>
    <w:rsid w:val="0032757E"/>
    <w:rsid w:val="003326BE"/>
    <w:rsid w:val="0033406D"/>
    <w:rsid w:val="0033635A"/>
    <w:rsid w:val="00337432"/>
    <w:rsid w:val="00337AF4"/>
    <w:rsid w:val="00340508"/>
    <w:rsid w:val="00342CED"/>
    <w:rsid w:val="0035191F"/>
    <w:rsid w:val="00352EFE"/>
    <w:rsid w:val="00353515"/>
    <w:rsid w:val="00354F34"/>
    <w:rsid w:val="00355E5D"/>
    <w:rsid w:val="00366CC7"/>
    <w:rsid w:val="0037156A"/>
    <w:rsid w:val="003770DA"/>
    <w:rsid w:val="00377C3F"/>
    <w:rsid w:val="00380E72"/>
    <w:rsid w:val="00395F6B"/>
    <w:rsid w:val="003A1603"/>
    <w:rsid w:val="003A43EC"/>
    <w:rsid w:val="003B0515"/>
    <w:rsid w:val="003B233E"/>
    <w:rsid w:val="003B43C3"/>
    <w:rsid w:val="003B52E4"/>
    <w:rsid w:val="003B6CBA"/>
    <w:rsid w:val="003B7547"/>
    <w:rsid w:val="003B78E3"/>
    <w:rsid w:val="003C1322"/>
    <w:rsid w:val="003C16B3"/>
    <w:rsid w:val="003C3131"/>
    <w:rsid w:val="003C40DB"/>
    <w:rsid w:val="003C4158"/>
    <w:rsid w:val="003D02A7"/>
    <w:rsid w:val="003D104D"/>
    <w:rsid w:val="003D2226"/>
    <w:rsid w:val="003D24ED"/>
    <w:rsid w:val="003E1196"/>
    <w:rsid w:val="003E6CAA"/>
    <w:rsid w:val="00401F57"/>
    <w:rsid w:val="004147CF"/>
    <w:rsid w:val="004234B0"/>
    <w:rsid w:val="0042367B"/>
    <w:rsid w:val="00426337"/>
    <w:rsid w:val="0043090F"/>
    <w:rsid w:val="00431CCE"/>
    <w:rsid w:val="00432A09"/>
    <w:rsid w:val="00441BB5"/>
    <w:rsid w:val="004425EA"/>
    <w:rsid w:val="00444DC0"/>
    <w:rsid w:val="004521A4"/>
    <w:rsid w:val="00453C89"/>
    <w:rsid w:val="004542DE"/>
    <w:rsid w:val="004553DC"/>
    <w:rsid w:val="0045595A"/>
    <w:rsid w:val="00462AEF"/>
    <w:rsid w:val="00464D73"/>
    <w:rsid w:val="004676D2"/>
    <w:rsid w:val="0047210A"/>
    <w:rsid w:val="004733B4"/>
    <w:rsid w:val="0047425D"/>
    <w:rsid w:val="00474F36"/>
    <w:rsid w:val="0048175F"/>
    <w:rsid w:val="00486A4A"/>
    <w:rsid w:val="00487FC4"/>
    <w:rsid w:val="00490597"/>
    <w:rsid w:val="004955F8"/>
    <w:rsid w:val="004960DF"/>
    <w:rsid w:val="004A098A"/>
    <w:rsid w:val="004A2E4B"/>
    <w:rsid w:val="004A4847"/>
    <w:rsid w:val="004A78EB"/>
    <w:rsid w:val="004B33D2"/>
    <w:rsid w:val="004B4271"/>
    <w:rsid w:val="004B7532"/>
    <w:rsid w:val="004C164E"/>
    <w:rsid w:val="004C3E3C"/>
    <w:rsid w:val="004C6BB4"/>
    <w:rsid w:val="004D2978"/>
    <w:rsid w:val="004E2C8B"/>
    <w:rsid w:val="004E5673"/>
    <w:rsid w:val="004E6A7F"/>
    <w:rsid w:val="004E7E73"/>
    <w:rsid w:val="004F0DD5"/>
    <w:rsid w:val="004F2A4B"/>
    <w:rsid w:val="004F3513"/>
    <w:rsid w:val="004F480D"/>
    <w:rsid w:val="004F4B54"/>
    <w:rsid w:val="004F5051"/>
    <w:rsid w:val="00501A2F"/>
    <w:rsid w:val="00502F1E"/>
    <w:rsid w:val="00506692"/>
    <w:rsid w:val="00507334"/>
    <w:rsid w:val="00507FF6"/>
    <w:rsid w:val="005104E4"/>
    <w:rsid w:val="005120F0"/>
    <w:rsid w:val="00520B44"/>
    <w:rsid w:val="00521E19"/>
    <w:rsid w:val="00522870"/>
    <w:rsid w:val="005245A4"/>
    <w:rsid w:val="0052559A"/>
    <w:rsid w:val="005267FB"/>
    <w:rsid w:val="00526843"/>
    <w:rsid w:val="00530054"/>
    <w:rsid w:val="00541711"/>
    <w:rsid w:val="00541810"/>
    <w:rsid w:val="00541C52"/>
    <w:rsid w:val="005454C1"/>
    <w:rsid w:val="005500A2"/>
    <w:rsid w:val="005516AC"/>
    <w:rsid w:val="00552A1C"/>
    <w:rsid w:val="00557A78"/>
    <w:rsid w:val="00560C3B"/>
    <w:rsid w:val="00561E21"/>
    <w:rsid w:val="00564C84"/>
    <w:rsid w:val="0056546D"/>
    <w:rsid w:val="00565557"/>
    <w:rsid w:val="00565774"/>
    <w:rsid w:val="00567B3F"/>
    <w:rsid w:val="005762DB"/>
    <w:rsid w:val="00582345"/>
    <w:rsid w:val="00582765"/>
    <w:rsid w:val="00584DA9"/>
    <w:rsid w:val="0058636A"/>
    <w:rsid w:val="00592B06"/>
    <w:rsid w:val="00594F04"/>
    <w:rsid w:val="0059552F"/>
    <w:rsid w:val="00597BEC"/>
    <w:rsid w:val="005A3831"/>
    <w:rsid w:val="005B233B"/>
    <w:rsid w:val="005B2799"/>
    <w:rsid w:val="005B3E51"/>
    <w:rsid w:val="005B4EA9"/>
    <w:rsid w:val="005B552F"/>
    <w:rsid w:val="005B6663"/>
    <w:rsid w:val="005B7032"/>
    <w:rsid w:val="005C0301"/>
    <w:rsid w:val="005C227E"/>
    <w:rsid w:val="005C5AAD"/>
    <w:rsid w:val="005E027B"/>
    <w:rsid w:val="005E12F7"/>
    <w:rsid w:val="005E2345"/>
    <w:rsid w:val="005E4431"/>
    <w:rsid w:val="005F0F72"/>
    <w:rsid w:val="00600040"/>
    <w:rsid w:val="0060434A"/>
    <w:rsid w:val="00607325"/>
    <w:rsid w:val="006120CD"/>
    <w:rsid w:val="00613646"/>
    <w:rsid w:val="00614955"/>
    <w:rsid w:val="00614AE3"/>
    <w:rsid w:val="00616D23"/>
    <w:rsid w:val="00617BE1"/>
    <w:rsid w:val="00617EBB"/>
    <w:rsid w:val="0062172E"/>
    <w:rsid w:val="006253D5"/>
    <w:rsid w:val="00625FC4"/>
    <w:rsid w:val="00632236"/>
    <w:rsid w:val="00635387"/>
    <w:rsid w:val="0063552F"/>
    <w:rsid w:val="00635CD6"/>
    <w:rsid w:val="0063617A"/>
    <w:rsid w:val="00643CF5"/>
    <w:rsid w:val="00645497"/>
    <w:rsid w:val="00650075"/>
    <w:rsid w:val="00654092"/>
    <w:rsid w:val="00654842"/>
    <w:rsid w:val="00655864"/>
    <w:rsid w:val="006558DA"/>
    <w:rsid w:val="00664506"/>
    <w:rsid w:val="00664A47"/>
    <w:rsid w:val="00671436"/>
    <w:rsid w:val="00672B27"/>
    <w:rsid w:val="0067571A"/>
    <w:rsid w:val="00677B28"/>
    <w:rsid w:val="00677B65"/>
    <w:rsid w:val="006831F7"/>
    <w:rsid w:val="006852F7"/>
    <w:rsid w:val="0069403E"/>
    <w:rsid w:val="006A43AB"/>
    <w:rsid w:val="006A55F2"/>
    <w:rsid w:val="006A7A8D"/>
    <w:rsid w:val="006B6686"/>
    <w:rsid w:val="006C2198"/>
    <w:rsid w:val="006C78D6"/>
    <w:rsid w:val="006E010D"/>
    <w:rsid w:val="006E4BEF"/>
    <w:rsid w:val="006E4DBF"/>
    <w:rsid w:val="006E75B8"/>
    <w:rsid w:val="006E7851"/>
    <w:rsid w:val="006F3653"/>
    <w:rsid w:val="006F3967"/>
    <w:rsid w:val="006F3B0C"/>
    <w:rsid w:val="006F5FFF"/>
    <w:rsid w:val="006F6DCE"/>
    <w:rsid w:val="00700185"/>
    <w:rsid w:val="00703259"/>
    <w:rsid w:val="00705018"/>
    <w:rsid w:val="00705A41"/>
    <w:rsid w:val="00710B9C"/>
    <w:rsid w:val="007129AA"/>
    <w:rsid w:val="00714279"/>
    <w:rsid w:val="00714A30"/>
    <w:rsid w:val="00714C7B"/>
    <w:rsid w:val="00714D02"/>
    <w:rsid w:val="00714E4F"/>
    <w:rsid w:val="007152C0"/>
    <w:rsid w:val="007213D5"/>
    <w:rsid w:val="00722C05"/>
    <w:rsid w:val="00723578"/>
    <w:rsid w:val="00726280"/>
    <w:rsid w:val="00727750"/>
    <w:rsid w:val="00731F25"/>
    <w:rsid w:val="00733EAF"/>
    <w:rsid w:val="00740F31"/>
    <w:rsid w:val="007459CE"/>
    <w:rsid w:val="00753C00"/>
    <w:rsid w:val="00754751"/>
    <w:rsid w:val="00760530"/>
    <w:rsid w:val="007653ED"/>
    <w:rsid w:val="00765889"/>
    <w:rsid w:val="00766985"/>
    <w:rsid w:val="00770BA1"/>
    <w:rsid w:val="00775265"/>
    <w:rsid w:val="00775C00"/>
    <w:rsid w:val="00776403"/>
    <w:rsid w:val="00781953"/>
    <w:rsid w:val="00784CA6"/>
    <w:rsid w:val="00785934"/>
    <w:rsid w:val="0078754E"/>
    <w:rsid w:val="00795701"/>
    <w:rsid w:val="00796692"/>
    <w:rsid w:val="0079788D"/>
    <w:rsid w:val="007B30C8"/>
    <w:rsid w:val="007B32D2"/>
    <w:rsid w:val="007B3AC8"/>
    <w:rsid w:val="007B59A7"/>
    <w:rsid w:val="007B5BAC"/>
    <w:rsid w:val="007C21B7"/>
    <w:rsid w:val="007C3F99"/>
    <w:rsid w:val="007C556C"/>
    <w:rsid w:val="007C6476"/>
    <w:rsid w:val="007D0E75"/>
    <w:rsid w:val="007D122B"/>
    <w:rsid w:val="007D1E39"/>
    <w:rsid w:val="007D3C83"/>
    <w:rsid w:val="007D62C9"/>
    <w:rsid w:val="007E1A7C"/>
    <w:rsid w:val="007E772B"/>
    <w:rsid w:val="007F1CDC"/>
    <w:rsid w:val="007F23A4"/>
    <w:rsid w:val="007F42AD"/>
    <w:rsid w:val="00802190"/>
    <w:rsid w:val="00804658"/>
    <w:rsid w:val="00805E73"/>
    <w:rsid w:val="00806D69"/>
    <w:rsid w:val="00806F17"/>
    <w:rsid w:val="00810C38"/>
    <w:rsid w:val="00813B00"/>
    <w:rsid w:val="00814CDB"/>
    <w:rsid w:val="00814F3A"/>
    <w:rsid w:val="00815212"/>
    <w:rsid w:val="0081596B"/>
    <w:rsid w:val="00817A66"/>
    <w:rsid w:val="0082132C"/>
    <w:rsid w:val="0082188B"/>
    <w:rsid w:val="00821D72"/>
    <w:rsid w:val="00822CB2"/>
    <w:rsid w:val="00823F87"/>
    <w:rsid w:val="00831782"/>
    <w:rsid w:val="008331CE"/>
    <w:rsid w:val="00833AC4"/>
    <w:rsid w:val="00835673"/>
    <w:rsid w:val="00836D8B"/>
    <w:rsid w:val="0083751B"/>
    <w:rsid w:val="00840520"/>
    <w:rsid w:val="00842D3A"/>
    <w:rsid w:val="008432AB"/>
    <w:rsid w:val="00850377"/>
    <w:rsid w:val="00850CAF"/>
    <w:rsid w:val="008516E5"/>
    <w:rsid w:val="00852583"/>
    <w:rsid w:val="00856419"/>
    <w:rsid w:val="00861EAF"/>
    <w:rsid w:val="00863FD4"/>
    <w:rsid w:val="00867F70"/>
    <w:rsid w:val="00871C50"/>
    <w:rsid w:val="008732B5"/>
    <w:rsid w:val="00880A13"/>
    <w:rsid w:val="00881C29"/>
    <w:rsid w:val="008869B6"/>
    <w:rsid w:val="00887395"/>
    <w:rsid w:val="00890293"/>
    <w:rsid w:val="00893A91"/>
    <w:rsid w:val="008A7D42"/>
    <w:rsid w:val="008B0054"/>
    <w:rsid w:val="008B0582"/>
    <w:rsid w:val="008B10B6"/>
    <w:rsid w:val="008B1271"/>
    <w:rsid w:val="008B49D0"/>
    <w:rsid w:val="008B4AD9"/>
    <w:rsid w:val="008C00C8"/>
    <w:rsid w:val="008C40A0"/>
    <w:rsid w:val="008C4F6A"/>
    <w:rsid w:val="008D5F2B"/>
    <w:rsid w:val="008D5FD8"/>
    <w:rsid w:val="008E0F25"/>
    <w:rsid w:val="008E450C"/>
    <w:rsid w:val="008F06DD"/>
    <w:rsid w:val="008F09AC"/>
    <w:rsid w:val="008F0CCE"/>
    <w:rsid w:val="008F12A5"/>
    <w:rsid w:val="008F4709"/>
    <w:rsid w:val="009005C1"/>
    <w:rsid w:val="0090218C"/>
    <w:rsid w:val="009048D4"/>
    <w:rsid w:val="009064D9"/>
    <w:rsid w:val="00906584"/>
    <w:rsid w:val="00906B63"/>
    <w:rsid w:val="00907491"/>
    <w:rsid w:val="009138A5"/>
    <w:rsid w:val="009177F2"/>
    <w:rsid w:val="00920210"/>
    <w:rsid w:val="0092201C"/>
    <w:rsid w:val="009220C8"/>
    <w:rsid w:val="00926DA3"/>
    <w:rsid w:val="00930E5D"/>
    <w:rsid w:val="00934765"/>
    <w:rsid w:val="009358DB"/>
    <w:rsid w:val="009362A4"/>
    <w:rsid w:val="00942160"/>
    <w:rsid w:val="00950E88"/>
    <w:rsid w:val="0095301A"/>
    <w:rsid w:val="00954676"/>
    <w:rsid w:val="009570DF"/>
    <w:rsid w:val="009627AC"/>
    <w:rsid w:val="00972E75"/>
    <w:rsid w:val="009763C4"/>
    <w:rsid w:val="009764EA"/>
    <w:rsid w:val="00977784"/>
    <w:rsid w:val="0098584F"/>
    <w:rsid w:val="0098644E"/>
    <w:rsid w:val="00986E0D"/>
    <w:rsid w:val="00986E70"/>
    <w:rsid w:val="009914C9"/>
    <w:rsid w:val="009917AE"/>
    <w:rsid w:val="00993ADF"/>
    <w:rsid w:val="009964A6"/>
    <w:rsid w:val="009A0726"/>
    <w:rsid w:val="009A14D9"/>
    <w:rsid w:val="009A2BF5"/>
    <w:rsid w:val="009A5A57"/>
    <w:rsid w:val="009B5FBC"/>
    <w:rsid w:val="009C0852"/>
    <w:rsid w:val="009C1B72"/>
    <w:rsid w:val="009C2985"/>
    <w:rsid w:val="009D22C3"/>
    <w:rsid w:val="009D2800"/>
    <w:rsid w:val="009E1496"/>
    <w:rsid w:val="009E479F"/>
    <w:rsid w:val="009F3CC8"/>
    <w:rsid w:val="009F4334"/>
    <w:rsid w:val="009F474D"/>
    <w:rsid w:val="00A109D4"/>
    <w:rsid w:val="00A121B1"/>
    <w:rsid w:val="00A12A2A"/>
    <w:rsid w:val="00A13FA9"/>
    <w:rsid w:val="00A1697E"/>
    <w:rsid w:val="00A23E8F"/>
    <w:rsid w:val="00A24AFF"/>
    <w:rsid w:val="00A25FE5"/>
    <w:rsid w:val="00A267A2"/>
    <w:rsid w:val="00A300F4"/>
    <w:rsid w:val="00A338C6"/>
    <w:rsid w:val="00A35B4D"/>
    <w:rsid w:val="00A4251C"/>
    <w:rsid w:val="00A437D2"/>
    <w:rsid w:val="00A44DB6"/>
    <w:rsid w:val="00A53E13"/>
    <w:rsid w:val="00A564F1"/>
    <w:rsid w:val="00A73315"/>
    <w:rsid w:val="00A7566D"/>
    <w:rsid w:val="00A81EDB"/>
    <w:rsid w:val="00A91D95"/>
    <w:rsid w:val="00A91F1C"/>
    <w:rsid w:val="00A92128"/>
    <w:rsid w:val="00A9293F"/>
    <w:rsid w:val="00A92CA9"/>
    <w:rsid w:val="00A941EC"/>
    <w:rsid w:val="00A95051"/>
    <w:rsid w:val="00A9639D"/>
    <w:rsid w:val="00AA21B7"/>
    <w:rsid w:val="00AB0882"/>
    <w:rsid w:val="00AB12D0"/>
    <w:rsid w:val="00AB1F06"/>
    <w:rsid w:val="00AB2EA0"/>
    <w:rsid w:val="00AB3BCE"/>
    <w:rsid w:val="00AB555C"/>
    <w:rsid w:val="00AC0944"/>
    <w:rsid w:val="00AC12AA"/>
    <w:rsid w:val="00AC49D7"/>
    <w:rsid w:val="00AD64F3"/>
    <w:rsid w:val="00AE6451"/>
    <w:rsid w:val="00AE6BE2"/>
    <w:rsid w:val="00AF08E8"/>
    <w:rsid w:val="00AF43A8"/>
    <w:rsid w:val="00B01444"/>
    <w:rsid w:val="00B01587"/>
    <w:rsid w:val="00B04F3B"/>
    <w:rsid w:val="00B100BE"/>
    <w:rsid w:val="00B124DF"/>
    <w:rsid w:val="00B12707"/>
    <w:rsid w:val="00B132A3"/>
    <w:rsid w:val="00B137C7"/>
    <w:rsid w:val="00B139DB"/>
    <w:rsid w:val="00B15A63"/>
    <w:rsid w:val="00B15DF1"/>
    <w:rsid w:val="00B31624"/>
    <w:rsid w:val="00B36105"/>
    <w:rsid w:val="00B37A4B"/>
    <w:rsid w:val="00B4522C"/>
    <w:rsid w:val="00B47E4A"/>
    <w:rsid w:val="00B55A2B"/>
    <w:rsid w:val="00B6264A"/>
    <w:rsid w:val="00B6439C"/>
    <w:rsid w:val="00B700D0"/>
    <w:rsid w:val="00B7032D"/>
    <w:rsid w:val="00B71591"/>
    <w:rsid w:val="00B75E4C"/>
    <w:rsid w:val="00B77ACC"/>
    <w:rsid w:val="00B77D72"/>
    <w:rsid w:val="00B77DDE"/>
    <w:rsid w:val="00B92093"/>
    <w:rsid w:val="00B9299D"/>
    <w:rsid w:val="00B93C53"/>
    <w:rsid w:val="00B95F5F"/>
    <w:rsid w:val="00B96FF2"/>
    <w:rsid w:val="00B97A9B"/>
    <w:rsid w:val="00BA06F8"/>
    <w:rsid w:val="00BA3172"/>
    <w:rsid w:val="00BA42F5"/>
    <w:rsid w:val="00BA4BE0"/>
    <w:rsid w:val="00BA5D92"/>
    <w:rsid w:val="00BA7D89"/>
    <w:rsid w:val="00BB1BDA"/>
    <w:rsid w:val="00BB2839"/>
    <w:rsid w:val="00BB4A43"/>
    <w:rsid w:val="00BD02A0"/>
    <w:rsid w:val="00BE0450"/>
    <w:rsid w:val="00BE2354"/>
    <w:rsid w:val="00BE405F"/>
    <w:rsid w:val="00BE42FD"/>
    <w:rsid w:val="00BF0CD5"/>
    <w:rsid w:val="00BF2B30"/>
    <w:rsid w:val="00C0055D"/>
    <w:rsid w:val="00C038C2"/>
    <w:rsid w:val="00C03F2F"/>
    <w:rsid w:val="00C10138"/>
    <w:rsid w:val="00C1151C"/>
    <w:rsid w:val="00C165FC"/>
    <w:rsid w:val="00C16C82"/>
    <w:rsid w:val="00C20DA1"/>
    <w:rsid w:val="00C37E05"/>
    <w:rsid w:val="00C517EB"/>
    <w:rsid w:val="00C53AEC"/>
    <w:rsid w:val="00C6086D"/>
    <w:rsid w:val="00C60C87"/>
    <w:rsid w:val="00C60D64"/>
    <w:rsid w:val="00C66E89"/>
    <w:rsid w:val="00C714EF"/>
    <w:rsid w:val="00C7476B"/>
    <w:rsid w:val="00C74F0D"/>
    <w:rsid w:val="00C765DA"/>
    <w:rsid w:val="00C76DB6"/>
    <w:rsid w:val="00C81C9F"/>
    <w:rsid w:val="00C82817"/>
    <w:rsid w:val="00C82FA7"/>
    <w:rsid w:val="00C84681"/>
    <w:rsid w:val="00C86176"/>
    <w:rsid w:val="00C86259"/>
    <w:rsid w:val="00C9286A"/>
    <w:rsid w:val="00C93203"/>
    <w:rsid w:val="00C9590A"/>
    <w:rsid w:val="00C9649C"/>
    <w:rsid w:val="00C975E5"/>
    <w:rsid w:val="00C9762E"/>
    <w:rsid w:val="00CA30E0"/>
    <w:rsid w:val="00CA316A"/>
    <w:rsid w:val="00CA34A6"/>
    <w:rsid w:val="00CA5A76"/>
    <w:rsid w:val="00CA60E1"/>
    <w:rsid w:val="00CB0D4A"/>
    <w:rsid w:val="00CB6EF6"/>
    <w:rsid w:val="00CB72C5"/>
    <w:rsid w:val="00CC3285"/>
    <w:rsid w:val="00CC7C45"/>
    <w:rsid w:val="00CC7F85"/>
    <w:rsid w:val="00CD0A17"/>
    <w:rsid w:val="00CD1DDD"/>
    <w:rsid w:val="00CD3AA4"/>
    <w:rsid w:val="00CD5BD7"/>
    <w:rsid w:val="00CD618D"/>
    <w:rsid w:val="00CD6F25"/>
    <w:rsid w:val="00CD79D4"/>
    <w:rsid w:val="00CE6663"/>
    <w:rsid w:val="00CE7284"/>
    <w:rsid w:val="00CF4FB8"/>
    <w:rsid w:val="00CF5151"/>
    <w:rsid w:val="00CF5875"/>
    <w:rsid w:val="00CF58B3"/>
    <w:rsid w:val="00D0003D"/>
    <w:rsid w:val="00D021C0"/>
    <w:rsid w:val="00D02F6A"/>
    <w:rsid w:val="00D11383"/>
    <w:rsid w:val="00D13131"/>
    <w:rsid w:val="00D13B5E"/>
    <w:rsid w:val="00D14991"/>
    <w:rsid w:val="00D14CFC"/>
    <w:rsid w:val="00D14D91"/>
    <w:rsid w:val="00D23C86"/>
    <w:rsid w:val="00D24510"/>
    <w:rsid w:val="00D25002"/>
    <w:rsid w:val="00D2684D"/>
    <w:rsid w:val="00D26B7E"/>
    <w:rsid w:val="00D27AF6"/>
    <w:rsid w:val="00D3488D"/>
    <w:rsid w:val="00D37523"/>
    <w:rsid w:val="00D40D1C"/>
    <w:rsid w:val="00D41C6E"/>
    <w:rsid w:val="00D51CAF"/>
    <w:rsid w:val="00D527DE"/>
    <w:rsid w:val="00D559E2"/>
    <w:rsid w:val="00D6113D"/>
    <w:rsid w:val="00D61C42"/>
    <w:rsid w:val="00D625F8"/>
    <w:rsid w:val="00D636F6"/>
    <w:rsid w:val="00D70631"/>
    <w:rsid w:val="00D73859"/>
    <w:rsid w:val="00D74D97"/>
    <w:rsid w:val="00D7657D"/>
    <w:rsid w:val="00D76901"/>
    <w:rsid w:val="00D820D8"/>
    <w:rsid w:val="00D8221D"/>
    <w:rsid w:val="00D823A0"/>
    <w:rsid w:val="00D82437"/>
    <w:rsid w:val="00D84DBA"/>
    <w:rsid w:val="00D86179"/>
    <w:rsid w:val="00D86C24"/>
    <w:rsid w:val="00D971E0"/>
    <w:rsid w:val="00DA026A"/>
    <w:rsid w:val="00DA111E"/>
    <w:rsid w:val="00DA295C"/>
    <w:rsid w:val="00DA4883"/>
    <w:rsid w:val="00DB29CB"/>
    <w:rsid w:val="00DB3A91"/>
    <w:rsid w:val="00DC1103"/>
    <w:rsid w:val="00DC1205"/>
    <w:rsid w:val="00DC1BEA"/>
    <w:rsid w:val="00DC456A"/>
    <w:rsid w:val="00DD1C5A"/>
    <w:rsid w:val="00DD3AF7"/>
    <w:rsid w:val="00DD454D"/>
    <w:rsid w:val="00DD6B0F"/>
    <w:rsid w:val="00DD6FCA"/>
    <w:rsid w:val="00DD7142"/>
    <w:rsid w:val="00DD72AB"/>
    <w:rsid w:val="00DE0995"/>
    <w:rsid w:val="00DE2655"/>
    <w:rsid w:val="00DE3BF9"/>
    <w:rsid w:val="00DE55B1"/>
    <w:rsid w:val="00DE7BF6"/>
    <w:rsid w:val="00DF5192"/>
    <w:rsid w:val="00DF5EA1"/>
    <w:rsid w:val="00DF6B91"/>
    <w:rsid w:val="00DF7235"/>
    <w:rsid w:val="00E00943"/>
    <w:rsid w:val="00E032E9"/>
    <w:rsid w:val="00E04E80"/>
    <w:rsid w:val="00E05037"/>
    <w:rsid w:val="00E051D3"/>
    <w:rsid w:val="00E0760B"/>
    <w:rsid w:val="00E12DB6"/>
    <w:rsid w:val="00E16DE1"/>
    <w:rsid w:val="00E17315"/>
    <w:rsid w:val="00E17343"/>
    <w:rsid w:val="00E2042B"/>
    <w:rsid w:val="00E20EDF"/>
    <w:rsid w:val="00E22278"/>
    <w:rsid w:val="00E24590"/>
    <w:rsid w:val="00E25448"/>
    <w:rsid w:val="00E25D53"/>
    <w:rsid w:val="00E2677F"/>
    <w:rsid w:val="00E368CF"/>
    <w:rsid w:val="00E4397A"/>
    <w:rsid w:val="00E43A5C"/>
    <w:rsid w:val="00E6232B"/>
    <w:rsid w:val="00E6313D"/>
    <w:rsid w:val="00E6714C"/>
    <w:rsid w:val="00E7192B"/>
    <w:rsid w:val="00E80782"/>
    <w:rsid w:val="00E80A2E"/>
    <w:rsid w:val="00E81176"/>
    <w:rsid w:val="00E840A4"/>
    <w:rsid w:val="00E919C1"/>
    <w:rsid w:val="00E92147"/>
    <w:rsid w:val="00E92BDE"/>
    <w:rsid w:val="00E950FF"/>
    <w:rsid w:val="00E9533E"/>
    <w:rsid w:val="00E97240"/>
    <w:rsid w:val="00E97586"/>
    <w:rsid w:val="00EA0045"/>
    <w:rsid w:val="00EA056A"/>
    <w:rsid w:val="00EA0E61"/>
    <w:rsid w:val="00EA2C5C"/>
    <w:rsid w:val="00EA3699"/>
    <w:rsid w:val="00EA43E6"/>
    <w:rsid w:val="00EA63E3"/>
    <w:rsid w:val="00EA679B"/>
    <w:rsid w:val="00EA729F"/>
    <w:rsid w:val="00EB346A"/>
    <w:rsid w:val="00EB35FC"/>
    <w:rsid w:val="00EB5C97"/>
    <w:rsid w:val="00EC3C34"/>
    <w:rsid w:val="00EC5D1C"/>
    <w:rsid w:val="00EC6E3D"/>
    <w:rsid w:val="00ED21B8"/>
    <w:rsid w:val="00ED65A9"/>
    <w:rsid w:val="00ED6978"/>
    <w:rsid w:val="00EE2029"/>
    <w:rsid w:val="00EE2692"/>
    <w:rsid w:val="00EE3284"/>
    <w:rsid w:val="00EE6A1F"/>
    <w:rsid w:val="00EE79CA"/>
    <w:rsid w:val="00EF01A7"/>
    <w:rsid w:val="00EF0DE1"/>
    <w:rsid w:val="00EF2AC1"/>
    <w:rsid w:val="00EF2B26"/>
    <w:rsid w:val="00EF4E5A"/>
    <w:rsid w:val="00EF5E82"/>
    <w:rsid w:val="00EF69F6"/>
    <w:rsid w:val="00F00EFB"/>
    <w:rsid w:val="00F16BA3"/>
    <w:rsid w:val="00F17C02"/>
    <w:rsid w:val="00F2454E"/>
    <w:rsid w:val="00F2748E"/>
    <w:rsid w:val="00F31EED"/>
    <w:rsid w:val="00F32E34"/>
    <w:rsid w:val="00F3429B"/>
    <w:rsid w:val="00F35607"/>
    <w:rsid w:val="00F525D2"/>
    <w:rsid w:val="00F537EC"/>
    <w:rsid w:val="00F57F91"/>
    <w:rsid w:val="00F60729"/>
    <w:rsid w:val="00F610E5"/>
    <w:rsid w:val="00F61CDB"/>
    <w:rsid w:val="00F62D48"/>
    <w:rsid w:val="00F636EB"/>
    <w:rsid w:val="00F67AAC"/>
    <w:rsid w:val="00F72A8D"/>
    <w:rsid w:val="00F74221"/>
    <w:rsid w:val="00F8697D"/>
    <w:rsid w:val="00F916C4"/>
    <w:rsid w:val="00F94219"/>
    <w:rsid w:val="00F94251"/>
    <w:rsid w:val="00F95698"/>
    <w:rsid w:val="00F9755D"/>
    <w:rsid w:val="00FA15C9"/>
    <w:rsid w:val="00FA1799"/>
    <w:rsid w:val="00FA62F4"/>
    <w:rsid w:val="00FA670A"/>
    <w:rsid w:val="00FA69A1"/>
    <w:rsid w:val="00FA6DBF"/>
    <w:rsid w:val="00FB1331"/>
    <w:rsid w:val="00FB3C30"/>
    <w:rsid w:val="00FB63DE"/>
    <w:rsid w:val="00FC16F0"/>
    <w:rsid w:val="00FC325E"/>
    <w:rsid w:val="00FC4692"/>
    <w:rsid w:val="00FC79D7"/>
    <w:rsid w:val="00FD090E"/>
    <w:rsid w:val="00FD1D52"/>
    <w:rsid w:val="00FD44A2"/>
    <w:rsid w:val="00FE110B"/>
    <w:rsid w:val="00FE1CBD"/>
    <w:rsid w:val="00FE2A7E"/>
    <w:rsid w:val="00FE3E32"/>
    <w:rsid w:val="00FE40B2"/>
    <w:rsid w:val="00FE458E"/>
    <w:rsid w:val="00FE48F0"/>
    <w:rsid w:val="00FF3BAB"/>
    <w:rsid w:val="00FF420A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3E119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unhideWhenUsed/>
    <w:rsid w:val="00AB1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 w:bidi="hi-IN"/>
    </w:rPr>
  </w:style>
  <w:style w:type="character" w:customStyle="1" w:styleId="HTMLChar">
    <w:name w:val="HTML 预设格式 Char"/>
    <w:basedOn w:val="a0"/>
    <w:link w:val="HTML"/>
    <w:uiPriority w:val="99"/>
    <w:rsid w:val="00AB1F06"/>
    <w:rPr>
      <w:rFonts w:ascii="Courier New" w:eastAsia="Times New Roman" w:hAnsi="Courier New" w:cs="Courier New"/>
      <w:sz w:val="20"/>
      <w:szCs w:val="20"/>
      <w:lang w:eastAsia="el-GR" w:bidi="hi-IN"/>
    </w:rPr>
  </w:style>
  <w:style w:type="paragraph" w:styleId="a4">
    <w:name w:val="List Paragraph"/>
    <w:basedOn w:val="a"/>
    <w:uiPriority w:val="34"/>
    <w:qFormat/>
    <w:rsid w:val="00B37A4B"/>
    <w:pPr>
      <w:ind w:left="720"/>
      <w:contextualSpacing/>
    </w:pPr>
  </w:style>
  <w:style w:type="table" w:styleId="a5">
    <w:name w:val="Table Grid"/>
    <w:basedOn w:val="a1"/>
    <w:uiPriority w:val="59"/>
    <w:rsid w:val="00DF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A4883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A4883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7"/>
    <w:uiPriority w:val="99"/>
    <w:semiHidden/>
    <w:rsid w:val="00DA4883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A4883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DA4883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1F358F"/>
    <w:rPr>
      <w:color w:val="0000FF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B97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页眉 Char"/>
    <w:basedOn w:val="a0"/>
    <w:link w:val="aa"/>
    <w:uiPriority w:val="99"/>
    <w:rsid w:val="00B97A9B"/>
  </w:style>
  <w:style w:type="paragraph" w:styleId="ab">
    <w:name w:val="footer"/>
    <w:basedOn w:val="a"/>
    <w:link w:val="Char3"/>
    <w:uiPriority w:val="99"/>
    <w:unhideWhenUsed/>
    <w:rsid w:val="00B97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页脚 Char"/>
    <w:basedOn w:val="a0"/>
    <w:link w:val="ab"/>
    <w:uiPriority w:val="99"/>
    <w:rsid w:val="00B97A9B"/>
  </w:style>
  <w:style w:type="paragraph" w:styleId="ac">
    <w:name w:val="Plain Text"/>
    <w:basedOn w:val="a"/>
    <w:link w:val="Char4"/>
    <w:unhideWhenUsed/>
    <w:rsid w:val="00F31EED"/>
    <w:pPr>
      <w:widowControl w:val="0"/>
      <w:spacing w:after="0" w:line="240" w:lineRule="auto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Char4">
    <w:name w:val="纯文本 Char"/>
    <w:basedOn w:val="a0"/>
    <w:link w:val="ac"/>
    <w:rsid w:val="00F31EED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styleId="ad">
    <w:name w:val="Emphasis"/>
    <w:basedOn w:val="a0"/>
    <w:uiPriority w:val="20"/>
    <w:qFormat/>
    <w:rsid w:val="003B0515"/>
    <w:rPr>
      <w:i/>
      <w:iCs/>
    </w:rPr>
  </w:style>
  <w:style w:type="character" w:customStyle="1" w:styleId="apple-converted-space">
    <w:name w:val="apple-converted-space"/>
    <w:basedOn w:val="a0"/>
    <w:rsid w:val="005C2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3E119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unhideWhenUsed/>
    <w:rsid w:val="00AB1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 w:bidi="hi-IN"/>
    </w:rPr>
  </w:style>
  <w:style w:type="character" w:customStyle="1" w:styleId="HTMLChar">
    <w:name w:val="HTML 预设格式 Char"/>
    <w:basedOn w:val="a0"/>
    <w:link w:val="HTML"/>
    <w:uiPriority w:val="99"/>
    <w:rsid w:val="00AB1F06"/>
    <w:rPr>
      <w:rFonts w:ascii="Courier New" w:eastAsia="Times New Roman" w:hAnsi="Courier New" w:cs="Courier New"/>
      <w:sz w:val="20"/>
      <w:szCs w:val="20"/>
      <w:lang w:eastAsia="el-GR" w:bidi="hi-IN"/>
    </w:rPr>
  </w:style>
  <w:style w:type="paragraph" w:styleId="a4">
    <w:name w:val="List Paragraph"/>
    <w:basedOn w:val="a"/>
    <w:uiPriority w:val="34"/>
    <w:qFormat/>
    <w:rsid w:val="00B37A4B"/>
    <w:pPr>
      <w:ind w:left="720"/>
      <w:contextualSpacing/>
    </w:pPr>
  </w:style>
  <w:style w:type="table" w:styleId="a5">
    <w:name w:val="Table Grid"/>
    <w:basedOn w:val="a1"/>
    <w:uiPriority w:val="59"/>
    <w:rsid w:val="00DF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A4883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A4883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7"/>
    <w:uiPriority w:val="99"/>
    <w:semiHidden/>
    <w:rsid w:val="00DA4883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A4883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DA4883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1F358F"/>
    <w:rPr>
      <w:color w:val="0000FF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B97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页眉 Char"/>
    <w:basedOn w:val="a0"/>
    <w:link w:val="aa"/>
    <w:uiPriority w:val="99"/>
    <w:rsid w:val="00B97A9B"/>
  </w:style>
  <w:style w:type="paragraph" w:styleId="ab">
    <w:name w:val="footer"/>
    <w:basedOn w:val="a"/>
    <w:link w:val="Char3"/>
    <w:uiPriority w:val="99"/>
    <w:unhideWhenUsed/>
    <w:rsid w:val="00B97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页脚 Char"/>
    <w:basedOn w:val="a0"/>
    <w:link w:val="ab"/>
    <w:uiPriority w:val="99"/>
    <w:rsid w:val="00B97A9B"/>
  </w:style>
  <w:style w:type="paragraph" w:styleId="ac">
    <w:name w:val="Plain Text"/>
    <w:basedOn w:val="a"/>
    <w:link w:val="Char4"/>
    <w:unhideWhenUsed/>
    <w:rsid w:val="00F31EED"/>
    <w:pPr>
      <w:widowControl w:val="0"/>
      <w:spacing w:after="0" w:line="240" w:lineRule="auto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Char4">
    <w:name w:val="纯文本 Char"/>
    <w:basedOn w:val="a0"/>
    <w:link w:val="ac"/>
    <w:rsid w:val="00F31EED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styleId="ad">
    <w:name w:val="Emphasis"/>
    <w:basedOn w:val="a0"/>
    <w:uiPriority w:val="20"/>
    <w:qFormat/>
    <w:rsid w:val="003B0515"/>
    <w:rPr>
      <w:i/>
      <w:iCs/>
    </w:rPr>
  </w:style>
  <w:style w:type="character" w:customStyle="1" w:styleId="apple-converted-space">
    <w:name w:val="apple-converted-space"/>
    <w:basedOn w:val="a0"/>
    <w:rsid w:val="005C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PowerPoint_Slide2.sld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PowerPoint_Slide1.sldx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zezosp13@hot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50BA-CE9D-4DFA-8688-3639351B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5267</Words>
  <Characters>30028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 Ma</cp:lastModifiedBy>
  <cp:revision>2</cp:revision>
  <cp:lastPrinted>2014-01-06T14:28:00Z</cp:lastPrinted>
  <dcterms:created xsi:type="dcterms:W3CDTF">2014-06-14T00:24:00Z</dcterms:created>
  <dcterms:modified xsi:type="dcterms:W3CDTF">2014-06-14T00:24:00Z</dcterms:modified>
</cp:coreProperties>
</file>