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89619</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spacing w:line="360" w:lineRule="auto"/>
        <w:jc w:val="both"/>
      </w:pPr>
    </w:p>
    <w:p>
      <w:pPr>
        <w:spacing w:line="360" w:lineRule="auto"/>
        <w:jc w:val="both"/>
      </w:pPr>
      <w:r>
        <w:rPr>
          <w:rFonts w:ascii="Book Antiqua" w:hAnsi="Book Antiqua" w:eastAsia="Book Antiqua" w:cs="Book Antiqua"/>
          <w:b/>
          <w:bCs/>
          <w:color w:val="000000"/>
        </w:rPr>
        <w:t>Pressure pain sensitivity: A new stress measure in children and adolescents with type 1 diabetes?</w:t>
      </w:r>
    </w:p>
    <w:p>
      <w:pPr>
        <w:spacing w:line="360" w:lineRule="auto"/>
        <w:jc w:val="both"/>
      </w:pPr>
    </w:p>
    <w:p>
      <w:pPr>
        <w:spacing w:line="360" w:lineRule="auto"/>
        <w:jc w:val="both"/>
      </w:pPr>
      <w:r>
        <w:rPr>
          <w:rFonts w:ascii="Book Antiqua" w:hAnsi="Book Antiqua" w:eastAsia="Book Antiqua" w:cs="Book Antiqua"/>
          <w:color w:val="000000"/>
        </w:rPr>
        <w:t xml:space="preserve">Grauslund AC </w:t>
      </w:r>
      <w:r>
        <w:rPr>
          <w:rFonts w:ascii="Book Antiqua" w:hAnsi="Book Antiqua" w:eastAsia="Book Antiqua" w:cs="Book Antiqua"/>
          <w:i/>
          <w:iCs/>
          <w:color w:val="000000"/>
        </w:rPr>
        <w:t xml:space="preserve">et al. </w:t>
      </w:r>
      <w:r>
        <w:rPr>
          <w:rFonts w:ascii="Book Antiqua" w:hAnsi="Book Antiqua" w:eastAsia="Book Antiqua" w:cs="Book Antiqua"/>
          <w:color w:val="000000"/>
        </w:rPr>
        <w:t>Pressure pain sensitivity in pediatrics</w:t>
      </w:r>
    </w:p>
    <w:p>
      <w:pPr>
        <w:spacing w:line="360" w:lineRule="auto"/>
        <w:jc w:val="both"/>
      </w:pPr>
    </w:p>
    <w:p>
      <w:pPr>
        <w:spacing w:line="360" w:lineRule="auto"/>
        <w:jc w:val="both"/>
      </w:pPr>
      <w:r>
        <w:rPr>
          <w:rFonts w:ascii="Book Antiqua" w:hAnsi="Book Antiqua" w:eastAsia="Book Antiqua" w:cs="Book Antiqua"/>
          <w:color w:val="000000"/>
        </w:rPr>
        <w:t>Annemarie Cecilie Grauslund, Emilie Bundgaard Lindkvist, Steffen Ullitz Thorsen, Søren Ballegaard, Jens Faber, Jannet Svensson, Anna Korsgaard Berg</w:t>
      </w:r>
    </w:p>
    <w:p>
      <w:pPr>
        <w:spacing w:line="360" w:lineRule="auto"/>
        <w:jc w:val="both"/>
      </w:pPr>
    </w:p>
    <w:p>
      <w:pPr>
        <w:spacing w:line="360" w:lineRule="auto"/>
        <w:jc w:val="both"/>
      </w:pPr>
      <w:r>
        <w:rPr>
          <w:rFonts w:ascii="Book Antiqua" w:hAnsi="Book Antiqua" w:eastAsia="Book Antiqua" w:cs="Book Antiqua"/>
          <w:b/>
          <w:bCs/>
          <w:color w:val="000000"/>
        </w:rPr>
        <w:t xml:space="preserve">Annemarie Cecilie Grauslund, Steffen Ullitz Thorsen, Jannet Svensson, Anna Korsgaard Berg, </w:t>
      </w:r>
      <w:r>
        <w:rPr>
          <w:rFonts w:ascii="Book Antiqua" w:hAnsi="Book Antiqua" w:eastAsia="Book Antiqua" w:cs="Book Antiqua"/>
          <w:color w:val="000000"/>
        </w:rPr>
        <w:t>Department of Pediatrics, Herlev and Gentofte Hospital, Herlev 2730, Denmark</w:t>
      </w:r>
    </w:p>
    <w:p>
      <w:pPr>
        <w:spacing w:line="360" w:lineRule="auto"/>
        <w:jc w:val="both"/>
      </w:pPr>
    </w:p>
    <w:p>
      <w:pPr>
        <w:spacing w:line="360" w:lineRule="auto"/>
        <w:jc w:val="both"/>
      </w:pPr>
      <w:r>
        <w:rPr>
          <w:rFonts w:ascii="Book Antiqua" w:hAnsi="Book Antiqua" w:eastAsia="Book Antiqua" w:cs="Book Antiqua"/>
          <w:b/>
          <w:bCs/>
          <w:color w:val="000000"/>
        </w:rPr>
        <w:t xml:space="preserve">Emilie Bundgaard Lindkvist, Jannet Svensson, Anna Korsgaard Berg, </w:t>
      </w:r>
      <w:r>
        <w:rPr>
          <w:rFonts w:ascii="Book Antiqua" w:hAnsi="Book Antiqua" w:eastAsia="Book Antiqua" w:cs="Book Antiqua"/>
          <w:color w:val="000000"/>
        </w:rPr>
        <w:t>Copenhagen University Hospital, Steno Diabetes Center Copenhagen, Herlev 2730, Denmark</w:t>
      </w:r>
    </w:p>
    <w:p>
      <w:pPr>
        <w:spacing w:line="360" w:lineRule="auto"/>
        <w:jc w:val="both"/>
      </w:pPr>
    </w:p>
    <w:p>
      <w:pPr>
        <w:spacing w:line="360" w:lineRule="auto"/>
        <w:jc w:val="both"/>
      </w:pPr>
      <w:r>
        <w:rPr>
          <w:rFonts w:ascii="Book Antiqua" w:hAnsi="Book Antiqua" w:eastAsia="Book Antiqua" w:cs="Book Antiqua"/>
          <w:b/>
          <w:bCs/>
          <w:color w:val="000000"/>
        </w:rPr>
        <w:t xml:space="preserve">Steffen Ullitz Thorsen, </w:t>
      </w:r>
      <w:r>
        <w:rPr>
          <w:rFonts w:ascii="Book Antiqua" w:hAnsi="Book Antiqua" w:eastAsia="Book Antiqua" w:cs="Book Antiqua"/>
          <w:color w:val="000000"/>
        </w:rPr>
        <w:t>Department of Clinical Immunology, Rigshospitalet, University of Copenhagen, Copenhagen 2100, Denmark</w:t>
      </w:r>
    </w:p>
    <w:p>
      <w:pPr>
        <w:spacing w:line="360" w:lineRule="auto"/>
        <w:jc w:val="both"/>
      </w:pPr>
    </w:p>
    <w:p>
      <w:pPr>
        <w:spacing w:line="360" w:lineRule="auto"/>
        <w:jc w:val="both"/>
      </w:pPr>
      <w:r>
        <w:rPr>
          <w:rFonts w:ascii="Book Antiqua" w:hAnsi="Book Antiqua" w:eastAsia="Book Antiqua" w:cs="Book Antiqua"/>
          <w:b/>
          <w:bCs/>
          <w:color w:val="000000"/>
        </w:rPr>
        <w:t xml:space="preserve">Søren Ballegaard, Jens Faber, </w:t>
      </w:r>
      <w:r>
        <w:rPr>
          <w:rFonts w:ascii="Book Antiqua" w:hAnsi="Book Antiqua" w:eastAsia="Book Antiqua" w:cs="Book Antiqua"/>
          <w:color w:val="000000"/>
        </w:rPr>
        <w:t>Department of Endocrinology, Herlev and Gentofte Hospital, Herlev 2730, Denmark</w:t>
      </w:r>
    </w:p>
    <w:p>
      <w:pPr>
        <w:spacing w:line="360" w:lineRule="auto"/>
        <w:jc w:val="both"/>
      </w:pPr>
    </w:p>
    <w:p>
      <w:pPr>
        <w:spacing w:line="360" w:lineRule="auto"/>
        <w:jc w:val="both"/>
      </w:pPr>
      <w:r>
        <w:rPr>
          <w:rFonts w:ascii="Book Antiqua" w:hAnsi="Book Antiqua" w:eastAsia="Book Antiqua" w:cs="Book Antiqua"/>
          <w:b/>
          <w:bCs/>
          <w:color w:val="000000"/>
        </w:rPr>
        <w:t xml:space="preserve">Jannet Svensson, </w:t>
      </w:r>
      <w:r>
        <w:rPr>
          <w:rFonts w:ascii="Book Antiqua" w:hAnsi="Book Antiqua" w:eastAsia="Book Antiqua" w:cs="Book Antiqua"/>
          <w:color w:val="000000"/>
        </w:rPr>
        <w:t>Department of Clinical Medicine, Faculty of Health and Medical Sciences, University of Copenhagen, Copenhagen 2200, Denmark</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szCs w:val="22"/>
        </w:rPr>
        <w:t>Grauslund AC, Ballegaard S, Faber J, Thorsen SU, Svensson J and Berg AK designed the research; Grauslund AC, Svensson J and Berg AK did the clinical visits and investigations; Grauslund AC and Berg AK analyzed the data; Grauslund AC prepared the first original draft; Ballegaard S validated the technique for measurement of PPS; Lindkvist EB helped with analytical tools; Svensson J, Thorsen SU and Berg AK supervised the first author; Lindkvist EB, Ballegaard S, Faber J, Thorsen SU, Svensson J and Berg AK</w:t>
      </w:r>
      <w:r>
        <w:rPr>
          <w:rFonts w:ascii="Book Antiqua" w:hAnsi="Book Antiqua" w:eastAsia="Book Antiqua" w:cs="Book Antiqua"/>
          <w:color w:val="000000"/>
        </w:rPr>
        <w:t xml:space="preserve"> reviewed and edited the manuscript.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Aase and Ejnar Danielsens Grant; Research grant from the Danish Diabetes Academy, No. NNF17SA0031406; and Research Program from Medtronic.</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Anna Korsgaard Berg, MD, PhD, </w:t>
      </w:r>
      <w:r>
        <w:rPr>
          <w:rFonts w:ascii="Book Antiqua" w:hAnsi="Book Antiqua" w:eastAsia="Book Antiqua" w:cs="Book Antiqua"/>
          <w:color w:val="000000"/>
        </w:rPr>
        <w:t>Copenhagen University Hospital, Steno Diabetes Center Copenhagen, Borgmester Ib Juuls Vej 83, Herlev 2730, Denmark. anna.korsgaard.berg@regionh.dk</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7,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January 3,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639"/>
      <w:bookmarkStart w:id="1" w:name="OLE_LINK7606"/>
      <w:bookmarkStart w:id="2" w:name="OLE_LINK7403"/>
      <w:bookmarkStart w:id="3" w:name="OLE_LINK7714"/>
      <w:bookmarkStart w:id="4" w:name="OLE_LINK7718"/>
      <w:bookmarkStart w:id="5" w:name="OLE_LINK1499"/>
      <w:bookmarkStart w:id="6" w:name="OLE_LINK19"/>
      <w:bookmarkStart w:id="7" w:name="OLE_LINK7644"/>
      <w:bookmarkStart w:id="8" w:name="OLE_LINK12"/>
      <w:bookmarkStart w:id="9" w:name="OLE_LINK7730"/>
      <w:bookmarkStart w:id="10" w:name="OLE_LINK7797"/>
      <w:bookmarkStart w:id="11" w:name="OLE_LINK1318"/>
      <w:bookmarkStart w:id="12" w:name="OLE_LINK7326"/>
      <w:bookmarkStart w:id="13" w:name="OLE_LINK1224"/>
      <w:bookmarkStart w:id="14" w:name="OLE_LINK7710"/>
      <w:bookmarkStart w:id="15" w:name="OLE_LINK7704"/>
      <w:bookmarkStart w:id="16" w:name="OLE_LINK1218"/>
      <w:bookmarkStart w:id="17" w:name="OLE_LINK7548"/>
      <w:bookmarkStart w:id="18" w:name="OLE_LINK7851"/>
      <w:bookmarkStart w:id="19" w:name="OLE_LINK7684"/>
      <w:bookmarkStart w:id="20" w:name="OLE_LINK7568"/>
      <w:bookmarkStart w:id="21" w:name="OLE_LINK7745"/>
      <w:bookmarkStart w:id="22" w:name="OLE_LINK1299"/>
      <w:bookmarkStart w:id="23" w:name="OLE_LINK7317"/>
      <w:bookmarkStart w:id="24" w:name="OLE_LINK1286"/>
      <w:bookmarkStart w:id="25" w:name="OLE_LINK1490"/>
      <w:bookmarkStart w:id="26" w:name="OLE_LINK1452"/>
      <w:bookmarkStart w:id="27" w:name="OLE_LINK7725"/>
      <w:bookmarkStart w:id="28" w:name="OLE_LINK7569"/>
      <w:bookmarkStart w:id="29" w:name="OLE_LINK7629"/>
      <w:bookmarkStart w:id="30" w:name="OLE_LINK7791"/>
      <w:bookmarkStart w:id="31" w:name="OLE_LINK7734"/>
      <w:bookmarkStart w:id="32" w:name="OLE_LINK7215"/>
      <w:bookmarkStart w:id="33" w:name="OLE_LINK7721"/>
      <w:bookmarkStart w:id="34" w:name="OLE_LINK61"/>
      <w:bookmarkStart w:id="35" w:name="OLE_LINK7578"/>
      <w:bookmarkStart w:id="36" w:name="OLE_LINK7287"/>
      <w:bookmarkStart w:id="37" w:name="OLE_LINK7674"/>
      <w:bookmarkStart w:id="38" w:name="OLE_LINK3"/>
      <w:bookmarkStart w:id="39" w:name="OLE_LINK7561"/>
      <w:bookmarkStart w:id="40" w:name="OLE_LINK7655"/>
      <w:bookmarkStart w:id="41" w:name="OLE_LINK7579"/>
      <w:bookmarkStart w:id="42" w:name="OLE_LINK7816"/>
      <w:bookmarkStart w:id="43" w:name="OLE_LINK7859"/>
      <w:bookmarkStart w:id="44" w:name="OLE_LINK7266"/>
      <w:bookmarkStart w:id="45" w:name="OLE_LINK7864"/>
      <w:bookmarkStart w:id="46" w:name="OLE_LINK7265"/>
      <w:bookmarkStart w:id="47" w:name="OLE_LINK7635"/>
      <w:bookmarkStart w:id="48" w:name="OLE_LINK7706"/>
      <w:bookmarkStart w:id="49" w:name="OLE_LINK1250"/>
      <w:bookmarkStart w:id="50" w:name="OLE_LINK7762"/>
      <w:bookmarkStart w:id="51" w:name="OLE_LINK7687"/>
      <w:bookmarkStart w:id="52" w:name="OLE_LINK7426"/>
      <w:bookmarkStart w:id="53" w:name="OLE_LINK7740"/>
      <w:bookmarkStart w:id="54" w:name="OLE_LINK7901"/>
      <w:bookmarkStart w:id="55" w:name="OLE_LINK7303"/>
      <w:bookmarkStart w:id="56" w:name="OLE_LINK7756"/>
      <w:bookmarkStart w:id="57" w:name="OLE_LINK1315"/>
      <w:bookmarkStart w:id="58" w:name="OLE_LINK7666"/>
      <w:bookmarkStart w:id="59" w:name="OLE_LINK7795"/>
      <w:bookmarkStart w:id="60" w:name="OLE_LINK7985"/>
      <w:bookmarkStart w:id="61" w:name="OLE_LINK1305"/>
      <w:bookmarkStart w:id="62" w:name="OLE_LINK7650"/>
      <w:bookmarkStart w:id="63" w:name="OLE_LINK7841"/>
      <w:bookmarkStart w:id="64" w:name="OLE_LINK1508"/>
      <w:bookmarkStart w:id="65" w:name="OLE_LINK1222"/>
      <w:bookmarkStart w:id="66" w:name="OLE_LINK7173"/>
      <w:bookmarkStart w:id="67" w:name="OLE_LINK7286"/>
      <w:bookmarkStart w:id="68" w:name="OLE_LINK10"/>
      <w:bookmarkStart w:id="69" w:name="OLE_LINK1246"/>
      <w:bookmarkStart w:id="70" w:name="OLE_LINK7263"/>
      <w:bookmarkStart w:id="71" w:name="OLE_LINK7749"/>
      <w:bookmarkStart w:id="72" w:name="OLE_LINK7238"/>
      <w:bookmarkStart w:id="73" w:name="OLE_LINK7803"/>
      <w:bookmarkStart w:id="74" w:name="OLE_LINK7515"/>
      <w:bookmarkStart w:id="75" w:name="OLE_LINK7837"/>
      <w:bookmarkStart w:id="76" w:name="OLE_LINK7724"/>
      <w:bookmarkStart w:id="77" w:name="OLE_LINK7781"/>
      <w:bookmarkStart w:id="78" w:name="OLE_LINK1352"/>
      <w:bookmarkStart w:id="79" w:name="OLE_LINK7815"/>
      <w:bookmarkStart w:id="80" w:name="OLE_LINK7513"/>
      <w:bookmarkStart w:id="81" w:name="OLE_LINK1227"/>
      <w:bookmarkStart w:id="82" w:name="OLE_LINK7344"/>
      <w:bookmarkStart w:id="83" w:name="OLE_LINK7916"/>
      <w:bookmarkStart w:id="84" w:name="OLE_LINK7255"/>
      <w:bookmarkStart w:id="85" w:name="OLE_LINK7909"/>
      <w:bookmarkStart w:id="86" w:name="OLE_LINK7793"/>
      <w:bookmarkStart w:id="87" w:name="OLE_LINK7862"/>
      <w:bookmarkStart w:id="88" w:name="OLE_LINK7424"/>
      <w:bookmarkStart w:id="89" w:name="OLE_LINK7630"/>
      <w:bookmarkStart w:id="90" w:name="OLE_LINK7806"/>
      <w:bookmarkStart w:id="91" w:name="OLE_LINK7771"/>
      <w:bookmarkStart w:id="92" w:name="OLE_LINK1484"/>
      <w:bookmarkStart w:id="93" w:name="OLE_LINK7732"/>
      <w:bookmarkStart w:id="94" w:name="OLE_LINK7224"/>
      <w:bookmarkStart w:id="95" w:name="OLE_LINK7250"/>
      <w:bookmarkStart w:id="96" w:name="OLE_LINK7340"/>
      <w:bookmarkStart w:id="97" w:name="OLE_LINK7683"/>
      <w:bookmarkStart w:id="98" w:name="OLE_LINK7689"/>
      <w:bookmarkStart w:id="99" w:name="OLE_LINK7850"/>
      <w:bookmarkStart w:id="100" w:name="OLE_LINK7269"/>
      <w:bookmarkStart w:id="101" w:name="OLE_LINK1292"/>
      <w:bookmarkStart w:id="102" w:name="OLE_LINK7676"/>
      <w:bookmarkStart w:id="103" w:name="OLE_LINK7769"/>
      <w:bookmarkStart w:id="104" w:name="OLE_LINK7858"/>
      <w:bookmarkStart w:id="105" w:name="OLE_LINK7411"/>
      <w:bookmarkStart w:id="106" w:name="OLE_LINK7357"/>
      <w:bookmarkStart w:id="107" w:name="OLE_LINK7261"/>
      <w:bookmarkStart w:id="108" w:name="OLE_LINK1361"/>
      <w:bookmarkStart w:id="109" w:name="OLE_LINK7300"/>
      <w:bookmarkStart w:id="110" w:name="OLE_LINK7654"/>
      <w:bookmarkStart w:id="111" w:name="OLE_LINK7348"/>
      <w:bookmarkStart w:id="112" w:name="OLE_LINK7913"/>
      <w:bookmarkStart w:id="113" w:name="OLE_LINK7888"/>
      <w:bookmarkStart w:id="114" w:name="OLE_LINK1371"/>
      <w:bookmarkStart w:id="115" w:name="OLE_LINK7314"/>
      <w:bookmarkStart w:id="116" w:name="OLE_LINK7789"/>
      <w:bookmarkStart w:id="117" w:name="OLE_LINK1356"/>
      <w:bookmarkStart w:id="118" w:name="OLE_LINK7703"/>
      <w:bookmarkStart w:id="119" w:name="OLE_LINK7794"/>
      <w:bookmarkStart w:id="120" w:name="OLE_LINK7878"/>
      <w:bookmarkStart w:id="121" w:name="OLE_LINK7395"/>
      <w:bookmarkStart w:id="122" w:name="OLE_LINK7324"/>
      <w:bookmarkStart w:id="123" w:name="OLE_LINK7776"/>
      <w:bookmarkStart w:id="124" w:name="OLE_LINK7811"/>
      <w:bookmarkStart w:id="125" w:name="OLE_LINK7871"/>
      <w:bookmarkStart w:id="126" w:name="OLE_LINK7727"/>
      <w:bookmarkStart w:id="127" w:name="OLE_LINK1433"/>
      <w:bookmarkStart w:id="128" w:name="OLE_LINK7229"/>
      <w:bookmarkStart w:id="129" w:name="OLE_LINK7682"/>
      <w:bookmarkStart w:id="130" w:name="OLE_LINK7753"/>
      <w:bookmarkStart w:id="131" w:name="OLE_LINK7351"/>
      <w:bookmarkStart w:id="132" w:name="OLE_LINK7302"/>
      <w:bookmarkStart w:id="133" w:name="OLE_LINK7923"/>
      <w:bookmarkStart w:id="134" w:name="OLE_LINK7675"/>
      <w:bookmarkStart w:id="135" w:name="OLE_LINK7685"/>
      <w:bookmarkStart w:id="136" w:name="OLE_LINK187"/>
      <w:bookmarkStart w:id="137" w:name="OLE_LINK7214"/>
      <w:bookmarkStart w:id="138" w:name="OLE_LINK7293"/>
      <w:bookmarkStart w:id="139" w:name="OLE_LINK7701"/>
      <w:bookmarkStart w:id="140" w:name="OLE_LINK7853"/>
      <w:bookmarkStart w:id="141" w:name="OLE_LINK7559"/>
      <w:bookmarkStart w:id="142" w:name="OLE_LINK7775"/>
      <w:bookmarkStart w:id="143" w:name="OLE_LINK7407"/>
      <w:bookmarkStart w:id="144" w:name="OLE_LINK7335"/>
      <w:bookmarkStart w:id="145" w:name="OLE_LINK1399"/>
      <w:bookmarkStart w:id="146" w:name="OLE_LINK7866"/>
      <w:bookmarkStart w:id="147" w:name="OLE_LINK7280"/>
      <w:bookmarkStart w:id="148" w:name="OLE_LINK7133"/>
      <w:bookmarkStart w:id="149" w:name="OLE_LINK65"/>
      <w:bookmarkStart w:id="150" w:name="OLE_LINK7720"/>
      <w:bookmarkStart w:id="151" w:name="OLE_LINK7938"/>
      <w:bookmarkStart w:id="152" w:name="OLE_LINK7804"/>
      <w:bookmarkStart w:id="153" w:name="OLE_LINK7681"/>
      <w:bookmarkStart w:id="154" w:name="OLE_LINK7361"/>
      <w:bookmarkStart w:id="155" w:name="OLE_LINK8046"/>
      <w:bookmarkStart w:id="156" w:name="OLE_LINK7404"/>
      <w:bookmarkStart w:id="157" w:name="OLE_LINK7384"/>
      <w:bookmarkStart w:id="158" w:name="OLE_LINK1353"/>
      <w:bookmarkStart w:id="159" w:name="OLE_LINK8049"/>
      <w:bookmarkStart w:id="160" w:name="OLE_LINK7897"/>
      <w:bookmarkStart w:id="161" w:name="OLE_LINK8059"/>
      <w:bookmarkStart w:id="162" w:name="OLE_LINK7947"/>
      <w:bookmarkStart w:id="163" w:name="OLE_LINK7708"/>
      <w:bookmarkStart w:id="164" w:name="OLE_LINK7900"/>
      <w:bookmarkStart w:id="165" w:name="OLE_LINK7898"/>
      <w:bookmarkStart w:id="166" w:name="OLE_LINK7787"/>
      <w:bookmarkStart w:id="167" w:name="OLE_LINK7368"/>
      <w:bookmarkStart w:id="168" w:name="OLE_LINK46"/>
      <w:bookmarkStart w:id="169" w:name="OLE_LINK7237"/>
      <w:bookmarkStart w:id="170" w:name="OLE_LINK75"/>
      <w:bookmarkStart w:id="171" w:name="OLE_LINK54"/>
      <w:bookmarkStart w:id="172" w:name="OLE_LINK7983"/>
      <w:bookmarkStart w:id="173" w:name="OLE_LINK7240"/>
      <w:bookmarkStart w:id="174" w:name="OLE_LINK200"/>
      <w:bookmarkStart w:id="175" w:name="OLE_LINK7119"/>
      <w:bookmarkStart w:id="176" w:name="OLE_LINK11"/>
      <w:bookmarkStart w:id="177" w:name="OLE_LINK108"/>
      <w:bookmarkStart w:id="178" w:name="OLE_LINK7244"/>
      <w:bookmarkStart w:id="179" w:name="OLE_LINK208"/>
      <w:bookmarkStart w:id="180" w:name="OLE_LINK1477"/>
      <w:bookmarkStart w:id="181" w:name="OLE_LINK7608"/>
      <w:bookmarkStart w:id="182" w:name="OLE_LINK219"/>
      <w:bookmarkStart w:id="183" w:name="OLE_LINK7235"/>
      <w:bookmarkStart w:id="184" w:name="OLE_LINK7605"/>
      <w:bookmarkStart w:id="185" w:name="OLE_LINK7577"/>
      <w:bookmarkStart w:id="186" w:name="OLE_LINK241"/>
      <w:bookmarkStart w:id="187" w:name="OLE_LINK7122"/>
      <w:bookmarkStart w:id="188" w:name="OLE_LINK7550"/>
      <w:bookmarkStart w:id="189" w:name="OLE_LINK7648"/>
      <w:bookmarkStart w:id="190" w:name="OLE_LINK7574"/>
      <w:bookmarkStart w:id="191" w:name="OLE_LINK7665"/>
      <w:bookmarkStart w:id="192" w:name="OLE_LINK84"/>
      <w:bookmarkStart w:id="193" w:name="OLE_LINK7241"/>
      <w:bookmarkStart w:id="194" w:name="OLE_LINK7236"/>
      <w:bookmarkStart w:id="195" w:name="OLE_LINK7141"/>
      <w:bookmarkStart w:id="196" w:name="OLE_LINK7984"/>
      <w:bookmarkStart w:id="197" w:name="OLE_LINK7145"/>
      <w:bookmarkStart w:id="198" w:name="OLE_LINK7130"/>
      <w:bookmarkStart w:id="199" w:name="OLE_LINK7555"/>
      <w:bookmarkStart w:id="200" w:name="OLE_LINK40"/>
      <w:bookmarkStart w:id="201" w:name="OLE_LINK7522"/>
      <w:bookmarkStart w:id="202" w:name="OLE_LINK7167"/>
      <w:bookmarkStart w:id="203" w:name="OLE_LINK7693"/>
      <w:bookmarkStart w:id="204" w:name="OLE_LINK7641"/>
      <w:bookmarkStart w:id="205" w:name="OLE_LINK7863"/>
      <w:bookmarkStart w:id="206" w:name="OLE_LINK7140"/>
      <w:bookmarkStart w:id="207" w:name="OLE_LINK7602"/>
      <w:bookmarkStart w:id="208" w:name="OLE_LINK60"/>
      <w:bookmarkStart w:id="209" w:name="OLE_LINK7587"/>
      <w:bookmarkStart w:id="210" w:name="OLE_LINK1220"/>
      <w:bookmarkStart w:id="211" w:name="OLE_LINK7125"/>
      <w:bookmarkStart w:id="212" w:name="OLE_LINK37"/>
      <w:bookmarkStart w:id="213" w:name="OLE_LINK100"/>
      <w:bookmarkStart w:id="214" w:name="OLE_LINK1"/>
      <w:bookmarkStart w:id="215" w:name="OLE_LINK7268"/>
      <w:bookmarkStart w:id="216" w:name="OLE_LINK57"/>
      <w:bookmarkStart w:id="217" w:name="OLE_LINK1324"/>
      <w:bookmarkStart w:id="218" w:name="OLE_LINK1282"/>
      <w:bookmarkStart w:id="219" w:name="OLE_LINK7610"/>
      <w:bookmarkStart w:id="220" w:name="OLE_LINK7807"/>
      <w:bookmarkStart w:id="221" w:name="OLE_LINK7274"/>
      <w:bookmarkStart w:id="222" w:name="OLE_LINK177"/>
      <w:bookmarkStart w:id="223" w:name="OLE_LINK7212"/>
      <w:bookmarkStart w:id="224" w:name="OLE_LINK42"/>
      <w:bookmarkStart w:id="225" w:name="OLE_LINK7288"/>
      <w:bookmarkStart w:id="226" w:name="OLE_LINK7611"/>
      <w:bookmarkStart w:id="227" w:name="OLE_LINK7799"/>
      <w:bookmarkStart w:id="228" w:name="OLE_LINK1251"/>
      <w:bookmarkStart w:id="229" w:name="OLE_LINK7625"/>
      <w:bookmarkStart w:id="230" w:name="OLE_LINK7158"/>
      <w:bookmarkStart w:id="231" w:name="OLE_LINK7153"/>
      <w:bookmarkStart w:id="232" w:name="OLE_LINK7688"/>
      <w:bookmarkStart w:id="233" w:name="OLE_LINK6827"/>
      <w:bookmarkStart w:id="234" w:name="OLE_LINK7633"/>
      <w:bookmarkStart w:id="235" w:name="OLE_LINK1273"/>
      <w:bookmarkStart w:id="236" w:name="OLE_LINK1312"/>
      <w:bookmarkStart w:id="237" w:name="OLE_LINK7527"/>
      <w:bookmarkStart w:id="238" w:name="OLE_LINK7571"/>
      <w:bookmarkStart w:id="239" w:name="OLE_LINK7116"/>
      <w:bookmarkStart w:id="240" w:name="OLE_LINK1262"/>
      <w:bookmarkStart w:id="241" w:name="OLE_LINK7305"/>
      <w:bookmarkStart w:id="242" w:name="OLE_LINK7736"/>
      <w:bookmarkStart w:id="243" w:name="OLE_LINK7243"/>
      <w:bookmarkStart w:id="244" w:name="OLE_LINK7597"/>
      <w:bookmarkStart w:id="245" w:name="OLE_LINK7583"/>
      <w:bookmarkStart w:id="246" w:name="OLE_LINK7788"/>
      <w:bookmarkStart w:id="247" w:name="OLE_LINK7308"/>
      <w:bookmarkStart w:id="248" w:name="OLE_LINK1375"/>
      <w:bookmarkStart w:id="249" w:name="OLE_LINK6"/>
      <w:bookmarkStart w:id="250" w:name="OLE_LINK1322"/>
      <w:bookmarkStart w:id="251" w:name="OLE_LINK7670"/>
      <w:bookmarkStart w:id="252" w:name="OLE_LINK7785"/>
      <w:bookmarkStart w:id="253" w:name="OLE_LINK7360"/>
      <w:bookmarkStart w:id="254" w:name="OLE_LINK7952"/>
      <w:bookmarkStart w:id="255" w:name="OLE_LINK7700"/>
      <w:bookmarkStart w:id="256" w:name="OLE_LINK7711"/>
      <w:bookmarkStart w:id="257" w:name="OLE_LINK1219"/>
      <w:bookmarkStart w:id="258" w:name="OLE_LINK1319"/>
      <w:bookmarkStart w:id="259" w:name="OLE_LINK7744"/>
      <w:bookmarkStart w:id="260" w:name="OLE_LINK7275"/>
      <w:bookmarkStart w:id="261" w:name="OLE_LINK1276"/>
      <w:bookmarkStart w:id="262" w:name="OLE_LINK7810"/>
      <w:bookmarkStart w:id="263" w:name="OLE_LINK1256"/>
      <w:bookmarkStart w:id="264" w:name="OLE_LINK7279"/>
      <w:bookmarkStart w:id="265" w:name="OLE_LINK7264"/>
      <w:bookmarkStart w:id="266" w:name="OLE_LINK1301"/>
      <w:bookmarkStart w:id="267" w:name="OLE_LINK1269"/>
      <w:bookmarkStart w:id="268" w:name="OLE_LINK7761"/>
      <w:bookmarkStart w:id="269" w:name="OLE_LINK1290"/>
      <w:bookmarkStart w:id="270" w:name="OLE_LINK7378"/>
      <w:bookmarkStart w:id="271" w:name="OLE_LINK7907"/>
      <w:bookmarkStart w:id="272" w:name="OLE_LINK7929"/>
      <w:bookmarkStart w:id="273" w:name="OLE_LINK66"/>
      <w:bookmarkStart w:id="274" w:name="OLE_LINK7306"/>
      <w:bookmarkStart w:id="275" w:name="OLE_LINK7895"/>
      <w:bookmarkStart w:id="276" w:name="OLE_LINK6812"/>
      <w:bookmarkStart w:id="277" w:name="OLE_LINK1303"/>
      <w:bookmarkStart w:id="278" w:name="OLE_LINK1233"/>
      <w:bookmarkStart w:id="279" w:name="OLE_LINK7290"/>
      <w:bookmarkStart w:id="280" w:name="OLE_LINK7747"/>
      <w:bookmarkStart w:id="281" w:name="OLE_LINK7623"/>
      <w:bookmarkStart w:id="282" w:name="OLE_LINK8245"/>
      <w:bookmarkStart w:id="283" w:name="OLE_LINK1391"/>
      <w:bookmarkStart w:id="284" w:name="OLE_LINK7295"/>
      <w:bookmarkStart w:id="285" w:name="OLE_LINK233"/>
      <w:bookmarkStart w:id="286" w:name="OLE_LINK8160"/>
      <w:bookmarkStart w:id="287" w:name="OLE_LINK8217"/>
      <w:bookmarkStart w:id="288" w:name="OLE_LINK8229"/>
      <w:bookmarkStart w:id="289" w:name="OLE_LINK1297"/>
      <w:bookmarkStart w:id="290" w:name="OLE_LINK7415"/>
      <w:bookmarkStart w:id="291" w:name="OLE_LINK8026"/>
      <w:bookmarkStart w:id="292" w:name="OLE_LINK1429"/>
      <w:bookmarkStart w:id="293" w:name="OLE_LINK7800"/>
      <w:bookmarkStart w:id="294" w:name="OLE_LINK7765"/>
      <w:bookmarkStart w:id="295" w:name="OLE_LINK7889"/>
      <w:bookmarkStart w:id="296" w:name="OLE_LINK1457"/>
      <w:bookmarkStart w:id="297" w:name="OLE_LINK1327"/>
      <w:bookmarkStart w:id="298" w:name="OLE_LINK7618"/>
      <w:bookmarkStart w:id="299" w:name="OLE_LINK1384"/>
      <w:bookmarkStart w:id="300" w:name="OLE_LINK7754"/>
      <w:bookmarkStart w:id="301" w:name="OLE_LINK7234"/>
      <w:bookmarkStart w:id="302" w:name="OLE_LINK8078"/>
      <w:bookmarkStart w:id="303" w:name="OLE_LINK7854"/>
      <w:bookmarkStart w:id="304" w:name="OLE_LINK1307"/>
      <w:bookmarkStart w:id="305" w:name="OLE_LINK7418"/>
      <w:bookmarkStart w:id="306" w:name="OLE_LINK8010"/>
      <w:bookmarkStart w:id="307" w:name="OLE_LINK8185"/>
      <w:bookmarkStart w:id="308" w:name="OLE_LINK7772"/>
      <w:bookmarkStart w:id="309" w:name="OLE_LINK7667"/>
      <w:bookmarkStart w:id="310" w:name="OLE_LINK8199"/>
      <w:bookmarkStart w:id="311" w:name="OLE_LINK7877"/>
      <w:bookmarkStart w:id="312" w:name="OLE_LINK8203"/>
      <w:bookmarkStart w:id="313" w:name="OLE_LINK8027"/>
      <w:bookmarkStart w:id="314" w:name="OLE_LINK8011"/>
      <w:bookmarkStart w:id="315" w:name="OLE_LINK8153"/>
      <w:bookmarkStart w:id="316" w:name="OLE_LINK7960"/>
      <w:bookmarkStart w:id="317" w:name="OLE_LINK1412"/>
      <w:bookmarkStart w:id="318" w:name="OLE_LINK8064"/>
      <w:bookmarkStart w:id="319" w:name="OLE_LINK8037"/>
      <w:bookmarkStart w:id="320" w:name="OLE_LINK1365"/>
      <w:bookmarkStart w:id="321" w:name="OLE_LINK8226"/>
      <w:bookmarkStart w:id="322" w:name="OLE_LINK1344"/>
      <w:bookmarkStart w:id="323" w:name="OLE_LINK7777"/>
      <w:bookmarkStart w:id="324" w:name="OLE_LINK7779"/>
      <w:bookmarkStart w:id="325" w:name="OLE_LINK8239"/>
      <w:bookmarkStart w:id="326" w:name="OLE_LINK7944"/>
      <w:bookmarkStart w:id="327" w:name="OLE_LINK7920"/>
      <w:bookmarkStart w:id="328" w:name="OLE_LINK8157"/>
      <w:bookmarkStart w:id="329" w:name="OLE_LINK7918"/>
      <w:bookmarkStart w:id="330" w:name="OLE_LINK8012"/>
      <w:bookmarkStart w:id="331" w:name="OLE_LINK8144"/>
      <w:bookmarkStart w:id="332" w:name="OLE_LINK7330"/>
      <w:bookmarkStart w:id="333" w:name="OLE_LINK8209"/>
      <w:bookmarkStart w:id="334" w:name="OLE_LINK7343"/>
      <w:bookmarkStart w:id="335" w:name="OLE_LINK7301"/>
      <w:bookmarkStart w:id="336" w:name="OLE_LINK1335"/>
      <w:bookmarkStart w:id="337" w:name="OLE_LINK8212"/>
      <w:bookmarkStart w:id="338" w:name="OLE_LINK7729"/>
      <w:bookmarkStart w:id="339" w:name="OLE_LINK1387"/>
      <w:bookmarkStart w:id="340" w:name="OLE_LINK8230"/>
      <w:bookmarkStart w:id="341" w:name="OLE_LINK8015"/>
      <w:bookmarkStart w:id="342" w:name="OLE_LINK1466"/>
      <w:bookmarkStart w:id="343" w:name="OLE_LINK8034"/>
      <w:bookmarkStart w:id="344" w:name="OLE_LINK1343"/>
      <w:bookmarkStart w:id="345" w:name="OLE_LINK8241"/>
      <w:bookmarkStart w:id="346" w:name="OLE_LINK8297"/>
      <w:bookmarkStart w:id="347" w:name="OLE_LINK8166"/>
      <w:bookmarkStart w:id="348" w:name="OLE_LINK1434"/>
      <w:bookmarkStart w:id="349" w:name="OLE_LINK8235"/>
      <w:bookmarkStart w:id="350" w:name="OLE_LINK7927"/>
      <w:bookmarkStart w:id="351" w:name="OLE_LINK8192"/>
      <w:bookmarkStart w:id="352" w:name="OLE_LINK8081"/>
      <w:bookmarkStart w:id="353" w:name="OLE_LINK7868"/>
      <w:bookmarkStart w:id="354" w:name="OLE_LINK1379"/>
      <w:bookmarkStart w:id="355" w:name="OLE_LINK1395"/>
      <w:bookmarkStart w:id="356" w:name="OLE_LINK1436"/>
      <w:bookmarkStart w:id="357" w:name="OLE_LINK8200"/>
      <w:bookmarkStart w:id="358" w:name="OLE_LINK8175"/>
      <w:bookmarkStart w:id="359" w:name="OLE_LINK8066"/>
      <w:bookmarkStart w:id="360" w:name="OLE_LINK8139"/>
      <w:bookmarkStart w:id="361" w:name="OLE_LINK7860"/>
      <w:bookmarkStart w:id="362" w:name="OLE_LINK8194"/>
      <w:bookmarkStart w:id="363" w:name="OLE_LINK7845"/>
      <w:bookmarkStart w:id="364" w:name="OLE_LINK7939"/>
      <w:bookmarkStart w:id="365" w:name="OLE_LINK8303"/>
      <w:bookmarkStart w:id="366" w:name="OLE_LINK1372"/>
      <w:bookmarkStart w:id="367" w:name="OLE_LINK1382"/>
      <w:bookmarkStart w:id="368" w:name="OLE_LINK8188"/>
      <w:bookmarkStart w:id="369" w:name="OLE_LINK8219"/>
      <w:bookmarkStart w:id="370" w:name="OLE_LINK7848"/>
      <w:bookmarkStart w:id="371" w:name="OLE_LINK8222"/>
      <w:bookmarkStart w:id="372" w:name="OLE_LINK8213"/>
      <w:bookmarkStart w:id="373" w:name="OLE_LINK7933"/>
      <w:bookmarkStart w:id="374" w:name="OLE_LINK8248"/>
      <w:bookmarkStart w:id="375" w:name="OLE_LINK1348"/>
      <w:bookmarkStart w:id="376" w:name="OLE_LINK7953"/>
      <w:bookmarkStart w:id="377" w:name="OLE_LINK8272"/>
      <w:bookmarkStart w:id="378" w:name="OLE_LINK8179"/>
      <w:bookmarkStart w:id="379" w:name="OLE_LINK1381"/>
      <w:bookmarkStart w:id="380" w:name="OLE_LINK8141"/>
      <w:bookmarkStart w:id="381" w:name="OLE_LINK8177"/>
      <w:bookmarkStart w:id="382" w:name="OLE_LINK8305"/>
      <w:bookmarkStart w:id="383" w:name="OLE_LINK1441"/>
      <w:bookmarkStart w:id="384" w:name="OLE_LINK8138"/>
      <w:bookmarkStart w:id="385" w:name="OLE_LINK1407"/>
      <w:bookmarkStart w:id="386" w:name="OLE_LINK8055"/>
      <w:bookmarkStart w:id="387" w:name="OLE_LINK8267"/>
      <w:bookmarkStart w:id="388" w:name="OLE_LINK7890"/>
      <w:bookmarkStart w:id="389" w:name="OLE_LINK7932"/>
      <w:bookmarkStart w:id="390" w:name="OLE_LINK1357"/>
      <w:bookmarkStart w:id="391" w:name="OLE_LINK8311"/>
      <w:bookmarkStart w:id="392" w:name="OLE_LINK8232"/>
      <w:bookmarkStart w:id="393" w:name="OLE_LINK8276"/>
      <w:bookmarkStart w:id="394" w:name="OLE_LINK1414"/>
      <w:bookmarkStart w:id="395" w:name="OLE_LINK7902"/>
      <w:bookmarkStart w:id="396" w:name="OLE_LINK1397"/>
      <w:bookmarkStart w:id="397" w:name="OLE_LINK1419"/>
      <w:bookmarkStart w:id="398" w:name="OLE_LINK8262"/>
      <w:bookmarkStart w:id="399" w:name="OLE_LINK8224"/>
      <w:bookmarkStart w:id="400" w:name="OLE_LINK8186"/>
      <w:bookmarkStart w:id="401" w:name="OLE_LINK8134"/>
      <w:bookmarkStart w:id="402" w:name="OLE_LINK8227"/>
      <w:bookmarkStart w:id="403" w:name="OLE_LINK7917"/>
      <w:bookmarkStart w:id="404" w:name="OLE_LINK8206"/>
      <w:bookmarkStart w:id="405" w:name="OLE_LINK7884"/>
      <w:bookmarkStart w:id="406" w:name="OLE_LINK8089"/>
      <w:bookmarkStart w:id="407" w:name="OLE_LINK7914"/>
      <w:bookmarkStart w:id="408" w:name="OLE_LINK8293"/>
      <w:bookmarkStart w:id="409" w:name="OLE_LINK7925"/>
      <w:bookmarkStart w:id="410" w:name="OLE_LINK8148"/>
      <w:bookmarkStart w:id="411" w:name="OLE_LINK8137"/>
      <w:bookmarkStart w:id="412" w:name="OLE_LINK8283"/>
      <w:bookmarkStart w:id="413" w:name="OLE_LINK41"/>
      <w:bookmarkStart w:id="414" w:name="OLE_LINK7282"/>
      <w:bookmarkStart w:id="415" w:name="OLE_LINK8214"/>
      <w:bookmarkStart w:id="416" w:name="OLE_LINK7813"/>
      <w:bookmarkStart w:id="417" w:name="OLE_LINK7552"/>
      <w:bookmarkStart w:id="418" w:name="OLE_LINK7228"/>
      <w:bookmarkStart w:id="419" w:name="OLE_LINK7801"/>
      <w:bookmarkStart w:id="420" w:name="OLE_LINK220"/>
      <w:bookmarkStart w:id="421" w:name="OLE_LINK7619"/>
      <w:bookmarkStart w:id="422" w:name="OLE_LINK7538"/>
      <w:bookmarkStart w:id="423" w:name="OLE_LINK7820"/>
      <w:bookmarkStart w:id="424" w:name="OLE_LINK7646"/>
      <w:bookmarkStart w:id="425" w:name="OLE_LINK8072"/>
      <w:bookmarkStart w:id="426" w:name="OLE_LINK1199"/>
      <w:bookmarkStart w:id="427" w:name="OLE_LINK7805"/>
      <w:bookmarkStart w:id="428" w:name="OLE_LINK7873"/>
      <w:bookmarkStart w:id="429" w:name="OLE_LINK7979"/>
      <w:bookmarkStart w:id="430" w:name="OLE_LINK1225"/>
      <w:bookmarkStart w:id="431" w:name="OLE_LINK8171"/>
      <w:bookmarkStart w:id="432" w:name="OLE_LINK1424"/>
      <w:bookmarkStart w:id="433" w:name="OLE_LINK8254"/>
      <w:bookmarkStart w:id="434" w:name="OLE_LINK7658"/>
      <w:bookmarkStart w:id="435" w:name="OLE_LINK7533"/>
      <w:bookmarkStart w:id="436" w:name="OLE_LINK17"/>
      <w:bookmarkStart w:id="437" w:name="OLE_LINK7846"/>
      <w:bookmarkStart w:id="438" w:name="OLE_LINK87"/>
      <w:bookmarkStart w:id="439" w:name="OLE_LINK216"/>
      <w:bookmarkStart w:id="440" w:name="OLE_LINK7588"/>
      <w:bookmarkStart w:id="441" w:name="OLE_LINK7842"/>
      <w:bookmarkStart w:id="442" w:name="OLE_LINK7573"/>
      <w:bookmarkStart w:id="443" w:name="OLE_LINK82"/>
      <w:bookmarkStart w:id="444" w:name="OLE_LINK1295"/>
      <w:bookmarkStart w:id="445" w:name="OLE_LINK7691"/>
      <w:bookmarkStart w:id="446" w:name="OLE_LINK7695"/>
      <w:bookmarkStart w:id="447" w:name="OLE_LINK7642"/>
      <w:bookmarkStart w:id="448" w:name="OLE_LINK203"/>
      <w:bookmarkStart w:id="449" w:name="OLE_LINK6834"/>
      <w:bookmarkStart w:id="450" w:name="OLE_LINK7322"/>
      <w:bookmarkStart w:id="451" w:name="OLE_LINK1334"/>
      <w:bookmarkStart w:id="452" w:name="OLE_LINK1326"/>
      <w:bookmarkStart w:id="453" w:name="OLE_LINK7894"/>
      <w:bookmarkStart w:id="454" w:name="OLE_LINK197"/>
      <w:bookmarkStart w:id="455" w:name="OLE_LINK7896"/>
      <w:bookmarkStart w:id="456" w:name="OLE_LINK14"/>
      <w:bookmarkStart w:id="457" w:name="OLE_LINK7"/>
      <w:bookmarkStart w:id="458" w:name="OLE_LINK6798"/>
      <w:bookmarkStart w:id="459" w:name="OLE_LINK1261"/>
      <w:bookmarkStart w:id="460" w:name="OLE_LINK7885"/>
      <w:bookmarkStart w:id="461" w:name="OLE_LINK7593"/>
      <w:bookmarkStart w:id="462" w:name="OLE_LINK7307"/>
      <w:bookmarkStart w:id="463" w:name="OLE_LINK1267"/>
      <w:bookmarkStart w:id="464" w:name="OLE_LINK7712"/>
      <w:bookmarkStart w:id="465" w:name="OLE_LINK7631"/>
      <w:bookmarkStart w:id="466" w:name="OLE_LINK1478"/>
      <w:bookmarkStart w:id="467" w:name="OLE_LINK7786"/>
      <w:bookmarkStart w:id="468" w:name="OLE_LINK1241"/>
      <w:bookmarkStart w:id="469" w:name="OLE_LINK1244"/>
      <w:bookmarkStart w:id="470" w:name="OLE_LINK1346"/>
      <w:bookmarkStart w:id="471" w:name="OLE_LINK7530"/>
      <w:bookmarkStart w:id="472" w:name="OLE_LINK36"/>
      <w:bookmarkStart w:id="473" w:name="OLE_LINK7379"/>
      <w:bookmarkStart w:id="474" w:name="OLE_LINK26"/>
      <w:bookmarkStart w:id="475" w:name="OLE_LINK7822"/>
      <w:bookmarkStart w:id="476" w:name="OLE_LINK7245"/>
      <w:bookmarkStart w:id="477" w:name="OLE_LINK7743"/>
      <w:bookmarkStart w:id="478" w:name="OLE_LINK34"/>
      <w:bookmarkStart w:id="479" w:name="OLE_LINK7296"/>
      <w:bookmarkStart w:id="480" w:name="OLE_LINK15"/>
      <w:bookmarkStart w:id="481" w:name="OLE_LINK7737"/>
      <w:bookmarkStart w:id="482" w:name="OLE_LINK192"/>
      <w:bookmarkStart w:id="483" w:name="OLE_LINK7840"/>
      <w:bookmarkStart w:id="484" w:name="OLE_LINK236"/>
      <w:bookmarkStart w:id="485" w:name="OLE_LINK1247"/>
      <w:bookmarkStart w:id="486" w:name="OLE_LINK7910"/>
      <w:bookmarkStart w:id="487" w:name="OLE_LINK1198"/>
      <w:bookmarkStart w:id="488" w:name="OLE_LINK7825"/>
      <w:bookmarkStart w:id="489" w:name="OLE_LINK7839"/>
      <w:bookmarkStart w:id="490" w:name="OLE_LINK7735"/>
      <w:bookmarkStart w:id="491" w:name="OLE_LINK7572"/>
      <w:bookmarkStart w:id="492" w:name="OLE_LINK7534"/>
      <w:bookmarkStart w:id="493" w:name="OLE_LINK4"/>
      <w:bookmarkStart w:id="494" w:name="OLE_LINK7814"/>
      <w:bookmarkStart w:id="495" w:name="OLE_LINK103"/>
      <w:bookmarkStart w:id="496" w:name="OLE_LINK7844"/>
      <w:bookmarkStart w:id="497" w:name="OLE_LINK7903"/>
      <w:bookmarkStart w:id="498" w:name="OLE_LINK7223"/>
      <w:bookmarkStart w:id="499" w:name="OLE_LINK7883"/>
      <w:bookmarkStart w:id="500" w:name="OLE_LINK7253"/>
      <w:bookmarkStart w:id="501" w:name="OLE_LINK7879"/>
      <w:bookmarkStart w:id="502" w:name="OLE_LINK29"/>
      <w:bookmarkStart w:id="503" w:name="OLE_LINK6803"/>
      <w:bookmarkStart w:id="504" w:name="OLE_LINK7809"/>
      <w:bookmarkStart w:id="505" w:name="OLE_LINK2"/>
      <w:bookmarkStart w:id="506" w:name="OLE_LINK1364"/>
      <w:bookmarkStart w:id="507" w:name="OLE_LINK6830"/>
      <w:bookmarkStart w:id="508" w:name="OLE_LINK7628"/>
      <w:bookmarkStart w:id="509" w:name="OLE_LINK1272"/>
      <w:bookmarkStart w:id="510" w:name="OLE_LINK6816"/>
      <w:bookmarkStart w:id="511" w:name="OLE_LINK7838"/>
      <w:bookmarkStart w:id="512" w:name="OLE_LINK7818"/>
      <w:bookmarkStart w:id="513" w:name="OLE_LINK7562"/>
      <w:bookmarkStart w:id="514" w:name="OLE_LINK7817"/>
      <w:bookmarkStart w:id="515" w:name="OLE_LINK7150"/>
      <w:bookmarkStart w:id="516" w:name="OLE_LINK7936"/>
      <w:bookmarkStart w:id="517" w:name="OLE_LINK7394"/>
      <w:bookmarkStart w:id="518" w:name="OLE_LINK72"/>
      <w:bookmarkStart w:id="519" w:name="OLE_LINK1223"/>
      <w:bookmarkStart w:id="520" w:name="OLE_LINK7523"/>
      <w:bookmarkStart w:id="521" w:name="OLE_LINK1283"/>
      <w:bookmarkStart w:id="522" w:name="OLE_LINK1325"/>
      <w:bookmarkStart w:id="523" w:name="OLE_LINK7127"/>
      <w:bookmarkStart w:id="524" w:name="OLE_LINK7389"/>
      <w:bookmarkStart w:id="525" w:name="OLE_LINK226"/>
      <w:bookmarkStart w:id="526" w:name="OLE_LINK1291"/>
      <w:bookmarkStart w:id="527" w:name="OLE_LINK7738"/>
      <w:bookmarkStart w:id="528" w:name="OLE_LINK7977"/>
      <w:bookmarkStart w:id="529" w:name="OLE_LINK7254"/>
      <w:bookmarkStart w:id="530" w:name="OLE_LINK184"/>
      <w:bookmarkStart w:id="531" w:name="OLE_LINK30"/>
      <w:bookmarkStart w:id="532" w:name="OLE_LINK7834"/>
      <w:bookmarkStart w:id="533" w:name="OLE_LINK7867"/>
      <w:bookmarkStart w:id="534" w:name="OLE_LINK7876"/>
      <w:bookmarkStart w:id="535" w:name="OLE_LINK7372"/>
      <w:bookmarkStart w:id="536" w:name="OLE_LINK49"/>
      <w:bookmarkStart w:id="537" w:name="OLE_LINK7526"/>
      <w:bookmarkStart w:id="538" w:name="OLE_LINK7882"/>
      <w:bookmarkStart w:id="539" w:name="OLE_LINK8023"/>
      <w:bookmarkStart w:id="540" w:name="OLE_LINK7906"/>
      <w:bookmarkStart w:id="541" w:name="OLE_LINK7690"/>
      <w:bookmarkStart w:id="542" w:name="OLE_LINK7780"/>
      <w:bookmarkStart w:id="543" w:name="OLE_LINK7272"/>
      <w:bookmarkStart w:id="544" w:name="OLE_LINK7649"/>
      <w:bookmarkStart w:id="545" w:name="OLE_LINK174"/>
      <w:bookmarkStart w:id="546" w:name="OLE_LINK7739"/>
      <w:bookmarkStart w:id="547" w:name="OLE_LINK7843"/>
      <w:bookmarkStart w:id="548" w:name="OLE_LINK7304"/>
      <w:bookmarkStart w:id="549" w:name="OLE_LINK7617"/>
      <w:bookmarkStart w:id="550" w:name="OLE_LINK78"/>
      <w:bookmarkStart w:id="551" w:name="OLE_LINK7259"/>
      <w:bookmarkStart w:id="552" w:name="OLE_LINK7260"/>
      <w:bookmarkStart w:id="553" w:name="OLE_LINK7755"/>
      <w:bookmarkStart w:id="554" w:name="OLE_LINK1231"/>
      <w:bookmarkStart w:id="555" w:name="OLE_LINK7652"/>
      <w:bookmarkStart w:id="556" w:name="OLE_LINK7796"/>
      <w:bookmarkStart w:id="557" w:name="OLE_LINK7440"/>
      <w:bookmarkStart w:id="558" w:name="OLE_LINK1402"/>
      <w:bookmarkStart w:id="559" w:name="OLE_LINK7722"/>
      <w:bookmarkStart w:id="560" w:name="OLE_LINK7620"/>
      <w:bookmarkStart w:id="561" w:name="OLE_LINK7836"/>
      <w:bookmarkStart w:id="562" w:name="OLE_LINK1449"/>
      <w:bookmarkStart w:id="563" w:name="OLE_LINK7376"/>
      <w:bookmarkStart w:id="564" w:name="OLE_LINK7422"/>
      <w:bookmarkStart w:id="565" w:name="OLE_LINK7731"/>
      <w:bookmarkStart w:id="566" w:name="OLE_LINK7547"/>
      <w:bookmarkStart w:id="567" w:name="OLE_LINK1340"/>
      <w:bookmarkStart w:id="568" w:name="OLE_LINK229"/>
      <w:bookmarkStart w:id="569" w:name="OLE_LINK7432"/>
      <w:bookmarkStart w:id="570" w:name="OLE_LINK1496"/>
      <w:bookmarkStart w:id="571" w:name="OLE_LINK7213"/>
      <w:bookmarkStart w:id="572" w:name="OLE_LINK7699"/>
      <w:bookmarkStart w:id="573" w:name="OLE_LINK7292"/>
      <w:bookmarkStart w:id="574" w:name="OLE_LINK1474"/>
      <w:bookmarkStart w:id="575" w:name="OLE_LINK7126"/>
      <w:bookmarkStart w:id="576" w:name="OLE_LINK7709"/>
      <w:bookmarkStart w:id="577" w:name="OLE_LINK1237"/>
      <w:bookmarkStart w:id="578" w:name="OLE_LINK20"/>
      <w:bookmarkStart w:id="579" w:name="OLE_LINK7383"/>
      <w:bookmarkStart w:id="580" w:name="OLE_LINK1492"/>
      <w:bookmarkStart w:id="581" w:name="OLE_LINK7616"/>
      <w:bookmarkStart w:id="582" w:name="OLE_LINK74"/>
      <w:bookmarkStart w:id="583" w:name="OLE_LINK1242"/>
      <w:bookmarkStart w:id="584" w:name="OLE_LINK23"/>
      <w:bookmarkStart w:id="585" w:name="OLE_LINK1232"/>
      <w:bookmarkStart w:id="586" w:name="OLE_LINK1342"/>
      <w:bookmarkStart w:id="587" w:name="OLE_LINK7313"/>
      <w:bookmarkStart w:id="588" w:name="OLE_LINK1310"/>
      <w:bookmarkStart w:id="589" w:name="OLE_LINK1255"/>
      <w:bookmarkStart w:id="590" w:name="OLE_LINK51"/>
      <w:bookmarkStart w:id="591" w:name="OLE_LINK1503"/>
      <w:bookmarkStart w:id="592" w:name="OLE_LINK1311"/>
      <w:bookmarkStart w:id="593" w:name="OLE_LINK1236"/>
      <w:bookmarkStart w:id="594" w:name="OLE_LINK7766"/>
      <w:bookmarkStart w:id="595" w:name="OLE_LINK21"/>
      <w:bookmarkStart w:id="596" w:name="OLE_LINK7386"/>
      <w:r>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rPr>
      </w:pPr>
      <w:r>
        <w:rPr>
          <w:rFonts w:ascii="Book Antiqua" w:hAnsi="Book Antiqua" w:eastAsia="Book Antiqua" w:cs="Book Antiqua"/>
        </w:rPr>
        <w:t xml:space="preserve">Type 1 diabetes (T1D) is associated with general- and diabetes-specific stress which has multiple adverse effects. Hence measuring stress is of great importance. An algometer measuring pressure pain sensitivity (PPS) has been shown to correlate to certain stress measures in adults. However, it has never been investigated in children and adolescents. The aim of our study was to examine associations between PPS and </w:t>
      </w:r>
      <w:r>
        <w:rPr>
          <w:rFonts w:ascii="Book Antiqua" w:hAnsi="Book Antiqua" w:eastAsia="Times New Roman"/>
          <w:lang w:eastAsia="da-DK"/>
        </w:rPr>
        <w:t>glycated hemoglobin</w:t>
      </w:r>
      <w:r>
        <w:rPr>
          <w:rFonts w:ascii="Book Antiqua" w:hAnsi="Book Antiqua" w:eastAsia="Book Antiqua" w:cs="Book Antiqua"/>
        </w:rPr>
        <w:t xml:space="preserve"> (HbA1c), salivary cortisol and two questionnaires as well as to identify whether the algometer can be used as a clinical tool among children and adolescents with T1D. Eighty-three participants aged 6-18 years and diagnosed with T1D were included in this study with data from two study visits. Salivary cortisol, PPS and questionnaires were collected, measured, and answered on site. HbA1c was collected from medical files. We found correlations between PPS and HbA1c (rho = 0.35, </w:t>
      </w:r>
      <w:r>
        <w:rPr>
          <w:rFonts w:ascii="Book Antiqua" w:hAnsi="Book Antiqua" w:eastAsia="Book Antiqua" w:cs="Book Antiqua"/>
          <w:i/>
          <w:iCs/>
        </w:rPr>
        <w:t>P</w:t>
      </w:r>
      <w:r>
        <w:rPr>
          <w:rFonts w:ascii="Book Antiqua" w:hAnsi="Book Antiqua" w:eastAsia="Book Antiqua" w:cs="Book Antiqua"/>
        </w:rPr>
        <w:t xml:space="preserve"> = 0.046), cortisol (rho = -0.25, </w:t>
      </w:r>
      <w:r>
        <w:rPr>
          <w:rFonts w:ascii="Book Antiqua" w:hAnsi="Book Antiqua" w:eastAsia="Book Antiqua" w:cs="Book Antiqua"/>
          <w:i/>
          <w:iCs/>
        </w:rPr>
        <w:t>P</w:t>
      </w:r>
      <w:r>
        <w:rPr>
          <w:rFonts w:ascii="Book Antiqua" w:hAnsi="Book Antiqua" w:eastAsia="Book Antiqua" w:cs="Book Antiqua"/>
        </w:rPr>
        <w:t xml:space="preserve"> = 0.02) and Perceived Stress Scale (rho = -0.44, </w:t>
      </w:r>
      <w:r>
        <w:rPr>
          <w:rFonts w:ascii="Book Antiqua" w:hAnsi="Book Antiqua" w:eastAsia="Book Antiqua" w:cs="Book Antiqua"/>
          <w:i/>
          <w:iCs/>
        </w:rPr>
        <w:t>P</w:t>
      </w:r>
      <w:r>
        <w:rPr>
          <w:rFonts w:ascii="Book Antiqua" w:hAnsi="Book Antiqua" w:eastAsia="Book Antiqua" w:cs="Book Antiqua"/>
        </w:rPr>
        <w:t xml:space="preserve"> = 0.02) in different subgroups based on age. Males scored higher in PPS than females (</w:t>
      </w:r>
      <w:r>
        <w:rPr>
          <w:rFonts w:ascii="Book Antiqua" w:hAnsi="Book Antiqua" w:eastAsia="Book Antiqua" w:cs="Book Antiqua"/>
          <w:i/>
          <w:iCs/>
        </w:rPr>
        <w:t>P</w:t>
      </w:r>
      <w:r>
        <w:rPr>
          <w:rFonts w:ascii="Book Antiqua" w:hAnsi="Book Antiqua" w:eastAsia="Book Antiqua" w:cs="Book Antiqua"/>
        </w:rPr>
        <w:t xml:space="preserve"> &lt; 0.001). We found PPS to be correlated to HbA1c but otherwise inconsistent in results. High PPS values indicated either measurement difficulties or hypersensibility towards pain.</w:t>
      </w:r>
    </w:p>
    <w:p>
      <w:pPr>
        <w:spacing w:line="360" w:lineRule="auto"/>
        <w:jc w:val="both"/>
      </w:pPr>
    </w:p>
    <w:p>
      <w:pPr>
        <w:spacing w:line="360" w:lineRule="auto"/>
        <w:jc w:val="both"/>
      </w:pPr>
      <w:r>
        <w:rPr>
          <w:rFonts w:ascii="Book Antiqua" w:hAnsi="Book Antiqua" w:eastAsia="Book Antiqua" w:cs="Book Antiqua"/>
          <w:b/>
          <w:bCs/>
          <w:szCs w:val="22"/>
        </w:rPr>
        <w:t xml:space="preserve">Key Words: </w:t>
      </w:r>
      <w:r>
        <w:rPr>
          <w:rFonts w:ascii="Book Antiqua" w:hAnsi="Book Antiqua" w:eastAsia="Book Antiqua" w:cs="Book Antiqua"/>
        </w:rPr>
        <w:t>Stress; Children and adolescents; Type 1 diabetes; Autonomic dysfunction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宋体"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Grauslund AC, Lindkvist EB, Thorsen SU, Ballegaard S, Faber J, Svensson J, Berg AK. Pressure pain sensitivity: A new stress measure in children and adolescents with type 1 diabetes?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 xml:space="preserve">13(1): </w:t>
      </w:r>
      <w:r>
        <w:rPr>
          <w:rFonts w:hint="eastAsia" w:ascii="Book Antiqua" w:hAnsi="Book Antiqua" w:eastAsia="宋体" w:cs="Book Antiqua"/>
          <w:lang w:val="en-US" w:eastAsia="zh-CN"/>
        </w:rPr>
        <w:t>89619</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https://www.wjgnet.com/2219-2808/full/v13/i1/</w:t>
      </w:r>
      <w:r>
        <w:rPr>
          <w:rFonts w:hint="eastAsia" w:ascii="Book Antiqua" w:hAnsi="Book Antiqua" w:eastAsia="宋体" w:cs="Book Antiqua"/>
          <w:lang w:val="en-US" w:eastAsia="zh-CN"/>
        </w:rPr>
        <w:t>89619</w:t>
      </w:r>
      <w:r>
        <w:rPr>
          <w:rFonts w:hint="eastAsia" w:ascii="Book Antiqua" w:hAnsi="Book Antiqua" w:eastAsia="Book Antiqua" w:cs="Book Antiqua"/>
        </w:rPr>
        <w:t xml:space="preserve"> .htm</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https://dx.doi.org/10.5409/wjcp.v13.i1.</w:t>
      </w:r>
      <w:r>
        <w:rPr>
          <w:rFonts w:hint="eastAsia" w:ascii="Book Antiqua" w:hAnsi="Book Antiqua" w:eastAsia="宋体" w:cs="Book Antiqua"/>
          <w:lang w:val="en-US" w:eastAsia="zh-CN"/>
        </w:rPr>
        <w:t>89619</w:t>
      </w:r>
    </w:p>
    <w:p>
      <w:pPr>
        <w:spacing w:line="360" w:lineRule="auto"/>
        <w:jc w:val="both"/>
      </w:pPr>
    </w:p>
    <w:p>
      <w:pPr>
        <w:spacing w:line="360" w:lineRule="auto"/>
        <w:jc w:val="both"/>
      </w:pPr>
      <w:r>
        <w:rPr>
          <w:rFonts w:ascii="Book Antiqua" w:hAnsi="Book Antiqua" w:eastAsia="Book Antiqua" w:cs="Book Antiqua"/>
          <w:b/>
          <w:bCs/>
          <w:szCs w:val="22"/>
        </w:rPr>
        <w:t xml:space="preserve">Core Tip: </w:t>
      </w:r>
      <w:r>
        <w:rPr>
          <w:rFonts w:ascii="Book Antiqua" w:hAnsi="Book Antiqua" w:eastAsia="Book Antiqua" w:cs="Book Antiqua"/>
        </w:rPr>
        <w:t>The aim of present study was to examine whether pressure pain sensitivity (PPS) in children and adolescents associates with other stress measures and determine if it can be used as a clinical tool in this population. Our study revealed some unexpected discrepancies examining PPS in a pediatric population with type 1 diabetes, highlighting the need for more research to validate if PPS is a clinically useful measure in children.</w:t>
      </w:r>
    </w:p>
    <w:p>
      <w:pPr>
        <w:spacing w:line="360" w:lineRule="auto"/>
        <w:jc w:val="both"/>
      </w:pPr>
    </w:p>
    <w:p>
      <w:pPr>
        <w:spacing w:line="360" w:lineRule="auto"/>
        <w:jc w:val="both"/>
      </w:pP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 xml:space="preserve">Type 1 diabetes (T1D) is associated to general- and diabetes-specific stress, which is linked to high </w:t>
      </w:r>
      <w:r>
        <w:rPr>
          <w:rFonts w:ascii="Book Antiqua" w:hAnsi="Book Antiqua" w:eastAsia="Times New Roman"/>
          <w:lang w:eastAsia="da-DK"/>
        </w:rPr>
        <w:t>glycated hemoglobin</w:t>
      </w:r>
      <w:r>
        <w:rPr>
          <w:rFonts w:ascii="Book Antiqua" w:hAnsi="Book Antiqua" w:eastAsia="Book Antiqua" w:cs="Book Antiqua"/>
        </w:rPr>
        <w:t xml:space="preserve"> (HbA1c)</w:t>
      </w:r>
      <w:r>
        <w:rPr>
          <w:rFonts w:ascii="Book Antiqua" w:hAnsi="Book Antiqua" w:eastAsia="Book Antiqua" w:cs="Book Antiqua"/>
          <w:color w:val="000000"/>
          <w:vertAlign w:val="superscript"/>
        </w:rPr>
        <w:t>[</w:t>
      </w:r>
      <w:r>
        <w:rPr>
          <w:rFonts w:ascii="Book Antiqua" w:hAnsi="Book Antiqua" w:eastAsia="Book Antiqua" w:cs="Book Antiqua"/>
          <w:color w:val="000000"/>
          <w:szCs w:val="19"/>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increased morbidity and mortality, and decreased quality of life</w:t>
      </w:r>
      <w:r>
        <w:rPr>
          <w:rFonts w:ascii="Book Antiqua" w:hAnsi="Book Antiqua" w:eastAsia="Book Antiqua" w:cs="Book Antiqua"/>
          <w:color w:val="000000"/>
          <w:vertAlign w:val="superscript"/>
        </w:rPr>
        <w:t>[</w:t>
      </w:r>
      <w:r>
        <w:rPr>
          <w:rFonts w:ascii="Book Antiqua" w:hAnsi="Book Antiqua" w:eastAsia="Book Antiqua" w:cs="Book Antiqua"/>
          <w:color w:val="000000"/>
          <w:szCs w:val="19"/>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adults, Ballegaard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19"/>
          <w:vertAlign w:val="superscript"/>
        </w:rPr>
        <w:t>3,4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pressure pain sensitivity (PPS) measured with an algometer to be correlated with established stress measures, thereby introducing an objective, non-invasive method of measuring stress. The aim of this study was to examine how PPS in children and adolescents associates with other stress measures and whether it can be used as a clinical tool in this population.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Data were collected as part of a prospective study of dermatological complications to diabetes devices. The present study included individuals with T1D between the ages of 6-18 years, and two study visits for each participant were selected based on available data. Exclusion criterium was participant or caregiver not being able to speak or read Danish.</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PPS was measured using the algometer with two to three consecutive measurements on the index finger and tibia for method introduction before placement on the sternum. Increasing pressure was put on the skin for three seconds and participants were asked to say “stop” just before or </w:t>
      </w:r>
      <w:r>
        <w:rPr>
          <w:rFonts w:ascii="Book Antiqua" w:hAnsi="Book Antiqua" w:eastAsia="Book Antiqua" w:cs="Book Antiqua"/>
          <w:i/>
          <w:iCs/>
          <w:color w:val="000000"/>
        </w:rPr>
        <w:t xml:space="preserve">as </w:t>
      </w:r>
      <w:r>
        <w:rPr>
          <w:rFonts w:ascii="Book Antiqua" w:hAnsi="Book Antiqua" w:eastAsia="Book Antiqua" w:cs="Book Antiqua"/>
          <w:color w:val="000000"/>
        </w:rPr>
        <w:t>the pressure turned into pain or discomfort. The measurement was also stopped when a noxious withdrawal reflex (NWR) was observed, or if there was an activation of an alarm at maximum pressure (= 30 on PPS scale). PPS-score ranges from 30-100 with values ≥ 60 being the cut-off point for high level of stress in adults, based on receiver operating characteristic curves</w:t>
      </w:r>
      <w:r>
        <w:rPr>
          <w:rFonts w:ascii="Book Antiqua" w:hAnsi="Book Antiqua" w:eastAsia="Book Antiqua" w:cs="Book Antiqua"/>
          <w:color w:val="000000"/>
          <w:vertAlign w:val="superscript"/>
        </w:rPr>
        <w:t>[4,5]</w:t>
      </w:r>
      <w:r>
        <w:rPr>
          <w:rFonts w:ascii="Book Antiqua" w:hAnsi="Book Antiqua" w:eastAsia="Book Antiqua" w:cs="Book Antiqua"/>
          <w:color w:val="000000"/>
        </w:rPr>
        <w:t>. Salivary cortisol was analyzed with radioimmunoassay and HbA1c collected from medical files. Perceived Stress Scale (PSS) and World Health Organization-5 Well-Being Index (WHO-5), two questionnaires regarding stress and well-being, were completed during visits. PSS was answered by participants from age 10 years and WHO-5 from age 6 years. Examinations were conducted between April 1</w:t>
      </w:r>
      <w:r>
        <w:rPr>
          <w:rFonts w:ascii="Book Antiqua" w:hAnsi="Book Antiqua" w:eastAsia="Book Antiqua" w:cs="Book Antiqua"/>
          <w:color w:val="000000"/>
          <w:szCs w:val="19"/>
        </w:rPr>
        <w:t xml:space="preserve">, </w:t>
      </w:r>
      <w:r>
        <w:rPr>
          <w:rFonts w:ascii="Book Antiqua" w:hAnsi="Book Antiqua" w:eastAsia="Book Antiqua" w:cs="Book Antiqua"/>
          <w:color w:val="000000"/>
        </w:rPr>
        <w:t xml:space="preserve">2020 and April 9, 2021. The study was approved by the Danish Data Protection Agency (P-2020-2) and the Regional Committee in Health Research Ethics (H-18059790) and followed Danish legislation regarding consent. Statistical analyses were made using the statistical software package R, version 4.2.2. Spearman’s rank correlation was used for correlation analyses. Sex differences were analyzed using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The study population was analyzed as a whole and divided in two age groups (6-12 years, 13-18 years).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of &lt; 0.05 was considered statistically significant.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This study comprised 83 participants, 51% male, mean (± SD) age was 12.6 (± 2.9) years and median (Q1-Q3) T1D duration was 0.8 years (0.01; 3.4). Forty-one percent were diagnosed with T1D within three months prior to their first study visit. Tables 1 and 2 show correlation analyses at the first visit (Table 1) and in between visits (Table 2) for the whole population as well as when stratified into age groups. Unexpectedly, negative correlations were found between PPS and cortisol in the total population (rho = -0.25, </w:t>
      </w:r>
      <w:r>
        <w:rPr>
          <w:rFonts w:ascii="Book Antiqua" w:hAnsi="Book Antiqua" w:eastAsia="Book Antiqua" w:cs="Book Antiqua"/>
          <w:i/>
          <w:iCs/>
          <w:color w:val="000000"/>
        </w:rPr>
        <w:t>P</w:t>
      </w:r>
      <w:r>
        <w:rPr>
          <w:rFonts w:ascii="Book Antiqua" w:hAnsi="Book Antiqua" w:eastAsia="Book Antiqua" w:cs="Book Antiqua"/>
          <w:color w:val="000000"/>
        </w:rPr>
        <w:t xml:space="preserve"> = 0.02), in the 13 to 18-year-olds (rho = -0.35,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and between PPS and PSS in the 6 to 12-year-olds (rho = -0.44, </w:t>
      </w:r>
      <w:r>
        <w:rPr>
          <w:rFonts w:ascii="Book Antiqua" w:hAnsi="Book Antiqua" w:eastAsia="Book Antiqua" w:cs="Book Antiqua"/>
          <w:i/>
          <w:iCs/>
          <w:color w:val="000000"/>
        </w:rPr>
        <w:t>P</w:t>
      </w:r>
      <w:r>
        <w:rPr>
          <w:rFonts w:ascii="Book Antiqua" w:hAnsi="Book Antiqua" w:eastAsia="Book Antiqua" w:cs="Book Antiqua"/>
          <w:color w:val="000000"/>
        </w:rPr>
        <w:t xml:space="preserve"> = 0.02). A positive correlation between PPS and HbA1c was present in the 13 to 18-year-olds (rho = 0.35, </w:t>
      </w:r>
      <w:r>
        <w:rPr>
          <w:rFonts w:ascii="Book Antiqua" w:hAnsi="Book Antiqua" w:eastAsia="Book Antiqua" w:cs="Book Antiqua"/>
          <w:i/>
          <w:iCs/>
          <w:color w:val="000000"/>
        </w:rPr>
        <w:t>P</w:t>
      </w:r>
      <w:r>
        <w:rPr>
          <w:rFonts w:ascii="Book Antiqua" w:hAnsi="Book Antiqua" w:eastAsia="Book Antiqua" w:cs="Book Antiqua"/>
          <w:color w:val="000000"/>
        </w:rPr>
        <w:t xml:space="preserve"> = 0.046) and this finding persisted when comparing differences in PPS and HbA1c between the two visits (rho = 0.45, </w:t>
      </w:r>
      <w:r>
        <w:rPr>
          <w:rFonts w:ascii="Book Antiqua" w:hAnsi="Book Antiqua" w:eastAsia="Book Antiqua" w:cs="Book Antiqua"/>
          <w:i/>
          <w:iCs/>
          <w:color w:val="000000"/>
        </w:rPr>
        <w:t>P</w:t>
      </w:r>
      <w:r>
        <w:rPr>
          <w:rFonts w:ascii="Book Antiqua" w:hAnsi="Book Antiqua" w:eastAsia="Book Antiqua" w:cs="Book Antiqua"/>
          <w:color w:val="000000"/>
        </w:rPr>
        <w:t xml:space="preserve"> = 0.048). Males scored higher than females in PPS in the total population (median difference = 17.5,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this being driven by the younger age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since no sex difference was present among 13 to 18-year-olds. No sex differences were found among the other variables. The PPS measurements were strongly and internally correlated when measured on the index finger, the tibia, and the sternum (all </w:t>
      </w:r>
      <w:r>
        <w:rPr>
          <w:rFonts w:ascii="Book Antiqua" w:hAnsi="Book Antiqua" w:eastAsia="Book Antiqua" w:cs="Book Antiqua"/>
          <w:i/>
          <w:iCs/>
          <w:color w:val="000000"/>
        </w:rPr>
        <w:t>r</w:t>
      </w:r>
      <w:r>
        <w:rPr>
          <w:rFonts w:ascii="Book Antiqua" w:hAnsi="Book Antiqua" w:eastAsia="Book Antiqua" w:cs="Book Antiqua"/>
          <w:color w:val="000000"/>
        </w:rPr>
        <w:t xml:space="preserve"> &gt; 0.5,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To summarize, we found a positive correlation between PPS and HbA1c in the old age group and unexpectedly negative correlations at the first visit between PPS and cortisol and PPS and PSS, the latter being present in the young age group. The negative and missing correlations contrast the findings of Ballegaard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19"/>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who in adults found significant correlations between PPS and physiological markers of stress (heart rate, blood pressure, pressure rate product), regulation of glucose metabolism in adults with type 2 diabetes</w:t>
      </w:r>
      <w:r>
        <w:rPr>
          <w:rFonts w:ascii="Book Antiqua" w:hAnsi="Book Antiqua" w:eastAsia="Book Antiqua" w:cs="Book Antiqua"/>
          <w:color w:val="000000"/>
          <w:vertAlign w:val="superscript"/>
        </w:rPr>
        <w:t>[5-7]</w:t>
      </w:r>
      <w:r>
        <w:rPr>
          <w:rFonts w:ascii="Book Antiqua" w:hAnsi="Book Antiqua" w:eastAsia="Book Antiqua" w:cs="Book Antiqua"/>
          <w:color w:val="000000"/>
        </w:rPr>
        <w:t>, survival in persons with ischemic heart disease</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and questionnaires regarding mental and physical health</w:t>
      </w:r>
      <w:r>
        <w:rPr>
          <w:rFonts w:ascii="Book Antiqua" w:hAnsi="Book Antiqua" w:eastAsia="Book Antiqua" w:cs="Book Antiqua"/>
          <w:color w:val="000000"/>
          <w:vertAlign w:val="superscript"/>
        </w:rPr>
        <w:t>[</w:t>
      </w:r>
      <w:r>
        <w:rPr>
          <w:rFonts w:ascii="Book Antiqua" w:hAnsi="Book Antiqua" w:eastAsia="Book Antiqua" w:cs="Book Antiqua"/>
          <w:color w:val="000000"/>
          <w:szCs w:val="19"/>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Interestingly, we found that the younger males scored higher than the younger females but no differences among the older participants. Conversely Ballegaard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found the opposite correlation in adults which is more in line with the general assumption that females score higher in stress than males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When using the algometer, a sex specific scale is activated. Hence our opposing findings may be explained by an irrelevance of different scales for sex in younger children. Despite the set-up with measuring on finger and tibia first and then sternum, a high percentage of participants said stop right away even at repeated visits. The </w:t>
      </w:r>
      <w:r>
        <w:rPr>
          <w:rFonts w:ascii="Book Antiqua" w:hAnsi="Book Antiqua" w:eastAsia="Book Antiqua" w:cs="Book Antiqua"/>
          <w:i/>
          <w:iCs/>
          <w:color w:val="000000"/>
        </w:rPr>
        <w:t>a priori</w:t>
      </w:r>
      <w:r>
        <w:rPr>
          <w:rFonts w:ascii="Book Antiqua" w:hAnsi="Book Antiqua" w:eastAsia="Book Antiqua" w:cs="Book Antiqua"/>
          <w:color w:val="000000"/>
        </w:rPr>
        <w:t xml:space="preserve"> fear of being hurt and/or problems with understanding the instruction may be more prominent in younger children. A possible scenario could also be that participants wished to appear strong and therefore waited too long before saying stop. The population’s high PPS levels can be interpreted as either an expression of a psychological response, measurement difficulties or a general centrally induced hypersensibility caused by autonomic imbalance due to T1D</w:t>
      </w:r>
      <w:r>
        <w:rPr>
          <w:rFonts w:ascii="Book Antiqua" w:hAnsi="Book Antiqua" w:eastAsia="Book Antiqua" w:cs="Book Antiqua"/>
          <w:color w:val="000000"/>
          <w:vertAlign w:val="superscript"/>
        </w:rPr>
        <w:t>[7]</w:t>
      </w:r>
      <w:r>
        <w:rPr>
          <w:rFonts w:ascii="Book Antiqua" w:hAnsi="Book Antiqua" w:eastAsia="Book Antiqua" w:cs="Book Antiqua"/>
          <w:color w:val="000000"/>
        </w:rPr>
        <w:t>. PPS was significantly lower in participants with NWR compared to participants saying “stop” but too few measurements terminated because of NWR were available to enable subgroup analyses. The study was running during the COVID-19 pandemic which might have influenced stress and well-being. Cortisol levels were not adjusted to potentially influencing factors such as exercise and food intake. The study had minimal selection bias since participants enrolled in a study regarding skin problems. Furthermore, the variation in age allowed subgroup analyses.</w:t>
      </w:r>
    </w:p>
    <w:p>
      <w:pPr>
        <w:spacing w:line="360" w:lineRule="auto"/>
        <w:ind w:firstLine="480" w:firstLineChars="200"/>
        <w:jc w:val="both"/>
      </w:pPr>
      <w:r>
        <w:rPr>
          <w:rFonts w:ascii="Book Antiqua" w:hAnsi="Book Antiqua" w:eastAsia="Book Antiqua" w:cs="Book Antiqua"/>
          <w:color w:val="000000"/>
        </w:rPr>
        <w:t xml:space="preserve">In conclusion, there was a moderate to strong internal correlation between PPS measured on the three locations, however, the correlations of PPS to other indicators of stress such as cortisol and PSS was unexpectedly negative. PPS-values were generally high compared to adults reflecting either measurement difficulties or hypersensibility towards pain and the use of sex-specific scale was less relevant in the youngest age group. Our study revealed some unexpected discrepancies examining PPS in a pediatric population with </w:t>
      </w:r>
      <w:r>
        <w:rPr>
          <w:rFonts w:ascii="Book Antiqua" w:hAnsi="Book Antiqua" w:eastAsia="Book Antiqua" w:cs="Book Antiqua"/>
        </w:rPr>
        <w:t>T1D</w:t>
      </w:r>
      <w:r>
        <w:rPr>
          <w:rFonts w:ascii="Book Antiqua" w:hAnsi="Book Antiqua" w:eastAsia="Book Antiqua" w:cs="Book Antiqua"/>
          <w:color w:val="000000"/>
        </w:rPr>
        <w:t xml:space="preserve"> highlighting the need for more research to validate if PPS is a clinically useful measure in children.</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would like to thank all the children and parents who participated in the project and made this research possible. We would also like to thank the nurses and doctors at both hospitals for their assistance in recruiting patients for the study. We would also like to thank Olivia McCarthy for language editing.</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597" w:name="OLE_LINK8312"/>
      <w:bookmarkStart w:id="598" w:name="OLE_LINK8313"/>
      <w:r>
        <w:rPr>
          <w:rFonts w:ascii="Book Antiqua" w:hAnsi="Book Antiqua" w:eastAsia="Book Antiqua" w:cs="Book Antiqua"/>
        </w:rPr>
        <w:t xml:space="preserve">1 </w:t>
      </w:r>
      <w:r>
        <w:rPr>
          <w:rFonts w:ascii="Book Antiqua" w:hAnsi="Book Antiqua" w:eastAsia="Book Antiqua" w:cs="Book Antiqua"/>
          <w:b/>
          <w:bCs/>
        </w:rPr>
        <w:t>Rechenberg K</w:t>
      </w:r>
      <w:r>
        <w:rPr>
          <w:rFonts w:ascii="Book Antiqua" w:hAnsi="Book Antiqua" w:eastAsia="Book Antiqua" w:cs="Book Antiqua"/>
        </w:rPr>
        <w:t xml:space="preserve">, Whittemore R, Holland M, Grey M. General and diabetes-specific stress in adolescents with type 1 diabetes. </w:t>
      </w:r>
      <w:r>
        <w:rPr>
          <w:rFonts w:ascii="Book Antiqua" w:hAnsi="Book Antiqua" w:eastAsia="Book Antiqua" w:cs="Book Antiqua"/>
          <w:i/>
          <w:iCs/>
        </w:rPr>
        <w:t>Diabetes Res Clin Pract</w:t>
      </w:r>
      <w:r>
        <w:rPr>
          <w:rFonts w:ascii="Book Antiqua" w:hAnsi="Book Antiqua" w:eastAsia="Book Antiqua" w:cs="Book Antiqua"/>
        </w:rPr>
        <w:t xml:space="preserve"> 2017; </w:t>
      </w:r>
      <w:r>
        <w:rPr>
          <w:rFonts w:ascii="Book Antiqua" w:hAnsi="Book Antiqua" w:eastAsia="Book Antiqua" w:cs="Book Antiqua"/>
          <w:b/>
          <w:bCs/>
        </w:rPr>
        <w:t>130</w:t>
      </w:r>
      <w:r>
        <w:rPr>
          <w:rFonts w:ascii="Book Antiqua" w:hAnsi="Book Antiqua" w:eastAsia="Book Antiqua" w:cs="Book Antiqua"/>
        </w:rPr>
        <w:t>: 1-8 [PMID: 28551480 DOI: 10.1016/j.diabres.2017.05.003]</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Sandahl K</w:t>
      </w:r>
      <w:r>
        <w:rPr>
          <w:rFonts w:ascii="Book Antiqua" w:hAnsi="Book Antiqua" w:eastAsia="Book Antiqua" w:cs="Book Antiqua"/>
        </w:rPr>
        <w:t xml:space="preserve">, Nielsen LB, Svensson J, Johannesen J, Pociot F, Mortensen HB, Hougaard P, Broe R, Rasmussen ML, Grauslund J, Peto T, Olsen BS. Increased mortality in a Danish cohort of young people with Type 1 diabetes mellitus followed for 24 years. </w:t>
      </w:r>
      <w:r>
        <w:rPr>
          <w:rFonts w:ascii="Book Antiqua" w:hAnsi="Book Antiqua" w:eastAsia="Book Antiqua" w:cs="Book Antiqua"/>
          <w:i/>
          <w:iCs/>
        </w:rPr>
        <w:t>Diabet Med</w:t>
      </w:r>
      <w:r>
        <w:rPr>
          <w:rFonts w:ascii="Book Antiqua" w:hAnsi="Book Antiqua" w:eastAsia="Book Antiqua" w:cs="Book Antiqua"/>
        </w:rPr>
        <w:t xml:space="preserve"> 2017; </w:t>
      </w:r>
      <w:r>
        <w:rPr>
          <w:rFonts w:ascii="Book Antiqua" w:hAnsi="Book Antiqua" w:eastAsia="Book Antiqua" w:cs="Book Antiqua"/>
          <w:b/>
          <w:bCs/>
        </w:rPr>
        <w:t>34</w:t>
      </w:r>
      <w:r>
        <w:rPr>
          <w:rFonts w:ascii="Book Antiqua" w:hAnsi="Book Antiqua" w:eastAsia="Book Antiqua" w:cs="Book Antiqua"/>
        </w:rPr>
        <w:t>: 380-386 [PMID: 27027777 DOI: 10.1111/dme.13124]</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Ballegaard S</w:t>
      </w:r>
      <w:r>
        <w:rPr>
          <w:rFonts w:ascii="Book Antiqua" w:hAnsi="Book Antiqua" w:eastAsia="Book Antiqua" w:cs="Book Antiqua"/>
        </w:rPr>
        <w:t xml:space="preserve">, Karpatschof B, Trojaborg W, Hansen AM, Magnusson G, Petersen PB. A simple and objective marker for stress. </w:t>
      </w:r>
      <w:r>
        <w:rPr>
          <w:rFonts w:ascii="Book Antiqua" w:hAnsi="Book Antiqua" w:eastAsia="Book Antiqua" w:cs="Book Antiqua"/>
          <w:i/>
          <w:iCs/>
        </w:rPr>
        <w:t>Scand J Clin Lab Invest</w:t>
      </w:r>
      <w:r>
        <w:rPr>
          <w:rFonts w:ascii="Book Antiqua" w:hAnsi="Book Antiqua" w:eastAsia="Book Antiqua" w:cs="Book Antiqua"/>
        </w:rPr>
        <w:t xml:space="preserve"> 2009; </w:t>
      </w:r>
      <w:r>
        <w:rPr>
          <w:rFonts w:ascii="Book Antiqua" w:hAnsi="Book Antiqua" w:eastAsia="Book Antiqua" w:cs="Book Antiqua"/>
          <w:b/>
          <w:bCs/>
        </w:rPr>
        <w:t>69</w:t>
      </w:r>
      <w:r>
        <w:rPr>
          <w:rFonts w:ascii="Book Antiqua" w:hAnsi="Book Antiqua" w:eastAsia="Book Antiqua" w:cs="Book Antiqua"/>
        </w:rPr>
        <w:t>: 713-721 [PMID: 19544223 DOI: 10.3109/00365510903042734]</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Ballegaard S</w:t>
      </w:r>
      <w:r>
        <w:rPr>
          <w:rFonts w:ascii="Book Antiqua" w:hAnsi="Book Antiqua" w:eastAsia="Book Antiqua" w:cs="Book Antiqua"/>
        </w:rPr>
        <w:t xml:space="preserve">, Petersen PB, Gyntelberg F, Faber J. The association between pressure pain sensitivity, and answers to questionnaires estimating psychological stress level in the workplace. A feasibility study. </w:t>
      </w:r>
      <w:r>
        <w:rPr>
          <w:rFonts w:ascii="Book Antiqua" w:hAnsi="Book Antiqua" w:eastAsia="Book Antiqua" w:cs="Book Antiqua"/>
          <w:i/>
          <w:iCs/>
        </w:rPr>
        <w:t>Scand J Clin Lab Invest</w:t>
      </w:r>
      <w:r>
        <w:rPr>
          <w:rFonts w:ascii="Book Antiqua" w:hAnsi="Book Antiqua" w:eastAsia="Book Antiqua" w:cs="Book Antiqua"/>
        </w:rPr>
        <w:t xml:space="preserve"> 2012; </w:t>
      </w:r>
      <w:r>
        <w:rPr>
          <w:rFonts w:ascii="Book Antiqua" w:hAnsi="Book Antiqua" w:eastAsia="Book Antiqua" w:cs="Book Antiqua"/>
          <w:b/>
          <w:bCs/>
        </w:rPr>
        <w:t>72</w:t>
      </w:r>
      <w:r>
        <w:rPr>
          <w:rFonts w:ascii="Book Antiqua" w:hAnsi="Book Antiqua" w:eastAsia="Book Antiqua" w:cs="Book Antiqua"/>
        </w:rPr>
        <w:t>: 459-466 [PMID: 22974296 DOI: 10.3109/00365513.2012.695023]</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Faber J</w:t>
      </w:r>
      <w:r>
        <w:rPr>
          <w:rFonts w:ascii="Book Antiqua" w:hAnsi="Book Antiqua" w:eastAsia="Book Antiqua" w:cs="Book Antiqua"/>
        </w:rPr>
        <w:t xml:space="preserve">, Eldrup E, Selmer C, Pichat C, Hecquet SK, Watt T, Kreiner S, Karpatschof B, Gyntelberg F, Ballegaard S, Gjedde A. Reduction of Pressure Pain Sensitivity as Novel Non-pharmacological Therapeutic Approach to Type 2 Diabetes: A Randomized Trial. </w:t>
      </w:r>
      <w:r>
        <w:rPr>
          <w:rFonts w:ascii="Book Antiqua" w:hAnsi="Book Antiqua" w:eastAsia="Book Antiqua" w:cs="Book Antiqua"/>
          <w:i/>
          <w:iCs/>
        </w:rPr>
        <w:t>Front Neurosci</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613858 [PMID: 33776633 DOI: 10.3389/fnins.2021.613858]</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Faber J</w:t>
      </w:r>
      <w:r>
        <w:rPr>
          <w:rFonts w:ascii="Book Antiqua" w:hAnsi="Book Antiqua" w:eastAsia="Book Antiqua" w:cs="Book Antiqua"/>
        </w:rPr>
        <w:t xml:space="preserve">, Ballegaard S, Ørsted N, Eldrup E, Karpatschof B, Gyntelberg F, Hecquet SK, Gjedde A. In Type 2 Diabetes Mellitus, normalization of hemoglobin A1c accompanies reduced sensitivity to pressure at the sternum. </w:t>
      </w:r>
      <w:r>
        <w:rPr>
          <w:rFonts w:ascii="Book Antiqua" w:hAnsi="Book Antiqua" w:eastAsia="Book Antiqua" w:cs="Book Antiqua"/>
          <w:i/>
          <w:iCs/>
        </w:rPr>
        <w:t>Front Neurosci</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1067098 [PMID: 37389368 DOI: 10.3389/fnins.2023.1067098]</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Salvini V</w:t>
      </w:r>
      <w:r>
        <w:rPr>
          <w:rFonts w:ascii="Book Antiqua" w:hAnsi="Book Antiqua" w:eastAsia="Book Antiqua" w:cs="Book Antiqua"/>
        </w:rPr>
        <w:t xml:space="preserve">, Accioli R, Lazzerini PE, Acampa M. Editorial: New challenges and future perspectives in autonomic neuroscience. </w:t>
      </w:r>
      <w:r>
        <w:rPr>
          <w:rFonts w:ascii="Book Antiqua" w:hAnsi="Book Antiqua" w:eastAsia="Book Antiqua" w:cs="Book Antiqua"/>
          <w:i/>
          <w:iCs/>
        </w:rPr>
        <w:t>Front Neurosci</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1271499 [PMID: 37680971 DOI: 10.3389/fnins.2023.1271499]</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Ballegaard S</w:t>
      </w:r>
      <w:r>
        <w:rPr>
          <w:rFonts w:ascii="Book Antiqua" w:hAnsi="Book Antiqua" w:eastAsia="Book Antiqua" w:cs="Book Antiqua"/>
        </w:rPr>
        <w:t xml:space="preserve">, Faber J, Selmer C, Gyntelberg F, Kreiner S, Karpatschof B, Klausen TW, Hjalmarson Å, Gjedde A. In Ischemic Heart Disease, Reduced Sensitivity to Pressure at the Sternum Accompanies Lower Mortality after Five Years: Evidence from a Randomized Controlled Trial. </w:t>
      </w:r>
      <w:r>
        <w:rPr>
          <w:rFonts w:ascii="Book Antiqua" w:hAnsi="Book Antiqua" w:eastAsia="Book Antiqua" w:cs="Book Antiqua"/>
          <w:i/>
          <w:iCs/>
        </w:rPr>
        <w:t>J Clin Med</w:t>
      </w:r>
      <w:r>
        <w:rPr>
          <w:rFonts w:ascii="Book Antiqua" w:hAnsi="Book Antiqua" w:eastAsia="Book Antiqua" w:cs="Book Antiqua"/>
        </w:rPr>
        <w:t xml:space="preserve"> 2023; </w:t>
      </w:r>
      <w:r>
        <w:rPr>
          <w:rFonts w:ascii="Book Antiqua" w:hAnsi="Book Antiqua" w:eastAsia="Book Antiqua" w:cs="Book Antiqua"/>
          <w:b/>
          <w:bCs/>
        </w:rPr>
        <w:t>12</w:t>
      </w:r>
      <w:r>
        <w:rPr>
          <w:rFonts w:ascii="Book Antiqua" w:hAnsi="Book Antiqua" w:eastAsia="Book Antiqua" w:cs="Book Antiqua"/>
        </w:rPr>
        <w:t xml:space="preserve"> [PMID: 38137654 DOI: 10.3390/jcm12247585]</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Thorsén F</w:t>
      </w:r>
      <w:r>
        <w:rPr>
          <w:rFonts w:ascii="Book Antiqua" w:hAnsi="Book Antiqua" w:eastAsia="Book Antiqua" w:cs="Book Antiqua"/>
        </w:rPr>
        <w:t xml:space="preserve">, Antonson C, Palmér K, Berg R, Sundquist J, Sundquist K. Associations between perceived stress and health outcomes in adolescents. </w:t>
      </w:r>
      <w:r>
        <w:rPr>
          <w:rFonts w:ascii="Book Antiqua" w:hAnsi="Book Antiqua" w:eastAsia="Book Antiqua" w:cs="Book Antiqua"/>
          <w:i/>
          <w:iCs/>
        </w:rPr>
        <w:t>Child Adolesc Psychiatry Ment Health</w:t>
      </w:r>
      <w:r>
        <w:rPr>
          <w:rFonts w:ascii="Book Antiqua" w:hAnsi="Book Antiqua" w:eastAsia="Book Antiqua" w:cs="Book Antiqua"/>
        </w:rPr>
        <w:t xml:space="preserve"> 2022; </w:t>
      </w:r>
      <w:r>
        <w:rPr>
          <w:rFonts w:ascii="Book Antiqua" w:hAnsi="Book Antiqua" w:eastAsia="Book Antiqua" w:cs="Book Antiqua"/>
          <w:b/>
          <w:bCs/>
        </w:rPr>
        <w:t>16</w:t>
      </w:r>
      <w:r>
        <w:rPr>
          <w:rFonts w:ascii="Book Antiqua" w:hAnsi="Book Antiqua" w:eastAsia="Book Antiqua" w:cs="Book Antiqua"/>
        </w:rPr>
        <w:t>: 75 [PMID: 36123590 DOI: 10.1186/s13034-022-00510-w]</w:t>
      </w:r>
    </w:p>
    <w:bookmarkEnd w:id="597"/>
    <w:bookmarkEnd w:id="598"/>
    <w:p>
      <w:pPr>
        <w:spacing w:line="360" w:lineRule="auto"/>
        <w:jc w:val="both"/>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Grauslund AC: No conflicts of interest; Lindkvist EB: No conflicts of interest; Thorsen SU: No conflicts of interest; Ballegaard S: Invented the instrument used to measure PPS (Ullmeter, patent numbers: PA 2004-00349; PA 2004-00550) and is a shareholder of the firm that owns the PPS instrument (UllMeter A/S). In order to avoid bias, he was not involved in patient contact, collection of data or statistical analysis; Faber J: No conflicts of interest; Svensson J: No conflicts of interest; Berg AK: No conflicts of interest.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International Society of Pediatric and Adolescent Diabetes.</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7,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7,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29,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Denmark</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Lv L,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Zheng XM</w:t>
      </w:r>
    </w:p>
    <w:p>
      <w:pPr>
        <w:spacing w:line="360" w:lineRule="auto"/>
        <w:jc w:val="both"/>
        <w:textAlignment w:val="baseline"/>
        <w:rPr>
          <w:rFonts w:ascii="Book Antiqua" w:hAnsi="Book Antiqua" w:eastAsia="Times New Roman"/>
          <w:b/>
          <w:bCs/>
          <w:lang w:eastAsia="da-DK"/>
        </w:rPr>
      </w:pPr>
      <w:r>
        <w:rPr>
          <w:rFonts w:ascii="Book Antiqua" w:hAnsi="Book Antiqua" w:eastAsia="Book Antiqua" w:cs="Book Antiqua"/>
          <w:b/>
          <w:color w:val="000000"/>
        </w:rPr>
        <w:br w:type="page"/>
      </w:r>
      <w:bookmarkStart w:id="599" w:name="OLE_LINK8314"/>
      <w:bookmarkStart w:id="600" w:name="OLE_LINK8315"/>
      <w:r>
        <w:rPr>
          <w:rFonts w:ascii="Book Antiqua" w:hAnsi="Book Antiqua" w:eastAsia="Times New Roman"/>
          <w:b/>
          <w:bCs/>
          <w:lang w:eastAsia="da-DK"/>
        </w:rPr>
        <w:t>Table</w:t>
      </w:r>
      <w:bookmarkEnd w:id="599"/>
      <w:bookmarkEnd w:id="600"/>
      <w:r>
        <w:rPr>
          <w:rFonts w:ascii="Book Antiqua" w:hAnsi="Book Antiqua" w:eastAsia="Times New Roman"/>
          <w:b/>
          <w:bCs/>
          <w:lang w:eastAsia="da-DK"/>
        </w:rPr>
        <w:t xml:space="preserve"> 1 Pressure pain sensitivity and correlations to stress measures during the first study visit</w:t>
      </w:r>
    </w:p>
    <w:tbl>
      <w:tblPr>
        <w:tblStyle w:val="6"/>
        <w:tblW w:w="9465" w:type="dxa"/>
        <w:tblInd w:w="135" w:type="dxa"/>
        <w:tblLayout w:type="autofit"/>
        <w:tblCellMar>
          <w:top w:w="0" w:type="dxa"/>
          <w:left w:w="0" w:type="dxa"/>
          <w:bottom w:w="0" w:type="dxa"/>
          <w:right w:w="0" w:type="dxa"/>
        </w:tblCellMar>
      </w:tblPr>
      <w:tblGrid>
        <w:gridCol w:w="1545"/>
        <w:gridCol w:w="1275"/>
        <w:gridCol w:w="1185"/>
        <w:gridCol w:w="1500"/>
        <w:gridCol w:w="1275"/>
        <w:gridCol w:w="1545"/>
        <w:gridCol w:w="1140"/>
      </w:tblGrid>
      <w:tr>
        <w:tblPrEx>
          <w:tblCellMar>
            <w:top w:w="0" w:type="dxa"/>
            <w:left w:w="0" w:type="dxa"/>
            <w:bottom w:w="0" w:type="dxa"/>
            <w:right w:w="0" w:type="dxa"/>
          </w:tblCellMar>
        </w:tblPrEx>
        <w:trPr>
          <w:trHeight w:val="300" w:hRule="atLeast"/>
        </w:trPr>
        <w:tc>
          <w:tcPr>
            <w:tcW w:w="1545" w:type="dxa"/>
            <w:tcBorders>
              <w:top w:val="single" w:color="auto" w:sz="4" w:space="0"/>
              <w:right w:val="nil"/>
            </w:tcBorders>
            <w:shd w:val="clear" w:color="auto" w:fill="auto"/>
          </w:tcPr>
          <w:p>
            <w:pPr>
              <w:spacing w:line="360" w:lineRule="auto"/>
              <w:jc w:val="both"/>
              <w:textAlignment w:val="baseline"/>
              <w:rPr>
                <w:rFonts w:ascii="Book Antiqua" w:hAnsi="Book Antiqua" w:eastAsia="Times New Roman"/>
                <w:b/>
                <w:bCs/>
                <w:lang w:eastAsia="da-DK"/>
              </w:rPr>
            </w:pPr>
          </w:p>
        </w:tc>
        <w:tc>
          <w:tcPr>
            <w:tcW w:w="2460" w:type="dxa"/>
            <w:gridSpan w:val="2"/>
            <w:tcBorders>
              <w:top w:val="single" w:color="auto" w:sz="4" w:space="0"/>
              <w:left w:val="nil"/>
              <w:bottom w:val="single" w:color="auto" w:sz="4" w:space="0"/>
              <w:right w:val="nil"/>
            </w:tcBorders>
            <w:shd w:val="clear" w:color="auto" w:fill="auto"/>
          </w:tcPr>
          <w:p>
            <w:pPr>
              <w:spacing w:line="360" w:lineRule="auto"/>
              <w:jc w:val="center"/>
              <w:textAlignment w:val="baseline"/>
              <w:rPr>
                <w:rFonts w:ascii="Book Antiqua" w:hAnsi="Book Antiqua" w:eastAsia="Times New Roman"/>
                <w:b/>
                <w:bCs/>
                <w:lang w:eastAsia="da-DK"/>
              </w:rPr>
            </w:pPr>
            <w:r>
              <w:rPr>
                <w:rFonts w:ascii="Book Antiqua" w:hAnsi="Book Antiqua" w:eastAsia="Times New Roman" w:cs="Calibri"/>
                <w:b/>
                <w:bCs/>
                <w:lang w:eastAsia="da-DK"/>
              </w:rPr>
              <w:t>Age: 6</w:t>
            </w:r>
            <w:r>
              <w:rPr>
                <w:rFonts w:hint="eastAsia" w:ascii="Book Antiqua" w:hAnsi="Book Antiqua" w:eastAsia="宋体" w:cs="Calibri"/>
                <w:b/>
                <w:bCs/>
                <w:lang w:val="en-US" w:eastAsia="zh-CN"/>
              </w:rPr>
              <w:t>-</w:t>
            </w:r>
            <w:r>
              <w:rPr>
                <w:rFonts w:ascii="Book Antiqua" w:hAnsi="Book Antiqua" w:eastAsia="Times New Roman" w:cs="Calibri"/>
                <w:b/>
                <w:bCs/>
                <w:lang w:eastAsia="da-DK"/>
              </w:rPr>
              <w:t>12 yr; (M = 24, F = 25)</w:t>
            </w:r>
          </w:p>
        </w:tc>
        <w:tc>
          <w:tcPr>
            <w:tcW w:w="2775" w:type="dxa"/>
            <w:gridSpan w:val="2"/>
            <w:tcBorders>
              <w:top w:val="single" w:color="auto" w:sz="4" w:space="0"/>
              <w:left w:val="nil"/>
              <w:bottom w:val="single" w:color="auto" w:sz="4" w:space="0"/>
              <w:right w:val="nil"/>
            </w:tcBorders>
            <w:shd w:val="clear" w:color="auto" w:fill="auto"/>
          </w:tcPr>
          <w:p>
            <w:pPr>
              <w:spacing w:line="360" w:lineRule="auto"/>
              <w:jc w:val="center"/>
              <w:textAlignment w:val="baseline"/>
              <w:rPr>
                <w:rFonts w:ascii="Book Antiqua" w:hAnsi="Book Antiqua" w:eastAsia="Times New Roman"/>
                <w:b/>
                <w:bCs/>
                <w:lang w:eastAsia="da-DK"/>
              </w:rPr>
            </w:pPr>
            <w:r>
              <w:rPr>
                <w:rFonts w:ascii="Book Antiqua" w:hAnsi="Book Antiqua" w:eastAsia="Times New Roman" w:cs="Calibri"/>
                <w:b/>
                <w:bCs/>
                <w:lang w:eastAsia="da-DK"/>
              </w:rPr>
              <w:t>Age: 13</w:t>
            </w:r>
            <w:r>
              <w:rPr>
                <w:rFonts w:hint="eastAsia" w:ascii="Book Antiqua" w:hAnsi="Book Antiqua" w:eastAsia="宋体" w:cs="Calibri"/>
                <w:b/>
                <w:bCs/>
                <w:lang w:val="en-US" w:eastAsia="zh-CN"/>
              </w:rPr>
              <w:t>-</w:t>
            </w:r>
            <w:r>
              <w:rPr>
                <w:rFonts w:ascii="Book Antiqua" w:hAnsi="Book Antiqua" w:eastAsia="Times New Roman" w:cs="Calibri"/>
                <w:b/>
                <w:bCs/>
                <w:lang w:eastAsia="da-DK"/>
              </w:rPr>
              <w:t>18 yr; (M = 18, F</w:t>
            </w:r>
            <w:r>
              <w:rPr>
                <w:rFonts w:hint="eastAsia" w:ascii="Book Antiqua" w:hAnsi="Book Antiqua" w:eastAsia="宋体" w:cs="Calibri"/>
                <w:b/>
                <w:bCs/>
                <w:lang w:val="en-US" w:eastAsia="zh-CN"/>
              </w:rPr>
              <w:t xml:space="preserve"> </w:t>
            </w:r>
            <w:r>
              <w:rPr>
                <w:rFonts w:ascii="Book Antiqua" w:hAnsi="Book Antiqua" w:eastAsia="Times New Roman" w:cs="Calibri"/>
                <w:b/>
                <w:bCs/>
                <w:lang w:eastAsia="da-DK"/>
              </w:rPr>
              <w:t>= 16)</w:t>
            </w:r>
          </w:p>
        </w:tc>
        <w:tc>
          <w:tcPr>
            <w:tcW w:w="2685" w:type="dxa"/>
            <w:gridSpan w:val="2"/>
            <w:tcBorders>
              <w:top w:val="single" w:color="auto" w:sz="4" w:space="0"/>
              <w:left w:val="nil"/>
              <w:bottom w:val="single" w:color="auto" w:sz="4" w:space="0"/>
              <w:right w:val="nil"/>
            </w:tcBorders>
            <w:shd w:val="clear" w:color="auto" w:fill="auto"/>
          </w:tcPr>
          <w:p>
            <w:pPr>
              <w:spacing w:line="360" w:lineRule="auto"/>
              <w:jc w:val="center"/>
              <w:textAlignment w:val="baseline"/>
              <w:rPr>
                <w:rFonts w:ascii="Book Antiqua" w:hAnsi="Book Antiqua" w:eastAsia="Times New Roman"/>
                <w:b/>
                <w:bCs/>
                <w:lang w:eastAsia="da-DK"/>
              </w:rPr>
            </w:pPr>
            <w:r>
              <w:rPr>
                <w:rFonts w:ascii="Book Antiqua" w:hAnsi="Book Antiqua" w:eastAsia="Times New Roman" w:cs="Calibri"/>
                <w:b/>
                <w:bCs/>
                <w:lang w:eastAsia="da-DK"/>
              </w:rPr>
              <w:t>Total population; (M = 42, F = 41)</w:t>
            </w:r>
          </w:p>
        </w:tc>
      </w:tr>
      <w:tr>
        <w:tblPrEx>
          <w:tblCellMar>
            <w:top w:w="0" w:type="dxa"/>
            <w:left w:w="0" w:type="dxa"/>
            <w:bottom w:w="0" w:type="dxa"/>
            <w:right w:w="0" w:type="dxa"/>
          </w:tblCellMar>
        </w:tblPrEx>
        <w:trPr>
          <w:trHeight w:val="300" w:hRule="atLeast"/>
        </w:trPr>
        <w:tc>
          <w:tcPr>
            <w:tcW w:w="1545" w:type="dxa"/>
            <w:tcBorders>
              <w:bottom w:val="single" w:color="auto" w:sz="4" w:space="0"/>
              <w:right w:val="nil"/>
            </w:tcBorders>
            <w:shd w:val="clear" w:color="auto" w:fill="auto"/>
          </w:tcPr>
          <w:p>
            <w:pPr>
              <w:spacing w:line="360" w:lineRule="auto"/>
              <w:jc w:val="both"/>
              <w:textAlignment w:val="baseline"/>
              <w:rPr>
                <w:rFonts w:ascii="Book Antiqua" w:hAnsi="Book Antiqua" w:eastAsia="Times New Roman"/>
                <w:b/>
                <w:bCs/>
                <w:lang w:eastAsia="da-DK"/>
              </w:rPr>
            </w:pPr>
          </w:p>
        </w:tc>
        <w:tc>
          <w:tcPr>
            <w:tcW w:w="127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N</w:t>
            </w:r>
            <w:r>
              <w:rPr>
                <w:rFonts w:ascii="Book Antiqua" w:hAnsi="Book Antiqua" w:eastAsia="Times New Roman" w:cs="Calibri"/>
                <w:b/>
                <w:bCs/>
                <w:lang w:eastAsia="da-DK"/>
              </w:rPr>
              <w:t xml:space="preserve"> (missing)</w:t>
            </w:r>
          </w:p>
        </w:tc>
        <w:tc>
          <w:tcPr>
            <w:tcW w:w="118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c>
          <w:tcPr>
            <w:tcW w:w="150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 xml:space="preserve">N </w:t>
            </w:r>
            <w:r>
              <w:rPr>
                <w:rFonts w:ascii="Book Antiqua" w:hAnsi="Book Antiqua" w:eastAsia="Times New Roman" w:cs="Calibri"/>
                <w:b/>
                <w:bCs/>
                <w:lang w:eastAsia="da-DK"/>
              </w:rPr>
              <w:t>(missing)</w:t>
            </w:r>
          </w:p>
        </w:tc>
        <w:tc>
          <w:tcPr>
            <w:tcW w:w="127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c>
          <w:tcPr>
            <w:tcW w:w="154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 xml:space="preserve">N </w:t>
            </w:r>
            <w:r>
              <w:rPr>
                <w:rFonts w:ascii="Book Antiqua" w:hAnsi="Book Antiqua" w:eastAsia="Times New Roman" w:cs="Calibri"/>
                <w:b/>
                <w:bCs/>
                <w:lang w:eastAsia="da-DK"/>
              </w:rPr>
              <w:t>(missing)</w:t>
            </w:r>
          </w:p>
        </w:tc>
        <w:tc>
          <w:tcPr>
            <w:tcW w:w="114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r>
      <w:tr>
        <w:tblPrEx>
          <w:tblCellMar>
            <w:top w:w="0" w:type="dxa"/>
            <w:left w:w="0" w:type="dxa"/>
            <w:bottom w:w="0" w:type="dxa"/>
            <w:right w:w="0" w:type="dxa"/>
          </w:tblCellMar>
        </w:tblPrEx>
        <w:trPr>
          <w:trHeight w:val="300" w:hRule="atLeast"/>
        </w:trPr>
        <w:tc>
          <w:tcPr>
            <w:tcW w:w="1545" w:type="dxa"/>
            <w:tcBorders>
              <w:top w:val="single" w:color="auto" w:sz="4" w:space="0"/>
            </w:tcBorders>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Pressure pain sensitivity</w:t>
            </w:r>
            <w:r>
              <w:rPr>
                <w:rFonts w:ascii="Sylfaen" w:hAnsi="Sylfaen" w:eastAsia="Times New Roman" w:cs="Sylfaen"/>
                <w:vertAlign w:val="superscript"/>
                <w:lang w:eastAsia="da-DK"/>
              </w:rPr>
              <w:t>1</w:t>
            </w:r>
          </w:p>
        </w:tc>
        <w:tc>
          <w:tcPr>
            <w:tcW w:w="127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85 (68; 99),</w:t>
            </w:r>
            <w:r>
              <w:rPr>
                <w:rFonts w:hint="eastAsia" w:ascii="Book Antiqua" w:hAnsi="Book Antiqua" w:cs="Calibri"/>
                <w:lang w:eastAsia="zh-CN"/>
              </w:rPr>
              <w:t xml:space="preserve"> </w:t>
            </w:r>
            <w:r>
              <w:rPr>
                <w:rFonts w:ascii="Book Antiqua" w:hAnsi="Book Antiqua" w:eastAsia="Times New Roman" w:cs="Calibri"/>
                <w:lang w:eastAsia="da-DK"/>
              </w:rPr>
              <w:t>0</w:t>
            </w:r>
          </w:p>
        </w:tc>
        <w:tc>
          <w:tcPr>
            <w:tcW w:w="118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c>
          <w:tcPr>
            <w:tcW w:w="150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76 (66; 91), 0</w:t>
            </w:r>
          </w:p>
        </w:tc>
        <w:tc>
          <w:tcPr>
            <w:tcW w:w="127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c>
          <w:tcPr>
            <w:tcW w:w="154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81 (66; 96), 0</w:t>
            </w:r>
          </w:p>
        </w:tc>
        <w:tc>
          <w:tcPr>
            <w:tcW w:w="114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r>
      <w:tr>
        <w:tblPrEx>
          <w:tblCellMar>
            <w:top w:w="0" w:type="dxa"/>
            <w:left w:w="0" w:type="dxa"/>
            <w:bottom w:w="0" w:type="dxa"/>
            <w:right w:w="0" w:type="dxa"/>
          </w:tblCellMar>
        </w:tblPrEx>
        <w:trPr>
          <w:trHeight w:val="300" w:hRule="atLeast"/>
        </w:trPr>
        <w:tc>
          <w:tcPr>
            <w:tcW w:w="1545"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Perceived stress scale</w:t>
            </w:r>
            <w:r>
              <w:rPr>
                <w:rFonts w:ascii="Book Antiqua" w:hAnsi="Book Antiqua" w:eastAsia="Times New Roman" w:cs="Calibri"/>
                <w:vertAlign w:val="superscript"/>
                <w:lang w:eastAsia="da-DK"/>
              </w:rPr>
              <w:t>2</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12 (8; 16), 23</w:t>
            </w:r>
          </w:p>
        </w:tc>
        <w:tc>
          <w:tcPr>
            <w:tcW w:w="118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-0.44 (0.02)</w:t>
            </w:r>
            <w:r>
              <w:rPr>
                <w:rFonts w:ascii="Book Antiqua" w:hAnsi="Book Antiqua" w:eastAsia="Times New Roman" w:cs="Calibri"/>
                <w:vertAlign w:val="superscript"/>
                <w:lang w:eastAsia="da-DK"/>
              </w:rPr>
              <w:t>c</w:t>
            </w:r>
          </w:p>
        </w:tc>
        <w:tc>
          <w:tcPr>
            <w:tcW w:w="150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16 (10; 18), 9</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0.16 (0.45)</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15 (9; 18), 32</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-0.18 (0.20)</w:t>
            </w:r>
          </w:p>
        </w:tc>
      </w:tr>
      <w:tr>
        <w:tblPrEx>
          <w:tblCellMar>
            <w:top w:w="0" w:type="dxa"/>
            <w:left w:w="0" w:type="dxa"/>
            <w:bottom w:w="0" w:type="dxa"/>
            <w:right w:w="0" w:type="dxa"/>
          </w:tblCellMar>
        </w:tblPrEx>
        <w:trPr>
          <w:trHeight w:val="509" w:hRule="atLeast"/>
        </w:trPr>
        <w:tc>
          <w:tcPr>
            <w:tcW w:w="1545"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WHO-5</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72 (64; 84), 7</w:t>
            </w:r>
          </w:p>
        </w:tc>
        <w:tc>
          <w:tcPr>
            <w:tcW w:w="118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0.29 (0.06)</w:t>
            </w:r>
          </w:p>
        </w:tc>
        <w:tc>
          <w:tcPr>
            <w:tcW w:w="150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62 (46; 76), 4</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-0.21 (0.26)</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68 (59; 80), 11</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0.14 (0.23)</w:t>
            </w:r>
          </w:p>
        </w:tc>
      </w:tr>
      <w:tr>
        <w:tblPrEx>
          <w:tblCellMar>
            <w:top w:w="0" w:type="dxa"/>
            <w:left w:w="0" w:type="dxa"/>
            <w:bottom w:w="0" w:type="dxa"/>
            <w:right w:w="0" w:type="dxa"/>
          </w:tblCellMar>
        </w:tblPrEx>
        <w:trPr>
          <w:trHeight w:val="300" w:hRule="atLeast"/>
        </w:trPr>
        <w:tc>
          <w:tcPr>
            <w:tcW w:w="1545"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Salivary cortisol (nmol/L)</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6.8 (5.8; 8.5), 0</w:t>
            </w:r>
          </w:p>
        </w:tc>
        <w:tc>
          <w:tcPr>
            <w:tcW w:w="118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-0.13 (0.38)</w:t>
            </w:r>
          </w:p>
        </w:tc>
        <w:tc>
          <w:tcPr>
            <w:tcW w:w="150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9.4 (5.6; 15.3), 0</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-0.35 (0.045)</w:t>
            </w:r>
            <w:r>
              <w:rPr>
                <w:rFonts w:ascii="Book Antiqua" w:hAnsi="Book Antiqua" w:eastAsia="Times New Roman" w:cs="Calibri"/>
                <w:vertAlign w:val="superscript"/>
                <w:lang w:eastAsia="da-DK"/>
              </w:rPr>
              <w:t>3</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7.4 (5.7; 10.4), 0</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-0.25 (0.02)</w:t>
            </w:r>
            <w:r>
              <w:rPr>
                <w:rFonts w:ascii="Book Antiqua" w:hAnsi="Book Antiqua" w:eastAsia="Times New Roman" w:cs="Calibri"/>
                <w:vertAlign w:val="superscript"/>
                <w:lang w:eastAsia="da-DK"/>
              </w:rPr>
              <w:t>3</w:t>
            </w:r>
          </w:p>
        </w:tc>
      </w:tr>
      <w:tr>
        <w:tblPrEx>
          <w:tblCellMar>
            <w:top w:w="0" w:type="dxa"/>
            <w:left w:w="0" w:type="dxa"/>
            <w:bottom w:w="0" w:type="dxa"/>
            <w:right w:w="0" w:type="dxa"/>
          </w:tblCellMar>
        </w:tblPrEx>
        <w:trPr>
          <w:trHeight w:val="465" w:hRule="atLeast"/>
        </w:trPr>
        <w:tc>
          <w:tcPr>
            <w:tcW w:w="1545" w:type="dxa"/>
            <w:tcBorders>
              <w:bottom w:val="single" w:color="auto" w:sz="4" w:space="0"/>
            </w:tcBorders>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HbA1c (mmol/mol)</w:t>
            </w:r>
          </w:p>
        </w:tc>
        <w:tc>
          <w:tcPr>
            <w:tcW w:w="127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63 (53; 8), 0</w:t>
            </w:r>
          </w:p>
        </w:tc>
        <w:tc>
          <w:tcPr>
            <w:tcW w:w="118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-0.27 (0.06)</w:t>
            </w:r>
          </w:p>
        </w:tc>
        <w:tc>
          <w:tcPr>
            <w:tcW w:w="1500"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67 (59; 72), 1</w:t>
            </w:r>
          </w:p>
        </w:tc>
        <w:tc>
          <w:tcPr>
            <w:tcW w:w="127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0.35 (0.046)</w:t>
            </w:r>
            <w:r>
              <w:rPr>
                <w:rFonts w:ascii="Book Antiqua" w:hAnsi="Book Antiqua" w:eastAsia="Times New Roman" w:cs="Calibri"/>
                <w:vertAlign w:val="superscript"/>
                <w:lang w:eastAsia="da-DK"/>
              </w:rPr>
              <w:t>3</w:t>
            </w:r>
          </w:p>
        </w:tc>
        <w:tc>
          <w:tcPr>
            <w:tcW w:w="154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66 (53; 80), 1</w:t>
            </w:r>
          </w:p>
        </w:tc>
        <w:tc>
          <w:tcPr>
            <w:tcW w:w="1140"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-0.07 (0.51)</w:t>
            </w:r>
          </w:p>
        </w:tc>
      </w:tr>
    </w:tbl>
    <w:p>
      <w:pPr>
        <w:spacing w:line="360" w:lineRule="auto"/>
        <w:jc w:val="both"/>
        <w:textAlignment w:val="baseline"/>
        <w:rPr>
          <w:rFonts w:ascii="Book Antiqua" w:hAnsi="Book Antiqua" w:eastAsia="Times New Roman" w:cs="Segoe UI"/>
          <w:lang w:eastAsia="da-DK"/>
        </w:rPr>
      </w:pPr>
      <w:r>
        <w:rPr>
          <w:rFonts w:ascii="Sylfaen" w:hAnsi="Sylfaen" w:eastAsia="Times New Roman" w:cs="Sylfaen"/>
          <w:vertAlign w:val="superscript"/>
          <w:lang w:eastAsia="da-DK"/>
        </w:rPr>
        <w:t>1</w:t>
      </w:r>
      <w:r>
        <w:rPr>
          <w:rFonts w:ascii="Book Antiqua" w:hAnsi="Book Antiqua" w:eastAsia="Times New Roman"/>
          <w:lang w:eastAsia="da-DK"/>
        </w:rPr>
        <w:t>Pressure pain sensitivity score is an average of two to three measurements at the sternum. Third measurement was performed if a difference &gt; 10 was present between the two first measurements. Distribution of cause of termination: First measurement: 18 with noxious withdrawal reflex, 65 said “stop”; second measurement: 15 with NWR, 66 said “stop”, 1 alarm; third measurement: 4 with NWR, 2 said “stop”.</w:t>
      </w:r>
    </w:p>
    <w:p>
      <w:pPr>
        <w:spacing w:line="360" w:lineRule="auto"/>
        <w:jc w:val="both"/>
        <w:textAlignment w:val="baseline"/>
        <w:rPr>
          <w:rFonts w:ascii="Book Antiqua" w:hAnsi="Book Antiqua" w:eastAsia="Times New Roman" w:cs="Segoe UI"/>
          <w:lang w:eastAsia="da-DK"/>
        </w:rPr>
      </w:pPr>
      <w:r>
        <w:rPr>
          <w:rFonts w:ascii="Book Antiqua" w:hAnsi="Book Antiqua" w:eastAsia="Times New Roman" w:cs="Segoe UI"/>
          <w:vertAlign w:val="superscript"/>
          <w:lang w:eastAsia="da-DK"/>
        </w:rPr>
        <w:t>2</w:t>
      </w:r>
      <w:r>
        <w:rPr>
          <w:rFonts w:ascii="Book Antiqua" w:hAnsi="Book Antiqua" w:eastAsia="Times New Roman"/>
          <w:lang w:eastAsia="da-DK"/>
        </w:rPr>
        <w:t>Answered by children above age 10 yr.</w:t>
      </w:r>
    </w:p>
    <w:p>
      <w:pPr>
        <w:spacing w:line="360" w:lineRule="auto"/>
        <w:jc w:val="both"/>
        <w:textAlignment w:val="baseline"/>
        <w:rPr>
          <w:rFonts w:ascii="Book Antiqua" w:hAnsi="Book Antiqua" w:eastAsia="Times New Roman" w:cs="Segoe UI"/>
          <w:lang w:eastAsia="da-DK"/>
        </w:rPr>
      </w:pPr>
      <w:r>
        <w:rPr>
          <w:rFonts w:ascii="Book Antiqua" w:hAnsi="Book Antiqua" w:eastAsia="Times New Roman"/>
          <w:b/>
          <w:bCs/>
          <w:vertAlign w:val="superscript"/>
          <w:lang w:eastAsia="da-DK"/>
        </w:rPr>
        <w:t>3</w:t>
      </w:r>
      <w:r>
        <w:rPr>
          <w:rFonts w:ascii="Book Antiqua" w:hAnsi="Book Antiqua" w:eastAsia="Times New Roman"/>
          <w:lang w:eastAsia="da-DK"/>
        </w:rPr>
        <w:t xml:space="preserve">Indicates a significant correlation (Spearman; </w:t>
      </w:r>
      <w:r>
        <w:rPr>
          <w:rFonts w:ascii="Book Antiqua" w:hAnsi="Book Antiqua" w:eastAsia="Times New Roman"/>
          <w:i/>
          <w:iCs/>
          <w:lang w:eastAsia="da-DK"/>
        </w:rPr>
        <w:t>P</w:t>
      </w:r>
      <w:r>
        <w:rPr>
          <w:rFonts w:ascii="Book Antiqua" w:hAnsi="Book Antiqua" w:eastAsia="Times New Roman"/>
          <w:lang w:eastAsia="da-DK"/>
        </w:rPr>
        <w:t xml:space="preserve"> &lt; 0.05).</w:t>
      </w:r>
    </w:p>
    <w:p>
      <w:pPr>
        <w:spacing w:line="360" w:lineRule="auto"/>
        <w:jc w:val="both"/>
        <w:textAlignment w:val="baseline"/>
        <w:rPr>
          <w:rFonts w:ascii="Book Antiqua" w:hAnsi="Book Antiqua" w:cs="Segoe UI"/>
          <w:lang w:eastAsia="zh-CN"/>
        </w:rPr>
      </w:pPr>
      <w:r>
        <w:rPr>
          <w:rFonts w:hint="eastAsia" w:ascii="Book Antiqua" w:hAnsi="Book Antiqua" w:cs="Segoe UI"/>
          <w:lang w:eastAsia="zh-CN"/>
        </w:rPr>
        <w:t>M</w:t>
      </w:r>
      <w:r>
        <w:rPr>
          <w:rFonts w:ascii="Book Antiqua" w:hAnsi="Book Antiqua" w:cs="Segoe UI"/>
          <w:lang w:eastAsia="zh-CN"/>
        </w:rPr>
        <w:t xml:space="preserve">: Male; F: Female; </w:t>
      </w:r>
      <w:r>
        <w:rPr>
          <w:rFonts w:ascii="Book Antiqua" w:hAnsi="Book Antiqua" w:eastAsia="Times New Roman"/>
          <w:lang w:eastAsia="da-DK"/>
        </w:rPr>
        <w:t xml:space="preserve">Q1; Q3: </w:t>
      </w:r>
      <w:r>
        <w:rPr>
          <w:rFonts w:hint="eastAsia" w:ascii="Book Antiqua" w:hAnsi="Book Antiqua" w:eastAsia="宋体"/>
          <w:lang w:val="en-US" w:eastAsia="zh-CN"/>
        </w:rPr>
        <w:t>F</w:t>
      </w:r>
      <w:r>
        <w:rPr>
          <w:rFonts w:ascii="Book Antiqua" w:hAnsi="Book Antiqua" w:eastAsia="Times New Roman"/>
          <w:lang w:eastAsia="da-DK"/>
        </w:rPr>
        <w:t xml:space="preserve">irst and third quartile; HbA1c: </w:t>
      </w:r>
      <w:bookmarkStart w:id="601" w:name="_Hlk157007245"/>
      <w:r>
        <w:rPr>
          <w:rFonts w:ascii="Book Antiqua" w:hAnsi="Book Antiqua" w:eastAsia="Times New Roman"/>
          <w:lang w:eastAsia="da-DK"/>
        </w:rPr>
        <w:t>Glycated hemoglobin</w:t>
      </w:r>
      <w:bookmarkEnd w:id="601"/>
      <w:r>
        <w:rPr>
          <w:rFonts w:ascii="Book Antiqua" w:hAnsi="Book Antiqua" w:eastAsia="Times New Roman"/>
          <w:lang w:eastAsia="da-DK"/>
        </w:rPr>
        <w:t xml:space="preserve">; </w:t>
      </w:r>
      <w:r>
        <w:rPr>
          <w:rFonts w:ascii="Book Antiqua" w:hAnsi="Book Antiqua" w:cs="Segoe UI"/>
          <w:lang w:eastAsia="zh-CN"/>
        </w:rPr>
        <w:t xml:space="preserve">WHO-5: </w:t>
      </w:r>
      <w:r>
        <w:rPr>
          <w:rFonts w:ascii="Book Antiqua" w:hAnsi="Book Antiqua" w:eastAsia="Book Antiqua" w:cs="Book Antiqua"/>
          <w:color w:val="000000"/>
        </w:rPr>
        <w:t>World Health Organization-5 Well-Being Index.</w:t>
      </w:r>
    </w:p>
    <w:p>
      <w:pPr>
        <w:spacing w:line="360" w:lineRule="auto"/>
        <w:jc w:val="both"/>
        <w:textAlignment w:val="baseline"/>
        <w:rPr>
          <w:rFonts w:ascii="Book Antiqua" w:hAnsi="Book Antiqua" w:eastAsia="Times New Roman" w:cs="Segoe UI"/>
          <w:lang w:eastAsia="da-DK"/>
        </w:rPr>
      </w:pPr>
    </w:p>
    <w:p>
      <w:pPr>
        <w:spacing w:line="360" w:lineRule="auto"/>
        <w:jc w:val="both"/>
        <w:textAlignment w:val="baseline"/>
        <w:rPr>
          <w:rFonts w:ascii="Book Antiqua" w:hAnsi="Book Antiqua" w:eastAsia="Times New Roman" w:cs="Segoe UI"/>
          <w:b/>
          <w:bCs/>
          <w:i/>
          <w:iCs/>
          <w:lang w:eastAsia="da-DK"/>
        </w:rPr>
      </w:pPr>
      <w:r>
        <w:rPr>
          <w:rFonts w:ascii="Book Antiqua" w:hAnsi="Book Antiqua" w:eastAsia="Times New Roman"/>
          <w:b/>
          <w:bCs/>
          <w:lang w:eastAsia="da-DK"/>
        </w:rPr>
        <w:t xml:space="preserve">Table 2 Within-variable differences between the two study visits and the correlations between changes in Pressure pain sensitivity and changes in Perceived stress scale, </w:t>
      </w:r>
      <w:r>
        <w:rPr>
          <w:rFonts w:ascii="Book Antiqua" w:hAnsi="Book Antiqua" w:eastAsia="Book Antiqua" w:cs="Book Antiqua"/>
          <w:b/>
          <w:bCs/>
          <w:color w:val="000000"/>
        </w:rPr>
        <w:t>World Health Organization-5 Well-Being Index</w:t>
      </w:r>
      <w:r>
        <w:rPr>
          <w:rFonts w:ascii="Book Antiqua" w:hAnsi="Book Antiqua" w:eastAsia="Times New Roman"/>
          <w:b/>
          <w:bCs/>
          <w:lang w:eastAsia="da-DK"/>
        </w:rPr>
        <w:t>, salivary cortisol and glycated hemoglobin respectively</w:t>
      </w:r>
    </w:p>
    <w:tbl>
      <w:tblPr>
        <w:tblStyle w:val="6"/>
        <w:tblW w:w="9480" w:type="dxa"/>
        <w:tblInd w:w="0" w:type="dxa"/>
        <w:tblLayout w:type="autofit"/>
        <w:tblCellMar>
          <w:top w:w="0" w:type="dxa"/>
          <w:left w:w="0" w:type="dxa"/>
          <w:bottom w:w="0" w:type="dxa"/>
          <w:right w:w="0" w:type="dxa"/>
        </w:tblCellMar>
      </w:tblPr>
      <w:tblGrid>
        <w:gridCol w:w="1560"/>
        <w:gridCol w:w="1410"/>
        <w:gridCol w:w="1140"/>
        <w:gridCol w:w="1410"/>
        <w:gridCol w:w="1275"/>
        <w:gridCol w:w="1545"/>
        <w:gridCol w:w="1140"/>
      </w:tblGrid>
      <w:tr>
        <w:tblPrEx>
          <w:tblCellMar>
            <w:top w:w="0" w:type="dxa"/>
            <w:left w:w="0" w:type="dxa"/>
            <w:bottom w:w="0" w:type="dxa"/>
            <w:right w:w="0" w:type="dxa"/>
          </w:tblCellMar>
        </w:tblPrEx>
        <w:trPr>
          <w:trHeight w:val="300" w:hRule="atLeast"/>
        </w:trPr>
        <w:tc>
          <w:tcPr>
            <w:tcW w:w="1560" w:type="dxa"/>
            <w:tcBorders>
              <w:top w:val="single" w:color="auto" w:sz="4" w:space="0"/>
              <w:right w:val="nil"/>
            </w:tcBorders>
            <w:shd w:val="clear" w:color="auto" w:fill="auto"/>
          </w:tcPr>
          <w:p>
            <w:pPr>
              <w:spacing w:line="360" w:lineRule="auto"/>
              <w:jc w:val="both"/>
              <w:textAlignment w:val="baseline"/>
              <w:rPr>
                <w:rFonts w:ascii="Book Antiqua" w:hAnsi="Book Antiqua" w:eastAsia="Times New Roman"/>
                <w:b/>
                <w:bCs/>
                <w:lang w:eastAsia="da-DK"/>
              </w:rPr>
            </w:pPr>
          </w:p>
        </w:tc>
        <w:tc>
          <w:tcPr>
            <w:tcW w:w="2550" w:type="dxa"/>
            <w:gridSpan w:val="2"/>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Age: 6</w:t>
            </w:r>
            <w:r>
              <w:rPr>
                <w:rFonts w:hint="eastAsia" w:ascii="Book Antiqua" w:hAnsi="Book Antiqua" w:eastAsia="宋体" w:cs="Calibri"/>
                <w:b/>
                <w:bCs/>
                <w:lang w:val="en-US" w:eastAsia="zh-CN"/>
              </w:rPr>
              <w:t>-</w:t>
            </w:r>
            <w:r>
              <w:rPr>
                <w:rFonts w:ascii="Book Antiqua" w:hAnsi="Book Antiqua" w:eastAsia="Times New Roman" w:cs="Calibri"/>
                <w:b/>
                <w:bCs/>
                <w:lang w:eastAsia="da-DK"/>
              </w:rPr>
              <w:t>12 yr; (M = 24, F = 25)</w:t>
            </w:r>
          </w:p>
        </w:tc>
        <w:tc>
          <w:tcPr>
            <w:tcW w:w="2685" w:type="dxa"/>
            <w:gridSpan w:val="2"/>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Age: 13</w:t>
            </w:r>
            <w:r>
              <w:rPr>
                <w:rFonts w:hint="eastAsia" w:ascii="Book Antiqua" w:hAnsi="Book Antiqua" w:eastAsia="宋体" w:cs="Calibri"/>
                <w:b/>
                <w:bCs/>
                <w:lang w:val="en-US" w:eastAsia="zh-CN"/>
              </w:rPr>
              <w:t>-</w:t>
            </w:r>
            <w:r>
              <w:rPr>
                <w:rFonts w:ascii="Book Antiqua" w:hAnsi="Book Antiqua" w:eastAsia="Times New Roman" w:cs="Calibri"/>
                <w:b/>
                <w:bCs/>
                <w:lang w:eastAsia="da-DK"/>
              </w:rPr>
              <w:t>18</w:t>
            </w:r>
            <w:r>
              <w:rPr>
                <w:rFonts w:hint="eastAsia" w:ascii="Book Antiqua" w:hAnsi="Book Antiqua" w:eastAsia="宋体" w:cs="Calibri"/>
                <w:b/>
                <w:bCs/>
                <w:lang w:val="en-US" w:eastAsia="zh-CN"/>
              </w:rPr>
              <w:t xml:space="preserve"> yr</w:t>
            </w:r>
            <w:r>
              <w:rPr>
                <w:rFonts w:ascii="Book Antiqua" w:hAnsi="Book Antiqua" w:eastAsia="Times New Roman" w:cs="Calibri"/>
                <w:b/>
                <w:bCs/>
                <w:lang w:eastAsia="da-DK"/>
              </w:rPr>
              <w:t>; (M = 18, F = 16)</w:t>
            </w:r>
          </w:p>
        </w:tc>
        <w:tc>
          <w:tcPr>
            <w:tcW w:w="2685" w:type="dxa"/>
            <w:gridSpan w:val="2"/>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Total population; (M = 42, F = 41)</w:t>
            </w:r>
          </w:p>
        </w:tc>
      </w:tr>
      <w:tr>
        <w:tblPrEx>
          <w:tblCellMar>
            <w:top w:w="0" w:type="dxa"/>
            <w:left w:w="0" w:type="dxa"/>
            <w:bottom w:w="0" w:type="dxa"/>
            <w:right w:w="0" w:type="dxa"/>
          </w:tblCellMar>
        </w:tblPrEx>
        <w:trPr>
          <w:trHeight w:val="300" w:hRule="atLeast"/>
        </w:trPr>
        <w:tc>
          <w:tcPr>
            <w:tcW w:w="1560" w:type="dxa"/>
            <w:tcBorders>
              <w:bottom w:val="single" w:color="auto" w:sz="4" w:space="0"/>
              <w:right w:val="nil"/>
            </w:tcBorders>
            <w:shd w:val="clear" w:color="auto" w:fill="auto"/>
          </w:tcPr>
          <w:p>
            <w:pPr>
              <w:spacing w:line="360" w:lineRule="auto"/>
              <w:jc w:val="both"/>
              <w:textAlignment w:val="baseline"/>
              <w:rPr>
                <w:rFonts w:ascii="Book Antiqua" w:hAnsi="Book Antiqua" w:eastAsia="Times New Roman"/>
                <w:b/>
                <w:bCs/>
                <w:lang w:eastAsia="da-DK"/>
              </w:rPr>
            </w:pPr>
          </w:p>
        </w:tc>
        <w:tc>
          <w:tcPr>
            <w:tcW w:w="141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 xml:space="preserve">N </w:t>
            </w:r>
            <w:r>
              <w:rPr>
                <w:rFonts w:ascii="Book Antiqua" w:hAnsi="Book Antiqua" w:eastAsia="Times New Roman" w:cs="Calibri"/>
                <w:b/>
                <w:bCs/>
                <w:lang w:eastAsia="da-DK"/>
              </w:rPr>
              <w:t>(missing)</w:t>
            </w:r>
          </w:p>
        </w:tc>
        <w:tc>
          <w:tcPr>
            <w:tcW w:w="114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c>
          <w:tcPr>
            <w:tcW w:w="141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 xml:space="preserve">N </w:t>
            </w:r>
            <w:r>
              <w:rPr>
                <w:rFonts w:ascii="Book Antiqua" w:hAnsi="Book Antiqua" w:eastAsia="Times New Roman" w:cs="Calibri"/>
                <w:b/>
                <w:bCs/>
                <w:lang w:eastAsia="da-DK"/>
              </w:rPr>
              <w:t>(missing)</w:t>
            </w:r>
          </w:p>
        </w:tc>
        <w:tc>
          <w:tcPr>
            <w:tcW w:w="127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c>
          <w:tcPr>
            <w:tcW w:w="1545"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 xml:space="preserve">Median (Q1; Q3), </w:t>
            </w:r>
            <w:r>
              <w:rPr>
                <w:rFonts w:ascii="Book Antiqua" w:hAnsi="Book Antiqua" w:eastAsia="Times New Roman" w:cs="Calibri"/>
                <w:b/>
                <w:bCs/>
                <w:i/>
                <w:iCs/>
                <w:lang w:eastAsia="da-DK"/>
              </w:rPr>
              <w:t xml:space="preserve">N </w:t>
            </w:r>
            <w:r>
              <w:rPr>
                <w:rFonts w:ascii="Book Antiqua" w:hAnsi="Book Antiqua" w:eastAsia="Times New Roman" w:cs="Calibri"/>
                <w:b/>
                <w:bCs/>
                <w:lang w:eastAsia="da-DK"/>
              </w:rPr>
              <w:t>(missing)</w:t>
            </w:r>
          </w:p>
        </w:tc>
        <w:tc>
          <w:tcPr>
            <w:tcW w:w="1140" w:type="dxa"/>
            <w:tcBorders>
              <w:top w:val="single" w:color="auto" w:sz="4" w:space="0"/>
              <w:left w:val="nil"/>
              <w:bottom w:val="single" w:color="auto" w:sz="4" w:space="0"/>
              <w:right w:val="nil"/>
            </w:tcBorders>
            <w:shd w:val="clear" w:color="auto" w:fill="auto"/>
          </w:tcPr>
          <w:p>
            <w:pPr>
              <w:spacing w:line="360" w:lineRule="auto"/>
              <w:textAlignment w:val="baseline"/>
              <w:rPr>
                <w:rFonts w:ascii="Book Antiqua" w:hAnsi="Book Antiqua" w:eastAsia="Times New Roman"/>
                <w:b/>
                <w:bCs/>
                <w:lang w:eastAsia="da-DK"/>
              </w:rPr>
            </w:pPr>
            <w:r>
              <w:rPr>
                <w:rFonts w:ascii="Book Antiqua" w:hAnsi="Book Antiqua" w:eastAsia="Times New Roman" w:cs="Calibri"/>
                <w:b/>
                <w:bCs/>
                <w:lang w:eastAsia="da-DK"/>
              </w:rPr>
              <w:t>Rho (</w:t>
            </w:r>
            <w:r>
              <w:rPr>
                <w:rFonts w:ascii="Book Antiqua" w:hAnsi="Book Antiqua" w:eastAsia="Times New Roman" w:cs="Calibri"/>
                <w:b/>
                <w:bCs/>
                <w:i/>
                <w:iCs/>
                <w:lang w:eastAsia="da-DK"/>
              </w:rPr>
              <w:t>P</w:t>
            </w:r>
            <w:r>
              <w:rPr>
                <w:rFonts w:ascii="Book Antiqua" w:hAnsi="Book Antiqua" w:eastAsia="Times New Roman" w:cs="Calibri"/>
                <w:b/>
                <w:bCs/>
                <w:lang w:eastAsia="da-DK"/>
              </w:rPr>
              <w:t xml:space="preserve"> value)</w:t>
            </w:r>
          </w:p>
        </w:tc>
      </w:tr>
      <w:tr>
        <w:tblPrEx>
          <w:tblCellMar>
            <w:top w:w="0" w:type="dxa"/>
            <w:left w:w="0" w:type="dxa"/>
            <w:bottom w:w="0" w:type="dxa"/>
            <w:right w:w="0" w:type="dxa"/>
          </w:tblCellMar>
        </w:tblPrEx>
        <w:trPr>
          <w:trHeight w:val="300" w:hRule="atLeast"/>
        </w:trPr>
        <w:tc>
          <w:tcPr>
            <w:tcW w:w="1560" w:type="dxa"/>
            <w:tcBorders>
              <w:top w:val="single" w:color="auto" w:sz="4" w:space="0"/>
            </w:tcBorders>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Pressure pain sensitivity</w:t>
            </w:r>
            <w:r>
              <w:rPr>
                <w:rFonts w:ascii="Sylfaen" w:hAnsi="Sylfaen" w:eastAsia="Times New Roman" w:cs="Sylfaen"/>
                <w:vertAlign w:val="superscript"/>
                <w:lang w:eastAsia="da-DK"/>
              </w:rPr>
              <w:t>1</w:t>
            </w:r>
          </w:p>
        </w:tc>
        <w:tc>
          <w:tcPr>
            <w:tcW w:w="141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4.5 (0; 13), 0</w:t>
            </w:r>
          </w:p>
        </w:tc>
        <w:tc>
          <w:tcPr>
            <w:tcW w:w="114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c>
          <w:tcPr>
            <w:tcW w:w="141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3 (-2.9; 8.4), 0</w:t>
            </w:r>
          </w:p>
        </w:tc>
        <w:tc>
          <w:tcPr>
            <w:tcW w:w="127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c>
          <w:tcPr>
            <w:tcW w:w="1545"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3.5 (-0.8; 11.2), 0</w:t>
            </w:r>
          </w:p>
        </w:tc>
        <w:tc>
          <w:tcPr>
            <w:tcW w:w="1140" w:type="dxa"/>
            <w:tcBorders>
              <w:top w:val="single" w:color="auto" w:sz="4" w:space="0"/>
            </w:tcBorders>
            <w:shd w:val="clear" w:color="auto" w:fill="auto"/>
          </w:tcPr>
          <w:p>
            <w:pPr>
              <w:spacing w:line="360" w:lineRule="auto"/>
              <w:textAlignment w:val="baseline"/>
              <w:rPr>
                <w:rFonts w:ascii="Book Antiqua" w:hAnsi="Book Antiqua" w:eastAsia="Times New Roman"/>
                <w:lang w:eastAsia="da-DK"/>
              </w:rPr>
            </w:pPr>
          </w:p>
        </w:tc>
      </w:tr>
      <w:tr>
        <w:tblPrEx>
          <w:tblCellMar>
            <w:top w:w="0" w:type="dxa"/>
            <w:left w:w="0" w:type="dxa"/>
            <w:bottom w:w="0" w:type="dxa"/>
            <w:right w:w="0" w:type="dxa"/>
          </w:tblCellMar>
        </w:tblPrEx>
        <w:trPr>
          <w:trHeight w:val="300" w:hRule="atLeast"/>
        </w:trPr>
        <w:tc>
          <w:tcPr>
            <w:tcW w:w="1560"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Perceived stress scale</w:t>
            </w:r>
            <w:r>
              <w:rPr>
                <w:rFonts w:ascii="Book Antiqua" w:hAnsi="Book Antiqua" w:eastAsia="Times New Roman" w:cs="Calibri"/>
                <w:vertAlign w:val="superscript"/>
                <w:lang w:eastAsia="da-DK"/>
              </w:rPr>
              <w:t>2</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-2 (-7; 0), 24</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-0.08 (0.70)</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1.5 (-2.3; 4.3), 10</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0.06 (0.77)</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-1 (-5; 3), 34</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-0.04 (0.80)</w:t>
            </w:r>
          </w:p>
        </w:tc>
      </w:tr>
      <w:tr>
        <w:tblPrEx>
          <w:tblCellMar>
            <w:top w:w="0" w:type="dxa"/>
            <w:left w:w="0" w:type="dxa"/>
            <w:bottom w:w="0" w:type="dxa"/>
            <w:right w:w="0" w:type="dxa"/>
          </w:tblCellMar>
        </w:tblPrEx>
        <w:trPr>
          <w:trHeight w:val="509" w:hRule="atLeast"/>
        </w:trPr>
        <w:tc>
          <w:tcPr>
            <w:tcW w:w="1560"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WHO-5</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4 (-8; 12), 8</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-0.08 (0.63)</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 (-12; 8), 5</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0.34 (0.068)</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 (-8; 11), 13</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0.10 (0.43)</w:t>
            </w:r>
          </w:p>
        </w:tc>
      </w:tr>
      <w:tr>
        <w:tblPrEx>
          <w:tblCellMar>
            <w:top w:w="0" w:type="dxa"/>
            <w:left w:w="0" w:type="dxa"/>
            <w:bottom w:w="0" w:type="dxa"/>
            <w:right w:w="0" w:type="dxa"/>
          </w:tblCellMar>
        </w:tblPrEx>
        <w:trPr>
          <w:trHeight w:val="300" w:hRule="atLeast"/>
        </w:trPr>
        <w:tc>
          <w:tcPr>
            <w:tcW w:w="1560" w:type="dxa"/>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Salivary cortisol (nmol/L)</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-0.07 (-0.38; 1.3)</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-0.14 (0.33)</w:t>
            </w:r>
          </w:p>
        </w:tc>
        <w:tc>
          <w:tcPr>
            <w:tcW w:w="141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 (-3.1; 5.4), 0</w:t>
            </w:r>
          </w:p>
        </w:tc>
        <w:tc>
          <w:tcPr>
            <w:tcW w:w="127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0.25 (0.16)</w:t>
            </w:r>
          </w:p>
        </w:tc>
        <w:tc>
          <w:tcPr>
            <w:tcW w:w="1545"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-0.07 (-3.5; 0.75), 0</w:t>
            </w:r>
          </w:p>
        </w:tc>
        <w:tc>
          <w:tcPr>
            <w:tcW w:w="1140" w:type="dxa"/>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0.02 (0.87)</w:t>
            </w:r>
          </w:p>
        </w:tc>
      </w:tr>
      <w:tr>
        <w:tblPrEx>
          <w:tblCellMar>
            <w:top w:w="0" w:type="dxa"/>
            <w:left w:w="0" w:type="dxa"/>
            <w:bottom w:w="0" w:type="dxa"/>
            <w:right w:w="0" w:type="dxa"/>
          </w:tblCellMar>
        </w:tblPrEx>
        <w:trPr>
          <w:trHeight w:val="150" w:hRule="atLeast"/>
        </w:trPr>
        <w:tc>
          <w:tcPr>
            <w:tcW w:w="1560" w:type="dxa"/>
            <w:tcBorders>
              <w:bottom w:val="single" w:color="auto" w:sz="4" w:space="0"/>
            </w:tcBorders>
            <w:shd w:val="clear" w:color="auto" w:fill="auto"/>
            <w:vAlign w:val="bottom"/>
          </w:tcPr>
          <w:p>
            <w:pPr>
              <w:spacing w:line="360" w:lineRule="auto"/>
              <w:jc w:val="both"/>
              <w:textAlignment w:val="baseline"/>
              <w:rPr>
                <w:rFonts w:ascii="Book Antiqua" w:hAnsi="Book Antiqua" w:eastAsia="Times New Roman"/>
                <w:lang w:eastAsia="da-DK"/>
              </w:rPr>
            </w:pPr>
            <w:r>
              <w:rPr>
                <w:rFonts w:ascii="Book Antiqua" w:hAnsi="Book Antiqua" w:eastAsia="Times New Roman" w:cs="Calibri"/>
                <w:lang w:eastAsia="da-DK"/>
              </w:rPr>
              <w:t>HbA1c (mmol/mol)</w:t>
            </w:r>
            <w:r>
              <w:rPr>
                <w:rFonts w:ascii="Book Antiqua" w:hAnsi="Book Antiqua" w:eastAsia="Times New Roman" w:cs="Calibri"/>
                <w:vertAlign w:val="superscript"/>
                <w:lang w:eastAsia="da-DK"/>
              </w:rPr>
              <w:t>3</w:t>
            </w:r>
          </w:p>
        </w:tc>
        <w:tc>
          <w:tcPr>
            <w:tcW w:w="1410" w:type="dxa"/>
            <w:tcBorders>
              <w:bottom w:val="single" w:color="auto" w:sz="4" w:space="0"/>
            </w:tcBorders>
            <w:shd w:val="clear" w:color="auto" w:fill="auto"/>
          </w:tcPr>
          <w:p>
            <w:pPr>
              <w:spacing w:line="360" w:lineRule="auto"/>
              <w:textAlignment w:val="baseline"/>
              <w:rPr>
                <w:rFonts w:ascii="Book Antiqua" w:hAnsi="Book Antiqua" w:eastAsia="Times New Roman"/>
                <w:highlight w:val="none"/>
                <w:lang w:eastAsia="da-DK"/>
              </w:rPr>
            </w:pPr>
            <w:r>
              <w:rPr>
                <w:rFonts w:ascii="Book Antiqua" w:hAnsi="Book Antiqua" w:eastAsia="Times New Roman" w:cs="Calibri"/>
                <w:highlight w:val="none"/>
                <w:lang w:eastAsia="da-DK"/>
              </w:rPr>
              <w:t>0 (-5.5; 2.5)</w:t>
            </w:r>
            <w:r>
              <w:rPr>
                <w:rFonts w:hint="eastAsia" w:ascii="Book Antiqua" w:hAnsi="Book Antiqua" w:eastAsia="宋体" w:cs="Calibri"/>
                <w:highlight w:val="none"/>
                <w:lang w:val="en-US" w:eastAsia="zh-CN"/>
              </w:rPr>
              <w:t>,</w:t>
            </w:r>
            <w:r>
              <w:rPr>
                <w:rFonts w:ascii="Book Antiqua" w:hAnsi="Book Antiqua" w:eastAsia="Times New Roman" w:cs="Calibri"/>
                <w:highlight w:val="none"/>
                <w:lang w:eastAsia="da-DK"/>
              </w:rPr>
              <w:t xml:space="preserve"> 4</w:t>
            </w:r>
          </w:p>
        </w:tc>
        <w:tc>
          <w:tcPr>
            <w:tcW w:w="1140"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0.05 (0.82)</w:t>
            </w:r>
          </w:p>
        </w:tc>
        <w:tc>
          <w:tcPr>
            <w:tcW w:w="1410"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 (-5; 2.3), 2</w:t>
            </w:r>
          </w:p>
        </w:tc>
        <w:tc>
          <w:tcPr>
            <w:tcW w:w="127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0.45 (0.048)</w:t>
            </w:r>
            <w:r>
              <w:rPr>
                <w:rFonts w:ascii="Book Antiqua" w:hAnsi="Book Antiqua" w:eastAsia="Times New Roman" w:cs="Calibri"/>
                <w:vertAlign w:val="superscript"/>
                <w:lang w:eastAsia="da-DK"/>
              </w:rPr>
              <w:t>4</w:t>
            </w:r>
          </w:p>
        </w:tc>
        <w:tc>
          <w:tcPr>
            <w:tcW w:w="1545"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 (-5; 2.5), 6</w:t>
            </w:r>
          </w:p>
        </w:tc>
        <w:tc>
          <w:tcPr>
            <w:tcW w:w="1140" w:type="dxa"/>
            <w:tcBorders>
              <w:bottom w:val="single" w:color="auto" w:sz="4" w:space="0"/>
            </w:tcBorders>
            <w:shd w:val="clear" w:color="auto" w:fill="auto"/>
          </w:tcPr>
          <w:p>
            <w:pPr>
              <w:spacing w:line="360" w:lineRule="auto"/>
              <w:textAlignment w:val="baseline"/>
              <w:rPr>
                <w:rFonts w:ascii="Book Antiqua" w:hAnsi="Book Antiqua" w:eastAsia="Times New Roman"/>
                <w:lang w:eastAsia="da-DK"/>
              </w:rPr>
            </w:pPr>
            <w:r>
              <w:rPr>
                <w:rFonts w:ascii="Book Antiqua" w:hAnsi="Book Antiqua" w:eastAsia="Times New Roman" w:cs="Calibri"/>
                <w:lang w:eastAsia="da-DK"/>
              </w:rPr>
              <w:t>0.19 (0.22)</w:t>
            </w:r>
          </w:p>
        </w:tc>
      </w:tr>
    </w:tbl>
    <w:p>
      <w:pPr>
        <w:spacing w:line="360" w:lineRule="auto"/>
        <w:jc w:val="both"/>
        <w:textAlignment w:val="baseline"/>
        <w:rPr>
          <w:rFonts w:ascii="Book Antiqua" w:hAnsi="Book Antiqua" w:eastAsia="Times New Roman" w:cs="Segoe UI"/>
          <w:lang w:eastAsia="da-DK"/>
        </w:rPr>
      </w:pPr>
      <w:r>
        <w:rPr>
          <w:rFonts w:ascii="Sylfaen" w:hAnsi="Sylfaen" w:eastAsia="Times New Roman" w:cs="Sylfaen"/>
          <w:vertAlign w:val="superscript"/>
          <w:lang w:eastAsia="da-DK"/>
        </w:rPr>
        <w:t>1</w:t>
      </w:r>
      <w:r>
        <w:rPr>
          <w:rFonts w:ascii="Book Antiqua" w:hAnsi="Book Antiqua" w:eastAsia="Times New Roman"/>
          <w:lang w:eastAsia="da-DK"/>
        </w:rPr>
        <w:t>Pressure pain sensitivity score is an average of two to three measurements at the sternum. Third measurement was performed if a difference &gt; 10 was present between the two first measurements. Distribution of cause of termination: First measurement: 18 with noxious withdrawal reflex, 65 said “stop”; second measurement: 15 with NWR, 66 said “stop”, 1 alarm; third measurement: 4 with NWR, 2 said “stop”.</w:t>
      </w:r>
    </w:p>
    <w:p>
      <w:pPr>
        <w:spacing w:line="360" w:lineRule="auto"/>
        <w:jc w:val="both"/>
        <w:textAlignment w:val="baseline"/>
        <w:rPr>
          <w:rFonts w:ascii="Book Antiqua" w:hAnsi="Book Antiqua" w:eastAsia="Times New Roman" w:cs="Segoe UI"/>
          <w:lang w:eastAsia="da-DK"/>
        </w:rPr>
      </w:pPr>
      <w:r>
        <w:rPr>
          <w:rFonts w:ascii="Book Antiqua" w:hAnsi="Book Antiqua" w:eastAsia="Times New Roman" w:cs="Segoe UI"/>
          <w:vertAlign w:val="superscript"/>
          <w:lang w:eastAsia="da-DK"/>
        </w:rPr>
        <w:t>2</w:t>
      </w:r>
      <w:r>
        <w:rPr>
          <w:rFonts w:ascii="Book Antiqua" w:hAnsi="Book Antiqua" w:eastAsia="Times New Roman"/>
          <w:lang w:eastAsia="da-DK"/>
        </w:rPr>
        <w:t>Answered by children above age 10 yr.</w:t>
      </w:r>
    </w:p>
    <w:p>
      <w:pPr>
        <w:spacing w:line="360" w:lineRule="auto"/>
        <w:jc w:val="both"/>
        <w:textAlignment w:val="baseline"/>
        <w:rPr>
          <w:rFonts w:ascii="Book Antiqua" w:hAnsi="Book Antiqua" w:eastAsia="Times New Roman" w:cs="Segoe UI"/>
          <w:lang w:eastAsia="da-DK"/>
        </w:rPr>
      </w:pPr>
      <w:r>
        <w:rPr>
          <w:rFonts w:ascii="Book Antiqua" w:hAnsi="Book Antiqua" w:eastAsia="Times New Roman"/>
          <w:vertAlign w:val="superscript"/>
          <w:lang w:eastAsia="da-DK"/>
        </w:rPr>
        <w:t>3</w:t>
      </w:r>
      <w:r>
        <w:rPr>
          <w:rFonts w:ascii="Book Antiqua" w:hAnsi="Book Antiqua" w:eastAsia="Times New Roman"/>
          <w:lang w:eastAsia="da-DK"/>
        </w:rPr>
        <w:t>Participants newly diagnosed with Type 1 Diabetes (duration &lt; 3 months) were excluded from analyses (</w:t>
      </w:r>
      <w:r>
        <w:rPr>
          <w:rFonts w:ascii="Book Antiqua" w:hAnsi="Book Antiqua" w:eastAsia="Times New Roman"/>
          <w:i/>
          <w:iCs/>
          <w:lang w:eastAsia="da-DK"/>
        </w:rPr>
        <w:t>n</w:t>
      </w:r>
      <w:r>
        <w:rPr>
          <w:rFonts w:ascii="Book Antiqua" w:hAnsi="Book Antiqua" w:eastAsia="Times New Roman"/>
          <w:lang w:eastAsia="da-DK"/>
        </w:rPr>
        <w:t xml:space="preserve"> = 49 participants remained, </w:t>
      </w:r>
      <w:r>
        <w:rPr>
          <w:rFonts w:ascii="Book Antiqua" w:hAnsi="Book Antiqua" w:eastAsia="Times New Roman"/>
          <w:i/>
          <w:iCs/>
          <w:lang w:eastAsia="da-DK"/>
        </w:rPr>
        <w:t>n</w:t>
      </w:r>
      <w:r>
        <w:rPr>
          <w:rFonts w:ascii="Book Antiqua" w:hAnsi="Book Antiqua" w:eastAsia="Times New Roman"/>
          <w:lang w:eastAsia="da-DK"/>
        </w:rPr>
        <w:t xml:space="preserve"> = 27 aged 6-12 yr, </w:t>
      </w:r>
      <w:r>
        <w:rPr>
          <w:rFonts w:ascii="Book Antiqua" w:hAnsi="Book Antiqua" w:eastAsia="Times New Roman"/>
          <w:i/>
          <w:iCs/>
          <w:lang w:eastAsia="da-DK"/>
        </w:rPr>
        <w:t>n</w:t>
      </w:r>
      <w:r>
        <w:rPr>
          <w:rFonts w:ascii="Book Antiqua" w:hAnsi="Book Antiqua" w:eastAsia="Times New Roman"/>
          <w:lang w:eastAsia="da-DK"/>
        </w:rPr>
        <w:t xml:space="preserve"> = 22 aged 13-18 yr).</w:t>
      </w:r>
    </w:p>
    <w:p>
      <w:pPr>
        <w:spacing w:line="360" w:lineRule="auto"/>
        <w:jc w:val="both"/>
        <w:textAlignment w:val="baseline"/>
        <w:rPr>
          <w:rFonts w:ascii="Book Antiqua" w:hAnsi="Book Antiqua" w:eastAsia="Times New Roman" w:cs="Segoe UI"/>
          <w:lang w:eastAsia="da-DK"/>
        </w:rPr>
      </w:pPr>
      <w:r>
        <w:rPr>
          <w:rFonts w:ascii="Book Antiqua" w:hAnsi="Book Antiqua" w:eastAsia="Times New Roman"/>
          <w:b w:val="0"/>
          <w:bCs w:val="0"/>
          <w:vertAlign w:val="superscript"/>
          <w:lang w:eastAsia="da-DK"/>
        </w:rPr>
        <w:t>4</w:t>
      </w:r>
      <w:r>
        <w:rPr>
          <w:rFonts w:ascii="Book Antiqua" w:hAnsi="Book Antiqua" w:eastAsia="Times New Roman"/>
          <w:lang w:eastAsia="da-DK"/>
        </w:rPr>
        <w:t xml:space="preserve">Indicates a significant correlation (Spearman; </w:t>
      </w:r>
      <w:r>
        <w:rPr>
          <w:rFonts w:ascii="Book Antiqua" w:hAnsi="Book Antiqua" w:eastAsia="Times New Roman"/>
          <w:i/>
          <w:iCs/>
          <w:lang w:eastAsia="da-DK"/>
        </w:rPr>
        <w:t>P</w:t>
      </w:r>
      <w:r>
        <w:rPr>
          <w:rFonts w:ascii="Book Antiqua" w:hAnsi="Book Antiqua" w:eastAsia="Times New Roman"/>
          <w:lang w:eastAsia="da-DK"/>
        </w:rPr>
        <w:t xml:space="preserve"> &lt; 0.05).</w:t>
      </w:r>
    </w:p>
    <w:p>
      <w:pPr>
        <w:spacing w:line="360" w:lineRule="auto"/>
        <w:jc w:val="both"/>
        <w:textAlignment w:val="baseline"/>
        <w:rPr>
          <w:rFonts w:ascii="Book Antiqua" w:hAnsi="Book Antiqua" w:eastAsia="Book Antiqua" w:cs="Book Antiqua"/>
          <w:color w:val="000000"/>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hint="eastAsia" w:ascii="Book Antiqua" w:hAnsi="Book Antiqua" w:cs="Segoe UI"/>
          <w:lang w:eastAsia="zh-CN"/>
        </w:rPr>
        <w:t>M</w:t>
      </w:r>
      <w:r>
        <w:rPr>
          <w:rFonts w:ascii="Book Antiqua" w:hAnsi="Book Antiqua" w:cs="Segoe UI"/>
          <w:lang w:eastAsia="zh-CN"/>
        </w:rPr>
        <w:t xml:space="preserve">: Male; F: Female; </w:t>
      </w:r>
      <w:r>
        <w:rPr>
          <w:rFonts w:ascii="Book Antiqua" w:hAnsi="Book Antiqua" w:eastAsia="Times New Roman"/>
          <w:lang w:eastAsia="da-DK"/>
        </w:rPr>
        <w:t xml:space="preserve">Q1; Q3: </w:t>
      </w:r>
      <w:r>
        <w:rPr>
          <w:rFonts w:hint="eastAsia" w:ascii="Book Antiqua" w:hAnsi="Book Antiqua" w:eastAsia="宋体"/>
          <w:lang w:val="en-US" w:eastAsia="zh-CN"/>
        </w:rPr>
        <w:t>F</w:t>
      </w:r>
      <w:r>
        <w:rPr>
          <w:rFonts w:ascii="Book Antiqua" w:hAnsi="Book Antiqua" w:eastAsia="Times New Roman"/>
          <w:lang w:eastAsia="da-DK"/>
        </w:rPr>
        <w:t xml:space="preserve">irst and third quartile; HbA1c: Glycated hemoglobin; </w:t>
      </w:r>
      <w:r>
        <w:rPr>
          <w:rFonts w:ascii="Book Antiqua" w:hAnsi="Book Antiqua" w:cs="Segoe UI"/>
          <w:lang w:eastAsia="zh-CN"/>
        </w:rPr>
        <w:t xml:space="preserve">WHO-5: </w:t>
      </w:r>
      <w:r>
        <w:rPr>
          <w:rFonts w:ascii="Book Antiqua" w:hAnsi="Book Antiqua" w:eastAsia="Book Antiqua" w:cs="Book Antiqua"/>
          <w:color w:val="000000"/>
        </w:rPr>
        <w:t>World Health Organization-5 Well-Being Index.</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textAlignment w:val="baseline"/>
        <w:rPr>
          <w:rFonts w:ascii="Book Antiqua" w:hAnsi="Book Antiqua" w:eastAsia="Book Antiqua" w:cs="Book Antiqua"/>
          <w:color w:val="000000"/>
          <w:lang w:eastAsia="zh-CN"/>
        </w:rPr>
      </w:pPr>
      <w:bookmarkStart w:id="602" w:name="_GoBack"/>
      <w:bookmarkEnd w:id="60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ylfaen">
    <w:panose1 w:val="010A0502050306030303"/>
    <w:charset w:val="00"/>
    <w:family w:val="roman"/>
    <w:pitch w:val="default"/>
    <w:sig w:usb0="04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51548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A77B3E"/>
    <w:rsid w:val="00035834"/>
    <w:rsid w:val="00052103"/>
    <w:rsid w:val="0007636E"/>
    <w:rsid w:val="00095DC1"/>
    <w:rsid w:val="000A4378"/>
    <w:rsid w:val="000E53A4"/>
    <w:rsid w:val="001531FF"/>
    <w:rsid w:val="0015327C"/>
    <w:rsid w:val="001812C7"/>
    <w:rsid w:val="001A244C"/>
    <w:rsid w:val="001B24A1"/>
    <w:rsid w:val="001E3B20"/>
    <w:rsid w:val="00204568"/>
    <w:rsid w:val="00263C3B"/>
    <w:rsid w:val="002A457E"/>
    <w:rsid w:val="002C3B85"/>
    <w:rsid w:val="002D5B58"/>
    <w:rsid w:val="0033270F"/>
    <w:rsid w:val="003651D7"/>
    <w:rsid w:val="00437C06"/>
    <w:rsid w:val="00575F75"/>
    <w:rsid w:val="005A4035"/>
    <w:rsid w:val="005D3E12"/>
    <w:rsid w:val="006C23E1"/>
    <w:rsid w:val="006C5A41"/>
    <w:rsid w:val="007024BC"/>
    <w:rsid w:val="007122D2"/>
    <w:rsid w:val="0077718A"/>
    <w:rsid w:val="00782050"/>
    <w:rsid w:val="00793AC2"/>
    <w:rsid w:val="00845910"/>
    <w:rsid w:val="008639FD"/>
    <w:rsid w:val="00864A98"/>
    <w:rsid w:val="008D4B5C"/>
    <w:rsid w:val="00971A53"/>
    <w:rsid w:val="009A5FF6"/>
    <w:rsid w:val="009C18E6"/>
    <w:rsid w:val="009F7BC3"/>
    <w:rsid w:val="00A16EC7"/>
    <w:rsid w:val="00A307C7"/>
    <w:rsid w:val="00A32180"/>
    <w:rsid w:val="00A4473E"/>
    <w:rsid w:val="00A50955"/>
    <w:rsid w:val="00A77B3E"/>
    <w:rsid w:val="00AA1C92"/>
    <w:rsid w:val="00B11002"/>
    <w:rsid w:val="00B773E2"/>
    <w:rsid w:val="00C75C44"/>
    <w:rsid w:val="00CA2A55"/>
    <w:rsid w:val="00D3149C"/>
    <w:rsid w:val="00D362B3"/>
    <w:rsid w:val="00D561BB"/>
    <w:rsid w:val="00DA40B0"/>
    <w:rsid w:val="00E06AD0"/>
    <w:rsid w:val="00E72E3A"/>
    <w:rsid w:val="00F04DEF"/>
    <w:rsid w:val="04595201"/>
    <w:rsid w:val="083950F8"/>
    <w:rsid w:val="13E42974"/>
    <w:rsid w:val="1A224FD4"/>
    <w:rsid w:val="24D679FC"/>
    <w:rsid w:val="2D4D1171"/>
    <w:rsid w:val="2E291E44"/>
    <w:rsid w:val="324C27CA"/>
    <w:rsid w:val="340F73E6"/>
    <w:rsid w:val="39E77200"/>
    <w:rsid w:val="3E7C2E53"/>
    <w:rsid w:val="469D3672"/>
    <w:rsid w:val="4883048B"/>
    <w:rsid w:val="57244BB8"/>
    <w:rsid w:val="5C960C21"/>
    <w:rsid w:val="5D1B0A4D"/>
    <w:rsid w:val="5DA94C55"/>
    <w:rsid w:val="70F07FB7"/>
    <w:rsid w:val="770F2826"/>
    <w:rsid w:val="7A14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9"/>
    <w:autoRedefine/>
    <w:qFormat/>
    <w:uiPriority w:val="0"/>
  </w:style>
  <w:style w:type="paragraph" w:styleId="3">
    <w:name w:val="footer"/>
    <w:basedOn w:val="1"/>
    <w:link w:val="12"/>
    <w:autoRedefine/>
    <w:qFormat/>
    <w:uiPriority w:val="99"/>
    <w:pPr>
      <w:tabs>
        <w:tab w:val="center" w:pos="4153"/>
        <w:tab w:val="right" w:pos="8306"/>
      </w:tabs>
      <w:snapToGrid w:val="0"/>
    </w:pPr>
    <w:rPr>
      <w:sz w:val="18"/>
      <w:szCs w:val="18"/>
    </w:rPr>
  </w:style>
  <w:style w:type="paragraph" w:styleId="4">
    <w:name w:val="header"/>
    <w:basedOn w:val="1"/>
    <w:link w:val="11"/>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0"/>
    <w:autoRedefine/>
    <w:qFormat/>
    <w:uiPriority w:val="0"/>
    <w:rPr>
      <w:b/>
      <w:bCs/>
    </w:rPr>
  </w:style>
  <w:style w:type="character" w:styleId="8">
    <w:name w:val="annotation reference"/>
    <w:basedOn w:val="7"/>
    <w:autoRedefine/>
    <w:qFormat/>
    <w:uiPriority w:val="0"/>
    <w:rPr>
      <w:sz w:val="21"/>
      <w:szCs w:val="21"/>
    </w:rPr>
  </w:style>
  <w:style w:type="character" w:customStyle="1" w:styleId="9">
    <w:name w:val="批注文字 字符"/>
    <w:basedOn w:val="7"/>
    <w:link w:val="2"/>
    <w:autoRedefine/>
    <w:qFormat/>
    <w:uiPriority w:val="0"/>
    <w:rPr>
      <w:sz w:val="24"/>
      <w:szCs w:val="24"/>
    </w:rPr>
  </w:style>
  <w:style w:type="character" w:customStyle="1" w:styleId="10">
    <w:name w:val="批注主题 字符"/>
    <w:basedOn w:val="9"/>
    <w:link w:val="5"/>
    <w:autoRedefine/>
    <w:qFormat/>
    <w:uiPriority w:val="0"/>
    <w:rPr>
      <w:b/>
      <w:bCs/>
      <w:sz w:val="24"/>
      <w:szCs w:val="24"/>
    </w:rPr>
  </w:style>
  <w:style w:type="character" w:customStyle="1" w:styleId="11">
    <w:name w:val="页眉 字符"/>
    <w:basedOn w:val="7"/>
    <w:link w:val="4"/>
    <w:autoRedefine/>
    <w:qFormat/>
    <w:uiPriority w:val="0"/>
    <w:rPr>
      <w:sz w:val="18"/>
      <w:szCs w:val="18"/>
    </w:rPr>
  </w:style>
  <w:style w:type="character" w:customStyle="1" w:styleId="12">
    <w:name w:val="页脚 字符"/>
    <w:basedOn w:val="7"/>
    <w:link w:val="3"/>
    <w:uiPriority w:val="99"/>
    <w:rPr>
      <w:sz w:val="18"/>
      <w:szCs w:val="18"/>
    </w:rPr>
  </w:style>
  <w:style w:type="paragraph" w:customStyle="1" w:styleId="13">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582C-9291-4B08-9E58-3646649DB330}">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2841</Words>
  <Characters>16196</Characters>
  <Lines>134</Lines>
  <Paragraphs>37</Paragraphs>
  <TotalTime>0</TotalTime>
  <ScaleCrop>false</ScaleCrop>
  <LinksUpToDate>false</LinksUpToDate>
  <CharactersWithSpaces>19000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2024-01-28T08:08:00Z</dcterms:created>
  <dc:creator>Anna Korsgaard Berg</dc:creator>
  <cp:lastModifiedBy>赵雨晴</cp:lastModifiedBy>
  <dcterms:modified xsi:type="dcterms:W3CDTF">2024-03-01T06:08:49Z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0C94E440A7E74E539C7AA16725BDBF02_12</vt:lpwstr>
  </property>
</Properties>
</file>