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89800</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Retrospective Study</w:t>
      </w:r>
    </w:p>
    <w:p>
      <w:pPr>
        <w:spacing w:line="360" w:lineRule="auto"/>
        <w:jc w:val="both"/>
        <w:rPr>
          <w:rFonts w:ascii="Book Antiqua" w:hAnsi="Book Antiqua"/>
        </w:rPr>
      </w:pPr>
      <w:r>
        <w:rPr>
          <w:rFonts w:ascii="Book Antiqua" w:hAnsi="Book Antiqua" w:eastAsia="Book Antiqua" w:cs="Book Antiqua"/>
          <w:b/>
          <w:bCs/>
          <w:color w:val="000000"/>
        </w:rPr>
        <w:t>Ultrasound diagnosis of congenital Morgagni hernias: Ten years of experience at two Chinese centers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Shi HQ</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rPr>
        <w:t>. US in Morgagni hernias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Hui-Qing Shi, Wen-Juan Chen, Qiang Yin, Xue-Hua Zhang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Hui-Qing Shi, Xue-Hua Zhang, </w:t>
      </w:r>
      <w:r>
        <w:rPr>
          <w:rFonts w:ascii="Book Antiqua" w:hAnsi="Book Antiqua" w:eastAsia="Book Antiqua" w:cs="Book Antiqua"/>
          <w:color w:val="000000"/>
        </w:rPr>
        <w:t>Department of Ultrasound, Fujian Children’s Hospital (Fujian Branch of Shanghai Children’s Medical Center), College of Clinical Medicine for Obstetrics &amp; Gynecology and Pediatrics, Fujian Medical University, Fuzhou 350011, Fujian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Wen-Juan Chen, </w:t>
      </w:r>
      <w:r>
        <w:rPr>
          <w:rFonts w:ascii="Book Antiqua" w:hAnsi="Book Antiqua" w:eastAsia="Book Antiqua" w:cs="Book Antiqua"/>
          <w:color w:val="000000"/>
        </w:rPr>
        <w:t>Department of Ultrasound, Hunan Children’s Hospital, University of South China, Changsha 410007, Hunan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Qiang Yin, </w:t>
      </w:r>
      <w:r>
        <w:rPr>
          <w:rFonts w:ascii="Book Antiqua" w:hAnsi="Book Antiqua" w:eastAsia="Book Antiqua" w:cs="Book Antiqua"/>
          <w:color w:val="000000"/>
        </w:rPr>
        <w:t>Department of Pediatric Surgery, Hunan Children’s Hospital, University of South China, Changsha 410007, Hunan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Zhang XH designed research; Shi HQ, Chen WJ, Yin Q, and Zhang XH performed research; Zhang XH contributed analytic tools; Shi HQ and Zhang XH wrote paper.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Startup Fund for Scientific Research, Fujian Province Science and Technology Innovation Joint Fund Project, No. 2021Y9188.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Xue-Hua Zhang, MD, PhD, Chief Doctor, Director, Doctor, </w:t>
      </w:r>
      <w:r>
        <w:rPr>
          <w:rFonts w:ascii="Book Antiqua" w:hAnsi="Book Antiqua" w:eastAsia="Book Antiqua" w:cs="Book Antiqua"/>
          <w:color w:val="000000"/>
        </w:rPr>
        <w:t>Department of Ultrasound, Fujian Children’s Hospital (Fujian Branch of Shanghai Children’s Medical Center), College of Clinical Medicine for Obstetrics &amp; Gynecology and Pediatrics, Fujian Medical University, No. 996 Hengyu Road, Fuzhou 350011, Fujian Province, China. 93225712@qq.com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November 13,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December 4,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7897"/>
      <w:bookmarkStart w:id="1" w:name="OLE_LINK7876"/>
      <w:bookmarkStart w:id="2" w:name="OLE_LINK7737"/>
      <w:bookmarkStart w:id="3" w:name="OLE_LINK7"/>
      <w:bookmarkStart w:id="4" w:name="OLE_LINK84"/>
      <w:bookmarkStart w:id="5" w:name="OLE_LINK7126"/>
      <w:bookmarkStart w:id="6" w:name="OLE_LINK7133"/>
      <w:bookmarkStart w:id="7" w:name="OLE_LINK7895"/>
      <w:bookmarkStart w:id="8" w:name="OLE_LINK7527"/>
      <w:bookmarkStart w:id="9" w:name="OLE_LINK6827"/>
      <w:bookmarkStart w:id="10" w:name="OLE_LINK1227"/>
      <w:bookmarkStart w:id="11" w:name="OLE_LINK7223"/>
      <w:bookmarkStart w:id="12" w:name="OLE_LINK7837"/>
      <w:bookmarkStart w:id="13" w:name="OLE_LINK7979"/>
      <w:bookmarkStart w:id="14" w:name="OLE_LINK1312"/>
      <w:bookmarkStart w:id="15" w:name="OLE_LINK54"/>
      <w:bookmarkStart w:id="16" w:name="OLE_LINK1231"/>
      <w:bookmarkStart w:id="17" w:name="OLE_LINK6812"/>
      <w:bookmarkStart w:id="18" w:name="OLE_LINK7896"/>
      <w:bookmarkStart w:id="19" w:name="OLE_LINK7628"/>
      <w:bookmarkStart w:id="20" w:name="OLE_LINK10"/>
      <w:bookmarkStart w:id="21" w:name="OLE_LINK7846"/>
      <w:bookmarkStart w:id="22" w:name="OLE_LINK6834"/>
      <w:bookmarkStart w:id="23" w:name="OLE_LINK1222"/>
      <w:bookmarkStart w:id="24" w:name="OLE_LINK7213"/>
      <w:bookmarkStart w:id="25" w:name="OLE_LINK7212"/>
      <w:bookmarkStart w:id="26" w:name="OLE_LINK6816"/>
      <w:bookmarkStart w:id="27" w:name="OLE_LINK7140"/>
      <w:bookmarkStart w:id="28" w:name="OLE_LINK46"/>
      <w:bookmarkStart w:id="29" w:name="OLE_LINK6798"/>
      <w:bookmarkStart w:id="30" w:name="OLE_LINK103"/>
      <w:bookmarkStart w:id="31" w:name="OLE_LINK14"/>
      <w:bookmarkStart w:id="32" w:name="OLE_LINK20"/>
      <w:bookmarkStart w:id="33" w:name="OLE_LINK1246"/>
      <w:bookmarkStart w:id="34" w:name="OLE_LINK49"/>
      <w:bookmarkStart w:id="35" w:name="OLE_LINK7885"/>
      <w:bookmarkStart w:id="36" w:name="OLE_LINK87"/>
      <w:bookmarkStart w:id="37" w:name="OLE_LINK7894"/>
      <w:bookmarkStart w:id="38" w:name="OLE_LINK1223"/>
      <w:bookmarkStart w:id="39" w:name="OLE_LINK7738"/>
      <w:bookmarkStart w:id="40" w:name="OLE_LINK7236"/>
      <w:bookmarkStart w:id="41" w:name="OLE_LINK72"/>
      <w:bookmarkStart w:id="42" w:name="OLE_LINK7119"/>
      <w:bookmarkStart w:id="43" w:name="OLE_LINK7796"/>
      <w:bookmarkStart w:id="44" w:name="OLE_LINK7903"/>
      <w:bookmarkStart w:id="45" w:name="OLE_LINK7633"/>
      <w:bookmarkStart w:id="46" w:name="OLE_LINK29"/>
      <w:bookmarkStart w:id="47" w:name="OLE_LINK7809"/>
      <w:bookmarkStart w:id="48" w:name="OLE_LINK2"/>
      <w:bookmarkStart w:id="49" w:name="OLE_LINK7882"/>
      <w:bookmarkStart w:id="50" w:name="OLE_LINK7130"/>
      <w:bookmarkStart w:id="51" w:name="OLE_LINK7984"/>
      <w:bookmarkStart w:id="52" w:name="OLE_LINK60"/>
      <w:bookmarkStart w:id="53" w:name="OLE_LINK7730"/>
      <w:bookmarkStart w:id="54" w:name="OLE_LINK7127"/>
      <w:bookmarkStart w:id="55" w:name="OLE_LINK7734"/>
      <w:bookmarkStart w:id="56" w:name="OLE_LINK11"/>
      <w:bookmarkStart w:id="57" w:name="OLE_LINK7125"/>
      <w:bookmarkStart w:id="58" w:name="OLE_LINK7839"/>
      <w:bookmarkStart w:id="59" w:name="OLE_LINK100"/>
      <w:bookmarkStart w:id="60" w:name="OLE_LINK37"/>
      <w:bookmarkStart w:id="61" w:name="OLE_LINK7820"/>
      <w:bookmarkStart w:id="62" w:name="OLE_LINK1325"/>
      <w:bookmarkStart w:id="63" w:name="OLE_LINK7150"/>
      <w:bookmarkStart w:id="64" w:name="OLE_LINK1242"/>
      <w:bookmarkStart w:id="65" w:name="OLE_LINK82"/>
      <w:bookmarkStart w:id="66" w:name="OLE_LINK6803"/>
      <w:bookmarkStart w:id="67" w:name="OLE_LINK7122"/>
      <w:bookmarkStart w:id="68" w:name="OLE_LINK1319"/>
      <w:bookmarkStart w:id="69" w:name="OLE_LINK7158"/>
      <w:bookmarkStart w:id="70" w:name="OLE_LINK7873"/>
      <w:bookmarkStart w:id="71" w:name="OLE_LINK7910"/>
      <w:bookmarkStart w:id="72" w:name="OLE_LINK57"/>
      <w:bookmarkStart w:id="73" w:name="OLE_LINK41"/>
      <w:bookmarkStart w:id="74" w:name="OLE_LINK1244"/>
      <w:bookmarkStart w:id="75" w:name="OLE_LINK7229"/>
      <w:bookmarkStart w:id="76" w:name="OLE_LINK17"/>
      <w:bookmarkStart w:id="77" w:name="OLE_LINK7167"/>
      <w:bookmarkStart w:id="78" w:name="OLE_LINK108"/>
      <w:bookmarkStart w:id="79" w:name="OLE_LINK1224"/>
      <w:bookmarkStart w:id="80" w:name="OLE_LINK30"/>
      <w:bookmarkStart w:id="81" w:name="OLE_LINK7977"/>
      <w:bookmarkStart w:id="82" w:name="OLE_LINK7279"/>
      <w:bookmarkStart w:id="83" w:name="OLE_LINK7813"/>
      <w:bookmarkStart w:id="84" w:name="OLE_LINK7608"/>
      <w:bookmarkStart w:id="85" w:name="OLE_LINK7836"/>
      <w:bookmarkStart w:id="86" w:name="OLE_LINK7224"/>
      <w:bookmarkStart w:id="87" w:name="OLE_LINK7983"/>
      <w:bookmarkStart w:id="88" w:name="OLE_LINK1"/>
      <w:bookmarkStart w:id="89" w:name="OLE_LINK34"/>
      <w:bookmarkStart w:id="90" w:name="OLE_LINK7985"/>
      <w:bookmarkStart w:id="91" w:name="OLE_LINK7153"/>
      <w:bookmarkStart w:id="92" w:name="OLE_LINK26"/>
      <w:bookmarkStart w:id="93" w:name="OLE_LINK1315"/>
      <w:bookmarkStart w:id="94" w:name="OLE_LINK65"/>
      <w:bookmarkStart w:id="95" w:name="OLE_LINK216"/>
      <w:bookmarkStart w:id="96" w:name="OLE_LINK1256"/>
      <w:bookmarkStart w:id="97" w:name="OLE_LINK174"/>
      <w:bookmarkStart w:id="98" w:name="OLE_LINK1237"/>
      <w:bookmarkStart w:id="99" w:name="OLE_LINK1322"/>
      <w:bookmarkStart w:id="100" w:name="OLE_LINK42"/>
      <w:bookmarkStart w:id="101" w:name="OLE_LINK7295"/>
      <w:bookmarkStart w:id="102" w:name="OLE_LINK4"/>
      <w:bookmarkStart w:id="103" w:name="OLE_LINK7838"/>
      <w:bookmarkStart w:id="104" w:name="OLE_LINK7290"/>
      <w:bookmarkStart w:id="105" w:name="OLE_LINK7288"/>
      <w:bookmarkStart w:id="106" w:name="OLE_LINK7141"/>
      <w:bookmarkStart w:id="107" w:name="OLE_LINK1273"/>
      <w:bookmarkStart w:id="108" w:name="OLE_LINK36"/>
      <w:bookmarkStart w:id="109" w:name="OLE_LINK236"/>
      <w:bookmarkStart w:id="110" w:name="OLE_LINK1282"/>
      <w:bookmarkStart w:id="111" w:name="OLE_LINK7264"/>
      <w:bookmarkStart w:id="112" w:name="OLE_LINK229"/>
      <w:bookmarkStart w:id="113" w:name="OLE_LINK7234"/>
      <w:bookmarkStart w:id="114" w:name="OLE_LINK226"/>
      <w:bookmarkStart w:id="115" w:name="OLE_LINK40"/>
      <w:bookmarkStart w:id="116" w:name="OLE_LINK7300"/>
      <w:bookmarkStart w:id="117" w:name="OLE_LINK192"/>
      <w:bookmarkStart w:id="118" w:name="OLE_LINK1250"/>
      <w:bookmarkStart w:id="119" w:name="OLE_LINK7173"/>
      <w:bookmarkStart w:id="120" w:name="OLE_LINK75"/>
      <w:bookmarkStart w:id="121" w:name="OLE_LINK1218"/>
      <w:bookmarkStart w:id="122" w:name="OLE_LINK1198"/>
      <w:bookmarkStart w:id="123" w:name="OLE_LINK1220"/>
      <w:bookmarkStart w:id="124" w:name="OLE_LINK7571"/>
      <w:bookmarkStart w:id="125" w:name="OLE_LINK1324"/>
      <w:bookmarkStart w:id="126" w:name="OLE_LINK233"/>
      <w:bookmarkStart w:id="127" w:name="OLE_LINK1262"/>
      <w:bookmarkStart w:id="128" w:name="OLE_LINK21"/>
      <w:bookmarkStart w:id="129" w:name="OLE_LINK1199"/>
      <w:bookmarkStart w:id="130" w:name="OLE_LINK1292"/>
      <w:bookmarkStart w:id="131" w:name="OLE_LINK184"/>
      <w:bookmarkStart w:id="132" w:name="OLE_LINK1283"/>
      <w:bookmarkStart w:id="133" w:name="OLE_LINK1286"/>
      <w:bookmarkStart w:id="134" w:name="OLE_LINK1310"/>
      <w:bookmarkStart w:id="135" w:name="OLE_LINK7241"/>
      <w:bookmarkStart w:id="136" w:name="OLE_LINK1301"/>
      <w:bookmarkStart w:id="137" w:name="OLE_LINK1269"/>
      <w:bookmarkStart w:id="138" w:name="OLE_LINK7250"/>
      <w:bookmarkStart w:id="139" w:name="OLE_LINK1346"/>
      <w:bookmarkStart w:id="140" w:name="OLE_LINK1318"/>
      <w:bookmarkStart w:id="141" w:name="OLE_LINK7620"/>
      <w:bookmarkStart w:id="142" w:name="OLE_LINK7145"/>
      <w:bookmarkStart w:id="143" w:name="OLE_LINK66"/>
      <w:bookmarkStart w:id="144" w:name="OLE_LINK7522"/>
      <w:bookmarkStart w:id="145" w:name="OLE_LINK7616"/>
      <w:bookmarkStart w:id="146" w:name="OLE_LINK241"/>
      <w:bookmarkStart w:id="147" w:name="OLE_LINK220"/>
      <w:bookmarkStart w:id="148" w:name="OLE_LINK197"/>
      <w:bookmarkStart w:id="149" w:name="OLE_LINK7268"/>
      <w:bookmarkStart w:id="150" w:name="OLE_LINK6"/>
      <w:bookmarkStart w:id="151" w:name="OLE_LINK7274"/>
      <w:bookmarkStart w:id="152" w:name="OLE_LINK203"/>
      <w:bookmarkStart w:id="153" w:name="OLE_LINK187"/>
      <w:bookmarkStart w:id="154" w:name="OLE_LINK1241"/>
      <w:bookmarkStart w:id="155" w:name="OLE_LINK1327"/>
      <w:bookmarkStart w:id="156" w:name="OLE_LINK3"/>
      <w:bookmarkStart w:id="157" w:name="OLE_LINK19"/>
      <w:bookmarkStart w:id="158" w:name="OLE_LINK7722"/>
      <w:bookmarkStart w:id="159" w:name="OLE_LINK1219"/>
      <w:bookmarkStart w:id="160" w:name="OLE_LINK1236"/>
      <w:bookmarkStart w:id="161" w:name="OLE_LINK15"/>
      <w:bookmarkStart w:id="162" w:name="OLE_LINK1272"/>
      <w:bookmarkStart w:id="163" w:name="OLE_LINK1342"/>
      <w:bookmarkStart w:id="164" w:name="OLE_LINK1334"/>
      <w:bookmarkStart w:id="165" w:name="OLE_LINK23"/>
      <w:bookmarkStart w:id="166" w:name="OLE_LINK7244"/>
      <w:bookmarkStart w:id="167" w:name="OLE_LINK1247"/>
      <w:bookmarkStart w:id="168" w:name="OLE_LINK1261"/>
      <w:bookmarkStart w:id="169" w:name="OLE_LINK200"/>
      <w:bookmarkStart w:id="170" w:name="OLE_LINK1299"/>
      <w:bookmarkStart w:id="171" w:name="OLE_LINK61"/>
      <w:bookmarkStart w:id="172" w:name="OLE_LINK177"/>
      <w:bookmarkStart w:id="173" w:name="OLE_LINK1290"/>
      <w:bookmarkStart w:id="174" w:name="OLE_LINK1311"/>
      <w:bookmarkStart w:id="175" w:name="OLE_LINK7530"/>
      <w:bookmarkStart w:id="176" w:name="OLE_LINK7214"/>
      <w:bookmarkStart w:id="177" w:name="OLE_LINK1340"/>
      <w:bookmarkStart w:id="178" w:name="OLE_LINK1307"/>
      <w:bookmarkStart w:id="179" w:name="OLE_LINK51"/>
      <w:bookmarkStart w:id="180" w:name="OLE_LINK74"/>
      <w:bookmarkStart w:id="181" w:name="OLE_LINK7561"/>
      <w:bookmarkStart w:id="182" w:name="OLE_LINK1225"/>
      <w:bookmarkStart w:id="183" w:name="OLE_LINK219"/>
      <w:bookmarkStart w:id="184" w:name="OLE_LINK208"/>
      <w:bookmarkStart w:id="185" w:name="OLE_LINK1255"/>
      <w:bookmarkStart w:id="186" w:name="OLE_LINK1305"/>
      <w:bookmarkStart w:id="187" w:name="OLE_LINK1233"/>
      <w:bookmarkStart w:id="188" w:name="OLE_LINK7555"/>
      <w:bookmarkStart w:id="189" w:name="OLE_LINK7690"/>
      <w:bookmarkStart w:id="190" w:name="OLE_LINK7602"/>
      <w:bookmarkStart w:id="191" w:name="OLE_LINK1352"/>
      <w:bookmarkStart w:id="192" w:name="OLE_LINK7215"/>
      <w:bookmarkStart w:id="193" w:name="OLE_LINK7547"/>
      <w:bookmarkStart w:id="194" w:name="OLE_LINK7550"/>
      <w:bookmarkStart w:id="195" w:name="OLE_LINK7237"/>
      <w:bookmarkStart w:id="196" w:name="OLE_LINK7611"/>
      <w:bookmarkStart w:id="197" w:name="OLE_LINK6830"/>
      <w:bookmarkStart w:id="198" w:name="OLE_LINK7513"/>
      <w:bookmarkStart w:id="199" w:name="OLE_LINK7799"/>
      <w:bookmarkStart w:id="200" w:name="OLE_LINK78"/>
      <w:bookmarkStart w:id="201" w:name="OLE_LINK1291"/>
      <w:bookmarkStart w:id="202" w:name="OLE_LINK7867"/>
      <w:bookmarkStart w:id="203" w:name="OLE_LINK7240"/>
      <w:bookmarkStart w:id="204" w:name="OLE_LINK7583"/>
      <w:bookmarkStart w:id="205" w:name="OLE_LINK7649"/>
      <w:bookmarkStart w:id="206" w:name="OLE_LINK7711"/>
      <w:bookmarkStart w:id="207" w:name="OLE_LINK1295"/>
      <w:bookmarkStart w:id="208" w:name="OLE_LINK7721"/>
      <w:bookmarkStart w:id="209" w:name="OLE_LINK7515"/>
      <w:bookmarkStart w:id="210" w:name="OLE_LINK1297"/>
      <w:bookmarkStart w:id="211" w:name="OLE_LINK1251"/>
      <w:bookmarkStart w:id="212" w:name="OLE_LINK1303"/>
      <w:bookmarkStart w:id="213" w:name="OLE_LINK7243"/>
      <w:bookmarkStart w:id="214" w:name="OLE_LINK7605"/>
      <w:bookmarkStart w:id="215" w:name="OLE_LINK7574"/>
      <w:bookmarkStart w:id="216" w:name="OLE_LINK1232"/>
      <w:bookmarkStart w:id="217" w:name="OLE_LINK1326"/>
      <w:bookmarkStart w:id="218" w:name="OLE_LINK7718"/>
      <w:bookmarkStart w:id="219" w:name="OLE_LINK7703"/>
      <w:bookmarkStart w:id="220" w:name="OLE_LINK7116"/>
      <w:bookmarkStart w:id="221" w:name="OLE_LINK7606"/>
      <w:bookmarkStart w:id="222" w:name="OLE_LINK7559"/>
      <w:bookmarkStart w:id="223" w:name="OLE_LINK7691"/>
      <w:bookmarkStart w:id="224" w:name="OLE_LINK7687"/>
      <w:bookmarkStart w:id="225" w:name="OLE_LINK7655"/>
      <w:bookmarkStart w:id="226" w:name="OLE_LINK7665"/>
      <w:bookmarkStart w:id="227" w:name="OLE_LINK7235"/>
      <w:bookmarkStart w:id="228" w:name="OLE_LINK7569"/>
      <w:bookmarkStart w:id="229" w:name="OLE_LINK7735"/>
      <w:bookmarkStart w:id="230" w:name="OLE_LINK7610"/>
      <w:bookmarkStart w:id="231" w:name="OLE_LINK7712"/>
      <w:bookmarkStart w:id="232" w:name="OLE_LINK7228"/>
      <w:bookmarkStart w:id="233" w:name="OLE_LINK7641"/>
      <w:bookmarkStart w:id="234" w:name="OLE_LINK7699"/>
      <w:bookmarkStart w:id="235" w:name="OLE_LINK7629"/>
      <w:bookmarkStart w:id="236" w:name="OLE_LINK7652"/>
      <w:bookmarkStart w:id="237" w:name="OLE_LINK7259"/>
      <w:bookmarkStart w:id="238" w:name="OLE_LINK7625"/>
      <w:bookmarkStart w:id="239" w:name="OLE_LINK7684"/>
      <w:bookmarkStart w:id="240" w:name="OLE_LINK1267"/>
      <w:bookmarkStart w:id="241" w:name="OLE_LINK7253"/>
      <w:bookmarkStart w:id="242" w:name="OLE_LINK7568"/>
      <w:bookmarkStart w:id="243" w:name="OLE_LINK7635"/>
      <w:bookmarkStart w:id="244" w:name="OLE_LINK7710"/>
      <w:bookmarkStart w:id="245" w:name="OLE_LINK7577"/>
      <w:bookmarkStart w:id="246" w:name="OLE_LINK7578"/>
      <w:bookmarkStart w:id="247" w:name="OLE_LINK7736"/>
      <w:bookmarkStart w:id="248" w:name="OLE_LINK7843"/>
      <w:bookmarkStart w:id="249" w:name="OLE_LINK7587"/>
      <w:bookmarkStart w:id="250" w:name="OLE_LINK7706"/>
      <w:bookmarkStart w:id="251" w:name="OLE_LINK7879"/>
      <w:bookmarkStart w:id="252" w:name="OLE_LINK7597"/>
      <w:bookmarkStart w:id="253" w:name="OLE_LINK7709"/>
      <w:bookmarkStart w:id="254" w:name="OLE_LINK1276"/>
      <w:bookmarkStart w:id="255" w:name="OLE_LINK7695"/>
      <w:bookmarkStart w:id="256" w:name="OLE_LINK7617"/>
      <w:r>
        <w:rPr>
          <w:rFonts w:ascii="Book Antiqua" w:hAnsi="Book Antiqua"/>
        </w:rPr>
        <w:t>January 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January 26,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Morgagni hernias are rare anomalies that are easily misdiagnosed or missed.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rPr>
        <w:t>To summarize the ultrasound (US) imaging characteristics of Morgagni hernias through a comparison of imaging and surgical results.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rPr>
        <w:t>The records of children with Morgagni hernias who were hospitalized at two hospitals between January 2013 and November 2023 were retrospectively reviewed in terms of clinical findings, US features, and operative details.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rPr>
        <w:t>Be</w:t>
      </w:r>
      <w:r>
        <w:rPr>
          <w:rFonts w:ascii="Book Antiqua" w:hAnsi="Book Antiqua" w:eastAsia="Book Antiqua" w:cs="Book Antiqua"/>
          <w:color w:val="000000"/>
        </w:rPr>
        <w:t>tween 2013 and 2023, we observed nine (five male and four female) children with Morgagni hernias. Upper abdominal scanning revealed a widening of the prehepatic space, with an abnormal channel extending from the xiphoid process to the right or left side of the thoracic cavity. The channel had intestinal duct and intestinal gas echoes. Hernia contents were found in the transverse colon (</w:t>
      </w:r>
      <w:r>
        <w:rPr>
          <w:rFonts w:ascii="Book Antiqua" w:hAnsi="Book Antiqua" w:eastAsia="Book Antiqua" w:cs="Book Antiqua"/>
          <w:i/>
          <w:iCs/>
          <w:color w:val="000000"/>
        </w:rPr>
        <w:t>n</w:t>
      </w:r>
      <w:r>
        <w:rPr>
          <w:rFonts w:ascii="Book Antiqua" w:hAnsi="Book Antiqua" w:eastAsia="Book Antiqua" w:cs="Book Antiqua"/>
          <w:color w:val="000000"/>
        </w:rPr>
        <w:t xml:space="preserve"> = 6), the colon and small intestine (</w:t>
      </w:r>
      <w:r>
        <w:rPr>
          <w:rFonts w:ascii="Book Antiqua" w:hAnsi="Book Antiqua" w:eastAsia="Book Antiqua" w:cs="Book Antiqua"/>
          <w:i/>
          <w:iCs/>
          <w:color w:val="000000"/>
        </w:rPr>
        <w:t>n</w:t>
      </w:r>
      <w:r>
        <w:rPr>
          <w:rFonts w:ascii="Book Antiqua" w:hAnsi="Book Antiqua" w:eastAsia="Book Antiqua" w:cs="Book Antiqua"/>
          <w:color w:val="000000"/>
        </w:rPr>
        <w:t xml:space="preserve"> = 2), and the colon and stomach (</w:t>
      </w:r>
      <w:r>
        <w:rPr>
          <w:rFonts w:ascii="Book Antiqua" w:hAnsi="Book Antiqua" w:eastAsia="Book Antiqua" w:cs="Book Antiqua"/>
          <w:i/>
          <w:iCs/>
          <w:color w:val="000000"/>
        </w:rPr>
        <w:t>n</w:t>
      </w:r>
      <w:r>
        <w:rPr>
          <w:rFonts w:ascii="Book Antiqua" w:hAnsi="Book Antiqua" w:eastAsia="Book Antiqua" w:cs="Book Antiqua"/>
          <w:color w:val="000000"/>
        </w:rPr>
        <w:t xml:space="preserve"> = 1). Among the patients, seven had a right-sided lesion, two had a left-sided lesion, and all of them had hernial sacs.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US imaging can accurately determine the location, extent, and content of Morgagni hernias. For suspected Morgagni hernias, we recommend performing sonographic screening first.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color w:val="000000"/>
        </w:rPr>
        <w:t>Children; Congenital diaphragmatic hernias; Morgagni hernia; Operation; Ultrasound; Gastrointestinal imaging</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Shi HQ, Chen WJ, Yin Q, Zhang XH. Ultrasound diagnosis of congenital Morgagni hernias: Ten years of experience at two Chinese centers. </w:t>
      </w:r>
      <w:r>
        <w:rPr>
          <w:rFonts w:ascii="Book Antiqua" w:hAnsi="Book Antiqua" w:eastAsia="Book Antiqua" w:cs="Book Antiqua"/>
          <w:i/>
          <w:iCs/>
        </w:rPr>
        <w:t>World J Clin Cases</w:t>
      </w:r>
      <w:r>
        <w:rPr>
          <w:rFonts w:ascii="Book Antiqua" w:hAnsi="Book Antiqua" w:eastAsia="Book Antiqua" w:cs="Book Antiqua"/>
        </w:rPr>
        <w:t xml:space="preserve"> 2024; 12(</w:t>
      </w:r>
      <w:r>
        <w:rPr>
          <w:rFonts w:hint="eastAsia" w:ascii="Book Antiqua" w:hAnsi="Book Antiqua" w:eastAsia="宋体" w:cs="Book Antiqua"/>
          <w:lang w:val="en-US" w:eastAsia="zh-CN"/>
        </w:rPr>
        <w:t>3</w:t>
      </w:r>
      <w:r>
        <w:rPr>
          <w:rFonts w:ascii="Book Antiqua" w:hAnsi="Book Antiqua" w:eastAsia="Book Antiqua" w:cs="Book Antiqua"/>
        </w:rPr>
        <w:t xml:space="preserve">): </w:t>
      </w:r>
      <w:r>
        <w:rPr>
          <w:rStyle w:val="16"/>
          <w:rFonts w:hint="default" w:ascii="Book Antiqua" w:hAnsi="Book Antiqua" w:eastAsia="宋体" w:cs="Book Antiqua"/>
          <w:sz w:val="24"/>
          <w:szCs w:val="24"/>
          <w:lang w:val="en-US" w:eastAsia="zh-CN" w:bidi="ar"/>
        </w:rPr>
        <w:t>495-502</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https://www.wjgnet.com/2307-8960/full/v12/i</w:t>
      </w:r>
      <w:r>
        <w:rPr>
          <w:rFonts w:hint="eastAsia" w:ascii="Book Antiqua" w:hAnsi="Book Antiqua" w:eastAsia="宋体" w:cs="Book Antiqua"/>
          <w:lang w:val="en-US" w:eastAsia="zh-CN"/>
        </w:rPr>
        <w:t>3</w:t>
      </w:r>
      <w:r>
        <w:rPr>
          <w:rFonts w:ascii="Book Antiqua" w:hAnsi="Book Antiqua" w:eastAsia="Book Antiqua" w:cs="Book Antiqua"/>
        </w:rPr>
        <w:t>/</w:t>
      </w:r>
      <w:r>
        <w:rPr>
          <w:rStyle w:val="16"/>
          <w:rFonts w:hint="default" w:ascii="Book Antiqua" w:hAnsi="Book Antiqua" w:eastAsia="宋体" w:cs="Book Antiqua"/>
          <w:sz w:val="24"/>
          <w:szCs w:val="24"/>
          <w:lang w:val="en-US" w:eastAsia="zh-CN" w:bidi="ar"/>
        </w:rPr>
        <w:t>495</w:t>
      </w:r>
      <w:r>
        <w:rPr>
          <w:rFonts w:ascii="Book Antiqua" w:hAnsi="Book Antiqua" w:eastAsia="Book Antiqua" w:cs="Book Antiqua"/>
        </w:rPr>
        <w:t xml:space="preserve">.htm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rPr>
        <w:t>: https://dx.doi.org/10.12998/wjcc.v12.i</w:t>
      </w:r>
      <w:r>
        <w:rPr>
          <w:rFonts w:hint="eastAsia" w:ascii="Book Antiqua" w:hAnsi="Book Antiqua" w:eastAsia="宋体" w:cs="Book Antiqua"/>
          <w:lang w:val="en-US" w:eastAsia="zh-CN"/>
        </w:rPr>
        <w:t>3</w:t>
      </w:r>
      <w:r>
        <w:rPr>
          <w:rFonts w:ascii="Book Antiqua" w:hAnsi="Book Antiqua" w:eastAsia="Book Antiqua" w:cs="Book Antiqua"/>
        </w:rPr>
        <w:t>.</w:t>
      </w:r>
      <w:r>
        <w:rPr>
          <w:rStyle w:val="16"/>
          <w:rFonts w:hint="default" w:ascii="Book Antiqua" w:hAnsi="Book Antiqua" w:eastAsia="宋体" w:cs="Book Antiqua"/>
          <w:sz w:val="24"/>
          <w:szCs w:val="24"/>
          <w:lang w:val="en-US" w:eastAsia="zh-CN" w:bidi="ar"/>
        </w:rPr>
        <w:t>495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color w:val="000000"/>
        </w:rPr>
        <w:t>Morgagni hernias are rare and easily misdiagnosed or missed. In this report, retrosternal hernias accidentally discovered by ultrasound. The ultrasonic and clinical characteristics are summarized to provide a simple and effective basis for early diagnosis. Ultrasonic imaging can accurately determine the location, extent, and content of Morgagni hernias. For suspected Morgagni hernias, we recommend performing sonographic screening first.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 Morgagni hernia is an unusual congenital herniation of the abdominal contents through the costochondral triangles of the anterior diaphragm</w:t>
      </w:r>
      <w:r>
        <w:rPr>
          <w:rFonts w:ascii="Book Antiqua" w:hAnsi="Book Antiqua" w:eastAsia="宋体" w:cs="Book Antiqua"/>
          <w:color w:val="000000"/>
          <w:vertAlign w:val="superscript"/>
          <w:lang w:eastAsia="zh-CN"/>
        </w:rPr>
        <w:t>[1]</w:t>
      </w:r>
      <w:r>
        <w:rPr>
          <w:rFonts w:ascii="Book Antiqua" w:hAnsi="Book Antiqua" w:eastAsia="Book Antiqua" w:cs="Book Antiqua"/>
          <w:color w:val="000000"/>
        </w:rPr>
        <w:t>. Few reports on Morgagni hernias in children are available. Morgagni hernias are easily misdiagnosed or missed because their symptoms are mild and atypical</w:t>
      </w:r>
      <w:r>
        <w:rPr>
          <w:rFonts w:ascii="Book Antiqua" w:hAnsi="Book Antiqua" w:eastAsia="宋体" w:cs="Book Antiqua"/>
          <w:color w:val="000000"/>
          <w:vertAlign w:val="superscript"/>
          <w:lang w:eastAsia="zh-CN"/>
        </w:rPr>
        <w:t>[2]</w:t>
      </w:r>
      <w:r>
        <w:rPr>
          <w:rFonts w:ascii="Book Antiqua" w:hAnsi="Book Antiqua" w:eastAsia="Book Antiqua" w:cs="Book Antiqua"/>
          <w:color w:val="000000"/>
        </w:rPr>
        <w:t xml:space="preserve">. In the present report, retrosternal hernias that were accidentally discovered by ultrasound (US) are described, and their ultrasonic manifestations are specified. The US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clinical characteristics are summarized to provide a simple and effective basis for early diagnosis.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Patient population</w:t>
      </w:r>
    </w:p>
    <w:p>
      <w:pPr>
        <w:spacing w:line="360" w:lineRule="auto"/>
        <w:jc w:val="both"/>
        <w:rPr>
          <w:rFonts w:ascii="Book Antiqua" w:hAnsi="Book Antiqua"/>
        </w:rPr>
      </w:pPr>
      <w:r>
        <w:rPr>
          <w:rFonts w:ascii="Book Antiqua" w:hAnsi="Book Antiqua" w:eastAsia="Book Antiqua" w:cs="Book Antiqua"/>
          <w:color w:val="000000"/>
        </w:rPr>
        <w:t>The records of nine patients with Morgagni hernias diagnosed by US imaging and confirmed by surgery at two children’s hospitals between 2013 and 2023 were collected.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Ultrasonic scanning</w:t>
      </w:r>
    </w:p>
    <w:p>
      <w:pPr>
        <w:spacing w:line="360" w:lineRule="auto"/>
        <w:jc w:val="both"/>
        <w:rPr>
          <w:rFonts w:ascii="Book Antiqua" w:hAnsi="Book Antiqua"/>
        </w:rPr>
      </w:pPr>
      <w:r>
        <w:rPr>
          <w:rFonts w:ascii="Book Antiqua" w:hAnsi="Book Antiqua" w:eastAsia="Book Antiqua" w:cs="Book Antiqua"/>
          <w:color w:val="000000"/>
        </w:rPr>
        <w:t>US scans were performed by a team of experienced examiners by using Philips EPIQ 7C (Netherlands). The scans were acquired at convex and linear array transducer frequencies of 5-14 MHz. The upper abdomen and chest of each patient in the supine, lateral, or sitting position were scanned to reveal the whole diaphragm and the site in front of the liver and behind the sternum. The positions, contents, morphologies, structures, and connections of the hernias were recorded.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Gastrointestinal imaging and computed tomography</w:t>
      </w:r>
    </w:p>
    <w:p>
      <w:pPr>
        <w:spacing w:line="360" w:lineRule="auto"/>
        <w:jc w:val="both"/>
        <w:rPr>
          <w:rFonts w:ascii="Book Antiqua" w:hAnsi="Book Antiqua"/>
        </w:rPr>
      </w:pPr>
      <w:r>
        <w:rPr>
          <w:rFonts w:ascii="Book Antiqua" w:hAnsi="Book Antiqua" w:eastAsia="Book Antiqua" w:cs="Book Antiqua"/>
          <w:color w:val="000000"/>
        </w:rPr>
        <w:t>All nine patients underwent contrast gastrointestinal imaging (GI) (TOSHIBA, Japan). Two patients underwent chest computed tomography (CT) scans (PHILIP Brilliance 64 spiral CT-Netherlands). The patients were diagnosed with Morgagni hernias after US imaging, but their GI results did not show any signs of the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Ethical permission</w:t>
      </w:r>
    </w:p>
    <w:p>
      <w:pPr>
        <w:spacing w:line="360" w:lineRule="auto"/>
        <w:jc w:val="both"/>
        <w:rPr>
          <w:rFonts w:ascii="Book Antiqua" w:hAnsi="Book Antiqua"/>
        </w:rPr>
      </w:pPr>
      <w:r>
        <w:rPr>
          <w:rFonts w:ascii="Book Antiqua" w:hAnsi="Book Antiqua" w:eastAsia="Book Antiqua" w:cs="Book Antiqua"/>
          <w:color w:val="000000"/>
        </w:rPr>
        <w:t>The study was approved by the Medical Ethics Committee of Fujian Children’s Hospital and Hunan Children’s Hospital, and waived of Informed Consent from parents. All methods were performed in accordance with the Declaration of Helsinki.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methods</w:t>
      </w:r>
    </w:p>
    <w:p>
      <w:pPr>
        <w:spacing w:line="360" w:lineRule="auto"/>
        <w:jc w:val="both"/>
        <w:rPr>
          <w:rFonts w:ascii="Book Antiqua" w:hAnsi="Book Antiqua"/>
        </w:rPr>
      </w:pPr>
      <w:r>
        <w:rPr>
          <w:rFonts w:ascii="Book Antiqua" w:hAnsi="Book Antiqua" w:eastAsia="Book Antiqua" w:cs="Book Antiqua"/>
          <w:color w:val="000000"/>
        </w:rPr>
        <w:t>SPSS 20.0 was used for statistical analysis. Counting data are expressed as cases and percentages. The agreement between US, and GI/CT and surgery results was calculated using cross - tabulation.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Basic data</w:t>
      </w:r>
    </w:p>
    <w:p>
      <w:pPr>
        <w:spacing w:line="360" w:lineRule="auto"/>
        <w:jc w:val="both"/>
        <w:rPr>
          <w:rFonts w:ascii="Book Antiqua" w:hAnsi="Book Antiqua"/>
        </w:rPr>
      </w:pPr>
      <w:r>
        <w:rPr>
          <w:rFonts w:ascii="Book Antiqua" w:hAnsi="Book Antiqua" w:eastAsia="Book Antiqua" w:cs="Book Antiqua"/>
          <w:color w:val="000000"/>
        </w:rPr>
        <w:t>Nine children (five male and four female) who were diagnosed with Morgagni hernias that were confirmed by surgery were included in this study (Table 1). The ages of the patients ranged from three months to three years and six months. The chief complaints were repeated coughing in five patients, vomiting in two patients, and constipation in one patient. In one patient, beating of the heart could be seen on the chest wall, which is one of the manifestations of Cantrell’s pentagonal syndrome (Table 1).</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bCs/>
          <w:i/>
          <w:iCs/>
          <w:color w:val="000000"/>
        </w:rPr>
        <w:t>US imaging</w:t>
      </w:r>
    </w:p>
    <w:p>
      <w:pPr>
        <w:spacing w:line="360" w:lineRule="auto"/>
        <w:jc w:val="both"/>
        <w:rPr>
          <w:rFonts w:ascii="Book Antiqua" w:hAnsi="Book Antiqua"/>
        </w:rPr>
      </w:pPr>
      <w:r>
        <w:rPr>
          <w:rFonts w:ascii="Book Antiqua" w:hAnsi="Book Antiqua" w:eastAsia="Book Antiqua" w:cs="Book Antiqua"/>
          <w:color w:val="000000"/>
        </w:rPr>
        <w:t xml:space="preserve">All nine Morgagni hernias were first identified by US: (1) Upper abdominal scanning revealed a widening of the prehepatic space, with an abnormal channel extending from under the xiphoid process to the right or left side of the thoracic cavity. </w:t>
      </w:r>
      <w:r>
        <w:rPr>
          <w:rFonts w:hint="eastAsia" w:ascii="Book Antiqua" w:hAnsi="Book Antiqua" w:eastAsia="宋体" w:cs="Book Antiqua"/>
          <w:color w:val="000000"/>
          <w:lang w:val="en-US" w:eastAsia="zh-CN"/>
        </w:rPr>
        <w:t xml:space="preserve">Two </w:t>
      </w:r>
      <w:r>
        <w:rPr>
          <w:rFonts w:ascii="Book Antiqua" w:hAnsi="Book Antiqua" w:eastAsia="Book Antiqua" w:cs="Book Antiqua"/>
          <w:color w:val="000000"/>
        </w:rPr>
        <w:t xml:space="preserve">hernias were on the left side (Figure 1A), and </w:t>
      </w:r>
      <w:r>
        <w:rPr>
          <w:rFonts w:hint="eastAsia" w:ascii="Book Antiqua" w:hAnsi="Book Antiqua" w:eastAsia="宋体" w:cs="Book Antiqua"/>
          <w:color w:val="000000"/>
          <w:lang w:val="en-US" w:eastAsia="zh-CN"/>
        </w:rPr>
        <w:t>seven</w:t>
      </w:r>
      <w:r>
        <w:rPr>
          <w:rFonts w:ascii="Book Antiqua" w:hAnsi="Book Antiqua" w:eastAsia="Book Antiqua" w:cs="Book Antiqua"/>
          <w:color w:val="000000"/>
        </w:rPr>
        <w:t xml:space="preserve"> were on the right side (Figure 1C, E, G and H). The abdominal intestinal tube and intestinal air echo crossed this area to the chest in all nine cases. In one patient, the stomach could be seen across this area towards the chest; and (2) Chest scanning showed echoes of the bowel and stomach, and gas was present in the left or right anterior chest on the side of the heart or mediastinum. Intestinal peristalsis and intestinal content movement were observed during the scans. The height of the hernia sac was at the level of the fourth rib in three patients, the fifth rib in four patients, the second rib in one patient, and the sixth rib in one patient.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GI and CT</w:t>
      </w:r>
    </w:p>
    <w:p>
      <w:pPr>
        <w:spacing w:line="360" w:lineRule="auto"/>
        <w:jc w:val="both"/>
        <w:rPr>
          <w:rFonts w:ascii="Book Antiqua" w:hAnsi="Book Antiqua"/>
        </w:rPr>
      </w:pPr>
      <w:r>
        <w:rPr>
          <w:rFonts w:ascii="Book Antiqua" w:hAnsi="Book Antiqua" w:eastAsia="Book Antiqua" w:cs="Book Antiqua"/>
          <w:i w:val="0"/>
          <w:iCs w:val="0"/>
          <w:color w:val="000000"/>
        </w:rPr>
        <w:t xml:space="preserve">The </w:t>
      </w:r>
      <w:r>
        <w:rPr>
          <w:rFonts w:ascii="Book Antiqua" w:hAnsi="Book Antiqua" w:eastAsia="Book Antiqua" w:cs="Book Antiqua"/>
          <w:color w:val="000000"/>
        </w:rPr>
        <w:t>GI of seven patients showed herniation of the transverse colon or bowl into the thoracic cavity (Figures 1B, D, and F) and herniation of the stomach and colon into the thoracic cavity. Two patients showed no abnormalities (Figure 1I). A CT scan revealed a right Morgagni hernia with an intestinal tube in two patients (Figure 1J).</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Surgical results</w:t>
      </w:r>
    </w:p>
    <w:p>
      <w:pPr>
        <w:spacing w:line="360" w:lineRule="auto"/>
        <w:jc w:val="both"/>
        <w:rPr>
          <w:rFonts w:ascii="Book Antiqua" w:hAnsi="Book Antiqua"/>
        </w:rPr>
      </w:pPr>
      <w:r>
        <w:rPr>
          <w:rFonts w:ascii="Book Antiqua" w:hAnsi="Book Antiqua" w:eastAsia="Book Antiqua" w:cs="Book Antiqua"/>
          <w:color w:val="000000"/>
        </w:rPr>
        <w:t xml:space="preserve">Seven patients underwent laparoscopic surgery, one underwent open diaphragmatic repair, and one (Cantrell’s pentalogy) underwent open diaphragmatic repair + pericardial repair. A hernia was found on the left side in two patients and on the right side in </w:t>
      </w:r>
      <w:r>
        <w:rPr>
          <w:rFonts w:hint="eastAsia" w:ascii="Book Antiqua" w:hAnsi="Book Antiqua" w:eastAsia="宋体" w:cs="Book Antiqua"/>
          <w:color w:val="000000"/>
          <w:lang w:val="en-US" w:eastAsia="zh-CN"/>
        </w:rPr>
        <w:t>seven</w:t>
      </w:r>
      <w:r>
        <w:rPr>
          <w:rFonts w:ascii="Book Antiqua" w:hAnsi="Book Antiqua" w:eastAsia="Book Antiqua" w:cs="Book Antiqua"/>
          <w:color w:val="000000"/>
        </w:rPr>
        <w:t xml:space="preserve"> patients. Hernia sacs were found in all patients during the operations. The hernia sac areas were approximately 20-25 cm</w:t>
      </w:r>
      <w:r>
        <w:rPr>
          <w:rFonts w:ascii="Book Antiqua" w:hAnsi="Book Antiqua" w:eastAsia="Book Antiqua" w:cs="Book Antiqua"/>
          <w:color w:val="000000"/>
          <w:vertAlign w:val="superscript"/>
        </w:rPr>
        <w:t>2</w:t>
      </w:r>
      <w:r>
        <w:rPr>
          <w:rFonts w:ascii="Book Antiqua" w:hAnsi="Book Antiqua" w:eastAsia="Book Antiqua" w:cs="Book Antiqua"/>
          <w:color w:val="000000"/>
        </w:rPr>
        <w:t>. The hernias consisted of the transverse colon and greater omentum in six patients, the colon and small intestine in two patients, and the stomach and colon in one patient (Table 1, Figure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Diagnostic consistency analysis</w:t>
      </w:r>
    </w:p>
    <w:p>
      <w:pPr>
        <w:spacing w:line="360" w:lineRule="auto"/>
        <w:jc w:val="both"/>
        <w:rPr>
          <w:rFonts w:ascii="Book Antiqua" w:hAnsi="Book Antiqua"/>
        </w:rPr>
      </w:pPr>
      <w:r>
        <w:rPr>
          <w:rFonts w:ascii="Book Antiqua" w:hAnsi="Book Antiqua" w:eastAsia="Book Antiqua" w:cs="Book Antiqua"/>
          <w:color w:val="000000"/>
        </w:rPr>
        <w:t>The consistency between ultrasounic diagnosis and surgical results was 100%, and the consistency between GI diagnosis and surgical results was 77%.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In 1769, the Italian anatomist Giovanni Battista Morgagni described the herniation of abdominal contents through sternochondral triangles </w:t>
      </w:r>
      <w:r>
        <w:rPr>
          <w:rFonts w:ascii="Book Antiqua" w:hAnsi="Book Antiqua" w:eastAsia="Book Antiqua" w:cs="Book Antiqua"/>
          <w:i/>
          <w:iCs/>
          <w:color w:val="000000"/>
        </w:rPr>
        <w:t>via</w:t>
      </w:r>
      <w:r>
        <w:rPr>
          <w:rFonts w:ascii="Book Antiqua" w:hAnsi="Book Antiqua" w:eastAsia="Book Antiqua" w:cs="Book Antiqua"/>
          <w:color w:val="000000"/>
        </w:rPr>
        <w:t xml:space="preserve"> cadaver observation. In 1828, Larrey described a surgical approach to the pericardial sac through the same triangles. Given the early work of Morgagni and Larrey, the right- and left-hand costochondral triangles have been designated as the foramen of Morgagni and the space of Larrey, respectively (Figure 3)</w:t>
      </w:r>
      <w:r>
        <w:rPr>
          <w:rFonts w:ascii="Book Antiqua" w:hAnsi="Book Antiqua" w:eastAsia="Book Antiqua" w:cs="Book Antiqua"/>
          <w:color w:val="000000"/>
          <w:vertAlign w:val="superscript"/>
        </w:rPr>
        <w:t>[</w:t>
      </w:r>
      <w:r>
        <w:rPr>
          <w:rFonts w:ascii="Book Antiqua" w:hAnsi="Book Antiqua" w:eastAsia="宋体" w:cs="Book Antiqua"/>
          <w:color w:val="000000"/>
          <w:vertAlign w:val="superscript"/>
          <w:lang w:eastAsia="zh-CN"/>
        </w:rPr>
        <w:t>3</w:t>
      </w:r>
      <w:r>
        <w:rPr>
          <w:rFonts w:ascii="Book Antiqua" w:hAnsi="Book Antiqua" w:eastAsia="Book Antiqua" w:cs="Book Antiqua"/>
          <w:color w:val="000000"/>
          <w:vertAlign w:val="superscript"/>
        </w:rPr>
        <w:t>]</w:t>
      </w:r>
      <w:r>
        <w:rPr>
          <w:rFonts w:ascii="Book Antiqua" w:hAnsi="Book Antiqua" w:eastAsia="Book Antiqua" w:cs="Book Antiqua"/>
          <w:color w:val="000000"/>
        </w:rPr>
        <w:t>. These triangles form when the pars sternalis and a costochondral arch fuse and close around the internal thoracic artery as it becomes the superior epigastric artery. Occasionally, these spaces fail to fully close, allowing the herniation of abdominal contents into the thorax. This type of herniation is referred to as a Morgagni hernia regardless of the laterality</w:t>
      </w:r>
      <w:r>
        <w:rPr>
          <w:rFonts w:ascii="Book Antiqua" w:hAnsi="Book Antiqua" w:eastAsia="Book Antiqua" w:cs="Book Antiqua"/>
          <w:color w:val="000000"/>
          <w:vertAlign w:val="superscript"/>
        </w:rPr>
        <w:t>[</w:t>
      </w:r>
      <w:r>
        <w:rPr>
          <w:rFonts w:ascii="Book Antiqua" w:hAnsi="Book Antiqua" w:eastAsia="宋体"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Morgagni hernias are confined to the posterior sternal triangle, so they are different from Bochdalek</w:t>
      </w:r>
      <w:r>
        <w:rPr>
          <w:rFonts w:ascii="Book Antiqua" w:hAnsi="Book Antiqua" w:eastAsia="Book Antiqua" w:cs="Book Antiqua"/>
          <w:color w:val="000000"/>
          <w:vertAlign w:val="superscript"/>
        </w:rPr>
        <w:t>[</w:t>
      </w:r>
      <w:r>
        <w:rPr>
          <w:rFonts w:ascii="Book Antiqua" w:hAnsi="Book Antiqua" w:eastAsia="宋体" w:cs="Book Antiqua"/>
          <w:color w:val="000000"/>
          <w:vertAlign w:val="superscript"/>
          <w:lang w:eastAsia="zh-CN"/>
        </w:rPr>
        <w:t>4</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 xml:space="preserve">(mainly in the left posterolateral, with diaphragmatic defect) and hiatal (hiatal and adjacent hiatal holes) hernias. The symptoms of Morgagni hernias are not as typical as those of Bochdalek and hiatal hernias, and the onset of Morgagni hernias is occult and therefore easy to ignore clinically. A review of the literature showed that only a few reports on Morgagni hernias are available. Hosokawa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ascii="Book Antiqua" w:hAnsi="Book Antiqua" w:eastAsia="宋体" w:cs="Book Antiqua"/>
          <w:color w:val="000000"/>
          <w:vertAlign w:val="superscript"/>
          <w:lang w:eastAsia="zh-CN"/>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performed a meta-analysis of all articles on Morgagni hernias published from 1997 to 2017, with a total of 296 cases. Most of the Morgagni hernias were found accidentally by X-ray or CT examination (240/298 cases), and only seven cases were detected accidentally by US examination</w:t>
      </w:r>
      <w:r>
        <w:rPr>
          <w:rFonts w:ascii="Book Antiqua" w:hAnsi="Book Antiqua" w:eastAsia="Book Antiqua" w:cs="Book Antiqua"/>
          <w:color w:val="000000"/>
          <w:vertAlign w:val="superscript"/>
        </w:rPr>
        <w:t>[</w:t>
      </w:r>
      <w:r>
        <w:rPr>
          <w:rFonts w:ascii="Book Antiqua" w:hAnsi="Book Antiqua" w:eastAsia="宋体" w:cs="Book Antiqua"/>
          <w:color w:val="000000"/>
          <w:vertAlign w:val="superscript"/>
          <w:lang w:eastAsia="zh-CN"/>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 A few studies have summarized the characteristic US images of Morgagni hernias. In the current study, five children presented with repeated cough, and three children presented with vomiting and constipation. All hernia cases were found unintentionally by abdominal US. Therefore, in actual work on children with repeated cough, the prehepatic space must be scanned to rule out the existence of Morgagni hernias. Increasing the awareness of this disease or undergoing timely abdominal US examination is the key to diagnosing this disease. Compared with US examination of other thoracic and abdominal diseases, US examination of Morgagni hernias is simple, and the US sensitivity and specificity are high. It is important to understand this disease and its US characteristics.</w:t>
      </w:r>
    </w:p>
    <w:p>
      <w:pPr>
        <w:spacing w:line="360" w:lineRule="auto"/>
        <w:ind w:firstLine="240"/>
        <w:jc w:val="both"/>
        <w:rPr>
          <w:rFonts w:ascii="Book Antiqua" w:hAnsi="Book Antiqua"/>
        </w:rPr>
      </w:pPr>
      <w:r>
        <w:rPr>
          <w:rFonts w:ascii="Book Antiqua" w:hAnsi="Book Antiqua" w:eastAsia="Book Antiqua" w:cs="Book Antiqua"/>
          <w:color w:val="000000"/>
        </w:rPr>
        <w:t>The present study showed the US manifestations of nine children with Morgagni hernias. First, US examination could detect the position of the hernias (on the left or right). Among the nine patients, seven and two patients had hernias on the right and left sides, respectively, indicating that the incidence on the right side was higher than that on the left side. Similarly, a previous report showed that 90% of chest hernias are located on the right side, and 10% are on the left side</w:t>
      </w:r>
      <w:r>
        <w:rPr>
          <w:rFonts w:ascii="Book Antiqua" w:hAnsi="Book Antiqua" w:eastAsia="Book Antiqua" w:cs="Book Antiqua"/>
          <w:color w:val="000000"/>
          <w:vertAlign w:val="superscript"/>
        </w:rPr>
        <w:t>[</w:t>
      </w:r>
      <w:r>
        <w:rPr>
          <w:rFonts w:ascii="Book Antiqua" w:hAnsi="Book Antiqua" w:eastAsia="宋体" w:cs="Book Antiqua"/>
          <w:color w:val="000000"/>
          <w:vertAlign w:val="superscript"/>
          <w:lang w:eastAsia="zh-CN"/>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 xml:space="preserve">Second, US examination could reveal the contents of the hernias. The surgical results showed herniation of the transverse colon in </w:t>
      </w:r>
      <w:r>
        <w:rPr>
          <w:rFonts w:hint="eastAsia" w:ascii="Book Antiqua" w:hAnsi="Book Antiqua" w:eastAsia="宋体" w:cs="Book Antiqua"/>
          <w:color w:val="000000"/>
          <w:lang w:val="en-US" w:eastAsia="zh-CN"/>
        </w:rPr>
        <w:t>six</w:t>
      </w:r>
      <w:r>
        <w:rPr>
          <w:rFonts w:ascii="Book Antiqua" w:hAnsi="Book Antiqua" w:eastAsia="Book Antiqua" w:cs="Book Antiqua"/>
          <w:color w:val="000000"/>
        </w:rPr>
        <w:t xml:space="preserve"> patients, one patient with herniation of the colon and stomach and two patients with herniation of the small intestine and transverse colon. Hence, the herniated contents were all intestinal tubes without substantial organs. US examination could be employed to identify the herniated contents by using the intestinal canal through peristalsis and movement of the intestinal contents. In this case analysis, compared with GI and CT examination, US diagnosis of Morgagni hernias had the advantage of being able to slide the contents of the hernia (intestine) behind the sternum. GI requires contrast enhancement to capture a static image. In a few cases, a false-negative result can be obtained if the bowel slides back into the abdominal cavity during radiography. In the present work, two children with false-negative GI results were found to have Morgagni hernias by CT.</w:t>
      </w:r>
    </w:p>
    <w:p>
      <w:pPr>
        <w:spacing w:line="360" w:lineRule="auto"/>
        <w:ind w:firstLine="240"/>
        <w:jc w:val="both"/>
        <w:rPr>
          <w:rFonts w:ascii="Book Antiqua" w:hAnsi="Book Antiqua"/>
        </w:rPr>
      </w:pPr>
      <w:r>
        <w:rPr>
          <w:rFonts w:ascii="Book Antiqua" w:hAnsi="Book Antiqua" w:eastAsia="Book Antiqua" w:cs="Book Antiqua"/>
          <w:color w:val="000000"/>
        </w:rPr>
        <w:t>Third, US examination could measure the width of the hernia sac orifice, estimate the position of the hernia contents in the anterior thoracic cavity, determine its relationship with the surrounding anatomy, and provide a basis for further clinical treatment. In the present group, all nine patients had hernia sacs, with an average size of approximately 21-25 cm</w:t>
      </w:r>
      <w:r>
        <w:rPr>
          <w:rFonts w:ascii="Book Antiqua" w:hAnsi="Book Antiqua" w:eastAsia="Book Antiqua" w:cs="Book Antiqua"/>
          <w:color w:val="000000"/>
          <w:vertAlign w:val="superscript"/>
        </w:rPr>
        <w:t>2</w:t>
      </w:r>
      <w:r>
        <w:rPr>
          <w:rFonts w:ascii="Book Antiqua" w:hAnsi="Book Antiqua" w:eastAsia="Book Antiqua" w:cs="Book Antiqua"/>
          <w:color w:val="000000"/>
        </w:rPr>
        <w:t>. These Morgagni hernias were small and had limited extension, a result that is consistent with those of previous reports</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Therefore, this type of hernia does not easily compress the lungs or other organs and has mild clinical symptoms or lacks typical manifestations (respiratory distress, vomiting, </w:t>
      </w:r>
      <w:r>
        <w:rPr>
          <w:rFonts w:ascii="Book Antiqua" w:hAnsi="Book Antiqua" w:eastAsia="Book Antiqua" w:cs="Book Antiqua"/>
          <w:i/>
          <w:iCs/>
          <w:color w:val="000000"/>
        </w:rPr>
        <w:t>etc.</w:t>
      </w:r>
      <w:r>
        <w:rPr>
          <w:rFonts w:ascii="Book Antiqua" w:hAnsi="Book Antiqua" w:eastAsia="Book Antiqua" w:cs="Book Antiqua"/>
          <w:color w:val="000000"/>
        </w:rPr>
        <w:t>). In this study, five children presented with repeated cough, and three children presented with vomiting and constipation. All nine children were incidentally diagnosed through US and subjected to GI and CT scanning. Therefore, US examination is an important method for diagnosing Morgagni hernias.</w:t>
      </w:r>
    </w:p>
    <w:p>
      <w:pPr>
        <w:spacing w:line="360" w:lineRule="auto"/>
        <w:ind w:firstLine="240"/>
        <w:jc w:val="both"/>
        <w:rPr>
          <w:rFonts w:ascii="Book Antiqua" w:hAnsi="Book Antiqua"/>
        </w:rPr>
      </w:pPr>
      <w:r>
        <w:rPr>
          <w:rFonts w:ascii="Book Antiqua" w:hAnsi="Book Antiqua" w:eastAsia="Book Antiqua" w:cs="Book Antiqua"/>
          <w:color w:val="000000"/>
        </w:rPr>
        <w:t>US examination has limitations. Although US can roughly locate the height of the hernia sac, it cannot accurately evaluate the range of the whole hernia sac and has poor spatial resolution. In addition, US depends on the experience of the scanner, who should always keep in mind the US characteristics of Morgagni hernias. Direct signs, such as abnormal channels between the sternum and liver and intestinal tubes and gas entering the chest cavity through these channels, are key. Peristalsis occurs in the anterior chest cavity, and widening of the anterior hepatic space is suggestive of a Morgagni hernia.</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Morgagni hernias in children are diagnosed by US detection of the peristalsis of the prehepatic area and intrathoracic intestine and the movement of intestinal contents. This study provides a new, reliable basis for the clinical diagnosis of this type of malformation.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A Morgagni hernia is an unusual congenital herniation. It is easily misdiagnosed or missed because their symptoms are mild and atypical. In the present report, retrosternal hernias accidentally discovered by ultrasound (US) are described, and their ultrasonic manifestations are analyzed. The US and clinical characteristics are summarized to provide a simple and effective basis for early diagnosis.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Through this report, we can understand more about the clinical and ultrasonic characteristics of rare retrosternal hernia diseases. To add much new insightful information to the field.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To summarize the US imaging characteristics of Morgagni hernias through a comparison of imaging and surgical results.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records of nine patients with Morgagni hernias diagnosed by US imaging and confirmed by surgery at two children’s hospitals between 2013 and 2023 were collected. The clinical symptoms of the case were summarized. The location, contents and size of the hernia sac were recorded by ultrasound</w:t>
      </w:r>
      <w:r>
        <w:rPr>
          <w:rFonts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ascii="Book Antiqua" w:hAnsi="Book Antiqua" w:eastAsia="宋体" w:cs="Book Antiqua"/>
          <w:color w:val="000000"/>
          <w:lang w:eastAsia="zh-CN"/>
        </w:rPr>
        <w:t>T</w:t>
      </w:r>
      <w:r>
        <w:rPr>
          <w:rFonts w:ascii="Book Antiqua" w:hAnsi="Book Antiqua" w:eastAsia="Book Antiqua" w:cs="Book Antiqua"/>
          <w:color w:val="000000"/>
        </w:rPr>
        <w:t>he clinical and ultrasonic characteristics of the hernia were summarized by comparing with gastrointestinal imaging/computed tomography</w:t>
      </w:r>
      <w:r>
        <w:rPr>
          <w:rFonts w:ascii="Book Antiqua" w:hAnsi="Book Antiqua" w:eastAsia="宋体" w:cs="Book Antiqua"/>
          <w:color w:val="000000"/>
          <w:lang w:eastAsia="zh-CN"/>
        </w:rPr>
        <w:t xml:space="preserve"> and surgery</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Between 2013 and 2023, we observed nine (five male and four female) children with Morgagni hernias. All nine Morgagni hernias were first identified by US: (1) Upper abdominal scanning revealed a widening of the prehepatic space, with an abnormal channel extending from under the xiphoid process to the right or left side of the thoracic cavity. </w:t>
      </w:r>
      <w:r>
        <w:rPr>
          <w:rFonts w:hint="eastAsia" w:ascii="Book Antiqua" w:hAnsi="Book Antiqua" w:eastAsia="宋体" w:cs="Book Antiqua"/>
          <w:color w:val="000000"/>
          <w:lang w:val="en-US" w:eastAsia="zh-CN"/>
        </w:rPr>
        <w:t>Two</w:t>
      </w:r>
      <w:r>
        <w:rPr>
          <w:rFonts w:ascii="Book Antiqua" w:hAnsi="Book Antiqua" w:eastAsia="Book Antiqua" w:cs="Book Antiqua"/>
          <w:color w:val="000000"/>
        </w:rPr>
        <w:t xml:space="preserve"> hernias were on the left side, and </w:t>
      </w:r>
      <w:r>
        <w:rPr>
          <w:rFonts w:hint="eastAsia" w:ascii="Book Antiqua" w:hAnsi="Book Antiqua" w:eastAsia="宋体" w:cs="Book Antiqua"/>
          <w:color w:val="000000"/>
          <w:lang w:val="en-US" w:eastAsia="zh-CN"/>
        </w:rPr>
        <w:t>seven</w:t>
      </w:r>
      <w:r>
        <w:rPr>
          <w:rFonts w:ascii="Book Antiqua" w:hAnsi="Book Antiqua" w:eastAsia="Book Antiqua" w:cs="Book Antiqua"/>
          <w:color w:val="000000"/>
        </w:rPr>
        <w:t xml:space="preserve"> were on the right side. The abdominal intestinal tube and intestinal air echo crossed this area to the chest in all nine cases; and (2) Chest scanning showed echoes of the bowel and stomach. Intestinal peristalsis and intestinal content movement were observed during the scans.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US imaging can accurately determine the location, extent, and content of Morgagni hernias. Direct signs, such as abnormal channels between the sternum and liver and intestinal tubes and gas entering the chest cavity through these channels, are key. Peristalsis occurs in the anterior chest cavity, and widening of the anterior hepatic space is suggestive of a Morgagni hernia.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The research perspective of this study is to analysed the clinical findings, US features, and operative details of children with Morgagni hernias. In the future studies, we will continue to increase the sample size for more in-depth research, and will analyze the postoperative recurrence rate of retrosternal hernia.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First, I would like to give my heartfelt thanks to my academic supervisor Prof. Xue-Hua Zhang for his invaluable instruction and inspiration. Without his previous advice and guidance, this study could not have been completed. Additionally, I must express my sincere thanks to all the authors in this research.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宋体" w:cs="Book Antiqua"/>
          <w:lang w:eastAsia="zh-CN"/>
        </w:rPr>
        <w:t>1</w:t>
      </w:r>
      <w:r>
        <w:rPr>
          <w:rFonts w:ascii="Book Antiqua" w:hAnsi="Book Antiqua" w:eastAsia="Book Antiqua" w:cs="Book Antiqua"/>
        </w:rPr>
        <w:t xml:space="preserve"> </w:t>
      </w:r>
      <w:r>
        <w:rPr>
          <w:rFonts w:ascii="Book Antiqua" w:hAnsi="Book Antiqua" w:eastAsia="Book Antiqua" w:cs="Book Antiqua"/>
          <w:b/>
          <w:bCs/>
        </w:rPr>
        <w:t>Leshen M</w:t>
      </w:r>
      <w:r>
        <w:rPr>
          <w:rFonts w:ascii="Book Antiqua" w:hAnsi="Book Antiqua" w:eastAsia="Book Antiqua" w:cs="Book Antiqua"/>
        </w:rPr>
        <w:t xml:space="preserve">, Richardson R. Bilateral Morgagni Hernia: A Unique Presentation of a Rare Pathology. </w:t>
      </w:r>
      <w:r>
        <w:rPr>
          <w:rFonts w:ascii="Book Antiqua" w:hAnsi="Book Antiqua" w:eastAsia="Book Antiqua" w:cs="Book Antiqua"/>
          <w:i/>
          <w:iCs/>
        </w:rPr>
        <w:t>Case Rep Radiol</w:t>
      </w:r>
      <w:r>
        <w:rPr>
          <w:rFonts w:ascii="Book Antiqua" w:hAnsi="Book Antiqua" w:eastAsia="Book Antiqua" w:cs="Book Antiqua"/>
        </w:rPr>
        <w:t xml:space="preserve"> 2016; </w:t>
      </w:r>
      <w:r>
        <w:rPr>
          <w:rFonts w:ascii="Book Antiqua" w:hAnsi="Book Antiqua" w:eastAsia="Book Antiqua" w:cs="Book Antiqua"/>
          <w:b/>
          <w:bCs/>
        </w:rPr>
        <w:t>2016</w:t>
      </w:r>
      <w:r>
        <w:rPr>
          <w:rFonts w:ascii="Book Antiqua" w:hAnsi="Book Antiqua" w:eastAsia="Book Antiqua" w:cs="Book Antiqua"/>
        </w:rPr>
        <w:t>: 7505329 [PMID: 27403367 DOI: 10.1155/2016/7505329]</w:t>
      </w:r>
    </w:p>
    <w:p>
      <w:pPr>
        <w:spacing w:line="360" w:lineRule="auto"/>
        <w:jc w:val="both"/>
        <w:rPr>
          <w:rFonts w:ascii="Book Antiqua" w:hAnsi="Book Antiqua"/>
        </w:rPr>
      </w:pPr>
      <w:r>
        <w:rPr>
          <w:rFonts w:ascii="Book Antiqua" w:hAnsi="Book Antiqua" w:eastAsia="宋体" w:cs="Book Antiqua"/>
          <w:lang w:eastAsia="zh-CN"/>
        </w:rPr>
        <w:t>2</w:t>
      </w:r>
      <w:r>
        <w:rPr>
          <w:rFonts w:ascii="Book Antiqua" w:hAnsi="Book Antiqua" w:eastAsia="Book Antiqua" w:cs="Book Antiqua"/>
        </w:rPr>
        <w:t xml:space="preserve"> </w:t>
      </w:r>
      <w:bookmarkStart w:id="257" w:name="_Hlk155040162"/>
      <w:r>
        <w:rPr>
          <w:rFonts w:ascii="Book Antiqua" w:hAnsi="Book Antiqua" w:eastAsia="Book Antiqua" w:cs="Book Antiqua"/>
          <w:b/>
          <w:bCs/>
        </w:rPr>
        <w:t>Hosokawa</w:t>
      </w:r>
      <w:bookmarkEnd w:id="257"/>
      <w:r>
        <w:rPr>
          <w:rFonts w:ascii="Book Antiqua" w:hAnsi="Book Antiqua" w:eastAsia="Book Antiqua" w:cs="Book Antiqua"/>
          <w:b/>
          <w:bCs/>
        </w:rPr>
        <w:t xml:space="preserve"> T</w:t>
      </w:r>
      <w:r>
        <w:rPr>
          <w:rFonts w:ascii="Book Antiqua" w:hAnsi="Book Antiqua" w:eastAsia="Book Antiqua" w:cs="Book Antiqua"/>
        </w:rPr>
        <w:t xml:space="preserve">, Takahashi H, Tanami Y, Sato Y, Hosokawa M, Kato R, Kawashima H, Oguma E. Usefulness of Ultrasound in Evaluating the Diaphragm in Neonates and Infants With Congenital Diaphragmatic Hernias. </w:t>
      </w:r>
      <w:r>
        <w:rPr>
          <w:rFonts w:ascii="Book Antiqua" w:hAnsi="Book Antiqua" w:eastAsia="Book Antiqua" w:cs="Book Antiqua"/>
          <w:i/>
          <w:iCs/>
        </w:rPr>
        <w:t>J Ultrasound Med</w:t>
      </w:r>
      <w:r>
        <w:rPr>
          <w:rFonts w:ascii="Book Antiqua" w:hAnsi="Book Antiqua" w:eastAsia="Book Antiqua" w:cs="Book Antiqua"/>
        </w:rPr>
        <w:t xml:space="preserve"> 2019; </w:t>
      </w:r>
      <w:r>
        <w:rPr>
          <w:rFonts w:ascii="Book Antiqua" w:hAnsi="Book Antiqua" w:eastAsia="Book Antiqua" w:cs="Book Antiqua"/>
          <w:b/>
          <w:bCs/>
        </w:rPr>
        <w:t>38</w:t>
      </w:r>
      <w:r>
        <w:rPr>
          <w:rFonts w:ascii="Book Antiqua" w:hAnsi="Book Antiqua" w:eastAsia="Book Antiqua" w:cs="Book Antiqua"/>
        </w:rPr>
        <w:t>: 1109-1113 [PMID: 30346045 DOI: 10.1002/jum.14777]</w:t>
      </w:r>
    </w:p>
    <w:p>
      <w:pPr>
        <w:spacing w:line="360" w:lineRule="auto"/>
        <w:jc w:val="both"/>
        <w:rPr>
          <w:rFonts w:ascii="Book Antiqua" w:hAnsi="Book Antiqua"/>
        </w:rPr>
      </w:pPr>
      <w:r>
        <w:rPr>
          <w:rFonts w:ascii="Book Antiqua" w:hAnsi="Book Antiqua" w:eastAsia="宋体" w:cs="Book Antiqua"/>
          <w:lang w:eastAsia="zh-CN"/>
        </w:rPr>
        <w:t>3</w:t>
      </w:r>
      <w:r>
        <w:rPr>
          <w:rFonts w:ascii="Book Antiqua" w:hAnsi="Book Antiqua" w:eastAsia="Book Antiqua" w:cs="Book Antiqua"/>
        </w:rPr>
        <w:t xml:space="preserve"> </w:t>
      </w:r>
      <w:r>
        <w:rPr>
          <w:rFonts w:ascii="Book Antiqua" w:hAnsi="Book Antiqua" w:eastAsia="Book Antiqua" w:cs="Book Antiqua"/>
          <w:b/>
          <w:bCs/>
        </w:rPr>
        <w:t>Chandrasekharan PK</w:t>
      </w:r>
      <w:r>
        <w:rPr>
          <w:rFonts w:ascii="Book Antiqua" w:hAnsi="Book Antiqua" w:eastAsia="Book Antiqua" w:cs="Book Antiqua"/>
        </w:rPr>
        <w:t xml:space="preserve">, Rawat M, Madappa R, Rothstein DH, Lakshminrusimha S. Congenital Diaphragmatic hernia - a review. </w:t>
      </w:r>
      <w:r>
        <w:rPr>
          <w:rFonts w:ascii="Book Antiqua" w:hAnsi="Book Antiqua" w:eastAsia="Book Antiqua" w:cs="Book Antiqua"/>
          <w:i/>
          <w:iCs/>
        </w:rPr>
        <w:t>Matern Health Neonatol Perinatol</w:t>
      </w:r>
      <w:r>
        <w:rPr>
          <w:rFonts w:ascii="Book Antiqua" w:hAnsi="Book Antiqua" w:eastAsia="Book Antiqua" w:cs="Book Antiqua"/>
        </w:rPr>
        <w:t xml:space="preserve"> 2017; </w:t>
      </w:r>
      <w:r>
        <w:rPr>
          <w:rFonts w:ascii="Book Antiqua" w:hAnsi="Book Antiqua" w:eastAsia="Book Antiqua" w:cs="Book Antiqua"/>
          <w:b/>
          <w:bCs/>
        </w:rPr>
        <w:t>3</w:t>
      </w:r>
      <w:r>
        <w:rPr>
          <w:rFonts w:ascii="Book Antiqua" w:hAnsi="Book Antiqua" w:eastAsia="Book Antiqua" w:cs="Book Antiqua"/>
        </w:rPr>
        <w:t>: 6 [PMID: 28331629 DOI: 10.1186/s40748-017-0045-1]</w:t>
      </w:r>
    </w:p>
    <w:p>
      <w:pPr>
        <w:spacing w:line="360" w:lineRule="auto"/>
        <w:jc w:val="both"/>
        <w:rPr>
          <w:rFonts w:ascii="Book Antiqua" w:hAnsi="Book Antiqua"/>
        </w:rPr>
      </w:pPr>
      <w:r>
        <w:rPr>
          <w:rFonts w:ascii="Book Antiqua" w:hAnsi="Book Antiqua" w:eastAsia="宋体" w:cs="Book Antiqua"/>
          <w:lang w:eastAsia="zh-CN"/>
        </w:rPr>
        <w:t>4</w:t>
      </w:r>
      <w:r>
        <w:rPr>
          <w:rFonts w:ascii="Book Antiqua" w:hAnsi="Book Antiqua" w:eastAsia="Book Antiqua" w:cs="Book Antiqua"/>
        </w:rPr>
        <w:t xml:space="preserve"> </w:t>
      </w:r>
      <w:r>
        <w:rPr>
          <w:rFonts w:ascii="Book Antiqua" w:hAnsi="Book Antiqua" w:eastAsia="Book Antiqua" w:cs="Book Antiqua"/>
          <w:b/>
          <w:bCs/>
        </w:rPr>
        <w:t>Zhang XH</w:t>
      </w:r>
      <w:r>
        <w:rPr>
          <w:rFonts w:ascii="Book Antiqua" w:hAnsi="Book Antiqua" w:eastAsia="Book Antiqua" w:cs="Book Antiqua"/>
        </w:rPr>
        <w:t xml:space="preserve">, Chen WJ, Zhou CG, Lei R, Wang J. [Ultrasound and clinical features of congenital diaphragmatic hernia in 31 children]. </w:t>
      </w:r>
      <w:r>
        <w:rPr>
          <w:rFonts w:ascii="Book Antiqua" w:hAnsi="Book Antiqua" w:eastAsia="Book Antiqua" w:cs="Book Antiqua"/>
          <w:i/>
          <w:iCs/>
        </w:rPr>
        <w:t>Chin J Ultrasound Med</w:t>
      </w:r>
      <w:r>
        <w:rPr>
          <w:rFonts w:ascii="Book Antiqua" w:hAnsi="Book Antiqua" w:eastAsia="Book Antiqua" w:cs="Book Antiqua"/>
        </w:rPr>
        <w:t xml:space="preserve"> 2019; </w:t>
      </w:r>
      <w:r>
        <w:rPr>
          <w:rFonts w:ascii="Book Antiqua" w:hAnsi="Book Antiqua" w:eastAsia="Book Antiqua" w:cs="Book Antiqua"/>
          <w:b/>
          <w:bCs/>
        </w:rPr>
        <w:t>35</w:t>
      </w:r>
      <w:r>
        <w:rPr>
          <w:rFonts w:ascii="Book Antiqua" w:hAnsi="Book Antiqua" w:eastAsia="Book Antiqua" w:cs="Book Antiqua"/>
        </w:rPr>
        <w:t>: 236-238</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Slepov O</w:t>
      </w:r>
      <w:r>
        <w:rPr>
          <w:rFonts w:ascii="Book Antiqua" w:hAnsi="Book Antiqua" w:eastAsia="Book Antiqua" w:cs="Book Antiqua"/>
        </w:rPr>
        <w:t xml:space="preserve">, Kurinnyi S, Ponomarenko O, Migur M. Congenital retrosternal hernias of Morgagni: Manifestation and treatment in children. </w:t>
      </w:r>
      <w:r>
        <w:rPr>
          <w:rFonts w:ascii="Book Antiqua" w:hAnsi="Book Antiqua" w:eastAsia="Book Antiqua" w:cs="Book Antiqua"/>
          <w:i/>
          <w:iCs/>
        </w:rPr>
        <w:t>Afr J Paediatr Surg</w:t>
      </w:r>
      <w:r>
        <w:rPr>
          <w:rFonts w:ascii="Book Antiqua" w:hAnsi="Book Antiqua" w:eastAsia="Book Antiqua" w:cs="Book Antiqua"/>
        </w:rPr>
        <w:t xml:space="preserve"> 2016; </w:t>
      </w:r>
      <w:r>
        <w:rPr>
          <w:rFonts w:ascii="Book Antiqua" w:hAnsi="Book Antiqua" w:eastAsia="Book Antiqua" w:cs="Book Antiqua"/>
          <w:b/>
          <w:bCs/>
        </w:rPr>
        <w:t>13</w:t>
      </w:r>
      <w:r>
        <w:rPr>
          <w:rFonts w:ascii="Book Antiqua" w:hAnsi="Book Antiqua" w:eastAsia="Book Antiqua" w:cs="Book Antiqua"/>
        </w:rPr>
        <w:t>: 57-62 [PMID: 27251653 DOI: 10.4103/0189-6725.182557]</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Golden J</w:t>
      </w:r>
      <w:r>
        <w:rPr>
          <w:rFonts w:ascii="Book Antiqua" w:hAnsi="Book Antiqua" w:eastAsia="Book Antiqua" w:cs="Book Antiqua"/>
        </w:rPr>
        <w:t xml:space="preserve">, Barry WE, Jang G, Nguyen N, Bliss D. Pediatric Morgagni diaphragmatic hernia: a descriptive study. </w:t>
      </w:r>
      <w:r>
        <w:rPr>
          <w:rFonts w:ascii="Book Antiqua" w:hAnsi="Book Antiqua" w:eastAsia="Book Antiqua" w:cs="Book Antiqua"/>
          <w:i/>
          <w:iCs/>
        </w:rPr>
        <w:t>Pediatr Surg Int</w:t>
      </w:r>
      <w:r>
        <w:rPr>
          <w:rFonts w:ascii="Book Antiqua" w:hAnsi="Book Antiqua" w:eastAsia="Book Antiqua" w:cs="Book Antiqua"/>
        </w:rPr>
        <w:t xml:space="preserve"> 2017; </w:t>
      </w:r>
      <w:r>
        <w:rPr>
          <w:rFonts w:ascii="Book Antiqua" w:hAnsi="Book Antiqua" w:eastAsia="Book Antiqua" w:cs="Book Antiqua"/>
          <w:b/>
          <w:bCs/>
        </w:rPr>
        <w:t>33</w:t>
      </w:r>
      <w:r>
        <w:rPr>
          <w:rFonts w:ascii="Book Antiqua" w:hAnsi="Book Antiqua" w:eastAsia="Book Antiqua" w:cs="Book Antiqua"/>
        </w:rPr>
        <w:t>: 771-775 [PMID: 28289880 DOI: 10.1007/s00383-017-4078-3]</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color w:val="000000"/>
        </w:rPr>
        <w:t>The study was approved by the Medical Ethics Committee of Fujian Children’s Hospital and Hunan Children’s Hospital.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color w:val="000000"/>
        </w:rPr>
        <w:t>Informed consent was waived from the parents.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color w:val="000000"/>
        </w:rPr>
        <w:t>The data used for analysis in our study are available from the corresponding author on reasonable request.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November 13,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November 22,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rPr>
        <w:t>January 2,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Medicine, research and experimental</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Shalaby MN, Egypt</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Xu ZH</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1060" cy="7902575"/>
            <wp:effectExtent l="0" t="0" r="2540" b="3175"/>
            <wp:docPr id="1" name="图片 1" descr="WJCC-12-49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2-495-g001"/>
                    <pic:cNvPicPr>
                      <a:picLocks noChangeAspect="1"/>
                    </pic:cNvPicPr>
                  </pic:nvPicPr>
                  <pic:blipFill>
                    <a:blip r:embed="rId5"/>
                    <a:stretch>
                      <a:fillRect/>
                    </a:stretch>
                  </pic:blipFill>
                  <pic:spPr>
                    <a:xfrm>
                      <a:off x="0" y="0"/>
                      <a:ext cx="5941060" cy="7902575"/>
                    </a:xfrm>
                    <a:prstGeom prst="rect">
                      <a:avLst/>
                    </a:prstGeom>
                  </pic:spPr>
                </pic:pic>
              </a:graphicData>
            </a:graphic>
          </wp:inline>
        </w:drawing>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bCs/>
          <w:color w:val="000000"/>
        </w:rPr>
        <w:t xml:space="preserve">Figure 1 A ultrasound of Morgagni hernia. </w:t>
      </w:r>
      <w:r>
        <w:rPr>
          <w:rFonts w:ascii="Book Antiqua" w:hAnsi="Book Antiqua" w:eastAsia="Book Antiqua" w:cs="Book Antiqua"/>
        </w:rPr>
        <w:t>A: Case 1: Longitudinal ultrasound (US) scan beside the xiphoid: The intestinal tube and gas echo (arrows) can be seen in left Morgagnian foramina;</w:t>
      </w:r>
      <w:r>
        <w:rPr>
          <w:rFonts w:ascii="Book Antiqua" w:hAnsi="Book Antiqua" w:eastAsia="Book Antiqua" w:cs="Book Antiqua"/>
          <w:b/>
          <w:bCs/>
          <w:color w:val="000000"/>
        </w:rPr>
        <w:t xml:space="preserve"> </w:t>
      </w:r>
      <w:r>
        <w:rPr>
          <w:rFonts w:ascii="Book Antiqua" w:hAnsi="Book Antiqua" w:eastAsia="Book Antiqua" w:cs="Book Antiqua"/>
        </w:rPr>
        <w:t>B: Gastrointestinal imaging (GI) of Morgagni hernia (case 1).</w:t>
      </w:r>
      <w:r>
        <w:rPr>
          <w:rFonts w:ascii="Book Antiqua" w:hAnsi="Book Antiqua" w:eastAsia="Book Antiqua" w:cs="Book Antiqua"/>
          <w:b/>
          <w:bCs/>
          <w:color w:val="000000"/>
        </w:rPr>
        <w:t xml:space="preserve"> </w:t>
      </w:r>
      <w:r>
        <w:rPr>
          <w:rFonts w:ascii="Book Antiqua" w:hAnsi="Book Antiqua" w:eastAsia="Book Antiqua" w:cs="Book Antiqua"/>
        </w:rPr>
        <w:t xml:space="preserve">Contrast GI showing the herniation of the transverse colon into the left thoracic cavity; </w:t>
      </w:r>
      <w:r>
        <w:rPr>
          <w:rFonts w:ascii="Book Antiqua" w:hAnsi="Book Antiqua" w:eastAsia="Book Antiqua" w:cs="Book Antiqua"/>
          <w:color w:val="000000"/>
        </w:rPr>
        <w:t>C:</w:t>
      </w:r>
      <w:r>
        <w:rPr>
          <w:rFonts w:ascii="Book Antiqua" w:hAnsi="Book Antiqua" w:eastAsia="Book Antiqua" w:cs="Book Antiqua"/>
        </w:rPr>
        <w:t xml:space="preserve"> Case 2: Longitudinal US scan beside the iphoid: Intestinal tube and intestinal gas echo </w:t>
      </w:r>
      <w:r>
        <w:rPr>
          <w:rFonts w:hint="eastAsia" w:ascii="Book Antiqua" w:hAnsi="Book Antiqua" w:eastAsia="宋体" w:cs="Book Antiqua"/>
          <w:lang w:val="en-US" w:eastAsia="zh-CN"/>
        </w:rPr>
        <w:t>(</w:t>
      </w:r>
      <w:r>
        <w:rPr>
          <w:rFonts w:ascii="Book Antiqua" w:hAnsi="Book Antiqua" w:eastAsia="Book Antiqua" w:cs="Book Antiqua"/>
        </w:rPr>
        <w:t xml:space="preserve">arrows) between the sternum and the heart; D: GI of Morgagni hernia (case 2). GI suggesting the herniation of the bowel into the right side of the thorax; </w:t>
      </w:r>
      <w:r>
        <w:rPr>
          <w:rFonts w:ascii="Book Antiqua" w:hAnsi="Book Antiqua" w:eastAsia="Book Antiqua" w:cs="Book Antiqua"/>
          <w:color w:val="000000"/>
        </w:rPr>
        <w:t>E</w:t>
      </w:r>
      <w:r>
        <w:rPr>
          <w:rFonts w:ascii="Book Antiqua" w:hAnsi="Book Antiqua" w:eastAsia="Book Antiqua" w:cs="Book Antiqua"/>
        </w:rPr>
        <w:t>: Case 3: Longitudinal US scan beside the xiphoid: Intestine and intestinal gas echoes (arrows) between the sternum and the liver; F: GI of Morgagni hernia (case 3). GI suggesting the herniation of the bowel into the right side of the thorax; G: Case 4:</w:t>
      </w:r>
      <w:r>
        <w:rPr>
          <w:rFonts w:ascii="Book Antiqua" w:hAnsi="Book Antiqua"/>
          <w:lang w:eastAsia="zh-CN"/>
        </w:rPr>
        <w:t xml:space="preserve"> </w:t>
      </w:r>
      <w:r>
        <w:rPr>
          <w:rFonts w:ascii="Book Antiqua" w:hAnsi="Book Antiqua" w:eastAsia="Book Antiqua" w:cs="Book Antiqua"/>
        </w:rPr>
        <w:t xml:space="preserve">A: Longitudinal US scan of the anterior chest. The echo of intestinal tube and intestinal gas (arrows) can be seen in the right Morgagnian foramina; H: Ultrasound of Morgagni hernia (case 4). US of same patient as in Figure </w:t>
      </w:r>
      <w:r>
        <w:rPr>
          <w:rFonts w:hint="eastAsia" w:ascii="Book Antiqua" w:hAnsi="Book Antiqua" w:eastAsia="宋体" w:cs="Book Antiqua"/>
          <w:lang w:val="en-US" w:eastAsia="zh-CN"/>
        </w:rPr>
        <w:t>1G</w:t>
      </w:r>
      <w:r>
        <w:rPr>
          <w:rFonts w:ascii="Book Antiqua" w:hAnsi="Book Antiqua" w:eastAsia="Book Antiqua" w:cs="Book Antiqua"/>
        </w:rPr>
        <w:t xml:space="preserve"> Herniation of the bowel (arrows) into the right side of the thorax; I: GI of Morgagni hernia (case 4). GI showing no obvious abnormality; J: Computed tomography (CT) Morgagni hernia (case 4). Cross-sectional chest CT scan showing the herniation of the intestine into the right thoracic cavity.</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2703195" cy="1955165"/>
            <wp:effectExtent l="0" t="0" r="1905" b="6985"/>
            <wp:docPr id="2" name="图片 2" descr="WJCC-12-49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2-495-g002"/>
                    <pic:cNvPicPr>
                      <a:picLocks noChangeAspect="1"/>
                    </pic:cNvPicPr>
                  </pic:nvPicPr>
                  <pic:blipFill>
                    <a:blip r:embed="rId6"/>
                    <a:stretch>
                      <a:fillRect/>
                    </a:stretch>
                  </pic:blipFill>
                  <pic:spPr>
                    <a:xfrm>
                      <a:off x="0" y="0"/>
                      <a:ext cx="2703195" cy="1955165"/>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2 Depiction of laparoscopy surgery a Morgagni hernia and herniated bowel (arrow).</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2703195" cy="1903730"/>
            <wp:effectExtent l="0" t="0" r="1905" b="1270"/>
            <wp:docPr id="3" name="图片 3" descr="WJCC-12-49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2-495-g003"/>
                    <pic:cNvPicPr>
                      <a:picLocks noChangeAspect="1"/>
                    </pic:cNvPicPr>
                  </pic:nvPicPr>
                  <pic:blipFill>
                    <a:blip r:embed="rId7"/>
                    <a:stretch>
                      <a:fillRect/>
                    </a:stretch>
                  </pic:blipFill>
                  <pic:spPr>
                    <a:xfrm>
                      <a:off x="0" y="0"/>
                      <a:ext cx="2703195" cy="1903730"/>
                    </a:xfrm>
                    <a:prstGeom prst="rect">
                      <a:avLst/>
                    </a:prstGeom>
                  </pic:spPr>
                </pic:pic>
              </a:graphicData>
            </a:graphic>
          </wp:inline>
        </w:drawing>
      </w:r>
      <w:bookmarkStart w:id="259" w:name="_GoBack"/>
      <w:bookmarkEnd w:id="259"/>
    </w:p>
    <w:p>
      <w:pPr>
        <w:spacing w:line="360" w:lineRule="auto"/>
        <w:jc w:val="both"/>
        <w:rPr>
          <w:rFonts w:ascii="Book Antiqua" w:hAnsi="Book Antiqua" w:eastAsia="Book Antiqua" w:cs="Book Antiqua"/>
          <w:b/>
          <w:bCs/>
        </w:rPr>
      </w:pPr>
      <w:r>
        <w:rPr>
          <w:rFonts w:ascii="Book Antiqua" w:hAnsi="Book Antiqua" w:eastAsia="Book Antiqua" w:cs="Book Antiqua"/>
          <w:b/>
          <w:bCs/>
        </w:rPr>
        <w:t>Figure 3 Drawing of the location of Morgagni hernia.</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r>
        <w:rPr>
          <w:rFonts w:ascii="Book Antiqua" w:hAnsi="Book Antiqua"/>
          <w:b/>
          <w:bCs/>
        </w:rPr>
        <w:t>Table 1 Clinical characteristics of all the patients with Morgagni hernias</w:t>
      </w:r>
    </w:p>
    <w:tbl>
      <w:tblPr>
        <w:tblStyle w:val="6"/>
        <w:tblW w:w="9923" w:type="dxa"/>
        <w:tblInd w:w="-567" w:type="dxa"/>
        <w:tblLayout w:type="autofit"/>
        <w:tblCellMar>
          <w:top w:w="0" w:type="dxa"/>
          <w:left w:w="108" w:type="dxa"/>
          <w:bottom w:w="0" w:type="dxa"/>
          <w:right w:w="108" w:type="dxa"/>
        </w:tblCellMar>
      </w:tblPr>
      <w:tblGrid>
        <w:gridCol w:w="1104"/>
        <w:gridCol w:w="990"/>
        <w:gridCol w:w="1590"/>
        <w:gridCol w:w="1926"/>
        <w:gridCol w:w="2273"/>
        <w:gridCol w:w="2040"/>
      </w:tblGrid>
      <w:tr>
        <w:tblPrEx>
          <w:tblCellMar>
            <w:top w:w="0" w:type="dxa"/>
            <w:left w:w="108" w:type="dxa"/>
            <w:bottom w:w="0" w:type="dxa"/>
            <w:right w:w="108" w:type="dxa"/>
          </w:tblCellMar>
        </w:tblPrEx>
        <w:trPr>
          <w:trHeight w:val="779" w:hRule="atLeast"/>
        </w:trPr>
        <w:tc>
          <w:tcPr>
            <w:tcW w:w="1134"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rPr>
              <w:t>Sex</w:t>
            </w:r>
          </w:p>
        </w:tc>
        <w:tc>
          <w:tcPr>
            <w:tcW w:w="1072"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rPr>
              <w:t>Age</w:t>
            </w:r>
          </w:p>
        </w:tc>
        <w:tc>
          <w:tcPr>
            <w:tcW w:w="1590"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rPr>
              <w:t>Chief complaint</w:t>
            </w:r>
          </w:p>
        </w:tc>
        <w:tc>
          <w:tcPr>
            <w:tcW w:w="1926"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rPr>
              <w:t>US</w:t>
            </w:r>
          </w:p>
        </w:tc>
        <w:tc>
          <w:tcPr>
            <w:tcW w:w="2358"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rPr>
              <w:t>Contrast GI, contrast CT</w:t>
            </w:r>
          </w:p>
        </w:tc>
        <w:tc>
          <w:tcPr>
            <w:tcW w:w="1843" w:type="dxa"/>
            <w:tcBorders>
              <w:top w:val="single" w:color="auto" w:sz="4" w:space="0"/>
              <w:bottom w:val="single" w:color="auto" w:sz="4" w:space="0"/>
            </w:tcBorders>
          </w:tcPr>
          <w:p>
            <w:pPr>
              <w:spacing w:line="360" w:lineRule="auto"/>
              <w:jc w:val="both"/>
              <w:rPr>
                <w:rFonts w:ascii="Book Antiqua" w:hAnsi="Book Antiqua"/>
                <w:b/>
                <w:bCs/>
              </w:rPr>
            </w:pPr>
            <w:r>
              <w:rPr>
                <w:rFonts w:ascii="Book Antiqua" w:hAnsi="Book Antiqua"/>
                <w:b/>
                <w:bCs/>
              </w:rPr>
              <w:t>Surgery</w:t>
            </w:r>
          </w:p>
        </w:tc>
      </w:tr>
      <w:tr>
        <w:tblPrEx>
          <w:tblCellMar>
            <w:top w:w="0" w:type="dxa"/>
            <w:left w:w="108" w:type="dxa"/>
            <w:bottom w:w="0" w:type="dxa"/>
            <w:right w:w="108" w:type="dxa"/>
          </w:tblCellMar>
        </w:tblPrEx>
        <w:trPr>
          <w:trHeight w:val="90" w:hRule="atLeast"/>
        </w:trPr>
        <w:tc>
          <w:tcPr>
            <w:tcW w:w="1134" w:type="dxa"/>
            <w:tcBorders>
              <w:top w:val="single" w:color="auto" w:sz="4" w:space="0"/>
            </w:tcBorders>
          </w:tcPr>
          <w:p>
            <w:pPr>
              <w:spacing w:line="360" w:lineRule="auto"/>
              <w:jc w:val="both"/>
              <w:rPr>
                <w:rFonts w:ascii="Book Antiqua" w:hAnsi="Book Antiqua"/>
              </w:rPr>
            </w:pPr>
            <w:r>
              <w:rPr>
                <w:rFonts w:ascii="Book Antiqua" w:hAnsi="Book Antiqua"/>
              </w:rPr>
              <w:t>Male</w:t>
            </w:r>
          </w:p>
        </w:tc>
        <w:tc>
          <w:tcPr>
            <w:tcW w:w="1072" w:type="dxa"/>
            <w:tcBorders>
              <w:top w:val="single" w:color="auto" w:sz="4" w:space="0"/>
            </w:tcBorders>
          </w:tcPr>
          <w:p>
            <w:pPr>
              <w:spacing w:line="360" w:lineRule="auto"/>
              <w:jc w:val="both"/>
              <w:rPr>
                <w:rFonts w:ascii="Book Antiqua" w:hAnsi="Book Antiqua"/>
              </w:rPr>
            </w:pPr>
            <w:r>
              <w:rPr>
                <w:rFonts w:ascii="Book Antiqua" w:hAnsi="Book Antiqua"/>
              </w:rPr>
              <w:t>1 yr</w:t>
            </w:r>
          </w:p>
        </w:tc>
        <w:tc>
          <w:tcPr>
            <w:tcW w:w="1590" w:type="dxa"/>
            <w:tcBorders>
              <w:top w:val="single" w:color="auto" w:sz="4" w:space="0"/>
            </w:tcBorders>
          </w:tcPr>
          <w:p>
            <w:pPr>
              <w:spacing w:line="360" w:lineRule="auto"/>
              <w:jc w:val="both"/>
              <w:rPr>
                <w:rFonts w:ascii="Book Antiqua" w:hAnsi="Book Antiqua"/>
              </w:rPr>
            </w:pPr>
            <w:r>
              <w:rPr>
                <w:rFonts w:ascii="Book Antiqua" w:hAnsi="Book Antiqua"/>
              </w:rPr>
              <w:t>Cough</w:t>
            </w:r>
          </w:p>
        </w:tc>
        <w:tc>
          <w:tcPr>
            <w:tcW w:w="1926" w:type="dxa"/>
            <w:tcBorders>
              <w:top w:val="single" w:color="auto" w:sz="4" w:space="0"/>
            </w:tcBorders>
          </w:tcPr>
          <w:p>
            <w:pPr>
              <w:spacing w:line="360" w:lineRule="auto"/>
              <w:jc w:val="both"/>
              <w:rPr>
                <w:rFonts w:ascii="Book Antiqua" w:hAnsi="Book Antiqua"/>
              </w:rPr>
            </w:pPr>
            <w:r>
              <w:rPr>
                <w:rFonts w:ascii="Book Antiqua" w:hAnsi="Book Antiqua"/>
              </w:rPr>
              <w:t>Right/intestinal tract/fourth rib</w:t>
            </w:r>
          </w:p>
        </w:tc>
        <w:tc>
          <w:tcPr>
            <w:tcW w:w="2358" w:type="dxa"/>
            <w:tcBorders>
              <w:top w:val="single" w:color="auto" w:sz="4" w:space="0"/>
            </w:tcBorders>
          </w:tcPr>
          <w:p>
            <w:pPr>
              <w:spacing w:line="360" w:lineRule="auto"/>
              <w:jc w:val="both"/>
              <w:rPr>
                <w:rFonts w:ascii="Book Antiqua" w:hAnsi="Book Antiqua"/>
              </w:rPr>
            </w:pPr>
            <w:r>
              <w:rPr>
                <w:rFonts w:ascii="Book Antiqua" w:hAnsi="Book Antiqua"/>
              </w:rPr>
              <w:t>Right/intestinal tract</w:t>
            </w:r>
          </w:p>
        </w:tc>
        <w:tc>
          <w:tcPr>
            <w:tcW w:w="1843" w:type="dxa"/>
            <w:tcBorders>
              <w:top w:val="single" w:color="auto" w:sz="4" w:space="0"/>
            </w:tcBorders>
          </w:tcPr>
          <w:p>
            <w:pPr>
              <w:spacing w:line="360" w:lineRule="auto"/>
              <w:jc w:val="both"/>
              <w:rPr>
                <w:rFonts w:ascii="Book Antiqua" w:hAnsi="Book Antiqua"/>
              </w:rPr>
            </w:pPr>
            <w:r>
              <w:rPr>
                <w:rFonts w:ascii="Book Antiqua" w:hAnsi="Book Antiqua"/>
              </w:rPr>
              <w:t>Right</w:t>
            </w:r>
            <w:r>
              <w:rPr>
                <w:rFonts w:hint="eastAsia" w:ascii="Book Antiqua" w:hAnsi="Book Antiqua"/>
                <w:lang w:val="en-US" w:eastAsia="zh-CN"/>
              </w:rPr>
              <w:t>/</w:t>
            </w:r>
            <w:r>
              <w:rPr>
                <w:rFonts w:ascii="Book Antiqua" w:hAnsi="Book Antiqua"/>
              </w:rPr>
              <w:t>colon and small intestine</w:t>
            </w:r>
          </w:p>
        </w:tc>
      </w:tr>
      <w:tr>
        <w:tblPrEx>
          <w:tblCellMar>
            <w:top w:w="0" w:type="dxa"/>
            <w:left w:w="108" w:type="dxa"/>
            <w:bottom w:w="0" w:type="dxa"/>
            <w:right w:w="108" w:type="dxa"/>
          </w:tblCellMar>
        </w:tblPrEx>
        <w:trPr>
          <w:trHeight w:val="90" w:hRule="atLeast"/>
        </w:trPr>
        <w:tc>
          <w:tcPr>
            <w:tcW w:w="1134" w:type="dxa"/>
          </w:tcPr>
          <w:p>
            <w:pPr>
              <w:spacing w:line="360" w:lineRule="auto"/>
              <w:jc w:val="both"/>
              <w:rPr>
                <w:rFonts w:ascii="Book Antiqua" w:hAnsi="Book Antiqua"/>
              </w:rPr>
            </w:pPr>
            <w:r>
              <w:rPr>
                <w:rFonts w:ascii="Book Antiqua" w:hAnsi="Book Antiqua"/>
              </w:rPr>
              <w:t>Female</w:t>
            </w:r>
          </w:p>
        </w:tc>
        <w:tc>
          <w:tcPr>
            <w:tcW w:w="1072" w:type="dxa"/>
          </w:tcPr>
          <w:p>
            <w:pPr>
              <w:spacing w:line="360" w:lineRule="auto"/>
              <w:jc w:val="both"/>
              <w:rPr>
                <w:rFonts w:ascii="Book Antiqua" w:hAnsi="Book Antiqua"/>
              </w:rPr>
            </w:pPr>
            <w:r>
              <w:rPr>
                <w:rFonts w:ascii="Book Antiqua" w:hAnsi="Book Antiqua"/>
              </w:rPr>
              <w:t>3 mo 4 d</w:t>
            </w:r>
          </w:p>
        </w:tc>
        <w:tc>
          <w:tcPr>
            <w:tcW w:w="1590" w:type="dxa"/>
          </w:tcPr>
          <w:p>
            <w:pPr>
              <w:spacing w:line="360" w:lineRule="auto"/>
              <w:jc w:val="both"/>
              <w:rPr>
                <w:rFonts w:ascii="Book Antiqua" w:hAnsi="Book Antiqua"/>
              </w:rPr>
            </w:pPr>
            <w:r>
              <w:rPr>
                <w:rFonts w:ascii="Book Antiqua" w:hAnsi="Book Antiqua"/>
              </w:rPr>
              <w:t>Constipation</w:t>
            </w:r>
          </w:p>
        </w:tc>
        <w:tc>
          <w:tcPr>
            <w:tcW w:w="1926" w:type="dxa"/>
          </w:tcPr>
          <w:p>
            <w:pPr>
              <w:spacing w:line="360" w:lineRule="auto"/>
              <w:jc w:val="both"/>
              <w:rPr>
                <w:rFonts w:ascii="Book Antiqua" w:hAnsi="Book Antiqua"/>
              </w:rPr>
            </w:pPr>
            <w:r>
              <w:rPr>
                <w:rFonts w:ascii="Book Antiqua" w:hAnsi="Book Antiqua"/>
              </w:rPr>
              <w:t>Right/intestinal tract/fifth rib</w:t>
            </w:r>
          </w:p>
        </w:tc>
        <w:tc>
          <w:tcPr>
            <w:tcW w:w="2358" w:type="dxa"/>
          </w:tcPr>
          <w:p>
            <w:pPr>
              <w:spacing w:line="360" w:lineRule="auto"/>
              <w:jc w:val="both"/>
              <w:rPr>
                <w:rFonts w:ascii="Book Antiqua" w:hAnsi="Book Antiqua"/>
              </w:rPr>
            </w:pPr>
            <w:r>
              <w:rPr>
                <w:rFonts w:ascii="Book Antiqua" w:hAnsi="Book Antiqua"/>
              </w:rPr>
              <w:t>GI: Negative, no results of CT</w:t>
            </w:r>
          </w:p>
        </w:tc>
        <w:tc>
          <w:tcPr>
            <w:tcW w:w="1843" w:type="dxa"/>
          </w:tcPr>
          <w:p>
            <w:pPr>
              <w:spacing w:line="360" w:lineRule="auto"/>
              <w:jc w:val="both"/>
              <w:rPr>
                <w:rFonts w:ascii="Book Antiqua" w:hAnsi="Book Antiqua"/>
              </w:rPr>
            </w:pPr>
            <w:r>
              <w:rPr>
                <w:rFonts w:ascii="Book Antiqua" w:hAnsi="Book Antiqua"/>
              </w:rPr>
              <w:t>Right</w:t>
            </w:r>
            <w:r>
              <w:rPr>
                <w:rFonts w:hint="eastAsia" w:ascii="Book Antiqua" w:hAnsi="Book Antiqua"/>
                <w:lang w:val="en-US" w:eastAsia="zh-CN"/>
              </w:rPr>
              <w:t>/</w:t>
            </w:r>
            <w:r>
              <w:rPr>
                <w:rFonts w:ascii="Book Antiqua" w:hAnsi="Book Antiqua"/>
              </w:rPr>
              <w:t>transverse colon</w:t>
            </w:r>
          </w:p>
        </w:tc>
      </w:tr>
      <w:tr>
        <w:tblPrEx>
          <w:tblCellMar>
            <w:top w:w="0" w:type="dxa"/>
            <w:left w:w="108" w:type="dxa"/>
            <w:bottom w:w="0" w:type="dxa"/>
            <w:right w:w="108" w:type="dxa"/>
          </w:tblCellMar>
        </w:tblPrEx>
        <w:trPr>
          <w:trHeight w:val="90" w:hRule="atLeast"/>
        </w:trPr>
        <w:tc>
          <w:tcPr>
            <w:tcW w:w="1134" w:type="dxa"/>
          </w:tcPr>
          <w:p>
            <w:pPr>
              <w:spacing w:line="360" w:lineRule="auto"/>
              <w:jc w:val="both"/>
              <w:rPr>
                <w:rFonts w:ascii="Book Antiqua" w:hAnsi="Book Antiqua"/>
              </w:rPr>
            </w:pPr>
            <w:r>
              <w:rPr>
                <w:rFonts w:ascii="Book Antiqua" w:hAnsi="Book Antiqua"/>
              </w:rPr>
              <w:t>Female</w:t>
            </w:r>
          </w:p>
        </w:tc>
        <w:tc>
          <w:tcPr>
            <w:tcW w:w="1072" w:type="dxa"/>
          </w:tcPr>
          <w:p>
            <w:pPr>
              <w:spacing w:line="360" w:lineRule="auto"/>
              <w:jc w:val="both"/>
              <w:rPr>
                <w:rFonts w:ascii="Book Antiqua" w:hAnsi="Book Antiqua"/>
              </w:rPr>
            </w:pPr>
            <w:r>
              <w:rPr>
                <w:rFonts w:ascii="Book Antiqua" w:hAnsi="Book Antiqua"/>
              </w:rPr>
              <w:t>1 yr</w:t>
            </w:r>
          </w:p>
        </w:tc>
        <w:tc>
          <w:tcPr>
            <w:tcW w:w="1590" w:type="dxa"/>
          </w:tcPr>
          <w:p>
            <w:pPr>
              <w:spacing w:line="360" w:lineRule="auto"/>
              <w:jc w:val="both"/>
              <w:rPr>
                <w:rFonts w:ascii="Book Antiqua" w:hAnsi="Book Antiqua"/>
              </w:rPr>
            </w:pPr>
            <w:r>
              <w:rPr>
                <w:rFonts w:ascii="Book Antiqua" w:hAnsi="Book Antiqua"/>
              </w:rPr>
              <w:t>Cough</w:t>
            </w:r>
          </w:p>
        </w:tc>
        <w:tc>
          <w:tcPr>
            <w:tcW w:w="1926" w:type="dxa"/>
          </w:tcPr>
          <w:p>
            <w:pPr>
              <w:spacing w:line="360" w:lineRule="auto"/>
              <w:jc w:val="both"/>
              <w:rPr>
                <w:rFonts w:ascii="Book Antiqua" w:hAnsi="Book Antiqua"/>
              </w:rPr>
            </w:pPr>
            <w:r>
              <w:rPr>
                <w:rFonts w:ascii="Book Antiqua" w:hAnsi="Book Antiqua"/>
              </w:rPr>
              <w:t>Left/intestinal tract/second rib</w:t>
            </w:r>
          </w:p>
        </w:tc>
        <w:tc>
          <w:tcPr>
            <w:tcW w:w="2358" w:type="dxa"/>
          </w:tcPr>
          <w:p>
            <w:pPr>
              <w:spacing w:line="360" w:lineRule="auto"/>
              <w:jc w:val="both"/>
              <w:rPr>
                <w:rFonts w:ascii="Book Antiqua" w:hAnsi="Book Antiqua"/>
              </w:rPr>
            </w:pPr>
            <w:r>
              <w:rPr>
                <w:rFonts w:ascii="Book Antiqua" w:hAnsi="Book Antiqua"/>
              </w:rPr>
              <w:t>Left/intestinal tract</w:t>
            </w:r>
          </w:p>
        </w:tc>
        <w:tc>
          <w:tcPr>
            <w:tcW w:w="1843" w:type="dxa"/>
          </w:tcPr>
          <w:p>
            <w:pPr>
              <w:spacing w:line="360" w:lineRule="auto"/>
              <w:jc w:val="both"/>
              <w:rPr>
                <w:rFonts w:ascii="Book Antiqua" w:hAnsi="Book Antiqua"/>
              </w:rPr>
            </w:pPr>
            <w:r>
              <w:rPr>
                <w:rFonts w:ascii="Book Antiqua" w:hAnsi="Book Antiqua"/>
              </w:rPr>
              <w:t>Left</w:t>
            </w:r>
            <w:r>
              <w:rPr>
                <w:rFonts w:hint="eastAsia" w:ascii="Book Antiqua" w:hAnsi="Book Antiqua"/>
                <w:lang w:val="en-US" w:eastAsia="zh-CN"/>
              </w:rPr>
              <w:t>/</w:t>
            </w:r>
            <w:r>
              <w:rPr>
                <w:rFonts w:ascii="Book Antiqua" w:hAnsi="Book Antiqua"/>
              </w:rPr>
              <w:t>transverse colon</w:t>
            </w:r>
            <w:bookmarkStart w:id="258" w:name="OLE_LINK12"/>
            <w:r>
              <w:rPr>
                <w:rFonts w:ascii="Book Antiqua" w:hAnsi="Book Antiqua"/>
              </w:rPr>
              <w:t xml:space="preserve"> and omentum</w:t>
            </w:r>
            <w:bookmarkEnd w:id="258"/>
          </w:p>
        </w:tc>
      </w:tr>
      <w:tr>
        <w:tblPrEx>
          <w:tblCellMar>
            <w:top w:w="0" w:type="dxa"/>
            <w:left w:w="108" w:type="dxa"/>
            <w:bottom w:w="0" w:type="dxa"/>
            <w:right w:w="108" w:type="dxa"/>
          </w:tblCellMar>
        </w:tblPrEx>
        <w:trPr>
          <w:trHeight w:val="90" w:hRule="atLeast"/>
        </w:trPr>
        <w:tc>
          <w:tcPr>
            <w:tcW w:w="1134" w:type="dxa"/>
          </w:tcPr>
          <w:p>
            <w:pPr>
              <w:spacing w:line="360" w:lineRule="auto"/>
              <w:jc w:val="both"/>
              <w:rPr>
                <w:rFonts w:ascii="Book Antiqua" w:hAnsi="Book Antiqua"/>
              </w:rPr>
            </w:pPr>
            <w:r>
              <w:rPr>
                <w:rFonts w:ascii="Book Antiqua" w:hAnsi="Book Antiqua"/>
              </w:rPr>
              <w:t>Female</w:t>
            </w:r>
          </w:p>
        </w:tc>
        <w:tc>
          <w:tcPr>
            <w:tcW w:w="1072" w:type="dxa"/>
          </w:tcPr>
          <w:p>
            <w:pPr>
              <w:spacing w:line="360" w:lineRule="auto"/>
              <w:jc w:val="both"/>
              <w:rPr>
                <w:rFonts w:ascii="Book Antiqua" w:hAnsi="Book Antiqua"/>
              </w:rPr>
            </w:pPr>
            <w:r>
              <w:rPr>
                <w:rFonts w:ascii="Book Antiqua" w:hAnsi="Book Antiqua"/>
              </w:rPr>
              <w:t>3 yr 6 mo</w:t>
            </w:r>
          </w:p>
        </w:tc>
        <w:tc>
          <w:tcPr>
            <w:tcW w:w="1590" w:type="dxa"/>
          </w:tcPr>
          <w:p>
            <w:pPr>
              <w:spacing w:line="360" w:lineRule="auto"/>
              <w:jc w:val="both"/>
              <w:rPr>
                <w:rFonts w:ascii="Book Antiqua" w:hAnsi="Book Antiqua"/>
              </w:rPr>
            </w:pPr>
            <w:r>
              <w:rPr>
                <w:rFonts w:ascii="Book Antiqua" w:hAnsi="Book Antiqua"/>
              </w:rPr>
              <w:t>Cough</w:t>
            </w:r>
          </w:p>
        </w:tc>
        <w:tc>
          <w:tcPr>
            <w:tcW w:w="1926" w:type="dxa"/>
          </w:tcPr>
          <w:p>
            <w:pPr>
              <w:spacing w:line="360" w:lineRule="auto"/>
              <w:jc w:val="both"/>
              <w:rPr>
                <w:rFonts w:ascii="Book Antiqua" w:hAnsi="Book Antiqua"/>
              </w:rPr>
            </w:pPr>
            <w:r>
              <w:rPr>
                <w:rFonts w:ascii="Book Antiqua" w:hAnsi="Book Antiqua"/>
              </w:rPr>
              <w:t>Right/intestinal tract/fourth rib</w:t>
            </w:r>
          </w:p>
        </w:tc>
        <w:tc>
          <w:tcPr>
            <w:tcW w:w="2358" w:type="dxa"/>
          </w:tcPr>
          <w:p>
            <w:pPr>
              <w:spacing w:line="360" w:lineRule="auto"/>
              <w:jc w:val="both"/>
              <w:rPr>
                <w:rFonts w:ascii="Book Antiqua" w:hAnsi="Book Antiqua"/>
              </w:rPr>
            </w:pPr>
            <w:r>
              <w:rPr>
                <w:rFonts w:ascii="Book Antiqua" w:hAnsi="Book Antiqua"/>
              </w:rPr>
              <w:t>Right/intestinal tract</w:t>
            </w:r>
          </w:p>
        </w:tc>
        <w:tc>
          <w:tcPr>
            <w:tcW w:w="1843" w:type="dxa"/>
          </w:tcPr>
          <w:p>
            <w:pPr>
              <w:spacing w:line="360" w:lineRule="auto"/>
              <w:jc w:val="both"/>
              <w:rPr>
                <w:rFonts w:ascii="Book Antiqua" w:hAnsi="Book Antiqua"/>
              </w:rPr>
            </w:pPr>
            <w:r>
              <w:rPr>
                <w:rFonts w:ascii="Book Antiqua" w:hAnsi="Book Antiqua"/>
              </w:rPr>
              <w:t>Right</w:t>
            </w:r>
            <w:r>
              <w:rPr>
                <w:rFonts w:hint="eastAsia" w:ascii="Book Antiqua" w:hAnsi="Book Antiqua"/>
                <w:lang w:val="en-US" w:eastAsia="zh-CN"/>
              </w:rPr>
              <w:t>/</w:t>
            </w:r>
            <w:r>
              <w:rPr>
                <w:rFonts w:ascii="Book Antiqua" w:hAnsi="Book Antiqua"/>
              </w:rPr>
              <w:t>transverse colon</w:t>
            </w:r>
          </w:p>
        </w:tc>
      </w:tr>
      <w:tr>
        <w:tblPrEx>
          <w:tblCellMar>
            <w:top w:w="0" w:type="dxa"/>
            <w:left w:w="108" w:type="dxa"/>
            <w:bottom w:w="0" w:type="dxa"/>
            <w:right w:w="108" w:type="dxa"/>
          </w:tblCellMar>
        </w:tblPrEx>
        <w:trPr>
          <w:trHeight w:val="90" w:hRule="atLeast"/>
        </w:trPr>
        <w:tc>
          <w:tcPr>
            <w:tcW w:w="1134" w:type="dxa"/>
          </w:tcPr>
          <w:p>
            <w:pPr>
              <w:spacing w:line="360" w:lineRule="auto"/>
              <w:jc w:val="both"/>
              <w:rPr>
                <w:rFonts w:ascii="Book Antiqua" w:hAnsi="Book Antiqua"/>
              </w:rPr>
            </w:pPr>
            <w:r>
              <w:rPr>
                <w:rFonts w:ascii="Book Antiqua" w:hAnsi="Book Antiqua"/>
              </w:rPr>
              <w:t>Female</w:t>
            </w:r>
          </w:p>
        </w:tc>
        <w:tc>
          <w:tcPr>
            <w:tcW w:w="1072" w:type="dxa"/>
          </w:tcPr>
          <w:p>
            <w:pPr>
              <w:spacing w:line="360" w:lineRule="auto"/>
              <w:jc w:val="both"/>
              <w:rPr>
                <w:rFonts w:ascii="Book Antiqua" w:hAnsi="Book Antiqua"/>
              </w:rPr>
            </w:pPr>
            <w:r>
              <w:rPr>
                <w:rFonts w:ascii="Book Antiqua" w:hAnsi="Book Antiqua"/>
              </w:rPr>
              <w:t>9 mo</w:t>
            </w:r>
          </w:p>
        </w:tc>
        <w:tc>
          <w:tcPr>
            <w:tcW w:w="1590" w:type="dxa"/>
          </w:tcPr>
          <w:p>
            <w:pPr>
              <w:spacing w:line="360" w:lineRule="auto"/>
              <w:jc w:val="both"/>
              <w:rPr>
                <w:rFonts w:ascii="Book Antiqua" w:hAnsi="Book Antiqua"/>
              </w:rPr>
            </w:pPr>
            <w:r>
              <w:rPr>
                <w:rFonts w:ascii="Book Antiqua" w:hAnsi="Book Antiqua"/>
              </w:rPr>
              <w:t>Vomiting</w:t>
            </w:r>
          </w:p>
        </w:tc>
        <w:tc>
          <w:tcPr>
            <w:tcW w:w="1926" w:type="dxa"/>
          </w:tcPr>
          <w:p>
            <w:pPr>
              <w:spacing w:line="360" w:lineRule="auto"/>
              <w:jc w:val="both"/>
              <w:rPr>
                <w:rFonts w:ascii="Book Antiqua" w:hAnsi="Book Antiqua"/>
              </w:rPr>
            </w:pPr>
            <w:r>
              <w:rPr>
                <w:rFonts w:ascii="Book Antiqua" w:hAnsi="Book Antiqua"/>
              </w:rPr>
              <w:t>Right/intestinal tract/sixth rib</w:t>
            </w:r>
          </w:p>
        </w:tc>
        <w:tc>
          <w:tcPr>
            <w:tcW w:w="2358" w:type="dxa"/>
          </w:tcPr>
          <w:p>
            <w:pPr>
              <w:spacing w:line="360" w:lineRule="auto"/>
              <w:jc w:val="both"/>
              <w:rPr>
                <w:rFonts w:ascii="Book Antiqua" w:hAnsi="Book Antiqua"/>
              </w:rPr>
            </w:pPr>
            <w:r>
              <w:rPr>
                <w:rFonts w:ascii="Book Antiqua" w:hAnsi="Book Antiqua"/>
              </w:rPr>
              <w:t>GI: Negative. CT: Right/intestinal tract</w:t>
            </w:r>
          </w:p>
        </w:tc>
        <w:tc>
          <w:tcPr>
            <w:tcW w:w="1843" w:type="dxa"/>
          </w:tcPr>
          <w:p>
            <w:pPr>
              <w:spacing w:line="360" w:lineRule="auto"/>
              <w:jc w:val="both"/>
              <w:rPr>
                <w:rFonts w:ascii="Book Antiqua" w:hAnsi="Book Antiqua"/>
              </w:rPr>
            </w:pPr>
            <w:r>
              <w:rPr>
                <w:rFonts w:ascii="Book Antiqua" w:hAnsi="Book Antiqua"/>
              </w:rPr>
              <w:t>Right</w:t>
            </w:r>
            <w:r>
              <w:rPr>
                <w:rFonts w:hint="eastAsia" w:ascii="Book Antiqua" w:hAnsi="Book Antiqua"/>
                <w:lang w:val="en-US" w:eastAsia="zh-CN"/>
              </w:rPr>
              <w:t>/</w:t>
            </w:r>
            <w:r>
              <w:rPr>
                <w:rFonts w:ascii="Book Antiqua" w:hAnsi="Book Antiqua"/>
              </w:rPr>
              <w:t>transverse colon and omentum</w:t>
            </w:r>
          </w:p>
        </w:tc>
      </w:tr>
      <w:tr>
        <w:tblPrEx>
          <w:tblCellMar>
            <w:top w:w="0" w:type="dxa"/>
            <w:left w:w="108" w:type="dxa"/>
            <w:bottom w:w="0" w:type="dxa"/>
            <w:right w:w="108" w:type="dxa"/>
          </w:tblCellMar>
        </w:tblPrEx>
        <w:trPr>
          <w:trHeight w:val="90" w:hRule="atLeast"/>
        </w:trPr>
        <w:tc>
          <w:tcPr>
            <w:tcW w:w="1134" w:type="dxa"/>
          </w:tcPr>
          <w:p>
            <w:pPr>
              <w:spacing w:line="360" w:lineRule="auto"/>
              <w:jc w:val="both"/>
              <w:rPr>
                <w:rFonts w:ascii="Book Antiqua" w:hAnsi="Book Antiqua"/>
              </w:rPr>
            </w:pPr>
            <w:r>
              <w:rPr>
                <w:rFonts w:ascii="Book Antiqua" w:hAnsi="Book Antiqua"/>
              </w:rPr>
              <w:t>Male</w:t>
            </w:r>
          </w:p>
        </w:tc>
        <w:tc>
          <w:tcPr>
            <w:tcW w:w="1072" w:type="dxa"/>
          </w:tcPr>
          <w:p>
            <w:pPr>
              <w:spacing w:line="360" w:lineRule="auto"/>
              <w:jc w:val="both"/>
              <w:rPr>
                <w:rFonts w:ascii="Book Antiqua" w:hAnsi="Book Antiqua"/>
              </w:rPr>
            </w:pPr>
            <w:r>
              <w:rPr>
                <w:rFonts w:ascii="Book Antiqua" w:hAnsi="Book Antiqua"/>
              </w:rPr>
              <w:t>1 yr 5 mo</w:t>
            </w:r>
          </w:p>
        </w:tc>
        <w:tc>
          <w:tcPr>
            <w:tcW w:w="1590" w:type="dxa"/>
          </w:tcPr>
          <w:p>
            <w:pPr>
              <w:spacing w:line="360" w:lineRule="auto"/>
              <w:jc w:val="both"/>
              <w:rPr>
                <w:rFonts w:ascii="Book Antiqua" w:hAnsi="Book Antiqua"/>
              </w:rPr>
            </w:pPr>
            <w:r>
              <w:rPr>
                <w:rFonts w:ascii="Book Antiqua" w:hAnsi="Book Antiqua"/>
              </w:rPr>
              <w:t>Forechest fluctuating mass</w:t>
            </w:r>
          </w:p>
        </w:tc>
        <w:tc>
          <w:tcPr>
            <w:tcW w:w="1926" w:type="dxa"/>
          </w:tcPr>
          <w:p>
            <w:pPr>
              <w:spacing w:line="360" w:lineRule="auto"/>
              <w:jc w:val="both"/>
              <w:rPr>
                <w:rFonts w:ascii="Book Antiqua" w:hAnsi="Book Antiqua"/>
              </w:rPr>
            </w:pPr>
            <w:r>
              <w:rPr>
                <w:rFonts w:ascii="Book Antiqua" w:hAnsi="Book Antiqua"/>
              </w:rPr>
              <w:t>Left/intestinal tract/fifth rib</w:t>
            </w:r>
          </w:p>
        </w:tc>
        <w:tc>
          <w:tcPr>
            <w:tcW w:w="2358" w:type="dxa"/>
          </w:tcPr>
          <w:p>
            <w:pPr>
              <w:spacing w:line="360" w:lineRule="auto"/>
              <w:jc w:val="both"/>
              <w:rPr>
                <w:rFonts w:ascii="Book Antiqua" w:hAnsi="Book Antiqua"/>
              </w:rPr>
            </w:pPr>
            <w:r>
              <w:rPr>
                <w:rFonts w:ascii="Book Antiqua" w:hAnsi="Book Antiqua"/>
              </w:rPr>
              <w:t>Left/intestinal tract</w:t>
            </w:r>
          </w:p>
        </w:tc>
        <w:tc>
          <w:tcPr>
            <w:tcW w:w="1843" w:type="dxa"/>
          </w:tcPr>
          <w:p>
            <w:pPr>
              <w:spacing w:line="360" w:lineRule="auto"/>
              <w:jc w:val="both"/>
              <w:rPr>
                <w:rFonts w:ascii="Book Antiqua" w:hAnsi="Book Antiqua"/>
              </w:rPr>
            </w:pPr>
            <w:r>
              <w:rPr>
                <w:rFonts w:ascii="Book Antiqua" w:hAnsi="Book Antiqua"/>
              </w:rPr>
              <w:t>Left</w:t>
            </w:r>
            <w:r>
              <w:rPr>
                <w:rFonts w:hint="eastAsia" w:ascii="Book Antiqua" w:hAnsi="Book Antiqua"/>
                <w:lang w:val="en-US" w:eastAsia="zh-CN"/>
              </w:rPr>
              <w:t>/</w:t>
            </w:r>
            <w:r>
              <w:rPr>
                <w:rFonts w:ascii="Book Antiqua" w:hAnsi="Book Antiqua"/>
              </w:rPr>
              <w:t>transverse colon</w:t>
            </w:r>
          </w:p>
        </w:tc>
      </w:tr>
      <w:tr>
        <w:tblPrEx>
          <w:tblCellMar>
            <w:top w:w="0" w:type="dxa"/>
            <w:left w:w="108" w:type="dxa"/>
            <w:bottom w:w="0" w:type="dxa"/>
            <w:right w:w="108" w:type="dxa"/>
          </w:tblCellMar>
        </w:tblPrEx>
        <w:trPr>
          <w:trHeight w:val="90" w:hRule="atLeast"/>
        </w:trPr>
        <w:tc>
          <w:tcPr>
            <w:tcW w:w="1134" w:type="dxa"/>
          </w:tcPr>
          <w:p>
            <w:pPr>
              <w:spacing w:line="360" w:lineRule="auto"/>
              <w:jc w:val="both"/>
              <w:rPr>
                <w:rFonts w:ascii="Book Antiqua" w:hAnsi="Book Antiqua"/>
              </w:rPr>
            </w:pPr>
            <w:r>
              <w:rPr>
                <w:rFonts w:ascii="Book Antiqua" w:hAnsi="Book Antiqua"/>
              </w:rPr>
              <w:t>Male</w:t>
            </w:r>
          </w:p>
        </w:tc>
        <w:tc>
          <w:tcPr>
            <w:tcW w:w="1072" w:type="dxa"/>
          </w:tcPr>
          <w:p>
            <w:pPr>
              <w:spacing w:line="360" w:lineRule="auto"/>
              <w:jc w:val="both"/>
              <w:rPr>
                <w:rFonts w:ascii="Book Antiqua" w:hAnsi="Book Antiqua"/>
              </w:rPr>
            </w:pPr>
            <w:r>
              <w:rPr>
                <w:rFonts w:ascii="Book Antiqua" w:hAnsi="Book Antiqua"/>
              </w:rPr>
              <w:t>2 yr</w:t>
            </w:r>
          </w:p>
        </w:tc>
        <w:tc>
          <w:tcPr>
            <w:tcW w:w="1590" w:type="dxa"/>
          </w:tcPr>
          <w:p>
            <w:pPr>
              <w:spacing w:line="360" w:lineRule="auto"/>
              <w:jc w:val="both"/>
              <w:rPr>
                <w:rFonts w:ascii="Book Antiqua" w:hAnsi="Book Antiqua"/>
              </w:rPr>
            </w:pPr>
            <w:r>
              <w:rPr>
                <w:rFonts w:ascii="Book Antiqua" w:hAnsi="Book Antiqua"/>
              </w:rPr>
              <w:t>Cough</w:t>
            </w:r>
          </w:p>
        </w:tc>
        <w:tc>
          <w:tcPr>
            <w:tcW w:w="1926" w:type="dxa"/>
          </w:tcPr>
          <w:p>
            <w:pPr>
              <w:spacing w:line="360" w:lineRule="auto"/>
              <w:jc w:val="both"/>
              <w:rPr>
                <w:rFonts w:ascii="Book Antiqua" w:hAnsi="Book Antiqua"/>
              </w:rPr>
            </w:pPr>
            <w:r>
              <w:rPr>
                <w:rFonts w:ascii="Book Antiqua" w:hAnsi="Book Antiqua"/>
              </w:rPr>
              <w:t>Right/intestinal tract/fourth rib</w:t>
            </w:r>
          </w:p>
        </w:tc>
        <w:tc>
          <w:tcPr>
            <w:tcW w:w="2358" w:type="dxa"/>
          </w:tcPr>
          <w:p>
            <w:pPr>
              <w:spacing w:line="360" w:lineRule="auto"/>
              <w:jc w:val="both"/>
              <w:rPr>
                <w:rFonts w:ascii="Book Antiqua" w:hAnsi="Book Antiqua"/>
              </w:rPr>
            </w:pPr>
            <w:r>
              <w:rPr>
                <w:rFonts w:ascii="Book Antiqua" w:hAnsi="Book Antiqua"/>
              </w:rPr>
              <w:t>Right/intestinal tract</w:t>
            </w:r>
          </w:p>
        </w:tc>
        <w:tc>
          <w:tcPr>
            <w:tcW w:w="1843" w:type="dxa"/>
          </w:tcPr>
          <w:p>
            <w:pPr>
              <w:spacing w:line="360" w:lineRule="auto"/>
              <w:jc w:val="both"/>
              <w:rPr>
                <w:rFonts w:ascii="Book Antiqua" w:hAnsi="Book Antiqua"/>
              </w:rPr>
            </w:pPr>
            <w:r>
              <w:rPr>
                <w:rFonts w:ascii="Book Antiqua" w:hAnsi="Book Antiqua"/>
              </w:rPr>
              <w:t>Right</w:t>
            </w:r>
            <w:r>
              <w:rPr>
                <w:rFonts w:hint="eastAsia" w:ascii="Book Antiqua" w:hAnsi="Book Antiqua"/>
                <w:lang w:val="en-US" w:eastAsia="zh-CN"/>
              </w:rPr>
              <w:t>/</w:t>
            </w:r>
            <w:r>
              <w:rPr>
                <w:rFonts w:ascii="Book Antiqua" w:hAnsi="Book Antiqua"/>
              </w:rPr>
              <w:t>transverse colon</w:t>
            </w:r>
          </w:p>
        </w:tc>
      </w:tr>
      <w:tr>
        <w:tblPrEx>
          <w:tblCellMar>
            <w:top w:w="0" w:type="dxa"/>
            <w:left w:w="108" w:type="dxa"/>
            <w:bottom w:w="0" w:type="dxa"/>
            <w:right w:w="108" w:type="dxa"/>
          </w:tblCellMar>
        </w:tblPrEx>
        <w:trPr>
          <w:trHeight w:val="90" w:hRule="atLeast"/>
        </w:trPr>
        <w:tc>
          <w:tcPr>
            <w:tcW w:w="1134" w:type="dxa"/>
          </w:tcPr>
          <w:p>
            <w:pPr>
              <w:spacing w:line="360" w:lineRule="auto"/>
              <w:jc w:val="both"/>
              <w:rPr>
                <w:rFonts w:ascii="Book Antiqua" w:hAnsi="Book Antiqua"/>
              </w:rPr>
            </w:pPr>
            <w:r>
              <w:rPr>
                <w:rFonts w:ascii="Book Antiqua" w:hAnsi="Book Antiqua"/>
              </w:rPr>
              <w:t>Male</w:t>
            </w:r>
          </w:p>
        </w:tc>
        <w:tc>
          <w:tcPr>
            <w:tcW w:w="1072" w:type="dxa"/>
          </w:tcPr>
          <w:p>
            <w:pPr>
              <w:spacing w:line="360" w:lineRule="auto"/>
              <w:jc w:val="both"/>
              <w:rPr>
                <w:rFonts w:ascii="Book Antiqua" w:hAnsi="Book Antiqua"/>
              </w:rPr>
            </w:pPr>
            <w:r>
              <w:rPr>
                <w:rFonts w:ascii="Book Antiqua" w:hAnsi="Book Antiqua"/>
              </w:rPr>
              <w:t>6 mo 16 d</w:t>
            </w:r>
          </w:p>
        </w:tc>
        <w:tc>
          <w:tcPr>
            <w:tcW w:w="1590" w:type="dxa"/>
          </w:tcPr>
          <w:p>
            <w:pPr>
              <w:spacing w:line="360" w:lineRule="auto"/>
              <w:jc w:val="both"/>
              <w:rPr>
                <w:rFonts w:ascii="Book Antiqua" w:hAnsi="Book Antiqua"/>
              </w:rPr>
            </w:pPr>
            <w:r>
              <w:rPr>
                <w:rFonts w:ascii="Book Antiqua" w:hAnsi="Book Antiqua"/>
              </w:rPr>
              <w:t>Cough</w:t>
            </w:r>
          </w:p>
        </w:tc>
        <w:tc>
          <w:tcPr>
            <w:tcW w:w="1926" w:type="dxa"/>
          </w:tcPr>
          <w:p>
            <w:pPr>
              <w:spacing w:line="360" w:lineRule="auto"/>
              <w:jc w:val="both"/>
              <w:rPr>
                <w:rFonts w:ascii="Book Antiqua" w:hAnsi="Book Antiqua"/>
              </w:rPr>
            </w:pPr>
            <w:r>
              <w:rPr>
                <w:rFonts w:ascii="Book Antiqua" w:hAnsi="Book Antiqua"/>
              </w:rPr>
              <w:t>Right/intestinal tract/fifth rib</w:t>
            </w:r>
          </w:p>
        </w:tc>
        <w:tc>
          <w:tcPr>
            <w:tcW w:w="2358" w:type="dxa"/>
          </w:tcPr>
          <w:p>
            <w:pPr>
              <w:spacing w:line="360" w:lineRule="auto"/>
              <w:jc w:val="both"/>
              <w:rPr>
                <w:rFonts w:ascii="Book Antiqua" w:hAnsi="Book Antiqua"/>
              </w:rPr>
            </w:pPr>
            <w:r>
              <w:rPr>
                <w:rFonts w:ascii="Book Antiqua" w:hAnsi="Book Antiqua"/>
              </w:rPr>
              <w:t>Right/intestinal tract</w:t>
            </w:r>
          </w:p>
        </w:tc>
        <w:tc>
          <w:tcPr>
            <w:tcW w:w="1843" w:type="dxa"/>
          </w:tcPr>
          <w:p>
            <w:pPr>
              <w:spacing w:line="360" w:lineRule="auto"/>
              <w:jc w:val="both"/>
              <w:rPr>
                <w:rFonts w:ascii="Book Antiqua" w:hAnsi="Book Antiqua"/>
              </w:rPr>
            </w:pPr>
            <w:r>
              <w:rPr>
                <w:rFonts w:ascii="Book Antiqua" w:hAnsi="Book Antiqua"/>
              </w:rPr>
              <w:t>Right</w:t>
            </w:r>
            <w:r>
              <w:rPr>
                <w:rFonts w:hint="eastAsia" w:ascii="Book Antiqua" w:hAnsi="Book Antiqua"/>
                <w:lang w:val="en-US" w:eastAsia="zh-CN"/>
              </w:rPr>
              <w:t>/</w:t>
            </w:r>
            <w:r>
              <w:rPr>
                <w:rFonts w:ascii="Book Antiqua" w:hAnsi="Book Antiqua"/>
              </w:rPr>
              <w:t>colon and small intestine</w:t>
            </w:r>
          </w:p>
        </w:tc>
      </w:tr>
      <w:tr>
        <w:tblPrEx>
          <w:tblCellMar>
            <w:top w:w="0" w:type="dxa"/>
            <w:left w:w="108" w:type="dxa"/>
            <w:bottom w:w="0" w:type="dxa"/>
            <w:right w:w="108" w:type="dxa"/>
          </w:tblCellMar>
        </w:tblPrEx>
        <w:trPr>
          <w:trHeight w:val="90" w:hRule="atLeast"/>
        </w:trPr>
        <w:tc>
          <w:tcPr>
            <w:tcW w:w="1134" w:type="dxa"/>
            <w:tcBorders>
              <w:bottom w:val="single" w:color="auto" w:sz="4" w:space="0"/>
            </w:tcBorders>
          </w:tcPr>
          <w:p>
            <w:pPr>
              <w:spacing w:line="360" w:lineRule="auto"/>
              <w:jc w:val="both"/>
              <w:rPr>
                <w:rFonts w:ascii="Book Antiqua" w:hAnsi="Book Antiqua"/>
              </w:rPr>
            </w:pPr>
            <w:r>
              <w:rPr>
                <w:rFonts w:ascii="Book Antiqua" w:hAnsi="Book Antiqua"/>
              </w:rPr>
              <w:t>Male</w:t>
            </w:r>
          </w:p>
        </w:tc>
        <w:tc>
          <w:tcPr>
            <w:tcW w:w="1072" w:type="dxa"/>
            <w:tcBorders>
              <w:bottom w:val="single" w:color="auto" w:sz="4" w:space="0"/>
            </w:tcBorders>
          </w:tcPr>
          <w:p>
            <w:pPr>
              <w:spacing w:line="360" w:lineRule="auto"/>
              <w:jc w:val="both"/>
              <w:rPr>
                <w:rFonts w:ascii="Book Antiqua" w:hAnsi="Book Antiqua"/>
              </w:rPr>
            </w:pPr>
            <w:r>
              <w:rPr>
                <w:rFonts w:ascii="Book Antiqua" w:hAnsi="Book Antiqua"/>
              </w:rPr>
              <w:t>4 mo</w:t>
            </w:r>
          </w:p>
        </w:tc>
        <w:tc>
          <w:tcPr>
            <w:tcW w:w="1590" w:type="dxa"/>
            <w:tcBorders>
              <w:bottom w:val="single" w:color="auto" w:sz="4" w:space="0"/>
            </w:tcBorders>
          </w:tcPr>
          <w:p>
            <w:pPr>
              <w:spacing w:line="360" w:lineRule="auto"/>
              <w:jc w:val="both"/>
              <w:rPr>
                <w:rFonts w:ascii="Book Antiqua" w:hAnsi="Book Antiqua"/>
              </w:rPr>
            </w:pPr>
            <w:r>
              <w:rPr>
                <w:rFonts w:ascii="Book Antiqua" w:hAnsi="Book Antiqua"/>
              </w:rPr>
              <w:t>Vomiting</w:t>
            </w:r>
          </w:p>
        </w:tc>
        <w:tc>
          <w:tcPr>
            <w:tcW w:w="1926" w:type="dxa"/>
            <w:tcBorders>
              <w:bottom w:val="single" w:color="auto" w:sz="4" w:space="0"/>
            </w:tcBorders>
          </w:tcPr>
          <w:p>
            <w:pPr>
              <w:spacing w:line="360" w:lineRule="auto"/>
              <w:jc w:val="both"/>
              <w:rPr>
                <w:rFonts w:ascii="Book Antiqua" w:hAnsi="Book Antiqua"/>
              </w:rPr>
            </w:pPr>
            <w:r>
              <w:rPr>
                <w:rFonts w:ascii="Book Antiqua" w:hAnsi="Book Antiqua"/>
              </w:rPr>
              <w:t>Right/colon and stomach</w:t>
            </w:r>
          </w:p>
        </w:tc>
        <w:tc>
          <w:tcPr>
            <w:tcW w:w="2358" w:type="dxa"/>
            <w:tcBorders>
              <w:bottom w:val="single" w:color="auto" w:sz="4" w:space="0"/>
            </w:tcBorders>
          </w:tcPr>
          <w:p>
            <w:pPr>
              <w:spacing w:line="360" w:lineRule="auto"/>
              <w:jc w:val="both"/>
              <w:rPr>
                <w:rFonts w:ascii="Book Antiqua" w:hAnsi="Book Antiqua"/>
              </w:rPr>
            </w:pPr>
            <w:r>
              <w:rPr>
                <w:rFonts w:ascii="Book Antiqua" w:hAnsi="Book Antiqua"/>
              </w:rPr>
              <w:t>Right/colon and stomach</w:t>
            </w:r>
          </w:p>
        </w:tc>
        <w:tc>
          <w:tcPr>
            <w:tcW w:w="1843" w:type="dxa"/>
            <w:tcBorders>
              <w:bottom w:val="single" w:color="auto" w:sz="4" w:space="0"/>
            </w:tcBorders>
          </w:tcPr>
          <w:p>
            <w:pPr>
              <w:spacing w:line="360" w:lineRule="auto"/>
              <w:jc w:val="both"/>
              <w:rPr>
                <w:rFonts w:ascii="Book Antiqua" w:hAnsi="Book Antiqua"/>
              </w:rPr>
            </w:pPr>
            <w:r>
              <w:rPr>
                <w:rFonts w:ascii="Book Antiqua" w:hAnsi="Book Antiqua"/>
              </w:rPr>
              <w:t>Right/colon and stomach</w:t>
            </w:r>
          </w:p>
        </w:tc>
      </w:tr>
    </w:tbl>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rPr>
        <w:t xml:space="preserve">US: </w:t>
      </w:r>
      <w:r>
        <w:rPr>
          <w:rFonts w:ascii="Book Antiqua" w:hAnsi="Book Antiqua" w:eastAsia="Book Antiqua" w:cs="Book Antiqua"/>
        </w:rPr>
        <w:t>Ultrasound</w:t>
      </w:r>
      <w:r>
        <w:rPr>
          <w:rFonts w:ascii="Book Antiqua" w:hAnsi="Book Antiqua"/>
        </w:rPr>
        <w:t xml:space="preserve">; CT: </w:t>
      </w:r>
      <w:r>
        <w:rPr>
          <w:rFonts w:ascii="Book Antiqua" w:hAnsi="Book Antiqua" w:eastAsia="Book Antiqua" w:cs="Book Antiqua"/>
        </w:rPr>
        <w:t>Computed tomography</w:t>
      </w:r>
      <w:r>
        <w:rPr>
          <w:rFonts w:ascii="Book Antiqua" w:hAnsi="Book Antiqua"/>
        </w:rPr>
        <w:t xml:space="preserve">; GI: </w:t>
      </w:r>
      <w:r>
        <w:rPr>
          <w:rFonts w:ascii="Book Antiqua" w:hAnsi="Book Antiqua" w:eastAsia="Book Antiqua" w:cs="Book Antiqua"/>
        </w:rPr>
        <w:t>Gastrointestinal imaging</w:t>
      </w:r>
      <w:r>
        <w:rPr>
          <w:rFonts w:ascii="Book Antiqua" w:hAnsi="Book Antiqua"/>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spacing w:line="360" w:lineRule="auto"/>
        <w:jc w:val="both"/>
        <w:rPr>
          <w:rFonts w:ascii="Book Antiqua" w:hAnsi="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A4F86"/>
    <w:rsid w:val="000D2DC5"/>
    <w:rsid w:val="0013678E"/>
    <w:rsid w:val="00333D81"/>
    <w:rsid w:val="00341F81"/>
    <w:rsid w:val="00395A86"/>
    <w:rsid w:val="00482670"/>
    <w:rsid w:val="0049485A"/>
    <w:rsid w:val="00580985"/>
    <w:rsid w:val="006B2B2C"/>
    <w:rsid w:val="007A4105"/>
    <w:rsid w:val="00844901"/>
    <w:rsid w:val="008A4C89"/>
    <w:rsid w:val="008B0336"/>
    <w:rsid w:val="00947136"/>
    <w:rsid w:val="00A77B3E"/>
    <w:rsid w:val="00B40B74"/>
    <w:rsid w:val="00C14BC9"/>
    <w:rsid w:val="00CA2A55"/>
    <w:rsid w:val="00E73186"/>
    <w:rsid w:val="00F73C7A"/>
    <w:rsid w:val="0737602E"/>
    <w:rsid w:val="07AC5AD9"/>
    <w:rsid w:val="08576ED9"/>
    <w:rsid w:val="1365288B"/>
    <w:rsid w:val="19E559C2"/>
    <w:rsid w:val="1B3F107D"/>
    <w:rsid w:val="28490F52"/>
    <w:rsid w:val="2B775438"/>
    <w:rsid w:val="30841188"/>
    <w:rsid w:val="38844919"/>
    <w:rsid w:val="3DD567FA"/>
    <w:rsid w:val="475A2B99"/>
    <w:rsid w:val="633D12E5"/>
    <w:rsid w:val="6BDD3F47"/>
    <w:rsid w:val="6ED05F87"/>
    <w:rsid w:val="7EF441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0"/>
    <w:autoRedefine/>
    <w:qFormat/>
    <w:uiPriority w:val="0"/>
  </w:style>
  <w:style w:type="paragraph" w:styleId="3">
    <w:name w:val="footer"/>
    <w:basedOn w:val="1"/>
    <w:link w:val="13"/>
    <w:autoRedefine/>
    <w:qFormat/>
    <w:uiPriority w:val="99"/>
    <w:pPr>
      <w:tabs>
        <w:tab w:val="center" w:pos="4153"/>
        <w:tab w:val="right" w:pos="8306"/>
      </w:tabs>
      <w:snapToGrid w:val="0"/>
    </w:pPr>
    <w:rPr>
      <w:sz w:val="18"/>
      <w:szCs w:val="18"/>
    </w:rPr>
  </w:style>
  <w:style w:type="paragraph" w:styleId="4">
    <w:name w:val="header"/>
    <w:basedOn w:val="1"/>
    <w:link w:val="12"/>
    <w:autoRedefine/>
    <w:qFormat/>
    <w:uiPriority w:val="0"/>
    <w:pPr>
      <w:tabs>
        <w:tab w:val="center" w:pos="4153"/>
        <w:tab w:val="right" w:pos="8306"/>
      </w:tabs>
      <w:snapToGrid w:val="0"/>
      <w:jc w:val="center"/>
    </w:pPr>
    <w:rPr>
      <w:sz w:val="18"/>
      <w:szCs w:val="18"/>
    </w:rPr>
  </w:style>
  <w:style w:type="paragraph" w:styleId="5">
    <w:name w:val="annotation subject"/>
    <w:basedOn w:val="2"/>
    <w:next w:val="2"/>
    <w:link w:val="11"/>
    <w:autoRedefine/>
    <w:qFormat/>
    <w:uiPriority w:val="0"/>
    <w:rPr>
      <w:b/>
      <w:bCs/>
    </w:rPr>
  </w:style>
  <w:style w:type="character" w:styleId="8">
    <w:name w:val="Strong"/>
    <w:basedOn w:val="7"/>
    <w:autoRedefine/>
    <w:qFormat/>
    <w:uiPriority w:val="22"/>
    <w:rPr>
      <w:b/>
      <w:bCs/>
    </w:rPr>
  </w:style>
  <w:style w:type="character" w:styleId="9">
    <w:name w:val="annotation reference"/>
    <w:basedOn w:val="7"/>
    <w:autoRedefine/>
    <w:qFormat/>
    <w:uiPriority w:val="0"/>
    <w:rPr>
      <w:sz w:val="21"/>
      <w:szCs w:val="21"/>
    </w:rPr>
  </w:style>
  <w:style w:type="character" w:customStyle="1" w:styleId="10">
    <w:name w:val="批注文字 字符"/>
    <w:basedOn w:val="7"/>
    <w:link w:val="2"/>
    <w:autoRedefine/>
    <w:qFormat/>
    <w:uiPriority w:val="0"/>
    <w:rPr>
      <w:sz w:val="24"/>
      <w:szCs w:val="24"/>
    </w:rPr>
  </w:style>
  <w:style w:type="character" w:customStyle="1" w:styleId="11">
    <w:name w:val="批注主题 字符"/>
    <w:basedOn w:val="10"/>
    <w:link w:val="5"/>
    <w:autoRedefine/>
    <w:qFormat/>
    <w:uiPriority w:val="0"/>
    <w:rPr>
      <w:b/>
      <w:bCs/>
      <w:sz w:val="24"/>
      <w:szCs w:val="24"/>
    </w:rPr>
  </w:style>
  <w:style w:type="character" w:customStyle="1" w:styleId="12">
    <w:name w:val="页眉 字符"/>
    <w:basedOn w:val="7"/>
    <w:link w:val="4"/>
    <w:autoRedefine/>
    <w:qFormat/>
    <w:uiPriority w:val="0"/>
    <w:rPr>
      <w:sz w:val="18"/>
      <w:szCs w:val="18"/>
    </w:rPr>
  </w:style>
  <w:style w:type="character" w:customStyle="1" w:styleId="13">
    <w:name w:val="页脚 字符"/>
    <w:basedOn w:val="7"/>
    <w:link w:val="3"/>
    <w:autoRedefine/>
    <w:qFormat/>
    <w:uiPriority w:val="99"/>
    <w:rPr>
      <w:sz w:val="18"/>
      <w:szCs w:val="18"/>
    </w:rPr>
  </w:style>
  <w:style w:type="paragraph" w:customStyle="1" w:styleId="14">
    <w:name w:val="修订1"/>
    <w:autoRedefine/>
    <w:hidden/>
    <w:semiHidden/>
    <w:qFormat/>
    <w:uiPriority w:val="99"/>
    <w:rPr>
      <w:rFonts w:ascii="Times New Roman" w:hAnsi="Times New Roman" w:cs="Times New Roman" w:eastAsiaTheme="minorEastAsia"/>
      <w:sz w:val="24"/>
      <w:szCs w:val="24"/>
      <w:lang w:val="en-US" w:eastAsia="en-US" w:bidi="ar-SA"/>
    </w:rPr>
  </w:style>
  <w:style w:type="paragraph" w:customStyle="1" w:styleId="15">
    <w:name w:val="Revision"/>
    <w:autoRedefine/>
    <w:hidden/>
    <w:unhideWhenUsed/>
    <w:qFormat/>
    <w:uiPriority w:val="99"/>
    <w:rPr>
      <w:rFonts w:ascii="Times New Roman" w:hAnsi="Times New Roman" w:cs="Times New Roman" w:eastAsiaTheme="minorEastAsia"/>
      <w:sz w:val="24"/>
      <w:szCs w:val="24"/>
      <w:lang w:val="en-US" w:eastAsia="en-US" w:bidi="ar-SA"/>
    </w:rPr>
  </w:style>
  <w:style w:type="character" w:customStyle="1" w:styleId="16">
    <w:name w:val="font51"/>
    <w:basedOn w:val="7"/>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3385</Words>
  <Characters>19298</Characters>
  <Lines>160</Lines>
  <Paragraphs>45</Paragraphs>
  <TotalTime>1</TotalTime>
  <ScaleCrop>false</ScaleCrop>
  <LinksUpToDate>false</LinksUpToDate>
  <CharactersWithSpaces>22638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2023-12-29T09:00:00Z</dcterms:created>
  <dc:creator>Administrator</dc:creator>
  <cp:lastModifiedBy>xzh</cp:lastModifiedBy>
  <dcterms:modified xsi:type="dcterms:W3CDTF">2024-01-18T00:22:02Z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2F8AA4944F564A2FABE76638EB134EC3_12</vt:lpwstr>
  </property>
</Properties>
</file>