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4136" w14:textId="77777777" w:rsidR="00FD3B98"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w:t>
      </w:r>
      <w:r>
        <w:rPr>
          <w:rFonts w:ascii="Book Antiqua" w:eastAsia="Book Antiqua" w:hAnsi="Book Antiqua" w:cs="Book Antiqua"/>
        </w:rPr>
        <w:t xml:space="preserve"> </w:t>
      </w:r>
      <w:r>
        <w:rPr>
          <w:rFonts w:ascii="Book Antiqua" w:eastAsia="Book Antiqua" w:hAnsi="Book Antiqua" w:cs="Book Antiqua"/>
          <w:i/>
        </w:rPr>
        <w:t>Journal</w:t>
      </w:r>
      <w:r>
        <w:rPr>
          <w:rFonts w:ascii="Book Antiqua" w:eastAsia="Book Antiqua" w:hAnsi="Book Antiqua" w:cs="Book Antiqua"/>
        </w:rPr>
        <w:t xml:space="preserve"> </w:t>
      </w:r>
      <w:r>
        <w:rPr>
          <w:rFonts w:ascii="Book Antiqua" w:eastAsia="Book Antiqua" w:hAnsi="Book Antiqua" w:cs="Book Antiqua"/>
          <w:i/>
        </w:rPr>
        <w:t>of</w:t>
      </w:r>
      <w:r>
        <w:rPr>
          <w:rFonts w:ascii="Book Antiqua" w:eastAsia="Book Antiqua" w:hAnsi="Book Antiqua" w:cs="Book Antiqua"/>
        </w:rPr>
        <w:t xml:space="preserve"> </w:t>
      </w:r>
      <w:r>
        <w:rPr>
          <w:rFonts w:ascii="Book Antiqua" w:eastAsia="Book Antiqua" w:hAnsi="Book Antiqua" w:cs="Book Antiqua"/>
          <w:i/>
        </w:rPr>
        <w:t>Gastroenterology</w:t>
      </w:r>
    </w:p>
    <w:p w14:paraId="6C467102" w14:textId="77777777" w:rsidR="00FD3B98"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90141</w:t>
      </w:r>
    </w:p>
    <w:p w14:paraId="656A4300" w14:textId="77777777" w:rsidR="00FD3B9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OPINION REVIEW</w:t>
      </w:r>
    </w:p>
    <w:p w14:paraId="389938C8" w14:textId="77777777" w:rsidR="00FD3B98" w:rsidRDefault="00FD3B98">
      <w:pPr>
        <w:spacing w:line="360" w:lineRule="auto"/>
        <w:jc w:val="both"/>
        <w:rPr>
          <w:rFonts w:ascii="Book Antiqua" w:hAnsi="Book Antiqua"/>
        </w:rPr>
      </w:pPr>
    </w:p>
    <w:p w14:paraId="69242C11" w14:textId="77777777" w:rsidR="00FD3B98" w:rsidRDefault="00000000">
      <w:pPr>
        <w:spacing w:line="360" w:lineRule="auto"/>
        <w:jc w:val="both"/>
        <w:rPr>
          <w:rFonts w:ascii="Book Antiqua" w:hAnsi="Book Antiqua"/>
        </w:rPr>
      </w:pPr>
      <w:r>
        <w:rPr>
          <w:rFonts w:ascii="Book Antiqua" w:eastAsia="Book Antiqua" w:hAnsi="Book Antiqua" w:cs="Book Antiqua"/>
          <w:b/>
        </w:rPr>
        <w:t>Nonsteroidal anti-inflammatory drugs before endoscopic ultrasound guided tissue acquisition to reduce the incidence of post procedural pancreatitis</w:t>
      </w:r>
    </w:p>
    <w:p w14:paraId="2BBB7918" w14:textId="77777777" w:rsidR="00FD3B98" w:rsidRDefault="00FD3B98">
      <w:pPr>
        <w:spacing w:line="360" w:lineRule="auto"/>
        <w:jc w:val="both"/>
        <w:rPr>
          <w:rFonts w:ascii="Book Antiqua" w:hAnsi="Book Antiqua"/>
        </w:rPr>
      </w:pPr>
    </w:p>
    <w:p w14:paraId="52215D4B" w14:textId="77777777" w:rsidR="00FD3B98" w:rsidRDefault="00000000">
      <w:pPr>
        <w:spacing w:line="360" w:lineRule="auto"/>
        <w:jc w:val="both"/>
        <w:rPr>
          <w:rFonts w:ascii="Book Antiqua" w:hAnsi="Book Antiqua"/>
        </w:rPr>
      </w:pPr>
      <w:r>
        <w:rPr>
          <w:rFonts w:ascii="Book Antiqua" w:eastAsia="Book Antiqua" w:hAnsi="Book Antiqua" w:cs="Book Antiqua"/>
          <w:lang w:val="nl-NL"/>
        </w:rPr>
        <w:t xml:space="preserve">de Jong M </w:t>
      </w:r>
      <w:r>
        <w:rPr>
          <w:rFonts w:ascii="Book Antiqua" w:eastAsia="Book Antiqua" w:hAnsi="Book Antiqua" w:cs="Book Antiqua"/>
          <w:i/>
          <w:iCs/>
          <w:lang w:val="nl-NL"/>
        </w:rPr>
        <w:t>et al</w:t>
      </w:r>
      <w:r>
        <w:rPr>
          <w:rFonts w:ascii="Book Antiqua" w:eastAsia="宋体" w:hAnsi="Book Antiqua" w:cs="宋体"/>
          <w:lang w:val="nl-NL" w:eastAsia="zh-CN"/>
        </w:rPr>
        <w:t>.</w:t>
      </w:r>
      <w:r>
        <w:rPr>
          <w:rFonts w:ascii="Book Antiqua" w:eastAsia="Book Antiqua" w:hAnsi="Book Antiqua" w:cs="Book Antiqua"/>
          <w:lang w:val="nl-NL"/>
        </w:rPr>
        <w:t xml:space="preserve"> </w:t>
      </w:r>
      <w:r>
        <w:rPr>
          <w:rFonts w:ascii="Book Antiqua" w:eastAsia="Book Antiqua" w:hAnsi="Book Antiqua" w:cs="Book Antiqua"/>
        </w:rPr>
        <w:t>NSAIDs before EUS-TA preventing post-EUS pancreatitis</w:t>
      </w:r>
    </w:p>
    <w:p w14:paraId="6504DC56" w14:textId="77777777" w:rsidR="00FD3B98" w:rsidRDefault="00FD3B98">
      <w:pPr>
        <w:spacing w:line="360" w:lineRule="auto"/>
        <w:jc w:val="both"/>
        <w:rPr>
          <w:rFonts w:ascii="Book Antiqua" w:hAnsi="Book Antiqua"/>
        </w:rPr>
      </w:pPr>
    </w:p>
    <w:p w14:paraId="0685C422" w14:textId="77777777" w:rsidR="00FD3B98" w:rsidRDefault="00000000">
      <w:pPr>
        <w:spacing w:line="360" w:lineRule="auto"/>
        <w:jc w:val="both"/>
        <w:rPr>
          <w:rFonts w:ascii="Book Antiqua" w:hAnsi="Book Antiqua"/>
          <w:lang w:val="nl-NL"/>
        </w:rPr>
      </w:pPr>
      <w:r>
        <w:rPr>
          <w:rFonts w:ascii="Book Antiqua" w:eastAsia="Book Antiqua" w:hAnsi="Book Antiqua" w:cs="Book Antiqua"/>
          <w:lang w:val="nl-NL"/>
        </w:rPr>
        <w:t>Mike de Jong, Foke van Delft, Christine Roozen, Erwin-Jan van Geenen, Tanya Bisseling, Peter Siersema, Marco Bruno</w:t>
      </w:r>
    </w:p>
    <w:p w14:paraId="54C20D9D" w14:textId="77777777" w:rsidR="00FD3B98" w:rsidRDefault="00FD3B98">
      <w:pPr>
        <w:spacing w:line="360" w:lineRule="auto"/>
        <w:jc w:val="both"/>
        <w:rPr>
          <w:rFonts w:ascii="Book Antiqua" w:hAnsi="Book Antiqua"/>
          <w:lang w:val="nl-NL"/>
        </w:rPr>
      </w:pPr>
    </w:p>
    <w:p w14:paraId="339121E5" w14:textId="77777777" w:rsidR="00FD3B98" w:rsidRDefault="00000000">
      <w:pPr>
        <w:spacing w:line="360" w:lineRule="auto"/>
        <w:jc w:val="both"/>
        <w:rPr>
          <w:rFonts w:ascii="Book Antiqua" w:hAnsi="Book Antiqua"/>
          <w:lang w:val="nl-NL"/>
        </w:rPr>
      </w:pPr>
      <w:r>
        <w:rPr>
          <w:rFonts w:ascii="Book Antiqua" w:eastAsia="Book Antiqua" w:hAnsi="Book Antiqua" w:cs="Book Antiqua"/>
          <w:b/>
          <w:bCs/>
          <w:lang w:val="nl-NL"/>
        </w:rPr>
        <w:t xml:space="preserve">Mike de Jong, Foke van Delft, Christine Roozen, Erwin-Jan van Geenen, Tanya Bisseling, Peter Siersema, </w:t>
      </w:r>
      <w:r>
        <w:rPr>
          <w:rFonts w:ascii="Book Antiqua" w:eastAsia="Book Antiqua" w:hAnsi="Book Antiqua" w:cs="Book Antiqua"/>
          <w:lang w:val="nl-NL"/>
        </w:rPr>
        <w:t>Department of Gastroenterology and Hepatology, Radboud University Medical Center, Nijmegen 6525 GA, Netherlands</w:t>
      </w:r>
    </w:p>
    <w:p w14:paraId="61CE0A35" w14:textId="77777777" w:rsidR="00FD3B98" w:rsidRDefault="00FD3B98">
      <w:pPr>
        <w:spacing w:line="360" w:lineRule="auto"/>
        <w:jc w:val="both"/>
        <w:rPr>
          <w:rFonts w:ascii="Book Antiqua" w:hAnsi="Book Antiqua"/>
          <w:lang w:val="nl-NL"/>
        </w:rPr>
      </w:pPr>
    </w:p>
    <w:p w14:paraId="386A800D" w14:textId="77777777" w:rsidR="00FD3B98" w:rsidRDefault="00000000">
      <w:pPr>
        <w:spacing w:line="360" w:lineRule="auto"/>
        <w:jc w:val="both"/>
        <w:rPr>
          <w:rFonts w:ascii="Book Antiqua" w:hAnsi="Book Antiqua"/>
        </w:rPr>
      </w:pPr>
      <w:r>
        <w:rPr>
          <w:rFonts w:ascii="Book Antiqua" w:eastAsia="Book Antiqua" w:hAnsi="Book Antiqua" w:cs="Book Antiqua"/>
          <w:b/>
          <w:bCs/>
        </w:rPr>
        <w:t xml:space="preserve">Peter </w:t>
      </w:r>
      <w:proofErr w:type="spellStart"/>
      <w:r>
        <w:rPr>
          <w:rFonts w:ascii="Book Antiqua" w:eastAsia="Book Antiqua" w:hAnsi="Book Antiqua" w:cs="Book Antiqua"/>
          <w:b/>
          <w:bCs/>
        </w:rPr>
        <w:t>Siersema</w:t>
      </w:r>
      <w:proofErr w:type="spellEnd"/>
      <w:r>
        <w:rPr>
          <w:rFonts w:ascii="Book Antiqua" w:eastAsia="Book Antiqua" w:hAnsi="Book Antiqua" w:cs="Book Antiqua"/>
          <w:b/>
          <w:bCs/>
        </w:rPr>
        <w:t xml:space="preserve">, Marco Bruno, </w:t>
      </w:r>
      <w:r>
        <w:rPr>
          <w:rFonts w:ascii="Book Antiqua" w:eastAsia="Book Antiqua" w:hAnsi="Book Antiqua" w:cs="Book Antiqua"/>
        </w:rPr>
        <w:t>Department of Gastroenterology and Hepatology, Erasmus University Medical Center, Rotterdam 3015 GD, Netherlands</w:t>
      </w:r>
    </w:p>
    <w:p w14:paraId="68BF42AB" w14:textId="77777777" w:rsidR="00FD3B98" w:rsidRDefault="00FD3B98">
      <w:pPr>
        <w:spacing w:line="360" w:lineRule="auto"/>
        <w:jc w:val="both"/>
        <w:rPr>
          <w:rFonts w:ascii="Book Antiqua" w:hAnsi="Book Antiqua"/>
        </w:rPr>
      </w:pPr>
    </w:p>
    <w:p w14:paraId="0C6D930F" w14:textId="77777777" w:rsidR="00FD3B9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Author contributions: </w:t>
      </w:r>
      <w:r>
        <w:rPr>
          <w:rFonts w:ascii="Book Antiqua" w:eastAsia="Book Antiqua" w:hAnsi="Book Antiqua" w:cs="Book Antiqua"/>
        </w:rPr>
        <w:t xml:space="preserve">de Jong M drafted the manuscript; van Delft F, </w:t>
      </w:r>
      <w:proofErr w:type="spellStart"/>
      <w:r>
        <w:rPr>
          <w:rFonts w:ascii="Book Antiqua" w:eastAsia="Book Antiqua" w:hAnsi="Book Antiqua" w:cs="Book Antiqua"/>
        </w:rPr>
        <w:t>Roozen</w:t>
      </w:r>
      <w:proofErr w:type="spellEnd"/>
      <w:r>
        <w:rPr>
          <w:rFonts w:ascii="Book Antiqua" w:eastAsia="Book Antiqua" w:hAnsi="Book Antiqua" w:cs="Book Antiqua"/>
        </w:rPr>
        <w:t xml:space="preserve"> C, van </w:t>
      </w:r>
      <w:proofErr w:type="spellStart"/>
      <w:r>
        <w:rPr>
          <w:rFonts w:ascii="Book Antiqua" w:eastAsia="Book Antiqua" w:hAnsi="Book Antiqua" w:cs="Book Antiqua"/>
        </w:rPr>
        <w:t>Geenen</w:t>
      </w:r>
      <w:proofErr w:type="spellEnd"/>
      <w:r>
        <w:rPr>
          <w:rFonts w:ascii="Book Antiqua" w:eastAsia="Book Antiqua" w:hAnsi="Book Antiqua" w:cs="Book Antiqua"/>
        </w:rPr>
        <w:t xml:space="preserve"> EJ, </w:t>
      </w:r>
      <w:proofErr w:type="spellStart"/>
      <w:r>
        <w:rPr>
          <w:rFonts w:ascii="Book Antiqua" w:eastAsia="Book Antiqua" w:hAnsi="Book Antiqua" w:cs="Book Antiqua"/>
        </w:rPr>
        <w:t>Bisseling</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Siersema</w:t>
      </w:r>
      <w:proofErr w:type="spellEnd"/>
      <w:r>
        <w:rPr>
          <w:rFonts w:ascii="Book Antiqua" w:eastAsia="Book Antiqua" w:hAnsi="Book Antiqua" w:cs="Book Antiqua"/>
        </w:rPr>
        <w:t xml:space="preserve"> P, and Bruno M edited the manuscript to the final version.</w:t>
      </w:r>
    </w:p>
    <w:p w14:paraId="62AF605E" w14:textId="77777777" w:rsidR="00FD3B98" w:rsidRDefault="00FD3B98">
      <w:pPr>
        <w:spacing w:line="360" w:lineRule="auto"/>
        <w:jc w:val="both"/>
        <w:rPr>
          <w:rFonts w:ascii="Book Antiqua" w:hAnsi="Book Antiqua"/>
        </w:rPr>
      </w:pPr>
    </w:p>
    <w:p w14:paraId="7D10DFA5" w14:textId="77777777" w:rsidR="00FD3B98" w:rsidRDefault="00000000">
      <w:pPr>
        <w:spacing w:line="360" w:lineRule="auto"/>
        <w:jc w:val="both"/>
        <w:rPr>
          <w:rFonts w:ascii="Book Antiqua" w:hAnsi="Book Antiqua"/>
        </w:rPr>
      </w:pPr>
      <w:r>
        <w:rPr>
          <w:rFonts w:ascii="Book Antiqua" w:eastAsia="Book Antiqua" w:hAnsi="Book Antiqua" w:cs="Book Antiqua"/>
          <w:b/>
          <w:bCs/>
        </w:rPr>
        <w:t xml:space="preserve">Corresponding author: Mike de Jong, MD, MSc, Research Fellow, </w:t>
      </w:r>
      <w:r>
        <w:rPr>
          <w:rFonts w:ascii="Book Antiqua" w:eastAsia="Book Antiqua" w:hAnsi="Book Antiqua" w:cs="Book Antiqua"/>
        </w:rPr>
        <w:t xml:space="preserve">Department of Gastroenterology and Hepatology, Radboud University Medical Center, 10 Geert </w:t>
      </w:r>
      <w:proofErr w:type="spellStart"/>
      <w:r>
        <w:rPr>
          <w:rFonts w:ascii="Book Antiqua" w:eastAsia="Book Antiqua" w:hAnsi="Book Antiqua" w:cs="Book Antiqua"/>
        </w:rPr>
        <w:t>Grooteplein</w:t>
      </w:r>
      <w:proofErr w:type="spellEnd"/>
      <w:r>
        <w:rPr>
          <w:rFonts w:ascii="Book Antiqua" w:eastAsia="Book Antiqua" w:hAnsi="Book Antiqua" w:cs="Book Antiqua"/>
        </w:rPr>
        <w:t xml:space="preserve"> Zuid, Nijmegen 6525 GA, Netherlands. mike.dejong@radboudumc.nl</w:t>
      </w:r>
    </w:p>
    <w:p w14:paraId="0B60B38E" w14:textId="77777777" w:rsidR="00FD3B98" w:rsidRDefault="00FD3B98">
      <w:pPr>
        <w:spacing w:line="360" w:lineRule="auto"/>
        <w:jc w:val="both"/>
        <w:rPr>
          <w:rFonts w:ascii="Book Antiqua" w:hAnsi="Book Antiqua"/>
        </w:rPr>
      </w:pPr>
    </w:p>
    <w:p w14:paraId="17D516BF" w14:textId="77777777" w:rsidR="00FD3B98"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24, 2023</w:t>
      </w:r>
    </w:p>
    <w:p w14:paraId="64D64DCA" w14:textId="77777777" w:rsidR="00FD3B98"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22, 2023</w:t>
      </w:r>
    </w:p>
    <w:p w14:paraId="0C732543" w14:textId="77777777" w:rsidR="00FD3B98"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Accepted: </w:t>
      </w:r>
      <w:bookmarkStart w:id="0" w:name="OLE_LINK7895"/>
      <w:bookmarkStart w:id="1" w:name="OLE_LINK200"/>
      <w:bookmarkStart w:id="2" w:name="OLE_LINK72"/>
      <w:bookmarkStart w:id="3" w:name="OLE_LINK236"/>
      <w:bookmarkStart w:id="4" w:name="OLE_LINK7738"/>
      <w:bookmarkStart w:id="5" w:name="OLE_LINK7838"/>
      <w:bookmarkStart w:id="6" w:name="OLE_LINK100"/>
      <w:bookmarkStart w:id="7" w:name="OLE_LINK7799"/>
      <w:bookmarkStart w:id="8" w:name="OLE_LINK7977"/>
      <w:bookmarkStart w:id="9" w:name="OLE_LINK108"/>
      <w:bookmarkStart w:id="10" w:name="OLE_LINK34"/>
      <w:bookmarkStart w:id="11" w:name="OLE_LINK7839"/>
      <w:bookmarkStart w:id="12" w:name="OLE_LINK84"/>
      <w:bookmarkStart w:id="13" w:name="OLE_LINK29"/>
      <w:bookmarkStart w:id="14" w:name="OLE_LINK41"/>
      <w:bookmarkStart w:id="15" w:name="OLE_LINK37"/>
      <w:bookmarkStart w:id="16" w:name="OLE_LINK54"/>
      <w:bookmarkStart w:id="17" w:name="OLE_LINK87"/>
      <w:bookmarkStart w:id="18" w:name="OLE_LINK7837"/>
      <w:bookmarkStart w:id="19" w:name="OLE_LINK7737"/>
      <w:bookmarkStart w:id="20" w:name="OLE_LINK17"/>
      <w:bookmarkStart w:id="21" w:name="OLE_LINK30"/>
      <w:bookmarkStart w:id="22" w:name="OLE_LINK46"/>
      <w:bookmarkStart w:id="23" w:name="OLE_LINK7735"/>
      <w:bookmarkStart w:id="24" w:name="OLE_LINK7979"/>
      <w:bookmarkStart w:id="25" w:name="OLE_LINK7873"/>
      <w:bookmarkStart w:id="26" w:name="OLE_LINK4"/>
      <w:bookmarkStart w:id="27" w:name="OLE_LINK40"/>
      <w:bookmarkStart w:id="28" w:name="OLE_LINK7984"/>
      <w:bookmarkStart w:id="29" w:name="OLE_LINK10"/>
      <w:bookmarkStart w:id="30" w:name="OLE_LINK6"/>
      <w:bookmarkStart w:id="31" w:name="OLE_LINK60"/>
      <w:bookmarkStart w:id="32" w:name="OLE_LINK7569"/>
      <w:bookmarkStart w:id="33" w:name="OLE_LINK7597"/>
      <w:bookmarkStart w:id="34" w:name="OLE_LINK7691"/>
      <w:bookmarkStart w:id="35" w:name="OLE_LINK7706"/>
      <w:bookmarkStart w:id="36" w:name="OLE_LINK7690"/>
      <w:bookmarkStart w:id="37" w:name="OLE_LINK7709"/>
      <w:bookmarkStart w:id="38" w:name="OLE_LINK7910"/>
      <w:bookmarkStart w:id="39" w:name="OLE_LINK7583"/>
      <w:bookmarkStart w:id="40" w:name="OLE_LINK7578"/>
      <w:bookmarkStart w:id="41" w:name="OLE_LINK7684"/>
      <w:bookmarkStart w:id="42" w:name="OLE_LINK7703"/>
      <w:bookmarkStart w:id="43" w:name="OLE_LINK7687"/>
      <w:bookmarkStart w:id="44" w:name="OLE_LINK7710"/>
      <w:bookmarkStart w:id="45" w:name="OLE_LINK1231"/>
      <w:bookmarkStart w:id="46" w:name="OLE_LINK1269"/>
      <w:bookmarkStart w:id="47" w:name="OLE_LINK7718"/>
      <w:bookmarkStart w:id="48" w:name="OLE_LINK7571"/>
      <w:bookmarkStart w:id="49" w:name="OLE_LINK7903"/>
      <w:bookmarkStart w:id="50" w:name="OLE_LINK7574"/>
      <w:bookmarkStart w:id="51" w:name="OLE_LINK7665"/>
      <w:bookmarkStart w:id="52" w:name="OLE_LINK7655"/>
      <w:bookmarkStart w:id="53" w:name="OLE_LINK7695"/>
      <w:bookmarkStart w:id="54" w:name="OLE_LINK7809"/>
      <w:bookmarkStart w:id="55" w:name="OLE_LINK7711"/>
      <w:bookmarkStart w:id="56" w:name="OLE_LINK7635"/>
      <w:bookmarkStart w:id="57" w:name="OLE_LINK7712"/>
      <w:bookmarkStart w:id="58" w:name="OLE_LINK7699"/>
      <w:bookmarkStart w:id="59" w:name="OLE_LINK74"/>
      <w:bookmarkStart w:id="60" w:name="OLE_LINK1290"/>
      <w:bookmarkStart w:id="61" w:name="OLE_LINK3"/>
      <w:bookmarkStart w:id="62" w:name="OLE_LINK7602"/>
      <w:bookmarkStart w:id="63" w:name="OLE_LINK1303"/>
      <w:bookmarkStart w:id="64" w:name="OLE_LINK1346"/>
      <w:bookmarkStart w:id="65" w:name="OLE_LINK1241"/>
      <w:bookmarkStart w:id="66" w:name="OLE_LINK7127"/>
      <w:bookmarkStart w:id="67" w:name="OLE_LINK1232"/>
      <w:bookmarkStart w:id="68" w:name="OLE_LINK1299"/>
      <w:bookmarkStart w:id="69" w:name="OLE_LINK1327"/>
      <w:bookmarkStart w:id="70" w:name="OLE_LINK7141"/>
      <w:bookmarkStart w:id="71" w:name="OLE_LINK7515"/>
      <w:bookmarkStart w:id="72" w:name="OLE_LINK1246"/>
      <w:bookmarkStart w:id="73" w:name="OLE_LINK1220"/>
      <w:bookmarkStart w:id="74" w:name="OLE_LINK1311"/>
      <w:bookmarkStart w:id="75" w:name="OLE_LINK1199"/>
      <w:bookmarkStart w:id="76" w:name="OLE_LINK1352"/>
      <w:bookmarkStart w:id="77" w:name="OLE_LINK7736"/>
      <w:bookmarkStart w:id="78" w:name="OLE_LINK7587"/>
      <w:bookmarkStart w:id="79" w:name="OLE_LINK1342"/>
      <w:bookmarkStart w:id="80" w:name="OLE_LINK7133"/>
      <w:bookmarkStart w:id="81" w:name="OLE_LINK1261"/>
      <w:bookmarkStart w:id="82" w:name="OLE_LINK1233"/>
      <w:bookmarkStart w:id="83" w:name="OLE_LINK7652"/>
      <w:bookmarkStart w:id="84" w:name="OLE_LINK7119"/>
      <w:bookmarkStart w:id="85" w:name="OLE_LINK1286"/>
      <w:bookmarkStart w:id="86" w:name="OLE_LINK7610"/>
      <w:bookmarkStart w:id="87" w:name="OLE_LINK1272"/>
      <w:bookmarkStart w:id="88" w:name="OLE_LINK7577"/>
      <w:bookmarkStart w:id="89" w:name="OLE_LINK7649"/>
      <w:bookmarkStart w:id="90" w:name="OLE_LINK7145"/>
      <w:bookmarkStart w:id="91" w:name="OLE_LINK1219"/>
      <w:bookmarkStart w:id="92" w:name="OLE_LINK7126"/>
      <w:bookmarkStart w:id="93" w:name="OLE_LINK1295"/>
      <w:bookmarkStart w:id="94" w:name="OLE_LINK1236"/>
      <w:bookmarkStart w:id="95" w:name="OLE_LINK7158"/>
      <w:bookmarkStart w:id="96" w:name="OLE_LINK1223"/>
      <w:bookmarkStart w:id="97" w:name="OLE_LINK1291"/>
      <w:bookmarkStart w:id="98" w:name="OLE_LINK1242"/>
      <w:bookmarkStart w:id="99" w:name="OLE_LINK66"/>
      <w:bookmarkStart w:id="100" w:name="OLE_LINK61"/>
      <w:bookmarkStart w:id="101" w:name="OLE_LINK1255"/>
      <w:bookmarkStart w:id="102" w:name="OLE_LINK78"/>
      <w:bookmarkStart w:id="103" w:name="OLE_LINK7140"/>
      <w:bookmarkStart w:id="104" w:name="OLE_LINK6834"/>
      <w:bookmarkStart w:id="105" w:name="OLE_LINK7173"/>
      <w:bookmarkStart w:id="106" w:name="OLE_LINK1334"/>
      <w:bookmarkStart w:id="107" w:name="OLE_LINK1267"/>
      <w:bookmarkStart w:id="108" w:name="OLE_LINK7167"/>
      <w:bookmarkStart w:id="109" w:name="OLE_LINK6798"/>
      <w:bookmarkStart w:id="110" w:name="OLE_LINK7633"/>
      <w:bookmarkStart w:id="111" w:name="OLE_LINK7125"/>
      <w:bookmarkStart w:id="112" w:name="OLE_LINK7561"/>
      <w:bookmarkStart w:id="113" w:name="OLE_LINK1307"/>
      <w:bookmarkStart w:id="114" w:name="OLE_LINK7555"/>
      <w:bookmarkStart w:id="115" w:name="OLE_LINK1198"/>
      <w:bookmarkStart w:id="116" w:name="OLE_LINK7223"/>
      <w:bookmarkStart w:id="117" w:name="OLE_LINK7605"/>
      <w:bookmarkStart w:id="118" w:name="OLE_LINK1282"/>
      <w:bookmarkStart w:id="119" w:name="OLE_LINK1340"/>
      <w:bookmarkStart w:id="120" w:name="OLE_LINK1224"/>
      <w:bookmarkStart w:id="121" w:name="OLE_LINK1247"/>
      <w:bookmarkStart w:id="122" w:name="OLE_LINK6830"/>
      <w:bookmarkStart w:id="123" w:name="OLE_LINK7153"/>
      <w:bookmarkStart w:id="124" w:name="OLE_LINK7150"/>
      <w:bookmarkStart w:id="125" w:name="OLE_LINK6827"/>
      <w:bookmarkStart w:id="126" w:name="OLE_LINK7628"/>
      <w:bookmarkStart w:id="127" w:name="OLE_LINK7606"/>
      <w:bookmarkStart w:id="128" w:name="OLE_LINK7530"/>
      <w:bookmarkStart w:id="129" w:name="OLE_LINK7122"/>
      <w:bookmarkStart w:id="130" w:name="OLE_LINK7608"/>
      <w:bookmarkStart w:id="131" w:name="OLE_LINK7559"/>
      <w:bookmarkStart w:id="132" w:name="OLE_LINK7527"/>
      <w:bookmarkStart w:id="133" w:name="OLE_LINK7568"/>
      <w:bookmarkStart w:id="134" w:name="OLE_LINK7215"/>
      <w:bookmarkStart w:id="135" w:name="OLE_LINK7550"/>
      <w:bookmarkStart w:id="136" w:name="OLE_LINK1218"/>
      <w:bookmarkStart w:id="137" w:name="OLE_LINK7240"/>
      <w:bookmarkStart w:id="138" w:name="OLE_LINK1222"/>
      <w:bookmarkStart w:id="139" w:name="OLE_LINK7620"/>
      <w:bookmarkStart w:id="140" w:name="OLE_LINK7625"/>
      <w:bookmarkStart w:id="141" w:name="OLE_LINK7236"/>
      <w:bookmarkStart w:id="142" w:name="OLE_LINK6812"/>
      <w:bookmarkStart w:id="143" w:name="OLE_LINK7616"/>
      <w:bookmarkStart w:id="144" w:name="OLE_LINK6803"/>
      <w:bookmarkStart w:id="145" w:name="OLE_LINK6816"/>
      <w:bookmarkStart w:id="146" w:name="OLE_LINK7522"/>
      <w:bookmarkStart w:id="147" w:name="OLE_LINK7116"/>
      <w:bookmarkStart w:id="148" w:name="OLE_LINK7213"/>
      <w:bookmarkStart w:id="149" w:name="OLE_LINK7250"/>
      <w:bookmarkStart w:id="150" w:name="OLE_LINK7130"/>
      <w:bookmarkStart w:id="151" w:name="OLE_LINK7641"/>
      <w:bookmarkStart w:id="152" w:name="OLE_LINK7617"/>
      <w:bookmarkStart w:id="153" w:name="OLE_LINK7214"/>
      <w:bookmarkStart w:id="154" w:name="OLE_LINK1227"/>
      <w:bookmarkStart w:id="155" w:name="OLE_LINK7243"/>
      <w:bookmarkStart w:id="156" w:name="OLE_LINK7749"/>
      <w:bookmarkStart w:id="157" w:name="OLE_LINK7629"/>
      <w:bookmarkStart w:id="158" w:name="OLE_LINK7440"/>
      <w:bookmarkStart w:id="159" w:name="OLE_LINK7822"/>
      <w:bookmarkStart w:id="160" w:name="OLE_LINK7552"/>
      <w:bookmarkStart w:id="161" w:name="OLE_LINK7658"/>
      <w:bookmarkStart w:id="162" w:name="OLE_LINK7314"/>
      <w:bookmarkStart w:id="163" w:name="OLE_LINK7280"/>
      <w:bookmarkStart w:id="164" w:name="OLE_LINK7631"/>
      <w:bookmarkStart w:id="165" w:name="OLE_LINK7394"/>
      <w:bookmarkStart w:id="166" w:name="OLE_LINK7235"/>
      <w:bookmarkStart w:id="167" w:name="OLE_LINK7513"/>
      <w:bookmarkStart w:id="168" w:name="OLE_LINK7212"/>
      <w:bookmarkStart w:id="169" w:name="OLE_LINK7853"/>
      <w:bookmarkStart w:id="170" w:name="OLE_LINK7871"/>
      <w:bookmarkStart w:id="171" w:name="OLE_LINK7548"/>
      <w:bookmarkStart w:id="172" w:name="OLE_LINK7648"/>
      <w:bookmarkStart w:id="173" w:name="OLE_LINK7642"/>
      <w:bookmarkStart w:id="174" w:name="OLE_LINK7786"/>
      <w:bookmarkStart w:id="175" w:name="OLE_LINK7228"/>
      <w:bookmarkStart w:id="176" w:name="OLE_LINK7864"/>
      <w:bookmarkStart w:id="177" w:name="OLE_LINK7547"/>
      <w:bookmarkStart w:id="178" w:name="OLE_LINK7611"/>
      <w:bookmarkStart w:id="179" w:name="OLE_LINK7422"/>
      <w:bookmarkStart w:id="180" w:name="OLE_LINK7579"/>
      <w:bookmarkStart w:id="181" w:name="OLE_LINK7253"/>
      <w:bookmarkStart w:id="182" w:name="OLE_LINK7840"/>
      <w:bookmarkStart w:id="183" w:name="OLE_LINK7805"/>
      <w:bookmarkStart w:id="184" w:name="OLE_LINK7573"/>
      <w:bookmarkStart w:id="185" w:name="OLE_LINK7533"/>
      <w:bookmarkStart w:id="186" w:name="OLE_LINK7237"/>
      <w:bookmarkStart w:id="187" w:name="OLE_LINK7720"/>
      <w:bookmarkStart w:id="188" w:name="OLE_LINK7756"/>
      <w:bookmarkStart w:id="189" w:name="OLE_LINK7286"/>
      <w:bookmarkStart w:id="190" w:name="OLE_LINK7883"/>
      <w:bookmarkStart w:id="191" w:name="OLE_LINK7562"/>
      <w:bookmarkStart w:id="192" w:name="OLE_LINK7862"/>
      <w:bookmarkStart w:id="193" w:name="OLE_LINK7426"/>
      <w:bookmarkStart w:id="194" w:name="OLE_LINK7983"/>
      <w:bookmarkStart w:id="195" w:name="OLE_LINK7588"/>
      <w:bookmarkStart w:id="196" w:name="OLE_LINK7850"/>
      <w:bookmarkStart w:id="197" w:name="OLE_LINK7793"/>
      <w:bookmarkStart w:id="198" w:name="OLE_LINK7801"/>
      <w:bookmarkStart w:id="199" w:name="OLE_LINK7796"/>
      <w:bookmarkStart w:id="200" w:name="OLE_LINK7834"/>
      <w:bookmarkStart w:id="201" w:name="OLE_LINK7730"/>
      <w:bookmarkStart w:id="202" w:name="OLE_LINK7526"/>
      <w:bookmarkStart w:id="203" w:name="OLE_LINK7306"/>
      <w:bookmarkStart w:id="204" w:name="OLE_LINK7593"/>
      <w:bookmarkStart w:id="205" w:name="OLE_LINK7667"/>
      <w:bookmarkStart w:id="206" w:name="OLE_LINK7888"/>
      <w:bookmarkStart w:id="207" w:name="OLE_LINK7572"/>
      <w:bookmarkStart w:id="208" w:name="OLE_LINK7646"/>
      <w:bookmarkStart w:id="209" w:name="OLE_LINK7739"/>
      <w:bookmarkStart w:id="210" w:name="OLE_LINK7403"/>
      <w:bookmarkStart w:id="211" w:name="OLE_LINK7389"/>
      <w:bookmarkStart w:id="212" w:name="OLE_LINK7275"/>
      <w:bookmarkStart w:id="213" w:name="OLE_LINK7386"/>
      <w:bookmarkStart w:id="214" w:name="OLE_LINK7269"/>
      <w:bookmarkStart w:id="215" w:name="OLE_LINK7293"/>
      <w:bookmarkStart w:id="216" w:name="OLE_LINK7619"/>
      <w:bookmarkStart w:id="217" w:name="OLE_LINK7858"/>
      <w:bookmarkStart w:id="218" w:name="OLE_LINK7743"/>
      <w:bookmarkStart w:id="219" w:name="OLE_LINK7255"/>
      <w:bookmarkStart w:id="220" w:name="OLE_LINK7818"/>
      <w:bookmarkStart w:id="221" w:name="OLE_LINK7825"/>
      <w:bookmarkStart w:id="222" w:name="OLE_LINK7898"/>
      <w:bookmarkStart w:id="223" w:name="OLE_LINK7708"/>
      <w:bookmarkStart w:id="224" w:name="OLE_LINK7867"/>
      <w:bookmarkStart w:id="225" w:name="OLE_LINK7894"/>
      <w:bookmarkStart w:id="226" w:name="OLE_LINK65"/>
      <w:bookmarkStart w:id="227" w:name="OLE_LINK7721"/>
      <w:bookmarkStart w:id="228" w:name="OLE_LINK7846"/>
      <w:bookmarkStart w:id="229" w:name="OLE_LINK7814"/>
      <w:bookmarkStart w:id="230" w:name="OLE_LINK11"/>
      <w:bookmarkStart w:id="231" w:name="OLE_LINK7844"/>
      <w:bookmarkStart w:id="232" w:name="OLE_LINK7836"/>
      <w:bookmarkStart w:id="233" w:name="OLE_LINK7879"/>
      <w:bookmarkStart w:id="234" w:name="OLE_LINK7685"/>
      <w:bookmarkStart w:id="235" w:name="OLE_LINK7897"/>
      <w:bookmarkStart w:id="236" w:name="OLE_LINK7820"/>
      <w:bookmarkStart w:id="237" w:name="OLE_LINK7304"/>
      <w:bookmarkStart w:id="238" w:name="OLE_LINK7901"/>
      <w:bookmarkStart w:id="239" w:name="OLE_LINK7882"/>
      <w:bookmarkStart w:id="240" w:name="OLE_LINK7877"/>
      <w:bookmarkStart w:id="241" w:name="OLE_LINK7722"/>
      <w:bookmarkStart w:id="242" w:name="OLE_LINK7876"/>
      <w:bookmarkStart w:id="243" w:name="OLE_LINK7843"/>
      <w:bookmarkStart w:id="244" w:name="OLE_LINK7261"/>
      <w:bookmarkStart w:id="245" w:name="OLE_LINK7896"/>
      <w:bookmarkStart w:id="246" w:name="OLE_LINK7863"/>
      <w:bookmarkStart w:id="247" w:name="OLE_LINK7885"/>
      <w:bookmarkStart w:id="248" w:name="OLE_LINK7813"/>
      <w:bookmarkStart w:id="249" w:name="OLE_LINK7734"/>
      <w:bookmarkStart w:id="250" w:name="OLE_LINK216"/>
      <w:bookmarkStart w:id="251" w:name="OLE_LINK14"/>
      <w:bookmarkStart w:id="252" w:name="OLE_LINK12"/>
      <w:bookmarkStart w:id="253" w:name="OLE_LINK1310"/>
      <w:bookmarkStart w:id="254" w:name="OLE_LINK197"/>
      <w:bookmarkStart w:id="255" w:name="OLE_LINK2"/>
      <w:bookmarkStart w:id="256" w:name="OLE_LINK1"/>
      <w:bookmarkStart w:id="257" w:name="OLE_LINK7224"/>
      <w:bookmarkStart w:id="258" w:name="OLE_LINK75"/>
      <w:bookmarkStart w:id="259" w:name="OLE_LINK1297"/>
      <w:bookmarkStart w:id="260" w:name="OLE_LINK1250"/>
      <w:bookmarkStart w:id="261" w:name="OLE_LINK7264"/>
      <w:bookmarkStart w:id="262" w:name="OLE_LINK1318"/>
      <w:bookmarkStart w:id="263" w:name="OLE_LINK184"/>
      <w:bookmarkStart w:id="264" w:name="OLE_LINK226"/>
      <w:bookmarkStart w:id="265" w:name="OLE_LINK219"/>
      <w:bookmarkStart w:id="266" w:name="OLE_LINK1325"/>
      <w:bookmarkStart w:id="267" w:name="OLE_LINK82"/>
      <w:bookmarkStart w:id="268" w:name="OLE_LINK7"/>
      <w:bookmarkStart w:id="269" w:name="OLE_LINK42"/>
      <w:bookmarkStart w:id="270" w:name="OLE_LINK1322"/>
      <w:bookmarkStart w:id="271" w:name="OLE_LINK20"/>
      <w:bookmarkStart w:id="272" w:name="OLE_LINK51"/>
      <w:bookmarkStart w:id="273" w:name="OLE_LINK103"/>
      <w:bookmarkStart w:id="274" w:name="OLE_LINK241"/>
      <w:bookmarkStart w:id="275" w:name="OLE_LINK7234"/>
      <w:bookmarkStart w:id="276" w:name="OLE_LINK7274"/>
      <w:bookmarkStart w:id="277" w:name="OLE_LINK49"/>
      <w:bookmarkStart w:id="278" w:name="OLE_LINK7985"/>
      <w:bookmarkStart w:id="279" w:name="OLE_LINK1276"/>
      <w:bookmarkStart w:id="280" w:name="OLE_LINK26"/>
      <w:bookmarkStart w:id="281" w:name="OLE_LINK57"/>
      <w:bookmarkStart w:id="282" w:name="OLE_LINK1301"/>
      <w:bookmarkStart w:id="283" w:name="OLE_LINK1262"/>
      <w:bookmarkStart w:id="284" w:name="OLE_LINK1244"/>
      <w:bookmarkStart w:id="285" w:name="OLE_LINK36"/>
      <w:bookmarkStart w:id="286" w:name="OLE_LINK1326"/>
      <w:bookmarkStart w:id="287" w:name="OLE_LINK7259"/>
      <w:bookmarkStart w:id="288" w:name="OLE_LINK7241"/>
      <w:bookmarkStart w:id="289" w:name="OLE_LINK1283"/>
      <w:bookmarkStart w:id="290" w:name="OLE_LINK7630"/>
      <w:bookmarkStart w:id="291" w:name="OLE_LINK1273"/>
      <w:bookmarkStart w:id="292" w:name="OLE_LINK220"/>
      <w:bookmarkStart w:id="293" w:name="OLE_LINK187"/>
      <w:bookmarkStart w:id="294" w:name="OLE_LINK7229"/>
      <w:bookmarkStart w:id="295" w:name="OLE_LINK1324"/>
      <w:bookmarkStart w:id="296" w:name="OLE_LINK19"/>
      <w:bookmarkStart w:id="297" w:name="OLE_LINK1256"/>
      <w:bookmarkStart w:id="298" w:name="OLE_LINK7244"/>
      <w:bookmarkStart w:id="299" w:name="OLE_LINK233"/>
      <w:bookmarkStart w:id="300" w:name="OLE_LINK1225"/>
      <w:bookmarkStart w:id="301" w:name="OLE_LINK203"/>
      <w:bookmarkStart w:id="302" w:name="OLE_LINK1251"/>
      <w:bookmarkStart w:id="303" w:name="OLE_LINK1237"/>
      <w:bookmarkStart w:id="304" w:name="OLE_LINK229"/>
      <w:bookmarkStart w:id="305" w:name="OLE_LINK208"/>
      <w:bookmarkStart w:id="306" w:name="OLE_LINK1319"/>
      <w:bookmarkStart w:id="307" w:name="OLE_LINK192"/>
      <w:bookmarkStart w:id="308" w:name="OLE_LINK7268"/>
      <w:bookmarkStart w:id="309" w:name="OLE_LINK1292"/>
      <w:bookmarkStart w:id="310" w:name="OLE_LINK7654"/>
      <w:bookmarkStart w:id="311" w:name="OLE_LINK174"/>
      <w:bookmarkStart w:id="312" w:name="OLE_LINK7279"/>
      <w:bookmarkStart w:id="313" w:name="OLE_LINK177"/>
      <w:bookmarkStart w:id="314" w:name="OLE_LINK7305"/>
      <w:bookmarkStart w:id="315" w:name="OLE_LINK1305"/>
      <w:bookmarkStart w:id="316" w:name="OLE_LINK1315"/>
      <w:bookmarkStart w:id="317" w:name="OLE_LINK7682"/>
      <w:bookmarkStart w:id="318" w:name="OLE_LINK7290"/>
      <w:bookmarkStart w:id="319" w:name="OLE_LINK7693"/>
      <w:bookmarkStart w:id="320" w:name="OLE_LINK7296"/>
      <w:bookmarkStart w:id="321" w:name="OLE_LINK7670"/>
      <w:bookmarkStart w:id="322" w:name="OLE_LINK7688"/>
      <w:bookmarkStart w:id="323" w:name="OLE_LINK7300"/>
      <w:bookmarkStart w:id="324" w:name="OLE_LINK7811"/>
      <w:bookmarkStart w:id="325" w:name="OLE_LINK15"/>
      <w:bookmarkStart w:id="326" w:name="OLE_LINK1312"/>
      <w:bookmarkStart w:id="327" w:name="OLE_LINK7383"/>
      <w:bookmarkStart w:id="328" w:name="OLE_LINK7322"/>
      <w:bookmarkStart w:id="329" w:name="OLE_LINK7313"/>
      <w:bookmarkStart w:id="330" w:name="OLE_LINK7644"/>
      <w:bookmarkStart w:id="331" w:name="OLE_LINK7681"/>
      <w:bookmarkStart w:id="332" w:name="OLE_LINK7765"/>
      <w:bookmarkStart w:id="333" w:name="OLE_LINK7666"/>
      <w:bookmarkStart w:id="334" w:name="OLE_LINK7650"/>
      <w:bookmarkStart w:id="335" w:name="OLE_LINK7639"/>
      <w:bookmarkStart w:id="336" w:name="OLE_LINK7301"/>
      <w:bookmarkStart w:id="337" w:name="OLE_LINK7732"/>
      <w:bookmarkStart w:id="338" w:name="OLE_LINK7700"/>
      <w:bookmarkStart w:id="339" w:name="OLE_LINK7302"/>
      <w:bookmarkStart w:id="340" w:name="OLE_LINK23"/>
      <w:bookmarkStart w:id="341" w:name="OLE_LINK7724"/>
      <w:bookmarkStart w:id="342" w:name="OLE_LINK7288"/>
      <w:bookmarkStart w:id="343" w:name="OLE_LINK21"/>
      <w:bookmarkStart w:id="344" w:name="OLE_LINK7772"/>
      <w:bookmarkStart w:id="345" w:name="OLE_LINK7744"/>
      <w:bookmarkStart w:id="346" w:name="OLE_LINK7788"/>
      <w:bookmarkStart w:id="347" w:name="OLE_LINK7753"/>
      <w:bookmarkStart w:id="348" w:name="OLE_LINK7727"/>
      <w:bookmarkStart w:id="349" w:name="OLE_LINK7623"/>
      <w:bookmarkStart w:id="350" w:name="OLE_LINK7326"/>
      <w:bookmarkStart w:id="351" w:name="OLE_LINK7618"/>
      <w:bookmarkStart w:id="352" w:name="OLE_LINK7538"/>
      <w:bookmarkStart w:id="353" w:name="OLE_LINK7378"/>
      <w:bookmarkStart w:id="354" w:name="OLE_LINK7348"/>
      <w:bookmarkStart w:id="355" w:name="OLE_LINK7404"/>
      <w:bookmarkStart w:id="356" w:name="OLE_LINK7263"/>
      <w:bookmarkStart w:id="357" w:name="OLE_LINK7324"/>
      <w:bookmarkStart w:id="358" w:name="OLE_LINK7379"/>
      <w:bookmarkStart w:id="359" w:name="OLE_LINK7265"/>
      <w:bookmarkStart w:id="360" w:name="OLE_LINK7245"/>
      <w:bookmarkStart w:id="361" w:name="OLE_LINK7238"/>
      <w:bookmarkStart w:id="362" w:name="OLE_LINK7775"/>
      <w:bookmarkStart w:id="363" w:name="OLE_LINK7800"/>
      <w:bookmarkStart w:id="364" w:name="OLE_LINK7308"/>
      <w:bookmarkStart w:id="365" w:name="OLE_LINK7791"/>
      <w:bookmarkStart w:id="366" w:name="OLE_LINK7675"/>
      <w:bookmarkStart w:id="367" w:name="OLE_LINK7794"/>
      <w:bookmarkStart w:id="368" w:name="OLE_LINK7810"/>
      <w:bookmarkStart w:id="369" w:name="OLE_LINK7769"/>
      <w:bookmarkStart w:id="370" w:name="OLE_LINK7761"/>
      <w:bookmarkStart w:id="371" w:name="OLE_LINK7754"/>
      <w:bookmarkStart w:id="372" w:name="OLE_LINK7806"/>
      <w:bookmarkStart w:id="373" w:name="OLE_LINK7376"/>
      <w:bookmarkStart w:id="374" w:name="OLE_LINK7785"/>
      <w:bookmarkStart w:id="375" w:name="OLE_LINK7254"/>
      <w:bookmarkStart w:id="376" w:name="OLE_LINK7803"/>
      <w:bookmarkStart w:id="377" w:name="OLE_LINK7295"/>
      <w:bookmarkStart w:id="378" w:name="OLE_LINK7787"/>
      <w:bookmarkStart w:id="379" w:name="OLE_LINK7282"/>
      <w:bookmarkStart w:id="380" w:name="OLE_LINK7432"/>
      <w:bookmarkStart w:id="381" w:name="OLE_LINK7534"/>
      <w:bookmarkStart w:id="382" w:name="OLE_LINK7747"/>
      <w:bookmarkStart w:id="383" w:name="OLE_LINK7344"/>
      <w:bookmarkStart w:id="384" w:name="OLE_LINK7523"/>
      <w:bookmarkStart w:id="385" w:name="OLE_LINK7360"/>
      <w:bookmarkStart w:id="386" w:name="OLE_LINK1353"/>
      <w:bookmarkStart w:id="387" w:name="OLE_LINK7307"/>
      <w:bookmarkStart w:id="388" w:name="OLE_LINK7303"/>
      <w:bookmarkStart w:id="389" w:name="OLE_LINK7815"/>
      <w:bookmarkStart w:id="390" w:name="OLE_LINK7266"/>
      <w:bookmarkStart w:id="391" w:name="OLE_LINK7335"/>
      <w:bookmarkStart w:id="392" w:name="OLE_LINK7424"/>
      <w:bookmarkStart w:id="393" w:name="OLE_LINK7395"/>
      <w:bookmarkStart w:id="394" w:name="OLE_LINK7260"/>
      <w:bookmarkStart w:id="395" w:name="OLE_LINK7272"/>
      <w:bookmarkStart w:id="396" w:name="OLE_LINK7357"/>
      <w:bookmarkStart w:id="397" w:name="OLE_LINK7343"/>
      <w:bookmarkStart w:id="398" w:name="OLE_LINK7689"/>
      <w:bookmarkStart w:id="399" w:name="OLE_LINK7287"/>
      <w:bookmarkStart w:id="400" w:name="OLE_LINK7407"/>
      <w:bookmarkStart w:id="401" w:name="OLE_LINK7340"/>
      <w:bookmarkStart w:id="402" w:name="OLE_LINK7701"/>
      <w:bookmarkStart w:id="403" w:name="OLE_LINK7292"/>
      <w:bookmarkStart w:id="404" w:name="OLE_LINK7900"/>
      <w:bookmarkStart w:id="405" w:name="OLE_LINK7676"/>
      <w:bookmarkStart w:id="406" w:name="OLE_LINK7795"/>
      <w:bookmarkStart w:id="407" w:name="OLE_LINK7779"/>
      <w:bookmarkStart w:id="408" w:name="OLE_LINK7351"/>
      <w:bookmarkStart w:id="409" w:name="OLE_LINK7317"/>
      <w:bookmarkStart w:id="410" w:name="OLE_LINK7415"/>
      <w:bookmarkStart w:id="411" w:name="OLE_LINK1436"/>
      <w:bookmarkStart w:id="412" w:name="OLE_LINK7906"/>
      <w:bookmarkStart w:id="413" w:name="OLE_LINK7777"/>
      <w:bookmarkStart w:id="414" w:name="OLE_LINK7384"/>
      <w:bookmarkStart w:id="415" w:name="OLE_LINK1344"/>
      <w:bookmarkStart w:id="416" w:name="OLE_LINK7866"/>
      <w:bookmarkStart w:id="417" w:name="OLE_LINK1490"/>
      <w:bookmarkStart w:id="418" w:name="OLE_LINK1371"/>
      <w:bookmarkStart w:id="419" w:name="OLE_LINK1492"/>
      <w:bookmarkStart w:id="420" w:name="OLE_LINK7776"/>
      <w:bookmarkStart w:id="421" w:name="OLE_LINK7411"/>
      <w:bookmarkStart w:id="422" w:name="OLE_LINK1348"/>
      <w:bookmarkStart w:id="423" w:name="OLE_LINK7418"/>
      <w:bookmarkStart w:id="424" w:name="OLE_LINK1379"/>
      <w:bookmarkStart w:id="425" w:name="OLE_LINK7854"/>
      <w:bookmarkStart w:id="426" w:name="OLE_LINK7781"/>
      <w:bookmarkStart w:id="427" w:name="OLE_LINK7330"/>
      <w:bookmarkStart w:id="428" w:name="OLE_LINK7889"/>
      <w:bookmarkStart w:id="429" w:name="OLE_LINK7816"/>
      <w:bookmarkStart w:id="430" w:name="OLE_LINK1364"/>
      <w:bookmarkStart w:id="431" w:name="OLE_LINK7916"/>
      <w:bookmarkStart w:id="432" w:name="OLE_LINK7368"/>
      <w:bookmarkStart w:id="433" w:name="OLE_LINK1335"/>
      <w:bookmarkStart w:id="434" w:name="OLE_LINK7729"/>
      <w:bookmarkStart w:id="435" w:name="OLE_LINK1457"/>
      <w:bookmarkStart w:id="436" w:name="OLE_LINK7372"/>
      <w:bookmarkStart w:id="437" w:name="OLE_LINK7913"/>
      <w:bookmarkStart w:id="438" w:name="OLE_LINK1356"/>
      <w:bookmarkStart w:id="439" w:name="OLE_LINK1375"/>
      <w:bookmarkStart w:id="440" w:name="OLE_LINK7361"/>
      <w:bookmarkStart w:id="441" w:name="OLE_LINK7909"/>
      <w:bookmarkStart w:id="442" w:name="OLE_LINK1391"/>
      <w:bookmarkStart w:id="443" w:name="OLE_LINK1477"/>
      <w:bookmarkStart w:id="444" w:name="OLE_LINK1412"/>
      <w:bookmarkStart w:id="445" w:name="OLE_LINK1452"/>
      <w:bookmarkStart w:id="446" w:name="OLE_LINK1429"/>
      <w:bookmarkStart w:id="447" w:name="OLE_LINK1474"/>
      <w:bookmarkStart w:id="448" w:name="OLE_LINK1496"/>
      <w:bookmarkStart w:id="449" w:name="OLE_LINK1343"/>
      <w:bookmarkStart w:id="450" w:name="OLE_LINK7674"/>
      <w:bookmarkStart w:id="451" w:name="OLE_LINK1508"/>
      <w:bookmarkStart w:id="452" w:name="OLE_LINK1466"/>
      <w:bookmarkStart w:id="453" w:name="OLE_LINK1484"/>
      <w:bookmarkStart w:id="454" w:name="OLE_LINK7878"/>
      <w:bookmarkStart w:id="455" w:name="OLE_LINK1433"/>
      <w:bookmarkStart w:id="456" w:name="OLE_LINK1387"/>
      <w:bookmarkStart w:id="457" w:name="OLE_LINK7804"/>
      <w:bookmarkStart w:id="458" w:name="OLE_LINK1361"/>
      <w:bookmarkStart w:id="459" w:name="OLE_LINK7704"/>
      <w:bookmarkStart w:id="460" w:name="OLE_LINK7683"/>
      <w:bookmarkStart w:id="461" w:name="OLE_LINK7848"/>
      <w:bookmarkStart w:id="462" w:name="OLE_LINK1384"/>
      <w:bookmarkStart w:id="463" w:name="OLE_LINK1402"/>
      <w:bookmarkStart w:id="464" w:name="OLE_LINK1503"/>
      <w:bookmarkStart w:id="465" w:name="OLE_LINK7841"/>
      <w:bookmarkStart w:id="466" w:name="OLE_LINK7771"/>
      <w:bookmarkStart w:id="467" w:name="OLE_LINK1478"/>
      <w:bookmarkStart w:id="468" w:name="OLE_LINK1499"/>
      <w:bookmarkStart w:id="469" w:name="OLE_LINK1395"/>
      <w:bookmarkStart w:id="470" w:name="OLE_LINK7789"/>
      <w:bookmarkStart w:id="471" w:name="OLE_LINK1449"/>
      <w:bookmarkStart w:id="472" w:name="OLE_LINK1399"/>
      <w:bookmarkStart w:id="473" w:name="OLE_LINK1365"/>
      <w:r>
        <w:rPr>
          <w:rFonts w:ascii="Book Antiqua" w:hAnsi="Book Antiqua"/>
        </w:rPr>
        <w:t>January 22,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38693DE1" w14:textId="77777777" w:rsidR="00FD3B98"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February 28, 2024</w:t>
      </w:r>
    </w:p>
    <w:p w14:paraId="38779F9B" w14:textId="77777777" w:rsidR="00FD3B98" w:rsidRDefault="00FD3B98">
      <w:pPr>
        <w:spacing w:line="360" w:lineRule="auto"/>
        <w:jc w:val="both"/>
        <w:rPr>
          <w:rFonts w:ascii="Book Antiqua" w:eastAsia="Book Antiqua" w:hAnsi="Book Antiqua" w:cs="Book Antiqua"/>
          <w:b/>
        </w:rPr>
      </w:pPr>
    </w:p>
    <w:p w14:paraId="6032BFFE" w14:textId="77777777" w:rsidR="00FD3B98" w:rsidRDefault="00000000">
      <w:pPr>
        <w:spacing w:line="360" w:lineRule="auto"/>
        <w:jc w:val="both"/>
        <w:rPr>
          <w:rFonts w:ascii="Book Antiqua" w:hAnsi="Book Antiqua"/>
        </w:rPr>
      </w:pPr>
      <w:r>
        <w:rPr>
          <w:rFonts w:ascii="Book Antiqua" w:eastAsia="Book Antiqua" w:hAnsi="Book Antiqua" w:cs="Book Antiqua"/>
          <w:b/>
        </w:rPr>
        <w:t>Abstract</w:t>
      </w:r>
    </w:p>
    <w:p w14:paraId="15FC6671" w14:textId="77777777" w:rsidR="00FD3B98" w:rsidRDefault="00000000">
      <w:pPr>
        <w:spacing w:line="360" w:lineRule="auto"/>
        <w:jc w:val="both"/>
        <w:rPr>
          <w:rFonts w:ascii="Book Antiqua" w:hAnsi="Book Antiqua"/>
        </w:rPr>
      </w:pPr>
      <w:r>
        <w:rPr>
          <w:rFonts w:ascii="Book Antiqua" w:eastAsia="Book Antiqua" w:hAnsi="Book Antiqua" w:cs="Book Antiqua"/>
        </w:rPr>
        <w:t>Endoscopic ultrasound (EUS) with fine needle aspiration or fine needle biopsy is the gold standard for sampling tissue to diagnose pancreatic cancer and autoimmune pancreatitis or to analyze cyst fluid. The most common reported adverse event of fine needle aspiration and/or fine needle biopsy is acute pancreatitis, which is likely induced by the same pathophysiological mechanisms as after endoscopic retrograde cholangiopancreatography (ERCP). According to the current European Society of Gastrointestinal Endoscopy guideline, nonsteroidal anti-inflammatory drugs are administered prior to ERCP as a scientifically proven treatment to reduce post-ERCP pancreatitis incidence rate. A single suppository of diclofenac or indomethacin prior to EUS guided tissue acquisition (TA) is harmless in healthy adults. Since it is associated with low costs and, most important, may prevent a dreadsome complication, we strongly recommend the administration of 100 mg diclofenac rectally prior to EUS-TA. We will explain this recommendation in more detail in this review as well as the risk and pathophysiology of post-EUS TA pancreatitis.</w:t>
      </w:r>
    </w:p>
    <w:p w14:paraId="0EF2B780" w14:textId="77777777" w:rsidR="00FD3B98" w:rsidRDefault="00FD3B98">
      <w:pPr>
        <w:spacing w:line="360" w:lineRule="auto"/>
        <w:jc w:val="both"/>
        <w:rPr>
          <w:rFonts w:ascii="Book Antiqua" w:hAnsi="Book Antiqua"/>
        </w:rPr>
      </w:pPr>
    </w:p>
    <w:p w14:paraId="107650B1" w14:textId="77777777" w:rsidR="00FD3B98"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Pancreatitis; Endoscopic ultrasound; Tissue acquisition; Nonsteroidal anti-inflammatory drugs; Pancreatic cancer</w:t>
      </w:r>
    </w:p>
    <w:p w14:paraId="4ECB6826" w14:textId="77777777" w:rsidR="008B735A" w:rsidRDefault="008B735A" w:rsidP="008B735A">
      <w:bookmarkStart w:id="474" w:name="_Hlk159570424"/>
    </w:p>
    <w:p w14:paraId="6C674DF2" w14:textId="77777777" w:rsidR="008B735A" w:rsidRDefault="008B735A" w:rsidP="008B735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474"/>
    <w:p w14:paraId="260249B4" w14:textId="77777777" w:rsidR="00FD3B98" w:rsidRDefault="00FD3B98">
      <w:pPr>
        <w:spacing w:line="360" w:lineRule="auto"/>
        <w:jc w:val="both"/>
        <w:rPr>
          <w:rFonts w:ascii="Book Antiqua" w:hAnsi="Book Antiqua"/>
        </w:rPr>
      </w:pPr>
    </w:p>
    <w:p w14:paraId="1D49B963" w14:textId="64C26085" w:rsidR="009E213C" w:rsidRDefault="009E213C">
      <w:pPr>
        <w:spacing w:line="360" w:lineRule="auto"/>
        <w:jc w:val="both"/>
        <w:rPr>
          <w:rFonts w:ascii="Book Antiqua" w:eastAsia="Book Antiqua" w:hAnsi="Book Antiqua" w:cs="Book Antiqua"/>
        </w:rPr>
      </w:pPr>
      <w:r w:rsidRPr="0076083A">
        <w:rPr>
          <w:rFonts w:ascii="Book Antiqua" w:eastAsia="Book Antiqua" w:hAnsi="Book Antiqua" w:cs="Book Antiqua"/>
          <w:b/>
          <w:bCs/>
          <w:lang w:val="pt-PT"/>
        </w:rPr>
        <w:t>Citation</w:t>
      </w:r>
      <w:r>
        <w:rPr>
          <w:rFonts w:ascii="Book Antiqua" w:eastAsia="Book Antiqua" w:hAnsi="Book Antiqua" w:cs="Book Antiqua"/>
          <w:lang w:val="pt-PT"/>
        </w:rPr>
        <w:t xml:space="preserve">: </w:t>
      </w:r>
      <w:r w:rsidR="00000000">
        <w:rPr>
          <w:rFonts w:ascii="Book Antiqua" w:eastAsia="Book Antiqua" w:hAnsi="Book Antiqua" w:cs="Book Antiqua"/>
          <w:lang w:val="en-GB"/>
        </w:rPr>
        <w:t xml:space="preserve">de Jong M, van Delft F, </w:t>
      </w:r>
      <w:proofErr w:type="spellStart"/>
      <w:r w:rsidR="00000000">
        <w:rPr>
          <w:rFonts w:ascii="Book Antiqua" w:eastAsia="Book Antiqua" w:hAnsi="Book Antiqua" w:cs="Book Antiqua"/>
          <w:lang w:val="en-GB"/>
        </w:rPr>
        <w:t>Roozen</w:t>
      </w:r>
      <w:proofErr w:type="spellEnd"/>
      <w:r w:rsidR="00000000">
        <w:rPr>
          <w:rFonts w:ascii="Book Antiqua" w:eastAsia="Book Antiqua" w:hAnsi="Book Antiqua" w:cs="Book Antiqua"/>
          <w:lang w:val="en-GB"/>
        </w:rPr>
        <w:t xml:space="preserve"> C, van </w:t>
      </w:r>
      <w:proofErr w:type="spellStart"/>
      <w:r w:rsidR="00000000">
        <w:rPr>
          <w:rFonts w:ascii="Book Antiqua" w:eastAsia="Book Antiqua" w:hAnsi="Book Antiqua" w:cs="Book Antiqua"/>
          <w:lang w:val="en-GB"/>
        </w:rPr>
        <w:t>Geenen</w:t>
      </w:r>
      <w:proofErr w:type="spellEnd"/>
      <w:r w:rsidR="00000000">
        <w:rPr>
          <w:rFonts w:ascii="Book Antiqua" w:eastAsia="Book Antiqua" w:hAnsi="Book Antiqua" w:cs="Book Antiqua"/>
          <w:lang w:val="en-GB"/>
        </w:rPr>
        <w:t xml:space="preserve"> EJ, </w:t>
      </w:r>
      <w:proofErr w:type="spellStart"/>
      <w:r w:rsidR="00000000">
        <w:rPr>
          <w:rFonts w:ascii="Book Antiqua" w:eastAsia="Book Antiqua" w:hAnsi="Book Antiqua" w:cs="Book Antiqua"/>
          <w:lang w:val="en-GB"/>
        </w:rPr>
        <w:t>Bisseling</w:t>
      </w:r>
      <w:proofErr w:type="spellEnd"/>
      <w:r w:rsidR="00000000">
        <w:rPr>
          <w:rFonts w:ascii="Book Antiqua" w:eastAsia="Book Antiqua" w:hAnsi="Book Antiqua" w:cs="Book Antiqua"/>
          <w:lang w:val="en-GB"/>
        </w:rPr>
        <w:t xml:space="preserve"> T, </w:t>
      </w:r>
      <w:proofErr w:type="spellStart"/>
      <w:r w:rsidR="00000000">
        <w:rPr>
          <w:rFonts w:ascii="Book Antiqua" w:eastAsia="Book Antiqua" w:hAnsi="Book Antiqua" w:cs="Book Antiqua"/>
          <w:lang w:val="en-GB"/>
        </w:rPr>
        <w:t>Siersema</w:t>
      </w:r>
      <w:proofErr w:type="spellEnd"/>
      <w:r w:rsidR="00000000">
        <w:rPr>
          <w:rFonts w:ascii="Book Antiqua" w:eastAsia="Book Antiqua" w:hAnsi="Book Antiqua" w:cs="Book Antiqua"/>
          <w:lang w:val="en-GB"/>
        </w:rPr>
        <w:t xml:space="preserve"> P, Bruno M. </w:t>
      </w:r>
      <w:r w:rsidR="00000000">
        <w:rPr>
          <w:rFonts w:ascii="Book Antiqua" w:eastAsia="Book Antiqua" w:hAnsi="Book Antiqua" w:cs="Book Antiqua"/>
        </w:rPr>
        <w:t xml:space="preserve">Nonsteroidal anti-inflammatory drugs before endoscopic ultrasound guided tissue acquisition to reduce the incidence of post procedural pancreatitis. </w:t>
      </w:r>
      <w:r w:rsidR="00000000">
        <w:rPr>
          <w:rFonts w:ascii="Book Antiqua" w:eastAsia="Book Antiqua" w:hAnsi="Book Antiqua" w:cs="Book Antiqua"/>
          <w:i/>
          <w:iCs/>
        </w:rPr>
        <w:t>World</w:t>
      </w:r>
      <w:r w:rsidR="00000000">
        <w:rPr>
          <w:rFonts w:ascii="Book Antiqua" w:eastAsia="Book Antiqua" w:hAnsi="Book Antiqua" w:cs="Book Antiqua"/>
        </w:rPr>
        <w:t xml:space="preserve"> </w:t>
      </w:r>
      <w:r w:rsidR="00000000">
        <w:rPr>
          <w:rFonts w:ascii="Book Antiqua" w:eastAsia="Book Antiqua" w:hAnsi="Book Antiqua" w:cs="Book Antiqua"/>
          <w:i/>
          <w:iCs/>
        </w:rPr>
        <w:t>J</w:t>
      </w:r>
      <w:r w:rsidR="00000000">
        <w:rPr>
          <w:rFonts w:ascii="Book Antiqua" w:eastAsia="Book Antiqua" w:hAnsi="Book Antiqua" w:cs="Book Antiqua"/>
        </w:rPr>
        <w:t xml:space="preserve"> </w:t>
      </w:r>
      <w:r w:rsidR="00000000">
        <w:rPr>
          <w:rFonts w:ascii="Book Antiqua" w:eastAsia="Book Antiqua" w:hAnsi="Book Antiqua" w:cs="Book Antiqua"/>
          <w:i/>
          <w:iCs/>
        </w:rPr>
        <w:t>Gastroenterol</w:t>
      </w:r>
      <w:r w:rsidR="00000000">
        <w:rPr>
          <w:rFonts w:ascii="Book Antiqua" w:eastAsia="Book Antiqua" w:hAnsi="Book Antiqua" w:cs="Book Antiqua"/>
        </w:rPr>
        <w:t xml:space="preserve"> 2024; </w:t>
      </w:r>
      <w:r w:rsidR="00000000">
        <w:rPr>
          <w:rFonts w:ascii="Book Antiqua" w:eastAsia="Book Antiqua" w:hAnsi="Book Antiqua" w:cs="Book Antiqua" w:hint="eastAsia"/>
        </w:rPr>
        <w:t xml:space="preserve">30(8): </w:t>
      </w:r>
      <w:r w:rsidR="00946FCB" w:rsidRPr="00946FCB">
        <w:rPr>
          <w:rFonts w:ascii="Book Antiqua" w:eastAsia="Book Antiqua" w:hAnsi="Book Antiqua" w:cs="Book Antiqua"/>
        </w:rPr>
        <w:t>811-816</w:t>
      </w:r>
    </w:p>
    <w:p w14:paraId="2F8F33C3" w14:textId="0117F10D" w:rsidR="009E213C" w:rsidRDefault="00000000">
      <w:pPr>
        <w:spacing w:line="360" w:lineRule="auto"/>
        <w:jc w:val="both"/>
        <w:rPr>
          <w:rFonts w:ascii="Book Antiqua" w:eastAsia="Book Antiqua" w:hAnsi="Book Antiqua" w:cs="Book Antiqua"/>
        </w:rPr>
      </w:pPr>
      <w:r w:rsidRPr="009E213C">
        <w:rPr>
          <w:rFonts w:ascii="Book Antiqua" w:eastAsia="Book Antiqua" w:hAnsi="Book Antiqua" w:cs="Book Antiqua" w:hint="eastAsia"/>
          <w:b/>
          <w:bCs/>
        </w:rPr>
        <w:lastRenderedPageBreak/>
        <w:t>URL</w:t>
      </w:r>
      <w:r>
        <w:rPr>
          <w:rFonts w:ascii="Book Antiqua" w:eastAsia="Book Antiqua" w:hAnsi="Book Antiqua" w:cs="Book Antiqua" w:hint="eastAsia"/>
        </w:rPr>
        <w:t>: https://www.wjgnet.com/1007-9327/full/v30/i8/</w:t>
      </w:r>
      <w:r w:rsidR="00946FCB" w:rsidRPr="00946FCB">
        <w:rPr>
          <w:rFonts w:ascii="Book Antiqua" w:eastAsia="Book Antiqua" w:hAnsi="Book Antiqua" w:cs="Book Antiqua"/>
        </w:rPr>
        <w:t>811</w:t>
      </w:r>
      <w:r>
        <w:rPr>
          <w:rFonts w:ascii="Book Antiqua" w:eastAsia="Book Antiqua" w:hAnsi="Book Antiqua" w:cs="Book Antiqua" w:hint="eastAsia"/>
        </w:rPr>
        <w:t>.htm</w:t>
      </w:r>
    </w:p>
    <w:p w14:paraId="40D24918" w14:textId="072A7477" w:rsidR="00FD3B98" w:rsidRDefault="00000000" w:rsidP="00946FCB">
      <w:pPr>
        <w:spacing w:line="360" w:lineRule="auto"/>
        <w:jc w:val="both"/>
        <w:rPr>
          <w:rFonts w:ascii="Book Antiqua" w:hAnsi="Book Antiqua"/>
        </w:rPr>
      </w:pPr>
      <w:r w:rsidRPr="009E213C">
        <w:rPr>
          <w:rFonts w:ascii="Book Antiqua" w:eastAsia="Book Antiqua" w:hAnsi="Book Antiqua" w:cs="Book Antiqua" w:hint="eastAsia"/>
          <w:b/>
          <w:bCs/>
        </w:rPr>
        <w:t>DOI</w:t>
      </w:r>
      <w:r>
        <w:rPr>
          <w:rFonts w:ascii="Book Antiqua" w:eastAsia="Book Antiqua" w:hAnsi="Book Antiqua" w:cs="Book Antiqua" w:hint="eastAsia"/>
        </w:rPr>
        <w:t>: https://dx.doi.org/10.3748/wjg.v30.i8.</w:t>
      </w:r>
      <w:r w:rsidR="00946FCB" w:rsidRPr="00946FCB">
        <w:rPr>
          <w:rFonts w:ascii="Book Antiqua" w:eastAsia="Book Antiqua" w:hAnsi="Book Antiqua" w:cs="Book Antiqua"/>
        </w:rPr>
        <w:t>811</w:t>
      </w:r>
    </w:p>
    <w:p w14:paraId="5E4AFB3A" w14:textId="77777777" w:rsidR="00FD3B98" w:rsidRDefault="00FD3B98">
      <w:pPr>
        <w:spacing w:line="360" w:lineRule="auto"/>
        <w:jc w:val="both"/>
        <w:rPr>
          <w:rFonts w:ascii="Book Antiqua" w:hAnsi="Book Antiqua"/>
        </w:rPr>
      </w:pPr>
    </w:p>
    <w:p w14:paraId="7D94D448" w14:textId="77777777" w:rsidR="00FD3B98"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Post-</w:t>
      </w:r>
      <w:r>
        <w:rPr>
          <w:rFonts w:ascii="Book Antiqua" w:hAnsi="Book Antiqua"/>
        </w:rPr>
        <w:t>e</w:t>
      </w:r>
      <w:r>
        <w:rPr>
          <w:rFonts w:ascii="Book Antiqua" w:eastAsia="Book Antiqua" w:hAnsi="Book Antiqua" w:cs="Book Antiqua"/>
        </w:rPr>
        <w:t>ndoscopic ultrasound (EUS) pancreatitis has an incidence of 1%-2%. Literature on the effectiveness of diclofenac in preventing a post-EUS-tissue acquisition (TA) pancreatitis is scarce. Based on the pathophysiological mechanism, which is nearly the same in both post-endoscopic retrograde cholangiopancreatography and post-EUS pancreatitis, diclofenac could be effective as prophylaxis of post-EUS-TA pancreatitis. There are several arguments in favor of administration, such as the cost-effective prevention of post-EUS-TA pancreatitis, which could have potentially disastrous consequences. A single suppository of diclofenac has limited side effects. In conclusion, administration of diclofenac prior to EUS-TA procedure should be strongly advised to prevent post-EUS-TA pancreatitis.</w:t>
      </w:r>
    </w:p>
    <w:p w14:paraId="51A0C3CB" w14:textId="77777777" w:rsidR="00FD3B98" w:rsidRDefault="00FD3B98">
      <w:pPr>
        <w:spacing w:line="360" w:lineRule="auto"/>
        <w:jc w:val="both"/>
        <w:rPr>
          <w:rFonts w:ascii="Book Antiqua" w:hAnsi="Book Antiqua"/>
        </w:rPr>
      </w:pPr>
    </w:p>
    <w:p w14:paraId="1F84237B" w14:textId="77777777" w:rsidR="00FD3B98"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14:paraId="2B51EC45" w14:textId="77777777" w:rsidR="00FD3B98" w:rsidRDefault="00000000">
      <w:pPr>
        <w:spacing w:line="360" w:lineRule="auto"/>
        <w:jc w:val="both"/>
        <w:rPr>
          <w:rFonts w:ascii="Book Antiqua" w:hAnsi="Book Antiqua"/>
        </w:rPr>
      </w:pPr>
      <w:r>
        <w:rPr>
          <w:rFonts w:ascii="Book Antiqua" w:eastAsia="Book Antiqua" w:hAnsi="Book Antiqua" w:cs="Book Antiqua"/>
        </w:rPr>
        <w:t>Since its introduction in the early 1990</w:t>
      </w:r>
      <w:proofErr w:type="gramStart"/>
      <w:r>
        <w:rPr>
          <w:rFonts w:ascii="Book Antiqua" w:eastAsia="Book Antiqua" w:hAnsi="Book Antiqua" w:cs="Book Antiqua"/>
        </w:rPr>
        <w: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endoscopic ultrasound guided tissue acquisition (EUS-TA) by fine needle aspiration (FNA) or fine needle biopsy (FNB) is the gold standard for obtaining a tissue specimen for diagnosing pancreatic cancer, with a reported sensitivity and specificity of 77% and 98%, respectively</w:t>
      </w:r>
      <w:r>
        <w:rPr>
          <w:rFonts w:ascii="Book Antiqua" w:eastAsia="Book Antiqua" w:hAnsi="Book Antiqua" w:cs="Book Antiqua"/>
          <w:vertAlign w:val="superscript"/>
        </w:rPr>
        <w:t>[2,3]</w:t>
      </w:r>
      <w:r>
        <w:rPr>
          <w:rFonts w:ascii="Book Antiqua" w:eastAsia="Book Antiqua" w:hAnsi="Book Antiqua" w:cs="Book Antiqua"/>
        </w:rPr>
        <w:t xml:space="preserve">. To confirm the diagnosis before deciding on further treatment, EUS-TA of the pancreatic lesion is often </w:t>
      </w:r>
      <w:proofErr w:type="gramStart"/>
      <w:r>
        <w:rPr>
          <w:rFonts w:ascii="Book Antiqua" w:eastAsia="Book Antiqua" w:hAnsi="Book Antiqua" w:cs="Book Antiqua"/>
        </w:rPr>
        <w:t>indicated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xml:space="preserve">. Besides being golden standard in obtaining cytology and histology of pancreatic solid masses, EUS-FNA/FNB is also used for cyst fluid </w:t>
      </w:r>
      <w:proofErr w:type="gramStart"/>
      <w:r>
        <w:rPr>
          <w:rFonts w:ascii="Book Antiqua" w:eastAsia="Book Antiqua" w:hAnsi="Book Antiqua" w:cs="Book Antiqua"/>
        </w:rPr>
        <w:t>analysis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and evaluation of autoimmune pancreatitis</w:t>
      </w:r>
      <w:r>
        <w:rPr>
          <w:rFonts w:ascii="Book Antiqua" w:eastAsia="Book Antiqua" w:hAnsi="Book Antiqua" w:cs="Book Antiqua"/>
          <w:vertAlign w:val="superscript"/>
        </w:rPr>
        <w:t>[7]</w:t>
      </w:r>
      <w:r>
        <w:rPr>
          <w:rFonts w:ascii="Book Antiqua" w:eastAsia="Book Antiqua" w:hAnsi="Book Antiqua" w:cs="Book Antiqua"/>
        </w:rPr>
        <w:t>.</w:t>
      </w:r>
    </w:p>
    <w:p w14:paraId="00E1CA98" w14:textId="77777777" w:rsidR="00FD3B98" w:rsidRDefault="00000000">
      <w:pPr>
        <w:spacing w:line="360" w:lineRule="auto"/>
        <w:ind w:firstLineChars="100" w:firstLine="240"/>
        <w:jc w:val="both"/>
        <w:rPr>
          <w:rFonts w:ascii="Book Antiqua" w:hAnsi="Book Antiqua"/>
        </w:rPr>
      </w:pPr>
      <w:r>
        <w:rPr>
          <w:rFonts w:ascii="Book Antiqua" w:eastAsia="Book Antiqua" w:hAnsi="Book Antiqua" w:cs="Book Antiqua"/>
        </w:rPr>
        <w:t xml:space="preserve">A variety of needles with different diameters and needle tip designs are available. Most recent data about the efficacy of EUS-TA recommend the use of a 22-gauge FNB needle in solid masses. In case of an unfavorable position of the endoscope with a sharp angulation of the tip, the more flexible 25-gauge needle can be chosen. For aspiration of cystic fluid, the 22-gauge FNA needles are the preferred </w:t>
      </w:r>
      <w:proofErr w:type="gramStart"/>
      <w:r>
        <w:rPr>
          <w:rFonts w:ascii="Book Antiqua" w:eastAsia="Book Antiqua" w:hAnsi="Book Antiqua" w:cs="Book Antiqua"/>
        </w:rPr>
        <w:t>ones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w:t>
      </w:r>
    </w:p>
    <w:p w14:paraId="7125CD2F" w14:textId="77777777" w:rsidR="00FD3B98" w:rsidRDefault="00000000">
      <w:pPr>
        <w:spacing w:line="360" w:lineRule="auto"/>
        <w:ind w:firstLineChars="100" w:firstLine="240"/>
        <w:jc w:val="both"/>
        <w:rPr>
          <w:rFonts w:ascii="Book Antiqua" w:hAnsi="Book Antiqua"/>
        </w:rPr>
      </w:pPr>
      <w:r>
        <w:rPr>
          <w:rFonts w:ascii="Book Antiqua" w:eastAsia="Book Antiqua" w:hAnsi="Book Antiqua" w:cs="Book Antiqua"/>
        </w:rPr>
        <w:lastRenderedPageBreak/>
        <w:t>Multiple publications have reported the risk of developing post procedural pancreatitis after EUS-</w:t>
      </w:r>
      <w:proofErr w:type="gramStart"/>
      <w:r>
        <w:rPr>
          <w:rFonts w:ascii="Book Antiqua" w:eastAsia="Book Antiqua" w:hAnsi="Book Antiqua" w:cs="Book Antiqua"/>
        </w:rPr>
        <w:t>TA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9-11]</w:t>
      </w:r>
      <w:r>
        <w:rPr>
          <w:rFonts w:ascii="Book Antiqua" w:eastAsia="Book Antiqua" w:hAnsi="Book Antiqua" w:cs="Book Antiqua"/>
        </w:rPr>
        <w:t xml:space="preserve">. Diagnosis of pancreatitis is usually based on the revised Atlanta criteria in which two of the following three features are required for the diagnosis of acute pancreatitis: </w:t>
      </w:r>
      <w:proofErr w:type="spellStart"/>
      <w:r>
        <w:rPr>
          <w:rFonts w:ascii="Book Antiqua" w:eastAsia="宋体" w:hAnsi="Book Antiqua" w:cs="Book Antiqua" w:hint="eastAsia"/>
          <w:lang w:eastAsia="zh-CN"/>
        </w:rPr>
        <w:t>H</w:t>
      </w:r>
      <w:r>
        <w:rPr>
          <w:rFonts w:ascii="Book Antiqua" w:eastAsia="Book Antiqua" w:hAnsi="Book Antiqua" w:cs="Book Antiqua"/>
        </w:rPr>
        <w:t>yperlipasemia</w:t>
      </w:r>
      <w:proofErr w:type="spellEnd"/>
      <w:r>
        <w:rPr>
          <w:rFonts w:ascii="Book Antiqua" w:eastAsia="Book Antiqua" w:hAnsi="Book Antiqua" w:cs="Book Antiqua"/>
        </w:rPr>
        <w:t xml:space="preserve"> (&gt; 3 times the upper limit of normal); acute abdominal pain; and/or signs of pancreatitis on computed tomography </w:t>
      </w:r>
      <w:proofErr w:type="gramStart"/>
      <w:r>
        <w:rPr>
          <w:rFonts w:ascii="Book Antiqua" w:eastAsia="Book Antiqua" w:hAnsi="Book Antiqua" w:cs="Book Antiqua"/>
        </w:rPr>
        <w:t>scan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In some publications including EUS-FNA (not EUS-FNB), the reported post-EUS pancreatitis incidence was around 2</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9,10]</w:t>
      </w:r>
      <w:r>
        <w:rPr>
          <w:rFonts w:ascii="Book Antiqua" w:eastAsia="Book Antiqua" w:hAnsi="Book Antiqua" w:cs="Book Antiqua"/>
        </w:rPr>
        <w:t xml:space="preserve">. To date the most comprehensive approximation of the post-EUS pancreatitis rate is provided by a systematic review and meta-analysis by Tian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They showed a pooled incidence of pancreatitis of 0.7</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However, this meta-analysis was mainly based on publications from before 2010, and only 30 publications after 2010 were analyzed in this meta-analysis. Table 1 shows seven retrospective and/or prospective trials that were all published after the screening period of the meta-</w:t>
      </w:r>
      <w:proofErr w:type="gramStart"/>
      <w:r>
        <w:rPr>
          <w:rFonts w:ascii="Book Antiqua" w:eastAsia="Book Antiqua" w:hAnsi="Book Antiqua" w:cs="Book Antiqua"/>
        </w:rPr>
        <w:t>analysis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13-19]</w:t>
      </w:r>
      <w:r>
        <w:rPr>
          <w:rFonts w:ascii="Book Antiqua" w:eastAsia="Book Antiqua" w:hAnsi="Book Antiqua" w:cs="Book Antiqua"/>
        </w:rPr>
        <w:t>. Incidence of post-EUS-TA pancreatitis is comparable to the incidence described in the meta-analysis. Data about post-EUS pancreatitis in relation to the EUS-TA techniques are still scarce though.</w:t>
      </w:r>
    </w:p>
    <w:p w14:paraId="523D651B" w14:textId="77777777" w:rsidR="00FD3B98" w:rsidRDefault="00000000">
      <w:pPr>
        <w:spacing w:line="360" w:lineRule="auto"/>
        <w:ind w:firstLineChars="100" w:firstLine="240"/>
        <w:jc w:val="both"/>
        <w:rPr>
          <w:rFonts w:ascii="Book Antiqua" w:hAnsi="Book Antiqua"/>
        </w:rPr>
      </w:pPr>
      <w:r>
        <w:rPr>
          <w:rFonts w:ascii="Book Antiqua" w:eastAsia="Book Antiqua" w:hAnsi="Book Antiqua" w:cs="Book Antiqua"/>
        </w:rPr>
        <w:t xml:space="preserve">The development of acute pancreatitis following a diagnostic EUS-TA may have major consequences for the patient, particularly when there is a suspicion of pancreatic cancer. Delay or even annulment of further diagnostic work-up or treatment drastically reduces the chance of cure, while the survival rate is already low in these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20,21]</w:t>
      </w:r>
      <w:r>
        <w:rPr>
          <w:rFonts w:ascii="Book Antiqua" w:eastAsia="Book Antiqua" w:hAnsi="Book Antiqua" w:cs="Book Antiqua"/>
        </w:rPr>
        <w:t>.</w:t>
      </w:r>
    </w:p>
    <w:p w14:paraId="185CAAE2" w14:textId="77777777" w:rsidR="00FD3B98" w:rsidRDefault="00000000">
      <w:pPr>
        <w:spacing w:line="360" w:lineRule="auto"/>
        <w:ind w:firstLineChars="100" w:firstLine="240"/>
        <w:jc w:val="both"/>
        <w:rPr>
          <w:rFonts w:ascii="Book Antiqua" w:hAnsi="Book Antiqua"/>
        </w:rPr>
      </w:pPr>
      <w:r>
        <w:rPr>
          <w:rFonts w:ascii="Book Antiqua" w:eastAsia="Book Antiqua" w:hAnsi="Book Antiqua" w:cs="Book Antiqua"/>
        </w:rPr>
        <w:t>Acute pancreatitis is also a complication reported after endoscopic retrograde cholangiopancreatography (ERCP). Rectal nonsteroidal anti-inflammatory drugs (NSAIDs) (</w:t>
      </w:r>
      <w:r>
        <w:rPr>
          <w:rFonts w:ascii="Book Antiqua" w:eastAsia="Book Antiqua" w:hAnsi="Book Antiqua" w:cs="Book Antiqua"/>
          <w:i/>
          <w:iCs/>
        </w:rPr>
        <w:t>i.e.</w:t>
      </w:r>
      <w:r>
        <w:rPr>
          <w:rFonts w:ascii="Book Antiqua" w:eastAsia="Book Antiqua" w:hAnsi="Book Antiqua" w:cs="Book Antiqua"/>
        </w:rPr>
        <w:t xml:space="preserve"> diclofenac) are administered as prophylaxis to reduce the post procedural ERCP pancreatitis rate by 39</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Assuming a comparable pathophysiological mechanism with the activation of the same inflammatory cascade inside the pancreas as during an ERCP, the preventive effect of diclofenac in EUS-TA could be relevant. Although the reported incidence of post-EUS-TA pancreatitis is lower compared to that after ERCP, the one-time administration of diclofenac post-EUS-TA may make it a worthwhile strategy as it has little to no side effects and is associated with limited costs while potentially avoiding a devastating complication.</w:t>
      </w:r>
    </w:p>
    <w:p w14:paraId="36144D0F" w14:textId="77777777" w:rsidR="00FD3B98" w:rsidRDefault="00000000">
      <w:pPr>
        <w:spacing w:line="360" w:lineRule="auto"/>
        <w:ind w:firstLineChars="100" w:firstLine="240"/>
        <w:jc w:val="both"/>
        <w:rPr>
          <w:rFonts w:ascii="Book Antiqua" w:hAnsi="Book Antiqua"/>
        </w:rPr>
      </w:pPr>
      <w:r>
        <w:rPr>
          <w:rFonts w:ascii="Book Antiqua" w:eastAsia="Book Antiqua" w:hAnsi="Book Antiqua" w:cs="Book Antiqua"/>
        </w:rPr>
        <w:lastRenderedPageBreak/>
        <w:t>Limited literature is available on the preventive value of rectal administration of diclofenac prior to an EUS-TA procedure to protect against post-EUS pancreatitis. In this review we will focus on the clinical consequence of post-EUS pancreatitis and the potential role and impact of diclofenac in its prevention.</w:t>
      </w:r>
    </w:p>
    <w:p w14:paraId="43DD11B0" w14:textId="77777777" w:rsidR="00FD3B98" w:rsidRDefault="00FD3B98">
      <w:pPr>
        <w:spacing w:line="360" w:lineRule="auto"/>
        <w:jc w:val="both"/>
        <w:rPr>
          <w:rFonts w:ascii="Book Antiqua" w:hAnsi="Book Antiqua"/>
        </w:rPr>
      </w:pPr>
    </w:p>
    <w:p w14:paraId="12FC7398" w14:textId="77777777" w:rsidR="00FD3B98" w:rsidRDefault="00000000">
      <w:pPr>
        <w:spacing w:line="360" w:lineRule="auto"/>
        <w:jc w:val="both"/>
        <w:rPr>
          <w:rFonts w:ascii="Book Antiqua" w:hAnsi="Book Antiqua"/>
        </w:rPr>
      </w:pPr>
      <w:r>
        <w:rPr>
          <w:rFonts w:ascii="Book Antiqua" w:eastAsia="Book Antiqua" w:hAnsi="Book Antiqua" w:cs="Book Antiqua"/>
          <w:b/>
          <w:bCs/>
          <w:caps/>
          <w:u w:val="single"/>
        </w:rPr>
        <w:t>Pathophysiology of post-EUS pancreatitis</w:t>
      </w:r>
    </w:p>
    <w:p w14:paraId="79EB3BD9" w14:textId="77777777" w:rsidR="00FD3B98" w:rsidRDefault="00000000">
      <w:pPr>
        <w:spacing w:line="360" w:lineRule="auto"/>
        <w:jc w:val="both"/>
        <w:rPr>
          <w:rFonts w:ascii="Book Antiqua" w:hAnsi="Book Antiqua"/>
        </w:rPr>
      </w:pPr>
      <w:r>
        <w:rPr>
          <w:rFonts w:ascii="Book Antiqua" w:eastAsia="Book Antiqua" w:hAnsi="Book Antiqua" w:cs="Book Antiqua"/>
        </w:rPr>
        <w:t xml:space="preserve">Mechanical injury of the pancreas is multifactorial in origin. It can be caused by manipulation of the ampulla of </w:t>
      </w:r>
      <w:proofErr w:type="spellStart"/>
      <w:r>
        <w:rPr>
          <w:rFonts w:ascii="Book Antiqua" w:eastAsia="Book Antiqua" w:hAnsi="Book Antiqua" w:cs="Book Antiqua"/>
        </w:rPr>
        <w:t>Vater</w:t>
      </w:r>
      <w:proofErr w:type="spellEnd"/>
      <w:r>
        <w:rPr>
          <w:rFonts w:ascii="Book Antiqua" w:eastAsia="Book Antiqua" w:hAnsi="Book Antiqua" w:cs="Book Antiqua"/>
        </w:rPr>
        <w:t xml:space="preserve"> and pancreatic duct, possibly in combination with increased pressure and overfilling of the ductal system with contrast agents in case of ERCP or direct puncture of the pancreatic parenchyma in case of EUS-TA. In the latter, pancreatitis is most often the result of direct cell damage, while in the former also the development of tissue edema may temporarily hamper the secretion of pancreatic enzymes causing increased ductal and intraparenchymal pressure. These events induce premature activation of pancreatic enzymes causing acute intracellular </w:t>
      </w:r>
      <w:proofErr w:type="gramStart"/>
      <w:r>
        <w:rPr>
          <w:rFonts w:ascii="Book Antiqua" w:eastAsia="Book Antiqua" w:hAnsi="Book Antiqua" w:cs="Book Antiqua"/>
        </w:rPr>
        <w:t>injury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xml:space="preserve">. Both prostaglandins and phospholipase A2 play a key role in the early phase of </w:t>
      </w:r>
      <w:proofErr w:type="gramStart"/>
      <w:r>
        <w:rPr>
          <w:rFonts w:ascii="Book Antiqua" w:eastAsia="Book Antiqua" w:hAnsi="Book Antiqua" w:cs="Book Antiqua"/>
        </w:rPr>
        <w:t>inflammation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w:t>
      </w:r>
      <w:r>
        <w:rPr>
          <w:rFonts w:ascii="Book Antiqua" w:eastAsia="Book Antiqua" w:hAnsi="Book Antiqua" w:cs="Book Antiqua"/>
        </w:rPr>
        <w:t>.</w:t>
      </w:r>
    </w:p>
    <w:p w14:paraId="5063E56C" w14:textId="77777777" w:rsidR="00FD3B98" w:rsidRDefault="00FD3B98">
      <w:pPr>
        <w:spacing w:line="360" w:lineRule="auto"/>
        <w:jc w:val="both"/>
        <w:rPr>
          <w:rFonts w:ascii="Book Antiqua" w:hAnsi="Book Antiqua"/>
        </w:rPr>
      </w:pPr>
    </w:p>
    <w:p w14:paraId="23654829" w14:textId="77777777" w:rsidR="00FD3B98" w:rsidRDefault="00000000">
      <w:pPr>
        <w:spacing w:line="360" w:lineRule="auto"/>
        <w:jc w:val="both"/>
        <w:rPr>
          <w:rFonts w:ascii="Book Antiqua" w:hAnsi="Book Antiqua"/>
        </w:rPr>
      </w:pPr>
      <w:r>
        <w:rPr>
          <w:rFonts w:ascii="Book Antiqua" w:eastAsia="Book Antiqua" w:hAnsi="Book Antiqua" w:cs="Book Antiqua"/>
          <w:b/>
          <w:bCs/>
          <w:caps/>
          <w:u w:val="single"/>
        </w:rPr>
        <w:t>The role of diclofenac in preventing post-EUS pancreatitis</w:t>
      </w:r>
    </w:p>
    <w:p w14:paraId="7F8E2442"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The use of NSAIDs, either 100 mg diclofenac or 100 mg indomethacin rectally, is recommended by the European Society of Gastrointestinal Endoscopy and the American Society of Gastrointestinal Endoscopy as prophylaxis of a post procedural pancreatitis in patients undergoing </w:t>
      </w:r>
      <w:proofErr w:type="gramStart"/>
      <w:r>
        <w:rPr>
          <w:rFonts w:ascii="Book Antiqua" w:eastAsia="Book Antiqua" w:hAnsi="Book Antiqua" w:cs="Book Antiqua"/>
        </w:rPr>
        <w:t>ERCP</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25,26]</w:t>
      </w:r>
      <w:r>
        <w:rPr>
          <w:rFonts w:ascii="Book Antiqua" w:eastAsia="Book Antiqua" w:hAnsi="Book Antiqua" w:cs="Book Antiqua"/>
        </w:rPr>
        <w:t xml:space="preserve">. The most optimal timing for the administration of a rectal suppository of diclofenac or indomethacin is just prior to the </w:t>
      </w:r>
      <w:proofErr w:type="gramStart"/>
      <w:r>
        <w:rPr>
          <w:rFonts w:ascii="Book Antiqua" w:eastAsia="Book Antiqua" w:hAnsi="Book Antiqua" w:cs="Book Antiqua"/>
        </w:rPr>
        <w:t>ERCP</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w:t>
      </w:r>
      <w:r>
        <w:rPr>
          <w:rFonts w:ascii="Book Antiqua" w:eastAsia="Book Antiqua" w:hAnsi="Book Antiqua" w:cs="Book Antiqua"/>
        </w:rPr>
        <w:t xml:space="preserve">. NSAIDs inhibit prostaglandins, phospholipase A2, and neutrophil-endothelial interactions, which will decrease the inflammatory </w:t>
      </w:r>
      <w:proofErr w:type="gramStart"/>
      <w:r>
        <w:rPr>
          <w:rFonts w:ascii="Book Antiqua" w:eastAsia="Book Antiqua" w:hAnsi="Book Antiqua" w:cs="Book Antiqua"/>
        </w:rPr>
        <w:t>reaction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w:t>
      </w:r>
      <w:r>
        <w:rPr>
          <w:rFonts w:ascii="Book Antiqua" w:eastAsia="Book Antiqua" w:hAnsi="Book Antiqua" w:cs="Book Antiqua"/>
        </w:rPr>
        <w:t xml:space="preserve">. Both diclofenac and indomethacin reach the maximum concentration between 1-2 h after administration. Both these NSAIDs are mainly bound to albumin (90% </w:t>
      </w:r>
      <w:r>
        <w:rPr>
          <w:rFonts w:ascii="Book Antiqua" w:eastAsia="Book Antiqua" w:hAnsi="Book Antiqua" w:cs="Book Antiqua"/>
          <w:i/>
          <w:iCs/>
        </w:rPr>
        <w:t>vs</w:t>
      </w:r>
      <w:r>
        <w:rPr>
          <w:rFonts w:ascii="Book Antiqua" w:eastAsia="Book Antiqua" w:hAnsi="Book Antiqua" w:cs="Book Antiqua"/>
        </w:rPr>
        <w:t xml:space="preserve"> 99%, </w:t>
      </w:r>
      <w:proofErr w:type="gramStart"/>
      <w:r>
        <w:rPr>
          <w:rFonts w:ascii="Book Antiqua" w:eastAsia="Book Antiqua" w:hAnsi="Book Antiqua" w:cs="Book Antiqua"/>
        </w:rPr>
        <w:t>respectively)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 xml:space="preserve"> and subsequently excreted </w:t>
      </w:r>
      <w:r>
        <w:rPr>
          <w:rFonts w:ascii="Book Antiqua" w:eastAsia="Book Antiqua" w:hAnsi="Book Antiqua" w:cs="Book Antiqua"/>
          <w:i/>
          <w:iCs/>
        </w:rPr>
        <w:t>via</w:t>
      </w:r>
      <w:r>
        <w:rPr>
          <w:rFonts w:ascii="Book Antiqua" w:eastAsia="Book Antiqua" w:hAnsi="Book Antiqua" w:cs="Book Antiqua"/>
        </w:rPr>
        <w:t xml:space="preserve"> the hepatobiliary-fecal and kidney pathway. Two hours after administration half of the level of diclofenac has been </w:t>
      </w:r>
      <w:proofErr w:type="gramStart"/>
      <w:r>
        <w:rPr>
          <w:rFonts w:ascii="Book Antiqua" w:eastAsia="Book Antiqua" w:hAnsi="Book Antiqua" w:cs="Book Antiqua"/>
        </w:rPr>
        <w:t>metabolized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29]</w:t>
      </w:r>
      <w:r>
        <w:rPr>
          <w:rFonts w:ascii="Book Antiqua" w:eastAsia="Book Antiqua" w:hAnsi="Book Antiqua" w:cs="Book Antiqua"/>
        </w:rPr>
        <w:t>, while the biological half-life of indomethacin is 5-</w:t>
      </w:r>
      <w:r>
        <w:rPr>
          <w:rFonts w:ascii="Book Antiqua" w:eastAsia="Book Antiqua" w:hAnsi="Book Antiqua" w:cs="Book Antiqua"/>
        </w:rPr>
        <w:lastRenderedPageBreak/>
        <w:t xml:space="preserve">10 h. In addition, diclofenac is very cheap ($0.19 per supp 100 </w:t>
      </w:r>
      <w:proofErr w:type="gramStart"/>
      <w:r>
        <w:rPr>
          <w:rFonts w:ascii="Book Antiqua" w:eastAsia="Book Antiqua" w:hAnsi="Book Antiqua" w:cs="Book Antiqua"/>
        </w:rPr>
        <w:t>mg)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 and a single dose is harmless in healthy adults</w:t>
      </w:r>
      <w:r>
        <w:rPr>
          <w:rFonts w:ascii="Book Antiqua" w:eastAsia="Book Antiqua" w:hAnsi="Book Antiqua" w:cs="Book Antiqua"/>
          <w:vertAlign w:val="superscript"/>
        </w:rPr>
        <w:t>[31]</w:t>
      </w:r>
      <w:r>
        <w:rPr>
          <w:rFonts w:ascii="Book Antiqua" w:eastAsia="Book Antiqua" w:hAnsi="Book Antiqua" w:cs="Book Antiqua"/>
        </w:rPr>
        <w:t>.</w:t>
      </w:r>
    </w:p>
    <w:p w14:paraId="0B11F03D" w14:textId="77777777" w:rsidR="00FD3B98" w:rsidRDefault="00000000">
      <w:pPr>
        <w:spacing w:line="360" w:lineRule="auto"/>
        <w:ind w:firstLine="180"/>
        <w:jc w:val="both"/>
        <w:rPr>
          <w:rFonts w:ascii="Book Antiqua" w:hAnsi="Book Antiqua"/>
        </w:rPr>
      </w:pPr>
      <w:r>
        <w:rPr>
          <w:rFonts w:ascii="Book Antiqua" w:eastAsia="Book Antiqua" w:hAnsi="Book Antiqua" w:cs="Book Antiqua"/>
        </w:rPr>
        <w:t xml:space="preserve">However, the use of NSAIDs has limitations. NSAIDs are contraindicated during pregnancy after a gestational age of 30 </w:t>
      </w:r>
      <w:proofErr w:type="spellStart"/>
      <w:proofErr w:type="gramStart"/>
      <w:r>
        <w:rPr>
          <w:rFonts w:ascii="Book Antiqua" w:eastAsia="Book Antiqua" w:hAnsi="Book Antiqua" w:cs="Book Antiqua"/>
        </w:rPr>
        <w:t>wk</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32]</w:t>
      </w:r>
      <w:r>
        <w:rPr>
          <w:rFonts w:ascii="Book Antiqua" w:eastAsia="Book Antiqua" w:hAnsi="Book Antiqua" w:cs="Book Antiqua"/>
        </w:rPr>
        <w:t>, if the glomerular filtration rate is less than 30 mL/min/1.73 m</w:t>
      </w:r>
      <w:r>
        <w:rPr>
          <w:rFonts w:ascii="Book Antiqua" w:eastAsia="Book Antiqua" w:hAnsi="Book Antiqua" w:cs="Book Antiqua"/>
          <w:vertAlign w:val="superscript"/>
        </w:rPr>
        <w:t>2</w:t>
      </w:r>
      <w:r>
        <w:rPr>
          <w:rFonts w:ascii="Book Antiqua" w:eastAsia="Book Antiqua" w:hAnsi="Book Antiqua" w:cs="Book Antiqua"/>
        </w:rPr>
        <w:t>, or in case of liver cirrhosis</w:t>
      </w:r>
      <w:r>
        <w:rPr>
          <w:rFonts w:ascii="Book Antiqua" w:eastAsia="Book Antiqua" w:hAnsi="Book Antiqua" w:cs="Book Antiqua"/>
          <w:vertAlign w:val="superscript"/>
        </w:rPr>
        <w:t>[33,34]</w:t>
      </w:r>
      <w:r>
        <w:rPr>
          <w:rFonts w:ascii="Book Antiqua" w:eastAsia="Book Antiqua" w:hAnsi="Book Antiqua" w:cs="Book Antiqua"/>
        </w:rPr>
        <w:t xml:space="preserve">. Renal blood flow will be reduced by inhibition of prostaglandins, which can lead to hepatorenal syndrome in patients with liver </w:t>
      </w:r>
      <w:proofErr w:type="gramStart"/>
      <w:r>
        <w:rPr>
          <w:rFonts w:ascii="Book Antiqua" w:eastAsia="Book Antiqua" w:hAnsi="Book Antiqua" w:cs="Book Antiqua"/>
        </w:rPr>
        <w:t>cirrhosis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w:t>
      </w:r>
      <w:r>
        <w:rPr>
          <w:rFonts w:ascii="Book Antiqua" w:eastAsia="Book Antiqua" w:hAnsi="Book Antiqua" w:cs="Book Antiqua"/>
        </w:rPr>
        <w:t>. If there is a documented allergy to NSAIDs, these should obviously be avoided.</w:t>
      </w:r>
    </w:p>
    <w:p w14:paraId="4A3A1C2A" w14:textId="77777777" w:rsidR="00FD3B98" w:rsidRDefault="00FD3B98">
      <w:pPr>
        <w:spacing w:line="360" w:lineRule="auto"/>
        <w:jc w:val="both"/>
        <w:rPr>
          <w:rFonts w:ascii="Book Antiqua" w:hAnsi="Book Antiqua"/>
        </w:rPr>
      </w:pPr>
    </w:p>
    <w:p w14:paraId="32576674" w14:textId="77777777" w:rsidR="00FD3B98" w:rsidRDefault="00000000">
      <w:pPr>
        <w:spacing w:line="360" w:lineRule="auto"/>
        <w:jc w:val="both"/>
        <w:rPr>
          <w:rFonts w:ascii="Book Antiqua" w:hAnsi="Book Antiqua"/>
        </w:rPr>
      </w:pPr>
      <w:r>
        <w:rPr>
          <w:rFonts w:ascii="Book Antiqua" w:eastAsia="Book Antiqua" w:hAnsi="Book Antiqua" w:cs="Book Antiqua"/>
          <w:b/>
          <w:bCs/>
          <w:caps/>
          <w:u w:val="single"/>
        </w:rPr>
        <w:t>Risk Factors for Post-EUS Pancreatitis</w:t>
      </w:r>
    </w:p>
    <w:p w14:paraId="5E0238E5"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Several risk factors are associated with the development of post-EUS pancreatitis. Lee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35]</w:t>
      </w:r>
      <w:r>
        <w:rPr>
          <w:rFonts w:ascii="Book Antiqua" w:eastAsia="Book Antiqua" w:hAnsi="Book Antiqua" w:cs="Book Antiqua"/>
        </w:rPr>
        <w:t xml:space="preserve"> showed that performing more EUS-guided punctures within one procedure increases the risk of adverse events [odds ratio (OR</w:t>
      </w:r>
      <w:r>
        <w:rPr>
          <w:rFonts w:ascii="Book Antiqua" w:eastAsia="宋体" w:hAnsi="Book Antiqua" w:cs="宋体"/>
          <w:lang w:eastAsia="zh-CN"/>
        </w:rPr>
        <w:t>)</w:t>
      </w:r>
      <w:r>
        <w:rPr>
          <w:rFonts w:ascii="Book Antiqua" w:eastAsia="Book Antiqua" w:hAnsi="Book Antiqua" w:cs="Book Antiqua"/>
        </w:rPr>
        <w:t xml:space="preserve">: 1.24 (1.02-1.50)]. This also applies to performing more than 15 to-and-fro movements per punction [OR: 2.25 (1.07-4.73)]. Performing ERCP on the same day as EUS-guided TA was the greatest risk factor for post procedural pancreatitis [OR: 2.82 (1.31-6.10)]. The excess risk of doing both procedures successively on the same day rather than on separate days however was not discerned. A history of recent acute pancreatitis was also found to be a risk factor for post-EUS pancreatitis (26.6% </w:t>
      </w:r>
      <w:r>
        <w:rPr>
          <w:rFonts w:ascii="Book Antiqua" w:eastAsia="Book Antiqua" w:hAnsi="Book Antiqua" w:cs="Book Antiqua"/>
          <w:i/>
          <w:iCs/>
        </w:rPr>
        <w:t>vs</w:t>
      </w:r>
      <w:r>
        <w:rPr>
          <w:rFonts w:ascii="Book Antiqua" w:eastAsia="Book Antiqua" w:hAnsi="Book Antiqua" w:cs="Book Antiqua"/>
        </w:rPr>
        <w:t xml:space="preserve"> 3.3</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 Additionally, the location of the biopsy contributes to the risk of developing post procedural pancreatitis.</w:t>
      </w:r>
    </w:p>
    <w:p w14:paraId="164D9158" w14:textId="77777777" w:rsidR="00FD3B98" w:rsidRDefault="00000000">
      <w:pPr>
        <w:spacing w:line="360" w:lineRule="auto"/>
        <w:ind w:firstLine="180"/>
        <w:jc w:val="both"/>
        <w:rPr>
          <w:rFonts w:ascii="Book Antiqua" w:hAnsi="Book Antiqua"/>
        </w:rPr>
      </w:pPr>
      <w:r>
        <w:rPr>
          <w:rFonts w:ascii="Book Antiqua" w:eastAsia="Book Antiqua" w:hAnsi="Book Antiqua" w:cs="Book Antiqua"/>
        </w:rPr>
        <w:t xml:space="preserve">Pancreatitis is more common after needle biopsies taken from the uncinate process or the pancreatic head as compared to the body or tail, possibly because in some cases the needle passes a thicker layer of healthy pancreatic </w:t>
      </w:r>
      <w:proofErr w:type="gramStart"/>
      <w:r>
        <w:rPr>
          <w:rFonts w:ascii="Book Antiqua" w:eastAsia="Book Antiqua" w:hAnsi="Book Antiqua" w:cs="Book Antiqua"/>
        </w:rPr>
        <w:t>parenchyma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36]</w:t>
      </w:r>
      <w:r>
        <w:rPr>
          <w:rFonts w:ascii="Book Antiqua" w:eastAsia="Book Antiqua" w:hAnsi="Book Antiqua" w:cs="Book Antiqua"/>
        </w:rPr>
        <w:t xml:space="preserve">. Tissue sampling through normal pancreatic parenchyma or through the wall of the main pancreatic duct also increases the risk of post-EUS pancreatitis compared to passage through minimal parenchyma (9.20% </w:t>
      </w:r>
      <w:r>
        <w:rPr>
          <w:rFonts w:ascii="Book Antiqua" w:eastAsia="Book Antiqua" w:hAnsi="Book Antiqua" w:cs="Book Antiqua"/>
          <w:i/>
          <w:iCs/>
        </w:rPr>
        <w:t>vs</w:t>
      </w:r>
      <w:r>
        <w:rPr>
          <w:rFonts w:ascii="Book Antiqua" w:eastAsia="Book Antiqua" w:hAnsi="Book Antiqua" w:cs="Book Antiqua"/>
        </w:rPr>
        <w:t xml:space="preserve"> 0.18%). Lastly, patients with pancreatic cancer are less likely to develop post-EUS pancreatitis compared to patients with benign pancreatic diseases, while puncture of solid lesions had a higher overall rate of pancreatitis compared to puncture of cystic lesions (60% of the pancreatitis occurred after puncture of a solid </w:t>
      </w:r>
      <w:proofErr w:type="gramStart"/>
      <w:r>
        <w:rPr>
          <w:rFonts w:ascii="Book Antiqua" w:eastAsia="Book Antiqua" w:hAnsi="Book Antiqua" w:cs="Book Antiqua"/>
        </w:rPr>
        <w:lastRenderedPageBreak/>
        <w:t>lesion)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 In conclusion, both patients with solid lesions and patients with cystic lesions of the pancreas are susceptible to post-EUS pancreatitis. In both cases, there is a similar risk of puncturing through normal parenchyma and/or damaging the pancreatic duct.</w:t>
      </w:r>
    </w:p>
    <w:p w14:paraId="38CDA2E1" w14:textId="77777777" w:rsidR="00FD3B98" w:rsidRDefault="00FD3B98">
      <w:pPr>
        <w:spacing w:line="360" w:lineRule="auto"/>
        <w:jc w:val="both"/>
        <w:rPr>
          <w:rFonts w:ascii="Book Antiqua" w:hAnsi="Book Antiqua"/>
        </w:rPr>
      </w:pPr>
    </w:p>
    <w:p w14:paraId="43EE5746" w14:textId="77777777" w:rsidR="00FD3B98" w:rsidRDefault="00000000">
      <w:pPr>
        <w:spacing w:line="360" w:lineRule="auto"/>
        <w:jc w:val="both"/>
        <w:rPr>
          <w:rFonts w:ascii="Book Antiqua" w:hAnsi="Book Antiqua"/>
        </w:rPr>
      </w:pPr>
      <w:r>
        <w:rPr>
          <w:rFonts w:ascii="Book Antiqua" w:eastAsia="Book Antiqua" w:hAnsi="Book Antiqua" w:cs="Book Antiqua"/>
          <w:b/>
          <w:bCs/>
          <w:caps/>
          <w:u w:val="single"/>
        </w:rPr>
        <w:t xml:space="preserve">FNA </w:t>
      </w:r>
      <w:r>
        <w:rPr>
          <w:rFonts w:ascii="Book Antiqua" w:eastAsia="Book Antiqua" w:hAnsi="Book Antiqua" w:cs="Book Antiqua"/>
          <w:b/>
          <w:bCs/>
          <w:i/>
          <w:iCs/>
          <w:caps/>
          <w:u w:val="single"/>
        </w:rPr>
        <w:t>vs</w:t>
      </w:r>
      <w:r>
        <w:rPr>
          <w:rFonts w:ascii="Book Antiqua" w:eastAsia="Book Antiqua" w:hAnsi="Book Antiqua" w:cs="Book Antiqua"/>
          <w:b/>
          <w:bCs/>
          <w:caps/>
          <w:u w:val="single"/>
        </w:rPr>
        <w:t xml:space="preserve"> FNB in relation to pancreatitis</w:t>
      </w:r>
    </w:p>
    <w:p w14:paraId="2996E17D" w14:textId="77777777" w:rsidR="00FD3B98" w:rsidRDefault="00000000">
      <w:pPr>
        <w:spacing w:line="360" w:lineRule="auto"/>
        <w:jc w:val="both"/>
        <w:rPr>
          <w:rFonts w:ascii="Book Antiqua" w:hAnsi="Book Antiqua"/>
        </w:rPr>
      </w:pPr>
      <w:r>
        <w:rPr>
          <w:rFonts w:ascii="Book Antiqua" w:eastAsia="Book Antiqua" w:hAnsi="Book Antiqua" w:cs="Book Antiqua"/>
        </w:rPr>
        <w:t xml:space="preserve">Currently, new advances in FNB techniques and increased yield compared to FNA will gradually phase out the use of FNA needles. The advantage of FNB is that fewer needle passes are required to obtain a representative </w:t>
      </w:r>
      <w:proofErr w:type="gramStart"/>
      <w:r>
        <w:rPr>
          <w:rFonts w:ascii="Book Antiqua" w:eastAsia="Book Antiqua" w:hAnsi="Book Antiqua" w:cs="Book Antiqua"/>
        </w:rPr>
        <w:t>specimen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37,38]</w:t>
      </w:r>
      <w:r>
        <w:rPr>
          <w:rFonts w:ascii="Book Antiqua" w:eastAsia="Book Antiqua" w:hAnsi="Book Antiqua" w:cs="Book Antiqua"/>
        </w:rPr>
        <w:t xml:space="preserve">. Despite the fact that greater tissue cores are obtained, which could cause hypothetically more damage, a meta-analysis showed that adverse events between FNA and FNB were not significantly </w:t>
      </w:r>
      <w:proofErr w:type="gramStart"/>
      <w:r>
        <w:rPr>
          <w:rFonts w:ascii="Book Antiqua" w:eastAsia="Book Antiqua" w:hAnsi="Book Antiqua" w:cs="Book Antiqua"/>
        </w:rPr>
        <w:t>different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37]</w:t>
      </w:r>
      <w:r>
        <w:rPr>
          <w:rFonts w:ascii="Book Antiqua" w:eastAsia="Book Antiqua" w:hAnsi="Book Antiqua" w:cs="Book Antiqua"/>
        </w:rPr>
        <w:t xml:space="preserve">. Rapid on-site evaluation (ROSE) has been advised during an FNA procedure to increase the diagnostic adequacy and thereby reduce the number of repeat </w:t>
      </w:r>
      <w:proofErr w:type="gramStart"/>
      <w:r>
        <w:rPr>
          <w:rFonts w:ascii="Book Antiqua" w:eastAsia="Book Antiqua" w:hAnsi="Book Antiqua" w:cs="Book Antiqua"/>
        </w:rPr>
        <w:t>procedures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39]</w:t>
      </w:r>
      <w:r>
        <w:rPr>
          <w:rFonts w:ascii="Book Antiqua" w:eastAsia="Book Antiqua" w:hAnsi="Book Antiqua" w:cs="Book Antiqua"/>
        </w:rPr>
        <w:t xml:space="preserve">. To perform ROSE however, cytopathological evaluation needs to be immediately available, is time consuming, and adds to the cost of the procedure. Meta-analysis showed that FNB without ROSE has a similar diagnostic adequacy compared to FNA with </w:t>
      </w:r>
      <w:proofErr w:type="gramStart"/>
      <w:r>
        <w:rPr>
          <w:rFonts w:ascii="Book Antiqua" w:eastAsia="Book Antiqua" w:hAnsi="Book Antiqua" w:cs="Book Antiqua"/>
        </w:rPr>
        <w:t>ROSE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38]</w:t>
      </w:r>
      <w:r>
        <w:rPr>
          <w:rFonts w:ascii="Book Antiqua" w:eastAsia="Book Antiqua" w:hAnsi="Book Antiqua" w:cs="Book Antiqua"/>
        </w:rPr>
        <w:t>.</w:t>
      </w:r>
    </w:p>
    <w:p w14:paraId="1C552FB6" w14:textId="77777777" w:rsidR="00FD3B98" w:rsidRDefault="00FD3B98">
      <w:pPr>
        <w:spacing w:line="360" w:lineRule="auto"/>
        <w:jc w:val="both"/>
        <w:rPr>
          <w:rFonts w:ascii="Book Antiqua" w:hAnsi="Book Antiqua"/>
        </w:rPr>
      </w:pPr>
    </w:p>
    <w:p w14:paraId="0B140E8B" w14:textId="77777777" w:rsidR="00FD3B98" w:rsidRDefault="00000000">
      <w:pPr>
        <w:spacing w:line="360" w:lineRule="auto"/>
        <w:jc w:val="both"/>
        <w:rPr>
          <w:rFonts w:ascii="Book Antiqua" w:hAnsi="Book Antiqua"/>
        </w:rPr>
      </w:pPr>
      <w:r>
        <w:rPr>
          <w:rFonts w:ascii="Book Antiqua" w:eastAsia="Book Antiqua" w:hAnsi="Book Antiqua" w:cs="Book Antiqua"/>
          <w:b/>
          <w:bCs/>
          <w:caps/>
          <w:u w:val="single"/>
        </w:rPr>
        <w:t>Future perspective</w:t>
      </w:r>
    </w:p>
    <w:p w14:paraId="1B7EB188" w14:textId="77777777" w:rsidR="00FD3B98" w:rsidRDefault="00000000">
      <w:pPr>
        <w:spacing w:line="360" w:lineRule="auto"/>
        <w:jc w:val="both"/>
        <w:rPr>
          <w:rFonts w:ascii="Book Antiqua" w:hAnsi="Book Antiqua"/>
        </w:rPr>
      </w:pPr>
      <w:r>
        <w:rPr>
          <w:rFonts w:ascii="Book Antiqua" w:eastAsia="Book Antiqua" w:hAnsi="Book Antiqua" w:cs="Book Antiqua"/>
        </w:rPr>
        <w:t xml:space="preserve">The only way to answer the question whether diclofenac is useful as a prophylaxis against the development of post-EUS pancreatitis is to conduct a </w:t>
      </w:r>
      <w:bookmarkStart w:id="475" w:name="_Hlk156641761"/>
      <w:r>
        <w:rPr>
          <w:rFonts w:ascii="Book Antiqua" w:eastAsia="Book Antiqua" w:hAnsi="Book Antiqua" w:cs="Book Antiqua"/>
        </w:rPr>
        <w:t>randomized controlled trial</w:t>
      </w:r>
      <w:bookmarkEnd w:id="475"/>
      <w:r>
        <w:rPr>
          <w:rFonts w:ascii="Book Antiqua" w:eastAsia="Book Antiqua" w:hAnsi="Book Antiqua" w:cs="Book Antiqua"/>
        </w:rPr>
        <w:t xml:space="preserve"> (RCT). Ideally, this should be a double-blind, placebo-controlled trial in which one arm receives an NSAID suppository and the other arm receives a rectal placebo prior to the EUS-TA procedure. Patients, researchers, endoscopists, and nurses should be blinded.</w:t>
      </w:r>
    </w:p>
    <w:p w14:paraId="666D695F" w14:textId="77777777" w:rsidR="00FD3B98" w:rsidRDefault="00000000">
      <w:pPr>
        <w:spacing w:line="360" w:lineRule="auto"/>
        <w:ind w:firstLineChars="100" w:firstLine="240"/>
        <w:jc w:val="both"/>
        <w:rPr>
          <w:rFonts w:ascii="Book Antiqua" w:hAnsi="Book Antiqua"/>
        </w:rPr>
      </w:pPr>
      <w:r>
        <w:rPr>
          <w:rFonts w:ascii="Book Antiqua" w:eastAsia="Book Antiqua" w:hAnsi="Book Antiqua" w:cs="Book Antiqua"/>
        </w:rPr>
        <w:t xml:space="preserve">Conducting such an RCT has several limitations. Since the incidence of post-EUS pancreatitis is probably between 1% and 2%, many patients need to be included. Aiming to reduce the incidence of post-EUS pancreatitis by 50% from 2% to 1%, with a significance of 5%, a power of 80%, and a 10% drop-out, 2550 patients are required in each arm. Suppose this hypothetically designed trial shows that administration of diclofenac can halve the incidence of post-EUS pancreatitis, then the number needed to </w:t>
      </w:r>
      <w:r>
        <w:rPr>
          <w:rFonts w:ascii="Book Antiqua" w:eastAsia="Book Antiqua" w:hAnsi="Book Antiqua" w:cs="Book Antiqua"/>
        </w:rPr>
        <w:lastRenderedPageBreak/>
        <w:t>treat is 1/100. In other words, 100 patients must receive diclofenac to prevent one post-EUS pancreatitis case. For risk analysis, all known risk factors should be noted and registered.</w:t>
      </w:r>
    </w:p>
    <w:p w14:paraId="0E705FD8" w14:textId="77777777" w:rsidR="00FD3B98" w:rsidRDefault="00000000">
      <w:pPr>
        <w:spacing w:line="360" w:lineRule="auto"/>
        <w:ind w:firstLineChars="100" w:firstLine="240"/>
        <w:jc w:val="both"/>
        <w:rPr>
          <w:rFonts w:ascii="Book Antiqua" w:hAnsi="Book Antiqua"/>
        </w:rPr>
      </w:pPr>
      <w:r>
        <w:rPr>
          <w:rFonts w:ascii="Book Antiqua" w:eastAsia="Book Antiqua" w:hAnsi="Book Antiqua" w:cs="Book Antiqua"/>
        </w:rPr>
        <w:t>Therefore, it does not seem to be practically feasible to conduct such a trial. The question is whether such proof is necessary, as the indirect evidence for the protection of post-ERCP pancreatitis is strong and the mechanism of how post-EUS-TA pancreatitis develops seems identical to post-ERCP pancreatitis. Even though post-EUS-TA pancreatitis is a relatively rare event, a cheap and relatively safe diclofenac suppository can lower the incidence and prevent a potentially dreadsome complication that may cause a serious delay in the further work-up and treatment of a patient with a pancreatic mass. Therefore, in our opinion, the associated costs of managing preventable post-EUS-TA pancreatitis are disproportionate compared to standardized prophylactic diclofenac administration prior to EUS-TA.</w:t>
      </w:r>
    </w:p>
    <w:p w14:paraId="08199E64" w14:textId="77777777" w:rsidR="00FD3B98" w:rsidRDefault="00FD3B98">
      <w:pPr>
        <w:spacing w:line="360" w:lineRule="auto"/>
        <w:jc w:val="both"/>
        <w:rPr>
          <w:rFonts w:ascii="Book Antiqua" w:hAnsi="Book Antiqua"/>
        </w:rPr>
      </w:pPr>
    </w:p>
    <w:p w14:paraId="59DE094A" w14:textId="77777777" w:rsidR="00FD3B98" w:rsidRDefault="00000000">
      <w:pPr>
        <w:spacing w:line="360" w:lineRule="auto"/>
        <w:jc w:val="both"/>
        <w:rPr>
          <w:rFonts w:ascii="Book Antiqua" w:hAnsi="Book Antiqua"/>
        </w:rPr>
      </w:pPr>
      <w:r>
        <w:rPr>
          <w:rFonts w:ascii="Book Antiqua" w:eastAsia="Book Antiqua" w:hAnsi="Book Antiqua" w:cs="Book Antiqua"/>
          <w:b/>
          <w:caps/>
          <w:u w:val="single"/>
        </w:rPr>
        <w:t>CONCLUSION</w:t>
      </w:r>
    </w:p>
    <w:p w14:paraId="3617471B" w14:textId="77777777" w:rsidR="00FD3B98" w:rsidRDefault="00000000">
      <w:pPr>
        <w:spacing w:line="360" w:lineRule="auto"/>
        <w:jc w:val="both"/>
        <w:rPr>
          <w:rFonts w:ascii="Book Antiqua" w:hAnsi="Book Antiqua"/>
          <w:lang w:eastAsia="zh-CN"/>
        </w:rPr>
      </w:pPr>
      <w:r>
        <w:rPr>
          <w:rFonts w:ascii="Book Antiqua" w:eastAsia="Book Antiqua" w:hAnsi="Book Antiqua" w:cs="Book Antiqua"/>
        </w:rPr>
        <w:t>Post-EUS pancreatitis is a rare complication of EUS-FNA/FNB with an incidence of 1%-2%. Despite its low incidence, it may have a significant clinical impact as pancreatitis may run a severe disease course causing delay in further diagnostics or therapy or even worse. Diclofenac suppository is effective as prophylaxis against pancreatitis after ERCP. Literature on the effectiveness of diclofenac in preventing post-EUS-TA pancreatitis is scarce. Based on the pathophysiological mechanism, which is nearly the same in both types of pancreatitis, diclofenac could be effective as prophylaxis for post-EUS-TA pancreatitis.</w:t>
      </w:r>
    </w:p>
    <w:p w14:paraId="360FADE0" w14:textId="77777777" w:rsidR="00FD3B98" w:rsidRDefault="00000000">
      <w:pPr>
        <w:spacing w:line="360" w:lineRule="auto"/>
        <w:ind w:firstLine="270"/>
        <w:jc w:val="both"/>
        <w:rPr>
          <w:rFonts w:ascii="Book Antiqua" w:hAnsi="Book Antiqua"/>
        </w:rPr>
      </w:pPr>
      <w:r>
        <w:rPr>
          <w:rFonts w:ascii="Book Antiqua" w:eastAsia="Book Antiqua" w:hAnsi="Book Antiqua" w:cs="Book Antiqua"/>
        </w:rPr>
        <w:t xml:space="preserve">Unfortunately, an RCT with unfeasible numbers of patients is the only way to answer the question whether there is a significant benefit to the administration of diclofenac. In our opinion, further attempts to investigate the use of NSAIDS in post-EUS-TA pancreatitis prevention have limited added value. There are several arguments in favor of administration, such as the cost-effective prevention of post-EUS-TA pancreatitis, which could have potentially disastrous consequences for the patient. In addition, a </w:t>
      </w:r>
      <w:r>
        <w:rPr>
          <w:rFonts w:ascii="Book Antiqua" w:eastAsia="Book Antiqua" w:hAnsi="Book Antiqua" w:cs="Book Antiqua"/>
        </w:rPr>
        <w:lastRenderedPageBreak/>
        <w:t>single suppository of diclofenac has limited side effects. In conclusion, administration of diclofenac prior to the EUS-TA procedure of a solid or cystic pancreatic lesion should be strongly advised to prevent developing post-EUS-TA pancreatitis.</w:t>
      </w:r>
    </w:p>
    <w:p w14:paraId="128E46C4" w14:textId="77777777" w:rsidR="00FD3B98" w:rsidRDefault="00FD3B98">
      <w:pPr>
        <w:spacing w:line="360" w:lineRule="auto"/>
        <w:jc w:val="both"/>
        <w:rPr>
          <w:rFonts w:ascii="Book Antiqua" w:hAnsi="Book Antiqua"/>
        </w:rPr>
      </w:pPr>
    </w:p>
    <w:p w14:paraId="773D7F41" w14:textId="77777777" w:rsidR="00FD3B98" w:rsidRDefault="00000000">
      <w:pPr>
        <w:spacing w:line="360" w:lineRule="auto"/>
        <w:jc w:val="both"/>
        <w:rPr>
          <w:rFonts w:ascii="Book Antiqua" w:hAnsi="Book Antiqua"/>
        </w:rPr>
      </w:pPr>
      <w:r>
        <w:rPr>
          <w:rFonts w:ascii="Book Antiqua" w:eastAsia="Book Antiqua" w:hAnsi="Book Antiqua" w:cs="Book Antiqua"/>
          <w:b/>
        </w:rPr>
        <w:t>REFERENCES</w:t>
      </w:r>
    </w:p>
    <w:p w14:paraId="0D47C758" w14:textId="77777777" w:rsidR="00FD3B98" w:rsidRDefault="00000000">
      <w:pPr>
        <w:spacing w:line="360" w:lineRule="auto"/>
        <w:jc w:val="both"/>
        <w:rPr>
          <w:rFonts w:ascii="Book Antiqua" w:eastAsia="Book Antiqua" w:hAnsi="Book Antiqua" w:cs="Book Antiqua"/>
        </w:rPr>
      </w:pPr>
      <w:bookmarkStart w:id="476" w:name="OLE_LINK7715"/>
      <w:bookmarkStart w:id="477" w:name="OLE_LINK7716"/>
      <w:r>
        <w:rPr>
          <w:rFonts w:ascii="Book Antiqua" w:eastAsia="Book Antiqua" w:hAnsi="Book Antiqua" w:cs="Book Antiqua"/>
        </w:rPr>
        <w:t xml:space="preserve">1 </w:t>
      </w:r>
      <w:proofErr w:type="spellStart"/>
      <w:r>
        <w:rPr>
          <w:rFonts w:ascii="Book Antiqua" w:eastAsia="Book Antiqua" w:hAnsi="Book Antiqua" w:cs="Book Antiqua"/>
          <w:b/>
          <w:bCs/>
        </w:rPr>
        <w:t>Vilmann</w:t>
      </w:r>
      <w:proofErr w:type="spellEnd"/>
      <w:r>
        <w:rPr>
          <w:rFonts w:ascii="Book Antiqua" w:eastAsia="Book Antiqua" w:hAnsi="Book Antiqua" w:cs="Book Antiqua"/>
          <w:b/>
          <w:bCs/>
        </w:rPr>
        <w:t xml:space="preserve"> P</w:t>
      </w:r>
      <w:r>
        <w:rPr>
          <w:rFonts w:ascii="Book Antiqua" w:eastAsia="Book Antiqua" w:hAnsi="Book Antiqua" w:cs="Book Antiqua"/>
        </w:rPr>
        <w:t xml:space="preserve">, Jacobsen GK, Henriksen FW, Hancke S. Endoscopic ultrasonography with guided fine needle aspiration biopsy in pancreatic disease.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1992; </w:t>
      </w:r>
      <w:r>
        <w:rPr>
          <w:rFonts w:ascii="Book Antiqua" w:eastAsia="Book Antiqua" w:hAnsi="Book Antiqua" w:cs="Book Antiqua"/>
          <w:b/>
          <w:bCs/>
        </w:rPr>
        <w:t>38</w:t>
      </w:r>
      <w:r>
        <w:rPr>
          <w:rFonts w:ascii="Book Antiqua" w:eastAsia="Book Antiqua" w:hAnsi="Book Antiqua" w:cs="Book Antiqua"/>
        </w:rPr>
        <w:t>: 172-173 [PMID: 1568614 DOI: 10.1016/s0016-5107(92)70385-x]</w:t>
      </w:r>
    </w:p>
    <w:p w14:paraId="15B72FA5"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Lisotti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Frazzoni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Fuccio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Serrani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Cominardi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Bazzoli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Fusaroli</w:t>
      </w:r>
      <w:proofErr w:type="spellEnd"/>
      <w:r>
        <w:rPr>
          <w:rFonts w:ascii="Book Antiqua" w:eastAsia="Book Antiqua" w:hAnsi="Book Antiqua" w:cs="Book Antiqua"/>
        </w:rPr>
        <w:t xml:space="preserve"> P. Repeat EUS-FNA of pancreatic masses after nondiagnostic or inconclusive results: systematic review and meta-analysis.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91</w:t>
      </w:r>
      <w:r>
        <w:rPr>
          <w:rFonts w:ascii="Book Antiqua" w:eastAsia="Book Antiqua" w:hAnsi="Book Antiqua" w:cs="Book Antiqua"/>
        </w:rPr>
        <w:t>: 1234-1241.e4 [PMID: 32006546 DOI: 10.1016/j.gie.2020.01.034]</w:t>
      </w:r>
    </w:p>
    <w:p w14:paraId="2FAB9B05"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O'Reilly D</w:t>
      </w:r>
      <w:r>
        <w:rPr>
          <w:rFonts w:ascii="Book Antiqua" w:eastAsia="Book Antiqua" w:hAnsi="Book Antiqua" w:cs="Book Antiqua"/>
        </w:rPr>
        <w:t xml:space="preserve">, </w:t>
      </w:r>
      <w:proofErr w:type="spellStart"/>
      <w:r>
        <w:rPr>
          <w:rFonts w:ascii="Book Antiqua" w:eastAsia="Book Antiqua" w:hAnsi="Book Antiqua" w:cs="Book Antiqua"/>
        </w:rPr>
        <w:t>Fou</w:t>
      </w:r>
      <w:proofErr w:type="spellEnd"/>
      <w:r>
        <w:rPr>
          <w:rFonts w:ascii="Book Antiqua" w:eastAsia="Book Antiqua" w:hAnsi="Book Antiqua" w:cs="Book Antiqua"/>
        </w:rPr>
        <w:t xml:space="preserve"> L, Hasler E, Hawkins J, O'Connell S, </w:t>
      </w:r>
      <w:proofErr w:type="spellStart"/>
      <w:r>
        <w:rPr>
          <w:rFonts w:ascii="Book Antiqua" w:eastAsia="Book Antiqua" w:hAnsi="Book Antiqua" w:cs="Book Antiqua"/>
        </w:rPr>
        <w:t>Pelone</w:t>
      </w:r>
      <w:proofErr w:type="spellEnd"/>
      <w:r>
        <w:rPr>
          <w:rFonts w:ascii="Book Antiqua" w:eastAsia="Book Antiqua" w:hAnsi="Book Antiqua" w:cs="Book Antiqua"/>
        </w:rPr>
        <w:t xml:space="preserve"> F, Callaway M, Campbell F, Capel M, Charnley R, Corrie P, Elliot D, Goodburn L, Jewell A, </w:t>
      </w:r>
      <w:proofErr w:type="spellStart"/>
      <w:r>
        <w:rPr>
          <w:rFonts w:ascii="Book Antiqua" w:eastAsia="Book Antiqua" w:hAnsi="Book Antiqua" w:cs="Book Antiqua"/>
        </w:rPr>
        <w:t>Joharchi</w:t>
      </w:r>
      <w:proofErr w:type="spellEnd"/>
      <w:r>
        <w:rPr>
          <w:rFonts w:ascii="Book Antiqua" w:eastAsia="Book Antiqua" w:hAnsi="Book Antiqua" w:cs="Book Antiqua"/>
        </w:rPr>
        <w:t xml:space="preserve"> S, McGeeney L, Mukherjee S, Oppong K, Whelan P, Primrose J, </w:t>
      </w:r>
      <w:proofErr w:type="spellStart"/>
      <w:r>
        <w:rPr>
          <w:rFonts w:ascii="Book Antiqua" w:eastAsia="Book Antiqua" w:hAnsi="Book Antiqua" w:cs="Book Antiqua"/>
        </w:rPr>
        <w:t>Neoptolemos</w:t>
      </w:r>
      <w:proofErr w:type="spellEnd"/>
      <w:r>
        <w:rPr>
          <w:rFonts w:ascii="Book Antiqua" w:eastAsia="Book Antiqua" w:hAnsi="Book Antiqua" w:cs="Book Antiqua"/>
        </w:rPr>
        <w:t xml:space="preserve"> J. </w:t>
      </w:r>
      <w:proofErr w:type="gramStart"/>
      <w:r>
        <w:rPr>
          <w:rFonts w:ascii="Book Antiqua" w:eastAsia="Book Antiqua" w:hAnsi="Book Antiqua" w:cs="Book Antiqua"/>
        </w:rPr>
        <w:t>Diagnosis</w:t>
      </w:r>
      <w:proofErr w:type="gramEnd"/>
      <w:r>
        <w:rPr>
          <w:rFonts w:ascii="Book Antiqua" w:eastAsia="Book Antiqua" w:hAnsi="Book Antiqua" w:cs="Book Antiqua"/>
        </w:rPr>
        <w:t xml:space="preserve"> and management of pancreatic cancer in adults: A summary of guidelines from the UK National Institute for Health and Care Excellence. </w:t>
      </w:r>
      <w:r>
        <w:rPr>
          <w:rFonts w:ascii="Book Antiqua" w:eastAsia="Book Antiqua" w:hAnsi="Book Antiqua" w:cs="Book Antiqua"/>
          <w:i/>
          <w:iCs/>
        </w:rPr>
        <w:t>Pancreatology</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962-970 [PMID: 30292643 DOI: 10.1016/j.pan.2018.09.012]</w:t>
      </w:r>
    </w:p>
    <w:p w14:paraId="6566CCA1"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Specialisten</w:t>
      </w:r>
      <w:proofErr w:type="spellEnd"/>
      <w:r>
        <w:rPr>
          <w:rFonts w:ascii="Book Antiqua" w:eastAsia="Book Antiqua" w:hAnsi="Book Antiqua" w:cs="Book Antiqua"/>
          <w:b/>
          <w:bCs/>
        </w:rPr>
        <w:t xml:space="preserve"> FM</w:t>
      </w:r>
      <w:r>
        <w:rPr>
          <w:rFonts w:ascii="Book Antiqua" w:eastAsia="Book Antiqua" w:hAnsi="Book Antiqua" w:cs="Book Antiqua"/>
        </w:rPr>
        <w:t xml:space="preserve">. </w:t>
      </w:r>
      <w:proofErr w:type="spellStart"/>
      <w:r>
        <w:rPr>
          <w:rFonts w:ascii="Book Antiqua" w:eastAsia="Book Antiqua" w:hAnsi="Book Antiqua" w:cs="Book Antiqua"/>
        </w:rPr>
        <w:t>Richtlijn</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Pancreascarcinoom</w:t>
      </w:r>
      <w:proofErr w:type="spellEnd"/>
      <w:r>
        <w:rPr>
          <w:rFonts w:ascii="Book Antiqua" w:eastAsia="Book Antiqua" w:hAnsi="Book Antiqua" w:cs="Book Antiqua"/>
        </w:rPr>
        <w:t xml:space="preserve"> 2019. 2020.</w:t>
      </w:r>
      <w:r>
        <w:rPr>
          <w:rFonts w:ascii="Book Antiqua" w:hAnsi="Book Antiqua"/>
        </w:rPr>
        <w:t xml:space="preserve"> [cited 10 December 2023]. Available from: </w:t>
      </w:r>
      <w:r>
        <w:rPr>
          <w:rFonts w:ascii="Book Antiqua" w:eastAsia="Book Antiqua" w:hAnsi="Book Antiqua" w:cs="Book Antiqua"/>
        </w:rPr>
        <w:t>https://richtlijnendatabase.nl/richtlijn/pancreascarcinoom/startpagina.html</w:t>
      </w:r>
    </w:p>
    <w:p w14:paraId="33C53712"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Springfeld</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Jäger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Strobel O,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Palmer DH, </w:t>
      </w:r>
      <w:proofErr w:type="spellStart"/>
      <w:r>
        <w:rPr>
          <w:rFonts w:ascii="Book Antiqua" w:eastAsia="Book Antiqua" w:hAnsi="Book Antiqua" w:cs="Book Antiqua"/>
        </w:rPr>
        <w:t>Neoptolemos</w:t>
      </w:r>
      <w:proofErr w:type="spellEnd"/>
      <w:r>
        <w:rPr>
          <w:rFonts w:ascii="Book Antiqua" w:eastAsia="Book Antiqua" w:hAnsi="Book Antiqua" w:cs="Book Antiqua"/>
        </w:rPr>
        <w:t xml:space="preserve"> JP. Chemotherapy for pancreatic cancer. </w:t>
      </w:r>
      <w:r>
        <w:rPr>
          <w:rFonts w:ascii="Book Antiqua" w:eastAsia="Book Antiqua" w:hAnsi="Book Antiqua" w:cs="Book Antiqua"/>
          <w:i/>
          <w:iCs/>
        </w:rPr>
        <w:t>Presse Med</w:t>
      </w:r>
      <w:r>
        <w:rPr>
          <w:rFonts w:ascii="Book Antiqua" w:eastAsia="Book Antiqua" w:hAnsi="Book Antiqua" w:cs="Book Antiqua"/>
        </w:rPr>
        <w:t xml:space="preserve"> 2019; </w:t>
      </w:r>
      <w:r>
        <w:rPr>
          <w:rFonts w:ascii="Book Antiqua" w:eastAsia="Book Antiqua" w:hAnsi="Book Antiqua" w:cs="Book Antiqua"/>
          <w:b/>
          <w:bCs/>
        </w:rPr>
        <w:t>48</w:t>
      </w:r>
      <w:r>
        <w:rPr>
          <w:rFonts w:ascii="Book Antiqua" w:eastAsia="Book Antiqua" w:hAnsi="Book Antiqua" w:cs="Book Antiqua"/>
        </w:rPr>
        <w:t>: e159-e174 [PMID: 30879894 DOI: 10.1016/j.lpm.2019.02.025]</w:t>
      </w:r>
    </w:p>
    <w:p w14:paraId="2FDE8DAC"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 xml:space="preserve">European Study Group on Cystic </w:t>
      </w:r>
      <w:proofErr w:type="spellStart"/>
      <w:r>
        <w:rPr>
          <w:rFonts w:ascii="Book Antiqua" w:eastAsia="Book Antiqua" w:hAnsi="Book Antiqua" w:cs="Book Antiqua"/>
          <w:b/>
          <w:bCs/>
        </w:rPr>
        <w:t>Tumours</w:t>
      </w:r>
      <w:proofErr w:type="spellEnd"/>
      <w:r>
        <w:rPr>
          <w:rFonts w:ascii="Book Antiqua" w:eastAsia="Book Antiqua" w:hAnsi="Book Antiqua" w:cs="Book Antiqua"/>
          <w:b/>
          <w:bCs/>
        </w:rPr>
        <w:t xml:space="preserve"> of the Pancreas</w:t>
      </w:r>
      <w:r>
        <w:rPr>
          <w:rFonts w:ascii="Book Antiqua" w:eastAsia="Book Antiqua" w:hAnsi="Book Antiqua" w:cs="Book Antiqua"/>
        </w:rPr>
        <w:t xml:space="preserve">. European evidence-based guidelines on pancreatic cystic neoplasms.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789-804 [PMID: 29574408 DOI: 10.1136/gutjnl-2018-316027]</w:t>
      </w:r>
    </w:p>
    <w:p w14:paraId="07EDDB0D"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Akshintala</w:t>
      </w:r>
      <w:proofErr w:type="spellEnd"/>
      <w:r>
        <w:rPr>
          <w:rFonts w:ascii="Book Antiqua" w:eastAsia="Book Antiqua" w:hAnsi="Book Antiqua" w:cs="Book Antiqua"/>
          <w:b/>
          <w:bCs/>
        </w:rPr>
        <w:t xml:space="preserve"> VS</w:t>
      </w:r>
      <w:r>
        <w:rPr>
          <w:rFonts w:ascii="Book Antiqua" w:eastAsia="Book Antiqua" w:hAnsi="Book Antiqua" w:cs="Book Antiqua"/>
        </w:rPr>
        <w:t xml:space="preserve">, Singh VK. Management of Autoimmune Pancreatitis. </w:t>
      </w:r>
      <w:r>
        <w:rPr>
          <w:rFonts w:ascii="Book Antiqua" w:eastAsia="Book Antiqua" w:hAnsi="Book Antiqua" w:cs="Book Antiqua"/>
          <w:i/>
          <w:iCs/>
        </w:rPr>
        <w:t>Clin Gastroenterol Hepatol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1937-1939 [PMID: 31042584 DOI: 10.1016/j.cgh.2019.04.052]</w:t>
      </w:r>
    </w:p>
    <w:p w14:paraId="4AF933D9"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 </w:t>
      </w:r>
      <w:r>
        <w:rPr>
          <w:rFonts w:ascii="Book Antiqua" w:eastAsia="Book Antiqua" w:hAnsi="Book Antiqua" w:cs="Book Antiqua"/>
          <w:b/>
          <w:bCs/>
        </w:rPr>
        <w:t>Kovacevic B</w:t>
      </w:r>
      <w:r>
        <w:rPr>
          <w:rFonts w:ascii="Book Antiqua" w:eastAsia="Book Antiqua" w:hAnsi="Book Antiqua" w:cs="Book Antiqua"/>
        </w:rPr>
        <w:t xml:space="preserve">, </w:t>
      </w:r>
      <w:proofErr w:type="spellStart"/>
      <w:r>
        <w:rPr>
          <w:rFonts w:ascii="Book Antiqua" w:eastAsia="Book Antiqua" w:hAnsi="Book Antiqua" w:cs="Book Antiqua"/>
        </w:rPr>
        <w:t>Karstensen</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Vilmann</w:t>
      </w:r>
      <w:proofErr w:type="spellEnd"/>
      <w:r>
        <w:rPr>
          <w:rFonts w:ascii="Book Antiqua" w:eastAsia="Book Antiqua" w:hAnsi="Book Antiqua" w:cs="Book Antiqua"/>
        </w:rPr>
        <w:t xml:space="preserve"> P. EUS-FNA vs EUS-FNB for Pancreatic Lesions: Which Needle When to Use?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Treat Options Gastro</w:t>
      </w:r>
      <w:r>
        <w:rPr>
          <w:rFonts w:ascii="Book Antiqua" w:eastAsia="Book Antiqua" w:hAnsi="Book Antiqua" w:cs="Book Antiqua"/>
        </w:rPr>
        <w:t xml:space="preserve"> 2021; </w:t>
      </w:r>
      <w:r>
        <w:rPr>
          <w:rFonts w:ascii="Book Antiqua" w:eastAsia="Book Antiqua" w:hAnsi="Book Antiqua" w:cs="Book Antiqua"/>
          <w:b/>
          <w:bCs/>
        </w:rPr>
        <w:t>1</w:t>
      </w:r>
      <w:r>
        <w:rPr>
          <w:rFonts w:ascii="Book Antiqua" w:eastAsia="宋体" w:hAnsi="Book Antiqua" w:cs="宋体"/>
          <w:b/>
          <w:bCs/>
          <w:lang w:eastAsia="zh-CN"/>
        </w:rPr>
        <w:t>9:</w:t>
      </w:r>
      <w:r>
        <w:rPr>
          <w:rFonts w:ascii="Book Antiqua" w:eastAsia="Book Antiqua" w:hAnsi="Book Antiqua" w:cs="Book Antiqua"/>
        </w:rPr>
        <w:t xml:space="preserve"> 295–307 [DOI: 10.1007/s11938-021-00340-3]</w:t>
      </w:r>
    </w:p>
    <w:p w14:paraId="5546F987"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Mizuide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Ryozawa</w:t>
      </w:r>
      <w:proofErr w:type="spellEnd"/>
      <w:r>
        <w:rPr>
          <w:rFonts w:ascii="Book Antiqua" w:eastAsia="Book Antiqua" w:hAnsi="Book Antiqua" w:cs="Book Antiqua"/>
        </w:rPr>
        <w:t xml:space="preserve"> S, Fujita A, Ogawa T, </w:t>
      </w:r>
      <w:proofErr w:type="spellStart"/>
      <w:r>
        <w:rPr>
          <w:rFonts w:ascii="Book Antiqua" w:eastAsia="Book Antiqua" w:hAnsi="Book Antiqua" w:cs="Book Antiqua"/>
        </w:rPr>
        <w:t>Katsuda</w:t>
      </w:r>
      <w:proofErr w:type="spellEnd"/>
      <w:r>
        <w:rPr>
          <w:rFonts w:ascii="Book Antiqua" w:eastAsia="Book Antiqua" w:hAnsi="Book Antiqua" w:cs="Book Antiqua"/>
        </w:rPr>
        <w:t xml:space="preserve"> H, Suzuki M, Noguchi T, </w:t>
      </w:r>
      <w:proofErr w:type="spellStart"/>
      <w:r>
        <w:rPr>
          <w:rFonts w:ascii="Book Antiqua" w:eastAsia="Book Antiqua" w:hAnsi="Book Antiqua" w:cs="Book Antiqua"/>
        </w:rPr>
        <w:t>Tanisaka</w:t>
      </w:r>
      <w:proofErr w:type="spellEnd"/>
      <w:r>
        <w:rPr>
          <w:rFonts w:ascii="Book Antiqua" w:eastAsia="Book Antiqua" w:hAnsi="Book Antiqua" w:cs="Book Antiqua"/>
        </w:rPr>
        <w:t xml:space="preserve"> Y. Complications of Endoscopic Ultrasound-Guided Fine Needle Aspiration: A Narrative Review. </w:t>
      </w:r>
      <w:r>
        <w:rPr>
          <w:rFonts w:ascii="Book Antiqua" w:eastAsia="Book Antiqua" w:hAnsi="Book Antiqua" w:cs="Book Antiqua"/>
          <w:i/>
          <w:iCs/>
        </w:rPr>
        <w:t>Diagnostics (Basel)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xml:space="preserve"> [PMID: 33213103 DOI: 10.3390/diagnostics10110964]</w:t>
      </w:r>
    </w:p>
    <w:p w14:paraId="1EDF86E3"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Gress</w:t>
      </w:r>
      <w:proofErr w:type="spellEnd"/>
      <w:r>
        <w:rPr>
          <w:rFonts w:ascii="Book Antiqua" w:eastAsia="Book Antiqua" w:hAnsi="Book Antiqua" w:cs="Book Antiqua"/>
          <w:b/>
          <w:bCs/>
        </w:rPr>
        <w:t xml:space="preserve"> F</w:t>
      </w:r>
      <w:r>
        <w:rPr>
          <w:rFonts w:ascii="Book Antiqua" w:eastAsia="Book Antiqua" w:hAnsi="Book Antiqua" w:cs="Book Antiqua"/>
        </w:rPr>
        <w:t xml:space="preserve">, Michael H, </w:t>
      </w:r>
      <w:proofErr w:type="spellStart"/>
      <w:r>
        <w:rPr>
          <w:rFonts w:ascii="Book Antiqua" w:eastAsia="Book Antiqua" w:hAnsi="Book Antiqua" w:cs="Book Antiqua"/>
        </w:rPr>
        <w:t>Gelrud</w:t>
      </w:r>
      <w:proofErr w:type="spellEnd"/>
      <w:r>
        <w:rPr>
          <w:rFonts w:ascii="Book Antiqua" w:eastAsia="Book Antiqua" w:hAnsi="Book Antiqua" w:cs="Book Antiqua"/>
        </w:rPr>
        <w:t xml:space="preserve"> D, Patel P, Gottlieb K, Singh F, </w:t>
      </w:r>
      <w:proofErr w:type="spellStart"/>
      <w:r>
        <w:rPr>
          <w:rFonts w:ascii="Book Antiqua" w:eastAsia="Book Antiqua" w:hAnsi="Book Antiqua" w:cs="Book Antiqua"/>
        </w:rPr>
        <w:t>Grendell</w:t>
      </w:r>
      <w:proofErr w:type="spellEnd"/>
      <w:r>
        <w:rPr>
          <w:rFonts w:ascii="Book Antiqua" w:eastAsia="Book Antiqua" w:hAnsi="Book Antiqua" w:cs="Book Antiqua"/>
        </w:rPr>
        <w:t xml:space="preserve"> J. EUS-guided fine-needle aspiration of the pancreas: evaluation of pancreatitis as a complication.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2002; </w:t>
      </w:r>
      <w:r>
        <w:rPr>
          <w:rFonts w:ascii="Book Antiqua" w:eastAsia="Book Antiqua" w:hAnsi="Book Antiqua" w:cs="Book Antiqua"/>
          <w:b/>
          <w:bCs/>
        </w:rPr>
        <w:t>56</w:t>
      </w:r>
      <w:r>
        <w:rPr>
          <w:rFonts w:ascii="Book Antiqua" w:eastAsia="Book Antiqua" w:hAnsi="Book Antiqua" w:cs="Book Antiqua"/>
        </w:rPr>
        <w:t>: 864-867 [PMID: 12447299 DOI: 10.1067/mge.2002.129602]</w:t>
      </w:r>
    </w:p>
    <w:p w14:paraId="004679F3"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Tian G</w:t>
      </w:r>
      <w:r>
        <w:rPr>
          <w:rFonts w:ascii="Book Antiqua" w:eastAsia="Book Antiqua" w:hAnsi="Book Antiqua" w:cs="Book Antiqua"/>
        </w:rPr>
        <w:t xml:space="preserve">, Ye Z, Zhao Q, Jiang T. Complication incidence of EUS-guided pancreas biopsy: A systematic review and meta-analysis of 11 thousand population from 78 cohort studies. </w:t>
      </w:r>
      <w:r>
        <w:rPr>
          <w:rFonts w:ascii="Book Antiqua" w:eastAsia="Book Antiqua" w:hAnsi="Book Antiqua" w:cs="Book Antiqua"/>
          <w:i/>
          <w:iCs/>
        </w:rPr>
        <w:t>Asian J Surg</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1049-1055 [PMID: 31974051 DOI: 10.1016/j.asjsur.2019.12.011]</w:t>
      </w:r>
    </w:p>
    <w:p w14:paraId="2AC11DB2"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Banks PA</w:t>
      </w:r>
      <w:r>
        <w:rPr>
          <w:rFonts w:ascii="Book Antiqua" w:eastAsia="Book Antiqua" w:hAnsi="Book Antiqua" w:cs="Book Antiqua"/>
        </w:rPr>
        <w:t xml:space="preserve">, </w:t>
      </w:r>
      <w:proofErr w:type="spellStart"/>
      <w:r>
        <w:rPr>
          <w:rFonts w:ascii="Book Antiqua" w:eastAsia="Book Antiqua" w:hAnsi="Book Antiqua" w:cs="Book Antiqua"/>
        </w:rPr>
        <w:t>Bollen</w:t>
      </w:r>
      <w:proofErr w:type="spellEnd"/>
      <w:r>
        <w:rPr>
          <w:rFonts w:ascii="Book Antiqua" w:eastAsia="Book Antiqua" w:hAnsi="Book Antiqua" w:cs="Book Antiqua"/>
        </w:rPr>
        <w:t xml:space="preserve"> TL,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Gooszen</w:t>
      </w:r>
      <w:proofErr w:type="spellEnd"/>
      <w:r>
        <w:rPr>
          <w:rFonts w:ascii="Book Antiqua" w:eastAsia="Book Antiqua" w:hAnsi="Book Antiqua" w:cs="Book Antiqua"/>
        </w:rPr>
        <w:t xml:space="preserve"> HG, Johnson CD, </w:t>
      </w:r>
      <w:proofErr w:type="spellStart"/>
      <w:r>
        <w:rPr>
          <w:rFonts w:ascii="Book Antiqua" w:eastAsia="Book Antiqua" w:hAnsi="Book Antiqua" w:cs="Book Antiqua"/>
        </w:rPr>
        <w:t>Sarr</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Tsiotos</w:t>
      </w:r>
      <w:proofErr w:type="spellEnd"/>
      <w:r>
        <w:rPr>
          <w:rFonts w:ascii="Book Antiqua" w:eastAsia="Book Antiqua" w:hAnsi="Book Antiqua" w:cs="Book Antiqua"/>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rPr>
        <w:t>Gut</w:t>
      </w:r>
      <w:r>
        <w:rPr>
          <w:rFonts w:ascii="Book Antiqua" w:eastAsia="Book Antiqua" w:hAnsi="Book Antiqua" w:cs="Book Antiqua"/>
        </w:rPr>
        <w:t xml:space="preserve"> 2013; </w:t>
      </w:r>
      <w:r>
        <w:rPr>
          <w:rFonts w:ascii="Book Antiqua" w:eastAsia="Book Antiqua" w:hAnsi="Book Antiqua" w:cs="Book Antiqua"/>
          <w:b/>
          <w:bCs/>
        </w:rPr>
        <w:t>62</w:t>
      </w:r>
      <w:r>
        <w:rPr>
          <w:rFonts w:ascii="Book Antiqua" w:eastAsia="Book Antiqua" w:hAnsi="Book Antiqua" w:cs="Book Antiqua"/>
        </w:rPr>
        <w:t>: 102-111 [PMID: 23100216 DOI: 10.1136/gutjnl-2012-302779]</w:t>
      </w:r>
    </w:p>
    <w:p w14:paraId="4D9CF4E8"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Chen YI</w:t>
      </w:r>
      <w:r>
        <w:rPr>
          <w:rFonts w:ascii="Book Antiqua" w:eastAsia="Book Antiqua" w:hAnsi="Book Antiqua" w:cs="Book Antiqua"/>
        </w:rPr>
        <w:t xml:space="preserve">, Chatterjee A, Berger R, </w:t>
      </w:r>
      <w:proofErr w:type="spellStart"/>
      <w:r>
        <w:rPr>
          <w:rFonts w:ascii="Book Antiqua" w:eastAsia="Book Antiqua" w:hAnsi="Book Antiqua" w:cs="Book Antiqua"/>
        </w:rPr>
        <w:t>Kanber</w:t>
      </w:r>
      <w:proofErr w:type="spellEnd"/>
      <w:r>
        <w:rPr>
          <w:rFonts w:ascii="Book Antiqua" w:eastAsia="Book Antiqua" w:hAnsi="Book Antiqua" w:cs="Book Antiqua"/>
        </w:rPr>
        <w:t xml:space="preserve"> Y, Wyse J, Lam E, Gan I, Auger M, </w:t>
      </w:r>
      <w:proofErr w:type="spellStart"/>
      <w:r>
        <w:rPr>
          <w:rFonts w:ascii="Book Antiqua" w:eastAsia="Book Antiqua" w:hAnsi="Book Antiqua" w:cs="Book Antiqua"/>
        </w:rPr>
        <w:t>Kenshil</w:t>
      </w:r>
      <w:proofErr w:type="spellEnd"/>
      <w:r>
        <w:rPr>
          <w:rFonts w:ascii="Book Antiqua" w:eastAsia="Book Antiqua" w:hAnsi="Book Antiqua" w:cs="Book Antiqua"/>
        </w:rPr>
        <w:t xml:space="preserve"> S, Telford J, Donnellan F, Quinlan J, </w:t>
      </w:r>
      <w:proofErr w:type="spellStart"/>
      <w:r>
        <w:rPr>
          <w:rFonts w:ascii="Book Antiqua" w:eastAsia="Book Antiqua" w:hAnsi="Book Antiqua" w:cs="Book Antiqua"/>
        </w:rPr>
        <w:t>Lutzak</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Alshamsi</w:t>
      </w:r>
      <w:proofErr w:type="spellEnd"/>
      <w:r>
        <w:rPr>
          <w:rFonts w:ascii="Book Antiqua" w:eastAsia="Book Antiqua" w:hAnsi="Book Antiqua" w:cs="Book Antiqua"/>
        </w:rPr>
        <w:t xml:space="preserve"> F, Parent J, </w:t>
      </w:r>
      <w:proofErr w:type="spellStart"/>
      <w:r>
        <w:rPr>
          <w:rFonts w:ascii="Book Antiqua" w:eastAsia="Book Antiqua" w:hAnsi="Book Antiqua" w:cs="Book Antiqua"/>
        </w:rPr>
        <w:t>Waschke</w:t>
      </w:r>
      <w:proofErr w:type="spellEnd"/>
      <w:r>
        <w:rPr>
          <w:rFonts w:ascii="Book Antiqua" w:eastAsia="Book Antiqua" w:hAnsi="Book Antiqua" w:cs="Book Antiqua"/>
        </w:rPr>
        <w:t xml:space="preserve"> K, Alghamdi A, </w:t>
      </w:r>
      <w:proofErr w:type="spellStart"/>
      <w:r>
        <w:rPr>
          <w:rFonts w:ascii="Book Antiqua" w:eastAsia="Book Antiqua" w:hAnsi="Book Antiqua" w:cs="Book Antiqua"/>
        </w:rPr>
        <w:t>Barkun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Metrakos</w:t>
      </w:r>
      <w:proofErr w:type="spellEnd"/>
      <w:r>
        <w:rPr>
          <w:rFonts w:ascii="Book Antiqua" w:eastAsia="Book Antiqua" w:hAnsi="Book Antiqua" w:cs="Book Antiqua"/>
        </w:rPr>
        <w:t xml:space="preserve"> P, Chaudhury P, Martel M, </w:t>
      </w:r>
      <w:proofErr w:type="spellStart"/>
      <w:r>
        <w:rPr>
          <w:rFonts w:ascii="Book Antiqua" w:eastAsia="Book Antiqua" w:hAnsi="Book Antiqua" w:cs="Book Antiqua"/>
        </w:rPr>
        <w:t>Dorreen</w:t>
      </w:r>
      <w:proofErr w:type="spellEnd"/>
      <w:r>
        <w:rPr>
          <w:rFonts w:ascii="Book Antiqua" w:eastAsia="Book Antiqua" w:hAnsi="Book Antiqua" w:cs="Book Antiqua"/>
        </w:rPr>
        <w:t xml:space="preserve"> A, Candido K, Miller C, Adam V, </w:t>
      </w:r>
      <w:proofErr w:type="spellStart"/>
      <w:r>
        <w:rPr>
          <w:rFonts w:ascii="Book Antiqua" w:eastAsia="Book Antiqua" w:hAnsi="Book Antiqua" w:cs="Book Antiqua"/>
        </w:rPr>
        <w:t>Barkun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Zogopoulos</w:t>
      </w:r>
      <w:proofErr w:type="spellEnd"/>
      <w:r>
        <w:rPr>
          <w:rFonts w:ascii="Book Antiqua" w:eastAsia="Book Antiqua" w:hAnsi="Book Antiqua" w:cs="Book Antiqua"/>
        </w:rPr>
        <w:t xml:space="preserve"> G, Wong C. Endoscopic ultrasound (EUS)-guided fine needle biopsy alone vs. EUS-guided fine needle aspiration with rapid onsite evaluation in pancreatic lesions: a multicenter randomized trial. </w:t>
      </w:r>
      <w:r>
        <w:rPr>
          <w:rFonts w:ascii="Book Antiqua" w:eastAsia="Book Antiqua" w:hAnsi="Book Antiqua" w:cs="Book Antiqua"/>
          <w:i/>
          <w:iCs/>
        </w:rPr>
        <w:t>Endoscopy</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4-12 [PMID: 33506455 DOI: 10.1055/a-1375-9775]</w:t>
      </w:r>
    </w:p>
    <w:p w14:paraId="196C35D6"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Gonzalez A</w:t>
      </w:r>
      <w:r>
        <w:rPr>
          <w:rFonts w:ascii="Book Antiqua" w:eastAsia="Book Antiqua" w:hAnsi="Book Antiqua" w:cs="Book Antiqua"/>
        </w:rPr>
        <w:t xml:space="preserve">, Wadhwa V, Singh H, Khan S, Gupta K, Liang H, Hussain I, Vargo J, Jang S, Chahal P, Bhatt A, </w:t>
      </w:r>
      <w:proofErr w:type="spellStart"/>
      <w:r>
        <w:rPr>
          <w:rFonts w:ascii="Book Antiqua" w:eastAsia="Book Antiqua" w:hAnsi="Book Antiqua" w:cs="Book Antiqua"/>
        </w:rPr>
        <w:t>Siddiki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Erim</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Sanaka</w:t>
      </w:r>
      <w:proofErr w:type="spellEnd"/>
      <w:r>
        <w:rPr>
          <w:rFonts w:ascii="Book Antiqua" w:eastAsia="Book Antiqua" w:hAnsi="Book Antiqua" w:cs="Book Antiqua"/>
        </w:rPr>
        <w:t xml:space="preserve"> MR. Endoscopic ultrasound with combined fine needle aspiration plus biopsy improves diagnostic yield in solid pancreatic masses.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Gastroenterol</w:t>
      </w:r>
      <w:r>
        <w:rPr>
          <w:rFonts w:ascii="Book Antiqua" w:eastAsia="Book Antiqua" w:hAnsi="Book Antiqua" w:cs="Book Antiqua"/>
        </w:rPr>
        <w:t xml:space="preserve"> 2022; </w:t>
      </w:r>
      <w:r>
        <w:rPr>
          <w:rFonts w:ascii="Book Antiqua" w:eastAsia="Book Antiqua" w:hAnsi="Book Antiqua" w:cs="Book Antiqua"/>
          <w:b/>
          <w:bCs/>
        </w:rPr>
        <w:t>57</w:t>
      </w:r>
      <w:r>
        <w:rPr>
          <w:rFonts w:ascii="Book Antiqua" w:eastAsia="Book Antiqua" w:hAnsi="Book Antiqua" w:cs="Book Antiqua"/>
        </w:rPr>
        <w:t>: 610-617 [PMID: 34991430 DOI: 10.1080/00365521.2021.2024249]</w:t>
      </w:r>
    </w:p>
    <w:p w14:paraId="675A0624"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15 </w:t>
      </w:r>
      <w:r>
        <w:rPr>
          <w:rFonts w:ascii="Book Antiqua" w:eastAsia="Book Antiqua" w:hAnsi="Book Antiqua" w:cs="Book Antiqua"/>
          <w:b/>
          <w:bCs/>
        </w:rPr>
        <w:t>Ishigaki K</w:t>
      </w:r>
      <w:r>
        <w:rPr>
          <w:rFonts w:ascii="Book Antiqua" w:eastAsia="Book Antiqua" w:hAnsi="Book Antiqua" w:cs="Book Antiqua"/>
        </w:rPr>
        <w:t xml:space="preserve">, </w:t>
      </w:r>
      <w:proofErr w:type="spellStart"/>
      <w:r>
        <w:rPr>
          <w:rFonts w:ascii="Book Antiqua" w:eastAsia="Book Antiqua" w:hAnsi="Book Antiqua" w:cs="Book Antiqua"/>
        </w:rPr>
        <w:t>Nakai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Oyama</w:t>
      </w:r>
      <w:proofErr w:type="spellEnd"/>
      <w:r>
        <w:rPr>
          <w:rFonts w:ascii="Book Antiqua" w:eastAsia="Book Antiqua" w:hAnsi="Book Antiqua" w:cs="Book Antiqua"/>
        </w:rPr>
        <w:t xml:space="preserve"> H, Kanai S, Suzuki T, Nakamura T, Sato T, </w:t>
      </w:r>
      <w:proofErr w:type="spellStart"/>
      <w:r>
        <w:rPr>
          <w:rFonts w:ascii="Book Antiqua" w:eastAsia="Book Antiqua" w:hAnsi="Book Antiqua" w:cs="Book Antiqua"/>
        </w:rPr>
        <w:t>Hakuta</w:t>
      </w:r>
      <w:proofErr w:type="spellEnd"/>
      <w:r>
        <w:rPr>
          <w:rFonts w:ascii="Book Antiqua" w:eastAsia="Book Antiqua" w:hAnsi="Book Antiqua" w:cs="Book Antiqua"/>
        </w:rPr>
        <w:t xml:space="preserve"> R, Saito K, Saito T, </w:t>
      </w:r>
      <w:proofErr w:type="spellStart"/>
      <w:r>
        <w:rPr>
          <w:rFonts w:ascii="Book Antiqua" w:eastAsia="Book Antiqua" w:hAnsi="Book Antiqua" w:cs="Book Antiqua"/>
        </w:rPr>
        <w:t>Takahara</w:t>
      </w:r>
      <w:proofErr w:type="spellEnd"/>
      <w:r>
        <w:rPr>
          <w:rFonts w:ascii="Book Antiqua" w:eastAsia="Book Antiqua" w:hAnsi="Book Antiqua" w:cs="Book Antiqua"/>
        </w:rPr>
        <w:t xml:space="preserve"> N, Hamada T, Mizuno S, </w:t>
      </w:r>
      <w:proofErr w:type="spellStart"/>
      <w:r>
        <w:rPr>
          <w:rFonts w:ascii="Book Antiqua" w:eastAsia="Book Antiqua" w:hAnsi="Book Antiqua" w:cs="Book Antiqua"/>
        </w:rPr>
        <w:t>Kogure</w:t>
      </w:r>
      <w:proofErr w:type="spellEnd"/>
      <w:r>
        <w:rPr>
          <w:rFonts w:ascii="Book Antiqua" w:eastAsia="Book Antiqua" w:hAnsi="Book Antiqua" w:cs="Book Antiqua"/>
        </w:rPr>
        <w:t xml:space="preserve"> H, Tada M, </w:t>
      </w:r>
      <w:proofErr w:type="spellStart"/>
      <w:r>
        <w:rPr>
          <w:rFonts w:ascii="Book Antiqua" w:eastAsia="Book Antiqua" w:hAnsi="Book Antiqua" w:cs="Book Antiqua"/>
        </w:rPr>
        <w:t>Isayama</w:t>
      </w:r>
      <w:proofErr w:type="spellEnd"/>
      <w:r>
        <w:rPr>
          <w:rFonts w:ascii="Book Antiqua" w:eastAsia="Book Antiqua" w:hAnsi="Book Antiqua" w:cs="Book Antiqua"/>
        </w:rPr>
        <w:t xml:space="preserve"> H, Koike K. Endoscopic Ultrasound-Guided Tissue Acquisition by 22-Gauge </w:t>
      </w:r>
      <w:proofErr w:type="spellStart"/>
      <w:r>
        <w:rPr>
          <w:rFonts w:ascii="Book Antiqua" w:eastAsia="Book Antiqua" w:hAnsi="Book Antiqua" w:cs="Book Antiqua"/>
        </w:rPr>
        <w:t>Franseen</w:t>
      </w:r>
      <w:proofErr w:type="spellEnd"/>
      <w:r>
        <w:rPr>
          <w:rFonts w:ascii="Book Antiqua" w:eastAsia="Book Antiqua" w:hAnsi="Book Antiqua" w:cs="Book Antiqua"/>
        </w:rPr>
        <w:t xml:space="preserve"> and Standard Needles for Solid Pancreatic Lesions. </w:t>
      </w:r>
      <w:r>
        <w:rPr>
          <w:rFonts w:ascii="Book Antiqua" w:eastAsia="Book Antiqua" w:hAnsi="Book Antiqua" w:cs="Book Antiqua"/>
          <w:i/>
          <w:iCs/>
        </w:rPr>
        <w:t>Gut Liver</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817-825 [PMID: 32457276 DOI: 10.5009/gnl19171]</w:t>
      </w:r>
    </w:p>
    <w:p w14:paraId="03AA8426"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Kandel P</w:t>
      </w:r>
      <w:r>
        <w:rPr>
          <w:rFonts w:ascii="Book Antiqua" w:eastAsia="Book Antiqua" w:hAnsi="Book Antiqua" w:cs="Book Antiqua"/>
        </w:rPr>
        <w:t xml:space="preserve">, Nassar A, Gomez V, Raimondo M, Woodward TA, Crook JE, Fares NS, Wallace MB. Comparison of endoscopic ultrasound-guided fine-needle biopsy versus fine-needle aspiration for genomic profiling and DNA yield in pancreatic cancer: a randomized crossover trial. </w:t>
      </w:r>
      <w:r>
        <w:rPr>
          <w:rFonts w:ascii="Book Antiqua" w:eastAsia="Book Antiqua" w:hAnsi="Book Antiqua" w:cs="Book Antiqua"/>
          <w:i/>
          <w:iCs/>
        </w:rPr>
        <w:t>Endoscopy</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376-382 [PMID: 32767288 DOI: 10.1055/a-1223-2171]</w:t>
      </w:r>
    </w:p>
    <w:p w14:paraId="3F9C5CF4"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Ribeiro A</w:t>
      </w:r>
      <w:r>
        <w:rPr>
          <w:rFonts w:ascii="Book Antiqua" w:eastAsia="Book Antiqua" w:hAnsi="Book Antiqua" w:cs="Book Antiqua"/>
        </w:rPr>
        <w:t xml:space="preserve">, Goel A. The Risk Factors for Acute Pancreatitis after Endoscopic Ultrasound Guided Biopsy. </w:t>
      </w:r>
      <w:r>
        <w:rPr>
          <w:rFonts w:ascii="Book Antiqua" w:eastAsia="Book Antiqua" w:hAnsi="Book Antiqua" w:cs="Book Antiqua"/>
          <w:i/>
          <w:iCs/>
        </w:rPr>
        <w:t>Korean J Gastroenterol</w:t>
      </w:r>
      <w:r>
        <w:rPr>
          <w:rFonts w:ascii="Book Antiqua" w:eastAsia="Book Antiqua" w:hAnsi="Book Antiqua" w:cs="Book Antiqua"/>
        </w:rPr>
        <w:t xml:space="preserve"> 2018; </w:t>
      </w:r>
      <w:r>
        <w:rPr>
          <w:rFonts w:ascii="Book Antiqua" w:eastAsia="Book Antiqua" w:hAnsi="Book Antiqua" w:cs="Book Antiqua"/>
          <w:b/>
          <w:bCs/>
        </w:rPr>
        <w:t>72</w:t>
      </w:r>
      <w:r>
        <w:rPr>
          <w:rFonts w:ascii="Book Antiqua" w:eastAsia="Book Antiqua" w:hAnsi="Book Antiqua" w:cs="Book Antiqua"/>
        </w:rPr>
        <w:t>: 135-140 [PMID: 30270595 DOI: 10.4166/kjg.2018.72.3.135]</w:t>
      </w:r>
    </w:p>
    <w:p w14:paraId="6CA6CA7D"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Thomsen MM</w:t>
      </w:r>
      <w:r>
        <w:rPr>
          <w:rFonts w:ascii="Book Antiqua" w:eastAsia="Book Antiqua" w:hAnsi="Book Antiqua" w:cs="Book Antiqua"/>
        </w:rPr>
        <w:t xml:space="preserve">, Larsen MH, Di </w:t>
      </w:r>
      <w:proofErr w:type="spellStart"/>
      <w:r>
        <w:rPr>
          <w:rFonts w:ascii="Book Antiqua" w:eastAsia="Book Antiqua" w:hAnsi="Book Antiqua" w:cs="Book Antiqua"/>
        </w:rPr>
        <w:t>Caterino</w:t>
      </w:r>
      <w:proofErr w:type="spellEnd"/>
      <w:r>
        <w:rPr>
          <w:rFonts w:ascii="Book Antiqua" w:eastAsia="Book Antiqua" w:hAnsi="Book Antiqua" w:cs="Book Antiqua"/>
        </w:rPr>
        <w:t xml:space="preserve"> T, Hedegaard Jensen G, Mortensen MB, </w:t>
      </w:r>
      <w:proofErr w:type="spellStart"/>
      <w:r>
        <w:rPr>
          <w:rFonts w:ascii="Book Antiqua" w:eastAsia="Book Antiqua" w:hAnsi="Book Antiqua" w:cs="Book Antiqua"/>
        </w:rPr>
        <w:t>Detlefsen</w:t>
      </w:r>
      <w:proofErr w:type="spellEnd"/>
      <w:r>
        <w:rPr>
          <w:rFonts w:ascii="Book Antiqua" w:eastAsia="Book Antiqua" w:hAnsi="Book Antiqua" w:cs="Book Antiqua"/>
        </w:rPr>
        <w:t xml:space="preserve"> S. </w:t>
      </w:r>
      <w:proofErr w:type="gramStart"/>
      <w:r>
        <w:rPr>
          <w:rFonts w:ascii="Book Antiqua" w:eastAsia="Book Antiqua" w:hAnsi="Book Antiqua" w:cs="Book Antiqua"/>
        </w:rPr>
        <w:t>Accuracy</w:t>
      </w:r>
      <w:proofErr w:type="gramEnd"/>
      <w:r>
        <w:rPr>
          <w:rFonts w:ascii="Book Antiqua" w:eastAsia="Book Antiqua" w:hAnsi="Book Antiqua" w:cs="Book Antiqua"/>
        </w:rPr>
        <w:t xml:space="preserve"> and clinical outcomes of pancreatic EUS-guided fine-needle biopsy in a consecutive series of 852 specimens.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Ultrasound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306-318 [PMID: 35708361 DOI: 10.4103/EUS-D-21-00180]</w:t>
      </w:r>
    </w:p>
    <w:p w14:paraId="55B3130C" w14:textId="77777777" w:rsidR="00FD3B98" w:rsidRDefault="00000000">
      <w:pPr>
        <w:spacing w:line="360" w:lineRule="auto"/>
        <w:jc w:val="both"/>
        <w:rPr>
          <w:rFonts w:ascii="Book Antiqua" w:eastAsia="Book Antiqua" w:hAnsi="Book Antiqua" w:cs="Book Antiqua"/>
          <w:lang w:val="nl-NL"/>
        </w:rPr>
      </w:pPr>
      <w:r>
        <w:rPr>
          <w:rFonts w:ascii="Book Antiqua" w:eastAsia="Book Antiqua" w:hAnsi="Book Antiqua" w:cs="Book Antiqua"/>
        </w:rPr>
        <w:t xml:space="preserve">19 </w:t>
      </w:r>
      <w:r>
        <w:rPr>
          <w:rFonts w:ascii="Book Antiqua" w:eastAsia="Book Antiqua" w:hAnsi="Book Antiqua" w:cs="Book Antiqua"/>
          <w:b/>
          <w:bCs/>
        </w:rPr>
        <w:t>van Riet PA</w:t>
      </w:r>
      <w:r>
        <w:rPr>
          <w:rFonts w:ascii="Book Antiqua" w:eastAsia="Book Antiqua" w:hAnsi="Book Antiqua" w:cs="Book Antiqua"/>
        </w:rPr>
        <w:t xml:space="preserve">, </w:t>
      </w:r>
      <w:proofErr w:type="spellStart"/>
      <w:r>
        <w:rPr>
          <w:rFonts w:ascii="Book Antiqua" w:eastAsia="Book Antiqua" w:hAnsi="Book Antiqua" w:cs="Book Antiqua"/>
        </w:rPr>
        <w:t>Larghi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Attili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Rindi</w:t>
      </w:r>
      <w:proofErr w:type="spellEnd"/>
      <w:r>
        <w:rPr>
          <w:rFonts w:ascii="Book Antiqua" w:eastAsia="Book Antiqua" w:hAnsi="Book Antiqua" w:cs="Book Antiqua"/>
        </w:rPr>
        <w:t xml:space="preserve"> G, Nguyen NQ, </w:t>
      </w:r>
      <w:proofErr w:type="spellStart"/>
      <w:r>
        <w:rPr>
          <w:rFonts w:ascii="Book Antiqua" w:eastAsia="Book Antiqua" w:hAnsi="Book Antiqua" w:cs="Book Antiqua"/>
        </w:rPr>
        <w:t>Ruszkiewicz</w:t>
      </w:r>
      <w:proofErr w:type="spellEnd"/>
      <w:r>
        <w:rPr>
          <w:rFonts w:ascii="Book Antiqua" w:eastAsia="Book Antiqua" w:hAnsi="Book Antiqua" w:cs="Book Antiqua"/>
        </w:rPr>
        <w:t xml:space="preserve"> A, Kitano M, </w:t>
      </w:r>
      <w:proofErr w:type="spellStart"/>
      <w:r>
        <w:rPr>
          <w:rFonts w:ascii="Book Antiqua" w:eastAsia="Book Antiqua" w:hAnsi="Book Antiqua" w:cs="Book Antiqua"/>
        </w:rPr>
        <w:t>Chikugo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Aslanian</w:t>
      </w:r>
      <w:proofErr w:type="spellEnd"/>
      <w:r>
        <w:rPr>
          <w:rFonts w:ascii="Book Antiqua" w:eastAsia="Book Antiqua" w:hAnsi="Book Antiqua" w:cs="Book Antiqua"/>
        </w:rPr>
        <w:t xml:space="preserve"> H, Farrell J, Robert M, Adeniran A, Van Der Merwe S, </w:t>
      </w:r>
      <w:proofErr w:type="spellStart"/>
      <w:r>
        <w:rPr>
          <w:rFonts w:ascii="Book Antiqua" w:eastAsia="Book Antiqua" w:hAnsi="Book Antiqua" w:cs="Book Antiqua"/>
        </w:rPr>
        <w:t>Roskams</w:t>
      </w:r>
      <w:proofErr w:type="spellEnd"/>
      <w:r>
        <w:rPr>
          <w:rFonts w:ascii="Book Antiqua" w:eastAsia="Book Antiqua" w:hAnsi="Book Antiqua" w:cs="Book Antiqua"/>
        </w:rPr>
        <w:t xml:space="preserve"> T, Chang K, Lin F, Lee JG, Arcidiacono PG, </w:t>
      </w:r>
      <w:proofErr w:type="spellStart"/>
      <w:r>
        <w:rPr>
          <w:rFonts w:ascii="Book Antiqua" w:eastAsia="Book Antiqua" w:hAnsi="Book Antiqua" w:cs="Book Antiqua"/>
        </w:rPr>
        <w:t>Petrone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Doglioni</w:t>
      </w:r>
      <w:proofErr w:type="spellEnd"/>
      <w:r>
        <w:rPr>
          <w:rFonts w:ascii="Book Antiqua" w:eastAsia="Book Antiqua" w:hAnsi="Book Antiqua" w:cs="Book Antiqua"/>
        </w:rPr>
        <w:t xml:space="preserve"> C, Iglesias-Garcia J, </w:t>
      </w:r>
      <w:proofErr w:type="spellStart"/>
      <w:r>
        <w:rPr>
          <w:rFonts w:ascii="Book Antiqua" w:eastAsia="Book Antiqua" w:hAnsi="Book Antiqua" w:cs="Book Antiqua"/>
        </w:rPr>
        <w:t>Abdulkader</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Giovannini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Bories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Poizat</w:t>
      </w:r>
      <w:proofErr w:type="spellEnd"/>
      <w:r>
        <w:rPr>
          <w:rFonts w:ascii="Book Antiqua" w:eastAsia="Book Antiqua" w:hAnsi="Book Antiqua" w:cs="Book Antiqua"/>
        </w:rPr>
        <w:t xml:space="preserve"> F, Santo E, Scapa E, </w:t>
      </w:r>
      <w:proofErr w:type="spellStart"/>
      <w:r>
        <w:rPr>
          <w:rFonts w:ascii="Book Antiqua" w:eastAsia="Book Antiqua" w:hAnsi="Book Antiqua" w:cs="Book Antiqua"/>
        </w:rPr>
        <w:t>Marmor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Bucobo</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Buscaglia</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Heimann</w:t>
      </w:r>
      <w:proofErr w:type="spellEnd"/>
      <w:r>
        <w:rPr>
          <w:rFonts w:ascii="Book Antiqua" w:eastAsia="Book Antiqua" w:hAnsi="Book Antiqua" w:cs="Book Antiqua"/>
        </w:rPr>
        <w:t xml:space="preserve"> A, Wu M, </w:t>
      </w:r>
      <w:proofErr w:type="spellStart"/>
      <w:r>
        <w:rPr>
          <w:rFonts w:ascii="Book Antiqua" w:eastAsia="Book Antiqua" w:hAnsi="Book Antiqua" w:cs="Book Antiqua"/>
        </w:rPr>
        <w:t>Baldaque</w:t>
      </w:r>
      <w:proofErr w:type="spellEnd"/>
      <w:r>
        <w:rPr>
          <w:rFonts w:ascii="Book Antiqua" w:eastAsia="Book Antiqua" w:hAnsi="Book Antiqua" w:cs="Book Antiqua"/>
        </w:rPr>
        <w:t xml:space="preserve">-Silva F, Moro CF, </w:t>
      </w:r>
      <w:proofErr w:type="spellStart"/>
      <w:r>
        <w:rPr>
          <w:rFonts w:ascii="Book Antiqua" w:eastAsia="Book Antiqua" w:hAnsi="Book Antiqua" w:cs="Book Antiqua"/>
        </w:rPr>
        <w:t>Erler</w:t>
      </w:r>
      <w:proofErr w:type="spellEnd"/>
      <w:r>
        <w:rPr>
          <w:rFonts w:ascii="Book Antiqua" w:eastAsia="Book Antiqua" w:hAnsi="Book Antiqua" w:cs="Book Antiqua"/>
        </w:rPr>
        <w:t xml:space="preserve"> NS, Biermann K, </w:t>
      </w:r>
      <w:proofErr w:type="spellStart"/>
      <w:r>
        <w:rPr>
          <w:rFonts w:ascii="Book Antiqua" w:eastAsia="Book Antiqua" w:hAnsi="Book Antiqua" w:cs="Book Antiqua"/>
        </w:rPr>
        <w:t>Poley</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Cahen</w:t>
      </w:r>
      <w:proofErr w:type="spellEnd"/>
      <w:r>
        <w:rPr>
          <w:rFonts w:ascii="Book Antiqua" w:eastAsia="Book Antiqua" w:hAnsi="Book Antiqua" w:cs="Book Antiqua"/>
        </w:rPr>
        <w:t xml:space="preserve"> DL, Bruno MJ. A multicenter randomized trial comparing a 25-gauge EUS fine-needle aspiration device with a 20-gauge EUS fine-needle biopsy device. </w:t>
      </w:r>
      <w:r>
        <w:rPr>
          <w:rFonts w:ascii="Book Antiqua" w:eastAsia="Book Antiqua" w:hAnsi="Book Antiqua" w:cs="Book Antiqua"/>
          <w:i/>
          <w:iCs/>
          <w:lang w:val="nl-NL"/>
        </w:rPr>
        <w:t>Gastrointest Endosc</w:t>
      </w:r>
      <w:r>
        <w:rPr>
          <w:rFonts w:ascii="Book Antiqua" w:eastAsia="Book Antiqua" w:hAnsi="Book Antiqua" w:cs="Book Antiqua"/>
          <w:lang w:val="nl-NL"/>
        </w:rPr>
        <w:t xml:space="preserve"> 2019; </w:t>
      </w:r>
      <w:r>
        <w:rPr>
          <w:rFonts w:ascii="Book Antiqua" w:eastAsia="Book Antiqua" w:hAnsi="Book Antiqua" w:cs="Book Antiqua"/>
          <w:b/>
          <w:bCs/>
          <w:lang w:val="nl-NL"/>
        </w:rPr>
        <w:t>89</w:t>
      </w:r>
      <w:r>
        <w:rPr>
          <w:rFonts w:ascii="Book Antiqua" w:eastAsia="Book Antiqua" w:hAnsi="Book Antiqua" w:cs="Book Antiqua"/>
          <w:lang w:val="nl-NL"/>
        </w:rPr>
        <w:t>: 329-339 [PMID: 30367877 DOI: 10.1016/j.gie.2018.10.026]</w:t>
      </w:r>
    </w:p>
    <w:p w14:paraId="51EE9417"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lang w:val="nl-NL"/>
        </w:rPr>
        <w:t xml:space="preserve">20 </w:t>
      </w:r>
      <w:r>
        <w:rPr>
          <w:rFonts w:ascii="Book Antiqua" w:eastAsia="Book Antiqua" w:hAnsi="Book Antiqua" w:cs="Book Antiqua"/>
          <w:b/>
          <w:bCs/>
          <w:lang w:val="nl-NL"/>
        </w:rPr>
        <w:t>Integraal</w:t>
      </w:r>
      <w:r>
        <w:rPr>
          <w:rFonts w:ascii="Book Antiqua" w:eastAsia="宋体" w:hAnsi="Book Antiqua" w:cs="Book Antiqua" w:hint="eastAsia"/>
          <w:b/>
          <w:bCs/>
          <w:lang w:eastAsia="zh-CN"/>
        </w:rPr>
        <w:t xml:space="preserve"> </w:t>
      </w:r>
      <w:r>
        <w:rPr>
          <w:rFonts w:ascii="Book Antiqua" w:eastAsia="Book Antiqua" w:hAnsi="Book Antiqua" w:cs="Book Antiqua"/>
          <w:b/>
          <w:bCs/>
          <w:lang w:val="nl-NL"/>
        </w:rPr>
        <w:t>Kankercentrum</w:t>
      </w:r>
      <w:r>
        <w:rPr>
          <w:rFonts w:ascii="Book Antiqua" w:eastAsia="宋体" w:hAnsi="Book Antiqua" w:cs="Book Antiqua" w:hint="eastAsia"/>
          <w:b/>
          <w:bCs/>
          <w:lang w:eastAsia="zh-CN"/>
        </w:rPr>
        <w:t xml:space="preserve"> </w:t>
      </w:r>
      <w:r>
        <w:rPr>
          <w:rFonts w:ascii="Book Antiqua" w:eastAsia="Book Antiqua" w:hAnsi="Book Antiqua" w:cs="Book Antiqua"/>
          <w:b/>
          <w:bCs/>
          <w:lang w:val="nl-NL"/>
        </w:rPr>
        <w:t>Nederland</w:t>
      </w:r>
      <w:r>
        <w:rPr>
          <w:rFonts w:ascii="Book Antiqua" w:eastAsia="Book Antiqua" w:hAnsi="Book Antiqua" w:cs="Book Antiqua"/>
          <w:lang w:val="nl-NL"/>
        </w:rPr>
        <w:t xml:space="preserve">. NKR-cijfers, dataselectie alvleesklierkanker. </w:t>
      </w:r>
      <w:r>
        <w:rPr>
          <w:rFonts w:ascii="Book Antiqua" w:eastAsia="Book Antiqua" w:hAnsi="Book Antiqua" w:cs="Book Antiqua"/>
        </w:rPr>
        <w:t xml:space="preserve">2020. [cited 1 January 2024]. Available from: </w:t>
      </w:r>
      <w:r>
        <w:rPr>
          <w:rFonts w:ascii="Book Antiqua" w:hAnsi="Book Antiqua"/>
        </w:rPr>
        <w:t>https://iknl.nl/nkr-cijfers</w:t>
      </w:r>
    </w:p>
    <w:p w14:paraId="48B4234D"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Puckett Y</w:t>
      </w:r>
      <w:r>
        <w:rPr>
          <w:rFonts w:ascii="Book Antiqua" w:eastAsia="Book Antiqua" w:hAnsi="Book Antiqua" w:cs="Book Antiqua"/>
        </w:rPr>
        <w:t xml:space="preserve">, Garfield K. Pancreatic Cancer. 2022 Sep 26. In: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[Internet]. Treasure Island (FL):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Publishing; 2023 Jan- [PMID: 30085538]</w:t>
      </w:r>
    </w:p>
    <w:p w14:paraId="41BB1EDC"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22 </w:t>
      </w:r>
      <w:r>
        <w:rPr>
          <w:rFonts w:ascii="Book Antiqua" w:eastAsia="Book Antiqua" w:hAnsi="Book Antiqua" w:cs="Book Antiqua"/>
          <w:b/>
          <w:bCs/>
        </w:rPr>
        <w:t>Lyu Y</w:t>
      </w:r>
      <w:r>
        <w:rPr>
          <w:rFonts w:ascii="Book Antiqua" w:eastAsia="Book Antiqua" w:hAnsi="Book Antiqua" w:cs="Book Antiqua"/>
        </w:rPr>
        <w:t xml:space="preserve">, Cheng Y, Wang B, Xu Y, Du W. What is impact of nonsteroidal anti-inflammatory drugs in the prevention of post-endoscopic retrograde cholangiopancreatography pancreatitis: a meta-analysis of randomized controlled trials. </w:t>
      </w:r>
      <w:r>
        <w:rPr>
          <w:rFonts w:ascii="Book Antiqua" w:eastAsia="Book Antiqua" w:hAnsi="Book Antiqua" w:cs="Book Antiqua"/>
          <w:i/>
          <w:iCs/>
        </w:rPr>
        <w:t>BMC Gastroenterol</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106 [PMID: 29973142 DOI: 10.1186/s12876-018-0837-4]</w:t>
      </w:r>
    </w:p>
    <w:p w14:paraId="429BA840"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Pezzilli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Romboli</w:t>
      </w:r>
      <w:proofErr w:type="spellEnd"/>
      <w:r>
        <w:rPr>
          <w:rFonts w:ascii="Book Antiqua" w:eastAsia="Book Antiqua" w:hAnsi="Book Antiqua" w:cs="Book Antiqua"/>
        </w:rPr>
        <w:t xml:space="preserve"> E, Campana D, </w:t>
      </w:r>
      <w:proofErr w:type="spellStart"/>
      <w:r>
        <w:rPr>
          <w:rFonts w:ascii="Book Antiqua" w:eastAsia="Book Antiqua" w:hAnsi="Book Antiqua" w:cs="Book Antiqua"/>
        </w:rPr>
        <w:t>Corinaldesi</w:t>
      </w:r>
      <w:proofErr w:type="spellEnd"/>
      <w:r>
        <w:rPr>
          <w:rFonts w:ascii="Book Antiqua" w:eastAsia="Book Antiqua" w:hAnsi="Book Antiqua" w:cs="Book Antiqua"/>
        </w:rPr>
        <w:t xml:space="preserve"> R. Mechanisms involved in the onset of post-ERCP pancreatitis.</w:t>
      </w:r>
      <w:r>
        <w:rPr>
          <w:rFonts w:ascii="Book Antiqua" w:eastAsia="Book Antiqua" w:hAnsi="Book Antiqua" w:cs="Book Antiqua"/>
          <w:i/>
          <w:iCs/>
        </w:rPr>
        <w:t xml:space="preserve"> JOP </w:t>
      </w:r>
      <w:r>
        <w:rPr>
          <w:rFonts w:ascii="Book Antiqua" w:eastAsia="Book Antiqua" w:hAnsi="Book Antiqua" w:cs="Book Antiqua"/>
        </w:rPr>
        <w:t xml:space="preserve">2002; </w:t>
      </w:r>
      <w:r>
        <w:rPr>
          <w:rFonts w:ascii="Book Antiqua" w:eastAsia="Book Antiqua" w:hAnsi="Book Antiqua" w:cs="Book Antiqua"/>
          <w:b/>
          <w:bCs/>
        </w:rPr>
        <w:t>3</w:t>
      </w:r>
      <w:r>
        <w:rPr>
          <w:rFonts w:ascii="Book Antiqua" w:eastAsia="Book Antiqua" w:hAnsi="Book Antiqua" w:cs="Book Antiqua"/>
        </w:rPr>
        <w:t>: 162-168 [PMID: 12432182]</w:t>
      </w:r>
    </w:p>
    <w:p w14:paraId="68928048"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Pezzilli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Morselli-Labate</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Corinaldesi</w:t>
      </w:r>
      <w:proofErr w:type="spellEnd"/>
      <w:r>
        <w:rPr>
          <w:rFonts w:ascii="Book Antiqua" w:eastAsia="Book Antiqua" w:hAnsi="Book Antiqua" w:cs="Book Antiqua"/>
        </w:rPr>
        <w:t xml:space="preserve"> R. NSAIDs and Acute Pancreatitis: A Systematic Review. </w:t>
      </w:r>
      <w:r>
        <w:rPr>
          <w:rFonts w:ascii="Book Antiqua" w:eastAsia="Book Antiqua" w:hAnsi="Book Antiqua" w:cs="Book Antiqua"/>
          <w:i/>
          <w:iCs/>
        </w:rPr>
        <w:t>Pharmaceuticals (Basel)</w:t>
      </w:r>
      <w:r>
        <w:rPr>
          <w:rFonts w:ascii="Book Antiqua" w:eastAsia="Book Antiqua" w:hAnsi="Book Antiqua" w:cs="Book Antiqua"/>
        </w:rPr>
        <w:t xml:space="preserve"> 2010; </w:t>
      </w:r>
      <w:r>
        <w:rPr>
          <w:rFonts w:ascii="Book Antiqua" w:eastAsia="Book Antiqua" w:hAnsi="Book Antiqua" w:cs="Book Antiqua"/>
          <w:b/>
          <w:bCs/>
        </w:rPr>
        <w:t>3</w:t>
      </w:r>
      <w:r>
        <w:rPr>
          <w:rFonts w:ascii="Book Antiqua" w:eastAsia="Book Antiqua" w:hAnsi="Book Antiqua" w:cs="Book Antiqua"/>
        </w:rPr>
        <w:t>: 558-571 [PMID: 27713268 DOI: 10.3390/ph3030558]</w:t>
      </w:r>
    </w:p>
    <w:p w14:paraId="57502C9C"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Dumonceau</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w:t>
      </w:r>
      <w:proofErr w:type="spellStart"/>
      <w:r>
        <w:rPr>
          <w:rFonts w:ascii="Book Antiqua" w:eastAsia="Book Antiqua" w:hAnsi="Book Antiqua" w:cs="Book Antiqua"/>
        </w:rPr>
        <w:t>Kapral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Aabakken</w:t>
      </w:r>
      <w:proofErr w:type="spellEnd"/>
      <w:r>
        <w:rPr>
          <w:rFonts w:ascii="Book Antiqua" w:eastAsia="Book Antiqua" w:hAnsi="Book Antiqua" w:cs="Book Antiqua"/>
        </w:rPr>
        <w:t xml:space="preserve"> L, Papanikolaou IS, </w:t>
      </w:r>
      <w:proofErr w:type="spellStart"/>
      <w:r>
        <w:rPr>
          <w:rFonts w:ascii="Book Antiqua" w:eastAsia="Book Antiqua" w:hAnsi="Book Antiqua" w:cs="Book Antiqua"/>
        </w:rPr>
        <w:t>Tringali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Vanbiervliet</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Beyna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Dinis</w:t>
      </w:r>
      <w:proofErr w:type="spellEnd"/>
      <w:r>
        <w:rPr>
          <w:rFonts w:ascii="Book Antiqua" w:eastAsia="Book Antiqua" w:hAnsi="Book Antiqua" w:cs="Book Antiqua"/>
        </w:rPr>
        <w:t xml:space="preserve">-Ribeiro M, </w:t>
      </w:r>
      <w:proofErr w:type="spellStart"/>
      <w:r>
        <w:rPr>
          <w:rFonts w:ascii="Book Antiqua" w:eastAsia="Book Antiqua" w:hAnsi="Book Antiqua" w:cs="Book Antiqua"/>
        </w:rPr>
        <w:t>Hritz</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Mariani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Paspatis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Radaelli</w:t>
      </w:r>
      <w:proofErr w:type="spellEnd"/>
      <w:r>
        <w:rPr>
          <w:rFonts w:ascii="Book Antiqua" w:eastAsia="Book Antiqua" w:hAnsi="Book Antiqua" w:cs="Book Antiqua"/>
        </w:rPr>
        <w:t xml:space="preserve"> F, Lakhtakia S, Veitch AM, van Hooft JE. ERCP-related adverse events: European Society of Gastrointestinal Endoscopy (ESGE) Guideline. </w:t>
      </w:r>
      <w:r>
        <w:rPr>
          <w:rFonts w:ascii="Book Antiqua" w:eastAsia="Book Antiqua" w:hAnsi="Book Antiqua" w:cs="Book Antiqua"/>
          <w:i/>
          <w:iCs/>
        </w:rPr>
        <w:t>Endoscopy</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127-149 [PMID: 31863440 DOI: 10.1055/a-1075-4080]</w:t>
      </w:r>
    </w:p>
    <w:p w14:paraId="39CC5070"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ASGE Standards of Practice Committee</w:t>
      </w:r>
      <w:r>
        <w:rPr>
          <w:rFonts w:ascii="Book Antiqua" w:eastAsia="Book Antiqua" w:hAnsi="Book Antiqua" w:cs="Book Antiqua"/>
        </w:rPr>
        <w:t xml:space="preserve">, Chandrasekhara V, </w:t>
      </w:r>
      <w:proofErr w:type="spellStart"/>
      <w:r>
        <w:rPr>
          <w:rFonts w:ascii="Book Antiqua" w:eastAsia="Book Antiqua" w:hAnsi="Book Antiqua" w:cs="Book Antiqua"/>
        </w:rPr>
        <w:t>Khashab</w:t>
      </w:r>
      <w:proofErr w:type="spellEnd"/>
      <w:r>
        <w:rPr>
          <w:rFonts w:ascii="Book Antiqua" w:eastAsia="Book Antiqua" w:hAnsi="Book Antiqua" w:cs="Book Antiqua"/>
        </w:rPr>
        <w:t xml:space="preserve"> MA, Muthusamy VR, Acosta RD, Agrawal D, </w:t>
      </w:r>
      <w:proofErr w:type="spellStart"/>
      <w:r>
        <w:rPr>
          <w:rFonts w:ascii="Book Antiqua" w:eastAsia="Book Antiqua" w:hAnsi="Book Antiqua" w:cs="Book Antiqua"/>
        </w:rPr>
        <w:t>Bruining</w:t>
      </w:r>
      <w:proofErr w:type="spellEnd"/>
      <w:r>
        <w:rPr>
          <w:rFonts w:ascii="Book Antiqua" w:eastAsia="Book Antiqua" w:hAnsi="Book Antiqua" w:cs="Book Antiqua"/>
        </w:rPr>
        <w:t xml:space="preserve"> DH, </w:t>
      </w:r>
      <w:proofErr w:type="spellStart"/>
      <w:r>
        <w:rPr>
          <w:rFonts w:ascii="Book Antiqua" w:eastAsia="Book Antiqua" w:hAnsi="Book Antiqua" w:cs="Book Antiqua"/>
        </w:rPr>
        <w:t>Eloubeidi</w:t>
      </w:r>
      <w:proofErr w:type="spellEnd"/>
      <w:r>
        <w:rPr>
          <w:rFonts w:ascii="Book Antiqua" w:eastAsia="Book Antiqua" w:hAnsi="Book Antiqua" w:cs="Book Antiqua"/>
        </w:rPr>
        <w:t xml:space="preserve"> MA, Fanelli RD, </w:t>
      </w:r>
      <w:proofErr w:type="spellStart"/>
      <w:r>
        <w:rPr>
          <w:rFonts w:ascii="Book Antiqua" w:eastAsia="Book Antiqua" w:hAnsi="Book Antiqua" w:cs="Book Antiqua"/>
        </w:rPr>
        <w:t>Faulx</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Gurudu</w:t>
      </w:r>
      <w:proofErr w:type="spellEnd"/>
      <w:r>
        <w:rPr>
          <w:rFonts w:ascii="Book Antiqua" w:eastAsia="Book Antiqua" w:hAnsi="Book Antiqua" w:cs="Book Antiqua"/>
        </w:rPr>
        <w:t xml:space="preserve"> SR, Kothari S, </w:t>
      </w:r>
      <w:proofErr w:type="spellStart"/>
      <w:r>
        <w:rPr>
          <w:rFonts w:ascii="Book Antiqua" w:eastAsia="Book Antiqua" w:hAnsi="Book Antiqua" w:cs="Book Antiqua"/>
        </w:rPr>
        <w:t>Lightdale</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Qumseya</w:t>
      </w:r>
      <w:proofErr w:type="spellEnd"/>
      <w:r>
        <w:rPr>
          <w:rFonts w:ascii="Book Antiqua" w:eastAsia="Book Antiqua" w:hAnsi="Book Antiqua" w:cs="Book Antiqua"/>
        </w:rPr>
        <w:t xml:space="preserve"> BJ, Shaukat A, Wang A, Wani SB, Yang J, DeWitt JM. Adverse events associated with ERCP.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2017; </w:t>
      </w:r>
      <w:r>
        <w:rPr>
          <w:rFonts w:ascii="Book Antiqua" w:eastAsia="Book Antiqua" w:hAnsi="Book Antiqua" w:cs="Book Antiqua"/>
          <w:b/>
          <w:bCs/>
        </w:rPr>
        <w:t>85</w:t>
      </w:r>
      <w:r>
        <w:rPr>
          <w:rFonts w:ascii="Book Antiqua" w:eastAsia="Book Antiqua" w:hAnsi="Book Antiqua" w:cs="Book Antiqua"/>
        </w:rPr>
        <w:t>: 32-47 [PMID: 27546389 DOI: 10.1016/j.gie.2016.06.051]</w:t>
      </w:r>
    </w:p>
    <w:p w14:paraId="6E36A483"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Sperna</w:t>
      </w:r>
      <w:proofErr w:type="spellEnd"/>
      <w:r>
        <w:rPr>
          <w:rFonts w:ascii="Book Antiqua" w:eastAsia="Book Antiqua" w:hAnsi="Book Antiqua" w:cs="Book Antiqua"/>
          <w:b/>
          <w:bCs/>
        </w:rPr>
        <w:t xml:space="preserve"> Weiland CJ</w:t>
      </w:r>
      <w:r>
        <w:rPr>
          <w:rFonts w:ascii="Book Antiqua" w:eastAsia="Book Antiqua" w:hAnsi="Book Antiqua" w:cs="Book Antiqua"/>
        </w:rPr>
        <w:t xml:space="preserve">, </w:t>
      </w:r>
      <w:proofErr w:type="spellStart"/>
      <w:r>
        <w:rPr>
          <w:rFonts w:ascii="Book Antiqua" w:eastAsia="Book Antiqua" w:hAnsi="Book Antiqua" w:cs="Book Antiqua"/>
        </w:rPr>
        <w:t>Smeets</w:t>
      </w:r>
      <w:proofErr w:type="spellEnd"/>
      <w:r>
        <w:rPr>
          <w:rFonts w:ascii="Book Antiqua" w:eastAsia="Book Antiqua" w:hAnsi="Book Antiqua" w:cs="Book Antiqua"/>
        </w:rPr>
        <w:t xml:space="preserve"> XJNM, Verdonk RC, </w:t>
      </w:r>
      <w:proofErr w:type="spellStart"/>
      <w:r>
        <w:rPr>
          <w:rFonts w:ascii="Book Antiqua" w:eastAsia="Book Antiqua" w:hAnsi="Book Antiqua" w:cs="Book Antiqua"/>
        </w:rPr>
        <w:t>Poen</w:t>
      </w:r>
      <w:proofErr w:type="spellEnd"/>
      <w:r>
        <w:rPr>
          <w:rFonts w:ascii="Book Antiqua" w:eastAsia="Book Antiqua" w:hAnsi="Book Antiqua" w:cs="Book Antiqua"/>
        </w:rPr>
        <w:t xml:space="preserve"> AC, Bhalla A, </w:t>
      </w:r>
      <w:proofErr w:type="spellStart"/>
      <w:r>
        <w:rPr>
          <w:rFonts w:ascii="Book Antiqua" w:eastAsia="Book Antiqua" w:hAnsi="Book Antiqua" w:cs="Book Antiqua"/>
        </w:rPr>
        <w:t>Venneman</w:t>
      </w:r>
      <w:proofErr w:type="spellEnd"/>
      <w:r>
        <w:rPr>
          <w:rFonts w:ascii="Book Antiqua" w:eastAsia="Book Antiqua" w:hAnsi="Book Antiqua" w:cs="Book Antiqua"/>
        </w:rPr>
        <w:t xml:space="preserve"> NG, </w:t>
      </w:r>
      <w:proofErr w:type="spellStart"/>
      <w:r>
        <w:rPr>
          <w:rFonts w:ascii="Book Antiqua" w:eastAsia="Book Antiqua" w:hAnsi="Book Antiqua" w:cs="Book Antiqua"/>
        </w:rPr>
        <w:t>Kievit</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Timmerhuis</w:t>
      </w:r>
      <w:proofErr w:type="spellEnd"/>
      <w:r>
        <w:rPr>
          <w:rFonts w:ascii="Book Antiqua" w:eastAsia="Book Antiqua" w:hAnsi="Book Antiqua" w:cs="Book Antiqua"/>
        </w:rPr>
        <w:t xml:space="preserve"> HC, Umans DS, van Hooft JE, Besselink MG,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HC, Fockens P, Bruno MJ, </w:t>
      </w:r>
      <w:proofErr w:type="spellStart"/>
      <w:r>
        <w:rPr>
          <w:rFonts w:ascii="Book Antiqua" w:eastAsia="Book Antiqua" w:hAnsi="Book Antiqua" w:cs="Book Antiqua"/>
        </w:rPr>
        <w:t>Drenth</w:t>
      </w:r>
      <w:proofErr w:type="spellEnd"/>
      <w:r>
        <w:rPr>
          <w:rFonts w:ascii="Book Antiqua" w:eastAsia="Book Antiqua" w:hAnsi="Book Antiqua" w:cs="Book Antiqua"/>
        </w:rPr>
        <w:t xml:space="preserve"> JPH, van </w:t>
      </w:r>
      <w:proofErr w:type="spellStart"/>
      <w:r>
        <w:rPr>
          <w:rFonts w:ascii="Book Antiqua" w:eastAsia="Book Antiqua" w:hAnsi="Book Antiqua" w:cs="Book Antiqua"/>
        </w:rPr>
        <w:t>Geenen</w:t>
      </w:r>
      <w:proofErr w:type="spellEnd"/>
      <w:r>
        <w:rPr>
          <w:rFonts w:ascii="Book Antiqua" w:eastAsia="Book Antiqua" w:hAnsi="Book Antiqua" w:cs="Book Antiqua"/>
        </w:rPr>
        <w:t xml:space="preserve"> EJM; Dutch Pancreatitis Study Group. Optimal timing of rectal diclofenac in preventing post-endoscopic retrograde cholangiopancreatography pancreatitis.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Int Open</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E246-E253 [PMID: 35295242 DOI: 10.1055/a-1675-2108]</w:t>
      </w:r>
    </w:p>
    <w:p w14:paraId="41522EE6"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Helleberg</w:t>
      </w:r>
      <w:proofErr w:type="spellEnd"/>
      <w:r>
        <w:rPr>
          <w:rFonts w:ascii="Book Antiqua" w:eastAsia="Book Antiqua" w:hAnsi="Book Antiqua" w:cs="Book Antiqua"/>
          <w:b/>
          <w:bCs/>
        </w:rPr>
        <w:t xml:space="preserve"> L</w:t>
      </w:r>
      <w:r>
        <w:rPr>
          <w:rFonts w:ascii="Book Antiqua" w:eastAsia="Book Antiqua" w:hAnsi="Book Antiqua" w:cs="Book Antiqua"/>
        </w:rPr>
        <w:t xml:space="preserve">. Clinical Pharmacokinetics of indomethacin. </w:t>
      </w:r>
      <w:r>
        <w:rPr>
          <w:rFonts w:ascii="Book Antiqua" w:eastAsia="Book Antiqua" w:hAnsi="Book Antiqua" w:cs="Book Antiqua"/>
          <w:i/>
          <w:iCs/>
        </w:rPr>
        <w:t xml:space="preserve">Clin </w:t>
      </w:r>
      <w:proofErr w:type="spellStart"/>
      <w:r>
        <w:rPr>
          <w:rFonts w:ascii="Book Antiqua" w:eastAsia="Book Antiqua" w:hAnsi="Book Antiqua" w:cs="Book Antiqua"/>
          <w:i/>
          <w:iCs/>
        </w:rPr>
        <w:t>Pharmacokinet</w:t>
      </w:r>
      <w:proofErr w:type="spellEnd"/>
      <w:r>
        <w:rPr>
          <w:rFonts w:ascii="Book Antiqua" w:eastAsia="Book Antiqua" w:hAnsi="Book Antiqua" w:cs="Book Antiqua"/>
        </w:rPr>
        <w:t xml:space="preserve"> 1981; </w:t>
      </w:r>
      <w:r>
        <w:rPr>
          <w:rFonts w:ascii="Book Antiqua" w:eastAsia="Book Antiqua" w:hAnsi="Book Antiqua" w:cs="Book Antiqua"/>
          <w:b/>
          <w:bCs/>
        </w:rPr>
        <w:t>6</w:t>
      </w:r>
      <w:r>
        <w:rPr>
          <w:rFonts w:ascii="Book Antiqua" w:eastAsia="Book Antiqua" w:hAnsi="Book Antiqua" w:cs="Book Antiqua"/>
        </w:rPr>
        <w:t>: 245-258 [PMID: 7249487 DOI: 10.2165/00003088-198106040-00001]</w:t>
      </w:r>
    </w:p>
    <w:p w14:paraId="08DE0A65"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29 </w:t>
      </w:r>
      <w:r>
        <w:rPr>
          <w:rFonts w:ascii="Book Antiqua" w:eastAsia="Book Antiqua" w:hAnsi="Book Antiqua" w:cs="Book Antiqua"/>
          <w:b/>
          <w:bCs/>
        </w:rPr>
        <w:t>Todd PA</w:t>
      </w:r>
      <w:r>
        <w:rPr>
          <w:rFonts w:ascii="Book Antiqua" w:eastAsia="Book Antiqua" w:hAnsi="Book Antiqua" w:cs="Book Antiqua"/>
        </w:rPr>
        <w:t xml:space="preserve">, Sorkin EM. Diclofenac sodium. A reappraisal of its pharmacodynamic and pharmacokinetic properties, and therapeutic efficacy. </w:t>
      </w:r>
      <w:r>
        <w:rPr>
          <w:rFonts w:ascii="Book Antiqua" w:eastAsia="Book Antiqua" w:hAnsi="Book Antiqua" w:cs="Book Antiqua"/>
          <w:i/>
          <w:iCs/>
        </w:rPr>
        <w:t>Drugs</w:t>
      </w:r>
      <w:r>
        <w:rPr>
          <w:rFonts w:ascii="Book Antiqua" w:eastAsia="Book Antiqua" w:hAnsi="Book Antiqua" w:cs="Book Antiqua"/>
        </w:rPr>
        <w:t xml:space="preserve"> 1988; </w:t>
      </w:r>
      <w:r>
        <w:rPr>
          <w:rFonts w:ascii="Book Antiqua" w:eastAsia="Book Antiqua" w:hAnsi="Book Antiqua" w:cs="Book Antiqua"/>
          <w:b/>
          <w:bCs/>
        </w:rPr>
        <w:t>35</w:t>
      </w:r>
      <w:r>
        <w:rPr>
          <w:rFonts w:ascii="Book Antiqua" w:eastAsia="Book Antiqua" w:hAnsi="Book Antiqua" w:cs="Book Antiqua"/>
        </w:rPr>
        <w:t>: 244-285 [PMID: 3286213 DOI: 10.2165/00003495-198835030-00004]</w:t>
      </w:r>
    </w:p>
    <w:p w14:paraId="49417A31"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Nicolás-Pérez D</w:t>
      </w:r>
      <w:r>
        <w:rPr>
          <w:rFonts w:ascii="Book Antiqua" w:eastAsia="Book Antiqua" w:hAnsi="Book Antiqua" w:cs="Book Antiqua"/>
        </w:rPr>
        <w:t xml:space="preserve">, Castilla-Rodríguez I, </w:t>
      </w:r>
      <w:proofErr w:type="spellStart"/>
      <w:r>
        <w:rPr>
          <w:rFonts w:ascii="Book Antiqua" w:eastAsia="Book Antiqua" w:hAnsi="Book Antiqua" w:cs="Book Antiqua"/>
        </w:rPr>
        <w:t>Gimeno</w:t>
      </w:r>
      <w:proofErr w:type="spellEnd"/>
      <w:r>
        <w:rPr>
          <w:rFonts w:ascii="Book Antiqua" w:eastAsia="Book Antiqua" w:hAnsi="Book Antiqua" w:cs="Book Antiqua"/>
        </w:rPr>
        <w:t xml:space="preserve">-García AZ, Romero-García R, </w:t>
      </w:r>
      <w:proofErr w:type="spellStart"/>
      <w:r>
        <w:rPr>
          <w:rFonts w:ascii="Book Antiqua" w:eastAsia="Book Antiqua" w:hAnsi="Book Antiqua" w:cs="Book Antiqua"/>
        </w:rPr>
        <w:t>Núñez</w:t>
      </w:r>
      <w:proofErr w:type="spellEnd"/>
      <w:r>
        <w:rPr>
          <w:rFonts w:ascii="Book Antiqua" w:eastAsia="Book Antiqua" w:hAnsi="Book Antiqua" w:cs="Book Antiqua"/>
        </w:rPr>
        <w:t xml:space="preserve">-Díaz V, Quintero E. Prevention of post-endoscopic retrograde cholangiopancreatography pancreatitis: a cost-effectiveness analysis. </w:t>
      </w:r>
      <w:r>
        <w:rPr>
          <w:rFonts w:ascii="Book Antiqua" w:eastAsia="Book Antiqua" w:hAnsi="Book Antiqua" w:cs="Book Antiqua"/>
          <w:i/>
          <w:iCs/>
        </w:rPr>
        <w:t>Pancreas</w:t>
      </w:r>
      <w:r>
        <w:rPr>
          <w:rFonts w:ascii="Book Antiqua" w:eastAsia="Book Antiqua" w:hAnsi="Book Antiqua" w:cs="Book Antiqua"/>
        </w:rPr>
        <w:t xml:space="preserve"> 2015; </w:t>
      </w:r>
      <w:r>
        <w:rPr>
          <w:rFonts w:ascii="Book Antiqua" w:eastAsia="Book Antiqua" w:hAnsi="Book Antiqua" w:cs="Book Antiqua"/>
          <w:b/>
          <w:bCs/>
        </w:rPr>
        <w:t>44</w:t>
      </w:r>
      <w:r>
        <w:rPr>
          <w:rFonts w:ascii="Book Antiqua" w:eastAsia="Book Antiqua" w:hAnsi="Book Antiqua" w:cs="Book Antiqua"/>
        </w:rPr>
        <w:t>: 204-210 [PMID: 25406954 DOI: 10.1097/MPA.0000000000000245]</w:t>
      </w:r>
    </w:p>
    <w:p w14:paraId="6FF977CC"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Derry S</w:t>
      </w:r>
      <w:r>
        <w:rPr>
          <w:rFonts w:ascii="Book Antiqua" w:eastAsia="Book Antiqua" w:hAnsi="Book Antiqua" w:cs="Book Antiqua"/>
        </w:rPr>
        <w:t xml:space="preserve">, Wiffen PJ, Moore RA. Single dose oral diclofenac for acute postoperative pain in adults. </w:t>
      </w:r>
      <w:r>
        <w:rPr>
          <w:rFonts w:ascii="Book Antiqua" w:eastAsia="Book Antiqua" w:hAnsi="Book Antiqua" w:cs="Book Antiqua"/>
          <w:i/>
          <w:iCs/>
        </w:rPr>
        <w:t>Cochrane Database Syst Rev</w:t>
      </w:r>
      <w:r>
        <w:rPr>
          <w:rFonts w:ascii="Book Antiqua" w:eastAsia="Book Antiqua" w:hAnsi="Book Antiqua" w:cs="Book Antiqua"/>
        </w:rPr>
        <w:t xml:space="preserve"> 2015; </w:t>
      </w:r>
      <w:r>
        <w:rPr>
          <w:rFonts w:ascii="Book Antiqua" w:eastAsia="Book Antiqua" w:hAnsi="Book Antiqua" w:cs="Book Antiqua"/>
          <w:b/>
          <w:bCs/>
        </w:rPr>
        <w:t>2015</w:t>
      </w:r>
      <w:r>
        <w:rPr>
          <w:rFonts w:ascii="Book Antiqua" w:eastAsia="Book Antiqua" w:hAnsi="Book Antiqua" w:cs="Book Antiqua"/>
        </w:rPr>
        <w:t>: CD004768 [PMID: 26151766 DOI: 10.1002/14651858.CD004768.pub3]</w:t>
      </w:r>
    </w:p>
    <w:p w14:paraId="5075D0AF"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Padberg</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Tissen-Diabaté</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Dathe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Hultzsch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Meixner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Linsenmeier</w:t>
      </w:r>
      <w:proofErr w:type="spellEnd"/>
      <w:r>
        <w:rPr>
          <w:rFonts w:ascii="Book Antiqua" w:eastAsia="Book Antiqua" w:hAnsi="Book Antiqua" w:cs="Book Antiqua"/>
        </w:rPr>
        <w:t xml:space="preserve"> V, Meister R, Schaefer C. Safety of diclofenac use during early pregnancy: A prospective observational cohort study. </w:t>
      </w:r>
      <w:proofErr w:type="spellStart"/>
      <w:r>
        <w:rPr>
          <w:rFonts w:ascii="Book Antiqua" w:eastAsia="Book Antiqua" w:hAnsi="Book Antiqua" w:cs="Book Antiqua"/>
          <w:i/>
          <w:iCs/>
        </w:rPr>
        <w:t>Reprod</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Toxicol</w:t>
      </w:r>
      <w:proofErr w:type="spellEnd"/>
      <w:r>
        <w:rPr>
          <w:rFonts w:ascii="Book Antiqua" w:eastAsia="Book Antiqua" w:hAnsi="Book Antiqua" w:cs="Book Antiqua"/>
        </w:rPr>
        <w:t xml:space="preserve"> 2018; </w:t>
      </w:r>
      <w:r>
        <w:rPr>
          <w:rFonts w:ascii="Book Antiqua" w:eastAsia="Book Antiqua" w:hAnsi="Book Antiqua" w:cs="Book Antiqua"/>
          <w:b/>
          <w:bCs/>
        </w:rPr>
        <w:t>77</w:t>
      </w:r>
      <w:r>
        <w:rPr>
          <w:rFonts w:ascii="Book Antiqua" w:eastAsia="Book Antiqua" w:hAnsi="Book Antiqua" w:cs="Book Antiqua"/>
        </w:rPr>
        <w:t>: 122-129 [PMID: 29477808 DOI: 10.1016/j.reprotox.2018.02.007]</w:t>
      </w:r>
    </w:p>
    <w:p w14:paraId="52D3A1EA"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Eknoyan</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Lameire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Eckardt</w:t>
      </w:r>
      <w:proofErr w:type="spellEnd"/>
      <w:r>
        <w:rPr>
          <w:rFonts w:ascii="Book Antiqua" w:eastAsia="Book Antiqua" w:hAnsi="Book Antiqua" w:cs="Book Antiqua"/>
        </w:rPr>
        <w:t xml:space="preserve"> K. KDIGO 2012 Clinical Practice </w:t>
      </w:r>
      <w:proofErr w:type="spellStart"/>
      <w:r>
        <w:rPr>
          <w:rFonts w:ascii="Book Antiqua" w:eastAsia="Book Antiqua" w:hAnsi="Book Antiqua" w:cs="Book Antiqua"/>
        </w:rPr>
        <w:t>Guidelinefor</w:t>
      </w:r>
      <w:proofErr w:type="spellEnd"/>
      <w:r>
        <w:rPr>
          <w:rFonts w:ascii="Book Antiqua" w:eastAsia="Book Antiqua" w:hAnsi="Book Antiqua" w:cs="Book Antiqua"/>
        </w:rPr>
        <w:t xml:space="preserve"> the Evaluation and Management </w:t>
      </w:r>
      <w:proofErr w:type="spellStart"/>
      <w:r>
        <w:rPr>
          <w:rFonts w:ascii="Book Antiqua" w:eastAsia="Book Antiqua" w:hAnsi="Book Antiqua" w:cs="Book Antiqua"/>
        </w:rPr>
        <w:t>ofChronic</w:t>
      </w:r>
      <w:proofErr w:type="spellEnd"/>
      <w:r>
        <w:rPr>
          <w:rFonts w:ascii="Book Antiqua" w:eastAsia="Book Antiqua" w:hAnsi="Book Antiqua" w:cs="Book Antiqua"/>
        </w:rPr>
        <w:t xml:space="preserve"> </w:t>
      </w:r>
      <w:proofErr w:type="gramStart"/>
      <w:r>
        <w:rPr>
          <w:rFonts w:ascii="Book Antiqua" w:eastAsia="Book Antiqua" w:hAnsi="Book Antiqua" w:cs="Book Antiqua"/>
        </w:rPr>
        <w:t>Kidney Disease</w:t>
      </w:r>
      <w:proofErr w:type="gramEnd"/>
      <w:r>
        <w:rPr>
          <w:rFonts w:ascii="Book Antiqua" w:eastAsia="Book Antiqua" w:hAnsi="Book Antiqua" w:cs="Book Antiqua"/>
        </w:rPr>
        <w:t xml:space="preserve">. </w:t>
      </w:r>
      <w:r>
        <w:rPr>
          <w:rFonts w:ascii="Book Antiqua" w:eastAsia="Book Antiqua" w:hAnsi="Book Antiqua" w:cs="Book Antiqua"/>
          <w:i/>
          <w:iCs/>
        </w:rPr>
        <w:t>Kidney int</w:t>
      </w:r>
      <w:r>
        <w:rPr>
          <w:rFonts w:ascii="Book Antiqua" w:eastAsia="Book Antiqua" w:hAnsi="Book Antiqua" w:cs="Book Antiqua"/>
        </w:rPr>
        <w:t xml:space="preserve"> 2013; </w:t>
      </w:r>
      <w:r>
        <w:rPr>
          <w:rFonts w:ascii="Book Antiqua" w:eastAsia="Book Antiqua" w:hAnsi="Book Antiqua" w:cs="Book Antiqua"/>
          <w:b/>
          <w:bCs/>
        </w:rPr>
        <w:t>3</w:t>
      </w:r>
      <w:r>
        <w:rPr>
          <w:rFonts w:ascii="Book Antiqua" w:eastAsia="Book Antiqua" w:hAnsi="Book Antiqua" w:cs="Book Antiqua"/>
        </w:rPr>
        <w:t>: 5-14</w:t>
      </w:r>
    </w:p>
    <w:p w14:paraId="1BF76DC5"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Chandok</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Watt KD. Pain management in the cirrhotic patient: the clinical challenge. </w:t>
      </w:r>
      <w:r>
        <w:rPr>
          <w:rFonts w:ascii="Book Antiqua" w:eastAsia="Book Antiqua" w:hAnsi="Book Antiqua" w:cs="Book Antiqua"/>
          <w:i/>
          <w:iCs/>
        </w:rPr>
        <w:t>Mayo Clin Proc</w:t>
      </w:r>
      <w:r>
        <w:rPr>
          <w:rFonts w:ascii="Book Antiqua" w:eastAsia="Book Antiqua" w:hAnsi="Book Antiqua" w:cs="Book Antiqua"/>
        </w:rPr>
        <w:t xml:space="preserve"> 2010; </w:t>
      </w:r>
      <w:r>
        <w:rPr>
          <w:rFonts w:ascii="Book Antiqua" w:eastAsia="Book Antiqua" w:hAnsi="Book Antiqua" w:cs="Book Antiqua"/>
          <w:b/>
          <w:bCs/>
        </w:rPr>
        <w:t>85</w:t>
      </w:r>
      <w:r>
        <w:rPr>
          <w:rFonts w:ascii="Book Antiqua" w:eastAsia="Book Antiqua" w:hAnsi="Book Antiqua" w:cs="Book Antiqua"/>
        </w:rPr>
        <w:t>: 451-458 [PMID: 20357277 DOI: 10.4065/mcp.2009.0534]</w:t>
      </w:r>
    </w:p>
    <w:p w14:paraId="7E3AD749"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Lee KH</w:t>
      </w:r>
      <w:r>
        <w:rPr>
          <w:rFonts w:ascii="Book Antiqua" w:eastAsia="Book Antiqua" w:hAnsi="Book Antiqua" w:cs="Book Antiqua"/>
        </w:rPr>
        <w:t xml:space="preserve">, Kim EY, Cho J, Kang D, Bang S, Kim HK, Kim GH, Choi HJ, Han JH, Jeon SW, Ryu JK, Moon JS, Lee TH, Cho JW, Kim TH, </w:t>
      </w:r>
      <w:proofErr w:type="spellStart"/>
      <w:r>
        <w:rPr>
          <w:rFonts w:ascii="Book Antiqua" w:eastAsia="Book Antiqua" w:hAnsi="Book Antiqua" w:cs="Book Antiqua"/>
        </w:rPr>
        <w:t>Cheon</w:t>
      </w:r>
      <w:proofErr w:type="spellEnd"/>
      <w:r>
        <w:rPr>
          <w:rFonts w:ascii="Book Antiqua" w:eastAsia="Book Antiqua" w:hAnsi="Book Antiqua" w:cs="Book Antiqua"/>
        </w:rPr>
        <w:t xml:space="preserve"> YK, Park CH, Lee JK, Moon JH, Cho CM. Risk factors associated with adverse events during endoscopic ultrasound-guided tissue sampling.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e0189347 [PMID: 29236743 DOI: 10.1371/journal.pone.0189347]</w:t>
      </w:r>
    </w:p>
    <w:p w14:paraId="3261F89E"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O'Toole D</w:t>
      </w:r>
      <w:r>
        <w:rPr>
          <w:rFonts w:ascii="Book Antiqua" w:eastAsia="Book Antiqua" w:hAnsi="Book Antiqua" w:cs="Book Antiqua"/>
        </w:rPr>
        <w:t xml:space="preserve">, Palazzo L, </w:t>
      </w:r>
      <w:proofErr w:type="spellStart"/>
      <w:r>
        <w:rPr>
          <w:rFonts w:ascii="Book Antiqua" w:eastAsia="Book Antiqua" w:hAnsi="Book Antiqua" w:cs="Book Antiqua"/>
        </w:rPr>
        <w:t>Arotçarena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Dancour</w:t>
      </w:r>
      <w:proofErr w:type="spellEnd"/>
      <w:r>
        <w:rPr>
          <w:rFonts w:ascii="Book Antiqua" w:eastAsia="Book Antiqua" w:hAnsi="Book Antiqua" w:cs="Book Antiqua"/>
        </w:rPr>
        <w:t xml:space="preserve"> A, Aubert A, Hammel P, Amaris J,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Assessment of complications of EUS-guided fine-needle aspiration.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2001; </w:t>
      </w:r>
      <w:r>
        <w:rPr>
          <w:rFonts w:ascii="Book Antiqua" w:eastAsia="Book Antiqua" w:hAnsi="Book Antiqua" w:cs="Book Antiqua"/>
          <w:b/>
          <w:bCs/>
        </w:rPr>
        <w:t>53</w:t>
      </w:r>
      <w:r>
        <w:rPr>
          <w:rFonts w:ascii="Book Antiqua" w:eastAsia="Book Antiqua" w:hAnsi="Book Antiqua" w:cs="Book Antiqua"/>
        </w:rPr>
        <w:t>: 470-474 [PMID: 11275888 DOI: 10.1067/mge.2001.112839]</w:t>
      </w:r>
    </w:p>
    <w:p w14:paraId="738B8ADB"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Li Z</w:t>
      </w:r>
      <w:r>
        <w:rPr>
          <w:rFonts w:ascii="Book Antiqua" w:eastAsia="Book Antiqua" w:hAnsi="Book Antiqua" w:cs="Book Antiqua"/>
        </w:rPr>
        <w:t xml:space="preserve">, Liu W, Xu X, Li P. </w:t>
      </w:r>
      <w:proofErr w:type="gramStart"/>
      <w:r>
        <w:rPr>
          <w:rFonts w:ascii="Book Antiqua" w:eastAsia="Book Antiqua" w:hAnsi="Book Antiqua" w:cs="Book Antiqua"/>
        </w:rPr>
        <w:t>A</w:t>
      </w:r>
      <w:proofErr w:type="gramEnd"/>
      <w:r>
        <w:rPr>
          <w:rFonts w:ascii="Book Antiqua" w:eastAsia="Book Antiqua" w:hAnsi="Book Antiqua" w:cs="Book Antiqua"/>
        </w:rPr>
        <w:t xml:space="preserve"> Meta-Analysis Comparing Endoscopic Ultrasound-guided Fine-needle Aspiration With Endoscopic Ultrasound-guided Fine-needle Biopsy. </w:t>
      </w:r>
      <w:r>
        <w:rPr>
          <w:rFonts w:ascii="Book Antiqua" w:eastAsia="Book Antiqua" w:hAnsi="Book Antiqua" w:cs="Book Antiqua"/>
          <w:i/>
          <w:iCs/>
        </w:rPr>
        <w:t>J Clin Gastroenterol</w:t>
      </w:r>
      <w:r>
        <w:rPr>
          <w:rFonts w:ascii="Book Antiqua" w:eastAsia="Book Antiqua" w:hAnsi="Book Antiqua" w:cs="Book Antiqua"/>
        </w:rPr>
        <w:t xml:space="preserve"> 2022; </w:t>
      </w:r>
      <w:r>
        <w:rPr>
          <w:rFonts w:ascii="Book Antiqua" w:eastAsia="Book Antiqua" w:hAnsi="Book Antiqua" w:cs="Book Antiqua"/>
          <w:b/>
          <w:bCs/>
        </w:rPr>
        <w:t>56</w:t>
      </w:r>
      <w:r>
        <w:rPr>
          <w:rFonts w:ascii="Book Antiqua" w:eastAsia="Book Antiqua" w:hAnsi="Book Antiqua" w:cs="Book Antiqua"/>
        </w:rPr>
        <w:t>: 668-678 [PMID: 35470294 DOI: 10.1097/MCG.0000000000001702]</w:t>
      </w:r>
    </w:p>
    <w:p w14:paraId="4B5ADC02"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38 </w:t>
      </w:r>
      <w:r>
        <w:rPr>
          <w:rFonts w:ascii="Book Antiqua" w:eastAsia="Book Antiqua" w:hAnsi="Book Antiqua" w:cs="Book Antiqua"/>
          <w:b/>
          <w:bCs/>
        </w:rPr>
        <w:t>Khan MA</w:t>
      </w:r>
      <w:r>
        <w:rPr>
          <w:rFonts w:ascii="Book Antiqua" w:eastAsia="Book Antiqua" w:hAnsi="Book Antiqua" w:cs="Book Antiqua"/>
        </w:rPr>
        <w:t xml:space="preserve">, Grimm IS, Ali B, </w:t>
      </w:r>
      <w:proofErr w:type="spellStart"/>
      <w:r>
        <w:rPr>
          <w:rFonts w:ascii="Book Antiqua" w:eastAsia="Book Antiqua" w:hAnsi="Book Antiqua" w:cs="Book Antiqua"/>
        </w:rPr>
        <w:t>Nollan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Tombazzi</w:t>
      </w:r>
      <w:proofErr w:type="spellEnd"/>
      <w:r>
        <w:rPr>
          <w:rFonts w:ascii="Book Antiqua" w:eastAsia="Book Antiqua" w:hAnsi="Book Antiqua" w:cs="Book Antiqua"/>
        </w:rPr>
        <w:t xml:space="preserve"> C, Ismail MK, Baron TH. A meta-analysis of endoscopic ultrasound-fine-needle aspiration compared to endoscopic ultrasound-fine-needle biopsy: diagnostic yield and the value of onsite cytopathological assessment.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Int Open</w:t>
      </w:r>
      <w:r>
        <w:rPr>
          <w:rFonts w:ascii="Book Antiqua" w:eastAsia="Book Antiqua" w:hAnsi="Book Antiqua" w:cs="Book Antiqua"/>
        </w:rPr>
        <w:t xml:space="preserve"> 2017; </w:t>
      </w:r>
      <w:r>
        <w:rPr>
          <w:rFonts w:ascii="Book Antiqua" w:eastAsia="Book Antiqua" w:hAnsi="Book Antiqua" w:cs="Book Antiqua"/>
          <w:b/>
          <w:bCs/>
        </w:rPr>
        <w:t>5</w:t>
      </w:r>
      <w:r>
        <w:rPr>
          <w:rFonts w:ascii="Book Antiqua" w:eastAsia="Book Antiqua" w:hAnsi="Book Antiqua" w:cs="Book Antiqua"/>
        </w:rPr>
        <w:t>: E363-E375 [PMID: 28497108 DOI: 10.1055/s-0043-101693]</w:t>
      </w:r>
    </w:p>
    <w:p w14:paraId="77B71AA8"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39 </w:t>
      </w:r>
      <w:proofErr w:type="spellStart"/>
      <w:r>
        <w:rPr>
          <w:rFonts w:ascii="Book Antiqua" w:eastAsia="Book Antiqua" w:hAnsi="Book Antiqua" w:cs="Book Antiqua"/>
          <w:b/>
          <w:bCs/>
        </w:rPr>
        <w:t>Matynia</w:t>
      </w:r>
      <w:proofErr w:type="spellEnd"/>
      <w:r>
        <w:rPr>
          <w:rFonts w:ascii="Book Antiqua" w:eastAsia="Book Antiqua" w:hAnsi="Book Antiqua" w:cs="Book Antiqua"/>
          <w:b/>
          <w:bCs/>
        </w:rPr>
        <w:t xml:space="preserve"> AP</w:t>
      </w:r>
      <w:r>
        <w:rPr>
          <w:rFonts w:ascii="Book Antiqua" w:eastAsia="Book Antiqua" w:hAnsi="Book Antiqua" w:cs="Book Antiqua"/>
        </w:rPr>
        <w:t xml:space="preserve">, Schmidt RL, Barraza G, </w:t>
      </w:r>
      <w:proofErr w:type="spellStart"/>
      <w:r>
        <w:rPr>
          <w:rFonts w:ascii="Book Antiqua" w:eastAsia="Book Antiqua" w:hAnsi="Book Antiqua" w:cs="Book Antiqua"/>
        </w:rPr>
        <w:t>Layfield</w:t>
      </w:r>
      <w:proofErr w:type="spellEnd"/>
      <w:r>
        <w:rPr>
          <w:rFonts w:ascii="Book Antiqua" w:eastAsia="Book Antiqua" w:hAnsi="Book Antiqua" w:cs="Book Antiqua"/>
        </w:rPr>
        <w:t xml:space="preserve"> LJ, Siddiqui AA, Adler DG. Impact of rapid on-site evaluation on the adequacy of endoscopic-ultrasound guided fine-needle aspiration of solid pancreatic lesions: a systematic review and meta-analysis. </w:t>
      </w:r>
      <w:r>
        <w:rPr>
          <w:rFonts w:ascii="Book Antiqua" w:eastAsia="Book Antiqua" w:hAnsi="Book Antiqua" w:cs="Book Antiqua"/>
          <w:i/>
          <w:iCs/>
        </w:rPr>
        <w:t>J Gastroenterol Hepatol</w:t>
      </w:r>
      <w:r>
        <w:rPr>
          <w:rFonts w:ascii="Book Antiqua" w:eastAsia="Book Antiqua" w:hAnsi="Book Antiqua" w:cs="Book Antiqua"/>
        </w:rPr>
        <w:t xml:space="preserve"> 2014; </w:t>
      </w:r>
      <w:r>
        <w:rPr>
          <w:rFonts w:ascii="Book Antiqua" w:eastAsia="Book Antiqua" w:hAnsi="Book Antiqua" w:cs="Book Antiqua"/>
          <w:b/>
          <w:bCs/>
        </w:rPr>
        <w:t>29</w:t>
      </w:r>
      <w:r>
        <w:rPr>
          <w:rFonts w:ascii="Book Antiqua" w:eastAsia="Book Antiqua" w:hAnsi="Book Antiqua" w:cs="Book Antiqua"/>
        </w:rPr>
        <w:t>: 697-705 [PMID: 24783248 DOI: 10.1111/jgh.12431]</w:t>
      </w:r>
    </w:p>
    <w:bookmarkEnd w:id="476"/>
    <w:bookmarkEnd w:id="477"/>
    <w:p w14:paraId="46868861" w14:textId="77777777" w:rsidR="00FD3B98" w:rsidRDefault="00FD3B98">
      <w:pPr>
        <w:spacing w:line="360" w:lineRule="auto"/>
        <w:jc w:val="both"/>
        <w:rPr>
          <w:rFonts w:ascii="Book Antiqua" w:hAnsi="Book Antiqua"/>
        </w:rPr>
      </w:pPr>
    </w:p>
    <w:p w14:paraId="322ADA10" w14:textId="77777777" w:rsidR="00FD3B98" w:rsidRDefault="00000000">
      <w:pPr>
        <w:spacing w:line="360" w:lineRule="auto"/>
        <w:jc w:val="both"/>
        <w:rPr>
          <w:rFonts w:ascii="Book Antiqua" w:hAnsi="Book Antiqua"/>
        </w:rPr>
      </w:pPr>
      <w:r>
        <w:rPr>
          <w:rFonts w:ascii="Book Antiqua" w:eastAsia="Book Antiqua" w:hAnsi="Book Antiqua" w:cs="Book Antiqua"/>
          <w:b/>
        </w:rPr>
        <w:t>Footnotes</w:t>
      </w:r>
    </w:p>
    <w:p w14:paraId="30FC7613" w14:textId="77777777" w:rsidR="00FD3B98"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declare that they have no conflicts of interest.</w:t>
      </w:r>
    </w:p>
    <w:p w14:paraId="604A7DB5" w14:textId="77777777" w:rsidR="00FD3B98" w:rsidRDefault="00FD3B98">
      <w:pPr>
        <w:spacing w:line="360" w:lineRule="auto"/>
        <w:jc w:val="both"/>
        <w:rPr>
          <w:rFonts w:ascii="Book Antiqua" w:hAnsi="Book Antiqua"/>
        </w:rPr>
      </w:pPr>
    </w:p>
    <w:p w14:paraId="24C57B8C" w14:textId="77777777" w:rsidR="00FD3B9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2167D3" w14:textId="77777777" w:rsidR="00FD3B98" w:rsidRDefault="00FD3B98">
      <w:pPr>
        <w:spacing w:line="360" w:lineRule="auto"/>
        <w:jc w:val="both"/>
        <w:rPr>
          <w:rFonts w:ascii="Book Antiqua" w:hAnsi="Book Antiqua"/>
        </w:rPr>
      </w:pPr>
    </w:p>
    <w:p w14:paraId="6798EBCE" w14:textId="77777777" w:rsidR="00FD3B98" w:rsidRDefault="00000000">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709B3C16" w14:textId="77777777" w:rsidR="00FD3B98" w:rsidRDefault="000000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0E5D1AAC" w14:textId="77777777" w:rsidR="00FD3B98" w:rsidRDefault="00FD3B98">
      <w:pPr>
        <w:spacing w:line="360" w:lineRule="auto"/>
        <w:jc w:val="both"/>
        <w:rPr>
          <w:rFonts w:ascii="Book Antiqua" w:hAnsi="Book Antiqua"/>
        </w:rPr>
      </w:pPr>
    </w:p>
    <w:p w14:paraId="24D4E392" w14:textId="77777777" w:rsidR="00FD3B98"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November 24, 2023</w:t>
      </w:r>
    </w:p>
    <w:p w14:paraId="162B1C87" w14:textId="77777777" w:rsidR="00FD3B98"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December 15, 2023</w:t>
      </w:r>
    </w:p>
    <w:p w14:paraId="0EF21B45" w14:textId="77777777" w:rsidR="00FD3B98" w:rsidRDefault="00000000">
      <w:pPr>
        <w:spacing w:line="360" w:lineRule="auto"/>
        <w:jc w:val="both"/>
        <w:rPr>
          <w:rFonts w:ascii="Book Antiqua" w:hAnsi="Book Antiqua"/>
        </w:rPr>
      </w:pPr>
      <w:r>
        <w:rPr>
          <w:rFonts w:ascii="Book Antiqua" w:eastAsia="Book Antiqua" w:hAnsi="Book Antiqua" w:cs="Book Antiqua"/>
          <w:b/>
        </w:rPr>
        <w:t xml:space="preserve">Article in press: </w:t>
      </w:r>
      <w:r>
        <w:rPr>
          <w:rFonts w:ascii="Book Antiqua" w:hAnsi="Book Antiqua"/>
        </w:rPr>
        <w:t>January 22, 2024</w:t>
      </w:r>
    </w:p>
    <w:p w14:paraId="790CF0B1" w14:textId="77777777" w:rsidR="00FD3B98" w:rsidRDefault="00FD3B98">
      <w:pPr>
        <w:spacing w:line="360" w:lineRule="auto"/>
        <w:jc w:val="both"/>
        <w:rPr>
          <w:rFonts w:ascii="Book Antiqua" w:hAnsi="Book Antiqua"/>
        </w:rPr>
      </w:pPr>
    </w:p>
    <w:p w14:paraId="007AB336" w14:textId="77777777" w:rsidR="00FD3B98"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w:t>
      </w:r>
      <w:r>
        <w:rPr>
          <w:rFonts w:ascii="Book Antiqua" w:eastAsia="宋体" w:hAnsi="Book Antiqua" w:cs="Book Antiqua" w:hint="eastAsia"/>
          <w:lang w:eastAsia="zh-CN"/>
        </w:rPr>
        <w:t>and</w:t>
      </w:r>
      <w:r>
        <w:rPr>
          <w:rFonts w:ascii="Book Antiqua" w:eastAsia="Book Antiqua" w:hAnsi="Book Antiqua" w:cs="Book Antiqua"/>
        </w:rPr>
        <w:t xml:space="preserve"> hepatology</w:t>
      </w:r>
    </w:p>
    <w:p w14:paraId="7E39CA4C" w14:textId="77777777" w:rsidR="00FD3B98" w:rsidRDefault="00000000">
      <w:pPr>
        <w:spacing w:line="360" w:lineRule="auto"/>
        <w:jc w:val="both"/>
        <w:rPr>
          <w:rFonts w:ascii="Book Antiqua" w:hAnsi="Book Antiqua"/>
        </w:rPr>
      </w:pPr>
      <w:r>
        <w:rPr>
          <w:rFonts w:ascii="Book Antiqua" w:eastAsia="Book Antiqua" w:hAnsi="Book Antiqua" w:cs="Book Antiqua"/>
          <w:b/>
        </w:rPr>
        <w:lastRenderedPageBreak/>
        <w:t xml:space="preserve">Country/Territory of origin: </w:t>
      </w:r>
      <w:r>
        <w:rPr>
          <w:rFonts w:ascii="Book Antiqua" w:eastAsia="Book Antiqua" w:hAnsi="Book Antiqua" w:cs="Book Antiqua"/>
        </w:rPr>
        <w:t>Netherlands</w:t>
      </w:r>
    </w:p>
    <w:p w14:paraId="0A12C1D8" w14:textId="77777777" w:rsidR="00FD3B98"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0CA340A2" w14:textId="77777777" w:rsidR="00FD3B98" w:rsidRDefault="00000000">
      <w:pPr>
        <w:spacing w:line="360" w:lineRule="auto"/>
        <w:jc w:val="both"/>
        <w:rPr>
          <w:rFonts w:ascii="Book Antiqua" w:hAnsi="Book Antiqua"/>
        </w:rPr>
      </w:pPr>
      <w:r>
        <w:rPr>
          <w:rFonts w:ascii="Book Antiqua" w:eastAsia="Book Antiqua" w:hAnsi="Book Antiqua" w:cs="Book Antiqua"/>
        </w:rPr>
        <w:t>Grade A (Excellent): 0</w:t>
      </w:r>
    </w:p>
    <w:p w14:paraId="6DF32D10" w14:textId="77777777" w:rsidR="00FD3B98" w:rsidRDefault="00000000">
      <w:pPr>
        <w:spacing w:line="360" w:lineRule="auto"/>
        <w:jc w:val="both"/>
        <w:rPr>
          <w:rFonts w:ascii="Book Antiqua" w:hAnsi="Book Antiqua"/>
        </w:rPr>
      </w:pPr>
      <w:r>
        <w:rPr>
          <w:rFonts w:ascii="Book Antiqua" w:eastAsia="Book Antiqua" w:hAnsi="Book Antiqua" w:cs="Book Antiqua"/>
        </w:rPr>
        <w:t>Grade B (Very good): B</w:t>
      </w:r>
    </w:p>
    <w:p w14:paraId="2514B115" w14:textId="77777777" w:rsidR="00FD3B98" w:rsidRDefault="00000000">
      <w:pPr>
        <w:spacing w:line="360" w:lineRule="auto"/>
        <w:jc w:val="both"/>
        <w:rPr>
          <w:rFonts w:ascii="Book Antiqua" w:hAnsi="Book Antiqua"/>
        </w:rPr>
      </w:pPr>
      <w:r>
        <w:rPr>
          <w:rFonts w:ascii="Book Antiqua" w:eastAsia="Book Antiqua" w:hAnsi="Book Antiqua" w:cs="Book Antiqua"/>
        </w:rPr>
        <w:t>Grade C (Good): 0</w:t>
      </w:r>
    </w:p>
    <w:p w14:paraId="25DA2642" w14:textId="77777777" w:rsidR="00FD3B98" w:rsidRDefault="00000000">
      <w:pPr>
        <w:spacing w:line="360" w:lineRule="auto"/>
        <w:jc w:val="both"/>
        <w:rPr>
          <w:rFonts w:ascii="Book Antiqua" w:hAnsi="Book Antiqua"/>
        </w:rPr>
      </w:pPr>
      <w:r>
        <w:rPr>
          <w:rFonts w:ascii="Book Antiqua" w:eastAsia="Book Antiqua" w:hAnsi="Book Antiqua" w:cs="Book Antiqua"/>
        </w:rPr>
        <w:t>Grade D (Fair): 0</w:t>
      </w:r>
    </w:p>
    <w:p w14:paraId="3CFA6B39" w14:textId="77777777" w:rsidR="00FD3B98" w:rsidRDefault="00000000">
      <w:pPr>
        <w:spacing w:line="360" w:lineRule="auto"/>
        <w:jc w:val="both"/>
        <w:rPr>
          <w:rFonts w:ascii="Book Antiqua" w:hAnsi="Book Antiqua"/>
        </w:rPr>
      </w:pPr>
      <w:r>
        <w:rPr>
          <w:rFonts w:ascii="Book Antiqua" w:eastAsia="Book Antiqua" w:hAnsi="Book Antiqua" w:cs="Book Antiqua"/>
        </w:rPr>
        <w:t>Grade E (Poor): 0</w:t>
      </w:r>
    </w:p>
    <w:p w14:paraId="6DF03ADA" w14:textId="77777777" w:rsidR="00FD3B98" w:rsidRDefault="00FD3B98">
      <w:pPr>
        <w:spacing w:line="360" w:lineRule="auto"/>
        <w:jc w:val="both"/>
        <w:rPr>
          <w:rFonts w:ascii="Book Antiqua" w:hAnsi="Book Antiqua"/>
        </w:rPr>
      </w:pPr>
    </w:p>
    <w:p w14:paraId="340EB289" w14:textId="77777777" w:rsidR="00FD3B98"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rPr>
        <w:t xml:space="preserve">P-Reviewer: </w:t>
      </w:r>
      <w:r>
        <w:rPr>
          <w:rFonts w:ascii="Book Antiqua" w:eastAsia="Book Antiqua" w:hAnsi="Book Antiqua" w:cs="Book Antiqua"/>
        </w:rPr>
        <w:t>Hou XH, China</w:t>
      </w:r>
      <w:r>
        <w:rPr>
          <w:rFonts w:ascii="Book Antiqua" w:eastAsia="Book Antiqua" w:hAnsi="Book Antiqua" w:cs="Book Antiqua"/>
          <w:b/>
        </w:rPr>
        <w:t xml:space="preserve"> S-Editor: </w:t>
      </w:r>
      <w:r>
        <w:rPr>
          <w:rFonts w:ascii="Book Antiqua" w:eastAsia="Book Antiqua" w:hAnsi="Book Antiqua" w:cs="Book Antiqua"/>
          <w:bCs/>
        </w:rPr>
        <w:t>Chen YL</w:t>
      </w:r>
      <w:r>
        <w:rPr>
          <w:rFonts w:ascii="Book Antiqua" w:eastAsia="Book Antiqua" w:hAnsi="Book Antiqua" w:cs="Book Antiqua"/>
          <w:b/>
        </w:rPr>
        <w:t xml:space="preserve"> L-Editor: </w:t>
      </w:r>
      <w:r>
        <w:rPr>
          <w:rFonts w:ascii="Book Antiqua" w:eastAsia="Book Antiqua" w:hAnsi="Book Antiqua" w:cs="Book Antiqua"/>
          <w:bCs/>
        </w:rPr>
        <w:t xml:space="preserve">Filipodia </w:t>
      </w:r>
      <w:r>
        <w:rPr>
          <w:rFonts w:ascii="Book Antiqua" w:eastAsia="Book Antiqua" w:hAnsi="Book Antiqua" w:cs="Book Antiqua"/>
          <w:b/>
        </w:rPr>
        <w:t xml:space="preserve">P-Editor: </w:t>
      </w:r>
      <w:r>
        <w:rPr>
          <w:rFonts w:ascii="Book Antiqua" w:eastAsia="宋体" w:hAnsi="Book Antiqua" w:cs="Book Antiqua" w:hint="eastAsia"/>
          <w:bCs/>
          <w:lang w:eastAsia="zh-CN"/>
        </w:rPr>
        <w:t>Xu ZH</w:t>
      </w:r>
    </w:p>
    <w:p w14:paraId="32E3F6A1" w14:textId="77777777" w:rsidR="00FD3B98" w:rsidRDefault="00FD3B98">
      <w:pPr>
        <w:spacing w:line="360" w:lineRule="auto"/>
        <w:jc w:val="both"/>
        <w:rPr>
          <w:rFonts w:ascii="Book Antiqua" w:eastAsia="Book Antiqua" w:hAnsi="Book Antiqua" w:cs="Book Antiqua"/>
          <w:b/>
          <w:bCs/>
        </w:rPr>
      </w:pPr>
    </w:p>
    <w:p w14:paraId="6E79558D" w14:textId="77777777" w:rsidR="00FD3B9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Table 1 Incidence of post endoscopic ultrasound tissue acquisition pancreatitis</w:t>
      </w:r>
    </w:p>
    <w:tbl>
      <w:tblPr>
        <w:tblW w:w="5000" w:type="pct"/>
        <w:tblLook w:val="04A0" w:firstRow="1" w:lastRow="0" w:firstColumn="1" w:lastColumn="0" w:noHBand="0" w:noVBand="1"/>
      </w:tblPr>
      <w:tblGrid>
        <w:gridCol w:w="2553"/>
        <w:gridCol w:w="970"/>
        <w:gridCol w:w="2412"/>
        <w:gridCol w:w="1742"/>
        <w:gridCol w:w="1683"/>
      </w:tblGrid>
      <w:tr w:rsidR="00FD3B98" w14:paraId="1DB5FA1B" w14:textId="77777777">
        <w:trPr>
          <w:trHeight w:val="288"/>
        </w:trPr>
        <w:tc>
          <w:tcPr>
            <w:tcW w:w="1428" w:type="pct"/>
            <w:tcBorders>
              <w:top w:val="single" w:sz="4" w:space="0" w:color="auto"/>
              <w:left w:val="nil"/>
              <w:bottom w:val="single" w:sz="4" w:space="0" w:color="auto"/>
              <w:right w:val="nil"/>
            </w:tcBorders>
            <w:shd w:val="clear" w:color="auto" w:fill="auto"/>
            <w:noWrap/>
          </w:tcPr>
          <w:p w14:paraId="3FD404F9" w14:textId="77777777" w:rsidR="00FD3B98"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t>Ref.</w:t>
            </w:r>
          </w:p>
        </w:tc>
        <w:tc>
          <w:tcPr>
            <w:tcW w:w="582" w:type="pct"/>
            <w:tcBorders>
              <w:top w:val="single" w:sz="4" w:space="0" w:color="auto"/>
              <w:left w:val="nil"/>
              <w:bottom w:val="single" w:sz="4" w:space="0" w:color="auto"/>
              <w:right w:val="nil"/>
            </w:tcBorders>
            <w:shd w:val="clear" w:color="auto" w:fill="auto"/>
            <w:noWrap/>
          </w:tcPr>
          <w:p w14:paraId="43CF9CF3" w14:textId="77777777" w:rsidR="00FD3B98" w:rsidRDefault="00000000">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n</w:t>
            </w:r>
          </w:p>
        </w:tc>
        <w:tc>
          <w:tcPr>
            <w:tcW w:w="1352" w:type="pct"/>
            <w:tcBorders>
              <w:top w:val="single" w:sz="4" w:space="0" w:color="auto"/>
              <w:left w:val="nil"/>
              <w:bottom w:val="single" w:sz="4" w:space="0" w:color="auto"/>
              <w:right w:val="nil"/>
            </w:tcBorders>
            <w:shd w:val="clear" w:color="auto" w:fill="auto"/>
            <w:noWrap/>
          </w:tcPr>
          <w:p w14:paraId="0EC4DD9D" w14:textId="77777777" w:rsidR="00FD3B9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Type of study</w:t>
            </w:r>
          </w:p>
        </w:tc>
        <w:tc>
          <w:tcPr>
            <w:tcW w:w="752" w:type="pct"/>
            <w:tcBorders>
              <w:top w:val="single" w:sz="4" w:space="0" w:color="auto"/>
              <w:left w:val="nil"/>
              <w:bottom w:val="single" w:sz="4" w:space="0" w:color="auto"/>
              <w:right w:val="nil"/>
            </w:tcBorders>
            <w:shd w:val="clear" w:color="auto" w:fill="auto"/>
            <w:noWrap/>
          </w:tcPr>
          <w:p w14:paraId="31768084" w14:textId="77777777" w:rsidR="00FD3B9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FNA or FNB</w:t>
            </w:r>
          </w:p>
        </w:tc>
        <w:tc>
          <w:tcPr>
            <w:tcW w:w="885" w:type="pct"/>
            <w:tcBorders>
              <w:top w:val="single" w:sz="4" w:space="0" w:color="auto"/>
              <w:left w:val="nil"/>
              <w:bottom w:val="single" w:sz="4" w:space="0" w:color="auto"/>
              <w:right w:val="nil"/>
            </w:tcBorders>
            <w:shd w:val="clear" w:color="auto" w:fill="auto"/>
            <w:noWrap/>
          </w:tcPr>
          <w:p w14:paraId="2A2D0F70" w14:textId="77777777" w:rsidR="00FD3B9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Incidence</w:t>
            </w:r>
          </w:p>
        </w:tc>
      </w:tr>
      <w:tr w:rsidR="00FD3B98" w14:paraId="4F9119E6" w14:textId="77777777">
        <w:trPr>
          <w:trHeight w:val="372"/>
        </w:trPr>
        <w:tc>
          <w:tcPr>
            <w:tcW w:w="1428" w:type="pct"/>
            <w:tcBorders>
              <w:top w:val="single" w:sz="4" w:space="0" w:color="auto"/>
              <w:left w:val="nil"/>
              <w:bottom w:val="nil"/>
              <w:right w:val="nil"/>
            </w:tcBorders>
            <w:shd w:val="clear" w:color="auto" w:fill="auto"/>
            <w:noWrap/>
          </w:tcPr>
          <w:p w14:paraId="69489D0C"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Ribeiro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 2018</w:t>
            </w:r>
          </w:p>
        </w:tc>
        <w:tc>
          <w:tcPr>
            <w:tcW w:w="582" w:type="pct"/>
            <w:tcBorders>
              <w:top w:val="single" w:sz="4" w:space="0" w:color="auto"/>
              <w:left w:val="nil"/>
              <w:bottom w:val="nil"/>
              <w:right w:val="nil"/>
            </w:tcBorders>
            <w:shd w:val="clear" w:color="auto" w:fill="auto"/>
            <w:noWrap/>
          </w:tcPr>
          <w:p w14:paraId="21BDBAE4"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712</w:t>
            </w:r>
          </w:p>
        </w:tc>
        <w:tc>
          <w:tcPr>
            <w:tcW w:w="1352" w:type="pct"/>
            <w:tcBorders>
              <w:top w:val="single" w:sz="4" w:space="0" w:color="auto"/>
              <w:left w:val="nil"/>
              <w:bottom w:val="nil"/>
              <w:right w:val="nil"/>
            </w:tcBorders>
            <w:shd w:val="clear" w:color="auto" w:fill="auto"/>
            <w:noWrap/>
          </w:tcPr>
          <w:p w14:paraId="06B77507"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Prospective cohort</w:t>
            </w:r>
          </w:p>
        </w:tc>
        <w:tc>
          <w:tcPr>
            <w:tcW w:w="752" w:type="pct"/>
            <w:tcBorders>
              <w:top w:val="single" w:sz="4" w:space="0" w:color="auto"/>
              <w:left w:val="nil"/>
              <w:bottom w:val="nil"/>
              <w:right w:val="nil"/>
            </w:tcBorders>
            <w:shd w:val="clear" w:color="auto" w:fill="auto"/>
            <w:noWrap/>
          </w:tcPr>
          <w:p w14:paraId="471149DC"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FNA and FNB</w:t>
            </w:r>
          </w:p>
        </w:tc>
        <w:tc>
          <w:tcPr>
            <w:tcW w:w="885" w:type="pct"/>
            <w:tcBorders>
              <w:top w:val="single" w:sz="4" w:space="0" w:color="auto"/>
              <w:left w:val="nil"/>
              <w:bottom w:val="nil"/>
              <w:right w:val="nil"/>
            </w:tcBorders>
            <w:shd w:val="clear" w:color="auto" w:fill="auto"/>
            <w:noWrap/>
          </w:tcPr>
          <w:p w14:paraId="7D4B5F39"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16/712 (2.2%)</w:t>
            </w:r>
          </w:p>
        </w:tc>
      </w:tr>
      <w:tr w:rsidR="00FD3B98" w14:paraId="67B60F9E" w14:textId="77777777">
        <w:trPr>
          <w:trHeight w:val="372"/>
        </w:trPr>
        <w:tc>
          <w:tcPr>
            <w:tcW w:w="1428" w:type="pct"/>
            <w:tcBorders>
              <w:top w:val="nil"/>
              <w:left w:val="nil"/>
              <w:bottom w:val="nil"/>
              <w:right w:val="nil"/>
            </w:tcBorders>
            <w:shd w:val="clear" w:color="auto" w:fill="auto"/>
            <w:noWrap/>
          </w:tcPr>
          <w:p w14:paraId="0C9B60B4"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Thomsen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w:t>
            </w:r>
            <w:r>
              <w:rPr>
                <w:rFonts w:ascii="Book Antiqua" w:eastAsia="Book Antiqua" w:hAnsi="Book Antiqua" w:cs="Book Antiqua"/>
              </w:rPr>
              <w:t>, 2022</w:t>
            </w:r>
          </w:p>
        </w:tc>
        <w:tc>
          <w:tcPr>
            <w:tcW w:w="582" w:type="pct"/>
            <w:tcBorders>
              <w:top w:val="nil"/>
              <w:left w:val="nil"/>
              <w:bottom w:val="nil"/>
              <w:right w:val="nil"/>
            </w:tcBorders>
            <w:shd w:val="clear" w:color="auto" w:fill="auto"/>
            <w:noWrap/>
          </w:tcPr>
          <w:p w14:paraId="3FD98C31"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852</w:t>
            </w:r>
          </w:p>
        </w:tc>
        <w:tc>
          <w:tcPr>
            <w:tcW w:w="1352" w:type="pct"/>
            <w:tcBorders>
              <w:top w:val="nil"/>
              <w:left w:val="nil"/>
              <w:bottom w:val="nil"/>
              <w:right w:val="nil"/>
            </w:tcBorders>
            <w:shd w:val="clear" w:color="auto" w:fill="auto"/>
            <w:noWrap/>
          </w:tcPr>
          <w:p w14:paraId="17E4137D"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Retrospective cohort</w:t>
            </w:r>
          </w:p>
        </w:tc>
        <w:tc>
          <w:tcPr>
            <w:tcW w:w="752" w:type="pct"/>
            <w:tcBorders>
              <w:top w:val="nil"/>
              <w:left w:val="nil"/>
              <w:bottom w:val="nil"/>
              <w:right w:val="nil"/>
            </w:tcBorders>
            <w:shd w:val="clear" w:color="auto" w:fill="auto"/>
            <w:noWrap/>
          </w:tcPr>
          <w:p w14:paraId="23CC542A"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FNB</w:t>
            </w:r>
          </w:p>
        </w:tc>
        <w:tc>
          <w:tcPr>
            <w:tcW w:w="885" w:type="pct"/>
            <w:tcBorders>
              <w:top w:val="nil"/>
              <w:left w:val="nil"/>
              <w:bottom w:val="nil"/>
              <w:right w:val="nil"/>
            </w:tcBorders>
            <w:shd w:val="clear" w:color="auto" w:fill="auto"/>
            <w:noWrap/>
          </w:tcPr>
          <w:p w14:paraId="70C59A1C"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20/852 (2.3%)</w:t>
            </w:r>
          </w:p>
        </w:tc>
      </w:tr>
      <w:tr w:rsidR="00FD3B98" w14:paraId="01AC7A6A" w14:textId="77777777">
        <w:trPr>
          <w:trHeight w:val="372"/>
        </w:trPr>
        <w:tc>
          <w:tcPr>
            <w:tcW w:w="1428" w:type="pct"/>
            <w:tcBorders>
              <w:top w:val="nil"/>
              <w:left w:val="nil"/>
              <w:bottom w:val="nil"/>
              <w:right w:val="nil"/>
            </w:tcBorders>
            <w:shd w:val="clear" w:color="auto" w:fill="auto"/>
            <w:noWrap/>
          </w:tcPr>
          <w:p w14:paraId="4E820C85"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Kandel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2021</w:t>
            </w:r>
          </w:p>
        </w:tc>
        <w:tc>
          <w:tcPr>
            <w:tcW w:w="582" w:type="pct"/>
            <w:tcBorders>
              <w:top w:val="nil"/>
              <w:left w:val="nil"/>
              <w:bottom w:val="nil"/>
              <w:right w:val="nil"/>
            </w:tcBorders>
            <w:shd w:val="clear" w:color="auto" w:fill="auto"/>
            <w:noWrap/>
          </w:tcPr>
          <w:p w14:paraId="6E272846"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50</w:t>
            </w:r>
          </w:p>
        </w:tc>
        <w:tc>
          <w:tcPr>
            <w:tcW w:w="1352" w:type="pct"/>
            <w:tcBorders>
              <w:top w:val="nil"/>
              <w:left w:val="nil"/>
              <w:bottom w:val="nil"/>
              <w:right w:val="nil"/>
            </w:tcBorders>
            <w:shd w:val="clear" w:color="auto" w:fill="auto"/>
            <w:noWrap/>
          </w:tcPr>
          <w:p w14:paraId="6F40FD16"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Prospective RCT</w:t>
            </w:r>
          </w:p>
        </w:tc>
        <w:tc>
          <w:tcPr>
            <w:tcW w:w="752" w:type="pct"/>
            <w:tcBorders>
              <w:top w:val="nil"/>
              <w:left w:val="nil"/>
              <w:bottom w:val="nil"/>
              <w:right w:val="nil"/>
            </w:tcBorders>
            <w:shd w:val="clear" w:color="auto" w:fill="auto"/>
            <w:noWrap/>
          </w:tcPr>
          <w:p w14:paraId="2B3A3858"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FNA and FNB</w:t>
            </w:r>
          </w:p>
        </w:tc>
        <w:tc>
          <w:tcPr>
            <w:tcW w:w="885" w:type="pct"/>
            <w:tcBorders>
              <w:top w:val="nil"/>
              <w:left w:val="nil"/>
              <w:bottom w:val="nil"/>
              <w:right w:val="nil"/>
            </w:tcBorders>
            <w:shd w:val="clear" w:color="auto" w:fill="auto"/>
            <w:noWrap/>
          </w:tcPr>
          <w:p w14:paraId="73904B7A"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2/50 (4.0%)</w:t>
            </w:r>
          </w:p>
        </w:tc>
      </w:tr>
      <w:tr w:rsidR="00FD3B98" w14:paraId="05BBF78E" w14:textId="77777777">
        <w:trPr>
          <w:trHeight w:val="372"/>
        </w:trPr>
        <w:tc>
          <w:tcPr>
            <w:tcW w:w="1428" w:type="pct"/>
            <w:tcBorders>
              <w:top w:val="nil"/>
              <w:left w:val="nil"/>
              <w:bottom w:val="nil"/>
              <w:right w:val="nil"/>
            </w:tcBorders>
            <w:shd w:val="clear" w:color="auto" w:fill="auto"/>
            <w:noWrap/>
          </w:tcPr>
          <w:p w14:paraId="50E0E7FC"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van Riet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rPr>
              <w:t>, 2019</w:t>
            </w:r>
          </w:p>
        </w:tc>
        <w:tc>
          <w:tcPr>
            <w:tcW w:w="582" w:type="pct"/>
            <w:tcBorders>
              <w:top w:val="nil"/>
              <w:left w:val="nil"/>
              <w:bottom w:val="nil"/>
              <w:right w:val="nil"/>
            </w:tcBorders>
            <w:shd w:val="clear" w:color="auto" w:fill="auto"/>
            <w:noWrap/>
          </w:tcPr>
          <w:p w14:paraId="5F308038"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608</w:t>
            </w:r>
          </w:p>
        </w:tc>
        <w:tc>
          <w:tcPr>
            <w:tcW w:w="1352" w:type="pct"/>
            <w:tcBorders>
              <w:top w:val="nil"/>
              <w:left w:val="nil"/>
              <w:bottom w:val="nil"/>
              <w:right w:val="nil"/>
            </w:tcBorders>
            <w:shd w:val="clear" w:color="auto" w:fill="auto"/>
            <w:noWrap/>
          </w:tcPr>
          <w:p w14:paraId="62B3D4BC"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Prospective RCT</w:t>
            </w:r>
          </w:p>
        </w:tc>
        <w:tc>
          <w:tcPr>
            <w:tcW w:w="752" w:type="pct"/>
            <w:tcBorders>
              <w:top w:val="nil"/>
              <w:left w:val="nil"/>
              <w:bottom w:val="nil"/>
              <w:right w:val="nil"/>
            </w:tcBorders>
            <w:shd w:val="clear" w:color="auto" w:fill="auto"/>
            <w:noWrap/>
          </w:tcPr>
          <w:p w14:paraId="27F51BD2"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FNA and FNB</w:t>
            </w:r>
          </w:p>
        </w:tc>
        <w:tc>
          <w:tcPr>
            <w:tcW w:w="885" w:type="pct"/>
            <w:tcBorders>
              <w:top w:val="nil"/>
              <w:left w:val="nil"/>
              <w:bottom w:val="nil"/>
              <w:right w:val="nil"/>
            </w:tcBorders>
            <w:shd w:val="clear" w:color="auto" w:fill="auto"/>
            <w:noWrap/>
          </w:tcPr>
          <w:p w14:paraId="013913DF"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2/608 (0.3%)</w:t>
            </w:r>
          </w:p>
        </w:tc>
      </w:tr>
      <w:tr w:rsidR="00FD3B98" w14:paraId="39BF1763" w14:textId="77777777">
        <w:trPr>
          <w:trHeight w:val="372"/>
        </w:trPr>
        <w:tc>
          <w:tcPr>
            <w:tcW w:w="1428" w:type="pct"/>
            <w:tcBorders>
              <w:top w:val="nil"/>
              <w:left w:val="nil"/>
              <w:bottom w:val="nil"/>
              <w:right w:val="nil"/>
            </w:tcBorders>
            <w:shd w:val="clear" w:color="auto" w:fill="auto"/>
            <w:noWrap/>
          </w:tcPr>
          <w:p w14:paraId="1714B624"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Gonzalez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2022</w:t>
            </w:r>
          </w:p>
        </w:tc>
        <w:tc>
          <w:tcPr>
            <w:tcW w:w="582" w:type="pct"/>
            <w:tcBorders>
              <w:top w:val="nil"/>
              <w:left w:val="nil"/>
              <w:bottom w:val="nil"/>
              <w:right w:val="nil"/>
            </w:tcBorders>
            <w:shd w:val="clear" w:color="auto" w:fill="auto"/>
            <w:noWrap/>
          </w:tcPr>
          <w:p w14:paraId="109C40DB"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105</w:t>
            </w:r>
          </w:p>
        </w:tc>
        <w:tc>
          <w:tcPr>
            <w:tcW w:w="1352" w:type="pct"/>
            <w:tcBorders>
              <w:top w:val="nil"/>
              <w:left w:val="nil"/>
              <w:bottom w:val="nil"/>
              <w:right w:val="nil"/>
            </w:tcBorders>
            <w:shd w:val="clear" w:color="auto" w:fill="auto"/>
            <w:noWrap/>
          </w:tcPr>
          <w:p w14:paraId="5570C77D"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Retrospective cohort</w:t>
            </w:r>
          </w:p>
        </w:tc>
        <w:tc>
          <w:tcPr>
            <w:tcW w:w="752" w:type="pct"/>
            <w:tcBorders>
              <w:top w:val="nil"/>
              <w:left w:val="nil"/>
              <w:bottom w:val="nil"/>
              <w:right w:val="nil"/>
            </w:tcBorders>
            <w:shd w:val="clear" w:color="auto" w:fill="auto"/>
            <w:noWrap/>
          </w:tcPr>
          <w:p w14:paraId="62A1DFB4"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FNA and FNB</w:t>
            </w:r>
          </w:p>
        </w:tc>
        <w:tc>
          <w:tcPr>
            <w:tcW w:w="885" w:type="pct"/>
            <w:tcBorders>
              <w:top w:val="nil"/>
              <w:left w:val="nil"/>
              <w:bottom w:val="nil"/>
              <w:right w:val="nil"/>
            </w:tcBorders>
            <w:shd w:val="clear" w:color="auto" w:fill="auto"/>
            <w:noWrap/>
          </w:tcPr>
          <w:p w14:paraId="770FF1E0"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0/105 (0.0%)</w:t>
            </w:r>
          </w:p>
        </w:tc>
      </w:tr>
      <w:tr w:rsidR="00FD3B98" w14:paraId="12701930" w14:textId="77777777">
        <w:trPr>
          <w:trHeight w:val="372"/>
        </w:trPr>
        <w:tc>
          <w:tcPr>
            <w:tcW w:w="1428" w:type="pct"/>
            <w:tcBorders>
              <w:top w:val="nil"/>
              <w:left w:val="nil"/>
              <w:right w:val="nil"/>
            </w:tcBorders>
            <w:shd w:val="clear" w:color="auto" w:fill="auto"/>
            <w:noWrap/>
          </w:tcPr>
          <w:p w14:paraId="72F0F1ED"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Ishigaki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 2020</w:t>
            </w:r>
          </w:p>
        </w:tc>
        <w:tc>
          <w:tcPr>
            <w:tcW w:w="582" w:type="pct"/>
            <w:tcBorders>
              <w:top w:val="nil"/>
              <w:left w:val="nil"/>
              <w:right w:val="nil"/>
            </w:tcBorders>
            <w:shd w:val="clear" w:color="auto" w:fill="auto"/>
            <w:noWrap/>
          </w:tcPr>
          <w:p w14:paraId="207DFD72"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154</w:t>
            </w:r>
          </w:p>
        </w:tc>
        <w:tc>
          <w:tcPr>
            <w:tcW w:w="1352" w:type="pct"/>
            <w:tcBorders>
              <w:top w:val="nil"/>
              <w:left w:val="nil"/>
              <w:right w:val="nil"/>
            </w:tcBorders>
            <w:shd w:val="clear" w:color="auto" w:fill="auto"/>
            <w:noWrap/>
          </w:tcPr>
          <w:p w14:paraId="1C70CB11"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Retrospective cohort</w:t>
            </w:r>
          </w:p>
        </w:tc>
        <w:tc>
          <w:tcPr>
            <w:tcW w:w="752" w:type="pct"/>
            <w:tcBorders>
              <w:top w:val="nil"/>
              <w:left w:val="nil"/>
              <w:right w:val="nil"/>
            </w:tcBorders>
            <w:shd w:val="clear" w:color="auto" w:fill="auto"/>
            <w:noWrap/>
          </w:tcPr>
          <w:p w14:paraId="2E2B1E0C"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FNA and FNB</w:t>
            </w:r>
          </w:p>
        </w:tc>
        <w:tc>
          <w:tcPr>
            <w:tcW w:w="885" w:type="pct"/>
            <w:tcBorders>
              <w:top w:val="nil"/>
              <w:left w:val="nil"/>
              <w:right w:val="nil"/>
            </w:tcBorders>
            <w:shd w:val="clear" w:color="auto" w:fill="auto"/>
            <w:noWrap/>
          </w:tcPr>
          <w:p w14:paraId="472C8827"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2/154 (1.3%)</w:t>
            </w:r>
          </w:p>
        </w:tc>
      </w:tr>
      <w:tr w:rsidR="00FD3B98" w14:paraId="65A59138" w14:textId="77777777">
        <w:trPr>
          <w:trHeight w:val="372"/>
        </w:trPr>
        <w:tc>
          <w:tcPr>
            <w:tcW w:w="1428" w:type="pct"/>
            <w:tcBorders>
              <w:top w:val="nil"/>
              <w:left w:val="nil"/>
              <w:bottom w:val="single" w:sz="4" w:space="0" w:color="auto"/>
              <w:right w:val="nil"/>
            </w:tcBorders>
            <w:shd w:val="clear" w:color="auto" w:fill="auto"/>
            <w:noWrap/>
          </w:tcPr>
          <w:p w14:paraId="7182F1D1"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Chen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2022</w:t>
            </w:r>
          </w:p>
        </w:tc>
        <w:tc>
          <w:tcPr>
            <w:tcW w:w="582" w:type="pct"/>
            <w:tcBorders>
              <w:top w:val="nil"/>
              <w:left w:val="nil"/>
              <w:bottom w:val="single" w:sz="4" w:space="0" w:color="auto"/>
              <w:right w:val="nil"/>
            </w:tcBorders>
            <w:shd w:val="clear" w:color="auto" w:fill="auto"/>
            <w:noWrap/>
          </w:tcPr>
          <w:p w14:paraId="4783E5A6"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235</w:t>
            </w:r>
          </w:p>
        </w:tc>
        <w:tc>
          <w:tcPr>
            <w:tcW w:w="1352" w:type="pct"/>
            <w:tcBorders>
              <w:top w:val="nil"/>
              <w:left w:val="nil"/>
              <w:bottom w:val="single" w:sz="4" w:space="0" w:color="auto"/>
              <w:right w:val="nil"/>
            </w:tcBorders>
            <w:shd w:val="clear" w:color="auto" w:fill="auto"/>
            <w:noWrap/>
          </w:tcPr>
          <w:p w14:paraId="2A0DDB8F"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Prospective RCT</w:t>
            </w:r>
          </w:p>
        </w:tc>
        <w:tc>
          <w:tcPr>
            <w:tcW w:w="752" w:type="pct"/>
            <w:tcBorders>
              <w:top w:val="nil"/>
              <w:left w:val="nil"/>
              <w:bottom w:val="single" w:sz="4" w:space="0" w:color="auto"/>
              <w:right w:val="nil"/>
            </w:tcBorders>
            <w:shd w:val="clear" w:color="auto" w:fill="auto"/>
            <w:noWrap/>
          </w:tcPr>
          <w:p w14:paraId="70ACD703"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FNA and FNB</w:t>
            </w:r>
          </w:p>
        </w:tc>
        <w:tc>
          <w:tcPr>
            <w:tcW w:w="885" w:type="pct"/>
            <w:tcBorders>
              <w:top w:val="nil"/>
              <w:left w:val="nil"/>
              <w:bottom w:val="single" w:sz="4" w:space="0" w:color="auto"/>
              <w:right w:val="nil"/>
            </w:tcBorders>
            <w:shd w:val="clear" w:color="auto" w:fill="auto"/>
            <w:noWrap/>
          </w:tcPr>
          <w:p w14:paraId="31C174AB" w14:textId="77777777" w:rsidR="00FD3B98" w:rsidRDefault="00000000">
            <w:pPr>
              <w:spacing w:line="360" w:lineRule="auto"/>
              <w:jc w:val="both"/>
              <w:rPr>
                <w:rFonts w:ascii="Book Antiqua" w:eastAsia="Book Antiqua" w:hAnsi="Book Antiqua" w:cs="Book Antiqua"/>
              </w:rPr>
            </w:pPr>
            <w:r>
              <w:rPr>
                <w:rFonts w:ascii="Book Antiqua" w:eastAsia="Book Antiqua" w:hAnsi="Book Antiqua" w:cs="Book Antiqua"/>
              </w:rPr>
              <w:t>2/235 (0.9%)</w:t>
            </w:r>
          </w:p>
        </w:tc>
      </w:tr>
    </w:tbl>
    <w:p w14:paraId="1FEEB815" w14:textId="77777777" w:rsidR="00CC7A24" w:rsidRDefault="00000000">
      <w:pPr>
        <w:spacing w:line="360" w:lineRule="auto"/>
        <w:jc w:val="both"/>
        <w:rPr>
          <w:rFonts w:ascii="Book Antiqua" w:hAnsi="Book Antiqua" w:cs="Book Antiqua"/>
          <w:lang w:eastAsia="zh-CN"/>
        </w:rPr>
        <w:sectPr w:rsidR="00CC7A24">
          <w:footerReference w:type="default" r:id="rId6"/>
          <w:pgSz w:w="12240" w:h="15840"/>
          <w:pgMar w:top="1440" w:right="1440" w:bottom="1440" w:left="1440" w:header="720" w:footer="720" w:gutter="0"/>
          <w:cols w:space="720"/>
          <w:docGrid w:linePitch="360"/>
        </w:sectPr>
      </w:pPr>
      <w:r>
        <w:rPr>
          <w:rFonts w:ascii="Book Antiqua" w:hAnsi="Book Antiqua" w:cs="Book Antiqua"/>
          <w:lang w:eastAsia="zh-CN"/>
        </w:rPr>
        <w:t>FNA: F</w:t>
      </w:r>
      <w:r>
        <w:rPr>
          <w:rFonts w:ascii="Book Antiqua" w:eastAsia="Book Antiqua" w:hAnsi="Book Antiqua" w:cs="Book Antiqua"/>
        </w:rPr>
        <w:t>ine needle aspiration;</w:t>
      </w:r>
      <w:r>
        <w:rPr>
          <w:rFonts w:ascii="Book Antiqua" w:hAnsi="Book Antiqua" w:cs="Book Antiqua"/>
          <w:lang w:eastAsia="zh-CN"/>
        </w:rPr>
        <w:t xml:space="preserve"> FNB: </w:t>
      </w:r>
      <w:r>
        <w:rPr>
          <w:rFonts w:ascii="Book Antiqua" w:eastAsia="Book Antiqua" w:hAnsi="Book Antiqua" w:cs="Book Antiqua"/>
        </w:rPr>
        <w:t>Fine needle biopsy;</w:t>
      </w:r>
      <w:r>
        <w:rPr>
          <w:rFonts w:ascii="Book Antiqua" w:hAnsi="Book Antiqua" w:cs="Book Antiqua"/>
          <w:lang w:eastAsia="zh-CN"/>
        </w:rPr>
        <w:t xml:space="preserve"> RCT: Randomized controlled trial.</w:t>
      </w:r>
    </w:p>
    <w:p w14:paraId="3F2EF044" w14:textId="77777777" w:rsidR="00CC7A24" w:rsidRPr="006D4EDA" w:rsidRDefault="00CC7A24" w:rsidP="00CC7A24">
      <w:pPr>
        <w:snapToGrid w:val="0"/>
        <w:ind w:leftChars="100" w:left="240"/>
        <w:jc w:val="center"/>
        <w:rPr>
          <w:rFonts w:ascii="Book Antiqua" w:hAnsi="Book Antiqua"/>
        </w:rPr>
      </w:pPr>
      <w:bookmarkStart w:id="478" w:name="_Hlk159570438"/>
    </w:p>
    <w:p w14:paraId="06C432FA" w14:textId="77777777" w:rsidR="00CC7A24" w:rsidRPr="006D4EDA" w:rsidRDefault="00CC7A24" w:rsidP="00CC7A24">
      <w:pPr>
        <w:snapToGrid w:val="0"/>
        <w:ind w:leftChars="100" w:left="240"/>
        <w:jc w:val="center"/>
        <w:rPr>
          <w:rFonts w:ascii="Book Antiqua" w:hAnsi="Book Antiqua"/>
        </w:rPr>
      </w:pPr>
    </w:p>
    <w:p w14:paraId="2FE4653B" w14:textId="77777777" w:rsidR="00CC7A24" w:rsidRPr="006D4EDA" w:rsidRDefault="00CC7A24" w:rsidP="00CC7A24">
      <w:pPr>
        <w:snapToGrid w:val="0"/>
        <w:ind w:leftChars="100" w:left="240"/>
        <w:jc w:val="center"/>
        <w:rPr>
          <w:rFonts w:ascii="Book Antiqua" w:hAnsi="Book Antiqua"/>
        </w:rPr>
      </w:pPr>
    </w:p>
    <w:p w14:paraId="680C5C0D" w14:textId="77777777" w:rsidR="00CC7A24" w:rsidRPr="006D4EDA" w:rsidRDefault="00CC7A24" w:rsidP="00CC7A24">
      <w:pPr>
        <w:snapToGrid w:val="0"/>
        <w:ind w:leftChars="100" w:left="240"/>
        <w:jc w:val="center"/>
        <w:rPr>
          <w:rFonts w:ascii="Book Antiqua" w:hAnsi="Book Antiqua"/>
        </w:rPr>
      </w:pPr>
    </w:p>
    <w:p w14:paraId="3D3453D6" w14:textId="77777777" w:rsidR="00CC7A24" w:rsidRPr="006D4EDA" w:rsidRDefault="00CC7A24" w:rsidP="00CC7A24">
      <w:pPr>
        <w:snapToGrid w:val="0"/>
        <w:ind w:leftChars="100" w:left="240"/>
        <w:jc w:val="center"/>
        <w:rPr>
          <w:rFonts w:ascii="Book Antiqua" w:hAnsi="Book Antiqua"/>
        </w:rPr>
      </w:pPr>
      <w:r w:rsidRPr="006D4EDA">
        <w:rPr>
          <w:rFonts w:ascii="Book Antiqua" w:hAnsi="Book Antiqua"/>
          <w:noProof/>
        </w:rPr>
        <w:drawing>
          <wp:inline distT="0" distB="0" distL="0" distR="0" wp14:anchorId="5E300E27" wp14:editId="749BDD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B810EEA" w14:textId="77777777" w:rsidR="00CC7A24" w:rsidRPr="006D4EDA" w:rsidRDefault="00CC7A24" w:rsidP="00CC7A24">
      <w:pPr>
        <w:snapToGrid w:val="0"/>
        <w:ind w:leftChars="100" w:left="240"/>
        <w:jc w:val="center"/>
        <w:rPr>
          <w:rFonts w:ascii="Book Antiqua" w:hAnsi="Book Antiqua"/>
        </w:rPr>
      </w:pPr>
    </w:p>
    <w:p w14:paraId="4125D623" w14:textId="77777777" w:rsidR="00CC7A24" w:rsidRPr="006D4EDA" w:rsidRDefault="00CC7A24" w:rsidP="00CC7A2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394E038" w14:textId="77777777" w:rsidR="00CC7A24" w:rsidRPr="006D4EDA" w:rsidRDefault="00CC7A24" w:rsidP="00CC7A2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16AA693" w14:textId="77777777" w:rsidR="00CC7A24" w:rsidRPr="006D4EDA" w:rsidRDefault="00CC7A24" w:rsidP="00CC7A2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3853443" w14:textId="77777777" w:rsidR="00CC7A24" w:rsidRPr="006D4EDA" w:rsidRDefault="00CC7A24" w:rsidP="00CC7A2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832C688" w14:textId="77777777" w:rsidR="00CC7A24" w:rsidRPr="006D4EDA" w:rsidRDefault="00CC7A24" w:rsidP="00CC7A2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EF7213B" w14:textId="77777777" w:rsidR="00CC7A24" w:rsidRPr="006D4EDA" w:rsidRDefault="00CC7A24" w:rsidP="00CC7A2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9C29566" w14:textId="77777777" w:rsidR="00CC7A24" w:rsidRPr="006D4EDA" w:rsidRDefault="00CC7A24" w:rsidP="00CC7A24">
      <w:pPr>
        <w:snapToGrid w:val="0"/>
        <w:ind w:leftChars="100" w:left="240"/>
        <w:jc w:val="center"/>
        <w:rPr>
          <w:rFonts w:ascii="Book Antiqua" w:hAnsi="Book Antiqua"/>
        </w:rPr>
      </w:pPr>
    </w:p>
    <w:p w14:paraId="78EA3009" w14:textId="77777777" w:rsidR="00CC7A24" w:rsidRPr="006D4EDA" w:rsidRDefault="00CC7A24" w:rsidP="00CC7A24">
      <w:pPr>
        <w:snapToGrid w:val="0"/>
        <w:ind w:leftChars="100" w:left="240"/>
        <w:jc w:val="center"/>
        <w:rPr>
          <w:rFonts w:ascii="Book Antiqua" w:hAnsi="Book Antiqua"/>
        </w:rPr>
      </w:pPr>
    </w:p>
    <w:p w14:paraId="4B41BC22" w14:textId="77777777" w:rsidR="00CC7A24" w:rsidRPr="006D4EDA" w:rsidRDefault="00CC7A24" w:rsidP="00CC7A24">
      <w:pPr>
        <w:snapToGrid w:val="0"/>
        <w:ind w:leftChars="100" w:left="240"/>
        <w:jc w:val="center"/>
        <w:rPr>
          <w:rFonts w:ascii="Book Antiqua" w:hAnsi="Book Antiqua"/>
        </w:rPr>
      </w:pPr>
    </w:p>
    <w:p w14:paraId="33DB4FBA" w14:textId="77777777" w:rsidR="00CC7A24" w:rsidRPr="006D4EDA" w:rsidRDefault="00CC7A24" w:rsidP="00CC7A24">
      <w:pPr>
        <w:snapToGrid w:val="0"/>
        <w:ind w:leftChars="100" w:left="240"/>
        <w:jc w:val="center"/>
        <w:rPr>
          <w:rFonts w:ascii="Book Antiqua" w:hAnsi="Book Antiqua"/>
        </w:rPr>
      </w:pPr>
      <w:r w:rsidRPr="006D4EDA">
        <w:rPr>
          <w:rFonts w:ascii="Book Antiqua" w:hAnsi="Book Antiqua"/>
          <w:noProof/>
        </w:rPr>
        <w:drawing>
          <wp:inline distT="0" distB="0" distL="0" distR="0" wp14:anchorId="1A9F0082" wp14:editId="60E3427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F8E5135" w14:textId="77777777" w:rsidR="00CC7A24" w:rsidRPr="006D4EDA" w:rsidRDefault="00CC7A24" w:rsidP="00CC7A24">
      <w:pPr>
        <w:snapToGrid w:val="0"/>
        <w:ind w:leftChars="100" w:left="240"/>
        <w:jc w:val="center"/>
        <w:rPr>
          <w:rFonts w:ascii="Book Antiqua" w:hAnsi="Book Antiqua"/>
        </w:rPr>
      </w:pPr>
    </w:p>
    <w:p w14:paraId="11CE58C4" w14:textId="77777777" w:rsidR="00CC7A24" w:rsidRPr="006D4EDA" w:rsidRDefault="00CC7A24" w:rsidP="00CC7A24">
      <w:pPr>
        <w:snapToGrid w:val="0"/>
        <w:ind w:leftChars="100" w:left="240"/>
        <w:jc w:val="center"/>
        <w:rPr>
          <w:rFonts w:ascii="Book Antiqua" w:hAnsi="Book Antiqua"/>
        </w:rPr>
      </w:pPr>
    </w:p>
    <w:p w14:paraId="34300A15" w14:textId="77777777" w:rsidR="00CC7A24" w:rsidRPr="006D4EDA" w:rsidRDefault="00CC7A24" w:rsidP="00CC7A24">
      <w:pPr>
        <w:snapToGrid w:val="0"/>
        <w:ind w:leftChars="100" w:left="240"/>
        <w:jc w:val="center"/>
        <w:rPr>
          <w:rFonts w:ascii="Book Antiqua" w:hAnsi="Book Antiqua"/>
        </w:rPr>
      </w:pPr>
    </w:p>
    <w:p w14:paraId="31FF87EB" w14:textId="77777777" w:rsidR="00CC7A24" w:rsidRPr="006D4EDA" w:rsidRDefault="00CC7A24" w:rsidP="00CC7A24">
      <w:pPr>
        <w:snapToGrid w:val="0"/>
        <w:ind w:leftChars="100" w:left="240"/>
        <w:jc w:val="center"/>
        <w:rPr>
          <w:rFonts w:ascii="Book Antiqua" w:hAnsi="Book Antiqua"/>
        </w:rPr>
      </w:pPr>
    </w:p>
    <w:p w14:paraId="330E165E" w14:textId="77777777" w:rsidR="00CC7A24" w:rsidRPr="006D4EDA" w:rsidRDefault="00CC7A24" w:rsidP="00CC7A24">
      <w:pPr>
        <w:snapToGrid w:val="0"/>
        <w:ind w:leftChars="100" w:left="240"/>
        <w:jc w:val="center"/>
        <w:rPr>
          <w:rFonts w:ascii="Book Antiqua" w:hAnsi="Book Antiqua"/>
        </w:rPr>
      </w:pPr>
    </w:p>
    <w:p w14:paraId="3E7CDF60" w14:textId="77777777" w:rsidR="00CC7A24" w:rsidRPr="006D4EDA" w:rsidRDefault="00CC7A24" w:rsidP="00CC7A24">
      <w:pPr>
        <w:snapToGrid w:val="0"/>
        <w:ind w:leftChars="100" w:left="240"/>
        <w:jc w:val="center"/>
        <w:rPr>
          <w:rFonts w:ascii="Book Antiqua" w:hAnsi="Book Antiqua"/>
        </w:rPr>
      </w:pPr>
    </w:p>
    <w:p w14:paraId="57924DCD" w14:textId="77777777" w:rsidR="00CC7A24" w:rsidRPr="006D4EDA" w:rsidRDefault="00CC7A24" w:rsidP="00CC7A24">
      <w:pPr>
        <w:snapToGrid w:val="0"/>
        <w:ind w:leftChars="100" w:left="240"/>
        <w:jc w:val="center"/>
        <w:rPr>
          <w:rFonts w:ascii="Book Antiqua" w:hAnsi="Book Antiqua"/>
        </w:rPr>
      </w:pPr>
    </w:p>
    <w:p w14:paraId="22BF88D7" w14:textId="77777777" w:rsidR="00CC7A24" w:rsidRPr="006D4EDA" w:rsidRDefault="00CC7A24" w:rsidP="00CC7A24">
      <w:pPr>
        <w:snapToGrid w:val="0"/>
        <w:ind w:leftChars="100" w:left="240"/>
        <w:jc w:val="center"/>
        <w:rPr>
          <w:rFonts w:ascii="Book Antiqua" w:hAnsi="Book Antiqua"/>
        </w:rPr>
      </w:pPr>
    </w:p>
    <w:p w14:paraId="28F17201" w14:textId="77777777" w:rsidR="00CC7A24" w:rsidRPr="006D4EDA" w:rsidRDefault="00CC7A24" w:rsidP="00CC7A24">
      <w:pPr>
        <w:snapToGrid w:val="0"/>
        <w:ind w:leftChars="100" w:left="240"/>
        <w:jc w:val="center"/>
        <w:rPr>
          <w:rFonts w:ascii="Book Antiqua" w:hAnsi="Book Antiqua"/>
        </w:rPr>
      </w:pPr>
    </w:p>
    <w:p w14:paraId="51AF584B" w14:textId="77777777" w:rsidR="00CC7A24" w:rsidRPr="006D4EDA" w:rsidRDefault="00CC7A24" w:rsidP="00CC7A24">
      <w:pPr>
        <w:snapToGrid w:val="0"/>
        <w:ind w:leftChars="100" w:left="240"/>
        <w:jc w:val="right"/>
        <w:rPr>
          <w:rFonts w:ascii="Book Antiqua" w:hAnsi="Book Antiqua"/>
          <w:color w:val="000000" w:themeColor="text1"/>
        </w:rPr>
      </w:pPr>
    </w:p>
    <w:p w14:paraId="4EDB1D79" w14:textId="77777777" w:rsidR="00CC7A24" w:rsidRPr="006D4EDA" w:rsidRDefault="00CC7A24" w:rsidP="00CC7A2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bookmarkEnd w:id="478"/>
    <w:p w14:paraId="470677D5" w14:textId="77777777" w:rsidR="00CC7A24" w:rsidRPr="00EE65AF" w:rsidRDefault="00CC7A24" w:rsidP="00CC7A24">
      <w:pPr>
        <w:rPr>
          <w:rFonts w:ascii="Book Antiqua" w:hAnsi="Book Antiqua" w:cs="Book Antiqua"/>
          <w:b/>
          <w:bCs/>
          <w:color w:val="000000"/>
        </w:rPr>
      </w:pPr>
    </w:p>
    <w:p w14:paraId="1BC10E07" w14:textId="77777777" w:rsidR="00FD3B98" w:rsidRPr="00CC7A24" w:rsidRDefault="00FD3B98">
      <w:pPr>
        <w:spacing w:line="360" w:lineRule="auto"/>
        <w:jc w:val="both"/>
        <w:rPr>
          <w:rFonts w:ascii="Book Antiqua" w:hAnsi="Book Antiqua" w:cs="Book Antiqua"/>
          <w:lang w:eastAsia="zh-CN"/>
        </w:rPr>
      </w:pPr>
    </w:p>
    <w:sectPr w:rsidR="00FD3B98" w:rsidRPr="00CC7A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F744" w14:textId="77777777" w:rsidR="002534B3" w:rsidRDefault="002534B3">
      <w:r>
        <w:separator/>
      </w:r>
    </w:p>
  </w:endnote>
  <w:endnote w:type="continuationSeparator" w:id="0">
    <w:p w14:paraId="611A9033" w14:textId="77777777" w:rsidR="002534B3" w:rsidRDefault="0025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97221878"/>
    </w:sdtPr>
    <w:sdtContent>
      <w:sdt>
        <w:sdtPr>
          <w:rPr>
            <w:rFonts w:ascii="Book Antiqua" w:hAnsi="Book Antiqua"/>
            <w:sz w:val="24"/>
            <w:szCs w:val="24"/>
          </w:rPr>
          <w:id w:val="-1769616900"/>
        </w:sdtPr>
        <w:sdtContent>
          <w:p w14:paraId="5E787BB0" w14:textId="77777777" w:rsidR="00FD3B98" w:rsidRDefault="0000000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5885" w14:textId="77777777" w:rsidR="002534B3" w:rsidRDefault="002534B3">
      <w:r>
        <w:separator/>
      </w:r>
    </w:p>
  </w:footnote>
  <w:footnote w:type="continuationSeparator" w:id="0">
    <w:p w14:paraId="70938D4E" w14:textId="77777777" w:rsidR="002534B3" w:rsidRDefault="00253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FmY2M5ZTlmZDY0NjQzZDFiMTRmMDdmYTM1YjkzZTgifQ=="/>
  </w:docVars>
  <w:rsids>
    <w:rsidRoot w:val="00A77B3E"/>
    <w:rsid w:val="00010821"/>
    <w:rsid w:val="00086A8C"/>
    <w:rsid w:val="000C2EE8"/>
    <w:rsid w:val="000C7DCB"/>
    <w:rsid w:val="0015231A"/>
    <w:rsid w:val="0017029C"/>
    <w:rsid w:val="001A7118"/>
    <w:rsid w:val="001B314B"/>
    <w:rsid w:val="001C0CAB"/>
    <w:rsid w:val="001D1E1F"/>
    <w:rsid w:val="001D4757"/>
    <w:rsid w:val="00212C66"/>
    <w:rsid w:val="00234BD4"/>
    <w:rsid w:val="00247283"/>
    <w:rsid w:val="002534B3"/>
    <w:rsid w:val="00263703"/>
    <w:rsid w:val="00270C7B"/>
    <w:rsid w:val="002B7AB7"/>
    <w:rsid w:val="002F7273"/>
    <w:rsid w:val="00343D9E"/>
    <w:rsid w:val="00355B5B"/>
    <w:rsid w:val="003950C4"/>
    <w:rsid w:val="003A0D5C"/>
    <w:rsid w:val="003C301E"/>
    <w:rsid w:val="003E38B9"/>
    <w:rsid w:val="00400504"/>
    <w:rsid w:val="004223EC"/>
    <w:rsid w:val="004227B2"/>
    <w:rsid w:val="004A323A"/>
    <w:rsid w:val="004A3EA2"/>
    <w:rsid w:val="00527D25"/>
    <w:rsid w:val="00540602"/>
    <w:rsid w:val="00540DD2"/>
    <w:rsid w:val="00555C0F"/>
    <w:rsid w:val="005D6868"/>
    <w:rsid w:val="0061120F"/>
    <w:rsid w:val="00664339"/>
    <w:rsid w:val="00693750"/>
    <w:rsid w:val="006F06E5"/>
    <w:rsid w:val="00721F1D"/>
    <w:rsid w:val="00727601"/>
    <w:rsid w:val="00771325"/>
    <w:rsid w:val="00793DA6"/>
    <w:rsid w:val="007B4367"/>
    <w:rsid w:val="007E0160"/>
    <w:rsid w:val="00815D22"/>
    <w:rsid w:val="008566FA"/>
    <w:rsid w:val="008A6D56"/>
    <w:rsid w:val="008B735A"/>
    <w:rsid w:val="009005FE"/>
    <w:rsid w:val="00943E8F"/>
    <w:rsid w:val="00946FCB"/>
    <w:rsid w:val="00947C29"/>
    <w:rsid w:val="009B24F7"/>
    <w:rsid w:val="009C3B9E"/>
    <w:rsid w:val="009C470F"/>
    <w:rsid w:val="009E213C"/>
    <w:rsid w:val="00A016C5"/>
    <w:rsid w:val="00A139A5"/>
    <w:rsid w:val="00A41939"/>
    <w:rsid w:val="00A65DB4"/>
    <w:rsid w:val="00A75783"/>
    <w:rsid w:val="00A77B3E"/>
    <w:rsid w:val="00AA1253"/>
    <w:rsid w:val="00AA7412"/>
    <w:rsid w:val="00AB54DD"/>
    <w:rsid w:val="00AD01AD"/>
    <w:rsid w:val="00AD44BC"/>
    <w:rsid w:val="00B02062"/>
    <w:rsid w:val="00B33C81"/>
    <w:rsid w:val="00B34500"/>
    <w:rsid w:val="00B633E1"/>
    <w:rsid w:val="00B74858"/>
    <w:rsid w:val="00BC51D9"/>
    <w:rsid w:val="00C138CE"/>
    <w:rsid w:val="00C17576"/>
    <w:rsid w:val="00C20D1E"/>
    <w:rsid w:val="00C33EF0"/>
    <w:rsid w:val="00C44CC1"/>
    <w:rsid w:val="00C509D8"/>
    <w:rsid w:val="00C60FDD"/>
    <w:rsid w:val="00CA2A55"/>
    <w:rsid w:val="00CA35FE"/>
    <w:rsid w:val="00CC7A24"/>
    <w:rsid w:val="00D02614"/>
    <w:rsid w:val="00D07569"/>
    <w:rsid w:val="00D446F2"/>
    <w:rsid w:val="00D77BB7"/>
    <w:rsid w:val="00DB4F5E"/>
    <w:rsid w:val="00DC3C57"/>
    <w:rsid w:val="00E12C6C"/>
    <w:rsid w:val="00F143AD"/>
    <w:rsid w:val="00F32972"/>
    <w:rsid w:val="00F56D3A"/>
    <w:rsid w:val="00FD3B98"/>
    <w:rsid w:val="00FF0213"/>
    <w:rsid w:val="05524A50"/>
    <w:rsid w:val="29CB06AB"/>
    <w:rsid w:val="29CE669D"/>
    <w:rsid w:val="431E55BA"/>
    <w:rsid w:val="53EC3FD3"/>
    <w:rsid w:val="58450B68"/>
    <w:rsid w:val="7308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20950"/>
  <w15:docId w15:val="{4BE64D2B-D8D6-41E8-9486-820E9957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FollowedHyperlink"/>
    <w:basedOn w:val="a0"/>
    <w:autoRedefine/>
    <w:rPr>
      <w:color w:val="800080" w:themeColor="followedHyperlink"/>
      <w:u w:val="single"/>
    </w:rPr>
  </w:style>
  <w:style w:type="character" w:styleId="ac">
    <w:name w:val="Hyperlink"/>
    <w:basedOn w:val="a0"/>
    <w:autoRedefine/>
    <w:uiPriority w:val="99"/>
    <w:unhideWhenUsed/>
    <w:qFormat/>
    <w:rPr>
      <w:color w:val="0000FF"/>
      <w:u w:val="single"/>
    </w:rPr>
  </w:style>
  <w:style w:type="character" w:styleId="ad">
    <w:name w:val="annotation reference"/>
    <w:basedOn w:val="a0"/>
    <w:autoRedefine/>
    <w:qFormat/>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paragraph" w:styleId="ae">
    <w:name w:val="No Spacing"/>
    <w:link w:val="af"/>
    <w:autoRedefine/>
    <w:uiPriority w:val="1"/>
    <w:qFormat/>
    <w:rPr>
      <w:rFonts w:asciiTheme="minorHAnsi" w:eastAsiaTheme="minorEastAsia" w:hAnsiTheme="minorHAnsi" w:cstheme="minorBidi"/>
      <w:sz w:val="22"/>
      <w:szCs w:val="22"/>
      <w:lang w:val="nl-NL" w:eastAsia="en-US"/>
    </w:rPr>
  </w:style>
  <w:style w:type="character" w:customStyle="1" w:styleId="af">
    <w:name w:val="无间隔 字符"/>
    <w:basedOn w:val="a0"/>
    <w:link w:val="ae"/>
    <w:autoRedefine/>
    <w:uiPriority w:val="1"/>
    <w:qFormat/>
    <w:rPr>
      <w:rFonts w:asciiTheme="minorHAnsi" w:hAnsiTheme="minorHAnsi" w:cstheme="minorBidi"/>
      <w:sz w:val="22"/>
      <w:szCs w:val="22"/>
      <w:lang w:val="nl-NL"/>
    </w:rPr>
  </w:style>
  <w:style w:type="table" w:customStyle="1" w:styleId="21">
    <w:name w:val="网格表 21"/>
    <w:basedOn w:val="a1"/>
    <w:autoRedefine/>
    <w:uiPriority w:val="47"/>
    <w:qFormat/>
    <w:rPr>
      <w:rFonts w:asciiTheme="minorHAnsi" w:hAnsiTheme="minorHAnsi" w:cstheme="minorBidi"/>
      <w:sz w:val="22"/>
      <w:szCs w:val="22"/>
      <w:lang w:val="nl-NL"/>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4">
    <w:name w:val="批注文字 字符"/>
    <w:basedOn w:val="a0"/>
    <w:link w:val="a3"/>
    <w:autoRedefine/>
    <w:qFormat/>
    <w:rPr>
      <w:sz w:val="24"/>
      <w:szCs w:val="24"/>
    </w:rPr>
  </w:style>
  <w:style w:type="character" w:customStyle="1" w:styleId="aa">
    <w:name w:val="批注主题 字符"/>
    <w:basedOn w:val="a4"/>
    <w:link w:val="a9"/>
    <w:autoRedefine/>
    <w:qFormat/>
    <w:rPr>
      <w:b/>
      <w:bCs/>
      <w:sz w:val="24"/>
      <w:szCs w:val="24"/>
    </w:rPr>
  </w:style>
  <w:style w:type="paragraph" w:customStyle="1" w:styleId="1">
    <w:name w:val="修订1"/>
    <w:autoRedefine/>
    <w:hidden/>
    <w:uiPriority w:val="99"/>
    <w:semiHidden/>
    <w:qFormat/>
    <w:rPr>
      <w:rFonts w:eastAsiaTheme="minorEastAsia"/>
      <w:sz w:val="24"/>
      <w:szCs w:val="24"/>
      <w:lang w:eastAsia="en-US"/>
    </w:rPr>
  </w:style>
  <w:style w:type="character" w:styleId="af0">
    <w:name w:val="Unresolved Mention"/>
    <w:basedOn w:val="a0"/>
    <w:uiPriority w:val="99"/>
    <w:semiHidden/>
    <w:unhideWhenUsed/>
    <w:rsid w:val="009E2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4367</Words>
  <Characters>24892</Characters>
  <Application>Microsoft Office Word</Application>
  <DocSecurity>0</DocSecurity>
  <Lines>207</Lines>
  <Paragraphs>58</Paragraphs>
  <ScaleCrop>false</ScaleCrop>
  <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Mike de</dc:creator>
  <cp:lastModifiedBy>Chen YX</cp:lastModifiedBy>
  <cp:revision>6</cp:revision>
  <dcterms:created xsi:type="dcterms:W3CDTF">2024-01-27T21:07:00Z</dcterms:created>
  <dcterms:modified xsi:type="dcterms:W3CDTF">2024-02-23T00:49:00Z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1BECD7B3876740128CE5CAB64D4B1ABC_12</vt:lpwstr>
  </property>
</Properties>
</file>