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8E30E" w14:textId="77777777" w:rsidR="005949C7"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527B62E2" w14:textId="77777777" w:rsidR="005949C7"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90377</w:t>
      </w:r>
    </w:p>
    <w:p w14:paraId="628D46ED" w14:textId="77777777" w:rsidR="005949C7"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60E6CF3B" w14:textId="77777777" w:rsidR="005949C7" w:rsidRDefault="005949C7">
      <w:pPr>
        <w:spacing w:line="360" w:lineRule="auto"/>
        <w:jc w:val="both"/>
        <w:rPr>
          <w:rFonts w:ascii="Book Antiqua" w:hAnsi="Book Antiqua"/>
        </w:rPr>
      </w:pPr>
    </w:p>
    <w:p w14:paraId="11A9022C" w14:textId="77777777" w:rsidR="005949C7" w:rsidRDefault="00000000">
      <w:pPr>
        <w:spacing w:line="360" w:lineRule="auto"/>
        <w:jc w:val="both"/>
        <w:rPr>
          <w:rFonts w:ascii="Book Antiqua" w:hAnsi="Book Antiqua"/>
        </w:rPr>
      </w:pPr>
      <w:r>
        <w:rPr>
          <w:rFonts w:ascii="Book Antiqua" w:eastAsia="Book Antiqua" w:hAnsi="Book Antiqua" w:cs="Book Antiqua"/>
          <w:b/>
          <w:i/>
        </w:rPr>
        <w:t>Clinical and Translational Research</w:t>
      </w:r>
    </w:p>
    <w:p w14:paraId="1BC50F81" w14:textId="77777777" w:rsidR="005949C7" w:rsidRDefault="00000000">
      <w:pPr>
        <w:spacing w:line="360" w:lineRule="auto"/>
        <w:jc w:val="both"/>
        <w:rPr>
          <w:rFonts w:ascii="Book Antiqua" w:hAnsi="Book Antiqua"/>
        </w:rPr>
      </w:pPr>
      <w:r>
        <w:rPr>
          <w:rFonts w:ascii="Book Antiqua" w:eastAsia="Book Antiqua" w:hAnsi="Book Antiqua" w:cs="Book Antiqua"/>
          <w:b/>
          <w:color w:val="000000"/>
        </w:rPr>
        <w:t>Identification and validation of a new prognostic signature based on cancer-associated fibroblast-driven genes in breast cancer</w:t>
      </w:r>
    </w:p>
    <w:p w14:paraId="71F08035" w14:textId="77777777" w:rsidR="005949C7" w:rsidRDefault="005949C7">
      <w:pPr>
        <w:spacing w:line="360" w:lineRule="auto"/>
        <w:jc w:val="both"/>
        <w:rPr>
          <w:rFonts w:ascii="Book Antiqua" w:hAnsi="Book Antiqua"/>
        </w:rPr>
      </w:pPr>
    </w:p>
    <w:p w14:paraId="327361DF"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 xml:space="preserve">Wu ZZ </w:t>
      </w:r>
      <w:r>
        <w:rPr>
          <w:rFonts w:ascii="Book Antiqua" w:eastAsia="Book Antiqua" w:hAnsi="Book Antiqua" w:cs="Book Antiqua"/>
          <w:i/>
          <w:color w:val="000000"/>
        </w:rPr>
        <w:t>et al</w:t>
      </w:r>
      <w:r>
        <w:rPr>
          <w:rFonts w:ascii="Book Antiqua" w:eastAsia="Book Antiqua" w:hAnsi="Book Antiqua" w:cs="Book Antiqua"/>
          <w:color w:val="000000"/>
        </w:rPr>
        <w:t>. CAFs-associated prognostic signature</w:t>
      </w:r>
    </w:p>
    <w:p w14:paraId="0F7E8227" w14:textId="77777777" w:rsidR="005949C7" w:rsidRDefault="005949C7">
      <w:pPr>
        <w:spacing w:line="360" w:lineRule="auto"/>
        <w:jc w:val="both"/>
        <w:rPr>
          <w:rFonts w:ascii="Book Antiqua" w:hAnsi="Book Antiqua"/>
        </w:rPr>
      </w:pPr>
    </w:p>
    <w:p w14:paraId="0353D95B"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Zi-Zheng Wu, Yuan-Jun Wei, Tong Li, Jie Zheng, Yin-Feng Liu, Meng Han</w:t>
      </w:r>
    </w:p>
    <w:p w14:paraId="42C61A9A" w14:textId="77777777" w:rsidR="005949C7" w:rsidRDefault="005949C7">
      <w:pPr>
        <w:spacing w:line="360" w:lineRule="auto"/>
        <w:jc w:val="both"/>
        <w:rPr>
          <w:rFonts w:ascii="Book Antiqua" w:hAnsi="Book Antiqua"/>
        </w:rPr>
      </w:pPr>
    </w:p>
    <w:p w14:paraId="44F755AC" w14:textId="77777777" w:rsidR="005949C7" w:rsidRDefault="00000000">
      <w:pPr>
        <w:spacing w:line="360" w:lineRule="auto"/>
        <w:jc w:val="both"/>
        <w:rPr>
          <w:rFonts w:ascii="Book Antiqua" w:hAnsi="Book Antiqua"/>
        </w:rPr>
      </w:pPr>
      <w:r>
        <w:rPr>
          <w:rFonts w:ascii="Book Antiqua" w:eastAsia="Book Antiqua" w:hAnsi="Book Antiqua" w:cs="Book Antiqua"/>
          <w:b/>
          <w:bCs/>
          <w:color w:val="000000"/>
        </w:rPr>
        <w:t xml:space="preserve">Zi-Zheng Wu, Yuan-Jun Wei, Tong Li, Jie Zheng, Yin-Feng Liu, Meng Han, </w:t>
      </w:r>
      <w:r>
        <w:rPr>
          <w:rFonts w:ascii="Book Antiqua" w:eastAsia="Book Antiqua" w:hAnsi="Book Antiqua" w:cs="Book Antiqua"/>
          <w:color w:val="000000"/>
        </w:rPr>
        <w:t>Breast Disease Diagnosis and Treatment Center, The First Hospital of Qinhuangdao, Qinhuangdao 066000, Hebei Province, China</w:t>
      </w:r>
    </w:p>
    <w:p w14:paraId="5F9E7C27" w14:textId="77777777" w:rsidR="005949C7" w:rsidRDefault="005949C7">
      <w:pPr>
        <w:spacing w:line="360" w:lineRule="auto"/>
        <w:jc w:val="both"/>
        <w:rPr>
          <w:rFonts w:ascii="Book Antiqua" w:hAnsi="Book Antiqua"/>
        </w:rPr>
      </w:pPr>
    </w:p>
    <w:p w14:paraId="5E0DC7BF" w14:textId="77777777" w:rsidR="005949C7" w:rsidRDefault="00000000">
      <w:pPr>
        <w:spacing w:line="360" w:lineRule="auto"/>
        <w:jc w:val="both"/>
        <w:rPr>
          <w:rFonts w:ascii="Book Antiqua" w:hAnsi="Book Antiqua"/>
        </w:rPr>
      </w:pPr>
      <w:r>
        <w:rPr>
          <w:rFonts w:ascii="Book Antiqua" w:eastAsia="Book Antiqua" w:hAnsi="Book Antiqua" w:cs="Book Antiqua"/>
          <w:b/>
          <w:bCs/>
          <w:color w:val="000000"/>
        </w:rPr>
        <w:t xml:space="preserve">Yuan-Jun Wei, Meng Han, </w:t>
      </w:r>
      <w:r>
        <w:rPr>
          <w:rFonts w:ascii="Book Antiqua" w:eastAsia="Book Antiqua" w:hAnsi="Book Antiqua" w:cs="Book Antiqua"/>
          <w:color w:val="000000"/>
        </w:rPr>
        <w:t>Department of General Surgery, Hebei Medical University, Shijiazhuang 050000, Hebei Province, China</w:t>
      </w:r>
    </w:p>
    <w:p w14:paraId="51B4D396" w14:textId="77777777" w:rsidR="005949C7" w:rsidRDefault="005949C7">
      <w:pPr>
        <w:spacing w:line="360" w:lineRule="auto"/>
        <w:jc w:val="both"/>
        <w:rPr>
          <w:rFonts w:ascii="Book Antiqua" w:hAnsi="Book Antiqua"/>
        </w:rPr>
      </w:pPr>
    </w:p>
    <w:p w14:paraId="2125FC3C" w14:textId="77777777" w:rsidR="005949C7" w:rsidRDefault="00000000">
      <w:pPr>
        <w:spacing w:line="360" w:lineRule="auto"/>
        <w:jc w:val="both"/>
        <w:rPr>
          <w:rFonts w:ascii="Book Antiqua" w:hAnsi="Book Antiqua"/>
        </w:rPr>
      </w:pPr>
      <w:r>
        <w:rPr>
          <w:rFonts w:ascii="Book Antiqua" w:eastAsia="Book Antiqua" w:hAnsi="Book Antiqua" w:cs="Book Antiqua"/>
          <w:b/>
          <w:bCs/>
          <w:color w:val="000000"/>
        </w:rPr>
        <w:t xml:space="preserve">Yuan-Jun Wei, Meng Han, </w:t>
      </w:r>
      <w:r>
        <w:rPr>
          <w:rFonts w:ascii="Book Antiqua" w:eastAsia="Book Antiqua" w:hAnsi="Book Antiqua" w:cs="Book Antiqua"/>
          <w:color w:val="000000"/>
        </w:rPr>
        <w:t>Breast Disease Diagnosis and Treatment Center, The First Hospital of Qinhuangdao, Hebei Medical University, Qinhuangdao 066000, Hebei Province, China</w:t>
      </w:r>
    </w:p>
    <w:p w14:paraId="494A3C00" w14:textId="77777777" w:rsidR="005949C7" w:rsidRDefault="005949C7">
      <w:pPr>
        <w:spacing w:line="360" w:lineRule="auto"/>
        <w:jc w:val="both"/>
        <w:rPr>
          <w:rFonts w:ascii="Book Antiqua" w:hAnsi="Book Antiqua"/>
        </w:rPr>
      </w:pPr>
    </w:p>
    <w:p w14:paraId="3FEC9A4D" w14:textId="77777777" w:rsidR="005949C7" w:rsidRDefault="00000000">
      <w:pPr>
        <w:spacing w:line="360" w:lineRule="auto"/>
        <w:jc w:val="both"/>
        <w:rPr>
          <w:rFonts w:ascii="Book Antiqua" w:hAnsi="Book Antiqua"/>
        </w:rPr>
      </w:pPr>
      <w:r>
        <w:rPr>
          <w:rFonts w:ascii="Book Antiqua" w:eastAsia="Book Antiqua" w:hAnsi="Book Antiqua" w:cs="Book Antiqua"/>
          <w:b/>
          <w:bCs/>
          <w:color w:val="000000"/>
        </w:rPr>
        <w:t xml:space="preserve">Tong Li, </w:t>
      </w:r>
      <w:r>
        <w:rPr>
          <w:rFonts w:ascii="Book Antiqua" w:eastAsia="Book Antiqua" w:hAnsi="Book Antiqua" w:cs="Book Antiqua"/>
          <w:color w:val="000000"/>
        </w:rPr>
        <w:t>Breast Disease Diagnosis and Treatment Center, Chengde Medical College, Chengde 067000, Hebei Province, China</w:t>
      </w:r>
    </w:p>
    <w:p w14:paraId="72E84EB1" w14:textId="77777777" w:rsidR="005949C7" w:rsidRDefault="005949C7">
      <w:pPr>
        <w:spacing w:line="360" w:lineRule="auto"/>
        <w:jc w:val="both"/>
        <w:rPr>
          <w:rFonts w:ascii="Book Antiqua" w:hAnsi="Book Antiqua"/>
        </w:rPr>
      </w:pPr>
    </w:p>
    <w:p w14:paraId="551FCA85" w14:textId="77777777" w:rsidR="005949C7" w:rsidRDefault="00000000">
      <w:pPr>
        <w:spacing w:line="360" w:lineRule="auto"/>
        <w:jc w:val="both"/>
        <w:rPr>
          <w:rFonts w:ascii="Book Antiqua" w:hAnsi="Book Antiqua"/>
        </w:rPr>
      </w:pPr>
      <w:r>
        <w:rPr>
          <w:rFonts w:ascii="Book Antiqua" w:eastAsia="Book Antiqua" w:hAnsi="Book Antiqua" w:cs="Book Antiqua"/>
          <w:b/>
          <w:bCs/>
          <w:color w:val="000000"/>
        </w:rPr>
        <w:t xml:space="preserve">Co-first authors: </w:t>
      </w:r>
      <w:r>
        <w:rPr>
          <w:rFonts w:ascii="Book Antiqua" w:eastAsia="Book Antiqua" w:hAnsi="Book Antiqua" w:cs="Book Antiqua"/>
          <w:color w:val="000000"/>
        </w:rPr>
        <w:t>Zi-Zheng Wu and Yuan-</w:t>
      </w:r>
      <w:r>
        <w:rPr>
          <w:rFonts w:ascii="Book Antiqua" w:eastAsia="Book Antiqua" w:hAnsi="Book Antiqua" w:cs="Book Antiqua" w:hint="eastAsia"/>
          <w:color w:val="000000"/>
          <w:lang w:eastAsia="zh-CN"/>
        </w:rPr>
        <w:t>J</w:t>
      </w:r>
      <w:r>
        <w:rPr>
          <w:rFonts w:ascii="Book Antiqua" w:eastAsia="Book Antiqua" w:hAnsi="Book Antiqua" w:cs="Book Antiqua"/>
          <w:color w:val="000000"/>
        </w:rPr>
        <w:t>un Wei.</w:t>
      </w:r>
    </w:p>
    <w:p w14:paraId="3FA931A6" w14:textId="77777777" w:rsidR="005949C7" w:rsidRDefault="005949C7">
      <w:pPr>
        <w:spacing w:line="360" w:lineRule="auto"/>
        <w:jc w:val="both"/>
        <w:rPr>
          <w:rFonts w:ascii="Book Antiqua" w:hAnsi="Book Antiqua"/>
        </w:rPr>
      </w:pPr>
    </w:p>
    <w:p w14:paraId="58E28545" w14:textId="77777777" w:rsidR="005949C7" w:rsidRDefault="00000000">
      <w:pPr>
        <w:autoSpaceDE w:val="0"/>
        <w:autoSpaceDN w:val="0"/>
        <w:adjustRightInd w:val="0"/>
        <w:spacing w:line="480" w:lineRule="auto"/>
        <w:jc w:val="both"/>
        <w:rPr>
          <w:rFonts w:ascii="Book Antiqua" w:hAnsi="Book Antiqua"/>
        </w:rPr>
      </w:pPr>
      <w:r>
        <w:rPr>
          <w:rFonts w:ascii="Book Antiqua" w:eastAsia="Book Antiqua" w:hAnsi="Book Antiqua" w:cs="Book Antiqua"/>
          <w:b/>
          <w:bCs/>
          <w:color w:val="000000"/>
        </w:rPr>
        <w:lastRenderedPageBreak/>
        <w:t xml:space="preserve">Author contributions: </w:t>
      </w:r>
      <w:r>
        <w:rPr>
          <w:rFonts w:ascii="Book Antiqua" w:eastAsia="Book Antiqua" w:hAnsi="Book Antiqua" w:cs="Book Antiqua"/>
          <w:color w:val="000000"/>
        </w:rPr>
        <w:t>Han M conceived and designed the study and reviewed the manuscript; Wu ZZ, Wei YJ and Zheng J collected, arranged, and analyzed the data and wrote the manuscript; Li T, Liu YF designed and prepared the figures and tables; All authors reviewed and approved the final manuscript.</w:t>
      </w:r>
      <w:r>
        <w:rPr>
          <w:rFonts w:ascii="Book Antiqua" w:hAnsi="Book Antiqua"/>
        </w:rPr>
        <w:t xml:space="preserve"> The reasons for designating </w:t>
      </w:r>
      <w:r>
        <w:rPr>
          <w:rFonts w:ascii="Book Antiqua" w:eastAsia="Book Antiqua" w:hAnsi="Book Antiqua" w:cs="Book Antiqua"/>
          <w:color w:val="000000"/>
        </w:rPr>
        <w:t>Wu ZZ and Wei YJ</w:t>
      </w:r>
      <w:r>
        <w:rPr>
          <w:rFonts w:ascii="Book Antiqua" w:hAnsi="Book Antiqua"/>
        </w:rPr>
        <w:t xml:space="preserve"> as co-first authors are threefold. First, the research was performed as a collaborative effort, and the designation of co corresponding authorship accurately reflects the distribution of responsibilities and burdens associated with the time and effort required to complete the study and the resultant paper. This also ensures effective communication and management of post-submission matters, ultimately enhancing the paper's quality and reliability. Second, the overall research team encompassed authors with a variety of expertise and skills from different fields, and the designation of co-first authors best </w:t>
      </w:r>
      <w:proofErr w:type="gramStart"/>
      <w:r>
        <w:rPr>
          <w:rFonts w:ascii="Book Antiqua" w:hAnsi="Book Antiqua"/>
        </w:rPr>
        <w:t>reflects</w:t>
      </w:r>
      <w:proofErr w:type="gramEnd"/>
      <w:r>
        <w:rPr>
          <w:rFonts w:ascii="Book Antiqua" w:hAnsi="Book Antiqua"/>
        </w:rPr>
        <w:t xml:space="preserve"> this diversity. This also promotes the most comprehensive and in-depth examination of the research topic, ultimately enriching readers' understanding by offering various expert perspectives. Third, </w:t>
      </w:r>
      <w:r>
        <w:rPr>
          <w:rFonts w:ascii="Book Antiqua" w:eastAsia="Book Antiqua" w:hAnsi="Book Antiqua" w:cs="Book Antiqua"/>
          <w:color w:val="000000"/>
        </w:rPr>
        <w:t>Wu ZZ and Wei YJ</w:t>
      </w:r>
      <w:r>
        <w:rPr>
          <w:rFonts w:ascii="Book Antiqua" w:hAnsi="Book Antiqua"/>
        </w:rPr>
        <w:t xml:space="preserve"> contributed efforts of equal substance throughout the research process. The choice of these researchers as co-first authors </w:t>
      </w:r>
      <w:proofErr w:type="gramStart"/>
      <w:r>
        <w:rPr>
          <w:rFonts w:ascii="Book Antiqua" w:hAnsi="Book Antiqua"/>
        </w:rPr>
        <w:t>acknowledges</w:t>
      </w:r>
      <w:proofErr w:type="gramEnd"/>
      <w:r>
        <w:rPr>
          <w:rFonts w:ascii="Book Antiqua" w:hAnsi="Book Antiqua"/>
        </w:rPr>
        <w:t xml:space="preserve"> and respects this equal contribution, while recognizing the spirit of teamwork and collaboration of this study. In summary, we believe that designating </w:t>
      </w:r>
      <w:r>
        <w:rPr>
          <w:rFonts w:ascii="Book Antiqua" w:eastAsia="Book Antiqua" w:hAnsi="Book Antiqua" w:cs="Book Antiqua"/>
          <w:color w:val="000000"/>
        </w:rPr>
        <w:t>Wu ZZ and Wei YJ</w:t>
      </w:r>
      <w:r>
        <w:rPr>
          <w:rFonts w:ascii="Book Antiqua" w:hAnsi="Book Antiqua"/>
        </w:rPr>
        <w:t xml:space="preserve"> as co-first authors of </w:t>
      </w:r>
      <w:proofErr w:type="gramStart"/>
      <w:r>
        <w:rPr>
          <w:rFonts w:ascii="Book Antiqua" w:hAnsi="Book Antiqua"/>
        </w:rPr>
        <w:t>is</w:t>
      </w:r>
      <w:proofErr w:type="gramEnd"/>
      <w:r>
        <w:rPr>
          <w:rFonts w:ascii="Book Antiqua" w:hAnsi="Book Antiqua"/>
        </w:rPr>
        <w:t xml:space="preserve"> fitting for our manuscript as it accurately reflects our team's collaborative spirit, equal contributions, and diversity.</w:t>
      </w:r>
    </w:p>
    <w:p w14:paraId="051F8B5A" w14:textId="77777777" w:rsidR="005949C7" w:rsidRDefault="005949C7">
      <w:pPr>
        <w:spacing w:line="360" w:lineRule="auto"/>
        <w:jc w:val="both"/>
        <w:rPr>
          <w:rFonts w:ascii="Book Antiqua" w:hAnsi="Book Antiqua"/>
        </w:rPr>
      </w:pPr>
    </w:p>
    <w:p w14:paraId="2631A2A9" w14:textId="77777777" w:rsidR="005949C7" w:rsidRDefault="00000000">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Meng Han, MD, Director, </w:t>
      </w:r>
      <w:r>
        <w:rPr>
          <w:rFonts w:ascii="Book Antiqua" w:eastAsia="Book Antiqua" w:hAnsi="Book Antiqua" w:cs="Book Antiqua"/>
          <w:color w:val="000000"/>
        </w:rPr>
        <w:t>Breast Disease Diagnosis and Treatment Center, The First Hospital of Qinhuangdao, No. 258 Wenhua Road, Haigang District, Qinhuangdao 066000, Hebei Province, China. menghan68527@163.com</w:t>
      </w:r>
    </w:p>
    <w:p w14:paraId="5939F241" w14:textId="77777777" w:rsidR="005949C7" w:rsidRDefault="005949C7">
      <w:pPr>
        <w:spacing w:line="360" w:lineRule="auto"/>
        <w:jc w:val="both"/>
        <w:rPr>
          <w:rFonts w:ascii="Book Antiqua" w:hAnsi="Book Antiqua"/>
        </w:rPr>
      </w:pPr>
    </w:p>
    <w:p w14:paraId="1F0F7EAF" w14:textId="77777777" w:rsidR="005949C7"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December 1, 2023</w:t>
      </w:r>
    </w:p>
    <w:p w14:paraId="307BB599" w14:textId="77777777" w:rsidR="005949C7"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December 14, 2023</w:t>
      </w:r>
    </w:p>
    <w:p w14:paraId="14F28700" w14:textId="77777777" w:rsidR="005949C7" w:rsidRDefault="00000000">
      <w:pPr>
        <w:spacing w:line="360" w:lineRule="auto"/>
        <w:rPr>
          <w:rFonts w:ascii="Book Antiqua" w:hAnsi="Book Antiqua"/>
        </w:rPr>
      </w:pPr>
      <w:r>
        <w:rPr>
          <w:rFonts w:ascii="Book Antiqua" w:eastAsia="Book Antiqua" w:hAnsi="Book Antiqua" w:cs="Book Antiqua"/>
          <w:b/>
          <w:bCs/>
        </w:rPr>
        <w:t xml:space="preserve">Accepted: </w:t>
      </w:r>
      <w:bookmarkStart w:id="0" w:name="OLE_LINK2"/>
      <w:bookmarkStart w:id="1" w:name="OLE_LINK3"/>
      <w:bookmarkStart w:id="2" w:name="OLE_LINK4"/>
      <w:bookmarkStart w:id="3" w:name="OLE_LINK7910"/>
      <w:bookmarkStart w:id="4" w:name="OLE_LINK40"/>
      <w:bookmarkStart w:id="5" w:name="OLE_LINK57"/>
      <w:bookmarkStart w:id="6" w:name="OLE_LINK7836"/>
      <w:bookmarkStart w:id="7" w:name="OLE_LINK7799"/>
      <w:bookmarkStart w:id="8" w:name="OLE_LINK1227"/>
      <w:bookmarkStart w:id="9" w:name="OLE_LINK7706"/>
      <w:bookmarkStart w:id="10" w:name="OLE_LINK1224"/>
      <w:bookmarkStart w:id="11" w:name="OLE_LINK7119"/>
      <w:bookmarkStart w:id="12" w:name="OLE_LINK7623"/>
      <w:bookmarkStart w:id="13" w:name="OLE_LINK1322"/>
      <w:bookmarkStart w:id="14" w:name="OLE_LINK7295"/>
      <w:bookmarkStart w:id="15" w:name="OLE_LINK7234"/>
      <w:bookmarkStart w:id="16" w:name="OLE_LINK1262"/>
      <w:bookmarkStart w:id="17" w:name="OLE_LINK7896"/>
      <w:bookmarkStart w:id="18" w:name="OLE_LINK34"/>
      <w:bookmarkStart w:id="19" w:name="OLE_LINK7721"/>
      <w:bookmarkStart w:id="20" w:name="OLE_LINK7879"/>
      <w:bookmarkStart w:id="21" w:name="OLE_LINK7820"/>
      <w:bookmarkStart w:id="22" w:name="OLE_LINK7843"/>
      <w:bookmarkStart w:id="23" w:name="OLE_LINK7873"/>
      <w:bookmarkStart w:id="24" w:name="OLE_LINK7527"/>
      <w:bookmarkStart w:id="25" w:name="OLE_LINK7718"/>
      <w:bookmarkStart w:id="26" w:name="OLE_LINK7530"/>
      <w:bookmarkStart w:id="27" w:name="OLE_LINK7250"/>
      <w:bookmarkStart w:id="28" w:name="OLE_LINK60"/>
      <w:bookmarkStart w:id="29" w:name="OLE_LINK6812"/>
      <w:bookmarkStart w:id="30" w:name="OLE_LINK7126"/>
      <w:bookmarkStart w:id="31" w:name="OLE_LINK10"/>
      <w:bookmarkStart w:id="32" w:name="OLE_LINK20"/>
      <w:bookmarkStart w:id="33" w:name="OLE_LINK7167"/>
      <w:bookmarkStart w:id="34" w:name="OLE_LINK7608"/>
      <w:bookmarkStart w:id="35" w:name="OLE_LINK7711"/>
      <w:bookmarkStart w:id="36" w:name="OLE_LINK6816"/>
      <w:bookmarkStart w:id="37" w:name="OLE_LINK54"/>
      <w:bookmarkStart w:id="38" w:name="OLE_LINK1198"/>
      <w:bookmarkStart w:id="39" w:name="OLE_LINK6803"/>
      <w:bookmarkStart w:id="40" w:name="OLE_LINK7224"/>
      <w:bookmarkStart w:id="41" w:name="OLE_LINK7985"/>
      <w:bookmarkStart w:id="42" w:name="OLE_LINK7813"/>
      <w:bookmarkStart w:id="43" w:name="OLE_LINK7903"/>
      <w:bookmarkStart w:id="44" w:name="OLE_LINK7710"/>
      <w:bookmarkStart w:id="45" w:name="OLE_LINK14"/>
      <w:bookmarkStart w:id="46" w:name="OLE_LINK7838"/>
      <w:bookmarkStart w:id="47" w:name="OLE_LINK7897"/>
      <w:bookmarkStart w:id="48" w:name="OLE_LINK7738"/>
      <w:bookmarkStart w:id="49" w:name="OLE_LINK7977"/>
      <w:bookmarkStart w:id="50" w:name="OLE_LINK1223"/>
      <w:bookmarkStart w:id="51" w:name="OLE_LINK75"/>
      <w:bookmarkStart w:id="52" w:name="OLE_LINK29"/>
      <w:bookmarkStart w:id="53" w:name="OLE_LINK1218"/>
      <w:bookmarkStart w:id="54" w:name="OLE_LINK41"/>
      <w:bookmarkStart w:id="55" w:name="OLE_LINK11"/>
      <w:bookmarkStart w:id="56" w:name="OLE_LINK7734"/>
      <w:bookmarkStart w:id="57" w:name="OLE_LINK46"/>
      <w:bookmarkStart w:id="58" w:name="OLE_LINK7513"/>
      <w:bookmarkStart w:id="59" w:name="OLE_LINK7983"/>
      <w:bookmarkStart w:id="60" w:name="OLE_LINK6834"/>
      <w:bookmarkStart w:id="61" w:name="OLE_LINK1273"/>
      <w:bookmarkStart w:id="62" w:name="OLE_LINK7984"/>
      <w:bookmarkStart w:id="63" w:name="OLE_LINK1"/>
      <w:bookmarkStart w:id="64" w:name="OLE_LINK7130"/>
      <w:bookmarkStart w:id="65" w:name="OLE_LINK1222"/>
      <w:bookmarkStart w:id="66" w:name="OLE_LINK17"/>
      <w:bookmarkStart w:id="67" w:name="OLE_LINK6827"/>
      <w:bookmarkStart w:id="68" w:name="OLE_LINK49"/>
      <w:bookmarkStart w:id="69" w:name="OLE_LINK7125"/>
      <w:bookmarkStart w:id="70" w:name="OLE_LINK7268"/>
      <w:bookmarkStart w:id="71" w:name="OLE_LINK1242"/>
      <w:bookmarkStart w:id="72" w:name="OLE_LINK7846"/>
      <w:bookmarkStart w:id="73" w:name="OLE_LINK7550"/>
      <w:bookmarkStart w:id="74" w:name="OLE_LINK7243"/>
      <w:bookmarkStart w:id="75" w:name="OLE_LINK37"/>
      <w:bookmarkStart w:id="76" w:name="OLE_LINK7894"/>
      <w:bookmarkStart w:id="77" w:name="OLE_LINK7122"/>
      <w:bookmarkStart w:id="78" w:name="OLE_LINK174"/>
      <w:bookmarkStart w:id="79" w:name="OLE_LINK7235"/>
      <w:bookmarkStart w:id="80" w:name="OLE_LINK7228"/>
      <w:bookmarkStart w:id="81" w:name="OLE_LINK7722"/>
      <w:bookmarkStart w:id="82" w:name="OLE_LINK7522"/>
      <w:bookmarkStart w:id="83" w:name="OLE_LINK7215"/>
      <w:bookmarkStart w:id="84" w:name="OLE_LINK7559"/>
      <w:bookmarkStart w:id="85" w:name="OLE_LINK7547"/>
      <w:bookmarkStart w:id="86" w:name="OLE_LINK1246"/>
      <w:bookmarkStart w:id="87" w:name="OLE_LINK7611"/>
      <w:bookmarkStart w:id="88" w:name="OLE_LINK1312"/>
      <w:bookmarkStart w:id="89" w:name="OLE_LINK7140"/>
      <w:bookmarkStart w:id="90" w:name="OLE_LINK7682"/>
      <w:bookmarkStart w:id="91" w:name="OLE_LINK7241"/>
      <w:bookmarkStart w:id="92" w:name="OLE_LINK7240"/>
      <w:bookmarkStart w:id="93" w:name="OLE_LINK1199"/>
      <w:bookmarkStart w:id="94" w:name="OLE_LINK7515"/>
      <w:bookmarkStart w:id="95" w:name="OLE_LINK1231"/>
      <w:bookmarkStart w:id="96" w:name="OLE_LINK7"/>
      <w:bookmarkStart w:id="97" w:name="OLE_LINK7237"/>
      <w:bookmarkStart w:id="98" w:name="OLE_LINK7127"/>
      <w:bookmarkStart w:id="99" w:name="OLE_LINK7555"/>
      <w:bookmarkStart w:id="100" w:name="OLE_LINK7670"/>
      <w:bookmarkStart w:id="101" w:name="OLE_LINK82"/>
      <w:bookmarkStart w:id="102" w:name="OLE_LINK6830"/>
      <w:bookmarkStart w:id="103" w:name="OLE_LINK1319"/>
      <w:bookmarkStart w:id="104" w:name="OLE_LINK7116"/>
      <w:bookmarkStart w:id="105" w:name="OLE_LINK15"/>
      <w:bookmarkStart w:id="106" w:name="OLE_LINK7274"/>
      <w:bookmarkStart w:id="107" w:name="OLE_LINK6798"/>
      <w:bookmarkStart w:id="108" w:name="OLE_LINK7133"/>
      <w:bookmarkStart w:id="109" w:name="OLE_LINK7236"/>
      <w:bookmarkStart w:id="110" w:name="OLE_LINK7979"/>
      <w:bookmarkStart w:id="111" w:name="OLE_LINK1276"/>
      <w:bookmarkStart w:id="112" w:name="OLE_LINK7641"/>
      <w:bookmarkStart w:id="113" w:name="OLE_LINK1352"/>
      <w:bookmarkStart w:id="114" w:name="OLE_LINK7259"/>
      <w:bookmarkStart w:id="115" w:name="OLE_LINK7618"/>
      <w:bookmarkStart w:id="116" w:name="OLE_LINK7695"/>
      <w:bookmarkStart w:id="117" w:name="OLE_LINK220"/>
      <w:bookmarkStart w:id="118" w:name="OLE_LINK7605"/>
      <w:bookmarkStart w:id="119" w:name="OLE_LINK7301"/>
      <w:bookmarkStart w:id="120" w:name="OLE_LINK1299"/>
      <w:bookmarkStart w:id="121" w:name="OLE_LINK1334"/>
      <w:bookmarkStart w:id="122" w:name="OLE_LINK7630"/>
      <w:bookmarkStart w:id="123" w:name="OLE_LINK7173"/>
      <w:bookmarkStart w:id="124" w:name="OLE_LINK1301"/>
      <w:bookmarkStart w:id="125" w:name="OLE_LINK7244"/>
      <w:bookmarkStart w:id="126" w:name="OLE_LINK7583"/>
      <w:bookmarkStart w:id="127" w:name="OLE_LINK7654"/>
      <w:bookmarkStart w:id="128" w:name="OLE_LINK7229"/>
      <w:bookmarkStart w:id="129" w:name="OLE_LINK7665"/>
      <w:bookmarkStart w:id="130" w:name="OLE_LINK1244"/>
      <w:bookmarkStart w:id="131" w:name="OLE_LINK7735"/>
      <w:bookmarkStart w:id="132" w:name="OLE_LINK1256"/>
      <w:bookmarkStart w:id="133" w:name="OLE_LINK7666"/>
      <w:bookmarkStart w:id="134" w:name="OLE_LINK1303"/>
      <w:bookmarkStart w:id="135" w:name="OLE_LINK1346"/>
      <w:bookmarkStart w:id="136" w:name="OLE_LINK1307"/>
      <w:bookmarkStart w:id="137" w:name="OLE_LINK7602"/>
      <w:bookmarkStart w:id="138" w:name="OLE_LINK1291"/>
      <w:bookmarkStart w:id="139" w:name="OLE_LINK1311"/>
      <w:bookmarkStart w:id="140" w:name="OLE_LINK12"/>
      <w:bookmarkStart w:id="141" w:name="OLE_LINK1305"/>
      <w:bookmarkStart w:id="142" w:name="OLE_LINK7681"/>
      <w:bookmarkStart w:id="143" w:name="OLE_LINK7649"/>
      <w:bookmarkStart w:id="144" w:name="OLE_LINK7141"/>
      <w:bookmarkStart w:id="145" w:name="OLE_LINK7616"/>
      <w:bookmarkStart w:id="146" w:name="OLE_LINK36"/>
      <w:bookmarkStart w:id="147" w:name="OLE_LINK7587"/>
      <w:bookmarkStart w:id="148" w:name="OLE_LINK7578"/>
      <w:bookmarkStart w:id="149" w:name="OLE_LINK7684"/>
      <w:bookmarkStart w:id="150" w:name="OLE_LINK7213"/>
      <w:bookmarkStart w:id="151" w:name="OLE_LINK1297"/>
      <w:bookmarkStart w:id="152" w:name="OLE_LINK87"/>
      <w:bookmarkStart w:id="153" w:name="OLE_LINK78"/>
      <w:bookmarkStart w:id="154" w:name="OLE_LINK1219"/>
      <w:bookmarkStart w:id="155" w:name="OLE_LINK7675"/>
      <w:bookmarkStart w:id="156" w:name="OLE_LINK7736"/>
      <w:bookmarkStart w:id="157" w:name="OLE_LINK7703"/>
      <w:bookmarkStart w:id="158" w:name="OLE_LINK7737"/>
      <w:bookmarkStart w:id="159" w:name="OLE_LINK7279"/>
      <w:bookmarkStart w:id="160" w:name="OLE_LINK7300"/>
      <w:bookmarkStart w:id="161" w:name="OLE_LINK1220"/>
      <w:bookmarkStart w:id="162" w:name="OLE_LINK7867"/>
      <w:bookmarkStart w:id="163" w:name="OLE_LINK1232"/>
      <w:bookmarkStart w:id="164" w:name="OLE_LINK7568"/>
      <w:bookmarkStart w:id="165" w:name="OLE_LINK7574"/>
      <w:bookmarkStart w:id="166" w:name="OLE_LINK7253"/>
      <w:bookmarkStart w:id="167" w:name="OLE_LINK7571"/>
      <w:bookmarkStart w:id="168" w:name="OLE_LINK1282"/>
      <w:bookmarkStart w:id="169" w:name="OLE_LINK1269"/>
      <w:bookmarkStart w:id="170" w:name="OLE_LINK1225"/>
      <w:bookmarkStart w:id="171" w:name="OLE_LINK7606"/>
      <w:bookmarkStart w:id="172" w:name="OLE_LINK7690"/>
      <w:bookmarkStart w:id="173" w:name="OLE_LINK1295"/>
      <w:bookmarkStart w:id="174" w:name="OLE_LINK7633"/>
      <w:bookmarkStart w:id="175" w:name="OLE_LINK7153"/>
      <w:bookmarkStart w:id="176" w:name="OLE_LINK7620"/>
      <w:bookmarkStart w:id="177" w:name="OLE_LINK7712"/>
      <w:bookmarkStart w:id="178" w:name="OLE_LINK7212"/>
      <w:bookmarkStart w:id="179" w:name="OLE_LINK7629"/>
      <w:bookmarkStart w:id="180" w:name="OLE_LINK1327"/>
      <w:bookmarkStart w:id="181" w:name="OLE_LINK7628"/>
      <w:bookmarkStart w:id="182" w:name="OLE_LINK7635"/>
      <w:bookmarkStart w:id="183" w:name="OLE_LINK7617"/>
      <w:bookmarkStart w:id="184" w:name="OLE_LINK1283"/>
      <w:bookmarkStart w:id="185" w:name="OLE_LINK61"/>
      <w:bookmarkStart w:id="186" w:name="OLE_LINK1272"/>
      <w:bookmarkStart w:id="187" w:name="OLE_LINK1340"/>
      <w:bookmarkStart w:id="188" w:name="OLE_LINK7837"/>
      <w:bookmarkStart w:id="189" w:name="OLE_LINK7625"/>
      <w:bookmarkStart w:id="190" w:name="OLE_LINK7223"/>
      <w:bookmarkStart w:id="191" w:name="OLE_LINK203"/>
      <w:bookmarkStart w:id="192" w:name="OLE_LINK7882"/>
      <w:bookmarkStart w:id="193" w:name="OLE_LINK7302"/>
      <w:bookmarkStart w:id="194" w:name="OLE_LINK7214"/>
      <w:bookmarkStart w:id="195" w:name="OLE_LINK233"/>
      <w:bookmarkStart w:id="196" w:name="OLE_LINK1241"/>
      <w:bookmarkStart w:id="197" w:name="OLE_LINK7145"/>
      <w:bookmarkStart w:id="198" w:name="OLE_LINK7699"/>
      <w:bookmarkStart w:id="199" w:name="OLE_LINK51"/>
      <w:bookmarkStart w:id="200" w:name="OLE_LINK7652"/>
      <w:bookmarkStart w:id="201" w:name="OLE_LINK7150"/>
      <w:bookmarkStart w:id="202" w:name="OLE_LINK192"/>
      <w:bookmarkStart w:id="203" w:name="OLE_LINK7569"/>
      <w:bookmarkStart w:id="204" w:name="OLE_LINK7687"/>
      <w:bookmarkStart w:id="205" w:name="OLE_LINK7730"/>
      <w:bookmarkStart w:id="206" w:name="OLE_LINK1310"/>
      <w:bookmarkStart w:id="207" w:name="OLE_LINK1267"/>
      <w:bookmarkStart w:id="208" w:name="OLE_LINK219"/>
      <w:bookmarkStart w:id="209" w:name="OLE_LINK7158"/>
      <w:bookmarkStart w:id="210" w:name="OLE_LINK66"/>
      <w:bookmarkStart w:id="211" w:name="OLE_LINK1290"/>
      <w:bookmarkStart w:id="212" w:name="OLE_LINK7264"/>
      <w:bookmarkStart w:id="213" w:name="OLE_LINK1236"/>
      <w:bookmarkStart w:id="214" w:name="OLE_LINK7610"/>
      <w:bookmarkStart w:id="215" w:name="OLE_LINK7288"/>
      <w:bookmarkStart w:id="216" w:name="OLE_LINK7577"/>
      <w:bookmarkStart w:id="217" w:name="OLE_LINK1292"/>
      <w:bookmarkStart w:id="218" w:name="OLE_LINK7639"/>
      <w:bookmarkStart w:id="219" w:name="OLE_LINK7308"/>
      <w:bookmarkStart w:id="220" w:name="OLE_LINK184"/>
      <w:bookmarkStart w:id="221" w:name="OLE_LINK1237"/>
      <w:bookmarkStart w:id="222" w:name="OLE_LINK7688"/>
      <w:bookmarkStart w:id="223" w:name="OLE_LINK200"/>
      <w:bookmarkStart w:id="224" w:name="OLE_LINK7796"/>
      <w:bookmarkStart w:id="225" w:name="OLE_LINK241"/>
      <w:bookmarkStart w:id="226" w:name="OLE_LINK1251"/>
      <w:bookmarkStart w:id="227" w:name="OLE_LINK72"/>
      <w:bookmarkStart w:id="228" w:name="OLE_LINK7290"/>
      <w:bookmarkStart w:id="229" w:name="OLE_LINK7885"/>
      <w:bookmarkStart w:id="230" w:name="OLE_LINK6"/>
      <w:bookmarkStart w:id="231" w:name="OLE_LINK1286"/>
      <w:bookmarkStart w:id="232" w:name="OLE_LINK7305"/>
      <w:bookmarkStart w:id="233" w:name="OLE_LINK7644"/>
      <w:bookmarkStart w:id="234" w:name="OLE_LINK1342"/>
      <w:bookmarkStart w:id="235" w:name="OLE_LINK208"/>
      <w:bookmarkStart w:id="236" w:name="OLE_LINK226"/>
      <w:bookmarkStart w:id="237" w:name="OLE_LINK1247"/>
      <w:bookmarkStart w:id="238" w:name="OLE_LINK1324"/>
      <w:bookmarkStart w:id="239" w:name="OLE_LINK65"/>
      <w:bookmarkStart w:id="240" w:name="OLE_LINK74"/>
      <w:bookmarkStart w:id="241" w:name="OLE_LINK1318"/>
      <w:bookmarkStart w:id="242" w:name="OLE_LINK7691"/>
      <w:bookmarkStart w:id="243" w:name="OLE_LINK7895"/>
      <w:bookmarkStart w:id="244" w:name="OLE_LINK7839"/>
      <w:bookmarkStart w:id="245" w:name="OLE_LINK7650"/>
      <w:bookmarkStart w:id="246" w:name="OLE_LINK1261"/>
      <w:bookmarkStart w:id="247" w:name="OLE_LINK1233"/>
      <w:bookmarkStart w:id="248" w:name="OLE_LINK26"/>
      <w:bookmarkStart w:id="249" w:name="OLE_LINK30"/>
      <w:bookmarkStart w:id="250" w:name="OLE_LINK1255"/>
      <w:bookmarkStart w:id="251" w:name="OLE_LINK7597"/>
      <w:bookmarkStart w:id="252" w:name="OLE_LINK7561"/>
      <w:bookmarkStart w:id="253" w:name="OLE_LINK7709"/>
      <w:bookmarkStart w:id="254" w:name="OLE_LINK216"/>
      <w:bookmarkStart w:id="255" w:name="OLE_LINK108"/>
      <w:bookmarkStart w:id="256" w:name="OLE_LINK187"/>
      <w:bookmarkStart w:id="257" w:name="OLE_LINK100"/>
      <w:bookmarkStart w:id="258" w:name="OLE_LINK1250"/>
      <w:bookmarkStart w:id="259" w:name="OLE_LINK7809"/>
      <w:bookmarkStart w:id="260" w:name="OLE_LINK236"/>
      <w:bookmarkStart w:id="261" w:name="OLE_LINK1325"/>
      <w:bookmarkStart w:id="262" w:name="OLE_LINK21"/>
      <w:bookmarkStart w:id="263" w:name="OLE_LINK42"/>
      <w:bookmarkStart w:id="264" w:name="OLE_LINK197"/>
      <w:bookmarkStart w:id="265" w:name="OLE_LINK177"/>
      <w:bookmarkStart w:id="266" w:name="OLE_LINK1315"/>
      <w:bookmarkStart w:id="267" w:name="OLE_LINK19"/>
      <w:bookmarkStart w:id="268" w:name="OLE_LINK23"/>
      <w:bookmarkStart w:id="269" w:name="OLE_LINK1326"/>
      <w:bookmarkStart w:id="270" w:name="OLE_LINK7876"/>
      <w:bookmarkStart w:id="271" w:name="OLE_LINK103"/>
      <w:bookmarkStart w:id="272" w:name="OLE_LINK84"/>
      <w:bookmarkStart w:id="273" w:name="OLE_LINK229"/>
      <w:bookmarkStart w:id="274" w:name="OLE_LINK7655"/>
      <w:r>
        <w:rPr>
          <w:rFonts w:ascii="Book Antiqua" w:hAnsi="Book Antiqua"/>
        </w:rPr>
        <w:t>January 3,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3731CB5D" w14:textId="77777777" w:rsidR="005949C7" w:rsidRDefault="00000000">
      <w:pPr>
        <w:spacing w:line="360" w:lineRule="auto"/>
        <w:jc w:val="both"/>
        <w:rPr>
          <w:rFonts w:ascii="Book Antiqua" w:eastAsia="宋体" w:hAnsi="Book Antiqua"/>
          <w:lang w:eastAsia="zh-CN"/>
        </w:rPr>
      </w:pPr>
      <w:r>
        <w:rPr>
          <w:rFonts w:ascii="Book Antiqua" w:eastAsia="Book Antiqua" w:hAnsi="Book Antiqua" w:cs="Book Antiqua"/>
          <w:b/>
          <w:bCs/>
        </w:rPr>
        <w:t xml:space="preserve">Published online: </w:t>
      </w:r>
      <w:r>
        <w:rPr>
          <w:rFonts w:ascii="Book Antiqua" w:eastAsia="Book Antiqua" w:hAnsi="Book Antiqua" w:cs="Book Antiqua" w:hint="eastAsia"/>
        </w:rPr>
        <w:t>February</w:t>
      </w:r>
      <w:r>
        <w:rPr>
          <w:rFonts w:ascii="Book Antiqua" w:eastAsia="宋体" w:hAnsi="Book Antiqua" w:cs="Book Antiqua" w:hint="eastAsia"/>
          <w:lang w:eastAsia="zh-CN"/>
        </w:rPr>
        <w:t xml:space="preserve"> 6, 2024</w:t>
      </w:r>
    </w:p>
    <w:p w14:paraId="0C5389C0" w14:textId="77777777" w:rsidR="005949C7" w:rsidRDefault="005949C7">
      <w:pPr>
        <w:spacing w:line="360" w:lineRule="auto"/>
        <w:jc w:val="both"/>
        <w:rPr>
          <w:rFonts w:ascii="Book Antiqua" w:hAnsi="Book Antiqua"/>
        </w:rPr>
        <w:sectPr w:rsidR="005949C7" w:rsidSect="00F743F0">
          <w:footerReference w:type="default" r:id="rId6"/>
          <w:pgSz w:w="12240" w:h="15840"/>
          <w:pgMar w:top="1440" w:right="1440" w:bottom="1440" w:left="1440" w:header="720" w:footer="720" w:gutter="0"/>
          <w:cols w:space="720"/>
          <w:docGrid w:linePitch="360"/>
        </w:sectPr>
      </w:pPr>
    </w:p>
    <w:p w14:paraId="7BD851DB" w14:textId="77777777" w:rsidR="005949C7"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34C926DC"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23E499C5"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Breast cancer (BC), a leading malignant disease, affects women all over the world. Cancer associated fibroblasts (CAFs) stimulate epithelial-mesenchymal transition, and induce chemoresistance and immunosuppression. </w:t>
      </w:r>
    </w:p>
    <w:p w14:paraId="13EBD7DC" w14:textId="77777777" w:rsidR="005949C7" w:rsidRDefault="005949C7">
      <w:pPr>
        <w:spacing w:line="360" w:lineRule="auto"/>
        <w:jc w:val="both"/>
        <w:rPr>
          <w:rFonts w:ascii="Book Antiqua" w:hAnsi="Book Antiqua"/>
        </w:rPr>
      </w:pPr>
    </w:p>
    <w:p w14:paraId="59C4DCBA"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AIM</w:t>
      </w:r>
    </w:p>
    <w:p w14:paraId="7054A22F"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To establish a CAFs-associated prognostic signature to improve BC patient outcome estimation. </w:t>
      </w:r>
    </w:p>
    <w:p w14:paraId="79DEE460" w14:textId="77777777" w:rsidR="005949C7" w:rsidRDefault="005949C7">
      <w:pPr>
        <w:spacing w:line="360" w:lineRule="auto"/>
        <w:jc w:val="both"/>
        <w:rPr>
          <w:rFonts w:ascii="Book Antiqua" w:hAnsi="Book Antiqua"/>
        </w:rPr>
      </w:pPr>
    </w:p>
    <w:p w14:paraId="76EC2817"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METHODS</w:t>
      </w:r>
    </w:p>
    <w:p w14:paraId="5CCAE5E0"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We retrieved the transcript profile and clinical data of 1072 BC samples from The Cancer Genome Atlas (TCGA) databases, and 3661 BC samples from the The Gene Expression Omnibus. CAFs and immune cell infiltrations were quantified using CIBERSORT algorithm. CAF-associated gene identification was done by </w:t>
      </w:r>
      <w:r>
        <w:rPr>
          <w:rFonts w:ascii="Book Antiqua" w:eastAsia="Book Antiqua" w:hAnsi="Book Antiqua" w:cs="Book Antiqua"/>
          <w:color w:val="000000"/>
        </w:rPr>
        <w:t>weighted gene co-expression network analysis</w:t>
      </w:r>
      <w:r>
        <w:rPr>
          <w:rFonts w:ascii="Book Antiqua" w:eastAsia="Book Antiqua" w:hAnsi="Book Antiqua" w:cs="Book Antiqua"/>
        </w:rPr>
        <w:t xml:space="preserve">. A CAF risk signature was established </w:t>
      </w:r>
      <w:r>
        <w:rPr>
          <w:rFonts w:ascii="Book Antiqua" w:eastAsia="Book Antiqua" w:hAnsi="Book Antiqua" w:cs="Book Antiqua"/>
          <w:i/>
          <w:iCs/>
        </w:rPr>
        <w:t>via</w:t>
      </w:r>
      <w:r>
        <w:rPr>
          <w:rFonts w:ascii="Book Antiqua" w:eastAsia="Book Antiqua" w:hAnsi="Book Antiqua" w:cs="Book Antiqua"/>
        </w:rPr>
        <w:t xml:space="preserve"> univariate, least absolute shrinkage and selection operator regression, and multivariate Cox regression analyses. The receiver operating characteristic (ROC) and Kaplan-Meier curves were employed to evaluate the predictability of the model. Subsequently, a nomogram was developed with the risk score and patient clinical signature. Using Spearman's correlations analysis, the relationship between CAF risk score and gene set enrichment scores were examined. Patient samples were collected to validate gene expression by quantitative real-time polymerase chain reaction (qRT-PCR).</w:t>
      </w:r>
    </w:p>
    <w:p w14:paraId="6EE1B563" w14:textId="77777777" w:rsidR="005949C7" w:rsidRDefault="005949C7">
      <w:pPr>
        <w:spacing w:line="360" w:lineRule="auto"/>
        <w:jc w:val="both"/>
        <w:rPr>
          <w:rFonts w:ascii="Book Antiqua" w:hAnsi="Book Antiqua"/>
        </w:rPr>
      </w:pPr>
    </w:p>
    <w:p w14:paraId="63F89032"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RESULTS</w:t>
      </w:r>
    </w:p>
    <w:p w14:paraId="51C0CA78"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Employing an 8-gene (IL18, MYD88, GLIPR1, TNN, BHLHE41, DNAJB5, FKBP14, and XG) signature, we attempted to estimate BC patient prognosis. Based on our analysis, high-risk patients exhibited worse outcomes than low-risk patients. Multivariate analysis revealed the risk score as an independent indicator of BC patient prognosis. </w:t>
      </w:r>
      <w:r>
        <w:rPr>
          <w:rFonts w:ascii="Book Antiqua" w:eastAsia="Book Antiqua" w:hAnsi="Book Antiqua" w:cs="Book Antiqua"/>
        </w:rPr>
        <w:lastRenderedPageBreak/>
        <w:t xml:space="preserve">ROC analysis exhibited satisfactory nomogram predictability. The area under the curve showed 0.805 at 3 years, and 0.801 at 5 years in the TCGA cohort. We also demonstrated that a reduced CAF risk score was strongly associated with enhanced chemotherapeutic outcomes. CAF risk score was significantly correlated with most hallmark gene sets. Finally, the prognostic signature </w:t>
      </w:r>
      <w:proofErr w:type="gramStart"/>
      <w:r>
        <w:rPr>
          <w:rFonts w:ascii="Book Antiqua" w:eastAsia="Book Antiqua" w:hAnsi="Book Antiqua" w:cs="Book Antiqua"/>
        </w:rPr>
        <w:t>were</w:t>
      </w:r>
      <w:proofErr w:type="gramEnd"/>
      <w:r>
        <w:rPr>
          <w:rFonts w:ascii="Book Antiqua" w:eastAsia="Book Antiqua" w:hAnsi="Book Antiqua" w:cs="Book Antiqua"/>
        </w:rPr>
        <w:t xml:space="preserve"> further validated by qRT-PCR.</w:t>
      </w:r>
    </w:p>
    <w:p w14:paraId="6C24448B" w14:textId="77777777" w:rsidR="005949C7" w:rsidRDefault="005949C7">
      <w:pPr>
        <w:spacing w:line="360" w:lineRule="auto"/>
        <w:jc w:val="both"/>
        <w:rPr>
          <w:rFonts w:ascii="Book Antiqua" w:hAnsi="Book Antiqua"/>
        </w:rPr>
      </w:pPr>
    </w:p>
    <w:p w14:paraId="4666785D"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642468F7"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We introduced a newly-discovered CAFs-associated gene signature, which can be employed to estimate BC patient outcomes conveniently and accurately.</w:t>
      </w:r>
    </w:p>
    <w:p w14:paraId="63DBBC1F" w14:textId="77777777" w:rsidR="005949C7" w:rsidRDefault="005949C7">
      <w:pPr>
        <w:spacing w:line="360" w:lineRule="auto"/>
        <w:jc w:val="both"/>
        <w:rPr>
          <w:rFonts w:ascii="Book Antiqua" w:hAnsi="Book Antiqua"/>
        </w:rPr>
      </w:pPr>
    </w:p>
    <w:p w14:paraId="7FCCDCC8" w14:textId="77777777" w:rsidR="005949C7"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Breast cancer; Prognosis; Gene signature; The Cancer Genome Atlas; The Gene Expression Omnibus</w:t>
      </w:r>
    </w:p>
    <w:p w14:paraId="374B66B9" w14:textId="77777777" w:rsidR="004247AA" w:rsidRPr="006D4EDA" w:rsidRDefault="004247AA" w:rsidP="004247AA">
      <w:pPr>
        <w:spacing w:line="360" w:lineRule="auto"/>
        <w:rPr>
          <w:rFonts w:ascii="Book Antiqua" w:eastAsia="Book Antiqua" w:hAnsi="Book Antiqua" w:cs="Book Antiqua"/>
        </w:rPr>
      </w:pPr>
    </w:p>
    <w:p w14:paraId="62B09F8C" w14:textId="77777777" w:rsidR="004247AA" w:rsidRPr="006D4EDA" w:rsidRDefault="004247AA" w:rsidP="004247AA">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Pr>
          <w:rFonts w:ascii="Book Antiqua" w:hAnsi="Book Antiqua" w:cs="Book Antiqua"/>
          <w:b/>
          <w:color w:val="000000"/>
        </w:rPr>
        <w:t>4</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2CE59D9F" w14:textId="77777777" w:rsidR="004247AA" w:rsidRPr="006D4EDA" w:rsidRDefault="004247AA" w:rsidP="004247AA">
      <w:pPr>
        <w:spacing w:line="360" w:lineRule="auto"/>
        <w:rPr>
          <w:rFonts w:ascii="Book Antiqua" w:eastAsia="Book Antiqua" w:hAnsi="Book Antiqua" w:cs="Book Antiqua"/>
        </w:rPr>
      </w:pPr>
    </w:p>
    <w:p w14:paraId="409B3887" w14:textId="5434B214" w:rsidR="004247AA" w:rsidRDefault="004247AA" w:rsidP="004247AA">
      <w:pPr>
        <w:spacing w:line="360" w:lineRule="auto"/>
        <w:jc w:val="both"/>
        <w:rPr>
          <w:rFonts w:ascii="Book Antiqua" w:eastAsia="Book Antiqua" w:hAnsi="Book Antiqua" w:cs="Book Antiqua"/>
        </w:rPr>
      </w:pPr>
      <w:r w:rsidRPr="00EA465F">
        <w:rPr>
          <w:rFonts w:ascii="Book Antiqua" w:eastAsia="Book Antiqua" w:hAnsi="Book Antiqua" w:cs="Book Antiqua"/>
          <w:b/>
          <w:bCs/>
        </w:rPr>
        <w:t>Citation</w:t>
      </w:r>
      <w:r w:rsidRPr="00EA465F">
        <w:rPr>
          <w:rFonts w:ascii="Book Antiqua" w:eastAsia="Book Antiqua" w:hAnsi="Book Antiqua" w:cs="Book Antiqua"/>
        </w:rPr>
        <w:t xml:space="preserve">: </w:t>
      </w:r>
      <w:r>
        <w:rPr>
          <w:rFonts w:ascii="Book Antiqua" w:eastAsia="Book Antiqua" w:hAnsi="Book Antiqua" w:cs="Book Antiqua"/>
          <w:color w:val="000000"/>
        </w:rPr>
        <w:t>Wu</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ZZ, Wei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YJ</w:t>
      </w:r>
      <w:r>
        <w:rPr>
          <w:rFonts w:ascii="Book Antiqua" w:eastAsia="Book Antiqua" w:hAnsi="Book Antiqua" w:cs="Book Antiqua"/>
        </w:rPr>
        <w:t xml:space="preserve">, Li T, Zheng J, Liu YF, Han M. Identification and validation of a new prognostic signature based on cancer-associated fibroblast-driven genes in breast cancer. </w:t>
      </w:r>
      <w:r>
        <w:rPr>
          <w:rFonts w:ascii="Book Antiqua" w:eastAsia="Book Antiqua" w:hAnsi="Book Antiqua" w:cs="Book Antiqua"/>
          <w:i/>
          <w:iCs/>
        </w:rPr>
        <w:t>World J Clin Cases</w:t>
      </w:r>
      <w:r>
        <w:rPr>
          <w:rFonts w:ascii="Book Antiqua" w:eastAsia="Book Antiqua" w:hAnsi="Book Antiqua" w:cs="Book Antiqua"/>
        </w:rPr>
        <w:t xml:space="preserve"> 2024; </w:t>
      </w:r>
      <w:r w:rsidRPr="00A41AB9">
        <w:rPr>
          <w:rFonts w:ascii="Book Antiqua" w:eastAsia="Book Antiqua" w:hAnsi="Book Antiqua" w:cs="Book Antiqua"/>
        </w:rPr>
        <w:t xml:space="preserve">12(4): </w:t>
      </w:r>
      <w:r w:rsidRPr="00075D9A">
        <w:rPr>
          <w:rFonts w:ascii="Book Antiqua" w:eastAsia="等线" w:hAnsi="Book Antiqua"/>
          <w:color w:val="000000"/>
        </w:rPr>
        <w:t>700-720</w:t>
      </w:r>
    </w:p>
    <w:p w14:paraId="1DD46252" w14:textId="28B04B6A" w:rsidR="004247AA" w:rsidRDefault="004247AA" w:rsidP="004247AA">
      <w:pPr>
        <w:spacing w:line="360" w:lineRule="auto"/>
        <w:jc w:val="both"/>
        <w:rPr>
          <w:rFonts w:ascii="Book Antiqua" w:eastAsia="Book Antiqua" w:hAnsi="Book Antiqua" w:cs="Book Antiqua"/>
        </w:rPr>
      </w:pPr>
      <w:r w:rsidRPr="00417EB4">
        <w:rPr>
          <w:rFonts w:ascii="Book Antiqua" w:eastAsia="Book Antiqua" w:hAnsi="Book Antiqua" w:cs="Book Antiqua"/>
          <w:b/>
          <w:bCs/>
        </w:rPr>
        <w:t>URL</w:t>
      </w:r>
      <w:r w:rsidRPr="00A41AB9">
        <w:rPr>
          <w:rFonts w:ascii="Book Antiqua" w:eastAsia="Book Antiqua" w:hAnsi="Book Antiqua" w:cs="Book Antiqua"/>
        </w:rPr>
        <w:t>: https://www.wjgnet.com/2307-8960/full/v12/i4/</w:t>
      </w:r>
      <w:r w:rsidRPr="00075D9A">
        <w:rPr>
          <w:rFonts w:ascii="Book Antiqua" w:eastAsia="等线" w:hAnsi="Book Antiqua"/>
          <w:color w:val="000000"/>
        </w:rPr>
        <w:t>700</w:t>
      </w:r>
      <w:r w:rsidRPr="00A41AB9">
        <w:rPr>
          <w:rFonts w:ascii="Book Antiqua" w:eastAsia="Book Antiqua" w:hAnsi="Book Antiqua" w:cs="Book Antiqua"/>
        </w:rPr>
        <w:t>.htm</w:t>
      </w:r>
    </w:p>
    <w:p w14:paraId="12E1D4A3" w14:textId="4393412A" w:rsidR="005949C7" w:rsidRDefault="004247AA" w:rsidP="004247AA">
      <w:pPr>
        <w:spacing w:line="360" w:lineRule="auto"/>
        <w:jc w:val="both"/>
        <w:rPr>
          <w:rFonts w:ascii="Book Antiqua" w:hAnsi="Book Antiqua"/>
        </w:rPr>
      </w:pPr>
      <w:r w:rsidRPr="00417EB4">
        <w:rPr>
          <w:rFonts w:ascii="Book Antiqua" w:eastAsia="Book Antiqua" w:hAnsi="Book Antiqua" w:cs="Book Antiqua"/>
          <w:b/>
          <w:bCs/>
        </w:rPr>
        <w:t>DOI</w:t>
      </w:r>
      <w:r w:rsidRPr="00A41AB9">
        <w:rPr>
          <w:rFonts w:ascii="Book Antiqua" w:eastAsia="Book Antiqua" w:hAnsi="Book Antiqua" w:cs="Book Antiqua"/>
        </w:rPr>
        <w:t>: https://dx.doi.org/10.12998/wjcc.v12.i4.</w:t>
      </w:r>
      <w:r w:rsidRPr="00075D9A">
        <w:rPr>
          <w:rFonts w:ascii="Book Antiqua" w:eastAsia="等线" w:hAnsi="Book Antiqua"/>
          <w:color w:val="000000"/>
        </w:rPr>
        <w:t>700</w:t>
      </w:r>
    </w:p>
    <w:p w14:paraId="7CA732C6" w14:textId="77777777" w:rsidR="005949C7" w:rsidRDefault="005949C7">
      <w:pPr>
        <w:spacing w:line="360" w:lineRule="auto"/>
        <w:jc w:val="both"/>
        <w:rPr>
          <w:rFonts w:ascii="Book Antiqua" w:hAnsi="Book Antiqua"/>
        </w:rPr>
      </w:pPr>
    </w:p>
    <w:p w14:paraId="3553D3A9" w14:textId="77777777" w:rsidR="005949C7"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Breast cancer (BC), a leading malignant disease, affects women all over the world. Cancer associated fibroblasts (CAFs) stimulate epithelial-mesenchymal transition, and induce chemoresistance and immunosuppression. We introduced a newly-discovered CAFs-associated gene signature using IL18, MYD88, GLIPR1, TNN, BHLHE41, DNAJB5, FKBP14, and XG, which can be employed to estimate BC patient outcomes conveniently and accurately.</w:t>
      </w:r>
    </w:p>
    <w:p w14:paraId="6BEBCC70" w14:textId="77777777" w:rsidR="005949C7" w:rsidRDefault="005949C7">
      <w:pPr>
        <w:spacing w:line="360" w:lineRule="auto"/>
        <w:jc w:val="both"/>
        <w:rPr>
          <w:rFonts w:ascii="Book Antiqua" w:hAnsi="Book Antiqua"/>
        </w:rPr>
      </w:pPr>
    </w:p>
    <w:p w14:paraId="500EE0EB" w14:textId="77777777" w:rsidR="005949C7" w:rsidRDefault="00000000">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65D77781"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Breast cancer (BC) is responsible for the most cancer-related deaths in women all over the world</w:t>
      </w:r>
      <w:r>
        <w:rPr>
          <w:rFonts w:ascii="Book Antiqua" w:eastAsia="Book Antiqua" w:hAnsi="Book Antiqua" w:cs="Book Antiqua"/>
          <w:color w:val="000000"/>
          <w:vertAlign w:val="superscript"/>
        </w:rPr>
        <w:t>[1]</w:t>
      </w:r>
      <w:r>
        <w:rPr>
          <w:rFonts w:ascii="Book Antiqua" w:eastAsia="Book Antiqua" w:hAnsi="Book Antiqua" w:cs="Book Antiqua"/>
          <w:color w:val="000000"/>
        </w:rPr>
        <w:t>. The Prediction Analysis of Microarray 50 (PAM50) classifies BC into five categories, namely, luminal A, luminal B, Her2-enriched, normal-like, and basal-like BC</w:t>
      </w:r>
      <w:r>
        <w:rPr>
          <w:rFonts w:ascii="Book Antiqua" w:eastAsia="Book Antiqua" w:hAnsi="Book Antiqua" w:cs="Book Antiqua"/>
          <w:color w:val="000000"/>
          <w:vertAlign w:val="superscript"/>
        </w:rPr>
        <w:t>[2]</w:t>
      </w:r>
      <w:r>
        <w:rPr>
          <w:rFonts w:ascii="Book Antiqua" w:eastAsia="Book Antiqua" w:hAnsi="Book Antiqua" w:cs="Book Antiqua"/>
          <w:color w:val="000000"/>
        </w:rPr>
        <w:t>. Despite this, patients with the same molecular and clinical signatures can exhibit vastly different outcomes as well as responses to chemotherapy and immunotherapy</w:t>
      </w:r>
      <w:r>
        <w:rPr>
          <w:rFonts w:ascii="Book Antiqua" w:eastAsia="Book Antiqua" w:hAnsi="Book Antiqua" w:cs="Book Antiqua"/>
          <w:color w:val="000000"/>
          <w:vertAlign w:val="superscript"/>
        </w:rPr>
        <w:t>[3]</w:t>
      </w:r>
      <w:r>
        <w:rPr>
          <w:rFonts w:ascii="Book Antiqua" w:eastAsia="Book Antiqua" w:hAnsi="Book Antiqua" w:cs="Book Antiqua"/>
          <w:color w:val="000000"/>
        </w:rPr>
        <w:t>, suggesting the presence of unknown mediators that influence both the cancer prognosis and therapeutic response. Classical assessments such as those involving tumor-node-metastasis (TNM) staging and pathology are subjective at best and are poor at predicting patient outcomes and therapeutic responses. Hence, it is critical to develop novel approaches that are able to accurately estimate BC patient overall survival (OS) and thus improve outcomes.</w:t>
      </w:r>
    </w:p>
    <w:p w14:paraId="16106B6E" w14:textId="77777777" w:rsidR="005949C7"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Tumor pathogenesis and progression are modulated by both the cancer cells themselves and the tumor microenvironment (TME)</w:t>
      </w:r>
      <w:r>
        <w:rPr>
          <w:rFonts w:ascii="Book Antiqua" w:eastAsia="Book Antiqua" w:hAnsi="Book Antiqua" w:cs="Book Antiqua"/>
          <w:color w:val="000000"/>
          <w:vertAlign w:val="superscript"/>
        </w:rPr>
        <w:t>[4]</w:t>
      </w:r>
      <w:r>
        <w:rPr>
          <w:rFonts w:ascii="Book Antiqua" w:eastAsia="Book Antiqua" w:hAnsi="Book Antiqua" w:cs="Book Antiqua"/>
          <w:color w:val="000000"/>
        </w:rPr>
        <w:t>. The tumor stroma plays a critical role in enhancing tumor aggressiveness by modulating the deposition of the extracellular matrix (ECM) as well as cellular metabolism</w:t>
      </w:r>
      <w:r>
        <w:rPr>
          <w:rFonts w:ascii="Book Antiqua" w:eastAsia="Book Antiqua" w:hAnsi="Book Antiqua" w:cs="Book Antiqua"/>
          <w:color w:val="000000"/>
          <w:vertAlign w:val="superscript"/>
        </w:rPr>
        <w:t>[5]</w:t>
      </w:r>
      <w:r>
        <w:rPr>
          <w:rFonts w:ascii="Book Antiqua" w:eastAsia="Book Antiqua" w:hAnsi="Book Antiqua" w:cs="Book Antiqua"/>
          <w:color w:val="000000"/>
        </w:rPr>
        <w:t>. Of all TME stromal cells, cancer-associated fibroblasts (CAFs) have been the most widely examined. CAFs make up a majority of the stroma and are essential for tumor invasion, angiogenesis, and ECM remodeling, promoting cell-cell associations and the release of pro-invasive factors</w:t>
      </w:r>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STAT3 induces breast cancer growth </w:t>
      </w:r>
      <w:r>
        <w:rPr>
          <w:rFonts w:ascii="Book Antiqua" w:eastAsia="Book Antiqua" w:hAnsi="Book Antiqua" w:cs="Book Antiqua"/>
          <w:i/>
          <w:iCs/>
          <w:color w:val="000000"/>
        </w:rPr>
        <w:t>via</w:t>
      </w:r>
      <w:r>
        <w:rPr>
          <w:rFonts w:ascii="Book Antiqua" w:eastAsia="Book Antiqua" w:hAnsi="Book Antiqua" w:cs="Book Antiqua"/>
          <w:color w:val="000000"/>
        </w:rPr>
        <w:t xml:space="preserve"> ANGPTL4, MMP13 and STC1 secretion by cancer associated fibroblasts</w:t>
      </w:r>
      <w:r>
        <w:rPr>
          <w:rFonts w:ascii="Book Antiqua" w:eastAsia="Book Antiqua" w:hAnsi="Book Antiqua" w:cs="Book Antiqua"/>
          <w:color w:val="000000"/>
          <w:vertAlign w:val="superscript"/>
        </w:rPr>
        <w:t>[9]</w:t>
      </w:r>
      <w:r>
        <w:rPr>
          <w:rFonts w:ascii="Book Antiqua" w:eastAsia="Book Antiqua" w:hAnsi="Book Antiqua" w:cs="Book Antiqua"/>
          <w:color w:val="000000"/>
        </w:rPr>
        <w:t>. Cancer-associated fibroblasts facilitate premetastatic niche formation through lncRNA SNHG5-mediated angiogenesis and vascular permeability in breast cancer</w:t>
      </w:r>
      <w:r>
        <w:rPr>
          <w:rFonts w:ascii="Book Antiqua" w:eastAsia="Book Antiqua" w:hAnsi="Book Antiqua" w:cs="Book Antiqua"/>
          <w:color w:val="000000"/>
          <w:vertAlign w:val="superscript"/>
        </w:rPr>
        <w:t>[10]</w:t>
      </w:r>
      <w:r>
        <w:rPr>
          <w:rFonts w:ascii="Book Antiqua" w:eastAsia="Book Antiqua" w:hAnsi="Book Antiqua" w:cs="Book Antiqua"/>
          <w:color w:val="000000"/>
        </w:rPr>
        <w:t>. High expression of TGF-a, PKMYT1 and decreased SFRP1 and SFRP2 in the fibroblasts were associated with disease recurrence, invasive disease or decreased survival</w:t>
      </w:r>
      <w:r>
        <w:rPr>
          <w:rFonts w:ascii="Book Antiqua" w:eastAsia="Book Antiqua" w:hAnsi="Book Antiqua" w:cs="Book Antiqua"/>
          <w:color w:val="000000"/>
          <w:vertAlign w:val="superscript"/>
        </w:rPr>
        <w:t>[11]</w:t>
      </w:r>
      <w:r>
        <w:rPr>
          <w:rFonts w:ascii="Book Antiqua" w:eastAsia="Book Antiqua" w:hAnsi="Book Antiqua" w:cs="Book Antiqua"/>
          <w:color w:val="000000"/>
        </w:rPr>
        <w:t>. Hence, it is critical to explore the physiological properties of CAFs and their potential as therapeutic targets in BC.</w:t>
      </w:r>
    </w:p>
    <w:p w14:paraId="0EF60D17" w14:textId="77777777" w:rsidR="005949C7"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Weighted gene co-expression network analysis (WGCNA) is an extensive bioinformatics algorithm that incorporates highly expressed genes and their associates into several gene modules to examine their association with the phenotype of interest</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In the past, WGCNA was successfully applied to identify CAF indicators</w:t>
      </w:r>
      <w:r>
        <w:rPr>
          <w:rFonts w:ascii="Book Antiqua" w:eastAsia="Book Antiqua" w:hAnsi="Book Antiqua" w:cs="Book Antiqua"/>
          <w:color w:val="000000"/>
          <w:vertAlign w:val="superscript"/>
        </w:rPr>
        <w:t>[13,14]</w:t>
      </w:r>
      <w:r>
        <w:rPr>
          <w:rFonts w:ascii="Book Antiqua" w:eastAsia="Book Antiqua" w:hAnsi="Book Antiqua" w:cs="Book Antiqua"/>
          <w:color w:val="000000"/>
        </w:rPr>
        <w:t>. To date, there have been no reports on WGCNA-based analysis of CAFs and stromal invasion in BC. Here, we reported that a CAF subtype functions as an indicator of BC patient prognosis, and we identified CAF-associated genes with prognostic significance. We also report an eight-gene signature using CAF-associated genes that can accurately estimate both OS and therapeutic response in BC patients. Our findings may highlight a novel and robust prognostic indicator for the personalized therapy of BC patients.</w:t>
      </w:r>
    </w:p>
    <w:p w14:paraId="1060F2B1" w14:textId="77777777" w:rsidR="005949C7" w:rsidRDefault="005949C7">
      <w:pPr>
        <w:spacing w:line="360" w:lineRule="auto"/>
        <w:jc w:val="both"/>
        <w:rPr>
          <w:rFonts w:ascii="Book Antiqua" w:hAnsi="Book Antiqua"/>
        </w:rPr>
      </w:pPr>
    </w:p>
    <w:p w14:paraId="724B20C7" w14:textId="77777777" w:rsidR="005949C7"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47356023" w14:textId="77777777" w:rsidR="005949C7" w:rsidRDefault="00000000">
      <w:pPr>
        <w:spacing w:line="360" w:lineRule="auto"/>
        <w:jc w:val="both"/>
        <w:rPr>
          <w:rFonts w:ascii="Book Antiqua" w:hAnsi="Book Antiqua"/>
          <w:i/>
        </w:rPr>
      </w:pPr>
      <w:r>
        <w:rPr>
          <w:rFonts w:ascii="Book Antiqua" w:eastAsia="Book Antiqua" w:hAnsi="Book Antiqua" w:cs="Book Antiqua"/>
          <w:b/>
          <w:bCs/>
          <w:i/>
          <w:color w:val="000000"/>
        </w:rPr>
        <w:t>Data sources and preprocessing</w:t>
      </w:r>
    </w:p>
    <w:p w14:paraId="65B603A4"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 xml:space="preserve">RNA-seq data [log2 (FPKM+1)], mutation annotation format file, and corresponding clinical information of 1072 breast invasive carcinoma patients in the </w:t>
      </w:r>
      <w:r>
        <w:rPr>
          <w:rFonts w:ascii="Book Antiqua" w:eastAsia="Book Antiqua" w:hAnsi="Book Antiqua" w:cs="Book Antiqua"/>
        </w:rPr>
        <w:t xml:space="preserve">The Cancer Genome Atlas (TCGA) </w:t>
      </w:r>
      <w:r>
        <w:rPr>
          <w:rFonts w:ascii="Book Antiqua" w:eastAsia="Book Antiqua" w:hAnsi="Book Antiqua" w:cs="Book Antiqua"/>
          <w:color w:val="000000"/>
        </w:rPr>
        <w:t>database were obtained using Xena (</w:t>
      </w:r>
      <w:hyperlink r:id="rId7" w:history="1">
        <w:r>
          <w:rPr>
            <w:rFonts w:ascii="Book Antiqua" w:eastAsia="Book Antiqua" w:hAnsi="Book Antiqua" w:cs="Book Antiqua"/>
            <w:color w:val="000000"/>
          </w:rPr>
          <w:t>https://xenabrowser.net</w:t>
        </w:r>
      </w:hyperlink>
      <w:r>
        <w:rPr>
          <w:rFonts w:ascii="Book Antiqua" w:eastAsia="Book Antiqua" w:hAnsi="Book Antiqua" w:cs="Book Antiqua"/>
          <w:color w:val="000000"/>
        </w:rPr>
        <w:t xml:space="preserve">). The Ensemble Gene was transformed into gene symbols to retrieve transcripts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annotation file (hg38, gencode.v22.annotation.gene.probemap) of the GENCODE database</w:t>
      </w:r>
      <w:r>
        <w:rPr>
          <w:rFonts w:ascii="Book Antiqua" w:eastAsia="Book Antiqua" w:hAnsi="Book Antiqua" w:cs="Book Antiqua"/>
          <w:color w:val="000000"/>
          <w:vertAlign w:val="superscript"/>
        </w:rPr>
        <w:t>[15]</w:t>
      </w:r>
      <w:r>
        <w:rPr>
          <w:rFonts w:ascii="Book Antiqua" w:eastAsia="Book Antiqua" w:hAnsi="Book Antiqua" w:cs="Book Antiqua"/>
          <w:color w:val="000000"/>
        </w:rPr>
        <w:t>. Overall, 1072 primary BC samples and 99 adjoining healthy breast tissues were obtained from the TCGA. Table 1 summarizes in detail the clinical data of these primary BC patients. OS is defined as the time from diagnosis to death from any cause.</w:t>
      </w:r>
    </w:p>
    <w:p w14:paraId="12B69E1F"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OS information was available for 1050 patients. The GSE96058, GSE18728, and GSE21653 datasets were downloaded from the The Gene Expression Omnibus (GEO) database (</w:t>
      </w:r>
      <w:hyperlink r:id="rId8" w:history="1">
        <w:r>
          <w:rPr>
            <w:rFonts w:ascii="Book Antiqua" w:eastAsia="Book Antiqua" w:hAnsi="Book Antiqua" w:cs="Book Antiqua"/>
            <w:color w:val="000000"/>
          </w:rPr>
          <w:t>www.ncbi.nlm.gov/geo</w:t>
        </w:r>
      </w:hyperlink>
      <w:r>
        <w:rPr>
          <w:rFonts w:ascii="Book Antiqua" w:eastAsia="Book Antiqua" w:hAnsi="Book Antiqua" w:cs="Book Antiqua"/>
          <w:color w:val="000000"/>
        </w:rPr>
        <w:t xml:space="preserve">). The GSE96058 and GSE21653 datasets served as the validation cohorts. </w:t>
      </w:r>
    </w:p>
    <w:p w14:paraId="02DCC230" w14:textId="77777777" w:rsidR="005949C7"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The CAF-related gene expression signature (reference genomes) was downloaded from previous literature. This clearly separated CAFs into five subtypes</w:t>
      </w:r>
      <w:r>
        <w:rPr>
          <w:rFonts w:ascii="Book Antiqua" w:eastAsia="Book Antiqua" w:hAnsi="Book Antiqua" w:cs="Book Antiqua"/>
          <w:color w:val="000000"/>
          <w:vertAlign w:val="superscript"/>
        </w:rPr>
        <w:t>[16]</w:t>
      </w:r>
      <w:r>
        <w:rPr>
          <w:rFonts w:ascii="Book Antiqua" w:eastAsia="Book Antiqua" w:hAnsi="Book Antiqua" w:cs="Book Antiqua"/>
          <w:color w:val="000000"/>
        </w:rPr>
        <w:t>. Only the gene expression values greater than 1 were included. Supplementary Table 1 lists the CAF-related expression signature.</w:t>
      </w:r>
    </w:p>
    <w:p w14:paraId="6A126461" w14:textId="77777777" w:rsidR="005949C7" w:rsidRDefault="005949C7">
      <w:pPr>
        <w:spacing w:line="360" w:lineRule="auto"/>
        <w:jc w:val="both"/>
        <w:rPr>
          <w:rFonts w:ascii="Book Antiqua" w:hAnsi="Book Antiqua"/>
        </w:rPr>
      </w:pPr>
    </w:p>
    <w:p w14:paraId="5EA1DF3D" w14:textId="77777777" w:rsidR="005949C7" w:rsidRDefault="00000000">
      <w:pPr>
        <w:spacing w:line="360" w:lineRule="auto"/>
        <w:jc w:val="both"/>
        <w:rPr>
          <w:rFonts w:ascii="Book Antiqua" w:hAnsi="Book Antiqua"/>
          <w:i/>
        </w:rPr>
      </w:pPr>
      <w:r>
        <w:rPr>
          <w:rFonts w:ascii="Book Antiqua" w:eastAsia="Book Antiqua" w:hAnsi="Book Antiqua" w:cs="Book Antiqua"/>
          <w:b/>
          <w:bCs/>
          <w:i/>
          <w:color w:val="000000"/>
        </w:rPr>
        <w:t>Calculation of CAF and microenvironment cell abundance</w:t>
      </w:r>
    </w:p>
    <w:p w14:paraId="02FE1DA0"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lastRenderedPageBreak/>
        <w:t>The Cell Type Identification by Estimating Relative Subsets of Known RNA Transcripts (CIBERSORT) algorithm was employed for the enrichment estimation of the five CAF and immune cell types for BC and normal samples from the TCGA dataset</w:t>
      </w:r>
      <w:r>
        <w:rPr>
          <w:rFonts w:ascii="Book Antiqua" w:eastAsia="Book Antiqua" w:hAnsi="Book Antiqua" w:cs="Book Antiqua"/>
          <w:color w:val="000000"/>
          <w:vertAlign w:val="superscript"/>
        </w:rPr>
        <w:t>[17]</w:t>
      </w:r>
      <w:r>
        <w:rPr>
          <w:rFonts w:ascii="Book Antiqua" w:eastAsia="Book Antiqua" w:hAnsi="Book Antiqua" w:cs="Book Antiqua"/>
          <w:color w:val="000000"/>
        </w:rPr>
        <w:t>. The ESTIMATE algorithm computed the BC patient stromal and immune scores using the bulk gene expression data</w:t>
      </w:r>
      <w:r>
        <w:rPr>
          <w:rFonts w:ascii="Book Antiqua" w:eastAsia="Book Antiqua" w:hAnsi="Book Antiqua" w:cs="Book Antiqua"/>
          <w:color w:val="000000"/>
          <w:vertAlign w:val="superscript"/>
        </w:rPr>
        <w:t>[18]</w:t>
      </w:r>
      <w:r>
        <w:rPr>
          <w:rFonts w:ascii="Book Antiqua" w:eastAsia="Book Antiqua" w:hAnsi="Book Antiqua" w:cs="Book Antiqua"/>
          <w:color w:val="000000"/>
        </w:rPr>
        <w:t>. Kruskal-Wallis tests were used to compare differences in CAF and immune cell proportions, as well as stromal and immune scores in different cancer stages and normal tissues.</w:t>
      </w:r>
    </w:p>
    <w:p w14:paraId="69C33D44" w14:textId="77777777" w:rsidR="005949C7" w:rsidRDefault="005949C7">
      <w:pPr>
        <w:spacing w:line="360" w:lineRule="auto"/>
        <w:jc w:val="both"/>
        <w:rPr>
          <w:rFonts w:ascii="Book Antiqua" w:hAnsi="Book Antiqua"/>
        </w:rPr>
      </w:pPr>
    </w:p>
    <w:p w14:paraId="0212581D"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 xml:space="preserve">Using univariate analysis, we assessed the association between the five CAF phenotypes and OS. The correlations between prognostic CAF subtype, stromal and immune scores were computed </w:t>
      </w:r>
      <w:r>
        <w:rPr>
          <w:rFonts w:ascii="Book Antiqua" w:eastAsia="Book Antiqua" w:hAnsi="Book Antiqua" w:cs="Book Antiqua"/>
          <w:i/>
          <w:iCs/>
          <w:color w:val="000000"/>
        </w:rPr>
        <w:t>via</w:t>
      </w:r>
      <w:r>
        <w:rPr>
          <w:rFonts w:ascii="Book Antiqua" w:eastAsia="Book Antiqua" w:hAnsi="Book Antiqua" w:cs="Book Antiqua"/>
          <w:color w:val="000000"/>
        </w:rPr>
        <w:t xml:space="preserve"> Pearson’s correlation coefficients.</w:t>
      </w:r>
    </w:p>
    <w:p w14:paraId="14CB0510" w14:textId="77777777" w:rsidR="005949C7" w:rsidRDefault="005949C7">
      <w:pPr>
        <w:spacing w:line="360" w:lineRule="auto"/>
        <w:jc w:val="both"/>
        <w:rPr>
          <w:rFonts w:ascii="Book Antiqua" w:hAnsi="Book Antiqua"/>
        </w:rPr>
      </w:pPr>
    </w:p>
    <w:p w14:paraId="4B8DF6F4" w14:textId="77777777" w:rsidR="005949C7" w:rsidRDefault="00000000">
      <w:pPr>
        <w:spacing w:line="360" w:lineRule="auto"/>
        <w:jc w:val="both"/>
        <w:rPr>
          <w:rFonts w:ascii="Book Antiqua" w:hAnsi="Book Antiqua"/>
          <w:i/>
        </w:rPr>
      </w:pPr>
      <w:r>
        <w:rPr>
          <w:rFonts w:ascii="Book Antiqua" w:eastAsia="Book Antiqua" w:hAnsi="Book Antiqua" w:cs="Book Antiqua"/>
          <w:b/>
          <w:bCs/>
          <w:i/>
          <w:color w:val="000000"/>
        </w:rPr>
        <w:t>Construction of a weighted gene co-expression network and identification of CAF-associated genes</w:t>
      </w:r>
    </w:p>
    <w:p w14:paraId="2047CBB4"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The WGCNA package was employed to construct the weighted gene co-expression network (WGCN)</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in R software, based on mRNA expression profiling. Hierarchical clustering was used to obtain modules, with each module harboring a minimum of 30 genes (min Module Size = 30). We computed the eigengenes, clustered the modules based on hierarchy, and combined comparable modules (abline = 0.25). Pearson’s correlation coefficients were calculated to assess the relationship between the modules and patient clinical signatures. The gene significance (GS) was described as the log10 transformation of the matched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value (GS = lg P) of the association between the gene levels and matched clinical data. To further evaluate this module, the module eigengenes (ME) dissimilarity was computed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module Eigengenes function in the R WGCNA package. This was described as the primary portion of a given module and was deemed as the gene expression signature representative in a module. The module membership (MM) gene values in modules were computed by evaluating associations between gene signatures and MEs. Hub genes were chosen for MM &gt; one-third </w:t>
      </w:r>
      <w:r>
        <w:rPr>
          <w:rFonts w:ascii="Book Antiqua" w:eastAsia="Book Antiqua" w:hAnsi="Book Antiqua" w:cs="Book Antiqua"/>
          <w:color w:val="000000"/>
        </w:rPr>
        <w:lastRenderedPageBreak/>
        <w:t>difference between the maximum and minimum MM, and GS &gt; one-third difference between the maximum and minimum GS.</w:t>
      </w:r>
    </w:p>
    <w:p w14:paraId="7D5E82CA" w14:textId="77777777" w:rsidR="005949C7" w:rsidRDefault="005949C7">
      <w:pPr>
        <w:spacing w:line="360" w:lineRule="auto"/>
        <w:jc w:val="both"/>
        <w:rPr>
          <w:rFonts w:ascii="Book Antiqua" w:hAnsi="Book Antiqua"/>
        </w:rPr>
      </w:pPr>
    </w:p>
    <w:p w14:paraId="2DCC8DBF" w14:textId="77777777" w:rsidR="005949C7" w:rsidRDefault="00000000">
      <w:pPr>
        <w:spacing w:line="360" w:lineRule="auto"/>
        <w:jc w:val="both"/>
        <w:rPr>
          <w:rFonts w:ascii="Book Antiqua" w:hAnsi="Book Antiqua"/>
          <w:i/>
        </w:rPr>
      </w:pPr>
      <w:r>
        <w:rPr>
          <w:rFonts w:ascii="Book Antiqua" w:eastAsia="Book Antiqua" w:hAnsi="Book Antiqua" w:cs="Book Antiqua"/>
          <w:b/>
          <w:bCs/>
          <w:i/>
          <w:color w:val="000000"/>
        </w:rPr>
        <w:t>Functional enrichment analysis</w:t>
      </w:r>
    </w:p>
    <w:p w14:paraId="1B66B6B9"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Gene ontology (GO), including cellular component, biological process, and molecular function (MF), and Kyoto Encyclopedia of Genes and Genomes (KEGG) network enrichment analyses were conducted on CAF-related gene hub genes and was visualized using the clusterProfile package</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in the R software. Adjusted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set as the significance threshold.</w:t>
      </w:r>
    </w:p>
    <w:p w14:paraId="4E7CA4FB" w14:textId="77777777" w:rsidR="005949C7" w:rsidRDefault="005949C7">
      <w:pPr>
        <w:spacing w:line="360" w:lineRule="auto"/>
        <w:jc w:val="both"/>
        <w:rPr>
          <w:rFonts w:ascii="Book Antiqua" w:hAnsi="Book Antiqua"/>
        </w:rPr>
      </w:pPr>
    </w:p>
    <w:p w14:paraId="1ED21FDB" w14:textId="77777777" w:rsidR="005949C7" w:rsidRDefault="00000000">
      <w:pPr>
        <w:spacing w:line="360" w:lineRule="auto"/>
        <w:jc w:val="both"/>
        <w:rPr>
          <w:rFonts w:ascii="Book Antiqua" w:hAnsi="Book Antiqua"/>
          <w:i/>
        </w:rPr>
      </w:pPr>
      <w:r>
        <w:rPr>
          <w:rFonts w:ascii="Book Antiqua" w:eastAsia="Book Antiqua" w:hAnsi="Book Antiqua" w:cs="Book Antiqua"/>
          <w:b/>
          <w:bCs/>
          <w:i/>
          <w:color w:val="000000"/>
        </w:rPr>
        <w:t>Construction and verification of a CAF</w:t>
      </w:r>
      <w:r>
        <w:rPr>
          <w:rFonts w:ascii="Book Antiqua" w:eastAsia="Book Antiqua" w:hAnsi="Book Antiqua" w:cs="Book Antiqua"/>
          <w:b/>
          <w:bCs/>
          <w:i/>
          <w:color w:val="000000"/>
        </w:rPr>
        <w:noBreakHyphen/>
        <w:t xml:space="preserve">related gene prognostic signature CAFrelated </w:t>
      </w:r>
      <w:r>
        <w:rPr>
          <w:rFonts w:ascii="Book Antiqua" w:eastAsia="Book Antiqua" w:hAnsi="Book Antiqua" w:cs="Book Antiqua" w:hint="eastAsia"/>
          <w:b/>
          <w:bCs/>
          <w:i/>
          <w:color w:val="000000"/>
          <w:lang w:eastAsia="zh-CN"/>
        </w:rPr>
        <w:t>in</w:t>
      </w:r>
      <w:r>
        <w:rPr>
          <w:rFonts w:ascii="Book Antiqua" w:eastAsia="Book Antiqua" w:hAnsi="Book Antiqua" w:cs="Book Antiqua"/>
          <w:b/>
          <w:bCs/>
          <w:i/>
          <w:color w:val="000000"/>
        </w:rPr>
        <w:t xml:space="preserve"> </w:t>
      </w:r>
      <w:r>
        <w:rPr>
          <w:rFonts w:ascii="Book Antiqua" w:eastAsia="Book Antiqua" w:hAnsi="Book Antiqua" w:cs="Book Antiqua" w:hint="eastAsia"/>
          <w:b/>
          <w:bCs/>
          <w:i/>
          <w:color w:val="000000"/>
          <w:lang w:eastAsia="zh-CN"/>
        </w:rPr>
        <w:t>PDF</w:t>
      </w:r>
      <w:r>
        <w:rPr>
          <w:rFonts w:ascii="Book Antiqua" w:eastAsia="Book Antiqua" w:hAnsi="Book Antiqua" w:cs="Book Antiqua"/>
          <w:b/>
          <w:bCs/>
          <w:i/>
          <w:color w:val="000000"/>
        </w:rPr>
        <w:t xml:space="preserve"> </w:t>
      </w:r>
      <w:r>
        <w:rPr>
          <w:rFonts w:ascii="Book Antiqua" w:eastAsia="Book Antiqua" w:hAnsi="Book Antiqua" w:cs="Book Antiqua" w:hint="eastAsia"/>
          <w:b/>
          <w:bCs/>
          <w:i/>
          <w:color w:val="000000"/>
          <w:lang w:eastAsia="zh-CN"/>
        </w:rPr>
        <w:t>format</w:t>
      </w:r>
    </w:p>
    <w:p w14:paraId="7E1CD2E5"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 xml:space="preserve">To build a prognosis-related signature, univariate analysis was employed to screen for OS-associated genes with </w:t>
      </w:r>
      <w:r>
        <w:rPr>
          <w:rFonts w:ascii="Book Antiqua" w:eastAsia="Book Antiqua" w:hAnsi="Book Antiqua" w:cs="Book Antiqua"/>
          <w:i/>
          <w:color w:val="000000"/>
        </w:rPr>
        <w:t>P</w:t>
      </w:r>
      <w:r>
        <w:rPr>
          <w:rFonts w:ascii="Book Antiqua" w:eastAsia="Book Antiqua" w:hAnsi="Book Antiqua" w:cs="Book Antiqua"/>
          <w:color w:val="000000"/>
        </w:rPr>
        <w:t xml:space="preserve"> values &lt; 0.05. Subsequently, the marked prognostic genes underwent filtration using least absolute shrinkage and selection operator (LASSO)-penalized Cox regression analysis. Only genes with nonzero coefficients in the LASSO model were selected for additional multivariate analysis. Next, the prognostic risk model was generated based on the following: Risk score (RS, CAFPS) = β gene1 × expr gene1 + β gene2 × expr gene2 + ... + β gene n × expr gene n. In this formula, β represented the correlation coefficient in multivariate analysis, and expr represented mRNA expression. The patients were then separated into a high- (HR) or low-risk (LR) cohort, based on the median RS. The same formula was employed for the RSs calculation in the GEO and TCGA datasets.</w:t>
      </w:r>
    </w:p>
    <w:p w14:paraId="32D3A031" w14:textId="77777777" w:rsidR="005949C7"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The Kaplan-Meier log-rank test and the time-dependent receiver operating characteristic (ROC) curve analysis were employed to confirm the eight-gene signature performance. The RS distribution and OS status scatter plots, as well as the expression heatmaps of the eight CAF-related risk genes between the HR and LR cohorts, were constructed to assess the prognostic signature, and the stand-alone prognostic analysis was performed to assess the independent nature of the signature in predicting OS.</w:t>
      </w:r>
    </w:p>
    <w:p w14:paraId="7BB53B28" w14:textId="77777777" w:rsidR="005949C7" w:rsidRDefault="005949C7">
      <w:pPr>
        <w:spacing w:line="360" w:lineRule="auto"/>
        <w:jc w:val="both"/>
        <w:rPr>
          <w:rFonts w:ascii="Book Antiqua" w:hAnsi="Book Antiqua"/>
        </w:rPr>
      </w:pPr>
    </w:p>
    <w:p w14:paraId="72AB790C" w14:textId="77777777" w:rsidR="005949C7" w:rsidRDefault="00000000">
      <w:pPr>
        <w:spacing w:line="360" w:lineRule="auto"/>
        <w:jc w:val="both"/>
        <w:rPr>
          <w:rFonts w:ascii="Book Antiqua" w:hAnsi="Book Antiqua"/>
          <w:i/>
        </w:rPr>
      </w:pPr>
      <w:r>
        <w:rPr>
          <w:rFonts w:ascii="Book Antiqua" w:eastAsia="Book Antiqua" w:hAnsi="Book Antiqua" w:cs="Book Antiqua"/>
          <w:b/>
          <w:bCs/>
          <w:i/>
          <w:color w:val="000000"/>
        </w:rPr>
        <w:t xml:space="preserve">Development of nomogram </w:t>
      </w:r>
    </w:p>
    <w:p w14:paraId="374FA397"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To translate the prognostic significance of the eight-gene signature into clinical application, we established a nomogram involving the RS and matched clinical data of BC patients, which included age and pathological stage. In addition, the calibration curves were generated to evaluate the agreement between the true and estimated OS.</w:t>
      </w:r>
    </w:p>
    <w:p w14:paraId="0543B6CB" w14:textId="77777777" w:rsidR="005949C7" w:rsidRDefault="005949C7">
      <w:pPr>
        <w:spacing w:line="360" w:lineRule="auto"/>
        <w:jc w:val="both"/>
        <w:rPr>
          <w:rFonts w:ascii="Book Antiqua" w:hAnsi="Book Antiqua"/>
        </w:rPr>
      </w:pPr>
    </w:p>
    <w:p w14:paraId="11C8428B" w14:textId="77777777" w:rsidR="005949C7" w:rsidRDefault="00000000">
      <w:pPr>
        <w:spacing w:line="360" w:lineRule="auto"/>
        <w:jc w:val="both"/>
        <w:rPr>
          <w:rFonts w:ascii="Book Antiqua" w:hAnsi="Book Antiqua"/>
          <w:i/>
        </w:rPr>
      </w:pPr>
      <w:r>
        <w:rPr>
          <w:rFonts w:ascii="Book Antiqua" w:eastAsia="Book Antiqua" w:hAnsi="Book Antiqua" w:cs="Book Antiqua"/>
          <w:b/>
          <w:bCs/>
          <w:i/>
          <w:color w:val="000000"/>
        </w:rPr>
        <w:t>Estimation of patient therapeutic response, according to the 8-gene signature</w:t>
      </w:r>
    </w:p>
    <w:p w14:paraId="4AAD9C32"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 xml:space="preserve">To further confirm the predictability of CAFPS in estimating patient chemotherapeutic response, GSE18728 was employed. Differences in CAFPS between responder and non-responder cohorts were assessed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Wilcoxon test.</w:t>
      </w:r>
    </w:p>
    <w:p w14:paraId="014E11DE" w14:textId="77777777" w:rsidR="005949C7" w:rsidRDefault="005949C7">
      <w:pPr>
        <w:spacing w:line="360" w:lineRule="auto"/>
        <w:jc w:val="both"/>
        <w:rPr>
          <w:rFonts w:ascii="Book Antiqua" w:hAnsi="Book Antiqua"/>
        </w:rPr>
      </w:pPr>
    </w:p>
    <w:p w14:paraId="2B10341D" w14:textId="77777777" w:rsidR="005949C7" w:rsidRDefault="00000000">
      <w:pPr>
        <w:spacing w:line="360" w:lineRule="auto"/>
        <w:jc w:val="both"/>
        <w:rPr>
          <w:rFonts w:ascii="Book Antiqua" w:hAnsi="Book Antiqua"/>
          <w:i/>
        </w:rPr>
      </w:pPr>
      <w:r>
        <w:rPr>
          <w:rFonts w:ascii="Book Antiqua" w:eastAsia="Book Antiqua" w:hAnsi="Book Antiqua" w:cs="Book Antiqua"/>
          <w:b/>
          <w:bCs/>
          <w:i/>
          <w:color w:val="000000"/>
        </w:rPr>
        <w:t>Enrichment analyses</w:t>
      </w:r>
    </w:p>
    <w:p w14:paraId="27ABF46F"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Furthermore, the “h.all.v7.4. symbols” gene sets were derived from the Molecular Signatures Database (MSigDB)</w:t>
      </w:r>
      <w:r>
        <w:rPr>
          <w:rFonts w:ascii="Book Antiqua" w:eastAsia="Book Antiqua" w:hAnsi="Book Antiqua" w:cs="Book Antiqua"/>
          <w:color w:val="000000"/>
          <w:vertAlign w:val="superscript"/>
        </w:rPr>
        <w:t>[20]</w:t>
      </w:r>
      <w:r>
        <w:rPr>
          <w:rFonts w:ascii="Book Antiqua" w:eastAsia="Book Antiqua" w:hAnsi="Book Antiqua" w:cs="Book Antiqua"/>
          <w:color w:val="000000"/>
        </w:rPr>
        <w:t>. The ssGSEA was employed to compute the hallmark gene set enrichment scores</w:t>
      </w:r>
      <w:r>
        <w:rPr>
          <w:rFonts w:ascii="Book Antiqua" w:eastAsia="Book Antiqua" w:hAnsi="Book Antiqua" w:cs="Book Antiqua"/>
          <w:color w:val="000000"/>
          <w:vertAlign w:val="superscript"/>
        </w:rPr>
        <w:t>[21]</w:t>
      </w:r>
      <w:r>
        <w:rPr>
          <w:rFonts w:ascii="Book Antiqua" w:eastAsia="Book Antiqua" w:hAnsi="Book Antiqua" w:cs="Book Antiqua"/>
          <w:color w:val="000000"/>
        </w:rPr>
        <w:t>. Spearman correlation analysis was used to assess the relationships between the CAFPS and gene set enrichment scores.</w:t>
      </w:r>
    </w:p>
    <w:p w14:paraId="0ACD18A3" w14:textId="77777777" w:rsidR="005949C7" w:rsidRDefault="005949C7">
      <w:pPr>
        <w:spacing w:line="360" w:lineRule="auto"/>
        <w:jc w:val="both"/>
        <w:rPr>
          <w:rFonts w:ascii="Book Antiqua" w:hAnsi="Book Antiqua"/>
        </w:rPr>
      </w:pPr>
    </w:p>
    <w:p w14:paraId="7936D9EC" w14:textId="77777777" w:rsidR="005949C7" w:rsidRDefault="00000000">
      <w:pPr>
        <w:spacing w:line="360" w:lineRule="auto"/>
        <w:jc w:val="both"/>
        <w:rPr>
          <w:rFonts w:ascii="Book Antiqua" w:hAnsi="Book Antiqua"/>
          <w:i/>
        </w:rPr>
      </w:pPr>
      <w:r>
        <w:rPr>
          <w:rFonts w:ascii="Book Antiqua" w:eastAsia="Book Antiqua" w:hAnsi="Book Antiqua" w:cs="Book Antiqua"/>
          <w:b/>
          <w:bCs/>
          <w:i/>
          <w:color w:val="000000"/>
        </w:rPr>
        <w:t xml:space="preserve">Patients and tissue samples </w:t>
      </w:r>
    </w:p>
    <w:p w14:paraId="48533DD7"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All 80 breast cancer tissues and paired adjacent normal tissues were obtained from patients treated at the first hospital of qinhuangdao between January 2022 and December 2022. The paired adjacent normal tissues were dissected by the surgeons 5-cm away from the tumor edge. Tissue samples were stored at liquid nitrogen until total RNA was extracted. This study was approved by the Ethics Committee of the first hospital of qinhuangdao, and the informed consent forms were obtained from all the patients.</w:t>
      </w:r>
    </w:p>
    <w:p w14:paraId="3C783028" w14:textId="77777777" w:rsidR="005949C7" w:rsidRDefault="005949C7">
      <w:pPr>
        <w:spacing w:line="360" w:lineRule="auto"/>
        <w:jc w:val="both"/>
        <w:rPr>
          <w:rFonts w:ascii="Book Antiqua" w:eastAsia="Book Antiqua" w:hAnsi="Book Antiqua" w:cs="Book Antiqua"/>
          <w:b/>
          <w:bCs/>
          <w:i/>
          <w:color w:val="000000"/>
        </w:rPr>
      </w:pPr>
    </w:p>
    <w:p w14:paraId="69DC3A35" w14:textId="77777777" w:rsidR="005949C7" w:rsidRDefault="00000000">
      <w:pPr>
        <w:spacing w:line="360" w:lineRule="auto"/>
        <w:jc w:val="both"/>
        <w:rPr>
          <w:rFonts w:ascii="Book Antiqua" w:hAnsi="Book Antiqua"/>
          <w:i/>
        </w:rPr>
      </w:pPr>
      <w:r>
        <w:rPr>
          <w:rFonts w:ascii="Book Antiqua" w:eastAsia="Book Antiqua" w:hAnsi="Book Antiqua" w:cs="Book Antiqua"/>
          <w:b/>
          <w:bCs/>
          <w:i/>
          <w:color w:val="000000"/>
        </w:rPr>
        <w:t>Quantitative real-time polymerase chain reaction</w:t>
      </w:r>
    </w:p>
    <w:p w14:paraId="40B1EEA0"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Total RNA was isolated from the BC and matched adjacent tissues using TRIzol (Thermo Fisher Scientific). The Nanodrop 2000 (Thermo Fisher Scientific) was used to detect the purity and concentration of the total RNA. According to the manufacturer's protocol, </w:t>
      </w:r>
      <w:r>
        <w:rPr>
          <w:rFonts w:ascii="Book Antiqua" w:eastAsia="Book Antiqua" w:hAnsi="Book Antiqua" w:cs="Book Antiqua"/>
        </w:rPr>
        <w:t>quantitative real-time polymerase chain reaction (qRT-PCR)</w:t>
      </w:r>
      <w:r>
        <w:rPr>
          <w:rFonts w:ascii="Book Antiqua" w:eastAsia="Book Antiqua" w:hAnsi="Book Antiqua" w:cs="Book Antiqua"/>
          <w:color w:val="000000"/>
        </w:rPr>
        <w:t xml:space="preserve"> was performed by using Taq Pro universal SYBR qPCR Master Mix (Vazyme, Nanjing, China).The primers used were as follows: FKBP14 forward primer 5'-AGCTGATCAACATCGGCAAT-3' and reverse primer 5'- CCAAGAACCCCCATTATTGA -3'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β</w:t>
      </w:r>
      <w:r>
        <w:rPr>
          <w:rFonts w:ascii="Book Antiqua" w:eastAsia="Book Antiqua" w:hAnsi="Book Antiqua" w:cs="Book Antiqua"/>
          <w:color w:val="000000"/>
        </w:rPr>
        <w:noBreakHyphen/>
        <w:t>actin forward primer 5'</w:t>
      </w:r>
      <w:r>
        <w:rPr>
          <w:rFonts w:ascii="Book Antiqua" w:eastAsia="Book Antiqua" w:hAnsi="Book Antiqua" w:cs="Book Antiqua"/>
          <w:color w:val="000000"/>
        </w:rPr>
        <w:noBreakHyphen/>
        <w:t>CATGTACGTTGCTATCCAGGC</w:t>
      </w:r>
      <w:r>
        <w:rPr>
          <w:rFonts w:ascii="Book Antiqua" w:eastAsia="Book Antiqua" w:hAnsi="Book Antiqua" w:cs="Book Antiqua"/>
          <w:color w:val="000000"/>
        </w:rPr>
        <w:noBreakHyphen/>
        <w:t>3' and reverse primer 5'</w:t>
      </w:r>
      <w:r>
        <w:rPr>
          <w:rFonts w:ascii="Book Antiqua" w:eastAsia="Book Antiqua" w:hAnsi="Book Antiqua" w:cs="Book Antiqua"/>
          <w:color w:val="000000"/>
        </w:rPr>
        <w:noBreakHyphen/>
        <w:t xml:space="preserve">CTCCTTAATGTCACGCACGAT-3'. The relative levels of FKBP14 </w:t>
      </w:r>
      <w:proofErr w:type="gramStart"/>
      <w:r>
        <w:rPr>
          <w:rFonts w:ascii="Book Antiqua" w:eastAsia="Book Antiqua" w:hAnsi="Book Antiqua" w:cs="Book Antiqua"/>
          <w:color w:val="000000"/>
        </w:rPr>
        <w:t>was</w:t>
      </w:r>
      <w:proofErr w:type="gramEnd"/>
      <w:r>
        <w:rPr>
          <w:rFonts w:ascii="Book Antiqua" w:eastAsia="Book Antiqua" w:hAnsi="Book Antiqua" w:cs="Book Antiqua"/>
          <w:color w:val="000000"/>
        </w:rPr>
        <w:t xml:space="preserve"> evaluated by the 2</w:t>
      </w:r>
      <w:r>
        <w:rPr>
          <w:rFonts w:ascii="Book Antiqua" w:eastAsia="Book Antiqua" w:hAnsi="Book Antiqua" w:cs="Book Antiqua"/>
          <w:color w:val="000000"/>
          <w:vertAlign w:val="superscript"/>
        </w:rPr>
        <w:t>-</w:t>
      </w:r>
      <w:r>
        <w:rPr>
          <w:rFonts w:ascii="宋体" w:eastAsia="宋体" w:hAnsi="宋体" w:cs="宋体" w:hint="eastAsia"/>
          <w:color w:val="000000"/>
          <w:vertAlign w:val="superscript"/>
        </w:rPr>
        <w:t>△△</w:t>
      </w:r>
      <w:r>
        <w:rPr>
          <w:rFonts w:ascii="Book Antiqua" w:eastAsia="Book Antiqua" w:hAnsi="Book Antiqua" w:cs="Book Antiqua"/>
          <w:color w:val="000000"/>
          <w:vertAlign w:val="superscript"/>
        </w:rPr>
        <w:t>CT</w:t>
      </w:r>
      <w:r>
        <w:rPr>
          <w:rFonts w:ascii="Book Antiqua" w:eastAsia="Book Antiqua" w:hAnsi="Book Antiqua" w:cs="Book Antiqua"/>
          <w:color w:val="000000"/>
        </w:rPr>
        <w:t xml:space="preserve"> method using β</w:t>
      </w:r>
      <w:r>
        <w:rPr>
          <w:rFonts w:ascii="Book Antiqua" w:eastAsia="Book Antiqua" w:hAnsi="Book Antiqua" w:cs="Book Antiqua"/>
          <w:color w:val="000000"/>
        </w:rPr>
        <w:noBreakHyphen/>
        <w:t>actin as the control.</w:t>
      </w:r>
    </w:p>
    <w:p w14:paraId="051C5522" w14:textId="77777777" w:rsidR="005949C7" w:rsidRDefault="005949C7">
      <w:pPr>
        <w:spacing w:line="360" w:lineRule="auto"/>
        <w:jc w:val="both"/>
        <w:rPr>
          <w:rFonts w:ascii="Book Antiqua" w:hAnsi="Book Antiqua"/>
        </w:rPr>
      </w:pPr>
    </w:p>
    <w:p w14:paraId="2AFAA722" w14:textId="77777777" w:rsidR="005949C7" w:rsidRDefault="00000000">
      <w:pPr>
        <w:spacing w:line="360" w:lineRule="auto"/>
        <w:jc w:val="both"/>
        <w:rPr>
          <w:rFonts w:ascii="Book Antiqua" w:hAnsi="Book Antiqua"/>
          <w:i/>
        </w:rPr>
      </w:pPr>
      <w:r>
        <w:rPr>
          <w:rFonts w:ascii="Book Antiqua" w:eastAsia="Book Antiqua" w:hAnsi="Book Antiqua" w:cs="Book Antiqua"/>
          <w:b/>
          <w:bCs/>
          <w:i/>
          <w:color w:val="000000"/>
        </w:rPr>
        <w:t xml:space="preserve">Statistical analysis </w:t>
      </w:r>
    </w:p>
    <w:p w14:paraId="6CEA9C84"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All data analyses were performed in R version 3.6.4 (https://www.r-project.org) and associated packages. The Wilcoxon test was used to examine the CAFPS-clinicopathological properties link. Kaplan-Meier curves and log-rank tests were used for evaluating OS using the survival and survminer R packages.</w:t>
      </w:r>
    </w:p>
    <w:p w14:paraId="7F8353A2" w14:textId="77777777" w:rsidR="005949C7" w:rsidRDefault="005949C7">
      <w:pPr>
        <w:spacing w:line="360" w:lineRule="auto"/>
        <w:jc w:val="both"/>
        <w:rPr>
          <w:rFonts w:ascii="Book Antiqua" w:hAnsi="Book Antiqua"/>
        </w:rPr>
      </w:pPr>
    </w:p>
    <w:p w14:paraId="6C2C6C67" w14:textId="77777777" w:rsidR="005949C7"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7F47A3AD" w14:textId="77777777" w:rsidR="005949C7" w:rsidRDefault="00000000">
      <w:pPr>
        <w:spacing w:line="360" w:lineRule="auto"/>
        <w:jc w:val="both"/>
        <w:rPr>
          <w:rFonts w:ascii="Book Antiqua" w:hAnsi="Book Antiqua"/>
          <w:i/>
        </w:rPr>
      </w:pPr>
      <w:r>
        <w:rPr>
          <w:rFonts w:ascii="Book Antiqua" w:eastAsia="Book Antiqua" w:hAnsi="Book Antiqua" w:cs="Book Antiqua"/>
          <w:b/>
          <w:bCs/>
          <w:i/>
          <w:color w:val="000000"/>
        </w:rPr>
        <w:t>Clinical significance of the CAF proportion in BC</w:t>
      </w:r>
    </w:p>
    <w:p w14:paraId="7A5F1237"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The proportions of five CAF and immune cell types in BC and normal samples from the TCGA database were obtained using the CIBERSORT algorithm. We observed marked differences in the proportions of the five types of CAFs (Figure 1), CD4 memory resting T cells, CD4 memory activated T cells, regulatory T cells, resting natural killer (NK) cells, and the stromal score between different cancer stages and normal tissues (Supplementary Figure 1). Based on the median value of the CAF proportion, patients were divided into high and low CAF groups. The prognosis of patients in different groups was compared (Figure 2A-F). Patients with lower proportions of the CAF S3 subset were found to have better OS (</w:t>
      </w:r>
      <w:r>
        <w:rPr>
          <w:rFonts w:ascii="Book Antiqua" w:eastAsia="Book Antiqua" w:hAnsi="Book Antiqua" w:cs="Book Antiqua"/>
          <w:i/>
          <w:iCs/>
          <w:color w:val="000000"/>
        </w:rPr>
        <w:t>P</w:t>
      </w:r>
      <w:r>
        <w:rPr>
          <w:rFonts w:ascii="Book Antiqua" w:eastAsia="Book Antiqua" w:hAnsi="Book Antiqua" w:cs="Book Antiqua"/>
          <w:color w:val="000000"/>
        </w:rPr>
        <w:t xml:space="preserve"> = 0.015; Figure 2D). Figure 2G and H illustrates </w:t>
      </w:r>
      <w:r>
        <w:rPr>
          <w:rFonts w:ascii="Book Antiqua" w:eastAsia="Book Antiqua" w:hAnsi="Book Antiqua" w:cs="Book Antiqua"/>
          <w:color w:val="000000"/>
        </w:rPr>
        <w:lastRenderedPageBreak/>
        <w:t>a positive correlation between the CAF-S3 proportion and the immune (</w:t>
      </w:r>
      <w:r>
        <w:rPr>
          <w:rFonts w:ascii="Book Antiqua" w:eastAsia="Book Antiqua" w:hAnsi="Book Antiqua" w:cs="Book Antiqua"/>
          <w:i/>
          <w:iCs/>
          <w:color w:val="000000"/>
        </w:rPr>
        <w:t>r</w:t>
      </w:r>
      <w:r>
        <w:rPr>
          <w:rFonts w:ascii="Book Antiqua" w:eastAsia="Book Antiqua" w:hAnsi="Book Antiqua" w:cs="Book Antiqua"/>
          <w:color w:val="000000"/>
        </w:rPr>
        <w:t xml:space="preserve"> = 0.57, </w:t>
      </w:r>
      <w:r>
        <w:rPr>
          <w:rFonts w:ascii="Book Antiqua" w:eastAsia="Book Antiqua" w:hAnsi="Book Antiqua" w:cs="Book Antiqua"/>
          <w:i/>
          <w:color w:val="000000"/>
        </w:rPr>
        <w:t>P</w:t>
      </w:r>
      <w:r>
        <w:rPr>
          <w:rFonts w:ascii="Book Antiqua" w:eastAsia="Book Antiqua" w:hAnsi="Book Antiqua" w:cs="Book Antiqua"/>
          <w:color w:val="000000"/>
        </w:rPr>
        <w:t xml:space="preserve"> &lt; 2.2e-16) and stromal scores (</w:t>
      </w:r>
      <w:r>
        <w:rPr>
          <w:rFonts w:ascii="Book Antiqua" w:eastAsia="Book Antiqua" w:hAnsi="Book Antiqua" w:cs="Book Antiqua"/>
          <w:i/>
          <w:iCs/>
          <w:color w:val="000000"/>
        </w:rPr>
        <w:t>r</w:t>
      </w:r>
      <w:r>
        <w:rPr>
          <w:rFonts w:ascii="Book Antiqua" w:eastAsia="Book Antiqua" w:hAnsi="Book Antiqua" w:cs="Book Antiqua"/>
          <w:color w:val="000000"/>
        </w:rPr>
        <w:t xml:space="preserve"> = 0.33, </w:t>
      </w:r>
      <w:r>
        <w:rPr>
          <w:rFonts w:ascii="Book Antiqua" w:eastAsia="Book Antiqua" w:hAnsi="Book Antiqua" w:cs="Book Antiqua"/>
          <w:i/>
          <w:color w:val="000000"/>
        </w:rPr>
        <w:t>P</w:t>
      </w:r>
      <w:r>
        <w:rPr>
          <w:rFonts w:ascii="Book Antiqua" w:eastAsia="Book Antiqua" w:hAnsi="Book Antiqua" w:cs="Book Antiqua"/>
          <w:color w:val="000000"/>
        </w:rPr>
        <w:t xml:space="preserve"> &lt; 2.2e-16).</w:t>
      </w:r>
    </w:p>
    <w:p w14:paraId="2C4AB740" w14:textId="77777777" w:rsidR="005949C7" w:rsidRDefault="005949C7">
      <w:pPr>
        <w:spacing w:line="360" w:lineRule="auto"/>
        <w:jc w:val="both"/>
        <w:rPr>
          <w:rFonts w:ascii="Book Antiqua" w:hAnsi="Book Antiqua"/>
        </w:rPr>
      </w:pPr>
    </w:p>
    <w:p w14:paraId="4964E20C" w14:textId="77777777" w:rsidR="005949C7" w:rsidRDefault="00000000">
      <w:pPr>
        <w:spacing w:line="360" w:lineRule="auto"/>
        <w:jc w:val="both"/>
        <w:rPr>
          <w:rFonts w:ascii="Book Antiqua" w:hAnsi="Book Antiqua"/>
          <w:i/>
        </w:rPr>
      </w:pPr>
      <w:r>
        <w:rPr>
          <w:rFonts w:ascii="Book Antiqua" w:eastAsia="Book Antiqua" w:hAnsi="Book Antiqua" w:cs="Book Antiqua"/>
          <w:b/>
          <w:bCs/>
          <w:i/>
          <w:color w:val="000000"/>
        </w:rPr>
        <w:t>Use of WGCNA to develop a principal-gene module related to CAF-S3 cells</w:t>
      </w:r>
    </w:p>
    <w:p w14:paraId="3E40D15B"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To better represent the scale-free topology of the co-expression axis in the WGCNA, we chose the soft-threshold β = 6 (Figure 3A). Ten co-expressed gene modules were clustered (Figure 3B), of which the black, pink, and red modules seen in Figure 3C were most relevant to CAF-S3 cells (Figure 3C). Of these, 921 genes [the black module (427 genes), pink module (255 genes), and red module (239 genes)] were selected as hub CAF-related genes (Figure 3D-F).</w:t>
      </w:r>
    </w:p>
    <w:p w14:paraId="57AC7895" w14:textId="77777777" w:rsidR="005949C7" w:rsidRDefault="005949C7">
      <w:pPr>
        <w:spacing w:line="360" w:lineRule="auto"/>
        <w:jc w:val="both"/>
        <w:rPr>
          <w:rFonts w:ascii="Book Antiqua" w:hAnsi="Book Antiqua"/>
        </w:rPr>
      </w:pPr>
    </w:p>
    <w:p w14:paraId="0E9AD4E2" w14:textId="77777777" w:rsidR="005949C7" w:rsidRDefault="00000000">
      <w:pPr>
        <w:spacing w:line="360" w:lineRule="auto"/>
        <w:jc w:val="both"/>
        <w:rPr>
          <w:rFonts w:ascii="Book Antiqua" w:hAnsi="Book Antiqua"/>
          <w:i/>
        </w:rPr>
      </w:pPr>
      <w:r>
        <w:rPr>
          <w:rFonts w:ascii="Book Antiqua" w:eastAsia="Book Antiqua" w:hAnsi="Book Antiqua" w:cs="Book Antiqua"/>
          <w:b/>
          <w:bCs/>
          <w:i/>
          <w:color w:val="000000"/>
        </w:rPr>
        <w:t>Functional enrichment analysis</w:t>
      </w:r>
    </w:p>
    <w:p w14:paraId="64E59307"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GO analysis showed that CAF</w:t>
      </w:r>
      <w:r>
        <w:rPr>
          <w:rFonts w:ascii="Book Antiqua" w:eastAsia="Book Antiqua" w:hAnsi="Book Antiqua" w:cs="Book Antiqua"/>
          <w:color w:val="000000"/>
        </w:rPr>
        <w:noBreakHyphen/>
        <w:t xml:space="preserve">related genes were mainly enriched in biological processes related to the ECM and cell adhesion, including focal adhesion, positive regulation of cell adhesion, </w:t>
      </w:r>
      <w:hyperlink r:id="rId9" w:tgtFrame="_blank" w:history="1">
        <w:r>
          <w:rPr>
            <w:rFonts w:ascii="Book Antiqua" w:eastAsia="Book Antiqua" w:hAnsi="Book Antiqua" w:cs="Book Antiqua"/>
            <w:color w:val="000000"/>
          </w:rPr>
          <w:t>extracellular structure organization</w:t>
        </w:r>
      </w:hyperlink>
      <w:r>
        <w:rPr>
          <w:rFonts w:ascii="Book Antiqua" w:eastAsia="Book Antiqua" w:hAnsi="Book Antiqua" w:cs="Book Antiqua"/>
          <w:color w:val="000000"/>
        </w:rPr>
        <w:t>, and ECM organization (Figure 4). KEGG pathway analysis indicated marked enrichment of the genes in pathways associated with cell adhesion (Figure 4).</w:t>
      </w:r>
    </w:p>
    <w:p w14:paraId="564664D5" w14:textId="77777777" w:rsidR="005949C7" w:rsidRDefault="005949C7">
      <w:pPr>
        <w:spacing w:line="360" w:lineRule="auto"/>
        <w:jc w:val="both"/>
        <w:rPr>
          <w:rFonts w:ascii="Book Antiqua" w:hAnsi="Book Antiqua"/>
        </w:rPr>
      </w:pPr>
    </w:p>
    <w:p w14:paraId="659731CB" w14:textId="77777777" w:rsidR="005949C7" w:rsidRDefault="00000000">
      <w:pPr>
        <w:spacing w:line="360" w:lineRule="auto"/>
        <w:jc w:val="both"/>
        <w:rPr>
          <w:rFonts w:ascii="Book Antiqua" w:hAnsi="Book Antiqua"/>
          <w:i/>
        </w:rPr>
      </w:pPr>
      <w:r>
        <w:rPr>
          <w:rFonts w:ascii="Book Antiqua" w:eastAsia="Book Antiqua" w:hAnsi="Book Antiqua" w:cs="Book Antiqua"/>
          <w:b/>
          <w:bCs/>
          <w:i/>
          <w:color w:val="000000"/>
        </w:rPr>
        <w:t xml:space="preserve">Screening of prognostic genes and generation of a CAF prognostic gene signature </w:t>
      </w:r>
    </w:p>
    <w:p w14:paraId="745E2098"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Only gene expression values greater than 1 were included in this analysis. Univariate analysis showed that 72 CAF-related genes were strongly associated with OS. Further LASSO and multivariate analyses showed that eight CAF-associated genes (IL18, MYD88, GLIPR1, TNN, BHLHE41, DNAJB5, FKBP14, and XG) were independent prognostic factors of BC patient OS (Figure 5A-C).</w:t>
      </w:r>
    </w:p>
    <w:p w14:paraId="5A155DFB" w14:textId="77777777" w:rsidR="005949C7"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 risk score (RS) system was established using the expression levels of these eight genes and their corresponding coefficients obtained from the multivariate Cox regression analysis. We then calculated the RS using the formula: RS [CAF prognostic gene signature (CAFPS)] = (-0.168 × IL18 levels) + (-0.420 × MYD88 levels) + (-0.338 × </w:t>
      </w:r>
      <w:r>
        <w:rPr>
          <w:rFonts w:ascii="Book Antiqua" w:eastAsia="Book Antiqua" w:hAnsi="Book Antiqua" w:cs="Book Antiqua"/>
          <w:color w:val="000000"/>
        </w:rPr>
        <w:lastRenderedPageBreak/>
        <w:t>GLIPR1 levels) + (-0.236 × TNN levels) +(-0.129 × BHLHE41 levels) + (-0.577 × DNAJB5 levels) + (0.695 × FKBP14 levels) + (0.573 × XG levels).</w:t>
      </w:r>
    </w:p>
    <w:p w14:paraId="00C33C48" w14:textId="77777777" w:rsidR="005949C7" w:rsidRDefault="005949C7">
      <w:pPr>
        <w:spacing w:line="360" w:lineRule="auto"/>
        <w:jc w:val="both"/>
        <w:rPr>
          <w:rFonts w:ascii="Book Antiqua" w:hAnsi="Book Antiqua"/>
        </w:rPr>
      </w:pPr>
    </w:p>
    <w:p w14:paraId="5CEC3E51" w14:textId="77777777" w:rsidR="005949C7" w:rsidRDefault="00000000">
      <w:pPr>
        <w:spacing w:line="360" w:lineRule="auto"/>
        <w:jc w:val="both"/>
        <w:rPr>
          <w:rFonts w:ascii="Book Antiqua" w:hAnsi="Book Antiqua"/>
          <w:i/>
        </w:rPr>
      </w:pPr>
      <w:r>
        <w:rPr>
          <w:rFonts w:ascii="Book Antiqua" w:eastAsia="Book Antiqua" w:hAnsi="Book Antiqua" w:cs="Book Antiqua"/>
          <w:b/>
          <w:bCs/>
          <w:i/>
          <w:color w:val="000000"/>
        </w:rPr>
        <w:t>Evaluation of biomarkers</w:t>
      </w:r>
    </w:p>
    <w:p w14:paraId="6E1F910D"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Genetic alterations in the biomarkers were assessed using data from the TCGA database. Most of the eight biomarkers exhibited high CNV frequencies in BC (IL18: 37.26%, MYD88: 22.05%, GLIPR1: 17.11%, TNN: 27.76%, BHLHE41: 16.16%, DNAJB5:14.07%, FKBP14: 15.21%, and XG: 14.83%; Figure 6).</w:t>
      </w:r>
    </w:p>
    <w:p w14:paraId="4C0C8D0B" w14:textId="77777777" w:rsidR="005949C7" w:rsidRDefault="005949C7">
      <w:pPr>
        <w:spacing w:line="360" w:lineRule="auto"/>
        <w:jc w:val="both"/>
        <w:rPr>
          <w:rFonts w:ascii="Book Antiqua" w:hAnsi="Book Antiqua"/>
        </w:rPr>
      </w:pPr>
    </w:p>
    <w:p w14:paraId="188BB970" w14:textId="77777777" w:rsidR="005949C7" w:rsidRDefault="00000000">
      <w:pPr>
        <w:spacing w:line="360" w:lineRule="auto"/>
        <w:jc w:val="both"/>
        <w:rPr>
          <w:rFonts w:ascii="Book Antiqua" w:hAnsi="Book Antiqua"/>
          <w:i/>
        </w:rPr>
      </w:pPr>
      <w:r>
        <w:rPr>
          <w:rFonts w:ascii="Book Antiqua" w:eastAsia="Book Antiqua" w:hAnsi="Book Antiqua" w:cs="Book Antiqua"/>
          <w:b/>
          <w:bCs/>
          <w:i/>
          <w:color w:val="000000"/>
        </w:rPr>
        <w:t>Predictive accuracy of the eight-gene prognostic signature</w:t>
      </w:r>
    </w:p>
    <w:p w14:paraId="4355BA61"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 xml:space="preserve">Using the median RS, we separated BC patients into either low- (LR) or high-risk (HR) groups to evaluate the predictive accuracy of the eight-gene prognostic signature. This showed that the LR group had significantly better OS, compared with the HR group (HR 2.951, 95%CI 2.220-3.924, </w:t>
      </w:r>
      <w:r>
        <w:rPr>
          <w:rFonts w:ascii="Book Antiqua" w:eastAsia="Book Antiqua" w:hAnsi="Book Antiqua" w:cs="Book Antiqua"/>
          <w:i/>
          <w:color w:val="000000"/>
        </w:rPr>
        <w:t>P</w:t>
      </w:r>
      <w:r>
        <w:rPr>
          <w:rFonts w:ascii="Book Antiqua" w:eastAsia="Book Antiqua" w:hAnsi="Book Antiqua" w:cs="Book Antiqua"/>
          <w:color w:val="000000"/>
        </w:rPr>
        <w:t xml:space="preserve"> &lt; 0.0001; Figure 7A). The AUCs of the prognostic signature showed that it was effective for predicting the OS of patients with BC (3-year AUC = 0.698, 5-year AUC = 0.719, 8-year AUC = 0.752) (Figure 7B). We generated risk curves and scatter plots to display the RS and survival status of individual BC patients, finding that poorer outcome was strongly related to an elevated RS (Figure 7C and D). Furthermore, a heatmap depicting the expression patterns of the risk-associated genes in both groups showed that FKBP14 and XG levels were significantly increased in HR patients, while the levels of IL18, MYD88, GLIPR1, TNN, BHLHE41, and DNAJB5 were elevated in LR patients (Figure 7E). Multivariate analysis indicated that the CAFPS was an independent prognostic factor of BC patient prognosis after adjustment for other clinical factors (HR 2.466, 95%CI 1.843-3.298, </w:t>
      </w:r>
      <w:r>
        <w:rPr>
          <w:rFonts w:ascii="Book Antiqua" w:eastAsia="Book Antiqua" w:hAnsi="Book Antiqua" w:cs="Book Antiqua"/>
          <w:i/>
          <w:color w:val="000000"/>
        </w:rPr>
        <w:t>P</w:t>
      </w:r>
      <w:r>
        <w:rPr>
          <w:rFonts w:ascii="Book Antiqua" w:eastAsia="Book Antiqua" w:hAnsi="Book Antiqua" w:cs="Book Antiqua"/>
          <w:color w:val="000000"/>
        </w:rPr>
        <w:t xml:space="preserve"> &lt; 0.001) (Figure 8).</w:t>
      </w:r>
    </w:p>
    <w:p w14:paraId="4ADBFA06" w14:textId="77777777" w:rsidR="005949C7"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eight-gene prognostic signature was then validated using the GSE96058 and GSE21653 datasets. Kaplan-Meier survival curves confirmed that the HR cohort experienced worse OS relative to the LR cohort (GSE96085 cohort: </w:t>
      </w:r>
      <w:r>
        <w:rPr>
          <w:rFonts w:ascii="Book Antiqua" w:eastAsia="Book Antiqua" w:hAnsi="Book Antiqua" w:cs="Book Antiqua"/>
          <w:i/>
          <w:color w:val="000000"/>
        </w:rPr>
        <w:t>P</w:t>
      </w:r>
      <w:r>
        <w:rPr>
          <w:rFonts w:ascii="Book Antiqua" w:eastAsia="Book Antiqua" w:hAnsi="Book Antiqua" w:cs="Book Antiqua"/>
          <w:color w:val="000000"/>
        </w:rPr>
        <w:t xml:space="preserve"> &lt; 0.0001; GSE21653 cohort: </w:t>
      </w:r>
      <w:r>
        <w:rPr>
          <w:rFonts w:ascii="Book Antiqua" w:eastAsia="Book Antiqua" w:hAnsi="Book Antiqua" w:cs="Book Antiqua"/>
          <w:i/>
          <w:iCs/>
          <w:color w:val="000000"/>
        </w:rPr>
        <w:t>P</w:t>
      </w:r>
      <w:r>
        <w:rPr>
          <w:rFonts w:ascii="Book Antiqua" w:eastAsia="Book Antiqua" w:hAnsi="Book Antiqua" w:cs="Book Antiqua"/>
          <w:color w:val="000000"/>
        </w:rPr>
        <w:t xml:space="preserve"> = 0.01) (Figure 9A and B). </w:t>
      </w:r>
    </w:p>
    <w:p w14:paraId="74138966" w14:textId="77777777" w:rsidR="005949C7"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We then investigated whether RS could predict outcomes in various subgroups, including age ≥ 60, age &lt; 60, phase I-II, phase III-IV, TNBC, and non-TNBC. This showed that all subgroups were accurately estimated by RS. Stratification analyses in the TCGA indicated worse OS for HR patients in each stratum, including age, stage, and molecular subtype, compared with LR patients. These data indicated that the CAFPS was a robust and independent predictor of OS in different populations. (Supplementary Figure 2).</w:t>
      </w:r>
    </w:p>
    <w:p w14:paraId="2C8B0A5D" w14:textId="77777777" w:rsidR="005949C7" w:rsidRDefault="005949C7">
      <w:pPr>
        <w:spacing w:line="360" w:lineRule="auto"/>
        <w:jc w:val="both"/>
        <w:rPr>
          <w:rFonts w:ascii="Book Antiqua" w:hAnsi="Book Antiqua"/>
        </w:rPr>
      </w:pPr>
    </w:p>
    <w:p w14:paraId="6D195272" w14:textId="77777777" w:rsidR="005949C7" w:rsidRDefault="00000000">
      <w:pPr>
        <w:spacing w:line="360" w:lineRule="auto"/>
        <w:jc w:val="both"/>
        <w:rPr>
          <w:rFonts w:ascii="Book Antiqua" w:hAnsi="Book Antiqua"/>
          <w:i/>
        </w:rPr>
      </w:pPr>
      <w:r>
        <w:rPr>
          <w:rFonts w:ascii="Book Antiqua" w:eastAsia="Book Antiqua" w:hAnsi="Book Antiqua" w:cs="Book Antiqua"/>
          <w:b/>
          <w:bCs/>
          <w:i/>
          <w:color w:val="000000"/>
        </w:rPr>
        <w:t>Correlation between the CAFPS and clinicopathological factors</w:t>
      </w:r>
    </w:p>
    <w:p w14:paraId="7F7CD63F"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To further assess whether CAF</w:t>
      </w:r>
      <w:r>
        <w:rPr>
          <w:rFonts w:ascii="Book Antiqua" w:eastAsia="Book Antiqua" w:hAnsi="Book Antiqua" w:cs="Book Antiqua"/>
          <w:color w:val="000000"/>
        </w:rPr>
        <w:noBreakHyphen/>
        <w:t>related genes participated in the development of BC, we assessed the associations between CAFPS and patient clinicopathological factors. This showed that the CAFPS was significantly correlated with pathological T stage, pathological M stage, and molecular subtype (Figure 10). The higher the T stage, the higher the corresponding RS. Patients with metastasis and Her2-enrichment had higher RS values.</w:t>
      </w:r>
    </w:p>
    <w:p w14:paraId="73343262" w14:textId="77777777" w:rsidR="005949C7" w:rsidRDefault="005949C7">
      <w:pPr>
        <w:spacing w:line="360" w:lineRule="auto"/>
        <w:jc w:val="both"/>
        <w:rPr>
          <w:rFonts w:ascii="Book Antiqua" w:hAnsi="Book Antiqua"/>
        </w:rPr>
      </w:pPr>
    </w:p>
    <w:p w14:paraId="347DD16A" w14:textId="77777777" w:rsidR="005949C7" w:rsidRDefault="00000000">
      <w:pPr>
        <w:spacing w:line="360" w:lineRule="auto"/>
        <w:jc w:val="both"/>
        <w:rPr>
          <w:rFonts w:ascii="Book Antiqua" w:hAnsi="Book Antiqua"/>
          <w:i/>
        </w:rPr>
      </w:pPr>
      <w:r>
        <w:rPr>
          <w:rFonts w:ascii="Book Antiqua" w:eastAsia="Book Antiqua" w:hAnsi="Book Antiqua" w:cs="Book Antiqua"/>
          <w:b/>
          <w:bCs/>
          <w:i/>
          <w:color w:val="000000"/>
        </w:rPr>
        <w:t xml:space="preserve">Generation of the CAFPS-based nomogram </w:t>
      </w:r>
    </w:p>
    <w:p w14:paraId="59D79411"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A nomogram was generated using the eight-gene CAFPS and several patient clinical characteristics, namely, age and pathological status, to predict the 3 and 5-year OS of BC patients (Figure 11A). All patients were given a point each for individual prognostic parameters, and a higher total score indicated worse prognosis. We next assessed the predictive efficacy of the nomogram using time-dependent ROC curve analysis. This showed that the AUCs of the nomogram were 0.805 and 0.801 for the 3- and 5-year OS rate predictions, respectively (Figure 11B and C). Moreover, higher AUCs were seen compared with the pathological stage. These results demonstrated the satisfactory predictive efficacy of the nomogram in determining the outcomes of BC patients (Figure 11D and E).</w:t>
      </w:r>
    </w:p>
    <w:p w14:paraId="3E5831BC" w14:textId="77777777" w:rsidR="005949C7" w:rsidRDefault="005949C7">
      <w:pPr>
        <w:spacing w:line="360" w:lineRule="auto"/>
        <w:jc w:val="both"/>
        <w:rPr>
          <w:rFonts w:ascii="Book Antiqua" w:hAnsi="Book Antiqua"/>
        </w:rPr>
      </w:pPr>
    </w:p>
    <w:p w14:paraId="5878BFCE" w14:textId="77777777" w:rsidR="005949C7" w:rsidRDefault="00000000">
      <w:pPr>
        <w:spacing w:line="360" w:lineRule="auto"/>
        <w:jc w:val="both"/>
        <w:rPr>
          <w:rFonts w:ascii="Book Antiqua" w:hAnsi="Book Antiqua"/>
          <w:i/>
        </w:rPr>
      </w:pPr>
      <w:r>
        <w:rPr>
          <w:rFonts w:ascii="Book Antiqua" w:eastAsia="Book Antiqua" w:hAnsi="Book Antiqua" w:cs="Book Antiqua"/>
          <w:b/>
          <w:bCs/>
          <w:i/>
          <w:color w:val="000000"/>
        </w:rPr>
        <w:t>Prognostic value of CAFPS in relation to drug response</w:t>
      </w:r>
    </w:p>
    <w:p w14:paraId="2B6318C1"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Patients in the GSE18728 dataset underwent chemotherapy. Of these, 11 responded while 17 did not. The CAFPS scores of the patients who responded were significantly lower compared to those of the non-responding patients (Wilcoxon test, </w:t>
      </w:r>
      <w:r>
        <w:rPr>
          <w:rFonts w:ascii="Book Antiqua" w:eastAsia="Book Antiqua" w:hAnsi="Book Antiqua" w:cs="Book Antiqua"/>
          <w:i/>
          <w:iCs/>
          <w:color w:val="000000"/>
        </w:rPr>
        <w:t>P</w:t>
      </w:r>
      <w:r>
        <w:rPr>
          <w:rFonts w:ascii="Book Antiqua" w:eastAsia="Book Antiqua" w:hAnsi="Book Antiqua" w:cs="Book Antiqua"/>
          <w:color w:val="000000"/>
        </w:rPr>
        <w:t xml:space="preserve"> = 0.048, Figure 12A). Moreover, patients with reduced CAFPS scores responded better than those with elevated scores (Figure 12B). These findings indicate that the CAFPS was effective for estimating patient response to chemotherapy. This also explained the worse outcome and rapid cancer progression of patients with elevated CAFPS scores who underwent chemotherapy.</w:t>
      </w:r>
    </w:p>
    <w:p w14:paraId="13B97291" w14:textId="77777777" w:rsidR="005949C7" w:rsidRDefault="005949C7">
      <w:pPr>
        <w:spacing w:line="360" w:lineRule="auto"/>
        <w:jc w:val="both"/>
        <w:rPr>
          <w:rFonts w:ascii="Book Antiqua" w:hAnsi="Book Antiqua"/>
        </w:rPr>
      </w:pPr>
    </w:p>
    <w:p w14:paraId="4C6CDEF8" w14:textId="77777777" w:rsidR="005949C7" w:rsidRDefault="00000000">
      <w:pPr>
        <w:spacing w:line="360" w:lineRule="auto"/>
        <w:jc w:val="both"/>
        <w:rPr>
          <w:rFonts w:ascii="Book Antiqua" w:hAnsi="Book Antiqua"/>
          <w:i/>
        </w:rPr>
      </w:pPr>
      <w:r>
        <w:rPr>
          <w:rFonts w:ascii="Book Antiqua" w:eastAsia="Book Antiqua" w:hAnsi="Book Antiqua" w:cs="Book Antiqua"/>
          <w:b/>
          <w:bCs/>
          <w:i/>
          <w:color w:val="000000"/>
        </w:rPr>
        <w:t>Evaluation of the prognostic gene signature, immune checkpoints, and hallmark gene networks</w:t>
      </w:r>
    </w:p>
    <w:p w14:paraId="07B2B613"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 xml:space="preserve">We next assessed differences in the levels of immune checkpoint molecules between the HR and LR cohorts. Relative to the HR cohort, the levels of </w:t>
      </w:r>
      <w:r>
        <w:rPr>
          <w:rFonts w:ascii="Book Antiqua" w:eastAsia="Book Antiqua" w:hAnsi="Book Antiqua" w:cs="Book Antiqua" w:hint="eastAsia"/>
          <w:color w:val="000000"/>
        </w:rPr>
        <w:t>PDCD1</w:t>
      </w:r>
      <w:r>
        <w:rPr>
          <w:rFonts w:ascii="Book Antiqua" w:eastAsia="Book Antiqua" w:hAnsi="Book Antiqua" w:cs="Book Antiqua"/>
          <w:color w:val="000000"/>
        </w:rPr>
        <w:t xml:space="preserve"> (PD1) (</w:t>
      </w:r>
      <w:r>
        <w:rPr>
          <w:rFonts w:ascii="Book Antiqua" w:eastAsia="Book Antiqua" w:hAnsi="Book Antiqua" w:cs="Book Antiqua"/>
          <w:i/>
          <w:color w:val="000000"/>
        </w:rPr>
        <w:t>P</w:t>
      </w:r>
      <w:r>
        <w:rPr>
          <w:rFonts w:ascii="Book Antiqua" w:eastAsia="Book Antiqua" w:hAnsi="Book Antiqua" w:cs="Book Antiqua"/>
          <w:color w:val="000000"/>
        </w:rPr>
        <w:t xml:space="preserve"> &lt; 2.22e-16), </w:t>
      </w:r>
      <w:r>
        <w:rPr>
          <w:rFonts w:ascii="Book Antiqua" w:eastAsia="Book Antiqua" w:hAnsi="Book Antiqua" w:cs="Book Antiqua" w:hint="eastAsia"/>
          <w:color w:val="000000"/>
        </w:rPr>
        <w:t>CD274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(PD-L1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color w:val="000000"/>
        </w:rPr>
        <w:t>P</w:t>
      </w:r>
      <w:r>
        <w:rPr>
          <w:rFonts w:ascii="Book Antiqua" w:eastAsia="Book Antiqua" w:hAnsi="Book Antiqua" w:cs="Book Antiqua"/>
          <w:color w:val="000000"/>
        </w:rPr>
        <w:t xml:space="preserve"> &lt; 2.22e-16), CTLA4 (</w:t>
      </w:r>
      <w:r>
        <w:rPr>
          <w:rFonts w:ascii="Book Antiqua" w:eastAsia="Book Antiqua" w:hAnsi="Book Antiqua" w:cs="Book Antiqua"/>
          <w:i/>
          <w:color w:val="000000"/>
        </w:rPr>
        <w:t>P</w:t>
      </w:r>
      <w:r>
        <w:rPr>
          <w:rFonts w:ascii="Book Antiqua" w:eastAsia="Book Antiqua" w:hAnsi="Book Antiqua" w:cs="Book Antiqua"/>
          <w:color w:val="000000"/>
        </w:rPr>
        <w:t xml:space="preserve"> &lt; 2.22e-16), LAG3 (2.7e-13), IDO1 (</w:t>
      </w:r>
      <w:r>
        <w:rPr>
          <w:rFonts w:ascii="Book Antiqua" w:eastAsia="Book Antiqua" w:hAnsi="Book Antiqua" w:cs="Book Antiqua"/>
          <w:i/>
          <w:color w:val="000000"/>
        </w:rPr>
        <w:t>P</w:t>
      </w:r>
      <w:r>
        <w:rPr>
          <w:rFonts w:ascii="Book Antiqua" w:eastAsia="Book Antiqua" w:hAnsi="Book Antiqua" w:cs="Book Antiqua"/>
          <w:color w:val="000000"/>
        </w:rPr>
        <w:t xml:space="preserve"> &lt; 2.22e-16), and TIGIT (</w:t>
      </w:r>
      <w:r>
        <w:rPr>
          <w:rFonts w:ascii="Book Antiqua" w:eastAsia="Book Antiqua" w:hAnsi="Book Antiqua" w:cs="Book Antiqua"/>
          <w:i/>
          <w:color w:val="000000"/>
        </w:rPr>
        <w:t>P</w:t>
      </w:r>
      <w:r>
        <w:rPr>
          <w:rFonts w:ascii="Book Antiqua" w:eastAsia="Book Antiqua" w:hAnsi="Book Antiqua" w:cs="Book Antiqua"/>
          <w:color w:val="000000"/>
        </w:rPr>
        <w:t xml:space="preserve"> &lt; 2.22e-16) were significantly raised in the LR cohort (Figure 13). Another interesting finding was that almost all of the hallmark gene networks were significantly associated with CAFPS (Figure 14A). Moreover, the single-sample gene set enrichment analysis (ssGSEA) showed that the CAFPS RS was negatively associated with the TGF-BETA (</w:t>
      </w:r>
      <w:r>
        <w:rPr>
          <w:rFonts w:ascii="Book Antiqua" w:eastAsia="宋体" w:hAnsi="Book Antiqua" w:cs="Book Antiqua" w:hint="eastAsia"/>
          <w:i/>
          <w:color w:val="000000"/>
          <w:lang w:eastAsia="zh-CN"/>
        </w:rPr>
        <w:t>r</w:t>
      </w:r>
      <w:r>
        <w:rPr>
          <w:rFonts w:ascii="Book Antiqua" w:eastAsia="Book Antiqua" w:hAnsi="Book Antiqua" w:cs="Book Antiqua"/>
          <w:color w:val="000000"/>
        </w:rPr>
        <w:t xml:space="preserve"> = -0.091, </w:t>
      </w:r>
      <w:r>
        <w:rPr>
          <w:rFonts w:ascii="Book Antiqua" w:eastAsia="Book Antiqua" w:hAnsi="Book Antiqua" w:cs="Book Antiqua"/>
          <w:i/>
          <w:iCs/>
          <w:color w:val="000000"/>
        </w:rPr>
        <w:t>P</w:t>
      </w:r>
      <w:r>
        <w:rPr>
          <w:rFonts w:ascii="Book Antiqua" w:eastAsia="Book Antiqua" w:hAnsi="Book Antiqua" w:cs="Book Antiqua"/>
          <w:color w:val="000000"/>
        </w:rPr>
        <w:t xml:space="preserve"> = 0.0032), IL-6-JAK-STAT3 (</w:t>
      </w:r>
      <w:r>
        <w:rPr>
          <w:rFonts w:ascii="Book Antiqua" w:eastAsia="宋体" w:hAnsi="Book Antiqua" w:cs="Book Antiqua" w:hint="eastAsia"/>
          <w:i/>
          <w:color w:val="000000"/>
          <w:lang w:eastAsia="zh-CN"/>
        </w:rPr>
        <w:t>r</w:t>
      </w:r>
      <w:r>
        <w:rPr>
          <w:rFonts w:ascii="Book Antiqua" w:eastAsia="Book Antiqua" w:hAnsi="Book Antiqua" w:cs="Book Antiqua"/>
          <w:color w:val="000000"/>
        </w:rPr>
        <w:t xml:space="preserve"> = -0.37, </w:t>
      </w:r>
      <w:r>
        <w:rPr>
          <w:rFonts w:ascii="Book Antiqua" w:eastAsia="Book Antiqua" w:hAnsi="Book Antiqua" w:cs="Book Antiqua"/>
          <w:i/>
          <w:color w:val="000000"/>
        </w:rPr>
        <w:t>P</w:t>
      </w:r>
      <w:r>
        <w:rPr>
          <w:rFonts w:ascii="Book Antiqua" w:eastAsia="Book Antiqua" w:hAnsi="Book Antiqua" w:cs="Book Antiqua"/>
          <w:color w:val="000000"/>
        </w:rPr>
        <w:t xml:space="preserve"> &lt; 2.2e-16), and TNFA-SIGNALING-VIA-NFKB (</w:t>
      </w:r>
      <w:r>
        <w:rPr>
          <w:rFonts w:ascii="Book Antiqua" w:eastAsia="宋体" w:hAnsi="Book Antiqua" w:cs="Book Antiqua" w:hint="eastAsia"/>
          <w:i/>
          <w:iCs/>
          <w:color w:val="000000"/>
          <w:lang w:eastAsia="zh-CN"/>
        </w:rPr>
        <w:t xml:space="preserve">r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-0.34, </w:t>
      </w:r>
      <w:r>
        <w:rPr>
          <w:rFonts w:ascii="Book Antiqua" w:eastAsia="Book Antiqua" w:hAnsi="Book Antiqua" w:cs="Book Antiqua"/>
          <w:i/>
          <w:color w:val="000000"/>
        </w:rPr>
        <w:t>P</w:t>
      </w:r>
      <w:r>
        <w:rPr>
          <w:rFonts w:ascii="Book Antiqua" w:eastAsia="Book Antiqua" w:hAnsi="Book Antiqua" w:cs="Book Antiqua"/>
          <w:color w:val="000000"/>
        </w:rPr>
        <w:t xml:space="preserve"> &lt; 2.2e-16) signaling pathways (Figure 14B-D).</w:t>
      </w:r>
    </w:p>
    <w:p w14:paraId="6DFFB28B" w14:textId="77777777" w:rsidR="005949C7" w:rsidRDefault="005949C7">
      <w:pPr>
        <w:spacing w:line="360" w:lineRule="auto"/>
        <w:jc w:val="both"/>
        <w:rPr>
          <w:rFonts w:ascii="Book Antiqua" w:hAnsi="Book Antiqua"/>
        </w:rPr>
      </w:pPr>
    </w:p>
    <w:p w14:paraId="05716ED1" w14:textId="77777777" w:rsidR="005949C7" w:rsidRDefault="00000000">
      <w:pPr>
        <w:spacing w:line="360" w:lineRule="auto"/>
        <w:jc w:val="both"/>
        <w:rPr>
          <w:rFonts w:ascii="Book Antiqua" w:hAnsi="Book Antiqua"/>
          <w:i/>
        </w:rPr>
      </w:pPr>
      <w:r>
        <w:rPr>
          <w:rFonts w:ascii="Book Antiqua" w:eastAsia="Book Antiqua" w:hAnsi="Book Antiqua" w:cs="Book Antiqua"/>
          <w:b/>
          <w:bCs/>
          <w:i/>
          <w:color w:val="000000"/>
        </w:rPr>
        <w:t>External experimental validation of prognostic signature</w:t>
      </w:r>
    </w:p>
    <w:p w14:paraId="6BB50630"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 xml:space="preserve">We found that the expression levels of FKBP14 was significantly higher in breast cancer samples than in the paired adjacent normal tissues. Patients were divided into high expression group and low expression group based on the median values of FKBP14 expression. Among patients with high FKBP14 expression, the proportion of patients with tumor size </w:t>
      </w:r>
      <w:r>
        <w:rPr>
          <w:rFonts w:ascii="Book Antiqua" w:eastAsia="宋体" w:hAnsi="Book Antiqua" w:cs="宋体" w:hint="eastAsia"/>
          <w:color w:val="000000"/>
          <w:lang w:eastAsia="zh-CN"/>
        </w:rPr>
        <w:t>&gt;</w:t>
      </w:r>
      <w:r>
        <w:rPr>
          <w:rFonts w:ascii="宋体" w:eastAsia="宋体" w:hAnsi="宋体" w:cs="宋体" w:hint="eastAsia"/>
          <w:color w:val="000000"/>
          <w:lang w:eastAsia="zh-CN"/>
        </w:rPr>
        <w:t xml:space="preserve"> </w:t>
      </w:r>
      <w:r>
        <w:rPr>
          <w:rFonts w:ascii="Book Antiqua" w:eastAsia="Book Antiqua" w:hAnsi="Book Antiqua" w:cs="Book Antiqua"/>
          <w:color w:val="000000"/>
        </w:rPr>
        <w:t>2 cm, lymph node metastasis and TNM stage III was higher than that of patients with low FKBP14 expression (</w:t>
      </w:r>
      <w:r>
        <w:rPr>
          <w:rFonts w:ascii="Book Antiqua" w:eastAsia="Book Antiqua" w:hAnsi="Book Antiqua" w:cs="Book Antiqua"/>
          <w:i/>
          <w:color w:val="000000"/>
        </w:rPr>
        <w:t>P</w:t>
      </w:r>
      <w:r>
        <w:rPr>
          <w:rFonts w:ascii="Book Antiqua" w:eastAsia="Book Antiqua" w:hAnsi="Book Antiqua" w:cs="Book Antiqua"/>
          <w:color w:val="000000"/>
        </w:rPr>
        <w:t xml:space="preserve"> &lt; 0.05) (Table 2).</w:t>
      </w:r>
    </w:p>
    <w:p w14:paraId="1ABB5D78" w14:textId="77777777" w:rsidR="005949C7" w:rsidRDefault="005949C7">
      <w:pPr>
        <w:spacing w:line="360" w:lineRule="auto"/>
        <w:jc w:val="both"/>
        <w:rPr>
          <w:rFonts w:ascii="Book Antiqua" w:hAnsi="Book Antiqua"/>
        </w:rPr>
      </w:pPr>
    </w:p>
    <w:p w14:paraId="20FD8C27" w14:textId="77777777" w:rsidR="005949C7"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39F6798D"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Current methods are relatively ineffective for predicting the outcomes of BC patients, likely due to complications related to phenotypes and underlying mechanisms. However, advances in bioinformatics have allowed the identification of new biomarkers to aid BC diagnosis and the estimation of patient outcomes</w:t>
      </w:r>
      <w:r>
        <w:rPr>
          <w:rFonts w:ascii="Book Antiqua" w:eastAsia="Book Antiqua" w:hAnsi="Book Antiqua" w:cs="Book Antiqua"/>
          <w:color w:val="000000"/>
          <w:vertAlign w:val="superscript"/>
        </w:rPr>
        <w:t>[22,23]</w:t>
      </w:r>
      <w:r>
        <w:rPr>
          <w:rFonts w:ascii="Book Antiqua" w:eastAsia="Book Antiqua" w:hAnsi="Book Antiqua" w:cs="Book Antiqua"/>
          <w:color w:val="000000"/>
        </w:rPr>
        <w:t>. CAFs, non-neoplastic stromal cells found within the TME, aid in tumor formation and metastasis</w:t>
      </w:r>
      <w:r>
        <w:rPr>
          <w:rFonts w:ascii="Book Antiqua" w:eastAsia="Book Antiqua" w:hAnsi="Book Antiqua" w:cs="Book Antiqua"/>
          <w:color w:val="000000"/>
          <w:vertAlign w:val="superscript"/>
        </w:rPr>
        <w:t>[24,25]</w:t>
      </w:r>
      <w:r>
        <w:rPr>
          <w:rFonts w:ascii="Book Antiqua" w:eastAsia="Book Antiqua" w:hAnsi="Book Antiqua" w:cs="Book Antiqua"/>
          <w:color w:val="000000"/>
        </w:rPr>
        <w:t>. Multiple studies have identified CAFs as indicators of drug resistance and worse outcome in a range of tumors</w:t>
      </w:r>
      <w:r>
        <w:rPr>
          <w:rFonts w:ascii="Book Antiqua" w:eastAsia="Book Antiqua" w:hAnsi="Book Antiqua" w:cs="Book Antiqua"/>
          <w:color w:val="000000"/>
          <w:vertAlign w:val="superscript"/>
        </w:rPr>
        <w:t>[26-28]</w:t>
      </w:r>
      <w:r>
        <w:rPr>
          <w:rFonts w:ascii="Book Antiqua" w:eastAsia="Book Antiqua" w:hAnsi="Book Antiqua" w:cs="Book Antiqua"/>
          <w:color w:val="000000"/>
        </w:rPr>
        <w:t>. Moreover, it was revealed that factors secreted by CAFs can transmit signals to tumor cells that promote drug resistance</w:t>
      </w:r>
      <w:r>
        <w:rPr>
          <w:rFonts w:ascii="Book Antiqua" w:eastAsia="Book Antiqua" w:hAnsi="Book Antiqua" w:cs="Book Antiqua"/>
          <w:color w:val="000000"/>
          <w:vertAlign w:val="superscript"/>
        </w:rPr>
        <w:t>[29]</w:t>
      </w:r>
      <w:r>
        <w:rPr>
          <w:rFonts w:ascii="Book Antiqua" w:eastAsia="Book Antiqua" w:hAnsi="Book Antiqua" w:cs="Book Antiqua"/>
          <w:color w:val="000000"/>
        </w:rPr>
        <w:t>. Furthermore, CAFs also release cytokines, exosomes, and growth factors, which influence components of the TME, thereby modulating the therapeutic response. Emerging evidence has revealed a strong association between the number and activity of CAFs and patient prognosis</w:t>
      </w:r>
      <w:r>
        <w:rPr>
          <w:rFonts w:ascii="Book Antiqua" w:eastAsia="Book Antiqua" w:hAnsi="Book Antiqua" w:cs="Book Antiqua"/>
          <w:color w:val="000000"/>
          <w:vertAlign w:val="superscript"/>
        </w:rPr>
        <w:t>[13,14,28]</w:t>
      </w:r>
      <w:r>
        <w:rPr>
          <w:rFonts w:ascii="Book Antiqua" w:eastAsia="Book Antiqua" w:hAnsi="Book Antiqua" w:cs="Book Antiqua"/>
          <w:color w:val="000000"/>
        </w:rPr>
        <w:t xml:space="preserve">. Hence, targeting CAFs may be beneficial to anti-cancer therapy. </w:t>
      </w:r>
    </w:p>
    <w:p w14:paraId="3FA1F7B4" w14:textId="77777777" w:rsidR="005949C7"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Prior investigations have identified fibroblasts based on their expression of FAP and αSMA</w:t>
      </w:r>
      <w:r>
        <w:rPr>
          <w:rFonts w:ascii="Book Antiqua" w:eastAsia="Book Antiqua" w:hAnsi="Book Antiqua" w:cs="Book Antiqua"/>
          <w:color w:val="000000"/>
          <w:vertAlign w:val="superscript"/>
        </w:rPr>
        <w:t>[30]</w:t>
      </w:r>
      <w:r>
        <w:rPr>
          <w:rFonts w:ascii="Book Antiqua" w:eastAsia="Book Antiqua" w:hAnsi="Book Antiqua" w:cs="Book Antiqua"/>
          <w:color w:val="000000"/>
        </w:rPr>
        <w:t>. However, fibroblasts are distinct from cancer cells and have thus not been further stratified. Single-cell RNA sequencing (scRNA-seq) can examine the entire cellular signature of tumor cells</w:t>
      </w:r>
      <w:r>
        <w:rPr>
          <w:rFonts w:ascii="Book Antiqua" w:eastAsia="Book Antiqua" w:hAnsi="Book Antiqua" w:cs="Book Antiqua"/>
          <w:color w:val="000000"/>
          <w:vertAlign w:val="superscript"/>
        </w:rPr>
        <w:t>[31,32]</w:t>
      </w:r>
      <w:r>
        <w:rPr>
          <w:rFonts w:ascii="Book Antiqua" w:eastAsia="Book Antiqua" w:hAnsi="Book Antiqua" w:cs="Book Antiqua"/>
          <w:color w:val="000000"/>
        </w:rPr>
        <w:t>. Recent CAF examinations recognized two polarized states regulated by ECM formation or inflammatory secretomes</w:t>
      </w:r>
      <w:r>
        <w:rPr>
          <w:rFonts w:ascii="Book Antiqua" w:eastAsia="Book Antiqua" w:hAnsi="Book Antiqua" w:cs="Book Antiqua"/>
          <w:color w:val="000000"/>
          <w:vertAlign w:val="superscript"/>
        </w:rPr>
        <w:t>[33-35]</w:t>
      </w:r>
      <w:r>
        <w:rPr>
          <w:rFonts w:ascii="Book Antiqua" w:eastAsia="Book Antiqua" w:hAnsi="Book Antiqua" w:cs="Book Antiqua"/>
          <w:color w:val="000000"/>
        </w:rPr>
        <w:t xml:space="preserve">. </w:t>
      </w:r>
    </w:p>
    <w:p w14:paraId="43A89A4B" w14:textId="77777777" w:rsidR="005949C7"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Previous reports indicated that cancer-associated fibroblast genes expression can estimate breast cancer patient prognosis and predict the responses to immunotherapy</w:t>
      </w:r>
      <w:r>
        <w:rPr>
          <w:rFonts w:ascii="Book Antiqua" w:eastAsia="Book Antiqua" w:hAnsi="Book Antiqua" w:cs="Book Antiqua"/>
          <w:color w:val="000000"/>
          <w:vertAlign w:val="superscript"/>
        </w:rPr>
        <w:t>[36-38]</w:t>
      </w:r>
      <w:r>
        <w:rPr>
          <w:rFonts w:ascii="Book Antiqua" w:eastAsia="Book Antiqua" w:hAnsi="Book Antiqua" w:cs="Book Antiqua"/>
          <w:color w:val="000000"/>
        </w:rPr>
        <w:t xml:space="preserve">. Wang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reported that signature based on cancer-associated fibroblast genes could divide patients into low- and high-risk groups, accompanied by different OS, clinical features, and immune infiltration characteristics. Huang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identified various heterogeneous CAF cell populations in breast cancer patients.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CAF-associated gene signature was developed to predict the responses to immunotherapeutics. The five-gene prognostic CAF signature presented by Xu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was effective in estimating clinical immunotherapy response. In this study, we </w:t>
      </w:r>
      <w:r>
        <w:rPr>
          <w:rFonts w:ascii="Book Antiqua" w:eastAsia="Book Antiqua" w:hAnsi="Book Antiqua" w:cs="Book Antiqua"/>
          <w:color w:val="000000"/>
        </w:rPr>
        <w:lastRenderedPageBreak/>
        <w:t>confirmed that the proportion of CAF-S3 cells was closely associated with patient prognosis, based on the CAF-related gene expression signature obtained from previous reports</w:t>
      </w:r>
      <w:r>
        <w:rPr>
          <w:rFonts w:ascii="Book Antiqua" w:eastAsia="Book Antiqua" w:hAnsi="Book Antiqua" w:cs="Book Antiqua"/>
          <w:color w:val="000000"/>
          <w:vertAlign w:val="superscript"/>
        </w:rPr>
        <w:t>[16]</w:t>
      </w:r>
      <w:r>
        <w:rPr>
          <w:rFonts w:ascii="Book Antiqua" w:eastAsia="Book Antiqua" w:hAnsi="Book Antiqua" w:cs="Book Antiqua"/>
          <w:color w:val="000000"/>
        </w:rPr>
        <w:t>. Subsequently, we regarded the proportion of CAF-S3 cells as a clinical characteristic and developed a CAF-based gene signature using eight genes (IL18, MYD88, GLIPR1, TNN, BHLHE41, DNAJB5, FKBP14, and XG) using WGCNA, univariate, LASSO, and multivariate analyses to predict patient prognosis. This demonstrated that the LR cohort had markedly better OS compared with the HR cohort. AUC analysis of the prognostic signature demonstrated its accuracy in predicting the OS of patients with breast cancer. Furthermore, multivariate analysis showed that the signature was an independent prognostic factor. The CAFPS OS predictive efficacy was further validated using the GSE96058 and GSE21653 datasets from the GEO and subgroups of the TCGA databases. These findings indicate that the CAFPS was a reliable predictor of BC patient prognosis.</w:t>
      </w:r>
    </w:p>
    <w:p w14:paraId="36340A49" w14:textId="77777777" w:rsidR="005949C7"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We then generated a nomogram to estimate BC patient outcomes. Based on our results, our model was highly effective in predicting BC patient prognosis. The results of the calibration curves demonstrated that the nomogram was able to accurately predict the prognosis of patients with BC. However, when compared with traditional clinical features, the prognostic signature showed even better potential for clinical application. According to the model, a reduced CAFPS RS was significantly related to enhanced chemotherapeutic response in BC patients. In addition, CAFPS was strongly correlated with most hallmark gene sets, explaining the rapid progression and worse outcomes of patients with elevated CAFPS values. Immune checkpoint molecules can also reflect the immune status of tumor microenvironments. In the present study, the levels of immune checkpoint molecules were found to be significantly elevated in the LR cohort, implying that patients with low CAFPS RS may respond better to immune checkpoint therapy.</w:t>
      </w:r>
    </w:p>
    <w:p w14:paraId="057B6099" w14:textId="77777777" w:rsidR="005949C7"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For a proper evaluation of the prognostic signature, we then assessed individual biomarkers. IL-18 is a member of the IL-1 family of proinflammatory cytokines. IL-18 modulates Th1 and Th2 immune responses, as well as the activation of NK cells and </w:t>
      </w:r>
      <w:r>
        <w:rPr>
          <w:rFonts w:ascii="Book Antiqua" w:eastAsia="Book Antiqua" w:hAnsi="Book Antiqua" w:cs="Book Antiqua"/>
          <w:color w:val="000000"/>
        </w:rPr>
        <w:lastRenderedPageBreak/>
        <w:t>macrophages</w:t>
      </w:r>
      <w:r>
        <w:rPr>
          <w:rFonts w:ascii="Book Antiqua" w:eastAsia="Book Antiqua" w:hAnsi="Book Antiqua" w:cs="Book Antiqua"/>
          <w:color w:val="000000"/>
          <w:vertAlign w:val="superscript"/>
        </w:rPr>
        <w:t>[39]</w:t>
      </w:r>
      <w:r>
        <w:rPr>
          <w:rFonts w:ascii="Book Antiqua" w:eastAsia="Book Antiqua" w:hAnsi="Book Antiqua" w:cs="Book Antiqua"/>
          <w:color w:val="000000"/>
        </w:rPr>
        <w:t>. It is reported that the IL-18 protein is strongly expressed in human BC and lymph node tissues, and is directly associated with lymph node metastasis in BC</w:t>
      </w:r>
      <w:r>
        <w:rPr>
          <w:rFonts w:ascii="Book Antiqua" w:eastAsia="Book Antiqua" w:hAnsi="Book Antiqua" w:cs="Book Antiqua"/>
          <w:color w:val="000000"/>
          <w:vertAlign w:val="superscript"/>
        </w:rPr>
        <w:t>[40]</w:t>
      </w:r>
      <w:r>
        <w:rPr>
          <w:rFonts w:ascii="Book Antiqua" w:eastAsia="Book Antiqua" w:hAnsi="Book Antiqua" w:cs="Book Antiqua"/>
          <w:color w:val="000000"/>
        </w:rPr>
        <w:t>. MYD88 serves a critical function in both innate and adaptive immune responses. It is also involved in crosstalk with the interleukin-1 and Toll-like receptor networks. MYD88 expression is high in metastatic tumors and has been suggested as a potential therapeutic target</w:t>
      </w:r>
      <w:r>
        <w:rPr>
          <w:rFonts w:ascii="Book Antiqua" w:eastAsia="Book Antiqua" w:hAnsi="Book Antiqua" w:cs="Book Antiqua"/>
          <w:color w:val="000000"/>
          <w:vertAlign w:val="superscript"/>
        </w:rPr>
        <w:t>[41]</w:t>
      </w:r>
      <w:r>
        <w:rPr>
          <w:rFonts w:ascii="Book Antiqua" w:eastAsia="Book Antiqua" w:hAnsi="Book Antiqua" w:cs="Book Antiqua"/>
          <w:color w:val="000000"/>
        </w:rPr>
        <w:t>. GLIPR1 is markedly up-regulated in BC and has been identified as an oncoprotein in BC. In BC cells, GLIPR1 expression is promoted by prolactin and estrogen, promoting cell proliferation</w:t>
      </w:r>
      <w:r>
        <w:rPr>
          <w:rFonts w:ascii="Book Antiqua" w:eastAsia="Book Antiqua" w:hAnsi="Book Antiqua" w:cs="Book Antiqua"/>
          <w:color w:val="000000"/>
          <w:vertAlign w:val="superscript"/>
        </w:rPr>
        <w:t>[42]</w:t>
      </w:r>
      <w:r>
        <w:rPr>
          <w:rFonts w:ascii="Book Antiqua" w:eastAsia="Book Antiqua" w:hAnsi="Book Antiqua" w:cs="Book Antiqua"/>
          <w:color w:val="000000"/>
        </w:rPr>
        <w:t>. TNN is abundantly expressed in human breast tumor extracts, although it is absent in adjoining normal tissue. Therefore, it is possible that TNN promotes tumor development by inducing BC cell migration</w:t>
      </w:r>
      <w:r>
        <w:rPr>
          <w:rFonts w:ascii="Book Antiqua" w:eastAsia="Book Antiqua" w:hAnsi="Book Antiqua" w:cs="Book Antiqua"/>
          <w:color w:val="000000"/>
          <w:vertAlign w:val="superscript"/>
        </w:rPr>
        <w:t>[43]</w:t>
      </w:r>
      <w:r>
        <w:rPr>
          <w:rFonts w:ascii="Book Antiqua" w:eastAsia="Book Antiqua" w:hAnsi="Book Antiqua" w:cs="Book Antiqua"/>
          <w:color w:val="000000"/>
        </w:rPr>
        <w:t>. BHLHE41 is a critical modulator of the invasive and metastatic phenotype in triple-negative BC. It is modulated by the p63 metastasis suppressor, and it suppresses TNBC aggressiveness by inhibiting hypoxia-inducible factor 1a (HIF-1a) and HIF-2a (HIFs)</w:t>
      </w:r>
      <w:r>
        <w:rPr>
          <w:rFonts w:ascii="Book Antiqua" w:eastAsia="Book Antiqua" w:hAnsi="Book Antiqua" w:cs="Book Antiqua"/>
          <w:color w:val="000000"/>
          <w:vertAlign w:val="superscript"/>
        </w:rPr>
        <w:t>[44]</w:t>
      </w:r>
      <w:r>
        <w:rPr>
          <w:rFonts w:ascii="Book Antiqua" w:eastAsia="Book Antiqua" w:hAnsi="Book Antiqua" w:cs="Book Antiqua"/>
          <w:color w:val="000000"/>
        </w:rPr>
        <w:t>. DNAJB5 belongs to the DnaJ/heat shock protein 40 (HSP40) family, and it partners with HSP70 chaperones. Stable DNAJB5 expression in cholangiocarcinoma cells that overexpress microRNA 21 re-sensitizes them to HSP90 inhibitors</w:t>
      </w:r>
      <w:r>
        <w:rPr>
          <w:rFonts w:ascii="Book Antiqua" w:eastAsia="Book Antiqua" w:hAnsi="Book Antiqua" w:cs="Book Antiqua"/>
          <w:color w:val="000000"/>
          <w:vertAlign w:val="superscript"/>
        </w:rPr>
        <w:t>[45]</w:t>
      </w:r>
      <w:r>
        <w:rPr>
          <w:rFonts w:ascii="Book Antiqua" w:eastAsia="Book Antiqua" w:hAnsi="Book Antiqua" w:cs="Book Antiqua"/>
          <w:color w:val="000000"/>
        </w:rPr>
        <w:t>. FKBP14 is a member of the FK506-binding protein (FKBP) family and is highly expressed in gastric cancer. Patients with elevated FKBP14 Levels typically have poor outcomes. FKBP14 is recognized as an oncogene in gastric cancer and has the potential as a marker for gastric cancer identification, invasion, and prognosis</w:t>
      </w:r>
      <w:r>
        <w:rPr>
          <w:rFonts w:ascii="Book Antiqua" w:eastAsia="Book Antiqua" w:hAnsi="Book Antiqua" w:cs="Book Antiqua"/>
          <w:color w:val="000000"/>
          <w:vertAlign w:val="superscript"/>
        </w:rPr>
        <w:t>[46]</w:t>
      </w:r>
      <w:r>
        <w:rPr>
          <w:rFonts w:ascii="Book Antiqua" w:eastAsia="Book Antiqua" w:hAnsi="Book Antiqua" w:cs="Book Antiqua"/>
          <w:color w:val="000000"/>
        </w:rPr>
        <w:t>. Relative to normal tissues, FKBP14 is ubiquitously expressed in ovarian cancer tissues where it was shown to be indicative of tumor size and grade in ovarian cancer tissues</w:t>
      </w:r>
      <w:r>
        <w:rPr>
          <w:rFonts w:ascii="Book Antiqua" w:eastAsia="Book Antiqua" w:hAnsi="Book Antiqua" w:cs="Book Antiqua"/>
          <w:color w:val="000000"/>
          <w:vertAlign w:val="superscript"/>
        </w:rPr>
        <w:t>[47]</w:t>
      </w:r>
      <w:r>
        <w:rPr>
          <w:rFonts w:ascii="Book Antiqua" w:eastAsia="Book Antiqua" w:hAnsi="Book Antiqua" w:cs="Book Antiqua"/>
          <w:color w:val="000000"/>
        </w:rPr>
        <w:t>. In our study</w:t>
      </w:r>
      <w:r>
        <w:rPr>
          <w:rFonts w:ascii="Book Antiqua" w:eastAsia="宋体" w:hAnsi="Book Antiqua" w:cs="宋体"/>
          <w:color w:val="000000"/>
          <w:lang w:eastAsia="zh-CN"/>
        </w:rPr>
        <w:t xml:space="preserve">, </w:t>
      </w:r>
      <w:proofErr w:type="gramStart"/>
      <w:r>
        <w:rPr>
          <w:rFonts w:ascii="Book Antiqua" w:eastAsia="Book Antiqua" w:hAnsi="Book Antiqua" w:cs="Book Antiqua"/>
          <w:color w:val="000000"/>
        </w:rPr>
        <w:t>Among</w:t>
      </w:r>
      <w:proofErr w:type="gramEnd"/>
      <w:r>
        <w:rPr>
          <w:rFonts w:ascii="Book Antiqua" w:eastAsia="Book Antiqua" w:hAnsi="Book Antiqua" w:cs="Book Antiqua"/>
          <w:color w:val="000000"/>
        </w:rPr>
        <w:t xml:space="preserve"> patients with high FKBP14 expression, the proportion of patients with tumor size </w:t>
      </w:r>
      <w:r>
        <w:rPr>
          <w:rFonts w:ascii="Book Antiqua" w:eastAsia="宋体" w:hAnsi="Book Antiqua" w:cs="宋体"/>
          <w:color w:val="000000"/>
          <w:lang w:eastAsia="zh-CN"/>
        </w:rPr>
        <w:t>&gt;</w:t>
      </w:r>
      <w:r>
        <w:rPr>
          <w:rFonts w:ascii="宋体" w:eastAsia="宋体" w:hAnsi="宋体" w:cs="宋体" w:hint="eastAsia"/>
          <w:color w:val="000000"/>
          <w:lang w:eastAsia="zh-CN"/>
        </w:rPr>
        <w:t xml:space="preserve"> </w:t>
      </w:r>
      <w:r>
        <w:rPr>
          <w:rFonts w:ascii="Book Antiqua" w:eastAsia="Book Antiqua" w:hAnsi="Book Antiqua" w:cs="Book Antiqua"/>
          <w:color w:val="000000"/>
        </w:rPr>
        <w:t xml:space="preserve">2 cm, lymph node metastasis and TNM stage III was higher than that of patients with low FKBP14 expression. XG belongs to the CD99 family and its expression has been correlated with worse OS in Ewing's sarcoma patients with benign tumors, and it is speculated to regulate metastasis. Moreover, we further verified the abnormal expression of the risk genes (FKBP14) through experiments. Nevertheless, there is very limited information regarding the function of CAFs in BC. Hence, it is critical to conduct additional </w:t>
      </w:r>
      <w:r>
        <w:rPr>
          <w:rFonts w:ascii="Book Antiqua" w:eastAsia="Book Antiqua" w:hAnsi="Book Antiqua" w:cs="Book Antiqua"/>
          <w:color w:val="000000"/>
        </w:rPr>
        <w:lastRenderedPageBreak/>
        <w:t>investigations into the eight CAF-related gene markers and their associated underlying mechanisms to better elucidate infiltration, metastasis, and drug resistance in BC patients. Our research has several limitations: (1) The size of our analyzed dataset was relatively small, and a larger patient population must be studied to validate our results; and (2) This paper did not go into detail regarding the mechanism associated with the eight identified genes.</w:t>
      </w:r>
    </w:p>
    <w:p w14:paraId="69358B65" w14:textId="77777777" w:rsidR="005949C7" w:rsidRDefault="005949C7">
      <w:pPr>
        <w:spacing w:line="360" w:lineRule="auto"/>
        <w:jc w:val="both"/>
        <w:rPr>
          <w:rFonts w:ascii="Book Antiqua" w:hAnsi="Book Antiqua"/>
        </w:rPr>
      </w:pPr>
    </w:p>
    <w:p w14:paraId="46319C46" w14:textId="77777777" w:rsidR="005949C7"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7845098F"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Here, we generated a CAF-associated gene prognostic signature using IL18, MYD88, GLIPR1, TNN, BHLHE41, DNAJB5, FKBP14, and XG as prognostic markers of BC. This novel signature can be employed to estimate BC patient outcomes conveniently and accurately. These results provide a basis for further studies on the role of CAFs in BC.</w:t>
      </w:r>
    </w:p>
    <w:p w14:paraId="0B8CB4E1" w14:textId="77777777" w:rsidR="005949C7" w:rsidRDefault="005949C7">
      <w:pPr>
        <w:spacing w:line="360" w:lineRule="auto"/>
        <w:jc w:val="both"/>
        <w:rPr>
          <w:rFonts w:ascii="Book Antiqua" w:hAnsi="Book Antiqua"/>
        </w:rPr>
      </w:pPr>
    </w:p>
    <w:p w14:paraId="3003CE04" w14:textId="77777777" w:rsidR="005949C7"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1D0344B9" w14:textId="77777777" w:rsidR="005949C7"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21703BCF"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Breast cancer (BC), a leading malignant disease, affects women all over the world. It is still urgent to explore new biomarkers to estimate and enhance prognosis of BC patients.</w:t>
      </w:r>
    </w:p>
    <w:p w14:paraId="69B33C6E" w14:textId="77777777" w:rsidR="005949C7" w:rsidRDefault="005949C7">
      <w:pPr>
        <w:spacing w:line="360" w:lineRule="auto"/>
        <w:jc w:val="both"/>
        <w:rPr>
          <w:rFonts w:ascii="Book Antiqua" w:hAnsi="Book Antiqua"/>
        </w:rPr>
      </w:pPr>
    </w:p>
    <w:p w14:paraId="1C2225B3" w14:textId="77777777" w:rsidR="005949C7"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650D006B"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 xml:space="preserve">The present study for the first time investigated the 8 </w:t>
      </w:r>
      <w:r>
        <w:rPr>
          <w:rFonts w:ascii="Book Antiqua" w:eastAsia="Book Antiqua" w:hAnsi="Book Antiqua" w:cs="Book Antiqua"/>
        </w:rPr>
        <w:t>cancer associated fibroblasts (CAFs)</w:t>
      </w:r>
      <w:r>
        <w:rPr>
          <w:rFonts w:ascii="Book Antiqua" w:eastAsia="Book Antiqua" w:hAnsi="Book Antiqua" w:cs="Book Antiqua"/>
          <w:color w:val="000000"/>
        </w:rPr>
        <w:t>-associated genes as the potential biomarkers of the prognosis of patients using bioinformatics.</w:t>
      </w:r>
    </w:p>
    <w:p w14:paraId="3ED5F225" w14:textId="77777777" w:rsidR="005949C7" w:rsidRDefault="005949C7">
      <w:pPr>
        <w:spacing w:line="360" w:lineRule="auto"/>
        <w:jc w:val="both"/>
        <w:rPr>
          <w:rFonts w:ascii="Book Antiqua" w:hAnsi="Book Antiqua"/>
        </w:rPr>
      </w:pPr>
    </w:p>
    <w:p w14:paraId="30B75726" w14:textId="77777777" w:rsidR="005949C7"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04972141"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 xml:space="preserve">This study aims to establish a CAFs-associated prognostic signature to improve BC patient outcome estimation. </w:t>
      </w:r>
    </w:p>
    <w:p w14:paraId="34E362ED" w14:textId="77777777" w:rsidR="005949C7" w:rsidRDefault="005949C7">
      <w:pPr>
        <w:spacing w:line="360" w:lineRule="auto"/>
        <w:jc w:val="both"/>
        <w:rPr>
          <w:rFonts w:ascii="Book Antiqua" w:hAnsi="Book Antiqua"/>
        </w:rPr>
      </w:pPr>
    </w:p>
    <w:p w14:paraId="1256ED4D" w14:textId="77777777" w:rsidR="005949C7"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2BDA563A"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We retrieved the transcript profile and clinical data of 1072 BC samples from The Cancer Genome Atlas (TCGA) databases, and 3661 BC samples from the The Gene Expression Omnibus. CAFs and immune cell infiltrations were quantified using CIBERSORT algorithm. CAF-associated gene identification was done by weighted gene co-expression network analysis. A CAF risk signature was established </w:t>
      </w:r>
      <w:r>
        <w:rPr>
          <w:rFonts w:ascii="Book Antiqua" w:eastAsia="Book Antiqua" w:hAnsi="Book Antiqua" w:cs="Book Antiqua"/>
          <w:i/>
          <w:iCs/>
          <w:color w:val="000000"/>
        </w:rPr>
        <w:t>via</w:t>
      </w:r>
      <w:r>
        <w:rPr>
          <w:rFonts w:ascii="Book Antiqua" w:eastAsia="Book Antiqua" w:hAnsi="Book Antiqua" w:cs="Book Antiqua"/>
          <w:color w:val="000000"/>
        </w:rPr>
        <w:t xml:space="preserve"> univariate, LASSO regression, and multivariate Cox regression analyses. The receiver operating characteristic (ROC) and Kaplan-Meier curves were employed to evaluate the predictability of the model. Subsequently, a nomogram was developed with the risk score and patient clinical signature. Using Spearman's correlations analysis, the relationship between CAF risk score and gene set enrichment scores were examined. </w:t>
      </w:r>
    </w:p>
    <w:p w14:paraId="722AABD6"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Patient samples were collected to validate gene expression by quantitative real-time polymerase chain reaction (qRT-PCR).</w:t>
      </w:r>
    </w:p>
    <w:p w14:paraId="6A0F167E" w14:textId="77777777" w:rsidR="005949C7" w:rsidRDefault="005949C7">
      <w:pPr>
        <w:spacing w:line="360" w:lineRule="auto"/>
        <w:jc w:val="both"/>
        <w:rPr>
          <w:rFonts w:ascii="Book Antiqua" w:hAnsi="Book Antiqua"/>
        </w:rPr>
      </w:pPr>
    </w:p>
    <w:p w14:paraId="5FDED363" w14:textId="77777777" w:rsidR="005949C7"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02606139"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 xml:space="preserve">Employing an 8-gene (IL18, MYD88, GLIPR1, TNN, BHLHE41, DNAJB5, FKBP14, and XG) signature, we attempted to estimate BC patient prognosis. Based on our analysis, high-risk patients exhibited worse outcomes than low-risk patients. Multivariate analysis revealed the risk score as an independent indicator of BC patient prognosis. ROC analysis exhibited satisfactory nomogram predictability. The AUC showed 0.805 at 3 years, and 0.801 at 5 years in the TCGA cohort. We also demonstrated that a reduced CAF risk score was strongly associated with enhanced chemotherapeutic outcomes. CAF risk score was significantly correlated with most hallmark gene sets. Finally, the prognostic signature </w:t>
      </w:r>
      <w:proofErr w:type="gramStart"/>
      <w:r>
        <w:rPr>
          <w:rFonts w:ascii="Book Antiqua" w:eastAsia="Book Antiqua" w:hAnsi="Book Antiqua" w:cs="Book Antiqua"/>
          <w:color w:val="000000"/>
        </w:rPr>
        <w:t>were</w:t>
      </w:r>
      <w:proofErr w:type="gramEnd"/>
      <w:r>
        <w:rPr>
          <w:rFonts w:ascii="Book Antiqua" w:eastAsia="Book Antiqua" w:hAnsi="Book Antiqua" w:cs="Book Antiqua"/>
          <w:color w:val="000000"/>
        </w:rPr>
        <w:t xml:space="preserve"> further validated by qRT-PCR.</w:t>
      </w:r>
    </w:p>
    <w:p w14:paraId="467E7C88" w14:textId="77777777" w:rsidR="005949C7" w:rsidRDefault="005949C7">
      <w:pPr>
        <w:spacing w:line="360" w:lineRule="auto"/>
        <w:jc w:val="both"/>
        <w:rPr>
          <w:rFonts w:ascii="Book Antiqua" w:hAnsi="Book Antiqua"/>
        </w:rPr>
      </w:pPr>
    </w:p>
    <w:p w14:paraId="7D7C496B" w14:textId="77777777" w:rsidR="005949C7"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241980D0"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We introduced a newly-discovered CAFs-associated gene signature, which can be employed to estimate BC patient outcomes conveniently and accurately.</w:t>
      </w:r>
    </w:p>
    <w:p w14:paraId="016F779E" w14:textId="77777777" w:rsidR="005949C7" w:rsidRDefault="005949C7">
      <w:pPr>
        <w:spacing w:line="360" w:lineRule="auto"/>
        <w:jc w:val="both"/>
        <w:rPr>
          <w:rFonts w:ascii="Book Antiqua" w:hAnsi="Book Antiqua"/>
        </w:rPr>
      </w:pPr>
    </w:p>
    <w:p w14:paraId="2C4CA9E3" w14:textId="77777777" w:rsidR="005949C7"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141E39DE"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lastRenderedPageBreak/>
        <w:t>The mechanisms of 8 CAFs-associated genes in BC is still unclear, which needs further confirmation through molecular biology and clinical experiments.</w:t>
      </w:r>
    </w:p>
    <w:p w14:paraId="669EB4CD" w14:textId="77777777" w:rsidR="005949C7" w:rsidRDefault="005949C7">
      <w:pPr>
        <w:spacing w:line="360" w:lineRule="auto"/>
        <w:jc w:val="both"/>
        <w:rPr>
          <w:rFonts w:ascii="Book Antiqua" w:hAnsi="Book Antiqua"/>
        </w:rPr>
      </w:pPr>
    </w:p>
    <w:p w14:paraId="718B190A" w14:textId="77777777" w:rsidR="005949C7" w:rsidRDefault="00000000">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004C80D5" w14:textId="77777777" w:rsidR="005949C7" w:rsidRDefault="00000000">
      <w:pPr>
        <w:spacing w:line="360" w:lineRule="auto"/>
        <w:jc w:val="both"/>
        <w:rPr>
          <w:rFonts w:ascii="Book Antiqua" w:hAnsi="Book Antiqua"/>
        </w:rPr>
      </w:pPr>
      <w:r>
        <w:rPr>
          <w:rFonts w:ascii="Book Antiqua" w:eastAsia="Book Antiqua" w:hAnsi="Book Antiqua" w:cs="Book Antiqua"/>
          <w:color w:val="000000"/>
        </w:rPr>
        <w:t>The authors thank TCGA and GEO for sharing the BC data.</w:t>
      </w:r>
    </w:p>
    <w:p w14:paraId="11F729F2" w14:textId="77777777" w:rsidR="005949C7" w:rsidRDefault="005949C7">
      <w:pPr>
        <w:spacing w:line="360" w:lineRule="auto"/>
        <w:jc w:val="both"/>
        <w:rPr>
          <w:rFonts w:ascii="Book Antiqua" w:hAnsi="Book Antiqua"/>
        </w:rPr>
      </w:pPr>
    </w:p>
    <w:p w14:paraId="5210F617" w14:textId="77777777" w:rsidR="005949C7"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6FBDBC02" w14:textId="77777777" w:rsidR="005949C7" w:rsidRDefault="00000000">
      <w:pPr>
        <w:spacing w:line="360" w:lineRule="auto"/>
        <w:jc w:val="both"/>
        <w:rPr>
          <w:rFonts w:ascii="Book Antiqua" w:hAnsi="Book Antiqua"/>
        </w:rPr>
      </w:pPr>
      <w:bookmarkStart w:id="275" w:name="OLE_LINK7692"/>
      <w:bookmarkStart w:id="276" w:name="OLE_LINK7689"/>
      <w:r>
        <w:rPr>
          <w:rFonts w:ascii="Book Antiqua" w:eastAsia="Book Antiqua" w:hAnsi="Book Antiqua" w:cs="Book Antiqua"/>
        </w:rPr>
        <w:t xml:space="preserve">1 </w:t>
      </w:r>
      <w:r>
        <w:rPr>
          <w:rFonts w:ascii="Book Antiqua" w:eastAsia="Book Antiqua" w:hAnsi="Book Antiqua" w:cs="Book Antiqua"/>
          <w:b/>
          <w:bCs/>
        </w:rPr>
        <w:t>Siegel RL</w:t>
      </w:r>
      <w:r>
        <w:rPr>
          <w:rFonts w:ascii="Book Antiqua" w:eastAsia="Book Antiqua" w:hAnsi="Book Antiqua" w:cs="Book Antiqua"/>
        </w:rPr>
        <w:t xml:space="preserve">, Miller KD, Fuchs HE, Jemal A. Cancer statistics, 2022. </w:t>
      </w:r>
      <w:r>
        <w:rPr>
          <w:rFonts w:ascii="Book Antiqua" w:eastAsia="Book Antiqua" w:hAnsi="Book Antiqua" w:cs="Book Antiqua"/>
          <w:i/>
          <w:iCs/>
        </w:rPr>
        <w:t>CA Cancer J Clin</w:t>
      </w:r>
      <w:r>
        <w:rPr>
          <w:rFonts w:ascii="Book Antiqua" w:eastAsia="Book Antiqua" w:hAnsi="Book Antiqua" w:cs="Book Antiqua"/>
        </w:rPr>
        <w:t xml:space="preserve"> 2022; </w:t>
      </w:r>
      <w:r>
        <w:rPr>
          <w:rFonts w:ascii="Book Antiqua" w:eastAsia="Book Antiqua" w:hAnsi="Book Antiqua" w:cs="Book Antiqua"/>
          <w:b/>
          <w:bCs/>
        </w:rPr>
        <w:t>72</w:t>
      </w:r>
      <w:r>
        <w:rPr>
          <w:rFonts w:ascii="Book Antiqua" w:eastAsia="Book Antiqua" w:hAnsi="Book Antiqua" w:cs="Book Antiqua"/>
        </w:rPr>
        <w:t>: 7-33 [PMID: 35020204 DOI: 10.3322/caac.21708]</w:t>
      </w:r>
    </w:p>
    <w:p w14:paraId="5CE27B1B"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Pu M</w:t>
      </w:r>
      <w:r>
        <w:rPr>
          <w:rFonts w:ascii="Book Antiqua" w:eastAsia="Book Antiqua" w:hAnsi="Book Antiqua" w:cs="Book Antiqua"/>
        </w:rPr>
        <w:t xml:space="preserve">, Messer K, Davies SR, Vickery TL, Pittman E, Parker BA, Ellis MJ, Flatt SW, Marinac CR, Nelson SH, Mardis ER, Pierce JP, Natarajan L. Research-based PAM50 signature and long-term breast cancer survival. </w:t>
      </w:r>
      <w:r>
        <w:rPr>
          <w:rFonts w:ascii="Book Antiqua" w:eastAsia="Book Antiqua" w:hAnsi="Book Antiqua" w:cs="Book Antiqua"/>
          <w:i/>
          <w:iCs/>
        </w:rPr>
        <w:t>Breast Cancer Res Treat</w:t>
      </w:r>
      <w:r>
        <w:rPr>
          <w:rFonts w:ascii="Book Antiqua" w:eastAsia="Book Antiqua" w:hAnsi="Book Antiqua" w:cs="Book Antiqua"/>
        </w:rPr>
        <w:t xml:space="preserve"> 2020; </w:t>
      </w:r>
      <w:r>
        <w:rPr>
          <w:rFonts w:ascii="Book Antiqua" w:eastAsia="Book Antiqua" w:hAnsi="Book Antiqua" w:cs="Book Antiqua"/>
          <w:b/>
          <w:bCs/>
        </w:rPr>
        <w:t>179</w:t>
      </w:r>
      <w:r>
        <w:rPr>
          <w:rFonts w:ascii="Book Antiqua" w:eastAsia="Book Antiqua" w:hAnsi="Book Antiqua" w:cs="Book Antiqua"/>
        </w:rPr>
        <w:t>: 197-206 [PMID: 31542876 DOI: 10.1007/s10549-019-05446-y]</w:t>
      </w:r>
    </w:p>
    <w:p w14:paraId="7799A7AD"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Tekpli X</w:t>
      </w:r>
      <w:r>
        <w:rPr>
          <w:rFonts w:ascii="Book Antiqua" w:eastAsia="Book Antiqua" w:hAnsi="Book Antiqua" w:cs="Book Antiqua"/>
        </w:rPr>
        <w:t xml:space="preserve">, Lien T, Røssevold AH, Nebdal D, Borgen E, Ohnstad HO, Kyte JA, Vallon-Christersson J, Fongaard M, Due EU, Svartdal LG, Sveli MAT, Garred Ø; OSBREAC, Frigessi A, Sahlberg KK, Sørlie T, Russnes HG, Naume B, Kristensen VN. An independent poor-prognosis subtype of breast cancer defined by a distinct tumor immune microenvironment. </w:t>
      </w:r>
      <w:r>
        <w:rPr>
          <w:rFonts w:ascii="Book Antiqua" w:eastAsia="Book Antiqua" w:hAnsi="Book Antiqua" w:cs="Book Antiqua"/>
          <w:i/>
          <w:iCs/>
        </w:rPr>
        <w:t>Nat Commun</w:t>
      </w:r>
      <w:r>
        <w:rPr>
          <w:rFonts w:ascii="Book Antiqua" w:eastAsia="Book Antiqua" w:hAnsi="Book Antiqua" w:cs="Book Antiqua"/>
        </w:rPr>
        <w:t xml:space="preserve"> 2019; </w:t>
      </w:r>
      <w:r>
        <w:rPr>
          <w:rFonts w:ascii="Book Antiqua" w:eastAsia="Book Antiqua" w:hAnsi="Book Antiqua" w:cs="Book Antiqua"/>
          <w:b/>
          <w:bCs/>
        </w:rPr>
        <w:t>10</w:t>
      </w:r>
      <w:r>
        <w:rPr>
          <w:rFonts w:ascii="Book Antiqua" w:eastAsia="Book Antiqua" w:hAnsi="Book Antiqua" w:cs="Book Antiqua"/>
        </w:rPr>
        <w:t>: 5499 [PMID: 31796750 DOI: 10.1038/s41467-019-13329-5]</w:t>
      </w:r>
    </w:p>
    <w:p w14:paraId="5CC29520"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Wang M</w:t>
      </w:r>
      <w:r>
        <w:rPr>
          <w:rFonts w:ascii="Book Antiqua" w:eastAsia="Book Antiqua" w:hAnsi="Book Antiqua" w:cs="Book Antiqua"/>
        </w:rPr>
        <w:t xml:space="preserve">, Zhao J, Zhang L, Wei F, Lian Y, Wu Y, Gong Z, Zhang S, Zhou J, Cao K, Li X, Xiong W, Li G, Zeng Z, Guo C. Role of tumor microenvironment in tumorigenesis. </w:t>
      </w:r>
      <w:r>
        <w:rPr>
          <w:rFonts w:ascii="Book Antiqua" w:eastAsia="Book Antiqua" w:hAnsi="Book Antiqua" w:cs="Book Antiqua"/>
          <w:i/>
          <w:iCs/>
        </w:rPr>
        <w:t>J Cancer</w:t>
      </w:r>
      <w:r>
        <w:rPr>
          <w:rFonts w:ascii="Book Antiqua" w:eastAsia="Book Antiqua" w:hAnsi="Book Antiqua" w:cs="Book Antiqua"/>
        </w:rPr>
        <w:t xml:space="preserve"> 2017; </w:t>
      </w:r>
      <w:r>
        <w:rPr>
          <w:rFonts w:ascii="Book Antiqua" w:eastAsia="Book Antiqua" w:hAnsi="Book Antiqua" w:cs="Book Antiqua"/>
          <w:b/>
          <w:bCs/>
        </w:rPr>
        <w:t>8</w:t>
      </w:r>
      <w:r>
        <w:rPr>
          <w:rFonts w:ascii="Book Antiqua" w:eastAsia="Book Antiqua" w:hAnsi="Book Antiqua" w:cs="Book Antiqua"/>
        </w:rPr>
        <w:t>: 761-773 [PMID: 28382138 DOI: 10.7150/jca.17648]</w:t>
      </w:r>
    </w:p>
    <w:p w14:paraId="2FDFE171"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Dzobo K</w:t>
      </w:r>
      <w:r>
        <w:rPr>
          <w:rFonts w:ascii="Book Antiqua" w:eastAsia="Book Antiqua" w:hAnsi="Book Antiqua" w:cs="Book Antiqua"/>
        </w:rPr>
        <w:t xml:space="preserve">, Dandara C. Architecture of Cancer-Associated Fibroblasts in Tumor Microenvironment: Mapping Their Origins, Heterogeneity, and Role in Cancer Therapy Resistance. </w:t>
      </w:r>
      <w:r>
        <w:rPr>
          <w:rFonts w:ascii="Book Antiqua" w:eastAsia="Book Antiqua" w:hAnsi="Book Antiqua" w:cs="Book Antiqua"/>
          <w:i/>
          <w:iCs/>
        </w:rPr>
        <w:t>OMICS</w:t>
      </w:r>
      <w:r>
        <w:rPr>
          <w:rFonts w:ascii="Book Antiqua" w:eastAsia="Book Antiqua" w:hAnsi="Book Antiqua" w:cs="Book Antiqua"/>
        </w:rPr>
        <w:t xml:space="preserve"> 2020; </w:t>
      </w:r>
      <w:r>
        <w:rPr>
          <w:rFonts w:ascii="Book Antiqua" w:eastAsia="Book Antiqua" w:hAnsi="Book Antiqua" w:cs="Book Antiqua"/>
          <w:b/>
          <w:bCs/>
        </w:rPr>
        <w:t>24</w:t>
      </w:r>
      <w:r>
        <w:rPr>
          <w:rFonts w:ascii="Book Antiqua" w:eastAsia="Book Antiqua" w:hAnsi="Book Antiqua" w:cs="Book Antiqua"/>
        </w:rPr>
        <w:t>: 314-339 [PMID: 32496970 DOI: 10.1089/omi.2020.0023]</w:t>
      </w:r>
    </w:p>
    <w:p w14:paraId="3AD86658"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Bertero T</w:t>
      </w:r>
      <w:r>
        <w:rPr>
          <w:rFonts w:ascii="Book Antiqua" w:eastAsia="Book Antiqua" w:hAnsi="Book Antiqua" w:cs="Book Antiqua"/>
        </w:rPr>
        <w:t xml:space="preserve">, Oldham WM, Grasset EM, Bourget I, Boulter E, Pisano S, Hofman P, Bellvert F, Meneguzzi G, Bulavin DV, Estrach S, Feral CC, Chan SY, Bozec A, Gaggioli C. Tumor-Stroma Mechanics Coordinate Amino Acid Availability to Sustain Tumor </w:t>
      </w:r>
      <w:r>
        <w:rPr>
          <w:rFonts w:ascii="Book Antiqua" w:eastAsia="Book Antiqua" w:hAnsi="Book Antiqua" w:cs="Book Antiqua"/>
        </w:rPr>
        <w:lastRenderedPageBreak/>
        <w:t xml:space="preserve">Growth and Malignancy. </w:t>
      </w:r>
      <w:r>
        <w:rPr>
          <w:rFonts w:ascii="Book Antiqua" w:eastAsia="Book Antiqua" w:hAnsi="Book Antiqua" w:cs="Book Antiqua"/>
          <w:i/>
          <w:iCs/>
        </w:rPr>
        <w:t>Cell Metab</w:t>
      </w:r>
      <w:r>
        <w:rPr>
          <w:rFonts w:ascii="Book Antiqua" w:eastAsia="Book Antiqua" w:hAnsi="Book Antiqua" w:cs="Book Antiqua"/>
        </w:rPr>
        <w:t xml:space="preserve"> 2019; </w:t>
      </w:r>
      <w:r>
        <w:rPr>
          <w:rFonts w:ascii="Book Antiqua" w:eastAsia="Book Antiqua" w:hAnsi="Book Antiqua" w:cs="Book Antiqua"/>
          <w:b/>
          <w:bCs/>
        </w:rPr>
        <w:t>29</w:t>
      </w:r>
      <w:r>
        <w:rPr>
          <w:rFonts w:ascii="Book Antiqua" w:eastAsia="Book Antiqua" w:hAnsi="Book Antiqua" w:cs="Book Antiqua"/>
        </w:rPr>
        <w:t>: 124-140.e10 [PMID: 30293773 DOI: 10.1016/j.cmet.2018.09.012]</w:t>
      </w:r>
    </w:p>
    <w:p w14:paraId="1ADB23F3"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Gamradt P</w:t>
      </w:r>
      <w:r>
        <w:rPr>
          <w:rFonts w:ascii="Book Antiqua" w:eastAsia="Book Antiqua" w:hAnsi="Book Antiqua" w:cs="Book Antiqua"/>
        </w:rPr>
        <w:t xml:space="preserve">, De La Fouchardière C, Hennino A. Stromal Protein-Mediated Immune Regulation in Digestive Cancers. </w:t>
      </w:r>
      <w:r>
        <w:rPr>
          <w:rFonts w:ascii="Book Antiqua" w:eastAsia="Book Antiqua" w:hAnsi="Book Antiqua" w:cs="Book Antiqua"/>
          <w:i/>
          <w:iCs/>
        </w:rPr>
        <w:t>Cancers (Basel)</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xml:space="preserve"> [PMID: 33466303 DOI: 10.3390/cancers13010146]</w:t>
      </w:r>
    </w:p>
    <w:p w14:paraId="63FEDCEB"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Kaur A</w:t>
      </w:r>
      <w:r>
        <w:rPr>
          <w:rFonts w:ascii="Book Antiqua" w:eastAsia="Book Antiqua" w:hAnsi="Book Antiqua" w:cs="Book Antiqua"/>
        </w:rPr>
        <w:t xml:space="preserve">, Ecker BL, Douglass SM, Kugel CH 3rd, Webster MR, Almeida FV, Somasundaram R, Hayden J, Ban E, Ahmadzadeh H, Franco-Barraza J, Shah N, Mellis IA, Keeney F, Kossenkov A, Tang HY, Yin X, Liu Q, Xu X, Fane M, Brafford P, Herlyn M, Speicher DW, Wargo JA, Tetzlaff MT, Haydu LE, Raj A, Shenoy V, Cukierman E, Weeraratna AT. Remodeling of the Collagen Matrix in Aging Skin Promotes Melanoma Metastasis and Affects Immune Cell Motility. </w:t>
      </w:r>
      <w:r>
        <w:rPr>
          <w:rFonts w:ascii="Book Antiqua" w:eastAsia="Book Antiqua" w:hAnsi="Book Antiqua" w:cs="Book Antiqua"/>
          <w:i/>
          <w:iCs/>
        </w:rPr>
        <w:t>Cancer Discov</w:t>
      </w:r>
      <w:r>
        <w:rPr>
          <w:rFonts w:ascii="Book Antiqua" w:eastAsia="Book Antiqua" w:hAnsi="Book Antiqua" w:cs="Book Antiqua"/>
        </w:rPr>
        <w:t xml:space="preserve"> 2019; </w:t>
      </w:r>
      <w:r>
        <w:rPr>
          <w:rFonts w:ascii="Book Antiqua" w:eastAsia="Book Antiqua" w:hAnsi="Book Antiqua" w:cs="Book Antiqua"/>
          <w:b/>
          <w:bCs/>
        </w:rPr>
        <w:t>9</w:t>
      </w:r>
      <w:r>
        <w:rPr>
          <w:rFonts w:ascii="Book Antiqua" w:eastAsia="Book Antiqua" w:hAnsi="Book Antiqua" w:cs="Book Antiqua"/>
        </w:rPr>
        <w:t>: 64-81 [PMID: 30279173 DOI: 10.1158/2159-8290.CD-18-0193]</w:t>
      </w:r>
    </w:p>
    <w:p w14:paraId="436E13B0"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Avalle L</w:t>
      </w:r>
      <w:r>
        <w:rPr>
          <w:rFonts w:ascii="Book Antiqua" w:eastAsia="Book Antiqua" w:hAnsi="Book Antiqua" w:cs="Book Antiqua"/>
        </w:rPr>
        <w:t xml:space="preserve">, Raggi L, Monteleone E, Savino A, Viavattene D, Statello L, Camperi A, Stabile SA, Salemme V, De Marzo N, Marino F, Guglielmi C, Lobascio A, Zanini C, Forni M, Incarnato D, Defilippi P, Oliviero S, Poli V. STAT3 induces breast cancer growth </w:t>
      </w:r>
      <w:r>
        <w:rPr>
          <w:rFonts w:ascii="Book Antiqua" w:eastAsia="Book Antiqua" w:hAnsi="Book Antiqua" w:cs="Book Antiqua"/>
          <w:i/>
          <w:iCs/>
        </w:rPr>
        <w:t>via</w:t>
      </w:r>
      <w:r>
        <w:rPr>
          <w:rFonts w:ascii="Book Antiqua" w:eastAsia="Book Antiqua" w:hAnsi="Book Antiqua" w:cs="Book Antiqua"/>
        </w:rPr>
        <w:t xml:space="preserve"> ANGPTL4, MMP13 and STC1 secretion by cancer associated fibroblasts. </w:t>
      </w:r>
      <w:r>
        <w:rPr>
          <w:rFonts w:ascii="Book Antiqua" w:eastAsia="Book Antiqua" w:hAnsi="Book Antiqua" w:cs="Book Antiqua"/>
          <w:i/>
          <w:iCs/>
        </w:rPr>
        <w:t>Oncogene</w:t>
      </w:r>
      <w:r>
        <w:rPr>
          <w:rFonts w:ascii="Book Antiqua" w:eastAsia="Book Antiqua" w:hAnsi="Book Antiqua" w:cs="Book Antiqua"/>
        </w:rPr>
        <w:t xml:space="preserve"> 2022; </w:t>
      </w:r>
      <w:r>
        <w:rPr>
          <w:rFonts w:ascii="Book Antiqua" w:eastAsia="Book Antiqua" w:hAnsi="Book Antiqua" w:cs="Book Antiqua"/>
          <w:b/>
          <w:bCs/>
        </w:rPr>
        <w:t>41</w:t>
      </w:r>
      <w:r>
        <w:rPr>
          <w:rFonts w:ascii="Book Antiqua" w:eastAsia="Book Antiqua" w:hAnsi="Book Antiqua" w:cs="Book Antiqua"/>
        </w:rPr>
        <w:t>: 1456-1467 [PMID: 35042959 DOI: 10.1038/s41388-021-02172-y]</w:t>
      </w:r>
    </w:p>
    <w:p w14:paraId="70F62B7D"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Zeng H</w:t>
      </w:r>
      <w:r>
        <w:rPr>
          <w:rFonts w:ascii="Book Antiqua" w:eastAsia="Book Antiqua" w:hAnsi="Book Antiqua" w:cs="Book Antiqua"/>
        </w:rPr>
        <w:t xml:space="preserve">, Hou Y, Zhou X, Lang L, Luo H, Sun Y, Wan X, Yuan T, Wang R, Liu Y, Tang R, Cheng S, Xu M, Liu M. Cancer-associated fibroblasts facilitate premetastatic niche formation through lncRNA SNHG5-mediated angiogenesis and vascular permeability in breast cancer. </w:t>
      </w:r>
      <w:r>
        <w:rPr>
          <w:rFonts w:ascii="Book Antiqua" w:eastAsia="Book Antiqua" w:hAnsi="Book Antiqua" w:cs="Book Antiqua"/>
          <w:i/>
          <w:iCs/>
        </w:rPr>
        <w:t>Theranostics</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7351-7370 [PMID: 36438499 DOI: 10.7150/thno.74753]</w:t>
      </w:r>
    </w:p>
    <w:p w14:paraId="2EEF5179"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Fang WB</w:t>
      </w:r>
      <w:r>
        <w:rPr>
          <w:rFonts w:ascii="Book Antiqua" w:eastAsia="Book Antiqua" w:hAnsi="Book Antiqua" w:cs="Book Antiqua"/>
        </w:rPr>
        <w:t xml:space="preserve">, Medrano M, Cote P, Portsche M, Rao V, Hong Y, Behbod F, Knapp JR, Bloomer C, Noel-Macdonnell J, Cheng N. Transcriptome analysis reveals differences in cell cycle, growth and migration related genes that distinguish fibroblasts derived from pre-invasive and invasive breast cancer. </w:t>
      </w:r>
      <w:r>
        <w:rPr>
          <w:rFonts w:ascii="Book Antiqua" w:eastAsia="Book Antiqua" w:hAnsi="Book Antiqua" w:cs="Book Antiqua"/>
          <w:i/>
          <w:iCs/>
        </w:rPr>
        <w:t>Front Oncol</w:t>
      </w:r>
      <w:r>
        <w:rPr>
          <w:rFonts w:ascii="Book Antiqua" w:eastAsia="Book Antiqua" w:hAnsi="Book Antiqua" w:cs="Book Antiqua"/>
        </w:rPr>
        <w:t xml:space="preserve"> 2023; </w:t>
      </w:r>
      <w:r>
        <w:rPr>
          <w:rFonts w:ascii="Book Antiqua" w:eastAsia="Book Antiqua" w:hAnsi="Book Antiqua" w:cs="Book Antiqua"/>
          <w:b/>
          <w:bCs/>
        </w:rPr>
        <w:t>13</w:t>
      </w:r>
      <w:r>
        <w:rPr>
          <w:rFonts w:ascii="Book Antiqua" w:eastAsia="Book Antiqua" w:hAnsi="Book Antiqua" w:cs="Book Antiqua"/>
        </w:rPr>
        <w:t>: 1130911 [PMID: 37091166 DOI: 10.3389/fonc.2023.1130911]</w:t>
      </w:r>
    </w:p>
    <w:p w14:paraId="2E155A90"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Langfelder P</w:t>
      </w:r>
      <w:r>
        <w:rPr>
          <w:rFonts w:ascii="Book Antiqua" w:eastAsia="Book Antiqua" w:hAnsi="Book Antiqua" w:cs="Book Antiqua"/>
        </w:rPr>
        <w:t xml:space="preserve">, Horvath S. WGCNA: an R package for weighted correlation network analysis. </w:t>
      </w:r>
      <w:r>
        <w:rPr>
          <w:rFonts w:ascii="Book Antiqua" w:eastAsia="Book Antiqua" w:hAnsi="Book Antiqua" w:cs="Book Antiqua"/>
          <w:i/>
          <w:iCs/>
        </w:rPr>
        <w:t>BMC Bioinformatics</w:t>
      </w:r>
      <w:r>
        <w:rPr>
          <w:rFonts w:ascii="Book Antiqua" w:eastAsia="Book Antiqua" w:hAnsi="Book Antiqua" w:cs="Book Antiqua"/>
        </w:rPr>
        <w:t xml:space="preserve"> 2008; </w:t>
      </w:r>
      <w:r>
        <w:rPr>
          <w:rFonts w:ascii="Book Antiqua" w:eastAsia="Book Antiqua" w:hAnsi="Book Antiqua" w:cs="Book Antiqua"/>
          <w:b/>
          <w:bCs/>
        </w:rPr>
        <w:t>9</w:t>
      </w:r>
      <w:r>
        <w:rPr>
          <w:rFonts w:ascii="Book Antiqua" w:eastAsia="Book Antiqua" w:hAnsi="Book Antiqua" w:cs="Book Antiqua"/>
        </w:rPr>
        <w:t>: 559 [PMID: 19114008 DOI: 10.1186/1471-2105-9-559]</w:t>
      </w:r>
    </w:p>
    <w:p w14:paraId="0440045B" w14:textId="77777777" w:rsidR="005949C7" w:rsidRDefault="00000000">
      <w:pPr>
        <w:spacing w:line="360" w:lineRule="auto"/>
        <w:jc w:val="both"/>
        <w:rPr>
          <w:rFonts w:ascii="Book Antiqua" w:hAnsi="Book Antiqua"/>
        </w:rPr>
      </w:pPr>
      <w:r>
        <w:rPr>
          <w:rFonts w:ascii="Book Antiqua" w:eastAsia="Book Antiqua" w:hAnsi="Book Antiqua" w:cs="Book Antiqua"/>
        </w:rPr>
        <w:lastRenderedPageBreak/>
        <w:t xml:space="preserve">13 </w:t>
      </w:r>
      <w:r>
        <w:rPr>
          <w:rFonts w:ascii="Book Antiqua" w:eastAsia="Book Antiqua" w:hAnsi="Book Antiqua" w:cs="Book Antiqua"/>
          <w:b/>
          <w:bCs/>
        </w:rPr>
        <w:t>Zheng H</w:t>
      </w:r>
      <w:r>
        <w:rPr>
          <w:rFonts w:ascii="Book Antiqua" w:eastAsia="Book Antiqua" w:hAnsi="Book Antiqua" w:cs="Book Antiqua"/>
        </w:rPr>
        <w:t xml:space="preserve">, Liu H, Li H, Dou W, Wang X. Weighted Gene Co-expression Network Analysis Identifies a Cancer-Associated Fibroblast Signature for Predicting Prognosis and Therapeutic Responses in Gastric Cancer. </w:t>
      </w:r>
      <w:r>
        <w:rPr>
          <w:rFonts w:ascii="Book Antiqua" w:eastAsia="Book Antiqua" w:hAnsi="Book Antiqua" w:cs="Book Antiqua"/>
          <w:i/>
          <w:iCs/>
        </w:rPr>
        <w:t>Front Mol Biosci</w:t>
      </w:r>
      <w:r>
        <w:rPr>
          <w:rFonts w:ascii="Book Antiqua" w:eastAsia="Book Antiqua" w:hAnsi="Book Antiqua" w:cs="Book Antiqua"/>
        </w:rPr>
        <w:t xml:space="preserve"> 2021; </w:t>
      </w:r>
      <w:r>
        <w:rPr>
          <w:rFonts w:ascii="Book Antiqua" w:eastAsia="Book Antiqua" w:hAnsi="Book Antiqua" w:cs="Book Antiqua"/>
          <w:b/>
          <w:bCs/>
        </w:rPr>
        <w:t>8</w:t>
      </w:r>
      <w:r>
        <w:rPr>
          <w:rFonts w:ascii="Book Antiqua" w:eastAsia="Book Antiqua" w:hAnsi="Book Antiqua" w:cs="Book Antiqua"/>
        </w:rPr>
        <w:t>: 744677 [PMID: 34692770 DOI: 10.3389/fmolb.2021.744677]</w:t>
      </w:r>
    </w:p>
    <w:p w14:paraId="26F3D9D2"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Liu B</w:t>
      </w:r>
      <w:r>
        <w:rPr>
          <w:rFonts w:ascii="Book Antiqua" w:eastAsia="Book Antiqua" w:hAnsi="Book Antiqua" w:cs="Book Antiqua"/>
        </w:rPr>
        <w:t xml:space="preserve">, Chen X, Zhan Y, Wu B, Pan S. Identification of a Gene Signature for Renal Cell Carcinoma-Associated Fibroblasts Mediating Cancer Progression and Affecting Prognosis. </w:t>
      </w:r>
      <w:r>
        <w:rPr>
          <w:rFonts w:ascii="Book Antiqua" w:eastAsia="Book Antiqua" w:hAnsi="Book Antiqua" w:cs="Book Antiqua"/>
          <w:i/>
          <w:iCs/>
        </w:rPr>
        <w:t>Front Cell Dev Biol</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604627 [PMID: 33634098 DOI: 10.3389/fcell.2020.604627]</w:t>
      </w:r>
    </w:p>
    <w:p w14:paraId="73F8210E"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Harrow J</w:t>
      </w:r>
      <w:r>
        <w:rPr>
          <w:rFonts w:ascii="Book Antiqua" w:eastAsia="Book Antiqua" w:hAnsi="Book Antiqua" w:cs="Book Antiqua"/>
        </w:rPr>
        <w:t xml:space="preserve">, Frankish A, Gonzalez JM, Tapanari E, Diekhans M, Kokocinski F, Aken BL, Barrell D, Zadissa A, Searle S, Barnes I, Bignell A, Boychenko V, Hunt T, Kay M, Mukherjee G, Rajan J, Despacio-Reyes G, Saunders G, Steward C, Harte R, Lin M, Howald C, Tanzer A, Derrien T, Chrast J, Walters N, Balasubramanian S, Pei B, Tress M, Rodriguez JM, Ezkurdia I, van Baren J, Brent M, Haussler D, Kellis M, Valencia A, Reymond A, Gerstein M, Guigó R, Hubbard TJ. GENCODE: the reference human genome annotation for The ENCODE Project. </w:t>
      </w:r>
      <w:r>
        <w:rPr>
          <w:rFonts w:ascii="Book Antiqua" w:eastAsia="Book Antiqua" w:hAnsi="Book Antiqua" w:cs="Book Antiqua"/>
          <w:i/>
          <w:iCs/>
        </w:rPr>
        <w:t>Genome Res</w:t>
      </w:r>
      <w:r>
        <w:rPr>
          <w:rFonts w:ascii="Book Antiqua" w:eastAsia="Book Antiqua" w:hAnsi="Book Antiqua" w:cs="Book Antiqua"/>
        </w:rPr>
        <w:t xml:space="preserve"> 2012; </w:t>
      </w:r>
      <w:r>
        <w:rPr>
          <w:rFonts w:ascii="Book Antiqua" w:eastAsia="Book Antiqua" w:hAnsi="Book Antiqua" w:cs="Book Antiqua"/>
          <w:b/>
          <w:bCs/>
        </w:rPr>
        <w:t>22</w:t>
      </w:r>
      <w:r>
        <w:rPr>
          <w:rFonts w:ascii="Book Antiqua" w:eastAsia="Book Antiqua" w:hAnsi="Book Antiqua" w:cs="Book Antiqua"/>
        </w:rPr>
        <w:t>: 1760-1774 [PMID: 22955987 DOI: 10.1101/gr.135350.111]</w:t>
      </w:r>
    </w:p>
    <w:p w14:paraId="11191924"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16 </w:t>
      </w:r>
      <w:r>
        <w:rPr>
          <w:rFonts w:ascii="Book Antiqua" w:eastAsia="Book Antiqua" w:hAnsi="Book Antiqua" w:cs="Book Antiqua"/>
          <w:b/>
          <w:bCs/>
        </w:rPr>
        <w:t>Wu SZ</w:t>
      </w:r>
      <w:r>
        <w:rPr>
          <w:rFonts w:ascii="Book Antiqua" w:eastAsia="Book Antiqua" w:hAnsi="Book Antiqua" w:cs="Book Antiqua"/>
        </w:rPr>
        <w:t xml:space="preserve">, Al-Eryani G, Roden DL, Junankar S, Harvey K, Andersson A, Thennavan A, Wang C, Torpy JR, Bartonicek N, Wang T, Larsson L, Kaczorowski D, Weisenfeld NI, Uytingco CR, Chew JG, Bent ZW, Chan CL, Gnanasambandapillai V, Dutertre CA, Gluch L, Hui MN, Beith J, Parker A, Robbins E, Segara D, Cooper C, Mak C, Chan B, Warrier S, Ginhoux F, Millar E, Powell JE, Williams SR, Liu XS, O'Toole S, Lim E, Lundeberg J, Perou CM, Swarbrick A. A single-cell and spatially resolved atlas of human breast cancers. </w:t>
      </w:r>
      <w:r>
        <w:rPr>
          <w:rFonts w:ascii="Book Antiqua" w:eastAsia="Book Antiqua" w:hAnsi="Book Antiqua" w:cs="Book Antiqua"/>
          <w:i/>
          <w:iCs/>
        </w:rPr>
        <w:t>Nat Genet</w:t>
      </w:r>
      <w:r>
        <w:rPr>
          <w:rFonts w:ascii="Book Antiqua" w:eastAsia="Book Antiqua" w:hAnsi="Book Antiqua" w:cs="Book Antiqua"/>
        </w:rPr>
        <w:t xml:space="preserve"> 2021; </w:t>
      </w:r>
      <w:r>
        <w:rPr>
          <w:rFonts w:ascii="Book Antiqua" w:eastAsia="Book Antiqua" w:hAnsi="Book Antiqua" w:cs="Book Antiqua"/>
          <w:b/>
          <w:bCs/>
        </w:rPr>
        <w:t>53</w:t>
      </w:r>
      <w:r>
        <w:rPr>
          <w:rFonts w:ascii="Book Antiqua" w:eastAsia="Book Antiqua" w:hAnsi="Book Antiqua" w:cs="Book Antiqua"/>
        </w:rPr>
        <w:t>: 1334-1347 [PMID: 34493872 DOI: 10.1038/s41588-021-00911-1]</w:t>
      </w:r>
    </w:p>
    <w:p w14:paraId="0AE621B8"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Newman AM</w:t>
      </w:r>
      <w:r>
        <w:rPr>
          <w:rFonts w:ascii="Book Antiqua" w:eastAsia="Book Antiqua" w:hAnsi="Book Antiqua" w:cs="Book Antiqua"/>
        </w:rPr>
        <w:t xml:space="preserve">, Liu CL, Green MR, Gentles AJ, Feng W, Xu Y, Hoang CD, Diehn M, Alizadeh AA. Robust enumeration of cell subsets from tissue expression profiles. </w:t>
      </w:r>
      <w:r>
        <w:rPr>
          <w:rFonts w:ascii="Book Antiqua" w:eastAsia="Book Antiqua" w:hAnsi="Book Antiqua" w:cs="Book Antiqua"/>
          <w:i/>
          <w:iCs/>
        </w:rPr>
        <w:t>Nat Methods</w:t>
      </w:r>
      <w:r>
        <w:rPr>
          <w:rFonts w:ascii="Book Antiqua" w:eastAsia="Book Antiqua" w:hAnsi="Book Antiqua" w:cs="Book Antiqua"/>
        </w:rPr>
        <w:t xml:space="preserve"> 2015; </w:t>
      </w:r>
      <w:r>
        <w:rPr>
          <w:rFonts w:ascii="Book Antiqua" w:eastAsia="Book Antiqua" w:hAnsi="Book Antiqua" w:cs="Book Antiqua"/>
          <w:b/>
          <w:bCs/>
        </w:rPr>
        <w:t>12</w:t>
      </w:r>
      <w:r>
        <w:rPr>
          <w:rFonts w:ascii="Book Antiqua" w:eastAsia="Book Antiqua" w:hAnsi="Book Antiqua" w:cs="Book Antiqua"/>
        </w:rPr>
        <w:t>: 453-457 [PMID: 25822800 DOI: 10.1038/nmeth.3337]</w:t>
      </w:r>
    </w:p>
    <w:p w14:paraId="39A846B1"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18 </w:t>
      </w:r>
      <w:r>
        <w:rPr>
          <w:rFonts w:ascii="Book Antiqua" w:eastAsia="Book Antiqua" w:hAnsi="Book Antiqua" w:cs="Book Antiqua"/>
          <w:b/>
          <w:bCs/>
        </w:rPr>
        <w:t>Yoshihara K</w:t>
      </w:r>
      <w:r>
        <w:rPr>
          <w:rFonts w:ascii="Book Antiqua" w:eastAsia="Book Antiqua" w:hAnsi="Book Antiqua" w:cs="Book Antiqua"/>
        </w:rPr>
        <w:t xml:space="preserve">, Shahmoradgoli M, Martínez E, Vegesna R, Kim H, Torres-Garcia W, Treviño V, Shen H, Laird PW, Levine DA, Carter SL, Getz G, Stemke-Hale K, Mills GB, </w:t>
      </w:r>
      <w:r>
        <w:rPr>
          <w:rFonts w:ascii="Book Antiqua" w:eastAsia="Book Antiqua" w:hAnsi="Book Antiqua" w:cs="Book Antiqua"/>
        </w:rPr>
        <w:lastRenderedPageBreak/>
        <w:t xml:space="preserve">Verhaak RG. Inferring tumour purity and stromal and immune cell admixture from expression data. </w:t>
      </w:r>
      <w:r>
        <w:rPr>
          <w:rFonts w:ascii="Book Antiqua" w:eastAsia="Book Antiqua" w:hAnsi="Book Antiqua" w:cs="Book Antiqua"/>
          <w:i/>
          <w:iCs/>
        </w:rPr>
        <w:t>Nat Commun</w:t>
      </w:r>
      <w:r>
        <w:rPr>
          <w:rFonts w:ascii="Book Antiqua" w:eastAsia="Book Antiqua" w:hAnsi="Book Antiqua" w:cs="Book Antiqua"/>
        </w:rPr>
        <w:t xml:space="preserve"> 2013; </w:t>
      </w:r>
      <w:r>
        <w:rPr>
          <w:rFonts w:ascii="Book Antiqua" w:eastAsia="Book Antiqua" w:hAnsi="Book Antiqua" w:cs="Book Antiqua"/>
          <w:b/>
          <w:bCs/>
        </w:rPr>
        <w:t>4</w:t>
      </w:r>
      <w:r>
        <w:rPr>
          <w:rFonts w:ascii="Book Antiqua" w:eastAsia="Book Antiqua" w:hAnsi="Book Antiqua" w:cs="Book Antiqua"/>
        </w:rPr>
        <w:t>: 2612 [PMID: 24113773 DOI: 10.1038/ncomms3612]</w:t>
      </w:r>
    </w:p>
    <w:p w14:paraId="07ACCCA5"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19 </w:t>
      </w:r>
      <w:r>
        <w:rPr>
          <w:rFonts w:ascii="Book Antiqua" w:eastAsia="Book Antiqua" w:hAnsi="Book Antiqua" w:cs="Book Antiqua"/>
          <w:b/>
          <w:bCs/>
        </w:rPr>
        <w:t>Yu G</w:t>
      </w:r>
      <w:r>
        <w:rPr>
          <w:rFonts w:ascii="Book Antiqua" w:eastAsia="Book Antiqua" w:hAnsi="Book Antiqua" w:cs="Book Antiqua"/>
        </w:rPr>
        <w:t xml:space="preserve">, Wang LG, Han Y, He QY. clusterProfiler: an R package for comparing biological themes among gene clusters. </w:t>
      </w:r>
      <w:r>
        <w:rPr>
          <w:rFonts w:ascii="Book Antiqua" w:eastAsia="Book Antiqua" w:hAnsi="Book Antiqua" w:cs="Book Antiqua"/>
          <w:i/>
          <w:iCs/>
        </w:rPr>
        <w:t>OMICS</w:t>
      </w:r>
      <w:r>
        <w:rPr>
          <w:rFonts w:ascii="Book Antiqua" w:eastAsia="Book Antiqua" w:hAnsi="Book Antiqua" w:cs="Book Antiqua"/>
        </w:rPr>
        <w:t xml:space="preserve"> 2012; </w:t>
      </w:r>
      <w:r>
        <w:rPr>
          <w:rFonts w:ascii="Book Antiqua" w:eastAsia="Book Antiqua" w:hAnsi="Book Antiqua" w:cs="Book Antiqua"/>
          <w:b/>
          <w:bCs/>
        </w:rPr>
        <w:t>16</w:t>
      </w:r>
      <w:r>
        <w:rPr>
          <w:rFonts w:ascii="Book Antiqua" w:eastAsia="Book Antiqua" w:hAnsi="Book Antiqua" w:cs="Book Antiqua"/>
        </w:rPr>
        <w:t>: 284-287 [PMID: 22455463 DOI: 10.1089/omi.2011.0118]</w:t>
      </w:r>
    </w:p>
    <w:p w14:paraId="0B338F57"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20 </w:t>
      </w:r>
      <w:r>
        <w:rPr>
          <w:rFonts w:ascii="Book Antiqua" w:eastAsia="Book Antiqua" w:hAnsi="Book Antiqua" w:cs="Book Antiqua"/>
          <w:b/>
          <w:bCs/>
        </w:rPr>
        <w:t>Liberzon A</w:t>
      </w:r>
      <w:r>
        <w:rPr>
          <w:rFonts w:ascii="Book Antiqua" w:eastAsia="Book Antiqua" w:hAnsi="Book Antiqua" w:cs="Book Antiqua"/>
        </w:rPr>
        <w:t xml:space="preserve">, Birger C, Thorvaldsdóttir H, Ghandi M, Mesirov JP, Tamayo P. The Molecular Signatures Database (MSigDB) hallmark gene set collection. </w:t>
      </w:r>
      <w:r>
        <w:rPr>
          <w:rFonts w:ascii="Book Antiqua" w:eastAsia="Book Antiqua" w:hAnsi="Book Antiqua" w:cs="Book Antiqua"/>
          <w:i/>
          <w:iCs/>
        </w:rPr>
        <w:t>Cell Syst</w:t>
      </w:r>
      <w:r>
        <w:rPr>
          <w:rFonts w:ascii="Book Antiqua" w:eastAsia="Book Antiqua" w:hAnsi="Book Antiqua" w:cs="Book Antiqua"/>
        </w:rPr>
        <w:t xml:space="preserve"> 2015; </w:t>
      </w:r>
      <w:r>
        <w:rPr>
          <w:rFonts w:ascii="Book Antiqua" w:eastAsia="Book Antiqua" w:hAnsi="Book Antiqua" w:cs="Book Antiqua"/>
          <w:b/>
          <w:bCs/>
        </w:rPr>
        <w:t>1</w:t>
      </w:r>
      <w:r>
        <w:rPr>
          <w:rFonts w:ascii="Book Antiqua" w:eastAsia="Book Antiqua" w:hAnsi="Book Antiqua" w:cs="Book Antiqua"/>
        </w:rPr>
        <w:t>: 417-425 [PMID: 26771021 DOI: 10.1016/j.cels.2015.12.004]</w:t>
      </w:r>
    </w:p>
    <w:p w14:paraId="540EB553"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21 </w:t>
      </w:r>
      <w:r>
        <w:rPr>
          <w:rFonts w:ascii="Book Antiqua" w:eastAsia="Book Antiqua" w:hAnsi="Book Antiqua" w:cs="Book Antiqua"/>
          <w:b/>
          <w:bCs/>
        </w:rPr>
        <w:t>Hänzelmann S</w:t>
      </w:r>
      <w:r>
        <w:rPr>
          <w:rFonts w:ascii="Book Antiqua" w:eastAsia="Book Antiqua" w:hAnsi="Book Antiqua" w:cs="Book Antiqua"/>
        </w:rPr>
        <w:t xml:space="preserve">, Castelo R, Guinney J. GSVA: gene set variation analysis for microarray and RNA-seq data. </w:t>
      </w:r>
      <w:r>
        <w:rPr>
          <w:rFonts w:ascii="Book Antiqua" w:eastAsia="Book Antiqua" w:hAnsi="Book Antiqua" w:cs="Book Antiqua"/>
          <w:i/>
          <w:iCs/>
        </w:rPr>
        <w:t>BMC Bioinformatics</w:t>
      </w:r>
      <w:r>
        <w:rPr>
          <w:rFonts w:ascii="Book Antiqua" w:eastAsia="Book Antiqua" w:hAnsi="Book Antiqua" w:cs="Book Antiqua"/>
        </w:rPr>
        <w:t xml:space="preserve"> 2013; </w:t>
      </w:r>
      <w:r>
        <w:rPr>
          <w:rFonts w:ascii="Book Antiqua" w:eastAsia="Book Antiqua" w:hAnsi="Book Antiqua" w:cs="Book Antiqua"/>
          <w:b/>
          <w:bCs/>
        </w:rPr>
        <w:t>14</w:t>
      </w:r>
      <w:r>
        <w:rPr>
          <w:rFonts w:ascii="Book Antiqua" w:eastAsia="Book Antiqua" w:hAnsi="Book Antiqua" w:cs="Book Antiqua"/>
        </w:rPr>
        <w:t>: 7 [PMID: 23323831 DOI: 10.1186/1471-2105-14-7]</w:t>
      </w:r>
    </w:p>
    <w:p w14:paraId="534F1E3F"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22 </w:t>
      </w:r>
      <w:r>
        <w:rPr>
          <w:rFonts w:ascii="Book Antiqua" w:eastAsia="Book Antiqua" w:hAnsi="Book Antiqua" w:cs="Book Antiqua"/>
          <w:b/>
          <w:bCs/>
        </w:rPr>
        <w:t>Wang N</w:t>
      </w:r>
      <w:r>
        <w:rPr>
          <w:rFonts w:ascii="Book Antiqua" w:eastAsia="Book Antiqua" w:hAnsi="Book Antiqua" w:cs="Book Antiqua"/>
        </w:rPr>
        <w:t xml:space="preserve">, Zhang H, Li D, Jiang C, Zhao H, Teng Y. Identification of novel biomarkers in breast cancer </w:t>
      </w:r>
      <w:r>
        <w:rPr>
          <w:rFonts w:ascii="Book Antiqua" w:eastAsia="Book Antiqua" w:hAnsi="Book Antiqua" w:cs="Book Antiqua"/>
          <w:i/>
          <w:iCs/>
        </w:rPr>
        <w:t>via</w:t>
      </w:r>
      <w:r>
        <w:rPr>
          <w:rFonts w:ascii="Book Antiqua" w:eastAsia="Book Antiqua" w:hAnsi="Book Antiqua" w:cs="Book Antiqua"/>
        </w:rPr>
        <w:t xml:space="preserve"> integrated bioinformatics analysis and experimental validation. </w:t>
      </w:r>
      <w:r>
        <w:rPr>
          <w:rFonts w:ascii="Book Antiqua" w:eastAsia="Book Antiqua" w:hAnsi="Book Antiqua" w:cs="Book Antiqua"/>
          <w:i/>
          <w:iCs/>
        </w:rPr>
        <w:t>Bioengineered</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12431-12446 [PMID: 34895070 DOI: 10.1080/21655979.2021.2005747]</w:t>
      </w:r>
    </w:p>
    <w:p w14:paraId="1D4842B6"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23 </w:t>
      </w:r>
      <w:r>
        <w:rPr>
          <w:rFonts w:ascii="Book Antiqua" w:eastAsia="Book Antiqua" w:hAnsi="Book Antiqua" w:cs="Book Antiqua"/>
          <w:b/>
          <w:bCs/>
        </w:rPr>
        <w:t>Wang X</w:t>
      </w:r>
      <w:r>
        <w:rPr>
          <w:rFonts w:ascii="Book Antiqua" w:eastAsia="Book Antiqua" w:hAnsi="Book Antiqua" w:cs="Book Antiqua"/>
        </w:rPr>
        <w:t xml:space="preserve">, Li G, Zhang Y, Li L, Qiu L, Qian Z, Zhou S, Wang X, Li Q, Zhang H. Pan-Cancer Analysis Reveals Genomic and Clinical Characteristics of TRPV Channel-Related Genes. </w:t>
      </w:r>
      <w:r>
        <w:rPr>
          <w:rFonts w:ascii="Book Antiqua" w:eastAsia="Book Antiqua" w:hAnsi="Book Antiqua" w:cs="Book Antiqua"/>
          <w:i/>
          <w:iCs/>
        </w:rPr>
        <w:t>Front Oncol</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813100 [PMID: 35174089 DOI: 10.3389/fonc.2022.813100]</w:t>
      </w:r>
    </w:p>
    <w:p w14:paraId="78340233"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24 </w:t>
      </w:r>
      <w:r>
        <w:rPr>
          <w:rFonts w:ascii="Book Antiqua" w:eastAsia="Book Antiqua" w:hAnsi="Book Antiqua" w:cs="Book Antiqua"/>
          <w:b/>
          <w:bCs/>
        </w:rPr>
        <w:t>Kechagia JZ</w:t>
      </w:r>
      <w:r>
        <w:rPr>
          <w:rFonts w:ascii="Book Antiqua" w:eastAsia="Book Antiqua" w:hAnsi="Book Antiqua" w:cs="Book Antiqua"/>
        </w:rPr>
        <w:t xml:space="preserve">, Ivaska J, Roca-Cusachs P. Integrins as biomechanical sensors of the microenvironment. </w:t>
      </w:r>
      <w:r>
        <w:rPr>
          <w:rFonts w:ascii="Book Antiqua" w:eastAsia="Book Antiqua" w:hAnsi="Book Antiqua" w:cs="Book Antiqua"/>
          <w:i/>
          <w:iCs/>
        </w:rPr>
        <w:t>Nat Rev Mol Cell Biol</w:t>
      </w:r>
      <w:r>
        <w:rPr>
          <w:rFonts w:ascii="Book Antiqua" w:eastAsia="Book Antiqua" w:hAnsi="Book Antiqua" w:cs="Book Antiqua"/>
        </w:rPr>
        <w:t xml:space="preserve"> 2019; </w:t>
      </w:r>
      <w:r>
        <w:rPr>
          <w:rFonts w:ascii="Book Antiqua" w:eastAsia="Book Antiqua" w:hAnsi="Book Antiqua" w:cs="Book Antiqua"/>
          <w:b/>
          <w:bCs/>
        </w:rPr>
        <w:t>20</w:t>
      </w:r>
      <w:r>
        <w:rPr>
          <w:rFonts w:ascii="Book Antiqua" w:eastAsia="Book Antiqua" w:hAnsi="Book Antiqua" w:cs="Book Antiqua"/>
        </w:rPr>
        <w:t>: 457-473 [PMID: 31182865 DOI: 10.1038/s41580-019-0134-2]</w:t>
      </w:r>
    </w:p>
    <w:p w14:paraId="7E4566AB"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25 </w:t>
      </w:r>
      <w:r>
        <w:rPr>
          <w:rFonts w:ascii="Book Antiqua" w:eastAsia="Book Antiqua" w:hAnsi="Book Antiqua" w:cs="Book Antiqua"/>
          <w:b/>
          <w:bCs/>
        </w:rPr>
        <w:t>Mohammadi H</w:t>
      </w:r>
      <w:r>
        <w:rPr>
          <w:rFonts w:ascii="Book Antiqua" w:eastAsia="Book Antiqua" w:hAnsi="Book Antiqua" w:cs="Book Antiqua"/>
        </w:rPr>
        <w:t xml:space="preserve">, Sahai E. Mechanisms and impact of altered tumour mechanics. </w:t>
      </w:r>
      <w:r>
        <w:rPr>
          <w:rFonts w:ascii="Book Antiqua" w:eastAsia="Book Antiqua" w:hAnsi="Book Antiqua" w:cs="Book Antiqua"/>
          <w:i/>
          <w:iCs/>
        </w:rPr>
        <w:t>Nat Cell Biol</w:t>
      </w:r>
      <w:r>
        <w:rPr>
          <w:rFonts w:ascii="Book Antiqua" w:eastAsia="Book Antiqua" w:hAnsi="Book Antiqua" w:cs="Book Antiqua"/>
        </w:rPr>
        <w:t xml:space="preserve"> 2018; </w:t>
      </w:r>
      <w:r>
        <w:rPr>
          <w:rFonts w:ascii="Book Antiqua" w:eastAsia="Book Antiqua" w:hAnsi="Book Antiqua" w:cs="Book Antiqua"/>
          <w:b/>
          <w:bCs/>
        </w:rPr>
        <w:t>20</w:t>
      </w:r>
      <w:r>
        <w:rPr>
          <w:rFonts w:ascii="Book Antiqua" w:eastAsia="Book Antiqua" w:hAnsi="Book Antiqua" w:cs="Book Antiqua"/>
        </w:rPr>
        <w:t>: 766-774 [PMID: 29950570 DOI: 10.1038/s41556-018-0131-2]</w:t>
      </w:r>
    </w:p>
    <w:p w14:paraId="4780AFF9"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26 </w:t>
      </w:r>
      <w:r>
        <w:rPr>
          <w:rFonts w:ascii="Book Antiqua" w:eastAsia="Book Antiqua" w:hAnsi="Book Antiqua" w:cs="Book Antiqua"/>
          <w:b/>
          <w:bCs/>
        </w:rPr>
        <w:t>Shan T</w:t>
      </w:r>
      <w:r>
        <w:rPr>
          <w:rFonts w:ascii="Book Antiqua" w:eastAsia="Book Antiqua" w:hAnsi="Book Antiqua" w:cs="Book Antiqua"/>
        </w:rPr>
        <w:t xml:space="preserve">, Chen S, Chen X, Lin WR, Li W, Ma J, Wu T, Ji H, Li Y, Cui X, Kang Y. Prometastatic mechanisms of CAF-mediated EMT regulation in pancreatic cancer cells. </w:t>
      </w:r>
      <w:r>
        <w:rPr>
          <w:rFonts w:ascii="Book Antiqua" w:eastAsia="Book Antiqua" w:hAnsi="Book Antiqua" w:cs="Book Antiqua"/>
          <w:i/>
          <w:iCs/>
        </w:rPr>
        <w:t>Int J Oncol</w:t>
      </w:r>
      <w:r>
        <w:rPr>
          <w:rFonts w:ascii="Book Antiqua" w:eastAsia="Book Antiqua" w:hAnsi="Book Antiqua" w:cs="Book Antiqua"/>
        </w:rPr>
        <w:t xml:space="preserve"> 2017; </w:t>
      </w:r>
      <w:r>
        <w:rPr>
          <w:rFonts w:ascii="Book Antiqua" w:eastAsia="Book Antiqua" w:hAnsi="Book Antiqua" w:cs="Book Antiqua"/>
          <w:b/>
          <w:bCs/>
        </w:rPr>
        <w:t>50</w:t>
      </w:r>
      <w:r>
        <w:rPr>
          <w:rFonts w:ascii="Book Antiqua" w:eastAsia="Book Antiqua" w:hAnsi="Book Antiqua" w:cs="Book Antiqua"/>
        </w:rPr>
        <w:t>: 121-128 [PMID: 27878234 DOI: 10.3892/ijo.2016.3779]</w:t>
      </w:r>
    </w:p>
    <w:p w14:paraId="2EEBB50E"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27 </w:t>
      </w:r>
      <w:r>
        <w:rPr>
          <w:rFonts w:ascii="Book Antiqua" w:eastAsia="Book Antiqua" w:hAnsi="Book Antiqua" w:cs="Book Antiqua"/>
          <w:b/>
          <w:bCs/>
        </w:rPr>
        <w:t>Herrera M</w:t>
      </w:r>
      <w:r>
        <w:rPr>
          <w:rFonts w:ascii="Book Antiqua" w:eastAsia="Book Antiqua" w:hAnsi="Book Antiqua" w:cs="Book Antiqua"/>
        </w:rPr>
        <w:t xml:space="preserve">, Berral-González A, López-Cade I, Galindo-Pumariño C, Bueno-Fortes S, Martín-Merino M, Carrato A, Ocaña A, De La Pinta C, López-Alfonso A, Peña C, </w:t>
      </w:r>
      <w:r>
        <w:rPr>
          <w:rFonts w:ascii="Book Antiqua" w:eastAsia="Book Antiqua" w:hAnsi="Book Antiqua" w:cs="Book Antiqua"/>
        </w:rPr>
        <w:lastRenderedPageBreak/>
        <w:t xml:space="preserve">García-Barberán V, De Las Rivas J. Cancer-associated fibroblast-derived gene signatures determine prognosis in colon cancer patients. </w:t>
      </w:r>
      <w:r>
        <w:rPr>
          <w:rFonts w:ascii="Book Antiqua" w:eastAsia="Book Antiqua" w:hAnsi="Book Antiqua" w:cs="Book Antiqua"/>
          <w:i/>
          <w:iCs/>
        </w:rPr>
        <w:t>Mol Cancer</w:t>
      </w:r>
      <w:r>
        <w:rPr>
          <w:rFonts w:ascii="Book Antiqua" w:eastAsia="Book Antiqua" w:hAnsi="Book Antiqua" w:cs="Book Antiqua"/>
        </w:rPr>
        <w:t xml:space="preserve"> 2021; </w:t>
      </w:r>
      <w:r>
        <w:rPr>
          <w:rFonts w:ascii="Book Antiqua" w:eastAsia="Book Antiqua" w:hAnsi="Book Antiqua" w:cs="Book Antiqua"/>
          <w:b/>
          <w:bCs/>
        </w:rPr>
        <w:t>20</w:t>
      </w:r>
      <w:r>
        <w:rPr>
          <w:rFonts w:ascii="Book Antiqua" w:eastAsia="Book Antiqua" w:hAnsi="Book Antiqua" w:cs="Book Antiqua"/>
        </w:rPr>
        <w:t>: 73 [PMID: 33926453 DOI: 10.1186/s12943-021-01367-x]</w:t>
      </w:r>
    </w:p>
    <w:p w14:paraId="238DAC82"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28 </w:t>
      </w:r>
      <w:r>
        <w:rPr>
          <w:rFonts w:ascii="Book Antiqua" w:eastAsia="Book Antiqua" w:hAnsi="Book Antiqua" w:cs="Book Antiqua"/>
          <w:b/>
          <w:bCs/>
        </w:rPr>
        <w:t>Zhang Z</w:t>
      </w:r>
      <w:r>
        <w:rPr>
          <w:rFonts w:ascii="Book Antiqua" w:eastAsia="Book Antiqua" w:hAnsi="Book Antiqua" w:cs="Book Antiqua"/>
        </w:rPr>
        <w:t xml:space="preserve">, Liang Z, Li D, Wang L, Chen Y, Liang Y, Jiao W, Niu H. Development of a CAFs-related gene signature to predict survival and drug response in bladder cancer. </w:t>
      </w:r>
      <w:r>
        <w:rPr>
          <w:rFonts w:ascii="Book Antiqua" w:eastAsia="Book Antiqua" w:hAnsi="Book Antiqua" w:cs="Book Antiqua"/>
          <w:i/>
          <w:iCs/>
        </w:rPr>
        <w:t>Hum Cell</w:t>
      </w:r>
      <w:r>
        <w:rPr>
          <w:rFonts w:ascii="Book Antiqua" w:eastAsia="Book Antiqua" w:hAnsi="Book Antiqua" w:cs="Book Antiqua"/>
        </w:rPr>
        <w:t xml:space="preserve"> 2022; </w:t>
      </w:r>
      <w:r>
        <w:rPr>
          <w:rFonts w:ascii="Book Antiqua" w:eastAsia="Book Antiqua" w:hAnsi="Book Antiqua" w:cs="Book Antiqua"/>
          <w:b/>
          <w:bCs/>
        </w:rPr>
        <w:t>35</w:t>
      </w:r>
      <w:r>
        <w:rPr>
          <w:rFonts w:ascii="Book Antiqua" w:eastAsia="Book Antiqua" w:hAnsi="Book Antiqua" w:cs="Book Antiqua"/>
        </w:rPr>
        <w:t>: 649-664 [PMID: 35044630 DOI: 10.1007/s13577-022-00673-w]</w:t>
      </w:r>
    </w:p>
    <w:p w14:paraId="0D1FC994"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29 </w:t>
      </w:r>
      <w:r>
        <w:rPr>
          <w:rFonts w:ascii="Book Antiqua" w:eastAsia="Book Antiqua" w:hAnsi="Book Antiqua" w:cs="Book Antiqua"/>
          <w:b/>
          <w:bCs/>
        </w:rPr>
        <w:t>Monteran L</w:t>
      </w:r>
      <w:r>
        <w:rPr>
          <w:rFonts w:ascii="Book Antiqua" w:eastAsia="Book Antiqua" w:hAnsi="Book Antiqua" w:cs="Book Antiqua"/>
        </w:rPr>
        <w:t xml:space="preserve">, Erez N. The Dark Side of Fibroblasts: Cancer-Associated Fibroblasts as Mediators of Immunosuppression in the Tumor Microenvironment. </w:t>
      </w:r>
      <w:r>
        <w:rPr>
          <w:rFonts w:ascii="Book Antiqua" w:eastAsia="Book Antiqua" w:hAnsi="Book Antiqua" w:cs="Book Antiqua"/>
          <w:i/>
          <w:iCs/>
        </w:rPr>
        <w:t>Front Immunol</w:t>
      </w:r>
      <w:r>
        <w:rPr>
          <w:rFonts w:ascii="Book Antiqua" w:eastAsia="Book Antiqua" w:hAnsi="Book Antiqua" w:cs="Book Antiqua"/>
        </w:rPr>
        <w:t xml:space="preserve"> 2019; </w:t>
      </w:r>
      <w:r>
        <w:rPr>
          <w:rFonts w:ascii="Book Antiqua" w:eastAsia="Book Antiqua" w:hAnsi="Book Antiqua" w:cs="Book Antiqua"/>
          <w:b/>
          <w:bCs/>
        </w:rPr>
        <w:t>10</w:t>
      </w:r>
      <w:r>
        <w:rPr>
          <w:rFonts w:ascii="Book Antiqua" w:eastAsia="Book Antiqua" w:hAnsi="Book Antiqua" w:cs="Book Antiqua"/>
        </w:rPr>
        <w:t>: 1835 [PMID: 31428105 DOI: 10.3389/fimmu.2019.01835]</w:t>
      </w:r>
    </w:p>
    <w:p w14:paraId="1784D7C8"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30 </w:t>
      </w:r>
      <w:r>
        <w:rPr>
          <w:rFonts w:ascii="Book Antiqua" w:eastAsia="Book Antiqua" w:hAnsi="Book Antiqua" w:cs="Book Antiqua"/>
          <w:b/>
          <w:bCs/>
        </w:rPr>
        <w:t>Wu X</w:t>
      </w:r>
      <w:r>
        <w:rPr>
          <w:rFonts w:ascii="Book Antiqua" w:eastAsia="Book Antiqua" w:hAnsi="Book Antiqua" w:cs="Book Antiqua"/>
        </w:rPr>
        <w:t xml:space="preserve">, Zhou Z, Xu S, Liao C, Chen X, Li B, Peng J, Li D, Yang L. Extracellular vesicle packaged LMP1-activated fibroblasts promote tumor progression </w:t>
      </w:r>
      <w:r>
        <w:rPr>
          <w:rFonts w:ascii="Book Antiqua" w:eastAsia="Book Antiqua" w:hAnsi="Book Antiqua" w:cs="Book Antiqua"/>
          <w:i/>
          <w:iCs/>
        </w:rPr>
        <w:t>via</w:t>
      </w:r>
      <w:r>
        <w:rPr>
          <w:rFonts w:ascii="Book Antiqua" w:eastAsia="Book Antiqua" w:hAnsi="Book Antiqua" w:cs="Book Antiqua"/>
        </w:rPr>
        <w:t xml:space="preserve"> autophagy and stroma-tumor metabolism coupling. </w:t>
      </w:r>
      <w:r>
        <w:rPr>
          <w:rFonts w:ascii="Book Antiqua" w:eastAsia="Book Antiqua" w:hAnsi="Book Antiqua" w:cs="Book Antiqua"/>
          <w:i/>
          <w:iCs/>
        </w:rPr>
        <w:t>Cancer Lett</w:t>
      </w:r>
      <w:r>
        <w:rPr>
          <w:rFonts w:ascii="Book Antiqua" w:eastAsia="Book Antiqua" w:hAnsi="Book Antiqua" w:cs="Book Antiqua"/>
        </w:rPr>
        <w:t xml:space="preserve"> 2020; </w:t>
      </w:r>
      <w:r>
        <w:rPr>
          <w:rFonts w:ascii="Book Antiqua" w:eastAsia="Book Antiqua" w:hAnsi="Book Antiqua" w:cs="Book Antiqua"/>
          <w:b/>
          <w:bCs/>
        </w:rPr>
        <w:t>478</w:t>
      </w:r>
      <w:r>
        <w:rPr>
          <w:rFonts w:ascii="Book Antiqua" w:eastAsia="Book Antiqua" w:hAnsi="Book Antiqua" w:cs="Book Antiqua"/>
        </w:rPr>
        <w:t>: 93-106 [PMID: 32160975 DOI: 10.1016/j.canlet.2020.03.004]</w:t>
      </w:r>
    </w:p>
    <w:p w14:paraId="5E56E327"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31 </w:t>
      </w:r>
      <w:r>
        <w:rPr>
          <w:rFonts w:ascii="Book Antiqua" w:eastAsia="Book Antiqua" w:hAnsi="Book Antiqua" w:cs="Book Antiqua"/>
          <w:b/>
          <w:bCs/>
        </w:rPr>
        <w:t>Puram SV</w:t>
      </w:r>
      <w:r>
        <w:rPr>
          <w:rFonts w:ascii="Book Antiqua" w:eastAsia="Book Antiqua" w:hAnsi="Book Antiqua" w:cs="Book Antiqua"/>
        </w:rPr>
        <w:t xml:space="preserve">, Tirosh I, Parikh AS, Patel AP, Yizhak K, Gillespie S, Rodman C, Luo CL, Mroz EA, Emerick KS, Deschler DG, Varvares MA, Mylvaganam R, Rozenblatt-Rosen O, Rocco JW, Faquin WC, Lin DT, Regev A, Bernstein BE. Single-Cell Transcriptomic Analysis of Primary and Metastatic Tumor Ecosystems in Head and Neck Cancer. </w:t>
      </w:r>
      <w:r>
        <w:rPr>
          <w:rFonts w:ascii="Book Antiqua" w:eastAsia="Book Antiqua" w:hAnsi="Book Antiqua" w:cs="Book Antiqua"/>
          <w:i/>
          <w:iCs/>
        </w:rPr>
        <w:t>Cell</w:t>
      </w:r>
      <w:r>
        <w:rPr>
          <w:rFonts w:ascii="Book Antiqua" w:eastAsia="Book Antiqua" w:hAnsi="Book Antiqua" w:cs="Book Antiqua"/>
        </w:rPr>
        <w:t xml:space="preserve"> 2017; </w:t>
      </w:r>
      <w:r>
        <w:rPr>
          <w:rFonts w:ascii="Book Antiqua" w:eastAsia="Book Antiqua" w:hAnsi="Book Antiqua" w:cs="Book Antiqua"/>
          <w:b/>
          <w:bCs/>
        </w:rPr>
        <w:t>171</w:t>
      </w:r>
      <w:r>
        <w:rPr>
          <w:rFonts w:ascii="Book Antiqua" w:eastAsia="Book Antiqua" w:hAnsi="Book Antiqua" w:cs="Book Antiqua"/>
        </w:rPr>
        <w:t>: 1611-1624.e24 [PMID: 29198524 DOI: 10.1016/j.cell.2017.10.044]</w:t>
      </w:r>
    </w:p>
    <w:p w14:paraId="465544A8"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32 </w:t>
      </w:r>
      <w:r>
        <w:rPr>
          <w:rFonts w:ascii="Book Antiqua" w:eastAsia="Book Antiqua" w:hAnsi="Book Antiqua" w:cs="Book Antiqua"/>
          <w:b/>
          <w:bCs/>
        </w:rPr>
        <w:t>Qian J</w:t>
      </w:r>
      <w:r>
        <w:rPr>
          <w:rFonts w:ascii="Book Antiqua" w:eastAsia="Book Antiqua" w:hAnsi="Book Antiqua" w:cs="Book Antiqua"/>
        </w:rPr>
        <w:t xml:space="preserve">, Olbrecht S, Boeckx B, Vos H, Laoui D, Etlioglu E, Wauters E, Pomella V, Verbandt S, Busschaert P, Bassez A, Franken A, Bempt MV, Xiong J, Weynand B, van Herck Y, Antoranz A, Bosisio FM, Thienpont B, Floris G, Vergote I, Smeets A, Tejpar S, Lambrechts D. A pan-cancer blueprint of the heterogeneous tumor microenvironment revealed by single-cell profiling. </w:t>
      </w:r>
      <w:r>
        <w:rPr>
          <w:rFonts w:ascii="Book Antiqua" w:eastAsia="Book Antiqua" w:hAnsi="Book Antiqua" w:cs="Book Antiqua"/>
          <w:i/>
          <w:iCs/>
        </w:rPr>
        <w:t>Cell Res</w:t>
      </w:r>
      <w:r>
        <w:rPr>
          <w:rFonts w:ascii="Book Antiqua" w:eastAsia="Book Antiqua" w:hAnsi="Book Antiqua" w:cs="Book Antiqua"/>
        </w:rPr>
        <w:t xml:space="preserve"> 2020; </w:t>
      </w:r>
      <w:r>
        <w:rPr>
          <w:rFonts w:ascii="Book Antiqua" w:eastAsia="Book Antiqua" w:hAnsi="Book Antiqua" w:cs="Book Antiqua"/>
          <w:b/>
          <w:bCs/>
        </w:rPr>
        <w:t>30</w:t>
      </w:r>
      <w:r>
        <w:rPr>
          <w:rFonts w:ascii="Book Antiqua" w:eastAsia="Book Antiqua" w:hAnsi="Book Antiqua" w:cs="Book Antiqua"/>
        </w:rPr>
        <w:t>: 745-762 [PMID: 32561858 DOI: 10.1038/s41422-020-0355-0]</w:t>
      </w:r>
    </w:p>
    <w:p w14:paraId="5037B3AD"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33 </w:t>
      </w:r>
      <w:r>
        <w:rPr>
          <w:rFonts w:ascii="Book Antiqua" w:eastAsia="Book Antiqua" w:hAnsi="Book Antiqua" w:cs="Book Antiqua"/>
          <w:b/>
          <w:bCs/>
        </w:rPr>
        <w:t>Öhlund D</w:t>
      </w:r>
      <w:r>
        <w:rPr>
          <w:rFonts w:ascii="Book Antiqua" w:eastAsia="Book Antiqua" w:hAnsi="Book Antiqua" w:cs="Book Antiqua"/>
        </w:rPr>
        <w:t xml:space="preserve">, Handly-Santana A, Biffi G, Elyada E, Almeida AS, Ponz-Sarvise M, Corbo V, Oni TE, Hearn SA, Lee EJ, Chio II, Hwang CI, Tiriac H, Baker LA, Engle DD, Feig C, Kultti A, Egeblad M, Fearon DT, Crawford JM, Clevers H, Park Y, Tuveson DA. Distinct populations of inflammatory fibroblasts and myofibroblasts in pancreatic cancer. </w:t>
      </w:r>
      <w:r>
        <w:rPr>
          <w:rFonts w:ascii="Book Antiqua" w:eastAsia="Book Antiqua" w:hAnsi="Book Antiqua" w:cs="Book Antiqua"/>
          <w:i/>
          <w:iCs/>
        </w:rPr>
        <w:t>J Exp Med</w:t>
      </w:r>
      <w:r>
        <w:rPr>
          <w:rFonts w:ascii="Book Antiqua" w:eastAsia="Book Antiqua" w:hAnsi="Book Antiqua" w:cs="Book Antiqua"/>
        </w:rPr>
        <w:t xml:space="preserve"> 2017; </w:t>
      </w:r>
      <w:r>
        <w:rPr>
          <w:rFonts w:ascii="Book Antiqua" w:eastAsia="Book Antiqua" w:hAnsi="Book Antiqua" w:cs="Book Antiqua"/>
          <w:b/>
          <w:bCs/>
        </w:rPr>
        <w:t>214</w:t>
      </w:r>
      <w:r>
        <w:rPr>
          <w:rFonts w:ascii="Book Antiqua" w:eastAsia="Book Antiqua" w:hAnsi="Book Antiqua" w:cs="Book Antiqua"/>
        </w:rPr>
        <w:t>: 579-596 [PMID: 28232471 DOI: 10.1084/jem.20162024]</w:t>
      </w:r>
    </w:p>
    <w:p w14:paraId="03F4DB1A" w14:textId="77777777" w:rsidR="005949C7" w:rsidRDefault="00000000">
      <w:pPr>
        <w:spacing w:line="360" w:lineRule="auto"/>
        <w:jc w:val="both"/>
        <w:rPr>
          <w:rFonts w:ascii="Book Antiqua" w:hAnsi="Book Antiqua"/>
        </w:rPr>
      </w:pPr>
      <w:r>
        <w:rPr>
          <w:rFonts w:ascii="Book Antiqua" w:eastAsia="Book Antiqua" w:hAnsi="Book Antiqua" w:cs="Book Antiqua"/>
        </w:rPr>
        <w:lastRenderedPageBreak/>
        <w:t xml:space="preserve">34 </w:t>
      </w:r>
      <w:r>
        <w:rPr>
          <w:rFonts w:ascii="Book Antiqua" w:eastAsia="Book Antiqua" w:hAnsi="Book Antiqua" w:cs="Book Antiqua"/>
          <w:b/>
          <w:bCs/>
        </w:rPr>
        <w:t>Elyada E</w:t>
      </w:r>
      <w:r>
        <w:rPr>
          <w:rFonts w:ascii="Book Antiqua" w:eastAsia="Book Antiqua" w:hAnsi="Book Antiqua" w:cs="Book Antiqua"/>
        </w:rPr>
        <w:t xml:space="preserve">, Bolisetty M, Laise P, Flynn WF, Courtois ET, Burkhart RA, Teinor JA, Belleau P, Biffi G, Lucito MS, Sivajothi S, Armstrong TD, Engle DD, Yu KH, Hao Y, Wolfgang CL, Park Y, Preall J, Jaffee EM, Califano A, Robson P, Tuveson DA. Cross-Species Single-Cell Analysis of Pancreatic Ductal Adenocarcinoma Reveals Antigen-Presenting Cancer-Associated Fibroblasts. </w:t>
      </w:r>
      <w:r>
        <w:rPr>
          <w:rFonts w:ascii="Book Antiqua" w:eastAsia="Book Antiqua" w:hAnsi="Book Antiqua" w:cs="Book Antiqua"/>
          <w:i/>
          <w:iCs/>
        </w:rPr>
        <w:t>Cancer Discov</w:t>
      </w:r>
      <w:r>
        <w:rPr>
          <w:rFonts w:ascii="Book Antiqua" w:eastAsia="Book Antiqua" w:hAnsi="Book Antiqua" w:cs="Book Antiqua"/>
        </w:rPr>
        <w:t xml:space="preserve"> 2019; </w:t>
      </w:r>
      <w:r>
        <w:rPr>
          <w:rFonts w:ascii="Book Antiqua" w:eastAsia="Book Antiqua" w:hAnsi="Book Antiqua" w:cs="Book Antiqua"/>
          <w:b/>
          <w:bCs/>
        </w:rPr>
        <w:t>9</w:t>
      </w:r>
      <w:r>
        <w:rPr>
          <w:rFonts w:ascii="Book Antiqua" w:eastAsia="Book Antiqua" w:hAnsi="Book Antiqua" w:cs="Book Antiqua"/>
        </w:rPr>
        <w:t>: 1102-1123 [PMID: 31197017 DOI: 10.1158/2159-8290.CD-19-0094]</w:t>
      </w:r>
    </w:p>
    <w:p w14:paraId="63863375"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35 </w:t>
      </w:r>
      <w:r>
        <w:rPr>
          <w:rFonts w:ascii="Book Antiqua" w:eastAsia="Book Antiqua" w:hAnsi="Book Antiqua" w:cs="Book Antiqua"/>
          <w:b/>
          <w:bCs/>
        </w:rPr>
        <w:t>Biffi G</w:t>
      </w:r>
      <w:r>
        <w:rPr>
          <w:rFonts w:ascii="Book Antiqua" w:eastAsia="Book Antiqua" w:hAnsi="Book Antiqua" w:cs="Book Antiqua"/>
        </w:rPr>
        <w:t xml:space="preserve">, Oni TE, Spielman B, Hao Y, Elyada E, Park Y, Preall J, Tuveson DA. IL1-Induced JAK/STAT Signaling Is Antagonized by TGFβ to Shape CAF Heterogeneity in Pancreatic Ductal Adenocarcinoma. </w:t>
      </w:r>
      <w:r>
        <w:rPr>
          <w:rFonts w:ascii="Book Antiqua" w:eastAsia="Book Antiqua" w:hAnsi="Book Antiqua" w:cs="Book Antiqua"/>
          <w:i/>
          <w:iCs/>
        </w:rPr>
        <w:t>Cancer Discov</w:t>
      </w:r>
      <w:r>
        <w:rPr>
          <w:rFonts w:ascii="Book Antiqua" w:eastAsia="Book Antiqua" w:hAnsi="Book Antiqua" w:cs="Book Antiqua"/>
        </w:rPr>
        <w:t xml:space="preserve"> 2019; </w:t>
      </w:r>
      <w:r>
        <w:rPr>
          <w:rFonts w:ascii="Book Antiqua" w:eastAsia="Book Antiqua" w:hAnsi="Book Antiqua" w:cs="Book Antiqua"/>
          <w:b/>
          <w:bCs/>
        </w:rPr>
        <w:t>9</w:t>
      </w:r>
      <w:r>
        <w:rPr>
          <w:rFonts w:ascii="Book Antiqua" w:eastAsia="Book Antiqua" w:hAnsi="Book Antiqua" w:cs="Book Antiqua"/>
        </w:rPr>
        <w:t>: 282-301 [PMID: 30366930 DOI: 10.1158/2159-8290.CD-18-0710]</w:t>
      </w:r>
    </w:p>
    <w:p w14:paraId="2E71067E"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36 </w:t>
      </w:r>
      <w:r>
        <w:rPr>
          <w:rFonts w:ascii="Book Antiqua" w:eastAsia="Book Antiqua" w:hAnsi="Book Antiqua" w:cs="Book Antiqua"/>
          <w:b/>
          <w:bCs/>
        </w:rPr>
        <w:t>Wang Y</w:t>
      </w:r>
      <w:r>
        <w:rPr>
          <w:rFonts w:ascii="Book Antiqua" w:eastAsia="Book Antiqua" w:hAnsi="Book Antiqua" w:cs="Book Antiqua"/>
        </w:rPr>
        <w:t xml:space="preserve">, Lv W, Yi Y, Zhang Q, Zhang J, Wu Y. A novel signature based on cancer-associated fibroblast genes to predict prognosis, immune feature, and therapeutic response in breast cancer. </w:t>
      </w:r>
      <w:r>
        <w:rPr>
          <w:rFonts w:ascii="Book Antiqua" w:eastAsia="Book Antiqua" w:hAnsi="Book Antiqua" w:cs="Book Antiqua"/>
          <w:i/>
          <w:iCs/>
        </w:rPr>
        <w:t>Aging (Albany NY)</w:t>
      </w:r>
      <w:r>
        <w:rPr>
          <w:rFonts w:ascii="Book Antiqua" w:eastAsia="Book Antiqua" w:hAnsi="Book Antiqua" w:cs="Book Antiqua"/>
        </w:rPr>
        <w:t xml:space="preserve"> 2023; </w:t>
      </w:r>
      <w:r>
        <w:rPr>
          <w:rFonts w:ascii="Book Antiqua" w:eastAsia="Book Antiqua" w:hAnsi="Book Antiqua" w:cs="Book Antiqua"/>
          <w:b/>
          <w:bCs/>
        </w:rPr>
        <w:t>15</w:t>
      </w:r>
      <w:r>
        <w:rPr>
          <w:rFonts w:ascii="Book Antiqua" w:eastAsia="Book Antiqua" w:hAnsi="Book Antiqua" w:cs="Book Antiqua"/>
        </w:rPr>
        <w:t>: 3480-3497 [PMID: 37142271 DOI: 10.18632/aging.204685]</w:t>
      </w:r>
    </w:p>
    <w:p w14:paraId="4112D455"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37 </w:t>
      </w:r>
      <w:r>
        <w:rPr>
          <w:rFonts w:ascii="Book Antiqua" w:eastAsia="Book Antiqua" w:hAnsi="Book Antiqua" w:cs="Book Antiqua"/>
          <w:b/>
          <w:bCs/>
        </w:rPr>
        <w:t>Huang B</w:t>
      </w:r>
      <w:r>
        <w:rPr>
          <w:rFonts w:ascii="Book Antiqua" w:eastAsia="Book Antiqua" w:hAnsi="Book Antiqua" w:cs="Book Antiqua"/>
        </w:rPr>
        <w:t xml:space="preserve">, Chen Q, Ye Z, Zeng L, Huang C, Xie Y, Zhang R, Shen H. Construction of a Matrix Cancer-Associated Fibroblast Signature Gene-Based Risk Prognostic Signature for Directing Immunotherapy in Patients with Breast Cancer Using Single-Cell Analysis and Machine Learning. </w:t>
      </w:r>
      <w:r>
        <w:rPr>
          <w:rFonts w:ascii="Book Antiqua" w:eastAsia="Book Antiqua" w:hAnsi="Book Antiqua" w:cs="Book Antiqua"/>
          <w:i/>
          <w:iCs/>
        </w:rPr>
        <w:t>Int J Mol Sci</w:t>
      </w:r>
      <w:r>
        <w:rPr>
          <w:rFonts w:ascii="Book Antiqua" w:eastAsia="Book Antiqua" w:hAnsi="Book Antiqua" w:cs="Book Antiqua"/>
        </w:rPr>
        <w:t xml:space="preserve"> 2023; </w:t>
      </w:r>
      <w:r>
        <w:rPr>
          <w:rFonts w:ascii="Book Antiqua" w:eastAsia="Book Antiqua" w:hAnsi="Book Antiqua" w:cs="Book Antiqua"/>
          <w:b/>
          <w:bCs/>
        </w:rPr>
        <w:t>24</w:t>
      </w:r>
      <w:r>
        <w:rPr>
          <w:rFonts w:ascii="Book Antiqua" w:eastAsia="Book Antiqua" w:hAnsi="Book Antiqua" w:cs="Book Antiqua"/>
        </w:rPr>
        <w:t xml:space="preserve"> [PMID: 37685980 DOI: 10.3390/ijms241713175]</w:t>
      </w:r>
    </w:p>
    <w:p w14:paraId="0A68A270"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38 </w:t>
      </w:r>
      <w:r>
        <w:rPr>
          <w:rFonts w:ascii="Book Antiqua" w:eastAsia="Book Antiqua" w:hAnsi="Book Antiqua" w:cs="Book Antiqua"/>
          <w:b/>
          <w:bCs/>
        </w:rPr>
        <w:t>Xu A</w:t>
      </w:r>
      <w:r>
        <w:rPr>
          <w:rFonts w:ascii="Book Antiqua" w:eastAsia="Book Antiqua" w:hAnsi="Book Antiqua" w:cs="Book Antiqua"/>
        </w:rPr>
        <w:t xml:space="preserve">, Xu XN, Luo Z, Huang X, Gong RQ, Fu DY. Identification of prognostic cancer-associated fibroblast markers in luminal breast cancer using weighted gene co-expression network analysis. </w:t>
      </w:r>
      <w:r>
        <w:rPr>
          <w:rFonts w:ascii="Book Antiqua" w:eastAsia="Book Antiqua" w:hAnsi="Book Antiqua" w:cs="Book Antiqua"/>
          <w:i/>
          <w:iCs/>
        </w:rPr>
        <w:t>Front Oncol</w:t>
      </w:r>
      <w:r>
        <w:rPr>
          <w:rFonts w:ascii="Book Antiqua" w:eastAsia="Book Antiqua" w:hAnsi="Book Antiqua" w:cs="Book Antiqua"/>
        </w:rPr>
        <w:t xml:space="preserve"> 2023; </w:t>
      </w:r>
      <w:r>
        <w:rPr>
          <w:rFonts w:ascii="Book Antiqua" w:eastAsia="Book Antiqua" w:hAnsi="Book Antiqua" w:cs="Book Antiqua"/>
          <w:b/>
          <w:bCs/>
        </w:rPr>
        <w:t>13</w:t>
      </w:r>
      <w:r>
        <w:rPr>
          <w:rFonts w:ascii="Book Antiqua" w:eastAsia="Book Antiqua" w:hAnsi="Book Antiqua" w:cs="Book Antiqua"/>
        </w:rPr>
        <w:t>: 1191660 [PMID: 37207166 DOI: 10.3389/fonc.2023.1191660]</w:t>
      </w:r>
    </w:p>
    <w:p w14:paraId="6B2C6931"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39 </w:t>
      </w:r>
      <w:r>
        <w:rPr>
          <w:rFonts w:ascii="Book Antiqua" w:eastAsia="Book Antiqua" w:hAnsi="Book Antiqua" w:cs="Book Antiqua"/>
          <w:b/>
          <w:bCs/>
        </w:rPr>
        <w:t>Li Z</w:t>
      </w:r>
      <w:r>
        <w:rPr>
          <w:rFonts w:ascii="Book Antiqua" w:eastAsia="Book Antiqua" w:hAnsi="Book Antiqua" w:cs="Book Antiqua"/>
        </w:rPr>
        <w:t xml:space="preserve">, Yu X, Werner J, Bazhin AV, D'Haese JG. The role of interleukin-18 in pancreatitis and pancreatic cancer. </w:t>
      </w:r>
      <w:r>
        <w:rPr>
          <w:rFonts w:ascii="Book Antiqua" w:eastAsia="Book Antiqua" w:hAnsi="Book Antiqua" w:cs="Book Antiqua"/>
          <w:i/>
          <w:iCs/>
        </w:rPr>
        <w:t>Cytokine Growth Factor Rev</w:t>
      </w:r>
      <w:r>
        <w:rPr>
          <w:rFonts w:ascii="Book Antiqua" w:eastAsia="Book Antiqua" w:hAnsi="Book Antiqua" w:cs="Book Antiqua"/>
        </w:rPr>
        <w:t xml:space="preserve"> 2019; </w:t>
      </w:r>
      <w:r>
        <w:rPr>
          <w:rFonts w:ascii="Book Antiqua" w:eastAsia="Book Antiqua" w:hAnsi="Book Antiqua" w:cs="Book Antiqua"/>
          <w:b/>
          <w:bCs/>
        </w:rPr>
        <w:t>50</w:t>
      </w:r>
      <w:r>
        <w:rPr>
          <w:rFonts w:ascii="Book Antiqua" w:eastAsia="Book Antiqua" w:hAnsi="Book Antiqua" w:cs="Book Antiqua"/>
        </w:rPr>
        <w:t>: 1-12 [PMID: 31753718 DOI: 10.1016/j.cytogfr.2019.11.001]</w:t>
      </w:r>
    </w:p>
    <w:p w14:paraId="21CC7A15"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40 </w:t>
      </w:r>
      <w:r>
        <w:rPr>
          <w:rFonts w:ascii="Book Antiqua" w:eastAsia="Book Antiqua" w:hAnsi="Book Antiqua" w:cs="Book Antiqua"/>
          <w:b/>
          <w:bCs/>
        </w:rPr>
        <w:t>Ma T</w:t>
      </w:r>
      <w:r>
        <w:rPr>
          <w:rFonts w:ascii="Book Antiqua" w:eastAsia="Book Antiqua" w:hAnsi="Book Antiqua" w:cs="Book Antiqua"/>
        </w:rPr>
        <w:t xml:space="preserve">, Kong M. Interleukin-18 and -10 may be associated with lymph node metastasis in breast cancer. </w:t>
      </w:r>
      <w:r>
        <w:rPr>
          <w:rFonts w:ascii="Book Antiqua" w:eastAsia="Book Antiqua" w:hAnsi="Book Antiqua" w:cs="Book Antiqua"/>
          <w:i/>
          <w:iCs/>
        </w:rPr>
        <w:t>Oncol Lett</w:t>
      </w:r>
      <w:r>
        <w:rPr>
          <w:rFonts w:ascii="Book Antiqua" w:eastAsia="Book Antiqua" w:hAnsi="Book Antiqua" w:cs="Book Antiqua"/>
        </w:rPr>
        <w:t xml:space="preserve"> 2021; </w:t>
      </w:r>
      <w:r>
        <w:rPr>
          <w:rFonts w:ascii="Book Antiqua" w:eastAsia="Book Antiqua" w:hAnsi="Book Antiqua" w:cs="Book Antiqua"/>
          <w:b/>
          <w:bCs/>
        </w:rPr>
        <w:t>21</w:t>
      </w:r>
      <w:r>
        <w:rPr>
          <w:rFonts w:ascii="Book Antiqua" w:eastAsia="Book Antiqua" w:hAnsi="Book Antiqua" w:cs="Book Antiqua"/>
        </w:rPr>
        <w:t>: 253 [PMID: 33664817 DOI: 10.3892/ol.2021.12515]</w:t>
      </w:r>
    </w:p>
    <w:p w14:paraId="3C744614" w14:textId="77777777" w:rsidR="005949C7" w:rsidRDefault="00000000">
      <w:pPr>
        <w:spacing w:line="360" w:lineRule="auto"/>
        <w:jc w:val="both"/>
        <w:rPr>
          <w:rFonts w:ascii="Book Antiqua" w:hAnsi="Book Antiqua"/>
        </w:rPr>
      </w:pPr>
      <w:r>
        <w:rPr>
          <w:rFonts w:ascii="Book Antiqua" w:eastAsia="Book Antiqua" w:hAnsi="Book Antiqua" w:cs="Book Antiqua"/>
        </w:rPr>
        <w:lastRenderedPageBreak/>
        <w:t xml:space="preserve">41 </w:t>
      </w:r>
      <w:r>
        <w:rPr>
          <w:rFonts w:ascii="Book Antiqua" w:eastAsia="Book Antiqua" w:hAnsi="Book Antiqua" w:cs="Book Antiqua"/>
          <w:b/>
          <w:bCs/>
        </w:rPr>
        <w:t>Szekely B</w:t>
      </w:r>
      <w:r>
        <w:rPr>
          <w:rFonts w:ascii="Book Antiqua" w:eastAsia="Book Antiqua" w:hAnsi="Book Antiqua" w:cs="Book Antiqua"/>
        </w:rPr>
        <w:t xml:space="preserve">, Bossuyt V, Li X, Wali VB, Patwardhan GA, Frederick C, Silber A, Park T, Harigopal M, Pelekanou V, Zhang M, Yan Q, Rimm DL, Bianchini G, Hatzis C, Pusztai L. Immunological differences between primary and metastatic breast cancer. </w:t>
      </w:r>
      <w:r>
        <w:rPr>
          <w:rFonts w:ascii="Book Antiqua" w:eastAsia="Book Antiqua" w:hAnsi="Book Antiqua" w:cs="Book Antiqua"/>
          <w:i/>
          <w:iCs/>
        </w:rPr>
        <w:t>Ann Oncol</w:t>
      </w:r>
      <w:r>
        <w:rPr>
          <w:rFonts w:ascii="Book Antiqua" w:eastAsia="Book Antiqua" w:hAnsi="Book Antiqua" w:cs="Book Antiqua"/>
        </w:rPr>
        <w:t xml:space="preserve"> 2018; </w:t>
      </w:r>
      <w:r>
        <w:rPr>
          <w:rFonts w:ascii="Book Antiqua" w:eastAsia="Book Antiqua" w:hAnsi="Book Antiqua" w:cs="Book Antiqua"/>
          <w:b/>
          <w:bCs/>
        </w:rPr>
        <w:t>29</w:t>
      </w:r>
      <w:r>
        <w:rPr>
          <w:rFonts w:ascii="Book Antiqua" w:eastAsia="Book Antiqua" w:hAnsi="Book Antiqua" w:cs="Book Antiqua"/>
        </w:rPr>
        <w:t>: 2232-2239 [PMID: 30203045 DOI: 10.1093/annonc/mdy399]</w:t>
      </w:r>
    </w:p>
    <w:p w14:paraId="53B14DEC"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42 </w:t>
      </w:r>
      <w:r>
        <w:rPr>
          <w:rFonts w:ascii="Book Antiqua" w:eastAsia="Book Antiqua" w:hAnsi="Book Antiqua" w:cs="Book Antiqua"/>
          <w:b/>
          <w:bCs/>
        </w:rPr>
        <w:t>Rasmussen LM</w:t>
      </w:r>
      <w:r>
        <w:rPr>
          <w:rFonts w:ascii="Book Antiqua" w:eastAsia="Book Antiqua" w:hAnsi="Book Antiqua" w:cs="Book Antiqua"/>
        </w:rPr>
        <w:t xml:space="preserve">, Frederiksen KS, Din N, Galsgaard E, Christensen L, Berchtold MW, Panina S. Prolactin and oestrogen synergistically regulate gene expression and proliferation of breast cancer cells. </w:t>
      </w:r>
      <w:r>
        <w:rPr>
          <w:rFonts w:ascii="Book Antiqua" w:eastAsia="Book Antiqua" w:hAnsi="Book Antiqua" w:cs="Book Antiqua"/>
          <w:i/>
          <w:iCs/>
        </w:rPr>
        <w:t>Endocr Relat Cancer</w:t>
      </w:r>
      <w:r>
        <w:rPr>
          <w:rFonts w:ascii="Book Antiqua" w:eastAsia="Book Antiqua" w:hAnsi="Book Antiqua" w:cs="Book Antiqua"/>
        </w:rPr>
        <w:t xml:space="preserve"> 2010; </w:t>
      </w:r>
      <w:r>
        <w:rPr>
          <w:rFonts w:ascii="Book Antiqua" w:eastAsia="Book Antiqua" w:hAnsi="Book Antiqua" w:cs="Book Antiqua"/>
          <w:b/>
          <w:bCs/>
        </w:rPr>
        <w:t>17</w:t>
      </w:r>
      <w:r>
        <w:rPr>
          <w:rFonts w:ascii="Book Antiqua" w:eastAsia="Book Antiqua" w:hAnsi="Book Antiqua" w:cs="Book Antiqua"/>
        </w:rPr>
        <w:t>: 809-822 [PMID: 20601496 DOI: 10.1677/ERC-09-0326]</w:t>
      </w:r>
    </w:p>
    <w:p w14:paraId="54073CB6"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43 </w:t>
      </w:r>
      <w:r>
        <w:rPr>
          <w:rFonts w:ascii="Book Antiqua" w:eastAsia="Book Antiqua" w:hAnsi="Book Antiqua" w:cs="Book Antiqua"/>
          <w:b/>
          <w:bCs/>
        </w:rPr>
        <w:t>Degen M</w:t>
      </w:r>
      <w:r>
        <w:rPr>
          <w:rFonts w:ascii="Book Antiqua" w:eastAsia="Book Antiqua" w:hAnsi="Book Antiqua" w:cs="Book Antiqua"/>
        </w:rPr>
        <w:t xml:space="preserve">, Brellier F, Kain R, Ruiz C, Terracciano L, Orend G, Chiquet-Ehrismann R. Tenascin-W is a novel marker for activated tumor stroma in low-grade human breast cancer and influences cell behavior. </w:t>
      </w:r>
      <w:r>
        <w:rPr>
          <w:rFonts w:ascii="Book Antiqua" w:eastAsia="Book Antiqua" w:hAnsi="Book Antiqua" w:cs="Book Antiqua"/>
          <w:i/>
          <w:iCs/>
        </w:rPr>
        <w:t>Cancer Res</w:t>
      </w:r>
      <w:r>
        <w:rPr>
          <w:rFonts w:ascii="Book Antiqua" w:eastAsia="Book Antiqua" w:hAnsi="Book Antiqua" w:cs="Book Antiqua"/>
        </w:rPr>
        <w:t xml:space="preserve"> 2007; </w:t>
      </w:r>
      <w:r>
        <w:rPr>
          <w:rFonts w:ascii="Book Antiqua" w:eastAsia="Book Antiqua" w:hAnsi="Book Antiqua" w:cs="Book Antiqua"/>
          <w:b/>
          <w:bCs/>
        </w:rPr>
        <w:t>67</w:t>
      </w:r>
      <w:r>
        <w:rPr>
          <w:rFonts w:ascii="Book Antiqua" w:eastAsia="Book Antiqua" w:hAnsi="Book Antiqua" w:cs="Book Antiqua"/>
        </w:rPr>
        <w:t>: 9169-9179 [PMID: 17909022 DOI: 10.1158/0008-5472.CAN-07-0666]</w:t>
      </w:r>
    </w:p>
    <w:p w14:paraId="34B0F420"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44 </w:t>
      </w:r>
      <w:r>
        <w:rPr>
          <w:rFonts w:ascii="Book Antiqua" w:eastAsia="Book Antiqua" w:hAnsi="Book Antiqua" w:cs="Book Antiqua"/>
          <w:b/>
          <w:bCs/>
        </w:rPr>
        <w:t>Montagner M</w:t>
      </w:r>
      <w:r>
        <w:rPr>
          <w:rFonts w:ascii="Book Antiqua" w:eastAsia="Book Antiqua" w:hAnsi="Book Antiqua" w:cs="Book Antiqua"/>
        </w:rPr>
        <w:t xml:space="preserve">, Enzo E, Forcato M, Zanconato F, Parenti A, Rampazzo E, Basso G, Leo G, Rosato A, Bicciato S, Cordenonsi M, Piccolo S. SHARP1 suppresses breast cancer metastasis by promoting degradation of hypoxia-inducible factors. </w:t>
      </w:r>
      <w:r>
        <w:rPr>
          <w:rFonts w:ascii="Book Antiqua" w:eastAsia="Book Antiqua" w:hAnsi="Book Antiqua" w:cs="Book Antiqua"/>
          <w:i/>
          <w:iCs/>
        </w:rPr>
        <w:t>Nature</w:t>
      </w:r>
      <w:r>
        <w:rPr>
          <w:rFonts w:ascii="Book Antiqua" w:eastAsia="Book Antiqua" w:hAnsi="Book Antiqua" w:cs="Book Antiqua"/>
        </w:rPr>
        <w:t xml:space="preserve"> 2012; </w:t>
      </w:r>
      <w:r>
        <w:rPr>
          <w:rFonts w:ascii="Book Antiqua" w:eastAsia="Book Antiqua" w:hAnsi="Book Antiqua" w:cs="Book Antiqua"/>
          <w:b/>
          <w:bCs/>
        </w:rPr>
        <w:t>487</w:t>
      </w:r>
      <w:r>
        <w:rPr>
          <w:rFonts w:ascii="Book Antiqua" w:eastAsia="Book Antiqua" w:hAnsi="Book Antiqua" w:cs="Book Antiqua"/>
        </w:rPr>
        <w:t>: 380-384 [PMID: 22801492 DOI: 10.1038/nature11207]</w:t>
      </w:r>
    </w:p>
    <w:p w14:paraId="03923995"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45 </w:t>
      </w:r>
      <w:r>
        <w:rPr>
          <w:rFonts w:ascii="Book Antiqua" w:eastAsia="Book Antiqua" w:hAnsi="Book Antiqua" w:cs="Book Antiqua"/>
          <w:b/>
          <w:bCs/>
        </w:rPr>
        <w:t>Lampis A</w:t>
      </w:r>
      <w:r>
        <w:rPr>
          <w:rFonts w:ascii="Book Antiqua" w:eastAsia="Book Antiqua" w:hAnsi="Book Antiqua" w:cs="Book Antiqua"/>
        </w:rPr>
        <w:t xml:space="preserve">, Carotenuto P, Vlachogiannis G, Cascione L, Hedayat S, Burke R, Clarke P, Bosma E, Simbolo M, Scarpa A, Yu S, Cole R, Smyth E, Mateos JF, Begum R, Hezelova B, Eltahir Z, Wotherspoon A, Fotiadis N, Bali MA, Nepal C, Khan K, Stubbs M, Hahne JC, Gasparini P, Guzzardo V, Croce CM, Eccles S, Fassan M, Cunningham D, Andersen JB, Workman P, Valeri N, Braconi C. MIR21 Drives Resistance to Heat Shock Protein 90 Inhibition in Cholangiocarcinoma. </w:t>
      </w:r>
      <w:r>
        <w:rPr>
          <w:rFonts w:ascii="Book Antiqua" w:eastAsia="Book Antiqua" w:hAnsi="Book Antiqua" w:cs="Book Antiqua"/>
          <w:i/>
          <w:iCs/>
        </w:rPr>
        <w:t>Gastroenterology</w:t>
      </w:r>
      <w:r>
        <w:rPr>
          <w:rFonts w:ascii="Book Antiqua" w:eastAsia="Book Antiqua" w:hAnsi="Book Antiqua" w:cs="Book Antiqua"/>
        </w:rPr>
        <w:t xml:space="preserve"> 2018; </w:t>
      </w:r>
      <w:r>
        <w:rPr>
          <w:rFonts w:ascii="Book Antiqua" w:eastAsia="Book Antiqua" w:hAnsi="Book Antiqua" w:cs="Book Antiqua"/>
          <w:b/>
          <w:bCs/>
        </w:rPr>
        <w:t>154</w:t>
      </w:r>
      <w:r>
        <w:rPr>
          <w:rFonts w:ascii="Book Antiqua" w:eastAsia="Book Antiqua" w:hAnsi="Book Antiqua" w:cs="Book Antiqua"/>
        </w:rPr>
        <w:t>: 1066-1079.e5 [PMID: 29113809 DOI: 10.1053/j.gastro.2017.10.043]</w:t>
      </w:r>
    </w:p>
    <w:p w14:paraId="1BB7C752"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46 </w:t>
      </w:r>
      <w:r>
        <w:rPr>
          <w:rFonts w:ascii="Book Antiqua" w:eastAsia="Book Antiqua" w:hAnsi="Book Antiqua" w:cs="Book Antiqua"/>
          <w:b/>
          <w:bCs/>
        </w:rPr>
        <w:t>Ghoorun RA</w:t>
      </w:r>
      <w:r>
        <w:rPr>
          <w:rFonts w:ascii="Book Antiqua" w:eastAsia="Book Antiqua" w:hAnsi="Book Antiqua" w:cs="Book Antiqua"/>
        </w:rPr>
        <w:t xml:space="preserve">, Wu XH, Chen HL, Ren DL, Wu XB. Prognostic Significance of FKBP14 in Gastric Cancer. </w:t>
      </w:r>
      <w:r>
        <w:rPr>
          <w:rFonts w:ascii="Book Antiqua" w:eastAsia="Book Antiqua" w:hAnsi="Book Antiqua" w:cs="Book Antiqua"/>
          <w:i/>
          <w:iCs/>
        </w:rPr>
        <w:t>Onco Targets Ther</w:t>
      </w:r>
      <w:r>
        <w:rPr>
          <w:rFonts w:ascii="Book Antiqua" w:eastAsia="Book Antiqua" w:hAnsi="Book Antiqua" w:cs="Book Antiqua"/>
        </w:rPr>
        <w:t xml:space="preserve"> 2019; </w:t>
      </w:r>
      <w:r>
        <w:rPr>
          <w:rFonts w:ascii="Book Antiqua" w:eastAsia="Book Antiqua" w:hAnsi="Book Antiqua" w:cs="Book Antiqua"/>
          <w:b/>
          <w:bCs/>
        </w:rPr>
        <w:t>12</w:t>
      </w:r>
      <w:r>
        <w:rPr>
          <w:rFonts w:ascii="Book Antiqua" w:eastAsia="Book Antiqua" w:hAnsi="Book Antiqua" w:cs="Book Antiqua"/>
        </w:rPr>
        <w:t>: 11567-11577 [PMID: 31920344 DOI: 10.2147/OTT.S221943]</w:t>
      </w:r>
    </w:p>
    <w:p w14:paraId="7466657C" w14:textId="77777777" w:rsidR="005949C7" w:rsidRDefault="00000000">
      <w:pPr>
        <w:spacing w:line="360" w:lineRule="auto"/>
        <w:jc w:val="both"/>
        <w:rPr>
          <w:rFonts w:ascii="Book Antiqua" w:hAnsi="Book Antiqua"/>
        </w:rPr>
      </w:pPr>
      <w:r>
        <w:rPr>
          <w:rFonts w:ascii="Book Antiqua" w:eastAsia="Book Antiqua" w:hAnsi="Book Antiqua" w:cs="Book Antiqua"/>
        </w:rPr>
        <w:t xml:space="preserve">47 </w:t>
      </w:r>
      <w:r>
        <w:rPr>
          <w:rFonts w:ascii="Book Antiqua" w:eastAsia="Book Antiqua" w:hAnsi="Book Antiqua" w:cs="Book Antiqua"/>
          <w:b/>
          <w:bCs/>
        </w:rPr>
        <w:t>Lu M</w:t>
      </w:r>
      <w:r>
        <w:rPr>
          <w:rFonts w:ascii="Book Antiqua" w:eastAsia="Book Antiqua" w:hAnsi="Book Antiqua" w:cs="Book Antiqua"/>
        </w:rPr>
        <w:t xml:space="preserve">, Miao Y, Qi L, Bai M, Zhang J, Feng Y. RNAi-Mediated Downregulation of FKBP14 Suppresses the Growth of Human Ovarian Cancer Cells. </w:t>
      </w:r>
      <w:r>
        <w:rPr>
          <w:rFonts w:ascii="Book Antiqua" w:eastAsia="Book Antiqua" w:hAnsi="Book Antiqua" w:cs="Book Antiqua"/>
          <w:i/>
          <w:iCs/>
        </w:rPr>
        <w:t>Oncol Res</w:t>
      </w:r>
      <w:r>
        <w:rPr>
          <w:rFonts w:ascii="Book Antiqua" w:eastAsia="Book Antiqua" w:hAnsi="Book Antiqua" w:cs="Book Antiqua"/>
        </w:rPr>
        <w:t xml:space="preserve"> 2016; </w:t>
      </w:r>
      <w:r>
        <w:rPr>
          <w:rFonts w:ascii="Book Antiqua" w:eastAsia="Book Antiqua" w:hAnsi="Book Antiqua" w:cs="Book Antiqua"/>
          <w:b/>
          <w:bCs/>
        </w:rPr>
        <w:t>23</w:t>
      </w:r>
      <w:r>
        <w:rPr>
          <w:rFonts w:ascii="Book Antiqua" w:eastAsia="Book Antiqua" w:hAnsi="Book Antiqua" w:cs="Book Antiqua"/>
        </w:rPr>
        <w:t>: 267-274 [PMID: 27131312 DOI: 10.3727/096504016X14549667333963]</w:t>
      </w:r>
    </w:p>
    <w:bookmarkEnd w:id="275"/>
    <w:bookmarkEnd w:id="276"/>
    <w:p w14:paraId="175037F1" w14:textId="77777777" w:rsidR="005949C7" w:rsidRDefault="005949C7">
      <w:pPr>
        <w:spacing w:line="360" w:lineRule="auto"/>
        <w:jc w:val="both"/>
        <w:rPr>
          <w:rFonts w:ascii="Book Antiqua" w:hAnsi="Book Antiqua"/>
        </w:rPr>
        <w:sectPr w:rsidR="005949C7" w:rsidSect="00F743F0">
          <w:pgSz w:w="12240" w:h="15840"/>
          <w:pgMar w:top="1440" w:right="1440" w:bottom="1440" w:left="1440" w:header="720" w:footer="720" w:gutter="0"/>
          <w:cols w:space="720"/>
          <w:docGrid w:linePitch="360"/>
        </w:sectPr>
      </w:pPr>
    </w:p>
    <w:p w14:paraId="7B7ECF9F" w14:textId="77777777" w:rsidR="005949C7"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AEFF402" w14:textId="77777777" w:rsidR="005949C7" w:rsidRDefault="00000000">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 xml:space="preserve">This study was reviewed and approved by the Ethics Committee of the </w:t>
      </w:r>
      <w:r>
        <w:rPr>
          <w:rFonts w:ascii="Book Antiqua" w:eastAsia="Book Antiqua" w:hAnsi="Book Antiqua" w:cs="Book Antiqua" w:hint="eastAsia"/>
          <w:lang w:eastAsia="zh-CN"/>
        </w:rPr>
        <w:t>F</w:t>
      </w:r>
      <w:r>
        <w:rPr>
          <w:rFonts w:ascii="Book Antiqua" w:eastAsia="Book Antiqua" w:hAnsi="Book Antiqua" w:cs="Book Antiqua"/>
        </w:rPr>
        <w:t xml:space="preserve">irst </w:t>
      </w:r>
      <w:r>
        <w:rPr>
          <w:rFonts w:ascii="Book Antiqua" w:eastAsia="Book Antiqua" w:hAnsi="Book Antiqua" w:cs="Book Antiqua" w:hint="eastAsia"/>
          <w:lang w:eastAsia="zh-CN"/>
        </w:rPr>
        <w:t>H</w:t>
      </w:r>
      <w:r>
        <w:rPr>
          <w:rFonts w:ascii="Book Antiqua" w:eastAsia="Book Antiqua" w:hAnsi="Book Antiqua" w:cs="Book Antiqua"/>
        </w:rPr>
        <w:t xml:space="preserve">ospital of </w:t>
      </w:r>
      <w:r>
        <w:rPr>
          <w:rFonts w:ascii="Book Antiqua" w:eastAsia="Book Antiqua" w:hAnsi="Book Antiqua" w:cs="Book Antiqua" w:hint="eastAsia"/>
          <w:lang w:eastAsia="zh-CN"/>
        </w:rPr>
        <w:t>Q</w:t>
      </w:r>
      <w:r>
        <w:rPr>
          <w:rFonts w:ascii="Book Antiqua" w:eastAsia="Book Antiqua" w:hAnsi="Book Antiqua" w:cs="Book Antiqua"/>
        </w:rPr>
        <w:t>inhuangdao.</w:t>
      </w:r>
    </w:p>
    <w:p w14:paraId="7270C445" w14:textId="77777777" w:rsidR="005949C7" w:rsidRDefault="005949C7">
      <w:pPr>
        <w:spacing w:line="360" w:lineRule="auto"/>
        <w:jc w:val="both"/>
        <w:rPr>
          <w:rFonts w:ascii="Book Antiqua" w:hAnsi="Book Antiqua"/>
        </w:rPr>
      </w:pPr>
    </w:p>
    <w:p w14:paraId="6B267935" w14:textId="77777777" w:rsidR="005949C7" w:rsidRDefault="00000000">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All study participants or their legal guardians provided written informed consent before study enrollment.</w:t>
      </w:r>
    </w:p>
    <w:p w14:paraId="3E04E70E" w14:textId="77777777" w:rsidR="005949C7" w:rsidRDefault="005949C7">
      <w:pPr>
        <w:spacing w:line="360" w:lineRule="auto"/>
        <w:jc w:val="both"/>
        <w:rPr>
          <w:rFonts w:ascii="Book Antiqua" w:hAnsi="Book Antiqua"/>
        </w:rPr>
      </w:pPr>
    </w:p>
    <w:p w14:paraId="5D20E737" w14:textId="77777777" w:rsidR="005949C7"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All the authors report no relevant conflicts of interest for this article.</w:t>
      </w:r>
    </w:p>
    <w:p w14:paraId="52530EBB" w14:textId="77777777" w:rsidR="005949C7" w:rsidRDefault="005949C7">
      <w:pPr>
        <w:spacing w:line="360" w:lineRule="auto"/>
        <w:jc w:val="both"/>
        <w:rPr>
          <w:rFonts w:ascii="Book Antiqua" w:hAnsi="Book Antiqua"/>
        </w:rPr>
      </w:pPr>
    </w:p>
    <w:p w14:paraId="57690F66" w14:textId="77777777" w:rsidR="005949C7"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Publicly available datasets were analyzed in this study, these can be found in Xena</w:t>
      </w:r>
      <w:r>
        <w:rPr>
          <w:rFonts w:ascii="Book Antiqua" w:eastAsia="Book Antiqua" w:hAnsi="Book Antiqua" w:cs="Book Antiqua"/>
          <w:color w:val="000000"/>
          <w:shd w:val="clear" w:color="auto" w:fill="FFFFFF"/>
        </w:rPr>
        <w:t xml:space="preserve"> </w:t>
      </w:r>
      <w:r>
        <w:rPr>
          <w:rFonts w:ascii="Book Antiqua" w:eastAsia="Book Antiqua" w:hAnsi="Book Antiqua" w:cs="Book Antiqua"/>
        </w:rPr>
        <w:t>(</w:t>
      </w:r>
      <w:hyperlink r:id="rId10" w:history="1">
        <w:r>
          <w:rPr>
            <w:rFonts w:ascii="Book Antiqua" w:eastAsia="Book Antiqua" w:hAnsi="Book Antiqua" w:cs="Book Antiqua"/>
            <w:color w:val="000000"/>
          </w:rPr>
          <w:t>https://xenabrowser.net</w:t>
        </w:r>
      </w:hyperlink>
      <w:r>
        <w:rPr>
          <w:rFonts w:ascii="Book Antiqua" w:eastAsia="Book Antiqua" w:hAnsi="Book Antiqua" w:cs="Book Antiqua"/>
        </w:rPr>
        <w:t>), GEO database (</w:t>
      </w:r>
      <w:hyperlink r:id="rId11" w:history="1">
        <w:r>
          <w:rPr>
            <w:rFonts w:ascii="Book Antiqua" w:eastAsia="Book Antiqua" w:hAnsi="Book Antiqua" w:cs="Book Antiqua"/>
            <w:color w:val="000000"/>
          </w:rPr>
          <w:t>www.ncbi.nlm.gov/geo</w:t>
        </w:r>
      </w:hyperlink>
      <w:r>
        <w:rPr>
          <w:rFonts w:ascii="Book Antiqua" w:eastAsia="Book Antiqua" w:hAnsi="Book Antiqua" w:cs="Book Antiqua"/>
        </w:rPr>
        <w:t>;GSE96058, GSE18728, and GSE21653).</w:t>
      </w:r>
    </w:p>
    <w:p w14:paraId="7480925F" w14:textId="77777777" w:rsidR="005949C7" w:rsidRDefault="005949C7">
      <w:pPr>
        <w:spacing w:line="360" w:lineRule="auto"/>
        <w:jc w:val="both"/>
        <w:rPr>
          <w:rFonts w:ascii="Book Antiqua" w:hAnsi="Book Antiqua"/>
        </w:rPr>
      </w:pPr>
    </w:p>
    <w:p w14:paraId="037C29F2" w14:textId="77777777" w:rsidR="005949C7"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D61DDE3" w14:textId="77777777" w:rsidR="005949C7" w:rsidRDefault="005949C7">
      <w:pPr>
        <w:spacing w:line="360" w:lineRule="auto"/>
        <w:jc w:val="both"/>
        <w:rPr>
          <w:rFonts w:ascii="Book Antiqua" w:hAnsi="Book Antiqua"/>
        </w:rPr>
      </w:pPr>
    </w:p>
    <w:p w14:paraId="3E8A376A" w14:textId="77777777" w:rsidR="005949C7"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577CB134" w14:textId="77777777" w:rsidR="005949C7"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5A6ED9B" w14:textId="77777777" w:rsidR="005949C7" w:rsidRDefault="005949C7">
      <w:pPr>
        <w:spacing w:line="360" w:lineRule="auto"/>
        <w:jc w:val="both"/>
        <w:rPr>
          <w:rFonts w:ascii="Book Antiqua" w:hAnsi="Book Antiqua"/>
        </w:rPr>
      </w:pPr>
    </w:p>
    <w:p w14:paraId="4FF64BB8" w14:textId="77777777" w:rsidR="005949C7"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December 1, 2023</w:t>
      </w:r>
    </w:p>
    <w:p w14:paraId="36C3A7B6" w14:textId="77777777" w:rsidR="005949C7"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December 7, 2023</w:t>
      </w:r>
    </w:p>
    <w:p w14:paraId="0B05D11B" w14:textId="77777777" w:rsidR="005949C7"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hAnsi="Book Antiqua"/>
        </w:rPr>
        <w:t>January 3, 2024</w:t>
      </w:r>
    </w:p>
    <w:p w14:paraId="7933A011" w14:textId="77777777" w:rsidR="005949C7" w:rsidRDefault="005949C7">
      <w:pPr>
        <w:spacing w:line="360" w:lineRule="auto"/>
        <w:jc w:val="both"/>
        <w:rPr>
          <w:rFonts w:ascii="Book Antiqua" w:hAnsi="Book Antiqua"/>
        </w:rPr>
      </w:pPr>
    </w:p>
    <w:p w14:paraId="4C90B345" w14:textId="77777777" w:rsidR="005949C7" w:rsidRDefault="00000000">
      <w:pPr>
        <w:spacing w:line="360" w:lineRule="auto"/>
        <w:jc w:val="both"/>
        <w:rPr>
          <w:rFonts w:ascii="Book Antiqua" w:hAnsi="Book Antiqua"/>
        </w:rPr>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rPr>
        <w:t>Oncology</w:t>
      </w:r>
    </w:p>
    <w:p w14:paraId="663A4B16" w14:textId="77777777" w:rsidR="005949C7"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655F6FD8" w14:textId="77777777" w:rsidR="005949C7"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9529E0B" w14:textId="77777777" w:rsidR="005949C7" w:rsidRDefault="00000000">
      <w:pPr>
        <w:spacing w:line="360" w:lineRule="auto"/>
        <w:jc w:val="both"/>
        <w:rPr>
          <w:rFonts w:ascii="Book Antiqua" w:hAnsi="Book Antiqua"/>
        </w:rPr>
      </w:pPr>
      <w:r>
        <w:rPr>
          <w:rFonts w:ascii="Book Antiqua" w:eastAsia="Book Antiqua" w:hAnsi="Book Antiqua" w:cs="Book Antiqua"/>
        </w:rPr>
        <w:t>Grade A (Excellent): 0</w:t>
      </w:r>
    </w:p>
    <w:p w14:paraId="1185C70B" w14:textId="77777777" w:rsidR="005949C7" w:rsidRDefault="00000000">
      <w:pPr>
        <w:spacing w:line="360" w:lineRule="auto"/>
        <w:jc w:val="both"/>
        <w:rPr>
          <w:rFonts w:ascii="Book Antiqua" w:hAnsi="Book Antiqua"/>
        </w:rPr>
      </w:pPr>
      <w:r>
        <w:rPr>
          <w:rFonts w:ascii="Book Antiqua" w:eastAsia="Book Antiqua" w:hAnsi="Book Antiqua" w:cs="Book Antiqua"/>
        </w:rPr>
        <w:t>Grade B (Very good): 0</w:t>
      </w:r>
    </w:p>
    <w:p w14:paraId="5431A991" w14:textId="77777777" w:rsidR="005949C7" w:rsidRDefault="00000000">
      <w:pPr>
        <w:spacing w:line="360" w:lineRule="auto"/>
        <w:jc w:val="both"/>
        <w:rPr>
          <w:rFonts w:ascii="Book Antiqua" w:hAnsi="Book Antiqua"/>
        </w:rPr>
      </w:pPr>
      <w:r>
        <w:rPr>
          <w:rFonts w:ascii="Book Antiqua" w:eastAsia="Book Antiqua" w:hAnsi="Book Antiqua" w:cs="Book Antiqua"/>
        </w:rPr>
        <w:t>Grade C (Good): C, C, C</w:t>
      </w:r>
    </w:p>
    <w:p w14:paraId="1042FED7" w14:textId="77777777" w:rsidR="005949C7" w:rsidRDefault="00000000">
      <w:pPr>
        <w:spacing w:line="360" w:lineRule="auto"/>
        <w:jc w:val="both"/>
        <w:rPr>
          <w:rFonts w:ascii="Book Antiqua" w:hAnsi="Book Antiqua"/>
        </w:rPr>
      </w:pPr>
      <w:r>
        <w:rPr>
          <w:rFonts w:ascii="Book Antiqua" w:eastAsia="Book Antiqua" w:hAnsi="Book Antiqua" w:cs="Book Antiqua"/>
        </w:rPr>
        <w:t>Grade D (Fair): 0</w:t>
      </w:r>
    </w:p>
    <w:p w14:paraId="75372571" w14:textId="77777777" w:rsidR="005949C7" w:rsidRDefault="00000000">
      <w:pPr>
        <w:spacing w:line="360" w:lineRule="auto"/>
        <w:jc w:val="both"/>
        <w:rPr>
          <w:rFonts w:ascii="Book Antiqua" w:hAnsi="Book Antiqua"/>
        </w:rPr>
      </w:pPr>
      <w:r>
        <w:rPr>
          <w:rFonts w:ascii="Book Antiqua" w:eastAsia="Book Antiqua" w:hAnsi="Book Antiqua" w:cs="Book Antiqua"/>
        </w:rPr>
        <w:t>Grade E (Poor): 0</w:t>
      </w:r>
    </w:p>
    <w:p w14:paraId="5FA447C0" w14:textId="77777777" w:rsidR="005949C7" w:rsidRDefault="005949C7">
      <w:pPr>
        <w:spacing w:line="360" w:lineRule="auto"/>
        <w:jc w:val="both"/>
        <w:rPr>
          <w:rFonts w:ascii="Book Antiqua" w:hAnsi="Book Antiqua"/>
        </w:rPr>
      </w:pPr>
    </w:p>
    <w:p w14:paraId="3C617993" w14:textId="77777777" w:rsidR="005949C7" w:rsidRDefault="00000000">
      <w:pPr>
        <w:spacing w:line="360" w:lineRule="auto"/>
        <w:jc w:val="both"/>
        <w:rPr>
          <w:rFonts w:ascii="Book Antiqua" w:eastAsia="宋体" w:hAnsi="Book Antiqua"/>
          <w:lang w:eastAsia="zh-CN"/>
        </w:rPr>
        <w:sectPr w:rsidR="005949C7" w:rsidSect="00F743F0">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Bansal C, India; Papadopoulos VP, Greece</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Xu ZH</w:t>
      </w:r>
    </w:p>
    <w:p w14:paraId="0281DAAB" w14:textId="77777777" w:rsidR="005949C7" w:rsidRDefault="00000000">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4AAE7291" w14:textId="5E389118" w:rsidR="005949C7" w:rsidRDefault="00273C70">
      <w:pPr>
        <w:spacing w:line="360" w:lineRule="auto"/>
        <w:jc w:val="both"/>
        <w:rPr>
          <w:rFonts w:ascii="Book Antiqua" w:eastAsia="Book Antiqua" w:hAnsi="Book Antiqua" w:cs="Book Antiqua"/>
          <w:b/>
          <w:bCs/>
        </w:rPr>
      </w:pPr>
      <w:r>
        <w:rPr>
          <w:noProof/>
        </w:rPr>
        <w:drawing>
          <wp:inline distT="0" distB="0" distL="0" distR="0" wp14:anchorId="50A3850B" wp14:editId="4AF2EFE6">
            <wp:extent cx="5943600" cy="3541395"/>
            <wp:effectExtent l="0" t="0" r="0" b="0"/>
            <wp:docPr id="17229132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541395"/>
                    </a:xfrm>
                    <a:prstGeom prst="rect">
                      <a:avLst/>
                    </a:prstGeom>
                    <a:noFill/>
                    <a:ln>
                      <a:noFill/>
                    </a:ln>
                  </pic:spPr>
                </pic:pic>
              </a:graphicData>
            </a:graphic>
          </wp:inline>
        </w:drawing>
      </w:r>
    </w:p>
    <w:p w14:paraId="216DF11B" w14:textId="77777777" w:rsidR="005949C7" w:rsidRDefault="00000000">
      <w:pPr>
        <w:spacing w:line="360" w:lineRule="auto"/>
        <w:jc w:val="both"/>
        <w:rPr>
          <w:rFonts w:ascii="Book Antiqua" w:hAnsi="Book Antiqua"/>
        </w:rPr>
      </w:pPr>
      <w:r>
        <w:rPr>
          <w:rFonts w:ascii="Book Antiqua" w:eastAsia="Book Antiqua" w:hAnsi="Book Antiqua" w:cs="Book Antiqua"/>
          <w:b/>
          <w:bCs/>
        </w:rPr>
        <w:t>Figure 1</w:t>
      </w:r>
      <w:r>
        <w:rPr>
          <w:rFonts w:ascii="Book Antiqua" w:eastAsia="Book Antiqua" w:hAnsi="Book Antiqua" w:cs="Book Antiqua"/>
        </w:rPr>
        <w:t xml:space="preserve"> </w:t>
      </w:r>
      <w:r>
        <w:rPr>
          <w:rFonts w:ascii="Book Antiqua" w:eastAsia="Book Antiqua" w:hAnsi="Book Antiqua" w:cs="Book Antiqua"/>
          <w:b/>
          <w:bCs/>
        </w:rPr>
        <w:t>Cell fractions of cancer-associated fibroblasts in different cancer stages and normal tissues.</w:t>
      </w:r>
      <w:r>
        <w:rPr>
          <w:rFonts w:ascii="Book Antiqua" w:eastAsia="Book Antiqua" w:hAnsi="Book Antiqua" w:cs="Book Antiqua"/>
        </w:rPr>
        <w:t xml:space="preserve"> A: Cancer associated fibroblasts (CAFs); B: CAFs mesenchymal stem cell (MSC) inflammatory CAF (iCAF)-like s1; C: CAFs MSC iCAF-like s2; D: CAF Transitioning s3; E: CAFs myCAF-like s4; F: CAFs myCAF-like s5.</w:t>
      </w:r>
    </w:p>
    <w:p w14:paraId="11C76DC8" w14:textId="1AE37E77" w:rsidR="005949C7" w:rsidRDefault="00000000">
      <w:pPr>
        <w:spacing w:line="360" w:lineRule="auto"/>
        <w:jc w:val="both"/>
        <w:rPr>
          <w:rFonts w:ascii="Book Antiqua" w:hAnsi="Book Antiqua"/>
        </w:rPr>
      </w:pPr>
      <w:r>
        <w:rPr>
          <w:rFonts w:ascii="Book Antiqua" w:hAnsi="Book Antiqua"/>
        </w:rPr>
        <w:br w:type="page"/>
      </w:r>
      <w:r w:rsidR="00273C70">
        <w:rPr>
          <w:noProof/>
        </w:rPr>
        <w:lastRenderedPageBreak/>
        <w:drawing>
          <wp:inline distT="0" distB="0" distL="0" distR="0" wp14:anchorId="53D5C7AD" wp14:editId="704966A0">
            <wp:extent cx="4013835" cy="8229600"/>
            <wp:effectExtent l="0" t="0" r="0" b="0"/>
            <wp:docPr id="4648220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13835" cy="8229600"/>
                    </a:xfrm>
                    <a:prstGeom prst="rect">
                      <a:avLst/>
                    </a:prstGeom>
                    <a:noFill/>
                    <a:ln>
                      <a:noFill/>
                    </a:ln>
                  </pic:spPr>
                </pic:pic>
              </a:graphicData>
            </a:graphic>
          </wp:inline>
        </w:drawing>
      </w:r>
    </w:p>
    <w:p w14:paraId="2ACB4462" w14:textId="77777777" w:rsidR="005949C7" w:rsidRDefault="00000000">
      <w:pPr>
        <w:spacing w:line="360" w:lineRule="auto"/>
        <w:jc w:val="both"/>
        <w:rPr>
          <w:rFonts w:ascii="Book Antiqua" w:hAnsi="Book Antiqua"/>
        </w:rPr>
      </w:pPr>
      <w:r>
        <w:rPr>
          <w:rFonts w:ascii="Book Antiqua" w:eastAsia="Book Antiqua" w:hAnsi="Book Antiqua" w:cs="Book Antiqua"/>
          <w:b/>
          <w:bCs/>
        </w:rPr>
        <w:lastRenderedPageBreak/>
        <w:t xml:space="preserve">Figure 2 Kaplan-Meier curves of overall survival in relation to cancer associated fibroblasts, and the relationship between the cancer associated fibroblasts transitioning s3 and stromal and immune scores. </w:t>
      </w:r>
      <w:r>
        <w:rPr>
          <w:rFonts w:ascii="Book Antiqua" w:eastAsia="Book Antiqua" w:hAnsi="Book Antiqua" w:cs="Book Antiqua"/>
        </w:rPr>
        <w:t xml:space="preserve">A: Cancer associated fibroblasts (CAFs); B: CAFs mesenchymal stem cell (MSC) inflammatory CAF (iCAF)-like s1; C: CAFs MSC iCAF-like s2; D: CAFs Transitioning s3; E: CAFs myCAF like s4; F: CAFs myCAF like s5; G-H: The relationship between the CAFs transitioning s3 and the </w:t>
      </w:r>
      <w:r>
        <w:rPr>
          <w:rFonts w:ascii="Book Antiqua" w:eastAsia="Book Antiqua" w:hAnsi="Book Antiqua" w:cs="Book Antiqua" w:hint="eastAsia"/>
        </w:rPr>
        <w:t>immune and stromal scores</w:t>
      </w:r>
      <w:r>
        <w:rPr>
          <w:rFonts w:ascii="Book Antiqua" w:eastAsia="Book Antiqua" w:hAnsi="Book Antiqua" w:cs="Book Antiqua"/>
        </w:rPr>
        <w:t xml:space="preserve">. </w:t>
      </w:r>
    </w:p>
    <w:p w14:paraId="530B3C51" w14:textId="5520ABAB" w:rsidR="005949C7" w:rsidRDefault="00000000">
      <w:pPr>
        <w:spacing w:line="360" w:lineRule="auto"/>
        <w:jc w:val="both"/>
        <w:rPr>
          <w:rFonts w:ascii="Book Antiqua" w:hAnsi="Book Antiqua"/>
        </w:rPr>
      </w:pPr>
      <w:r>
        <w:rPr>
          <w:rFonts w:ascii="Book Antiqua" w:hAnsi="Book Antiqua"/>
        </w:rPr>
        <w:br w:type="page"/>
      </w:r>
      <w:r w:rsidR="00273C70">
        <w:rPr>
          <w:noProof/>
        </w:rPr>
        <w:lastRenderedPageBreak/>
        <w:drawing>
          <wp:inline distT="0" distB="0" distL="0" distR="0" wp14:anchorId="6703B578" wp14:editId="4168E5EC">
            <wp:extent cx="5897245" cy="8229600"/>
            <wp:effectExtent l="0" t="0" r="0" b="0"/>
            <wp:docPr id="9837858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97245" cy="8229600"/>
                    </a:xfrm>
                    <a:prstGeom prst="rect">
                      <a:avLst/>
                    </a:prstGeom>
                    <a:noFill/>
                    <a:ln>
                      <a:noFill/>
                    </a:ln>
                  </pic:spPr>
                </pic:pic>
              </a:graphicData>
            </a:graphic>
          </wp:inline>
        </w:drawing>
      </w:r>
    </w:p>
    <w:p w14:paraId="7115CBA9" w14:textId="77777777" w:rsidR="005949C7" w:rsidRDefault="00000000">
      <w:pPr>
        <w:spacing w:line="360" w:lineRule="auto"/>
        <w:jc w:val="both"/>
        <w:rPr>
          <w:rFonts w:ascii="Book Antiqua" w:hAnsi="Book Antiqua"/>
        </w:rPr>
      </w:pPr>
      <w:r>
        <w:rPr>
          <w:rFonts w:ascii="Book Antiqua" w:eastAsia="Book Antiqua" w:hAnsi="Book Antiqua" w:cs="Book Antiqua"/>
          <w:b/>
          <w:bCs/>
        </w:rPr>
        <w:lastRenderedPageBreak/>
        <w:t>Figure 3</w:t>
      </w:r>
      <w:r>
        <w:rPr>
          <w:rFonts w:ascii="Book Antiqua" w:eastAsia="Book Antiqua" w:hAnsi="Book Antiqua" w:cs="Book Antiqua"/>
        </w:rPr>
        <w:t xml:space="preserve"> </w:t>
      </w:r>
      <w:r>
        <w:rPr>
          <w:rFonts w:ascii="Book Antiqua" w:eastAsia="Book Antiqua" w:hAnsi="Book Antiqua" w:cs="Book Antiqua"/>
          <w:b/>
          <w:bCs/>
        </w:rPr>
        <w:t xml:space="preserve">Co-expression pathways generated by weighted gene co-expression network analysis. </w:t>
      </w:r>
      <w:r>
        <w:rPr>
          <w:rFonts w:ascii="Book Antiqua" w:eastAsia="Book Antiqua" w:hAnsi="Book Antiqua" w:cs="Book Antiqua"/>
        </w:rPr>
        <w:t>A: A soft-thresholding power (β) of 6 was chosen, following the scale-free topology criterion; B: Clustering dendrograms depicting genes with comparable expression signatures were grouped into co-expression modules; C: Module-trait associations illustrating the relationships between individual gene module eigengenes and matching phenotype; D-F: Scatter plots of the module membership and gene significance of individual genes in the black, pink, and red modules.</w:t>
      </w:r>
    </w:p>
    <w:p w14:paraId="6C33033C" w14:textId="54682182" w:rsidR="005949C7" w:rsidRDefault="00000000">
      <w:pPr>
        <w:spacing w:line="360" w:lineRule="auto"/>
        <w:jc w:val="both"/>
        <w:rPr>
          <w:rFonts w:ascii="Book Antiqua" w:hAnsi="Book Antiqua"/>
        </w:rPr>
      </w:pPr>
      <w:r>
        <w:rPr>
          <w:rFonts w:ascii="Book Antiqua" w:hAnsi="Book Antiqua"/>
        </w:rPr>
        <w:br w:type="page"/>
      </w:r>
      <w:r w:rsidR="00273C70">
        <w:rPr>
          <w:noProof/>
        </w:rPr>
        <w:lastRenderedPageBreak/>
        <w:drawing>
          <wp:inline distT="0" distB="0" distL="0" distR="0" wp14:anchorId="1F1304E5" wp14:editId="0093CE95">
            <wp:extent cx="5943600" cy="6222365"/>
            <wp:effectExtent l="0" t="0" r="0" b="0"/>
            <wp:docPr id="6661268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6222365"/>
                    </a:xfrm>
                    <a:prstGeom prst="rect">
                      <a:avLst/>
                    </a:prstGeom>
                    <a:noFill/>
                    <a:ln>
                      <a:noFill/>
                    </a:ln>
                  </pic:spPr>
                </pic:pic>
              </a:graphicData>
            </a:graphic>
          </wp:inline>
        </w:drawing>
      </w:r>
    </w:p>
    <w:p w14:paraId="7C1003EA" w14:textId="77777777" w:rsidR="005949C7" w:rsidRDefault="00000000">
      <w:pPr>
        <w:spacing w:line="360" w:lineRule="auto"/>
        <w:jc w:val="both"/>
        <w:rPr>
          <w:rFonts w:ascii="Book Antiqua" w:hAnsi="Book Antiqua"/>
        </w:rPr>
      </w:pPr>
      <w:r>
        <w:rPr>
          <w:rFonts w:ascii="Book Antiqua" w:eastAsia="Book Antiqua" w:hAnsi="Book Antiqua" w:cs="Book Antiqua"/>
          <w:b/>
          <w:bCs/>
        </w:rPr>
        <w:t xml:space="preserve">Figure 4 Gene ontology and Kyoto Encyclopedia of Genes and Genomes </w:t>
      </w:r>
      <w:r>
        <w:rPr>
          <w:rFonts w:ascii="Book Antiqua" w:eastAsia="Book Antiqua" w:hAnsi="Book Antiqua" w:cs="Book Antiqua"/>
          <w:b/>
          <w:bCs/>
          <w:color w:val="000000"/>
        </w:rPr>
        <w:t>enrichment analyses</w:t>
      </w:r>
      <w:r>
        <w:rPr>
          <w:rFonts w:ascii="Book Antiqua" w:eastAsia="Book Antiqua" w:hAnsi="Book Antiqua" w:cs="Book Antiqua"/>
          <w:b/>
          <w:bCs/>
        </w:rPr>
        <w:t>.</w:t>
      </w:r>
      <w:r>
        <w:rPr>
          <w:rFonts w:ascii="Book Antiqua" w:eastAsia="Book Antiqua" w:hAnsi="Book Antiqua" w:cs="Book Antiqua"/>
        </w:rPr>
        <w:t xml:space="preserve"> The gene ontology analysis of enriched biological process, cellular component, and molecular function terms, and the Kyoto Encyclopedia of Genes and Genomes analysis of hub genes. KEGG</w:t>
      </w:r>
      <w:r>
        <w:rPr>
          <w:rFonts w:ascii="Book Antiqua" w:hAnsi="Book Antiqua" w:cs="Book Antiqua" w:hint="eastAsia"/>
          <w:lang w:eastAsia="zh-CN"/>
        </w:rPr>
        <w:t>:</w:t>
      </w:r>
      <w:r>
        <w:rPr>
          <w:rFonts w:ascii="Book Antiqua" w:hAnsi="Book Antiqua" w:cs="Book Antiqua"/>
          <w:lang w:eastAsia="zh-CN"/>
        </w:rPr>
        <w:t xml:space="preserve"> </w:t>
      </w:r>
      <w:r>
        <w:rPr>
          <w:rFonts w:ascii="Book Antiqua" w:eastAsia="Book Antiqua" w:hAnsi="Book Antiqua" w:cs="Book Antiqua"/>
        </w:rPr>
        <w:t>Kyoto Encyclopedia of Genes and Genomes; MF: Molecular function; CC: Cellular component; BP: Biological process.</w:t>
      </w:r>
    </w:p>
    <w:p w14:paraId="0D73103D" w14:textId="77777777" w:rsidR="005949C7" w:rsidRDefault="005949C7">
      <w:pPr>
        <w:spacing w:line="360" w:lineRule="auto"/>
        <w:jc w:val="both"/>
        <w:rPr>
          <w:rFonts w:ascii="Book Antiqua" w:hAnsi="Book Antiqua"/>
        </w:rPr>
      </w:pPr>
    </w:p>
    <w:p w14:paraId="12429AC0" w14:textId="77777777" w:rsidR="005949C7" w:rsidRDefault="005949C7">
      <w:pPr>
        <w:spacing w:line="360" w:lineRule="auto"/>
        <w:jc w:val="both"/>
        <w:rPr>
          <w:rFonts w:ascii="Book Antiqua" w:hAnsi="Book Antiqua"/>
        </w:rPr>
      </w:pPr>
    </w:p>
    <w:p w14:paraId="20378022" w14:textId="77777777" w:rsidR="005949C7" w:rsidRDefault="005949C7">
      <w:pPr>
        <w:spacing w:line="360" w:lineRule="auto"/>
        <w:jc w:val="both"/>
        <w:rPr>
          <w:rFonts w:ascii="Book Antiqua" w:hAnsi="Book Antiqua"/>
        </w:rPr>
      </w:pPr>
    </w:p>
    <w:p w14:paraId="0C3B5DAA" w14:textId="4C89ECD9" w:rsidR="005949C7" w:rsidRDefault="00273C70">
      <w:pPr>
        <w:spacing w:line="360" w:lineRule="auto"/>
        <w:jc w:val="both"/>
        <w:rPr>
          <w:rFonts w:ascii="Book Antiqua" w:hAnsi="Book Antiqua"/>
        </w:rPr>
      </w:pPr>
      <w:r>
        <w:rPr>
          <w:noProof/>
        </w:rPr>
        <w:drawing>
          <wp:inline distT="0" distB="0" distL="0" distR="0" wp14:anchorId="581CD593" wp14:editId="44976F40">
            <wp:extent cx="5943600" cy="4032250"/>
            <wp:effectExtent l="0" t="0" r="0" b="0"/>
            <wp:docPr id="17653847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032250"/>
                    </a:xfrm>
                    <a:prstGeom prst="rect">
                      <a:avLst/>
                    </a:prstGeom>
                    <a:noFill/>
                    <a:ln>
                      <a:noFill/>
                    </a:ln>
                  </pic:spPr>
                </pic:pic>
              </a:graphicData>
            </a:graphic>
          </wp:inline>
        </w:drawing>
      </w:r>
    </w:p>
    <w:p w14:paraId="5C84F6E8" w14:textId="77777777" w:rsidR="005949C7" w:rsidRDefault="00000000">
      <w:pPr>
        <w:spacing w:line="360" w:lineRule="auto"/>
        <w:jc w:val="both"/>
        <w:rPr>
          <w:rFonts w:ascii="Book Antiqua" w:hAnsi="Book Antiqua"/>
        </w:rPr>
      </w:pPr>
      <w:r>
        <w:rPr>
          <w:rFonts w:ascii="Book Antiqua" w:eastAsia="Book Antiqua" w:hAnsi="Book Antiqua" w:cs="Book Antiqua"/>
          <w:b/>
          <w:bCs/>
        </w:rPr>
        <w:t xml:space="preserve">Figure 5 The mechanism of variable selection. </w:t>
      </w:r>
      <w:r>
        <w:rPr>
          <w:rFonts w:ascii="Book Antiqua" w:eastAsia="Book Antiqua" w:hAnsi="Book Antiqua" w:cs="Book Antiqua"/>
        </w:rPr>
        <w:t>A and B: The performance of least absolute shrinkage and selection operator (LASSO) analysis; C: Forest plot of multivariate analysis for the establishment of the prognostic signature.</w:t>
      </w:r>
    </w:p>
    <w:p w14:paraId="74010C4D" w14:textId="1A69D4B8" w:rsidR="005949C7" w:rsidRDefault="00000000">
      <w:pPr>
        <w:spacing w:line="360" w:lineRule="auto"/>
        <w:jc w:val="both"/>
        <w:rPr>
          <w:rFonts w:ascii="Book Antiqua" w:hAnsi="Book Antiqua"/>
        </w:rPr>
      </w:pPr>
      <w:r>
        <w:rPr>
          <w:rFonts w:ascii="Book Antiqua" w:hAnsi="Book Antiqua"/>
        </w:rPr>
        <w:br w:type="page"/>
      </w:r>
      <w:r w:rsidR="00273C70">
        <w:rPr>
          <w:noProof/>
        </w:rPr>
        <w:lastRenderedPageBreak/>
        <w:drawing>
          <wp:inline distT="0" distB="0" distL="0" distR="0" wp14:anchorId="59B5942C" wp14:editId="74B0FAEE">
            <wp:extent cx="4811395" cy="2999105"/>
            <wp:effectExtent l="0" t="0" r="0" b="0"/>
            <wp:docPr id="15331979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1395" cy="2999105"/>
                    </a:xfrm>
                    <a:prstGeom prst="rect">
                      <a:avLst/>
                    </a:prstGeom>
                    <a:noFill/>
                    <a:ln>
                      <a:noFill/>
                    </a:ln>
                  </pic:spPr>
                </pic:pic>
              </a:graphicData>
            </a:graphic>
          </wp:inline>
        </w:drawing>
      </w:r>
    </w:p>
    <w:p w14:paraId="6741E6FF" w14:textId="77777777" w:rsidR="005949C7" w:rsidRDefault="00000000">
      <w:pPr>
        <w:spacing w:line="360" w:lineRule="auto"/>
        <w:jc w:val="both"/>
        <w:rPr>
          <w:rFonts w:ascii="Book Antiqua" w:hAnsi="Book Antiqua"/>
        </w:rPr>
      </w:pPr>
      <w:r>
        <w:rPr>
          <w:rFonts w:ascii="Book Antiqua" w:eastAsia="Book Antiqua" w:hAnsi="Book Antiqua" w:cs="Book Antiqua"/>
          <w:b/>
          <w:bCs/>
        </w:rPr>
        <w:t xml:space="preserve">Figure 6 </w:t>
      </w:r>
      <w:r>
        <w:rPr>
          <w:rFonts w:ascii="Book Antiqua" w:eastAsia="Book Antiqua" w:hAnsi="Book Antiqua" w:cs="Book Antiqua"/>
          <w:b/>
        </w:rPr>
        <w:t>Mutation and copy number alteration analysis of the hub genes.</w:t>
      </w:r>
      <w:r>
        <w:rPr>
          <w:rFonts w:ascii="Book Antiqua" w:eastAsia="Book Antiqua" w:hAnsi="Book Antiqua" w:cs="Book Antiqua"/>
        </w:rPr>
        <w:t xml:space="preserve"> CAN: Copy number alteration.</w:t>
      </w:r>
    </w:p>
    <w:p w14:paraId="6647BCBF" w14:textId="0A928235" w:rsidR="005949C7" w:rsidRDefault="00000000">
      <w:pPr>
        <w:spacing w:line="360" w:lineRule="auto"/>
        <w:jc w:val="both"/>
        <w:rPr>
          <w:rFonts w:ascii="Book Antiqua" w:hAnsi="Book Antiqua"/>
        </w:rPr>
      </w:pPr>
      <w:r>
        <w:rPr>
          <w:rFonts w:ascii="Book Antiqua" w:hAnsi="Book Antiqua"/>
        </w:rPr>
        <w:br w:type="page"/>
      </w:r>
      <w:r w:rsidR="00273C70">
        <w:rPr>
          <w:noProof/>
        </w:rPr>
        <w:lastRenderedPageBreak/>
        <w:drawing>
          <wp:inline distT="0" distB="0" distL="0" distR="0" wp14:anchorId="1D552B46" wp14:editId="3B4582A0">
            <wp:extent cx="5943600" cy="6419850"/>
            <wp:effectExtent l="0" t="0" r="0" b="0"/>
            <wp:docPr id="2299152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6419850"/>
                    </a:xfrm>
                    <a:prstGeom prst="rect">
                      <a:avLst/>
                    </a:prstGeom>
                    <a:noFill/>
                    <a:ln>
                      <a:noFill/>
                    </a:ln>
                  </pic:spPr>
                </pic:pic>
              </a:graphicData>
            </a:graphic>
          </wp:inline>
        </w:drawing>
      </w:r>
    </w:p>
    <w:p w14:paraId="6920CBBE" w14:textId="77777777" w:rsidR="005949C7" w:rsidRDefault="00000000">
      <w:pPr>
        <w:spacing w:line="360" w:lineRule="auto"/>
        <w:jc w:val="both"/>
        <w:rPr>
          <w:rFonts w:ascii="Book Antiqua" w:hAnsi="Book Antiqua"/>
        </w:rPr>
      </w:pPr>
      <w:r>
        <w:rPr>
          <w:rFonts w:ascii="Book Antiqua" w:eastAsia="Book Antiqua" w:hAnsi="Book Antiqua" w:cs="Book Antiqua"/>
          <w:b/>
          <w:bCs/>
        </w:rPr>
        <w:t>Figure 7 Evaluation of the prognostic signature using the The Cancer Genome Atlas database.</w:t>
      </w:r>
      <w:r>
        <w:rPr>
          <w:rFonts w:ascii="Book Antiqua" w:eastAsia="Book Antiqua" w:hAnsi="Book Antiqua" w:cs="Book Antiqua"/>
        </w:rPr>
        <w:t xml:space="preserve"> A: Kaplan-Meier plots of overall survival between the high- and low-risk cohorts; B: Time-dependent receiver operating characteristic curve analysis; C: Risk score distribution; D: Survival distribution; E: Expression heatmap of the </w:t>
      </w:r>
      <w:proofErr w:type="gramStart"/>
      <w:r>
        <w:rPr>
          <w:rFonts w:ascii="Book Antiqua" w:eastAsia="Book Antiqua" w:hAnsi="Book Antiqua" w:cs="Book Antiqua"/>
        </w:rPr>
        <w:t>8 cancer</w:t>
      </w:r>
      <w:proofErr w:type="gramEnd"/>
      <w:r>
        <w:rPr>
          <w:rFonts w:ascii="Book Antiqua" w:eastAsia="Book Antiqua" w:hAnsi="Book Antiqua" w:cs="Book Antiqua"/>
        </w:rPr>
        <w:t xml:space="preserve"> associated fibroblast-associated risk genes.</w:t>
      </w:r>
    </w:p>
    <w:p w14:paraId="2A35287E" w14:textId="68D830E7" w:rsidR="005949C7" w:rsidRDefault="00000000">
      <w:pPr>
        <w:spacing w:line="360" w:lineRule="auto"/>
        <w:jc w:val="both"/>
        <w:rPr>
          <w:rFonts w:ascii="Book Antiqua" w:hAnsi="Book Antiqua"/>
        </w:rPr>
      </w:pPr>
      <w:r>
        <w:rPr>
          <w:rFonts w:ascii="Book Antiqua" w:hAnsi="Book Antiqua"/>
        </w:rPr>
        <w:br w:type="page"/>
      </w:r>
      <w:r w:rsidR="00273C70">
        <w:rPr>
          <w:noProof/>
        </w:rPr>
        <w:lastRenderedPageBreak/>
        <w:drawing>
          <wp:inline distT="0" distB="0" distL="0" distR="0" wp14:anchorId="274A46F3" wp14:editId="58D69601">
            <wp:extent cx="4827905" cy="6760210"/>
            <wp:effectExtent l="0" t="0" r="0" b="0"/>
            <wp:docPr id="4587292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27905" cy="6760210"/>
                    </a:xfrm>
                    <a:prstGeom prst="rect">
                      <a:avLst/>
                    </a:prstGeom>
                    <a:noFill/>
                    <a:ln>
                      <a:noFill/>
                    </a:ln>
                  </pic:spPr>
                </pic:pic>
              </a:graphicData>
            </a:graphic>
          </wp:inline>
        </w:drawing>
      </w:r>
    </w:p>
    <w:p w14:paraId="545F35E6" w14:textId="77777777" w:rsidR="005949C7" w:rsidRDefault="00000000">
      <w:pPr>
        <w:spacing w:line="360" w:lineRule="auto"/>
        <w:jc w:val="both"/>
        <w:rPr>
          <w:rFonts w:ascii="Book Antiqua" w:hAnsi="Book Antiqua"/>
        </w:rPr>
      </w:pPr>
      <w:r>
        <w:rPr>
          <w:rFonts w:ascii="Book Antiqua" w:eastAsia="Book Antiqua" w:hAnsi="Book Antiqua" w:cs="Book Antiqua"/>
          <w:b/>
          <w:bCs/>
        </w:rPr>
        <w:t>Figure 8 Assessment of the independent prognostic value of the prognostic signature using the The Cancer Genome Atlas database.</w:t>
      </w:r>
      <w:r>
        <w:rPr>
          <w:rFonts w:ascii="Book Antiqua" w:eastAsia="Book Antiqua" w:hAnsi="Book Antiqua" w:cs="Book Antiqua"/>
        </w:rPr>
        <w:t xml:space="preserve"> A</w:t>
      </w:r>
      <w:r>
        <w:rPr>
          <w:rFonts w:ascii="宋体" w:eastAsia="宋体" w:hAnsi="宋体" w:cs="宋体" w:hint="eastAsia"/>
          <w:lang w:eastAsia="zh-CN"/>
        </w:rPr>
        <w:t>:</w:t>
      </w:r>
      <w:r>
        <w:rPr>
          <w:rFonts w:ascii="宋体" w:eastAsia="宋体" w:hAnsi="宋体" w:cs="宋体"/>
          <w:lang w:eastAsia="zh-CN"/>
        </w:rPr>
        <w:t xml:space="preserve"> </w:t>
      </w:r>
      <w:r>
        <w:rPr>
          <w:rFonts w:ascii="Book Antiqua" w:eastAsia="Book Antiqua" w:hAnsi="Book Antiqua" w:cs="Book Antiqua"/>
        </w:rPr>
        <w:t>Univariate analyses of the signature and clinical features; B: Multivariate analyses of the signature and clinical features.</w:t>
      </w:r>
    </w:p>
    <w:p w14:paraId="63A3A75F" w14:textId="659F26C7" w:rsidR="005949C7" w:rsidRDefault="00000000">
      <w:pPr>
        <w:spacing w:line="360" w:lineRule="auto"/>
        <w:jc w:val="both"/>
        <w:rPr>
          <w:rFonts w:ascii="Book Antiqua" w:hAnsi="Book Antiqua"/>
        </w:rPr>
      </w:pPr>
      <w:r>
        <w:rPr>
          <w:rFonts w:ascii="Book Antiqua" w:hAnsi="Book Antiqua"/>
        </w:rPr>
        <w:br w:type="page"/>
      </w:r>
      <w:r w:rsidR="00273C70">
        <w:rPr>
          <w:noProof/>
        </w:rPr>
        <w:lastRenderedPageBreak/>
        <w:drawing>
          <wp:inline distT="0" distB="0" distL="0" distR="0" wp14:anchorId="31669390" wp14:editId="5BF17306">
            <wp:extent cx="5943600" cy="2979420"/>
            <wp:effectExtent l="0" t="0" r="0" b="0"/>
            <wp:docPr id="209410546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979420"/>
                    </a:xfrm>
                    <a:prstGeom prst="rect">
                      <a:avLst/>
                    </a:prstGeom>
                    <a:noFill/>
                    <a:ln>
                      <a:noFill/>
                    </a:ln>
                  </pic:spPr>
                </pic:pic>
              </a:graphicData>
            </a:graphic>
          </wp:inline>
        </w:drawing>
      </w:r>
    </w:p>
    <w:p w14:paraId="1858DA28" w14:textId="77777777" w:rsidR="005949C7" w:rsidRDefault="00000000">
      <w:pPr>
        <w:spacing w:line="360" w:lineRule="auto"/>
        <w:jc w:val="both"/>
        <w:rPr>
          <w:rFonts w:ascii="Book Antiqua" w:hAnsi="Book Antiqua"/>
        </w:rPr>
      </w:pPr>
      <w:r>
        <w:rPr>
          <w:rFonts w:ascii="Book Antiqua" w:eastAsia="Book Antiqua" w:hAnsi="Book Antiqua" w:cs="Book Antiqua"/>
          <w:b/>
          <w:bCs/>
        </w:rPr>
        <w:t xml:space="preserve">Figure 9 Validation of the prognostic signature. </w:t>
      </w:r>
      <w:r>
        <w:rPr>
          <w:rFonts w:ascii="Book Antiqua" w:eastAsia="Book Antiqua" w:hAnsi="Book Antiqua" w:cs="Book Antiqua"/>
        </w:rPr>
        <w:t>A: Kaplan-Meier plots of overall survival of high- and low-risk cohorts in the GSE96058 database; B: Kaplan-Meier plots of overall survival of high- and low-risk cohorts in the GSE21653 database.</w:t>
      </w:r>
    </w:p>
    <w:p w14:paraId="23B5E090" w14:textId="3D4CEC95" w:rsidR="005949C7" w:rsidRDefault="00000000">
      <w:pPr>
        <w:spacing w:line="360" w:lineRule="auto"/>
        <w:jc w:val="both"/>
        <w:rPr>
          <w:rFonts w:ascii="Book Antiqua" w:hAnsi="Book Antiqua"/>
        </w:rPr>
      </w:pPr>
      <w:r>
        <w:rPr>
          <w:rFonts w:ascii="Book Antiqua" w:hAnsi="Book Antiqua"/>
        </w:rPr>
        <w:br w:type="page"/>
      </w:r>
      <w:r w:rsidR="00273C70">
        <w:rPr>
          <w:noProof/>
        </w:rPr>
        <w:lastRenderedPageBreak/>
        <w:drawing>
          <wp:inline distT="0" distB="0" distL="0" distR="0" wp14:anchorId="44D4216A" wp14:editId="43F2FD6F">
            <wp:extent cx="5943600" cy="3514725"/>
            <wp:effectExtent l="0" t="0" r="0" b="0"/>
            <wp:docPr id="9216588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514725"/>
                    </a:xfrm>
                    <a:prstGeom prst="rect">
                      <a:avLst/>
                    </a:prstGeom>
                    <a:noFill/>
                    <a:ln>
                      <a:noFill/>
                    </a:ln>
                  </pic:spPr>
                </pic:pic>
              </a:graphicData>
            </a:graphic>
          </wp:inline>
        </w:drawing>
      </w:r>
    </w:p>
    <w:p w14:paraId="1374B85A" w14:textId="77777777" w:rsidR="005949C7" w:rsidRDefault="00000000">
      <w:pPr>
        <w:spacing w:line="360" w:lineRule="auto"/>
        <w:jc w:val="both"/>
        <w:rPr>
          <w:rFonts w:ascii="Book Antiqua" w:hAnsi="Book Antiqua"/>
        </w:rPr>
      </w:pPr>
      <w:r>
        <w:rPr>
          <w:rFonts w:ascii="Book Antiqua" w:eastAsia="Book Antiqua" w:hAnsi="Book Antiqua" w:cs="Book Antiqua"/>
          <w:b/>
          <w:bCs/>
        </w:rPr>
        <w:t>Figure 10</w:t>
      </w:r>
      <w:r>
        <w:rPr>
          <w:rFonts w:ascii="Book Antiqua" w:eastAsia="Book Antiqua" w:hAnsi="Book Antiqua" w:cs="Book Antiqua"/>
        </w:rPr>
        <w:t xml:space="preserve"> </w:t>
      </w:r>
      <w:r>
        <w:rPr>
          <w:rFonts w:ascii="Book Antiqua" w:eastAsia="Book Antiqua" w:hAnsi="Book Antiqua" w:cs="Book Antiqua"/>
          <w:b/>
          <w:bCs/>
        </w:rPr>
        <w:t>Association between CAFPS and clinicopathological factors.</w:t>
      </w:r>
      <w:r>
        <w:rPr>
          <w:rFonts w:ascii="Book Antiqua" w:eastAsia="Book Antiqua" w:hAnsi="Book Antiqua" w:cs="Book Antiqua"/>
        </w:rPr>
        <w:t xml:space="preserve"> A: Pathologic-T; B: Pathologic-N; C: Pathologic-M; D: Pathologic-stage; E: Immune subtype; F: PAM50.</w:t>
      </w:r>
    </w:p>
    <w:p w14:paraId="7FD10578" w14:textId="05BA5506" w:rsidR="005949C7" w:rsidRDefault="00000000">
      <w:pPr>
        <w:spacing w:line="360" w:lineRule="auto"/>
        <w:jc w:val="both"/>
        <w:rPr>
          <w:rFonts w:ascii="Book Antiqua" w:hAnsi="Book Antiqua"/>
        </w:rPr>
      </w:pPr>
      <w:r>
        <w:rPr>
          <w:rFonts w:ascii="Book Antiqua" w:hAnsi="Book Antiqua"/>
        </w:rPr>
        <w:br w:type="page"/>
      </w:r>
      <w:r w:rsidR="00273C70">
        <w:rPr>
          <w:noProof/>
        </w:rPr>
        <w:lastRenderedPageBreak/>
        <w:drawing>
          <wp:inline distT="0" distB="0" distL="0" distR="0" wp14:anchorId="03EB56C1" wp14:editId="43BCFAEC">
            <wp:extent cx="5943600" cy="7023735"/>
            <wp:effectExtent l="0" t="0" r="0" b="0"/>
            <wp:docPr id="19381499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023735"/>
                    </a:xfrm>
                    <a:prstGeom prst="rect">
                      <a:avLst/>
                    </a:prstGeom>
                    <a:noFill/>
                    <a:ln>
                      <a:noFill/>
                    </a:ln>
                  </pic:spPr>
                </pic:pic>
              </a:graphicData>
            </a:graphic>
          </wp:inline>
        </w:drawing>
      </w:r>
    </w:p>
    <w:p w14:paraId="10CBD651" w14:textId="77777777" w:rsidR="005949C7" w:rsidRDefault="00000000">
      <w:pPr>
        <w:spacing w:line="360" w:lineRule="auto"/>
        <w:jc w:val="both"/>
        <w:rPr>
          <w:rFonts w:ascii="Book Antiqua" w:eastAsia="宋体" w:hAnsi="Book Antiqua"/>
          <w:lang w:eastAsia="zh-CN"/>
        </w:rPr>
      </w:pPr>
      <w:r>
        <w:rPr>
          <w:rFonts w:ascii="Book Antiqua" w:eastAsia="Book Antiqua" w:hAnsi="Book Antiqua" w:cs="Book Antiqua"/>
          <w:b/>
          <w:bCs/>
        </w:rPr>
        <w:t>Figure 11</w:t>
      </w:r>
      <w:r>
        <w:rPr>
          <w:rFonts w:ascii="Book Antiqua" w:eastAsia="Book Antiqua" w:hAnsi="Book Antiqua" w:cs="Book Antiqua"/>
        </w:rPr>
        <w:t xml:space="preserve"> </w:t>
      </w:r>
      <w:r>
        <w:rPr>
          <w:rFonts w:ascii="Book Antiqua" w:eastAsia="Book Antiqua" w:hAnsi="Book Antiqua" w:cs="Book Antiqua"/>
          <w:b/>
          <w:bCs/>
        </w:rPr>
        <w:t xml:space="preserve">Nomogram generation for the prediction of 3- and 5-year survival. </w:t>
      </w:r>
      <w:r>
        <w:rPr>
          <w:rFonts w:ascii="Book Antiqua" w:eastAsia="Book Antiqua" w:hAnsi="Book Antiqua" w:cs="Book Antiqua"/>
        </w:rPr>
        <w:t>A: Development of a nomogram for estimating 1-, 2-, 3-and 5-year survival probabilities of breast cancer patients using the The Cancer Genome Atlas (TCGA) data</w:t>
      </w:r>
      <w:r>
        <w:rPr>
          <w:rFonts w:ascii="Book Antiqua" w:eastAsia="Book Antiqua" w:hAnsi="Book Antiqua" w:cs="Book Antiqua" w:hint="eastAsia"/>
        </w:rPr>
        <w:t xml:space="preserve">base; B </w:t>
      </w:r>
      <w:r>
        <w:rPr>
          <w:rFonts w:ascii="Book Antiqua" w:eastAsia="Book Antiqua" w:hAnsi="Book Antiqua" w:cs="Book Antiqua" w:hint="eastAsia"/>
          <w:lang w:eastAsia="zh-CN"/>
        </w:rPr>
        <w:t>and</w:t>
      </w:r>
      <w:r>
        <w:rPr>
          <w:rFonts w:ascii="Book Antiqua" w:eastAsia="Book Antiqua" w:hAnsi="Book Antiqua" w:cs="Book Antiqua" w:hint="eastAsia"/>
        </w:rPr>
        <w:t xml:space="preserve"> </w:t>
      </w:r>
      <w:r>
        <w:rPr>
          <w:rFonts w:ascii="Book Antiqua" w:eastAsia="Book Antiqua" w:hAnsi="Book Antiqua" w:cs="Book Antiqua" w:hint="eastAsia"/>
          <w:lang w:eastAsia="zh-CN"/>
        </w:rPr>
        <w:t>C</w:t>
      </w:r>
      <w:r>
        <w:rPr>
          <w:rFonts w:ascii="Book Antiqua" w:eastAsia="Book Antiqua" w:hAnsi="Book Antiqua" w:cs="Book Antiqua" w:hint="eastAsia"/>
        </w:rPr>
        <w:t>:</w:t>
      </w:r>
      <w:r>
        <w:rPr>
          <w:rFonts w:ascii="Book Antiqua" w:eastAsia="Book Antiqua" w:hAnsi="Book Antiqua" w:cs="Book Antiqua"/>
        </w:rPr>
        <w:t xml:space="preserve"> </w:t>
      </w:r>
      <w:r>
        <w:rPr>
          <w:rFonts w:ascii="Book Antiqua" w:eastAsia="Book Antiqua" w:hAnsi="Book Antiqua" w:cs="Book Antiqua"/>
        </w:rPr>
        <w:lastRenderedPageBreak/>
        <w:t xml:space="preserve">The 3- and 5-year area under the curves of nomogram, stage, CAFPS using the TCGA database; </w:t>
      </w:r>
      <w:r>
        <w:rPr>
          <w:rFonts w:ascii="Book Antiqua" w:eastAsia="Book Antiqua" w:hAnsi="Book Antiqua" w:cs="Book Antiqua" w:hint="eastAsia"/>
        </w:rPr>
        <w:t>D and E</w:t>
      </w:r>
      <w:r>
        <w:rPr>
          <w:rFonts w:ascii="Book Antiqua" w:eastAsia="Book Antiqua" w:hAnsi="Book Antiqua" w:cs="Book Antiqua"/>
        </w:rPr>
        <w:t>: The 3- and 5-year calibration curves for predicting overall survival</w:t>
      </w:r>
      <w:r>
        <w:rPr>
          <w:rFonts w:ascii="Book Antiqua" w:eastAsia="宋体" w:hAnsi="Book Antiqua" w:cs="Book Antiqua" w:hint="eastAsia"/>
          <w:lang w:eastAsia="zh-CN"/>
        </w:rPr>
        <w:t>.</w:t>
      </w:r>
    </w:p>
    <w:p w14:paraId="76E98F81" w14:textId="529F447C" w:rsidR="005949C7" w:rsidRDefault="00000000">
      <w:pPr>
        <w:spacing w:line="360" w:lineRule="auto"/>
        <w:jc w:val="both"/>
        <w:rPr>
          <w:rFonts w:ascii="Book Antiqua" w:hAnsi="Book Antiqua"/>
        </w:rPr>
      </w:pPr>
      <w:r>
        <w:rPr>
          <w:rFonts w:ascii="Book Antiqua" w:hAnsi="Book Antiqua"/>
        </w:rPr>
        <w:br w:type="page"/>
      </w:r>
      <w:r w:rsidR="00273C70">
        <w:rPr>
          <w:noProof/>
        </w:rPr>
        <w:lastRenderedPageBreak/>
        <w:drawing>
          <wp:inline distT="0" distB="0" distL="0" distR="0" wp14:anchorId="7AB07B86" wp14:editId="17E4E8A0">
            <wp:extent cx="4762500" cy="1779905"/>
            <wp:effectExtent l="0" t="0" r="0" b="0"/>
            <wp:docPr id="190852447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0" cy="1779905"/>
                    </a:xfrm>
                    <a:prstGeom prst="rect">
                      <a:avLst/>
                    </a:prstGeom>
                    <a:noFill/>
                    <a:ln>
                      <a:noFill/>
                    </a:ln>
                  </pic:spPr>
                </pic:pic>
              </a:graphicData>
            </a:graphic>
          </wp:inline>
        </w:drawing>
      </w:r>
    </w:p>
    <w:p w14:paraId="79333CE6" w14:textId="77777777" w:rsidR="005949C7" w:rsidRDefault="00000000">
      <w:pPr>
        <w:spacing w:line="360" w:lineRule="auto"/>
        <w:jc w:val="both"/>
        <w:rPr>
          <w:rFonts w:ascii="Book Antiqua" w:hAnsi="Book Antiqua"/>
        </w:rPr>
      </w:pPr>
      <w:r>
        <w:rPr>
          <w:rFonts w:ascii="Book Antiqua" w:eastAsia="Book Antiqua" w:hAnsi="Book Antiqua" w:cs="Book Antiqua"/>
          <w:b/>
          <w:bCs/>
        </w:rPr>
        <w:t>Figure 12</w:t>
      </w:r>
      <w:r>
        <w:rPr>
          <w:rFonts w:ascii="Book Antiqua" w:eastAsia="Book Antiqua" w:hAnsi="Book Antiqua" w:cs="Book Antiqua"/>
        </w:rPr>
        <w:t xml:space="preserve"> </w:t>
      </w:r>
      <w:r>
        <w:rPr>
          <w:rFonts w:ascii="Book Antiqua" w:eastAsia="Book Antiqua" w:hAnsi="Book Antiqua" w:cs="Book Antiqua"/>
          <w:b/>
          <w:bCs/>
        </w:rPr>
        <w:t xml:space="preserve">Prediction of chemotherapy response. </w:t>
      </w:r>
      <w:r>
        <w:rPr>
          <w:rFonts w:ascii="Book Antiqua" w:eastAsia="Book Antiqua" w:hAnsi="Book Antiqua" w:cs="Book Antiqua"/>
        </w:rPr>
        <w:t>A: The cancer associated fibroblast risk score of estimated chemotherapy-responders and non-responders in GSE18728;</w:t>
      </w:r>
      <w:r>
        <w:rPr>
          <w:rFonts w:ascii="Book Antiqua" w:hAnsi="Book Antiqua" w:hint="eastAsia"/>
          <w:lang w:eastAsia="zh-CN"/>
        </w:rPr>
        <w:t xml:space="preserve"> </w:t>
      </w:r>
      <w:r>
        <w:rPr>
          <w:rFonts w:ascii="Book Antiqua" w:eastAsia="Book Antiqua" w:hAnsi="Book Antiqua" w:cs="Book Antiqua"/>
        </w:rPr>
        <w:t>B: Distributions of responders and non-responders in high- and low-risk groups in GSE18728.</w:t>
      </w:r>
    </w:p>
    <w:p w14:paraId="3DB43944" w14:textId="4BE29E3C" w:rsidR="005949C7" w:rsidRDefault="00000000">
      <w:pPr>
        <w:spacing w:line="360" w:lineRule="auto"/>
        <w:jc w:val="both"/>
        <w:rPr>
          <w:rFonts w:ascii="Book Antiqua" w:hAnsi="Book Antiqua"/>
        </w:rPr>
      </w:pPr>
      <w:r>
        <w:rPr>
          <w:rFonts w:ascii="Book Antiqua" w:hAnsi="Book Antiqua"/>
        </w:rPr>
        <w:br w:type="page"/>
      </w:r>
      <w:r w:rsidR="00273C70">
        <w:rPr>
          <w:noProof/>
        </w:rPr>
        <w:lastRenderedPageBreak/>
        <w:drawing>
          <wp:inline distT="0" distB="0" distL="0" distR="0" wp14:anchorId="21FDD68E" wp14:editId="0ECE3571">
            <wp:extent cx="5943600" cy="3589655"/>
            <wp:effectExtent l="0" t="0" r="0" b="0"/>
            <wp:docPr id="135458008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589655"/>
                    </a:xfrm>
                    <a:prstGeom prst="rect">
                      <a:avLst/>
                    </a:prstGeom>
                    <a:noFill/>
                    <a:ln>
                      <a:noFill/>
                    </a:ln>
                  </pic:spPr>
                </pic:pic>
              </a:graphicData>
            </a:graphic>
          </wp:inline>
        </w:drawing>
      </w:r>
    </w:p>
    <w:p w14:paraId="4605CD54" w14:textId="77777777" w:rsidR="005949C7" w:rsidRDefault="00000000">
      <w:pPr>
        <w:spacing w:line="360" w:lineRule="auto"/>
        <w:jc w:val="both"/>
        <w:rPr>
          <w:rFonts w:ascii="Book Antiqua" w:hAnsi="Book Antiqua"/>
        </w:rPr>
      </w:pPr>
      <w:r>
        <w:rPr>
          <w:rFonts w:ascii="Book Antiqua" w:eastAsia="Book Antiqua" w:hAnsi="Book Antiqua" w:cs="Book Antiqua"/>
          <w:b/>
          <w:bCs/>
        </w:rPr>
        <w:t>Figure 13 Immune checkpoint gene expression in both risk cohorts in The Cancer Genome Atlas cohort.</w:t>
      </w:r>
      <w:r>
        <w:rPr>
          <w:rFonts w:ascii="Book Antiqua" w:eastAsia="Book Antiqua" w:hAnsi="Book Antiqua" w:cs="Book Antiqua"/>
        </w:rPr>
        <w:t xml:space="preserve"> A: </w:t>
      </w:r>
      <w:r>
        <w:rPr>
          <w:rFonts w:ascii="Book Antiqua" w:eastAsia="Book Antiqua" w:hAnsi="Book Antiqua" w:cs="Book Antiqua" w:hint="eastAsia"/>
        </w:rPr>
        <w:t>PDCD1</w:t>
      </w:r>
      <w:r>
        <w:rPr>
          <w:rFonts w:ascii="Book Antiqua" w:eastAsia="Book Antiqua" w:hAnsi="Book Antiqua" w:cs="Book Antiqua"/>
        </w:rPr>
        <w:t xml:space="preserve">; B: </w:t>
      </w:r>
      <w:r>
        <w:rPr>
          <w:rFonts w:ascii="Book Antiqua" w:eastAsia="Book Antiqua" w:hAnsi="Book Antiqua" w:cs="Book Antiqua" w:hint="eastAsia"/>
        </w:rPr>
        <w:t>CD274</w:t>
      </w:r>
      <w:r>
        <w:rPr>
          <w:rFonts w:ascii="Book Antiqua" w:eastAsia="Book Antiqua" w:hAnsi="Book Antiqua" w:cs="Book Antiqua"/>
        </w:rPr>
        <w:t>; C: CTLA4; D: LAG3; E: IDO1; F: TIGIT.</w:t>
      </w:r>
    </w:p>
    <w:p w14:paraId="67A2F15F" w14:textId="4E06523F" w:rsidR="005949C7" w:rsidRDefault="00000000">
      <w:pPr>
        <w:spacing w:line="360" w:lineRule="auto"/>
        <w:jc w:val="both"/>
        <w:rPr>
          <w:rFonts w:ascii="Book Antiqua" w:hAnsi="Book Antiqua"/>
        </w:rPr>
      </w:pPr>
      <w:r>
        <w:rPr>
          <w:rFonts w:ascii="Book Antiqua" w:hAnsi="Book Antiqua"/>
        </w:rPr>
        <w:br w:type="page"/>
      </w:r>
      <w:r w:rsidR="00273C70">
        <w:rPr>
          <w:noProof/>
        </w:rPr>
        <w:lastRenderedPageBreak/>
        <w:drawing>
          <wp:inline distT="0" distB="0" distL="0" distR="0" wp14:anchorId="0DFA2CFD" wp14:editId="209853A9">
            <wp:extent cx="5943600" cy="7882255"/>
            <wp:effectExtent l="0" t="0" r="0" b="0"/>
            <wp:docPr id="137777698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882255"/>
                    </a:xfrm>
                    <a:prstGeom prst="rect">
                      <a:avLst/>
                    </a:prstGeom>
                    <a:noFill/>
                    <a:ln>
                      <a:noFill/>
                    </a:ln>
                  </pic:spPr>
                </pic:pic>
              </a:graphicData>
            </a:graphic>
          </wp:inline>
        </w:drawing>
      </w:r>
    </w:p>
    <w:p w14:paraId="7112ABE4" w14:textId="77777777" w:rsidR="005949C7" w:rsidRDefault="00000000">
      <w:pPr>
        <w:spacing w:line="360" w:lineRule="auto"/>
        <w:jc w:val="both"/>
        <w:rPr>
          <w:rFonts w:ascii="Book Antiqua" w:eastAsia="Book Antiqua" w:hAnsi="Book Antiqua" w:cs="Book Antiqua"/>
        </w:rPr>
      </w:pPr>
      <w:r>
        <w:rPr>
          <w:rFonts w:ascii="Book Antiqua" w:eastAsia="Book Antiqua" w:hAnsi="Book Antiqua" w:cs="Book Antiqua"/>
          <w:b/>
          <w:bCs/>
        </w:rPr>
        <w:lastRenderedPageBreak/>
        <w:t>Figure 14</w:t>
      </w:r>
      <w:r>
        <w:rPr>
          <w:rFonts w:ascii="Book Antiqua" w:eastAsia="Book Antiqua" w:hAnsi="Book Antiqua" w:cs="Book Antiqua"/>
        </w:rPr>
        <w:t xml:space="preserve"> </w:t>
      </w:r>
      <w:r>
        <w:rPr>
          <w:rFonts w:ascii="Book Antiqua" w:eastAsia="Book Antiqua" w:hAnsi="Book Antiqua" w:cs="Book Antiqua"/>
          <w:b/>
          <w:bCs/>
        </w:rPr>
        <w:t>Correlation between CAF</w:t>
      </w:r>
      <w:r>
        <w:rPr>
          <w:rFonts w:ascii="Book Antiqua" w:eastAsia="宋体" w:hAnsi="Book Antiqua" w:cs="Book Antiqua" w:hint="eastAsia"/>
          <w:b/>
          <w:bCs/>
          <w:lang w:eastAsia="zh-CN"/>
        </w:rPr>
        <w:t>P</w:t>
      </w:r>
      <w:r>
        <w:rPr>
          <w:rFonts w:ascii="Book Antiqua" w:eastAsia="Book Antiqua" w:hAnsi="Book Antiqua" w:cs="Book Antiqua"/>
          <w:b/>
          <w:bCs/>
        </w:rPr>
        <w:t>S and signaling pathways.</w:t>
      </w:r>
      <w:r>
        <w:rPr>
          <w:rFonts w:ascii="Book Antiqua" w:hAnsi="Book Antiqua" w:hint="eastAsia"/>
          <w:lang w:eastAsia="zh-CN"/>
        </w:rPr>
        <w:t xml:space="preserve"> </w:t>
      </w:r>
      <w:r>
        <w:rPr>
          <w:rFonts w:ascii="Book Antiqua" w:eastAsia="Book Antiqua" w:hAnsi="Book Antiqua" w:cs="Book Antiqua"/>
        </w:rPr>
        <w:t>A: Spearman’s correlation analyses revealing that CAFPS is significantly correlated with most hallmark gene sets;</w:t>
      </w:r>
      <w:r>
        <w:rPr>
          <w:rFonts w:ascii="Book Antiqua" w:hAnsi="Book Antiqua" w:hint="eastAsia"/>
          <w:lang w:eastAsia="zh-CN"/>
        </w:rPr>
        <w:t xml:space="preserve"> </w:t>
      </w:r>
      <w:r>
        <w:rPr>
          <w:rFonts w:ascii="Book Antiqua" w:eastAsia="Book Antiqua" w:hAnsi="Book Antiqua" w:cs="Book Antiqua"/>
        </w:rPr>
        <w:t>B: The ssGSEA data revealing that the cancer associated fibroblast (CAF) risk score is directly associated with TGF-BETA signaling pathways enrichment scores using The Cancer Genome Atlas (TCGA) database;</w:t>
      </w:r>
      <w:r>
        <w:rPr>
          <w:rFonts w:ascii="Book Antiqua" w:hAnsi="Book Antiqua" w:hint="eastAsia"/>
          <w:lang w:eastAsia="zh-CN"/>
        </w:rPr>
        <w:t xml:space="preserve"> </w:t>
      </w:r>
      <w:r>
        <w:rPr>
          <w:rFonts w:ascii="Book Antiqua" w:eastAsia="Book Antiqua" w:hAnsi="Book Antiqua" w:cs="Book Antiqua"/>
        </w:rPr>
        <w:t>C: The ssGSEA data revealing that the CAF risk score is directly associated with IL-6-JAK-STAT3 signaling pathways enrichment scores using the TCGA database;</w:t>
      </w:r>
      <w:r>
        <w:rPr>
          <w:rFonts w:ascii="Book Antiqua" w:hAnsi="Book Antiqua" w:hint="eastAsia"/>
          <w:lang w:eastAsia="zh-CN"/>
        </w:rPr>
        <w:t xml:space="preserve"> </w:t>
      </w:r>
      <w:r>
        <w:rPr>
          <w:rFonts w:ascii="Book Antiqua" w:eastAsia="Book Antiqua" w:hAnsi="Book Antiqua" w:cs="Book Antiqua"/>
        </w:rPr>
        <w:t>D: The ssGSEA data revealing that the CAF risk score is directly associated with The TNFA-SIGNALING-VIA-NFKB signaling pathways enrichment scores using the TCGA database.</w:t>
      </w:r>
    </w:p>
    <w:p w14:paraId="7459369F" w14:textId="77777777" w:rsidR="005949C7" w:rsidRDefault="00000000">
      <w:pPr>
        <w:autoSpaceDE w:val="0"/>
        <w:autoSpaceDN w:val="0"/>
        <w:adjustRightInd w:val="0"/>
        <w:spacing w:line="360" w:lineRule="auto"/>
        <w:jc w:val="both"/>
        <w:rPr>
          <w:rFonts w:ascii="Book Antiqua" w:eastAsia="Book Antiqua" w:hAnsi="Book Antiqua" w:cs="Book Antiqua"/>
        </w:rPr>
      </w:pPr>
      <w:r>
        <w:rPr>
          <w:rFonts w:ascii="Book Antiqua" w:eastAsia="Book Antiqua" w:hAnsi="Book Antiqua" w:cs="Book Antiqua"/>
        </w:rPr>
        <w:br w:type="page"/>
      </w:r>
      <w:r>
        <w:rPr>
          <w:rFonts w:ascii="Book Antiqua" w:eastAsia="MyriadPro-Light" w:hAnsi="Book Antiqua"/>
          <w:b/>
        </w:rPr>
        <w:lastRenderedPageBreak/>
        <w:t>Table 1 Clinical and pathological characteristics of patients with breast cancer in The Cancer Genome Atlas cohort</w:t>
      </w:r>
    </w:p>
    <w:tbl>
      <w:tblPr>
        <w:tblW w:w="5000" w:type="pct"/>
        <w:tblBorders>
          <w:top w:val="single" w:sz="4" w:space="0" w:color="auto"/>
          <w:bottom w:val="single" w:sz="4" w:space="0" w:color="auto"/>
        </w:tblBorders>
        <w:tblLook w:val="04A0" w:firstRow="1" w:lastRow="0" w:firstColumn="1" w:lastColumn="0" w:noHBand="0" w:noVBand="1"/>
      </w:tblPr>
      <w:tblGrid>
        <w:gridCol w:w="3858"/>
        <w:gridCol w:w="2767"/>
        <w:gridCol w:w="2951"/>
      </w:tblGrid>
      <w:tr w:rsidR="005949C7" w14:paraId="488F7CB3" w14:textId="77777777">
        <w:tc>
          <w:tcPr>
            <w:tcW w:w="2014" w:type="pct"/>
            <w:tcBorders>
              <w:top w:val="single" w:sz="4" w:space="0" w:color="auto"/>
              <w:bottom w:val="single" w:sz="4" w:space="0" w:color="auto"/>
            </w:tcBorders>
            <w:shd w:val="clear" w:color="auto" w:fill="auto"/>
          </w:tcPr>
          <w:p w14:paraId="1D916813" w14:textId="77777777" w:rsidR="005949C7" w:rsidRDefault="00000000">
            <w:pPr>
              <w:adjustRightInd w:val="0"/>
              <w:snapToGrid w:val="0"/>
              <w:spacing w:line="360" w:lineRule="auto"/>
              <w:jc w:val="both"/>
              <w:rPr>
                <w:rFonts w:ascii="Book Antiqua" w:eastAsia="MyriadPro-Light" w:hAnsi="Book Antiqua"/>
                <w:b/>
              </w:rPr>
            </w:pPr>
            <w:r>
              <w:rPr>
                <w:rFonts w:ascii="Book Antiqua" w:eastAsia="MyriadPro-Light" w:hAnsi="Book Antiqua"/>
                <w:b/>
              </w:rPr>
              <w:t>Variables</w:t>
            </w:r>
          </w:p>
        </w:tc>
        <w:tc>
          <w:tcPr>
            <w:tcW w:w="1444" w:type="pct"/>
            <w:tcBorders>
              <w:top w:val="single" w:sz="4" w:space="0" w:color="auto"/>
              <w:bottom w:val="single" w:sz="4" w:space="0" w:color="auto"/>
            </w:tcBorders>
            <w:shd w:val="clear" w:color="auto" w:fill="auto"/>
          </w:tcPr>
          <w:p w14:paraId="6E52738C" w14:textId="77777777" w:rsidR="005949C7" w:rsidRDefault="00000000">
            <w:pPr>
              <w:adjustRightInd w:val="0"/>
              <w:snapToGrid w:val="0"/>
              <w:spacing w:line="360" w:lineRule="auto"/>
              <w:jc w:val="both"/>
              <w:rPr>
                <w:rFonts w:ascii="Book Antiqua" w:eastAsia="MyriadPro-Light" w:hAnsi="Book Antiqua"/>
                <w:b/>
              </w:rPr>
            </w:pPr>
            <w:r>
              <w:rPr>
                <w:rFonts w:ascii="Book Antiqua" w:eastAsia="MyriadPro-Light" w:hAnsi="Book Antiqua"/>
                <w:b/>
                <w:i/>
                <w:iCs/>
              </w:rPr>
              <w:t>n</w:t>
            </w:r>
          </w:p>
        </w:tc>
        <w:tc>
          <w:tcPr>
            <w:tcW w:w="1540" w:type="pct"/>
            <w:tcBorders>
              <w:top w:val="single" w:sz="4" w:space="0" w:color="auto"/>
              <w:bottom w:val="single" w:sz="4" w:space="0" w:color="auto"/>
            </w:tcBorders>
            <w:shd w:val="clear" w:color="auto" w:fill="auto"/>
          </w:tcPr>
          <w:p w14:paraId="6C27A91C" w14:textId="77777777" w:rsidR="005949C7" w:rsidRDefault="00000000">
            <w:pPr>
              <w:adjustRightInd w:val="0"/>
              <w:snapToGrid w:val="0"/>
              <w:spacing w:line="360" w:lineRule="auto"/>
              <w:jc w:val="both"/>
              <w:rPr>
                <w:rFonts w:ascii="Book Antiqua" w:eastAsia="MyriadPro-Light" w:hAnsi="Book Antiqua"/>
                <w:b/>
              </w:rPr>
            </w:pPr>
            <w:r>
              <w:rPr>
                <w:rFonts w:ascii="Book Antiqua" w:eastAsia="MyriadPro-Light" w:hAnsi="Book Antiqua"/>
                <w:b/>
              </w:rPr>
              <w:t>%</w:t>
            </w:r>
          </w:p>
        </w:tc>
      </w:tr>
      <w:tr w:rsidR="005949C7" w14:paraId="0B1754EB" w14:textId="77777777">
        <w:trPr>
          <w:trHeight w:val="453"/>
        </w:trPr>
        <w:tc>
          <w:tcPr>
            <w:tcW w:w="2014" w:type="pct"/>
            <w:tcBorders>
              <w:top w:val="single" w:sz="4" w:space="0" w:color="auto"/>
            </w:tcBorders>
            <w:shd w:val="clear" w:color="auto" w:fill="auto"/>
          </w:tcPr>
          <w:p w14:paraId="43AFBDA9" w14:textId="77777777" w:rsidR="005949C7" w:rsidRDefault="00000000">
            <w:pPr>
              <w:spacing w:line="360" w:lineRule="auto"/>
              <w:jc w:val="both"/>
              <w:rPr>
                <w:rFonts w:ascii="Book Antiqua" w:eastAsia="MyriadPro-Light" w:hAnsi="Book Antiqua"/>
              </w:rPr>
            </w:pPr>
            <w:r>
              <w:rPr>
                <w:rFonts w:ascii="Book Antiqua" w:eastAsia="MyriadPro-Light" w:hAnsi="Book Antiqua"/>
              </w:rPr>
              <w:t>Age, yr</w:t>
            </w:r>
          </w:p>
        </w:tc>
        <w:tc>
          <w:tcPr>
            <w:tcW w:w="1444" w:type="pct"/>
            <w:tcBorders>
              <w:top w:val="single" w:sz="4" w:space="0" w:color="auto"/>
            </w:tcBorders>
            <w:shd w:val="clear" w:color="auto" w:fill="auto"/>
          </w:tcPr>
          <w:p w14:paraId="480BE60B" w14:textId="77777777" w:rsidR="005949C7" w:rsidRDefault="005949C7">
            <w:pPr>
              <w:spacing w:line="360" w:lineRule="auto"/>
              <w:jc w:val="both"/>
              <w:rPr>
                <w:rFonts w:ascii="Book Antiqua" w:eastAsia="MyriadPro-Light" w:hAnsi="Book Antiqua"/>
              </w:rPr>
            </w:pPr>
          </w:p>
        </w:tc>
        <w:tc>
          <w:tcPr>
            <w:tcW w:w="1540" w:type="pct"/>
            <w:tcBorders>
              <w:top w:val="single" w:sz="4" w:space="0" w:color="auto"/>
            </w:tcBorders>
            <w:shd w:val="clear" w:color="auto" w:fill="auto"/>
          </w:tcPr>
          <w:p w14:paraId="0B85122F" w14:textId="77777777" w:rsidR="005949C7" w:rsidRDefault="005949C7">
            <w:pPr>
              <w:spacing w:line="360" w:lineRule="auto"/>
              <w:jc w:val="both"/>
              <w:rPr>
                <w:rFonts w:ascii="Book Antiqua" w:eastAsia="MyriadPro-Light" w:hAnsi="Book Antiqua"/>
              </w:rPr>
            </w:pPr>
          </w:p>
        </w:tc>
      </w:tr>
      <w:tr w:rsidR="005949C7" w14:paraId="625214B2" w14:textId="77777777">
        <w:trPr>
          <w:trHeight w:val="311"/>
        </w:trPr>
        <w:tc>
          <w:tcPr>
            <w:tcW w:w="2014" w:type="pct"/>
            <w:shd w:val="clear" w:color="auto" w:fill="auto"/>
          </w:tcPr>
          <w:p w14:paraId="1921658F" w14:textId="77777777" w:rsidR="005949C7" w:rsidRDefault="00000000">
            <w:pPr>
              <w:spacing w:line="360" w:lineRule="auto"/>
              <w:ind w:firstLineChars="100" w:firstLine="240"/>
              <w:jc w:val="both"/>
              <w:rPr>
                <w:rFonts w:ascii="Book Antiqua" w:eastAsia="MyriadPro-Light" w:hAnsi="Book Antiqua"/>
              </w:rPr>
            </w:pPr>
            <w:r>
              <w:rPr>
                <w:rFonts w:ascii="Book Antiqua" w:eastAsia="宋体" w:hAnsi="Book Antiqua" w:hint="eastAsia"/>
                <w:lang w:eastAsia="zh-CN"/>
              </w:rPr>
              <w:t>&lt;</w:t>
            </w:r>
            <w:r>
              <w:rPr>
                <w:rFonts w:ascii="Book Antiqua" w:eastAsia="宋体" w:hAnsi="Book Antiqua"/>
                <w:lang w:eastAsia="zh-CN"/>
              </w:rPr>
              <w:t xml:space="preserve"> </w:t>
            </w:r>
            <w:r>
              <w:rPr>
                <w:rFonts w:ascii="Book Antiqua" w:eastAsia="MyriadPro-Light" w:hAnsi="Book Antiqua" w:cs="Book Antiqua"/>
              </w:rPr>
              <w:t>60</w:t>
            </w:r>
          </w:p>
        </w:tc>
        <w:tc>
          <w:tcPr>
            <w:tcW w:w="1444" w:type="pct"/>
            <w:shd w:val="clear" w:color="auto" w:fill="auto"/>
          </w:tcPr>
          <w:p w14:paraId="3141DC8B" w14:textId="77777777" w:rsidR="005949C7" w:rsidRDefault="00000000">
            <w:pPr>
              <w:spacing w:line="360" w:lineRule="auto"/>
              <w:jc w:val="both"/>
              <w:rPr>
                <w:rFonts w:ascii="Book Antiqua" w:eastAsia="MyriadPro-Light" w:hAnsi="Book Antiqua"/>
              </w:rPr>
            </w:pPr>
            <w:r>
              <w:rPr>
                <w:rFonts w:ascii="Book Antiqua" w:eastAsia="MyriadPro-Light" w:hAnsi="Book Antiqua"/>
              </w:rPr>
              <w:t>570</w:t>
            </w:r>
          </w:p>
        </w:tc>
        <w:tc>
          <w:tcPr>
            <w:tcW w:w="1540" w:type="pct"/>
            <w:shd w:val="clear" w:color="auto" w:fill="auto"/>
          </w:tcPr>
          <w:p w14:paraId="46B67FCF" w14:textId="77777777" w:rsidR="005949C7" w:rsidRDefault="00000000">
            <w:pPr>
              <w:spacing w:line="360" w:lineRule="auto"/>
              <w:jc w:val="both"/>
              <w:rPr>
                <w:rFonts w:ascii="Book Antiqua" w:eastAsia="MyriadPro-Light" w:hAnsi="Book Antiqua"/>
              </w:rPr>
            </w:pPr>
            <w:r>
              <w:rPr>
                <w:rFonts w:ascii="Book Antiqua" w:eastAsia="MyriadPro-Light" w:hAnsi="Book Antiqua"/>
              </w:rPr>
              <w:t>53.17</w:t>
            </w:r>
          </w:p>
        </w:tc>
      </w:tr>
      <w:tr w:rsidR="005949C7" w14:paraId="0CCB90C0" w14:textId="77777777">
        <w:trPr>
          <w:trHeight w:val="350"/>
        </w:trPr>
        <w:tc>
          <w:tcPr>
            <w:tcW w:w="2014" w:type="pct"/>
            <w:tcBorders>
              <w:bottom w:val="nil"/>
            </w:tcBorders>
            <w:shd w:val="clear" w:color="auto" w:fill="auto"/>
          </w:tcPr>
          <w:p w14:paraId="01F0CB1B" w14:textId="77777777" w:rsidR="005949C7" w:rsidRDefault="00000000">
            <w:pPr>
              <w:spacing w:line="360" w:lineRule="auto"/>
              <w:ind w:firstLineChars="100" w:firstLine="240"/>
              <w:jc w:val="both"/>
              <w:rPr>
                <w:rFonts w:ascii="Book Antiqua" w:eastAsia="MyriadPro-Light" w:hAnsi="Book Antiqua"/>
              </w:rPr>
            </w:pPr>
            <w:r>
              <w:rPr>
                <w:rFonts w:ascii="Book Antiqua" w:eastAsia="MyriadPro-Light" w:hAnsi="Book Antiqua"/>
              </w:rPr>
              <w:t>≥ 60</w:t>
            </w:r>
          </w:p>
        </w:tc>
        <w:tc>
          <w:tcPr>
            <w:tcW w:w="1444" w:type="pct"/>
            <w:tcBorders>
              <w:bottom w:val="nil"/>
            </w:tcBorders>
            <w:shd w:val="clear" w:color="auto" w:fill="auto"/>
          </w:tcPr>
          <w:p w14:paraId="0DAC8781" w14:textId="77777777" w:rsidR="005949C7" w:rsidRDefault="00000000">
            <w:pPr>
              <w:spacing w:line="360" w:lineRule="auto"/>
              <w:jc w:val="both"/>
              <w:rPr>
                <w:rFonts w:ascii="Book Antiqua" w:eastAsia="MyriadPro-Light" w:hAnsi="Book Antiqua"/>
              </w:rPr>
            </w:pPr>
            <w:r>
              <w:rPr>
                <w:rFonts w:ascii="Book Antiqua" w:eastAsia="MyriadPro-Light" w:hAnsi="Book Antiqua"/>
              </w:rPr>
              <w:t>571</w:t>
            </w:r>
          </w:p>
        </w:tc>
        <w:tc>
          <w:tcPr>
            <w:tcW w:w="1540" w:type="pct"/>
            <w:tcBorders>
              <w:bottom w:val="nil"/>
            </w:tcBorders>
            <w:shd w:val="clear" w:color="auto" w:fill="auto"/>
          </w:tcPr>
          <w:p w14:paraId="2ED7184A" w14:textId="77777777" w:rsidR="005949C7" w:rsidRDefault="00000000">
            <w:pPr>
              <w:spacing w:line="360" w:lineRule="auto"/>
              <w:jc w:val="both"/>
              <w:rPr>
                <w:rFonts w:ascii="Book Antiqua" w:eastAsia="MyriadPro-Light" w:hAnsi="Book Antiqua"/>
              </w:rPr>
            </w:pPr>
            <w:r>
              <w:rPr>
                <w:rFonts w:ascii="Book Antiqua" w:eastAsia="MyriadPro-Light" w:hAnsi="Book Antiqua"/>
              </w:rPr>
              <w:t>46.74</w:t>
            </w:r>
          </w:p>
        </w:tc>
      </w:tr>
      <w:tr w:rsidR="005949C7" w14:paraId="06112687" w14:textId="77777777">
        <w:trPr>
          <w:trHeight w:val="285"/>
        </w:trPr>
        <w:tc>
          <w:tcPr>
            <w:tcW w:w="2014" w:type="pct"/>
            <w:tcBorders>
              <w:top w:val="nil"/>
            </w:tcBorders>
            <w:shd w:val="clear" w:color="auto" w:fill="auto"/>
          </w:tcPr>
          <w:p w14:paraId="787CBC43" w14:textId="77777777" w:rsidR="005949C7" w:rsidRDefault="00000000">
            <w:pPr>
              <w:spacing w:line="360" w:lineRule="auto"/>
              <w:ind w:firstLineChars="100" w:firstLine="240"/>
              <w:jc w:val="both"/>
              <w:rPr>
                <w:rFonts w:ascii="Book Antiqua" w:eastAsia="MyriadPro-Light" w:hAnsi="Book Antiqua"/>
              </w:rPr>
            </w:pPr>
            <w:r>
              <w:rPr>
                <w:rFonts w:ascii="Book Antiqua" w:eastAsia="MyriadPro-Light" w:hAnsi="Book Antiqua"/>
              </w:rPr>
              <w:t>NA</w:t>
            </w:r>
          </w:p>
        </w:tc>
        <w:tc>
          <w:tcPr>
            <w:tcW w:w="1444" w:type="pct"/>
            <w:tcBorders>
              <w:top w:val="nil"/>
            </w:tcBorders>
            <w:shd w:val="clear" w:color="auto" w:fill="auto"/>
          </w:tcPr>
          <w:p w14:paraId="644F3E1D" w14:textId="77777777" w:rsidR="005949C7" w:rsidRDefault="00000000">
            <w:pPr>
              <w:spacing w:line="360" w:lineRule="auto"/>
              <w:jc w:val="both"/>
              <w:rPr>
                <w:rFonts w:ascii="Book Antiqua" w:eastAsia="MyriadPro-Light" w:hAnsi="Book Antiqua"/>
              </w:rPr>
            </w:pPr>
            <w:r>
              <w:rPr>
                <w:rFonts w:ascii="Book Antiqua" w:eastAsia="MyriadPro-Light" w:hAnsi="Book Antiqua"/>
              </w:rPr>
              <w:t>1</w:t>
            </w:r>
          </w:p>
        </w:tc>
        <w:tc>
          <w:tcPr>
            <w:tcW w:w="1540" w:type="pct"/>
            <w:tcBorders>
              <w:top w:val="nil"/>
            </w:tcBorders>
            <w:shd w:val="clear" w:color="auto" w:fill="auto"/>
          </w:tcPr>
          <w:p w14:paraId="4F0ECE67" w14:textId="77777777" w:rsidR="005949C7" w:rsidRDefault="00000000">
            <w:pPr>
              <w:spacing w:line="360" w:lineRule="auto"/>
              <w:jc w:val="both"/>
              <w:rPr>
                <w:rFonts w:ascii="Book Antiqua" w:eastAsia="MyriadPro-Light" w:hAnsi="Book Antiqua"/>
              </w:rPr>
            </w:pPr>
            <w:r>
              <w:rPr>
                <w:rFonts w:ascii="Book Antiqua" w:eastAsia="MyriadPro-Light" w:hAnsi="Book Antiqua"/>
              </w:rPr>
              <w:t>0.09</w:t>
            </w:r>
          </w:p>
        </w:tc>
      </w:tr>
      <w:tr w:rsidR="005949C7" w14:paraId="3413FC60" w14:textId="77777777">
        <w:tc>
          <w:tcPr>
            <w:tcW w:w="2014" w:type="pct"/>
            <w:shd w:val="clear" w:color="auto" w:fill="FFFFFF" w:themeFill="background1"/>
          </w:tcPr>
          <w:p w14:paraId="5AFFCC1A" w14:textId="77777777" w:rsidR="005949C7" w:rsidRDefault="00000000">
            <w:pPr>
              <w:spacing w:line="360" w:lineRule="auto"/>
              <w:jc w:val="both"/>
              <w:rPr>
                <w:rFonts w:ascii="Book Antiqua" w:eastAsia="MyriadPro-Light" w:hAnsi="Book Antiqua"/>
              </w:rPr>
            </w:pPr>
            <w:r>
              <w:rPr>
                <w:rFonts w:ascii="Book Antiqua" w:eastAsia="MyriadPro-Light" w:hAnsi="Book Antiqua"/>
              </w:rPr>
              <w:t>Pathologic-T</w:t>
            </w:r>
          </w:p>
        </w:tc>
        <w:tc>
          <w:tcPr>
            <w:tcW w:w="1444" w:type="pct"/>
            <w:shd w:val="clear" w:color="auto" w:fill="FFFFFF" w:themeFill="background1"/>
          </w:tcPr>
          <w:p w14:paraId="2245F117" w14:textId="77777777" w:rsidR="005949C7" w:rsidRDefault="005949C7">
            <w:pPr>
              <w:spacing w:line="360" w:lineRule="auto"/>
              <w:jc w:val="both"/>
              <w:rPr>
                <w:rFonts w:ascii="Book Antiqua" w:eastAsia="MyriadPro-Light" w:hAnsi="Book Antiqua"/>
              </w:rPr>
            </w:pPr>
          </w:p>
        </w:tc>
        <w:tc>
          <w:tcPr>
            <w:tcW w:w="1540" w:type="pct"/>
            <w:shd w:val="clear" w:color="auto" w:fill="FFFFFF" w:themeFill="background1"/>
          </w:tcPr>
          <w:p w14:paraId="703ECB8E" w14:textId="77777777" w:rsidR="005949C7" w:rsidRDefault="005949C7">
            <w:pPr>
              <w:spacing w:line="360" w:lineRule="auto"/>
              <w:jc w:val="both"/>
              <w:rPr>
                <w:rFonts w:ascii="Book Antiqua" w:eastAsia="MyriadPro-Light" w:hAnsi="Book Antiqua"/>
              </w:rPr>
            </w:pPr>
          </w:p>
        </w:tc>
      </w:tr>
      <w:tr w:rsidR="005949C7" w14:paraId="4859EF10" w14:textId="77777777">
        <w:tc>
          <w:tcPr>
            <w:tcW w:w="2014" w:type="pct"/>
            <w:shd w:val="clear" w:color="auto" w:fill="FFFFFF" w:themeFill="background1"/>
          </w:tcPr>
          <w:p w14:paraId="7DC5B707" w14:textId="77777777" w:rsidR="005949C7" w:rsidRDefault="00000000">
            <w:pPr>
              <w:spacing w:line="360" w:lineRule="auto"/>
              <w:ind w:firstLineChars="100" w:firstLine="240"/>
              <w:jc w:val="both"/>
              <w:rPr>
                <w:rFonts w:ascii="Book Antiqua" w:eastAsia="MyriadPro-Light" w:hAnsi="Book Antiqua"/>
              </w:rPr>
            </w:pPr>
            <w:r>
              <w:rPr>
                <w:rFonts w:ascii="Book Antiqua" w:eastAsia="MyriadPro-Light" w:hAnsi="Book Antiqua"/>
              </w:rPr>
              <w:t>T1</w:t>
            </w:r>
          </w:p>
        </w:tc>
        <w:tc>
          <w:tcPr>
            <w:tcW w:w="1444" w:type="pct"/>
            <w:shd w:val="clear" w:color="auto" w:fill="FFFFFF" w:themeFill="background1"/>
          </w:tcPr>
          <w:p w14:paraId="250B84AD" w14:textId="77777777" w:rsidR="005949C7" w:rsidRDefault="00000000">
            <w:pPr>
              <w:spacing w:line="360" w:lineRule="auto"/>
              <w:jc w:val="both"/>
              <w:rPr>
                <w:rFonts w:ascii="Book Antiqua" w:eastAsia="MyriadPro-Light" w:hAnsi="Book Antiqua"/>
              </w:rPr>
            </w:pPr>
            <w:r>
              <w:rPr>
                <w:rFonts w:ascii="Book Antiqua" w:eastAsia="MyriadPro-Light" w:hAnsi="Book Antiqua"/>
              </w:rPr>
              <w:t>274</w:t>
            </w:r>
          </w:p>
        </w:tc>
        <w:tc>
          <w:tcPr>
            <w:tcW w:w="1540" w:type="pct"/>
            <w:shd w:val="clear" w:color="auto" w:fill="FFFFFF" w:themeFill="background1"/>
          </w:tcPr>
          <w:p w14:paraId="45EDA183" w14:textId="77777777" w:rsidR="005949C7" w:rsidRDefault="00000000">
            <w:pPr>
              <w:spacing w:line="360" w:lineRule="auto"/>
              <w:jc w:val="both"/>
              <w:rPr>
                <w:rFonts w:ascii="Book Antiqua" w:eastAsia="MyriadPro-Light" w:hAnsi="Book Antiqua"/>
              </w:rPr>
            </w:pPr>
            <w:r>
              <w:rPr>
                <w:rFonts w:ascii="Book Antiqua" w:eastAsia="MyriadPro-Light" w:hAnsi="Book Antiqua"/>
              </w:rPr>
              <w:t>25.56</w:t>
            </w:r>
          </w:p>
        </w:tc>
      </w:tr>
      <w:tr w:rsidR="005949C7" w14:paraId="3CF33961" w14:textId="77777777">
        <w:tc>
          <w:tcPr>
            <w:tcW w:w="2014" w:type="pct"/>
            <w:shd w:val="clear" w:color="auto" w:fill="FFFFFF" w:themeFill="background1"/>
          </w:tcPr>
          <w:p w14:paraId="3D3515CD" w14:textId="77777777" w:rsidR="005949C7" w:rsidRDefault="00000000">
            <w:pPr>
              <w:spacing w:line="360" w:lineRule="auto"/>
              <w:ind w:firstLineChars="100" w:firstLine="240"/>
              <w:jc w:val="both"/>
              <w:rPr>
                <w:rFonts w:ascii="Book Antiqua" w:eastAsia="MyriadPro-Light" w:hAnsi="Book Antiqua"/>
              </w:rPr>
            </w:pPr>
            <w:r>
              <w:rPr>
                <w:rFonts w:ascii="Book Antiqua" w:eastAsia="MyriadPro-Light" w:hAnsi="Book Antiqua"/>
              </w:rPr>
              <w:t>T2</w:t>
            </w:r>
          </w:p>
        </w:tc>
        <w:tc>
          <w:tcPr>
            <w:tcW w:w="1444" w:type="pct"/>
            <w:shd w:val="clear" w:color="auto" w:fill="FFFFFF" w:themeFill="background1"/>
          </w:tcPr>
          <w:p w14:paraId="38921CE9" w14:textId="77777777" w:rsidR="005949C7" w:rsidRDefault="00000000">
            <w:pPr>
              <w:spacing w:line="360" w:lineRule="auto"/>
              <w:jc w:val="both"/>
              <w:rPr>
                <w:rFonts w:ascii="Book Antiqua" w:eastAsia="MyriadPro-Light" w:hAnsi="Book Antiqua"/>
              </w:rPr>
            </w:pPr>
            <w:r>
              <w:rPr>
                <w:rFonts w:ascii="Book Antiqua" w:eastAsia="MyriadPro-Light" w:hAnsi="Book Antiqua"/>
              </w:rPr>
              <w:t>621</w:t>
            </w:r>
          </w:p>
        </w:tc>
        <w:tc>
          <w:tcPr>
            <w:tcW w:w="1540" w:type="pct"/>
            <w:shd w:val="clear" w:color="auto" w:fill="FFFFFF" w:themeFill="background1"/>
          </w:tcPr>
          <w:p w14:paraId="586BDC67" w14:textId="77777777" w:rsidR="005949C7" w:rsidRDefault="00000000">
            <w:pPr>
              <w:spacing w:line="360" w:lineRule="auto"/>
              <w:jc w:val="both"/>
              <w:rPr>
                <w:rFonts w:ascii="Book Antiqua" w:eastAsia="MyriadPro-Light" w:hAnsi="Book Antiqua"/>
              </w:rPr>
            </w:pPr>
            <w:r>
              <w:rPr>
                <w:rFonts w:ascii="Book Antiqua" w:eastAsia="MyriadPro-Light" w:hAnsi="Book Antiqua"/>
              </w:rPr>
              <w:t>57.93</w:t>
            </w:r>
          </w:p>
        </w:tc>
      </w:tr>
      <w:tr w:rsidR="005949C7" w14:paraId="231E9CF4" w14:textId="77777777">
        <w:tc>
          <w:tcPr>
            <w:tcW w:w="2014" w:type="pct"/>
            <w:shd w:val="clear" w:color="auto" w:fill="auto"/>
          </w:tcPr>
          <w:p w14:paraId="59ED0F89" w14:textId="77777777" w:rsidR="005949C7" w:rsidRDefault="00000000">
            <w:pPr>
              <w:spacing w:line="360" w:lineRule="auto"/>
              <w:ind w:firstLineChars="100" w:firstLine="240"/>
              <w:jc w:val="both"/>
              <w:rPr>
                <w:rFonts w:ascii="Book Antiqua" w:eastAsia="MyriadPro-Light" w:hAnsi="Book Antiqua"/>
              </w:rPr>
            </w:pPr>
            <w:r>
              <w:rPr>
                <w:rFonts w:ascii="Book Antiqua" w:eastAsia="MyriadPro-Light" w:hAnsi="Book Antiqua"/>
              </w:rPr>
              <w:t>T3</w:t>
            </w:r>
          </w:p>
        </w:tc>
        <w:tc>
          <w:tcPr>
            <w:tcW w:w="1444" w:type="pct"/>
            <w:shd w:val="clear" w:color="auto" w:fill="auto"/>
          </w:tcPr>
          <w:p w14:paraId="7679D7AD" w14:textId="77777777" w:rsidR="005949C7" w:rsidRDefault="00000000">
            <w:pPr>
              <w:spacing w:line="360" w:lineRule="auto"/>
              <w:jc w:val="both"/>
              <w:rPr>
                <w:rFonts w:ascii="Book Antiqua" w:eastAsia="MyriadPro-Light" w:hAnsi="Book Antiqua"/>
              </w:rPr>
            </w:pPr>
            <w:r>
              <w:rPr>
                <w:rFonts w:ascii="Book Antiqua" w:eastAsia="MyriadPro-Light" w:hAnsi="Book Antiqua"/>
              </w:rPr>
              <w:t>133</w:t>
            </w:r>
          </w:p>
        </w:tc>
        <w:tc>
          <w:tcPr>
            <w:tcW w:w="1540" w:type="pct"/>
            <w:shd w:val="clear" w:color="auto" w:fill="auto"/>
          </w:tcPr>
          <w:p w14:paraId="3B54110B" w14:textId="77777777" w:rsidR="005949C7" w:rsidRDefault="00000000">
            <w:pPr>
              <w:spacing w:line="360" w:lineRule="auto"/>
              <w:jc w:val="both"/>
              <w:rPr>
                <w:rFonts w:ascii="Book Antiqua" w:eastAsia="MyriadPro-Light" w:hAnsi="Book Antiqua"/>
              </w:rPr>
            </w:pPr>
            <w:r>
              <w:rPr>
                <w:rFonts w:ascii="Book Antiqua" w:eastAsia="MyriadPro-Light" w:hAnsi="Book Antiqua"/>
              </w:rPr>
              <w:t>12.41</w:t>
            </w:r>
          </w:p>
        </w:tc>
      </w:tr>
      <w:tr w:rsidR="005949C7" w14:paraId="3C77292F" w14:textId="77777777">
        <w:tc>
          <w:tcPr>
            <w:tcW w:w="2014" w:type="pct"/>
            <w:shd w:val="clear" w:color="auto" w:fill="auto"/>
          </w:tcPr>
          <w:p w14:paraId="6877FAD4" w14:textId="77777777" w:rsidR="005949C7" w:rsidRDefault="00000000">
            <w:pPr>
              <w:spacing w:line="360" w:lineRule="auto"/>
              <w:ind w:firstLineChars="100" w:firstLine="240"/>
              <w:jc w:val="both"/>
              <w:rPr>
                <w:rFonts w:ascii="Book Antiqua" w:eastAsia="MyriadPro-Light" w:hAnsi="Book Antiqua"/>
              </w:rPr>
            </w:pPr>
            <w:r>
              <w:rPr>
                <w:rFonts w:ascii="Book Antiqua" w:eastAsia="MyriadPro-Light" w:hAnsi="Book Antiqua"/>
              </w:rPr>
              <w:t>T4</w:t>
            </w:r>
          </w:p>
        </w:tc>
        <w:tc>
          <w:tcPr>
            <w:tcW w:w="1444" w:type="pct"/>
            <w:shd w:val="clear" w:color="auto" w:fill="auto"/>
          </w:tcPr>
          <w:p w14:paraId="5DDE8E13" w14:textId="77777777" w:rsidR="005949C7" w:rsidRDefault="00000000">
            <w:pPr>
              <w:spacing w:line="360" w:lineRule="auto"/>
              <w:jc w:val="both"/>
              <w:rPr>
                <w:rFonts w:ascii="Book Antiqua" w:eastAsia="MyriadPro-Light" w:hAnsi="Book Antiqua"/>
              </w:rPr>
            </w:pPr>
            <w:r>
              <w:rPr>
                <w:rFonts w:ascii="Book Antiqua" w:eastAsia="MyriadPro-Light" w:hAnsi="Book Antiqua"/>
              </w:rPr>
              <w:t>40</w:t>
            </w:r>
          </w:p>
        </w:tc>
        <w:tc>
          <w:tcPr>
            <w:tcW w:w="1540" w:type="pct"/>
            <w:shd w:val="clear" w:color="auto" w:fill="auto"/>
          </w:tcPr>
          <w:p w14:paraId="3DFD60CB" w14:textId="77777777" w:rsidR="005949C7" w:rsidRDefault="00000000">
            <w:pPr>
              <w:spacing w:line="360" w:lineRule="auto"/>
              <w:jc w:val="both"/>
              <w:rPr>
                <w:rFonts w:ascii="Book Antiqua" w:eastAsia="MyriadPro-Light" w:hAnsi="Book Antiqua"/>
              </w:rPr>
            </w:pPr>
            <w:r>
              <w:rPr>
                <w:rFonts w:ascii="Book Antiqua" w:eastAsia="MyriadPro-Light" w:hAnsi="Book Antiqua"/>
              </w:rPr>
              <w:t>3.73</w:t>
            </w:r>
          </w:p>
        </w:tc>
      </w:tr>
      <w:tr w:rsidR="005949C7" w14:paraId="39A1B9DF" w14:textId="77777777">
        <w:tc>
          <w:tcPr>
            <w:tcW w:w="2014" w:type="pct"/>
            <w:shd w:val="clear" w:color="auto" w:fill="auto"/>
          </w:tcPr>
          <w:p w14:paraId="4273B6F5" w14:textId="77777777" w:rsidR="005949C7" w:rsidRDefault="00000000">
            <w:pPr>
              <w:spacing w:line="360" w:lineRule="auto"/>
              <w:ind w:firstLineChars="100" w:firstLine="240"/>
              <w:jc w:val="both"/>
              <w:rPr>
                <w:rFonts w:ascii="Book Antiqua" w:eastAsia="MyriadPro-Light" w:hAnsi="Book Antiqua"/>
              </w:rPr>
            </w:pPr>
            <w:r>
              <w:rPr>
                <w:rFonts w:ascii="Book Antiqua" w:eastAsia="MyriadPro-Light" w:hAnsi="Book Antiqua"/>
              </w:rPr>
              <w:t>TX</w:t>
            </w:r>
          </w:p>
        </w:tc>
        <w:tc>
          <w:tcPr>
            <w:tcW w:w="1444" w:type="pct"/>
            <w:shd w:val="clear" w:color="auto" w:fill="auto"/>
          </w:tcPr>
          <w:p w14:paraId="6C3EA866" w14:textId="77777777" w:rsidR="005949C7" w:rsidRDefault="00000000">
            <w:pPr>
              <w:spacing w:line="360" w:lineRule="auto"/>
              <w:jc w:val="both"/>
              <w:rPr>
                <w:rFonts w:ascii="Book Antiqua" w:eastAsia="MyriadPro-Light" w:hAnsi="Book Antiqua"/>
              </w:rPr>
            </w:pPr>
            <w:r>
              <w:rPr>
                <w:rFonts w:ascii="Book Antiqua" w:eastAsia="MyriadPro-Light" w:hAnsi="Book Antiqua"/>
              </w:rPr>
              <w:t>4</w:t>
            </w:r>
          </w:p>
        </w:tc>
        <w:tc>
          <w:tcPr>
            <w:tcW w:w="1540" w:type="pct"/>
            <w:shd w:val="clear" w:color="auto" w:fill="auto"/>
          </w:tcPr>
          <w:p w14:paraId="3ACF3143" w14:textId="77777777" w:rsidR="005949C7" w:rsidRDefault="00000000">
            <w:pPr>
              <w:spacing w:line="360" w:lineRule="auto"/>
              <w:jc w:val="both"/>
              <w:rPr>
                <w:rFonts w:ascii="Book Antiqua" w:eastAsia="MyriadPro-Light" w:hAnsi="Book Antiqua"/>
              </w:rPr>
            </w:pPr>
            <w:r>
              <w:rPr>
                <w:rFonts w:ascii="Book Antiqua" w:eastAsia="MyriadPro-Light" w:hAnsi="Book Antiqua"/>
              </w:rPr>
              <w:t>0.37</w:t>
            </w:r>
          </w:p>
        </w:tc>
      </w:tr>
      <w:tr w:rsidR="005949C7" w14:paraId="49410E0E" w14:textId="77777777">
        <w:trPr>
          <w:trHeight w:val="340"/>
        </w:trPr>
        <w:tc>
          <w:tcPr>
            <w:tcW w:w="2014" w:type="pct"/>
            <w:shd w:val="clear" w:color="auto" w:fill="FFFFFF" w:themeFill="background1"/>
          </w:tcPr>
          <w:p w14:paraId="0C647462" w14:textId="77777777" w:rsidR="005949C7" w:rsidRDefault="00000000">
            <w:pPr>
              <w:spacing w:line="360" w:lineRule="auto"/>
              <w:jc w:val="both"/>
              <w:rPr>
                <w:rFonts w:ascii="Book Antiqua" w:eastAsia="MyriadPro-Light" w:hAnsi="Book Antiqua"/>
              </w:rPr>
            </w:pPr>
            <w:r>
              <w:rPr>
                <w:rFonts w:ascii="Book Antiqua" w:eastAsia="MyriadPro-Light" w:hAnsi="Book Antiqua"/>
              </w:rPr>
              <w:t>Pathologic-N</w:t>
            </w:r>
          </w:p>
        </w:tc>
        <w:tc>
          <w:tcPr>
            <w:tcW w:w="1444" w:type="pct"/>
            <w:shd w:val="clear" w:color="auto" w:fill="FFFFFF" w:themeFill="background1"/>
          </w:tcPr>
          <w:p w14:paraId="04D19B50" w14:textId="77777777" w:rsidR="005949C7" w:rsidRDefault="005949C7">
            <w:pPr>
              <w:spacing w:line="360" w:lineRule="auto"/>
              <w:jc w:val="both"/>
              <w:rPr>
                <w:rFonts w:ascii="Book Antiqua" w:eastAsia="MyriadPro-Light" w:hAnsi="Book Antiqua"/>
              </w:rPr>
            </w:pPr>
          </w:p>
        </w:tc>
        <w:tc>
          <w:tcPr>
            <w:tcW w:w="1540" w:type="pct"/>
            <w:shd w:val="clear" w:color="auto" w:fill="FFFFFF" w:themeFill="background1"/>
          </w:tcPr>
          <w:p w14:paraId="783FF904" w14:textId="77777777" w:rsidR="005949C7" w:rsidRDefault="005949C7">
            <w:pPr>
              <w:spacing w:line="360" w:lineRule="auto"/>
              <w:jc w:val="both"/>
              <w:rPr>
                <w:rFonts w:ascii="Book Antiqua" w:eastAsia="MyriadPro-Light" w:hAnsi="Book Antiqua"/>
              </w:rPr>
            </w:pPr>
          </w:p>
        </w:tc>
      </w:tr>
      <w:tr w:rsidR="005949C7" w14:paraId="529C731B" w14:textId="77777777">
        <w:trPr>
          <w:trHeight w:val="330"/>
        </w:trPr>
        <w:tc>
          <w:tcPr>
            <w:tcW w:w="2014" w:type="pct"/>
            <w:shd w:val="clear" w:color="auto" w:fill="FFFFFF" w:themeFill="background1"/>
          </w:tcPr>
          <w:p w14:paraId="5FC515D0" w14:textId="77777777" w:rsidR="005949C7" w:rsidRDefault="00000000">
            <w:pPr>
              <w:spacing w:line="360" w:lineRule="auto"/>
              <w:ind w:firstLineChars="100" w:firstLine="240"/>
              <w:jc w:val="both"/>
              <w:rPr>
                <w:rFonts w:ascii="Book Antiqua" w:eastAsia="MyriadPro-Light" w:hAnsi="Book Antiqua"/>
              </w:rPr>
            </w:pPr>
            <w:r>
              <w:rPr>
                <w:rFonts w:ascii="Book Antiqua" w:eastAsia="MyriadPro-Light" w:hAnsi="Book Antiqua"/>
              </w:rPr>
              <w:t>N0</w:t>
            </w:r>
          </w:p>
        </w:tc>
        <w:tc>
          <w:tcPr>
            <w:tcW w:w="1444" w:type="pct"/>
            <w:shd w:val="clear" w:color="auto" w:fill="FFFFFF" w:themeFill="background1"/>
          </w:tcPr>
          <w:p w14:paraId="26E2A787" w14:textId="77777777" w:rsidR="005949C7" w:rsidRDefault="00000000">
            <w:pPr>
              <w:spacing w:line="360" w:lineRule="auto"/>
              <w:jc w:val="both"/>
              <w:rPr>
                <w:rFonts w:ascii="Book Antiqua" w:eastAsia="MyriadPro-Light" w:hAnsi="Book Antiqua"/>
              </w:rPr>
            </w:pPr>
            <w:r>
              <w:rPr>
                <w:rFonts w:ascii="Book Antiqua" w:eastAsia="MyriadPro-Light" w:hAnsi="Book Antiqua"/>
              </w:rPr>
              <w:t>502</w:t>
            </w:r>
          </w:p>
        </w:tc>
        <w:tc>
          <w:tcPr>
            <w:tcW w:w="1540" w:type="pct"/>
            <w:shd w:val="clear" w:color="auto" w:fill="FFFFFF" w:themeFill="background1"/>
          </w:tcPr>
          <w:p w14:paraId="6041AD26" w14:textId="77777777" w:rsidR="005949C7" w:rsidRDefault="00000000">
            <w:pPr>
              <w:spacing w:line="360" w:lineRule="auto"/>
              <w:jc w:val="both"/>
              <w:rPr>
                <w:rFonts w:ascii="Book Antiqua" w:eastAsia="MyriadPro-Light" w:hAnsi="Book Antiqua"/>
              </w:rPr>
            </w:pPr>
            <w:r>
              <w:rPr>
                <w:rFonts w:ascii="Book Antiqua" w:eastAsia="MyriadPro-Light" w:hAnsi="Book Antiqua"/>
              </w:rPr>
              <w:t>46.83</w:t>
            </w:r>
          </w:p>
        </w:tc>
      </w:tr>
      <w:tr w:rsidR="005949C7" w14:paraId="5CE33A9F" w14:textId="77777777">
        <w:trPr>
          <w:trHeight w:val="354"/>
        </w:trPr>
        <w:tc>
          <w:tcPr>
            <w:tcW w:w="2014" w:type="pct"/>
            <w:shd w:val="clear" w:color="auto" w:fill="FFFFFF" w:themeFill="background1"/>
          </w:tcPr>
          <w:p w14:paraId="56F8A6A7" w14:textId="77777777" w:rsidR="005949C7" w:rsidRDefault="00000000">
            <w:pPr>
              <w:spacing w:line="360" w:lineRule="auto"/>
              <w:ind w:firstLineChars="100" w:firstLine="240"/>
              <w:jc w:val="both"/>
              <w:rPr>
                <w:rFonts w:ascii="Book Antiqua" w:eastAsia="MyriadPro-Light" w:hAnsi="Book Antiqua"/>
              </w:rPr>
            </w:pPr>
            <w:r>
              <w:rPr>
                <w:rFonts w:ascii="Book Antiqua" w:eastAsia="MyriadPro-Light" w:hAnsi="Book Antiqua"/>
              </w:rPr>
              <w:t>N1</w:t>
            </w:r>
          </w:p>
        </w:tc>
        <w:tc>
          <w:tcPr>
            <w:tcW w:w="1444" w:type="pct"/>
            <w:shd w:val="clear" w:color="auto" w:fill="FFFFFF" w:themeFill="background1"/>
          </w:tcPr>
          <w:p w14:paraId="1C1E3853" w14:textId="77777777" w:rsidR="005949C7" w:rsidRDefault="00000000">
            <w:pPr>
              <w:spacing w:line="360" w:lineRule="auto"/>
              <w:jc w:val="both"/>
              <w:rPr>
                <w:rFonts w:ascii="Book Antiqua" w:eastAsia="MyriadPro-Light" w:hAnsi="Book Antiqua"/>
              </w:rPr>
            </w:pPr>
            <w:r>
              <w:rPr>
                <w:rFonts w:ascii="Book Antiqua" w:eastAsia="MyriadPro-Light" w:hAnsi="Book Antiqua"/>
              </w:rPr>
              <w:t>355</w:t>
            </w:r>
          </w:p>
        </w:tc>
        <w:tc>
          <w:tcPr>
            <w:tcW w:w="1540" w:type="pct"/>
            <w:shd w:val="clear" w:color="auto" w:fill="FFFFFF" w:themeFill="background1"/>
          </w:tcPr>
          <w:p w14:paraId="4E6391F5" w14:textId="77777777" w:rsidR="005949C7" w:rsidRDefault="00000000">
            <w:pPr>
              <w:spacing w:line="360" w:lineRule="auto"/>
              <w:jc w:val="both"/>
              <w:rPr>
                <w:rFonts w:ascii="Book Antiqua" w:eastAsia="MyriadPro-Light" w:hAnsi="Book Antiqua"/>
              </w:rPr>
            </w:pPr>
            <w:r>
              <w:rPr>
                <w:rFonts w:ascii="Book Antiqua" w:eastAsia="MyriadPro-Light" w:hAnsi="Book Antiqua"/>
              </w:rPr>
              <w:t>33.12</w:t>
            </w:r>
          </w:p>
        </w:tc>
      </w:tr>
      <w:tr w:rsidR="005949C7" w14:paraId="2DB7872D" w14:textId="77777777">
        <w:trPr>
          <w:trHeight w:val="322"/>
        </w:trPr>
        <w:tc>
          <w:tcPr>
            <w:tcW w:w="2014" w:type="pct"/>
            <w:shd w:val="clear" w:color="auto" w:fill="FFFFFF" w:themeFill="background1"/>
          </w:tcPr>
          <w:p w14:paraId="144CBEB4" w14:textId="77777777" w:rsidR="005949C7" w:rsidRDefault="00000000">
            <w:pPr>
              <w:spacing w:line="360" w:lineRule="auto"/>
              <w:ind w:firstLineChars="100" w:firstLine="240"/>
              <w:jc w:val="both"/>
              <w:rPr>
                <w:rFonts w:ascii="Book Antiqua" w:eastAsia="MyriadPro-Light" w:hAnsi="Book Antiqua"/>
              </w:rPr>
            </w:pPr>
            <w:r>
              <w:rPr>
                <w:rFonts w:ascii="Book Antiqua" w:eastAsia="MyriadPro-Light" w:hAnsi="Book Antiqua"/>
              </w:rPr>
              <w:t>N2</w:t>
            </w:r>
          </w:p>
        </w:tc>
        <w:tc>
          <w:tcPr>
            <w:tcW w:w="1444" w:type="pct"/>
            <w:shd w:val="clear" w:color="auto" w:fill="FFFFFF" w:themeFill="background1"/>
          </w:tcPr>
          <w:p w14:paraId="5F3CCA2B" w14:textId="77777777" w:rsidR="005949C7" w:rsidRDefault="00000000">
            <w:pPr>
              <w:spacing w:line="360" w:lineRule="auto"/>
              <w:jc w:val="both"/>
              <w:rPr>
                <w:rFonts w:ascii="Book Antiqua" w:eastAsia="MyriadPro-Light" w:hAnsi="Book Antiqua"/>
              </w:rPr>
            </w:pPr>
            <w:r>
              <w:rPr>
                <w:rFonts w:ascii="Book Antiqua" w:eastAsia="MyriadPro-Light" w:hAnsi="Book Antiqua"/>
              </w:rPr>
              <w:t>118</w:t>
            </w:r>
          </w:p>
        </w:tc>
        <w:tc>
          <w:tcPr>
            <w:tcW w:w="1540" w:type="pct"/>
            <w:shd w:val="clear" w:color="auto" w:fill="FFFFFF" w:themeFill="background1"/>
          </w:tcPr>
          <w:p w14:paraId="3A24B81A" w14:textId="77777777" w:rsidR="005949C7" w:rsidRDefault="00000000">
            <w:pPr>
              <w:spacing w:line="360" w:lineRule="auto"/>
              <w:jc w:val="both"/>
              <w:rPr>
                <w:rFonts w:ascii="Book Antiqua" w:eastAsia="MyriadPro-Light" w:hAnsi="Book Antiqua"/>
              </w:rPr>
            </w:pPr>
            <w:r>
              <w:rPr>
                <w:rFonts w:ascii="Book Antiqua" w:eastAsia="MyriadPro-Light" w:hAnsi="Book Antiqua"/>
              </w:rPr>
              <w:t>11.01</w:t>
            </w:r>
          </w:p>
        </w:tc>
      </w:tr>
      <w:tr w:rsidR="005949C7" w14:paraId="25A60FC8" w14:textId="77777777">
        <w:trPr>
          <w:trHeight w:val="370"/>
        </w:trPr>
        <w:tc>
          <w:tcPr>
            <w:tcW w:w="2014" w:type="pct"/>
            <w:shd w:val="clear" w:color="auto" w:fill="FFFFFF" w:themeFill="background1"/>
          </w:tcPr>
          <w:p w14:paraId="74C998FE" w14:textId="77777777" w:rsidR="005949C7" w:rsidRDefault="00000000">
            <w:pPr>
              <w:spacing w:line="360" w:lineRule="auto"/>
              <w:ind w:firstLineChars="100" w:firstLine="240"/>
              <w:jc w:val="both"/>
              <w:rPr>
                <w:rFonts w:ascii="Book Antiqua" w:eastAsia="MyriadPro-Light" w:hAnsi="Book Antiqua"/>
              </w:rPr>
            </w:pPr>
            <w:r>
              <w:rPr>
                <w:rFonts w:ascii="Book Antiqua" w:eastAsia="MyriadPro-Light" w:hAnsi="Book Antiqua"/>
              </w:rPr>
              <w:t>N3</w:t>
            </w:r>
          </w:p>
        </w:tc>
        <w:tc>
          <w:tcPr>
            <w:tcW w:w="1444" w:type="pct"/>
            <w:shd w:val="clear" w:color="auto" w:fill="FFFFFF" w:themeFill="background1"/>
          </w:tcPr>
          <w:p w14:paraId="74FF4BB2" w14:textId="77777777" w:rsidR="005949C7" w:rsidRDefault="00000000">
            <w:pPr>
              <w:spacing w:line="360" w:lineRule="auto"/>
              <w:jc w:val="both"/>
              <w:rPr>
                <w:rFonts w:ascii="Book Antiqua" w:eastAsia="MyriadPro-Light" w:hAnsi="Book Antiqua"/>
              </w:rPr>
            </w:pPr>
            <w:r>
              <w:rPr>
                <w:rFonts w:ascii="Book Antiqua" w:eastAsia="MyriadPro-Light" w:hAnsi="Book Antiqua"/>
              </w:rPr>
              <w:t>76</w:t>
            </w:r>
          </w:p>
        </w:tc>
        <w:tc>
          <w:tcPr>
            <w:tcW w:w="1540" w:type="pct"/>
            <w:shd w:val="clear" w:color="auto" w:fill="FFFFFF" w:themeFill="background1"/>
          </w:tcPr>
          <w:p w14:paraId="0107DC96" w14:textId="77777777" w:rsidR="005949C7" w:rsidRDefault="00000000">
            <w:pPr>
              <w:spacing w:line="360" w:lineRule="auto"/>
              <w:jc w:val="both"/>
              <w:rPr>
                <w:rFonts w:ascii="Book Antiqua" w:eastAsia="MyriadPro-Light" w:hAnsi="Book Antiqua"/>
              </w:rPr>
            </w:pPr>
            <w:r>
              <w:rPr>
                <w:rFonts w:ascii="Book Antiqua" w:eastAsia="MyriadPro-Light" w:hAnsi="Book Antiqua"/>
              </w:rPr>
              <w:t>7.08</w:t>
            </w:r>
          </w:p>
        </w:tc>
      </w:tr>
      <w:tr w:rsidR="005949C7" w14:paraId="462CAE02" w14:textId="77777777">
        <w:trPr>
          <w:trHeight w:val="386"/>
        </w:trPr>
        <w:tc>
          <w:tcPr>
            <w:tcW w:w="2014" w:type="pct"/>
            <w:shd w:val="clear" w:color="auto" w:fill="FFFFFF" w:themeFill="background1"/>
          </w:tcPr>
          <w:p w14:paraId="6EB8225A" w14:textId="77777777" w:rsidR="005949C7" w:rsidRDefault="00000000">
            <w:pPr>
              <w:spacing w:line="360" w:lineRule="auto"/>
              <w:ind w:firstLineChars="100" w:firstLine="240"/>
              <w:jc w:val="both"/>
              <w:rPr>
                <w:rFonts w:ascii="Book Antiqua" w:eastAsia="MyriadPro-Light" w:hAnsi="Book Antiqua"/>
              </w:rPr>
            </w:pPr>
            <w:r>
              <w:rPr>
                <w:rFonts w:ascii="Book Antiqua" w:eastAsia="MyriadPro-Light" w:hAnsi="Book Antiqua"/>
              </w:rPr>
              <w:t>NA</w:t>
            </w:r>
          </w:p>
        </w:tc>
        <w:tc>
          <w:tcPr>
            <w:tcW w:w="1444" w:type="pct"/>
            <w:shd w:val="clear" w:color="auto" w:fill="FFFFFF" w:themeFill="background1"/>
          </w:tcPr>
          <w:p w14:paraId="290AD2F7" w14:textId="77777777" w:rsidR="005949C7" w:rsidRDefault="00000000">
            <w:pPr>
              <w:spacing w:line="360" w:lineRule="auto"/>
              <w:jc w:val="both"/>
              <w:rPr>
                <w:rFonts w:ascii="Book Antiqua" w:eastAsia="MyriadPro-Light" w:hAnsi="Book Antiqua"/>
              </w:rPr>
            </w:pPr>
            <w:r>
              <w:rPr>
                <w:rFonts w:ascii="Book Antiqua" w:eastAsia="MyriadPro-Light" w:hAnsi="Book Antiqua"/>
              </w:rPr>
              <w:t>21</w:t>
            </w:r>
          </w:p>
        </w:tc>
        <w:tc>
          <w:tcPr>
            <w:tcW w:w="1540" w:type="pct"/>
            <w:shd w:val="clear" w:color="auto" w:fill="FFFFFF" w:themeFill="background1"/>
          </w:tcPr>
          <w:p w14:paraId="1F4C1E21" w14:textId="77777777" w:rsidR="005949C7" w:rsidRDefault="00000000">
            <w:pPr>
              <w:spacing w:line="360" w:lineRule="auto"/>
              <w:jc w:val="both"/>
              <w:rPr>
                <w:rFonts w:ascii="Book Antiqua" w:eastAsia="MyriadPro-Light" w:hAnsi="Book Antiqua"/>
              </w:rPr>
            </w:pPr>
            <w:r>
              <w:rPr>
                <w:rFonts w:ascii="Book Antiqua" w:eastAsia="MyriadPro-Light" w:hAnsi="Book Antiqua"/>
              </w:rPr>
              <w:t>1.96</w:t>
            </w:r>
          </w:p>
        </w:tc>
      </w:tr>
      <w:tr w:rsidR="005949C7" w14:paraId="18D2E0F6" w14:textId="77777777">
        <w:tc>
          <w:tcPr>
            <w:tcW w:w="2014" w:type="pct"/>
            <w:shd w:val="clear" w:color="auto" w:fill="auto"/>
          </w:tcPr>
          <w:p w14:paraId="3B1C4A49" w14:textId="77777777" w:rsidR="005949C7" w:rsidRDefault="00000000">
            <w:pPr>
              <w:spacing w:line="360" w:lineRule="auto"/>
              <w:jc w:val="both"/>
              <w:rPr>
                <w:rFonts w:ascii="Book Antiqua" w:eastAsia="MyriadPro-Light" w:hAnsi="Book Antiqua"/>
              </w:rPr>
            </w:pPr>
            <w:r>
              <w:rPr>
                <w:rFonts w:ascii="Book Antiqua" w:eastAsia="MyriadPro-Light" w:hAnsi="Book Antiqua"/>
              </w:rPr>
              <w:t>Pathologic-M</w:t>
            </w:r>
          </w:p>
        </w:tc>
        <w:tc>
          <w:tcPr>
            <w:tcW w:w="1444" w:type="pct"/>
            <w:shd w:val="clear" w:color="auto" w:fill="auto"/>
          </w:tcPr>
          <w:p w14:paraId="475A97E7" w14:textId="77777777" w:rsidR="005949C7" w:rsidRDefault="005949C7">
            <w:pPr>
              <w:spacing w:line="360" w:lineRule="auto"/>
              <w:jc w:val="both"/>
              <w:rPr>
                <w:rFonts w:ascii="Book Antiqua" w:eastAsia="MyriadPro-Light" w:hAnsi="Book Antiqua"/>
              </w:rPr>
            </w:pPr>
          </w:p>
        </w:tc>
        <w:tc>
          <w:tcPr>
            <w:tcW w:w="1540" w:type="pct"/>
            <w:shd w:val="clear" w:color="auto" w:fill="auto"/>
          </w:tcPr>
          <w:p w14:paraId="79825A66" w14:textId="77777777" w:rsidR="005949C7" w:rsidRDefault="005949C7">
            <w:pPr>
              <w:spacing w:line="360" w:lineRule="auto"/>
              <w:jc w:val="both"/>
              <w:rPr>
                <w:rFonts w:ascii="Book Antiqua" w:eastAsia="MyriadPro-Light" w:hAnsi="Book Antiqua"/>
              </w:rPr>
            </w:pPr>
          </w:p>
        </w:tc>
      </w:tr>
      <w:tr w:rsidR="005949C7" w14:paraId="6A6972CD" w14:textId="77777777">
        <w:tc>
          <w:tcPr>
            <w:tcW w:w="2014" w:type="pct"/>
            <w:shd w:val="clear" w:color="auto" w:fill="auto"/>
          </w:tcPr>
          <w:p w14:paraId="6D0CF20A" w14:textId="77777777" w:rsidR="005949C7" w:rsidRDefault="00000000">
            <w:pPr>
              <w:spacing w:line="360" w:lineRule="auto"/>
              <w:ind w:firstLineChars="100" w:firstLine="240"/>
              <w:jc w:val="both"/>
              <w:rPr>
                <w:rFonts w:ascii="Book Antiqua" w:eastAsia="MyriadPro-Light" w:hAnsi="Book Antiqua"/>
              </w:rPr>
            </w:pPr>
            <w:r>
              <w:rPr>
                <w:rFonts w:ascii="Book Antiqua" w:eastAsia="MyriadPro-Light" w:hAnsi="Book Antiqua"/>
              </w:rPr>
              <w:t>M0</w:t>
            </w:r>
          </w:p>
        </w:tc>
        <w:tc>
          <w:tcPr>
            <w:tcW w:w="1444" w:type="pct"/>
            <w:shd w:val="clear" w:color="auto" w:fill="auto"/>
          </w:tcPr>
          <w:p w14:paraId="24AE5E13" w14:textId="77777777" w:rsidR="005949C7" w:rsidRDefault="00000000">
            <w:pPr>
              <w:spacing w:line="360" w:lineRule="auto"/>
              <w:jc w:val="both"/>
              <w:rPr>
                <w:rFonts w:ascii="Book Antiqua" w:eastAsia="MyriadPro-Light" w:hAnsi="Book Antiqua"/>
              </w:rPr>
            </w:pPr>
            <w:r>
              <w:rPr>
                <w:rFonts w:ascii="Book Antiqua" w:eastAsia="MyriadPro-Light" w:hAnsi="Book Antiqua"/>
              </w:rPr>
              <w:t>896</w:t>
            </w:r>
          </w:p>
        </w:tc>
        <w:tc>
          <w:tcPr>
            <w:tcW w:w="1540" w:type="pct"/>
            <w:shd w:val="clear" w:color="auto" w:fill="auto"/>
          </w:tcPr>
          <w:p w14:paraId="505BBCDE" w14:textId="77777777" w:rsidR="005949C7" w:rsidRDefault="00000000">
            <w:pPr>
              <w:spacing w:line="360" w:lineRule="auto"/>
              <w:jc w:val="both"/>
              <w:rPr>
                <w:rFonts w:ascii="Book Antiqua" w:eastAsia="MyriadPro-Light" w:hAnsi="Book Antiqua"/>
              </w:rPr>
            </w:pPr>
            <w:r>
              <w:rPr>
                <w:rFonts w:ascii="Book Antiqua" w:eastAsia="MyriadPro-Light" w:hAnsi="Book Antiqua"/>
              </w:rPr>
              <w:t>83.58</w:t>
            </w:r>
          </w:p>
        </w:tc>
      </w:tr>
      <w:tr w:rsidR="005949C7" w14:paraId="1019EBC9" w14:textId="77777777">
        <w:trPr>
          <w:trHeight w:val="290"/>
        </w:trPr>
        <w:tc>
          <w:tcPr>
            <w:tcW w:w="2014" w:type="pct"/>
            <w:shd w:val="clear" w:color="auto" w:fill="auto"/>
          </w:tcPr>
          <w:p w14:paraId="6A6620B9" w14:textId="77777777" w:rsidR="005949C7" w:rsidRDefault="00000000">
            <w:pPr>
              <w:spacing w:line="360" w:lineRule="auto"/>
              <w:ind w:firstLineChars="100" w:firstLine="240"/>
              <w:jc w:val="both"/>
              <w:rPr>
                <w:rFonts w:ascii="Book Antiqua" w:eastAsia="MyriadPro-Light" w:hAnsi="Book Antiqua"/>
              </w:rPr>
            </w:pPr>
            <w:r>
              <w:rPr>
                <w:rFonts w:ascii="Book Antiqua" w:eastAsia="MyriadPro-Light" w:hAnsi="Book Antiqua"/>
              </w:rPr>
              <w:t>M1</w:t>
            </w:r>
          </w:p>
        </w:tc>
        <w:tc>
          <w:tcPr>
            <w:tcW w:w="1444" w:type="pct"/>
            <w:shd w:val="clear" w:color="auto" w:fill="auto"/>
          </w:tcPr>
          <w:p w14:paraId="6B025BE1" w14:textId="77777777" w:rsidR="005949C7" w:rsidRDefault="00000000">
            <w:pPr>
              <w:spacing w:line="360" w:lineRule="auto"/>
              <w:jc w:val="both"/>
              <w:rPr>
                <w:rFonts w:ascii="Book Antiqua" w:eastAsia="MyriadPro-Light" w:hAnsi="Book Antiqua"/>
              </w:rPr>
            </w:pPr>
            <w:r>
              <w:rPr>
                <w:rFonts w:ascii="Book Antiqua" w:eastAsia="MyriadPro-Light" w:hAnsi="Book Antiqua"/>
              </w:rPr>
              <w:t>22</w:t>
            </w:r>
          </w:p>
        </w:tc>
        <w:tc>
          <w:tcPr>
            <w:tcW w:w="1540" w:type="pct"/>
            <w:shd w:val="clear" w:color="auto" w:fill="auto"/>
          </w:tcPr>
          <w:p w14:paraId="548BBE8C" w14:textId="77777777" w:rsidR="005949C7" w:rsidRDefault="00000000">
            <w:pPr>
              <w:spacing w:line="360" w:lineRule="auto"/>
              <w:jc w:val="both"/>
              <w:rPr>
                <w:rFonts w:ascii="Book Antiqua" w:eastAsia="MyriadPro-Light" w:hAnsi="Book Antiqua"/>
              </w:rPr>
            </w:pPr>
            <w:r>
              <w:rPr>
                <w:rFonts w:ascii="Book Antiqua" w:eastAsia="MyriadPro-Light" w:hAnsi="Book Antiqua"/>
              </w:rPr>
              <w:t>2.05</w:t>
            </w:r>
          </w:p>
        </w:tc>
      </w:tr>
      <w:tr w:rsidR="005949C7" w14:paraId="0B8DAFF8" w14:textId="77777777">
        <w:trPr>
          <w:trHeight w:val="350"/>
        </w:trPr>
        <w:tc>
          <w:tcPr>
            <w:tcW w:w="2014" w:type="pct"/>
            <w:shd w:val="clear" w:color="auto" w:fill="auto"/>
          </w:tcPr>
          <w:p w14:paraId="4D773936" w14:textId="77777777" w:rsidR="005949C7" w:rsidRDefault="00000000">
            <w:pPr>
              <w:spacing w:line="360" w:lineRule="auto"/>
              <w:ind w:firstLineChars="100" w:firstLine="240"/>
              <w:jc w:val="both"/>
              <w:rPr>
                <w:rFonts w:ascii="Book Antiqua" w:eastAsia="MyriadPro-Light" w:hAnsi="Book Antiqua"/>
              </w:rPr>
            </w:pPr>
            <w:r>
              <w:rPr>
                <w:rFonts w:ascii="Book Antiqua" w:eastAsia="MyriadPro-Light" w:hAnsi="Book Antiqua"/>
              </w:rPr>
              <w:t>NA</w:t>
            </w:r>
          </w:p>
        </w:tc>
        <w:tc>
          <w:tcPr>
            <w:tcW w:w="1444" w:type="pct"/>
            <w:shd w:val="clear" w:color="auto" w:fill="auto"/>
          </w:tcPr>
          <w:p w14:paraId="71DAB97C" w14:textId="77777777" w:rsidR="005949C7" w:rsidRDefault="00000000">
            <w:pPr>
              <w:spacing w:line="360" w:lineRule="auto"/>
              <w:jc w:val="both"/>
              <w:rPr>
                <w:rFonts w:ascii="Book Antiqua" w:eastAsia="MyriadPro-Light" w:hAnsi="Book Antiqua"/>
              </w:rPr>
            </w:pPr>
            <w:r>
              <w:rPr>
                <w:rFonts w:ascii="Book Antiqua" w:eastAsia="MyriadPro-Light" w:hAnsi="Book Antiqua"/>
              </w:rPr>
              <w:t>154</w:t>
            </w:r>
          </w:p>
        </w:tc>
        <w:tc>
          <w:tcPr>
            <w:tcW w:w="1540" w:type="pct"/>
            <w:shd w:val="clear" w:color="auto" w:fill="auto"/>
          </w:tcPr>
          <w:p w14:paraId="6F0AC753" w14:textId="77777777" w:rsidR="005949C7" w:rsidRDefault="00000000">
            <w:pPr>
              <w:spacing w:line="360" w:lineRule="auto"/>
              <w:jc w:val="both"/>
              <w:rPr>
                <w:rFonts w:ascii="Book Antiqua" w:eastAsia="MyriadPro-Light" w:hAnsi="Book Antiqua"/>
              </w:rPr>
            </w:pPr>
            <w:r>
              <w:rPr>
                <w:rFonts w:ascii="Book Antiqua" w:eastAsia="MyriadPro-Light" w:hAnsi="Book Antiqua"/>
              </w:rPr>
              <w:t>14.37</w:t>
            </w:r>
          </w:p>
        </w:tc>
      </w:tr>
      <w:tr w:rsidR="005949C7" w14:paraId="4A18511B" w14:textId="77777777">
        <w:trPr>
          <w:trHeight w:val="370"/>
        </w:trPr>
        <w:tc>
          <w:tcPr>
            <w:tcW w:w="2014" w:type="pct"/>
            <w:shd w:val="clear" w:color="auto" w:fill="auto"/>
          </w:tcPr>
          <w:p w14:paraId="55A47776" w14:textId="77777777" w:rsidR="005949C7" w:rsidRDefault="00000000">
            <w:pPr>
              <w:spacing w:line="360" w:lineRule="auto"/>
              <w:ind w:firstLineChars="100" w:firstLine="240"/>
              <w:jc w:val="both"/>
              <w:rPr>
                <w:rFonts w:ascii="Book Antiqua" w:eastAsia="MyriadPro-Light" w:hAnsi="Book Antiqua"/>
              </w:rPr>
            </w:pPr>
            <w:r>
              <w:rPr>
                <w:rFonts w:ascii="Book Antiqua" w:eastAsia="MyriadPro-Light" w:hAnsi="Book Antiqua"/>
              </w:rPr>
              <w:t>Stage</w:t>
            </w:r>
          </w:p>
        </w:tc>
        <w:tc>
          <w:tcPr>
            <w:tcW w:w="1444" w:type="pct"/>
            <w:shd w:val="clear" w:color="auto" w:fill="auto"/>
          </w:tcPr>
          <w:p w14:paraId="2187D6D1" w14:textId="77777777" w:rsidR="005949C7" w:rsidRDefault="005949C7">
            <w:pPr>
              <w:spacing w:line="360" w:lineRule="auto"/>
              <w:jc w:val="both"/>
              <w:rPr>
                <w:rFonts w:ascii="Book Antiqua" w:eastAsia="MyriadPro-Light" w:hAnsi="Book Antiqua"/>
              </w:rPr>
            </w:pPr>
          </w:p>
        </w:tc>
        <w:tc>
          <w:tcPr>
            <w:tcW w:w="1540" w:type="pct"/>
            <w:shd w:val="clear" w:color="auto" w:fill="auto"/>
          </w:tcPr>
          <w:p w14:paraId="7348C772" w14:textId="77777777" w:rsidR="005949C7" w:rsidRDefault="005949C7">
            <w:pPr>
              <w:spacing w:line="360" w:lineRule="auto"/>
              <w:ind w:firstLineChars="400" w:firstLine="960"/>
              <w:jc w:val="both"/>
              <w:rPr>
                <w:rFonts w:ascii="Book Antiqua" w:eastAsia="MyriadPro-Light" w:hAnsi="Book Antiqua"/>
              </w:rPr>
            </w:pPr>
          </w:p>
        </w:tc>
      </w:tr>
      <w:tr w:rsidR="005949C7" w14:paraId="43CC9C4F" w14:textId="77777777">
        <w:trPr>
          <w:trHeight w:val="390"/>
        </w:trPr>
        <w:tc>
          <w:tcPr>
            <w:tcW w:w="2014" w:type="pct"/>
            <w:shd w:val="clear" w:color="auto" w:fill="auto"/>
          </w:tcPr>
          <w:p w14:paraId="21EC59D8" w14:textId="77777777" w:rsidR="005949C7" w:rsidRDefault="00000000">
            <w:pPr>
              <w:spacing w:line="360" w:lineRule="auto"/>
              <w:ind w:firstLineChars="100" w:firstLine="240"/>
              <w:jc w:val="both"/>
              <w:rPr>
                <w:rFonts w:ascii="Book Antiqua" w:eastAsia="MyriadPro-Light" w:hAnsi="Book Antiqua"/>
              </w:rPr>
            </w:pPr>
            <w:r>
              <w:rPr>
                <w:rFonts w:ascii="Book Antiqua" w:eastAsia="MyriadPro-Light" w:hAnsi="Book Antiqua"/>
              </w:rPr>
              <w:t>Stage I</w:t>
            </w:r>
          </w:p>
        </w:tc>
        <w:tc>
          <w:tcPr>
            <w:tcW w:w="1444" w:type="pct"/>
            <w:shd w:val="clear" w:color="auto" w:fill="auto"/>
          </w:tcPr>
          <w:p w14:paraId="033F6F91" w14:textId="77777777" w:rsidR="005949C7" w:rsidRDefault="00000000">
            <w:pPr>
              <w:spacing w:line="360" w:lineRule="auto"/>
              <w:jc w:val="both"/>
              <w:rPr>
                <w:rFonts w:ascii="Book Antiqua" w:eastAsia="MyriadPro-Light" w:hAnsi="Book Antiqua"/>
              </w:rPr>
            </w:pPr>
            <w:r>
              <w:rPr>
                <w:rFonts w:ascii="Book Antiqua" w:eastAsia="MyriadPro-Light" w:hAnsi="Book Antiqua"/>
              </w:rPr>
              <w:t>176</w:t>
            </w:r>
          </w:p>
        </w:tc>
        <w:tc>
          <w:tcPr>
            <w:tcW w:w="1540" w:type="pct"/>
            <w:shd w:val="clear" w:color="auto" w:fill="auto"/>
          </w:tcPr>
          <w:p w14:paraId="33A7B4B7" w14:textId="77777777" w:rsidR="005949C7" w:rsidRDefault="00000000">
            <w:pPr>
              <w:spacing w:line="360" w:lineRule="auto"/>
              <w:jc w:val="both"/>
              <w:rPr>
                <w:rFonts w:ascii="Book Antiqua" w:eastAsia="MyriadPro-Light" w:hAnsi="Book Antiqua"/>
              </w:rPr>
            </w:pPr>
            <w:r>
              <w:rPr>
                <w:rFonts w:ascii="Book Antiqua" w:eastAsia="MyriadPro-Light" w:hAnsi="Book Antiqua"/>
              </w:rPr>
              <w:t>16.41</w:t>
            </w:r>
          </w:p>
        </w:tc>
      </w:tr>
      <w:tr w:rsidR="005949C7" w14:paraId="133935E5" w14:textId="77777777">
        <w:trPr>
          <w:trHeight w:val="420"/>
        </w:trPr>
        <w:tc>
          <w:tcPr>
            <w:tcW w:w="2014" w:type="pct"/>
            <w:shd w:val="clear" w:color="auto" w:fill="auto"/>
          </w:tcPr>
          <w:p w14:paraId="1B956CA6" w14:textId="77777777" w:rsidR="005949C7" w:rsidRDefault="00000000">
            <w:pPr>
              <w:spacing w:line="360" w:lineRule="auto"/>
              <w:ind w:firstLineChars="100" w:firstLine="240"/>
              <w:jc w:val="both"/>
              <w:rPr>
                <w:rFonts w:ascii="Book Antiqua" w:eastAsia="MyriadPro-Light" w:hAnsi="Book Antiqua"/>
              </w:rPr>
            </w:pPr>
            <w:r>
              <w:rPr>
                <w:rFonts w:ascii="Book Antiqua" w:eastAsia="MyriadPro-Light" w:hAnsi="Book Antiqua"/>
              </w:rPr>
              <w:t>Stage II</w:t>
            </w:r>
          </w:p>
        </w:tc>
        <w:tc>
          <w:tcPr>
            <w:tcW w:w="1444" w:type="pct"/>
            <w:shd w:val="clear" w:color="auto" w:fill="auto"/>
          </w:tcPr>
          <w:p w14:paraId="4E75F000" w14:textId="77777777" w:rsidR="005949C7" w:rsidRDefault="00000000">
            <w:pPr>
              <w:spacing w:line="360" w:lineRule="auto"/>
              <w:jc w:val="both"/>
              <w:rPr>
                <w:rFonts w:ascii="Book Antiqua" w:eastAsia="MyriadPro-Light" w:hAnsi="Book Antiqua"/>
              </w:rPr>
            </w:pPr>
            <w:r>
              <w:rPr>
                <w:rFonts w:ascii="Book Antiqua" w:eastAsia="MyriadPro-Light" w:hAnsi="Book Antiqua"/>
              </w:rPr>
              <w:t>608</w:t>
            </w:r>
          </w:p>
        </w:tc>
        <w:tc>
          <w:tcPr>
            <w:tcW w:w="1540" w:type="pct"/>
            <w:shd w:val="clear" w:color="auto" w:fill="auto"/>
          </w:tcPr>
          <w:p w14:paraId="1D8505B8" w14:textId="77777777" w:rsidR="005949C7" w:rsidRDefault="00000000">
            <w:pPr>
              <w:spacing w:line="360" w:lineRule="auto"/>
              <w:jc w:val="both"/>
              <w:rPr>
                <w:rFonts w:ascii="Book Antiqua" w:eastAsia="MyriadPro-Light" w:hAnsi="Book Antiqua"/>
              </w:rPr>
            </w:pPr>
            <w:r>
              <w:rPr>
                <w:rFonts w:ascii="Book Antiqua" w:eastAsia="MyriadPro-Light" w:hAnsi="Book Antiqua"/>
              </w:rPr>
              <w:t>56.72</w:t>
            </w:r>
          </w:p>
        </w:tc>
      </w:tr>
      <w:tr w:rsidR="005949C7" w14:paraId="1DE99532" w14:textId="77777777">
        <w:trPr>
          <w:trHeight w:val="380"/>
        </w:trPr>
        <w:tc>
          <w:tcPr>
            <w:tcW w:w="2014" w:type="pct"/>
            <w:shd w:val="clear" w:color="auto" w:fill="auto"/>
          </w:tcPr>
          <w:p w14:paraId="14D541B3" w14:textId="77777777" w:rsidR="005949C7" w:rsidRDefault="00000000">
            <w:pPr>
              <w:spacing w:line="360" w:lineRule="auto"/>
              <w:ind w:firstLineChars="100" w:firstLine="240"/>
              <w:jc w:val="both"/>
              <w:rPr>
                <w:rFonts w:ascii="Book Antiqua" w:eastAsia="MyriadPro-Light" w:hAnsi="Book Antiqua"/>
              </w:rPr>
            </w:pPr>
            <w:r>
              <w:rPr>
                <w:rFonts w:ascii="Book Antiqua" w:eastAsia="MyriadPro-Light" w:hAnsi="Book Antiqua"/>
              </w:rPr>
              <w:t>Stage III</w:t>
            </w:r>
          </w:p>
        </w:tc>
        <w:tc>
          <w:tcPr>
            <w:tcW w:w="1444" w:type="pct"/>
            <w:shd w:val="clear" w:color="auto" w:fill="auto"/>
          </w:tcPr>
          <w:p w14:paraId="544629A5" w14:textId="77777777" w:rsidR="005949C7" w:rsidRDefault="00000000">
            <w:pPr>
              <w:spacing w:line="360" w:lineRule="auto"/>
              <w:jc w:val="both"/>
              <w:rPr>
                <w:rFonts w:ascii="Book Antiqua" w:eastAsia="MyriadPro-Light" w:hAnsi="Book Antiqua"/>
              </w:rPr>
            </w:pPr>
            <w:r>
              <w:rPr>
                <w:rFonts w:ascii="Book Antiqua" w:eastAsia="MyriadPro-Light" w:hAnsi="Book Antiqua"/>
              </w:rPr>
              <w:t>246</w:t>
            </w:r>
          </w:p>
        </w:tc>
        <w:tc>
          <w:tcPr>
            <w:tcW w:w="1540" w:type="pct"/>
            <w:shd w:val="clear" w:color="auto" w:fill="auto"/>
          </w:tcPr>
          <w:p w14:paraId="22B892EF" w14:textId="77777777" w:rsidR="005949C7" w:rsidRDefault="00000000">
            <w:pPr>
              <w:spacing w:line="360" w:lineRule="auto"/>
              <w:jc w:val="both"/>
              <w:rPr>
                <w:rFonts w:ascii="Book Antiqua" w:eastAsia="MyriadPro-Light" w:hAnsi="Book Antiqua"/>
              </w:rPr>
            </w:pPr>
            <w:r>
              <w:rPr>
                <w:rFonts w:ascii="Book Antiqua" w:eastAsia="MyriadPro-Light" w:hAnsi="Book Antiqua"/>
              </w:rPr>
              <w:t>22.95</w:t>
            </w:r>
          </w:p>
        </w:tc>
      </w:tr>
      <w:tr w:rsidR="005949C7" w14:paraId="0E2FDC83" w14:textId="77777777">
        <w:trPr>
          <w:trHeight w:val="400"/>
        </w:trPr>
        <w:tc>
          <w:tcPr>
            <w:tcW w:w="2014" w:type="pct"/>
            <w:shd w:val="clear" w:color="auto" w:fill="auto"/>
          </w:tcPr>
          <w:p w14:paraId="250D65C0" w14:textId="77777777" w:rsidR="005949C7" w:rsidRDefault="00000000">
            <w:pPr>
              <w:spacing w:line="360" w:lineRule="auto"/>
              <w:ind w:firstLineChars="100" w:firstLine="240"/>
              <w:jc w:val="both"/>
              <w:rPr>
                <w:rFonts w:ascii="Book Antiqua" w:eastAsia="MyriadPro-Light" w:hAnsi="Book Antiqua"/>
              </w:rPr>
            </w:pPr>
            <w:r>
              <w:rPr>
                <w:rFonts w:ascii="Book Antiqua" w:eastAsia="MyriadPro-Light" w:hAnsi="Book Antiqua"/>
              </w:rPr>
              <w:t>Stage IV</w:t>
            </w:r>
          </w:p>
        </w:tc>
        <w:tc>
          <w:tcPr>
            <w:tcW w:w="1444" w:type="pct"/>
            <w:shd w:val="clear" w:color="auto" w:fill="auto"/>
          </w:tcPr>
          <w:p w14:paraId="0E052E46" w14:textId="77777777" w:rsidR="005949C7" w:rsidRDefault="00000000">
            <w:pPr>
              <w:spacing w:line="360" w:lineRule="auto"/>
              <w:jc w:val="both"/>
              <w:rPr>
                <w:rFonts w:ascii="Book Antiqua" w:eastAsia="MyriadPro-Light" w:hAnsi="Book Antiqua"/>
              </w:rPr>
            </w:pPr>
            <w:r>
              <w:rPr>
                <w:rFonts w:ascii="Book Antiqua" w:eastAsia="MyriadPro-Light" w:hAnsi="Book Antiqua"/>
              </w:rPr>
              <w:t>20</w:t>
            </w:r>
          </w:p>
        </w:tc>
        <w:tc>
          <w:tcPr>
            <w:tcW w:w="1540" w:type="pct"/>
            <w:shd w:val="clear" w:color="auto" w:fill="auto"/>
          </w:tcPr>
          <w:p w14:paraId="77CCFDC1" w14:textId="77777777" w:rsidR="005949C7" w:rsidRDefault="00000000">
            <w:pPr>
              <w:spacing w:line="360" w:lineRule="auto"/>
              <w:jc w:val="both"/>
              <w:rPr>
                <w:rFonts w:ascii="Book Antiqua" w:eastAsia="MyriadPro-Light" w:hAnsi="Book Antiqua"/>
              </w:rPr>
            </w:pPr>
            <w:r>
              <w:rPr>
                <w:rFonts w:ascii="Book Antiqua" w:eastAsia="MyriadPro-Light" w:hAnsi="Book Antiqua"/>
              </w:rPr>
              <w:t>1.87</w:t>
            </w:r>
          </w:p>
        </w:tc>
      </w:tr>
      <w:tr w:rsidR="005949C7" w14:paraId="5E722074" w14:textId="77777777">
        <w:trPr>
          <w:trHeight w:val="350"/>
        </w:trPr>
        <w:tc>
          <w:tcPr>
            <w:tcW w:w="2014" w:type="pct"/>
            <w:shd w:val="clear" w:color="auto" w:fill="auto"/>
          </w:tcPr>
          <w:p w14:paraId="5D2B49C1" w14:textId="77777777" w:rsidR="005949C7" w:rsidRDefault="00000000">
            <w:pPr>
              <w:spacing w:line="360" w:lineRule="auto"/>
              <w:ind w:firstLineChars="100" w:firstLine="240"/>
              <w:jc w:val="both"/>
              <w:rPr>
                <w:rFonts w:ascii="Book Antiqua" w:eastAsia="MyriadPro-Light" w:hAnsi="Book Antiqua"/>
              </w:rPr>
            </w:pPr>
            <w:r>
              <w:rPr>
                <w:rFonts w:ascii="Book Antiqua" w:eastAsia="MyriadPro-Light" w:hAnsi="Book Antiqua"/>
              </w:rPr>
              <w:lastRenderedPageBreak/>
              <w:t>NA</w:t>
            </w:r>
          </w:p>
        </w:tc>
        <w:tc>
          <w:tcPr>
            <w:tcW w:w="1444" w:type="pct"/>
            <w:shd w:val="clear" w:color="auto" w:fill="auto"/>
          </w:tcPr>
          <w:p w14:paraId="60B96BD8" w14:textId="77777777" w:rsidR="005949C7" w:rsidRDefault="00000000">
            <w:pPr>
              <w:spacing w:line="360" w:lineRule="auto"/>
              <w:jc w:val="both"/>
              <w:rPr>
                <w:rFonts w:ascii="Book Antiqua" w:eastAsia="MyriadPro-Light" w:hAnsi="Book Antiqua"/>
              </w:rPr>
            </w:pPr>
            <w:r>
              <w:rPr>
                <w:rFonts w:ascii="Book Antiqua" w:eastAsia="MyriadPro-Light" w:hAnsi="Book Antiqua"/>
              </w:rPr>
              <w:t>22</w:t>
            </w:r>
          </w:p>
        </w:tc>
        <w:tc>
          <w:tcPr>
            <w:tcW w:w="1540" w:type="pct"/>
            <w:shd w:val="clear" w:color="auto" w:fill="auto"/>
          </w:tcPr>
          <w:p w14:paraId="446B2B8A" w14:textId="77777777" w:rsidR="005949C7" w:rsidRDefault="00000000">
            <w:pPr>
              <w:spacing w:line="360" w:lineRule="auto"/>
              <w:jc w:val="both"/>
              <w:rPr>
                <w:rFonts w:ascii="Book Antiqua" w:eastAsia="MyriadPro-Light" w:hAnsi="Book Antiqua"/>
              </w:rPr>
            </w:pPr>
            <w:r>
              <w:rPr>
                <w:rFonts w:ascii="Book Antiqua" w:eastAsia="MyriadPro-Light" w:hAnsi="Book Antiqua"/>
              </w:rPr>
              <w:t>2.05</w:t>
            </w:r>
          </w:p>
        </w:tc>
      </w:tr>
      <w:tr w:rsidR="005949C7" w14:paraId="1C2B1DE2" w14:textId="77777777">
        <w:trPr>
          <w:trHeight w:val="410"/>
        </w:trPr>
        <w:tc>
          <w:tcPr>
            <w:tcW w:w="2014" w:type="pct"/>
            <w:shd w:val="clear" w:color="auto" w:fill="auto"/>
          </w:tcPr>
          <w:p w14:paraId="5B53DB61" w14:textId="77777777" w:rsidR="005949C7" w:rsidRDefault="00000000">
            <w:pPr>
              <w:spacing w:line="360" w:lineRule="auto"/>
              <w:ind w:firstLineChars="100" w:firstLine="240"/>
              <w:jc w:val="both"/>
              <w:rPr>
                <w:rFonts w:ascii="Book Antiqua" w:eastAsia="MyriadPro-Light" w:hAnsi="Book Antiqua"/>
              </w:rPr>
            </w:pPr>
            <w:r>
              <w:rPr>
                <w:rFonts w:ascii="Book Antiqua" w:eastAsia="MyriadPro-Light" w:hAnsi="Book Antiqua"/>
              </w:rPr>
              <w:t>PAM50</w:t>
            </w:r>
          </w:p>
        </w:tc>
        <w:tc>
          <w:tcPr>
            <w:tcW w:w="1444" w:type="pct"/>
            <w:shd w:val="clear" w:color="auto" w:fill="auto"/>
          </w:tcPr>
          <w:p w14:paraId="3B13FEE4" w14:textId="77777777" w:rsidR="005949C7" w:rsidRDefault="005949C7">
            <w:pPr>
              <w:spacing w:line="360" w:lineRule="auto"/>
              <w:jc w:val="both"/>
              <w:rPr>
                <w:rFonts w:ascii="Book Antiqua" w:eastAsia="MyriadPro-Light" w:hAnsi="Book Antiqua"/>
              </w:rPr>
            </w:pPr>
          </w:p>
        </w:tc>
        <w:tc>
          <w:tcPr>
            <w:tcW w:w="1540" w:type="pct"/>
            <w:shd w:val="clear" w:color="auto" w:fill="auto"/>
          </w:tcPr>
          <w:p w14:paraId="092644D4" w14:textId="77777777" w:rsidR="005949C7" w:rsidRDefault="005949C7">
            <w:pPr>
              <w:spacing w:line="360" w:lineRule="auto"/>
              <w:ind w:firstLineChars="400" w:firstLine="960"/>
              <w:jc w:val="both"/>
              <w:rPr>
                <w:rFonts w:ascii="Book Antiqua" w:eastAsia="MyriadPro-Light" w:hAnsi="Book Antiqua"/>
              </w:rPr>
            </w:pPr>
          </w:p>
        </w:tc>
      </w:tr>
      <w:tr w:rsidR="005949C7" w14:paraId="10B646B0" w14:textId="77777777">
        <w:trPr>
          <w:trHeight w:val="390"/>
        </w:trPr>
        <w:tc>
          <w:tcPr>
            <w:tcW w:w="2014" w:type="pct"/>
            <w:shd w:val="clear" w:color="auto" w:fill="auto"/>
          </w:tcPr>
          <w:p w14:paraId="3D2628AA" w14:textId="77777777" w:rsidR="005949C7" w:rsidRDefault="00000000">
            <w:pPr>
              <w:spacing w:line="360" w:lineRule="auto"/>
              <w:ind w:firstLineChars="100" w:firstLine="240"/>
              <w:jc w:val="both"/>
              <w:rPr>
                <w:rFonts w:ascii="Book Antiqua" w:eastAsia="MyriadPro-Light" w:hAnsi="Book Antiqua"/>
              </w:rPr>
            </w:pPr>
            <w:r>
              <w:rPr>
                <w:rFonts w:ascii="Book Antiqua" w:eastAsia="MyriadPro-Light" w:hAnsi="Book Antiqua"/>
              </w:rPr>
              <w:t>Basal</w:t>
            </w:r>
          </w:p>
        </w:tc>
        <w:tc>
          <w:tcPr>
            <w:tcW w:w="1444" w:type="pct"/>
            <w:shd w:val="clear" w:color="auto" w:fill="auto"/>
          </w:tcPr>
          <w:p w14:paraId="7BF2D91F" w14:textId="77777777" w:rsidR="005949C7" w:rsidRDefault="00000000">
            <w:pPr>
              <w:spacing w:line="360" w:lineRule="auto"/>
              <w:jc w:val="both"/>
              <w:rPr>
                <w:rFonts w:ascii="Book Antiqua" w:eastAsia="MyriadPro-Light" w:hAnsi="Book Antiqua"/>
              </w:rPr>
            </w:pPr>
            <w:r>
              <w:rPr>
                <w:rFonts w:ascii="Book Antiqua" w:eastAsia="MyriadPro-Light" w:hAnsi="Book Antiqua"/>
              </w:rPr>
              <w:t>136</w:t>
            </w:r>
          </w:p>
        </w:tc>
        <w:tc>
          <w:tcPr>
            <w:tcW w:w="1540" w:type="pct"/>
            <w:shd w:val="clear" w:color="auto" w:fill="auto"/>
          </w:tcPr>
          <w:p w14:paraId="2E807286" w14:textId="77777777" w:rsidR="005949C7" w:rsidRDefault="00000000">
            <w:pPr>
              <w:spacing w:line="360" w:lineRule="auto"/>
              <w:jc w:val="both"/>
              <w:rPr>
                <w:rFonts w:ascii="Book Antiqua" w:eastAsia="MyriadPro-Light" w:hAnsi="Book Antiqua"/>
              </w:rPr>
            </w:pPr>
            <w:r>
              <w:rPr>
                <w:rFonts w:ascii="Book Antiqua" w:eastAsia="MyriadPro-Light" w:hAnsi="Book Antiqua"/>
              </w:rPr>
              <w:t>12.69</w:t>
            </w:r>
          </w:p>
        </w:tc>
      </w:tr>
      <w:tr w:rsidR="005949C7" w14:paraId="4467DC75" w14:textId="77777777">
        <w:trPr>
          <w:trHeight w:val="450"/>
        </w:trPr>
        <w:tc>
          <w:tcPr>
            <w:tcW w:w="2014" w:type="pct"/>
            <w:shd w:val="clear" w:color="auto" w:fill="auto"/>
          </w:tcPr>
          <w:p w14:paraId="3BC296C5" w14:textId="77777777" w:rsidR="005949C7" w:rsidRDefault="00000000">
            <w:pPr>
              <w:spacing w:line="360" w:lineRule="auto"/>
              <w:ind w:firstLineChars="100" w:firstLine="240"/>
              <w:jc w:val="both"/>
              <w:rPr>
                <w:rFonts w:ascii="Book Antiqua" w:eastAsia="MyriadPro-Light" w:hAnsi="Book Antiqua"/>
              </w:rPr>
            </w:pPr>
            <w:r>
              <w:rPr>
                <w:rFonts w:ascii="Book Antiqua" w:eastAsia="MyriadPro-Light" w:hAnsi="Book Antiqua"/>
              </w:rPr>
              <w:t>Luminal-A</w:t>
            </w:r>
          </w:p>
        </w:tc>
        <w:tc>
          <w:tcPr>
            <w:tcW w:w="1444" w:type="pct"/>
            <w:shd w:val="clear" w:color="auto" w:fill="auto"/>
          </w:tcPr>
          <w:p w14:paraId="331ECC53" w14:textId="77777777" w:rsidR="005949C7" w:rsidRDefault="00000000">
            <w:pPr>
              <w:spacing w:line="360" w:lineRule="auto"/>
              <w:jc w:val="both"/>
              <w:rPr>
                <w:rFonts w:ascii="Book Antiqua" w:eastAsia="MyriadPro-Light" w:hAnsi="Book Antiqua"/>
              </w:rPr>
            </w:pPr>
            <w:r>
              <w:rPr>
                <w:rFonts w:ascii="Book Antiqua" w:eastAsia="MyriadPro-Light" w:hAnsi="Book Antiqua"/>
              </w:rPr>
              <w:t>413</w:t>
            </w:r>
          </w:p>
        </w:tc>
        <w:tc>
          <w:tcPr>
            <w:tcW w:w="1540" w:type="pct"/>
            <w:shd w:val="clear" w:color="auto" w:fill="auto"/>
          </w:tcPr>
          <w:p w14:paraId="3F914DF1" w14:textId="77777777" w:rsidR="005949C7" w:rsidRDefault="00000000">
            <w:pPr>
              <w:spacing w:line="360" w:lineRule="auto"/>
              <w:jc w:val="both"/>
              <w:rPr>
                <w:rFonts w:ascii="Book Antiqua" w:eastAsia="MyriadPro-Light" w:hAnsi="Book Antiqua"/>
              </w:rPr>
            </w:pPr>
            <w:r>
              <w:rPr>
                <w:rFonts w:ascii="Book Antiqua" w:eastAsia="MyriadPro-Light" w:hAnsi="Book Antiqua"/>
              </w:rPr>
              <w:t>38.53</w:t>
            </w:r>
          </w:p>
        </w:tc>
      </w:tr>
      <w:tr w:rsidR="005949C7" w14:paraId="06480431" w14:textId="77777777">
        <w:trPr>
          <w:trHeight w:val="350"/>
        </w:trPr>
        <w:tc>
          <w:tcPr>
            <w:tcW w:w="2014" w:type="pct"/>
            <w:shd w:val="clear" w:color="auto" w:fill="auto"/>
          </w:tcPr>
          <w:p w14:paraId="5F816066" w14:textId="77777777" w:rsidR="005949C7" w:rsidRDefault="00000000">
            <w:pPr>
              <w:spacing w:line="360" w:lineRule="auto"/>
              <w:ind w:firstLineChars="100" w:firstLine="240"/>
              <w:jc w:val="both"/>
              <w:rPr>
                <w:rFonts w:ascii="Book Antiqua" w:eastAsia="MyriadPro-Light" w:hAnsi="Book Antiqua"/>
              </w:rPr>
            </w:pPr>
            <w:r>
              <w:rPr>
                <w:rFonts w:ascii="Book Antiqua" w:eastAsia="MyriadPro-Light" w:hAnsi="Book Antiqua"/>
              </w:rPr>
              <w:t>Luminal-B</w:t>
            </w:r>
          </w:p>
        </w:tc>
        <w:tc>
          <w:tcPr>
            <w:tcW w:w="1444" w:type="pct"/>
            <w:shd w:val="clear" w:color="auto" w:fill="auto"/>
          </w:tcPr>
          <w:p w14:paraId="015C187A" w14:textId="77777777" w:rsidR="005949C7" w:rsidRDefault="00000000">
            <w:pPr>
              <w:spacing w:line="360" w:lineRule="auto"/>
              <w:jc w:val="both"/>
              <w:rPr>
                <w:rFonts w:ascii="Book Antiqua" w:eastAsia="MyriadPro-Light" w:hAnsi="Book Antiqua"/>
              </w:rPr>
            </w:pPr>
            <w:r>
              <w:rPr>
                <w:rFonts w:ascii="Book Antiqua" w:eastAsia="MyriadPro-Light" w:hAnsi="Book Antiqua"/>
              </w:rPr>
              <w:t>185</w:t>
            </w:r>
          </w:p>
        </w:tc>
        <w:tc>
          <w:tcPr>
            <w:tcW w:w="1540" w:type="pct"/>
            <w:shd w:val="clear" w:color="auto" w:fill="auto"/>
          </w:tcPr>
          <w:p w14:paraId="4523B79E" w14:textId="77777777" w:rsidR="005949C7" w:rsidRDefault="00000000">
            <w:pPr>
              <w:spacing w:line="360" w:lineRule="auto"/>
              <w:jc w:val="both"/>
              <w:rPr>
                <w:rFonts w:ascii="Book Antiqua" w:eastAsia="MyriadPro-Light" w:hAnsi="Book Antiqua"/>
              </w:rPr>
            </w:pPr>
            <w:r>
              <w:rPr>
                <w:rFonts w:ascii="Book Antiqua" w:eastAsia="MyriadPro-Light" w:hAnsi="Book Antiqua"/>
              </w:rPr>
              <w:t>17.25</w:t>
            </w:r>
          </w:p>
        </w:tc>
      </w:tr>
      <w:tr w:rsidR="005949C7" w14:paraId="7D167C30" w14:textId="77777777">
        <w:trPr>
          <w:trHeight w:val="400"/>
        </w:trPr>
        <w:tc>
          <w:tcPr>
            <w:tcW w:w="2014" w:type="pct"/>
            <w:shd w:val="clear" w:color="auto" w:fill="auto"/>
          </w:tcPr>
          <w:p w14:paraId="13D577F0" w14:textId="77777777" w:rsidR="005949C7" w:rsidRDefault="00000000">
            <w:pPr>
              <w:spacing w:line="360" w:lineRule="auto"/>
              <w:ind w:firstLineChars="100" w:firstLine="240"/>
              <w:jc w:val="both"/>
              <w:rPr>
                <w:rFonts w:ascii="Book Antiqua" w:eastAsia="MyriadPro-Light" w:hAnsi="Book Antiqua"/>
              </w:rPr>
            </w:pPr>
            <w:r>
              <w:rPr>
                <w:rFonts w:ascii="Book Antiqua" w:eastAsia="MyriadPro-Light" w:hAnsi="Book Antiqua"/>
              </w:rPr>
              <w:t>Her2</w:t>
            </w:r>
          </w:p>
        </w:tc>
        <w:tc>
          <w:tcPr>
            <w:tcW w:w="1444" w:type="pct"/>
            <w:shd w:val="clear" w:color="auto" w:fill="auto"/>
          </w:tcPr>
          <w:p w14:paraId="7F66E523" w14:textId="77777777" w:rsidR="005949C7" w:rsidRDefault="00000000">
            <w:pPr>
              <w:spacing w:line="360" w:lineRule="auto"/>
              <w:jc w:val="both"/>
              <w:rPr>
                <w:rFonts w:ascii="Book Antiqua" w:eastAsia="MyriadPro-Light" w:hAnsi="Book Antiqua"/>
              </w:rPr>
            </w:pPr>
            <w:r>
              <w:rPr>
                <w:rFonts w:ascii="Book Antiqua" w:eastAsia="MyriadPro-Light" w:hAnsi="Book Antiqua"/>
              </w:rPr>
              <w:t>66</w:t>
            </w:r>
          </w:p>
        </w:tc>
        <w:tc>
          <w:tcPr>
            <w:tcW w:w="1540" w:type="pct"/>
            <w:shd w:val="clear" w:color="auto" w:fill="auto"/>
          </w:tcPr>
          <w:p w14:paraId="29715D56" w14:textId="77777777" w:rsidR="005949C7" w:rsidRDefault="00000000">
            <w:pPr>
              <w:spacing w:line="360" w:lineRule="auto"/>
              <w:jc w:val="both"/>
              <w:rPr>
                <w:rFonts w:ascii="Book Antiqua" w:eastAsia="MyriadPro-Light" w:hAnsi="Book Antiqua"/>
              </w:rPr>
            </w:pPr>
            <w:r>
              <w:rPr>
                <w:rFonts w:ascii="Book Antiqua" w:eastAsia="MyriadPro-Light" w:hAnsi="Book Antiqua"/>
              </w:rPr>
              <w:t>6.16</w:t>
            </w:r>
          </w:p>
        </w:tc>
      </w:tr>
      <w:tr w:rsidR="005949C7" w14:paraId="0667FFEC" w14:textId="77777777">
        <w:trPr>
          <w:trHeight w:val="350"/>
        </w:trPr>
        <w:tc>
          <w:tcPr>
            <w:tcW w:w="2014" w:type="pct"/>
            <w:shd w:val="clear" w:color="auto" w:fill="auto"/>
          </w:tcPr>
          <w:p w14:paraId="62A7365F" w14:textId="77777777" w:rsidR="005949C7" w:rsidRDefault="00000000">
            <w:pPr>
              <w:spacing w:line="360" w:lineRule="auto"/>
              <w:ind w:firstLineChars="100" w:firstLine="240"/>
              <w:jc w:val="both"/>
              <w:rPr>
                <w:rFonts w:ascii="Book Antiqua" w:eastAsia="MyriadPro-Light" w:hAnsi="Book Antiqua"/>
              </w:rPr>
            </w:pPr>
            <w:r>
              <w:rPr>
                <w:rFonts w:ascii="Book Antiqua" w:eastAsia="MyriadPro-Light" w:hAnsi="Book Antiqua"/>
              </w:rPr>
              <w:t>Normal</w:t>
            </w:r>
          </w:p>
        </w:tc>
        <w:tc>
          <w:tcPr>
            <w:tcW w:w="1444" w:type="pct"/>
            <w:shd w:val="clear" w:color="auto" w:fill="auto"/>
          </w:tcPr>
          <w:p w14:paraId="43DDBAF2" w14:textId="77777777" w:rsidR="005949C7" w:rsidRDefault="00000000">
            <w:pPr>
              <w:spacing w:line="360" w:lineRule="auto"/>
              <w:jc w:val="both"/>
              <w:rPr>
                <w:rFonts w:ascii="Book Antiqua" w:eastAsia="MyriadPro-Light" w:hAnsi="Book Antiqua"/>
              </w:rPr>
            </w:pPr>
            <w:r>
              <w:rPr>
                <w:rFonts w:ascii="Book Antiqua" w:eastAsia="MyriadPro-Light" w:hAnsi="Book Antiqua"/>
              </w:rPr>
              <w:t>22</w:t>
            </w:r>
          </w:p>
        </w:tc>
        <w:tc>
          <w:tcPr>
            <w:tcW w:w="1540" w:type="pct"/>
            <w:shd w:val="clear" w:color="auto" w:fill="auto"/>
          </w:tcPr>
          <w:p w14:paraId="2C59A6FD" w14:textId="77777777" w:rsidR="005949C7" w:rsidRDefault="00000000">
            <w:pPr>
              <w:spacing w:line="360" w:lineRule="auto"/>
              <w:jc w:val="both"/>
              <w:rPr>
                <w:rFonts w:ascii="Book Antiqua" w:eastAsia="MyriadPro-Light" w:hAnsi="Book Antiqua"/>
              </w:rPr>
            </w:pPr>
            <w:r>
              <w:rPr>
                <w:rFonts w:ascii="Book Antiqua" w:eastAsia="MyriadPro-Light" w:hAnsi="Book Antiqua"/>
              </w:rPr>
              <w:t>2.05</w:t>
            </w:r>
          </w:p>
        </w:tc>
      </w:tr>
      <w:tr w:rsidR="005949C7" w14:paraId="28E6D2A1" w14:textId="77777777">
        <w:trPr>
          <w:trHeight w:val="377"/>
        </w:trPr>
        <w:tc>
          <w:tcPr>
            <w:tcW w:w="2014" w:type="pct"/>
            <w:shd w:val="clear" w:color="auto" w:fill="auto"/>
          </w:tcPr>
          <w:p w14:paraId="5ED1A333" w14:textId="77777777" w:rsidR="005949C7" w:rsidRDefault="00000000">
            <w:pPr>
              <w:spacing w:line="360" w:lineRule="auto"/>
              <w:ind w:firstLineChars="100" w:firstLine="240"/>
              <w:jc w:val="both"/>
              <w:rPr>
                <w:rFonts w:ascii="Book Antiqua" w:eastAsia="MyriadPro-Light" w:hAnsi="Book Antiqua"/>
              </w:rPr>
            </w:pPr>
            <w:r>
              <w:rPr>
                <w:rFonts w:ascii="Book Antiqua" w:eastAsia="MyriadPro-Light" w:hAnsi="Book Antiqua"/>
              </w:rPr>
              <w:t>NA</w:t>
            </w:r>
          </w:p>
        </w:tc>
        <w:tc>
          <w:tcPr>
            <w:tcW w:w="1444" w:type="pct"/>
            <w:shd w:val="clear" w:color="auto" w:fill="auto"/>
          </w:tcPr>
          <w:p w14:paraId="2B6ECAA6" w14:textId="77777777" w:rsidR="005949C7" w:rsidRDefault="00000000">
            <w:pPr>
              <w:spacing w:line="360" w:lineRule="auto"/>
              <w:jc w:val="both"/>
              <w:rPr>
                <w:rFonts w:ascii="Book Antiqua" w:eastAsia="MyriadPro-Light" w:hAnsi="Book Antiqua"/>
              </w:rPr>
            </w:pPr>
            <w:r>
              <w:rPr>
                <w:rFonts w:ascii="Book Antiqua" w:eastAsia="MyriadPro-Light" w:hAnsi="Book Antiqua"/>
              </w:rPr>
              <w:t>250</w:t>
            </w:r>
          </w:p>
        </w:tc>
        <w:tc>
          <w:tcPr>
            <w:tcW w:w="1540" w:type="pct"/>
            <w:shd w:val="clear" w:color="auto" w:fill="auto"/>
          </w:tcPr>
          <w:p w14:paraId="54610417" w14:textId="77777777" w:rsidR="005949C7" w:rsidRDefault="00000000">
            <w:pPr>
              <w:spacing w:line="360" w:lineRule="auto"/>
              <w:jc w:val="both"/>
              <w:rPr>
                <w:rFonts w:ascii="Book Antiqua" w:eastAsia="MyriadPro-Light" w:hAnsi="Book Antiqua"/>
              </w:rPr>
            </w:pPr>
            <w:r>
              <w:rPr>
                <w:rFonts w:ascii="Book Antiqua" w:eastAsia="MyriadPro-Light" w:hAnsi="Book Antiqua"/>
              </w:rPr>
              <w:t>23.32</w:t>
            </w:r>
          </w:p>
        </w:tc>
      </w:tr>
    </w:tbl>
    <w:p w14:paraId="3A2B3006" w14:textId="77777777" w:rsidR="005949C7" w:rsidRDefault="005949C7">
      <w:pPr>
        <w:spacing w:line="360" w:lineRule="auto"/>
        <w:jc w:val="both"/>
        <w:rPr>
          <w:rFonts w:ascii="Book Antiqua" w:eastAsia="MyriadPro-Light" w:hAnsi="Book Antiqua"/>
        </w:rPr>
      </w:pPr>
    </w:p>
    <w:p w14:paraId="25DE1F3D" w14:textId="77777777" w:rsidR="005949C7" w:rsidRDefault="005949C7">
      <w:pPr>
        <w:autoSpaceDE w:val="0"/>
        <w:autoSpaceDN w:val="0"/>
        <w:adjustRightInd w:val="0"/>
        <w:spacing w:line="360" w:lineRule="auto"/>
        <w:jc w:val="both"/>
        <w:rPr>
          <w:rFonts w:ascii="Book Antiqua" w:eastAsia="MyriadPro-Light" w:hAnsi="Book Antiqua"/>
        </w:rPr>
      </w:pPr>
    </w:p>
    <w:p w14:paraId="55611E75" w14:textId="77777777" w:rsidR="005949C7" w:rsidRDefault="00000000">
      <w:pPr>
        <w:autoSpaceDE w:val="0"/>
        <w:autoSpaceDN w:val="0"/>
        <w:adjustRightInd w:val="0"/>
        <w:spacing w:line="360" w:lineRule="auto"/>
        <w:jc w:val="both"/>
        <w:rPr>
          <w:rFonts w:ascii="Book Antiqua" w:eastAsia="宋体" w:hAnsi="Book Antiqua"/>
          <w:b/>
        </w:rPr>
      </w:pPr>
      <w:r>
        <w:rPr>
          <w:rFonts w:ascii="Book Antiqua" w:eastAsia="宋体" w:hAnsi="Book Antiqua"/>
        </w:rPr>
        <w:br w:type="page"/>
      </w:r>
      <w:r>
        <w:rPr>
          <w:rFonts w:ascii="Book Antiqua" w:eastAsia="宋体" w:hAnsi="Book Antiqua"/>
          <w:b/>
        </w:rPr>
        <w:t xml:space="preserve">Table 2 Relationship between expression level of </w:t>
      </w:r>
      <w:r>
        <w:rPr>
          <w:rFonts w:ascii="Book Antiqua" w:hAnsi="Book Antiqua"/>
          <w:b/>
        </w:rPr>
        <w:t>FKBP14</w:t>
      </w:r>
      <w:r>
        <w:rPr>
          <w:rFonts w:ascii="Book Antiqua" w:eastAsia="宋体" w:hAnsi="Book Antiqua"/>
          <w:b/>
        </w:rPr>
        <w:t xml:space="preserve"> and clinical features in breast cancer</w:t>
      </w:r>
    </w:p>
    <w:tbl>
      <w:tblPr>
        <w:tblW w:w="5000" w:type="pct"/>
        <w:tblBorders>
          <w:top w:val="single" w:sz="4" w:space="0" w:color="auto"/>
          <w:bottom w:val="single" w:sz="4" w:space="0" w:color="auto"/>
        </w:tblBorders>
        <w:tblCellMar>
          <w:left w:w="181" w:type="dxa"/>
          <w:right w:w="181" w:type="dxa"/>
        </w:tblCellMar>
        <w:tblLook w:val="04A0" w:firstRow="1" w:lastRow="0" w:firstColumn="1" w:lastColumn="0" w:noHBand="0" w:noVBand="1"/>
      </w:tblPr>
      <w:tblGrid>
        <w:gridCol w:w="1535"/>
        <w:gridCol w:w="1046"/>
        <w:gridCol w:w="2212"/>
        <w:gridCol w:w="2188"/>
        <w:gridCol w:w="1022"/>
        <w:gridCol w:w="1477"/>
      </w:tblGrid>
      <w:tr w:rsidR="005949C7" w14:paraId="32BF1CDB" w14:textId="77777777">
        <w:trPr>
          <w:cantSplit/>
        </w:trPr>
        <w:tc>
          <w:tcPr>
            <w:tcW w:w="809" w:type="pct"/>
            <w:tcBorders>
              <w:top w:val="single" w:sz="4" w:space="0" w:color="auto"/>
              <w:bottom w:val="single" w:sz="4" w:space="0" w:color="auto"/>
            </w:tcBorders>
            <w:tcMar>
              <w:top w:w="120" w:type="dxa"/>
              <w:left w:w="60" w:type="dxa"/>
              <w:bottom w:w="120" w:type="dxa"/>
              <w:right w:w="60" w:type="dxa"/>
            </w:tcMar>
            <w:vAlign w:val="bottom"/>
          </w:tcPr>
          <w:p w14:paraId="09DA4A4B" w14:textId="77777777" w:rsidR="005949C7" w:rsidRDefault="00000000">
            <w:pPr>
              <w:adjustRightInd w:val="0"/>
              <w:snapToGrid w:val="0"/>
              <w:spacing w:line="360" w:lineRule="auto"/>
              <w:jc w:val="both"/>
              <w:rPr>
                <w:rFonts w:ascii="Book Antiqua" w:eastAsia="宋体" w:hAnsi="Book Antiqua" w:cs="Book Antiqua"/>
                <w:b/>
                <w:bCs/>
              </w:rPr>
            </w:pPr>
            <w:r>
              <w:rPr>
                <w:rFonts w:ascii="Book Antiqua" w:eastAsia="MyriadPro-Light" w:hAnsi="Book Antiqua"/>
                <w:b/>
              </w:rPr>
              <w:t>Variables</w:t>
            </w:r>
          </w:p>
        </w:tc>
        <w:tc>
          <w:tcPr>
            <w:tcW w:w="551" w:type="pct"/>
            <w:tcBorders>
              <w:top w:val="single" w:sz="4" w:space="0" w:color="auto"/>
              <w:bottom w:val="single" w:sz="4" w:space="0" w:color="auto"/>
            </w:tcBorders>
            <w:tcMar>
              <w:top w:w="120" w:type="dxa"/>
              <w:left w:w="60" w:type="dxa"/>
              <w:bottom w:w="120" w:type="dxa"/>
              <w:right w:w="60" w:type="dxa"/>
            </w:tcMar>
            <w:vAlign w:val="bottom"/>
          </w:tcPr>
          <w:p w14:paraId="1660E648" w14:textId="77777777" w:rsidR="005949C7" w:rsidRDefault="00000000">
            <w:pPr>
              <w:adjustRightInd w:val="0"/>
              <w:snapToGrid w:val="0"/>
              <w:spacing w:line="360" w:lineRule="auto"/>
              <w:jc w:val="both"/>
              <w:rPr>
                <w:rFonts w:ascii="Book Antiqua" w:eastAsia="宋体" w:hAnsi="Book Antiqua" w:cs="Book Antiqua"/>
                <w:b/>
                <w:bCs/>
                <w:i/>
              </w:rPr>
            </w:pPr>
            <w:r>
              <w:rPr>
                <w:rFonts w:ascii="Book Antiqua" w:eastAsia="宋体" w:hAnsi="Book Antiqua" w:cs="Book Antiqua"/>
                <w:b/>
                <w:bCs/>
                <w:i/>
              </w:rPr>
              <w:t>n</w:t>
            </w:r>
          </w:p>
        </w:tc>
        <w:tc>
          <w:tcPr>
            <w:tcW w:w="1166" w:type="pct"/>
            <w:tcBorders>
              <w:top w:val="single" w:sz="4" w:space="0" w:color="auto"/>
              <w:bottom w:val="single" w:sz="4" w:space="0" w:color="auto"/>
            </w:tcBorders>
            <w:tcMar>
              <w:top w:w="120" w:type="dxa"/>
              <w:left w:w="60" w:type="dxa"/>
              <w:bottom w:w="120" w:type="dxa"/>
              <w:right w:w="60" w:type="dxa"/>
            </w:tcMar>
            <w:vAlign w:val="bottom"/>
          </w:tcPr>
          <w:p w14:paraId="1E6F1321" w14:textId="77777777" w:rsidR="005949C7" w:rsidRDefault="00000000">
            <w:pPr>
              <w:spacing w:line="360" w:lineRule="auto"/>
              <w:jc w:val="both"/>
              <w:rPr>
                <w:rFonts w:ascii="Book Antiqua" w:hAnsi="Book Antiqua"/>
                <w:b/>
              </w:rPr>
            </w:pPr>
            <w:r>
              <w:rPr>
                <w:rFonts w:ascii="Book Antiqua" w:hAnsi="Book Antiqua"/>
                <w:b/>
              </w:rPr>
              <w:t xml:space="preserve">Low expression of FKBP14 </w:t>
            </w:r>
            <w:r>
              <w:rPr>
                <w:rFonts w:ascii="Book Antiqua" w:eastAsia="宋体" w:hAnsi="Book Antiqua"/>
                <w:b/>
              </w:rPr>
              <w:t>(</w:t>
            </w:r>
            <w:r>
              <w:rPr>
                <w:rFonts w:ascii="Book Antiqua" w:eastAsia="宋体" w:hAnsi="Book Antiqua" w:cs="Book Antiqua"/>
                <w:b/>
                <w:bCs/>
                <w:i/>
              </w:rPr>
              <w:t>n</w:t>
            </w:r>
            <w:r>
              <w:rPr>
                <w:rFonts w:ascii="Book Antiqua" w:eastAsia="宋体" w:hAnsi="Book Antiqua"/>
                <w:b/>
              </w:rPr>
              <w:t xml:space="preserve"> = 40)</w:t>
            </w:r>
          </w:p>
        </w:tc>
        <w:tc>
          <w:tcPr>
            <w:tcW w:w="1154" w:type="pct"/>
            <w:tcBorders>
              <w:top w:val="single" w:sz="4" w:space="0" w:color="auto"/>
              <w:bottom w:val="single" w:sz="4" w:space="0" w:color="auto"/>
            </w:tcBorders>
            <w:tcMar>
              <w:top w:w="120" w:type="dxa"/>
              <w:left w:w="60" w:type="dxa"/>
              <w:bottom w:w="120" w:type="dxa"/>
              <w:right w:w="60" w:type="dxa"/>
            </w:tcMar>
            <w:vAlign w:val="bottom"/>
          </w:tcPr>
          <w:p w14:paraId="263D8A98" w14:textId="77777777" w:rsidR="005949C7" w:rsidRDefault="00000000">
            <w:pPr>
              <w:spacing w:line="360" w:lineRule="auto"/>
              <w:jc w:val="both"/>
              <w:rPr>
                <w:rFonts w:ascii="Book Antiqua" w:hAnsi="Book Antiqua"/>
                <w:b/>
              </w:rPr>
            </w:pPr>
            <w:r>
              <w:rPr>
                <w:rFonts w:ascii="Book Antiqua" w:hAnsi="Book Antiqua" w:hint="eastAsia"/>
                <w:b/>
                <w:lang w:eastAsia="zh-CN"/>
              </w:rPr>
              <w:t>High</w:t>
            </w:r>
            <w:r>
              <w:rPr>
                <w:rFonts w:ascii="Book Antiqua" w:hAnsi="Book Antiqua"/>
                <w:b/>
              </w:rPr>
              <w:t xml:space="preserve"> expression of FKBP14 </w:t>
            </w:r>
            <w:r>
              <w:rPr>
                <w:rFonts w:ascii="Book Antiqua" w:eastAsia="宋体" w:hAnsi="Book Antiqua"/>
                <w:b/>
              </w:rPr>
              <w:t>(</w:t>
            </w:r>
            <w:r>
              <w:rPr>
                <w:rFonts w:ascii="Book Antiqua" w:eastAsia="宋体" w:hAnsi="Book Antiqua" w:cs="Book Antiqua"/>
                <w:b/>
                <w:bCs/>
                <w:i/>
              </w:rPr>
              <w:t>n</w:t>
            </w:r>
            <w:r>
              <w:rPr>
                <w:rFonts w:ascii="Book Antiqua" w:eastAsia="宋体" w:hAnsi="Book Antiqua"/>
                <w:b/>
              </w:rPr>
              <w:t xml:space="preserve"> = 40)</w:t>
            </w:r>
          </w:p>
        </w:tc>
        <w:tc>
          <w:tcPr>
            <w:tcW w:w="539" w:type="pct"/>
            <w:tcBorders>
              <w:top w:val="single" w:sz="4" w:space="0" w:color="auto"/>
              <w:bottom w:val="single" w:sz="4" w:space="0" w:color="auto"/>
            </w:tcBorders>
          </w:tcPr>
          <w:p w14:paraId="21FAA623" w14:textId="77777777" w:rsidR="005949C7" w:rsidRDefault="00000000">
            <w:pPr>
              <w:adjustRightInd w:val="0"/>
              <w:snapToGrid w:val="0"/>
              <w:spacing w:line="360" w:lineRule="auto"/>
              <w:jc w:val="both"/>
              <w:rPr>
                <w:rFonts w:ascii="Book Antiqua" w:eastAsia="宋体" w:hAnsi="Book Antiqua"/>
                <w:b/>
                <w:i/>
                <w:iCs/>
              </w:rPr>
            </w:pPr>
            <w:r>
              <w:rPr>
                <w:rFonts w:ascii="Book Antiqua" w:eastAsia="宋体" w:hAnsi="Book Antiqua"/>
                <w:b/>
                <w:i/>
              </w:rPr>
              <w:t>χ</w:t>
            </w:r>
            <w:r>
              <w:rPr>
                <w:rFonts w:ascii="Book Antiqua" w:eastAsia="宋体" w:hAnsi="Book Antiqua"/>
                <w:b/>
                <w:vertAlign w:val="superscript"/>
              </w:rPr>
              <w:t>2</w:t>
            </w:r>
          </w:p>
        </w:tc>
        <w:tc>
          <w:tcPr>
            <w:tcW w:w="779" w:type="pct"/>
            <w:tcBorders>
              <w:top w:val="single" w:sz="4" w:space="0" w:color="auto"/>
              <w:bottom w:val="single" w:sz="4" w:space="0" w:color="auto"/>
            </w:tcBorders>
            <w:tcMar>
              <w:top w:w="120" w:type="dxa"/>
              <w:left w:w="60" w:type="dxa"/>
              <w:bottom w:w="120" w:type="dxa"/>
              <w:right w:w="60" w:type="dxa"/>
            </w:tcMar>
            <w:vAlign w:val="bottom"/>
          </w:tcPr>
          <w:p w14:paraId="27C45A0B" w14:textId="77777777" w:rsidR="005949C7" w:rsidRDefault="00000000">
            <w:pPr>
              <w:adjustRightInd w:val="0"/>
              <w:snapToGrid w:val="0"/>
              <w:spacing w:line="360" w:lineRule="auto"/>
              <w:jc w:val="both"/>
              <w:rPr>
                <w:rFonts w:ascii="Book Antiqua" w:eastAsia="宋体" w:hAnsi="Book Antiqua" w:cs="Book Antiqua"/>
                <w:b/>
                <w:bCs/>
              </w:rPr>
            </w:pPr>
            <w:r>
              <w:rPr>
                <w:rFonts w:ascii="Book Antiqua" w:eastAsia="宋体" w:hAnsi="Book Antiqua"/>
                <w:b/>
                <w:i/>
                <w:iCs/>
              </w:rPr>
              <w:t xml:space="preserve">P </w:t>
            </w:r>
            <w:r>
              <w:rPr>
                <w:rFonts w:ascii="Book Antiqua" w:eastAsia="宋体" w:hAnsi="Book Antiqua"/>
                <w:b/>
                <w:iCs/>
              </w:rPr>
              <w:t>value</w:t>
            </w:r>
          </w:p>
        </w:tc>
      </w:tr>
      <w:tr w:rsidR="005949C7" w14:paraId="1BE0EB3C" w14:textId="77777777">
        <w:trPr>
          <w:cantSplit/>
          <w:trHeight w:val="454"/>
        </w:trPr>
        <w:tc>
          <w:tcPr>
            <w:tcW w:w="809" w:type="pct"/>
            <w:tcBorders>
              <w:top w:val="single" w:sz="4" w:space="0" w:color="auto"/>
              <w:bottom w:val="nil"/>
            </w:tcBorders>
            <w:tcMar>
              <w:top w:w="120" w:type="dxa"/>
              <w:left w:w="60" w:type="dxa"/>
              <w:bottom w:w="120" w:type="dxa"/>
              <w:right w:w="60" w:type="dxa"/>
            </w:tcMar>
            <w:vAlign w:val="bottom"/>
          </w:tcPr>
          <w:p w14:paraId="68C2D4A0"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rPr>
              <w:t>Age (yr)</w:t>
            </w:r>
          </w:p>
        </w:tc>
        <w:tc>
          <w:tcPr>
            <w:tcW w:w="551" w:type="pct"/>
            <w:tcBorders>
              <w:top w:val="single" w:sz="4" w:space="0" w:color="auto"/>
              <w:bottom w:val="nil"/>
            </w:tcBorders>
            <w:tcMar>
              <w:top w:w="120" w:type="dxa"/>
              <w:left w:w="60" w:type="dxa"/>
              <w:bottom w:w="120" w:type="dxa"/>
              <w:right w:w="60" w:type="dxa"/>
            </w:tcMar>
            <w:vAlign w:val="bottom"/>
          </w:tcPr>
          <w:p w14:paraId="1563DA84" w14:textId="77777777" w:rsidR="005949C7" w:rsidRDefault="005949C7">
            <w:pPr>
              <w:adjustRightInd w:val="0"/>
              <w:snapToGrid w:val="0"/>
              <w:spacing w:line="360" w:lineRule="auto"/>
              <w:jc w:val="both"/>
              <w:rPr>
                <w:rFonts w:ascii="Book Antiqua" w:eastAsia="宋体" w:hAnsi="Book Antiqua" w:cs="Book Antiqua"/>
              </w:rPr>
            </w:pPr>
          </w:p>
        </w:tc>
        <w:tc>
          <w:tcPr>
            <w:tcW w:w="1166" w:type="pct"/>
            <w:tcBorders>
              <w:top w:val="single" w:sz="4" w:space="0" w:color="auto"/>
              <w:bottom w:val="nil"/>
            </w:tcBorders>
            <w:tcMar>
              <w:top w:w="120" w:type="dxa"/>
              <w:left w:w="60" w:type="dxa"/>
              <w:bottom w:w="120" w:type="dxa"/>
              <w:right w:w="60" w:type="dxa"/>
            </w:tcMar>
            <w:vAlign w:val="bottom"/>
          </w:tcPr>
          <w:p w14:paraId="32C2AC02" w14:textId="77777777" w:rsidR="005949C7" w:rsidRDefault="005949C7">
            <w:pPr>
              <w:adjustRightInd w:val="0"/>
              <w:snapToGrid w:val="0"/>
              <w:spacing w:line="360" w:lineRule="auto"/>
              <w:jc w:val="both"/>
              <w:rPr>
                <w:rFonts w:ascii="Book Antiqua" w:eastAsia="宋体" w:hAnsi="Book Antiqua" w:cs="Book Antiqua"/>
              </w:rPr>
            </w:pPr>
          </w:p>
        </w:tc>
        <w:tc>
          <w:tcPr>
            <w:tcW w:w="1154" w:type="pct"/>
            <w:tcBorders>
              <w:top w:val="single" w:sz="4" w:space="0" w:color="auto"/>
              <w:bottom w:val="nil"/>
            </w:tcBorders>
            <w:tcMar>
              <w:top w:w="120" w:type="dxa"/>
              <w:left w:w="60" w:type="dxa"/>
              <w:bottom w:w="120" w:type="dxa"/>
              <w:right w:w="60" w:type="dxa"/>
            </w:tcMar>
            <w:vAlign w:val="bottom"/>
          </w:tcPr>
          <w:p w14:paraId="714D8916" w14:textId="77777777" w:rsidR="005949C7" w:rsidRDefault="005949C7">
            <w:pPr>
              <w:adjustRightInd w:val="0"/>
              <w:snapToGrid w:val="0"/>
              <w:spacing w:line="360" w:lineRule="auto"/>
              <w:jc w:val="both"/>
              <w:rPr>
                <w:rFonts w:ascii="Book Antiqua" w:eastAsia="宋体" w:hAnsi="Book Antiqua" w:cs="Book Antiqua"/>
              </w:rPr>
            </w:pPr>
          </w:p>
        </w:tc>
        <w:tc>
          <w:tcPr>
            <w:tcW w:w="539" w:type="pct"/>
            <w:tcBorders>
              <w:top w:val="single" w:sz="4" w:space="0" w:color="auto"/>
              <w:bottom w:val="nil"/>
            </w:tcBorders>
          </w:tcPr>
          <w:p w14:paraId="46911251" w14:textId="77777777" w:rsidR="005949C7" w:rsidRDefault="00000000">
            <w:pPr>
              <w:adjustRightInd w:val="0"/>
              <w:snapToGrid w:val="0"/>
              <w:spacing w:line="360" w:lineRule="auto"/>
              <w:jc w:val="both"/>
              <w:rPr>
                <w:rFonts w:ascii="Book Antiqua" w:eastAsia="宋体" w:hAnsi="Book Antiqua"/>
              </w:rPr>
            </w:pPr>
            <w:r>
              <w:t>0.056</w:t>
            </w:r>
          </w:p>
        </w:tc>
        <w:tc>
          <w:tcPr>
            <w:tcW w:w="779" w:type="pct"/>
            <w:tcBorders>
              <w:top w:val="single" w:sz="4" w:space="0" w:color="auto"/>
              <w:bottom w:val="nil"/>
            </w:tcBorders>
            <w:tcMar>
              <w:top w:w="120" w:type="dxa"/>
              <w:left w:w="60" w:type="dxa"/>
              <w:bottom w:w="120" w:type="dxa"/>
              <w:right w:w="60" w:type="dxa"/>
            </w:tcMar>
            <w:vAlign w:val="bottom"/>
          </w:tcPr>
          <w:p w14:paraId="46789B0C"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rPr>
              <w:t>0.813</w:t>
            </w:r>
          </w:p>
        </w:tc>
      </w:tr>
      <w:tr w:rsidR="005949C7" w14:paraId="57BC40C2" w14:textId="77777777">
        <w:trPr>
          <w:cantSplit/>
          <w:trHeight w:val="454"/>
        </w:trPr>
        <w:tc>
          <w:tcPr>
            <w:tcW w:w="809" w:type="pct"/>
            <w:tcBorders>
              <w:top w:val="nil"/>
              <w:bottom w:val="nil"/>
            </w:tcBorders>
            <w:tcMar>
              <w:top w:w="120" w:type="dxa"/>
              <w:left w:w="60" w:type="dxa"/>
              <w:bottom w:w="120" w:type="dxa"/>
              <w:right w:w="60" w:type="dxa"/>
            </w:tcMar>
            <w:vAlign w:val="bottom"/>
          </w:tcPr>
          <w:p w14:paraId="1EAD2867" w14:textId="77777777" w:rsidR="005949C7" w:rsidRDefault="00000000">
            <w:pPr>
              <w:adjustRightInd w:val="0"/>
              <w:snapToGrid w:val="0"/>
              <w:spacing w:line="360" w:lineRule="auto"/>
              <w:jc w:val="both"/>
              <w:rPr>
                <w:rFonts w:ascii="Book Antiqua" w:eastAsia="宋体" w:hAnsi="Book Antiqua"/>
              </w:rPr>
            </w:pPr>
            <w:r>
              <w:rPr>
                <w:rFonts w:ascii="Book Antiqua" w:eastAsia="宋体" w:hAnsi="Book Antiqua"/>
              </w:rPr>
              <w:t>≤ 60</w:t>
            </w:r>
          </w:p>
        </w:tc>
        <w:tc>
          <w:tcPr>
            <w:tcW w:w="551" w:type="pct"/>
            <w:tcBorders>
              <w:top w:val="nil"/>
              <w:bottom w:val="nil"/>
            </w:tcBorders>
            <w:tcMar>
              <w:top w:w="120" w:type="dxa"/>
              <w:left w:w="60" w:type="dxa"/>
              <w:bottom w:w="120" w:type="dxa"/>
              <w:right w:w="60" w:type="dxa"/>
            </w:tcMar>
            <w:vAlign w:val="bottom"/>
          </w:tcPr>
          <w:p w14:paraId="73F3B575"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53</w:t>
            </w:r>
          </w:p>
        </w:tc>
        <w:tc>
          <w:tcPr>
            <w:tcW w:w="1166" w:type="pct"/>
            <w:tcBorders>
              <w:top w:val="nil"/>
              <w:bottom w:val="nil"/>
            </w:tcBorders>
            <w:tcMar>
              <w:top w:w="120" w:type="dxa"/>
              <w:left w:w="60" w:type="dxa"/>
              <w:bottom w:w="120" w:type="dxa"/>
              <w:right w:w="60" w:type="dxa"/>
            </w:tcMar>
            <w:vAlign w:val="bottom"/>
          </w:tcPr>
          <w:p w14:paraId="678532A0"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rPr>
              <w:t>27 (67.5)</w:t>
            </w:r>
          </w:p>
        </w:tc>
        <w:tc>
          <w:tcPr>
            <w:tcW w:w="1154" w:type="pct"/>
            <w:tcBorders>
              <w:top w:val="nil"/>
              <w:bottom w:val="nil"/>
            </w:tcBorders>
            <w:tcMar>
              <w:top w:w="120" w:type="dxa"/>
              <w:left w:w="60" w:type="dxa"/>
              <w:bottom w:w="120" w:type="dxa"/>
              <w:right w:w="60" w:type="dxa"/>
            </w:tcMar>
            <w:vAlign w:val="bottom"/>
          </w:tcPr>
          <w:p w14:paraId="7BF41E54"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rPr>
              <w:t>26 (65)</w:t>
            </w:r>
          </w:p>
        </w:tc>
        <w:tc>
          <w:tcPr>
            <w:tcW w:w="539" w:type="pct"/>
            <w:tcBorders>
              <w:top w:val="nil"/>
              <w:bottom w:val="nil"/>
            </w:tcBorders>
          </w:tcPr>
          <w:p w14:paraId="5F3C8688" w14:textId="77777777" w:rsidR="005949C7" w:rsidRDefault="005949C7">
            <w:pPr>
              <w:adjustRightInd w:val="0"/>
              <w:snapToGrid w:val="0"/>
              <w:spacing w:line="360" w:lineRule="auto"/>
              <w:jc w:val="both"/>
              <w:rPr>
                <w:rFonts w:ascii="Book Antiqua" w:eastAsia="宋体" w:hAnsi="Book Antiqua" w:cs="Book Antiqua"/>
              </w:rPr>
            </w:pPr>
          </w:p>
        </w:tc>
        <w:tc>
          <w:tcPr>
            <w:tcW w:w="779" w:type="pct"/>
            <w:tcBorders>
              <w:top w:val="nil"/>
              <w:bottom w:val="nil"/>
            </w:tcBorders>
            <w:tcMar>
              <w:top w:w="120" w:type="dxa"/>
              <w:left w:w="60" w:type="dxa"/>
              <w:bottom w:w="120" w:type="dxa"/>
              <w:right w:w="60" w:type="dxa"/>
            </w:tcMar>
            <w:vAlign w:val="bottom"/>
          </w:tcPr>
          <w:p w14:paraId="3001FFBA" w14:textId="77777777" w:rsidR="005949C7" w:rsidRDefault="005949C7">
            <w:pPr>
              <w:adjustRightInd w:val="0"/>
              <w:snapToGrid w:val="0"/>
              <w:spacing w:line="360" w:lineRule="auto"/>
              <w:jc w:val="both"/>
              <w:rPr>
                <w:rFonts w:ascii="Book Antiqua" w:eastAsia="宋体" w:hAnsi="Book Antiqua" w:cs="Book Antiqua"/>
              </w:rPr>
            </w:pPr>
          </w:p>
        </w:tc>
      </w:tr>
      <w:tr w:rsidR="005949C7" w14:paraId="00CFE866" w14:textId="77777777">
        <w:trPr>
          <w:cantSplit/>
          <w:trHeight w:val="454"/>
        </w:trPr>
        <w:tc>
          <w:tcPr>
            <w:tcW w:w="809" w:type="pct"/>
            <w:tcBorders>
              <w:top w:val="nil"/>
              <w:bottom w:val="nil"/>
            </w:tcBorders>
            <w:tcMar>
              <w:top w:w="120" w:type="dxa"/>
              <w:left w:w="60" w:type="dxa"/>
              <w:bottom w:w="120" w:type="dxa"/>
              <w:right w:w="60" w:type="dxa"/>
            </w:tcMar>
            <w:vAlign w:val="bottom"/>
          </w:tcPr>
          <w:p w14:paraId="6C0D4989" w14:textId="77777777" w:rsidR="005949C7" w:rsidRDefault="00000000">
            <w:pPr>
              <w:adjustRightInd w:val="0"/>
              <w:snapToGrid w:val="0"/>
              <w:spacing w:line="360" w:lineRule="auto"/>
              <w:jc w:val="both"/>
              <w:rPr>
                <w:rFonts w:ascii="Book Antiqua" w:eastAsia="宋体" w:hAnsi="Book Antiqua"/>
              </w:rPr>
            </w:pPr>
            <w:r>
              <w:rPr>
                <w:rFonts w:ascii="Book Antiqua" w:eastAsia="宋体" w:hAnsi="Book Antiqua" w:hint="eastAsia"/>
                <w:lang w:eastAsia="zh-CN"/>
              </w:rPr>
              <w:t>&gt;</w:t>
            </w:r>
            <w:r>
              <w:rPr>
                <w:rFonts w:ascii="Book Antiqua" w:eastAsia="宋体" w:hAnsi="Book Antiqua"/>
              </w:rPr>
              <w:t xml:space="preserve"> 60</w:t>
            </w:r>
          </w:p>
        </w:tc>
        <w:tc>
          <w:tcPr>
            <w:tcW w:w="551" w:type="pct"/>
            <w:tcBorders>
              <w:top w:val="nil"/>
              <w:bottom w:val="nil"/>
            </w:tcBorders>
            <w:tcMar>
              <w:top w:w="120" w:type="dxa"/>
              <w:left w:w="60" w:type="dxa"/>
              <w:bottom w:w="120" w:type="dxa"/>
              <w:right w:w="60" w:type="dxa"/>
            </w:tcMar>
            <w:vAlign w:val="bottom"/>
          </w:tcPr>
          <w:p w14:paraId="54CAFEA9"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27</w:t>
            </w:r>
          </w:p>
        </w:tc>
        <w:tc>
          <w:tcPr>
            <w:tcW w:w="1166" w:type="pct"/>
            <w:tcBorders>
              <w:top w:val="nil"/>
              <w:bottom w:val="nil"/>
            </w:tcBorders>
            <w:tcMar>
              <w:top w:w="120" w:type="dxa"/>
              <w:left w:w="60" w:type="dxa"/>
              <w:bottom w:w="120" w:type="dxa"/>
              <w:right w:w="60" w:type="dxa"/>
            </w:tcMar>
            <w:vAlign w:val="bottom"/>
          </w:tcPr>
          <w:p w14:paraId="0A9876D5"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rPr>
              <w:t>13 (32.5)</w:t>
            </w:r>
          </w:p>
        </w:tc>
        <w:tc>
          <w:tcPr>
            <w:tcW w:w="1154" w:type="pct"/>
            <w:tcBorders>
              <w:top w:val="nil"/>
              <w:bottom w:val="nil"/>
            </w:tcBorders>
            <w:tcMar>
              <w:top w:w="120" w:type="dxa"/>
              <w:left w:w="60" w:type="dxa"/>
              <w:bottom w:w="120" w:type="dxa"/>
              <w:right w:w="60" w:type="dxa"/>
            </w:tcMar>
            <w:vAlign w:val="bottom"/>
          </w:tcPr>
          <w:p w14:paraId="16139044"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rPr>
              <w:t>14 (35)</w:t>
            </w:r>
          </w:p>
        </w:tc>
        <w:tc>
          <w:tcPr>
            <w:tcW w:w="539" w:type="pct"/>
            <w:tcBorders>
              <w:top w:val="nil"/>
              <w:bottom w:val="nil"/>
            </w:tcBorders>
          </w:tcPr>
          <w:p w14:paraId="07922DBD" w14:textId="77777777" w:rsidR="005949C7" w:rsidRDefault="005949C7">
            <w:pPr>
              <w:adjustRightInd w:val="0"/>
              <w:snapToGrid w:val="0"/>
              <w:spacing w:line="360" w:lineRule="auto"/>
              <w:jc w:val="both"/>
              <w:rPr>
                <w:rFonts w:ascii="Book Antiqua" w:eastAsia="宋体" w:hAnsi="Book Antiqua" w:cs="Book Antiqua"/>
              </w:rPr>
            </w:pPr>
          </w:p>
        </w:tc>
        <w:tc>
          <w:tcPr>
            <w:tcW w:w="779" w:type="pct"/>
            <w:tcBorders>
              <w:top w:val="nil"/>
              <w:bottom w:val="nil"/>
            </w:tcBorders>
            <w:tcMar>
              <w:top w:w="120" w:type="dxa"/>
              <w:left w:w="60" w:type="dxa"/>
              <w:bottom w:w="120" w:type="dxa"/>
              <w:right w:w="60" w:type="dxa"/>
            </w:tcMar>
            <w:vAlign w:val="bottom"/>
          </w:tcPr>
          <w:p w14:paraId="0DF16582" w14:textId="77777777" w:rsidR="005949C7" w:rsidRDefault="005949C7">
            <w:pPr>
              <w:adjustRightInd w:val="0"/>
              <w:snapToGrid w:val="0"/>
              <w:spacing w:line="360" w:lineRule="auto"/>
              <w:jc w:val="both"/>
              <w:rPr>
                <w:rFonts w:ascii="Book Antiqua" w:eastAsia="宋体" w:hAnsi="Book Antiqua" w:cs="Book Antiqua"/>
              </w:rPr>
            </w:pPr>
          </w:p>
        </w:tc>
      </w:tr>
      <w:tr w:rsidR="005949C7" w14:paraId="384125B5" w14:textId="77777777">
        <w:trPr>
          <w:cantSplit/>
          <w:trHeight w:val="454"/>
        </w:trPr>
        <w:tc>
          <w:tcPr>
            <w:tcW w:w="809" w:type="pct"/>
            <w:tcBorders>
              <w:top w:val="nil"/>
              <w:bottom w:val="nil"/>
            </w:tcBorders>
            <w:tcMar>
              <w:top w:w="120" w:type="dxa"/>
              <w:left w:w="60" w:type="dxa"/>
              <w:bottom w:w="120" w:type="dxa"/>
              <w:right w:w="60" w:type="dxa"/>
            </w:tcMar>
            <w:vAlign w:val="bottom"/>
          </w:tcPr>
          <w:p w14:paraId="43133F10" w14:textId="77777777" w:rsidR="005949C7" w:rsidRDefault="00000000">
            <w:pPr>
              <w:adjustRightInd w:val="0"/>
              <w:snapToGrid w:val="0"/>
              <w:spacing w:line="360" w:lineRule="auto"/>
              <w:jc w:val="both"/>
              <w:rPr>
                <w:rFonts w:ascii="Book Antiqua" w:eastAsia="宋体" w:hAnsi="Book Antiqua"/>
              </w:rPr>
            </w:pPr>
            <w:r>
              <w:rPr>
                <w:rFonts w:ascii="Book Antiqua" w:eastAsia="宋体" w:hAnsi="Book Antiqua"/>
              </w:rPr>
              <w:t>Tumor size</w:t>
            </w:r>
          </w:p>
        </w:tc>
        <w:tc>
          <w:tcPr>
            <w:tcW w:w="551" w:type="pct"/>
            <w:tcBorders>
              <w:top w:val="nil"/>
              <w:bottom w:val="nil"/>
            </w:tcBorders>
            <w:tcMar>
              <w:top w:w="120" w:type="dxa"/>
              <w:left w:w="60" w:type="dxa"/>
              <w:bottom w:w="120" w:type="dxa"/>
              <w:right w:w="60" w:type="dxa"/>
            </w:tcMar>
            <w:vAlign w:val="bottom"/>
          </w:tcPr>
          <w:p w14:paraId="54671085" w14:textId="77777777" w:rsidR="005949C7" w:rsidRDefault="005949C7">
            <w:pPr>
              <w:adjustRightInd w:val="0"/>
              <w:snapToGrid w:val="0"/>
              <w:spacing w:line="360" w:lineRule="auto"/>
              <w:jc w:val="both"/>
              <w:rPr>
                <w:rFonts w:ascii="Book Antiqua" w:eastAsia="宋体" w:hAnsi="Book Antiqua" w:cs="Book Antiqua"/>
              </w:rPr>
            </w:pPr>
          </w:p>
        </w:tc>
        <w:tc>
          <w:tcPr>
            <w:tcW w:w="1166" w:type="pct"/>
            <w:tcBorders>
              <w:top w:val="nil"/>
              <w:bottom w:val="nil"/>
            </w:tcBorders>
            <w:tcMar>
              <w:top w:w="120" w:type="dxa"/>
              <w:left w:w="60" w:type="dxa"/>
              <w:bottom w:w="120" w:type="dxa"/>
              <w:right w:w="60" w:type="dxa"/>
            </w:tcMar>
            <w:vAlign w:val="bottom"/>
          </w:tcPr>
          <w:p w14:paraId="10F19D1B" w14:textId="77777777" w:rsidR="005949C7" w:rsidRDefault="005949C7">
            <w:pPr>
              <w:adjustRightInd w:val="0"/>
              <w:snapToGrid w:val="0"/>
              <w:spacing w:line="360" w:lineRule="auto"/>
              <w:jc w:val="both"/>
              <w:rPr>
                <w:rFonts w:ascii="Book Antiqua" w:eastAsia="宋体" w:hAnsi="Book Antiqua" w:cs="Book Antiqua"/>
              </w:rPr>
            </w:pPr>
          </w:p>
        </w:tc>
        <w:tc>
          <w:tcPr>
            <w:tcW w:w="1154" w:type="pct"/>
            <w:tcBorders>
              <w:top w:val="nil"/>
              <w:bottom w:val="nil"/>
            </w:tcBorders>
            <w:tcMar>
              <w:top w:w="120" w:type="dxa"/>
              <w:left w:w="60" w:type="dxa"/>
              <w:bottom w:w="120" w:type="dxa"/>
              <w:right w:w="60" w:type="dxa"/>
            </w:tcMar>
            <w:vAlign w:val="bottom"/>
          </w:tcPr>
          <w:p w14:paraId="2024BFAB" w14:textId="77777777" w:rsidR="005949C7" w:rsidRDefault="005949C7">
            <w:pPr>
              <w:adjustRightInd w:val="0"/>
              <w:snapToGrid w:val="0"/>
              <w:spacing w:line="360" w:lineRule="auto"/>
              <w:jc w:val="both"/>
              <w:rPr>
                <w:rFonts w:ascii="Book Antiqua" w:eastAsia="宋体" w:hAnsi="Book Antiqua" w:cs="Book Antiqua"/>
              </w:rPr>
            </w:pPr>
          </w:p>
        </w:tc>
        <w:tc>
          <w:tcPr>
            <w:tcW w:w="539" w:type="pct"/>
            <w:tcBorders>
              <w:top w:val="nil"/>
              <w:bottom w:val="nil"/>
            </w:tcBorders>
          </w:tcPr>
          <w:p w14:paraId="3CD9D910"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rPr>
              <w:t>10.769</w:t>
            </w:r>
          </w:p>
        </w:tc>
        <w:tc>
          <w:tcPr>
            <w:tcW w:w="779" w:type="pct"/>
            <w:tcBorders>
              <w:top w:val="nil"/>
              <w:bottom w:val="nil"/>
            </w:tcBorders>
            <w:tcMar>
              <w:top w:w="120" w:type="dxa"/>
              <w:left w:w="60" w:type="dxa"/>
              <w:bottom w:w="120" w:type="dxa"/>
              <w:right w:w="60" w:type="dxa"/>
            </w:tcMar>
            <w:vAlign w:val="bottom"/>
          </w:tcPr>
          <w:p w14:paraId="0C6921C4"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rPr>
              <w:t>0.002</w:t>
            </w:r>
          </w:p>
        </w:tc>
      </w:tr>
      <w:tr w:rsidR="005949C7" w14:paraId="741DC012" w14:textId="77777777">
        <w:trPr>
          <w:cantSplit/>
          <w:trHeight w:val="454"/>
        </w:trPr>
        <w:tc>
          <w:tcPr>
            <w:tcW w:w="809" w:type="pct"/>
            <w:tcBorders>
              <w:top w:val="nil"/>
              <w:bottom w:val="nil"/>
            </w:tcBorders>
            <w:tcMar>
              <w:top w:w="120" w:type="dxa"/>
              <w:left w:w="60" w:type="dxa"/>
              <w:bottom w:w="120" w:type="dxa"/>
              <w:right w:w="60" w:type="dxa"/>
            </w:tcMar>
            <w:vAlign w:val="bottom"/>
          </w:tcPr>
          <w:p w14:paraId="365071DD" w14:textId="77777777" w:rsidR="005949C7" w:rsidRDefault="00000000">
            <w:pPr>
              <w:adjustRightInd w:val="0"/>
              <w:snapToGrid w:val="0"/>
              <w:spacing w:line="360" w:lineRule="auto"/>
              <w:jc w:val="both"/>
              <w:rPr>
                <w:rFonts w:ascii="Book Antiqua" w:eastAsia="宋体" w:hAnsi="Book Antiqua"/>
              </w:rPr>
            </w:pPr>
            <w:r>
              <w:rPr>
                <w:rFonts w:ascii="Book Antiqua" w:eastAsia="宋体" w:hAnsi="Book Antiqua"/>
              </w:rPr>
              <w:t>≤ 2 cm</w:t>
            </w:r>
          </w:p>
        </w:tc>
        <w:tc>
          <w:tcPr>
            <w:tcW w:w="551" w:type="pct"/>
            <w:tcBorders>
              <w:top w:val="nil"/>
              <w:bottom w:val="nil"/>
            </w:tcBorders>
            <w:tcMar>
              <w:top w:w="120" w:type="dxa"/>
              <w:left w:w="60" w:type="dxa"/>
              <w:bottom w:w="120" w:type="dxa"/>
              <w:right w:w="60" w:type="dxa"/>
            </w:tcMar>
            <w:vAlign w:val="bottom"/>
          </w:tcPr>
          <w:p w14:paraId="472CEE59"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28</w:t>
            </w:r>
          </w:p>
        </w:tc>
        <w:tc>
          <w:tcPr>
            <w:tcW w:w="1166" w:type="pct"/>
            <w:tcBorders>
              <w:top w:val="nil"/>
              <w:bottom w:val="nil"/>
            </w:tcBorders>
            <w:tcMar>
              <w:top w:w="120" w:type="dxa"/>
              <w:left w:w="60" w:type="dxa"/>
              <w:bottom w:w="120" w:type="dxa"/>
              <w:right w:w="60" w:type="dxa"/>
            </w:tcMar>
            <w:vAlign w:val="bottom"/>
          </w:tcPr>
          <w:p w14:paraId="21C0959D"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rPr>
              <w:t>21 (52.5)</w:t>
            </w:r>
          </w:p>
        </w:tc>
        <w:tc>
          <w:tcPr>
            <w:tcW w:w="1154" w:type="pct"/>
            <w:tcBorders>
              <w:top w:val="nil"/>
              <w:bottom w:val="nil"/>
            </w:tcBorders>
            <w:tcMar>
              <w:top w:w="120" w:type="dxa"/>
              <w:left w:w="60" w:type="dxa"/>
              <w:bottom w:w="120" w:type="dxa"/>
              <w:right w:w="60" w:type="dxa"/>
            </w:tcMar>
            <w:vAlign w:val="bottom"/>
          </w:tcPr>
          <w:p w14:paraId="7438743C"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rPr>
              <w:t>7 (17.5)</w:t>
            </w:r>
          </w:p>
        </w:tc>
        <w:tc>
          <w:tcPr>
            <w:tcW w:w="539" w:type="pct"/>
            <w:tcBorders>
              <w:top w:val="nil"/>
              <w:bottom w:val="nil"/>
            </w:tcBorders>
          </w:tcPr>
          <w:p w14:paraId="34D01796" w14:textId="77777777" w:rsidR="005949C7" w:rsidRDefault="005949C7">
            <w:pPr>
              <w:adjustRightInd w:val="0"/>
              <w:snapToGrid w:val="0"/>
              <w:spacing w:line="360" w:lineRule="auto"/>
              <w:jc w:val="both"/>
              <w:rPr>
                <w:rFonts w:ascii="Book Antiqua" w:eastAsia="宋体" w:hAnsi="Book Antiqua" w:cs="Book Antiqua"/>
              </w:rPr>
            </w:pPr>
          </w:p>
        </w:tc>
        <w:tc>
          <w:tcPr>
            <w:tcW w:w="779" w:type="pct"/>
            <w:tcBorders>
              <w:top w:val="nil"/>
              <w:bottom w:val="nil"/>
            </w:tcBorders>
            <w:tcMar>
              <w:top w:w="120" w:type="dxa"/>
              <w:left w:w="60" w:type="dxa"/>
              <w:bottom w:w="120" w:type="dxa"/>
              <w:right w:w="60" w:type="dxa"/>
            </w:tcMar>
            <w:vAlign w:val="bottom"/>
          </w:tcPr>
          <w:p w14:paraId="2E259DA6" w14:textId="77777777" w:rsidR="005949C7" w:rsidRDefault="005949C7">
            <w:pPr>
              <w:adjustRightInd w:val="0"/>
              <w:snapToGrid w:val="0"/>
              <w:spacing w:line="360" w:lineRule="auto"/>
              <w:jc w:val="both"/>
              <w:rPr>
                <w:rFonts w:ascii="Book Antiqua" w:eastAsia="宋体" w:hAnsi="Book Antiqua" w:cs="Book Antiqua"/>
              </w:rPr>
            </w:pPr>
          </w:p>
        </w:tc>
      </w:tr>
      <w:tr w:rsidR="005949C7" w14:paraId="51FD2B80" w14:textId="77777777">
        <w:trPr>
          <w:cantSplit/>
          <w:trHeight w:val="454"/>
        </w:trPr>
        <w:tc>
          <w:tcPr>
            <w:tcW w:w="809" w:type="pct"/>
            <w:tcBorders>
              <w:top w:val="nil"/>
              <w:bottom w:val="nil"/>
            </w:tcBorders>
            <w:tcMar>
              <w:top w:w="120" w:type="dxa"/>
              <w:left w:w="60" w:type="dxa"/>
              <w:bottom w:w="120" w:type="dxa"/>
              <w:right w:w="60" w:type="dxa"/>
            </w:tcMar>
            <w:vAlign w:val="bottom"/>
          </w:tcPr>
          <w:p w14:paraId="345E596B" w14:textId="77777777" w:rsidR="005949C7" w:rsidRDefault="00000000">
            <w:pPr>
              <w:adjustRightInd w:val="0"/>
              <w:snapToGrid w:val="0"/>
              <w:spacing w:line="360" w:lineRule="auto"/>
              <w:jc w:val="both"/>
              <w:rPr>
                <w:rFonts w:ascii="Book Antiqua" w:eastAsia="宋体" w:hAnsi="Book Antiqua"/>
              </w:rPr>
            </w:pPr>
            <w:r>
              <w:rPr>
                <w:rFonts w:ascii="Book Antiqua" w:eastAsia="宋体" w:hAnsi="Book Antiqua" w:hint="eastAsia"/>
                <w:lang w:eastAsia="zh-CN"/>
              </w:rPr>
              <w:t>&gt;</w:t>
            </w:r>
            <w:r>
              <w:rPr>
                <w:rFonts w:ascii="Book Antiqua" w:eastAsia="宋体" w:hAnsi="Book Antiqua"/>
                <w:lang w:eastAsia="zh-CN"/>
              </w:rPr>
              <w:t xml:space="preserve"> </w:t>
            </w:r>
            <w:r>
              <w:rPr>
                <w:rFonts w:ascii="Book Antiqua" w:eastAsia="宋体" w:hAnsi="Book Antiqua"/>
              </w:rPr>
              <w:t>2 cm</w:t>
            </w:r>
          </w:p>
        </w:tc>
        <w:tc>
          <w:tcPr>
            <w:tcW w:w="551" w:type="pct"/>
            <w:tcBorders>
              <w:top w:val="nil"/>
              <w:bottom w:val="nil"/>
            </w:tcBorders>
            <w:tcMar>
              <w:top w:w="120" w:type="dxa"/>
              <w:left w:w="60" w:type="dxa"/>
              <w:bottom w:w="120" w:type="dxa"/>
              <w:right w:w="60" w:type="dxa"/>
            </w:tcMar>
            <w:vAlign w:val="bottom"/>
          </w:tcPr>
          <w:p w14:paraId="2299207C"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52</w:t>
            </w:r>
          </w:p>
        </w:tc>
        <w:tc>
          <w:tcPr>
            <w:tcW w:w="1166" w:type="pct"/>
            <w:tcBorders>
              <w:top w:val="nil"/>
              <w:bottom w:val="nil"/>
            </w:tcBorders>
            <w:tcMar>
              <w:top w:w="120" w:type="dxa"/>
              <w:left w:w="60" w:type="dxa"/>
              <w:bottom w:w="120" w:type="dxa"/>
              <w:right w:w="60" w:type="dxa"/>
            </w:tcMar>
            <w:vAlign w:val="bottom"/>
          </w:tcPr>
          <w:p w14:paraId="677FFAE1"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rPr>
              <w:t>19 (47.5)</w:t>
            </w:r>
          </w:p>
        </w:tc>
        <w:tc>
          <w:tcPr>
            <w:tcW w:w="1154" w:type="pct"/>
            <w:tcBorders>
              <w:top w:val="nil"/>
              <w:bottom w:val="nil"/>
            </w:tcBorders>
            <w:tcMar>
              <w:top w:w="120" w:type="dxa"/>
              <w:left w:w="60" w:type="dxa"/>
              <w:bottom w:w="120" w:type="dxa"/>
              <w:right w:w="60" w:type="dxa"/>
            </w:tcMar>
            <w:vAlign w:val="bottom"/>
          </w:tcPr>
          <w:p w14:paraId="33C86EAB"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rPr>
              <w:t>33 (82.5)</w:t>
            </w:r>
          </w:p>
        </w:tc>
        <w:tc>
          <w:tcPr>
            <w:tcW w:w="539" w:type="pct"/>
            <w:tcBorders>
              <w:top w:val="nil"/>
              <w:bottom w:val="nil"/>
            </w:tcBorders>
          </w:tcPr>
          <w:p w14:paraId="2B4A634C" w14:textId="77777777" w:rsidR="005949C7" w:rsidRDefault="005949C7">
            <w:pPr>
              <w:adjustRightInd w:val="0"/>
              <w:snapToGrid w:val="0"/>
              <w:spacing w:line="360" w:lineRule="auto"/>
              <w:jc w:val="both"/>
              <w:rPr>
                <w:rFonts w:ascii="Book Antiqua" w:eastAsia="宋体" w:hAnsi="Book Antiqua" w:cs="Book Antiqua"/>
              </w:rPr>
            </w:pPr>
          </w:p>
        </w:tc>
        <w:tc>
          <w:tcPr>
            <w:tcW w:w="779" w:type="pct"/>
            <w:tcBorders>
              <w:top w:val="nil"/>
              <w:bottom w:val="nil"/>
            </w:tcBorders>
            <w:tcMar>
              <w:top w:w="120" w:type="dxa"/>
              <w:left w:w="60" w:type="dxa"/>
              <w:bottom w:w="120" w:type="dxa"/>
              <w:right w:w="60" w:type="dxa"/>
            </w:tcMar>
            <w:vAlign w:val="bottom"/>
          </w:tcPr>
          <w:p w14:paraId="5FD037E5" w14:textId="77777777" w:rsidR="005949C7" w:rsidRDefault="005949C7">
            <w:pPr>
              <w:adjustRightInd w:val="0"/>
              <w:snapToGrid w:val="0"/>
              <w:spacing w:line="360" w:lineRule="auto"/>
              <w:jc w:val="both"/>
              <w:rPr>
                <w:rFonts w:ascii="Book Antiqua" w:eastAsia="宋体" w:hAnsi="Book Antiqua" w:cs="Book Antiqua"/>
              </w:rPr>
            </w:pPr>
          </w:p>
        </w:tc>
      </w:tr>
      <w:tr w:rsidR="005949C7" w14:paraId="732AC22F" w14:textId="77777777">
        <w:trPr>
          <w:cantSplit/>
          <w:trHeight w:val="454"/>
        </w:trPr>
        <w:tc>
          <w:tcPr>
            <w:tcW w:w="809" w:type="pct"/>
            <w:tcBorders>
              <w:top w:val="nil"/>
              <w:bottom w:val="nil"/>
            </w:tcBorders>
            <w:tcMar>
              <w:top w:w="120" w:type="dxa"/>
              <w:left w:w="60" w:type="dxa"/>
              <w:bottom w:w="120" w:type="dxa"/>
              <w:right w:w="60" w:type="dxa"/>
            </w:tcMar>
            <w:vAlign w:val="bottom"/>
          </w:tcPr>
          <w:p w14:paraId="787AA922" w14:textId="77777777" w:rsidR="005949C7" w:rsidRDefault="00000000">
            <w:pPr>
              <w:adjustRightInd w:val="0"/>
              <w:snapToGrid w:val="0"/>
              <w:spacing w:line="360" w:lineRule="auto"/>
              <w:jc w:val="both"/>
              <w:rPr>
                <w:rFonts w:ascii="Book Antiqua" w:eastAsia="宋体" w:hAnsi="Book Antiqua"/>
              </w:rPr>
            </w:pPr>
            <w:hyperlink r:id="rId26" w:history="1">
              <w:r>
                <w:rPr>
                  <w:rFonts w:ascii="Book Antiqua" w:eastAsia="宋体" w:hAnsi="Book Antiqua"/>
                </w:rPr>
                <w:t>Lymph node metastasis</w:t>
              </w:r>
            </w:hyperlink>
          </w:p>
        </w:tc>
        <w:tc>
          <w:tcPr>
            <w:tcW w:w="551" w:type="pct"/>
            <w:tcBorders>
              <w:top w:val="nil"/>
              <w:bottom w:val="nil"/>
            </w:tcBorders>
            <w:tcMar>
              <w:top w:w="120" w:type="dxa"/>
              <w:left w:w="60" w:type="dxa"/>
              <w:bottom w:w="120" w:type="dxa"/>
              <w:right w:w="60" w:type="dxa"/>
            </w:tcMar>
            <w:vAlign w:val="bottom"/>
          </w:tcPr>
          <w:p w14:paraId="14B7832D" w14:textId="77777777" w:rsidR="005949C7" w:rsidRDefault="005949C7">
            <w:pPr>
              <w:adjustRightInd w:val="0"/>
              <w:snapToGrid w:val="0"/>
              <w:spacing w:line="360" w:lineRule="auto"/>
              <w:jc w:val="both"/>
              <w:rPr>
                <w:rFonts w:ascii="Book Antiqua" w:eastAsia="宋体" w:hAnsi="Book Antiqua" w:cs="Book Antiqua"/>
              </w:rPr>
            </w:pPr>
          </w:p>
        </w:tc>
        <w:tc>
          <w:tcPr>
            <w:tcW w:w="1166" w:type="pct"/>
            <w:tcBorders>
              <w:top w:val="nil"/>
              <w:bottom w:val="nil"/>
            </w:tcBorders>
            <w:tcMar>
              <w:top w:w="120" w:type="dxa"/>
              <w:left w:w="60" w:type="dxa"/>
              <w:bottom w:w="120" w:type="dxa"/>
              <w:right w:w="60" w:type="dxa"/>
            </w:tcMar>
            <w:vAlign w:val="bottom"/>
          </w:tcPr>
          <w:p w14:paraId="5F3018B5" w14:textId="77777777" w:rsidR="005949C7" w:rsidRDefault="005949C7">
            <w:pPr>
              <w:adjustRightInd w:val="0"/>
              <w:snapToGrid w:val="0"/>
              <w:spacing w:line="360" w:lineRule="auto"/>
              <w:jc w:val="both"/>
              <w:rPr>
                <w:rFonts w:ascii="Book Antiqua" w:eastAsia="宋体" w:hAnsi="Book Antiqua" w:cs="Book Antiqua"/>
              </w:rPr>
            </w:pPr>
          </w:p>
        </w:tc>
        <w:tc>
          <w:tcPr>
            <w:tcW w:w="1154" w:type="pct"/>
            <w:tcBorders>
              <w:top w:val="nil"/>
              <w:bottom w:val="nil"/>
            </w:tcBorders>
            <w:tcMar>
              <w:top w:w="120" w:type="dxa"/>
              <w:left w:w="60" w:type="dxa"/>
              <w:bottom w:w="120" w:type="dxa"/>
              <w:right w:w="60" w:type="dxa"/>
            </w:tcMar>
            <w:vAlign w:val="bottom"/>
          </w:tcPr>
          <w:p w14:paraId="5330BCE8" w14:textId="77777777" w:rsidR="005949C7" w:rsidRDefault="005949C7">
            <w:pPr>
              <w:adjustRightInd w:val="0"/>
              <w:snapToGrid w:val="0"/>
              <w:spacing w:line="360" w:lineRule="auto"/>
              <w:jc w:val="both"/>
              <w:rPr>
                <w:rFonts w:ascii="Book Antiqua" w:eastAsia="宋体" w:hAnsi="Book Antiqua" w:cs="Book Antiqua"/>
              </w:rPr>
            </w:pPr>
          </w:p>
        </w:tc>
        <w:tc>
          <w:tcPr>
            <w:tcW w:w="539" w:type="pct"/>
            <w:tcBorders>
              <w:top w:val="nil"/>
              <w:bottom w:val="nil"/>
            </w:tcBorders>
          </w:tcPr>
          <w:p w14:paraId="0FCBF25E" w14:textId="77777777" w:rsidR="005949C7" w:rsidRDefault="00000000">
            <w:pPr>
              <w:spacing w:line="360" w:lineRule="auto"/>
              <w:jc w:val="both"/>
              <w:rPr>
                <w:rFonts w:ascii="Book Antiqua" w:eastAsia="宋体" w:hAnsi="Book Antiqua" w:cs="Book Antiqua"/>
              </w:rPr>
            </w:pPr>
            <w:r>
              <w:rPr>
                <w:rFonts w:ascii="Book Antiqua" w:eastAsia="宋体" w:hAnsi="Book Antiqua"/>
              </w:rPr>
              <w:t>25.208</w:t>
            </w:r>
          </w:p>
        </w:tc>
        <w:tc>
          <w:tcPr>
            <w:tcW w:w="779" w:type="pct"/>
            <w:tcBorders>
              <w:top w:val="nil"/>
              <w:bottom w:val="nil"/>
            </w:tcBorders>
            <w:tcMar>
              <w:top w:w="120" w:type="dxa"/>
              <w:left w:w="60" w:type="dxa"/>
              <w:bottom w:w="120" w:type="dxa"/>
              <w:right w:w="60" w:type="dxa"/>
            </w:tcMar>
            <w:vAlign w:val="center"/>
          </w:tcPr>
          <w:p w14:paraId="1E1DAAB6"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hint="eastAsia"/>
                <w:lang w:eastAsia="zh-CN"/>
              </w:rPr>
              <w:t>&lt;</w:t>
            </w:r>
            <w:r>
              <w:rPr>
                <w:rFonts w:ascii="Book Antiqua" w:eastAsia="宋体" w:hAnsi="Book Antiqua"/>
                <w:lang w:eastAsia="zh-CN"/>
              </w:rPr>
              <w:t xml:space="preserve"> </w:t>
            </w:r>
            <w:r>
              <w:rPr>
                <w:rFonts w:ascii="Book Antiqua" w:eastAsia="宋体" w:hAnsi="Book Antiqua"/>
              </w:rPr>
              <w:t>0.001</w:t>
            </w:r>
          </w:p>
        </w:tc>
      </w:tr>
      <w:tr w:rsidR="005949C7" w14:paraId="7E856FEB" w14:textId="77777777">
        <w:trPr>
          <w:cantSplit/>
          <w:trHeight w:val="454"/>
        </w:trPr>
        <w:tc>
          <w:tcPr>
            <w:tcW w:w="809" w:type="pct"/>
            <w:tcBorders>
              <w:top w:val="nil"/>
              <w:bottom w:val="nil"/>
            </w:tcBorders>
            <w:tcMar>
              <w:top w:w="120" w:type="dxa"/>
              <w:left w:w="60" w:type="dxa"/>
              <w:bottom w:w="120" w:type="dxa"/>
              <w:right w:w="60" w:type="dxa"/>
            </w:tcMar>
            <w:vAlign w:val="bottom"/>
          </w:tcPr>
          <w:p w14:paraId="4A687C82" w14:textId="77777777" w:rsidR="005949C7" w:rsidRDefault="00000000">
            <w:pPr>
              <w:adjustRightInd w:val="0"/>
              <w:snapToGrid w:val="0"/>
              <w:spacing w:line="360" w:lineRule="auto"/>
              <w:jc w:val="both"/>
              <w:rPr>
                <w:rFonts w:ascii="Book Antiqua" w:hAnsi="Book Antiqua"/>
              </w:rPr>
            </w:pPr>
            <w:r>
              <w:rPr>
                <w:rFonts w:ascii="Book Antiqua" w:eastAsia="宋体" w:hAnsi="Book Antiqua"/>
              </w:rPr>
              <w:t>No</w:t>
            </w:r>
          </w:p>
        </w:tc>
        <w:tc>
          <w:tcPr>
            <w:tcW w:w="551" w:type="pct"/>
            <w:tcBorders>
              <w:top w:val="nil"/>
              <w:bottom w:val="nil"/>
            </w:tcBorders>
            <w:tcMar>
              <w:top w:w="120" w:type="dxa"/>
              <w:left w:w="60" w:type="dxa"/>
              <w:bottom w:w="120" w:type="dxa"/>
              <w:right w:w="60" w:type="dxa"/>
            </w:tcMar>
            <w:vAlign w:val="bottom"/>
          </w:tcPr>
          <w:p w14:paraId="257D75BF"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48</w:t>
            </w:r>
          </w:p>
        </w:tc>
        <w:tc>
          <w:tcPr>
            <w:tcW w:w="1166" w:type="pct"/>
            <w:tcBorders>
              <w:top w:val="nil"/>
              <w:bottom w:val="nil"/>
            </w:tcBorders>
            <w:tcMar>
              <w:top w:w="120" w:type="dxa"/>
              <w:left w:w="60" w:type="dxa"/>
              <w:bottom w:w="120" w:type="dxa"/>
              <w:right w:w="60" w:type="dxa"/>
            </w:tcMar>
            <w:vAlign w:val="bottom"/>
          </w:tcPr>
          <w:p w14:paraId="591AF727"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rPr>
              <w:t>35 (87.5)</w:t>
            </w:r>
          </w:p>
        </w:tc>
        <w:tc>
          <w:tcPr>
            <w:tcW w:w="1154" w:type="pct"/>
            <w:tcBorders>
              <w:top w:val="nil"/>
              <w:bottom w:val="nil"/>
            </w:tcBorders>
            <w:tcMar>
              <w:top w:w="120" w:type="dxa"/>
              <w:left w:w="60" w:type="dxa"/>
              <w:bottom w:w="120" w:type="dxa"/>
              <w:right w:w="60" w:type="dxa"/>
            </w:tcMar>
            <w:vAlign w:val="bottom"/>
          </w:tcPr>
          <w:p w14:paraId="7A887A0B"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rPr>
              <w:t>13 (32.5)</w:t>
            </w:r>
          </w:p>
        </w:tc>
        <w:tc>
          <w:tcPr>
            <w:tcW w:w="539" w:type="pct"/>
            <w:tcBorders>
              <w:top w:val="nil"/>
              <w:bottom w:val="nil"/>
            </w:tcBorders>
          </w:tcPr>
          <w:p w14:paraId="60BEE0E5" w14:textId="77777777" w:rsidR="005949C7" w:rsidRDefault="005949C7">
            <w:pPr>
              <w:adjustRightInd w:val="0"/>
              <w:snapToGrid w:val="0"/>
              <w:spacing w:line="360" w:lineRule="auto"/>
              <w:jc w:val="both"/>
              <w:rPr>
                <w:rFonts w:ascii="Book Antiqua" w:eastAsia="宋体" w:hAnsi="Book Antiqua" w:cs="Book Antiqua"/>
              </w:rPr>
            </w:pPr>
          </w:p>
        </w:tc>
        <w:tc>
          <w:tcPr>
            <w:tcW w:w="779" w:type="pct"/>
            <w:tcBorders>
              <w:top w:val="nil"/>
              <w:bottom w:val="nil"/>
            </w:tcBorders>
            <w:tcMar>
              <w:top w:w="120" w:type="dxa"/>
              <w:left w:w="60" w:type="dxa"/>
              <w:bottom w:w="120" w:type="dxa"/>
              <w:right w:w="60" w:type="dxa"/>
            </w:tcMar>
            <w:vAlign w:val="bottom"/>
          </w:tcPr>
          <w:p w14:paraId="15C6966C" w14:textId="77777777" w:rsidR="005949C7" w:rsidRDefault="005949C7">
            <w:pPr>
              <w:adjustRightInd w:val="0"/>
              <w:snapToGrid w:val="0"/>
              <w:spacing w:line="360" w:lineRule="auto"/>
              <w:jc w:val="both"/>
              <w:rPr>
                <w:rFonts w:ascii="Book Antiqua" w:eastAsia="宋体" w:hAnsi="Book Antiqua" w:cs="Book Antiqua"/>
              </w:rPr>
            </w:pPr>
          </w:p>
        </w:tc>
      </w:tr>
      <w:tr w:rsidR="005949C7" w14:paraId="328DA8A2" w14:textId="77777777">
        <w:trPr>
          <w:cantSplit/>
          <w:trHeight w:val="454"/>
        </w:trPr>
        <w:tc>
          <w:tcPr>
            <w:tcW w:w="809" w:type="pct"/>
            <w:tcBorders>
              <w:top w:val="nil"/>
              <w:bottom w:val="nil"/>
            </w:tcBorders>
            <w:tcMar>
              <w:top w:w="120" w:type="dxa"/>
              <w:left w:w="60" w:type="dxa"/>
              <w:bottom w:w="120" w:type="dxa"/>
              <w:right w:w="60" w:type="dxa"/>
            </w:tcMar>
            <w:vAlign w:val="bottom"/>
          </w:tcPr>
          <w:p w14:paraId="60237D89" w14:textId="77777777" w:rsidR="005949C7" w:rsidRDefault="00000000">
            <w:pPr>
              <w:adjustRightInd w:val="0"/>
              <w:snapToGrid w:val="0"/>
              <w:spacing w:line="360" w:lineRule="auto"/>
              <w:jc w:val="both"/>
              <w:rPr>
                <w:rFonts w:ascii="Book Antiqua" w:hAnsi="Book Antiqua"/>
              </w:rPr>
            </w:pPr>
            <w:r>
              <w:rPr>
                <w:rFonts w:ascii="Book Antiqua" w:eastAsia="宋体" w:hAnsi="Book Antiqua"/>
              </w:rPr>
              <w:t>Yes</w:t>
            </w:r>
          </w:p>
        </w:tc>
        <w:tc>
          <w:tcPr>
            <w:tcW w:w="551" w:type="pct"/>
            <w:tcBorders>
              <w:top w:val="nil"/>
              <w:bottom w:val="nil"/>
            </w:tcBorders>
            <w:tcMar>
              <w:top w:w="120" w:type="dxa"/>
              <w:left w:w="60" w:type="dxa"/>
              <w:bottom w:w="120" w:type="dxa"/>
              <w:right w:w="60" w:type="dxa"/>
            </w:tcMar>
            <w:vAlign w:val="bottom"/>
          </w:tcPr>
          <w:p w14:paraId="4C93D1A7"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32</w:t>
            </w:r>
          </w:p>
        </w:tc>
        <w:tc>
          <w:tcPr>
            <w:tcW w:w="1166" w:type="pct"/>
            <w:tcBorders>
              <w:top w:val="nil"/>
              <w:bottom w:val="nil"/>
            </w:tcBorders>
            <w:tcMar>
              <w:top w:w="120" w:type="dxa"/>
              <w:left w:w="60" w:type="dxa"/>
              <w:bottom w:w="120" w:type="dxa"/>
              <w:right w:w="60" w:type="dxa"/>
            </w:tcMar>
            <w:vAlign w:val="bottom"/>
          </w:tcPr>
          <w:p w14:paraId="5DDEC830" w14:textId="77777777" w:rsidR="005949C7" w:rsidRDefault="00000000">
            <w:pPr>
              <w:adjustRightInd w:val="0"/>
              <w:snapToGrid w:val="0"/>
              <w:spacing w:line="360" w:lineRule="auto"/>
              <w:jc w:val="both"/>
              <w:rPr>
                <w:rFonts w:ascii="Book Antiqua" w:eastAsia="宋体" w:hAnsi="Book Antiqua" w:cs="Book Antiqua"/>
                <w:lang w:eastAsia="zh-CN"/>
              </w:rPr>
            </w:pPr>
            <w:r>
              <w:rPr>
                <w:rFonts w:ascii="Book Antiqua" w:eastAsia="宋体" w:hAnsi="Book Antiqua" w:cs="Book Antiqua" w:hint="eastAsia"/>
              </w:rPr>
              <w:t>5</w:t>
            </w:r>
            <w:r>
              <w:rPr>
                <w:rFonts w:ascii="Book Antiqua" w:eastAsia="宋体" w:hAnsi="Book Antiqua" w:cs="Book Antiqua" w:hint="eastAsia"/>
                <w:lang w:eastAsia="zh-CN"/>
              </w:rPr>
              <w:t xml:space="preserve"> (</w:t>
            </w:r>
            <w:r>
              <w:rPr>
                <w:rFonts w:ascii="Book Antiqua" w:eastAsia="宋体" w:hAnsi="Book Antiqua" w:cs="Book Antiqua" w:hint="eastAsia"/>
              </w:rPr>
              <w:t>12.5</w:t>
            </w:r>
            <w:r>
              <w:rPr>
                <w:rFonts w:ascii="Book Antiqua" w:eastAsia="宋体" w:hAnsi="Book Antiqua" w:cs="Book Antiqua" w:hint="eastAsia"/>
                <w:lang w:eastAsia="zh-CN"/>
              </w:rPr>
              <w:t>)</w:t>
            </w:r>
          </w:p>
        </w:tc>
        <w:tc>
          <w:tcPr>
            <w:tcW w:w="1154" w:type="pct"/>
            <w:tcBorders>
              <w:top w:val="nil"/>
              <w:bottom w:val="nil"/>
            </w:tcBorders>
            <w:tcMar>
              <w:top w:w="120" w:type="dxa"/>
              <w:left w:w="60" w:type="dxa"/>
              <w:bottom w:w="120" w:type="dxa"/>
              <w:right w:w="60" w:type="dxa"/>
            </w:tcMar>
            <w:vAlign w:val="bottom"/>
          </w:tcPr>
          <w:p w14:paraId="46B2AF15" w14:textId="77777777" w:rsidR="005949C7" w:rsidRDefault="00000000">
            <w:pPr>
              <w:adjustRightInd w:val="0"/>
              <w:snapToGrid w:val="0"/>
              <w:spacing w:line="360" w:lineRule="auto"/>
              <w:jc w:val="both"/>
              <w:rPr>
                <w:rFonts w:ascii="Book Antiqua" w:eastAsia="宋体" w:hAnsi="Book Antiqua" w:cs="Book Antiqua"/>
                <w:lang w:eastAsia="zh-CN"/>
              </w:rPr>
            </w:pPr>
            <w:r>
              <w:rPr>
                <w:rFonts w:ascii="Book Antiqua" w:eastAsia="宋体" w:hAnsi="Book Antiqua" w:cs="Book Antiqua" w:hint="eastAsia"/>
              </w:rPr>
              <w:t>27</w:t>
            </w:r>
            <w:r>
              <w:rPr>
                <w:rFonts w:ascii="Book Antiqua" w:eastAsia="宋体" w:hAnsi="Book Antiqua" w:cs="Book Antiqua" w:hint="eastAsia"/>
                <w:lang w:eastAsia="zh-CN"/>
              </w:rPr>
              <w:t xml:space="preserve"> (</w:t>
            </w:r>
            <w:r>
              <w:rPr>
                <w:rFonts w:ascii="Book Antiqua" w:eastAsia="宋体" w:hAnsi="Book Antiqua" w:cs="Book Antiqua" w:hint="eastAsia"/>
              </w:rPr>
              <w:t>67.5</w:t>
            </w:r>
            <w:r>
              <w:rPr>
                <w:rFonts w:ascii="Book Antiqua" w:eastAsia="宋体" w:hAnsi="Book Antiqua" w:cs="Book Antiqua" w:hint="eastAsia"/>
                <w:lang w:eastAsia="zh-CN"/>
              </w:rPr>
              <w:t>)</w:t>
            </w:r>
          </w:p>
        </w:tc>
        <w:tc>
          <w:tcPr>
            <w:tcW w:w="539" w:type="pct"/>
            <w:tcBorders>
              <w:top w:val="nil"/>
              <w:bottom w:val="nil"/>
            </w:tcBorders>
          </w:tcPr>
          <w:p w14:paraId="4FF383B5" w14:textId="77777777" w:rsidR="005949C7" w:rsidRDefault="005949C7">
            <w:pPr>
              <w:adjustRightInd w:val="0"/>
              <w:snapToGrid w:val="0"/>
              <w:spacing w:line="360" w:lineRule="auto"/>
              <w:jc w:val="both"/>
              <w:rPr>
                <w:rFonts w:ascii="Book Antiqua" w:eastAsia="宋体" w:hAnsi="Book Antiqua" w:cs="Book Antiqua"/>
              </w:rPr>
            </w:pPr>
          </w:p>
        </w:tc>
        <w:tc>
          <w:tcPr>
            <w:tcW w:w="779" w:type="pct"/>
            <w:tcBorders>
              <w:top w:val="nil"/>
              <w:bottom w:val="nil"/>
            </w:tcBorders>
            <w:tcMar>
              <w:top w:w="120" w:type="dxa"/>
              <w:left w:w="60" w:type="dxa"/>
              <w:bottom w:w="120" w:type="dxa"/>
              <w:right w:w="60" w:type="dxa"/>
            </w:tcMar>
            <w:vAlign w:val="bottom"/>
          </w:tcPr>
          <w:p w14:paraId="4C1090BE" w14:textId="77777777" w:rsidR="005949C7" w:rsidRDefault="005949C7">
            <w:pPr>
              <w:adjustRightInd w:val="0"/>
              <w:snapToGrid w:val="0"/>
              <w:spacing w:line="360" w:lineRule="auto"/>
              <w:jc w:val="both"/>
              <w:rPr>
                <w:rFonts w:ascii="Book Antiqua" w:eastAsia="宋体" w:hAnsi="Book Antiqua" w:cs="Book Antiqua"/>
              </w:rPr>
            </w:pPr>
          </w:p>
        </w:tc>
      </w:tr>
      <w:tr w:rsidR="005949C7" w14:paraId="29496E5A" w14:textId="77777777">
        <w:trPr>
          <w:cantSplit/>
          <w:trHeight w:val="454"/>
        </w:trPr>
        <w:tc>
          <w:tcPr>
            <w:tcW w:w="809" w:type="pct"/>
            <w:tcBorders>
              <w:top w:val="nil"/>
              <w:bottom w:val="nil"/>
            </w:tcBorders>
            <w:tcMar>
              <w:top w:w="120" w:type="dxa"/>
              <w:left w:w="60" w:type="dxa"/>
              <w:bottom w:w="120" w:type="dxa"/>
              <w:right w:w="60" w:type="dxa"/>
            </w:tcMar>
            <w:vAlign w:val="bottom"/>
          </w:tcPr>
          <w:p w14:paraId="7F8B1FFF" w14:textId="77777777" w:rsidR="005949C7" w:rsidRDefault="00000000">
            <w:pPr>
              <w:adjustRightInd w:val="0"/>
              <w:snapToGrid w:val="0"/>
              <w:spacing w:line="360" w:lineRule="auto"/>
              <w:jc w:val="both"/>
              <w:rPr>
                <w:rFonts w:ascii="Book Antiqua" w:hAnsi="Book Antiqua"/>
              </w:rPr>
            </w:pPr>
            <w:r>
              <w:rPr>
                <w:rFonts w:ascii="Book Antiqua" w:eastAsia="宋体" w:hAnsi="Book Antiqua"/>
              </w:rPr>
              <w:t>Stage</w:t>
            </w:r>
          </w:p>
        </w:tc>
        <w:tc>
          <w:tcPr>
            <w:tcW w:w="551" w:type="pct"/>
            <w:tcBorders>
              <w:top w:val="nil"/>
              <w:bottom w:val="nil"/>
            </w:tcBorders>
            <w:tcMar>
              <w:top w:w="120" w:type="dxa"/>
              <w:left w:w="60" w:type="dxa"/>
              <w:bottom w:w="120" w:type="dxa"/>
              <w:right w:w="60" w:type="dxa"/>
            </w:tcMar>
            <w:vAlign w:val="bottom"/>
          </w:tcPr>
          <w:p w14:paraId="17576EFA" w14:textId="77777777" w:rsidR="005949C7" w:rsidRDefault="005949C7">
            <w:pPr>
              <w:adjustRightInd w:val="0"/>
              <w:snapToGrid w:val="0"/>
              <w:spacing w:line="360" w:lineRule="auto"/>
              <w:jc w:val="both"/>
              <w:rPr>
                <w:rFonts w:ascii="Book Antiqua" w:eastAsia="宋体" w:hAnsi="Book Antiqua" w:cs="Book Antiqua"/>
              </w:rPr>
            </w:pPr>
          </w:p>
        </w:tc>
        <w:tc>
          <w:tcPr>
            <w:tcW w:w="1166" w:type="pct"/>
            <w:tcBorders>
              <w:top w:val="nil"/>
              <w:bottom w:val="nil"/>
            </w:tcBorders>
            <w:tcMar>
              <w:top w:w="120" w:type="dxa"/>
              <w:left w:w="60" w:type="dxa"/>
              <w:bottom w:w="120" w:type="dxa"/>
              <w:right w:w="60" w:type="dxa"/>
            </w:tcMar>
            <w:vAlign w:val="bottom"/>
          </w:tcPr>
          <w:p w14:paraId="104931AF" w14:textId="77777777" w:rsidR="005949C7" w:rsidRDefault="005949C7">
            <w:pPr>
              <w:adjustRightInd w:val="0"/>
              <w:snapToGrid w:val="0"/>
              <w:spacing w:line="360" w:lineRule="auto"/>
              <w:jc w:val="both"/>
              <w:rPr>
                <w:rFonts w:ascii="Book Antiqua" w:eastAsia="宋体" w:hAnsi="Book Antiqua" w:cs="Book Antiqua"/>
              </w:rPr>
            </w:pPr>
          </w:p>
        </w:tc>
        <w:tc>
          <w:tcPr>
            <w:tcW w:w="1154" w:type="pct"/>
            <w:tcBorders>
              <w:top w:val="nil"/>
              <w:bottom w:val="nil"/>
            </w:tcBorders>
            <w:tcMar>
              <w:top w:w="120" w:type="dxa"/>
              <w:left w:w="60" w:type="dxa"/>
              <w:bottom w:w="120" w:type="dxa"/>
              <w:right w:w="60" w:type="dxa"/>
            </w:tcMar>
            <w:vAlign w:val="bottom"/>
          </w:tcPr>
          <w:p w14:paraId="6303B747" w14:textId="77777777" w:rsidR="005949C7" w:rsidRDefault="005949C7">
            <w:pPr>
              <w:adjustRightInd w:val="0"/>
              <w:snapToGrid w:val="0"/>
              <w:spacing w:line="360" w:lineRule="auto"/>
              <w:jc w:val="both"/>
              <w:rPr>
                <w:rFonts w:ascii="Book Antiqua" w:eastAsia="宋体" w:hAnsi="Book Antiqua" w:cs="Book Antiqua"/>
              </w:rPr>
            </w:pPr>
          </w:p>
        </w:tc>
        <w:tc>
          <w:tcPr>
            <w:tcW w:w="539" w:type="pct"/>
            <w:tcBorders>
              <w:top w:val="nil"/>
              <w:bottom w:val="nil"/>
            </w:tcBorders>
          </w:tcPr>
          <w:p w14:paraId="209AFB2F"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rPr>
              <w:t>11.250</w:t>
            </w:r>
          </w:p>
        </w:tc>
        <w:tc>
          <w:tcPr>
            <w:tcW w:w="779" w:type="pct"/>
            <w:tcBorders>
              <w:top w:val="nil"/>
              <w:bottom w:val="nil"/>
            </w:tcBorders>
            <w:tcMar>
              <w:top w:w="120" w:type="dxa"/>
              <w:left w:w="60" w:type="dxa"/>
              <w:bottom w:w="120" w:type="dxa"/>
              <w:right w:w="60" w:type="dxa"/>
            </w:tcMar>
            <w:vAlign w:val="bottom"/>
          </w:tcPr>
          <w:p w14:paraId="74A2EC20"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rPr>
              <w:t>0.001</w:t>
            </w:r>
          </w:p>
        </w:tc>
      </w:tr>
      <w:tr w:rsidR="005949C7" w14:paraId="50695B28" w14:textId="77777777">
        <w:trPr>
          <w:cantSplit/>
          <w:trHeight w:val="454"/>
        </w:trPr>
        <w:tc>
          <w:tcPr>
            <w:tcW w:w="809" w:type="pct"/>
            <w:tcBorders>
              <w:top w:val="nil"/>
              <w:bottom w:val="nil"/>
            </w:tcBorders>
            <w:tcMar>
              <w:top w:w="120" w:type="dxa"/>
              <w:left w:w="60" w:type="dxa"/>
              <w:bottom w:w="120" w:type="dxa"/>
              <w:right w:w="60" w:type="dxa"/>
            </w:tcMar>
            <w:vAlign w:val="bottom"/>
          </w:tcPr>
          <w:p w14:paraId="011B4DBD" w14:textId="77777777" w:rsidR="005949C7" w:rsidRDefault="00000000">
            <w:pPr>
              <w:adjustRightInd w:val="0"/>
              <w:snapToGrid w:val="0"/>
              <w:spacing w:line="360" w:lineRule="auto"/>
              <w:jc w:val="both"/>
              <w:rPr>
                <w:rFonts w:ascii="Book Antiqua" w:hAnsi="Book Antiqua"/>
              </w:rPr>
            </w:pPr>
            <w:r>
              <w:rPr>
                <w:rFonts w:ascii="Book Antiqua" w:eastAsia="宋体" w:hAnsi="Book Antiqua"/>
              </w:rPr>
              <w:t>I-II</w:t>
            </w:r>
          </w:p>
        </w:tc>
        <w:tc>
          <w:tcPr>
            <w:tcW w:w="551" w:type="pct"/>
            <w:tcBorders>
              <w:top w:val="nil"/>
              <w:bottom w:val="nil"/>
            </w:tcBorders>
            <w:tcMar>
              <w:top w:w="120" w:type="dxa"/>
              <w:left w:w="60" w:type="dxa"/>
              <w:bottom w:w="120" w:type="dxa"/>
              <w:right w:w="60" w:type="dxa"/>
            </w:tcMar>
            <w:vAlign w:val="bottom"/>
          </w:tcPr>
          <w:p w14:paraId="0F81F360"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64</w:t>
            </w:r>
          </w:p>
        </w:tc>
        <w:tc>
          <w:tcPr>
            <w:tcW w:w="1166" w:type="pct"/>
            <w:tcBorders>
              <w:top w:val="nil"/>
              <w:bottom w:val="nil"/>
            </w:tcBorders>
            <w:tcMar>
              <w:top w:w="120" w:type="dxa"/>
              <w:left w:w="60" w:type="dxa"/>
              <w:bottom w:w="120" w:type="dxa"/>
              <w:right w:w="60" w:type="dxa"/>
            </w:tcMar>
            <w:vAlign w:val="bottom"/>
          </w:tcPr>
          <w:p w14:paraId="076267B2"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rPr>
              <w:t>38 (95)</w:t>
            </w:r>
          </w:p>
        </w:tc>
        <w:tc>
          <w:tcPr>
            <w:tcW w:w="1154" w:type="pct"/>
            <w:tcBorders>
              <w:top w:val="nil"/>
              <w:bottom w:val="nil"/>
            </w:tcBorders>
            <w:tcMar>
              <w:top w:w="120" w:type="dxa"/>
              <w:left w:w="60" w:type="dxa"/>
              <w:bottom w:w="120" w:type="dxa"/>
              <w:right w:w="60" w:type="dxa"/>
            </w:tcMar>
            <w:vAlign w:val="bottom"/>
          </w:tcPr>
          <w:p w14:paraId="6530D105"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rPr>
              <w:t>26 (65)</w:t>
            </w:r>
          </w:p>
        </w:tc>
        <w:tc>
          <w:tcPr>
            <w:tcW w:w="539" w:type="pct"/>
            <w:tcBorders>
              <w:top w:val="nil"/>
              <w:bottom w:val="nil"/>
            </w:tcBorders>
          </w:tcPr>
          <w:p w14:paraId="1CCF9B9A" w14:textId="77777777" w:rsidR="005949C7" w:rsidRDefault="005949C7">
            <w:pPr>
              <w:adjustRightInd w:val="0"/>
              <w:snapToGrid w:val="0"/>
              <w:spacing w:line="360" w:lineRule="auto"/>
              <w:jc w:val="both"/>
              <w:rPr>
                <w:rFonts w:ascii="Book Antiqua" w:eastAsia="宋体" w:hAnsi="Book Antiqua" w:cs="Book Antiqua"/>
              </w:rPr>
            </w:pPr>
          </w:p>
        </w:tc>
        <w:tc>
          <w:tcPr>
            <w:tcW w:w="779" w:type="pct"/>
            <w:tcBorders>
              <w:top w:val="nil"/>
              <w:bottom w:val="nil"/>
            </w:tcBorders>
            <w:tcMar>
              <w:top w:w="120" w:type="dxa"/>
              <w:left w:w="60" w:type="dxa"/>
              <w:bottom w:w="120" w:type="dxa"/>
              <w:right w:w="60" w:type="dxa"/>
            </w:tcMar>
            <w:vAlign w:val="bottom"/>
          </w:tcPr>
          <w:p w14:paraId="63911898" w14:textId="77777777" w:rsidR="005949C7" w:rsidRDefault="005949C7">
            <w:pPr>
              <w:adjustRightInd w:val="0"/>
              <w:snapToGrid w:val="0"/>
              <w:spacing w:line="360" w:lineRule="auto"/>
              <w:jc w:val="both"/>
              <w:rPr>
                <w:rFonts w:ascii="Book Antiqua" w:eastAsia="宋体" w:hAnsi="Book Antiqua" w:cs="Book Antiqua"/>
              </w:rPr>
            </w:pPr>
          </w:p>
        </w:tc>
      </w:tr>
      <w:tr w:rsidR="005949C7" w14:paraId="1FEABDBA" w14:textId="77777777">
        <w:trPr>
          <w:cantSplit/>
          <w:trHeight w:val="454"/>
        </w:trPr>
        <w:tc>
          <w:tcPr>
            <w:tcW w:w="809" w:type="pct"/>
            <w:tcBorders>
              <w:top w:val="nil"/>
              <w:bottom w:val="nil"/>
            </w:tcBorders>
            <w:tcMar>
              <w:top w:w="120" w:type="dxa"/>
              <w:left w:w="60" w:type="dxa"/>
              <w:bottom w:w="120" w:type="dxa"/>
              <w:right w:w="60" w:type="dxa"/>
            </w:tcMar>
            <w:vAlign w:val="bottom"/>
          </w:tcPr>
          <w:p w14:paraId="74DAE27F" w14:textId="77777777" w:rsidR="005949C7" w:rsidRDefault="00000000">
            <w:pPr>
              <w:adjustRightInd w:val="0"/>
              <w:snapToGrid w:val="0"/>
              <w:spacing w:line="360" w:lineRule="auto"/>
              <w:jc w:val="both"/>
              <w:rPr>
                <w:rFonts w:ascii="Book Antiqua" w:hAnsi="Book Antiqua"/>
              </w:rPr>
            </w:pPr>
            <w:r>
              <w:rPr>
                <w:rFonts w:ascii="Book Antiqua" w:eastAsia="宋体" w:hAnsi="Book Antiqua"/>
              </w:rPr>
              <w:t>III</w:t>
            </w:r>
          </w:p>
        </w:tc>
        <w:tc>
          <w:tcPr>
            <w:tcW w:w="551" w:type="pct"/>
            <w:tcBorders>
              <w:top w:val="nil"/>
              <w:bottom w:val="nil"/>
            </w:tcBorders>
            <w:tcMar>
              <w:top w:w="120" w:type="dxa"/>
              <w:left w:w="60" w:type="dxa"/>
              <w:bottom w:w="120" w:type="dxa"/>
              <w:right w:w="60" w:type="dxa"/>
            </w:tcMar>
            <w:vAlign w:val="bottom"/>
          </w:tcPr>
          <w:p w14:paraId="0C302198"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16</w:t>
            </w:r>
          </w:p>
        </w:tc>
        <w:tc>
          <w:tcPr>
            <w:tcW w:w="1166" w:type="pct"/>
            <w:tcBorders>
              <w:top w:val="nil"/>
              <w:bottom w:val="nil"/>
            </w:tcBorders>
            <w:tcMar>
              <w:top w:w="120" w:type="dxa"/>
              <w:left w:w="60" w:type="dxa"/>
              <w:bottom w:w="120" w:type="dxa"/>
              <w:right w:w="60" w:type="dxa"/>
            </w:tcMar>
            <w:vAlign w:val="bottom"/>
          </w:tcPr>
          <w:p w14:paraId="2D8576A6"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rPr>
              <w:t>2 (5)</w:t>
            </w:r>
          </w:p>
        </w:tc>
        <w:tc>
          <w:tcPr>
            <w:tcW w:w="1154" w:type="pct"/>
            <w:tcBorders>
              <w:top w:val="nil"/>
              <w:bottom w:val="nil"/>
            </w:tcBorders>
            <w:tcMar>
              <w:top w:w="120" w:type="dxa"/>
              <w:left w:w="60" w:type="dxa"/>
              <w:bottom w:w="120" w:type="dxa"/>
              <w:right w:w="60" w:type="dxa"/>
            </w:tcMar>
            <w:vAlign w:val="bottom"/>
          </w:tcPr>
          <w:p w14:paraId="74257B25"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rPr>
              <w:t>14 (35)</w:t>
            </w:r>
          </w:p>
        </w:tc>
        <w:tc>
          <w:tcPr>
            <w:tcW w:w="539" w:type="pct"/>
            <w:tcBorders>
              <w:top w:val="nil"/>
              <w:bottom w:val="nil"/>
            </w:tcBorders>
          </w:tcPr>
          <w:p w14:paraId="5CF22729" w14:textId="77777777" w:rsidR="005949C7" w:rsidRDefault="005949C7">
            <w:pPr>
              <w:adjustRightInd w:val="0"/>
              <w:snapToGrid w:val="0"/>
              <w:spacing w:line="360" w:lineRule="auto"/>
              <w:jc w:val="both"/>
              <w:rPr>
                <w:rFonts w:ascii="Book Antiqua" w:eastAsia="宋体" w:hAnsi="Book Antiqua" w:cs="Book Antiqua"/>
              </w:rPr>
            </w:pPr>
          </w:p>
        </w:tc>
        <w:tc>
          <w:tcPr>
            <w:tcW w:w="779" w:type="pct"/>
            <w:tcBorders>
              <w:top w:val="nil"/>
              <w:bottom w:val="nil"/>
            </w:tcBorders>
            <w:tcMar>
              <w:top w:w="120" w:type="dxa"/>
              <w:left w:w="60" w:type="dxa"/>
              <w:bottom w:w="120" w:type="dxa"/>
              <w:right w:w="60" w:type="dxa"/>
            </w:tcMar>
            <w:vAlign w:val="bottom"/>
          </w:tcPr>
          <w:p w14:paraId="50D53F50" w14:textId="77777777" w:rsidR="005949C7" w:rsidRDefault="005949C7">
            <w:pPr>
              <w:adjustRightInd w:val="0"/>
              <w:snapToGrid w:val="0"/>
              <w:spacing w:line="360" w:lineRule="auto"/>
              <w:jc w:val="both"/>
              <w:rPr>
                <w:rFonts w:ascii="Book Antiqua" w:eastAsia="宋体" w:hAnsi="Book Antiqua" w:cs="Book Antiqua"/>
              </w:rPr>
            </w:pPr>
          </w:p>
        </w:tc>
      </w:tr>
      <w:tr w:rsidR="005949C7" w14:paraId="4E2F296F" w14:textId="77777777">
        <w:trPr>
          <w:cantSplit/>
          <w:trHeight w:val="454"/>
        </w:trPr>
        <w:tc>
          <w:tcPr>
            <w:tcW w:w="809" w:type="pct"/>
            <w:tcBorders>
              <w:top w:val="nil"/>
              <w:bottom w:val="nil"/>
            </w:tcBorders>
            <w:tcMar>
              <w:top w:w="120" w:type="dxa"/>
              <w:left w:w="60" w:type="dxa"/>
              <w:bottom w:w="120" w:type="dxa"/>
              <w:right w:w="60" w:type="dxa"/>
            </w:tcMar>
            <w:vAlign w:val="bottom"/>
          </w:tcPr>
          <w:p w14:paraId="0B7D3DFF" w14:textId="77777777" w:rsidR="005949C7" w:rsidRDefault="00000000">
            <w:pPr>
              <w:adjustRightInd w:val="0"/>
              <w:snapToGrid w:val="0"/>
              <w:spacing w:line="360" w:lineRule="auto"/>
              <w:jc w:val="both"/>
              <w:rPr>
                <w:rFonts w:ascii="Book Antiqua" w:eastAsia="宋体" w:hAnsi="Book Antiqua"/>
              </w:rPr>
            </w:pPr>
            <w:r>
              <w:rPr>
                <w:rFonts w:ascii="Book Antiqua" w:eastAsia="宋体" w:hAnsi="Book Antiqua"/>
              </w:rPr>
              <w:t>Subtype</w:t>
            </w:r>
          </w:p>
        </w:tc>
        <w:tc>
          <w:tcPr>
            <w:tcW w:w="551" w:type="pct"/>
            <w:tcBorders>
              <w:top w:val="nil"/>
              <w:bottom w:val="nil"/>
            </w:tcBorders>
            <w:tcMar>
              <w:top w:w="120" w:type="dxa"/>
              <w:left w:w="60" w:type="dxa"/>
              <w:bottom w:w="120" w:type="dxa"/>
              <w:right w:w="60" w:type="dxa"/>
            </w:tcMar>
            <w:vAlign w:val="bottom"/>
          </w:tcPr>
          <w:p w14:paraId="5EC026AB" w14:textId="77777777" w:rsidR="005949C7" w:rsidRDefault="005949C7">
            <w:pPr>
              <w:adjustRightInd w:val="0"/>
              <w:snapToGrid w:val="0"/>
              <w:spacing w:line="360" w:lineRule="auto"/>
              <w:jc w:val="both"/>
              <w:rPr>
                <w:rFonts w:ascii="Book Antiqua" w:eastAsia="宋体" w:hAnsi="Book Antiqua" w:cs="Book Antiqua"/>
              </w:rPr>
            </w:pPr>
          </w:p>
        </w:tc>
        <w:tc>
          <w:tcPr>
            <w:tcW w:w="1166" w:type="pct"/>
            <w:tcBorders>
              <w:top w:val="nil"/>
              <w:bottom w:val="nil"/>
            </w:tcBorders>
            <w:tcMar>
              <w:top w:w="120" w:type="dxa"/>
              <w:left w:w="60" w:type="dxa"/>
              <w:bottom w:w="120" w:type="dxa"/>
              <w:right w:w="60" w:type="dxa"/>
            </w:tcMar>
            <w:vAlign w:val="bottom"/>
          </w:tcPr>
          <w:p w14:paraId="0C984F75" w14:textId="77777777" w:rsidR="005949C7" w:rsidRDefault="005949C7">
            <w:pPr>
              <w:adjustRightInd w:val="0"/>
              <w:snapToGrid w:val="0"/>
              <w:spacing w:line="360" w:lineRule="auto"/>
              <w:jc w:val="both"/>
              <w:rPr>
                <w:rFonts w:ascii="Book Antiqua" w:eastAsia="宋体" w:hAnsi="Book Antiqua" w:cs="Book Antiqua"/>
              </w:rPr>
            </w:pPr>
          </w:p>
        </w:tc>
        <w:tc>
          <w:tcPr>
            <w:tcW w:w="1154" w:type="pct"/>
            <w:tcBorders>
              <w:top w:val="nil"/>
              <w:bottom w:val="nil"/>
            </w:tcBorders>
            <w:tcMar>
              <w:top w:w="120" w:type="dxa"/>
              <w:left w:w="60" w:type="dxa"/>
              <w:bottom w:w="120" w:type="dxa"/>
              <w:right w:w="60" w:type="dxa"/>
            </w:tcMar>
            <w:vAlign w:val="bottom"/>
          </w:tcPr>
          <w:p w14:paraId="4A2CED1B" w14:textId="77777777" w:rsidR="005949C7" w:rsidRDefault="005949C7">
            <w:pPr>
              <w:adjustRightInd w:val="0"/>
              <w:snapToGrid w:val="0"/>
              <w:spacing w:line="360" w:lineRule="auto"/>
              <w:jc w:val="both"/>
              <w:rPr>
                <w:rFonts w:ascii="Book Antiqua" w:eastAsia="宋体" w:hAnsi="Book Antiqua" w:cs="Book Antiqua"/>
              </w:rPr>
            </w:pPr>
          </w:p>
        </w:tc>
        <w:tc>
          <w:tcPr>
            <w:tcW w:w="539" w:type="pct"/>
            <w:tcBorders>
              <w:top w:val="nil"/>
              <w:bottom w:val="nil"/>
            </w:tcBorders>
          </w:tcPr>
          <w:p w14:paraId="38910817"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rPr>
              <w:t>3.660</w:t>
            </w:r>
          </w:p>
        </w:tc>
        <w:tc>
          <w:tcPr>
            <w:tcW w:w="779" w:type="pct"/>
            <w:tcBorders>
              <w:top w:val="nil"/>
              <w:bottom w:val="nil"/>
            </w:tcBorders>
            <w:tcMar>
              <w:top w:w="120" w:type="dxa"/>
              <w:left w:w="60" w:type="dxa"/>
              <w:bottom w:w="120" w:type="dxa"/>
              <w:right w:w="60" w:type="dxa"/>
            </w:tcMar>
            <w:vAlign w:val="bottom"/>
          </w:tcPr>
          <w:p w14:paraId="2EF027AF"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rPr>
              <w:t>0.056</w:t>
            </w:r>
          </w:p>
        </w:tc>
      </w:tr>
      <w:tr w:rsidR="005949C7" w14:paraId="62720DE1" w14:textId="77777777">
        <w:trPr>
          <w:cantSplit/>
          <w:trHeight w:val="454"/>
        </w:trPr>
        <w:tc>
          <w:tcPr>
            <w:tcW w:w="809" w:type="pct"/>
            <w:tcBorders>
              <w:top w:val="nil"/>
              <w:bottom w:val="nil"/>
            </w:tcBorders>
            <w:tcMar>
              <w:top w:w="120" w:type="dxa"/>
              <w:left w:w="60" w:type="dxa"/>
              <w:bottom w:w="120" w:type="dxa"/>
              <w:right w:w="60" w:type="dxa"/>
            </w:tcMar>
            <w:vAlign w:val="bottom"/>
          </w:tcPr>
          <w:p w14:paraId="02555E65" w14:textId="77777777" w:rsidR="005949C7" w:rsidRDefault="00000000">
            <w:pPr>
              <w:adjustRightInd w:val="0"/>
              <w:snapToGrid w:val="0"/>
              <w:spacing w:line="360" w:lineRule="auto"/>
              <w:jc w:val="both"/>
              <w:rPr>
                <w:rFonts w:ascii="Book Antiqua" w:eastAsia="宋体" w:hAnsi="Book Antiqua"/>
              </w:rPr>
            </w:pPr>
            <w:r>
              <w:rPr>
                <w:rFonts w:ascii="Book Antiqua" w:eastAsia="Lato-Regular" w:hAnsi="Book Antiqua"/>
              </w:rPr>
              <w:t>Triple negative</w:t>
            </w:r>
          </w:p>
        </w:tc>
        <w:tc>
          <w:tcPr>
            <w:tcW w:w="551" w:type="pct"/>
            <w:tcBorders>
              <w:top w:val="nil"/>
              <w:bottom w:val="nil"/>
            </w:tcBorders>
            <w:tcMar>
              <w:top w:w="120" w:type="dxa"/>
              <w:left w:w="60" w:type="dxa"/>
              <w:bottom w:w="120" w:type="dxa"/>
              <w:right w:w="60" w:type="dxa"/>
            </w:tcMar>
            <w:vAlign w:val="bottom"/>
          </w:tcPr>
          <w:p w14:paraId="2012FEB8"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17</w:t>
            </w:r>
          </w:p>
        </w:tc>
        <w:tc>
          <w:tcPr>
            <w:tcW w:w="1166" w:type="pct"/>
            <w:tcBorders>
              <w:top w:val="nil"/>
              <w:bottom w:val="nil"/>
            </w:tcBorders>
            <w:tcMar>
              <w:top w:w="120" w:type="dxa"/>
              <w:left w:w="60" w:type="dxa"/>
              <w:bottom w:w="120" w:type="dxa"/>
              <w:right w:w="60" w:type="dxa"/>
            </w:tcMar>
            <w:vAlign w:val="bottom"/>
          </w:tcPr>
          <w:p w14:paraId="13C28AE7"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rPr>
              <w:t>12 (30)</w:t>
            </w:r>
          </w:p>
        </w:tc>
        <w:tc>
          <w:tcPr>
            <w:tcW w:w="1154" w:type="pct"/>
            <w:tcBorders>
              <w:top w:val="nil"/>
              <w:bottom w:val="nil"/>
            </w:tcBorders>
            <w:tcMar>
              <w:top w:w="120" w:type="dxa"/>
              <w:left w:w="60" w:type="dxa"/>
              <w:bottom w:w="120" w:type="dxa"/>
              <w:right w:w="60" w:type="dxa"/>
            </w:tcMar>
            <w:vAlign w:val="bottom"/>
          </w:tcPr>
          <w:p w14:paraId="295770EC"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rPr>
              <w:t>5 (12.5)</w:t>
            </w:r>
          </w:p>
        </w:tc>
        <w:tc>
          <w:tcPr>
            <w:tcW w:w="539" w:type="pct"/>
            <w:tcBorders>
              <w:top w:val="nil"/>
              <w:bottom w:val="nil"/>
            </w:tcBorders>
          </w:tcPr>
          <w:p w14:paraId="1A93DFA2" w14:textId="77777777" w:rsidR="005949C7" w:rsidRDefault="005949C7">
            <w:pPr>
              <w:adjustRightInd w:val="0"/>
              <w:snapToGrid w:val="0"/>
              <w:spacing w:line="360" w:lineRule="auto"/>
              <w:jc w:val="both"/>
              <w:rPr>
                <w:rFonts w:ascii="Book Antiqua" w:eastAsia="宋体" w:hAnsi="Book Antiqua" w:cs="Book Antiqua"/>
              </w:rPr>
            </w:pPr>
          </w:p>
        </w:tc>
        <w:tc>
          <w:tcPr>
            <w:tcW w:w="779" w:type="pct"/>
            <w:tcBorders>
              <w:top w:val="nil"/>
              <w:bottom w:val="nil"/>
            </w:tcBorders>
            <w:tcMar>
              <w:top w:w="120" w:type="dxa"/>
              <w:left w:w="60" w:type="dxa"/>
              <w:bottom w:w="120" w:type="dxa"/>
              <w:right w:w="60" w:type="dxa"/>
            </w:tcMar>
            <w:vAlign w:val="center"/>
          </w:tcPr>
          <w:p w14:paraId="35F711C9"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rPr>
              <w:t xml:space="preserve">  </w:t>
            </w:r>
          </w:p>
        </w:tc>
      </w:tr>
      <w:tr w:rsidR="005949C7" w14:paraId="7D69C4DF" w14:textId="77777777">
        <w:trPr>
          <w:cantSplit/>
          <w:trHeight w:val="454"/>
        </w:trPr>
        <w:tc>
          <w:tcPr>
            <w:tcW w:w="809" w:type="pct"/>
            <w:tcBorders>
              <w:top w:val="nil"/>
              <w:bottom w:val="single" w:sz="4" w:space="0" w:color="auto"/>
            </w:tcBorders>
            <w:tcMar>
              <w:top w:w="120" w:type="dxa"/>
              <w:left w:w="60" w:type="dxa"/>
              <w:bottom w:w="120" w:type="dxa"/>
              <w:right w:w="60" w:type="dxa"/>
            </w:tcMar>
            <w:vAlign w:val="bottom"/>
          </w:tcPr>
          <w:p w14:paraId="4C8B63FA" w14:textId="77777777" w:rsidR="005949C7" w:rsidRDefault="00000000">
            <w:pPr>
              <w:adjustRightInd w:val="0"/>
              <w:snapToGrid w:val="0"/>
              <w:spacing w:line="360" w:lineRule="auto"/>
              <w:jc w:val="both"/>
              <w:rPr>
                <w:rFonts w:ascii="Book Antiqua" w:eastAsia="宋体" w:hAnsi="Book Antiqua"/>
              </w:rPr>
            </w:pPr>
            <w:r>
              <w:rPr>
                <w:rFonts w:ascii="Book Antiqua" w:eastAsia="Lato-Regular" w:hAnsi="Book Antiqua"/>
              </w:rPr>
              <w:lastRenderedPageBreak/>
              <w:t>Non-triple negative</w:t>
            </w:r>
          </w:p>
        </w:tc>
        <w:tc>
          <w:tcPr>
            <w:tcW w:w="551" w:type="pct"/>
            <w:tcBorders>
              <w:top w:val="nil"/>
              <w:bottom w:val="single" w:sz="4" w:space="0" w:color="auto"/>
            </w:tcBorders>
            <w:tcMar>
              <w:top w:w="120" w:type="dxa"/>
              <w:left w:w="60" w:type="dxa"/>
              <w:bottom w:w="120" w:type="dxa"/>
              <w:right w:w="60" w:type="dxa"/>
            </w:tcMar>
            <w:vAlign w:val="bottom"/>
          </w:tcPr>
          <w:p w14:paraId="1A875599"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63</w:t>
            </w:r>
          </w:p>
        </w:tc>
        <w:tc>
          <w:tcPr>
            <w:tcW w:w="1166" w:type="pct"/>
            <w:tcBorders>
              <w:top w:val="nil"/>
              <w:bottom w:val="single" w:sz="4" w:space="0" w:color="auto"/>
            </w:tcBorders>
            <w:tcMar>
              <w:top w:w="120" w:type="dxa"/>
              <w:left w:w="60" w:type="dxa"/>
              <w:bottom w:w="120" w:type="dxa"/>
              <w:right w:w="60" w:type="dxa"/>
            </w:tcMar>
            <w:vAlign w:val="bottom"/>
          </w:tcPr>
          <w:p w14:paraId="54EB9803" w14:textId="77777777" w:rsidR="005949C7" w:rsidRDefault="00000000">
            <w:pPr>
              <w:adjustRightInd w:val="0"/>
              <w:snapToGrid w:val="0"/>
              <w:spacing w:line="360" w:lineRule="auto"/>
              <w:jc w:val="both"/>
              <w:rPr>
                <w:rFonts w:ascii="Book Antiqua" w:eastAsia="宋体" w:hAnsi="Book Antiqua" w:cs="Book Antiqua"/>
                <w:lang w:eastAsia="zh-CN"/>
              </w:rPr>
            </w:pPr>
            <w:r>
              <w:rPr>
                <w:rFonts w:ascii="Book Antiqua" w:eastAsia="宋体" w:hAnsi="Book Antiqua"/>
              </w:rPr>
              <w:t xml:space="preserve">28 </w:t>
            </w:r>
            <w:r>
              <w:rPr>
                <w:rFonts w:ascii="Book Antiqua" w:eastAsia="宋体" w:hAnsi="Book Antiqua" w:hint="eastAsia"/>
                <w:lang w:eastAsia="zh-CN"/>
              </w:rPr>
              <w:t>(</w:t>
            </w:r>
            <w:r>
              <w:rPr>
                <w:rFonts w:ascii="Book Antiqua" w:eastAsia="宋体" w:hAnsi="Book Antiqua"/>
              </w:rPr>
              <w:t>70</w:t>
            </w:r>
            <w:r>
              <w:rPr>
                <w:rFonts w:ascii="Book Antiqua" w:eastAsia="宋体" w:hAnsi="Book Antiqua" w:hint="eastAsia"/>
                <w:lang w:eastAsia="zh-CN"/>
              </w:rPr>
              <w:t>)</w:t>
            </w:r>
          </w:p>
        </w:tc>
        <w:tc>
          <w:tcPr>
            <w:tcW w:w="1154" w:type="pct"/>
            <w:tcBorders>
              <w:top w:val="nil"/>
              <w:bottom w:val="single" w:sz="4" w:space="0" w:color="auto"/>
            </w:tcBorders>
            <w:tcMar>
              <w:top w:w="120" w:type="dxa"/>
              <w:left w:w="60" w:type="dxa"/>
              <w:bottom w:w="120" w:type="dxa"/>
              <w:right w:w="60" w:type="dxa"/>
            </w:tcMar>
            <w:vAlign w:val="bottom"/>
          </w:tcPr>
          <w:p w14:paraId="6D33853A" w14:textId="77777777" w:rsidR="005949C7"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 xml:space="preserve">35 </w:t>
            </w:r>
            <w:r>
              <w:rPr>
                <w:rFonts w:ascii="Book Antiqua" w:eastAsia="宋体" w:hAnsi="Book Antiqua"/>
              </w:rPr>
              <w:t>(87.5)</w:t>
            </w:r>
          </w:p>
        </w:tc>
        <w:tc>
          <w:tcPr>
            <w:tcW w:w="539" w:type="pct"/>
            <w:tcBorders>
              <w:top w:val="nil"/>
              <w:bottom w:val="single" w:sz="4" w:space="0" w:color="auto"/>
            </w:tcBorders>
          </w:tcPr>
          <w:p w14:paraId="6C8AEF9D" w14:textId="77777777" w:rsidR="005949C7" w:rsidRDefault="005949C7">
            <w:pPr>
              <w:adjustRightInd w:val="0"/>
              <w:snapToGrid w:val="0"/>
              <w:spacing w:line="360" w:lineRule="auto"/>
              <w:jc w:val="both"/>
              <w:rPr>
                <w:rFonts w:ascii="Book Antiqua" w:eastAsia="宋体" w:hAnsi="Book Antiqua" w:cs="Book Antiqua"/>
              </w:rPr>
            </w:pPr>
          </w:p>
        </w:tc>
        <w:tc>
          <w:tcPr>
            <w:tcW w:w="779" w:type="pct"/>
            <w:tcBorders>
              <w:top w:val="nil"/>
              <w:bottom w:val="single" w:sz="4" w:space="0" w:color="auto"/>
            </w:tcBorders>
            <w:tcMar>
              <w:top w:w="120" w:type="dxa"/>
              <w:left w:w="60" w:type="dxa"/>
              <w:bottom w:w="120" w:type="dxa"/>
              <w:right w:w="60" w:type="dxa"/>
            </w:tcMar>
            <w:vAlign w:val="bottom"/>
          </w:tcPr>
          <w:p w14:paraId="29174975" w14:textId="77777777" w:rsidR="005949C7" w:rsidRDefault="005949C7">
            <w:pPr>
              <w:adjustRightInd w:val="0"/>
              <w:snapToGrid w:val="0"/>
              <w:spacing w:line="360" w:lineRule="auto"/>
              <w:jc w:val="both"/>
              <w:rPr>
                <w:rFonts w:ascii="Book Antiqua" w:eastAsia="宋体" w:hAnsi="Book Antiqua" w:cs="Book Antiqua"/>
              </w:rPr>
            </w:pPr>
          </w:p>
        </w:tc>
      </w:tr>
    </w:tbl>
    <w:p w14:paraId="5DB2A821" w14:textId="77777777" w:rsidR="005949C7" w:rsidRDefault="005949C7">
      <w:pPr>
        <w:autoSpaceDE w:val="0"/>
        <w:autoSpaceDN w:val="0"/>
        <w:adjustRightInd w:val="0"/>
        <w:spacing w:line="360" w:lineRule="auto"/>
        <w:jc w:val="both"/>
        <w:rPr>
          <w:rFonts w:ascii="Book Antiqua" w:eastAsia="MyriadPro-Light" w:hAnsi="Book Antiqua"/>
        </w:rPr>
      </w:pPr>
    </w:p>
    <w:p w14:paraId="29E8E36A" w14:textId="77777777" w:rsidR="005949C7" w:rsidRDefault="005949C7">
      <w:pPr>
        <w:autoSpaceDE w:val="0"/>
        <w:autoSpaceDN w:val="0"/>
        <w:adjustRightInd w:val="0"/>
        <w:spacing w:line="360" w:lineRule="auto"/>
        <w:jc w:val="both"/>
        <w:rPr>
          <w:rFonts w:ascii="Book Antiqua" w:eastAsia="MyriadPro-Light" w:hAnsi="Book Antiqua"/>
        </w:rPr>
      </w:pPr>
    </w:p>
    <w:p w14:paraId="666922C9" w14:textId="77777777" w:rsidR="005949C7" w:rsidRDefault="005949C7">
      <w:pPr>
        <w:spacing w:line="360" w:lineRule="auto"/>
        <w:jc w:val="both"/>
        <w:rPr>
          <w:rFonts w:ascii="Book Antiqua" w:hAnsi="Book Antiqua"/>
        </w:rPr>
      </w:pPr>
    </w:p>
    <w:p w14:paraId="6A686B95" w14:textId="77777777" w:rsidR="005949C7" w:rsidRDefault="005949C7">
      <w:pPr>
        <w:spacing w:line="360" w:lineRule="auto"/>
        <w:jc w:val="both"/>
        <w:rPr>
          <w:rFonts w:ascii="Book Antiqua" w:hAnsi="Book Antiqua"/>
        </w:rPr>
      </w:pPr>
    </w:p>
    <w:p w14:paraId="42F428EB" w14:textId="77777777" w:rsidR="005949C7" w:rsidRDefault="005949C7">
      <w:pPr>
        <w:spacing w:line="360" w:lineRule="auto"/>
        <w:jc w:val="both"/>
        <w:rPr>
          <w:rFonts w:ascii="Book Antiqua" w:hAnsi="Book Antiqua"/>
        </w:rPr>
      </w:pPr>
    </w:p>
    <w:p w14:paraId="7DB518AE" w14:textId="2CAE9968" w:rsidR="00656947" w:rsidRDefault="00656947">
      <w:pPr>
        <w:spacing w:line="360" w:lineRule="auto"/>
        <w:jc w:val="both"/>
        <w:rPr>
          <w:rFonts w:ascii="Book Antiqua" w:hAnsi="Book Antiqua"/>
        </w:rPr>
      </w:pPr>
    </w:p>
    <w:p w14:paraId="413FFAF4" w14:textId="77777777" w:rsidR="00656947" w:rsidRPr="006D4EDA" w:rsidRDefault="00656947" w:rsidP="00656947">
      <w:pPr>
        <w:snapToGrid w:val="0"/>
        <w:ind w:leftChars="100" w:left="240"/>
        <w:jc w:val="center"/>
        <w:rPr>
          <w:rFonts w:ascii="Book Antiqua" w:hAnsi="Book Antiqua"/>
        </w:rPr>
      </w:pPr>
      <w:r>
        <w:rPr>
          <w:rFonts w:ascii="Book Antiqua" w:hAnsi="Book Antiqua"/>
        </w:rPr>
        <w:br w:type="page"/>
      </w:r>
    </w:p>
    <w:p w14:paraId="4E8B4A1E" w14:textId="77777777" w:rsidR="00656947" w:rsidRPr="006D4EDA" w:rsidRDefault="00656947" w:rsidP="00656947">
      <w:pPr>
        <w:snapToGrid w:val="0"/>
        <w:ind w:leftChars="100" w:left="240"/>
        <w:jc w:val="center"/>
        <w:rPr>
          <w:rFonts w:ascii="Book Antiqua" w:hAnsi="Book Antiqua"/>
        </w:rPr>
      </w:pPr>
    </w:p>
    <w:p w14:paraId="50A734D1" w14:textId="77777777" w:rsidR="00656947" w:rsidRPr="006D4EDA" w:rsidRDefault="00656947" w:rsidP="00656947">
      <w:pPr>
        <w:snapToGrid w:val="0"/>
        <w:ind w:leftChars="100" w:left="240"/>
        <w:jc w:val="center"/>
        <w:rPr>
          <w:rFonts w:ascii="Book Antiqua" w:hAnsi="Book Antiqua"/>
        </w:rPr>
      </w:pPr>
    </w:p>
    <w:p w14:paraId="39A2208D" w14:textId="77777777" w:rsidR="00656947" w:rsidRPr="006D4EDA" w:rsidRDefault="00656947" w:rsidP="00656947">
      <w:pPr>
        <w:snapToGrid w:val="0"/>
        <w:ind w:leftChars="100" w:left="240"/>
        <w:jc w:val="center"/>
        <w:rPr>
          <w:rFonts w:ascii="Book Antiqua" w:hAnsi="Book Antiqua"/>
        </w:rPr>
      </w:pPr>
    </w:p>
    <w:p w14:paraId="1BC786E9" w14:textId="77777777" w:rsidR="00656947" w:rsidRPr="006D4EDA" w:rsidRDefault="00656947" w:rsidP="00656947">
      <w:pPr>
        <w:snapToGrid w:val="0"/>
        <w:ind w:leftChars="100" w:left="240"/>
        <w:jc w:val="center"/>
        <w:rPr>
          <w:rFonts w:ascii="Book Antiqua" w:hAnsi="Book Antiqua"/>
        </w:rPr>
      </w:pPr>
      <w:r w:rsidRPr="006D4EDA">
        <w:rPr>
          <w:rFonts w:ascii="Book Antiqua" w:hAnsi="Book Antiqua"/>
          <w:noProof/>
        </w:rPr>
        <w:drawing>
          <wp:inline distT="0" distB="0" distL="0" distR="0" wp14:anchorId="7EA3C586" wp14:editId="6BDD922C">
            <wp:extent cx="2499360" cy="1440180"/>
            <wp:effectExtent l="0" t="0" r="0" b="7620"/>
            <wp:docPr id="715627393" name="图片 71562739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08F4946" w14:textId="77777777" w:rsidR="00656947" w:rsidRPr="006D4EDA" w:rsidRDefault="00656947" w:rsidP="00656947">
      <w:pPr>
        <w:snapToGrid w:val="0"/>
        <w:ind w:leftChars="100" w:left="240"/>
        <w:jc w:val="center"/>
        <w:rPr>
          <w:rFonts w:ascii="Book Antiqua" w:hAnsi="Book Antiqua"/>
        </w:rPr>
      </w:pPr>
    </w:p>
    <w:p w14:paraId="23FAD7DA" w14:textId="77777777" w:rsidR="00656947" w:rsidRPr="006D4EDA" w:rsidRDefault="00656947" w:rsidP="0065694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69377C5E" w14:textId="77777777" w:rsidR="00656947" w:rsidRPr="006D4EDA" w:rsidRDefault="00656947" w:rsidP="00656947">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10AB0881" w14:textId="77777777" w:rsidR="00656947" w:rsidRPr="006D4EDA" w:rsidRDefault="00656947" w:rsidP="00656947">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0C71F4FD" w14:textId="77777777" w:rsidR="00656947" w:rsidRPr="006D4EDA" w:rsidRDefault="00656947" w:rsidP="00656947">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0AD04343" w14:textId="77777777" w:rsidR="00656947" w:rsidRPr="006D4EDA" w:rsidRDefault="00656947" w:rsidP="00656947">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72B12167" w14:textId="77777777" w:rsidR="00656947" w:rsidRPr="006D4EDA" w:rsidRDefault="00656947" w:rsidP="00656947">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105B51E0" w14:textId="77777777" w:rsidR="00656947" w:rsidRPr="006D4EDA" w:rsidRDefault="00656947" w:rsidP="00656947">
      <w:pPr>
        <w:snapToGrid w:val="0"/>
        <w:ind w:leftChars="100" w:left="240"/>
        <w:jc w:val="center"/>
        <w:rPr>
          <w:rFonts w:ascii="Book Antiqua" w:hAnsi="Book Antiqua"/>
        </w:rPr>
      </w:pPr>
    </w:p>
    <w:p w14:paraId="1A60AFC1" w14:textId="77777777" w:rsidR="00656947" w:rsidRPr="006D4EDA" w:rsidRDefault="00656947" w:rsidP="00656947">
      <w:pPr>
        <w:snapToGrid w:val="0"/>
        <w:ind w:leftChars="100" w:left="240"/>
        <w:jc w:val="center"/>
        <w:rPr>
          <w:rFonts w:ascii="Book Antiqua" w:hAnsi="Book Antiqua"/>
        </w:rPr>
      </w:pPr>
    </w:p>
    <w:p w14:paraId="0A434D7E" w14:textId="77777777" w:rsidR="00656947" w:rsidRPr="006D4EDA" w:rsidRDefault="00656947" w:rsidP="00656947">
      <w:pPr>
        <w:snapToGrid w:val="0"/>
        <w:ind w:leftChars="100" w:left="240"/>
        <w:jc w:val="center"/>
        <w:rPr>
          <w:rFonts w:ascii="Book Antiqua" w:hAnsi="Book Antiqua"/>
        </w:rPr>
      </w:pPr>
    </w:p>
    <w:p w14:paraId="53008E19" w14:textId="77777777" w:rsidR="00656947" w:rsidRPr="006D4EDA" w:rsidRDefault="00656947" w:rsidP="00656947">
      <w:pPr>
        <w:snapToGrid w:val="0"/>
        <w:ind w:leftChars="100" w:left="240"/>
        <w:jc w:val="center"/>
        <w:rPr>
          <w:rFonts w:ascii="Book Antiqua" w:hAnsi="Book Antiqua"/>
        </w:rPr>
      </w:pPr>
      <w:r w:rsidRPr="006D4EDA">
        <w:rPr>
          <w:rFonts w:ascii="Book Antiqua" w:hAnsi="Book Antiqua"/>
          <w:noProof/>
        </w:rPr>
        <w:drawing>
          <wp:inline distT="0" distB="0" distL="0" distR="0" wp14:anchorId="2E3DA2CA" wp14:editId="0D9ADC27">
            <wp:extent cx="1447800" cy="1440180"/>
            <wp:effectExtent l="0" t="0" r="0" b="7620"/>
            <wp:docPr id="1844049707" name="图片 184404970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7583F2E" w14:textId="77777777" w:rsidR="00656947" w:rsidRPr="006D4EDA" w:rsidRDefault="00656947" w:rsidP="00656947">
      <w:pPr>
        <w:snapToGrid w:val="0"/>
        <w:ind w:leftChars="100" w:left="240"/>
        <w:jc w:val="center"/>
        <w:rPr>
          <w:rFonts w:ascii="Book Antiqua" w:hAnsi="Book Antiqua"/>
        </w:rPr>
      </w:pPr>
    </w:p>
    <w:p w14:paraId="6F7CA957" w14:textId="77777777" w:rsidR="00656947" w:rsidRPr="006D4EDA" w:rsidRDefault="00656947" w:rsidP="00656947">
      <w:pPr>
        <w:snapToGrid w:val="0"/>
        <w:ind w:leftChars="100" w:left="240"/>
        <w:jc w:val="center"/>
        <w:rPr>
          <w:rFonts w:ascii="Book Antiqua" w:hAnsi="Book Antiqua"/>
        </w:rPr>
      </w:pPr>
    </w:p>
    <w:p w14:paraId="1C796272" w14:textId="77777777" w:rsidR="00656947" w:rsidRPr="006D4EDA" w:rsidRDefault="00656947" w:rsidP="00656947">
      <w:pPr>
        <w:snapToGrid w:val="0"/>
        <w:ind w:leftChars="100" w:left="240"/>
        <w:jc w:val="center"/>
        <w:rPr>
          <w:rFonts w:ascii="Book Antiqua" w:hAnsi="Book Antiqua"/>
        </w:rPr>
      </w:pPr>
    </w:p>
    <w:p w14:paraId="77C2825B" w14:textId="77777777" w:rsidR="00656947" w:rsidRPr="006D4EDA" w:rsidRDefault="00656947" w:rsidP="00656947">
      <w:pPr>
        <w:snapToGrid w:val="0"/>
        <w:ind w:leftChars="100" w:left="240"/>
        <w:jc w:val="center"/>
        <w:rPr>
          <w:rFonts w:ascii="Book Antiqua" w:hAnsi="Book Antiqua"/>
        </w:rPr>
      </w:pPr>
    </w:p>
    <w:p w14:paraId="7C0FE02E" w14:textId="77777777" w:rsidR="00656947" w:rsidRPr="006D4EDA" w:rsidRDefault="00656947" w:rsidP="00656947">
      <w:pPr>
        <w:snapToGrid w:val="0"/>
        <w:ind w:leftChars="100" w:left="240"/>
        <w:jc w:val="center"/>
        <w:rPr>
          <w:rFonts w:ascii="Book Antiqua" w:hAnsi="Book Antiqua"/>
        </w:rPr>
      </w:pPr>
    </w:p>
    <w:p w14:paraId="0818401F" w14:textId="77777777" w:rsidR="00656947" w:rsidRPr="006D4EDA" w:rsidRDefault="00656947" w:rsidP="00656947">
      <w:pPr>
        <w:snapToGrid w:val="0"/>
        <w:ind w:leftChars="100" w:left="240"/>
        <w:jc w:val="center"/>
        <w:rPr>
          <w:rFonts w:ascii="Book Antiqua" w:hAnsi="Book Antiqua"/>
        </w:rPr>
      </w:pPr>
    </w:p>
    <w:p w14:paraId="25609F09" w14:textId="77777777" w:rsidR="00656947" w:rsidRPr="006D4EDA" w:rsidRDefault="00656947" w:rsidP="00656947">
      <w:pPr>
        <w:snapToGrid w:val="0"/>
        <w:ind w:leftChars="100" w:left="240"/>
        <w:jc w:val="center"/>
        <w:rPr>
          <w:rFonts w:ascii="Book Antiqua" w:hAnsi="Book Antiqua"/>
        </w:rPr>
      </w:pPr>
    </w:p>
    <w:p w14:paraId="06C1D179" w14:textId="77777777" w:rsidR="00656947" w:rsidRPr="006D4EDA" w:rsidRDefault="00656947" w:rsidP="00656947">
      <w:pPr>
        <w:snapToGrid w:val="0"/>
        <w:ind w:leftChars="100" w:left="240"/>
        <w:jc w:val="center"/>
        <w:rPr>
          <w:rFonts w:ascii="Book Antiqua" w:hAnsi="Book Antiqua"/>
        </w:rPr>
      </w:pPr>
    </w:p>
    <w:p w14:paraId="548DC115" w14:textId="77777777" w:rsidR="00656947" w:rsidRPr="006D4EDA" w:rsidRDefault="00656947" w:rsidP="00656947">
      <w:pPr>
        <w:snapToGrid w:val="0"/>
        <w:ind w:leftChars="100" w:left="240"/>
        <w:jc w:val="center"/>
        <w:rPr>
          <w:rFonts w:ascii="Book Antiqua" w:hAnsi="Book Antiqua"/>
        </w:rPr>
      </w:pPr>
    </w:p>
    <w:p w14:paraId="5D353053" w14:textId="77777777" w:rsidR="00656947" w:rsidRPr="006D4EDA" w:rsidRDefault="00656947" w:rsidP="00656947">
      <w:pPr>
        <w:snapToGrid w:val="0"/>
        <w:ind w:leftChars="100" w:left="240"/>
        <w:jc w:val="right"/>
        <w:rPr>
          <w:rFonts w:ascii="Book Antiqua" w:hAnsi="Book Antiqua"/>
          <w:color w:val="000000" w:themeColor="text1"/>
        </w:rPr>
      </w:pPr>
    </w:p>
    <w:p w14:paraId="5C8BB6FE" w14:textId="77777777" w:rsidR="00656947" w:rsidRPr="006D4EDA" w:rsidRDefault="00656947" w:rsidP="00656947">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76F81C1E" w14:textId="77777777" w:rsidR="00656947" w:rsidRPr="006D4EDA" w:rsidRDefault="00656947" w:rsidP="00656947">
      <w:pPr>
        <w:rPr>
          <w:rFonts w:ascii="Book Antiqua" w:hAnsi="Book Antiqua" w:cs="Book Antiqua"/>
          <w:b/>
          <w:bCs/>
          <w:color w:val="000000"/>
        </w:rPr>
      </w:pPr>
    </w:p>
    <w:p w14:paraId="2456B01A" w14:textId="275B8FAE" w:rsidR="00656947" w:rsidRDefault="00656947">
      <w:pPr>
        <w:spacing w:line="360" w:lineRule="auto"/>
        <w:jc w:val="both"/>
        <w:rPr>
          <w:rFonts w:ascii="Book Antiqua" w:hAnsi="Book Antiqua"/>
        </w:rPr>
      </w:pPr>
    </w:p>
    <w:sectPr w:rsidR="006569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AC75D" w14:textId="77777777" w:rsidR="00F743F0" w:rsidRDefault="00F743F0">
      <w:r>
        <w:separator/>
      </w:r>
    </w:p>
  </w:endnote>
  <w:endnote w:type="continuationSeparator" w:id="0">
    <w:p w14:paraId="3F8E3F96" w14:textId="77777777" w:rsidR="00F743F0" w:rsidRDefault="00F74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MyriadPro-Light">
    <w:altName w:val="微软雅黑"/>
    <w:charset w:val="86"/>
    <w:family w:val="swiss"/>
    <w:pitch w:val="default"/>
    <w:sig w:usb0="00000000" w:usb1="00000000" w:usb2="00000010" w:usb3="00000000" w:csb0="00040000" w:csb1="00000000"/>
  </w:font>
  <w:font w:name="Lato-Regular">
    <w:altName w:val="微软雅黑"/>
    <w:charset w:val="86"/>
    <w:family w:val="auto"/>
    <w:pitch w:val="default"/>
    <w:sig w:usb0="00000000" w:usb1="00000000" w:usb2="00000010" w:usb3="00000000" w:csb0="00040001"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910321"/>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06186819" w14:textId="77777777" w:rsidR="005949C7"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21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47</w:t>
            </w:r>
            <w:r>
              <w:rPr>
                <w:rFonts w:ascii="Book Antiqua" w:hAnsi="Book Antiqua"/>
                <w:b/>
                <w:bCs/>
                <w:sz w:val="24"/>
                <w:szCs w:val="24"/>
              </w:rPr>
              <w:fldChar w:fldCharType="end"/>
            </w:r>
          </w:p>
        </w:sdtContent>
      </w:sdt>
    </w:sdtContent>
  </w:sdt>
  <w:p w14:paraId="715E2ABF" w14:textId="77777777" w:rsidR="005949C7" w:rsidRDefault="005949C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05386" w14:textId="77777777" w:rsidR="00F743F0" w:rsidRDefault="00F743F0">
      <w:r>
        <w:separator/>
      </w:r>
    </w:p>
  </w:footnote>
  <w:footnote w:type="continuationSeparator" w:id="0">
    <w:p w14:paraId="50CDC882" w14:textId="77777777" w:rsidR="00F743F0" w:rsidRDefault="00F743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NTFmY2M5ZTlmZDY0NjQzZDFiMTRmMDdmYTM1YjkzZTgifQ=="/>
  </w:docVars>
  <w:rsids>
    <w:rsidRoot w:val="00A77B3E"/>
    <w:rsid w:val="00003FB8"/>
    <w:rsid w:val="0001037A"/>
    <w:rsid w:val="00017730"/>
    <w:rsid w:val="00067F4C"/>
    <w:rsid w:val="000809E4"/>
    <w:rsid w:val="000833EF"/>
    <w:rsid w:val="00084C4B"/>
    <w:rsid w:val="00086781"/>
    <w:rsid w:val="000978AB"/>
    <w:rsid w:val="000C07D8"/>
    <w:rsid w:val="000C2C78"/>
    <w:rsid w:val="000E2625"/>
    <w:rsid w:val="000E4EB6"/>
    <w:rsid w:val="000F09FD"/>
    <w:rsid w:val="000F5322"/>
    <w:rsid w:val="000F71C5"/>
    <w:rsid w:val="0010369A"/>
    <w:rsid w:val="00105B22"/>
    <w:rsid w:val="00112388"/>
    <w:rsid w:val="001142C3"/>
    <w:rsid w:val="00114C07"/>
    <w:rsid w:val="0011705F"/>
    <w:rsid w:val="001174AD"/>
    <w:rsid w:val="00125DA9"/>
    <w:rsid w:val="00134616"/>
    <w:rsid w:val="001369FC"/>
    <w:rsid w:val="00161640"/>
    <w:rsid w:val="0016603B"/>
    <w:rsid w:val="001753A9"/>
    <w:rsid w:val="00191810"/>
    <w:rsid w:val="001A1669"/>
    <w:rsid w:val="001A2DBF"/>
    <w:rsid w:val="001B63D4"/>
    <w:rsid w:val="001C39E5"/>
    <w:rsid w:val="001C5F67"/>
    <w:rsid w:val="001D197F"/>
    <w:rsid w:val="001D3018"/>
    <w:rsid w:val="001E4683"/>
    <w:rsid w:val="001F68C6"/>
    <w:rsid w:val="001F6926"/>
    <w:rsid w:val="00205157"/>
    <w:rsid w:val="00206A4C"/>
    <w:rsid w:val="00207518"/>
    <w:rsid w:val="00225E3A"/>
    <w:rsid w:val="002509EE"/>
    <w:rsid w:val="00250C9C"/>
    <w:rsid w:val="00254AA0"/>
    <w:rsid w:val="0026304C"/>
    <w:rsid w:val="00273C70"/>
    <w:rsid w:val="00276C5B"/>
    <w:rsid w:val="00277FE6"/>
    <w:rsid w:val="002A3FEC"/>
    <w:rsid w:val="002B2B2D"/>
    <w:rsid w:val="002C1913"/>
    <w:rsid w:val="002C7BAE"/>
    <w:rsid w:val="002D489A"/>
    <w:rsid w:val="002D6706"/>
    <w:rsid w:val="002F1E2F"/>
    <w:rsid w:val="002F43A8"/>
    <w:rsid w:val="002F4D8A"/>
    <w:rsid w:val="002F5C98"/>
    <w:rsid w:val="0031204B"/>
    <w:rsid w:val="00314B84"/>
    <w:rsid w:val="00324B8C"/>
    <w:rsid w:val="00326222"/>
    <w:rsid w:val="00331C57"/>
    <w:rsid w:val="003501EB"/>
    <w:rsid w:val="00355F4F"/>
    <w:rsid w:val="00373EBA"/>
    <w:rsid w:val="003816D1"/>
    <w:rsid w:val="00383300"/>
    <w:rsid w:val="00390022"/>
    <w:rsid w:val="003908FB"/>
    <w:rsid w:val="00393632"/>
    <w:rsid w:val="003967D6"/>
    <w:rsid w:val="003A5169"/>
    <w:rsid w:val="003D2F96"/>
    <w:rsid w:val="003D3DDA"/>
    <w:rsid w:val="003E74E3"/>
    <w:rsid w:val="003F1B33"/>
    <w:rsid w:val="003F55DB"/>
    <w:rsid w:val="003F7946"/>
    <w:rsid w:val="00413864"/>
    <w:rsid w:val="004149E8"/>
    <w:rsid w:val="004235FA"/>
    <w:rsid w:val="004247AA"/>
    <w:rsid w:val="004379A5"/>
    <w:rsid w:val="004427D5"/>
    <w:rsid w:val="00447D04"/>
    <w:rsid w:val="00452EDA"/>
    <w:rsid w:val="00464875"/>
    <w:rsid w:val="004703EF"/>
    <w:rsid w:val="00473C39"/>
    <w:rsid w:val="004744F5"/>
    <w:rsid w:val="00487728"/>
    <w:rsid w:val="004939E9"/>
    <w:rsid w:val="004971DD"/>
    <w:rsid w:val="004B7D83"/>
    <w:rsid w:val="004C5DCD"/>
    <w:rsid w:val="004F5859"/>
    <w:rsid w:val="00510E54"/>
    <w:rsid w:val="005150A3"/>
    <w:rsid w:val="005162A9"/>
    <w:rsid w:val="00523BDB"/>
    <w:rsid w:val="00534088"/>
    <w:rsid w:val="005344E8"/>
    <w:rsid w:val="00541D64"/>
    <w:rsid w:val="00554CCE"/>
    <w:rsid w:val="005555EF"/>
    <w:rsid w:val="005557DC"/>
    <w:rsid w:val="00567F0B"/>
    <w:rsid w:val="0057129A"/>
    <w:rsid w:val="00572E41"/>
    <w:rsid w:val="005774B8"/>
    <w:rsid w:val="0058298F"/>
    <w:rsid w:val="00591167"/>
    <w:rsid w:val="005949C7"/>
    <w:rsid w:val="005A17E9"/>
    <w:rsid w:val="005A64EE"/>
    <w:rsid w:val="005A7B57"/>
    <w:rsid w:val="005B2E78"/>
    <w:rsid w:val="005B4DA6"/>
    <w:rsid w:val="005B6143"/>
    <w:rsid w:val="005D4854"/>
    <w:rsid w:val="006053D9"/>
    <w:rsid w:val="00612E3B"/>
    <w:rsid w:val="00621A9D"/>
    <w:rsid w:val="00621FBC"/>
    <w:rsid w:val="00625691"/>
    <w:rsid w:val="00625CF6"/>
    <w:rsid w:val="00626011"/>
    <w:rsid w:val="0063160D"/>
    <w:rsid w:val="00640611"/>
    <w:rsid w:val="006411A3"/>
    <w:rsid w:val="00641522"/>
    <w:rsid w:val="0064485D"/>
    <w:rsid w:val="00646A55"/>
    <w:rsid w:val="0064793D"/>
    <w:rsid w:val="00650AB8"/>
    <w:rsid w:val="00653AF0"/>
    <w:rsid w:val="00656947"/>
    <w:rsid w:val="006615BB"/>
    <w:rsid w:val="00662353"/>
    <w:rsid w:val="00664EB3"/>
    <w:rsid w:val="006712EB"/>
    <w:rsid w:val="00677910"/>
    <w:rsid w:val="00694765"/>
    <w:rsid w:val="006964C1"/>
    <w:rsid w:val="006C0FD8"/>
    <w:rsid w:val="006C7A9D"/>
    <w:rsid w:val="006E3FB9"/>
    <w:rsid w:val="006E6933"/>
    <w:rsid w:val="006F2DF4"/>
    <w:rsid w:val="006F3642"/>
    <w:rsid w:val="006F4CDF"/>
    <w:rsid w:val="0070724A"/>
    <w:rsid w:val="00733141"/>
    <w:rsid w:val="00735D12"/>
    <w:rsid w:val="00740173"/>
    <w:rsid w:val="00761095"/>
    <w:rsid w:val="007A5742"/>
    <w:rsid w:val="007B6CE0"/>
    <w:rsid w:val="007C16B9"/>
    <w:rsid w:val="007D6E24"/>
    <w:rsid w:val="007E293C"/>
    <w:rsid w:val="007E35DF"/>
    <w:rsid w:val="007E6826"/>
    <w:rsid w:val="007F3301"/>
    <w:rsid w:val="007F41A9"/>
    <w:rsid w:val="0080633F"/>
    <w:rsid w:val="0081057C"/>
    <w:rsid w:val="00816A13"/>
    <w:rsid w:val="008258E9"/>
    <w:rsid w:val="00831339"/>
    <w:rsid w:val="00833223"/>
    <w:rsid w:val="008343CF"/>
    <w:rsid w:val="00853B2D"/>
    <w:rsid w:val="0087117E"/>
    <w:rsid w:val="00874B6E"/>
    <w:rsid w:val="00885F26"/>
    <w:rsid w:val="00896082"/>
    <w:rsid w:val="008A572B"/>
    <w:rsid w:val="008A6FBC"/>
    <w:rsid w:val="008C2E43"/>
    <w:rsid w:val="008C44C4"/>
    <w:rsid w:val="008D7CD8"/>
    <w:rsid w:val="008F5397"/>
    <w:rsid w:val="0090358D"/>
    <w:rsid w:val="00911055"/>
    <w:rsid w:val="0091674E"/>
    <w:rsid w:val="00922D69"/>
    <w:rsid w:val="00925E71"/>
    <w:rsid w:val="00926793"/>
    <w:rsid w:val="0093136F"/>
    <w:rsid w:val="00935ECE"/>
    <w:rsid w:val="009551B3"/>
    <w:rsid w:val="00971CE9"/>
    <w:rsid w:val="009B150B"/>
    <w:rsid w:val="009D01DB"/>
    <w:rsid w:val="009D119C"/>
    <w:rsid w:val="009D3644"/>
    <w:rsid w:val="009E1073"/>
    <w:rsid w:val="009E258A"/>
    <w:rsid w:val="00A02E34"/>
    <w:rsid w:val="00A21C53"/>
    <w:rsid w:val="00A37FB9"/>
    <w:rsid w:val="00A760DA"/>
    <w:rsid w:val="00A77B3E"/>
    <w:rsid w:val="00A83B7D"/>
    <w:rsid w:val="00A90E05"/>
    <w:rsid w:val="00A91F0F"/>
    <w:rsid w:val="00AC196D"/>
    <w:rsid w:val="00AC3C55"/>
    <w:rsid w:val="00AC7643"/>
    <w:rsid w:val="00AD2C96"/>
    <w:rsid w:val="00AE3454"/>
    <w:rsid w:val="00AF7F2A"/>
    <w:rsid w:val="00B01F46"/>
    <w:rsid w:val="00B1234E"/>
    <w:rsid w:val="00B36430"/>
    <w:rsid w:val="00B53813"/>
    <w:rsid w:val="00B54B18"/>
    <w:rsid w:val="00B61F20"/>
    <w:rsid w:val="00B83339"/>
    <w:rsid w:val="00B93368"/>
    <w:rsid w:val="00BB0828"/>
    <w:rsid w:val="00BB291C"/>
    <w:rsid w:val="00BC08C8"/>
    <w:rsid w:val="00BC62BE"/>
    <w:rsid w:val="00BE198F"/>
    <w:rsid w:val="00C0369A"/>
    <w:rsid w:val="00C1104C"/>
    <w:rsid w:val="00C11153"/>
    <w:rsid w:val="00C11738"/>
    <w:rsid w:val="00C23728"/>
    <w:rsid w:val="00C50E4D"/>
    <w:rsid w:val="00C65737"/>
    <w:rsid w:val="00C66872"/>
    <w:rsid w:val="00C7402C"/>
    <w:rsid w:val="00C76839"/>
    <w:rsid w:val="00C836DF"/>
    <w:rsid w:val="00C91352"/>
    <w:rsid w:val="00CA1D3F"/>
    <w:rsid w:val="00CA2A55"/>
    <w:rsid w:val="00CB5F54"/>
    <w:rsid w:val="00CC4DB2"/>
    <w:rsid w:val="00CD3256"/>
    <w:rsid w:val="00CD4EE6"/>
    <w:rsid w:val="00CD7C98"/>
    <w:rsid w:val="00CE2EF1"/>
    <w:rsid w:val="00CF14A0"/>
    <w:rsid w:val="00CF25B5"/>
    <w:rsid w:val="00CF29DB"/>
    <w:rsid w:val="00CF566A"/>
    <w:rsid w:val="00D0012C"/>
    <w:rsid w:val="00D17D87"/>
    <w:rsid w:val="00D20595"/>
    <w:rsid w:val="00D20A29"/>
    <w:rsid w:val="00D32ADA"/>
    <w:rsid w:val="00D33D22"/>
    <w:rsid w:val="00D47701"/>
    <w:rsid w:val="00D6497B"/>
    <w:rsid w:val="00D66C07"/>
    <w:rsid w:val="00D73C28"/>
    <w:rsid w:val="00D75078"/>
    <w:rsid w:val="00D80B2F"/>
    <w:rsid w:val="00D815A3"/>
    <w:rsid w:val="00D92AD3"/>
    <w:rsid w:val="00D964A3"/>
    <w:rsid w:val="00DA4849"/>
    <w:rsid w:val="00DC76E7"/>
    <w:rsid w:val="00DC7CFA"/>
    <w:rsid w:val="00DD01A5"/>
    <w:rsid w:val="00DD10E7"/>
    <w:rsid w:val="00DD38C0"/>
    <w:rsid w:val="00DE0E4A"/>
    <w:rsid w:val="00DE32D3"/>
    <w:rsid w:val="00DE5EC9"/>
    <w:rsid w:val="00DF2231"/>
    <w:rsid w:val="00DF3500"/>
    <w:rsid w:val="00DF6C81"/>
    <w:rsid w:val="00E1078E"/>
    <w:rsid w:val="00E173F0"/>
    <w:rsid w:val="00E20AFE"/>
    <w:rsid w:val="00E44054"/>
    <w:rsid w:val="00E47BEF"/>
    <w:rsid w:val="00E62593"/>
    <w:rsid w:val="00E65050"/>
    <w:rsid w:val="00E65C76"/>
    <w:rsid w:val="00EB1BD4"/>
    <w:rsid w:val="00EB7F1A"/>
    <w:rsid w:val="00ED67D6"/>
    <w:rsid w:val="00EE1B77"/>
    <w:rsid w:val="00EE6000"/>
    <w:rsid w:val="00EE68B1"/>
    <w:rsid w:val="00EF00C2"/>
    <w:rsid w:val="00EF6A62"/>
    <w:rsid w:val="00F035DE"/>
    <w:rsid w:val="00F05855"/>
    <w:rsid w:val="00F07A4C"/>
    <w:rsid w:val="00F11E54"/>
    <w:rsid w:val="00F12513"/>
    <w:rsid w:val="00F179C0"/>
    <w:rsid w:val="00F179C4"/>
    <w:rsid w:val="00F22CF5"/>
    <w:rsid w:val="00F522BF"/>
    <w:rsid w:val="00F66518"/>
    <w:rsid w:val="00F671A5"/>
    <w:rsid w:val="00F70390"/>
    <w:rsid w:val="00F743F0"/>
    <w:rsid w:val="00F7578C"/>
    <w:rsid w:val="00F76417"/>
    <w:rsid w:val="00F9370C"/>
    <w:rsid w:val="00F93981"/>
    <w:rsid w:val="00F94E41"/>
    <w:rsid w:val="00F957CE"/>
    <w:rsid w:val="00F96706"/>
    <w:rsid w:val="00FA5CF3"/>
    <w:rsid w:val="00FB2200"/>
    <w:rsid w:val="00FD09CF"/>
    <w:rsid w:val="00FE0B2F"/>
    <w:rsid w:val="00FE1BE7"/>
    <w:rsid w:val="00FE1FC5"/>
    <w:rsid w:val="00FF048C"/>
    <w:rsid w:val="031A3A7D"/>
    <w:rsid w:val="0ADA257D"/>
    <w:rsid w:val="10DC3760"/>
    <w:rsid w:val="142C2138"/>
    <w:rsid w:val="1A5D6B34"/>
    <w:rsid w:val="38C13ABF"/>
    <w:rsid w:val="3B624ECB"/>
    <w:rsid w:val="432509D4"/>
    <w:rsid w:val="66DC3FE0"/>
    <w:rsid w:val="721656D3"/>
    <w:rsid w:val="7CAD4A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ED33E1"/>
  <w15:docId w15:val="{0BA88F8E-B8F4-4A5B-92F3-7811B6FF8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semiHidden/>
    <w:unhideWhenUsed/>
    <w:qFormat/>
  </w:style>
  <w:style w:type="paragraph" w:styleId="a5">
    <w:name w:val="Balloon Text"/>
    <w:basedOn w:val="a"/>
    <w:link w:val="a6"/>
    <w:autoRedefine/>
    <w:semiHidden/>
    <w:unhideWhenUsed/>
    <w:qFormat/>
    <w:rPr>
      <w:sz w:val="18"/>
      <w:szCs w:val="18"/>
    </w:rPr>
  </w:style>
  <w:style w:type="paragraph" w:styleId="a7">
    <w:name w:val="footer"/>
    <w:basedOn w:val="a"/>
    <w:link w:val="a8"/>
    <w:autoRedefine/>
    <w:uiPriority w:val="99"/>
    <w:unhideWhenUsed/>
    <w:qFormat/>
    <w:pPr>
      <w:tabs>
        <w:tab w:val="center" w:pos="4153"/>
        <w:tab w:val="right" w:pos="8306"/>
      </w:tabs>
      <w:snapToGrid w:val="0"/>
    </w:pPr>
    <w:rPr>
      <w:sz w:val="18"/>
      <w:szCs w:val="18"/>
    </w:rPr>
  </w:style>
  <w:style w:type="paragraph" w:styleId="a9">
    <w:name w:val="header"/>
    <w:basedOn w:val="a"/>
    <w:link w:val="aa"/>
    <w:autoRedefine/>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autoRedefine/>
    <w:semiHidden/>
    <w:unhideWhenUsed/>
    <w:qFormat/>
    <w:rPr>
      <w:b/>
      <w:bCs/>
    </w:rPr>
  </w:style>
  <w:style w:type="character" w:styleId="ad">
    <w:name w:val="annotation reference"/>
    <w:basedOn w:val="a0"/>
    <w:autoRedefine/>
    <w:semiHidden/>
    <w:unhideWhenUsed/>
    <w:qFormat/>
    <w:rPr>
      <w:sz w:val="21"/>
      <w:szCs w:val="21"/>
    </w:rPr>
  </w:style>
  <w:style w:type="character" w:customStyle="1" w:styleId="aa">
    <w:name w:val="页眉 字符"/>
    <w:basedOn w:val="a0"/>
    <w:link w:val="a9"/>
    <w:autoRedefine/>
    <w:qFormat/>
    <w:rPr>
      <w:sz w:val="18"/>
      <w:szCs w:val="18"/>
    </w:rPr>
  </w:style>
  <w:style w:type="character" w:customStyle="1" w:styleId="a8">
    <w:name w:val="页脚 字符"/>
    <w:basedOn w:val="a0"/>
    <w:link w:val="a7"/>
    <w:autoRedefine/>
    <w:uiPriority w:val="99"/>
    <w:qFormat/>
    <w:rPr>
      <w:sz w:val="18"/>
      <w:szCs w:val="18"/>
    </w:rPr>
  </w:style>
  <w:style w:type="character" w:customStyle="1" w:styleId="a4">
    <w:name w:val="批注文字 字符"/>
    <w:basedOn w:val="a0"/>
    <w:link w:val="a3"/>
    <w:autoRedefine/>
    <w:semiHidden/>
    <w:qFormat/>
    <w:rPr>
      <w:sz w:val="24"/>
      <w:szCs w:val="24"/>
    </w:rPr>
  </w:style>
  <w:style w:type="character" w:customStyle="1" w:styleId="ac">
    <w:name w:val="批注主题 字符"/>
    <w:basedOn w:val="a4"/>
    <w:link w:val="ab"/>
    <w:autoRedefine/>
    <w:semiHidden/>
    <w:qFormat/>
    <w:rPr>
      <w:b/>
      <w:bCs/>
      <w:sz w:val="24"/>
      <w:szCs w:val="24"/>
    </w:rPr>
  </w:style>
  <w:style w:type="character" w:customStyle="1" w:styleId="a6">
    <w:name w:val="批注框文本 字符"/>
    <w:basedOn w:val="a0"/>
    <w:link w:val="a5"/>
    <w:autoRedefine/>
    <w:semiHidden/>
    <w:qFormat/>
    <w:rPr>
      <w:sz w:val="18"/>
      <w:szCs w:val="18"/>
    </w:rPr>
  </w:style>
  <w:style w:type="paragraph" w:customStyle="1" w:styleId="1">
    <w:name w:val="正文1"/>
    <w:autoRedefine/>
    <w:uiPriority w:val="99"/>
    <w:qFormat/>
    <w:pPr>
      <w:spacing w:line="276" w:lineRule="auto"/>
    </w:pPr>
    <w:rPr>
      <w:rFonts w:ascii="Arial" w:eastAsia="宋体" w:hAnsi="Arial" w:cs="Arial"/>
      <w:color w:val="000000"/>
      <w:sz w:val="22"/>
      <w:lang w:val="pl-PL" w:eastAsia="pl-PL"/>
    </w:rPr>
  </w:style>
  <w:style w:type="paragraph" w:customStyle="1" w:styleId="10">
    <w:name w:val="修订1"/>
    <w:autoRedefine/>
    <w:hidden/>
    <w:uiPriority w:val="99"/>
    <w:semiHidden/>
    <w:qFormat/>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ncbi.nlm.gov/geo"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context.reverso.net/%E7%BF%BB%E8%AF%91/%E8%8B%B1%E8%AF%AD-%E4%B8%AD%E6%96%87/lymph+node+metastasis" TargetMode="Externa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hyperlink" Target="https://xenabrowser.net/"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www.ncbi.nlm.gov/geo" TargetMode="External"/><Relationship Id="rId24" Type="http://schemas.openxmlformats.org/officeDocument/2006/relationships/image" Target="media/image13.png"/><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hyperlink" Target="https://xenabrowser.net/" TargetMode="Externa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hyperlink" Target="https://cn.bing.com/dict/search?q=extracellular%20structure%20organization&amp;FORM=BDVSP2&amp;qpvt=extracellular+structure+organization%e7%bf%bb%e8%af%91"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51</Pages>
  <Words>8731</Words>
  <Characters>49772</Characters>
  <Application>Microsoft Office Word</Application>
  <DocSecurity>0</DocSecurity>
  <Lines>414</Lines>
  <Paragraphs>116</Paragraphs>
  <ScaleCrop>false</ScaleCrop>
  <Company/>
  <LinksUpToDate>false</LinksUpToDate>
  <CharactersWithSpaces>58387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10436</dc:creator>
  <cp:lastModifiedBy>Sophia Zhao</cp:lastModifiedBy>
  <cp:revision>316</cp:revision>
  <dcterms:created xsi:type="dcterms:W3CDTF">2023-12-27T03:28:00Z</dcterms:created>
  <dcterms:modified xsi:type="dcterms:W3CDTF">2024-01-24T07:01:00Z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385FB353656E4A7B9C90D086AED94FD9_12</vt:lpwstr>
  </property>
</Properties>
</file>