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56E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Name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of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Journal: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i/>
        </w:rPr>
        <w:t>World</w:t>
      </w:r>
      <w:r w:rsidR="0012498E" w:rsidRPr="00D24F83">
        <w:rPr>
          <w:rFonts w:ascii="Book Antiqua" w:eastAsia="Book Antiqua" w:hAnsi="Book Antiqua" w:cs="Book Antiqua"/>
          <w:i/>
        </w:rPr>
        <w:t xml:space="preserve"> </w:t>
      </w:r>
      <w:r w:rsidRPr="00D24F83">
        <w:rPr>
          <w:rFonts w:ascii="Book Antiqua" w:eastAsia="Book Antiqua" w:hAnsi="Book Antiqua" w:cs="Book Antiqua"/>
          <w:i/>
        </w:rPr>
        <w:t>Journal</w:t>
      </w:r>
      <w:r w:rsidR="0012498E" w:rsidRPr="00D24F83">
        <w:rPr>
          <w:rFonts w:ascii="Book Antiqua" w:eastAsia="Book Antiqua" w:hAnsi="Book Antiqua" w:cs="Book Antiqua"/>
          <w:i/>
        </w:rPr>
        <w:t xml:space="preserve"> </w:t>
      </w:r>
      <w:r w:rsidRPr="00D24F83">
        <w:rPr>
          <w:rFonts w:ascii="Book Antiqua" w:eastAsia="Book Antiqua" w:hAnsi="Book Antiqua" w:cs="Book Antiqua"/>
          <w:i/>
        </w:rPr>
        <w:t>of</w:t>
      </w:r>
      <w:r w:rsidR="0012498E" w:rsidRPr="00D24F83">
        <w:rPr>
          <w:rFonts w:ascii="Book Antiqua" w:eastAsia="Book Antiqua" w:hAnsi="Book Antiqua" w:cs="Book Antiqua"/>
          <w:i/>
        </w:rPr>
        <w:t xml:space="preserve"> </w:t>
      </w:r>
      <w:r w:rsidRPr="00D24F83">
        <w:rPr>
          <w:rFonts w:ascii="Book Antiqua" w:eastAsia="Book Antiqua" w:hAnsi="Book Antiqua" w:cs="Book Antiqua"/>
          <w:i/>
        </w:rPr>
        <w:t>Gastroenterology</w:t>
      </w:r>
    </w:p>
    <w:p w14:paraId="67F16E2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Manuscript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NO: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90522</w:t>
      </w:r>
    </w:p>
    <w:p w14:paraId="341C5A9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Manuscript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Type: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ORIGINAL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ARTICLE</w:t>
      </w:r>
    </w:p>
    <w:p w14:paraId="3ECB1DAE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13E6E1C" w14:textId="77777777" w:rsidR="00A77B3E" w:rsidRPr="0027318C" w:rsidRDefault="009F1585" w:rsidP="00C13F38">
      <w:pPr>
        <w:spacing w:line="360" w:lineRule="auto"/>
        <w:jc w:val="both"/>
        <w:rPr>
          <w:rFonts w:ascii="Book Antiqua" w:hAnsi="Book Antiqua"/>
          <w:lang w:eastAsia="zh-CN"/>
        </w:rPr>
      </w:pPr>
      <w:r w:rsidRPr="00D24F83">
        <w:rPr>
          <w:rFonts w:ascii="Book Antiqua" w:eastAsia="Book Antiqua" w:hAnsi="Book Antiqua" w:cs="Book Antiqua"/>
          <w:b/>
          <w:i/>
        </w:rPr>
        <w:t>Clinical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Trials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Study</w:t>
      </w:r>
    </w:p>
    <w:p w14:paraId="2312F01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Effect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of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="003C3F06" w:rsidRPr="00D24F83">
        <w:rPr>
          <w:rFonts w:ascii="Book Antiqua" w:eastAsia="Book Antiqua" w:hAnsi="Book Antiqua" w:cs="Book Antiqua"/>
          <w:b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b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b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prolyl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endopeptidase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in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patients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with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celiac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disease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on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a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long-term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gluten-free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diet</w:t>
      </w:r>
    </w:p>
    <w:p w14:paraId="2891FDAC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3BD7C5D" w14:textId="77777777" w:rsidR="00A77B3E" w:rsidRPr="00D24F83" w:rsidRDefault="0029324E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Stefanolo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JP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et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al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disease</w:t>
      </w:r>
    </w:p>
    <w:p w14:paraId="1758BD33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425F16F5" w14:textId="77777777" w:rsidR="00A77B3E" w:rsidRPr="00FC0AE9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lang w:val="es-AR"/>
        </w:rPr>
      </w:pPr>
      <w:r w:rsidRPr="00FC0AE9">
        <w:rPr>
          <w:rFonts w:ascii="Book Antiqua" w:eastAsia="Book Antiqua" w:hAnsi="Book Antiqua" w:cs="Book Antiqua"/>
          <w:lang w:val="es-AR"/>
        </w:rPr>
        <w:t>Juan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Pablo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Stefanolo,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Verónica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Segura,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Martina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Griz</w:t>
      </w:r>
      <w:r w:rsidR="007A61D6" w:rsidRPr="00FC0AE9">
        <w:rPr>
          <w:rFonts w:ascii="Book Antiqua" w:eastAsia="Book Antiqua" w:hAnsi="Book Antiqua" w:cs="Book Antiqua"/>
          <w:lang w:val="es-AR"/>
        </w:rPr>
        <w:t>z</w:t>
      </w:r>
      <w:r w:rsidRPr="00FC0AE9">
        <w:rPr>
          <w:rFonts w:ascii="Book Antiqua" w:eastAsia="Book Antiqua" w:hAnsi="Book Antiqua" w:cs="Book Antiqua"/>
          <w:lang w:val="es-AR"/>
        </w:rPr>
        <w:t>uti,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Abel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Heredia,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Isabel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Comino,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Ana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Florencia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Costa,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Roberto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Puebla,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María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Paz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Temprano,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Sonia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Isabel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Niveloni,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Gabriel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de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Diego,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María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E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Oregui,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Edgardo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Gustavo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Smecuol,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="00FC253E" w:rsidRPr="00FC0AE9">
        <w:rPr>
          <w:rFonts w:ascii="Book Antiqua" w:eastAsia="Book Antiqua" w:hAnsi="Book Antiqua" w:cs="Book Antiqua"/>
          <w:lang w:val="es-AR"/>
        </w:rPr>
        <w:t>Mauricio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="00FC253E" w:rsidRPr="00FC0AE9">
        <w:rPr>
          <w:rFonts w:ascii="Book Antiqua" w:eastAsia="Book Antiqua" w:hAnsi="Book Antiqua" w:cs="Book Antiqua"/>
          <w:lang w:val="es-AR"/>
        </w:rPr>
        <w:t>C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="00FC253E" w:rsidRPr="00FC0AE9">
        <w:rPr>
          <w:rFonts w:ascii="Book Antiqua" w:eastAsia="Book Antiqua" w:hAnsi="Book Antiqua" w:cs="Book Antiqua"/>
          <w:lang w:val="es-AR"/>
        </w:rPr>
        <w:t>de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="00FC253E" w:rsidRPr="00FC0AE9">
        <w:rPr>
          <w:rFonts w:ascii="Book Antiqua" w:eastAsia="Book Antiqua" w:hAnsi="Book Antiqua" w:cs="Book Antiqua"/>
          <w:lang w:val="es-AR"/>
        </w:rPr>
        <w:t>Marzi</w:t>
      </w:r>
      <w:r w:rsidRPr="00FC0AE9">
        <w:rPr>
          <w:rFonts w:ascii="Book Antiqua" w:eastAsia="Book Antiqua" w:hAnsi="Book Antiqua" w:cs="Book Antiqua"/>
          <w:lang w:val="es-AR"/>
        </w:rPr>
        <w:t>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Elena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F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Verdú,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Carolina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Sousa,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Julio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César</w:t>
      </w:r>
      <w:r w:rsidR="0012498E" w:rsidRPr="00FC0AE9">
        <w:rPr>
          <w:rFonts w:ascii="Book Antiqua" w:eastAsia="Book Antiqua" w:hAnsi="Book Antiqua" w:cs="Book Antiqua"/>
          <w:lang w:val="es-AR"/>
        </w:rPr>
        <w:t xml:space="preserve"> </w:t>
      </w:r>
      <w:r w:rsidRPr="00FC0AE9">
        <w:rPr>
          <w:rFonts w:ascii="Book Antiqua" w:eastAsia="Book Antiqua" w:hAnsi="Book Antiqua" w:cs="Book Antiqua"/>
          <w:lang w:val="es-AR"/>
        </w:rPr>
        <w:t>Bai</w:t>
      </w:r>
    </w:p>
    <w:p w14:paraId="55008F24" w14:textId="77777777" w:rsidR="0040458E" w:rsidRPr="00D24F83" w:rsidRDefault="0040458E" w:rsidP="00C13F38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118045A0" w14:textId="77777777" w:rsidR="0040458E" w:rsidRPr="00D24F83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lang w:val="es-AR"/>
        </w:rPr>
      </w:pPr>
      <w:r w:rsidRPr="00D24F83">
        <w:rPr>
          <w:rFonts w:ascii="Book Antiqua" w:eastAsia="Book Antiqua" w:hAnsi="Book Antiqua" w:cs="Book Antiqua"/>
          <w:b/>
          <w:bCs/>
          <w:lang w:val="es-AR"/>
        </w:rPr>
        <w:t>Juan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Pablo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Stefanolo,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Roberto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Puebla,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María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Paz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Temprano,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Sonia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Isabel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Niveloni,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Edgardo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Gustavo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Smecuol,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Small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Bowel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Section,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Department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of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Medicine,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Gastroenterology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Hospital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of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Buenos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Aires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“Dr.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C.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Bonorino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Udaondo”,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Buenos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Aires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1264,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Argentina</w:t>
      </w:r>
    </w:p>
    <w:p w14:paraId="00FBD409" w14:textId="77777777" w:rsidR="0040458E" w:rsidRPr="00D24F83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AR"/>
        </w:rPr>
      </w:pPr>
    </w:p>
    <w:p w14:paraId="580206A1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8570E">
        <w:rPr>
          <w:rFonts w:ascii="Book Antiqua" w:eastAsia="Book Antiqua" w:hAnsi="Book Antiqua" w:cs="Book Antiqua"/>
          <w:b/>
          <w:bCs/>
        </w:rPr>
        <w:t>Verónica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Segura,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Abel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Heredia,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Isabel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Comino,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Carolina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Sousa,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</w:rPr>
        <w:t>Department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Microbiology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and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Parasitology,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Faculty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Pharmacy,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University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Seville,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Seville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41080,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Spain</w:t>
      </w:r>
    </w:p>
    <w:p w14:paraId="60C53284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82FEA11" w14:textId="77777777" w:rsidR="0040458E" w:rsidRPr="00D24F83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lang w:val="es-AR"/>
        </w:rPr>
      </w:pPr>
      <w:r w:rsidRPr="00D24F83">
        <w:rPr>
          <w:rFonts w:ascii="Book Antiqua" w:eastAsia="Book Antiqua" w:hAnsi="Book Antiqua" w:cs="Book Antiqua"/>
          <w:b/>
          <w:bCs/>
          <w:lang w:val="es-AR"/>
        </w:rPr>
        <w:t>Martina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Griz</w:t>
      </w:r>
      <w:r w:rsidR="007A61D6">
        <w:rPr>
          <w:rFonts w:ascii="Book Antiqua" w:eastAsia="Book Antiqua" w:hAnsi="Book Antiqua" w:cs="Book Antiqua"/>
          <w:b/>
          <w:bCs/>
          <w:lang w:val="es-AR"/>
        </w:rPr>
        <w:t>z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uti,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Ana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Florencia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Costa,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María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E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Oregui,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Julio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César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Bai,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Department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of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Medicine,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Dr.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C.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Bonorino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Udaondo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Gastroenterology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Hospital,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Buenos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Aires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1264,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Argentina</w:t>
      </w:r>
    </w:p>
    <w:p w14:paraId="3133482C" w14:textId="77777777" w:rsidR="0040458E" w:rsidRPr="00D24F83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AR"/>
        </w:rPr>
      </w:pPr>
    </w:p>
    <w:p w14:paraId="17648A17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8570E">
        <w:rPr>
          <w:rFonts w:ascii="Book Antiqua" w:eastAsia="Book Antiqua" w:hAnsi="Book Antiqua" w:cs="Book Antiqua"/>
          <w:b/>
          <w:bCs/>
        </w:rPr>
        <w:t>Gabriel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de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Diego,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Mauricio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C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="00FC253E" w:rsidRPr="00B8570E">
        <w:rPr>
          <w:rFonts w:ascii="Book Antiqua" w:eastAsia="Book Antiqua" w:hAnsi="Book Antiqua" w:cs="Book Antiqua"/>
          <w:b/>
          <w:bCs/>
        </w:rPr>
        <w:t>d</w:t>
      </w:r>
      <w:r w:rsidRPr="00B8570E">
        <w:rPr>
          <w:rFonts w:ascii="Book Antiqua" w:eastAsia="Book Antiqua" w:hAnsi="Book Antiqua" w:cs="Book Antiqua"/>
          <w:b/>
          <w:bCs/>
        </w:rPr>
        <w:t>e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Marzi,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</w:rPr>
        <w:t>Basic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and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Applied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Research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Group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in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Immunology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and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Bioactives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(GIBAIB),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Institute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Ecology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and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Sustainable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lastRenderedPageBreak/>
        <w:t>Development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(INEDES),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National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University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Lujan,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Luján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6700,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Buenos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Aires,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Argentina</w:t>
      </w:r>
    </w:p>
    <w:p w14:paraId="0712607D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70C3D80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8570E">
        <w:rPr>
          <w:rFonts w:ascii="Book Antiqua" w:eastAsia="Book Antiqua" w:hAnsi="Book Antiqua" w:cs="Book Antiqua"/>
          <w:b/>
          <w:bCs/>
        </w:rPr>
        <w:t>Elena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F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  <w:b/>
          <w:bCs/>
        </w:rPr>
        <w:t>Verdú,</w:t>
      </w:r>
      <w:r w:rsidR="0012498E" w:rsidRPr="00B8570E">
        <w:rPr>
          <w:rFonts w:ascii="Book Antiqua" w:eastAsia="Book Antiqua" w:hAnsi="Book Antiqua" w:cs="Book Antiqua"/>
          <w:b/>
          <w:bCs/>
        </w:rPr>
        <w:t xml:space="preserve"> </w:t>
      </w:r>
      <w:r w:rsidRPr="00B8570E">
        <w:rPr>
          <w:rFonts w:ascii="Book Antiqua" w:eastAsia="Book Antiqua" w:hAnsi="Book Antiqua" w:cs="Book Antiqua"/>
        </w:rPr>
        <w:t>Department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of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Medicine,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Farncombe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Family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Digestive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Health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Research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Institute,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McMaster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University,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Hamilton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L8S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4L8,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Ontario,</w:t>
      </w:r>
      <w:r w:rsidR="0012498E" w:rsidRPr="00B8570E">
        <w:rPr>
          <w:rFonts w:ascii="Book Antiqua" w:eastAsia="Book Antiqua" w:hAnsi="Book Antiqua" w:cs="Book Antiqua"/>
        </w:rPr>
        <w:t xml:space="preserve"> </w:t>
      </w:r>
      <w:r w:rsidRPr="00B8570E">
        <w:rPr>
          <w:rFonts w:ascii="Book Antiqua" w:eastAsia="Book Antiqua" w:hAnsi="Book Antiqua" w:cs="Book Antiqua"/>
        </w:rPr>
        <w:t>Canada</w:t>
      </w:r>
    </w:p>
    <w:p w14:paraId="5BA04A24" w14:textId="77777777" w:rsidR="0040458E" w:rsidRPr="00B8570E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F491D79" w14:textId="77777777" w:rsidR="00A77B3E" w:rsidRPr="00D24F83" w:rsidRDefault="0040458E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AR"/>
        </w:rPr>
      </w:pPr>
      <w:r w:rsidRPr="00D24F83">
        <w:rPr>
          <w:rFonts w:ascii="Book Antiqua" w:eastAsia="Book Antiqua" w:hAnsi="Book Antiqua" w:cs="Book Antiqua"/>
          <w:b/>
          <w:bCs/>
          <w:lang w:val="es-AR"/>
        </w:rPr>
        <w:t>Julio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César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lang w:val="es-AR"/>
        </w:rPr>
        <w:t>Bai,</w:t>
      </w:r>
      <w:r w:rsidR="0012498E" w:rsidRPr="00D24F83"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Facultad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de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Medicina,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Universidad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del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Salvador,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Buenos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Aires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C1051ABB,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Argentina</w:t>
      </w:r>
    </w:p>
    <w:p w14:paraId="22FC6EFE" w14:textId="77777777" w:rsidR="0040458E" w:rsidRPr="00D24F83" w:rsidRDefault="0040458E" w:rsidP="00C13F38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493ADD6A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D24F83">
        <w:rPr>
          <w:rFonts w:ascii="Book Antiqua" w:eastAsia="Book Antiqua" w:hAnsi="Book Antiqua" w:cs="Book Antiqua"/>
          <w:b/>
          <w:bCs/>
        </w:rPr>
        <w:t>Author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contributions: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Stefanolo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JP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01CED">
        <w:rPr>
          <w:rFonts w:ascii="Book Antiqua" w:eastAsia="Book Antiqua" w:hAnsi="Book Antiqua" w:cs="Book Antiqua"/>
        </w:rPr>
        <w:t xml:space="preserve">performed </w:t>
      </w:r>
      <w:r w:rsidRPr="00D24F83">
        <w:rPr>
          <w:rFonts w:ascii="Book Antiqua" w:eastAsia="Book Antiqua" w:hAnsi="Book Antiqua" w:cs="Book Antiqua"/>
        </w:rPr>
        <w:t>statistical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critical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review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manuscript</w:t>
      </w:r>
      <w:r w:rsidR="00FC253E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Segura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V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Heredia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Comino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="005768F6"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768F6"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768F6"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tests</w:t>
      </w:r>
      <w:r w:rsidR="00FC253E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Grizutti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M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Costa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AF,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Oregui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performed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acquisition</w:t>
      </w:r>
      <w:r w:rsidR="00FC253E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Temprano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MP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assessment</w:t>
      </w:r>
      <w:r w:rsidR="00FC253E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Puebla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R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Diego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Marzi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MC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produced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Pr="00D24F83">
        <w:rPr>
          <w:rFonts w:ascii="Book Antiqua" w:eastAsia="Book Antiqua" w:hAnsi="Book Antiqua" w:cs="Book Antiqua"/>
        </w:rPr>
        <w:t>biochemical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determinations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performed the </w:t>
      </w:r>
      <w:r w:rsidRPr="00D24F83">
        <w:rPr>
          <w:rFonts w:ascii="Book Antiqua" w:eastAsia="Book Antiqua" w:hAnsi="Book Antiqua" w:cs="Book Antiqua"/>
        </w:rPr>
        <w:t>serology</w:t>
      </w:r>
      <w:r w:rsidR="00FC253E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Niveloni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253E" w:rsidRPr="00D24F83">
        <w:rPr>
          <w:rFonts w:ascii="Book Antiqua" w:eastAsia="Book Antiqua" w:hAnsi="Book Antiqua" w:cs="Book Antiqua"/>
        </w:rPr>
        <w:t>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Smecuol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EG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 xml:space="preserve">the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acquisition</w:t>
      </w:r>
      <w:r w:rsidR="00B423F0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Bai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JC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planned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B423F0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Bai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JC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Verdú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EF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Sousa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423F0" w:rsidRPr="00D24F83">
        <w:rPr>
          <w:rFonts w:ascii="Book Antiqua" w:eastAsia="Book Antiqua" w:hAnsi="Book Antiqua" w:cs="Book Antiqua"/>
        </w:rPr>
        <w:t>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04ACD" w:rsidRPr="00D24F83">
        <w:rPr>
          <w:rFonts w:ascii="Book Antiqua" w:eastAsia="Book Antiqua" w:hAnsi="Book Antiqua" w:cs="Book Antiqua"/>
        </w:rPr>
        <w:t xml:space="preserve">data </w:t>
      </w:r>
      <w:r w:rsidRPr="00D24F83">
        <w:rPr>
          <w:rFonts w:ascii="Book Antiqua" w:eastAsia="Book Antiqua" w:hAnsi="Book Antiqua" w:cs="Book Antiqua"/>
        </w:rPr>
        <w:t>analysis,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writing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manuscript</w:t>
      </w:r>
      <w:r w:rsidR="00B423F0"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>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authors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manuscript.</w:t>
      </w:r>
    </w:p>
    <w:p w14:paraId="724D0EDC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1400895" w14:textId="77777777" w:rsidR="00A77B3E" w:rsidRPr="00710C0C" w:rsidRDefault="009F1585" w:rsidP="00C13F38">
      <w:pPr>
        <w:spacing w:line="360" w:lineRule="auto"/>
        <w:jc w:val="both"/>
        <w:rPr>
          <w:rFonts w:ascii="Book Antiqua" w:hAnsi="Book Antiqua"/>
          <w:lang w:val="es-ES"/>
        </w:rPr>
      </w:pPr>
      <w:proofErr w:type="spellStart"/>
      <w:r w:rsidRPr="00710C0C">
        <w:rPr>
          <w:rFonts w:ascii="Book Antiqua" w:eastAsia="Book Antiqua" w:hAnsi="Book Antiqua" w:cs="Book Antiqua"/>
          <w:b/>
          <w:bCs/>
          <w:lang w:val="es-ES"/>
        </w:rPr>
        <w:t>Supported</w:t>
      </w:r>
      <w:proofErr w:type="spellEnd"/>
      <w:r w:rsidR="0012498E" w:rsidRPr="00710C0C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proofErr w:type="spellStart"/>
      <w:r w:rsidRPr="00710C0C">
        <w:rPr>
          <w:rFonts w:ascii="Book Antiqua" w:eastAsia="Book Antiqua" w:hAnsi="Book Antiqua" w:cs="Book Antiqua"/>
          <w:b/>
          <w:bCs/>
          <w:lang w:val="es-ES"/>
        </w:rPr>
        <w:t>by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Pr="00710C0C">
        <w:rPr>
          <w:rFonts w:ascii="Book Antiqua" w:eastAsia="Book Antiqua" w:hAnsi="Book Antiqua" w:cs="Book Antiqua"/>
          <w:lang w:val="es-ES"/>
        </w:rPr>
        <w:t>the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Asociación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de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Celíacos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y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Sensibles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al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Gluten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de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Madrid</w:t>
      </w:r>
      <w:r w:rsidR="0051104D" w:rsidRPr="00710C0C">
        <w:rPr>
          <w:rFonts w:ascii="Book Antiqua" w:eastAsia="Book Antiqua" w:hAnsi="Book Antiqua" w:cs="Book Antiqua"/>
          <w:lang w:val="es-ES"/>
        </w:rPr>
        <w:t xml:space="preserve">, No. </w:t>
      </w:r>
      <w:r w:rsidRPr="00710C0C">
        <w:rPr>
          <w:rFonts w:ascii="Book Antiqua" w:eastAsia="Book Antiqua" w:hAnsi="Book Antiqua" w:cs="Book Antiqua"/>
          <w:lang w:val="es-ES"/>
        </w:rPr>
        <w:t>ACM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Pr="00710C0C">
        <w:rPr>
          <w:rFonts w:ascii="Book Antiqua" w:eastAsia="Book Antiqua" w:hAnsi="Book Antiqua" w:cs="Book Antiqua"/>
          <w:lang w:val="es-ES"/>
        </w:rPr>
        <w:t>2020</w:t>
      </w:r>
      <w:r w:rsidR="001568D6" w:rsidRPr="00710C0C">
        <w:rPr>
          <w:rFonts w:ascii="Book Antiqua" w:eastAsia="Book Antiqua" w:hAnsi="Book Antiqua" w:cs="Book Antiqua"/>
          <w:lang w:val="es-ES"/>
        </w:rPr>
        <w:t>);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="00D72761" w:rsidRPr="00710C0C">
        <w:rPr>
          <w:rFonts w:ascii="Book Antiqua" w:eastAsia="Book Antiqua" w:hAnsi="Book Antiqua" w:cs="Book Antiqua"/>
          <w:lang w:val="es-ES"/>
        </w:rPr>
        <w:t>and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="008066F9" w:rsidRPr="00710C0C">
        <w:rPr>
          <w:rFonts w:ascii="Book Antiqua" w:eastAsia="Book Antiqua" w:hAnsi="Book Antiqua" w:cs="Book Antiqua"/>
          <w:lang w:val="es-ES"/>
        </w:rPr>
        <w:t>Research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="008066F9" w:rsidRPr="00710C0C">
        <w:rPr>
          <w:rFonts w:ascii="Book Antiqua" w:eastAsia="Book Antiqua" w:hAnsi="Book Antiqua" w:cs="Book Antiqua"/>
          <w:lang w:val="es-ES"/>
        </w:rPr>
        <w:t>Committee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r w:rsidR="00D72761" w:rsidRPr="00710C0C">
        <w:rPr>
          <w:rFonts w:ascii="Book Antiqua" w:eastAsia="Book Antiqua" w:hAnsi="Book Antiqua" w:cs="Book Antiqua"/>
          <w:lang w:val="es-ES"/>
        </w:rPr>
        <w:t>Argentine</w:t>
      </w:r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="00D72761" w:rsidRPr="00710C0C">
        <w:rPr>
          <w:rFonts w:ascii="Book Antiqua" w:eastAsia="Book Antiqua" w:hAnsi="Book Antiqua" w:cs="Book Antiqua"/>
          <w:lang w:val="es-ES"/>
        </w:rPr>
        <w:t>Society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="00D72761" w:rsidRPr="00710C0C">
        <w:rPr>
          <w:rFonts w:ascii="Book Antiqua" w:eastAsia="Book Antiqua" w:hAnsi="Book Antiqua" w:cs="Book Antiqua"/>
          <w:lang w:val="es-ES"/>
        </w:rPr>
        <w:t>of</w:t>
      </w:r>
      <w:proofErr w:type="spellEnd"/>
      <w:r w:rsidR="0012498E" w:rsidRPr="00710C0C">
        <w:rPr>
          <w:rFonts w:ascii="Book Antiqua" w:eastAsia="Book Antiqua" w:hAnsi="Book Antiqua" w:cs="Book Antiqua"/>
          <w:lang w:val="es-ES"/>
        </w:rPr>
        <w:t xml:space="preserve"> </w:t>
      </w:r>
      <w:proofErr w:type="spellStart"/>
      <w:r w:rsidR="00D72761" w:rsidRPr="00710C0C">
        <w:rPr>
          <w:rFonts w:ascii="Book Antiqua" w:eastAsia="Book Antiqua" w:hAnsi="Book Antiqua" w:cs="Book Antiqua"/>
          <w:lang w:val="es-ES"/>
        </w:rPr>
        <w:t>Gastroenterology</w:t>
      </w:r>
      <w:proofErr w:type="spellEnd"/>
      <w:r w:rsidR="0051104D" w:rsidRPr="00710C0C">
        <w:rPr>
          <w:rFonts w:ascii="Book Antiqua" w:eastAsia="Book Antiqua" w:hAnsi="Book Antiqua" w:cs="Book Antiqua"/>
          <w:lang w:val="es-ES"/>
        </w:rPr>
        <w:t xml:space="preserve">, No. </w:t>
      </w:r>
      <w:r w:rsidR="00D72761" w:rsidRPr="00710C0C">
        <w:rPr>
          <w:rFonts w:ascii="Book Antiqua" w:eastAsia="Book Antiqua" w:hAnsi="Book Antiqua" w:cs="Book Antiqua"/>
          <w:lang w:val="es-ES"/>
        </w:rPr>
        <w:t>2020</w:t>
      </w:r>
      <w:r w:rsidR="001568D6" w:rsidRPr="00710C0C">
        <w:rPr>
          <w:rFonts w:ascii="Book Antiqua" w:eastAsia="Book Antiqua" w:hAnsi="Book Antiqua" w:cs="Book Antiqua"/>
          <w:lang w:val="es-ES"/>
        </w:rPr>
        <w:t>.</w:t>
      </w:r>
    </w:p>
    <w:p w14:paraId="6095FCF1" w14:textId="77777777" w:rsidR="00A77B3E" w:rsidRPr="00710C0C" w:rsidRDefault="00A77B3E" w:rsidP="00C13F3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51587F5" w14:textId="77777777" w:rsidR="006A53C2" w:rsidRPr="00B8570E" w:rsidRDefault="001C1693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ES"/>
        </w:rPr>
      </w:pPr>
      <w:proofErr w:type="spellStart"/>
      <w:r w:rsidRPr="00B8570E">
        <w:rPr>
          <w:rFonts w:ascii="Book Antiqua" w:eastAsia="Book Antiqua" w:hAnsi="Book Antiqua" w:cs="Book Antiqua"/>
          <w:b/>
          <w:bCs/>
          <w:lang w:val="es-ES"/>
        </w:rPr>
        <w:t>Corresponding</w:t>
      </w:r>
      <w:proofErr w:type="spellEnd"/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proofErr w:type="spellStart"/>
      <w:r w:rsidRPr="00B8570E">
        <w:rPr>
          <w:rFonts w:ascii="Book Antiqua" w:eastAsia="Book Antiqua" w:hAnsi="Book Antiqua" w:cs="Book Antiqua"/>
          <w:b/>
          <w:bCs/>
          <w:lang w:val="es-ES"/>
        </w:rPr>
        <w:t>authors</w:t>
      </w:r>
      <w:proofErr w:type="spellEnd"/>
      <w:r w:rsidRPr="00B8570E">
        <w:rPr>
          <w:rFonts w:ascii="Book Antiqua" w:eastAsia="Book Antiqua" w:hAnsi="Book Antiqua" w:cs="Book Antiqua"/>
          <w:b/>
          <w:bCs/>
          <w:lang w:val="es-ES"/>
        </w:rPr>
        <w:t>:</w:t>
      </w:r>
      <w:r w:rsidR="0051104D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Julio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César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Bai,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MD,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Emeritus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Professor</w:t>
      </w:r>
      <w:r w:rsidR="00A65A34">
        <w:rPr>
          <w:rFonts w:ascii="Book Antiqua" w:eastAsia="Book Antiqua" w:hAnsi="Book Antiqua" w:cs="Book Antiqua"/>
          <w:b/>
          <w:bCs/>
          <w:lang w:val="es-ES"/>
        </w:rPr>
        <w:t xml:space="preserve"> of Medicine</w:t>
      </w:r>
      <w:r w:rsidR="002F2D0D" w:rsidRPr="00B8570E">
        <w:rPr>
          <w:rFonts w:ascii="Book Antiqua" w:eastAsia="Book Antiqua" w:hAnsi="Book Antiqua" w:cs="Book Antiqua"/>
          <w:b/>
          <w:bCs/>
          <w:lang w:val="es-ES"/>
        </w:rPr>
        <w:t>,</w:t>
      </w:r>
      <w:r w:rsidR="0012498E" w:rsidRPr="00B8570E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Facultad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de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Medicina,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Universidad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del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Salvador,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640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Rodriguez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Pe</w:t>
      </w:r>
      <w:r w:rsidR="006E7081">
        <w:rPr>
          <w:rFonts w:ascii="Book Antiqua" w:eastAsia="Book Antiqua" w:hAnsi="Book Antiqua" w:cs="Book Antiqua"/>
          <w:lang w:val="es-ES"/>
        </w:rPr>
        <w:t>ñ</w:t>
      </w:r>
      <w:r w:rsidR="002F2D0D" w:rsidRPr="00B8570E">
        <w:rPr>
          <w:rFonts w:ascii="Book Antiqua" w:eastAsia="Book Antiqua" w:hAnsi="Book Antiqua" w:cs="Book Antiqua"/>
          <w:lang w:val="es-ES"/>
        </w:rPr>
        <w:t>a,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Buenos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Aires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C1051ABB,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Argentina.</w:t>
      </w:r>
      <w:r w:rsidR="0012498E" w:rsidRPr="00B8570E">
        <w:rPr>
          <w:rFonts w:ascii="Book Antiqua" w:eastAsia="Book Antiqua" w:hAnsi="Book Antiqua" w:cs="Book Antiqua"/>
          <w:lang w:val="es-ES"/>
        </w:rPr>
        <w:t xml:space="preserve"> </w:t>
      </w:r>
      <w:r w:rsidR="002F2D0D" w:rsidRPr="00B8570E">
        <w:rPr>
          <w:rFonts w:ascii="Book Antiqua" w:eastAsia="Book Antiqua" w:hAnsi="Book Antiqua" w:cs="Book Antiqua"/>
          <w:lang w:val="es-ES"/>
        </w:rPr>
        <w:t>jbai@intramed.net</w:t>
      </w:r>
    </w:p>
    <w:p w14:paraId="560DBD1C" w14:textId="77777777" w:rsidR="006A53C2" w:rsidRPr="00B8570E" w:rsidRDefault="006A53C2" w:rsidP="00C13F38">
      <w:pPr>
        <w:spacing w:line="360" w:lineRule="auto"/>
        <w:jc w:val="both"/>
        <w:rPr>
          <w:rFonts w:ascii="Book Antiqua" w:hAnsi="Book Antiqua"/>
          <w:b/>
          <w:lang w:val="es-ES"/>
        </w:rPr>
      </w:pPr>
    </w:p>
    <w:p w14:paraId="681CC5C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Received: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December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8,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2023</w:t>
      </w:r>
    </w:p>
    <w:p w14:paraId="32DCE8C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Revised: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="002F2D0D" w:rsidRPr="00D24F83">
        <w:rPr>
          <w:rFonts w:ascii="Book Antiqua" w:eastAsia="Book Antiqua" w:hAnsi="Book Antiqua" w:cs="Book Antiqua"/>
        </w:rPr>
        <w:t>December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F2D0D" w:rsidRPr="00D24F83">
        <w:rPr>
          <w:rFonts w:ascii="Book Antiqua" w:eastAsia="Book Antiqua" w:hAnsi="Book Antiqua" w:cs="Book Antiqua"/>
        </w:rPr>
        <w:t>31,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F2D0D" w:rsidRPr="00D24F83">
        <w:rPr>
          <w:rFonts w:ascii="Book Antiqua" w:eastAsia="Book Antiqua" w:hAnsi="Book Antiqua" w:cs="Book Antiqua"/>
        </w:rPr>
        <w:t>2023</w:t>
      </w:r>
    </w:p>
    <w:p w14:paraId="5FDB8ABC" w14:textId="77777777" w:rsidR="002931FA" w:rsidRDefault="009F1585">
      <w:pPr>
        <w:spacing w:line="360" w:lineRule="auto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Accepted: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bookmarkStart w:id="573" w:name="OLE_LINK8194"/>
      <w:bookmarkStart w:id="574" w:name="OLE_LINK8200"/>
      <w:bookmarkStart w:id="575" w:name="OLE_LINK8206"/>
      <w:bookmarkStart w:id="576" w:name="OLE_LINK8212"/>
      <w:bookmarkStart w:id="577" w:name="OLE_LINK8213"/>
      <w:bookmarkStart w:id="578" w:name="OLE_LINK8214"/>
      <w:bookmarkStart w:id="579" w:name="OLE_LINK8219"/>
      <w:bookmarkStart w:id="580" w:name="OLE_LINK8224"/>
      <w:bookmarkStart w:id="581" w:name="OLE_LINK8227"/>
      <w:bookmarkStart w:id="582" w:name="OLE_LINK8235"/>
      <w:bookmarkStart w:id="583" w:name="OLE_LINK8241"/>
      <w:bookmarkStart w:id="584" w:name="OLE_LINK8245"/>
      <w:bookmarkStart w:id="585" w:name="OLE_LINK8248"/>
      <w:bookmarkStart w:id="586" w:name="OLE_LINK8254"/>
      <w:bookmarkStart w:id="587" w:name="OLE_LINK8262"/>
      <w:bookmarkStart w:id="588" w:name="OLE_LINK8267"/>
      <w:bookmarkStart w:id="589" w:name="OLE_LINK8272"/>
      <w:bookmarkStart w:id="590" w:name="OLE_LINK8276"/>
      <w:bookmarkStart w:id="591" w:name="OLE_LINK8283"/>
      <w:bookmarkStart w:id="592" w:name="OLE_LINK8293"/>
      <w:bookmarkStart w:id="593" w:name="OLE_LINK8297"/>
      <w:bookmarkStart w:id="594" w:name="OLE_LINK8303"/>
      <w:bookmarkStart w:id="595" w:name="OLE_LINK8305"/>
      <w:bookmarkStart w:id="596" w:name="OLE_LINK8311"/>
      <w:bookmarkStart w:id="597" w:name="OLE_LINK8316"/>
      <w:bookmarkStart w:id="598" w:name="OLE_LINK8319"/>
      <w:bookmarkStart w:id="599" w:name="OLE_LINK8323"/>
      <w:bookmarkStart w:id="600" w:name="OLE_LINK8328"/>
      <w:bookmarkStart w:id="601" w:name="OLE_LINK8390"/>
      <w:bookmarkStart w:id="602" w:name="OLE_LINK8393"/>
      <w:bookmarkStart w:id="603" w:name="OLE_LINK8399"/>
      <w:bookmarkStart w:id="604" w:name="OLE_LINK8402"/>
      <w:bookmarkStart w:id="605" w:name="OLE_LINK8403"/>
      <w:bookmarkStart w:id="606" w:name="OLE_LINK8404"/>
      <w:bookmarkStart w:id="607" w:name="OLE_LINK8406"/>
      <w:bookmarkStart w:id="608" w:name="OLE_LINK8410"/>
      <w:bookmarkStart w:id="609" w:name="OLE_LINK8418"/>
      <w:bookmarkStart w:id="610" w:name="OLE_LINK8422"/>
      <w:bookmarkStart w:id="611" w:name="OLE_LINK8426"/>
      <w:bookmarkStart w:id="612" w:name="OLE_LINK8432"/>
      <w:bookmarkStart w:id="613" w:name="OLE_LINK8435"/>
      <w:bookmarkStart w:id="614" w:name="OLE_LINK8438"/>
      <w:bookmarkStart w:id="615" w:name="OLE_LINK8439"/>
      <w:bookmarkStart w:id="616" w:name="OLE_LINK8443"/>
      <w:bookmarkStart w:id="617" w:name="OLE_LINK8444"/>
      <w:bookmarkStart w:id="618" w:name="OLE_LINK8448"/>
      <w:bookmarkStart w:id="619" w:name="OLE_LINK8451"/>
      <w:bookmarkStart w:id="620" w:name="OLE_LINK8455"/>
      <w:bookmarkStart w:id="621" w:name="OLE_LINK8462"/>
      <w:bookmarkStart w:id="622" w:name="OLE_LINK8466"/>
      <w:bookmarkStart w:id="623" w:name="OLE_LINK8467"/>
      <w:bookmarkStart w:id="624" w:name="OLE_LINK8470"/>
      <w:bookmarkStart w:id="625" w:name="OLE_LINK8471"/>
      <w:bookmarkStart w:id="626" w:name="OLE_LINK8475"/>
      <w:bookmarkStart w:id="627" w:name="OLE_LINK8485"/>
      <w:bookmarkStart w:id="628" w:name="OLE_LINK8490"/>
      <w:bookmarkStart w:id="629" w:name="OLE_LINK8495"/>
      <w:bookmarkStart w:id="630" w:name="OLE_LINK8498"/>
      <w:bookmarkStart w:id="631" w:name="OLE_LINK8510"/>
      <w:bookmarkStart w:id="632" w:name="OLE_LINK8548"/>
      <w:bookmarkStart w:id="633" w:name="OLE_LINK8549"/>
      <w:bookmarkStart w:id="634" w:name="OLE_LINK8555"/>
      <w:bookmarkStart w:id="635" w:name="OLE_LINK8558"/>
      <w:bookmarkStart w:id="636" w:name="OLE_LINK8564"/>
      <w:bookmarkStart w:id="637" w:name="OLE_LINK8565"/>
      <w:bookmarkStart w:id="638" w:name="OLE_LINK8575"/>
      <w:bookmarkStart w:id="639" w:name="OLE_LINK8579"/>
      <w:bookmarkStart w:id="640" w:name="OLE_LINK8584"/>
      <w:bookmarkStart w:id="641" w:name="OLE_LINK8586"/>
      <w:bookmarkStart w:id="642" w:name="OLE_LINK8587"/>
      <w:bookmarkStart w:id="643" w:name="OLE_LINK5"/>
      <w:bookmarkStart w:id="644" w:name="OLE_LINK24"/>
      <w:bookmarkStart w:id="645" w:name="OLE_LINK28"/>
      <w:bookmarkStart w:id="646" w:name="OLE_LINK1339"/>
      <w:bookmarkStart w:id="647" w:name="OLE_LINK1347"/>
      <w:bookmarkStart w:id="648" w:name="OLE_LINK1358"/>
      <w:bookmarkStart w:id="649" w:name="OLE_LINK1366"/>
      <w:bookmarkStart w:id="650" w:name="OLE_LINK1376"/>
      <w:bookmarkStart w:id="651" w:name="OLE_LINK1380"/>
      <w:bookmarkStart w:id="652" w:name="OLE_LINK1392"/>
      <w:bookmarkStart w:id="653" w:name="OLE_LINK1401"/>
      <w:bookmarkStart w:id="654" w:name="OLE_LINK1408"/>
      <w:bookmarkStart w:id="655" w:name="OLE_LINK1413"/>
      <w:bookmarkStart w:id="656" w:name="OLE_LINK1417"/>
      <w:bookmarkStart w:id="657" w:name="OLE_LINK1426"/>
      <w:bookmarkStart w:id="658" w:name="OLE_LINK1431"/>
      <w:bookmarkStart w:id="659" w:name="OLE_LINK1442"/>
      <w:bookmarkStart w:id="660" w:name="OLE_LINK1446"/>
      <w:bookmarkStart w:id="661" w:name="OLE_LINK1450"/>
      <w:bookmarkStart w:id="662" w:name="OLE_LINK1458"/>
      <w:bookmarkStart w:id="663" w:name="OLE_LINK1464"/>
      <w:bookmarkStart w:id="664" w:name="OLE_LINK7808"/>
      <w:bookmarkStart w:id="665" w:name="OLE_LINK7819"/>
      <w:bookmarkStart w:id="666" w:name="OLE_LINK7891"/>
      <w:bookmarkStart w:id="667" w:name="OLE_LINK8"/>
      <w:bookmarkStart w:id="668" w:name="OLE_LINK27"/>
      <w:bookmarkStart w:id="669" w:name="OLE_LINK35"/>
      <w:bookmarkStart w:id="670" w:name="OLE_LINK45"/>
      <w:bookmarkStart w:id="671" w:name="OLE_LINK53"/>
      <w:bookmarkStart w:id="672" w:name="OLE_LINK62"/>
      <w:bookmarkStart w:id="673" w:name="OLE_LINK68"/>
      <w:bookmarkStart w:id="674" w:name="OLE_LINK76"/>
      <w:bookmarkStart w:id="675" w:name="OLE_LINK81"/>
      <w:bookmarkStart w:id="676" w:name="OLE_LINK88"/>
      <w:bookmarkStart w:id="677" w:name="OLE_LINK92"/>
      <w:bookmarkStart w:id="678" w:name="OLE_LINK102"/>
      <w:bookmarkStart w:id="679" w:name="OLE_LINK107"/>
      <w:bookmarkStart w:id="680" w:name="OLE_LINK113"/>
      <w:bookmarkStart w:id="681" w:name="OLE_LINK117"/>
      <w:bookmarkStart w:id="682" w:name="OLE_LINK124"/>
      <w:bookmarkStart w:id="683" w:name="OLE_LINK127"/>
      <w:bookmarkStart w:id="684" w:name="OLE_LINK130"/>
      <w:bookmarkStart w:id="685" w:name="OLE_LINK7677"/>
      <w:bookmarkStart w:id="686" w:name="OLE_LINK7726"/>
      <w:bookmarkStart w:id="687" w:name="OLE_LINK7746"/>
      <w:bookmarkStart w:id="688" w:name="OLE_LINK7758"/>
      <w:bookmarkStart w:id="689" w:name="OLE_LINK7767"/>
      <w:bookmarkStart w:id="690" w:name="OLE_LINK7782"/>
      <w:bookmarkStart w:id="691" w:name="OLE_LINK7821"/>
      <w:bookmarkStart w:id="692" w:name="OLE_LINK7919"/>
      <w:bookmarkStart w:id="693" w:name="OLE_LINK7931"/>
      <w:bookmarkStart w:id="694" w:name="OLE_LINK7941"/>
      <w:bookmarkStart w:id="695" w:name="OLE_LINK7945"/>
      <w:bookmarkStart w:id="696" w:name="OLE_LINK7959"/>
      <w:bookmarkStart w:id="697" w:name="OLE_LINK8097"/>
      <w:bookmarkStart w:id="698" w:name="OLE_LINK8101"/>
      <w:bookmarkStart w:id="699" w:name="OLE_LINK8104"/>
      <w:bookmarkStart w:id="700" w:name="OLE_LINK8111"/>
      <w:bookmarkStart w:id="701" w:name="OLE_LINK8118"/>
      <w:bookmarkStart w:id="702" w:name="OLE_LINK8122"/>
      <w:bookmarkStart w:id="703" w:name="OLE_LINK8126"/>
      <w:bookmarkStart w:id="704" w:name="OLE_LINK8133"/>
      <w:bookmarkStart w:id="705" w:name="OLE_LINK8142"/>
      <w:bookmarkStart w:id="706" w:name="OLE_LINK8150"/>
      <w:bookmarkStart w:id="707" w:name="OLE_LINK8154"/>
      <w:bookmarkStart w:id="708" w:name="OLE_LINK8161"/>
      <w:bookmarkStart w:id="709" w:name="OLE_LINK8164"/>
      <w:bookmarkStart w:id="710" w:name="OLE_LINK8169"/>
      <w:bookmarkStart w:id="711" w:name="OLE_LINK8174"/>
      <w:bookmarkStart w:id="712" w:name="OLE_LINK8187"/>
      <w:bookmarkStart w:id="713" w:name="OLE_LINK8195"/>
      <w:bookmarkStart w:id="714" w:name="OLE_LINK8198"/>
      <w:bookmarkStart w:id="715" w:name="OLE_LINK8204"/>
      <w:bookmarkStart w:id="716" w:name="OLE_LINK8210"/>
      <w:bookmarkStart w:id="717" w:name="OLE_LINK8284"/>
      <w:bookmarkStart w:id="718" w:name="OLE_LINK8289"/>
      <w:bookmarkStart w:id="719" w:name="OLE_LINK8292"/>
      <w:bookmarkStart w:id="720" w:name="OLE_LINK8301"/>
      <w:bookmarkStart w:id="721" w:name="OLE_LINK8307"/>
      <w:bookmarkStart w:id="722" w:name="OLE_LINK8312"/>
      <w:bookmarkStart w:id="723" w:name="OLE_LINK8320"/>
      <w:bookmarkStart w:id="724" w:name="OLE_LINK8329"/>
      <w:bookmarkStart w:id="725" w:name="OLE_LINK8332"/>
      <w:bookmarkStart w:id="726" w:name="OLE_LINK8335"/>
      <w:bookmarkStart w:id="727" w:name="OLE_LINK8338"/>
      <w:bookmarkStart w:id="728" w:name="OLE_LINK8343"/>
      <w:bookmarkStart w:id="729" w:name="OLE_LINK8346"/>
      <w:bookmarkStart w:id="730" w:name="OLE_LINK8350"/>
      <w:bookmarkStart w:id="731" w:name="OLE_LINK8351"/>
      <w:bookmarkStart w:id="732" w:name="OLE_LINK8354"/>
      <w:bookmarkStart w:id="733" w:name="OLE_LINK8355"/>
      <w:bookmarkStart w:id="734" w:name="OLE_LINK8360"/>
      <w:bookmarkStart w:id="735" w:name="OLE_LINK8361"/>
      <w:bookmarkStart w:id="736" w:name="OLE_LINK8367"/>
      <w:bookmarkStart w:id="737" w:name="OLE_LINK8368"/>
      <w:bookmarkStart w:id="738" w:name="OLE_LINK31"/>
      <w:bookmarkStart w:id="739" w:name="OLE_LINK38"/>
      <w:bookmarkStart w:id="740" w:name="OLE_LINK1377"/>
      <w:bookmarkStart w:id="741" w:name="OLE_LINK1386"/>
      <w:bookmarkStart w:id="742" w:name="OLE_LINK1403"/>
      <w:bookmarkStart w:id="743" w:name="OLE_LINK1415"/>
      <w:bookmarkStart w:id="744" w:name="OLE_LINK1416"/>
      <w:bookmarkStart w:id="745" w:name="OLE_LINK1421"/>
      <w:bookmarkStart w:id="746" w:name="OLE_LINK1435"/>
      <w:bookmarkStart w:id="747" w:name="OLE_LINK1447"/>
      <w:bookmarkStart w:id="748" w:name="OLE_LINK1453"/>
      <w:bookmarkStart w:id="749" w:name="OLE_LINK1459"/>
      <w:bookmarkStart w:id="750" w:name="OLE_LINK1463"/>
      <w:bookmarkStart w:id="751" w:name="OLE_LINK1468"/>
      <w:bookmarkStart w:id="752" w:name="OLE_LINK1469"/>
      <w:bookmarkStart w:id="753" w:name="OLE_LINK1476"/>
      <w:bookmarkStart w:id="754" w:name="OLE_LINK1481"/>
      <w:bookmarkStart w:id="755" w:name="OLE_LINK1486"/>
      <w:bookmarkStart w:id="756" w:name="OLE_LINK1493"/>
      <w:bookmarkStart w:id="757" w:name="OLE_LINK1494"/>
      <w:bookmarkStart w:id="758" w:name="OLE_LINK1501"/>
      <w:bookmarkStart w:id="759" w:name="OLE_LINK1507"/>
      <w:bookmarkStart w:id="760" w:name="OLE_LINK1512"/>
      <w:bookmarkStart w:id="761" w:name="OLE_LINK1517"/>
      <w:bookmarkStart w:id="762" w:name="OLE_LINK1523"/>
      <w:bookmarkStart w:id="763" w:name="OLE_LINK1526"/>
      <w:bookmarkStart w:id="764" w:name="OLE_LINK1529"/>
      <w:bookmarkStart w:id="765" w:name="OLE_LINK1533"/>
      <w:bookmarkStart w:id="766" w:name="OLE_LINK1539"/>
      <w:bookmarkStart w:id="767" w:name="OLE_LINK1543"/>
      <w:bookmarkStart w:id="768" w:name="OLE_LINK1551"/>
      <w:bookmarkStart w:id="769" w:name="OLE_LINK1737"/>
      <w:bookmarkStart w:id="770" w:name="OLE_LINK1738"/>
      <w:bookmarkStart w:id="771" w:name="OLE_LINK1744"/>
      <w:bookmarkStart w:id="772" w:name="OLE_LINK1752"/>
      <w:bookmarkStart w:id="773" w:name="OLE_LINK1757"/>
      <w:bookmarkStart w:id="774" w:name="OLE_LINK1761"/>
      <w:bookmarkStart w:id="775" w:name="OLE_LINK1766"/>
      <w:bookmarkStart w:id="776" w:name="OLE_LINK1767"/>
      <w:r w:rsidR="0027318C">
        <w:rPr>
          <w:rFonts w:ascii="Book Antiqua" w:hAnsi="Book Antiqua"/>
        </w:rPr>
        <w:t>F</w:t>
      </w:r>
      <w:bookmarkStart w:id="777" w:name="OLE_LINK1750"/>
      <w:bookmarkStart w:id="778" w:name="OLE_LINK1751"/>
      <w:r w:rsidR="0027318C">
        <w:rPr>
          <w:rFonts w:ascii="Book Antiqua" w:hAnsi="Book Antiqua"/>
        </w:rPr>
        <w:t>ebruary 18,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</w:p>
    <w:p w14:paraId="04664A15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online: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</w:p>
    <w:p w14:paraId="6334BDCD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  <w:sectPr w:rsidR="00A77B3E" w:rsidRPr="00D24F83" w:rsidSect="00F975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247D2" w14:textId="77777777" w:rsidR="007E1E33" w:rsidRDefault="007E1E33" w:rsidP="00C13F38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4A6A4823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Abstract</w:t>
      </w:r>
    </w:p>
    <w:p w14:paraId="6A5E428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BACKGROUND</w:t>
      </w:r>
    </w:p>
    <w:p w14:paraId="3D2A15E5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gluten-free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diet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(GFD)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development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adjuvant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therapies.</w:t>
      </w:r>
    </w:p>
    <w:p w14:paraId="1296D387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3F3D93A5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AIM</w:t>
      </w:r>
    </w:p>
    <w:p w14:paraId="38560439" w14:textId="77777777" w:rsidR="00A77B3E" w:rsidRPr="00D24F83" w:rsidRDefault="00914E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</w:t>
      </w:r>
      <w:r w:rsidR="009F1585" w:rsidRPr="00D24F83">
        <w:rPr>
          <w:rFonts w:ascii="Book Antiqua" w:eastAsia="Book Antiqua" w:hAnsi="Book Antiqua" w:cs="Book Antiqua"/>
        </w:rPr>
        <w:t>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examine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</w:rPr>
        <w:t>prolyl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</w:rPr>
        <w:t>endopeptidase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</w:rPr>
        <w:t>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(AN-PEP)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inadvertent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prevention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adult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332C9" w:rsidRPr="00D24F83">
        <w:rPr>
          <w:rFonts w:ascii="Book Antiqua" w:eastAsia="Book Antiqua" w:hAnsi="Book Antiqua" w:cs="Book Antiqua"/>
        </w:rPr>
        <w:t>celiac disease (</w:t>
      </w:r>
      <w:proofErr w:type="spellStart"/>
      <w:r w:rsidR="007332C9" w:rsidRPr="00D24F83">
        <w:rPr>
          <w:rFonts w:ascii="Book Antiqua" w:eastAsia="Book Antiqua" w:hAnsi="Book Antiqua" w:cs="Book Antiqua"/>
        </w:rPr>
        <w:t>CeD</w:t>
      </w:r>
      <w:proofErr w:type="spellEnd"/>
      <w:r w:rsidR="007332C9" w:rsidRPr="00D24F83">
        <w:rPr>
          <w:rFonts w:ascii="Book Antiqua" w:eastAsia="Book Antiqua" w:hAnsi="Book Antiqua" w:cs="Book Antiqua"/>
        </w:rPr>
        <w:t xml:space="preserve">)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usual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GFD.</w:t>
      </w:r>
    </w:p>
    <w:p w14:paraId="56ECCC08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555C3A21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METHODS</w:t>
      </w:r>
    </w:p>
    <w:p w14:paraId="4E2EDB0E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double-blind,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placebo-controlled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DE244F" w:rsidRPr="00D24F83">
        <w:rPr>
          <w:rFonts w:ascii="Book Antiqua" w:eastAsia="Book Antiqua" w:hAnsi="Book Antiqua" w:cs="Book Antiqua"/>
        </w:rPr>
        <w:t>CeD</w:t>
      </w:r>
      <w:proofErr w:type="spellEnd"/>
      <w:r w:rsidR="00DE244F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C0AE9">
        <w:rPr>
          <w:rFonts w:ascii="Book Antiqua" w:eastAsia="Book Antiqua" w:hAnsi="Book Antiqua" w:cs="Book Antiqua"/>
        </w:rPr>
        <w:t>two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capsules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proofErr w:type="spellStart"/>
      <w:r w:rsidRPr="00D24F83">
        <w:rPr>
          <w:rFonts w:ascii="Book Antiqua" w:eastAsia="Book Antiqua" w:hAnsi="Book Antiqua" w:cs="Book Antiqua"/>
        </w:rPr>
        <w:t>GliadinX</w:t>
      </w:r>
      <w:proofErr w:type="spellEnd"/>
      <w:r w:rsidR="00BA6FCE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BA6FCE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LLC</w:t>
      </w:r>
      <w:r w:rsidR="00BA6FCE">
        <w:rPr>
          <w:rFonts w:ascii="Book Antiqua" w:eastAsia="Book Antiqua" w:hAnsi="Book Antiqua" w:cs="Book Antiqua"/>
        </w:rPr>
        <w:t xml:space="preserve">, </w:t>
      </w:r>
      <w:r w:rsidRPr="00D24F83">
        <w:rPr>
          <w:rFonts w:ascii="Book Antiqua" w:eastAsia="Book Antiqua" w:hAnsi="Book Antiqua" w:cs="Book Antiqua"/>
        </w:rPr>
        <w:t>U</w:t>
      </w:r>
      <w:r w:rsidR="00A70F48" w:rsidRPr="00D24F83">
        <w:rPr>
          <w:rFonts w:ascii="Book Antiqua" w:eastAsia="Book Antiqua" w:hAnsi="Book Antiqua" w:cs="Book Antiqua"/>
        </w:rPr>
        <w:t>nited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States</w:t>
      </w:r>
      <w:r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DE244F">
        <w:rPr>
          <w:rFonts w:ascii="Book Antiqua" w:eastAsia="Book Antiqua" w:hAnsi="Book Antiqua" w:cs="Book Antiqua"/>
        </w:rPr>
        <w:t>three</w:t>
      </w:r>
      <w:r w:rsidR="00DE244F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Outcome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endpoints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C6B58" w:rsidRPr="00D24F83">
        <w:rPr>
          <w:rFonts w:ascii="Book Antiqua" w:eastAsia="Book Antiqua" w:hAnsi="Book Antiqua" w:cs="Book Antiqua"/>
        </w:rPr>
        <w:t>(</w:t>
      </w:r>
      <w:r w:rsidRPr="00D24F83">
        <w:rPr>
          <w:rFonts w:ascii="Book Antiqua" w:eastAsia="Book Antiqua" w:hAnsi="Book Antiqua" w:cs="Book Antiqua"/>
        </w:rPr>
        <w:t>1</w:t>
      </w:r>
      <w:r w:rsidR="009C6B58"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B3E3B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>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(GIP)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A5B0B" w:rsidRPr="00D24F83">
        <w:rPr>
          <w:rFonts w:ascii="Book Antiqua" w:eastAsia="Book Antiqua" w:hAnsi="Book Antiqua" w:cs="Book Antiqua"/>
        </w:rPr>
        <w:t>(</w:t>
      </w:r>
      <w:r w:rsidRPr="00D24F83">
        <w:rPr>
          <w:rFonts w:ascii="Book Antiqua" w:eastAsia="Book Antiqua" w:hAnsi="Book Antiqua" w:cs="Book Antiqua"/>
        </w:rPr>
        <w:t>2)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c</w:t>
      </w:r>
      <w:r w:rsidRPr="00D24F83">
        <w:rPr>
          <w:rFonts w:ascii="Book Antiqua" w:eastAsia="Book Antiqua" w:hAnsi="Book Antiqua" w:cs="Book Antiqua"/>
        </w:rPr>
        <w:t>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s</w:t>
      </w:r>
      <w:r w:rsidRPr="00D24F83">
        <w:rPr>
          <w:rFonts w:ascii="Book Antiqua" w:eastAsia="Book Antiqua" w:hAnsi="Book Antiqua" w:cs="Book Antiqua"/>
        </w:rPr>
        <w:t>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i</w:t>
      </w:r>
      <w:r w:rsidRPr="00D24F83">
        <w:rPr>
          <w:rFonts w:ascii="Book Antiqua" w:eastAsia="Book Antiqua" w:hAnsi="Book Antiqua" w:cs="Book Antiqua"/>
        </w:rPr>
        <w:t>ndex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632FB" w:rsidRPr="00D24F83">
        <w:rPr>
          <w:rFonts w:ascii="Book Antiqua" w:eastAsia="Book Antiqua" w:hAnsi="Book Antiqua" w:cs="Book Antiqua"/>
        </w:rPr>
        <w:t>(CSI)</w:t>
      </w:r>
      <w:r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A5B0B" w:rsidRPr="00D24F83">
        <w:rPr>
          <w:rFonts w:ascii="Book Antiqua" w:eastAsia="Book Antiqua" w:hAnsi="Book Antiqua" w:cs="Book Antiqua"/>
        </w:rPr>
        <w:t>(</w:t>
      </w:r>
      <w:r w:rsidRPr="00D24F83">
        <w:rPr>
          <w:rFonts w:ascii="Book Antiqua" w:eastAsia="Book Antiqua" w:hAnsi="Book Antiqua" w:cs="Book Antiqua"/>
        </w:rPr>
        <w:t>3</w:t>
      </w:r>
      <w:r w:rsidR="007A5B0B"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CeD</w:t>
      </w:r>
      <w:proofErr w:type="spellEnd"/>
      <w:r w:rsidRPr="00D24F83">
        <w:rPr>
          <w:rFonts w:ascii="Book Antiqua" w:eastAsia="Book Antiqua" w:hAnsi="Book Antiqua" w:cs="Book Antiqua"/>
        </w:rPr>
        <w:t>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serology;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A5B0B" w:rsidRPr="00D24F83">
        <w:rPr>
          <w:rFonts w:ascii="Book Antiqua" w:eastAsia="Book Antiqua" w:hAnsi="Book Antiqua" w:cs="Book Antiqua"/>
        </w:rPr>
        <w:t>(</w:t>
      </w:r>
      <w:r w:rsidRPr="00D24F83">
        <w:rPr>
          <w:rFonts w:ascii="Book Antiqua" w:eastAsia="Book Antiqua" w:hAnsi="Book Antiqua" w:cs="Book Antiqua"/>
        </w:rPr>
        <w:t>4</w:t>
      </w:r>
      <w:r w:rsidR="007A5B0B"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quality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life.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B3E3B">
        <w:rPr>
          <w:rFonts w:ascii="Book Antiqua" w:eastAsia="Book Antiqua" w:hAnsi="Book Antiqua" w:cs="Book Antiqua"/>
        </w:rPr>
        <w:t xml:space="preserve">testing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every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Tuesday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Friday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treatments.</w:t>
      </w:r>
    </w:p>
    <w:p w14:paraId="76968478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764EE6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RESULTS</w:t>
      </w:r>
    </w:p>
    <w:p w14:paraId="4619993D" w14:textId="77777777" w:rsidR="00A77B3E" w:rsidRPr="00D24F83" w:rsidRDefault="007A5B0B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Forty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randomized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D2D8F">
        <w:rPr>
          <w:rFonts w:ascii="Book Antiqua" w:eastAsia="Book Antiqua" w:hAnsi="Book Antiqua" w:cs="Book Antiqua"/>
        </w:rPr>
        <w:t>for</w:t>
      </w:r>
      <w:r w:rsidR="001D2D8F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intention-to-treat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analysis,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per-protocol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assessment.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Overall,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628/640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(98.1%)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collected.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μg/g)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65.6%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D2D8F">
        <w:rPr>
          <w:rFonts w:ascii="Book Antiqua" w:eastAsia="Book Antiqua" w:hAnsi="Book Antiqua" w:cs="Book Antiqua"/>
        </w:rPr>
        <w:t xml:space="preserve">treatment </w:t>
      </w:r>
      <w:r w:rsidR="009F1585"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detected.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0.5%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sufficiently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0.32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μg/g)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potentially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cause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mucosal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damage.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</w:t>
      </w:r>
      <w:r w:rsidR="00D72761" w:rsidRPr="00D24F83">
        <w:rPr>
          <w:rFonts w:ascii="Book Antiqua" w:eastAsia="Book Antiqua" w:hAnsi="Book Antiqua" w:cs="Book Antiqua"/>
        </w:rPr>
        <w:t>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D72761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D72761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44.7%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period.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One-third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exhibiting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μg/g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run-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lastRenderedPageBreak/>
        <w:t>proportion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</w:t>
      </w:r>
      <w:r w:rsidR="005632FB"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38)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</w:t>
      </w:r>
      <w:r w:rsidR="005632FB"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0.03).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result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changes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serologies.</w:t>
      </w:r>
    </w:p>
    <w:p w14:paraId="5F18941F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4CF756B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CONCLUSION</w:t>
      </w:r>
    </w:p>
    <w:p w14:paraId="47C72C3C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setting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revealed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given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prevalence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further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warranted.</w:t>
      </w:r>
    </w:p>
    <w:p w14:paraId="3EF8CDA4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69F5F03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Key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Words: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endoprotease;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632FB" w:rsidRPr="00D24F83">
        <w:rPr>
          <w:rFonts w:ascii="Book Antiqua" w:eastAsia="Book Antiqua" w:hAnsi="Book Antiqua" w:cs="Book Antiqua"/>
        </w:rPr>
        <w:t>G</w:t>
      </w:r>
      <w:r w:rsidRPr="00D24F83">
        <w:rPr>
          <w:rFonts w:ascii="Book Antiqua" w:eastAsia="Book Antiqua" w:hAnsi="Book Antiqua" w:cs="Book Antiqua"/>
        </w:rPr>
        <w:t>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632FB" w:rsidRPr="00D24F83">
        <w:rPr>
          <w:rFonts w:ascii="Book Antiqua" w:eastAsia="Book Antiqua" w:hAnsi="Book Antiqua" w:cs="Book Antiqua"/>
        </w:rPr>
        <w:t>T</w:t>
      </w:r>
      <w:r w:rsidRPr="00D24F83">
        <w:rPr>
          <w:rFonts w:ascii="Book Antiqua" w:eastAsia="Book Antiqua" w:hAnsi="Book Antiqua" w:cs="Book Antiqua"/>
        </w:rPr>
        <w:t>rial;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632FB" w:rsidRPr="00D24F83">
        <w:rPr>
          <w:rFonts w:ascii="Book Antiqua" w:eastAsia="Book Antiqua" w:hAnsi="Book Antiqua" w:cs="Book Antiqua"/>
        </w:rPr>
        <w:t>S</w:t>
      </w:r>
      <w:r w:rsidRPr="00D24F83">
        <w:rPr>
          <w:rFonts w:ascii="Book Antiqua" w:eastAsia="Book Antiqua" w:hAnsi="Book Antiqua" w:cs="Book Antiqua"/>
        </w:rPr>
        <w:t>ymptoms;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632FB" w:rsidRPr="00D24F83">
        <w:rPr>
          <w:rFonts w:ascii="Book Antiqua" w:eastAsia="Book Antiqua" w:hAnsi="Book Antiqua" w:cs="Book Antiqua"/>
        </w:rPr>
        <w:t>R</w:t>
      </w:r>
      <w:r w:rsidRPr="00D24F83">
        <w:rPr>
          <w:rFonts w:ascii="Book Antiqua" w:eastAsia="Book Antiqua" w:hAnsi="Book Antiqua" w:cs="Book Antiqua"/>
        </w:rPr>
        <w:t>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</w:p>
    <w:p w14:paraId="1B0DF79B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1E0A591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lang w:val="es-AR"/>
        </w:rPr>
        <w:t>Stefanolo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JP,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Segura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V,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Grizutti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Heredia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Comino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I,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Costa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AF,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Puebla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R,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Temprano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MP,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Niveloni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SI,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de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Diego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G,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Oregui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ME,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Smecuol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EG,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="00B5509D" w:rsidRPr="00D24F83">
        <w:rPr>
          <w:rFonts w:ascii="Book Antiqua" w:eastAsia="Book Antiqua" w:hAnsi="Book Antiqua" w:cs="Book Antiqua"/>
          <w:lang w:val="es-AR"/>
        </w:rPr>
        <w:t>d</w:t>
      </w:r>
      <w:r w:rsidRPr="00D24F83">
        <w:rPr>
          <w:rFonts w:ascii="Book Antiqua" w:eastAsia="Book Antiqua" w:hAnsi="Book Antiqua" w:cs="Book Antiqua"/>
          <w:lang w:val="es-AR"/>
        </w:rPr>
        <w:t>e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Marzi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MC,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Verdú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EF,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Sousa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C,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Bai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  <w:lang w:val="es-AR"/>
        </w:rPr>
        <w:t>JC.</w:t>
      </w:r>
      <w:r w:rsidR="0012498E" w:rsidRPr="00D24F83">
        <w:rPr>
          <w:rFonts w:ascii="Book Antiqua" w:eastAsia="Book Antiqua" w:hAnsi="Book Antiqua" w:cs="Book Antiqua"/>
          <w:lang w:val="es-AR"/>
        </w:rPr>
        <w:t xml:space="preserve"> </w:t>
      </w:r>
      <w:r w:rsidRPr="00D24F83">
        <w:rPr>
          <w:rFonts w:ascii="Book Antiqua" w:eastAsia="Book Antiqua" w:hAnsi="Book Antiqua" w:cs="Book Antiqua"/>
        </w:rPr>
        <w:t>Effect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endopeptidase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gluten-free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World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J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Gastroenterol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</w:t>
      </w:r>
      <w:r w:rsidR="00A70F48" w:rsidRPr="00D24F83">
        <w:rPr>
          <w:rFonts w:ascii="Book Antiqua" w:eastAsia="Book Antiqua" w:hAnsi="Book Antiqua" w:cs="Book Antiqua"/>
        </w:rPr>
        <w:t>4</w:t>
      </w:r>
      <w:r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press</w:t>
      </w:r>
    </w:p>
    <w:p w14:paraId="223C5E41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0F8AE66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  <w:b/>
          <w:bCs/>
        </w:rPr>
        <w:t>Core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Tip: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(CeD)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lapses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prevalent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leads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despite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gluten-free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endopeptidase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(AN-PEP)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preventing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inadvertent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confirmed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(GIP)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excretion,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remains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uncertain.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excretion,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notably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prevalence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arm.</w:t>
      </w:r>
    </w:p>
    <w:p w14:paraId="5F472DCF" w14:textId="77777777" w:rsidR="00752237" w:rsidRPr="00D24F83" w:rsidRDefault="00752237" w:rsidP="00C13F38">
      <w:pPr>
        <w:spacing w:line="360" w:lineRule="auto"/>
        <w:jc w:val="both"/>
        <w:rPr>
          <w:rFonts w:ascii="Book Antiqua" w:hAnsi="Book Antiqua"/>
        </w:rPr>
      </w:pPr>
    </w:p>
    <w:p w14:paraId="48B5453A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D2D9E01" w14:textId="77777777" w:rsidR="00752237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lastRenderedPageBreak/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(CeD)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systemic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autoimmune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disorder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40104D" w:rsidRPr="0040104D">
        <w:rPr>
          <w:rFonts w:ascii="Book Antiqua" w:eastAsia="Book Antiqua" w:hAnsi="Book Antiqua" w:cs="Book Antiqua"/>
        </w:rPr>
        <w:t xml:space="preserve"> </w:t>
      </w:r>
      <w:r w:rsidR="0040104D" w:rsidRPr="00D24F83">
        <w:rPr>
          <w:rFonts w:ascii="Book Antiqua" w:eastAsia="Book Antiqua" w:hAnsi="Book Antiqua" w:cs="Book Antiqua"/>
        </w:rPr>
        <w:t>primarily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small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genetically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susceptible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gramStart"/>
      <w:r w:rsidRPr="00D24F83">
        <w:rPr>
          <w:rFonts w:ascii="Book Antiqua" w:eastAsia="Book Antiqua" w:hAnsi="Book Antiqua" w:cs="Book Antiqua"/>
        </w:rPr>
        <w:t>people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24F83">
        <w:rPr>
          <w:rFonts w:ascii="Book Antiqua" w:eastAsia="Book Antiqua" w:hAnsi="Book Antiqua" w:cs="Book Antiqua"/>
          <w:vertAlign w:val="superscript"/>
        </w:rPr>
        <w:t>1]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Currently,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strict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gluten-free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(GFD),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gradual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damage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elimination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difficult,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time-consuming,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expensive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process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3]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Despite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notably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non-responsive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experience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relapse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and/or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enteropathy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despite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1,2]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lapses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thought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responsible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quality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(QoL)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damage,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risk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complications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4-6]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objectively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demonstrated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excretion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D72761" w:rsidRPr="00D24F83">
        <w:rPr>
          <w:rFonts w:ascii="Book Antiqua" w:eastAsia="Book Antiqua" w:hAnsi="Book Antiqua" w:cs="Book Antiqua"/>
        </w:rPr>
        <w:t>i</w:t>
      </w:r>
      <w:r w:rsidRPr="00D24F83">
        <w:rPr>
          <w:rFonts w:ascii="Book Antiqua" w:eastAsia="Book Antiqua" w:hAnsi="Book Antiqua" w:cs="Book Antiqua"/>
        </w:rPr>
        <w:t>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(GIP)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7,8]</w:t>
      </w:r>
      <w:r w:rsidRPr="00D24F83">
        <w:rPr>
          <w:rFonts w:ascii="Book Antiqua" w:eastAsia="Book Antiqua" w:hAnsi="Book Antiqua" w:cs="Book Antiqua"/>
        </w:rPr>
        <w:t>.</w:t>
      </w:r>
    </w:p>
    <w:p w14:paraId="0A1387B3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burden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therapies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along</w:t>
      </w:r>
      <w:r w:rsidR="002A1715">
        <w:rPr>
          <w:rFonts w:ascii="Book Antiqua" w:eastAsia="Book Antiqua" w:hAnsi="Book Antiqua" w:cs="Book Antiqua"/>
        </w:rPr>
        <w:t>side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2,9]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Mammalian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effectively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break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down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glutamine-rich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sequences,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incomplete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degradation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lumen.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reactivate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cells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10,11]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Several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microbial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identified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useful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detoxifying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cereal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prolamins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12-14]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affinities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hydrolysis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specificity</w:t>
      </w:r>
      <w:r w:rsidR="007D22A2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D22A2">
        <w:rPr>
          <w:rFonts w:ascii="Book Antiqua" w:eastAsia="Book Antiqua" w:hAnsi="Book Antiqua" w:cs="Book Antiqua"/>
        </w:rPr>
        <w:t xml:space="preserve">their </w:t>
      </w:r>
      <w:r w:rsidRPr="00D24F83">
        <w:rPr>
          <w:rFonts w:ascii="Book Antiqua" w:eastAsia="Book Antiqua" w:hAnsi="Book Antiqua" w:cs="Book Antiqua"/>
        </w:rPr>
        <w:t>optimal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</w:t>
      </w:r>
      <w:r w:rsidR="007D22A2">
        <w:rPr>
          <w:rFonts w:ascii="Book Antiqua" w:eastAsia="Book Antiqua" w:hAnsi="Book Antiqua" w:cs="Book Antiqua"/>
        </w:rPr>
        <w:t>s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first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in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vitro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in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vivo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pre-clinical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endopeptidase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104D">
        <w:rPr>
          <w:rFonts w:ascii="Book Antiqua" w:eastAsia="Book Antiqua" w:hAnsi="Book Antiqua" w:cs="Book Antiqua"/>
        </w:rPr>
        <w:t>(</w:t>
      </w:r>
      <w:r w:rsidR="0051104D" w:rsidRPr="00D24F83">
        <w:rPr>
          <w:rFonts w:ascii="Book Antiqua" w:eastAsia="Book Antiqua" w:hAnsi="Book Antiqua" w:cs="Book Antiqua"/>
          <w:i/>
          <w:iCs/>
        </w:rPr>
        <w:t>A</w:t>
      </w:r>
      <w:r w:rsidR="0051104D">
        <w:rPr>
          <w:rFonts w:ascii="Book Antiqua" w:eastAsia="Book Antiqua" w:hAnsi="Book Antiqua" w:cs="Book Antiqua"/>
          <w:i/>
          <w:iCs/>
        </w:rPr>
        <w:t>.</w:t>
      </w:r>
      <w:r w:rsidR="0051104D" w:rsidRPr="00D24F83">
        <w:rPr>
          <w:rFonts w:ascii="Book Antiqua" w:eastAsia="Book Antiqua" w:hAnsi="Book Antiqua" w:cs="Book Antiqua"/>
          <w:i/>
          <w:iCs/>
        </w:rPr>
        <w:t xml:space="preserve"> niger</w:t>
      </w:r>
      <w:r w:rsidR="0051104D">
        <w:rPr>
          <w:rFonts w:ascii="Book Antiqua" w:eastAsia="Book Antiqua" w:hAnsi="Book Antiqua" w:cs="Book Antiqua"/>
        </w:rPr>
        <w:t xml:space="preserve">) </w:t>
      </w:r>
      <w:r w:rsidRPr="00D24F83">
        <w:rPr>
          <w:rFonts w:ascii="Book Antiqua" w:eastAsia="Book Antiqua" w:hAnsi="Book Antiqua" w:cs="Book Antiqua"/>
        </w:rPr>
        <w:t>fungus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(AN-PEP)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10,15-17]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optimally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values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typically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found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stomach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resistant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degradation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pepsin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13,17]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dynamic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system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resembles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human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gastrointestinal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revealed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accelerate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degradation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18]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found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hydrolysis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stomach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reaching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small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intestine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12]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tolerated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advantages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features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biomarkers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19]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Given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marketing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alimentary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supplement,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demonstrate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efficacious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stages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likely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contamination.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316F4">
        <w:rPr>
          <w:rFonts w:ascii="Book Antiqua" w:eastAsia="Book Antiqua" w:hAnsi="Book Antiqua" w:cs="Book Antiqua"/>
        </w:rPr>
        <w:t>Therefore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explore</w:t>
      </w:r>
      <w:r w:rsidR="007316F4">
        <w:rPr>
          <w:rFonts w:ascii="Book Antiqua" w:eastAsia="Book Antiqua" w:hAnsi="Book Antiqua" w:cs="Book Antiqua"/>
        </w:rPr>
        <w:t>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occurring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verified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excretion,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adult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continued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usual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</w:p>
    <w:p w14:paraId="2A4990E8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6348D491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12498E" w:rsidRPr="00D24F8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24F83">
        <w:rPr>
          <w:rFonts w:ascii="Book Antiqua" w:eastAsia="Book Antiqua" w:hAnsi="Book Antiqua" w:cs="Book Antiqua"/>
          <w:b/>
          <w:caps/>
          <w:u w:val="single"/>
        </w:rPr>
        <w:t>AND</w:t>
      </w:r>
      <w:r w:rsidR="0012498E" w:rsidRPr="00D24F8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24F83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C0FB908" w14:textId="77777777" w:rsidR="0031607F" w:rsidRPr="00D24F83" w:rsidRDefault="006B0310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Study d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esign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C2596" w:rsidRPr="00D24F8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C2596" w:rsidRPr="00D24F83">
        <w:rPr>
          <w:rFonts w:ascii="Book Antiqua" w:eastAsia="Book Antiqua" w:hAnsi="Book Antiqua" w:cs="Book Antiqua"/>
          <w:b/>
          <w:bCs/>
          <w:i/>
          <w:iCs/>
        </w:rPr>
        <w:t>enzymatic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C2596" w:rsidRPr="00D24F83">
        <w:rPr>
          <w:rFonts w:ascii="Book Antiqua" w:eastAsia="Book Antiqua" w:hAnsi="Book Antiqua" w:cs="Book Antiqua"/>
          <w:b/>
          <w:bCs/>
          <w:i/>
          <w:iCs/>
        </w:rPr>
        <w:t>treatment</w:t>
      </w:r>
    </w:p>
    <w:p w14:paraId="023A5980" w14:textId="77777777" w:rsidR="00A77B3E" w:rsidRPr="00D24F83" w:rsidRDefault="009C2596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</w:t>
      </w:r>
      <w:r w:rsidR="009F1585"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pilot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prospective,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double-blind,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randomized,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placebo-controlled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design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adult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152D1">
        <w:rPr>
          <w:rFonts w:ascii="Book Antiqua" w:eastAsia="Book Antiqua" w:hAnsi="Book Antiqua" w:cs="Book Antiqua"/>
        </w:rPr>
        <w:t>2</w:t>
      </w:r>
      <w:r w:rsidR="007152D1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years.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Consecutive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attending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Clinic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Bonorino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Udaondo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Gastroenterology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Hospital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invited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screened.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criteria: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(1)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607F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well-established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histological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(Marsh</w:t>
      </w:r>
      <w:r w:rsidR="00665FA3" w:rsidRPr="00D24F83">
        <w:rPr>
          <w:rFonts w:ascii="Book Antiqua" w:eastAsia="Book Antiqua" w:hAnsi="Book Antiqua" w:cs="Book Antiqua"/>
        </w:rPr>
        <w:t>’</w:t>
      </w:r>
      <w:r w:rsidR="009F1585"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type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3)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serologic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diagnosis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CeD;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(2)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self-considering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adherent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years;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(3)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least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47C55">
        <w:rPr>
          <w:rFonts w:ascii="Book Antiqua" w:eastAsia="Book Antiqua" w:hAnsi="Book Antiqua" w:cs="Book Antiqua"/>
        </w:rPr>
        <w:t>one</w:t>
      </w:r>
      <w:r w:rsidR="00E47C55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bowel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movement/day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every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day;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(4)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provide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serum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period;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(5)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collect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frozen,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transport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institution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specially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provided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containers;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(6)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ability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respond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030511"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questionnaires.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unwilling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participate,</w:t>
      </w:r>
      <w:r w:rsidR="00E0250C" w:rsidRPr="00E0250C">
        <w:rPr>
          <w:rFonts w:ascii="Book Antiqua" w:eastAsia="Book Antiqua" w:hAnsi="Book Antiqua" w:cs="Book Antiqua"/>
        </w:rPr>
        <w:t xml:space="preserve"> </w:t>
      </w:r>
      <w:r w:rsidR="00E0250C" w:rsidRPr="00D24F83">
        <w:rPr>
          <w:rFonts w:ascii="Book Antiqua" w:eastAsia="Book Antiqua" w:hAnsi="Book Antiqua" w:cs="Book Antiqua"/>
        </w:rPr>
        <w:t>intentionally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ingested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gluten,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uncontrolled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concomitant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disorders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</w:t>
      </w:r>
      <w:r w:rsidR="00B8310D" w:rsidRPr="00D24F83">
        <w:rPr>
          <w:rFonts w:ascii="Book Antiqua" w:eastAsia="Book Antiqua" w:hAnsi="Book Antiqua" w:cs="Book Antiqua"/>
          <w:i/>
          <w:iCs/>
        </w:rPr>
        <w:t>e.g.</w:t>
      </w:r>
      <w:r w:rsidR="009F1585"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type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diabetes,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hypothyroidism),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type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refractory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taking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drugs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potentially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affect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excretion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(laxatives,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probiotics,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9F1585" w:rsidRPr="00D24F83">
        <w:rPr>
          <w:rFonts w:ascii="Book Antiqua" w:eastAsia="Book Antiqua" w:hAnsi="Book Antiqua" w:cs="Book Antiqua"/>
          <w:i/>
          <w:iCs/>
        </w:rPr>
        <w:t>etc</w:t>
      </w:r>
      <w:proofErr w:type="spellEnd"/>
      <w:r w:rsidR="009F1585"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inclusion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exclusion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criteria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underwent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evaluation,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completed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index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(CSI)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questionnaire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Short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Form-36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(SF-36)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questionnaire,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provided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blood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biochemical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serological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determinations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baseline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achieve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adherence,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assigned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consumed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either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B6A9B">
        <w:rPr>
          <w:rFonts w:ascii="Book Antiqua" w:eastAsia="Book Antiqua" w:hAnsi="Book Antiqua" w:cs="Book Antiqua"/>
        </w:rPr>
        <w:t>two</w:t>
      </w:r>
      <w:r w:rsidR="00EB6A9B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capsules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main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meals/day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(325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lastRenderedPageBreak/>
        <w:t>mg/capsule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containing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70%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30%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maltodextrin,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citric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acid)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</w:t>
      </w:r>
      <w:proofErr w:type="spellStart"/>
      <w:r w:rsidR="009F1585" w:rsidRPr="00D24F83">
        <w:rPr>
          <w:rFonts w:ascii="Book Antiqua" w:eastAsia="Book Antiqua" w:hAnsi="Book Antiqua" w:cs="Book Antiqua"/>
        </w:rPr>
        <w:t>GliadinX</w:t>
      </w:r>
      <w:proofErr w:type="spellEnd"/>
      <w:r w:rsidR="00BB3E3B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AVI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Research,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LLC,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D2404">
        <w:rPr>
          <w:rFonts w:ascii="Book Antiqua" w:eastAsia="Book Antiqua" w:hAnsi="Book Antiqua" w:cs="Book Antiqua"/>
        </w:rPr>
        <w:t xml:space="preserve">New York, NY, </w:t>
      </w:r>
      <w:r w:rsidR="009F1585" w:rsidRPr="00D24F83">
        <w:rPr>
          <w:rFonts w:ascii="Book Antiqua" w:eastAsia="Book Antiqua" w:hAnsi="Book Antiqua" w:cs="Book Antiqua"/>
        </w:rPr>
        <w:t>U</w:t>
      </w:r>
      <w:r w:rsidR="003F10BE" w:rsidRPr="00D24F83">
        <w:rPr>
          <w:rFonts w:ascii="Book Antiqua" w:eastAsia="Book Antiqua" w:hAnsi="Book Antiqua" w:cs="Book Antiqua"/>
        </w:rPr>
        <w:t>nited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F10BE" w:rsidRPr="00D24F83">
        <w:rPr>
          <w:rFonts w:ascii="Book Antiqua" w:eastAsia="Book Antiqua" w:hAnsi="Book Antiqua" w:cs="Book Antiqua"/>
        </w:rPr>
        <w:t>States</w:t>
      </w:r>
      <w:r w:rsidR="009F1585" w:rsidRPr="00D24F83">
        <w:rPr>
          <w:rFonts w:ascii="Book Antiqua" w:eastAsia="Book Antiqua" w:hAnsi="Book Antiqua" w:cs="Book Antiqua"/>
        </w:rPr>
        <w:t>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(maltodextrin,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citric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acid,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microcrystalline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cellulose)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</w:t>
      </w:r>
      <w:r w:rsidR="002E4595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consecutive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weeks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(Figure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1)</w:t>
      </w:r>
      <w:r w:rsidR="00742AE8"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enzyme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preparation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prolyl-oligopeptidase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produced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genetically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modified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</w:t>
      </w:r>
      <w:r w:rsidR="00575E88">
        <w:rPr>
          <w:rFonts w:ascii="Book Antiqua" w:eastAsia="Book Antiqua" w:hAnsi="Book Antiqua" w:cs="Book Antiqua"/>
          <w:i/>
          <w:iCs/>
        </w:rPr>
        <w:t>.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strain.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enzyme</w:t>
      </w:r>
      <w:r w:rsidR="00665FA3" w:rsidRPr="00D24F83">
        <w:rPr>
          <w:rFonts w:ascii="Book Antiqua" w:eastAsia="Book Antiqua" w:hAnsi="Book Antiqua" w:cs="Book Antiqua"/>
        </w:rPr>
        <w:t>’</w:t>
      </w:r>
      <w:r w:rsidR="009F1585"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composition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process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previously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reported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="009F1585" w:rsidRPr="00D24F83">
        <w:rPr>
          <w:rFonts w:ascii="Book Antiqua" w:eastAsia="Book Antiqua" w:hAnsi="Book Antiqua" w:cs="Book Antiqua"/>
          <w:vertAlign w:val="superscript"/>
        </w:rPr>
        <w:t>19</w:t>
      </w:r>
      <w:r w:rsidR="00252AB5" w:rsidRPr="00D24F83">
        <w:rPr>
          <w:rFonts w:ascii="Book Antiqua" w:eastAsia="Book Antiqua" w:hAnsi="Book Antiqua" w:cs="Book Antiqua"/>
          <w:vertAlign w:val="superscript"/>
        </w:rPr>
        <w:t>,20</w:t>
      </w:r>
      <w:r w:rsidR="009F1585" w:rsidRPr="00D24F83">
        <w:rPr>
          <w:rFonts w:ascii="Book Antiqua" w:eastAsia="Book Antiqua" w:hAnsi="Book Antiqua" w:cs="Book Antiqua"/>
          <w:vertAlign w:val="superscript"/>
        </w:rPr>
        <w:t>]</w:t>
      </w:r>
      <w:r w:rsidR="009F1585"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employed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D22D5C">
        <w:rPr>
          <w:rFonts w:ascii="Book Antiqua" w:eastAsia="Book Antiqua" w:hAnsi="Book Antiqua" w:cs="Book Antiqua"/>
        </w:rPr>
        <w:t xml:space="preserve"> 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42AE8" w:rsidRPr="00D24F83">
        <w:rPr>
          <w:rFonts w:ascii="Book Antiqua" w:eastAsia="Book Antiqua" w:hAnsi="Book Antiqua" w:cs="Book Antiqua"/>
        </w:rPr>
        <w:t>König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  <w:i/>
          <w:iCs/>
        </w:rPr>
        <w:t>et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9F1585" w:rsidRPr="00D24F83">
        <w:rPr>
          <w:rFonts w:ascii="Book Antiqua" w:eastAsia="Book Antiqua" w:hAnsi="Book Antiqua" w:cs="Book Antiqua"/>
          <w:i/>
          <w:iCs/>
        </w:rPr>
        <w:t>al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F1585" w:rsidRPr="00D24F83">
        <w:rPr>
          <w:rFonts w:ascii="Book Antiqua" w:eastAsia="Book Antiqua" w:hAnsi="Book Antiqua" w:cs="Book Antiqua"/>
          <w:vertAlign w:val="superscript"/>
        </w:rPr>
        <w:t>16]</w:t>
      </w:r>
      <w:r w:rsidR="009F1585"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provides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174000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9F1585" w:rsidRPr="00D24F83">
        <w:rPr>
          <w:rFonts w:ascii="Book Antiqua" w:eastAsia="Book Antiqua" w:hAnsi="Book Antiqua" w:cs="Book Antiqua"/>
        </w:rPr>
        <w:t>picomol</w:t>
      </w:r>
      <w:proofErr w:type="spellEnd"/>
      <w:r w:rsidR="0012498E" w:rsidRPr="00D24F83">
        <w:rPr>
          <w:rFonts w:ascii="Book Antiqua" w:eastAsia="Book Antiqua" w:hAnsi="Book Antiqua" w:cs="Book Antiqua"/>
        </w:rPr>
        <w:t xml:space="preserve"> </w:t>
      </w:r>
      <w:r w:rsidR="001D2404">
        <w:rPr>
          <w:rFonts w:ascii="Book Antiqua" w:eastAsia="Book Antiqua" w:hAnsi="Book Antiqua" w:cs="Book Antiqua"/>
        </w:rPr>
        <w:t>IU</w:t>
      </w:r>
      <w:r w:rsidR="009F1585" w:rsidRPr="00D24F83">
        <w:rPr>
          <w:rFonts w:ascii="Book Antiqua" w:eastAsia="Book Antiqua" w:hAnsi="Book Antiqua" w:cs="Book Antiqua"/>
        </w:rPr>
        <w:t>/meal,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authors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demonstrated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degraded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stomach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duodenum.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shown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degradation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proteins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insoluble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fraction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became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evident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30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4,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optimum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activity,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strongest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effect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propyl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peptidase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units/g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gramStart"/>
      <w:r w:rsidR="009F1585" w:rsidRPr="00D24F83">
        <w:rPr>
          <w:rFonts w:ascii="Book Antiqua" w:eastAsia="Book Antiqua" w:hAnsi="Book Antiqua" w:cs="Book Antiqua"/>
        </w:rPr>
        <w:t>gluten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F1585" w:rsidRPr="00D24F83">
        <w:rPr>
          <w:rFonts w:ascii="Book Antiqua" w:eastAsia="Book Antiqua" w:hAnsi="Book Antiqua" w:cs="Book Antiqua"/>
          <w:vertAlign w:val="superscript"/>
        </w:rPr>
        <w:t>21,22]</w:t>
      </w:r>
      <w:r w:rsidR="009F1585" w:rsidRPr="00D24F83">
        <w:rPr>
          <w:rFonts w:ascii="Book Antiqua" w:eastAsia="Book Antiqua" w:hAnsi="Book Antiqua" w:cs="Book Antiqua"/>
        </w:rPr>
        <w:t>.</w:t>
      </w:r>
    </w:p>
    <w:p w14:paraId="13884511" w14:textId="77777777" w:rsidR="007F4F04" w:rsidRPr="00D24F83" w:rsidRDefault="007F4F04" w:rsidP="00C13F38">
      <w:pPr>
        <w:spacing w:line="360" w:lineRule="auto"/>
        <w:jc w:val="both"/>
        <w:rPr>
          <w:rFonts w:ascii="Book Antiqua" w:hAnsi="Book Antiqua"/>
        </w:rPr>
      </w:pPr>
    </w:p>
    <w:p w14:paraId="6DCE4E2E" w14:textId="77777777" w:rsidR="007F4F04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C</w:t>
      </w:r>
      <w:r w:rsidR="007A5B0B" w:rsidRPr="00D24F83">
        <w:rPr>
          <w:rFonts w:ascii="Book Antiqua" w:eastAsia="Book Antiqua" w:hAnsi="Book Antiqua" w:cs="Book Antiqua"/>
          <w:b/>
          <w:bCs/>
          <w:i/>
          <w:iCs/>
        </w:rPr>
        <w:t>SI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questionnaire</w:t>
      </w:r>
    </w:p>
    <w:p w14:paraId="1E9A239D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well-validated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items,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developed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2009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committee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subsequently,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internally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externally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gramStart"/>
      <w:r w:rsidRPr="00D24F83">
        <w:rPr>
          <w:rFonts w:ascii="Book Antiqua" w:eastAsia="Book Antiqua" w:hAnsi="Book Antiqua" w:cs="Book Antiqua"/>
        </w:rPr>
        <w:t>validated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24F83">
        <w:rPr>
          <w:rFonts w:ascii="Book Antiqua" w:eastAsia="Book Antiqua" w:hAnsi="Book Antiqua" w:cs="Book Antiqua"/>
          <w:vertAlign w:val="superscript"/>
        </w:rPr>
        <w:t>23]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includes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items,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items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4F1CFC" w:rsidRPr="00D24F83">
        <w:rPr>
          <w:rFonts w:ascii="Book Antiqua" w:eastAsia="Book Antiqua" w:hAnsi="Book Antiqua" w:cs="Book Antiqua"/>
        </w:rPr>
        <w:t>“</w:t>
      </w:r>
      <w:r w:rsidRPr="00D24F83">
        <w:rPr>
          <w:rFonts w:ascii="Book Antiqua" w:eastAsia="Book Antiqua" w:hAnsi="Book Antiqua" w:cs="Book Antiqua"/>
        </w:rPr>
        <w:t>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4F1CFC" w:rsidRPr="00D24F83">
        <w:rPr>
          <w:rFonts w:ascii="Book Antiqua" w:eastAsia="Book Antiqua" w:hAnsi="Book Antiqua" w:cs="Book Antiqua"/>
        </w:rPr>
        <w:t>”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4F1CFC" w:rsidRPr="00D24F83">
        <w:rPr>
          <w:rFonts w:ascii="Book Antiqua" w:eastAsia="Book Antiqua" w:hAnsi="Book Antiqua" w:cs="Book Antiqua"/>
        </w:rPr>
        <w:t>“</w:t>
      </w:r>
      <w:r w:rsidRPr="00D24F83">
        <w:rPr>
          <w:rFonts w:ascii="Book Antiqua" w:eastAsia="Book Antiqua" w:hAnsi="Book Antiqua" w:cs="Book Antiqua"/>
        </w:rPr>
        <w:t>general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</w:t>
      </w:r>
      <w:r w:rsidR="004F1CFC" w:rsidRPr="00D24F83">
        <w:rPr>
          <w:rFonts w:ascii="Book Antiqua" w:eastAsia="Book Antiqua" w:hAnsi="Book Antiqua" w:cs="Book Antiqua"/>
        </w:rPr>
        <w:t>”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parameters.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Participants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item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96277">
        <w:rPr>
          <w:rFonts w:ascii="Book Antiqua" w:eastAsia="Book Antiqua" w:hAnsi="Book Antiqua" w:cs="Book Antiqua"/>
        </w:rPr>
        <w:t>L</w:t>
      </w:r>
      <w:r w:rsidRPr="00D24F83">
        <w:rPr>
          <w:rFonts w:ascii="Book Antiqua" w:eastAsia="Book Antiqua" w:hAnsi="Book Antiqua" w:cs="Book Antiqua"/>
        </w:rPr>
        <w:t>ikert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scale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ranging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represents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given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575E88">
        <w:rPr>
          <w:rFonts w:ascii="Book Antiqua" w:eastAsia="Book Antiqua" w:hAnsi="Book Antiqua" w:cs="Book Antiqua"/>
          <w:vertAlign w:val="superscript"/>
        </w:rPr>
        <w:t>[24]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well-being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throughout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study.</w:t>
      </w:r>
    </w:p>
    <w:p w14:paraId="1A54FCE7" w14:textId="77777777" w:rsidR="00BF5AB9" w:rsidRPr="00D24F83" w:rsidRDefault="00BF5AB9" w:rsidP="00C13F38">
      <w:pPr>
        <w:spacing w:line="360" w:lineRule="auto"/>
        <w:jc w:val="both"/>
        <w:rPr>
          <w:rFonts w:ascii="Book Antiqua" w:hAnsi="Book Antiqua"/>
        </w:rPr>
      </w:pPr>
    </w:p>
    <w:p w14:paraId="4976EC9B" w14:textId="77777777" w:rsidR="00BF5AB9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Self-administered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quality-of-life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questionnaire</w:t>
      </w:r>
    </w:p>
    <w:p w14:paraId="725FC31B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665FA3" w:rsidRPr="00D24F83">
        <w:rPr>
          <w:rFonts w:ascii="Book Antiqua" w:eastAsia="Book Antiqua" w:hAnsi="Book Antiqua" w:cs="Book Antiqua"/>
        </w:rPr>
        <w:t>’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15E7E"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parameters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gastrointestinal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SF-36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survey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24]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SF-36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includes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eight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sub-dimension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measures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functioning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wellness: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F69E3">
        <w:rPr>
          <w:rFonts w:ascii="Book Antiqua" w:eastAsia="Book Antiqua" w:hAnsi="Book Antiqua" w:cs="Book Antiqua"/>
        </w:rPr>
        <w:t>p</w:t>
      </w:r>
      <w:r w:rsidRPr="00D24F83">
        <w:rPr>
          <w:rFonts w:ascii="Book Antiqua" w:eastAsia="Book Antiqua" w:hAnsi="Book Antiqua" w:cs="Book Antiqua"/>
        </w:rPr>
        <w:t>hysical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functioning,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role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physical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problems,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bodily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pain,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general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vitality,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social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functioning,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role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emotional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problems,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mental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C826ED">
        <w:rPr>
          <w:rFonts w:ascii="Book Antiqua" w:eastAsia="Book Antiqua" w:hAnsi="Book Antiqua" w:cs="Book Antiqua"/>
        </w:rPr>
        <w:t>W</w:t>
      </w:r>
      <w:r w:rsidR="00C826ED" w:rsidRPr="00D24F83">
        <w:rPr>
          <w:rFonts w:ascii="Book Antiqua" w:eastAsia="Book Antiqua" w:hAnsi="Book Antiqua" w:cs="Book Antiqua"/>
        </w:rPr>
        <w:t xml:space="preserve">e measured these sub-dimensions </w:t>
      </w:r>
      <w:r w:rsidR="00C826ED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>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transformed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scale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ranging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100.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poorest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100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represents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optimal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allowed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aspects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well-being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QoL.</w:t>
      </w:r>
    </w:p>
    <w:p w14:paraId="5ECCE9FA" w14:textId="77777777" w:rsidR="00315E7E" w:rsidRPr="00D24F83" w:rsidRDefault="00315E7E" w:rsidP="00C13F38">
      <w:pPr>
        <w:spacing w:line="360" w:lineRule="auto"/>
        <w:jc w:val="both"/>
        <w:rPr>
          <w:rFonts w:ascii="Book Antiqua" w:hAnsi="Book Antiqua"/>
        </w:rPr>
      </w:pPr>
    </w:p>
    <w:p w14:paraId="76390FBB" w14:textId="77777777" w:rsidR="00315E7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Stool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collection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GIP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measurement</w:t>
      </w:r>
    </w:p>
    <w:p w14:paraId="061D7911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instructed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twice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Tuesdays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Fridays)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throughout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two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immediately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sealed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containers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frozen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-10</w:t>
      </w:r>
      <w:bookmarkStart w:id="779" w:name="_Hlk124183920"/>
      <w:r w:rsidR="0012498E" w:rsidRPr="00D24F83">
        <w:rPr>
          <w:rFonts w:ascii="Book Antiqua" w:eastAsia="Book Antiqua" w:hAnsi="Book Antiqua" w:cs="Book Antiqua"/>
        </w:rPr>
        <w:t xml:space="preserve"> </w:t>
      </w:r>
      <w:r w:rsidR="00F95481" w:rsidRPr="00D24F83">
        <w:rPr>
          <w:rFonts w:ascii="Book Antiqua" w:hAnsi="Book Antiqua" w:cs="Book Antiqua"/>
        </w:rPr>
        <w:t>°C</w:t>
      </w:r>
      <w:bookmarkEnd w:id="779"/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until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delivered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laboratory.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Upon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arrival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laboratory,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-20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95481" w:rsidRPr="00D24F83">
        <w:rPr>
          <w:rFonts w:ascii="Book Antiqua" w:hAnsi="Book Antiqua" w:cs="Book Antiqua"/>
        </w:rPr>
        <w:t>°C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until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measurement.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quantify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commercial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kit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(iVYLISA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GIP-Stool;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Biomedal</w:t>
      </w:r>
      <w:proofErr w:type="spellEnd"/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S.L.,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Sevilla,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Spain)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manufacturer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instructions.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kit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literature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8,2</w:t>
      </w:r>
      <w:r w:rsidR="00056FA9" w:rsidRPr="00D24F83">
        <w:rPr>
          <w:rFonts w:ascii="Book Antiqua" w:eastAsia="Book Antiqua" w:hAnsi="Book Antiqua" w:cs="Book Antiqua"/>
          <w:vertAlign w:val="superscript"/>
        </w:rPr>
        <w:t>5</w:t>
      </w:r>
      <w:r w:rsidRPr="00D24F83">
        <w:rPr>
          <w:rFonts w:ascii="Book Antiqua" w:eastAsia="Book Antiqua" w:hAnsi="Book Antiqua" w:cs="Book Antiqua"/>
          <w:vertAlign w:val="superscript"/>
        </w:rPr>
        <w:t>-27]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detection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duplicate,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eight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measurements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operators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deliberately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blind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type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undergoing.</w:t>
      </w:r>
    </w:p>
    <w:p w14:paraId="33BA25AB" w14:textId="77777777" w:rsidR="008A4F0E" w:rsidRPr="00D24F83" w:rsidRDefault="008A4F0E" w:rsidP="00C13F38">
      <w:pPr>
        <w:spacing w:line="360" w:lineRule="auto"/>
        <w:jc w:val="both"/>
        <w:rPr>
          <w:rFonts w:ascii="Book Antiqua" w:hAnsi="Book Antiqua"/>
        </w:rPr>
      </w:pPr>
    </w:p>
    <w:p w14:paraId="0743D635" w14:textId="77777777" w:rsidR="008A4F0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Celiac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disease-specific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serology</w:t>
      </w:r>
    </w:p>
    <w:p w14:paraId="507D74DD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Serum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kept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frozen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-20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°C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until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single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lab.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</w:t>
      </w:r>
      <w:r w:rsidR="00C20E75">
        <w:rPr>
          <w:rFonts w:ascii="Book Antiqua" w:eastAsia="Book Antiqua" w:hAnsi="Book Antiqua" w:cs="Book Antiqua"/>
        </w:rPr>
        <w:t>e</w:t>
      </w:r>
      <w:r w:rsidRPr="00D24F83">
        <w:rPr>
          <w:rFonts w:ascii="Book Antiqua" w:eastAsia="Book Antiqua" w:hAnsi="Book Antiqua" w:cs="Book Antiqua"/>
        </w:rPr>
        <w:t>D-related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cut-offs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(1)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tissue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transglutaminase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antibodies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(tTG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IgA)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ELISA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(QUANTA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LiteTM</w:t>
      </w:r>
      <w:proofErr w:type="spellEnd"/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h-</w:t>
      </w:r>
      <w:proofErr w:type="spellStart"/>
      <w:r w:rsidRPr="00D24F83">
        <w:rPr>
          <w:rFonts w:ascii="Book Antiqua" w:eastAsia="Book Antiqua" w:hAnsi="Book Antiqua" w:cs="Book Antiqua"/>
        </w:rPr>
        <w:t>tTG</w:t>
      </w:r>
      <w:proofErr w:type="spellEnd"/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IgA</w:t>
      </w:r>
      <w:r w:rsidR="00FA1AE4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Inova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Diagnostic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Inc.,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Diego,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</w:t>
      </w:r>
      <w:r w:rsidR="008A4F0E" w:rsidRPr="00D24F83">
        <w:rPr>
          <w:rFonts w:ascii="Book Antiqua" w:eastAsia="Book Antiqua" w:hAnsi="Book Antiqua" w:cs="Book Antiqua"/>
        </w:rPr>
        <w:t>nited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A4F0E" w:rsidRPr="00D24F83">
        <w:rPr>
          <w:rFonts w:ascii="Book Antiqua" w:eastAsia="Book Antiqua" w:hAnsi="Book Antiqua" w:cs="Book Antiqua"/>
        </w:rPr>
        <w:t>States</w:t>
      </w:r>
      <w:r w:rsidRPr="00D24F83">
        <w:rPr>
          <w:rFonts w:ascii="Book Antiqua" w:eastAsia="Book Antiqua" w:hAnsi="Book Antiqua" w:cs="Book Antiqua"/>
        </w:rPr>
        <w:t>);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(2)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antibodies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deamidated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gliadin-derived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DGP)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(QUANTA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LiteTM</w:t>
      </w:r>
      <w:proofErr w:type="spellEnd"/>
      <w:r w:rsidR="00FA1AE4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IgA</w:t>
      </w:r>
      <w:r w:rsidR="00FA1AE4" w:rsidRPr="00FA1AE4">
        <w:rPr>
          <w:rFonts w:ascii="Book Antiqua" w:eastAsia="Book Antiqua" w:hAnsi="Book Antiqua" w:cs="Book Antiqua"/>
        </w:rPr>
        <w:t xml:space="preserve"> </w:t>
      </w:r>
      <w:r w:rsidR="00FA1AE4" w:rsidRPr="00D24F83">
        <w:rPr>
          <w:rFonts w:ascii="Book Antiqua" w:eastAsia="Book Antiqua" w:hAnsi="Book Antiqua" w:cs="Book Antiqua"/>
        </w:rPr>
        <w:t>DGP</w:t>
      </w:r>
      <w:r w:rsidR="00FA1AE4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Inova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Diagnostic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Inc.)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Cut-off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U/</w:t>
      </w:r>
      <w:proofErr w:type="spellStart"/>
      <w:r w:rsidRPr="00D24F83">
        <w:rPr>
          <w:rFonts w:ascii="Book Antiqua" w:eastAsia="Book Antiqua" w:hAnsi="Book Antiqua" w:cs="Book Antiqua"/>
        </w:rPr>
        <w:t>mL.</w:t>
      </w:r>
      <w:proofErr w:type="spellEnd"/>
    </w:p>
    <w:p w14:paraId="77F9124E" w14:textId="77777777" w:rsidR="00F5451A" w:rsidRPr="00D24F83" w:rsidRDefault="00F5451A" w:rsidP="00C13F38">
      <w:pPr>
        <w:spacing w:line="360" w:lineRule="auto"/>
        <w:jc w:val="both"/>
        <w:rPr>
          <w:rFonts w:ascii="Book Antiqua" w:hAnsi="Book Antiqua"/>
        </w:rPr>
      </w:pPr>
    </w:p>
    <w:p w14:paraId="29403A3E" w14:textId="77777777" w:rsidR="00F5451A" w:rsidRPr="00D24F83" w:rsidRDefault="00694B43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 xml:space="preserve">tudy </w:t>
      </w:r>
      <w:r>
        <w:rPr>
          <w:rFonts w:ascii="Book Antiqua" w:eastAsia="Book Antiqua" w:hAnsi="Book Antiqua" w:cs="Book Antiqua"/>
          <w:b/>
          <w:bCs/>
          <w:i/>
          <w:iCs/>
        </w:rPr>
        <w:t>e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thics,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 xml:space="preserve">data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safety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issues</w:t>
      </w:r>
    </w:p>
    <w:p w14:paraId="20071266" w14:textId="77777777" w:rsidR="00F5451A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Dr.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Bonorino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Udaondo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Gastroenterology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Hospital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institutional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ethical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committee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committee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(CODEI).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required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provide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written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October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July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2022.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blinded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biochemical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SF-36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questionnaires).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registered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ClinicalTrials.gov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NCT04788797.</w:t>
      </w:r>
    </w:p>
    <w:p w14:paraId="4A599D88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Based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very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availability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evidence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(determined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excretion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initially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aimed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recruiting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80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quarantine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Argentina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bookmarkStart w:id="780" w:name="_Hlk125812942"/>
      <w:r w:rsidR="0074733E" w:rsidRPr="00D24F83">
        <w:rPr>
          <w:rStyle w:val="normaltextrun"/>
          <w:rFonts w:ascii="Book Antiqua" w:hAnsi="Book Antiqua" w:cs="Book Antiqua"/>
        </w:rPr>
        <w:t>coronavirus</w:t>
      </w:r>
      <w:r w:rsidR="0012498E" w:rsidRPr="00D24F83">
        <w:rPr>
          <w:rStyle w:val="normaltextrun"/>
          <w:rFonts w:ascii="Book Antiqua" w:hAnsi="Book Antiqua" w:cs="Book Antiqua"/>
        </w:rPr>
        <w:t xml:space="preserve"> </w:t>
      </w:r>
      <w:r w:rsidR="0074733E" w:rsidRPr="00D24F83">
        <w:rPr>
          <w:rStyle w:val="normaltextrun"/>
          <w:rFonts w:ascii="Book Antiqua" w:hAnsi="Book Antiqua" w:cs="Book Antiqua"/>
        </w:rPr>
        <w:t>disease</w:t>
      </w:r>
      <w:r w:rsidR="0012498E" w:rsidRPr="00D24F83">
        <w:rPr>
          <w:rStyle w:val="normaltextrun"/>
          <w:rFonts w:ascii="Book Antiqua" w:hAnsi="Book Antiqua" w:cs="Book Antiqua"/>
        </w:rPr>
        <w:t xml:space="preserve"> </w:t>
      </w:r>
      <w:r w:rsidR="0074733E" w:rsidRPr="00D24F83">
        <w:rPr>
          <w:rStyle w:val="normaltextrun"/>
          <w:rFonts w:ascii="Book Antiqua" w:hAnsi="Book Antiqua" w:cs="Book Antiqua"/>
        </w:rPr>
        <w:t>2019</w:t>
      </w:r>
      <w:bookmarkEnd w:id="780"/>
      <w:r w:rsidR="0012498E" w:rsidRPr="00D24F83">
        <w:rPr>
          <w:rStyle w:val="normaltextrun"/>
          <w:rFonts w:ascii="Book Antiqua" w:hAnsi="Book Antiqua" w:cs="Book Antiqua"/>
        </w:rPr>
        <w:t xml:space="preserve"> </w:t>
      </w:r>
      <w:r w:rsidR="0074733E" w:rsidRPr="00D24F83">
        <w:rPr>
          <w:rStyle w:val="normaltextrun"/>
          <w:rFonts w:ascii="Book Antiqua" w:hAnsi="Book Antiqua" w:cs="Book Antiqua"/>
        </w:rPr>
        <w:t>(</w:t>
      </w:r>
      <w:r w:rsidRPr="00D24F83">
        <w:rPr>
          <w:rFonts w:ascii="Book Antiqua" w:eastAsia="Book Antiqua" w:hAnsi="Book Antiqua" w:cs="Book Antiqua"/>
        </w:rPr>
        <w:t>COVID-19</w:t>
      </w:r>
      <w:r w:rsidR="0074733E"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pandemic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aim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=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40.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returning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capsules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per-protocol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(PP)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evaluation.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allocated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two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block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method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(blocks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subjects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each)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elaborated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independent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independent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author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order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blocks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(Stata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Corp,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TX</w:t>
      </w:r>
      <w:r w:rsidR="0074733E"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4733E" w:rsidRPr="00D24F83">
        <w:rPr>
          <w:rFonts w:ascii="Book Antiqua" w:eastAsia="Book Antiqua" w:hAnsi="Book Antiqua" w:cs="Book Antiqua"/>
        </w:rPr>
        <w:t>United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4733E" w:rsidRPr="00D24F83">
        <w:rPr>
          <w:rFonts w:ascii="Book Antiqua" w:eastAsia="Book Antiqua" w:hAnsi="Book Antiqua" w:cs="Book Antiqua"/>
        </w:rPr>
        <w:t>States</w:t>
      </w:r>
      <w:r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According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distribution,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continuous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variables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25%</w:t>
      </w:r>
      <w:r w:rsidR="00E272AB" w:rsidRPr="00D24F83">
        <w:rPr>
          <w:rFonts w:ascii="Book Antiqua" w:eastAsia="Book Antiqua" w:hAnsi="Book Antiqua" w:cs="Book Antiqua"/>
        </w:rPr>
        <w:t>-</w:t>
      </w:r>
      <w:r w:rsidRPr="00D24F83">
        <w:rPr>
          <w:rFonts w:ascii="Book Antiqua" w:eastAsia="Book Antiqua" w:hAnsi="Book Antiqua" w:cs="Book Antiqua"/>
        </w:rPr>
        <w:t>75%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percent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interquartile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(IQR)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range.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comparison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Mann-Whitney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(paired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C46AFC">
        <w:rPr>
          <w:rFonts w:ascii="Book Antiqua" w:eastAsia="Book Antiqua" w:hAnsi="Book Antiqua" w:cs="Book Antiqua"/>
        </w:rPr>
        <w:t>a</w:t>
      </w:r>
      <w:r w:rsidR="00C46AFC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Wilcoxon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Proportions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groups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Chi-square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comparisons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proportions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(paired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performed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McNemar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values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0.05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3260A">
        <w:rPr>
          <w:rFonts w:ascii="Book Antiqua" w:eastAsia="Book Antiqua" w:hAnsi="Book Antiqua" w:cs="Book Antiqua"/>
        </w:rPr>
        <w:t>were</w:t>
      </w:r>
      <w:r w:rsidR="00A3260A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Outcome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measurements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05D51" w:rsidRPr="00D24F83">
        <w:rPr>
          <w:rFonts w:ascii="Book Antiqua" w:eastAsia="Book Antiqua" w:hAnsi="Book Antiqua" w:cs="Book Antiqua"/>
        </w:rPr>
        <w:t>intent-to-treat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05D51" w:rsidRPr="00D24F83">
        <w:rPr>
          <w:rFonts w:ascii="Book Antiqua" w:eastAsia="Book Antiqua" w:hAnsi="Book Antiqua" w:cs="Book Antiqua"/>
        </w:rPr>
        <w:t>(ITT)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completing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safety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concerns,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contact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monitors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(AFC,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272AB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JCB).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safety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issue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self-reported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safety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concerns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403240">
        <w:rPr>
          <w:rFonts w:ascii="Book Antiqua" w:eastAsia="Book Antiqua" w:hAnsi="Book Antiqua" w:cs="Book Antiqua"/>
        </w:rPr>
        <w:t>have been</w:t>
      </w:r>
      <w:r w:rsidR="00403240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completed.</w:t>
      </w:r>
    </w:p>
    <w:p w14:paraId="6AFD595F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45A9217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1A34A81" w14:textId="77777777" w:rsidR="00E272AB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population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compliance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AN-PEP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administration</w:t>
      </w:r>
    </w:p>
    <w:p w14:paraId="206E2203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Figure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displays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flowchart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illustrating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403240">
        <w:rPr>
          <w:rFonts w:ascii="Book Antiqua" w:eastAsia="Book Antiqua" w:hAnsi="Book Antiqua" w:cs="Book Antiqua"/>
        </w:rPr>
        <w:t>trial</w:t>
      </w:r>
      <w:r w:rsidR="00403240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progression.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COVID-19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pandemic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activity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ambulatory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October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July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2022.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initial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66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screened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C55C4">
        <w:rPr>
          <w:rFonts w:ascii="Book Antiqua" w:eastAsia="Book Antiqua" w:hAnsi="Book Antiqua" w:cs="Book Antiqua"/>
        </w:rPr>
        <w:t>because</w:t>
      </w:r>
      <w:r w:rsidR="001C55C4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inclusion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criteria.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remaining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initiate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concerns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about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protocol,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leading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exclusion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Ultimately,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40</w:t>
      </w:r>
      <w:r w:rsidRPr="00D24F83">
        <w:rPr>
          <w:rFonts w:ascii="Book Antiqua" w:eastAsia="Book Antiqua" w:hAnsi="Book Antiqua" w:cs="Book Antiqua"/>
        </w:rPr>
        <w:br/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completed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41C61">
        <w:rPr>
          <w:rFonts w:ascii="Book Antiqua" w:eastAsia="Book Antiqua" w:hAnsi="Book Antiqua" w:cs="Book Antiqua"/>
        </w:rPr>
        <w:t>According to</w:t>
      </w:r>
      <w:r w:rsidR="00A41C61" w:rsidRPr="00D24F83">
        <w:rPr>
          <w:rFonts w:ascii="Book Antiqua" w:eastAsia="Book Antiqua" w:hAnsi="Book Antiqua" w:cs="Book Antiqua"/>
        </w:rPr>
        <w:t xml:space="preserve"> </w:t>
      </w:r>
      <w:r w:rsidR="00A41C61">
        <w:rPr>
          <w:rFonts w:ascii="Book Antiqua" w:eastAsia="Book Antiqua" w:hAnsi="Book Antiqua" w:cs="Book Antiqua"/>
        </w:rPr>
        <w:t xml:space="preserve">our </w:t>
      </w:r>
      <w:r w:rsidR="00A41C61" w:rsidRPr="00D24F83">
        <w:rPr>
          <w:rFonts w:ascii="Book Antiqua" w:eastAsia="Book Antiqua" w:hAnsi="Book Antiqua" w:cs="Book Antiqua"/>
        </w:rPr>
        <w:t xml:space="preserve">pre-established </w:t>
      </w:r>
      <w:r w:rsidR="00A41C61">
        <w:rPr>
          <w:rFonts w:ascii="Book Antiqua" w:eastAsia="Book Antiqua" w:hAnsi="Book Antiqua" w:cs="Book Antiqua"/>
        </w:rPr>
        <w:t>guidelines, t</w:t>
      </w:r>
      <w:r w:rsidRPr="00D24F83">
        <w:rPr>
          <w:rFonts w:ascii="Book Antiqua" w:eastAsia="Book Antiqua" w:hAnsi="Book Antiqua" w:cs="Book Antiqua"/>
        </w:rPr>
        <w:t>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41C61">
        <w:rPr>
          <w:rFonts w:ascii="Book Antiqua" w:eastAsia="Book Antiqua" w:hAnsi="Book Antiqua" w:cs="Book Antiqua"/>
        </w:rPr>
        <w:t>because</w:t>
      </w:r>
      <w:r w:rsidR="00A41C61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returned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capsules.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bookmarkStart w:id="781" w:name="OLE_LINK1777"/>
      <w:bookmarkStart w:id="782" w:name="OLE_LINK1778"/>
      <w:r w:rsidRPr="00D24F83">
        <w:rPr>
          <w:rFonts w:ascii="Book Antiqua" w:eastAsia="Book Antiqua" w:hAnsi="Book Antiqua" w:cs="Book Antiqua"/>
        </w:rPr>
        <w:t>Table</w:t>
      </w:r>
      <w:bookmarkEnd w:id="781"/>
      <w:bookmarkEnd w:id="782"/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demographic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information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provides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corresponding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placebo-treated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groups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sex,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enrollment,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abnormal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perception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placebo.</w:t>
      </w:r>
    </w:p>
    <w:p w14:paraId="3C1B9D57" w14:textId="77777777" w:rsidR="00BA15F0" w:rsidRPr="00D24F83" w:rsidRDefault="00BA15F0" w:rsidP="00C13F38">
      <w:pPr>
        <w:spacing w:line="360" w:lineRule="auto"/>
        <w:jc w:val="both"/>
        <w:rPr>
          <w:rFonts w:ascii="Book Antiqua" w:hAnsi="Book Antiqua"/>
        </w:rPr>
      </w:pPr>
    </w:p>
    <w:p w14:paraId="0A6FDAB1" w14:textId="77777777" w:rsidR="00BA15F0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Stool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gluten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immunogenic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peptides</w:t>
      </w:r>
    </w:p>
    <w:p w14:paraId="002561BE" w14:textId="77777777" w:rsidR="00C60925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Throughout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628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(98.1%)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successfully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investigators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kept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blind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50FD0">
        <w:rPr>
          <w:rFonts w:ascii="Book Antiqua" w:eastAsia="Book Antiqua" w:hAnsi="Book Antiqua" w:cs="Book Antiqua"/>
        </w:rPr>
        <w:t xml:space="preserve">allocated </w:t>
      </w:r>
      <w:r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proportion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(65.6%)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(GIP)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F5C46">
        <w:rPr>
          <w:rFonts w:ascii="Book Antiqua" w:eastAsia="Book Antiqua" w:hAnsi="Book Antiqua" w:cs="Book Antiqua"/>
        </w:rPr>
        <w:t>either</w:t>
      </w:r>
      <w:r w:rsidR="001F5C46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F5C46">
        <w:rPr>
          <w:rFonts w:ascii="Book Antiqua" w:eastAsia="Book Antiqua" w:hAnsi="Book Antiqua" w:cs="Book Antiqua"/>
        </w:rPr>
        <w:t>or</w:t>
      </w:r>
      <w:r w:rsidR="001F5C46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returning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capsules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information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obtained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164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(31.7%)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47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165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(28.5%)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respectively.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58.7%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17.7%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negative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11.8%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negative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11.8%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negative,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respectively.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15%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(3/20)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below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maintained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values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points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25%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(5/20)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increased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61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151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(40.4%)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148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(36.5%)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collected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shown).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detailed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revealed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17.7%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(3/17)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exhibited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C26851">
        <w:rPr>
          <w:rFonts w:ascii="Book Antiqua" w:eastAsia="Book Antiqua" w:hAnsi="Book Antiqua" w:cs="Book Antiqua"/>
        </w:rPr>
        <w:t>time points</w:t>
      </w:r>
      <w:r w:rsidR="00C26851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administration),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29.4%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(5/17)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17.7%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(3/17)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unchanged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shown).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Tables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noteworthy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(31.6%)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exhibited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exceeding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contrast,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experienced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shown).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0.5%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samples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greater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0.32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threshold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damage.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found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exceeding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0.64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μg/g.</w:t>
      </w:r>
    </w:p>
    <w:p w14:paraId="3523544C" w14:textId="77777777" w:rsidR="00C60925" w:rsidRPr="00D24F83" w:rsidRDefault="00C6092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765A9C6" w14:textId="77777777" w:rsidR="00C60925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Symptoms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report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using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7A5B0B" w:rsidRPr="00D24F83">
        <w:rPr>
          <w:rFonts w:ascii="Book Antiqua" w:eastAsia="Book Antiqua" w:hAnsi="Book Antiqua" w:cs="Book Antiqua"/>
          <w:b/>
          <w:bCs/>
          <w:i/>
          <w:iCs/>
        </w:rPr>
        <w:t>CIS</w:t>
      </w:r>
    </w:p>
    <w:p w14:paraId="022EE1B5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proportion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points)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examined.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although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slightly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(Tables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greater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(12.5%)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(8.5%),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although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points)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receiving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r w:rsidR="00826A08"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</w:rPr>
        <w:t>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0.03)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(Tables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2).</w:t>
      </w:r>
    </w:p>
    <w:p w14:paraId="5B9588E3" w14:textId="77777777" w:rsidR="00030511" w:rsidRPr="00D24F83" w:rsidRDefault="00030511" w:rsidP="00C13F38">
      <w:pPr>
        <w:spacing w:line="360" w:lineRule="auto"/>
        <w:jc w:val="both"/>
        <w:rPr>
          <w:rFonts w:ascii="Book Antiqua" w:hAnsi="Book Antiqua"/>
        </w:rPr>
      </w:pPr>
    </w:p>
    <w:p w14:paraId="12B145C9" w14:textId="77777777" w:rsidR="00030511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Outcome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celiac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disease-related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  <w:i/>
          <w:iCs/>
        </w:rPr>
        <w:t>serology</w:t>
      </w:r>
    </w:p>
    <w:p w14:paraId="35CEE7EB" w14:textId="77777777" w:rsidR="00A77B3E" w:rsidRPr="00D24F83" w:rsidRDefault="00B64F6D" w:rsidP="00C13F3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 also examined t</w:t>
      </w:r>
      <w:r w:rsidR="009F1585" w:rsidRPr="00D24F83">
        <w:rPr>
          <w:rFonts w:ascii="Book Antiqua" w:eastAsia="Book Antiqua" w:hAnsi="Book Antiqua" w:cs="Book Antiqua"/>
        </w:rPr>
        <w:t>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9F1585" w:rsidRPr="00D24F83">
        <w:rPr>
          <w:rFonts w:ascii="Book Antiqua" w:eastAsia="Book Antiqua" w:hAnsi="Book Antiqua" w:cs="Book Antiqua"/>
        </w:rPr>
        <w:t>tTG</w:t>
      </w:r>
      <w:proofErr w:type="spellEnd"/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DGP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autoantibodies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intervention.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group,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seven</w:t>
      </w:r>
      <w:r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tTG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decreased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D7A6F">
        <w:rPr>
          <w:rFonts w:ascii="Book Antiqua" w:eastAsia="Book Antiqua" w:hAnsi="Book Antiqua" w:cs="Book Antiqua"/>
        </w:rPr>
        <w:t>five</w:t>
      </w:r>
      <w:r w:rsidR="00ED7A6F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group,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D7A6F">
        <w:rPr>
          <w:rFonts w:ascii="Book Antiqua" w:eastAsia="Book Antiqua" w:hAnsi="Book Antiqua" w:cs="Book Antiqua"/>
        </w:rPr>
        <w:t>eight</w:t>
      </w:r>
      <w:r w:rsidR="00ED7A6F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slightly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decreased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seven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Regarding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IgA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DGP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antibodies,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positivity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lower,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two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having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enrollment,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increased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two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respectively,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expected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because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short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duration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when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comparing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median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serum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concentrations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antibodies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baseline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measurements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within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same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(Tables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1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2).</w:t>
      </w:r>
    </w:p>
    <w:p w14:paraId="5DA3E92D" w14:textId="77777777" w:rsidR="00030511" w:rsidRPr="00D24F83" w:rsidRDefault="00030511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4355623" w14:textId="77777777" w:rsidR="00A77B3E" w:rsidRPr="00D24F83" w:rsidRDefault="00030511" w:rsidP="00C13F38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24F83">
        <w:rPr>
          <w:rFonts w:ascii="Book Antiqua" w:eastAsia="Book Antiqua" w:hAnsi="Book Antiqua" w:cs="Book Antiqua"/>
          <w:b/>
          <w:bCs/>
          <w:i/>
          <w:iCs/>
        </w:rPr>
        <w:t>QoL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12498E" w:rsidRPr="00D24F8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9F1585" w:rsidRPr="00D24F83">
        <w:rPr>
          <w:rFonts w:ascii="Book Antiqua" w:eastAsia="Book Antiqua" w:hAnsi="Book Antiqua" w:cs="Book Antiqua"/>
          <w:b/>
          <w:bCs/>
          <w:i/>
          <w:iCs/>
        </w:rPr>
        <w:t>safety</w:t>
      </w:r>
    </w:p>
    <w:p w14:paraId="3D36610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examined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bookmarkStart w:id="783" w:name="_Hlk158582366"/>
      <w:r w:rsidRPr="00D24F83">
        <w:rPr>
          <w:rFonts w:ascii="Book Antiqua" w:eastAsia="Book Antiqua" w:hAnsi="Book Antiqua" w:cs="Book Antiqua"/>
        </w:rPr>
        <w:t>QoL</w:t>
      </w:r>
      <w:bookmarkEnd w:id="783"/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SF-36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eight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dimensions.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baseline,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across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dimensions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general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pain,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emotional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r w:rsidR="006E2191"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6E2191" w:rsidRPr="00D24F83">
        <w:rPr>
          <w:rFonts w:ascii="Book Antiqua" w:eastAsia="Book Antiqua" w:hAnsi="Book Antiqua" w:cs="Book Antiqua"/>
        </w:rPr>
        <w:t>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0.05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dimensions).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contrast,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baseline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r w:rsidR="006E2191"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6E2191" w:rsidRPr="00D24F83">
        <w:rPr>
          <w:rFonts w:ascii="Book Antiqua" w:eastAsia="Book Antiqua" w:hAnsi="Book Antiqua" w:cs="Book Antiqua"/>
        </w:rPr>
        <w:t>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0.05),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vitality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r w:rsidR="006E2191" w:rsidRPr="00D24F83">
        <w:rPr>
          <w:rFonts w:ascii="Book Antiqua" w:eastAsia="Book Antiqua" w:hAnsi="Book Antiqua" w:cs="Book Antiqua"/>
          <w:i/>
          <w:iCs/>
        </w:rPr>
        <w:t>P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6E2191" w:rsidRPr="00D24F83">
        <w:rPr>
          <w:rFonts w:ascii="Book Antiqua" w:eastAsia="Book Antiqua" w:hAnsi="Book Antiqua" w:cs="Book Antiqua"/>
        </w:rPr>
        <w:t>&lt;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0.005),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analyses.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Neither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elicited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adverse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concerns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well-tolerated.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9723B">
        <w:rPr>
          <w:rFonts w:ascii="Book Antiqua" w:eastAsia="Book Antiqua" w:hAnsi="Book Antiqua" w:cs="Book Antiqua"/>
        </w:rPr>
        <w:t>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F9723B">
        <w:rPr>
          <w:rFonts w:ascii="Book Antiqua" w:eastAsia="Book Antiqua" w:hAnsi="Book Antiqua" w:cs="Book Antiqua"/>
        </w:rPr>
        <w:t>three</w:t>
      </w:r>
      <w:r w:rsidR="00F9723B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negative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omissions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individuals</w:t>
      </w:r>
      <w:r w:rsidR="00665FA3" w:rsidRPr="00D24F83">
        <w:rPr>
          <w:rFonts w:ascii="Book Antiqua" w:eastAsia="Book Antiqua" w:hAnsi="Book Antiqua" w:cs="Book Antiqua"/>
        </w:rPr>
        <w:t>’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working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activity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outside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homes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issues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itself.</w:t>
      </w:r>
    </w:p>
    <w:p w14:paraId="6A35C53A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2BDC20EE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6E822A7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primary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objective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investigate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proline-specific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endoprotease</w:t>
      </w:r>
      <w:proofErr w:type="spellEnd"/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650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meal,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breakfast,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lunch,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dinner)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</w:t>
      </w:r>
      <w:r w:rsidR="002E4595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consecutive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comparison.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replicating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situation,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expands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address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issue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contamination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occurring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diagnosed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="00CF58DD" w:rsidRPr="00D24F83">
        <w:rPr>
          <w:rFonts w:ascii="Book Antiqua" w:eastAsia="Book Antiqua" w:hAnsi="Book Antiqua" w:cs="Book Antiqua"/>
          <w:vertAlign w:val="superscript"/>
        </w:rPr>
        <w:t>8,25</w:t>
      </w:r>
      <w:r w:rsidRPr="00D24F83">
        <w:rPr>
          <w:rFonts w:ascii="Book Antiqua" w:eastAsia="Book Antiqua" w:hAnsi="Book Antiqua" w:cs="Book Antiqua"/>
          <w:vertAlign w:val="superscript"/>
        </w:rPr>
        <w:t>-28]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phase.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exhibited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magnitude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tended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receiving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(47.6%)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(44.1%),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statistical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significance.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Interestingly,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approximately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35.3%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exceeding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0.08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μg/g.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undergoing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experienced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879C9">
        <w:rPr>
          <w:rFonts w:ascii="Book Antiqua" w:eastAsia="Book Antiqua" w:hAnsi="Book Antiqua" w:cs="Book Antiqua"/>
        </w:rPr>
        <w:t>one</w:t>
      </w:r>
      <w:r w:rsidR="002879C9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879C9">
        <w:rPr>
          <w:rFonts w:ascii="Book Antiqua" w:eastAsia="Book Antiqua" w:hAnsi="Book Antiqua" w:cs="Book Antiqua"/>
        </w:rPr>
        <w:t>four patients</w:t>
      </w:r>
      <w:r w:rsidR="002879C9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group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experienced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reduction.</w:t>
      </w:r>
    </w:p>
    <w:p w14:paraId="0286327E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Neither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elicited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adverse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concerns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well-tolerated.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1B0F44">
        <w:rPr>
          <w:rFonts w:ascii="Book Antiqua" w:eastAsia="Book Antiqua" w:hAnsi="Book Antiqua" w:cs="Book Antiqua"/>
        </w:rPr>
        <w:t>all</w:t>
      </w:r>
      <w:r w:rsidR="001B0F44" w:rsidRPr="00D24F83">
        <w:rPr>
          <w:rFonts w:ascii="Book Antiqua" w:eastAsia="Book Antiqua" w:hAnsi="Book Antiqua" w:cs="Book Antiqua"/>
        </w:rPr>
        <w:t xml:space="preserve"> </w:t>
      </w:r>
      <w:r w:rsidR="001B0F44">
        <w:rPr>
          <w:rFonts w:ascii="Book Antiqua" w:eastAsia="Book Antiqua" w:hAnsi="Book Antiqua" w:cs="Book Antiqua"/>
        </w:rPr>
        <w:t>three</w:t>
      </w:r>
      <w:r w:rsidR="001B0F44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excluded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analysis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negative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cases,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omissions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individuals</w:t>
      </w:r>
      <w:r w:rsidR="00665FA3" w:rsidRPr="00D24F83">
        <w:rPr>
          <w:rFonts w:ascii="Book Antiqua" w:eastAsia="Book Antiqua" w:hAnsi="Book Antiqua" w:cs="Book Antiqua"/>
        </w:rPr>
        <w:t>’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working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schedules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issues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itself.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Although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proportion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course,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changes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reported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areas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general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vitality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abdominal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pain.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differences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inherent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associated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questionnaires,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subjectivity,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external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factors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influencing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demonstrated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promising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degrading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in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vitro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ex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vivo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laboratory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models,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trials.</w:t>
      </w:r>
    </w:p>
    <w:p w14:paraId="714BCCBC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contamination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never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investigated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17-20]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important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daily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management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“real-life”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devoid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variability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controlled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8,29,30]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Indeed,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explain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Thus,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contrast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8]</w:t>
      </w:r>
      <w:r w:rsidRPr="00D24F83">
        <w:rPr>
          <w:rFonts w:ascii="Book Antiqua" w:eastAsia="Book Antiqua" w:hAnsi="Book Antiqua" w:cs="Book Antiqua"/>
        </w:rPr>
        <w:t>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never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reached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associated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damage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27]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discrepancy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timing,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primarily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took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COVID-19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pandemic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E434D">
        <w:rPr>
          <w:rFonts w:ascii="Book Antiqua" w:eastAsia="Book Antiqua" w:hAnsi="Book Antiqua" w:cs="Book Antiqua"/>
        </w:rPr>
        <w:t>when 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country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characterized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viral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infection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prolonged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isolation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lockdown.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Consequently,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enforced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stay-at-home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measures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suggested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31]</w:t>
      </w:r>
      <w:r w:rsidRPr="00D24F83">
        <w:rPr>
          <w:rFonts w:ascii="Book Antiqua" w:eastAsia="Book Antiqua" w:hAnsi="Book Antiqua" w:cs="Book Antiqua"/>
        </w:rPr>
        <w:t>.</w:t>
      </w:r>
    </w:p>
    <w:p w14:paraId="03FA34A6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relationship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activity,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ratio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total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intake,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kinetics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substrate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cleavage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crucial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aspect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consider.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emphasized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importance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dose-substrate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relationship,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time,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conditions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achieving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optimal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cleavage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peptidases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32]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694509" w:rsidRPr="00D24F83">
        <w:rPr>
          <w:rFonts w:ascii="Book Antiqua" w:eastAsia="Book Antiqua" w:hAnsi="Book Antiqua" w:cs="Book Antiqua"/>
        </w:rPr>
        <w:t>König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et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al</w:t>
      </w:r>
      <w:r w:rsidRPr="00D24F83">
        <w:rPr>
          <w:rFonts w:ascii="Book Antiqua" w:eastAsia="Book Antiqua" w:hAnsi="Book Antiqua" w:cs="Book Antiqua"/>
          <w:vertAlign w:val="superscript"/>
        </w:rPr>
        <w:t>[16]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conducted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demonstrating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cleavage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gliadin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shortly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co-administration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even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varying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caloric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densities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acidic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conditions.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twice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demonstrated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effectively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cleave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gliadin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healthy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individuals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subjected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21]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essence,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indicates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intake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suggest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predominant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relatively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participants.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important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underline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individuals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concurrently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receiving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substantial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investigated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enzyme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7440E0">
        <w:rPr>
          <w:rFonts w:ascii="Book Antiqua" w:eastAsia="Book Antiqua" w:hAnsi="Book Antiqua" w:cs="Book Antiqua"/>
        </w:rPr>
        <w:t>symptom</w:t>
      </w:r>
      <w:r w:rsidR="007440E0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intensity,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assessed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Various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factors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associated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including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voluntary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irritable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bowel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syndrome,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bacterial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overgrowth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syndrome,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intake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FODMAPs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1-5]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relevant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interesting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scores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38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points)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caused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through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protease,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identified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small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those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higher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experienced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&gt;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50%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non-detectable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supports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hypothesis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degradation,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557953">
        <w:rPr>
          <w:rFonts w:ascii="Book Antiqua" w:eastAsia="Book Antiqua" w:hAnsi="Book Antiqua" w:cs="Book Antiqua"/>
        </w:rPr>
        <w:t xml:space="preserve"> we did not observe a similar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minor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amounts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contribute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41419">
        <w:rPr>
          <w:rFonts w:ascii="Book Antiqua" w:eastAsia="Book Antiqua" w:hAnsi="Book Antiqua" w:cs="Book Antiqua"/>
        </w:rPr>
        <w:t>symptom</w:t>
      </w:r>
      <w:r w:rsidR="00341419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unclear,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but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hypersensitive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gramStart"/>
      <w:r w:rsidR="00341419">
        <w:rPr>
          <w:rFonts w:ascii="Book Antiqua" w:eastAsia="Book Antiqua" w:hAnsi="Book Antiqua" w:cs="Book Antiqua"/>
        </w:rPr>
        <w:t>reported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24F83">
        <w:rPr>
          <w:rFonts w:ascii="Book Antiqua" w:eastAsia="Book Antiqua" w:hAnsi="Book Antiqua" w:cs="Book Antiqua"/>
          <w:vertAlign w:val="superscript"/>
        </w:rPr>
        <w:t>1]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Further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needed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understand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mechanisms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underlying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persistence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larger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follow-up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periods.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parameters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  <w:i/>
          <w:iCs/>
        </w:rPr>
        <w:t>vs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41419">
        <w:rPr>
          <w:rFonts w:ascii="Book Antiqua" w:eastAsia="Book Antiqua" w:hAnsi="Book Antiqua" w:cs="Book Antiqua"/>
        </w:rPr>
        <w:t xml:space="preserve">we did not detect </w:t>
      </w:r>
      <w:r w:rsidRPr="00D24F83">
        <w:rPr>
          <w:rFonts w:ascii="Book Antiqua" w:eastAsia="Book Antiqua" w:hAnsi="Book Antiqua" w:cs="Book Antiqua"/>
        </w:rPr>
        <w:t>changes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D24F83">
        <w:rPr>
          <w:rFonts w:ascii="Book Antiqua" w:eastAsia="Book Antiqua" w:hAnsi="Book Antiqua" w:cs="Book Antiqua"/>
        </w:rPr>
        <w:t>CeD</w:t>
      </w:r>
      <w:proofErr w:type="spellEnd"/>
      <w:r w:rsidRPr="00D24F83">
        <w:rPr>
          <w:rFonts w:ascii="Book Antiqua" w:eastAsia="Book Antiqua" w:hAnsi="Book Antiqua" w:cs="Book Antiqua"/>
        </w:rPr>
        <w:t>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serological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tests.</w:t>
      </w:r>
    </w:p>
    <w:p w14:paraId="30C28186" w14:textId="77777777" w:rsidR="00A77B3E" w:rsidRPr="00D24F83" w:rsidRDefault="009F1585" w:rsidP="00C13F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One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advantage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present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attempt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mimic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conditions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typically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encountered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lifelong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unpredictable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contamination.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previously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discussed,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also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susceptible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limitations;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thus,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necessary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management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interpreted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caution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lack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same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level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control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challenge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752237" w:rsidRPr="00D24F83">
        <w:rPr>
          <w:rFonts w:ascii="Book Antiqua" w:eastAsia="Book Antiqua" w:hAnsi="Book Antiqua" w:cs="Book Antiqua"/>
          <w:vertAlign w:val="superscript"/>
        </w:rPr>
        <w:t>[</w:t>
      </w:r>
      <w:r w:rsidRPr="00D24F83">
        <w:rPr>
          <w:rFonts w:ascii="Book Antiqua" w:eastAsia="Book Antiqua" w:hAnsi="Book Antiqua" w:cs="Book Antiqua"/>
          <w:vertAlign w:val="superscript"/>
        </w:rPr>
        <w:t>29,30]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Together,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provide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complementary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powerful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pathophysiological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insights.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believe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</w:t>
      </w:r>
      <w:r w:rsidR="002E4595">
        <w:rPr>
          <w:rFonts w:ascii="Book Antiqua" w:eastAsia="Book Antiqua" w:hAnsi="Book Antiqua" w:cs="Book Antiqua"/>
        </w:rPr>
        <w:t>4 wk</w:t>
      </w:r>
      <w:r w:rsidRPr="00D24F83">
        <w:rPr>
          <w:rFonts w:ascii="Book Antiqua" w:eastAsia="Book Antiqua" w:hAnsi="Book Antiqua" w:cs="Book Antiqua"/>
        </w:rPr>
        <w:t>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might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suffice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modifications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outcome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parameters,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particularly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specific-serology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testing.</w:t>
      </w:r>
    </w:p>
    <w:p w14:paraId="30EFB484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76ED06B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E268CDD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summary,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reduce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concentration.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822AB4" w:rsidRPr="00D24F83">
        <w:rPr>
          <w:rFonts w:ascii="Book Antiqua" w:eastAsia="Book Antiqua" w:hAnsi="Book Antiqua" w:cs="Book Antiqua"/>
        </w:rPr>
        <w:t>However,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support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idea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positive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intensity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aspects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QoL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GFD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needed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unravel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7675BE">
        <w:rPr>
          <w:rFonts w:ascii="Book Antiqua" w:eastAsia="Book Antiqua" w:hAnsi="Book Antiqua" w:cs="Book Antiqua"/>
        </w:rPr>
        <w:t xml:space="preserve"> underlying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mechanisms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larger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populations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follow-ups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confirm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findings.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help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implement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adjunct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therapies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CeD.</w:t>
      </w:r>
    </w:p>
    <w:p w14:paraId="27F6EF1A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473F72D0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12498E" w:rsidRPr="00D24F8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24F83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68248282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background</w:t>
      </w:r>
    </w:p>
    <w:p w14:paraId="5BAF931C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impact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Aspergillus</w:t>
      </w:r>
      <w:r w:rsidR="0012498E" w:rsidRPr="00D24F83">
        <w:rPr>
          <w:rFonts w:ascii="Book Antiqua" w:eastAsia="Book Antiqua" w:hAnsi="Book Antiqua" w:cs="Book Antiqua"/>
          <w:i/>
          <w:iCs/>
        </w:rPr>
        <w:t xml:space="preserve"> </w:t>
      </w:r>
      <w:r w:rsidR="003C3F06" w:rsidRPr="00D24F83">
        <w:rPr>
          <w:rFonts w:ascii="Book Antiqua" w:eastAsia="Book Antiqua" w:hAnsi="Book Antiqua" w:cs="Book Antiqua"/>
          <w:i/>
          <w:iCs/>
        </w:rPr>
        <w:t>niger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proline-specific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endoprotease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(AN-PEP)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resulting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from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inadvertent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lapses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(CeD)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gluten-free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(GFD)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scenarios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remains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unknown.</w:t>
      </w:r>
    </w:p>
    <w:p w14:paraId="79AB89DC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44D4C451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motivation</w:t>
      </w:r>
    </w:p>
    <w:p w14:paraId="317C39F5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Early-stage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hinted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therapeutic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role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breaking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down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before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reaches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intestinal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mucosa,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serving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adjunct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managing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Despite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approval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dietary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supplement,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there</w:t>
      </w:r>
      <w:r w:rsidR="004C23D0">
        <w:rPr>
          <w:rFonts w:ascii="Book Antiqua" w:eastAsia="Book Antiqua" w:hAnsi="Book Antiqua" w:cs="Book Antiqua"/>
        </w:rPr>
        <w:t xml:space="preserve"> i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lack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appropriate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confirm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efficacy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detoxifying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immunogenic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peptides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(GIP).</w:t>
      </w:r>
    </w:p>
    <w:p w14:paraId="05C84061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6E5A6A94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objectives</w:t>
      </w:r>
    </w:p>
    <w:p w14:paraId="1DB7A974" w14:textId="77777777" w:rsidR="00A77B3E" w:rsidRPr="00D24F83" w:rsidRDefault="00906A43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</w:t>
      </w:r>
      <w:r w:rsidR="009F1585" w:rsidRPr="00D24F83">
        <w:rPr>
          <w:rFonts w:ascii="Book Antiqua" w:eastAsia="Book Antiqua" w:hAnsi="Book Antiqua" w:cs="Book Antiqua"/>
        </w:rPr>
        <w:t>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examine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effects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orally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administered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inadvertent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prevention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adult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4C23D0" w:rsidRPr="00D24F83">
        <w:rPr>
          <w:rFonts w:ascii="Book Antiqua" w:eastAsia="Book Antiqua" w:hAnsi="Book Antiqua" w:cs="Book Antiqua"/>
        </w:rPr>
        <w:t>CeD</w:t>
      </w:r>
      <w:proofErr w:type="spellEnd"/>
      <w:r w:rsidR="004C23D0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following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usual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GFD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3B23F7"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9F1585" w:rsidRPr="00D24F83">
        <w:rPr>
          <w:rFonts w:ascii="Book Antiqua" w:eastAsia="Book Antiqua" w:hAnsi="Book Antiqua" w:cs="Book Antiqua"/>
        </w:rPr>
        <w:t>scenario.</w:t>
      </w:r>
    </w:p>
    <w:p w14:paraId="29EC7A05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7011D21A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methods</w:t>
      </w:r>
    </w:p>
    <w:p w14:paraId="76B629CD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employed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double-blind,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randomized,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placebo-controlled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design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involving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="004C23D0" w:rsidRPr="00D24F83">
        <w:rPr>
          <w:rFonts w:ascii="Book Antiqua" w:eastAsia="Book Antiqua" w:hAnsi="Book Antiqua" w:cs="Book Antiqua"/>
        </w:rPr>
        <w:t>CeD</w:t>
      </w:r>
      <w:proofErr w:type="spellEnd"/>
      <w:r w:rsidR="004C23D0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participants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long-term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GFD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After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E4595">
        <w:rPr>
          <w:rFonts w:ascii="Book Antiqua" w:eastAsia="Book Antiqua" w:hAnsi="Book Antiqua" w:cs="Book Antiqua"/>
        </w:rPr>
        <w:t>4-wk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phase,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individuals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lastRenderedPageBreak/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randomly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assigned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either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92073">
        <w:rPr>
          <w:rFonts w:ascii="Book Antiqua" w:eastAsia="Book Antiqua" w:hAnsi="Book Antiqua" w:cs="Book Antiqua"/>
        </w:rPr>
        <w:t>two</w:t>
      </w:r>
      <w:r w:rsidR="00E92073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capsules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main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outcome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endpoints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average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weekly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E92073">
        <w:rPr>
          <w:rFonts w:ascii="Book Antiqua" w:eastAsia="Book Antiqua" w:hAnsi="Book Antiqua" w:cs="Book Antiqua"/>
        </w:rPr>
        <w:t xml:space="preserve">and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c</w:t>
      </w:r>
      <w:r w:rsidRPr="00D24F83">
        <w:rPr>
          <w:rFonts w:ascii="Book Antiqua" w:eastAsia="Book Antiqua" w:hAnsi="Book Antiqua" w:cs="Book Antiqua"/>
        </w:rPr>
        <w:t>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s</w:t>
      </w:r>
      <w:r w:rsidRPr="00D24F83">
        <w:rPr>
          <w:rFonts w:ascii="Book Antiqua" w:eastAsia="Book Antiqua" w:hAnsi="Book Antiqua" w:cs="Book Antiqua"/>
        </w:rPr>
        <w:t>ymptom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i</w:t>
      </w:r>
      <w:r w:rsidRPr="00D24F83">
        <w:rPr>
          <w:rFonts w:ascii="Book Antiqua" w:eastAsia="Book Antiqua" w:hAnsi="Book Antiqua" w:cs="Book Antiqua"/>
        </w:rPr>
        <w:t>ndex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run-in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phases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between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arms.</w:t>
      </w:r>
    </w:p>
    <w:p w14:paraId="456E8F24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3D7620AF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results</w:t>
      </w:r>
    </w:p>
    <w:p w14:paraId="77D0B3C9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exploratory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participants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strong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adherence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A70F48" w:rsidRPr="00D24F83">
        <w:rPr>
          <w:rFonts w:ascii="Book Antiqua" w:eastAsia="Book Antiqua" w:hAnsi="Book Antiqua" w:cs="Book Antiqua"/>
        </w:rPr>
        <w:t>GFD</w:t>
      </w:r>
      <w:r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treatment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overall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concentration,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group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receiving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exhibited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lower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prevalence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severe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compared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placebo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group.</w:t>
      </w:r>
    </w:p>
    <w:p w14:paraId="1C8E1A89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29CBEA2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conclusions</w:t>
      </w:r>
    </w:p>
    <w:p w14:paraId="2249FD8F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Despite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lack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stool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due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real-life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setting,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significant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decrease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number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suggests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need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further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investigation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extensive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studies.</w:t>
      </w:r>
    </w:p>
    <w:p w14:paraId="0B910CFA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56AB84DF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i/>
        </w:rPr>
        <w:t>Research</w:t>
      </w:r>
      <w:r w:rsidR="0012498E" w:rsidRPr="00D24F83">
        <w:rPr>
          <w:rFonts w:ascii="Book Antiqua" w:eastAsia="Book Antiqua" w:hAnsi="Book Antiqua" w:cs="Book Antiqua"/>
          <w:b/>
          <w:i/>
        </w:rPr>
        <w:t xml:space="preserve"> </w:t>
      </w:r>
      <w:r w:rsidRPr="00D24F83">
        <w:rPr>
          <w:rFonts w:ascii="Book Antiqua" w:eastAsia="Book Antiqua" w:hAnsi="Book Antiqua" w:cs="Book Antiqua"/>
          <w:b/>
          <w:i/>
        </w:rPr>
        <w:t>perspectives</w:t>
      </w:r>
    </w:p>
    <w:p w14:paraId="0D1545BE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Subsequent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delve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whether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AN-PEP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administration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showcases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protective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effect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against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exposure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using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models.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studies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could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aim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elucidate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reasons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behind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observed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reduction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symptomatic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patients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better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understand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potential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mechanisms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play.</w:t>
      </w:r>
    </w:p>
    <w:p w14:paraId="04213EA1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A6C473C" w14:textId="77777777" w:rsidR="002C39DC" w:rsidRPr="00D24F83" w:rsidRDefault="002C39DC" w:rsidP="00C13F38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D24F83">
        <w:rPr>
          <w:rFonts w:ascii="Book Antiqua" w:hAnsi="Book Antiqua"/>
          <w:b/>
          <w:u w:val="single"/>
        </w:rPr>
        <w:t>ACKNOWLEDGMENTS</w:t>
      </w:r>
    </w:p>
    <w:p w14:paraId="76F58ABB" w14:textId="77777777" w:rsidR="002C39DC" w:rsidRPr="00D24F83" w:rsidRDefault="002C39DC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</w:rPr>
        <w:t>The</w:t>
      </w:r>
      <w:r w:rsidR="0012498E" w:rsidRPr="00D24F83">
        <w:rPr>
          <w:rFonts w:ascii="Book Antiqua" w:hAnsi="Book Antiqua"/>
          <w:b/>
        </w:rPr>
        <w:t xml:space="preserve"> </w:t>
      </w:r>
      <w:r w:rsidRPr="00D24F83">
        <w:rPr>
          <w:rFonts w:ascii="Book Antiqua" w:hAnsi="Book Antiqua"/>
        </w:rPr>
        <w:t>authors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thank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Dr.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Daniel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Flores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and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Mrs.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Karina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Canguillen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for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their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assist</w:t>
      </w:r>
      <w:r w:rsidR="001156B2">
        <w:rPr>
          <w:rFonts w:ascii="Book Antiqua" w:hAnsi="Book Antiqua"/>
        </w:rPr>
        <w:t>a</w:t>
      </w:r>
      <w:r w:rsidRPr="00D24F83">
        <w:rPr>
          <w:rFonts w:ascii="Book Antiqua" w:hAnsi="Book Antiqua"/>
        </w:rPr>
        <w:t>nce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with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the</w:t>
      </w:r>
      <w:r w:rsidR="0012498E" w:rsidRPr="00D24F83">
        <w:rPr>
          <w:rFonts w:ascii="Book Antiqua" w:hAnsi="Book Antiqua"/>
        </w:rPr>
        <w:t xml:space="preserve"> </w:t>
      </w:r>
      <w:r w:rsidR="007E1E33" w:rsidRPr="00D24F83">
        <w:rPr>
          <w:rFonts w:ascii="Book Antiqua" w:hAnsi="Book Antiqua"/>
        </w:rPr>
        <w:t>independent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design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and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administration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of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the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randomization.</w:t>
      </w:r>
    </w:p>
    <w:p w14:paraId="44D82224" w14:textId="77777777" w:rsidR="002C39DC" w:rsidRPr="00D24F83" w:rsidRDefault="002C39DC" w:rsidP="00C13F38">
      <w:pPr>
        <w:spacing w:line="360" w:lineRule="auto"/>
        <w:jc w:val="both"/>
        <w:rPr>
          <w:rFonts w:ascii="Book Antiqua" w:hAnsi="Book Antiqua"/>
        </w:rPr>
      </w:pPr>
    </w:p>
    <w:p w14:paraId="32A2A2CF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REFERENCES</w:t>
      </w:r>
    </w:p>
    <w:p w14:paraId="244CAFF9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784" w:name="OLE_LINK1775"/>
      <w:bookmarkStart w:id="785" w:name="OLE_LINK1776"/>
      <w:r w:rsidRPr="0012498E">
        <w:rPr>
          <w:rFonts w:ascii="Book Antiqua" w:eastAsia="Book Antiqua" w:hAnsi="Book Antiqua" w:cs="Book Antiqua"/>
        </w:rPr>
        <w:t>1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Catassi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Verdu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Lionetti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="00535BAF" w:rsidRPr="00D24F83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Seminar.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The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Lancet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2022;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399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2413-</w:t>
      </w:r>
      <w:r w:rsidRPr="00D24F83">
        <w:rPr>
          <w:rFonts w:ascii="Book Antiqua" w:eastAsia="Book Antiqua" w:hAnsi="Book Antiqua" w:cs="Book Antiqua"/>
        </w:rPr>
        <w:t>24</w:t>
      </w:r>
      <w:r w:rsidRPr="0012498E">
        <w:rPr>
          <w:rFonts w:ascii="Book Antiqua" w:eastAsia="Book Antiqua" w:hAnsi="Book Antiqua" w:cs="Book Antiqua"/>
        </w:rPr>
        <w:t>26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[DOI:</w:t>
      </w:r>
      <w:r w:rsidR="00A5505D"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10.1016/s0140-6736(22)00794-2]</w:t>
      </w:r>
    </w:p>
    <w:p w14:paraId="2D07B5F4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lastRenderedPageBreak/>
        <w:t>2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Makharia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GK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Singh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Catassi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Sanders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Leffler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Ali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RAR,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global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burden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opportunities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challenges.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Nat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Rev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Hepatol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2022;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19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313-327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34980921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10.1038/s41575-021-00552-z]</w:t>
      </w:r>
    </w:p>
    <w:p w14:paraId="1BDC2AF5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Al-Toma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Volta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Auricchio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Castillejo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Sanders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Cellier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Mulder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Lundin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KEA.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European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Society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(</w:t>
      </w:r>
      <w:proofErr w:type="spellStart"/>
      <w:r w:rsidRPr="0012498E">
        <w:rPr>
          <w:rFonts w:ascii="Book Antiqua" w:eastAsia="Book Antiqua" w:hAnsi="Book Antiqua" w:cs="Book Antiqua"/>
        </w:rPr>
        <w:t>ESsCD</w:t>
      </w:r>
      <w:proofErr w:type="spellEnd"/>
      <w:r w:rsidRPr="0012498E">
        <w:rPr>
          <w:rFonts w:ascii="Book Antiqua" w:eastAsia="Book Antiqua" w:hAnsi="Book Antiqua" w:cs="Book Antiqua"/>
        </w:rPr>
        <w:t>)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guideline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other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gluten-related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disorders.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United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European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2019;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7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583-613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31210940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10.1177/2050640619844125]</w:t>
      </w:r>
    </w:p>
    <w:p w14:paraId="6868C042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4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Kelly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CP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Liu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Leffler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DA.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Advances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diagnosis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management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Gastroenterology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2015;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148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1175-1186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25662623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10.1053/j.gastro.2015.01.044]</w:t>
      </w:r>
    </w:p>
    <w:p w14:paraId="15A49A37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Rubio-Tapia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Hill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ID,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Semrad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Kelly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CP,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Greer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KB,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Limketkai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BN,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Lebwohl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American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College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Gastroenterology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Guidelines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Update: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Diagnosis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Management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Am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2023;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118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59-76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36602836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10.14309/ajg.0000000000002075]</w:t>
      </w:r>
    </w:p>
    <w:p w14:paraId="66BCFB95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Husby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S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Murray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JA,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Katzka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DA.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AGA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Clinical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Practice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Update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Diagnosis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Monitoring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Disease-Changing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Utility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Serology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Histologic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Measures: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Expert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Review.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Gastroenterology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2019;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156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885-889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30578783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10.1053/j.gastro.2018.12.010]</w:t>
      </w:r>
    </w:p>
    <w:p w14:paraId="7B0C6788" w14:textId="77777777" w:rsidR="0012498E" w:rsidRPr="00777708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12498E">
        <w:rPr>
          <w:rFonts w:ascii="Book Antiqua" w:eastAsia="Book Antiqua" w:hAnsi="Book Antiqua" w:cs="Book Antiqua"/>
        </w:rPr>
        <w:t>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Coto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Mendia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Sousa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Cebolla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Determination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management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treatment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adherence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systematic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review.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777708">
        <w:rPr>
          <w:rFonts w:ascii="Book Antiqua" w:eastAsia="Book Antiqua" w:hAnsi="Book Antiqua" w:cs="Book Antiqua"/>
          <w:i/>
          <w:iCs/>
          <w:lang w:val="es-ES"/>
        </w:rPr>
        <w:t>World J Gastroenterol</w:t>
      </w:r>
      <w:r w:rsidRPr="00777708">
        <w:rPr>
          <w:rFonts w:ascii="Book Antiqua" w:eastAsia="Book Antiqua" w:hAnsi="Book Antiqua" w:cs="Book Antiqua"/>
          <w:lang w:val="es-ES"/>
        </w:rPr>
        <w:t xml:space="preserve"> 2021;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27</w:t>
      </w:r>
      <w:r w:rsidRPr="00777708">
        <w:rPr>
          <w:rFonts w:ascii="Book Antiqua" w:eastAsia="Book Antiqua" w:hAnsi="Book Antiqua" w:cs="Book Antiqua"/>
          <w:lang w:val="es-ES"/>
        </w:rPr>
        <w:t>: 6306-6321 [PMID: 34712034 DOI: 10.3748/wjg.v27.i37.6306]</w:t>
      </w:r>
    </w:p>
    <w:p w14:paraId="25ECB588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7708">
        <w:rPr>
          <w:rFonts w:ascii="Book Antiqua" w:eastAsia="Book Antiqua" w:hAnsi="Book Antiqua" w:cs="Book Antiqua"/>
          <w:lang w:val="es-ES"/>
        </w:rPr>
        <w:t xml:space="preserve">8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Stefanolo JP</w:t>
      </w:r>
      <w:r w:rsidRPr="00777708">
        <w:rPr>
          <w:rFonts w:ascii="Book Antiqua" w:eastAsia="Book Antiqua" w:hAnsi="Book Antiqua" w:cs="Book Antiqua"/>
          <w:lang w:val="es-ES"/>
        </w:rPr>
        <w:t xml:space="preserve">, Tálamo M, Dodds S, de la Paz Temprano M, Costa AF, Moreno ML, Pinto-Sánchez MI, Smecuol E, Vázquez H, Gonzalez A, Niveloni SI, Mauriño E, Verdu EF, Bai JC. </w:t>
      </w:r>
      <w:r w:rsidRPr="0012498E">
        <w:rPr>
          <w:rFonts w:ascii="Book Antiqua" w:eastAsia="Book Antiqua" w:hAnsi="Book Antiqua" w:cs="Book Antiqua"/>
        </w:rPr>
        <w:t>Real-World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Exposure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Patients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Gluten-Free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Determined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From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Gliadin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Urine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Fecal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Samples.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Clin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Hepatol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2021;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19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484-491.e1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32217152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10.1016/j.cgh.2020.03.038]</w:t>
      </w:r>
    </w:p>
    <w:p w14:paraId="04FCF641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lastRenderedPageBreak/>
        <w:t>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Kivelä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Caminero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Leffler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Pinto-Sanchez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Tye-Din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Lindfors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Current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emerging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therapies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Nat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Rev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Hepatol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2021;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18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181-195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33219355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10.1038/s41575-020-00378-1]</w:t>
      </w:r>
    </w:p>
    <w:p w14:paraId="777FD8E7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Piper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JL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Gray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Khosla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Effect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endopeptidase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digestive-resistant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gliadin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vivo.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Exp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2004;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311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213-219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15143130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10.1124/jpet.104.068429]</w:t>
      </w:r>
    </w:p>
    <w:p w14:paraId="7EB10615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11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Shan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Marti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Sollid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Gray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Khosla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Comparative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biochemical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analysis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three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bacterial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endopeptidases: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implications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sprue.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2004;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383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311-</w:t>
      </w:r>
      <w:r w:rsidR="00665DFE" w:rsidRPr="00D24F83">
        <w:rPr>
          <w:rFonts w:ascii="Book Antiqua" w:eastAsia="Book Antiqua" w:hAnsi="Book Antiqua" w:cs="Book Antiqua"/>
        </w:rPr>
        <w:t>3</w:t>
      </w:r>
      <w:r w:rsidRPr="0012498E">
        <w:rPr>
          <w:rFonts w:ascii="Book Antiqua" w:eastAsia="Book Antiqua" w:hAnsi="Book Antiqua" w:cs="Book Antiqua"/>
        </w:rPr>
        <w:t>18</w:t>
      </w:r>
      <w:r w:rsidR="00665DFE"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[DOI:</w:t>
      </w:r>
      <w:r w:rsidR="00665DFE" w:rsidRPr="00D24F83">
        <w:rPr>
          <w:rFonts w:ascii="Book Antiqua" w:eastAsia="Book Antiqua" w:hAnsi="Book Antiqua" w:cs="Book Antiqua"/>
        </w:rPr>
        <w:t xml:space="preserve"> </w:t>
      </w:r>
      <w:r w:rsidR="00F842E3" w:rsidRPr="00D24F83">
        <w:rPr>
          <w:rFonts w:ascii="Book Antiqua" w:eastAsia="Book Antiqua" w:hAnsi="Book Antiqua" w:cs="Book Antiqua"/>
        </w:rPr>
        <w:t>10.1042/BJ20040907</w:t>
      </w:r>
      <w:r w:rsidRPr="0012498E">
        <w:rPr>
          <w:rFonts w:ascii="Book Antiqua" w:eastAsia="Book Antiqua" w:hAnsi="Book Antiqua" w:cs="Book Antiqua"/>
        </w:rPr>
        <w:t>]</w:t>
      </w:r>
    </w:p>
    <w:p w14:paraId="684350AF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Salden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BN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Monserrat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Troost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Bruins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Edens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Bartholomé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Haenen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GR,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Winkens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Masclee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AA.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Randomised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clinical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Aspergillus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niger-derived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enzyme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digests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stomach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healthy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volunteers.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Aliment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2015;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42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273-285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26040627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10.1111/apt.13266]</w:t>
      </w:r>
    </w:p>
    <w:p w14:paraId="797B298E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Gass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J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Khosla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endopeptidases.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Cell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Mol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Life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Sci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2007;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64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345-355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17160352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10.1007/s00018-006-6317-y]</w:t>
      </w:r>
    </w:p>
    <w:p w14:paraId="04F62094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14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Wei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Helmerhorst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Darwish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Blumenkranz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Schuppan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Enzymes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Treatment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Nutrients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2020;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32679754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10.3390/nu12072095]</w:t>
      </w:r>
    </w:p>
    <w:p w14:paraId="714C8822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Edens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Dekker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der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Hoeven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Deen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Roos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Floris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Extracellular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endoprotease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from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Aspergillus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niger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use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debittering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protein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hydrolysates.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Agric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Food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Chem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2005;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53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7950-7957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16190655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10.1021/jf050652c]</w:t>
      </w:r>
    </w:p>
    <w:p w14:paraId="200F6D4D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König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J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Holster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Bruins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Brummer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RJ.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Randomized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clinical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trial: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Effective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Aspergillus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niger-derived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enzyme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complex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meal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setting.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Sci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Rep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2017;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7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13100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29026170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10.1038/s41598-017-13587-7]</w:t>
      </w:r>
    </w:p>
    <w:p w14:paraId="0AE0DAA6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Montserrat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V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Bruins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Edens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Influence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dietary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components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Aspergillus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niger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endoprotease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mediated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degradation.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Food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Chem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2015;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174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440-445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25529703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10.1016/j.foodchem.2014.11.053]</w:t>
      </w:r>
    </w:p>
    <w:p w14:paraId="6F30C434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lastRenderedPageBreak/>
        <w:t>18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Mitea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Havenaar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Drijfhout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JW,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Edens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Dekking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Efficient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endoprotease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gastrointestinal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model: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implications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Gut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2008;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57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25-32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17494108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10.1136/gut.2006.111609]</w:t>
      </w:r>
    </w:p>
    <w:p w14:paraId="3CE3FE0B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19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Tack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GJ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Water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Bruins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Kooy-Winkelaar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Bergen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Bonnet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Vreugdenhil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Korponay-Szabo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Edens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Blomberg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Schreurs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MW,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Mulder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CJ,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Consumption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gluten-degrading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enzyme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patients: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pilot-study.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World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2013;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19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5837-5847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24124328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10.3748/wjg.v19.i35.5837]</w:t>
      </w:r>
    </w:p>
    <w:p w14:paraId="1195CF47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20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EFSA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Panel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on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Dietetic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Products,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Nutrition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and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Allergies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(NDA)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Turck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Bresson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Burlingame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Fairweather-Tait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Heinonen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Hirsch-Ernst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Mangelsdorf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McArdle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Naska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Neuhäuser</w:t>
      </w:r>
      <w:proofErr w:type="spellEnd"/>
      <w:r w:rsidRPr="0012498E">
        <w:rPr>
          <w:rFonts w:ascii="Book Antiqua" w:eastAsia="Book Antiqua" w:hAnsi="Book Antiqua" w:cs="Book Antiqua"/>
        </w:rPr>
        <w:t>-Berthold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Nowicka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Pentieva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Sanz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Y,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Siani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Sjödin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Stern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Tomé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Vinceti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Willatts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Engel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KH,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Marchelli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Pöting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Poulsen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Schlatter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Gelbmann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Loveren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Safety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proline-specific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oligopeptidase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novel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food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pursuant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Regulation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(EC)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258/97.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EFSA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2017;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15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e04681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32625399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10.2903/j.efsa.2017.4681]</w:t>
      </w:r>
    </w:p>
    <w:p w14:paraId="3B3DA41F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21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Stepniak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D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Spaenij-Dekking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Mitea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Moester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Ru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Baak</w:t>
      </w:r>
      <w:proofErr w:type="spellEnd"/>
      <w:r w:rsidRPr="0012498E">
        <w:rPr>
          <w:rFonts w:ascii="Book Antiqua" w:eastAsia="Book Antiqua" w:hAnsi="Book Antiqua" w:cs="Book Antiqua"/>
        </w:rPr>
        <w:t>-Pablo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Veelen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Edens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Highly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efficient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newly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identified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prolyl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endoprotease: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implications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Am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Liver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2006;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291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G621-G629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16690904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10.1152/ajpgi.00034.2006]</w:t>
      </w:r>
    </w:p>
    <w:p w14:paraId="46CDFE1F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22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Janssen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Christis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Kooy-Winkelaar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Y,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Edens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Smith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Veelen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Koning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Ineffective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degradation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epitopes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currently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available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digestive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enzyme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supplements.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One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2015;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10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e0128065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26030273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10.1371/journal.pone.0128065]</w:t>
      </w:r>
    </w:p>
    <w:p w14:paraId="679AC254" w14:textId="77777777" w:rsidR="0012498E" w:rsidRPr="00777708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12498E">
        <w:rPr>
          <w:rFonts w:ascii="Book Antiqua" w:eastAsia="Book Antiqua" w:hAnsi="Book Antiqua" w:cs="Book Antiqua"/>
        </w:rPr>
        <w:t>23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Leffler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DA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Dennis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Edwards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George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Jamma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Cook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EF,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Schuppan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Kelly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CP.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validated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disease-specific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symptom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index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adults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777708">
        <w:rPr>
          <w:rFonts w:ascii="Book Antiqua" w:eastAsia="Book Antiqua" w:hAnsi="Book Antiqua" w:cs="Book Antiqua"/>
          <w:i/>
          <w:iCs/>
          <w:lang w:val="es-ES"/>
        </w:rPr>
        <w:t>Clin Gastroenterol Hepatol</w:t>
      </w:r>
      <w:r w:rsidRPr="00777708">
        <w:rPr>
          <w:rFonts w:ascii="Book Antiqua" w:eastAsia="Book Antiqua" w:hAnsi="Book Antiqua" w:cs="Book Antiqua"/>
          <w:lang w:val="es-ES"/>
        </w:rPr>
        <w:t xml:space="preserve"> 2009;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7</w:t>
      </w:r>
      <w:r w:rsidRPr="00777708">
        <w:rPr>
          <w:rFonts w:ascii="Book Antiqua" w:eastAsia="Book Antiqua" w:hAnsi="Book Antiqua" w:cs="Book Antiqua"/>
          <w:lang w:val="es-ES"/>
        </w:rPr>
        <w:t>: 1328-1334, 1334.e1-1334.e3 [PMID: 19665584 DOI: 10.1016/j.cgh.2009.07.031]</w:t>
      </w:r>
    </w:p>
    <w:p w14:paraId="371DECE7" w14:textId="77777777" w:rsidR="0012498E" w:rsidRPr="00777708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777708">
        <w:rPr>
          <w:rFonts w:ascii="Book Antiqua" w:eastAsia="Book Antiqua" w:hAnsi="Book Antiqua" w:cs="Book Antiqua"/>
          <w:lang w:val="es-ES"/>
        </w:rPr>
        <w:t xml:space="preserve">24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Nachman F</w:t>
      </w:r>
      <w:r w:rsidRPr="00777708">
        <w:rPr>
          <w:rFonts w:ascii="Book Antiqua" w:eastAsia="Book Antiqua" w:hAnsi="Book Antiqua" w:cs="Book Antiqua"/>
          <w:lang w:val="es-ES"/>
        </w:rPr>
        <w:t xml:space="preserve">, del Campo MP, González A, Corzo L, Vázquez H, Sfoggia C, Smecuol E, Sánchez MI, Niveloni S, Sugai E, Mauriño E, Bai JC. </w:t>
      </w:r>
      <w:r w:rsidRPr="0012498E">
        <w:rPr>
          <w:rFonts w:ascii="Book Antiqua" w:eastAsia="Book Antiqua" w:hAnsi="Book Antiqua" w:cs="Book Antiqua"/>
        </w:rPr>
        <w:t>Long-term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deterioration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quality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lastRenderedPageBreak/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life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adult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patients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associated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treatment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noncompliance.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777708">
        <w:rPr>
          <w:rFonts w:ascii="Book Antiqua" w:eastAsia="Book Antiqua" w:hAnsi="Book Antiqua" w:cs="Book Antiqua"/>
          <w:i/>
          <w:iCs/>
          <w:lang w:val="es-ES"/>
        </w:rPr>
        <w:t>Dig Liver Dis</w:t>
      </w:r>
      <w:r w:rsidRPr="00777708">
        <w:rPr>
          <w:rFonts w:ascii="Book Antiqua" w:eastAsia="Book Antiqua" w:hAnsi="Book Antiqua" w:cs="Book Antiqua"/>
          <w:lang w:val="es-ES"/>
        </w:rPr>
        <w:t xml:space="preserve"> 2010;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42</w:t>
      </w:r>
      <w:r w:rsidRPr="00777708">
        <w:rPr>
          <w:rFonts w:ascii="Book Antiqua" w:eastAsia="Book Antiqua" w:hAnsi="Book Antiqua" w:cs="Book Antiqua"/>
          <w:lang w:val="es-ES"/>
        </w:rPr>
        <w:t>: 685-691 [PMID: 20399159 DOI: 10.1016/j.dld.2010.03.004]</w:t>
      </w:r>
    </w:p>
    <w:p w14:paraId="12163256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7708">
        <w:rPr>
          <w:rFonts w:ascii="Book Antiqua" w:eastAsia="Book Antiqua" w:hAnsi="Book Antiqua" w:cs="Book Antiqua"/>
          <w:lang w:val="es-ES"/>
        </w:rPr>
        <w:t xml:space="preserve">25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Comino I</w:t>
      </w:r>
      <w:r w:rsidRPr="00777708">
        <w:rPr>
          <w:rFonts w:ascii="Book Antiqua" w:eastAsia="Book Antiqua" w:hAnsi="Book Antiqua" w:cs="Book Antiqua"/>
          <w:lang w:val="es-ES"/>
        </w:rPr>
        <w:t xml:space="preserve">, Fernández-Bañares F, Esteve M, Ortigosa L, Castillejo G, Fambuena B, Ribes-Koninckx C, Sierra C, Rodríguez-Herrera A, Salazar JC, Caunedo Á, Marugán-Miguelsanz JM, Garrote JA, Vivas S, Lo Iacono O, Nuñez A, Vaquero L, Vegas AM, Crespo L, Fernández-Salazar L, Arranz E, Jiménez-García VA, Antonio Montes-Cano M, Espín B, Galera A, Valverde J, Girón FJ, Bolonio M, Millán A, Cerezo FM, Guajardo C, Alberto JR, Rosinach M, Segura V, León F, Marinich J, Muñoz-Suano A, Romero-Gómez M, Cebolla Á, Sousa C. Fecal Gluten Peptides Reveal Limitations of Serological Tests and Food Questionnaires for Monitoring Gluten-Free Diet in Celiac Disease Patients. </w:t>
      </w:r>
      <w:r w:rsidRPr="0012498E">
        <w:rPr>
          <w:rFonts w:ascii="Book Antiqua" w:eastAsia="Book Antiqua" w:hAnsi="Book Antiqua" w:cs="Book Antiqua"/>
          <w:i/>
          <w:iCs/>
        </w:rPr>
        <w:t>Am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2016;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111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1456-1465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27644734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10.1038/ajg.2016.439]</w:t>
      </w:r>
    </w:p>
    <w:p w14:paraId="7895CD9A" w14:textId="77777777" w:rsidR="0012498E" w:rsidRPr="00710C0C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12498E">
        <w:rPr>
          <w:rFonts w:ascii="Book Antiqua" w:eastAsia="Book Antiqua" w:hAnsi="Book Antiqua" w:cs="Book Antiqua"/>
        </w:rPr>
        <w:t>26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Cebolla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Á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Moreno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Coto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Sousa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Standard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Evaluation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Potential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Harmful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Prolamin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Content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Food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Human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Specimen.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710C0C">
        <w:rPr>
          <w:rFonts w:ascii="Book Antiqua" w:eastAsia="Book Antiqua" w:hAnsi="Book Antiqua" w:cs="Book Antiqua"/>
          <w:i/>
          <w:iCs/>
          <w:lang w:val="es-ES"/>
        </w:rPr>
        <w:t>Nutrients</w:t>
      </w:r>
      <w:proofErr w:type="spellEnd"/>
      <w:r w:rsidRPr="00710C0C">
        <w:rPr>
          <w:rFonts w:ascii="Book Antiqua" w:eastAsia="Book Antiqua" w:hAnsi="Book Antiqua" w:cs="Book Antiqua"/>
          <w:lang w:val="es-ES"/>
        </w:rPr>
        <w:t xml:space="preserve"> 2018; </w:t>
      </w:r>
      <w:r w:rsidRPr="00710C0C">
        <w:rPr>
          <w:rFonts w:ascii="Book Antiqua" w:eastAsia="Book Antiqua" w:hAnsi="Book Antiqua" w:cs="Book Antiqua"/>
          <w:b/>
          <w:bCs/>
          <w:lang w:val="es-ES"/>
        </w:rPr>
        <w:t>10</w:t>
      </w:r>
      <w:r w:rsidRPr="00710C0C">
        <w:rPr>
          <w:rFonts w:ascii="Book Antiqua" w:eastAsia="Book Antiqua" w:hAnsi="Book Antiqua" w:cs="Book Antiqua"/>
          <w:lang w:val="es-ES"/>
        </w:rPr>
        <w:t xml:space="preserve"> [PMID: 30563126 DOI: 10.3390/nu10121927]</w:t>
      </w:r>
    </w:p>
    <w:p w14:paraId="25FD8E46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7708">
        <w:rPr>
          <w:rFonts w:ascii="Book Antiqua" w:eastAsia="Book Antiqua" w:hAnsi="Book Antiqua" w:cs="Book Antiqua"/>
          <w:lang w:val="es-ES"/>
        </w:rPr>
        <w:t xml:space="preserve">27 </w:t>
      </w:r>
      <w:r w:rsidRPr="00777708">
        <w:rPr>
          <w:rFonts w:ascii="Book Antiqua" w:eastAsia="Book Antiqua" w:hAnsi="Book Antiqua" w:cs="Book Antiqua"/>
          <w:b/>
          <w:bCs/>
          <w:lang w:val="es-ES"/>
        </w:rPr>
        <w:t>Costa AF</w:t>
      </w:r>
      <w:r w:rsidRPr="00777708">
        <w:rPr>
          <w:rFonts w:ascii="Book Antiqua" w:eastAsia="Book Antiqua" w:hAnsi="Book Antiqua" w:cs="Book Antiqua"/>
          <w:lang w:val="es-ES"/>
        </w:rPr>
        <w:t xml:space="preserve">, </w:t>
      </w:r>
      <w:proofErr w:type="spellStart"/>
      <w:r w:rsidRPr="00777708">
        <w:rPr>
          <w:rFonts w:ascii="Book Antiqua" w:eastAsia="Book Antiqua" w:hAnsi="Book Antiqua" w:cs="Book Antiqua"/>
          <w:lang w:val="es-ES"/>
        </w:rPr>
        <w:t>Sugai</w:t>
      </w:r>
      <w:proofErr w:type="spellEnd"/>
      <w:r w:rsidRPr="00777708">
        <w:rPr>
          <w:rFonts w:ascii="Book Antiqua" w:eastAsia="Book Antiqua" w:hAnsi="Book Antiqua" w:cs="Book Antiqua"/>
          <w:lang w:val="es-ES"/>
        </w:rPr>
        <w:t xml:space="preserve"> E, Temprano MP, Niveloni SI, Vázquez H, Moreno ML, Domínguez-Flores MR, Muñoz-Suano A, Smecuol E, Stefanolo JP, González AF, Cebolla-Ramirez A, Mauriño E, Verdú EF, Bai JC.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excretion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detects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dietary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transgressions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treated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patients.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World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2019;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25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1409-1420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30918433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10.3748/wjg.v25.i11.1409]</w:t>
      </w:r>
    </w:p>
    <w:p w14:paraId="0B47DAB1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28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Fernández-Bañares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F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Beltrán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Salas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Comino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Ballester-Clau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Ferrer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Molina-Infante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J,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Rosinach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Modolell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Rodríguez-</w:t>
      </w:r>
      <w:proofErr w:type="spellStart"/>
      <w:r w:rsidRPr="0012498E">
        <w:rPr>
          <w:rFonts w:ascii="Book Antiqua" w:eastAsia="Book Antiqua" w:hAnsi="Book Antiqua" w:cs="Book Antiqua"/>
        </w:rPr>
        <w:t>Moranta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Arau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B,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Segura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Fernández-Salazar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Santolaria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Esteve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Sousa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CADER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group.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Persistent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Villous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Atrophy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Novo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Adult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Patients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Strict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Control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Gluten-Free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Adherence: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Multicenter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Prospective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(CADER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Study).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Am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Gastroenterol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2021;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116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1036-1043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33491958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10.14309/ajg.0000000000001139]</w:t>
      </w:r>
    </w:p>
    <w:p w14:paraId="5E9D61CF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29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Skodje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GI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van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Megen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Stendahl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Henriksen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Lundin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KEA,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Veierød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MB.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Detection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immunogenic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peptides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Adherence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Test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monitor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gluten-free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pilot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study.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J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Clin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2022;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76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902-903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35001079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10.1038/s41430-021-01054-6]</w:t>
      </w:r>
    </w:p>
    <w:p w14:paraId="56BE342A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lastRenderedPageBreak/>
        <w:t>30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Camm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AJ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Fox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KAA.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Strengths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weaknesses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'real-world'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studies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involving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non-vitamin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K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antagonist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oral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anticoagulants.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Open</w:t>
      </w:r>
      <w:r w:rsidRPr="00D24F83">
        <w:rPr>
          <w:rFonts w:ascii="Book Antiqua" w:eastAsia="Book Antiqua" w:hAnsi="Book Antiqua" w:cs="Book Antiqua"/>
          <w:i/>
          <w:iCs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Heart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2018;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5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e000788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29713485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10.1136/openhrt-2018-000788]</w:t>
      </w:r>
    </w:p>
    <w:p w14:paraId="59E413A9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31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Azoulay</w:t>
      </w:r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L</w:t>
      </w:r>
      <w:r w:rsidRPr="0012498E">
        <w:rPr>
          <w:rFonts w:ascii="Book Antiqua" w:eastAsia="Book Antiqua" w:hAnsi="Book Antiqua" w:cs="Book Antiqua"/>
        </w:rPr>
        <w:t>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Rationale,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Strengths,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Limitations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Real-World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Evidence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Oncology: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Canadian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Review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and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Perspective.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Oncologist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2022;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27</w:t>
      </w:r>
      <w:r w:rsidRPr="0012498E">
        <w:rPr>
          <w:rFonts w:ascii="Book Antiqua" w:eastAsia="Book Antiqua" w:hAnsi="Book Antiqua" w:cs="Book Antiqua"/>
        </w:rPr>
        <w:t>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e731-e738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35762676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10.1093/</w:t>
      </w:r>
      <w:proofErr w:type="spellStart"/>
      <w:r w:rsidRPr="0012498E">
        <w:rPr>
          <w:rFonts w:ascii="Book Antiqua" w:eastAsia="Book Antiqua" w:hAnsi="Book Antiqua" w:cs="Book Antiqua"/>
        </w:rPr>
        <w:t>oncolo</w:t>
      </w:r>
      <w:proofErr w:type="spellEnd"/>
      <w:r w:rsidRPr="0012498E">
        <w:rPr>
          <w:rFonts w:ascii="Book Antiqua" w:eastAsia="Book Antiqua" w:hAnsi="Book Antiqua" w:cs="Book Antiqua"/>
        </w:rPr>
        <w:t>/oyac114]</w:t>
      </w:r>
    </w:p>
    <w:p w14:paraId="1DD32385" w14:textId="77777777" w:rsidR="0012498E" w:rsidRPr="0012498E" w:rsidRDefault="0012498E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2498E">
        <w:rPr>
          <w:rFonts w:ascii="Book Antiqua" w:eastAsia="Book Antiqua" w:hAnsi="Book Antiqua" w:cs="Book Antiqua"/>
        </w:rPr>
        <w:t>32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  <w:b/>
          <w:bCs/>
        </w:rPr>
        <w:t>Monzani</w:t>
      </w:r>
      <w:proofErr w:type="spellEnd"/>
      <w:r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A</w:t>
      </w:r>
      <w:r w:rsidRPr="0012498E">
        <w:rPr>
          <w:rFonts w:ascii="Book Antiqua" w:eastAsia="Book Antiqua" w:hAnsi="Book Antiqua" w:cs="Book Antiqua"/>
        </w:rPr>
        <w:t>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Lionetti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Felici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E,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Fransos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Azzolina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Rabbone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I,</w:t>
      </w:r>
      <w:r w:rsidRPr="00D24F83">
        <w:rPr>
          <w:rFonts w:ascii="Book Antiqua" w:eastAsia="Book Antiqua" w:hAnsi="Book Antiqua" w:cs="Book Antiqua"/>
        </w:rPr>
        <w:t xml:space="preserve"> </w:t>
      </w:r>
      <w:proofErr w:type="spellStart"/>
      <w:r w:rsidRPr="0012498E">
        <w:rPr>
          <w:rFonts w:ascii="Book Antiqua" w:eastAsia="Book Antiqua" w:hAnsi="Book Antiqua" w:cs="Book Antiqua"/>
        </w:rPr>
        <w:t>Catassi</w:t>
      </w:r>
      <w:proofErr w:type="spellEnd"/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Adherence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to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Gluten-Free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Diet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during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the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Lockdown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for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COVID-19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Pandemic: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Web-Based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Survey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of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Italian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Subjects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with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Celiac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Disease.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i/>
          <w:iCs/>
        </w:rPr>
        <w:t>Nutrients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2020;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  <w:b/>
          <w:bCs/>
        </w:rPr>
        <w:t>12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[PMID: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33198212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DOI:</w:t>
      </w:r>
      <w:r w:rsidRPr="00D24F83">
        <w:rPr>
          <w:rFonts w:ascii="Book Antiqua" w:eastAsia="Book Antiqua" w:hAnsi="Book Antiqua" w:cs="Book Antiqua"/>
        </w:rPr>
        <w:t xml:space="preserve"> </w:t>
      </w:r>
      <w:r w:rsidRPr="0012498E">
        <w:rPr>
          <w:rFonts w:ascii="Book Antiqua" w:eastAsia="Book Antiqua" w:hAnsi="Book Antiqua" w:cs="Book Antiqua"/>
        </w:rPr>
        <w:t>10.3390/nu12113467]</w:t>
      </w:r>
    </w:p>
    <w:bookmarkEnd w:id="784"/>
    <w:bookmarkEnd w:id="785"/>
    <w:p w14:paraId="48067916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  <w:sectPr w:rsidR="00A77B3E" w:rsidRPr="00D24F83" w:rsidSect="00F975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01DAE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lastRenderedPageBreak/>
        <w:t>Footnotes</w:t>
      </w:r>
    </w:p>
    <w:p w14:paraId="715F6A22" w14:textId="77777777" w:rsidR="00252AB5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  <w:b/>
          <w:bCs/>
        </w:rPr>
        <w:t>Institutional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review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board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statement: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commentRangeStart w:id="786"/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B20DBF" w:rsidRPr="00D24F83">
        <w:rPr>
          <w:rFonts w:ascii="Book Antiqua" w:eastAsia="Book Antiqua" w:hAnsi="Book Antiqua" w:cs="Book Antiqua"/>
        </w:rPr>
        <w:t xml:space="preserve">reviewed and </w:t>
      </w:r>
      <w:r w:rsidRPr="00D24F83">
        <w:rPr>
          <w:rFonts w:ascii="Book Antiqua" w:eastAsia="Book Antiqua" w:hAnsi="Book Antiqua" w:cs="Book Antiqua"/>
        </w:rPr>
        <w:t>approved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Dr.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Bonorino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Udaondo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Gastroenterology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Hospital</w:t>
      </w:r>
      <w:r w:rsidR="00665FA3" w:rsidRPr="00D24F83">
        <w:rPr>
          <w:rFonts w:ascii="Book Antiqua" w:eastAsia="Book Antiqua" w:hAnsi="Book Antiqua" w:cs="Book Antiqua"/>
        </w:rPr>
        <w:t>’</w:t>
      </w:r>
      <w:r w:rsidRPr="00D24F83">
        <w:rPr>
          <w:rFonts w:ascii="Book Antiqua" w:eastAsia="Book Antiqua" w:hAnsi="Book Antiqua" w:cs="Book Antiqua"/>
        </w:rPr>
        <w:t>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institutional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ethical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committee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(CEI)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local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research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committee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(CODEI).</w:t>
      </w:r>
      <w:commentRangeEnd w:id="786"/>
      <w:r w:rsidR="00D65202">
        <w:rPr>
          <w:rStyle w:val="CommentReference"/>
        </w:rPr>
        <w:commentReference w:id="786"/>
      </w:r>
    </w:p>
    <w:p w14:paraId="747796F4" w14:textId="77777777" w:rsidR="00252AB5" w:rsidRPr="00D24F83" w:rsidRDefault="00252AB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AE7118B" w14:textId="77777777" w:rsidR="00A77B3E" w:rsidRPr="00D24F83" w:rsidRDefault="00252AB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  <w:b/>
        </w:rPr>
        <w:t>Informed consent statement</w:t>
      </w:r>
      <w:r w:rsidRPr="00D24F83">
        <w:rPr>
          <w:rFonts w:ascii="Book Antiqua" w:hAnsi="Book Antiqua"/>
          <w:b/>
          <w:iCs/>
        </w:rPr>
        <w:t xml:space="preserve">: </w:t>
      </w:r>
      <w:r w:rsidR="005042B4" w:rsidRPr="00D24F83">
        <w:rPr>
          <w:rFonts w:ascii="Book Antiqua" w:eastAsia="Book Antiqua" w:hAnsi="Book Antiqua" w:cs="Book Antiqua"/>
        </w:rPr>
        <w:t>All study participants, or their legal guardian, provided informed written consent prior to study enrollment.</w:t>
      </w:r>
    </w:p>
    <w:p w14:paraId="7D98C18E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68467066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Clinical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trial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registration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statement: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study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registered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ClinicalTrials.gov</w:t>
      </w:r>
      <w:r w:rsidR="00477A8E" w:rsidRPr="00D24F83">
        <w:rPr>
          <w:rFonts w:ascii="Book Antiqua" w:eastAsia="Book Antiqua" w:hAnsi="Book Antiqua" w:cs="Book Antiqua"/>
        </w:rPr>
        <w:t>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477A8E" w:rsidRPr="00D24F83">
        <w:rPr>
          <w:rFonts w:ascii="Book Antiqua" w:hAnsi="Book Antiqua" w:cs="Book Antiqua"/>
          <w:bCs/>
        </w:rPr>
        <w:t>The registration identification number is</w:t>
      </w:r>
      <w:r w:rsidR="00477A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NCT04788797.</w:t>
      </w:r>
    </w:p>
    <w:p w14:paraId="7152F728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6E0AE46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Conflict-of-interest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statement: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="008346BE" w:rsidRPr="008346BE">
        <w:rPr>
          <w:rFonts w:ascii="Book Antiqua" w:eastAsia="Book Antiqua" w:hAnsi="Book Antiqua" w:cs="Book Antiqua"/>
        </w:rPr>
        <w:t>The</w:t>
      </w:r>
      <w:r w:rsidR="00D36C11">
        <w:rPr>
          <w:rFonts w:ascii="Book Antiqua" w:eastAsia="Book Antiqua" w:hAnsi="Book Antiqua" w:cs="Book Antiqua"/>
          <w:b/>
          <w:bCs/>
        </w:rPr>
        <w:t xml:space="preserve"> </w:t>
      </w:r>
      <w:r w:rsidR="00D36C11">
        <w:rPr>
          <w:rFonts w:ascii="Book Antiqua" w:eastAsia="Book Antiqua" w:hAnsi="Book Antiqua" w:cs="Book Antiqua"/>
        </w:rPr>
        <w:t>a</w:t>
      </w:r>
      <w:r w:rsidRPr="00D24F83">
        <w:rPr>
          <w:rFonts w:ascii="Book Antiqua" w:eastAsia="Book Antiqua" w:hAnsi="Book Antiqua" w:cs="Book Antiqua"/>
        </w:rPr>
        <w:t>uthors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have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conflicts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of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interest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declare.</w:t>
      </w:r>
    </w:p>
    <w:p w14:paraId="448A66E8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C9AA3F5" w14:textId="77777777" w:rsidR="00A77B3E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  <w:b/>
          <w:bCs/>
        </w:rPr>
        <w:t>Data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sharing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statement: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No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additional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data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available.</w:t>
      </w:r>
    </w:p>
    <w:p w14:paraId="2390A108" w14:textId="77777777" w:rsidR="00C13F38" w:rsidRDefault="00C13F38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E7E7E21" w14:textId="77777777" w:rsidR="00C13F38" w:rsidRPr="00C13F38" w:rsidRDefault="00C13F38" w:rsidP="00C13F3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787" w:name="_Hlk129620873"/>
      <w:bookmarkStart w:id="788" w:name="_Hlk157762215"/>
      <w:r w:rsidRPr="00B227DF">
        <w:rPr>
          <w:rFonts w:ascii="Book Antiqua" w:hAnsi="Book Antiqua"/>
          <w:b/>
          <w:color w:val="000000" w:themeColor="text1"/>
        </w:rPr>
        <w:t>CONSORT 2010 statement:</w:t>
      </w:r>
      <w:r w:rsidRPr="00B227DF">
        <w:rPr>
          <w:rFonts w:ascii="Book Antiqua" w:hAnsi="Book Antiqua"/>
          <w:color w:val="000000" w:themeColor="text1"/>
        </w:rPr>
        <w:t xml:space="preserve"> The authors have read the CONSORT 2010 statement, and the manuscript was prepared and revised according to the CONSORT 2010 statement.</w:t>
      </w:r>
      <w:bookmarkEnd w:id="787"/>
      <w:bookmarkEnd w:id="788"/>
    </w:p>
    <w:p w14:paraId="55B9AA1A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4EBF99DC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  <w:bCs/>
        </w:rPr>
        <w:t>Open-Access: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article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open-access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article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that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was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selected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in-house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editor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fully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peer-reviewed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external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reviewers.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distributed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accordance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with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Creative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Commons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Attribution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</w:t>
      </w:r>
      <w:r w:rsidR="00D36C11">
        <w:rPr>
          <w:rFonts w:ascii="Book Antiqua" w:eastAsia="Book Antiqua" w:hAnsi="Book Antiqua" w:cs="Book Antiqua"/>
        </w:rPr>
        <w:t>-</w:t>
      </w:r>
      <w:r w:rsidRPr="00D24F83">
        <w:rPr>
          <w:rFonts w:ascii="Book Antiqua" w:eastAsia="Book Antiqua" w:hAnsi="Book Antiqua" w:cs="Book Antiqua"/>
        </w:rPr>
        <w:t>Commercial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(CC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BY-NC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4.0)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license,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which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permits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others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to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distribute,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remix,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adapt,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build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upon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work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non-commercially,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license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their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derivative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works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different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terms,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provided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original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work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properly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and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the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use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is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non-commercial.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See: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https://creativecommons.org/Licenses/by-nc/4.0/</w:t>
      </w:r>
    </w:p>
    <w:p w14:paraId="277E74C6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3952A054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Provenance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and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peer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review: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Invited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article;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Externally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peer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reviewed.</w:t>
      </w:r>
    </w:p>
    <w:p w14:paraId="31DD8C89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Peer-review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model: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Single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blind</w:t>
      </w:r>
    </w:p>
    <w:p w14:paraId="1B652B54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133BFAE7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Peer-review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started: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December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8,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2023</w:t>
      </w:r>
    </w:p>
    <w:p w14:paraId="7F152B08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lastRenderedPageBreak/>
        <w:t>First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decision: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December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21,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2023</w:t>
      </w:r>
    </w:p>
    <w:p w14:paraId="6A20DE2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Article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in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press: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</w:p>
    <w:p w14:paraId="09F81907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0DE4C942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Specialty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type: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Gastroenterology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&amp;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D3769" w:rsidRPr="00D24F83">
        <w:rPr>
          <w:rFonts w:ascii="Book Antiqua" w:eastAsia="Book Antiqua" w:hAnsi="Book Antiqua" w:cs="Book Antiqua"/>
        </w:rPr>
        <w:t>h</w:t>
      </w:r>
      <w:r w:rsidRPr="00D24F83">
        <w:rPr>
          <w:rFonts w:ascii="Book Antiqua" w:eastAsia="Book Antiqua" w:hAnsi="Book Antiqua" w:cs="Book Antiqua"/>
        </w:rPr>
        <w:t>epatology</w:t>
      </w:r>
    </w:p>
    <w:p w14:paraId="1D09A6CB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Country/Territory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of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origin: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Argentina</w:t>
      </w:r>
    </w:p>
    <w:p w14:paraId="16508DF8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  <w:b/>
        </w:rPr>
        <w:t>Peer-review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report</w:t>
      </w:r>
      <w:r w:rsidR="00665FA3" w:rsidRPr="00D24F83">
        <w:rPr>
          <w:rFonts w:ascii="Book Antiqua" w:eastAsia="Book Antiqua" w:hAnsi="Book Antiqua" w:cs="Book Antiqua"/>
          <w:b/>
        </w:rPr>
        <w:t>’</w:t>
      </w:r>
      <w:r w:rsidRPr="00D24F83">
        <w:rPr>
          <w:rFonts w:ascii="Book Antiqua" w:eastAsia="Book Antiqua" w:hAnsi="Book Antiqua" w:cs="Book Antiqua"/>
          <w:b/>
        </w:rPr>
        <w:t>s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scientific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quality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classification</w:t>
      </w:r>
    </w:p>
    <w:p w14:paraId="2B631CDD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Grade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A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(Excellent):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</w:p>
    <w:p w14:paraId="145725DA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Grade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(Very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good):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</w:t>
      </w:r>
    </w:p>
    <w:p w14:paraId="6E53CE52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Grade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(Good):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</w:p>
    <w:p w14:paraId="201F0D7D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Grade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D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(Fair):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</w:p>
    <w:p w14:paraId="625524E3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eastAsia="Book Antiqua" w:hAnsi="Book Antiqua" w:cs="Book Antiqua"/>
        </w:rPr>
        <w:t>Grade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(Poor):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0</w:t>
      </w:r>
    </w:p>
    <w:p w14:paraId="7775064F" w14:textId="77777777" w:rsidR="00A77B3E" w:rsidRPr="00D24F83" w:rsidRDefault="00A77B3E" w:rsidP="00C13F38">
      <w:pPr>
        <w:spacing w:line="360" w:lineRule="auto"/>
        <w:jc w:val="both"/>
        <w:rPr>
          <w:rFonts w:ascii="Book Antiqua" w:hAnsi="Book Antiqua"/>
        </w:rPr>
      </w:pPr>
    </w:p>
    <w:p w14:paraId="5F7FE97A" w14:textId="77777777" w:rsidR="00A77B3E" w:rsidRPr="00D24F83" w:rsidRDefault="009F1585" w:rsidP="00C13F38">
      <w:pPr>
        <w:spacing w:line="360" w:lineRule="auto"/>
        <w:jc w:val="both"/>
        <w:rPr>
          <w:rFonts w:ascii="Book Antiqua" w:hAnsi="Book Antiqua"/>
        </w:rPr>
        <w:sectPr w:rsidR="00A77B3E" w:rsidRPr="00D24F83" w:rsidSect="00F975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4F83">
        <w:rPr>
          <w:rFonts w:ascii="Book Antiqua" w:eastAsia="Book Antiqua" w:hAnsi="Book Antiqua" w:cs="Book Antiqua"/>
          <w:b/>
        </w:rPr>
        <w:t>P-Reviewer: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</w:rPr>
        <w:t>de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Moraes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JB,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Brazil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S-Editor: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="005D3769" w:rsidRPr="00D24F83">
        <w:rPr>
          <w:rFonts w:ascii="Book Antiqua" w:eastAsia="Book Antiqua" w:hAnsi="Book Antiqua" w:cs="Book Antiqua"/>
          <w:bCs/>
        </w:rPr>
        <w:t>Chen YL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L-Editor:</w:t>
      </w:r>
      <w:r w:rsidR="007152D1">
        <w:rPr>
          <w:rFonts w:ascii="Book Antiqua" w:eastAsia="Book Antiqua" w:hAnsi="Book Antiqua" w:cs="Book Antiqua"/>
          <w:b/>
        </w:rPr>
        <w:t xml:space="preserve"> </w:t>
      </w:r>
      <w:r w:rsidR="008B4E62">
        <w:rPr>
          <w:rFonts w:ascii="Book Antiqua" w:eastAsia="Book Antiqua" w:hAnsi="Book Antiqua" w:cs="Book Antiqua"/>
          <w:bCs/>
        </w:rPr>
        <w:t>Filipodia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P-Editor: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</w:p>
    <w:p w14:paraId="492CD2FF" w14:textId="77777777" w:rsidR="00A77B3E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24F83">
        <w:rPr>
          <w:rFonts w:ascii="Book Antiqua" w:eastAsia="Book Antiqua" w:hAnsi="Book Antiqua" w:cs="Book Antiqua"/>
          <w:b/>
        </w:rPr>
        <w:lastRenderedPageBreak/>
        <w:t>Figure</w:t>
      </w:r>
      <w:r w:rsidR="0012498E" w:rsidRPr="00D24F83">
        <w:rPr>
          <w:rFonts w:ascii="Book Antiqua" w:eastAsia="Book Antiqua" w:hAnsi="Book Antiqua" w:cs="Book Antiqua"/>
          <w:b/>
        </w:rPr>
        <w:t xml:space="preserve"> </w:t>
      </w:r>
      <w:r w:rsidRPr="00D24F83">
        <w:rPr>
          <w:rFonts w:ascii="Book Antiqua" w:eastAsia="Book Antiqua" w:hAnsi="Book Antiqua" w:cs="Book Antiqua"/>
          <w:b/>
        </w:rPr>
        <w:t>Legends</w:t>
      </w:r>
    </w:p>
    <w:p w14:paraId="57A76D22" w14:textId="77777777" w:rsidR="002503ED" w:rsidRPr="00D24F83" w:rsidRDefault="002503ED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  <w:noProof/>
          <w:lang w:val="es-ES" w:eastAsia="es-ES"/>
        </w:rPr>
        <w:drawing>
          <wp:inline distT="0" distB="0" distL="0" distR="0" wp14:anchorId="1D4C3F6B" wp14:editId="1129BB4C">
            <wp:extent cx="5943600" cy="3957955"/>
            <wp:effectExtent l="0" t="0" r="0" b="0"/>
            <wp:docPr id="13789459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45928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8BCA" w14:textId="77777777" w:rsidR="002503ED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  <w:b/>
          <w:bCs/>
        </w:rPr>
        <w:t>Figure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1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Study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design.</w:t>
      </w:r>
      <w:r w:rsidR="002503ED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</w:rPr>
        <w:t>AN-PEP: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503ED" w:rsidRPr="00D24F83">
        <w:rPr>
          <w:rFonts w:ascii="Book Antiqua" w:eastAsia="Book Antiqua" w:hAnsi="Book Antiqua" w:cs="Book Antiqua"/>
          <w:i/>
          <w:iCs/>
        </w:rPr>
        <w:t>Aspergillus niger</w:t>
      </w:r>
      <w:r w:rsidR="002503ED" w:rsidRPr="00D24F83">
        <w:rPr>
          <w:rFonts w:ascii="Book Antiqua" w:eastAsia="Book Antiqua" w:hAnsi="Book Antiqua" w:cs="Book Antiqua"/>
        </w:rPr>
        <w:t xml:space="preserve"> prolyl endopeptidase protease</w:t>
      </w:r>
      <w:r w:rsidRPr="00D24F83">
        <w:rPr>
          <w:rFonts w:ascii="Book Antiqua" w:eastAsia="Book Antiqua" w:hAnsi="Book Antiqua" w:cs="Book Antiqua"/>
        </w:rPr>
        <w:t>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CSI: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Celiac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s</w:t>
      </w:r>
      <w:r w:rsidRPr="00D24F83">
        <w:rPr>
          <w:rFonts w:ascii="Book Antiqua" w:eastAsia="Book Antiqua" w:hAnsi="Book Antiqua" w:cs="Book Antiqua"/>
        </w:rPr>
        <w:t>ymptom</w:t>
      </w:r>
      <w:r w:rsidR="002503ED" w:rsidRPr="00D24F83">
        <w:rPr>
          <w:rFonts w:ascii="Book Antiqua" w:eastAsia="Book Antiqua" w:hAnsi="Book Antiqua" w:cs="Book Antiqua"/>
        </w:rPr>
        <w:t xml:space="preserve"> </w:t>
      </w:r>
      <w:r w:rsidR="0051243C">
        <w:rPr>
          <w:rFonts w:ascii="Book Antiqua" w:eastAsia="Book Antiqua" w:hAnsi="Book Antiqua" w:cs="Book Antiqua"/>
        </w:rPr>
        <w:t>i</w:t>
      </w:r>
      <w:r w:rsidRPr="00D24F83">
        <w:rPr>
          <w:rFonts w:ascii="Book Antiqua" w:eastAsia="Book Antiqua" w:hAnsi="Book Antiqua" w:cs="Book Antiqua"/>
        </w:rPr>
        <w:t>ndex;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GIP: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Pr="00D24F83">
        <w:rPr>
          <w:rFonts w:ascii="Book Antiqua" w:eastAsia="Book Antiqua" w:hAnsi="Book Antiqua" w:cs="Book Antiqua"/>
        </w:rPr>
        <w:t>Gluten</w:t>
      </w:r>
      <w:r w:rsidR="0012498E" w:rsidRPr="00D24F83">
        <w:rPr>
          <w:rFonts w:ascii="Book Antiqua" w:eastAsia="Book Antiqua" w:hAnsi="Book Antiqua" w:cs="Book Antiqua"/>
        </w:rPr>
        <w:t xml:space="preserve"> </w:t>
      </w:r>
      <w:r w:rsidR="002503ED" w:rsidRPr="00D24F83">
        <w:rPr>
          <w:rFonts w:ascii="Book Antiqua" w:eastAsia="Book Antiqua" w:hAnsi="Book Antiqua" w:cs="Book Antiqua"/>
        </w:rPr>
        <w:t>immunogenic pe</w:t>
      </w:r>
      <w:r w:rsidRPr="00D24F83">
        <w:rPr>
          <w:rFonts w:ascii="Book Antiqua" w:eastAsia="Book Antiqua" w:hAnsi="Book Antiqua" w:cs="Book Antiqua"/>
        </w:rPr>
        <w:t>ptides</w:t>
      </w:r>
      <w:r w:rsidR="0051243C">
        <w:rPr>
          <w:rFonts w:ascii="Book Antiqua" w:eastAsia="Book Antiqua" w:hAnsi="Book Antiqua" w:cs="Book Antiqua"/>
        </w:rPr>
        <w:t>;</w:t>
      </w:r>
      <w:r w:rsidR="0051243C" w:rsidRPr="0051243C">
        <w:rPr>
          <w:rFonts w:ascii="Book Antiqua" w:eastAsia="Book Antiqua" w:hAnsi="Book Antiqua" w:cs="Book Antiqua"/>
        </w:rPr>
        <w:t xml:space="preserve"> </w:t>
      </w:r>
      <w:r w:rsidR="0051243C" w:rsidRPr="00D24F83">
        <w:rPr>
          <w:rFonts w:ascii="Book Antiqua" w:eastAsia="Book Antiqua" w:hAnsi="Book Antiqua" w:cs="Book Antiqua"/>
        </w:rPr>
        <w:t>SF-36: Short Form</w:t>
      </w:r>
      <w:r w:rsidR="0051243C">
        <w:rPr>
          <w:rFonts w:ascii="Book Antiqua" w:eastAsia="Book Antiqua" w:hAnsi="Book Antiqua" w:cs="Book Antiqua"/>
        </w:rPr>
        <w:t>-</w:t>
      </w:r>
      <w:r w:rsidR="0051243C" w:rsidRPr="00D24F83">
        <w:rPr>
          <w:rFonts w:ascii="Book Antiqua" w:eastAsia="Book Antiqua" w:hAnsi="Book Antiqua" w:cs="Book Antiqua"/>
        </w:rPr>
        <w:t>36 health survey questionnaire</w:t>
      </w:r>
      <w:r w:rsidR="0051243C">
        <w:rPr>
          <w:rFonts w:ascii="Book Antiqua" w:eastAsia="Book Antiqua" w:hAnsi="Book Antiqua" w:cs="Book Antiqua"/>
        </w:rPr>
        <w:t>.</w:t>
      </w:r>
    </w:p>
    <w:p w14:paraId="5B89A770" w14:textId="77777777" w:rsidR="002503ED" w:rsidRPr="00D24F83" w:rsidRDefault="00E64022" w:rsidP="00C13F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24F83">
        <w:rPr>
          <w:rFonts w:ascii="Book Antiqua" w:eastAsia="Book Antiqua" w:hAnsi="Book Antiqua" w:cs="Book Antiqua"/>
        </w:rPr>
        <w:br w:type="page"/>
      </w:r>
      <w:r w:rsidRPr="00D24F83">
        <w:rPr>
          <w:rFonts w:ascii="Book Antiqua" w:hAnsi="Book Antiqua"/>
          <w:noProof/>
          <w:lang w:val="es-ES" w:eastAsia="es-ES"/>
        </w:rPr>
        <w:lastRenderedPageBreak/>
        <w:drawing>
          <wp:inline distT="0" distB="0" distL="0" distR="0" wp14:anchorId="09031AC5" wp14:editId="5726A7F8">
            <wp:extent cx="4234543" cy="3406336"/>
            <wp:effectExtent l="0" t="0" r="0" b="0"/>
            <wp:docPr id="11120718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07189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717" cy="341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5279" w14:textId="77777777" w:rsidR="00754223" w:rsidRPr="00D24F83" w:rsidRDefault="009F1585" w:rsidP="00C13F3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D24F83">
        <w:rPr>
          <w:rFonts w:ascii="Book Antiqua" w:eastAsia="Book Antiqua" w:hAnsi="Book Antiqua" w:cs="Book Antiqua"/>
          <w:b/>
          <w:bCs/>
        </w:rPr>
        <w:t>Figure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2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commentRangeStart w:id="789"/>
      <w:r w:rsidRPr="00D24F83">
        <w:rPr>
          <w:rFonts w:ascii="Book Antiqua" w:eastAsia="Book Antiqua" w:hAnsi="Book Antiqua" w:cs="Book Antiqua"/>
          <w:b/>
          <w:bCs/>
        </w:rPr>
        <w:t>Flowchart</w:t>
      </w:r>
      <w:commentRangeEnd w:id="789"/>
      <w:r w:rsidR="00260FA3">
        <w:rPr>
          <w:rStyle w:val="CommentReference"/>
        </w:rPr>
        <w:commentReference w:id="789"/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of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enrolled</w:t>
      </w:r>
      <w:r w:rsidR="0012498E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Pr="00D24F83">
        <w:rPr>
          <w:rFonts w:ascii="Book Antiqua" w:eastAsia="Book Antiqua" w:hAnsi="Book Antiqua" w:cs="Book Antiqua"/>
          <w:b/>
          <w:bCs/>
        </w:rPr>
        <w:t>patients.</w:t>
      </w:r>
      <w:r w:rsidR="00E64022" w:rsidRPr="00D24F83">
        <w:rPr>
          <w:rFonts w:ascii="Book Antiqua" w:eastAsia="Book Antiqua" w:hAnsi="Book Antiqua" w:cs="Book Antiqua"/>
          <w:b/>
          <w:bCs/>
        </w:rPr>
        <w:t xml:space="preserve"> </w:t>
      </w:r>
      <w:r w:rsidR="00E64022" w:rsidRPr="00D24F83">
        <w:rPr>
          <w:rFonts w:ascii="Book Antiqua" w:eastAsia="Book Antiqua" w:hAnsi="Book Antiqua" w:cs="Book Antiqua"/>
        </w:rPr>
        <w:t xml:space="preserve">AN-PEP: </w:t>
      </w:r>
      <w:r w:rsidR="00E64022" w:rsidRPr="00D24F83">
        <w:rPr>
          <w:rFonts w:ascii="Book Antiqua" w:eastAsia="Book Antiqua" w:hAnsi="Book Antiqua" w:cs="Book Antiqua"/>
          <w:i/>
          <w:iCs/>
        </w:rPr>
        <w:t>Aspergillus niger</w:t>
      </w:r>
      <w:r w:rsidR="00E64022" w:rsidRPr="00D24F83">
        <w:rPr>
          <w:rFonts w:ascii="Book Antiqua" w:eastAsia="Book Antiqua" w:hAnsi="Book Antiqua" w:cs="Book Antiqua"/>
        </w:rPr>
        <w:t xml:space="preserve"> prolyl endopeptidase protease.</w:t>
      </w:r>
    </w:p>
    <w:p w14:paraId="740DBD2D" w14:textId="77777777" w:rsidR="002503ED" w:rsidRPr="00D24F83" w:rsidRDefault="002503ED" w:rsidP="00C13F38">
      <w:pPr>
        <w:spacing w:line="360" w:lineRule="auto"/>
        <w:jc w:val="both"/>
        <w:rPr>
          <w:rFonts w:ascii="Book Antiqua" w:eastAsia="Book Antiqua" w:hAnsi="Book Antiqua" w:cs="Book Antiqua"/>
        </w:rPr>
        <w:sectPr w:rsidR="002503ED" w:rsidRPr="00D24F83" w:rsidSect="00F975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F63A7" w14:textId="77777777" w:rsidR="00754223" w:rsidRPr="00D24F83" w:rsidRDefault="00754223" w:rsidP="00C13F38">
      <w:pPr>
        <w:pStyle w:val="BodyText"/>
        <w:spacing w:line="360" w:lineRule="auto"/>
        <w:jc w:val="both"/>
        <w:rPr>
          <w:rFonts w:ascii="Book Antiqua" w:hAnsi="Book Antiqua"/>
          <w:b/>
          <w:bCs/>
          <w:spacing w:val="-2"/>
        </w:rPr>
      </w:pPr>
      <w:r w:rsidRPr="00D24F83">
        <w:rPr>
          <w:rFonts w:ascii="Book Antiqua" w:hAnsi="Book Antiqua"/>
          <w:b/>
        </w:rPr>
        <w:lastRenderedPageBreak/>
        <w:t>Table</w:t>
      </w:r>
      <w:r w:rsidR="00EF6616" w:rsidRPr="00D24F83">
        <w:rPr>
          <w:rFonts w:ascii="Book Antiqua" w:hAnsi="Book Antiqua"/>
          <w:b/>
        </w:rPr>
        <w:t xml:space="preserve"> </w:t>
      </w:r>
      <w:r w:rsidRPr="00D24F83">
        <w:rPr>
          <w:rFonts w:ascii="Book Antiqua" w:hAnsi="Book Antiqua"/>
          <w:b/>
        </w:rPr>
        <w:t>1</w:t>
      </w:r>
      <w:r w:rsidR="00EF6616" w:rsidRPr="00D24F83">
        <w:rPr>
          <w:rFonts w:ascii="Book Antiqua" w:hAnsi="Book Antiqua"/>
        </w:rPr>
        <w:t xml:space="preserve"> </w:t>
      </w:r>
      <w:r w:rsidR="008346BE" w:rsidRPr="008346BE">
        <w:rPr>
          <w:rFonts w:ascii="Book Antiqua" w:hAnsi="Book Antiqua"/>
          <w:b/>
          <w:bCs/>
        </w:rPr>
        <w:t>Patient</w:t>
      </w:r>
      <w:r w:rsidR="00AE5ABD">
        <w:rPr>
          <w:rFonts w:ascii="Book Antiqua" w:hAnsi="Book Antiqua"/>
        </w:rPr>
        <w:t xml:space="preserve"> </w:t>
      </w:r>
      <w:r w:rsidR="00AE5ABD">
        <w:rPr>
          <w:rFonts w:ascii="Book Antiqua" w:hAnsi="Book Antiqua"/>
          <w:b/>
          <w:bCs/>
        </w:rPr>
        <w:t>d</w:t>
      </w:r>
      <w:r w:rsidRPr="00D24F83">
        <w:rPr>
          <w:rFonts w:ascii="Book Antiqua" w:hAnsi="Book Antiqua"/>
          <w:b/>
          <w:bCs/>
        </w:rPr>
        <w:t>ata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collected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in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the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study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in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the</w:t>
      </w:r>
      <w:r w:rsidR="00EF6616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intention-to-treat</w:t>
      </w:r>
      <w:r w:rsidR="0012498E" w:rsidRPr="00D24F83">
        <w:rPr>
          <w:rFonts w:ascii="Book Antiqua" w:hAnsi="Book Antiqua"/>
          <w:b/>
          <w:bCs/>
          <w:spacing w:val="-2"/>
        </w:rPr>
        <w:t xml:space="preserve"> </w:t>
      </w:r>
      <w:r w:rsidRPr="00D24F83">
        <w:rPr>
          <w:rFonts w:ascii="Book Antiqua" w:hAnsi="Book Antiqua"/>
          <w:b/>
          <w:bCs/>
          <w:spacing w:val="-2"/>
        </w:rPr>
        <w:t>analysis</w:t>
      </w:r>
    </w:p>
    <w:tbl>
      <w:tblPr>
        <w:tblW w:w="8942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1854"/>
      </w:tblGrid>
      <w:tr w:rsidR="000B1A96" w:rsidRPr="00D24F83" w14:paraId="412E7EA5" w14:textId="77777777" w:rsidTr="001E791E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EE4B2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b/>
                <w:bCs/>
                <w:lang w:eastAsia="zh-CN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85122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b/>
                <w:bCs/>
                <w:lang w:eastAsia="zh-CN"/>
              </w:rPr>
              <w:t>Overall population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D88B4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b/>
                <w:bCs/>
                <w:lang w:eastAsia="zh-CN"/>
              </w:rPr>
              <w:t>Placebo treatment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224E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b/>
                <w:bCs/>
                <w:lang w:eastAsia="zh-CN"/>
              </w:rPr>
              <w:t>AN-PEP treatment</w:t>
            </w:r>
          </w:p>
        </w:tc>
      </w:tr>
      <w:tr w:rsidR="000B1A96" w:rsidRPr="00D24F83" w14:paraId="260A12FB" w14:textId="77777777" w:rsidTr="001E791E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D59C8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Number of patients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1F55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B2E9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3C82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19</w:t>
            </w:r>
          </w:p>
        </w:tc>
      </w:tr>
      <w:tr w:rsidR="000B1A96" w:rsidRPr="00D24F83" w14:paraId="4354AD4F" w14:textId="77777777" w:rsidTr="001E791E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FEA9" w14:textId="77777777" w:rsidR="000B1A96" w:rsidRPr="000B1A96" w:rsidRDefault="002C7671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>
              <w:rPr>
                <w:rFonts w:ascii="Book Antiqua" w:eastAsia="SimSun" w:hAnsi="Book Antiqua" w:cs="SimSun"/>
                <w:lang w:eastAsia="zh-CN"/>
              </w:rPr>
              <w:t>A</w:t>
            </w:r>
            <w:r w:rsidR="000B1A96" w:rsidRPr="000B1A96">
              <w:rPr>
                <w:rFonts w:ascii="Book Antiqua" w:eastAsia="SimSun" w:hAnsi="Book Antiqua" w:cs="SimSun"/>
                <w:lang w:eastAsia="zh-CN"/>
              </w:rPr>
              <w:t>ge</w:t>
            </w:r>
            <w:r>
              <w:rPr>
                <w:rFonts w:ascii="Book Antiqua" w:eastAsia="SimSun" w:hAnsi="Book Antiqua" w:cs="SimSun"/>
                <w:lang w:eastAsia="zh-CN"/>
              </w:rPr>
              <w:t xml:space="preserve"> in yr, median</w:t>
            </w:r>
            <w:r w:rsidR="000B1A96" w:rsidRPr="000B1A96">
              <w:rPr>
                <w:rFonts w:ascii="Book Antiqua" w:eastAsia="SimSun" w:hAnsi="Book Antiqua" w:cs="SimSun"/>
                <w:lang w:eastAsia="zh-CN"/>
              </w:rPr>
              <w:t xml:space="preserve"> (range)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88ED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40.5 (29-47)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C124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42.0 (32-48)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6222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39.0 (28-46)</w:t>
            </w:r>
          </w:p>
        </w:tc>
      </w:tr>
      <w:tr w:rsidR="000B1A96" w:rsidRPr="00D24F83" w14:paraId="04733F05" w14:textId="77777777" w:rsidTr="001E791E">
        <w:trPr>
          <w:trHeight w:val="3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8C50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 xml:space="preserve">Females, </w:t>
            </w:r>
            <w:r w:rsidRPr="000B1A96">
              <w:rPr>
                <w:rFonts w:ascii="Book Antiqua" w:eastAsia="SimSun" w:hAnsi="Book Antiqua" w:cs="SimSun"/>
                <w:i/>
                <w:iCs/>
                <w:lang w:eastAsia="zh-CN"/>
              </w:rPr>
              <w:t>n</w:t>
            </w:r>
            <w:r w:rsidRPr="000B1A96">
              <w:rPr>
                <w:rFonts w:ascii="Book Antiqua" w:eastAsia="SimSun" w:hAnsi="Book Antiqua" w:cs="SimSun"/>
                <w:lang w:eastAsia="zh-C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A006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33.0 (82.5)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BA2E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18.0 (85.7)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652CC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15.0 (78.9)</w:t>
            </w:r>
          </w:p>
        </w:tc>
      </w:tr>
      <w:tr w:rsidR="000B1A96" w:rsidRPr="00D24F83" w14:paraId="01B35C71" w14:textId="77777777" w:rsidTr="001E791E">
        <w:trPr>
          <w:trHeight w:val="288"/>
        </w:trPr>
        <w:tc>
          <w:tcPr>
            <w:tcW w:w="8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4D4D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proofErr w:type="spellStart"/>
            <w:r w:rsidRPr="000B1A96">
              <w:rPr>
                <w:rFonts w:ascii="Book Antiqua" w:eastAsia="SimSun" w:hAnsi="Book Antiqua" w:cs="SimSun"/>
                <w:lang w:eastAsia="zh-CN"/>
              </w:rPr>
              <w:t>CeD</w:t>
            </w:r>
            <w:proofErr w:type="spellEnd"/>
            <w:r w:rsidRPr="000B1A96">
              <w:rPr>
                <w:rFonts w:ascii="Book Antiqua" w:eastAsia="SimSun" w:hAnsi="Book Antiqua" w:cs="SimSun"/>
                <w:lang w:eastAsia="zh-CN"/>
              </w:rPr>
              <w:t xml:space="preserve"> serology </w:t>
            </w:r>
            <w:r w:rsidR="002C7671">
              <w:rPr>
                <w:rFonts w:ascii="Book Antiqua" w:eastAsia="SimSun" w:hAnsi="Book Antiqua" w:cs="SimSun"/>
                <w:lang w:eastAsia="zh-CN"/>
              </w:rPr>
              <w:t xml:space="preserve">in U/mL, </w:t>
            </w:r>
            <w:r w:rsidRPr="000B1A96">
              <w:rPr>
                <w:rFonts w:ascii="Book Antiqua" w:eastAsia="SimSun" w:hAnsi="Book Antiqua" w:cs="SimSun"/>
                <w:lang w:eastAsia="zh-CN"/>
              </w:rPr>
              <w:t>median (IQR)</w:t>
            </w:r>
          </w:p>
        </w:tc>
      </w:tr>
      <w:tr w:rsidR="000B1A96" w:rsidRPr="00D24F83" w14:paraId="62634F77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09E1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IgA DGP at baseline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EABC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3.0 (1.3-5.0)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11A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2.0 (1.0-5.0)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07F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4.0 (2.0-5.0)</w:t>
            </w:r>
          </w:p>
        </w:tc>
      </w:tr>
      <w:tr w:rsidR="000B1A96" w:rsidRPr="00D24F83" w14:paraId="5B996E82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860A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End of study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023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 (2-6)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628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 (2-5)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974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 (2-6)</w:t>
            </w:r>
          </w:p>
        </w:tc>
      </w:tr>
      <w:tr w:rsidR="000B1A96" w:rsidRPr="00D24F83" w14:paraId="3C2A4BAA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6AC3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IgA tTG at baseline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8625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17 (7-44)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01F9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10 (5-30)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80B4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17 (8-49)</w:t>
            </w:r>
          </w:p>
        </w:tc>
      </w:tr>
      <w:tr w:rsidR="000B1A96" w:rsidRPr="00D24F83" w14:paraId="226BF114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7D2B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End of study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AE3F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12 (6-50)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4F46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11 (6-15)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0699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17 (8-70)</w:t>
            </w:r>
          </w:p>
        </w:tc>
      </w:tr>
      <w:tr w:rsidR="000B1A96" w:rsidRPr="00D24F83" w14:paraId="57C6517D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4969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SCI global score at randomization median score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FD03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36 (32-44)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3AF2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35 (30-44)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5478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40 (33-44)</w:t>
            </w:r>
          </w:p>
        </w:tc>
      </w:tr>
      <w:tr w:rsidR="000B1A96" w:rsidRPr="00D24F83" w14:paraId="360DDA72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16B4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End of the study median score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DF9D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34 (28-40)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7D5A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32 (29-39)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AE27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35 (28-41)</w:t>
            </w:r>
          </w:p>
        </w:tc>
      </w:tr>
      <w:tr w:rsidR="000B1A96" w:rsidRPr="00D24F83" w14:paraId="21ABE8CB" w14:textId="77777777" w:rsidTr="001E791E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1DCE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 xml:space="preserve">SCI scores &gt; 38 at randomization, </w:t>
            </w:r>
            <w:r w:rsidRPr="000B1A96">
              <w:rPr>
                <w:rFonts w:ascii="Book Antiqua" w:eastAsia="SimSun" w:hAnsi="Book Antiqua" w:cs="SimSun"/>
                <w:i/>
                <w:iCs/>
                <w:lang w:eastAsia="zh-CN"/>
              </w:rPr>
              <w:t>n</w:t>
            </w:r>
            <w:r w:rsidRPr="000B1A96">
              <w:rPr>
                <w:rFonts w:ascii="Book Antiqua" w:eastAsia="SimSun" w:hAnsi="Book Antiqua" w:cs="SimSun"/>
                <w:lang w:eastAsia="zh-C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523C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19 (47.5)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9EF0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8 (38.1)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408B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11 (57.9)</w:t>
            </w:r>
          </w:p>
        </w:tc>
      </w:tr>
      <w:tr w:rsidR="000B1A96" w:rsidRPr="00D24F83" w14:paraId="33736B8C" w14:textId="77777777" w:rsidTr="001E791E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747C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End of the study</w:t>
            </w:r>
            <w:r w:rsidR="001E791E" w:rsidRPr="000B1A96">
              <w:rPr>
                <w:rFonts w:ascii="Book Antiqua" w:eastAsia="SimSun" w:hAnsi="Book Antiqua" w:cs="SimSun"/>
                <w:lang w:eastAsia="zh-CN"/>
              </w:rPr>
              <w:t xml:space="preserve">, </w:t>
            </w:r>
            <w:r w:rsidR="001E791E" w:rsidRPr="000B1A96">
              <w:rPr>
                <w:rFonts w:ascii="Book Antiqua" w:eastAsia="SimSun" w:hAnsi="Book Antiqua" w:cs="SimSun"/>
                <w:i/>
                <w:iCs/>
                <w:lang w:eastAsia="zh-CN"/>
              </w:rPr>
              <w:t>n</w:t>
            </w:r>
            <w:r w:rsidR="001E791E" w:rsidRPr="000B1A96">
              <w:rPr>
                <w:rFonts w:ascii="Book Antiqua" w:eastAsia="SimSun" w:hAnsi="Book Antiqua" w:cs="SimSun"/>
                <w:lang w:eastAsia="zh-C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907D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12 (30.0)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E446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6 (28.6)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3B9A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6 (31.6)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a</w:t>
            </w:r>
          </w:p>
        </w:tc>
      </w:tr>
      <w:tr w:rsidR="000B1A96" w:rsidRPr="00D24F83" w14:paraId="6A0F4826" w14:textId="77777777" w:rsidTr="001E791E">
        <w:trPr>
          <w:trHeight w:val="288"/>
        </w:trPr>
        <w:tc>
          <w:tcPr>
            <w:tcW w:w="8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A336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Stool GIP. Median and CI (IQR) of the average concentration for period (µg/g)</w:t>
            </w:r>
          </w:p>
        </w:tc>
      </w:tr>
      <w:tr w:rsidR="000B1A96" w:rsidRPr="00D24F83" w14:paraId="11DD715B" w14:textId="77777777" w:rsidTr="001E791E">
        <w:trPr>
          <w:trHeight w:val="36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4FCB9E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Run-in period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3693A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0.37 (0-0.83)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28C76F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0.34 (0-0.68)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b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77E6C9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0.42 (0-0.93)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c</w:t>
            </w:r>
          </w:p>
        </w:tc>
      </w:tr>
      <w:tr w:rsidR="000B1A96" w:rsidRPr="00D24F83" w14:paraId="4DEB304F" w14:textId="77777777" w:rsidTr="001E791E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27CB5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Treatment period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724FD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0.21 (0-0.79)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2D3DB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0.19 (0.11-0.79)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63925" w14:textId="77777777" w:rsidR="000B1A96" w:rsidRPr="000B1A96" w:rsidRDefault="000B1A96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lang w:eastAsia="zh-CN"/>
              </w:rPr>
            </w:pPr>
            <w:r w:rsidRPr="000B1A96">
              <w:rPr>
                <w:rFonts w:ascii="Book Antiqua" w:eastAsia="SimSun" w:hAnsi="Book Antiqua" w:cs="SimSun"/>
                <w:lang w:eastAsia="zh-CN"/>
              </w:rPr>
              <w:t>0.22 (0-0.89)</w:t>
            </w:r>
            <w:r w:rsidRPr="000B1A96">
              <w:rPr>
                <w:rFonts w:ascii="Book Antiqua" w:eastAsia="SimSun" w:hAnsi="Book Antiqua" w:cs="SimSun"/>
                <w:vertAlign w:val="superscript"/>
                <w:lang w:eastAsia="zh-CN"/>
              </w:rPr>
              <w:t>c</w:t>
            </w:r>
          </w:p>
        </w:tc>
      </w:tr>
    </w:tbl>
    <w:p w14:paraId="52A927CE" w14:textId="77777777" w:rsidR="00754223" w:rsidRPr="00D24F83" w:rsidRDefault="005B4563" w:rsidP="00C13F38">
      <w:pPr>
        <w:pStyle w:val="BodyText"/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  <w:vertAlign w:val="superscript"/>
        </w:rPr>
        <w:t>a</w:t>
      </w:r>
      <w:r w:rsidRPr="00D24F83">
        <w:rPr>
          <w:rFonts w:ascii="Book Antiqua" w:hAnsi="Book Antiqua"/>
        </w:rPr>
        <w:t xml:space="preserve">Comparison with run-in (McNemar test): </w:t>
      </w:r>
      <w:r w:rsidRPr="00D24F83">
        <w:rPr>
          <w:rFonts w:ascii="Book Antiqua" w:hAnsi="Book Antiqua"/>
          <w:i/>
          <w:spacing w:val="-2"/>
        </w:rPr>
        <w:t xml:space="preserve">P </w:t>
      </w:r>
      <w:r w:rsidRPr="00D24F83">
        <w:rPr>
          <w:rFonts w:ascii="Book Antiqua" w:hAnsi="Book Antiqua"/>
          <w:spacing w:val="-2"/>
        </w:rPr>
        <w:t>&lt; 0.03</w:t>
      </w:r>
      <w:r w:rsidR="00085F2D">
        <w:rPr>
          <w:rFonts w:ascii="Book Antiqua" w:hAnsi="Book Antiqua"/>
          <w:spacing w:val="-2"/>
        </w:rPr>
        <w:t xml:space="preserve">; </w:t>
      </w:r>
      <w:proofErr w:type="spellStart"/>
      <w:r w:rsidRPr="00D24F83">
        <w:rPr>
          <w:rFonts w:ascii="Book Antiqua" w:hAnsi="Book Antiqua"/>
          <w:vertAlign w:val="superscript"/>
        </w:rPr>
        <w:t>b</w:t>
      </w:r>
      <w:r w:rsidRPr="00D24F83">
        <w:rPr>
          <w:rFonts w:ascii="Book Antiqua" w:hAnsi="Book Antiqua"/>
        </w:rPr>
        <w:t>Comparison</w:t>
      </w:r>
      <w:proofErr w:type="spellEnd"/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with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run-in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 xml:space="preserve">values </w:t>
      </w:r>
      <w:r w:rsidRPr="00D24F83">
        <w:rPr>
          <w:rFonts w:ascii="Book Antiqua" w:hAnsi="Book Antiqua"/>
          <w:i/>
        </w:rPr>
        <w:t>P</w:t>
      </w:r>
      <w:r w:rsidRPr="00D24F83">
        <w:rPr>
          <w:rFonts w:ascii="Book Antiqua" w:hAnsi="Book Antiqua"/>
        </w:rPr>
        <w:t xml:space="preserve"> (Wilcoxon): </w:t>
      </w:r>
      <w:r w:rsidRPr="00D24F83">
        <w:rPr>
          <w:rFonts w:ascii="Book Antiqua" w:hAnsi="Book Antiqua"/>
          <w:i/>
          <w:spacing w:val="-2"/>
        </w:rPr>
        <w:t>P</w:t>
      </w:r>
      <w:r w:rsidRPr="00D24F83">
        <w:rPr>
          <w:rFonts w:ascii="Book Antiqua" w:hAnsi="Book Antiqua"/>
        </w:rPr>
        <w:t xml:space="preserve"> = 0.79</w:t>
      </w:r>
      <w:r w:rsidR="00085F2D">
        <w:rPr>
          <w:rFonts w:ascii="Book Antiqua" w:hAnsi="Book Antiqua"/>
        </w:rPr>
        <w:t xml:space="preserve">; </w:t>
      </w:r>
      <w:proofErr w:type="spellStart"/>
      <w:r w:rsidRPr="00D24F83">
        <w:rPr>
          <w:rFonts w:ascii="Book Antiqua" w:hAnsi="Book Antiqua"/>
          <w:vertAlign w:val="superscript"/>
        </w:rPr>
        <w:t>c</w:t>
      </w:r>
      <w:r w:rsidRPr="00D24F83">
        <w:rPr>
          <w:rFonts w:ascii="Book Antiqua" w:hAnsi="Book Antiqua"/>
        </w:rPr>
        <w:t>Comparison</w:t>
      </w:r>
      <w:proofErr w:type="spellEnd"/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with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run-in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 xml:space="preserve">values </w:t>
      </w:r>
      <w:r w:rsidRPr="00D24F83">
        <w:rPr>
          <w:rFonts w:ascii="Book Antiqua" w:hAnsi="Book Antiqua"/>
          <w:i/>
        </w:rPr>
        <w:t>P</w:t>
      </w:r>
      <w:r w:rsidRPr="00D24F83">
        <w:rPr>
          <w:rFonts w:ascii="Book Antiqua" w:hAnsi="Book Antiqua"/>
        </w:rPr>
        <w:t xml:space="preserve"> (Wilcoxon):</w:t>
      </w:r>
      <w:r w:rsidRPr="00D24F83">
        <w:rPr>
          <w:rFonts w:ascii="Book Antiqua" w:hAnsi="Book Antiqua"/>
          <w:spacing w:val="-2"/>
          <w:vertAlign w:val="superscript"/>
        </w:rPr>
        <w:t xml:space="preserve"> </w:t>
      </w:r>
      <w:r w:rsidRPr="00D24F83">
        <w:rPr>
          <w:rFonts w:ascii="Book Antiqua" w:hAnsi="Book Antiqua"/>
          <w:i/>
          <w:spacing w:val="-2"/>
        </w:rPr>
        <w:t>P</w:t>
      </w:r>
      <w:r w:rsidRPr="00D24F83">
        <w:rPr>
          <w:rFonts w:ascii="Book Antiqua" w:hAnsi="Book Antiqua"/>
          <w:spacing w:val="-2"/>
        </w:rPr>
        <w:t xml:space="preserve"> = 0.19</w:t>
      </w:r>
      <w:r w:rsidR="00085F2D">
        <w:rPr>
          <w:rFonts w:ascii="Book Antiqua" w:hAnsi="Book Antiqua"/>
          <w:spacing w:val="-2"/>
        </w:rPr>
        <w:t xml:space="preserve">; </w:t>
      </w:r>
      <w:proofErr w:type="spellStart"/>
      <w:r w:rsidRPr="00D24F83">
        <w:rPr>
          <w:rFonts w:ascii="Book Antiqua" w:hAnsi="Book Antiqua"/>
          <w:vertAlign w:val="superscript"/>
        </w:rPr>
        <w:t>d</w:t>
      </w:r>
      <w:r w:rsidRPr="00D24F83">
        <w:rPr>
          <w:rFonts w:ascii="Book Antiqua" w:hAnsi="Book Antiqua"/>
        </w:rPr>
        <w:t>Comparison</w:t>
      </w:r>
      <w:proofErr w:type="spellEnd"/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with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run-in</w:t>
      </w:r>
      <w:r w:rsidR="00A90199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 xml:space="preserve">values </w:t>
      </w:r>
      <w:r w:rsidRPr="00D24F83">
        <w:rPr>
          <w:rFonts w:ascii="Book Antiqua" w:hAnsi="Book Antiqua"/>
          <w:i/>
        </w:rPr>
        <w:t>P</w:t>
      </w:r>
      <w:r w:rsidRPr="00D24F83">
        <w:rPr>
          <w:rFonts w:ascii="Book Antiqua" w:hAnsi="Book Antiqua"/>
        </w:rPr>
        <w:t xml:space="preserve"> (Wilcoxon):</w:t>
      </w:r>
      <w:r w:rsidRPr="00D24F83">
        <w:rPr>
          <w:rFonts w:ascii="Book Antiqua" w:hAnsi="Book Antiqua"/>
          <w:vertAlign w:val="superscript"/>
        </w:rPr>
        <w:t xml:space="preserve"> </w:t>
      </w:r>
      <w:r w:rsidRPr="00D24F83">
        <w:rPr>
          <w:rFonts w:ascii="Book Antiqua" w:hAnsi="Book Antiqua"/>
          <w:i/>
          <w:spacing w:val="-2"/>
        </w:rPr>
        <w:t>P</w:t>
      </w:r>
      <w:r w:rsidRPr="00D24F83">
        <w:rPr>
          <w:rFonts w:ascii="Book Antiqua" w:hAnsi="Book Antiqua"/>
        </w:rPr>
        <w:t xml:space="preserve"> = 0.29.</w:t>
      </w:r>
      <w:r w:rsidR="00085F2D">
        <w:rPr>
          <w:rFonts w:ascii="Book Antiqua" w:hAnsi="Book Antiqua"/>
        </w:rPr>
        <w:t xml:space="preserve"> </w:t>
      </w:r>
      <w:proofErr w:type="spellStart"/>
      <w:r w:rsidR="00754223" w:rsidRPr="00D24F83">
        <w:rPr>
          <w:rFonts w:ascii="Book Antiqua" w:hAnsi="Book Antiqua"/>
        </w:rPr>
        <w:t>CeD</w:t>
      </w:r>
      <w:proofErr w:type="spellEnd"/>
      <w:r w:rsidR="00754223" w:rsidRPr="00D24F83">
        <w:rPr>
          <w:rFonts w:ascii="Book Antiqua" w:hAnsi="Book Antiqua"/>
        </w:rPr>
        <w:t>: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Cel</w:t>
      </w:r>
      <w:r w:rsidR="00754223" w:rsidRPr="00D24F83">
        <w:rPr>
          <w:rFonts w:ascii="Book Antiqua" w:hAnsi="Book Antiqua"/>
        </w:rPr>
        <w:t>iac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disease;</w:t>
      </w:r>
      <w:r w:rsidR="0012498E" w:rsidRPr="00D24F83">
        <w:rPr>
          <w:rFonts w:ascii="Book Antiqua" w:hAnsi="Book Antiqua"/>
        </w:rPr>
        <w:t xml:space="preserve"> </w:t>
      </w:r>
      <w:r w:rsidR="002C7671">
        <w:rPr>
          <w:rFonts w:ascii="Book Antiqua" w:hAnsi="Book Antiqua"/>
        </w:rPr>
        <w:t xml:space="preserve">CI: Confidence interval; </w:t>
      </w:r>
      <w:r w:rsidR="00085F2D" w:rsidRPr="00D24F83">
        <w:rPr>
          <w:rFonts w:ascii="Book Antiqua" w:hAnsi="Book Antiqua"/>
        </w:rPr>
        <w:t xml:space="preserve">CSI: Celiac symptom index; </w:t>
      </w:r>
      <w:r w:rsidR="00754223" w:rsidRPr="00D24F83">
        <w:rPr>
          <w:rFonts w:ascii="Book Antiqua" w:hAnsi="Book Antiqua"/>
        </w:rPr>
        <w:t>DGP:</w:t>
      </w:r>
      <w:r w:rsidR="0012498E" w:rsidRPr="00D24F83">
        <w:rPr>
          <w:rFonts w:ascii="Book Antiqua" w:hAnsi="Book Antiqua"/>
        </w:rPr>
        <w:t xml:space="preserve"> </w:t>
      </w:r>
      <w:r w:rsidRPr="00D24F83">
        <w:rPr>
          <w:rFonts w:ascii="Book Antiqua" w:hAnsi="Book Antiqua"/>
        </w:rPr>
        <w:t>De</w:t>
      </w:r>
      <w:r w:rsidR="00754223" w:rsidRPr="00D24F83">
        <w:rPr>
          <w:rFonts w:ascii="Book Antiqua" w:hAnsi="Book Antiqua"/>
        </w:rPr>
        <w:t>amidated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gliadin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peptide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antibodies;</w:t>
      </w:r>
      <w:r w:rsidR="0012498E" w:rsidRPr="00D24F83">
        <w:rPr>
          <w:rFonts w:ascii="Book Antiqua" w:hAnsi="Book Antiqua"/>
        </w:rPr>
        <w:t xml:space="preserve"> </w:t>
      </w:r>
      <w:r w:rsidR="00085F2D" w:rsidRPr="00D24F83">
        <w:rPr>
          <w:rFonts w:ascii="Book Antiqua" w:hAnsi="Book Antiqua"/>
        </w:rPr>
        <w:t>GIP: Gliadin immunogenic peptides</w:t>
      </w:r>
      <w:r w:rsidR="00085F2D">
        <w:rPr>
          <w:rFonts w:ascii="Book Antiqua" w:hAnsi="Book Antiqua"/>
        </w:rPr>
        <w:t>;</w:t>
      </w:r>
      <w:r w:rsidR="00085F2D" w:rsidRPr="00D24F83">
        <w:rPr>
          <w:rFonts w:ascii="Book Antiqua" w:hAnsi="Book Antiqua"/>
        </w:rPr>
        <w:t xml:space="preserve"> IQR: Interquartile range; </w:t>
      </w:r>
      <w:proofErr w:type="spellStart"/>
      <w:r w:rsidR="00754223" w:rsidRPr="00D24F83">
        <w:rPr>
          <w:rFonts w:ascii="Book Antiqua" w:hAnsi="Book Antiqua"/>
        </w:rPr>
        <w:t>tTG</w:t>
      </w:r>
      <w:proofErr w:type="spellEnd"/>
      <w:r w:rsidR="00754223" w:rsidRPr="00D24F83">
        <w:rPr>
          <w:rFonts w:ascii="Book Antiqua" w:hAnsi="Book Antiqua"/>
        </w:rPr>
        <w:t>:</w:t>
      </w:r>
      <w:r w:rsidR="0012498E" w:rsidRPr="00D24F83">
        <w:rPr>
          <w:rFonts w:ascii="Book Antiqua" w:hAnsi="Book Antiqua"/>
        </w:rPr>
        <w:t xml:space="preserve"> </w:t>
      </w:r>
      <w:r w:rsidR="00021B7C" w:rsidRPr="00D24F83">
        <w:rPr>
          <w:rFonts w:ascii="Book Antiqua" w:hAnsi="Book Antiqua"/>
        </w:rPr>
        <w:t>Tissue</w:t>
      </w:r>
      <w:r w:rsidR="0012498E" w:rsidRPr="00D24F83">
        <w:rPr>
          <w:rFonts w:ascii="Book Antiqua" w:hAnsi="Book Antiqua"/>
        </w:rPr>
        <w:t xml:space="preserve"> </w:t>
      </w:r>
      <w:proofErr w:type="spellStart"/>
      <w:r w:rsidR="00754223" w:rsidRPr="00D24F83">
        <w:rPr>
          <w:rFonts w:ascii="Book Antiqua" w:hAnsi="Book Antiqua"/>
        </w:rPr>
        <w:t>transgluteminase</w:t>
      </w:r>
      <w:proofErr w:type="spellEnd"/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antibodies</w:t>
      </w:r>
      <w:r w:rsidRPr="00D24F83">
        <w:rPr>
          <w:rFonts w:ascii="Book Antiqua" w:hAnsi="Book Antiqua"/>
        </w:rPr>
        <w:t>.</w:t>
      </w:r>
    </w:p>
    <w:p w14:paraId="3E68F343" w14:textId="77777777" w:rsidR="00204E43" w:rsidRPr="00D24F83" w:rsidRDefault="00204E43" w:rsidP="00C13F38">
      <w:pPr>
        <w:spacing w:line="360" w:lineRule="auto"/>
        <w:jc w:val="both"/>
        <w:rPr>
          <w:rFonts w:ascii="Book Antiqua" w:hAnsi="Book Antiqua"/>
          <w:b/>
        </w:rPr>
      </w:pPr>
    </w:p>
    <w:p w14:paraId="5B491A9E" w14:textId="77777777" w:rsidR="00754223" w:rsidRPr="00D24F83" w:rsidRDefault="001E53E5" w:rsidP="00C13F38">
      <w:pPr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  <w:b/>
        </w:rPr>
        <w:t xml:space="preserve">Table </w:t>
      </w:r>
      <w:r w:rsidR="00754223" w:rsidRPr="00D24F83">
        <w:rPr>
          <w:rFonts w:ascii="Book Antiqua" w:hAnsi="Book Antiqua"/>
          <w:b/>
        </w:rPr>
        <w:t>2</w:t>
      </w:r>
      <w:r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  <w:b/>
          <w:bCs/>
        </w:rPr>
        <w:t>Per-protocol</w:t>
      </w:r>
      <w:r w:rsidR="0012498E" w:rsidRPr="00D24F83">
        <w:rPr>
          <w:rFonts w:ascii="Book Antiqua" w:hAnsi="Book Antiqua"/>
          <w:b/>
          <w:bCs/>
          <w:spacing w:val="-2"/>
        </w:rPr>
        <w:t xml:space="preserve"> </w:t>
      </w:r>
      <w:r w:rsidR="00754223" w:rsidRPr="00D24F83">
        <w:rPr>
          <w:rFonts w:ascii="Book Antiqua" w:hAnsi="Book Antiqua"/>
          <w:b/>
          <w:bCs/>
          <w:spacing w:val="-2"/>
        </w:rPr>
        <w:t>data</w:t>
      </w:r>
      <w:r w:rsidR="0012498E" w:rsidRPr="00D24F83">
        <w:rPr>
          <w:rFonts w:ascii="Book Antiqua" w:hAnsi="Book Antiqua"/>
          <w:b/>
          <w:bCs/>
          <w:spacing w:val="-2"/>
        </w:rPr>
        <w:t xml:space="preserve"> </w:t>
      </w:r>
      <w:r w:rsidR="00754223" w:rsidRPr="00D24F83">
        <w:rPr>
          <w:rFonts w:ascii="Book Antiqua" w:hAnsi="Book Antiqua"/>
          <w:b/>
          <w:bCs/>
          <w:spacing w:val="-2"/>
        </w:rPr>
        <w:t>and</w:t>
      </w:r>
      <w:r w:rsidR="0012498E" w:rsidRPr="00D24F83">
        <w:rPr>
          <w:rFonts w:ascii="Book Antiqua" w:hAnsi="Book Antiqua"/>
          <w:b/>
          <w:bCs/>
          <w:spacing w:val="-2"/>
        </w:rPr>
        <w:t xml:space="preserve"> </w:t>
      </w:r>
      <w:r w:rsidR="00754223" w:rsidRPr="00D24F83">
        <w:rPr>
          <w:rFonts w:ascii="Book Antiqua" w:hAnsi="Book Antiqua"/>
          <w:b/>
          <w:bCs/>
          <w:spacing w:val="-2"/>
        </w:rPr>
        <w:t>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2061"/>
        <w:gridCol w:w="1850"/>
        <w:gridCol w:w="1850"/>
      </w:tblGrid>
      <w:tr w:rsidR="0039156C" w:rsidRPr="0039156C" w14:paraId="22CDD424" w14:textId="77777777" w:rsidTr="001E791E">
        <w:trPr>
          <w:trHeight w:val="864"/>
        </w:trPr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11F7" w14:textId="77777777" w:rsidR="0039156C" w:rsidRPr="0039156C" w:rsidRDefault="001E791E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lang w:eastAsia="zh-CN"/>
              </w:rPr>
            </w:pPr>
            <w:r w:rsidRPr="00D24F83">
              <w:rPr>
                <w:rFonts w:ascii="Book Antiqua" w:eastAsia="SimSun" w:hAnsi="Book Antiqua" w:cs="SimSun"/>
                <w:b/>
                <w:bCs/>
                <w:lang w:eastAsia="zh-CN"/>
              </w:rPr>
              <w:lastRenderedPageBreak/>
              <w:t>Item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10027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Overall population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C6B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Placebo treatment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624C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AN-PEP treatment</w:t>
            </w:r>
          </w:p>
        </w:tc>
      </w:tr>
      <w:tr w:rsidR="0039156C" w:rsidRPr="0039156C" w14:paraId="6AB39480" w14:textId="77777777" w:rsidTr="001E791E">
        <w:trPr>
          <w:trHeight w:val="576"/>
        </w:trPr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277E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N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umber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of patients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F261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37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326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77FB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</w:t>
            </w:r>
          </w:p>
        </w:tc>
      </w:tr>
      <w:tr w:rsidR="0039156C" w:rsidRPr="0039156C" w14:paraId="2DC40251" w14:textId="77777777" w:rsidTr="001E791E">
        <w:trPr>
          <w:trHeight w:val="503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D4D0" w14:textId="77777777" w:rsidR="0039156C" w:rsidRPr="0039156C" w:rsidRDefault="0029715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A</w:t>
            </w:r>
            <w:r w:rsidR="0039156C"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ge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in yr, median</w:t>
            </w:r>
            <w:r w:rsidR="0039156C"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(range)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D42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40 (29-46)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C20A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41 (31-48)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E19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39 (28-45)</w:t>
            </w:r>
          </w:p>
        </w:tc>
      </w:tr>
      <w:tr w:rsidR="0039156C" w:rsidRPr="0039156C" w14:paraId="65761C19" w14:textId="77777777" w:rsidTr="001E791E">
        <w:trPr>
          <w:trHeight w:val="612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AF52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Females, </w:t>
            </w:r>
            <w:r w:rsidRPr="0039156C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CB15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31 (83.8)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CCDA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 (85.0)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BA6F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14 (82.3)</w:t>
            </w:r>
          </w:p>
        </w:tc>
      </w:tr>
      <w:tr w:rsidR="001E791E" w:rsidRPr="00D24F83" w14:paraId="2A7C7D63" w14:textId="77777777" w:rsidTr="001E791E">
        <w:trPr>
          <w:trHeight w:val="39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DAF2" w14:textId="77777777" w:rsidR="001E791E" w:rsidRPr="0039156C" w:rsidRDefault="001E791E" w:rsidP="00C13F38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  <w:proofErr w:type="spellStart"/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CeD</w:t>
            </w:r>
            <w:proofErr w:type="spellEnd"/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serology </w:t>
            </w:r>
            <w:r w:rsidR="00DD265B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in </w:t>
            </w:r>
            <w:r w:rsidR="00DD265B"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AU/mL</w:t>
            </w:r>
            <w:r w:rsidR="00DD265B">
              <w:rPr>
                <w:rFonts w:ascii="Book Antiqua" w:eastAsia="SimSun" w:hAnsi="Book Antiqua" w:cs="SimSun"/>
                <w:color w:val="000000"/>
                <w:lang w:eastAsia="zh-CN"/>
              </w:rPr>
              <w:t>,</w:t>
            </w:r>
            <w:r w:rsidR="00DD265B"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median (IQR)</w:t>
            </w:r>
          </w:p>
        </w:tc>
      </w:tr>
      <w:tr w:rsidR="0039156C" w:rsidRPr="0039156C" w14:paraId="6E76B0B3" w14:textId="77777777" w:rsidTr="001E791E">
        <w:trPr>
          <w:trHeight w:val="86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020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IgA DGP at baseline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8FD3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 (1-5)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5DDA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2 (1-5)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69FC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 (1-5)</w:t>
            </w:r>
          </w:p>
        </w:tc>
      </w:tr>
      <w:tr w:rsidR="0039156C" w:rsidRPr="0039156C" w14:paraId="62AB9124" w14:textId="77777777" w:rsidTr="001E791E">
        <w:trPr>
          <w:trHeight w:val="35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C02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At</w:t>
            </w:r>
            <w:r w:rsidR="003D756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end of study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A59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 (2-6)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2F6D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 (2-5)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1F39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 (2-6)</w:t>
            </w:r>
          </w:p>
        </w:tc>
      </w:tr>
      <w:tr w:rsidR="0039156C" w:rsidRPr="0039156C" w14:paraId="7F98703D" w14:textId="77777777" w:rsidTr="001E791E">
        <w:trPr>
          <w:trHeight w:val="49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FE33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IgA tTG at baseline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C87C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 (7-43)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34DC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13 (6-36)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A07B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 (11-48)</w:t>
            </w:r>
          </w:p>
        </w:tc>
      </w:tr>
      <w:tr w:rsidR="0039156C" w:rsidRPr="0039156C" w14:paraId="1FBC73A1" w14:textId="77777777" w:rsidTr="001E791E">
        <w:trPr>
          <w:trHeight w:val="576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C109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End of study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26E7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12 (6-48)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1AFA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11 (5-20)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9F0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 (7-62)</w:t>
            </w:r>
          </w:p>
        </w:tc>
      </w:tr>
      <w:tr w:rsidR="0039156C" w:rsidRPr="0039156C" w14:paraId="67954D81" w14:textId="77777777" w:rsidTr="001E791E">
        <w:trPr>
          <w:trHeight w:val="125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BCE9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SCI global score at randomization median score (IQR)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ECD1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36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(31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-44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F44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35.0 (30.0-45.5)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2647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40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(33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-44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</w:tr>
      <w:tr w:rsidR="0039156C" w:rsidRPr="0039156C" w14:paraId="02367AA5" w14:textId="77777777" w:rsidTr="001E791E">
        <w:trPr>
          <w:trHeight w:val="90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344A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End of the study median score (IQR)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E056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33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(28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-39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1AD5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32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(28.5-37.5)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442E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35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(28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-41</w:t>
            </w:r>
            <w:r w:rsidR="001E791E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.0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</w:tr>
      <w:tr w:rsidR="0039156C" w:rsidRPr="0039156C" w14:paraId="584EDADF" w14:textId="77777777" w:rsidTr="001E791E">
        <w:trPr>
          <w:trHeight w:val="989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CEEC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SCI scores &gt; 38 at randomization, </w:t>
            </w:r>
            <w:r w:rsidRPr="0039156C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42C7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17 (45.9)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8D41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7 (35.0)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E2F5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10 (58.8)</w:t>
            </w:r>
          </w:p>
        </w:tc>
      </w:tr>
      <w:tr w:rsidR="0039156C" w:rsidRPr="0039156C" w14:paraId="22844601" w14:textId="77777777" w:rsidTr="001E791E">
        <w:trPr>
          <w:trHeight w:val="422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7F3E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End of study, </w:t>
            </w:r>
            <w:r w:rsidRPr="0039156C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4C63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10 (27.0)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23CB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5 (25.0)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5F490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5 (29.4)</w:t>
            </w:r>
            <w:r w:rsidRPr="0039156C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1E791E" w:rsidRPr="00D24F83" w14:paraId="555FB4B4" w14:textId="77777777" w:rsidTr="001E791E">
        <w:trPr>
          <w:trHeight w:val="5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5A6C" w14:textId="77777777" w:rsidR="001E791E" w:rsidRPr="0039156C" w:rsidRDefault="001E791E" w:rsidP="00C13F38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Stool GIP median and CI (IQR) of the average concentration for period, µg/g</w:t>
            </w:r>
          </w:p>
        </w:tc>
      </w:tr>
      <w:tr w:rsidR="0039156C" w:rsidRPr="0039156C" w14:paraId="2453E28D" w14:textId="77777777" w:rsidTr="001E791E">
        <w:trPr>
          <w:trHeight w:val="576"/>
        </w:trPr>
        <w:tc>
          <w:tcPr>
            <w:tcW w:w="161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A44491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Run-in period</w:t>
            </w:r>
          </w:p>
        </w:tc>
        <w:tc>
          <w:tcPr>
            <w:tcW w:w="121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E74D15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0.4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0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(0-0.86)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8519BC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0.37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(0-0.73)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392BD8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0.55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(0-0.93)</w:t>
            </w:r>
          </w:p>
        </w:tc>
      </w:tr>
      <w:tr w:rsidR="0039156C" w:rsidRPr="0039156C" w14:paraId="63B5811B" w14:textId="77777777" w:rsidTr="001E791E">
        <w:trPr>
          <w:trHeight w:val="420"/>
        </w:trPr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6EFF9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Treatment period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0F881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0.3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(0.1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-0.8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  <w:r w:rsidRPr="0039156C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A268F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0.25 (0.11-0.79)</w:t>
            </w:r>
            <w:r w:rsidRPr="0039156C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6108B" w14:textId="77777777" w:rsidR="0039156C" w:rsidRPr="0039156C" w:rsidRDefault="0039156C" w:rsidP="00C13F38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0.32</w:t>
            </w:r>
            <w:r w:rsidR="00B505D8" w:rsidRPr="00D24F83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39156C">
              <w:rPr>
                <w:rFonts w:ascii="Book Antiqua" w:eastAsia="SimSun" w:hAnsi="Book Antiqua" w:cs="SimSun"/>
                <w:color w:val="000000"/>
                <w:lang w:eastAsia="zh-CN"/>
              </w:rPr>
              <w:t>(0-0.89)</w:t>
            </w:r>
            <w:r w:rsidRPr="0039156C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d</w:t>
            </w:r>
          </w:p>
        </w:tc>
      </w:tr>
    </w:tbl>
    <w:p w14:paraId="4526D621" w14:textId="77777777" w:rsidR="00754223" w:rsidRPr="00D24F83" w:rsidRDefault="0039156C" w:rsidP="00C13F38">
      <w:pPr>
        <w:pStyle w:val="BodyText"/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  <w:bCs/>
          <w:vertAlign w:val="superscript"/>
        </w:rPr>
        <w:t>a</w:t>
      </w:r>
      <w:r w:rsidRPr="00D24F83">
        <w:rPr>
          <w:rFonts w:ascii="Book Antiqua" w:hAnsi="Book Antiqua"/>
          <w:bCs/>
        </w:rPr>
        <w:t>Comparison</w:t>
      </w:r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>with</w:t>
      </w:r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>run-in</w:t>
      </w:r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>(McNemar</w:t>
      </w:r>
      <w:r w:rsidR="00021B7C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 xml:space="preserve">test): </w:t>
      </w:r>
      <w:r w:rsidR="00A346DC" w:rsidRPr="00D24F83">
        <w:rPr>
          <w:rFonts w:ascii="Book Antiqua" w:hAnsi="Book Antiqua"/>
          <w:bCs/>
          <w:i/>
          <w:spacing w:val="-2"/>
        </w:rPr>
        <w:t>P</w:t>
      </w:r>
      <w:r w:rsidRPr="00D24F83">
        <w:rPr>
          <w:rFonts w:ascii="Book Antiqua" w:hAnsi="Book Antiqua"/>
          <w:bCs/>
          <w:i/>
          <w:spacing w:val="-2"/>
        </w:rPr>
        <w:t xml:space="preserve"> </w:t>
      </w:r>
      <w:r w:rsidRPr="00D24F83">
        <w:rPr>
          <w:rFonts w:ascii="Book Antiqua" w:hAnsi="Book Antiqua"/>
          <w:bCs/>
          <w:spacing w:val="-2"/>
        </w:rPr>
        <w:t>&lt; 0.03</w:t>
      </w:r>
      <w:r w:rsidR="00085F2D">
        <w:rPr>
          <w:rFonts w:ascii="Book Antiqua" w:hAnsi="Book Antiqua"/>
          <w:bCs/>
          <w:spacing w:val="-2"/>
        </w:rPr>
        <w:t xml:space="preserve">; </w:t>
      </w:r>
      <w:proofErr w:type="spellStart"/>
      <w:r w:rsidR="006A064E" w:rsidRPr="00D24F83">
        <w:rPr>
          <w:rFonts w:ascii="Book Antiqua" w:hAnsi="Book Antiqua"/>
          <w:bCs/>
          <w:vertAlign w:val="superscript"/>
        </w:rPr>
        <w:t>b</w:t>
      </w:r>
      <w:r w:rsidRPr="00D24F83">
        <w:rPr>
          <w:rFonts w:ascii="Book Antiqua" w:hAnsi="Book Antiqua"/>
          <w:bCs/>
        </w:rPr>
        <w:t>Comparison</w:t>
      </w:r>
      <w:proofErr w:type="spellEnd"/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>with</w:t>
      </w:r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>run-in</w:t>
      </w:r>
      <w:r w:rsidR="00B4208F" w:rsidRPr="00D24F83">
        <w:rPr>
          <w:rFonts w:ascii="Book Antiqua" w:hAnsi="Book Antiqua"/>
          <w:bCs/>
        </w:rPr>
        <w:t xml:space="preserve"> </w:t>
      </w:r>
      <w:r w:rsidRPr="00D24F83">
        <w:rPr>
          <w:rFonts w:ascii="Book Antiqua" w:hAnsi="Book Antiqua"/>
          <w:bCs/>
        </w:rPr>
        <w:t xml:space="preserve">values </w:t>
      </w:r>
      <w:r w:rsidR="00B4208F" w:rsidRPr="00D24F83">
        <w:rPr>
          <w:rFonts w:ascii="Book Antiqua" w:hAnsi="Book Antiqua"/>
          <w:bCs/>
          <w:i/>
          <w:spacing w:val="-2"/>
        </w:rPr>
        <w:t>P</w:t>
      </w:r>
      <w:r w:rsidRPr="00D24F83">
        <w:rPr>
          <w:rFonts w:ascii="Book Antiqua" w:hAnsi="Book Antiqua"/>
          <w:bCs/>
        </w:rPr>
        <w:t xml:space="preserve"> (Wilcoxon): </w:t>
      </w:r>
      <w:r w:rsidR="00A346DC" w:rsidRPr="00D24F83">
        <w:rPr>
          <w:rFonts w:ascii="Book Antiqua" w:hAnsi="Book Antiqua"/>
          <w:bCs/>
          <w:i/>
          <w:spacing w:val="-2"/>
        </w:rPr>
        <w:t>P</w:t>
      </w:r>
      <w:r w:rsidR="00A346DC" w:rsidRPr="00D24F83">
        <w:rPr>
          <w:rFonts w:ascii="Book Antiqua" w:hAnsi="Book Antiqua"/>
          <w:bCs/>
          <w:i/>
        </w:rPr>
        <w:t xml:space="preserve"> </w:t>
      </w:r>
      <w:r w:rsidRPr="00D24F83">
        <w:rPr>
          <w:rFonts w:ascii="Book Antiqua" w:hAnsi="Book Antiqua"/>
          <w:bCs/>
          <w:iCs/>
        </w:rPr>
        <w:t>=</w:t>
      </w:r>
      <w:r w:rsidR="00A346DC" w:rsidRPr="00D24F83">
        <w:rPr>
          <w:rFonts w:ascii="Book Antiqua" w:hAnsi="Book Antiqua"/>
          <w:bCs/>
          <w:i/>
        </w:rPr>
        <w:t xml:space="preserve"> </w:t>
      </w:r>
      <w:r w:rsidRPr="00D24F83">
        <w:rPr>
          <w:rFonts w:ascii="Book Antiqua" w:hAnsi="Book Antiqua"/>
          <w:bCs/>
        </w:rPr>
        <w:t>0.43</w:t>
      </w:r>
      <w:r w:rsidR="00085F2D">
        <w:rPr>
          <w:rFonts w:ascii="Book Antiqua" w:hAnsi="Book Antiqua"/>
          <w:bCs/>
          <w:spacing w:val="-2"/>
        </w:rPr>
        <w:t xml:space="preserve">; </w:t>
      </w:r>
      <w:proofErr w:type="spellStart"/>
      <w:r w:rsidR="006A064E" w:rsidRPr="00D24F83">
        <w:rPr>
          <w:rFonts w:ascii="Book Antiqua" w:hAnsi="Book Antiqua"/>
          <w:bCs/>
          <w:vertAlign w:val="superscript"/>
        </w:rPr>
        <w:t>c</w:t>
      </w:r>
      <w:r w:rsidR="006A064E" w:rsidRPr="00D24F83">
        <w:rPr>
          <w:rFonts w:ascii="Book Antiqua" w:hAnsi="Book Antiqua"/>
          <w:bCs/>
        </w:rPr>
        <w:t>Comparison</w:t>
      </w:r>
      <w:proofErr w:type="spellEnd"/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>with</w:t>
      </w:r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>run-in</w:t>
      </w:r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>values</w:t>
      </w:r>
      <w:r w:rsidR="00B4208F" w:rsidRPr="00D24F83">
        <w:rPr>
          <w:rFonts w:ascii="Book Antiqua" w:hAnsi="Book Antiqua"/>
          <w:bCs/>
          <w:i/>
          <w:spacing w:val="-2"/>
        </w:rPr>
        <w:t xml:space="preserve"> P</w:t>
      </w:r>
      <w:r w:rsidR="006A064E" w:rsidRPr="00D24F83">
        <w:rPr>
          <w:rFonts w:ascii="Book Antiqua" w:hAnsi="Book Antiqua"/>
          <w:bCs/>
        </w:rPr>
        <w:t xml:space="preserve"> (Wilcoxon): </w:t>
      </w:r>
      <w:r w:rsidR="00A346DC" w:rsidRPr="00D24F83">
        <w:rPr>
          <w:rFonts w:ascii="Book Antiqua" w:hAnsi="Book Antiqua"/>
          <w:bCs/>
          <w:i/>
          <w:spacing w:val="-2"/>
        </w:rPr>
        <w:t>P</w:t>
      </w:r>
      <w:r w:rsidR="00A346DC" w:rsidRPr="00D24F83">
        <w:rPr>
          <w:rFonts w:ascii="Book Antiqua" w:hAnsi="Book Antiqua"/>
          <w:bCs/>
          <w:i/>
        </w:rPr>
        <w:t xml:space="preserve"> </w:t>
      </w:r>
      <w:r w:rsidR="00A346DC" w:rsidRPr="00D24F83">
        <w:rPr>
          <w:rFonts w:ascii="Book Antiqua" w:hAnsi="Book Antiqua"/>
          <w:bCs/>
        </w:rPr>
        <w:t xml:space="preserve">= </w:t>
      </w:r>
      <w:r w:rsidR="006A064E" w:rsidRPr="00D24F83">
        <w:rPr>
          <w:rFonts w:ascii="Book Antiqua" w:hAnsi="Book Antiqua"/>
          <w:bCs/>
        </w:rPr>
        <w:t>0.79</w:t>
      </w:r>
      <w:r w:rsidR="00085F2D">
        <w:rPr>
          <w:rFonts w:ascii="Book Antiqua" w:hAnsi="Book Antiqua"/>
          <w:bCs/>
          <w:spacing w:val="-2"/>
        </w:rPr>
        <w:t xml:space="preserve">; </w:t>
      </w:r>
      <w:proofErr w:type="spellStart"/>
      <w:r w:rsidR="006A064E" w:rsidRPr="00D24F83">
        <w:rPr>
          <w:rFonts w:ascii="Book Antiqua" w:hAnsi="Book Antiqua"/>
          <w:bCs/>
          <w:vertAlign w:val="superscript"/>
        </w:rPr>
        <w:t>d</w:t>
      </w:r>
      <w:r w:rsidR="006A064E" w:rsidRPr="00D24F83">
        <w:rPr>
          <w:rFonts w:ascii="Book Antiqua" w:hAnsi="Book Antiqua"/>
          <w:bCs/>
        </w:rPr>
        <w:t>Comparison</w:t>
      </w:r>
      <w:proofErr w:type="spellEnd"/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>with</w:t>
      </w:r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>run-in</w:t>
      </w:r>
      <w:r w:rsidR="00B4208F" w:rsidRPr="00D24F83">
        <w:rPr>
          <w:rFonts w:ascii="Book Antiqua" w:hAnsi="Book Antiqua"/>
          <w:bCs/>
        </w:rPr>
        <w:t xml:space="preserve"> </w:t>
      </w:r>
      <w:r w:rsidR="006A064E" w:rsidRPr="00D24F83">
        <w:rPr>
          <w:rFonts w:ascii="Book Antiqua" w:hAnsi="Book Antiqua"/>
          <w:bCs/>
        </w:rPr>
        <w:t xml:space="preserve">values </w:t>
      </w:r>
      <w:r w:rsidR="00B4208F" w:rsidRPr="00D24F83">
        <w:rPr>
          <w:rFonts w:ascii="Book Antiqua" w:hAnsi="Book Antiqua"/>
          <w:bCs/>
          <w:i/>
          <w:spacing w:val="-2"/>
        </w:rPr>
        <w:t>P</w:t>
      </w:r>
      <w:r w:rsidR="006A064E" w:rsidRPr="00D24F83">
        <w:rPr>
          <w:rFonts w:ascii="Book Antiqua" w:hAnsi="Book Antiqua"/>
          <w:bCs/>
        </w:rPr>
        <w:t xml:space="preserve"> (Wilcoxon):</w:t>
      </w:r>
      <w:r w:rsidR="00A346DC" w:rsidRPr="00D24F83">
        <w:rPr>
          <w:rFonts w:ascii="Book Antiqua" w:hAnsi="Book Antiqua"/>
          <w:bCs/>
          <w:i/>
          <w:spacing w:val="-2"/>
        </w:rPr>
        <w:t xml:space="preserve"> P</w:t>
      </w:r>
      <w:r w:rsidR="00A346DC" w:rsidRPr="00D24F83">
        <w:rPr>
          <w:rFonts w:ascii="Book Antiqua" w:hAnsi="Book Antiqua"/>
          <w:bCs/>
          <w:i/>
        </w:rPr>
        <w:t xml:space="preserve"> </w:t>
      </w:r>
      <w:r w:rsidR="00A346DC" w:rsidRPr="00D24F83">
        <w:rPr>
          <w:rFonts w:ascii="Book Antiqua" w:hAnsi="Book Antiqua"/>
          <w:bCs/>
        </w:rPr>
        <w:t xml:space="preserve">= </w:t>
      </w:r>
      <w:r w:rsidR="006A064E" w:rsidRPr="00D24F83">
        <w:rPr>
          <w:rFonts w:ascii="Book Antiqua" w:hAnsi="Book Antiqua"/>
          <w:bCs/>
          <w:spacing w:val="-2"/>
        </w:rPr>
        <w:t>0.33.</w:t>
      </w:r>
      <w:r w:rsidR="00085F2D">
        <w:rPr>
          <w:rFonts w:ascii="Book Antiqua" w:hAnsi="Book Antiqua"/>
        </w:rPr>
        <w:t xml:space="preserve"> </w:t>
      </w:r>
      <w:proofErr w:type="spellStart"/>
      <w:r w:rsidR="00754223" w:rsidRPr="00D24F83">
        <w:rPr>
          <w:rFonts w:ascii="Book Antiqua" w:hAnsi="Book Antiqua"/>
        </w:rPr>
        <w:t>CeD</w:t>
      </w:r>
      <w:proofErr w:type="spellEnd"/>
      <w:r w:rsidR="00754223" w:rsidRPr="00D24F83">
        <w:rPr>
          <w:rFonts w:ascii="Book Antiqua" w:hAnsi="Book Antiqua"/>
        </w:rPr>
        <w:t>:</w:t>
      </w:r>
      <w:r w:rsidR="0012498E" w:rsidRPr="00D24F83">
        <w:rPr>
          <w:rFonts w:ascii="Book Antiqua" w:hAnsi="Book Antiqua"/>
        </w:rPr>
        <w:t xml:space="preserve"> </w:t>
      </w:r>
      <w:r w:rsidR="00C8340F" w:rsidRPr="00D24F83">
        <w:rPr>
          <w:rFonts w:ascii="Book Antiqua" w:hAnsi="Book Antiqua"/>
        </w:rPr>
        <w:t>Cel</w:t>
      </w:r>
      <w:r w:rsidR="00754223" w:rsidRPr="00D24F83">
        <w:rPr>
          <w:rFonts w:ascii="Book Antiqua" w:hAnsi="Book Antiqua"/>
        </w:rPr>
        <w:t>iac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disease;</w:t>
      </w:r>
      <w:r w:rsidR="0012498E" w:rsidRPr="00D24F83">
        <w:rPr>
          <w:rFonts w:ascii="Book Antiqua" w:hAnsi="Book Antiqua"/>
        </w:rPr>
        <w:t xml:space="preserve"> </w:t>
      </w:r>
      <w:r w:rsidR="00085F2D" w:rsidRPr="00D24F83">
        <w:rPr>
          <w:rFonts w:ascii="Book Antiqua" w:hAnsi="Book Antiqua"/>
        </w:rPr>
        <w:t xml:space="preserve">CSI: Celiac symptom index; </w:t>
      </w:r>
      <w:r w:rsidR="00754223" w:rsidRPr="00D24F83">
        <w:rPr>
          <w:rFonts w:ascii="Book Antiqua" w:hAnsi="Book Antiqua"/>
        </w:rPr>
        <w:t>DGP:</w:t>
      </w:r>
      <w:r w:rsidR="0012498E" w:rsidRPr="00D24F83">
        <w:rPr>
          <w:rFonts w:ascii="Book Antiqua" w:hAnsi="Book Antiqua"/>
        </w:rPr>
        <w:t xml:space="preserve"> </w:t>
      </w:r>
      <w:r w:rsidR="00C8340F" w:rsidRPr="00D24F83">
        <w:rPr>
          <w:rFonts w:ascii="Book Antiqua" w:hAnsi="Book Antiqua"/>
        </w:rPr>
        <w:t>De</w:t>
      </w:r>
      <w:r w:rsidR="00754223" w:rsidRPr="00D24F83">
        <w:rPr>
          <w:rFonts w:ascii="Book Antiqua" w:hAnsi="Book Antiqua"/>
        </w:rPr>
        <w:t>amidated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gliadin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peptide</w:t>
      </w:r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antibodies;</w:t>
      </w:r>
      <w:r w:rsidR="0012498E" w:rsidRPr="00D24F83">
        <w:rPr>
          <w:rFonts w:ascii="Book Antiqua" w:hAnsi="Book Antiqua"/>
        </w:rPr>
        <w:t xml:space="preserve"> </w:t>
      </w:r>
      <w:r w:rsidR="00085F2D" w:rsidRPr="00D24F83">
        <w:rPr>
          <w:rFonts w:ascii="Book Antiqua" w:hAnsi="Book Antiqua"/>
        </w:rPr>
        <w:t>GIP: Gliadin immunogenic peptides</w:t>
      </w:r>
      <w:r w:rsidR="00085F2D">
        <w:rPr>
          <w:rFonts w:ascii="Book Antiqua" w:hAnsi="Book Antiqua"/>
        </w:rPr>
        <w:t>;</w:t>
      </w:r>
      <w:r w:rsidR="00085F2D" w:rsidRPr="00D24F83">
        <w:rPr>
          <w:rFonts w:ascii="Book Antiqua" w:hAnsi="Book Antiqua"/>
        </w:rPr>
        <w:t xml:space="preserve"> IQR: Interquartile range; </w:t>
      </w:r>
      <w:proofErr w:type="spellStart"/>
      <w:r w:rsidR="00754223" w:rsidRPr="00D24F83">
        <w:rPr>
          <w:rFonts w:ascii="Book Antiqua" w:hAnsi="Book Antiqua"/>
        </w:rPr>
        <w:t>tTG</w:t>
      </w:r>
      <w:proofErr w:type="spellEnd"/>
      <w:r w:rsidR="00754223" w:rsidRPr="00D24F83">
        <w:rPr>
          <w:rFonts w:ascii="Book Antiqua" w:hAnsi="Book Antiqua"/>
        </w:rPr>
        <w:t>:</w:t>
      </w:r>
      <w:r w:rsidR="0012498E" w:rsidRPr="00D24F83">
        <w:rPr>
          <w:rFonts w:ascii="Book Antiqua" w:hAnsi="Book Antiqua"/>
        </w:rPr>
        <w:t xml:space="preserve"> </w:t>
      </w:r>
      <w:r w:rsidR="00021B7C" w:rsidRPr="00D24F83">
        <w:rPr>
          <w:rFonts w:ascii="Book Antiqua" w:hAnsi="Book Antiqua"/>
        </w:rPr>
        <w:t>Tissue</w:t>
      </w:r>
      <w:r w:rsidR="0012498E" w:rsidRPr="00D24F83">
        <w:rPr>
          <w:rFonts w:ascii="Book Antiqua" w:hAnsi="Book Antiqua"/>
        </w:rPr>
        <w:t xml:space="preserve"> </w:t>
      </w:r>
      <w:proofErr w:type="spellStart"/>
      <w:r w:rsidR="00754223" w:rsidRPr="00D24F83">
        <w:rPr>
          <w:rFonts w:ascii="Book Antiqua" w:hAnsi="Book Antiqua"/>
        </w:rPr>
        <w:t>transgluteminase</w:t>
      </w:r>
      <w:proofErr w:type="spellEnd"/>
      <w:r w:rsidR="0012498E" w:rsidRPr="00D24F83">
        <w:rPr>
          <w:rFonts w:ascii="Book Antiqua" w:hAnsi="Book Antiqua"/>
        </w:rPr>
        <w:t xml:space="preserve"> </w:t>
      </w:r>
      <w:r w:rsidR="00754223" w:rsidRPr="00D24F83">
        <w:rPr>
          <w:rFonts w:ascii="Book Antiqua" w:hAnsi="Book Antiqua"/>
        </w:rPr>
        <w:t>antibodies</w:t>
      </w:r>
      <w:r w:rsidRPr="00D24F83">
        <w:rPr>
          <w:rFonts w:ascii="Book Antiqua" w:hAnsi="Book Antiqua"/>
        </w:rPr>
        <w:t>.</w:t>
      </w:r>
    </w:p>
    <w:p w14:paraId="7DF18A59" w14:textId="77777777" w:rsidR="00204E43" w:rsidRPr="00D24F83" w:rsidRDefault="000B1A96" w:rsidP="00C13F38">
      <w:pPr>
        <w:pStyle w:val="BodyText"/>
        <w:spacing w:line="360" w:lineRule="auto"/>
        <w:jc w:val="both"/>
        <w:rPr>
          <w:rFonts w:ascii="Book Antiqua" w:hAnsi="Book Antiqua"/>
        </w:rPr>
      </w:pPr>
      <w:r w:rsidRPr="00D24F83">
        <w:rPr>
          <w:rFonts w:ascii="Book Antiqua" w:hAnsi="Book Antiqua"/>
        </w:rPr>
        <w:br w:type="page"/>
      </w:r>
      <w:r w:rsidR="00754223" w:rsidRPr="00D24F83">
        <w:rPr>
          <w:rFonts w:ascii="Book Antiqua" w:hAnsi="Book Antiqua"/>
          <w:b/>
        </w:rPr>
        <w:lastRenderedPageBreak/>
        <w:t>Table</w:t>
      </w:r>
      <w:r w:rsidR="0012498E" w:rsidRPr="00D24F83">
        <w:rPr>
          <w:rFonts w:ascii="Book Antiqua" w:hAnsi="Book Antiqua"/>
          <w:b/>
        </w:rPr>
        <w:t xml:space="preserve"> </w:t>
      </w:r>
      <w:r w:rsidR="00754223" w:rsidRPr="00D24F83">
        <w:rPr>
          <w:rFonts w:ascii="Book Antiqua" w:hAnsi="Book Antiqua"/>
          <w:b/>
        </w:rPr>
        <w:t>3</w:t>
      </w:r>
      <w:r w:rsidR="0012498E" w:rsidRPr="00D24F83">
        <w:rPr>
          <w:rFonts w:ascii="Book Antiqua" w:hAnsi="Book Antiqua"/>
          <w:b/>
        </w:rPr>
        <w:t xml:space="preserve"> </w:t>
      </w:r>
      <w:r w:rsidR="002140E7">
        <w:rPr>
          <w:rFonts w:ascii="Book Antiqua" w:hAnsi="Book Antiqua"/>
          <w:b/>
          <w:bCs/>
        </w:rPr>
        <w:t>Q</w:t>
      </w:r>
      <w:r w:rsidR="002140E7" w:rsidRPr="00D24F83">
        <w:rPr>
          <w:rFonts w:ascii="Book Antiqua" w:hAnsi="Book Antiqua"/>
          <w:b/>
          <w:bCs/>
        </w:rPr>
        <w:t xml:space="preserve">uality of life </w:t>
      </w:r>
      <w:r w:rsidR="002140E7">
        <w:rPr>
          <w:rFonts w:ascii="Book Antiqua" w:hAnsi="Book Antiqua"/>
          <w:b/>
          <w:bCs/>
        </w:rPr>
        <w:t>d</w:t>
      </w:r>
      <w:r w:rsidR="00754223" w:rsidRPr="00D24F83">
        <w:rPr>
          <w:rFonts w:ascii="Book Antiqua" w:hAnsi="Book Antiqua"/>
          <w:b/>
          <w:bCs/>
        </w:rPr>
        <w:t>ata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from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the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Short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Form-36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Pr="00D24F83">
        <w:rPr>
          <w:rFonts w:ascii="Book Antiqua" w:hAnsi="Book Antiqua"/>
          <w:b/>
          <w:bCs/>
        </w:rPr>
        <w:t>q</w:t>
      </w:r>
      <w:r w:rsidR="00754223" w:rsidRPr="00D24F83">
        <w:rPr>
          <w:rFonts w:ascii="Book Antiqua" w:hAnsi="Book Antiqua"/>
          <w:b/>
          <w:bCs/>
        </w:rPr>
        <w:t>uestionnaire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on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the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intention-to-treat</w:t>
      </w:r>
      <w:r w:rsidR="0012498E" w:rsidRPr="00D24F83">
        <w:rPr>
          <w:rFonts w:ascii="Book Antiqua" w:hAnsi="Book Antiqua"/>
          <w:b/>
          <w:bCs/>
        </w:rPr>
        <w:t xml:space="preserve"> </w:t>
      </w:r>
      <w:r w:rsidR="00754223" w:rsidRPr="00D24F83">
        <w:rPr>
          <w:rFonts w:ascii="Book Antiqua" w:hAnsi="Book Antiqua"/>
          <w:b/>
          <w:bCs/>
        </w:rPr>
        <w:t>analysis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D24F83" w:rsidRPr="00D24F83" w14:paraId="42266E40" w14:textId="77777777" w:rsidTr="00B8570E">
        <w:tc>
          <w:tcPr>
            <w:tcW w:w="1000" w:type="pct"/>
            <w:vMerge w:val="restart"/>
            <w:tcBorders>
              <w:top w:val="single" w:sz="4" w:space="0" w:color="auto"/>
            </w:tcBorders>
          </w:tcPr>
          <w:p w14:paraId="36557AC8" w14:textId="77777777" w:rsidR="00D24F83" w:rsidRPr="000F04DC" w:rsidRDefault="000F04DC" w:rsidP="00C13F38">
            <w:pPr>
              <w:pStyle w:val="BodyText"/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lang w:eastAsia="zh-CN"/>
              </w:rPr>
            </w:pPr>
            <w:r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I</w:t>
            </w:r>
            <w:r>
              <w:rPr>
                <w:rFonts w:ascii="Book Antiqua" w:eastAsiaTheme="minorEastAsia" w:hAnsi="Book Antiqua"/>
                <w:b/>
                <w:bCs/>
                <w:lang w:eastAsia="zh-CN"/>
              </w:rPr>
              <w:t>tem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42DA4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Placebo ar</w:t>
            </w:r>
            <w:r w:rsidRPr="00D24F83">
              <w:rPr>
                <w:rFonts w:ascii="Book Antiqua" w:eastAsiaTheme="minorEastAsia" w:hAnsi="Book Antiqua"/>
                <w:b/>
                <w:bCs/>
                <w:lang w:eastAsia="zh-CN"/>
              </w:rPr>
              <w:t>m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79E0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AN-PEP arm</w:t>
            </w:r>
          </w:p>
        </w:tc>
      </w:tr>
      <w:tr w:rsidR="00D24F83" w:rsidRPr="00D24F83" w14:paraId="57304380" w14:textId="77777777" w:rsidTr="00B8570E">
        <w:tc>
          <w:tcPr>
            <w:tcW w:w="1000" w:type="pct"/>
            <w:vMerge/>
            <w:tcBorders>
              <w:bottom w:val="single" w:sz="4" w:space="0" w:color="auto"/>
            </w:tcBorders>
          </w:tcPr>
          <w:p w14:paraId="576062D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7BBD667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At baseline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C1CE52A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Final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B905B7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At baseline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C12C584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b/>
                <w:bCs/>
                <w:lang w:eastAsia="es-ES"/>
              </w:rPr>
            </w:pPr>
            <w:r w:rsidRPr="00D24F83">
              <w:rPr>
                <w:rFonts w:ascii="Book Antiqua" w:hAnsi="Book Antiqua"/>
                <w:b/>
                <w:bCs/>
              </w:rPr>
              <w:t>Final</w:t>
            </w:r>
          </w:p>
        </w:tc>
      </w:tr>
      <w:tr w:rsidR="00204E43" w:rsidRPr="00D24F83" w14:paraId="375D1042" w14:textId="77777777" w:rsidTr="00D24F83">
        <w:tc>
          <w:tcPr>
            <w:tcW w:w="1000" w:type="pct"/>
            <w:tcBorders>
              <w:top w:val="single" w:sz="4" w:space="0" w:color="auto"/>
            </w:tcBorders>
          </w:tcPr>
          <w:p w14:paraId="719A6A93" w14:textId="77777777" w:rsidR="00204E4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Number of patients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BF78AE1" w14:textId="77777777" w:rsidR="00204E4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D24F83">
              <w:rPr>
                <w:rFonts w:ascii="Book Antiqua" w:eastAsiaTheme="minorEastAsia" w:hAnsi="Book Antiqua"/>
                <w:lang w:eastAsia="zh-CN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297AEC7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0190EB7" w14:textId="77777777" w:rsidR="00204E4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D24F83">
              <w:rPr>
                <w:rFonts w:ascii="Book Antiqua" w:eastAsiaTheme="minorEastAsia" w:hAnsi="Book Antiqua"/>
                <w:lang w:eastAsia="zh-CN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C56573A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</w:tr>
      <w:tr w:rsidR="00204E43" w:rsidRPr="00D24F83" w14:paraId="1C9F8941" w14:textId="77777777" w:rsidTr="00D24F83">
        <w:tc>
          <w:tcPr>
            <w:tcW w:w="1000" w:type="pct"/>
          </w:tcPr>
          <w:p w14:paraId="084572B2" w14:textId="77777777" w:rsidR="00204E4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General health</w:t>
            </w:r>
          </w:p>
        </w:tc>
        <w:tc>
          <w:tcPr>
            <w:tcW w:w="1000" w:type="pct"/>
          </w:tcPr>
          <w:p w14:paraId="6B4DCB69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2281768E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5BADDF5B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385E819F" w14:textId="77777777" w:rsidR="00204E43" w:rsidRPr="00D24F83" w:rsidRDefault="00204E4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</w:tr>
      <w:tr w:rsidR="00D24F83" w:rsidRPr="00D24F83" w14:paraId="2A912E82" w14:textId="77777777" w:rsidTr="00D24F83">
        <w:tc>
          <w:tcPr>
            <w:tcW w:w="1000" w:type="pct"/>
          </w:tcPr>
          <w:p w14:paraId="2F6149F2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425E9FC2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65 (50-72)</w:t>
            </w:r>
          </w:p>
        </w:tc>
        <w:tc>
          <w:tcPr>
            <w:tcW w:w="1000" w:type="pct"/>
          </w:tcPr>
          <w:p w14:paraId="43239CF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 xml:space="preserve"> 70 (50-80)</w:t>
            </w:r>
            <w:r w:rsidRPr="00D24F83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484947C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50 (35-75)</w:t>
            </w:r>
          </w:p>
        </w:tc>
        <w:tc>
          <w:tcPr>
            <w:tcW w:w="1000" w:type="pct"/>
          </w:tcPr>
          <w:p w14:paraId="3E53A942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50 (40-80)</w:t>
            </w:r>
          </w:p>
        </w:tc>
      </w:tr>
      <w:tr w:rsidR="00D24F83" w:rsidRPr="00D24F83" w14:paraId="638356C0" w14:textId="77777777" w:rsidTr="00D24F83">
        <w:tc>
          <w:tcPr>
            <w:tcW w:w="1000" w:type="pct"/>
          </w:tcPr>
          <w:p w14:paraId="1EB1E96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Pain</w:t>
            </w:r>
          </w:p>
        </w:tc>
        <w:tc>
          <w:tcPr>
            <w:tcW w:w="1000" w:type="pct"/>
          </w:tcPr>
          <w:p w14:paraId="2A54B6EB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0EFA115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2A770FE4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  <w:tc>
          <w:tcPr>
            <w:tcW w:w="1000" w:type="pct"/>
          </w:tcPr>
          <w:p w14:paraId="34A971E6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</w:p>
        </w:tc>
      </w:tr>
      <w:tr w:rsidR="00D24F83" w:rsidRPr="00D24F83" w14:paraId="791A9422" w14:textId="77777777" w:rsidTr="00D24F83">
        <w:tc>
          <w:tcPr>
            <w:tcW w:w="1000" w:type="pct"/>
          </w:tcPr>
          <w:p w14:paraId="40A3E78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6AF70A53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80 (42-90)</w:t>
            </w:r>
          </w:p>
        </w:tc>
        <w:tc>
          <w:tcPr>
            <w:tcW w:w="1000" w:type="pct"/>
          </w:tcPr>
          <w:p w14:paraId="225406E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90 (50-80)</w:t>
            </w:r>
            <w:r w:rsidRPr="00D24F83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0C9932AC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80 (45-90)</w:t>
            </w:r>
          </w:p>
        </w:tc>
        <w:tc>
          <w:tcPr>
            <w:tcW w:w="1000" w:type="pct"/>
          </w:tcPr>
          <w:p w14:paraId="6C399BCA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  <w:lang w:eastAsia="es-ES"/>
              </w:rPr>
            </w:pPr>
            <w:r w:rsidRPr="00D24F83">
              <w:rPr>
                <w:rFonts w:ascii="Book Antiqua" w:hAnsi="Book Antiqua"/>
              </w:rPr>
              <w:t>67.5 (47.5-90</w:t>
            </w:r>
            <w:r>
              <w:rPr>
                <w:rFonts w:ascii="Book Antiqua" w:hAnsi="Book Antiqua"/>
              </w:rPr>
              <w:t>.0</w:t>
            </w:r>
            <w:r w:rsidRPr="00D24F83">
              <w:rPr>
                <w:rFonts w:ascii="Book Antiqua" w:hAnsi="Book Antiqua"/>
              </w:rPr>
              <w:t>)</w:t>
            </w:r>
            <w:r w:rsidRPr="00D24F83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D24F83" w:rsidRPr="00D24F83" w14:paraId="3E9E043E" w14:textId="77777777" w:rsidTr="00D24F83">
        <w:tc>
          <w:tcPr>
            <w:tcW w:w="1000" w:type="pct"/>
          </w:tcPr>
          <w:p w14:paraId="0BB1D10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Vitality</w:t>
            </w:r>
          </w:p>
        </w:tc>
        <w:tc>
          <w:tcPr>
            <w:tcW w:w="1000" w:type="pct"/>
          </w:tcPr>
          <w:p w14:paraId="3FAC594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51E8BB13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85DA509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B91420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D24F83" w14:paraId="46D18EED" w14:textId="77777777" w:rsidTr="00D24F83">
        <w:tc>
          <w:tcPr>
            <w:tcW w:w="1000" w:type="pct"/>
          </w:tcPr>
          <w:p w14:paraId="4F159D4F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0B40B0E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60 (45-65)</w:t>
            </w:r>
          </w:p>
        </w:tc>
        <w:tc>
          <w:tcPr>
            <w:tcW w:w="1000" w:type="pct"/>
          </w:tcPr>
          <w:p w14:paraId="4BD023A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60 (50-70)</w:t>
            </w:r>
          </w:p>
        </w:tc>
        <w:tc>
          <w:tcPr>
            <w:tcW w:w="1000" w:type="pct"/>
          </w:tcPr>
          <w:p w14:paraId="0AF58AC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40 (30-60)</w:t>
            </w:r>
          </w:p>
        </w:tc>
        <w:tc>
          <w:tcPr>
            <w:tcW w:w="1000" w:type="pct"/>
          </w:tcPr>
          <w:p w14:paraId="08DAA3FB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55 (40-65)</w:t>
            </w:r>
            <w:r w:rsidRPr="00D24F83">
              <w:rPr>
                <w:rFonts w:ascii="Book Antiqua" w:hAnsi="Book Antiqua"/>
                <w:vertAlign w:val="superscript"/>
              </w:rPr>
              <w:t>c</w:t>
            </w:r>
          </w:p>
        </w:tc>
      </w:tr>
      <w:tr w:rsidR="00D24F83" w:rsidRPr="00D24F83" w14:paraId="130B7108" w14:textId="77777777" w:rsidTr="00D24F83">
        <w:tc>
          <w:tcPr>
            <w:tcW w:w="1000" w:type="pct"/>
          </w:tcPr>
          <w:p w14:paraId="7065038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 xml:space="preserve">Mental </w:t>
            </w:r>
            <w:r>
              <w:rPr>
                <w:rFonts w:ascii="Book Antiqua" w:hAnsi="Book Antiqua"/>
              </w:rPr>
              <w:t>h</w:t>
            </w:r>
            <w:r w:rsidRPr="00D24F83">
              <w:rPr>
                <w:rFonts w:ascii="Book Antiqua" w:hAnsi="Book Antiqua"/>
              </w:rPr>
              <w:t>ealth</w:t>
            </w:r>
          </w:p>
        </w:tc>
        <w:tc>
          <w:tcPr>
            <w:tcW w:w="1000" w:type="pct"/>
          </w:tcPr>
          <w:p w14:paraId="6E44F4F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6764DB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3906947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3623B60A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D24F83" w14:paraId="7DE875C6" w14:textId="77777777" w:rsidTr="00D24F83">
        <w:tc>
          <w:tcPr>
            <w:tcW w:w="1000" w:type="pct"/>
          </w:tcPr>
          <w:p w14:paraId="38FBF9C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35A91D4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68 (52-72)</w:t>
            </w:r>
          </w:p>
        </w:tc>
        <w:tc>
          <w:tcPr>
            <w:tcW w:w="1000" w:type="pct"/>
          </w:tcPr>
          <w:p w14:paraId="33D52787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68 (56-80)</w:t>
            </w:r>
          </w:p>
        </w:tc>
        <w:tc>
          <w:tcPr>
            <w:tcW w:w="1000" w:type="pct"/>
          </w:tcPr>
          <w:p w14:paraId="135A2DC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68 (40-72)</w:t>
            </w:r>
          </w:p>
        </w:tc>
        <w:tc>
          <w:tcPr>
            <w:tcW w:w="1000" w:type="pct"/>
          </w:tcPr>
          <w:p w14:paraId="0599F213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64 (48-80)</w:t>
            </w:r>
          </w:p>
        </w:tc>
      </w:tr>
      <w:tr w:rsidR="00D24F83" w:rsidRPr="00D24F83" w14:paraId="58B8F517" w14:textId="77777777" w:rsidTr="00D24F83">
        <w:tc>
          <w:tcPr>
            <w:tcW w:w="1000" w:type="pct"/>
          </w:tcPr>
          <w:p w14:paraId="59FB39F2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Physical function</w:t>
            </w:r>
          </w:p>
        </w:tc>
        <w:tc>
          <w:tcPr>
            <w:tcW w:w="1000" w:type="pct"/>
          </w:tcPr>
          <w:p w14:paraId="15EACD1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BC9919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2EE413B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7ED5520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D24F83" w14:paraId="016A2F75" w14:textId="77777777" w:rsidTr="00D24F83">
        <w:tc>
          <w:tcPr>
            <w:tcW w:w="1000" w:type="pct"/>
          </w:tcPr>
          <w:p w14:paraId="4A9F5AA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5E66B18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95 (75-100)</w:t>
            </w:r>
          </w:p>
        </w:tc>
        <w:tc>
          <w:tcPr>
            <w:tcW w:w="1000" w:type="pct"/>
          </w:tcPr>
          <w:p w14:paraId="24B68774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95 (75-100)</w:t>
            </w:r>
          </w:p>
        </w:tc>
        <w:tc>
          <w:tcPr>
            <w:tcW w:w="1000" w:type="pct"/>
          </w:tcPr>
          <w:p w14:paraId="09773214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95 (85-100)</w:t>
            </w:r>
          </w:p>
        </w:tc>
        <w:tc>
          <w:tcPr>
            <w:tcW w:w="1000" w:type="pct"/>
          </w:tcPr>
          <w:p w14:paraId="3CC8E0F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100 (90-100)</w:t>
            </w:r>
          </w:p>
        </w:tc>
      </w:tr>
      <w:tr w:rsidR="00D24F83" w:rsidRPr="00D24F83" w14:paraId="0392ADB6" w14:textId="77777777" w:rsidTr="00D24F83">
        <w:tc>
          <w:tcPr>
            <w:tcW w:w="1000" w:type="pct"/>
          </w:tcPr>
          <w:p w14:paraId="61AB4DE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Social function</w:t>
            </w:r>
          </w:p>
        </w:tc>
        <w:tc>
          <w:tcPr>
            <w:tcW w:w="1000" w:type="pct"/>
          </w:tcPr>
          <w:p w14:paraId="03D986AC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4B101FF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44A647E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3A2048B9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D24F83" w14:paraId="65F250CB" w14:textId="77777777" w:rsidTr="00D24F83">
        <w:tc>
          <w:tcPr>
            <w:tcW w:w="1000" w:type="pct"/>
          </w:tcPr>
          <w:p w14:paraId="2D1EE40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 xml:space="preserve">Median score (IQR) </w:t>
            </w:r>
          </w:p>
        </w:tc>
        <w:tc>
          <w:tcPr>
            <w:tcW w:w="1000" w:type="pct"/>
          </w:tcPr>
          <w:p w14:paraId="151FA4C3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75 (50-100)</w:t>
            </w:r>
          </w:p>
        </w:tc>
        <w:tc>
          <w:tcPr>
            <w:tcW w:w="1000" w:type="pct"/>
          </w:tcPr>
          <w:p w14:paraId="7A007EB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100 (62.5-100</w:t>
            </w:r>
            <w:r>
              <w:rPr>
                <w:rFonts w:ascii="Book Antiqua" w:hAnsi="Book Antiqua"/>
              </w:rPr>
              <w:t>.0</w:t>
            </w:r>
            <w:r w:rsidRPr="00D24F83">
              <w:rPr>
                <w:rFonts w:ascii="Book Antiqua" w:hAnsi="Book Antiqua"/>
              </w:rPr>
              <w:t>)</w:t>
            </w:r>
          </w:p>
        </w:tc>
        <w:tc>
          <w:tcPr>
            <w:tcW w:w="1000" w:type="pct"/>
          </w:tcPr>
          <w:p w14:paraId="000B17D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50 (37-100)</w:t>
            </w:r>
          </w:p>
        </w:tc>
        <w:tc>
          <w:tcPr>
            <w:tcW w:w="1000" w:type="pct"/>
          </w:tcPr>
          <w:p w14:paraId="449D69D8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75 (50-100)</w:t>
            </w:r>
          </w:p>
        </w:tc>
      </w:tr>
      <w:tr w:rsidR="00D24F83" w:rsidRPr="00D24F83" w14:paraId="28838C24" w14:textId="77777777" w:rsidTr="00D24F83">
        <w:tc>
          <w:tcPr>
            <w:tcW w:w="1000" w:type="pct"/>
          </w:tcPr>
          <w:p w14:paraId="1C12749C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Physical limitations</w:t>
            </w:r>
          </w:p>
        </w:tc>
        <w:tc>
          <w:tcPr>
            <w:tcW w:w="1000" w:type="pct"/>
          </w:tcPr>
          <w:p w14:paraId="0B1037A0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0832BC63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1D71CB7A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3197D2ED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D24F83" w14:paraId="39BEF561" w14:textId="77777777" w:rsidTr="00D24F83">
        <w:tc>
          <w:tcPr>
            <w:tcW w:w="1000" w:type="pct"/>
          </w:tcPr>
          <w:p w14:paraId="59A403D7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</w:tcPr>
          <w:p w14:paraId="043422E1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100 (50-100)</w:t>
            </w:r>
          </w:p>
        </w:tc>
        <w:tc>
          <w:tcPr>
            <w:tcW w:w="1000" w:type="pct"/>
          </w:tcPr>
          <w:p w14:paraId="5F2AC80F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100 (75-100)</w:t>
            </w:r>
          </w:p>
        </w:tc>
        <w:tc>
          <w:tcPr>
            <w:tcW w:w="1000" w:type="pct"/>
          </w:tcPr>
          <w:p w14:paraId="0749DBB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 xml:space="preserve"> 100 (25-100)</w:t>
            </w:r>
          </w:p>
        </w:tc>
        <w:tc>
          <w:tcPr>
            <w:tcW w:w="1000" w:type="pct"/>
          </w:tcPr>
          <w:p w14:paraId="377FB7E7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>75 (25-100)</w:t>
            </w:r>
          </w:p>
        </w:tc>
      </w:tr>
      <w:tr w:rsidR="00D24F83" w:rsidRPr="00D24F83" w14:paraId="7F56A298" w14:textId="77777777" w:rsidTr="00D24F83">
        <w:tc>
          <w:tcPr>
            <w:tcW w:w="1000" w:type="pct"/>
          </w:tcPr>
          <w:p w14:paraId="6DD8699F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D24F83">
              <w:rPr>
                <w:rFonts w:ascii="Book Antiqua" w:hAnsi="Book Antiqua"/>
              </w:rPr>
              <w:t xml:space="preserve">Emotional </w:t>
            </w:r>
            <w:r w:rsidRPr="00D24F83">
              <w:rPr>
                <w:rFonts w:ascii="Book Antiqua" w:hAnsi="Book Antiqua"/>
              </w:rPr>
              <w:lastRenderedPageBreak/>
              <w:t>limitations</w:t>
            </w:r>
          </w:p>
        </w:tc>
        <w:tc>
          <w:tcPr>
            <w:tcW w:w="1000" w:type="pct"/>
          </w:tcPr>
          <w:p w14:paraId="2258DB5F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45E4807C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6A21FEFE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0" w:type="pct"/>
          </w:tcPr>
          <w:p w14:paraId="35405055" w14:textId="77777777" w:rsidR="00D24F83" w:rsidRPr="00D24F83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4F83" w:rsidRPr="00A102A1" w14:paraId="55825F16" w14:textId="77777777" w:rsidTr="00D24F83">
        <w:tc>
          <w:tcPr>
            <w:tcW w:w="1000" w:type="pct"/>
            <w:tcBorders>
              <w:bottom w:val="single" w:sz="4" w:space="0" w:color="auto"/>
            </w:tcBorders>
          </w:tcPr>
          <w:p w14:paraId="39A899A1" w14:textId="77777777" w:rsidR="00D24F83" w:rsidRPr="00A102A1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A102A1">
              <w:rPr>
                <w:rFonts w:ascii="Book Antiqua" w:hAnsi="Book Antiqua"/>
              </w:rPr>
              <w:t>Median score (IQR)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41A8B6F" w14:textId="77777777" w:rsidR="00D24F83" w:rsidRPr="00A102A1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A102A1">
              <w:rPr>
                <w:rFonts w:ascii="Book Antiqua" w:hAnsi="Book Antiqua"/>
              </w:rPr>
              <w:t>50 (0-100)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963E1E9" w14:textId="77777777" w:rsidR="00D24F83" w:rsidRPr="00A102A1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A102A1">
              <w:rPr>
                <w:rFonts w:ascii="Book Antiqua" w:hAnsi="Book Antiqua"/>
              </w:rPr>
              <w:t>100 (66-100)</w:t>
            </w:r>
            <w:r w:rsidRPr="00A102A1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7DE9783" w14:textId="77777777" w:rsidR="00D24F83" w:rsidRPr="00A102A1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A102A1">
              <w:rPr>
                <w:rFonts w:ascii="Book Antiqua" w:hAnsi="Book Antiqua"/>
              </w:rPr>
              <w:t>66.7 (0-100)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1675DB2" w14:textId="77777777" w:rsidR="00D24F83" w:rsidRPr="00A102A1" w:rsidRDefault="00D24F83" w:rsidP="00C13F38">
            <w:pPr>
              <w:pStyle w:val="BodyText"/>
              <w:spacing w:line="360" w:lineRule="auto"/>
              <w:jc w:val="both"/>
              <w:rPr>
                <w:rFonts w:ascii="Book Antiqua" w:hAnsi="Book Antiqua"/>
              </w:rPr>
            </w:pPr>
            <w:r w:rsidRPr="00A102A1">
              <w:rPr>
                <w:rFonts w:ascii="Book Antiqua" w:hAnsi="Book Antiqua"/>
              </w:rPr>
              <w:t>66.7 (0-100)</w:t>
            </w:r>
          </w:p>
        </w:tc>
      </w:tr>
    </w:tbl>
    <w:p w14:paraId="0586BEA4" w14:textId="77777777" w:rsidR="00A77B3E" w:rsidRDefault="00A102A1" w:rsidP="00C13F38">
      <w:pPr>
        <w:pStyle w:val="BodyText"/>
        <w:spacing w:line="360" w:lineRule="auto"/>
        <w:jc w:val="both"/>
        <w:rPr>
          <w:rFonts w:ascii="Book Antiqua" w:hAnsi="Book Antiqua"/>
        </w:rPr>
      </w:pPr>
      <w:proofErr w:type="spellStart"/>
      <w:r w:rsidRPr="00A102A1">
        <w:rPr>
          <w:rFonts w:ascii="Book Antiqua" w:hAnsi="Book Antiqua"/>
          <w:vertAlign w:val="superscript"/>
          <w:lang w:eastAsia="es-ES"/>
        </w:rPr>
        <w:t>a</w:t>
      </w:r>
      <w:r w:rsidR="003F42B1">
        <w:rPr>
          <w:rFonts w:ascii="Book Antiqua" w:hAnsi="Book Antiqua"/>
          <w:i/>
          <w:iCs/>
          <w:lang w:eastAsia="es-ES"/>
        </w:rPr>
        <w:t>v</w:t>
      </w:r>
      <w:r w:rsidRPr="00A102A1">
        <w:rPr>
          <w:rFonts w:ascii="Book Antiqua" w:hAnsi="Book Antiqua"/>
          <w:i/>
          <w:iCs/>
          <w:lang w:eastAsia="es-ES"/>
        </w:rPr>
        <w:t>s</w:t>
      </w:r>
      <w:proofErr w:type="spellEnd"/>
      <w:r w:rsidR="000B1A96" w:rsidRPr="00A102A1">
        <w:rPr>
          <w:rFonts w:ascii="Book Antiqua" w:hAnsi="Book Antiqua"/>
          <w:lang w:eastAsia="es-ES"/>
        </w:rPr>
        <w:t xml:space="preserve"> </w:t>
      </w:r>
      <w:r w:rsidR="003F42B1">
        <w:rPr>
          <w:rFonts w:ascii="Book Antiqua" w:hAnsi="Book Antiqua"/>
          <w:lang w:eastAsia="es-ES"/>
        </w:rPr>
        <w:t>p</w:t>
      </w:r>
      <w:r w:rsidR="000B1A96" w:rsidRPr="00A102A1">
        <w:rPr>
          <w:rFonts w:ascii="Book Antiqua" w:hAnsi="Book Antiqua"/>
          <w:lang w:eastAsia="es-ES"/>
        </w:rPr>
        <w:t xml:space="preserve">lacebo: </w:t>
      </w:r>
      <w:r w:rsidR="000F04DC" w:rsidRPr="00A102A1">
        <w:rPr>
          <w:rFonts w:ascii="Book Antiqua" w:hAnsi="Book Antiqua"/>
          <w:i/>
          <w:lang w:eastAsia="es-ES"/>
        </w:rPr>
        <w:t xml:space="preserve">P </w:t>
      </w:r>
      <w:r w:rsidR="000B1A96" w:rsidRPr="00A102A1">
        <w:rPr>
          <w:rFonts w:ascii="Book Antiqua" w:hAnsi="Book Antiqua"/>
          <w:lang w:eastAsia="es-ES"/>
        </w:rPr>
        <w:t>&lt;</w:t>
      </w:r>
      <w:r w:rsidR="000F04DC" w:rsidRPr="00A102A1">
        <w:rPr>
          <w:rFonts w:ascii="Book Antiqua" w:hAnsi="Book Antiqua"/>
          <w:lang w:eastAsia="es-ES"/>
        </w:rPr>
        <w:t xml:space="preserve"> </w:t>
      </w:r>
      <w:r w:rsidR="000B1A96" w:rsidRPr="00A102A1">
        <w:rPr>
          <w:rFonts w:ascii="Book Antiqua" w:hAnsi="Book Antiqua"/>
          <w:lang w:eastAsia="es-ES"/>
        </w:rPr>
        <w:t>0.05</w:t>
      </w:r>
      <w:r w:rsidR="003F42B1">
        <w:rPr>
          <w:rFonts w:ascii="Book Antiqua" w:hAnsi="Book Antiqua"/>
          <w:lang w:eastAsia="es-ES"/>
        </w:rPr>
        <w:t xml:space="preserve">; </w:t>
      </w:r>
      <w:proofErr w:type="spellStart"/>
      <w:r w:rsidRPr="00A102A1">
        <w:rPr>
          <w:rFonts w:ascii="Book Antiqua" w:hAnsi="Book Antiqua"/>
          <w:vertAlign w:val="superscript"/>
          <w:lang w:eastAsia="es-ES"/>
        </w:rPr>
        <w:t>b</w:t>
      </w:r>
      <w:r w:rsidR="000B1A96" w:rsidRPr="00A102A1">
        <w:rPr>
          <w:rFonts w:ascii="Book Antiqua" w:hAnsi="Book Antiqua"/>
          <w:lang w:eastAsia="es-ES"/>
        </w:rPr>
        <w:t>Run</w:t>
      </w:r>
      <w:proofErr w:type="spellEnd"/>
      <w:r w:rsidR="000B1A96" w:rsidRPr="00A102A1">
        <w:rPr>
          <w:rFonts w:ascii="Book Antiqua" w:hAnsi="Book Antiqua"/>
          <w:lang w:eastAsia="es-ES"/>
        </w:rPr>
        <w:t xml:space="preserve">-in </w:t>
      </w:r>
      <w:r w:rsidR="000B1A96" w:rsidRPr="00A102A1">
        <w:rPr>
          <w:rFonts w:ascii="Book Antiqua" w:hAnsi="Book Antiqua"/>
          <w:i/>
          <w:iCs/>
          <w:lang w:eastAsia="es-ES"/>
        </w:rPr>
        <w:t>vs</w:t>
      </w:r>
      <w:r w:rsidR="003F42B1">
        <w:rPr>
          <w:rFonts w:ascii="Book Antiqua" w:hAnsi="Book Antiqua"/>
          <w:lang w:eastAsia="es-ES"/>
        </w:rPr>
        <w:t xml:space="preserve"> t</w:t>
      </w:r>
      <w:r w:rsidR="000B1A96" w:rsidRPr="00A102A1">
        <w:rPr>
          <w:rFonts w:ascii="Book Antiqua" w:hAnsi="Book Antiqua"/>
          <w:lang w:eastAsia="es-ES"/>
        </w:rPr>
        <w:t xml:space="preserve">reatment: </w:t>
      </w:r>
      <w:r w:rsidR="000F04DC" w:rsidRPr="00A102A1">
        <w:rPr>
          <w:rFonts w:ascii="Book Antiqua" w:hAnsi="Book Antiqua"/>
          <w:i/>
          <w:lang w:eastAsia="es-ES"/>
        </w:rPr>
        <w:t xml:space="preserve">P </w:t>
      </w:r>
      <w:r w:rsidR="000B1A96" w:rsidRPr="00A102A1">
        <w:rPr>
          <w:rFonts w:ascii="Book Antiqua" w:hAnsi="Book Antiqua"/>
          <w:lang w:eastAsia="es-ES"/>
        </w:rPr>
        <w:t>&lt;</w:t>
      </w:r>
      <w:r w:rsidR="000F04DC" w:rsidRPr="00A102A1">
        <w:rPr>
          <w:rFonts w:ascii="Book Antiqua" w:hAnsi="Book Antiqua"/>
          <w:lang w:eastAsia="es-ES"/>
        </w:rPr>
        <w:t xml:space="preserve"> </w:t>
      </w:r>
      <w:r w:rsidR="000B1A96" w:rsidRPr="00A102A1">
        <w:rPr>
          <w:rFonts w:ascii="Book Antiqua" w:hAnsi="Book Antiqua"/>
          <w:lang w:eastAsia="es-ES"/>
        </w:rPr>
        <w:t>0.05</w:t>
      </w:r>
      <w:r w:rsidR="003F42B1">
        <w:rPr>
          <w:rFonts w:ascii="Book Antiqua" w:hAnsi="Book Antiqua"/>
          <w:lang w:eastAsia="es-ES"/>
        </w:rPr>
        <w:t xml:space="preserve">; </w:t>
      </w:r>
      <w:proofErr w:type="spellStart"/>
      <w:r w:rsidRPr="00A102A1">
        <w:rPr>
          <w:rFonts w:ascii="Book Antiqua" w:hAnsi="Book Antiqua"/>
          <w:vertAlign w:val="superscript"/>
          <w:lang w:eastAsia="es-ES"/>
        </w:rPr>
        <w:t>c</w:t>
      </w:r>
      <w:r w:rsidRPr="00A102A1">
        <w:rPr>
          <w:rFonts w:ascii="Book Antiqua" w:hAnsi="Book Antiqua"/>
          <w:lang w:eastAsia="es-ES"/>
        </w:rPr>
        <w:t>Run</w:t>
      </w:r>
      <w:proofErr w:type="spellEnd"/>
      <w:r w:rsidRPr="00A102A1">
        <w:rPr>
          <w:rFonts w:ascii="Book Antiqua" w:hAnsi="Book Antiqua"/>
          <w:lang w:eastAsia="es-ES"/>
        </w:rPr>
        <w:t xml:space="preserve">-in </w:t>
      </w:r>
      <w:r w:rsidRPr="00A102A1">
        <w:rPr>
          <w:rFonts w:ascii="Book Antiqua" w:hAnsi="Book Antiqua"/>
          <w:i/>
          <w:iCs/>
          <w:lang w:eastAsia="es-ES"/>
        </w:rPr>
        <w:t>vs</w:t>
      </w:r>
      <w:r w:rsidRPr="00A102A1">
        <w:rPr>
          <w:rFonts w:ascii="Book Antiqua" w:hAnsi="Book Antiqua"/>
          <w:lang w:eastAsia="es-ES"/>
        </w:rPr>
        <w:t xml:space="preserve"> </w:t>
      </w:r>
      <w:r w:rsidR="003F42B1">
        <w:rPr>
          <w:rFonts w:ascii="Book Antiqua" w:hAnsi="Book Antiqua"/>
          <w:lang w:eastAsia="es-ES"/>
        </w:rPr>
        <w:t>t</w:t>
      </w:r>
      <w:r w:rsidRPr="00A102A1">
        <w:rPr>
          <w:rFonts w:ascii="Book Antiqua" w:hAnsi="Book Antiqua"/>
          <w:lang w:eastAsia="es-ES"/>
        </w:rPr>
        <w:t xml:space="preserve">reatment: </w:t>
      </w:r>
      <w:r w:rsidRPr="00A102A1">
        <w:rPr>
          <w:rFonts w:ascii="Book Antiqua" w:hAnsi="Book Antiqua"/>
          <w:i/>
          <w:lang w:eastAsia="es-ES"/>
        </w:rPr>
        <w:t xml:space="preserve">P </w:t>
      </w:r>
      <w:r w:rsidRPr="00A102A1">
        <w:rPr>
          <w:rFonts w:ascii="Book Antiqua" w:hAnsi="Book Antiqua"/>
          <w:lang w:eastAsia="es-ES"/>
        </w:rPr>
        <w:t>&lt; 0.005.</w:t>
      </w:r>
      <w:r w:rsidR="003F42B1">
        <w:rPr>
          <w:rFonts w:ascii="Book Antiqua" w:hAnsi="Book Antiqua"/>
        </w:rPr>
        <w:t xml:space="preserve"> </w:t>
      </w:r>
      <w:r w:rsidR="000B1A96" w:rsidRPr="00A102A1">
        <w:rPr>
          <w:rFonts w:ascii="Book Antiqua" w:hAnsi="Book Antiqua"/>
        </w:rPr>
        <w:t>AN-PEP</w:t>
      </w:r>
      <w:r w:rsidR="000B1A96" w:rsidRPr="00A102A1">
        <w:rPr>
          <w:rFonts w:ascii="Book Antiqua" w:hAnsi="Book Antiqua"/>
          <w:lang w:eastAsia="es-ES"/>
        </w:rPr>
        <w:t xml:space="preserve">: </w:t>
      </w:r>
      <w:r w:rsidR="00BA46AE" w:rsidRPr="00A102A1">
        <w:rPr>
          <w:rFonts w:ascii="Book Antiqua" w:eastAsia="Book Antiqua" w:hAnsi="Book Antiqua" w:cs="Book Antiqua"/>
          <w:i/>
          <w:iCs/>
        </w:rPr>
        <w:t xml:space="preserve">Aspergillus </w:t>
      </w:r>
      <w:proofErr w:type="spellStart"/>
      <w:r w:rsidR="00BA46AE" w:rsidRPr="00A102A1">
        <w:rPr>
          <w:rFonts w:ascii="Book Antiqua" w:eastAsia="Book Antiqua" w:hAnsi="Book Antiqua" w:cs="Book Antiqua"/>
          <w:i/>
          <w:iCs/>
        </w:rPr>
        <w:t>niger</w:t>
      </w:r>
      <w:proofErr w:type="spellEnd"/>
      <w:r w:rsidR="00BA46AE" w:rsidRPr="00A102A1">
        <w:rPr>
          <w:rFonts w:ascii="Book Antiqua" w:eastAsia="Book Antiqua" w:hAnsi="Book Antiqua" w:cs="Book Antiqua"/>
        </w:rPr>
        <w:t xml:space="preserve"> prolyl endopeptidase protease</w:t>
      </w:r>
      <w:r w:rsidR="000B1A96" w:rsidRPr="00A102A1">
        <w:rPr>
          <w:rFonts w:ascii="Book Antiqua" w:hAnsi="Book Antiqua"/>
          <w:lang w:eastAsia="es-ES"/>
        </w:rPr>
        <w:t xml:space="preserve">; </w:t>
      </w:r>
      <w:r w:rsidR="000B1A96" w:rsidRPr="00A102A1">
        <w:rPr>
          <w:rFonts w:ascii="Book Antiqua" w:hAnsi="Book Antiqua"/>
        </w:rPr>
        <w:t xml:space="preserve">IQR: </w:t>
      </w:r>
      <w:r w:rsidR="00BA46AE" w:rsidRPr="00A102A1">
        <w:rPr>
          <w:rFonts w:ascii="Book Antiqua" w:hAnsi="Book Antiqua"/>
        </w:rPr>
        <w:t>I</w:t>
      </w:r>
      <w:r w:rsidR="000B1A96" w:rsidRPr="00A102A1">
        <w:rPr>
          <w:rFonts w:ascii="Book Antiqua" w:hAnsi="Book Antiqua"/>
        </w:rPr>
        <w:t>nterquartile range.</w:t>
      </w:r>
    </w:p>
    <w:sectPr w:rsidR="00A77B3E" w:rsidSect="00F975A7">
      <w:footerReference w:type="even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86" w:author="Filipodia" w:date="2024-02-21T19:57:00Z" w:initials="FP">
    <w:p w14:paraId="0106BBF9" w14:textId="77777777" w:rsidR="00D65202" w:rsidRDefault="00D65202">
      <w:pPr>
        <w:pStyle w:val="CommentText"/>
      </w:pPr>
      <w:r>
        <w:rPr>
          <w:rStyle w:val="CommentReference"/>
        </w:rPr>
        <w:annotationRef/>
      </w:r>
      <w:r>
        <w:t>If you have an approval ID/No. the journal strongly recommends providing it here.</w:t>
      </w:r>
    </w:p>
  </w:comment>
  <w:comment w:id="789" w:author="Sumigray, Kaelyn" w:date="2024-02-20T21:12:00Z" w:initials="KS">
    <w:p w14:paraId="7A6601FD" w14:textId="77777777" w:rsidR="00260FA3" w:rsidRDefault="00260FA3" w:rsidP="00260FA3">
      <w:r>
        <w:rPr>
          <w:rStyle w:val="CommentReference"/>
        </w:rPr>
        <w:annotationRef/>
      </w:r>
      <w:r>
        <w:rPr>
          <w:color w:val="000000"/>
        </w:rPr>
        <w:t xml:space="preserve">At top horizontal arrow, change “did not fulfilled” to “did not fulfill”.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06BBF9" w15:done="0"/>
  <w15:commentEx w15:paraId="7A6601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6BBF9" w16cid:durableId="535DB752"/>
  <w16cid:commentId w16cid:paraId="7A6601FD" w16cid:durableId="14C55A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BA14" w14:textId="77777777" w:rsidR="008F3953" w:rsidRDefault="008F3953" w:rsidP="00754223">
      <w:r>
        <w:separator/>
      </w:r>
    </w:p>
  </w:endnote>
  <w:endnote w:type="continuationSeparator" w:id="0">
    <w:p w14:paraId="450CA09A" w14:textId="77777777" w:rsidR="008F3953" w:rsidRDefault="008F3953" w:rsidP="007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93A7" w14:textId="77777777" w:rsidR="00710C0C" w:rsidRDefault="00710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75283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40C4CD4" w14:textId="77777777" w:rsidR="00B8570E" w:rsidRPr="00FC0AE9" w:rsidRDefault="00B8570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10C0C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8346BE" w:rsidRPr="008346B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10C0C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6EC698A" w14:textId="77777777" w:rsidR="00B8570E" w:rsidRDefault="00B85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37C7" w14:textId="77777777" w:rsidR="00710C0C" w:rsidRDefault="00710C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1352649"/>
      <w:docPartObj>
        <w:docPartGallery w:val="Page Numbers (Bottom of Page)"/>
        <w:docPartUnique/>
      </w:docPartObj>
    </w:sdtPr>
    <w:sdtContent>
      <w:p w14:paraId="08C9E924" w14:textId="77777777" w:rsidR="00B8570E" w:rsidRDefault="008346BE" w:rsidP="00B857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8570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1B610" w14:textId="77777777" w:rsidR="00B8570E" w:rsidRDefault="00B8570E" w:rsidP="00B8570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356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147156285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C94DA4C" w14:textId="77777777" w:rsidR="00B8570E" w:rsidRPr="003F42B1" w:rsidRDefault="00B8570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10C0C">
              <w:rPr>
                <w:rFonts w:ascii="Book Antiqua" w:hAnsi="Book Antiqua"/>
                <w:noProof/>
                <w:sz w:val="24"/>
                <w:szCs w:val="24"/>
              </w:rPr>
              <w:t>28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8346BE" w:rsidRPr="008346B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10C0C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="008346BE" w:rsidRPr="008346B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5878B2C" w14:textId="77777777" w:rsidR="00B8570E" w:rsidRDefault="00B8570E" w:rsidP="00B85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7153" w14:textId="77777777" w:rsidR="008F3953" w:rsidRDefault="008F3953" w:rsidP="00754223">
      <w:r>
        <w:separator/>
      </w:r>
    </w:p>
  </w:footnote>
  <w:footnote w:type="continuationSeparator" w:id="0">
    <w:p w14:paraId="4B85CD02" w14:textId="77777777" w:rsidR="008F3953" w:rsidRDefault="008F3953" w:rsidP="0075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0E9" w14:textId="77777777" w:rsidR="00710C0C" w:rsidRDefault="00710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172" w14:textId="77777777" w:rsidR="00710C0C" w:rsidRDefault="00710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372" w14:textId="77777777" w:rsidR="00710C0C" w:rsidRDefault="00710C0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odia">
    <w15:presenceInfo w15:providerId="None" w15:userId="Filipodia"/>
  </w15:person>
  <w15:person w15:author="Sumigray, Kaelyn">
    <w15:presenceInfo w15:providerId="AD" w15:userId="S::kaelyn.sumigray@yale.edu::3ada621b-7c79-4133-890c-bd7aad8fa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0BF"/>
    <w:rsid w:val="00021B7C"/>
    <w:rsid w:val="00030511"/>
    <w:rsid w:val="000424EB"/>
    <w:rsid w:val="00056FA9"/>
    <w:rsid w:val="00085F2D"/>
    <w:rsid w:val="000A1FD6"/>
    <w:rsid w:val="000A6888"/>
    <w:rsid w:val="000B1A96"/>
    <w:rsid w:val="000F04DC"/>
    <w:rsid w:val="00104ACD"/>
    <w:rsid w:val="001156B2"/>
    <w:rsid w:val="0012498E"/>
    <w:rsid w:val="001328B6"/>
    <w:rsid w:val="00151645"/>
    <w:rsid w:val="001568D6"/>
    <w:rsid w:val="0019343F"/>
    <w:rsid w:val="001B0F44"/>
    <w:rsid w:val="001C111C"/>
    <w:rsid w:val="001C1693"/>
    <w:rsid w:val="001C326A"/>
    <w:rsid w:val="001C55C4"/>
    <w:rsid w:val="001D2404"/>
    <w:rsid w:val="001D2D8F"/>
    <w:rsid w:val="001E53E5"/>
    <w:rsid w:val="001E791E"/>
    <w:rsid w:val="001F29C3"/>
    <w:rsid w:val="001F5C46"/>
    <w:rsid w:val="00201CED"/>
    <w:rsid w:val="00204E43"/>
    <w:rsid w:val="002140E7"/>
    <w:rsid w:val="002372A0"/>
    <w:rsid w:val="002452B7"/>
    <w:rsid w:val="002503ED"/>
    <w:rsid w:val="00252AB5"/>
    <w:rsid w:val="002531E0"/>
    <w:rsid w:val="00260FA3"/>
    <w:rsid w:val="0027318C"/>
    <w:rsid w:val="002808B0"/>
    <w:rsid w:val="002879C9"/>
    <w:rsid w:val="002931FA"/>
    <w:rsid w:val="0029324E"/>
    <w:rsid w:val="0029715C"/>
    <w:rsid w:val="002A1715"/>
    <w:rsid w:val="002C39DC"/>
    <w:rsid w:val="002C7671"/>
    <w:rsid w:val="002E2200"/>
    <w:rsid w:val="002E4595"/>
    <w:rsid w:val="002F2D0D"/>
    <w:rsid w:val="002F69E3"/>
    <w:rsid w:val="0030203C"/>
    <w:rsid w:val="00305D51"/>
    <w:rsid w:val="00315E7E"/>
    <w:rsid w:val="0031607F"/>
    <w:rsid w:val="00341419"/>
    <w:rsid w:val="0035257A"/>
    <w:rsid w:val="0039156C"/>
    <w:rsid w:val="003B23F7"/>
    <w:rsid w:val="003C3F06"/>
    <w:rsid w:val="003D7564"/>
    <w:rsid w:val="003E164C"/>
    <w:rsid w:val="003E434D"/>
    <w:rsid w:val="003E79FF"/>
    <w:rsid w:val="003F10BE"/>
    <w:rsid w:val="003F42B1"/>
    <w:rsid w:val="0040104D"/>
    <w:rsid w:val="00403240"/>
    <w:rsid w:val="0040458E"/>
    <w:rsid w:val="00421B92"/>
    <w:rsid w:val="00477A8E"/>
    <w:rsid w:val="004A748A"/>
    <w:rsid w:val="004C23D0"/>
    <w:rsid w:val="004C76A3"/>
    <w:rsid w:val="004D5316"/>
    <w:rsid w:val="004F1CFC"/>
    <w:rsid w:val="005042B4"/>
    <w:rsid w:val="0051104D"/>
    <w:rsid w:val="0051243C"/>
    <w:rsid w:val="00533B10"/>
    <w:rsid w:val="00535BAF"/>
    <w:rsid w:val="005505CD"/>
    <w:rsid w:val="00557953"/>
    <w:rsid w:val="005632FB"/>
    <w:rsid w:val="005679A5"/>
    <w:rsid w:val="005726F3"/>
    <w:rsid w:val="00575E88"/>
    <w:rsid w:val="005768F6"/>
    <w:rsid w:val="005B4563"/>
    <w:rsid w:val="005D3734"/>
    <w:rsid w:val="005D3769"/>
    <w:rsid w:val="00622AB6"/>
    <w:rsid w:val="00665DFE"/>
    <w:rsid w:val="00665FA3"/>
    <w:rsid w:val="0067033F"/>
    <w:rsid w:val="00694509"/>
    <w:rsid w:val="00694B43"/>
    <w:rsid w:val="006A064E"/>
    <w:rsid w:val="006A2CEC"/>
    <w:rsid w:val="006A53C2"/>
    <w:rsid w:val="006B0310"/>
    <w:rsid w:val="006E2191"/>
    <w:rsid w:val="006E6401"/>
    <w:rsid w:val="006E7081"/>
    <w:rsid w:val="006F69D2"/>
    <w:rsid w:val="00710C0C"/>
    <w:rsid w:val="007152D1"/>
    <w:rsid w:val="007316F4"/>
    <w:rsid w:val="00731985"/>
    <w:rsid w:val="007332C9"/>
    <w:rsid w:val="00742AE8"/>
    <w:rsid w:val="007440E0"/>
    <w:rsid w:val="0074733E"/>
    <w:rsid w:val="00750FD0"/>
    <w:rsid w:val="00752237"/>
    <w:rsid w:val="00754223"/>
    <w:rsid w:val="00754A8C"/>
    <w:rsid w:val="007675BE"/>
    <w:rsid w:val="00777708"/>
    <w:rsid w:val="007A5B0B"/>
    <w:rsid w:val="007A61D6"/>
    <w:rsid w:val="007B5A0D"/>
    <w:rsid w:val="007D22A2"/>
    <w:rsid w:val="007E1E33"/>
    <w:rsid w:val="007E74D9"/>
    <w:rsid w:val="007F4F04"/>
    <w:rsid w:val="008066F9"/>
    <w:rsid w:val="008104D5"/>
    <w:rsid w:val="00822AB4"/>
    <w:rsid w:val="00826A08"/>
    <w:rsid w:val="008346BE"/>
    <w:rsid w:val="00843EBD"/>
    <w:rsid w:val="0084561D"/>
    <w:rsid w:val="0087243C"/>
    <w:rsid w:val="00884EAD"/>
    <w:rsid w:val="008875CF"/>
    <w:rsid w:val="00893CC4"/>
    <w:rsid w:val="008A4F0E"/>
    <w:rsid w:val="008A7A31"/>
    <w:rsid w:val="008B4E62"/>
    <w:rsid w:val="008B7AB7"/>
    <w:rsid w:val="008C5BEF"/>
    <w:rsid w:val="008D6A96"/>
    <w:rsid w:val="008E321E"/>
    <w:rsid w:val="008F1E84"/>
    <w:rsid w:val="008F3953"/>
    <w:rsid w:val="0090315C"/>
    <w:rsid w:val="00906A43"/>
    <w:rsid w:val="00914E85"/>
    <w:rsid w:val="00940CE2"/>
    <w:rsid w:val="00957729"/>
    <w:rsid w:val="009C2596"/>
    <w:rsid w:val="009C6B58"/>
    <w:rsid w:val="009F1585"/>
    <w:rsid w:val="00A102A1"/>
    <w:rsid w:val="00A11F49"/>
    <w:rsid w:val="00A3260A"/>
    <w:rsid w:val="00A346DC"/>
    <w:rsid w:val="00A41C61"/>
    <w:rsid w:val="00A516AF"/>
    <w:rsid w:val="00A5505D"/>
    <w:rsid w:val="00A65A34"/>
    <w:rsid w:val="00A70F48"/>
    <w:rsid w:val="00A77B3E"/>
    <w:rsid w:val="00A90199"/>
    <w:rsid w:val="00A969D2"/>
    <w:rsid w:val="00AC6F2C"/>
    <w:rsid w:val="00AD05D2"/>
    <w:rsid w:val="00AE5ABD"/>
    <w:rsid w:val="00AE6F93"/>
    <w:rsid w:val="00AF6A7D"/>
    <w:rsid w:val="00B03B7F"/>
    <w:rsid w:val="00B20576"/>
    <w:rsid w:val="00B20DBF"/>
    <w:rsid w:val="00B4208F"/>
    <w:rsid w:val="00B423F0"/>
    <w:rsid w:val="00B4264D"/>
    <w:rsid w:val="00B43EB1"/>
    <w:rsid w:val="00B505D8"/>
    <w:rsid w:val="00B5359C"/>
    <w:rsid w:val="00B5509D"/>
    <w:rsid w:val="00B64D05"/>
    <w:rsid w:val="00B64F6D"/>
    <w:rsid w:val="00B77C86"/>
    <w:rsid w:val="00B8310D"/>
    <w:rsid w:val="00B8570E"/>
    <w:rsid w:val="00B903E5"/>
    <w:rsid w:val="00B92777"/>
    <w:rsid w:val="00B96277"/>
    <w:rsid w:val="00BA15F0"/>
    <w:rsid w:val="00BA46AE"/>
    <w:rsid w:val="00BA6FCE"/>
    <w:rsid w:val="00BB3E3B"/>
    <w:rsid w:val="00BC6A73"/>
    <w:rsid w:val="00BC6F3B"/>
    <w:rsid w:val="00BD5133"/>
    <w:rsid w:val="00BF5AB9"/>
    <w:rsid w:val="00C13F38"/>
    <w:rsid w:val="00C20E75"/>
    <w:rsid w:val="00C2348F"/>
    <w:rsid w:val="00C26851"/>
    <w:rsid w:val="00C34A25"/>
    <w:rsid w:val="00C37DD6"/>
    <w:rsid w:val="00C46AFC"/>
    <w:rsid w:val="00C47DF9"/>
    <w:rsid w:val="00C60925"/>
    <w:rsid w:val="00C62517"/>
    <w:rsid w:val="00C826ED"/>
    <w:rsid w:val="00C8340F"/>
    <w:rsid w:val="00C874E1"/>
    <w:rsid w:val="00C90B69"/>
    <w:rsid w:val="00C930A0"/>
    <w:rsid w:val="00C9383C"/>
    <w:rsid w:val="00CA2A55"/>
    <w:rsid w:val="00CD18CC"/>
    <w:rsid w:val="00CD33C4"/>
    <w:rsid w:val="00CD6078"/>
    <w:rsid w:val="00CD74AA"/>
    <w:rsid w:val="00CF0390"/>
    <w:rsid w:val="00CF4123"/>
    <w:rsid w:val="00CF58DD"/>
    <w:rsid w:val="00D22D5C"/>
    <w:rsid w:val="00D24F83"/>
    <w:rsid w:val="00D26E34"/>
    <w:rsid w:val="00D36C11"/>
    <w:rsid w:val="00D65202"/>
    <w:rsid w:val="00D72761"/>
    <w:rsid w:val="00D747E3"/>
    <w:rsid w:val="00DB234E"/>
    <w:rsid w:val="00DC7877"/>
    <w:rsid w:val="00DD265B"/>
    <w:rsid w:val="00DD6EA4"/>
    <w:rsid w:val="00DE244F"/>
    <w:rsid w:val="00E0250C"/>
    <w:rsid w:val="00E02CD7"/>
    <w:rsid w:val="00E12EEF"/>
    <w:rsid w:val="00E13658"/>
    <w:rsid w:val="00E154C5"/>
    <w:rsid w:val="00E272AB"/>
    <w:rsid w:val="00E442AE"/>
    <w:rsid w:val="00E47C55"/>
    <w:rsid w:val="00E64022"/>
    <w:rsid w:val="00E73E3E"/>
    <w:rsid w:val="00E8101D"/>
    <w:rsid w:val="00E85142"/>
    <w:rsid w:val="00E902C5"/>
    <w:rsid w:val="00E92073"/>
    <w:rsid w:val="00EB6A9B"/>
    <w:rsid w:val="00ED7A6F"/>
    <w:rsid w:val="00EF6616"/>
    <w:rsid w:val="00F5451A"/>
    <w:rsid w:val="00F842E3"/>
    <w:rsid w:val="00F95481"/>
    <w:rsid w:val="00F9723B"/>
    <w:rsid w:val="00F975A7"/>
    <w:rsid w:val="00FA1AE4"/>
    <w:rsid w:val="00FC0AE9"/>
    <w:rsid w:val="00FC253E"/>
    <w:rsid w:val="00FE56FE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12751"/>
  <w15:docId w15:val="{244235D5-6657-2940-9527-242EEEFC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2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542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542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4223"/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54223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54223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422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754223"/>
  </w:style>
  <w:style w:type="character" w:styleId="Hyperlink">
    <w:name w:val="Hyperlink"/>
    <w:basedOn w:val="DefaultParagraphFont"/>
    <w:rsid w:val="00056F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9324E"/>
    <w:rPr>
      <w:sz w:val="21"/>
      <w:szCs w:val="21"/>
    </w:rPr>
  </w:style>
  <w:style w:type="paragraph" w:styleId="CommentText">
    <w:name w:val="annotation text"/>
    <w:basedOn w:val="Normal"/>
    <w:link w:val="CommentTextChar"/>
    <w:rsid w:val="0029324E"/>
  </w:style>
  <w:style w:type="character" w:customStyle="1" w:styleId="CommentTextChar">
    <w:name w:val="Comment Text Char"/>
    <w:basedOn w:val="DefaultParagraphFont"/>
    <w:link w:val="CommentText"/>
    <w:rsid w:val="002932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24E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74733E"/>
  </w:style>
  <w:style w:type="table" w:styleId="TableGrid">
    <w:name w:val="Table Grid"/>
    <w:basedOn w:val="TableNormal"/>
    <w:rsid w:val="001E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3658"/>
    <w:rPr>
      <w:sz w:val="24"/>
      <w:szCs w:val="24"/>
    </w:rPr>
  </w:style>
  <w:style w:type="paragraph" w:styleId="BalloonText">
    <w:name w:val="Balloon Text"/>
    <w:basedOn w:val="Normal"/>
    <w:link w:val="BalloonTextChar"/>
    <w:rsid w:val="00B85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7379</Words>
  <Characters>42582</Characters>
  <Application>Microsoft Office Word</Application>
  <DocSecurity>0</DocSecurity>
  <Lines>834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</dc:creator>
  <cp:lastModifiedBy>Donna Fox</cp:lastModifiedBy>
  <cp:revision>2</cp:revision>
  <dcterms:created xsi:type="dcterms:W3CDTF">2024-02-24T03:49:00Z</dcterms:created>
  <dcterms:modified xsi:type="dcterms:W3CDTF">2024-02-24T03:49:00Z</dcterms:modified>
</cp:coreProperties>
</file>