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8D" w:rsidRPr="00BF3C3C" w:rsidRDefault="002A4F8D" w:rsidP="002A4F8D">
      <w:pPr>
        <w:spacing w:line="360" w:lineRule="auto"/>
        <w:jc w:val="left"/>
        <w:rPr>
          <w:rFonts w:ascii="Book Antiqua" w:hAnsi="Book Antiqua" w:cs="Tahoma"/>
          <w:b/>
          <w:color w:val="000000"/>
          <w:sz w:val="24"/>
          <w:szCs w:val="24"/>
        </w:rPr>
      </w:pPr>
      <w:bookmarkStart w:id="0" w:name="OLE_LINK313"/>
      <w:bookmarkStart w:id="1" w:name="OLE_LINK319"/>
      <w:bookmarkStart w:id="2" w:name="OLE_LINK320"/>
      <w:bookmarkStart w:id="3" w:name="OLE_LINK355"/>
      <w:r w:rsidRPr="00BF3C3C">
        <w:rPr>
          <w:rFonts w:ascii="Book Antiqua" w:hAnsi="Book Antiqua" w:cs="Tahoma"/>
          <w:b/>
          <w:color w:val="0000FF"/>
          <w:sz w:val="24"/>
          <w:szCs w:val="24"/>
        </w:rPr>
        <w:t xml:space="preserve">Name of journal: </w:t>
      </w:r>
      <w:r w:rsidRPr="00BF3C3C">
        <w:rPr>
          <w:rFonts w:ascii="Book Antiqua" w:hAnsi="Book Antiqua" w:cs="Tahoma"/>
          <w:b/>
          <w:color w:val="000000"/>
          <w:sz w:val="24"/>
          <w:szCs w:val="24"/>
        </w:rPr>
        <w:t>World Journal of Gastroenterology</w:t>
      </w:r>
    </w:p>
    <w:p w:rsidR="002A4F8D" w:rsidRPr="00BF3C3C" w:rsidRDefault="002A4F8D" w:rsidP="002A4F8D">
      <w:pPr>
        <w:spacing w:line="360" w:lineRule="auto"/>
        <w:rPr>
          <w:rFonts w:ascii="Book Antiqua" w:eastAsia="宋体" w:hAnsi="Book Antiqua" w:cs="Tahoma"/>
          <w:b/>
          <w:color w:val="0000FF"/>
          <w:sz w:val="24"/>
          <w:szCs w:val="24"/>
          <w:lang w:eastAsia="zh-CN"/>
        </w:rPr>
      </w:pPr>
      <w:r w:rsidRPr="00BF3C3C">
        <w:rPr>
          <w:rFonts w:ascii="Book Antiqua" w:hAnsi="Book Antiqua" w:cs="Tahoma"/>
          <w:b/>
          <w:color w:val="0000FF"/>
          <w:sz w:val="24"/>
          <w:szCs w:val="24"/>
        </w:rPr>
        <w:t>ESPS Manuscript NO:</w:t>
      </w:r>
      <w:r w:rsidRPr="00BF3C3C">
        <w:rPr>
          <w:rFonts w:ascii="Book Antiqua" w:eastAsia="宋体" w:hAnsi="Book Antiqua" w:cs="Tahoma"/>
          <w:b/>
          <w:color w:val="0000FF"/>
          <w:sz w:val="24"/>
          <w:szCs w:val="24"/>
          <w:lang w:eastAsia="zh-CN"/>
        </w:rPr>
        <w:t xml:space="preserve"> 9097</w:t>
      </w:r>
    </w:p>
    <w:bookmarkEnd w:id="0"/>
    <w:bookmarkEnd w:id="1"/>
    <w:bookmarkEnd w:id="2"/>
    <w:bookmarkEnd w:id="3"/>
    <w:p w:rsidR="002A4F8D" w:rsidRPr="00BF3C3C" w:rsidRDefault="002A4F8D" w:rsidP="00D2270A">
      <w:pPr>
        <w:spacing w:line="360" w:lineRule="auto"/>
        <w:rPr>
          <w:rFonts w:ascii="Book Antiqua" w:hAnsi="Book Antiqua"/>
          <w:b/>
          <w:color w:val="000000"/>
          <w:sz w:val="24"/>
          <w:szCs w:val="24"/>
        </w:rPr>
      </w:pPr>
      <w:r w:rsidRPr="00BF3C3C">
        <w:rPr>
          <w:rFonts w:ascii="Book Antiqua" w:hAnsi="Book Antiqua" w:cs="Tahoma"/>
          <w:b/>
          <w:color w:val="0000FF"/>
          <w:sz w:val="24"/>
          <w:szCs w:val="24"/>
        </w:rPr>
        <w:t>Columns:</w:t>
      </w:r>
      <w:r w:rsidR="009D60D7" w:rsidRPr="00BF3C3C">
        <w:rPr>
          <w:rFonts w:ascii="Book Antiqua" w:hAnsi="Book Antiqua"/>
          <w:sz w:val="24"/>
          <w:szCs w:val="24"/>
        </w:rPr>
        <w:t xml:space="preserve"> </w:t>
      </w:r>
      <w:r w:rsidR="009D60D7" w:rsidRPr="00BF3C3C">
        <w:rPr>
          <w:rFonts w:ascii="Book Antiqua" w:hAnsi="Book Antiqua"/>
          <w:b/>
          <w:color w:val="000000"/>
          <w:sz w:val="24"/>
          <w:szCs w:val="24"/>
        </w:rPr>
        <w:t>RETROSPECTIVE STUDY</w:t>
      </w:r>
    </w:p>
    <w:p w:rsidR="002A4F8D" w:rsidRPr="00BF3C3C" w:rsidRDefault="002A4F8D" w:rsidP="002A4F8D">
      <w:pPr>
        <w:widowControl/>
        <w:wordWrap/>
        <w:autoSpaceDE/>
        <w:autoSpaceDN/>
        <w:spacing w:line="360" w:lineRule="auto"/>
        <w:rPr>
          <w:rFonts w:ascii="Book Antiqua" w:eastAsia="宋体" w:hAnsi="Book Antiqua"/>
          <w:sz w:val="24"/>
          <w:szCs w:val="24"/>
          <w:lang w:eastAsia="zh-CN"/>
        </w:rPr>
      </w:pPr>
    </w:p>
    <w:p w:rsidR="00AF11FD" w:rsidRPr="00BF3C3C" w:rsidRDefault="00BF0DAF" w:rsidP="002A4F8D">
      <w:pPr>
        <w:widowControl/>
        <w:wordWrap/>
        <w:autoSpaceDE/>
        <w:autoSpaceDN/>
        <w:spacing w:line="360" w:lineRule="auto"/>
        <w:rPr>
          <w:rFonts w:ascii="Book Antiqua" w:hAnsi="Book Antiqua" w:cs="Times New Roman"/>
          <w:b/>
          <w:sz w:val="24"/>
          <w:szCs w:val="24"/>
        </w:rPr>
      </w:pPr>
      <w:r w:rsidRPr="00BF3C3C">
        <w:rPr>
          <w:rFonts w:ascii="Book Antiqua" w:hAnsi="Book Antiqua" w:cs="Times New Roman"/>
          <w:b/>
          <w:sz w:val="24"/>
          <w:szCs w:val="24"/>
        </w:rPr>
        <w:t>Effect of</w:t>
      </w:r>
      <w:r w:rsidR="009D60D7" w:rsidRPr="00BF3C3C">
        <w:rPr>
          <w:rFonts w:ascii="Book Antiqua" w:hAnsi="Book Antiqua" w:cs="Times New Roman"/>
          <w:b/>
          <w:sz w:val="24"/>
          <w:szCs w:val="24"/>
        </w:rPr>
        <w:t xml:space="preserve"> gastric acid suppressants and prokinetics on peritoneal d</w:t>
      </w:r>
      <w:r w:rsidR="00ED1ED9" w:rsidRPr="00BF3C3C">
        <w:rPr>
          <w:rFonts w:ascii="Book Antiqua" w:hAnsi="Book Antiqua" w:cs="Times New Roman"/>
          <w:b/>
          <w:sz w:val="24"/>
          <w:szCs w:val="24"/>
        </w:rPr>
        <w:t xml:space="preserve">ialysis-related </w:t>
      </w:r>
      <w:r w:rsidR="00456CE5" w:rsidRPr="00BF3C3C">
        <w:rPr>
          <w:rFonts w:ascii="Book Antiqua" w:hAnsi="Book Antiqua" w:cs="Times New Roman"/>
          <w:b/>
          <w:sz w:val="24"/>
          <w:szCs w:val="24"/>
        </w:rPr>
        <w:t>peritonitis</w:t>
      </w:r>
    </w:p>
    <w:p w:rsidR="00A5165D" w:rsidRPr="00BF3C3C" w:rsidRDefault="00A5165D" w:rsidP="002A4F8D">
      <w:pPr>
        <w:widowControl/>
        <w:wordWrap/>
        <w:autoSpaceDE/>
        <w:autoSpaceDN/>
        <w:spacing w:line="360" w:lineRule="auto"/>
        <w:rPr>
          <w:rFonts w:ascii="Book Antiqua" w:hAnsi="Book Antiqua" w:cs="Times New Roman"/>
          <w:b/>
          <w:sz w:val="24"/>
          <w:szCs w:val="24"/>
        </w:rPr>
      </w:pPr>
    </w:p>
    <w:p w:rsidR="00A5165D" w:rsidRPr="00BF3C3C" w:rsidRDefault="002A4F8D" w:rsidP="002A4F8D">
      <w:pPr>
        <w:wordWrap/>
        <w:spacing w:line="360" w:lineRule="auto"/>
        <w:rPr>
          <w:rFonts w:ascii="Book Antiqua" w:hAnsi="Book Antiqua" w:cs="Times New Roman"/>
          <w:sz w:val="24"/>
          <w:szCs w:val="24"/>
        </w:rPr>
      </w:pPr>
      <w:r w:rsidRPr="00BF3C3C">
        <w:rPr>
          <w:rFonts w:ascii="Book Antiqua" w:hAnsi="Book Antiqua" w:cs="Times New Roman"/>
          <w:sz w:val="24"/>
          <w:szCs w:val="24"/>
        </w:rPr>
        <w:t xml:space="preserve">Kwon </w:t>
      </w:r>
      <w:r w:rsidRPr="00BF3C3C">
        <w:rPr>
          <w:rFonts w:ascii="Book Antiqua" w:eastAsia="宋体" w:hAnsi="Book Antiqua" w:cs="Times New Roman"/>
          <w:sz w:val="24"/>
          <w:szCs w:val="24"/>
          <w:lang w:eastAsia="zh-CN"/>
        </w:rPr>
        <w:t>JE</w:t>
      </w:r>
      <w:r w:rsidRPr="00BF3C3C">
        <w:rPr>
          <w:rFonts w:ascii="Book Antiqua" w:eastAsia="宋体" w:hAnsi="Book Antiqua" w:cs="Times New Roman"/>
          <w:i/>
          <w:sz w:val="24"/>
          <w:szCs w:val="24"/>
          <w:lang w:eastAsia="zh-CN"/>
        </w:rPr>
        <w:t xml:space="preserve"> et al.</w:t>
      </w:r>
      <w:r w:rsidRPr="00BF3C3C">
        <w:rPr>
          <w:rFonts w:ascii="Book Antiqua" w:eastAsia="宋体" w:hAnsi="Book Antiqua" w:cs="Times New Roman"/>
          <w:sz w:val="24"/>
          <w:szCs w:val="24"/>
          <w:lang w:eastAsia="zh-CN"/>
        </w:rPr>
        <w:t xml:space="preserve"> </w:t>
      </w:r>
      <w:r w:rsidR="00A5165D" w:rsidRPr="00BF3C3C">
        <w:rPr>
          <w:rFonts w:ascii="Book Antiqua" w:hAnsi="Book Antiqua" w:cs="Times New Roman"/>
          <w:sz w:val="24"/>
          <w:szCs w:val="24"/>
        </w:rPr>
        <w:t>Drug effects on PD related peritonitis</w:t>
      </w:r>
    </w:p>
    <w:p w:rsidR="00BF0DAF" w:rsidRPr="00BF3C3C" w:rsidRDefault="00BF0DAF" w:rsidP="002A4F8D">
      <w:pPr>
        <w:widowControl/>
        <w:wordWrap/>
        <w:autoSpaceDE/>
        <w:autoSpaceDN/>
        <w:spacing w:line="360" w:lineRule="auto"/>
        <w:rPr>
          <w:rFonts w:ascii="Book Antiqua" w:hAnsi="Book Antiqua" w:cs="Times New Roman"/>
          <w:b/>
          <w:sz w:val="24"/>
          <w:szCs w:val="24"/>
        </w:rPr>
      </w:pPr>
    </w:p>
    <w:p w:rsidR="0003387F" w:rsidRPr="00BF3C3C" w:rsidRDefault="00BF0DAF" w:rsidP="002A4F8D">
      <w:pPr>
        <w:wordWrap/>
        <w:spacing w:line="360" w:lineRule="auto"/>
        <w:rPr>
          <w:rFonts w:ascii="Book Antiqua" w:eastAsia="宋体" w:hAnsi="Book Antiqua" w:cs="Times New Roman"/>
          <w:kern w:val="0"/>
          <w:sz w:val="24"/>
          <w:szCs w:val="24"/>
          <w:lang w:eastAsia="zh-CN"/>
        </w:rPr>
      </w:pPr>
      <w:r w:rsidRPr="00BF3C3C">
        <w:rPr>
          <w:rFonts w:ascii="Book Antiqua" w:hAnsi="Book Antiqua" w:cs="Times New Roman"/>
          <w:sz w:val="24"/>
          <w:szCs w:val="24"/>
        </w:rPr>
        <w:t>Ji Eun</w:t>
      </w:r>
      <w:r w:rsidR="00AF11FD" w:rsidRPr="00BF3C3C">
        <w:rPr>
          <w:rFonts w:ascii="Book Antiqua" w:hAnsi="Book Antiqua" w:cs="Times New Roman"/>
          <w:sz w:val="24"/>
          <w:szCs w:val="24"/>
        </w:rPr>
        <w:t xml:space="preserve"> Kwon</w:t>
      </w:r>
      <w:r w:rsidR="00B664E5" w:rsidRPr="00BF3C3C">
        <w:rPr>
          <w:rFonts w:ascii="Book Antiqua" w:eastAsia="Gulim" w:hAnsi="Book Antiqua" w:cs="Times New Roman"/>
          <w:kern w:val="0"/>
          <w:sz w:val="24"/>
          <w:szCs w:val="24"/>
        </w:rPr>
        <w:t>,</w:t>
      </w:r>
      <w:r w:rsidR="00AF11FD" w:rsidRPr="00BF3C3C">
        <w:rPr>
          <w:rFonts w:ascii="Book Antiqua" w:eastAsia="Gulim" w:hAnsi="Book Antiqua" w:cs="Times New Roman"/>
          <w:kern w:val="0"/>
          <w:sz w:val="24"/>
          <w:szCs w:val="24"/>
        </w:rPr>
        <w:t xml:space="preserve"> </w:t>
      </w:r>
      <w:hyperlink r:id="rId9" w:history="1">
        <w:r w:rsidR="00734B90" w:rsidRPr="00BF3C3C">
          <w:rPr>
            <w:rFonts w:ascii="Book Antiqua" w:eastAsia="Gulim" w:hAnsi="Book Antiqua" w:cs="Times New Roman"/>
            <w:kern w:val="0"/>
            <w:sz w:val="24"/>
            <w:szCs w:val="24"/>
          </w:rPr>
          <w:t>Seong-Joon Koh</w:t>
        </w:r>
      </w:hyperlink>
      <w:r w:rsidR="00734B90" w:rsidRPr="00BF3C3C">
        <w:rPr>
          <w:rFonts w:ascii="Book Antiqua" w:hAnsi="Book Antiqua" w:cs="Times New Roman"/>
          <w:sz w:val="24"/>
          <w:szCs w:val="24"/>
        </w:rPr>
        <w:t>,</w:t>
      </w:r>
      <w:r w:rsidR="002947E2" w:rsidRPr="00BF3C3C">
        <w:rPr>
          <w:rFonts w:ascii="Book Antiqua" w:hAnsi="Book Antiqua" w:cs="Times New Roman"/>
          <w:sz w:val="24"/>
          <w:szCs w:val="24"/>
        </w:rPr>
        <w:t xml:space="preserve"> Jaeyoung Chun,</w:t>
      </w:r>
      <w:r w:rsidR="00734B90" w:rsidRPr="00BF3C3C">
        <w:rPr>
          <w:rFonts w:ascii="Book Antiqua" w:hAnsi="Book Antiqua" w:cs="Times New Roman"/>
          <w:sz w:val="24"/>
          <w:szCs w:val="24"/>
        </w:rPr>
        <w:t xml:space="preserve"> Ji Won Kim, Byeong Gwan Kim, Kook Lae Lee, </w:t>
      </w:r>
      <w:r w:rsidR="00734B90" w:rsidRPr="00BF3C3C">
        <w:rPr>
          <w:rFonts w:ascii="Book Antiqua" w:eastAsia="Gulim" w:hAnsi="Book Antiqua" w:cs="Times New Roman"/>
          <w:kern w:val="0"/>
          <w:sz w:val="24"/>
          <w:szCs w:val="24"/>
        </w:rPr>
        <w:t>Jong Pil Im, Joo Sung Kim, Hyun Chae Jung</w:t>
      </w:r>
    </w:p>
    <w:p w:rsidR="00AF11FD" w:rsidRPr="00BF3C3C" w:rsidRDefault="00CC29E4" w:rsidP="002A4F8D">
      <w:pPr>
        <w:wordWrap/>
        <w:spacing w:line="360" w:lineRule="auto"/>
        <w:rPr>
          <w:rFonts w:ascii="Book Antiqua" w:hAnsi="Book Antiqua" w:cs="Times New Roman"/>
          <w:sz w:val="24"/>
          <w:szCs w:val="24"/>
        </w:rPr>
      </w:pPr>
      <w:r>
        <w:rPr>
          <w:rFonts w:ascii="Book Antiqua" w:hAnsi="Book Antiqua" w:cs="Times New Roman"/>
          <w:noProof/>
          <w:sz w:val="24"/>
          <w:szCs w:val="24"/>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120649</wp:posOffset>
                </wp:positionV>
                <wp:extent cx="578167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5pt" to="455.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" strokecolor="gray" strokeweight="3pt"/>
            </w:pict>
          </mc:Fallback>
        </mc:AlternateContent>
      </w:r>
    </w:p>
    <w:p w:rsidR="00AF11FD" w:rsidRPr="00BF3C3C" w:rsidRDefault="0003387F" w:rsidP="002A4F8D">
      <w:pPr>
        <w:wordWrap/>
        <w:spacing w:line="360" w:lineRule="auto"/>
        <w:rPr>
          <w:rFonts w:ascii="Book Antiqua" w:eastAsia="宋体" w:hAnsi="Book Antiqua" w:cs="Times New Roman"/>
          <w:sz w:val="24"/>
          <w:szCs w:val="24"/>
          <w:lang w:eastAsia="zh-CN"/>
        </w:rPr>
      </w:pPr>
      <w:r w:rsidRPr="00BF3C3C">
        <w:rPr>
          <w:rFonts w:ascii="Book Antiqua" w:hAnsi="Book Antiqua" w:cs="Times New Roman"/>
          <w:b/>
          <w:sz w:val="24"/>
          <w:szCs w:val="24"/>
        </w:rPr>
        <w:t>Ji Eun Kwon</w:t>
      </w:r>
      <w:r w:rsidRPr="00BF3C3C">
        <w:rPr>
          <w:rFonts w:ascii="Book Antiqua" w:eastAsia="Gulim" w:hAnsi="Book Antiqua" w:cs="Times New Roman"/>
          <w:b/>
          <w:kern w:val="0"/>
          <w:sz w:val="24"/>
          <w:szCs w:val="24"/>
        </w:rPr>
        <w:t xml:space="preserve">, </w:t>
      </w:r>
      <w:r w:rsidRPr="00BF3C3C">
        <w:rPr>
          <w:rFonts w:ascii="Book Antiqua" w:hAnsi="Book Antiqua" w:cs="Times New Roman"/>
          <w:b/>
          <w:sz w:val="24"/>
          <w:szCs w:val="24"/>
        </w:rPr>
        <w:t xml:space="preserve">Jaeyoung Chun, </w:t>
      </w:r>
      <w:r w:rsidRPr="00BF3C3C">
        <w:rPr>
          <w:rFonts w:ascii="Book Antiqua" w:eastAsia="Gulim" w:hAnsi="Book Antiqua" w:cs="Times New Roman"/>
          <w:b/>
          <w:kern w:val="0"/>
          <w:sz w:val="24"/>
          <w:szCs w:val="24"/>
        </w:rPr>
        <w:t>Jong Pil Im, Joo Sung Kim, Hyun Chae Jung</w:t>
      </w:r>
      <w:r w:rsidRPr="00BF3C3C">
        <w:rPr>
          <w:rFonts w:ascii="Book Antiqua" w:eastAsia="宋体" w:hAnsi="Book Antiqua" w:cs="Times New Roman"/>
          <w:b/>
          <w:sz w:val="24"/>
          <w:szCs w:val="24"/>
          <w:lang w:eastAsia="zh-CN"/>
        </w:rPr>
        <w:t xml:space="preserve">, </w:t>
      </w:r>
      <w:r w:rsidR="00A5165D" w:rsidRPr="00BF3C3C">
        <w:rPr>
          <w:rFonts w:ascii="Book Antiqua" w:hAnsi="Book Antiqua" w:cs="Times New Roman"/>
          <w:sz w:val="24"/>
          <w:szCs w:val="24"/>
        </w:rPr>
        <w:t xml:space="preserve">Department of Internal Medicine and Liver Research Institute, Seoul National University College of Medicine, Seoul 110-799, </w:t>
      </w:r>
      <w:r w:rsidR="00CA6867" w:rsidRPr="00BF3C3C">
        <w:rPr>
          <w:rFonts w:ascii="Book Antiqua" w:eastAsia="宋体" w:hAnsi="Book Antiqua" w:cs="Times New Roman"/>
          <w:sz w:val="24"/>
          <w:szCs w:val="24"/>
          <w:lang w:eastAsia="zh-CN"/>
        </w:rPr>
        <w:t xml:space="preserve">South </w:t>
      </w:r>
      <w:r w:rsidR="00A5165D" w:rsidRPr="00BF3C3C">
        <w:rPr>
          <w:rFonts w:ascii="Book Antiqua" w:hAnsi="Book Antiqua" w:cs="Times New Roman"/>
          <w:sz w:val="24"/>
          <w:szCs w:val="24"/>
        </w:rPr>
        <w:t>Korea</w:t>
      </w:r>
    </w:p>
    <w:p w:rsidR="0003387F" w:rsidRPr="00BF3C3C" w:rsidRDefault="0003387F" w:rsidP="002A4F8D">
      <w:pPr>
        <w:wordWrap/>
        <w:spacing w:line="360" w:lineRule="auto"/>
        <w:rPr>
          <w:rFonts w:ascii="Book Antiqua" w:eastAsia="宋体" w:hAnsi="Book Antiqua" w:cs="Times New Roman"/>
          <w:sz w:val="24"/>
          <w:szCs w:val="24"/>
          <w:lang w:eastAsia="zh-CN"/>
        </w:rPr>
      </w:pPr>
    </w:p>
    <w:p w:rsidR="00CA6867" w:rsidRPr="00BF3C3C" w:rsidRDefault="009E19A6" w:rsidP="00CA6867">
      <w:pPr>
        <w:wordWrap/>
        <w:spacing w:line="360" w:lineRule="auto"/>
        <w:rPr>
          <w:rFonts w:ascii="Book Antiqua" w:eastAsia="宋体" w:hAnsi="Book Antiqua" w:cs="Times New Roman"/>
          <w:sz w:val="24"/>
          <w:szCs w:val="24"/>
          <w:lang w:eastAsia="zh-CN"/>
        </w:rPr>
      </w:pPr>
      <w:hyperlink r:id="rId10" w:history="1">
        <w:r w:rsidR="0003387F" w:rsidRPr="00BF3C3C">
          <w:rPr>
            <w:rFonts w:ascii="Book Antiqua" w:eastAsia="Gulim" w:hAnsi="Book Antiqua" w:cs="Times New Roman"/>
            <w:b/>
            <w:kern w:val="0"/>
            <w:sz w:val="24"/>
            <w:szCs w:val="24"/>
          </w:rPr>
          <w:t>Seong-Joon Koh</w:t>
        </w:r>
      </w:hyperlink>
      <w:r w:rsidR="0003387F" w:rsidRPr="00BF3C3C">
        <w:rPr>
          <w:rFonts w:ascii="Book Antiqua" w:hAnsi="Book Antiqua" w:cs="Times New Roman"/>
          <w:b/>
          <w:sz w:val="24"/>
          <w:szCs w:val="24"/>
        </w:rPr>
        <w:t>, Ji Won Kim, Byeong Gwan Kim, Kook Lae Lee,</w:t>
      </w:r>
      <w:r w:rsidR="0003387F" w:rsidRPr="00BF3C3C">
        <w:rPr>
          <w:rFonts w:ascii="Book Antiqua" w:eastAsia="宋体" w:hAnsi="Book Antiqua" w:cs="Times New Roman"/>
          <w:b/>
          <w:sz w:val="24"/>
          <w:szCs w:val="24"/>
          <w:lang w:eastAsia="zh-CN"/>
        </w:rPr>
        <w:t xml:space="preserve"> </w:t>
      </w:r>
      <w:r w:rsidR="00A5165D" w:rsidRPr="00BF3C3C">
        <w:rPr>
          <w:rFonts w:ascii="Book Antiqua" w:hAnsi="Book Antiqua" w:cs="Times New Roman"/>
          <w:sz w:val="24"/>
          <w:szCs w:val="24"/>
        </w:rPr>
        <w:t>Department of Internal Medicine, Seoul National Uni</w:t>
      </w:r>
      <w:r w:rsidR="009D60D7">
        <w:rPr>
          <w:rFonts w:ascii="Book Antiqua" w:hAnsi="Book Antiqua" w:cs="Times New Roman"/>
          <w:sz w:val="24"/>
          <w:szCs w:val="24"/>
        </w:rPr>
        <w:t>versity Boramae Hospital, Seoul</w:t>
      </w:r>
      <w:r w:rsidR="00A5165D" w:rsidRPr="00BF3C3C">
        <w:rPr>
          <w:rFonts w:ascii="Book Antiqua" w:hAnsi="Book Antiqua" w:cs="Times New Roman"/>
          <w:sz w:val="24"/>
          <w:szCs w:val="24"/>
        </w:rPr>
        <w:t xml:space="preserve"> 156-707, </w:t>
      </w:r>
      <w:r w:rsidR="00CA6867" w:rsidRPr="00BF3C3C">
        <w:rPr>
          <w:rFonts w:ascii="Book Antiqua" w:eastAsia="宋体" w:hAnsi="Book Antiqua" w:cs="Times New Roman"/>
          <w:sz w:val="24"/>
          <w:szCs w:val="24"/>
          <w:lang w:eastAsia="zh-CN"/>
        </w:rPr>
        <w:t xml:space="preserve">South </w:t>
      </w:r>
      <w:r w:rsidR="00CA6867" w:rsidRPr="00BF3C3C">
        <w:rPr>
          <w:rFonts w:ascii="Book Antiqua" w:hAnsi="Book Antiqua" w:cs="Times New Roman"/>
          <w:sz w:val="24"/>
          <w:szCs w:val="24"/>
        </w:rPr>
        <w:t>Korea</w:t>
      </w:r>
    </w:p>
    <w:p w:rsidR="00EF073F" w:rsidRPr="00BF3C3C" w:rsidRDefault="00EF073F" w:rsidP="002A4F8D">
      <w:pPr>
        <w:wordWrap/>
        <w:spacing w:line="360" w:lineRule="auto"/>
        <w:rPr>
          <w:rFonts w:ascii="Book Antiqua" w:eastAsia="宋体" w:hAnsi="Book Antiqua" w:cs="Times New Roman"/>
          <w:b/>
          <w:sz w:val="24"/>
          <w:szCs w:val="24"/>
          <w:lang w:eastAsia="zh-CN"/>
        </w:rPr>
      </w:pPr>
    </w:p>
    <w:p w:rsidR="00734B90" w:rsidRPr="00BF3C3C" w:rsidRDefault="00CA6867" w:rsidP="00CA6867">
      <w:pPr>
        <w:spacing w:line="360" w:lineRule="auto"/>
        <w:rPr>
          <w:rFonts w:ascii="Book Antiqua" w:hAnsi="Book Antiqua"/>
          <w:b/>
          <w:sz w:val="24"/>
          <w:szCs w:val="24"/>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96"/>
      <w:r w:rsidRPr="00BF3C3C">
        <w:rPr>
          <w:rFonts w:ascii="Book Antiqua" w:eastAsia="MS Mincho" w:hAnsi="Book Antiqua"/>
          <w:b/>
          <w:sz w:val="24"/>
          <w:szCs w:val="24"/>
          <w:lang w:eastAsia="ja-JP"/>
        </w:rPr>
        <w:t>Author contributions:</w:t>
      </w:r>
      <w:bookmarkEnd w:id="4"/>
      <w:bookmarkEnd w:id="5"/>
      <w:bookmarkEnd w:id="6"/>
      <w:bookmarkEnd w:id="7"/>
      <w:bookmarkEnd w:id="8"/>
      <w:bookmarkEnd w:id="9"/>
      <w:bookmarkEnd w:id="10"/>
      <w:bookmarkEnd w:id="11"/>
      <w:bookmarkEnd w:id="12"/>
      <w:r w:rsidRPr="00BF3C3C">
        <w:rPr>
          <w:rFonts w:ascii="Book Antiqua" w:eastAsia="宋体" w:hAnsi="Book Antiqua"/>
          <w:b/>
          <w:sz w:val="24"/>
          <w:szCs w:val="24"/>
          <w:lang w:eastAsia="zh-CN"/>
        </w:rPr>
        <w:t xml:space="preserve"> </w:t>
      </w:r>
      <w:r w:rsidR="00A5165D" w:rsidRPr="00BF3C3C">
        <w:rPr>
          <w:rFonts w:ascii="Book Antiqua" w:hAnsi="Book Antiqua" w:cs="Times New Roman"/>
          <w:sz w:val="24"/>
          <w:szCs w:val="24"/>
        </w:rPr>
        <w:t xml:space="preserve">Kwon </w:t>
      </w:r>
      <w:r w:rsidR="0003387F" w:rsidRPr="00BF3C3C">
        <w:rPr>
          <w:rFonts w:ascii="Book Antiqua" w:eastAsia="宋体" w:hAnsi="Book Antiqua" w:cs="Times New Roman"/>
          <w:sz w:val="24"/>
          <w:szCs w:val="24"/>
          <w:lang w:eastAsia="zh-CN"/>
        </w:rPr>
        <w:t xml:space="preserve">JE </w:t>
      </w:r>
      <w:r w:rsidR="00A5165D" w:rsidRPr="00BF3C3C">
        <w:rPr>
          <w:rFonts w:ascii="Book Antiqua" w:hAnsi="Book Antiqua" w:cs="Times New Roman"/>
          <w:sz w:val="24"/>
          <w:szCs w:val="24"/>
        </w:rPr>
        <w:t>and</w:t>
      </w:r>
      <w:bookmarkStart w:id="13" w:name="OLE_LINK1"/>
      <w:r w:rsidR="00A5165D" w:rsidRPr="00BF3C3C">
        <w:rPr>
          <w:rFonts w:ascii="Book Antiqua" w:hAnsi="Book Antiqua" w:cs="Times New Roman"/>
          <w:sz w:val="24"/>
          <w:szCs w:val="24"/>
        </w:rPr>
        <w:t xml:space="preserve"> </w:t>
      </w:r>
      <w:hyperlink r:id="rId11" w:history="1">
        <w:r w:rsidR="00A5165D" w:rsidRPr="00BF3C3C">
          <w:rPr>
            <w:rFonts w:ascii="Book Antiqua" w:eastAsia="Gulim" w:hAnsi="Book Antiqua" w:cs="Times New Roman"/>
            <w:kern w:val="0"/>
            <w:sz w:val="24"/>
            <w:szCs w:val="24"/>
          </w:rPr>
          <w:t>Koh</w:t>
        </w:r>
      </w:hyperlink>
      <w:r w:rsidR="00A5165D" w:rsidRPr="00BF3C3C">
        <w:rPr>
          <w:rFonts w:ascii="Book Antiqua" w:hAnsi="Book Antiqua" w:cs="Times New Roman"/>
          <w:sz w:val="24"/>
          <w:szCs w:val="24"/>
        </w:rPr>
        <w:t xml:space="preserve"> </w:t>
      </w:r>
      <w:r w:rsidR="0003387F" w:rsidRPr="00BF3C3C">
        <w:rPr>
          <w:rFonts w:ascii="Book Antiqua" w:eastAsia="宋体" w:hAnsi="Book Antiqua" w:cs="Times New Roman"/>
          <w:sz w:val="24"/>
          <w:szCs w:val="24"/>
          <w:lang w:eastAsia="zh-CN"/>
        </w:rPr>
        <w:t>SJ</w:t>
      </w:r>
      <w:bookmarkEnd w:id="13"/>
      <w:r w:rsidR="0003387F" w:rsidRPr="00BF3C3C">
        <w:rPr>
          <w:rFonts w:ascii="Book Antiqua" w:eastAsia="宋体" w:hAnsi="Book Antiqua" w:cs="Times New Roman"/>
          <w:sz w:val="24"/>
          <w:szCs w:val="24"/>
          <w:lang w:eastAsia="zh-CN"/>
        </w:rPr>
        <w:t xml:space="preserve"> </w:t>
      </w:r>
      <w:r w:rsidR="00734B90" w:rsidRPr="00BF3C3C">
        <w:rPr>
          <w:rFonts w:ascii="Book Antiqua" w:hAnsi="Book Antiqua" w:cs="Times New Roman"/>
          <w:sz w:val="24"/>
          <w:szCs w:val="24"/>
        </w:rPr>
        <w:t>contributed equally to this article</w:t>
      </w:r>
      <w:r w:rsidR="0003387F" w:rsidRPr="00BF3C3C">
        <w:rPr>
          <w:rFonts w:ascii="Book Antiqua" w:eastAsia="宋体" w:hAnsi="Book Antiqua" w:cs="Times New Roman"/>
          <w:sz w:val="24"/>
          <w:szCs w:val="24"/>
          <w:lang w:eastAsia="zh-CN"/>
        </w:rPr>
        <w:t>;</w:t>
      </w:r>
      <w:r w:rsidR="0003387F" w:rsidRPr="00BF3C3C">
        <w:rPr>
          <w:rFonts w:ascii="Book Antiqua" w:eastAsia="宋体" w:hAnsi="Book Antiqua" w:cs="Times New Roman"/>
          <w:b/>
          <w:sz w:val="24"/>
          <w:szCs w:val="24"/>
          <w:lang w:eastAsia="zh-CN"/>
        </w:rPr>
        <w:t xml:space="preserve"> </w:t>
      </w:r>
      <w:r w:rsidR="0003387F" w:rsidRPr="00BF3C3C">
        <w:rPr>
          <w:rFonts w:ascii="Book Antiqua" w:hAnsi="Book Antiqua" w:cs="Times New Roman"/>
          <w:sz w:val="24"/>
          <w:szCs w:val="24"/>
        </w:rPr>
        <w:t xml:space="preserve">Kwon </w:t>
      </w:r>
      <w:r w:rsidR="0003387F" w:rsidRPr="00BF3C3C">
        <w:rPr>
          <w:rFonts w:ascii="Book Antiqua" w:eastAsia="宋体" w:hAnsi="Book Antiqua" w:cs="Times New Roman"/>
          <w:sz w:val="24"/>
          <w:szCs w:val="24"/>
          <w:lang w:eastAsia="zh-CN"/>
        </w:rPr>
        <w:t>JE,</w:t>
      </w:r>
      <w:r w:rsidR="00C9539A" w:rsidRPr="00BF3C3C">
        <w:rPr>
          <w:rFonts w:ascii="Book Antiqua" w:hAnsi="Book Antiqua" w:cs="Times New Roman"/>
          <w:sz w:val="24"/>
          <w:szCs w:val="24"/>
        </w:rPr>
        <w:t xml:space="preserve"> </w:t>
      </w:r>
      <w:hyperlink r:id="rId12" w:history="1">
        <w:r w:rsidR="0003387F" w:rsidRPr="00BF3C3C">
          <w:rPr>
            <w:rFonts w:ascii="Book Antiqua" w:eastAsia="Gulim" w:hAnsi="Book Antiqua" w:cs="Times New Roman"/>
            <w:kern w:val="0"/>
            <w:sz w:val="24"/>
            <w:szCs w:val="24"/>
          </w:rPr>
          <w:t>Koh</w:t>
        </w:r>
      </w:hyperlink>
      <w:r w:rsidR="0003387F" w:rsidRPr="00BF3C3C">
        <w:rPr>
          <w:rFonts w:ascii="Book Antiqua" w:hAnsi="Book Antiqua" w:cs="Times New Roman"/>
          <w:sz w:val="24"/>
          <w:szCs w:val="24"/>
        </w:rPr>
        <w:t xml:space="preserve"> </w:t>
      </w:r>
      <w:r w:rsidR="0003387F" w:rsidRPr="00BF3C3C">
        <w:rPr>
          <w:rFonts w:ascii="Book Antiqua" w:eastAsia="宋体" w:hAnsi="Book Antiqua" w:cs="Times New Roman"/>
          <w:sz w:val="24"/>
          <w:szCs w:val="24"/>
          <w:lang w:eastAsia="zh-CN"/>
        </w:rPr>
        <w:t>SJ</w:t>
      </w:r>
      <w:r w:rsidRPr="00BF3C3C">
        <w:rPr>
          <w:rFonts w:ascii="Book Antiqua" w:eastAsia="宋体" w:hAnsi="Book Antiqua" w:cs="Times New Roman"/>
          <w:sz w:val="24"/>
          <w:szCs w:val="24"/>
          <w:lang w:eastAsia="zh-CN"/>
        </w:rPr>
        <w:t xml:space="preserve"> and</w:t>
      </w:r>
      <w:r w:rsidR="00C9539A" w:rsidRPr="00BF3C3C">
        <w:rPr>
          <w:rFonts w:ascii="Book Antiqua" w:hAnsi="Book Antiqua" w:cs="Times New Roman"/>
          <w:sz w:val="24"/>
          <w:szCs w:val="24"/>
        </w:rPr>
        <w:t xml:space="preserve"> Kim </w:t>
      </w:r>
      <w:r w:rsidR="0003387F" w:rsidRPr="00BF3C3C">
        <w:rPr>
          <w:rFonts w:ascii="Book Antiqua" w:eastAsia="宋体" w:hAnsi="Book Antiqua" w:cs="Times New Roman"/>
          <w:sz w:val="24"/>
          <w:szCs w:val="24"/>
          <w:lang w:eastAsia="zh-CN"/>
        </w:rPr>
        <w:t xml:space="preserve">BG </w:t>
      </w:r>
      <w:r w:rsidR="00C9539A" w:rsidRPr="00BF3C3C">
        <w:rPr>
          <w:rFonts w:ascii="Book Antiqua" w:hAnsi="Book Antiqua" w:cs="Times New Roman"/>
          <w:sz w:val="24"/>
          <w:szCs w:val="24"/>
        </w:rPr>
        <w:t xml:space="preserve">designed the research; </w:t>
      </w:r>
      <w:r w:rsidR="00C9539A" w:rsidRPr="00BF3C3C">
        <w:rPr>
          <w:rFonts w:ascii="Book Antiqua" w:hAnsi="Book Antiqua"/>
          <w:sz w:val="24"/>
          <w:szCs w:val="24"/>
        </w:rPr>
        <w:t>Kwon</w:t>
      </w:r>
      <w:r w:rsidR="009D60D7">
        <w:rPr>
          <w:rFonts w:ascii="Book Antiqua" w:eastAsia="宋体" w:hAnsi="Book Antiqua" w:hint="eastAsia"/>
          <w:sz w:val="24"/>
          <w:szCs w:val="24"/>
          <w:lang w:eastAsia="zh-CN"/>
        </w:rPr>
        <w:t xml:space="preserve"> JE</w:t>
      </w:r>
      <w:r w:rsidR="00C9539A" w:rsidRPr="00BF3C3C">
        <w:rPr>
          <w:rFonts w:ascii="Book Antiqua" w:hAnsi="Book Antiqua" w:cs="Times New Roman"/>
          <w:sz w:val="24"/>
          <w:szCs w:val="24"/>
        </w:rPr>
        <w:t>, Chun</w:t>
      </w:r>
      <w:r w:rsidR="004A36EB">
        <w:rPr>
          <w:rFonts w:ascii="Book Antiqua" w:eastAsia="宋体" w:hAnsi="Book Antiqua" w:cs="Times New Roman" w:hint="eastAsia"/>
          <w:sz w:val="24"/>
          <w:szCs w:val="24"/>
          <w:lang w:eastAsia="zh-CN"/>
        </w:rPr>
        <w:t xml:space="preserve"> </w:t>
      </w:r>
      <w:r w:rsidR="009D60D7">
        <w:rPr>
          <w:rFonts w:ascii="Book Antiqua" w:eastAsia="宋体" w:hAnsi="Book Antiqua" w:cs="Times New Roman" w:hint="eastAsia"/>
          <w:sz w:val="24"/>
          <w:szCs w:val="24"/>
          <w:lang w:eastAsia="zh-CN"/>
        </w:rPr>
        <w:t>J</w:t>
      </w:r>
      <w:r w:rsidR="00C9539A" w:rsidRPr="00BF3C3C">
        <w:rPr>
          <w:rFonts w:ascii="Book Antiqua" w:hAnsi="Book Antiqua"/>
          <w:sz w:val="24"/>
          <w:szCs w:val="24"/>
        </w:rPr>
        <w:t xml:space="preserve"> and </w:t>
      </w:r>
      <w:r w:rsidR="00C9539A" w:rsidRPr="00BF3C3C">
        <w:rPr>
          <w:rFonts w:ascii="Book Antiqua" w:eastAsia="Gulim" w:hAnsi="Book Antiqua" w:cs="Times New Roman"/>
          <w:sz w:val="24"/>
          <w:szCs w:val="24"/>
        </w:rPr>
        <w:t xml:space="preserve">Im </w:t>
      </w:r>
      <w:r w:rsidR="009D60D7">
        <w:rPr>
          <w:rFonts w:ascii="Book Antiqua" w:eastAsia="宋体" w:hAnsi="Book Antiqua" w:cs="Times New Roman" w:hint="eastAsia"/>
          <w:sz w:val="24"/>
          <w:szCs w:val="24"/>
          <w:lang w:eastAsia="zh-CN"/>
        </w:rPr>
        <w:t>JP</w:t>
      </w:r>
      <w:r w:rsidR="007D79DF" w:rsidRPr="00BF3C3C">
        <w:rPr>
          <w:rFonts w:ascii="Book Antiqua" w:hAnsi="Book Antiqua" w:cs="Times New Roman"/>
          <w:sz w:val="24"/>
          <w:szCs w:val="24"/>
        </w:rPr>
        <w:t>collected</w:t>
      </w:r>
      <w:r w:rsidR="00C9539A" w:rsidRPr="00BF3C3C">
        <w:rPr>
          <w:rFonts w:ascii="Book Antiqua" w:hAnsi="Book Antiqua" w:cs="Times New Roman"/>
          <w:sz w:val="24"/>
          <w:szCs w:val="24"/>
        </w:rPr>
        <w:t xml:space="preserve"> sample </w:t>
      </w:r>
      <w:r w:rsidR="007D79DF" w:rsidRPr="00BF3C3C">
        <w:rPr>
          <w:rFonts w:ascii="Book Antiqua" w:hAnsi="Book Antiqua" w:cs="Times New Roman"/>
          <w:sz w:val="24"/>
          <w:szCs w:val="24"/>
        </w:rPr>
        <w:t xml:space="preserve">and interpreted </w:t>
      </w:r>
      <w:r w:rsidR="00C9539A" w:rsidRPr="00BF3C3C">
        <w:rPr>
          <w:rFonts w:ascii="Book Antiqua" w:hAnsi="Book Antiqua" w:cs="Times New Roman"/>
          <w:sz w:val="24"/>
          <w:szCs w:val="24"/>
        </w:rPr>
        <w:t xml:space="preserve">data; </w:t>
      </w:r>
      <w:hyperlink r:id="rId13" w:history="1">
        <w:r w:rsidR="00C9539A" w:rsidRPr="00BF3C3C">
          <w:rPr>
            <w:rFonts w:ascii="Book Antiqua" w:eastAsia="Gulim" w:hAnsi="Book Antiqua" w:cs="Times New Roman"/>
            <w:kern w:val="0"/>
            <w:sz w:val="24"/>
            <w:szCs w:val="24"/>
          </w:rPr>
          <w:t xml:space="preserve"> Koh</w:t>
        </w:r>
      </w:hyperlink>
      <w:r w:rsidR="009D60D7">
        <w:rPr>
          <w:rFonts w:ascii="Book Antiqua" w:eastAsia="宋体" w:hAnsi="Book Antiqua" w:cs="Times New Roman" w:hint="eastAsia"/>
          <w:kern w:val="0"/>
          <w:sz w:val="24"/>
          <w:szCs w:val="24"/>
          <w:lang w:eastAsia="zh-CN"/>
        </w:rPr>
        <w:t xml:space="preserve"> SJ</w:t>
      </w:r>
      <w:r w:rsidR="00C9539A" w:rsidRPr="00BF3C3C">
        <w:rPr>
          <w:rFonts w:ascii="Book Antiqua" w:eastAsia="Gulim" w:hAnsi="Book Antiqua" w:cs="Times New Roman"/>
          <w:kern w:val="0"/>
          <w:sz w:val="24"/>
          <w:szCs w:val="24"/>
        </w:rPr>
        <w:t xml:space="preserve">, </w:t>
      </w:r>
      <w:r w:rsidR="00C9539A" w:rsidRPr="00BF3C3C">
        <w:rPr>
          <w:rFonts w:ascii="Book Antiqua" w:hAnsi="Book Antiqua" w:cs="Times New Roman"/>
          <w:sz w:val="24"/>
          <w:szCs w:val="24"/>
        </w:rPr>
        <w:t>Kim</w:t>
      </w:r>
      <w:r w:rsidR="009D60D7">
        <w:rPr>
          <w:rFonts w:ascii="Book Antiqua" w:eastAsia="宋体" w:hAnsi="Book Antiqua" w:cs="Times New Roman" w:hint="eastAsia"/>
          <w:sz w:val="24"/>
          <w:szCs w:val="24"/>
          <w:lang w:eastAsia="zh-CN"/>
        </w:rPr>
        <w:t xml:space="preserve"> JW</w:t>
      </w:r>
      <w:r w:rsidR="007D79DF" w:rsidRPr="00BF3C3C">
        <w:rPr>
          <w:rFonts w:ascii="Book Antiqua" w:hAnsi="Book Antiqua"/>
          <w:sz w:val="24"/>
          <w:szCs w:val="24"/>
        </w:rPr>
        <w:t>,</w:t>
      </w:r>
      <w:r w:rsidR="00C9539A" w:rsidRPr="00BF3C3C">
        <w:rPr>
          <w:rFonts w:ascii="Book Antiqua" w:hAnsi="Book Antiqua"/>
          <w:sz w:val="24"/>
          <w:szCs w:val="24"/>
        </w:rPr>
        <w:t xml:space="preserve"> </w:t>
      </w:r>
      <w:r w:rsidR="00C9539A" w:rsidRPr="00BF3C3C">
        <w:rPr>
          <w:rFonts w:ascii="Book Antiqua" w:hAnsi="Book Antiqua" w:cs="Times New Roman"/>
          <w:sz w:val="24"/>
          <w:szCs w:val="24"/>
        </w:rPr>
        <w:t>Lee</w:t>
      </w:r>
      <w:r w:rsidR="009D60D7">
        <w:rPr>
          <w:rFonts w:ascii="Book Antiqua" w:eastAsia="宋体" w:hAnsi="Book Antiqua" w:cs="Times New Roman" w:hint="eastAsia"/>
          <w:sz w:val="24"/>
          <w:szCs w:val="24"/>
          <w:lang w:eastAsia="zh-CN"/>
        </w:rPr>
        <w:t xml:space="preserve"> KL</w:t>
      </w:r>
      <w:r w:rsidR="007D79DF" w:rsidRPr="00BF3C3C">
        <w:rPr>
          <w:rFonts w:ascii="Book Antiqua" w:hAnsi="Book Antiqua" w:cs="Times New Roman"/>
          <w:sz w:val="24"/>
          <w:szCs w:val="24"/>
        </w:rPr>
        <w:t>,</w:t>
      </w:r>
      <w:r w:rsidR="007D79DF" w:rsidRPr="00BF3C3C">
        <w:rPr>
          <w:rFonts w:ascii="Book Antiqua" w:eastAsia="Gulim" w:hAnsi="Book Antiqua" w:cs="Times New Roman"/>
          <w:sz w:val="24"/>
          <w:szCs w:val="24"/>
        </w:rPr>
        <w:t xml:space="preserve"> Kim </w:t>
      </w:r>
      <w:r w:rsidR="009D60D7">
        <w:rPr>
          <w:rFonts w:ascii="Book Antiqua" w:eastAsia="宋体" w:hAnsi="Book Antiqua" w:cs="Times New Roman" w:hint="eastAsia"/>
          <w:sz w:val="24"/>
          <w:szCs w:val="24"/>
          <w:lang w:eastAsia="zh-CN"/>
        </w:rPr>
        <w:t xml:space="preserve">JS </w:t>
      </w:r>
      <w:r w:rsidR="007D79DF" w:rsidRPr="00BF3C3C">
        <w:rPr>
          <w:rFonts w:ascii="Book Antiqua" w:eastAsia="Gulim" w:hAnsi="Book Antiqua" w:cs="Times New Roman"/>
          <w:sz w:val="24"/>
          <w:szCs w:val="24"/>
        </w:rPr>
        <w:t>and</w:t>
      </w:r>
      <w:r w:rsidR="007D79DF" w:rsidRPr="00BF3C3C">
        <w:rPr>
          <w:rFonts w:ascii="Book Antiqua" w:hAnsi="Book Antiqua" w:cs="Times New Roman"/>
          <w:sz w:val="24"/>
          <w:szCs w:val="24"/>
        </w:rPr>
        <w:t xml:space="preserve"> </w:t>
      </w:r>
      <w:r w:rsidR="007D79DF" w:rsidRPr="00BF3C3C">
        <w:rPr>
          <w:rFonts w:ascii="Book Antiqua" w:eastAsia="Gulim" w:hAnsi="Book Antiqua" w:cs="Times New Roman"/>
          <w:sz w:val="24"/>
          <w:szCs w:val="24"/>
        </w:rPr>
        <w:t>Jung</w:t>
      </w:r>
      <w:r w:rsidR="00C9539A" w:rsidRPr="00BF3C3C">
        <w:rPr>
          <w:rFonts w:ascii="Book Antiqua" w:eastAsia="Gulim" w:hAnsi="Book Antiqua" w:cs="Times New Roman"/>
          <w:sz w:val="24"/>
          <w:szCs w:val="24"/>
        </w:rPr>
        <w:t xml:space="preserve"> </w:t>
      </w:r>
      <w:r w:rsidR="009D60D7">
        <w:rPr>
          <w:rFonts w:ascii="Book Antiqua" w:eastAsia="宋体" w:hAnsi="Book Antiqua" w:cs="Times New Roman" w:hint="eastAsia"/>
          <w:sz w:val="24"/>
          <w:szCs w:val="24"/>
          <w:lang w:eastAsia="zh-CN"/>
        </w:rPr>
        <w:t xml:space="preserve">HC </w:t>
      </w:r>
      <w:r w:rsidR="00C9539A" w:rsidRPr="00BF3C3C">
        <w:rPr>
          <w:rFonts w:ascii="Book Antiqua" w:eastAsia="Gulim" w:hAnsi="Book Antiqua" w:cs="Times New Roman"/>
          <w:sz w:val="24"/>
          <w:szCs w:val="24"/>
        </w:rPr>
        <w:t xml:space="preserve">contributed </w:t>
      </w:r>
      <w:r w:rsidR="007D79DF" w:rsidRPr="00BF3C3C">
        <w:rPr>
          <w:rFonts w:ascii="Book Antiqua" w:eastAsia="Gulim" w:hAnsi="Book Antiqua" w:cs="Times New Roman"/>
          <w:sz w:val="24"/>
          <w:szCs w:val="24"/>
        </w:rPr>
        <w:t>statistical analysis and interpretation of data</w:t>
      </w:r>
      <w:r w:rsidR="00C9539A" w:rsidRPr="00BF3C3C">
        <w:rPr>
          <w:rFonts w:ascii="Book Antiqua" w:eastAsia="Gulim" w:hAnsi="Book Antiqua" w:cs="Times New Roman"/>
          <w:sz w:val="24"/>
          <w:szCs w:val="24"/>
        </w:rPr>
        <w:t xml:space="preserve">; </w:t>
      </w:r>
      <w:r w:rsidR="00C9539A" w:rsidRPr="00BF3C3C">
        <w:rPr>
          <w:rFonts w:ascii="Book Antiqua" w:hAnsi="Book Antiqua"/>
          <w:sz w:val="24"/>
          <w:szCs w:val="24"/>
        </w:rPr>
        <w:t>Kwon</w:t>
      </w:r>
      <w:r w:rsidR="009D60D7">
        <w:rPr>
          <w:rFonts w:ascii="Book Antiqua" w:eastAsia="宋体" w:hAnsi="Book Antiqua" w:hint="eastAsia"/>
          <w:sz w:val="24"/>
          <w:szCs w:val="24"/>
          <w:lang w:eastAsia="zh-CN"/>
        </w:rPr>
        <w:t xml:space="preserve"> JE</w:t>
      </w:r>
      <w:r w:rsidR="00C9539A" w:rsidRPr="00BF3C3C">
        <w:rPr>
          <w:rFonts w:ascii="Book Antiqua" w:hAnsi="Book Antiqua" w:cs="Times New Roman"/>
          <w:sz w:val="24"/>
          <w:szCs w:val="24"/>
        </w:rPr>
        <w:t>,</w:t>
      </w:r>
      <w:r w:rsidR="00C9539A" w:rsidRPr="00BF3C3C">
        <w:rPr>
          <w:rFonts w:ascii="Book Antiqua" w:hAnsi="Book Antiqua"/>
          <w:sz w:val="24"/>
          <w:szCs w:val="24"/>
        </w:rPr>
        <w:t xml:space="preserve"> </w:t>
      </w:r>
      <w:hyperlink r:id="rId14" w:history="1">
        <w:r w:rsidR="00C9539A" w:rsidRPr="00BF3C3C">
          <w:rPr>
            <w:rFonts w:ascii="Book Antiqua" w:eastAsia="Gulim" w:hAnsi="Book Antiqua" w:cs="Times New Roman"/>
            <w:kern w:val="0"/>
            <w:sz w:val="24"/>
            <w:szCs w:val="24"/>
          </w:rPr>
          <w:t xml:space="preserve"> Koh</w:t>
        </w:r>
      </w:hyperlink>
      <w:r w:rsidR="00C9539A" w:rsidRPr="00BF3C3C">
        <w:rPr>
          <w:rFonts w:ascii="Book Antiqua" w:eastAsia="Gulim" w:hAnsi="Book Antiqua" w:cs="Times New Roman"/>
          <w:kern w:val="0"/>
          <w:sz w:val="24"/>
          <w:szCs w:val="24"/>
        </w:rPr>
        <w:t xml:space="preserve"> </w:t>
      </w:r>
      <w:r w:rsidR="009D60D7">
        <w:rPr>
          <w:rFonts w:ascii="Book Antiqua" w:eastAsia="宋体" w:hAnsi="Book Antiqua" w:cs="Times New Roman" w:hint="eastAsia"/>
          <w:kern w:val="0"/>
          <w:sz w:val="24"/>
          <w:szCs w:val="24"/>
          <w:lang w:eastAsia="zh-CN"/>
        </w:rPr>
        <w:t xml:space="preserve">SJ </w:t>
      </w:r>
      <w:r w:rsidR="00C9539A" w:rsidRPr="00BF3C3C">
        <w:rPr>
          <w:rFonts w:ascii="Book Antiqua" w:eastAsia="Gulim" w:hAnsi="Book Antiqua" w:cs="Times New Roman"/>
          <w:kern w:val="0"/>
          <w:sz w:val="24"/>
          <w:szCs w:val="24"/>
        </w:rPr>
        <w:t>and</w:t>
      </w:r>
      <w:r w:rsidR="00C9539A" w:rsidRPr="00BF3C3C">
        <w:rPr>
          <w:rFonts w:ascii="Book Antiqua" w:hAnsi="Book Antiqua" w:cs="Times New Roman"/>
          <w:sz w:val="24"/>
          <w:szCs w:val="24"/>
        </w:rPr>
        <w:t xml:space="preserve"> Kim</w:t>
      </w:r>
      <w:r w:rsidR="009D60D7">
        <w:rPr>
          <w:rFonts w:ascii="Book Antiqua" w:eastAsia="宋体" w:hAnsi="Book Antiqua" w:cs="Times New Roman" w:hint="eastAsia"/>
          <w:sz w:val="24"/>
          <w:szCs w:val="24"/>
          <w:lang w:eastAsia="zh-CN"/>
        </w:rPr>
        <w:t xml:space="preserve"> BG</w:t>
      </w:r>
      <w:r w:rsidR="00C9539A" w:rsidRPr="00BF3C3C">
        <w:rPr>
          <w:rFonts w:ascii="Book Antiqua" w:hAnsi="Book Antiqua" w:cs="Times New Roman"/>
          <w:sz w:val="24"/>
          <w:szCs w:val="24"/>
        </w:rPr>
        <w:t xml:space="preserve"> wrote the paper.</w:t>
      </w:r>
    </w:p>
    <w:p w:rsidR="007D79DF" w:rsidRPr="00BF3C3C" w:rsidRDefault="007D79DF" w:rsidP="002A4F8D">
      <w:pPr>
        <w:wordWrap/>
        <w:spacing w:line="360" w:lineRule="auto"/>
        <w:rPr>
          <w:rFonts w:ascii="Book Antiqua" w:eastAsia="宋体" w:hAnsi="Book Antiqua" w:cs="Times New Roman"/>
          <w:b/>
          <w:sz w:val="24"/>
          <w:szCs w:val="24"/>
          <w:lang w:eastAsia="zh-CN"/>
        </w:rPr>
      </w:pPr>
    </w:p>
    <w:p w:rsidR="00EF073F" w:rsidRPr="00BF3C3C" w:rsidRDefault="00CA6867" w:rsidP="00CA6867">
      <w:pPr>
        <w:spacing w:line="360" w:lineRule="auto"/>
        <w:rPr>
          <w:rFonts w:ascii="Book Antiqua" w:hAnsi="Book Antiqua"/>
          <w:b/>
          <w:color w:val="000000"/>
          <w:sz w:val="24"/>
          <w:szCs w:val="24"/>
        </w:rPr>
      </w:pPr>
      <w:r w:rsidRPr="00BF3C3C">
        <w:rPr>
          <w:rFonts w:ascii="Book Antiqua" w:hAnsi="Book Antiqua"/>
          <w:b/>
          <w:color w:val="000000"/>
          <w:sz w:val="24"/>
          <w:szCs w:val="24"/>
        </w:rPr>
        <w:t>Correspondence to:</w:t>
      </w:r>
      <w:r w:rsidRPr="00BF3C3C">
        <w:rPr>
          <w:rFonts w:ascii="Book Antiqua" w:eastAsia="宋体" w:hAnsi="Book Antiqua"/>
          <w:b/>
          <w:color w:val="000000"/>
          <w:sz w:val="24"/>
          <w:szCs w:val="24"/>
          <w:lang w:eastAsia="zh-CN"/>
        </w:rPr>
        <w:t xml:space="preserve"> </w:t>
      </w:r>
      <w:r w:rsidRPr="00BF3C3C">
        <w:rPr>
          <w:rFonts w:ascii="Book Antiqua" w:eastAsia="Batang" w:hAnsi="Book Antiqua" w:cs="Times New Roman"/>
          <w:b/>
          <w:sz w:val="24"/>
          <w:szCs w:val="24"/>
        </w:rPr>
        <w:t>Byeong Gwan Kim, MD, PhD</w:t>
      </w:r>
      <w:r w:rsidRPr="00BF3C3C">
        <w:rPr>
          <w:rFonts w:ascii="Book Antiqua" w:eastAsia="宋体" w:hAnsi="Book Antiqua" w:cs="Times New Roman" w:hint="eastAsia"/>
          <w:b/>
          <w:sz w:val="24"/>
          <w:szCs w:val="24"/>
          <w:lang w:eastAsia="zh-CN"/>
        </w:rPr>
        <w:t>,</w:t>
      </w:r>
      <w:r w:rsidR="00EF073F" w:rsidRPr="00BF3C3C">
        <w:rPr>
          <w:rFonts w:ascii="Book Antiqua" w:eastAsia="Batang" w:hAnsi="Book Antiqua" w:cs="Times New Roman"/>
          <w:b/>
          <w:sz w:val="24"/>
          <w:szCs w:val="24"/>
        </w:rPr>
        <w:tab/>
      </w:r>
      <w:r w:rsidR="00EF073F" w:rsidRPr="00BF3C3C">
        <w:rPr>
          <w:rFonts w:ascii="Book Antiqua" w:eastAsia="Batang" w:hAnsi="Book Antiqua" w:cs="Times New Roman"/>
          <w:b/>
          <w:bCs/>
          <w:sz w:val="24"/>
          <w:szCs w:val="24"/>
        </w:rPr>
        <w:t xml:space="preserve">Professor </w:t>
      </w:r>
      <w:r w:rsidR="00EF073F" w:rsidRPr="00BF3C3C">
        <w:rPr>
          <w:rFonts w:ascii="Book Antiqua" w:eastAsia="Batang" w:hAnsi="Book Antiqua" w:cs="Times New Roman"/>
          <w:bCs/>
          <w:sz w:val="24"/>
          <w:szCs w:val="24"/>
        </w:rPr>
        <w:t>of Internal Medicine, Department of Internal Medicine, Seoul National University Boramae Hospital</w:t>
      </w:r>
      <w:r w:rsidRPr="00BF3C3C">
        <w:rPr>
          <w:rFonts w:ascii="Book Antiqua" w:eastAsia="宋体" w:hAnsi="Book Antiqua" w:cs="Times New Roman" w:hint="eastAsia"/>
          <w:bCs/>
          <w:sz w:val="24"/>
          <w:szCs w:val="24"/>
          <w:lang w:eastAsia="zh-CN"/>
        </w:rPr>
        <w:t xml:space="preserve">, </w:t>
      </w:r>
      <w:r w:rsidR="00EF073F" w:rsidRPr="00BF3C3C">
        <w:rPr>
          <w:rFonts w:ascii="Book Antiqua" w:eastAsia="Batang" w:hAnsi="Book Antiqua" w:cs="Times New Roman"/>
          <w:sz w:val="24"/>
          <w:szCs w:val="24"/>
        </w:rPr>
        <w:t xml:space="preserve">5 Gil 20, </w:t>
      </w:r>
      <w:r w:rsidR="004A36EB">
        <w:rPr>
          <w:rFonts w:ascii="Book Antiqua" w:eastAsia="Batang" w:hAnsi="Book Antiqua" w:cs="Times New Roman"/>
          <w:sz w:val="24"/>
          <w:szCs w:val="24"/>
        </w:rPr>
        <w:t>Boramae-Road, Dongjak-Gu, Seoul</w:t>
      </w:r>
      <w:r w:rsidR="00EF073F" w:rsidRPr="00BF3C3C">
        <w:rPr>
          <w:rFonts w:ascii="Book Antiqua" w:eastAsia="Batang" w:hAnsi="Book Antiqua" w:cs="Times New Roman"/>
          <w:sz w:val="24"/>
          <w:szCs w:val="24"/>
        </w:rPr>
        <w:t xml:space="preserve"> 156-707, </w:t>
      </w:r>
      <w:r w:rsidRPr="00BF3C3C">
        <w:rPr>
          <w:rFonts w:ascii="Book Antiqua" w:eastAsia="宋体" w:hAnsi="Book Antiqua" w:cs="Times New Roman" w:hint="eastAsia"/>
          <w:sz w:val="24"/>
          <w:szCs w:val="24"/>
          <w:lang w:eastAsia="zh-CN"/>
        </w:rPr>
        <w:t xml:space="preserve">South </w:t>
      </w:r>
      <w:r w:rsidR="00EF073F" w:rsidRPr="00BF3C3C">
        <w:rPr>
          <w:rFonts w:ascii="Book Antiqua" w:eastAsia="Batang" w:hAnsi="Book Antiqua" w:cs="Times New Roman"/>
          <w:sz w:val="24"/>
          <w:szCs w:val="24"/>
        </w:rPr>
        <w:t>Korea</w:t>
      </w:r>
      <w:r w:rsidRPr="00BF3C3C">
        <w:rPr>
          <w:rFonts w:ascii="Book Antiqua" w:eastAsia="宋体" w:hAnsi="Book Antiqua" w:cs="Times New Roman" w:hint="eastAsia"/>
          <w:sz w:val="24"/>
          <w:szCs w:val="24"/>
          <w:lang w:eastAsia="zh-CN"/>
        </w:rPr>
        <w:t xml:space="preserve">. </w:t>
      </w:r>
      <w:hyperlink r:id="rId15" w:history="1">
        <w:r w:rsidR="00EF073F" w:rsidRPr="00BF3C3C">
          <w:rPr>
            <w:rStyle w:val="a3"/>
            <w:rFonts w:ascii="Book Antiqua" w:eastAsia="Batang" w:hAnsi="Book Antiqua" w:cs="Times New Roman"/>
            <w:color w:val="auto"/>
            <w:sz w:val="24"/>
            <w:szCs w:val="24"/>
            <w:u w:val="none"/>
          </w:rPr>
          <w:t>caskim@brm.co.kr</w:t>
        </w:r>
      </w:hyperlink>
    </w:p>
    <w:p w:rsidR="00EF073F" w:rsidRPr="00BF3C3C" w:rsidRDefault="00EF073F" w:rsidP="00CA6867">
      <w:pPr>
        <w:pStyle w:val="a7"/>
        <w:adjustRightInd w:val="0"/>
        <w:snapToGrid w:val="0"/>
        <w:spacing w:before="43" w:beforeAutospacing="0" w:after="43" w:afterAutospacing="0" w:line="360" w:lineRule="auto"/>
        <w:jc w:val="both"/>
        <w:rPr>
          <w:rFonts w:ascii="Book Antiqua" w:eastAsia="宋体" w:hAnsi="Book Antiqua" w:cs="Times New Roman"/>
          <w:lang w:eastAsia="zh-CN"/>
        </w:rPr>
      </w:pPr>
      <w:r w:rsidRPr="00BF3C3C">
        <w:rPr>
          <w:rFonts w:ascii="Book Antiqua" w:eastAsia="Batang" w:hAnsi="Book Antiqua" w:cs="Times New Roman"/>
          <w:b/>
        </w:rPr>
        <w:t>Tel</w:t>
      </w:r>
      <w:r w:rsidR="00CA6867" w:rsidRPr="00BF3C3C">
        <w:rPr>
          <w:rFonts w:ascii="Book Antiqua" w:eastAsia="宋体" w:hAnsi="Book Antiqua" w:cs="Times New Roman" w:hint="eastAsia"/>
          <w:b/>
          <w:lang w:eastAsia="zh-CN"/>
        </w:rPr>
        <w:t>ephone</w:t>
      </w:r>
      <w:r w:rsidRPr="00BF3C3C">
        <w:rPr>
          <w:rFonts w:ascii="Book Antiqua" w:eastAsia="Batang" w:hAnsi="Book Antiqua" w:cs="Times New Roman"/>
        </w:rPr>
        <w:t xml:space="preserve">: </w:t>
      </w:r>
      <w:r w:rsidR="00A8749D" w:rsidRPr="00BF3C3C">
        <w:rPr>
          <w:rFonts w:ascii="Book Antiqua" w:eastAsia="Batang" w:hAnsi="Book Antiqua" w:cs="Times New Roman"/>
        </w:rPr>
        <w:t>+</w:t>
      </w:r>
      <w:r w:rsidR="004A36EB">
        <w:rPr>
          <w:rFonts w:ascii="Book Antiqua" w:eastAsia="Batang" w:hAnsi="Book Antiqua" w:cs="Times New Roman"/>
        </w:rPr>
        <w:t>82-2-870</w:t>
      </w:r>
      <w:r w:rsidRPr="00BF3C3C">
        <w:rPr>
          <w:rFonts w:ascii="Book Antiqua" w:eastAsia="Batang" w:hAnsi="Book Antiqua" w:cs="Times New Roman"/>
        </w:rPr>
        <w:t>2234</w:t>
      </w:r>
      <w:r w:rsidR="00CA6867" w:rsidRPr="00BF3C3C">
        <w:rPr>
          <w:rFonts w:ascii="Book Antiqua" w:eastAsia="宋体" w:hAnsi="Book Antiqua" w:cs="Times New Roman" w:hint="eastAsia"/>
          <w:lang w:eastAsia="zh-CN"/>
        </w:rPr>
        <w:tab/>
      </w:r>
      <w:r w:rsidR="00CA6867" w:rsidRPr="00BF3C3C">
        <w:rPr>
          <w:rFonts w:ascii="Book Antiqua" w:eastAsia="宋体" w:hAnsi="Book Antiqua" w:cs="Times New Roman" w:hint="eastAsia"/>
          <w:lang w:eastAsia="zh-CN"/>
        </w:rPr>
        <w:tab/>
      </w:r>
      <w:r w:rsidRPr="00BF3C3C">
        <w:rPr>
          <w:rFonts w:ascii="Book Antiqua" w:eastAsia="Batang" w:hAnsi="Book Antiqua" w:cs="Times New Roman"/>
          <w:b/>
        </w:rPr>
        <w:t>Fax</w:t>
      </w:r>
      <w:r w:rsidRPr="00BF3C3C">
        <w:rPr>
          <w:rFonts w:ascii="Book Antiqua" w:eastAsia="Batang" w:hAnsi="Book Antiqua" w:cs="Times New Roman"/>
        </w:rPr>
        <w:t xml:space="preserve">: </w:t>
      </w:r>
      <w:r w:rsidR="00A8749D" w:rsidRPr="00BF3C3C">
        <w:rPr>
          <w:rFonts w:ascii="Book Antiqua" w:eastAsia="Batang" w:hAnsi="Book Antiqua" w:cs="Times New Roman"/>
        </w:rPr>
        <w:t>+</w:t>
      </w:r>
      <w:r w:rsidR="004A36EB">
        <w:rPr>
          <w:rFonts w:ascii="Book Antiqua" w:eastAsia="Batang" w:hAnsi="Book Antiqua" w:cs="Times New Roman"/>
        </w:rPr>
        <w:t>82-2-870</w:t>
      </w:r>
      <w:r w:rsidRPr="00BF3C3C">
        <w:rPr>
          <w:rFonts w:ascii="Book Antiqua" w:eastAsia="Batang" w:hAnsi="Book Antiqua" w:cs="Times New Roman"/>
        </w:rPr>
        <w:t>3863</w:t>
      </w:r>
    </w:p>
    <w:p w:rsidR="002A4F8D" w:rsidRPr="00BF3C3C" w:rsidRDefault="002A4F8D" w:rsidP="002A4F8D">
      <w:pPr>
        <w:pStyle w:val="a7"/>
        <w:adjustRightInd w:val="0"/>
        <w:snapToGrid w:val="0"/>
        <w:spacing w:before="43" w:beforeAutospacing="0" w:after="43" w:afterAutospacing="0" w:line="360" w:lineRule="auto"/>
        <w:ind w:leftChars="1000" w:left="2000"/>
        <w:jc w:val="both"/>
        <w:rPr>
          <w:rFonts w:ascii="Book Antiqua" w:eastAsia="宋体" w:hAnsi="Book Antiqua" w:cs="Times New Roman"/>
          <w:lang w:eastAsia="zh-CN"/>
        </w:rPr>
      </w:pPr>
    </w:p>
    <w:p w:rsidR="002A4F8D" w:rsidRPr="00BF3C3C" w:rsidRDefault="002A4F8D" w:rsidP="002A4F8D">
      <w:pPr>
        <w:spacing w:line="360" w:lineRule="auto"/>
        <w:rPr>
          <w:rFonts w:ascii="Book Antiqua" w:hAnsi="Book Antiqua"/>
          <w:color w:val="000000"/>
          <w:sz w:val="24"/>
          <w:szCs w:val="24"/>
        </w:rPr>
      </w:pPr>
      <w:bookmarkStart w:id="14" w:name="OLE_LINK4"/>
      <w:bookmarkStart w:id="15" w:name="OLE_LINK5"/>
      <w:bookmarkStart w:id="16" w:name="OLE_LINK332"/>
      <w:bookmarkStart w:id="17" w:name="OLE_LINK329"/>
      <w:r w:rsidRPr="00BF3C3C">
        <w:rPr>
          <w:rFonts w:ascii="Book Antiqua" w:hAnsi="Book Antiqua"/>
          <w:b/>
          <w:color w:val="000000"/>
          <w:sz w:val="24"/>
          <w:szCs w:val="24"/>
        </w:rPr>
        <w:t xml:space="preserve">Received: </w:t>
      </w:r>
      <w:r w:rsidRPr="00BF3C3C">
        <w:rPr>
          <w:rFonts w:ascii="Book Antiqua" w:eastAsia="宋体" w:hAnsi="Book Antiqua"/>
          <w:color w:val="000000"/>
          <w:sz w:val="24"/>
          <w:szCs w:val="24"/>
          <w:lang w:eastAsia="zh-CN"/>
        </w:rPr>
        <w:t xml:space="preserve">January </w:t>
      </w:r>
      <w:r w:rsidRPr="00BF3C3C">
        <w:rPr>
          <w:rFonts w:ascii="Book Antiqua" w:hAnsi="Book Antiqua"/>
          <w:color w:val="000000"/>
          <w:sz w:val="24"/>
          <w:szCs w:val="24"/>
        </w:rPr>
        <w:t>2</w:t>
      </w:r>
      <w:r w:rsidRPr="00BF3C3C">
        <w:rPr>
          <w:rFonts w:ascii="Book Antiqua" w:eastAsia="宋体" w:hAnsi="Book Antiqua"/>
          <w:color w:val="000000"/>
          <w:sz w:val="24"/>
          <w:szCs w:val="24"/>
          <w:lang w:eastAsia="zh-CN"/>
        </w:rPr>
        <w:t>0</w:t>
      </w:r>
      <w:r w:rsidR="000B751C" w:rsidRPr="00BF3C3C">
        <w:rPr>
          <w:rFonts w:ascii="Book Antiqua" w:hAnsi="Book Antiqua"/>
          <w:color w:val="000000"/>
          <w:sz w:val="24"/>
          <w:szCs w:val="24"/>
        </w:rPr>
        <w:t>, 2014</w:t>
      </w:r>
      <w:r w:rsidR="00CA6867" w:rsidRPr="00BF3C3C">
        <w:rPr>
          <w:rFonts w:ascii="Book Antiqua" w:eastAsia="宋体" w:hAnsi="Book Antiqua" w:hint="eastAsia"/>
          <w:color w:val="000000"/>
          <w:sz w:val="24"/>
          <w:szCs w:val="24"/>
          <w:lang w:eastAsia="zh-CN"/>
        </w:rPr>
        <w:tab/>
      </w:r>
      <w:r w:rsidR="00CA6867" w:rsidRPr="00BF3C3C">
        <w:rPr>
          <w:rFonts w:ascii="Book Antiqua" w:eastAsia="宋体" w:hAnsi="Book Antiqua" w:hint="eastAsia"/>
          <w:color w:val="000000"/>
          <w:sz w:val="24"/>
          <w:szCs w:val="24"/>
          <w:lang w:eastAsia="zh-CN"/>
        </w:rPr>
        <w:tab/>
      </w:r>
      <w:r w:rsidRPr="00BF3C3C">
        <w:rPr>
          <w:rFonts w:ascii="Book Antiqua" w:hAnsi="Book Antiqua"/>
          <w:color w:val="000000"/>
          <w:sz w:val="24"/>
          <w:szCs w:val="24"/>
        </w:rPr>
        <w:t xml:space="preserve"> </w:t>
      </w:r>
      <w:r w:rsidRPr="00BF3C3C">
        <w:rPr>
          <w:rFonts w:ascii="Book Antiqua" w:hAnsi="Book Antiqua"/>
          <w:b/>
          <w:color w:val="000000"/>
          <w:sz w:val="24"/>
          <w:szCs w:val="24"/>
        </w:rPr>
        <w:t>Revised:</w:t>
      </w:r>
      <w:r w:rsidR="000B751C" w:rsidRPr="00BF3C3C">
        <w:rPr>
          <w:rFonts w:ascii="Book Antiqua" w:hAnsi="Book Antiqua"/>
          <w:b/>
          <w:color w:val="000000"/>
          <w:sz w:val="24"/>
          <w:szCs w:val="24"/>
        </w:rPr>
        <w:t xml:space="preserve"> </w:t>
      </w:r>
      <w:r w:rsidR="000B751C" w:rsidRPr="00BF3C3C">
        <w:rPr>
          <w:rFonts w:ascii="Book Antiqua" w:hAnsi="Book Antiqua"/>
          <w:color w:val="000000"/>
          <w:sz w:val="24"/>
          <w:szCs w:val="24"/>
        </w:rPr>
        <w:t>March 18, 2014</w:t>
      </w:r>
    </w:p>
    <w:p w:rsidR="008B2C5B" w:rsidRDefault="002A4F8D" w:rsidP="008B2C5B">
      <w:pPr>
        <w:rPr>
          <w:rFonts w:ascii="Book Antiqua" w:hAnsi="Book Antiqua" w:hint="eastAsia"/>
          <w:sz w:val="24"/>
          <w:szCs w:val="24"/>
        </w:rPr>
      </w:pPr>
      <w:r w:rsidRPr="00BF3C3C">
        <w:rPr>
          <w:rFonts w:ascii="Book Antiqua" w:hAnsi="Book Antiqua"/>
          <w:b/>
          <w:color w:val="000000"/>
          <w:sz w:val="24"/>
          <w:szCs w:val="24"/>
        </w:rPr>
        <w:t xml:space="preserve">Accepted: </w:t>
      </w:r>
      <w:r w:rsidR="008B2C5B" w:rsidRPr="006045E8">
        <w:rPr>
          <w:rFonts w:ascii="Book Antiqua" w:hAnsi="Book Antiqua"/>
          <w:sz w:val="24"/>
          <w:szCs w:val="24"/>
        </w:rPr>
        <w:t>April 15, 2014</w:t>
      </w:r>
    </w:p>
    <w:p w:rsidR="002A4F8D" w:rsidRPr="00BF3C3C" w:rsidRDefault="002A4F8D" w:rsidP="002A4F8D">
      <w:pPr>
        <w:spacing w:line="360" w:lineRule="auto"/>
        <w:rPr>
          <w:rFonts w:ascii="Book Antiqua" w:hAnsi="Book Antiqua"/>
          <w:b/>
          <w:color w:val="000000"/>
          <w:sz w:val="24"/>
          <w:szCs w:val="24"/>
        </w:rPr>
      </w:pPr>
    </w:p>
    <w:p w:rsidR="002A4F8D" w:rsidRPr="00BF3C3C" w:rsidRDefault="002A4F8D" w:rsidP="002A4F8D">
      <w:pPr>
        <w:spacing w:line="360" w:lineRule="auto"/>
        <w:rPr>
          <w:rFonts w:ascii="Book Antiqua" w:hAnsi="Book Antiqua"/>
          <w:color w:val="000000"/>
          <w:sz w:val="24"/>
          <w:szCs w:val="24"/>
        </w:rPr>
      </w:pPr>
      <w:r w:rsidRPr="00BF3C3C">
        <w:rPr>
          <w:rFonts w:ascii="Book Antiqua" w:hAnsi="Book Antiqua"/>
          <w:b/>
          <w:color w:val="000000"/>
          <w:sz w:val="24"/>
          <w:szCs w:val="24"/>
        </w:rPr>
        <w:t xml:space="preserve">Published online: </w:t>
      </w:r>
    </w:p>
    <w:bookmarkEnd w:id="14"/>
    <w:bookmarkEnd w:id="15"/>
    <w:bookmarkEnd w:id="16"/>
    <w:bookmarkEnd w:id="17"/>
    <w:p w:rsidR="00EF073F" w:rsidRPr="00BF3C3C" w:rsidRDefault="00EF073F" w:rsidP="002A4F8D">
      <w:pPr>
        <w:pStyle w:val="a7"/>
        <w:adjustRightInd w:val="0"/>
        <w:snapToGrid w:val="0"/>
        <w:spacing w:before="43" w:beforeAutospacing="0" w:after="43" w:afterAutospacing="0" w:line="360" w:lineRule="auto"/>
        <w:jc w:val="both"/>
        <w:rPr>
          <w:rFonts w:ascii="Book Antiqua" w:hAnsi="Book Antiqua" w:cs="Times New Roman"/>
          <w:b/>
          <w:u w:val="single"/>
        </w:rPr>
      </w:pPr>
    </w:p>
    <w:p w:rsidR="00EF073F" w:rsidRPr="00BF3C3C" w:rsidRDefault="00EF073F" w:rsidP="00CA6867">
      <w:pPr>
        <w:widowControl/>
        <w:wordWrap/>
        <w:autoSpaceDE/>
        <w:autoSpaceDN/>
        <w:jc w:val="left"/>
        <w:rPr>
          <w:rFonts w:ascii="Book Antiqua" w:eastAsia="Batang" w:hAnsi="Book Antiqua" w:cs="Times New Roman"/>
          <w:b/>
          <w:kern w:val="0"/>
          <w:sz w:val="24"/>
          <w:szCs w:val="24"/>
        </w:rPr>
      </w:pPr>
      <w:r w:rsidRPr="00BF3C3C">
        <w:rPr>
          <w:rFonts w:ascii="Book Antiqua" w:hAnsi="Book Antiqua" w:cs="Times New Roman"/>
          <w:b/>
          <w:sz w:val="24"/>
          <w:szCs w:val="24"/>
        </w:rPr>
        <w:br w:type="page"/>
      </w:r>
    </w:p>
    <w:p w:rsidR="00352A17" w:rsidRPr="00BF3C3C" w:rsidRDefault="00352A17" w:rsidP="002A4F8D">
      <w:pPr>
        <w:wordWrap/>
        <w:spacing w:line="360" w:lineRule="auto"/>
        <w:rPr>
          <w:rFonts w:ascii="Book Antiqua" w:eastAsia="Batang" w:hAnsi="Book Antiqua" w:cs="Times New Roman"/>
          <w:b/>
          <w:sz w:val="24"/>
          <w:szCs w:val="24"/>
        </w:rPr>
      </w:pPr>
      <w:r w:rsidRPr="00BF3C3C">
        <w:rPr>
          <w:rFonts w:ascii="Book Antiqua" w:eastAsia="Batang" w:hAnsi="Book Antiqua" w:cs="Times New Roman"/>
          <w:b/>
          <w:sz w:val="24"/>
          <w:szCs w:val="24"/>
        </w:rPr>
        <w:lastRenderedPageBreak/>
        <w:t>Abstract</w:t>
      </w:r>
    </w:p>
    <w:p w:rsidR="000B751C" w:rsidRPr="00BF3C3C" w:rsidRDefault="000B751C" w:rsidP="000B751C">
      <w:pPr>
        <w:wordWrap/>
        <w:spacing w:line="360" w:lineRule="auto"/>
        <w:rPr>
          <w:rFonts w:ascii="Book Antiqua" w:eastAsia="宋体" w:hAnsi="Book Antiqua" w:cs="Times New Roman"/>
          <w:sz w:val="24"/>
          <w:szCs w:val="24"/>
          <w:lang w:eastAsia="zh-CN"/>
        </w:rPr>
      </w:pPr>
      <w:r w:rsidRPr="00BF3C3C">
        <w:rPr>
          <w:rFonts w:ascii="Book Antiqua" w:eastAsia="Batang" w:hAnsi="Book Antiqua" w:cs="Times New Roman"/>
          <w:b/>
          <w:sz w:val="24"/>
          <w:szCs w:val="24"/>
        </w:rPr>
        <w:t>AIM:</w:t>
      </w:r>
      <w:r w:rsidRPr="00BF3C3C">
        <w:rPr>
          <w:rFonts w:ascii="Book Antiqua" w:hAnsi="Book Antiqua" w:cs="Times New Roman"/>
          <w:sz w:val="24"/>
          <w:szCs w:val="24"/>
        </w:rPr>
        <w:t xml:space="preserve"> </w:t>
      </w:r>
      <w:r w:rsidR="005E74A8" w:rsidRPr="00BF3C3C">
        <w:rPr>
          <w:rFonts w:ascii="Book Antiqua" w:hAnsi="Book Antiqua" w:cs="Times New Roman"/>
          <w:sz w:val="24"/>
          <w:szCs w:val="24"/>
        </w:rPr>
        <w:t>T</w:t>
      </w:r>
      <w:r w:rsidRPr="00BF3C3C">
        <w:rPr>
          <w:rFonts w:ascii="Book Antiqua" w:hAnsi="Book Antiqua" w:cs="Times New Roman"/>
          <w:sz w:val="24"/>
          <w:szCs w:val="24"/>
        </w:rPr>
        <w:t>o investigate the effect of gastric acid suppressants and prokinetics on peritonitis development in peritoneal dialysis (PD) patients.</w:t>
      </w:r>
    </w:p>
    <w:p w:rsidR="000B751C" w:rsidRPr="00BF3C3C" w:rsidRDefault="000B751C" w:rsidP="000B751C">
      <w:pPr>
        <w:wordWrap/>
        <w:spacing w:line="360" w:lineRule="auto"/>
        <w:rPr>
          <w:rFonts w:ascii="Book Antiqua" w:eastAsia="宋体" w:hAnsi="Book Antiqua" w:cs="Times New Roman"/>
          <w:sz w:val="24"/>
          <w:szCs w:val="24"/>
          <w:lang w:eastAsia="zh-CN"/>
        </w:rPr>
      </w:pPr>
    </w:p>
    <w:p w:rsidR="000B751C" w:rsidRPr="00BF3C3C" w:rsidRDefault="000B751C" w:rsidP="000B751C">
      <w:pPr>
        <w:wordWrap/>
        <w:spacing w:line="360" w:lineRule="auto"/>
        <w:rPr>
          <w:rFonts w:ascii="Book Antiqua" w:eastAsia="宋体" w:hAnsi="Book Antiqua" w:cs="Times New Roman"/>
          <w:sz w:val="24"/>
          <w:szCs w:val="24"/>
          <w:lang w:eastAsia="zh-CN"/>
        </w:rPr>
      </w:pPr>
      <w:r w:rsidRPr="00BF3C3C">
        <w:rPr>
          <w:rFonts w:ascii="Book Antiqua" w:eastAsia="Batang" w:hAnsi="Book Antiqua" w:cs="Times New Roman"/>
          <w:b/>
          <w:bCs/>
          <w:iCs/>
          <w:caps/>
          <w:sz w:val="24"/>
          <w:szCs w:val="24"/>
        </w:rPr>
        <w:t>Methods</w:t>
      </w:r>
      <w:r w:rsidRPr="00BF3C3C">
        <w:rPr>
          <w:rFonts w:ascii="Book Antiqua" w:eastAsia="Batang" w:hAnsi="Book Antiqua" w:cs="Times New Roman"/>
          <w:b/>
          <w:bCs/>
          <w:iCs/>
          <w:sz w:val="24"/>
          <w:szCs w:val="24"/>
        </w:rPr>
        <w:t>:</w:t>
      </w:r>
      <w:r w:rsidRPr="00BF3C3C">
        <w:rPr>
          <w:rFonts w:ascii="Book Antiqua" w:eastAsia="Batang" w:hAnsi="Book Antiqua" w:cs="Times New Roman"/>
          <w:bCs/>
          <w:iCs/>
          <w:sz w:val="24"/>
          <w:szCs w:val="24"/>
        </w:rPr>
        <w:t xml:space="preserve"> </w:t>
      </w:r>
      <w:r w:rsidRPr="00BF3C3C">
        <w:rPr>
          <w:rFonts w:ascii="Book Antiqua" w:hAnsi="Book Antiqua" w:cs="Times New Roman"/>
          <w:sz w:val="24"/>
          <w:szCs w:val="24"/>
        </w:rPr>
        <w:t xml:space="preserve">This was a single-center, retrospective study. The medical records of 398 </w:t>
      </w:r>
      <w:r w:rsidR="008D4C31" w:rsidRPr="00BF3C3C">
        <w:rPr>
          <w:rFonts w:ascii="Book Antiqua" w:hAnsi="Book Antiqua" w:cs="Times New Roman"/>
          <w:sz w:val="24"/>
          <w:szCs w:val="24"/>
        </w:rPr>
        <w:t xml:space="preserve">PD </w:t>
      </w:r>
      <w:r w:rsidRPr="00BF3C3C">
        <w:rPr>
          <w:rFonts w:ascii="Book Antiqua" w:hAnsi="Book Antiqua" w:cs="Times New Roman"/>
          <w:sz w:val="24"/>
          <w:szCs w:val="24"/>
        </w:rPr>
        <w:t>patients were collected from January 2000 to September 2012 and analyzed to compare patients with at least one episode of peritonitis (peritonitis group, group A) to patients who never had peritonitis (no peritonitis group, group B). All peritonitis episodes were analyzed to compare peritonitis caused by enteric organisms and peritonitis caused by non-enteric organisms.</w:t>
      </w:r>
    </w:p>
    <w:p w:rsidR="000B751C" w:rsidRPr="00BF3C3C" w:rsidRDefault="000B751C" w:rsidP="000B751C">
      <w:pPr>
        <w:wordWrap/>
        <w:spacing w:line="360" w:lineRule="auto"/>
        <w:rPr>
          <w:rFonts w:ascii="Book Antiqua" w:eastAsia="宋体" w:hAnsi="Book Antiqua" w:cs="Times New Roman"/>
          <w:sz w:val="24"/>
          <w:szCs w:val="24"/>
          <w:lang w:eastAsia="zh-CN"/>
        </w:rPr>
      </w:pPr>
    </w:p>
    <w:p w:rsidR="000B751C" w:rsidRPr="00BF3C3C" w:rsidRDefault="000B751C" w:rsidP="000B751C">
      <w:pPr>
        <w:wordWrap/>
        <w:spacing w:line="360" w:lineRule="auto"/>
        <w:rPr>
          <w:rFonts w:ascii="Book Antiqua" w:eastAsia="宋体" w:hAnsi="Book Antiqua" w:cs="Times New Roman"/>
          <w:bCs/>
          <w:iCs/>
          <w:sz w:val="24"/>
          <w:szCs w:val="24"/>
          <w:lang w:eastAsia="zh-CN"/>
        </w:rPr>
      </w:pPr>
      <w:r w:rsidRPr="00BF3C3C">
        <w:rPr>
          <w:rFonts w:ascii="Book Antiqua" w:eastAsia="Batang" w:hAnsi="Book Antiqua" w:cs="Times New Roman"/>
          <w:b/>
          <w:bCs/>
          <w:iCs/>
          <w:caps/>
          <w:sz w:val="24"/>
          <w:szCs w:val="24"/>
        </w:rPr>
        <w:t>Results</w:t>
      </w:r>
      <w:r w:rsidRPr="00BF3C3C">
        <w:rPr>
          <w:rFonts w:ascii="Book Antiqua" w:eastAsia="Batang" w:hAnsi="Book Antiqua" w:cs="Times New Roman"/>
          <w:b/>
          <w:bCs/>
          <w:iCs/>
          <w:sz w:val="24"/>
          <w:szCs w:val="24"/>
        </w:rPr>
        <w:t>:</w:t>
      </w:r>
      <w:r w:rsidRPr="00BF3C3C">
        <w:rPr>
          <w:rFonts w:ascii="Book Antiqua" w:eastAsia="Batang" w:hAnsi="Book Antiqua" w:cs="Times New Roman"/>
          <w:bCs/>
          <w:iCs/>
          <w:sz w:val="24"/>
          <w:szCs w:val="24"/>
        </w:rPr>
        <w:t xml:space="preserve"> Among the 120 patients who met the inclusion criteria, 61 patients had at least one episode of peritonitis and 59 patients never experienced peritonitis. Twenty-four of 61 patients (39.3%) in group A and 15 of 59 patients (25.4%) in group B used gastric acid suppressants. Only the use of H2-blocker (H2B) was associated with an increased risk of PD-related peritonitis; the use of proton pump inhibitors, other antacids, and prokinetics was not found to be a significant risk factor for PD-related peritonitis. A total of 81 episodes of peritonitis were divided into enteric peritonitis (EP) or non-enteric peritonitis, </w:t>
      </w:r>
      <w:r w:rsidRPr="00BF3C3C">
        <w:rPr>
          <w:rFonts w:ascii="Book Antiqua" w:eastAsia="HYSinMyeongJo-Medium" w:hAnsi="Book Antiqua" w:cs="Times New Roman"/>
          <w:sz w:val="24"/>
          <w:szCs w:val="24"/>
        </w:rPr>
        <w:t>depending on the causative organism</w:t>
      </w:r>
      <w:r w:rsidRPr="00BF3C3C">
        <w:rPr>
          <w:rFonts w:ascii="Book Antiqua" w:eastAsia="Batang" w:hAnsi="Book Antiqua" w:cs="Times New Roman"/>
          <w:bCs/>
          <w:iCs/>
          <w:sz w:val="24"/>
          <w:szCs w:val="24"/>
        </w:rPr>
        <w:t>, and gastric acid suppressants and prokinetics did not increase the risk of EP in PD patients.</w:t>
      </w:r>
    </w:p>
    <w:p w:rsidR="000B751C" w:rsidRPr="00BF3C3C" w:rsidRDefault="000B751C" w:rsidP="000B751C">
      <w:pPr>
        <w:wordWrap/>
        <w:spacing w:line="360" w:lineRule="auto"/>
        <w:rPr>
          <w:rFonts w:ascii="Book Antiqua" w:eastAsia="宋体" w:hAnsi="Book Antiqua" w:cs="Times New Roman"/>
          <w:bCs/>
          <w:iCs/>
          <w:sz w:val="24"/>
          <w:szCs w:val="24"/>
          <w:lang w:eastAsia="zh-CN"/>
        </w:rPr>
      </w:pPr>
    </w:p>
    <w:p w:rsidR="000B751C" w:rsidRPr="00BF3C3C" w:rsidRDefault="000B751C" w:rsidP="000B751C">
      <w:pPr>
        <w:wordWrap/>
        <w:spacing w:line="360" w:lineRule="auto"/>
        <w:rPr>
          <w:rFonts w:ascii="Book Antiqua" w:eastAsia="宋体" w:hAnsi="Book Antiqua" w:cs="Times New Roman"/>
          <w:sz w:val="24"/>
          <w:szCs w:val="24"/>
          <w:lang w:eastAsia="zh-CN"/>
        </w:rPr>
      </w:pPr>
      <w:r w:rsidRPr="00BF3C3C">
        <w:rPr>
          <w:rFonts w:ascii="Book Antiqua" w:eastAsia="Batang" w:hAnsi="Book Antiqua" w:cs="Times New Roman"/>
          <w:b/>
          <w:bCs/>
          <w:iCs/>
          <w:caps/>
          <w:sz w:val="24"/>
          <w:szCs w:val="24"/>
        </w:rPr>
        <w:t>Conclusion</w:t>
      </w:r>
      <w:r w:rsidRPr="00BF3C3C">
        <w:rPr>
          <w:rFonts w:ascii="Book Antiqua" w:eastAsia="Batang" w:hAnsi="Book Antiqua" w:cs="Times New Roman"/>
          <w:b/>
          <w:bCs/>
          <w:iCs/>
          <w:sz w:val="24"/>
          <w:szCs w:val="24"/>
        </w:rPr>
        <w:t>:</w:t>
      </w:r>
      <w:r w:rsidRPr="00BF3C3C">
        <w:rPr>
          <w:rFonts w:ascii="Book Antiqua" w:eastAsia="Batang" w:hAnsi="Book Antiqua" w:cs="Times New Roman"/>
          <w:sz w:val="24"/>
          <w:szCs w:val="24"/>
        </w:rPr>
        <w:t> </w:t>
      </w:r>
      <w:r w:rsidRPr="00BF3C3C">
        <w:rPr>
          <w:rFonts w:ascii="Book Antiqua" w:hAnsi="Book Antiqua" w:cs="Times New Roman"/>
          <w:sz w:val="24"/>
          <w:szCs w:val="24"/>
        </w:rPr>
        <w:t>The use of H2B showed a trend for an increased risk of overall PD-related peritonitis, although further studies are required to clarify the effects of drugs on PD-related peritonitis.</w:t>
      </w:r>
    </w:p>
    <w:p w:rsidR="002A4F8D" w:rsidRPr="00BF3C3C" w:rsidRDefault="002A4F8D" w:rsidP="002A4F8D">
      <w:pPr>
        <w:wordWrap/>
        <w:spacing w:line="360" w:lineRule="auto"/>
        <w:rPr>
          <w:rFonts w:ascii="Book Antiqua" w:eastAsia="宋体" w:hAnsi="Book Antiqua" w:cs="Times New Roman"/>
          <w:sz w:val="24"/>
          <w:szCs w:val="24"/>
          <w:lang w:eastAsia="zh-CN"/>
        </w:rPr>
      </w:pPr>
    </w:p>
    <w:p w:rsidR="002A4F8D" w:rsidRPr="00BF3C3C" w:rsidRDefault="002A4F8D" w:rsidP="002A4F8D">
      <w:pPr>
        <w:spacing w:line="360" w:lineRule="auto"/>
        <w:rPr>
          <w:rFonts w:ascii="Book Antiqua" w:hAnsi="Book Antiqua"/>
          <w:sz w:val="24"/>
          <w:szCs w:val="24"/>
        </w:rPr>
      </w:pPr>
      <w:bookmarkStart w:id="18" w:name="OLE_LINK344"/>
      <w:bookmarkStart w:id="19" w:name="OLE_LINK345"/>
      <w:r w:rsidRPr="00BF3C3C">
        <w:rPr>
          <w:rFonts w:ascii="Book Antiqua" w:hAnsi="Book Antiqua"/>
          <w:sz w:val="24"/>
          <w:szCs w:val="24"/>
        </w:rPr>
        <w:t>© 2014 Baishideng Publishing Group Co., Limited. All rights reserved.</w:t>
      </w:r>
    </w:p>
    <w:bookmarkEnd w:id="18"/>
    <w:bookmarkEnd w:id="19"/>
    <w:p w:rsidR="009636D2" w:rsidRPr="00BF3C3C" w:rsidRDefault="009636D2" w:rsidP="002A4F8D">
      <w:pPr>
        <w:wordWrap/>
        <w:spacing w:line="360" w:lineRule="auto"/>
        <w:rPr>
          <w:rFonts w:ascii="Book Antiqua" w:hAnsi="Book Antiqua" w:cs="Times New Roman"/>
          <w:b/>
          <w:sz w:val="24"/>
          <w:szCs w:val="24"/>
        </w:rPr>
      </w:pPr>
    </w:p>
    <w:p w:rsidR="009636D2" w:rsidRPr="00BF3C3C" w:rsidRDefault="009636D2" w:rsidP="002A4F8D">
      <w:pPr>
        <w:wordWrap/>
        <w:spacing w:line="360" w:lineRule="auto"/>
        <w:rPr>
          <w:rFonts w:ascii="Book Antiqua" w:hAnsi="Book Antiqua" w:cs="Times New Roman"/>
          <w:sz w:val="24"/>
          <w:szCs w:val="24"/>
        </w:rPr>
      </w:pPr>
      <w:r w:rsidRPr="00BF3C3C">
        <w:rPr>
          <w:rFonts w:ascii="Book Antiqua" w:hAnsi="Book Antiqua" w:cs="Times New Roman"/>
          <w:b/>
          <w:sz w:val="24"/>
          <w:szCs w:val="24"/>
        </w:rPr>
        <w:t>Key</w:t>
      </w:r>
      <w:r w:rsidR="00E84596" w:rsidRPr="00BF3C3C">
        <w:rPr>
          <w:rFonts w:ascii="Book Antiqua" w:hAnsi="Book Antiqua" w:cs="Times New Roman"/>
          <w:b/>
          <w:sz w:val="24"/>
          <w:szCs w:val="24"/>
        </w:rPr>
        <w:t xml:space="preserve"> </w:t>
      </w:r>
      <w:r w:rsidRPr="00BF3C3C">
        <w:rPr>
          <w:rFonts w:ascii="Book Antiqua" w:hAnsi="Book Antiqua" w:cs="Times New Roman"/>
          <w:b/>
          <w:sz w:val="24"/>
          <w:szCs w:val="24"/>
        </w:rPr>
        <w:t>words</w:t>
      </w:r>
      <w:r w:rsidRPr="00BF3C3C">
        <w:rPr>
          <w:rFonts w:ascii="Book Antiqua" w:hAnsi="Book Antiqua" w:cs="Times New Roman"/>
          <w:sz w:val="24"/>
          <w:szCs w:val="24"/>
        </w:rPr>
        <w:t xml:space="preserve">: </w:t>
      </w:r>
      <w:r w:rsidR="00787A3F" w:rsidRPr="00BF3C3C">
        <w:rPr>
          <w:rFonts w:ascii="Book Antiqua" w:hAnsi="Book Antiqua" w:cs="Times New Roman"/>
          <w:sz w:val="24"/>
          <w:szCs w:val="24"/>
        </w:rPr>
        <w:t>Pr</w:t>
      </w:r>
      <w:r w:rsidR="00EC77EC" w:rsidRPr="00BF3C3C">
        <w:rPr>
          <w:rFonts w:ascii="Book Antiqua" w:hAnsi="Book Antiqua" w:cs="Times New Roman"/>
          <w:sz w:val="24"/>
          <w:szCs w:val="24"/>
        </w:rPr>
        <w:t>oton Pump Inhibitors;</w:t>
      </w:r>
      <w:r w:rsidR="000B751C" w:rsidRPr="00BF3C3C">
        <w:rPr>
          <w:rFonts w:ascii="Book Antiqua" w:hAnsi="Book Antiqua" w:cs="Times New Roman"/>
          <w:sz w:val="24"/>
          <w:szCs w:val="24"/>
        </w:rPr>
        <w:t xml:space="preserve"> Histamine 2 R</w:t>
      </w:r>
      <w:r w:rsidR="0046198F" w:rsidRPr="00BF3C3C">
        <w:rPr>
          <w:rFonts w:ascii="Book Antiqua" w:hAnsi="Book Antiqua" w:cs="Times New Roman"/>
          <w:sz w:val="24"/>
          <w:szCs w:val="24"/>
        </w:rPr>
        <w:t xml:space="preserve">eceptor </w:t>
      </w:r>
      <w:r w:rsidR="00EC77EC" w:rsidRPr="00BF3C3C">
        <w:rPr>
          <w:rFonts w:ascii="Book Antiqua" w:hAnsi="Book Antiqua" w:cs="Times New Roman"/>
          <w:sz w:val="24"/>
          <w:szCs w:val="24"/>
        </w:rPr>
        <w:t>Antagonists;</w:t>
      </w:r>
      <w:r w:rsidR="00787A3F" w:rsidRPr="00BF3C3C">
        <w:rPr>
          <w:rFonts w:ascii="Book Antiqua" w:hAnsi="Book Antiqua" w:cs="Times New Roman"/>
          <w:sz w:val="24"/>
          <w:szCs w:val="24"/>
        </w:rPr>
        <w:t xml:space="preserve"> Gastrointestinal Motility</w:t>
      </w:r>
      <w:r w:rsidR="00EC77EC" w:rsidRPr="00BF3C3C">
        <w:rPr>
          <w:rFonts w:ascii="Book Antiqua" w:hAnsi="Book Antiqua" w:cs="Times New Roman"/>
          <w:sz w:val="24"/>
          <w:szCs w:val="24"/>
        </w:rPr>
        <w:t>;</w:t>
      </w:r>
      <w:r w:rsidRPr="00BF3C3C">
        <w:rPr>
          <w:rFonts w:ascii="Book Antiqua" w:hAnsi="Book Antiqua" w:cs="Times New Roman"/>
          <w:sz w:val="24"/>
          <w:szCs w:val="24"/>
        </w:rPr>
        <w:t xml:space="preserve"> </w:t>
      </w:r>
      <w:r w:rsidR="00E84596" w:rsidRPr="00BF3C3C">
        <w:rPr>
          <w:rFonts w:ascii="Book Antiqua" w:hAnsi="Book Antiqua" w:cs="Times New Roman"/>
          <w:sz w:val="24"/>
          <w:szCs w:val="24"/>
        </w:rPr>
        <w:t>Periton</w:t>
      </w:r>
      <w:r w:rsidR="00EC77EC" w:rsidRPr="00BF3C3C">
        <w:rPr>
          <w:rFonts w:ascii="Book Antiqua" w:hAnsi="Book Antiqua" w:cs="Times New Roman"/>
          <w:sz w:val="24"/>
          <w:szCs w:val="24"/>
        </w:rPr>
        <w:t>eal Dialysis; Peritonitis</w:t>
      </w:r>
    </w:p>
    <w:p w:rsidR="002A4F8D" w:rsidRPr="00BF3C3C" w:rsidRDefault="000B751C" w:rsidP="002A4F8D">
      <w:pPr>
        <w:widowControl/>
        <w:wordWrap/>
        <w:autoSpaceDE/>
        <w:autoSpaceDN/>
        <w:spacing w:line="360" w:lineRule="auto"/>
        <w:rPr>
          <w:rFonts w:ascii="Book Antiqua" w:hAnsi="Book Antiqua" w:cs="Times New Roman"/>
          <w:snapToGrid w:val="0"/>
          <w:sz w:val="24"/>
          <w:szCs w:val="24"/>
        </w:rPr>
      </w:pPr>
      <w:r w:rsidRPr="00BF3C3C">
        <w:rPr>
          <w:rFonts w:ascii="Book Antiqua" w:hAnsi="Book Antiqua" w:cs="Times New Roman"/>
          <w:b/>
          <w:sz w:val="24"/>
          <w:szCs w:val="24"/>
        </w:rPr>
        <w:lastRenderedPageBreak/>
        <w:t>Core tip</w:t>
      </w:r>
      <w:r w:rsidRPr="00BF3C3C">
        <w:rPr>
          <w:rFonts w:ascii="Book Antiqua" w:eastAsia="宋体" w:hAnsi="Book Antiqua" w:cs="Times New Roman"/>
          <w:b/>
          <w:sz w:val="24"/>
          <w:szCs w:val="24"/>
          <w:lang w:eastAsia="zh-CN"/>
        </w:rPr>
        <w:t xml:space="preserve">: </w:t>
      </w:r>
      <w:r w:rsidRPr="00BF3C3C">
        <w:rPr>
          <w:rFonts w:ascii="Book Antiqua" w:eastAsia="HYSinMyeongJo-Medium" w:hAnsi="Book Antiqua" w:cs="Times New Roman"/>
          <w:snapToGrid w:val="0"/>
          <w:sz w:val="24"/>
          <w:szCs w:val="24"/>
        </w:rPr>
        <w:t>Bacterial overgrowth/proliferation in an intraluminal environment with a high pH is a well-recognized mechanism for peritonitis development, especially in LC patients. Several studies have investigated whether this mechanism causes peritoneal dialysis (PD)-related peritonitis, although conflicting results have been obtained for the association between acid suppressive therapy and PD-related peritonitis. In addition,</w:t>
      </w:r>
      <w:r w:rsidRPr="00BF3C3C">
        <w:rPr>
          <w:rFonts w:ascii="Book Antiqua" w:eastAsia="HYSinMyeongJo-Medium" w:hAnsi="Book Antiqua" w:cs="Times New Roman"/>
          <w:sz w:val="24"/>
          <w:szCs w:val="24"/>
        </w:rPr>
        <w:t xml:space="preserve"> no study was conducted to evaluate the association between prokinetics and PD-related peritonitis. Therefore, we sought to assess the effect of gastric acid suppressants and prokinetics on PD-related peritonitis.</w:t>
      </w:r>
      <w:r w:rsidRPr="00BF3C3C">
        <w:rPr>
          <w:rFonts w:ascii="Book Antiqua" w:hAnsi="Book Antiqua"/>
          <w:sz w:val="24"/>
          <w:szCs w:val="24"/>
        </w:rPr>
        <w:t xml:space="preserve"> </w:t>
      </w:r>
      <w:r w:rsidRPr="00BF3C3C">
        <w:rPr>
          <w:rFonts w:ascii="Book Antiqua" w:eastAsia="HYSinMyeongJo-Medium" w:hAnsi="Book Antiqua" w:cs="Times New Roman"/>
          <w:snapToGrid w:val="0"/>
          <w:sz w:val="24"/>
          <w:szCs w:val="24"/>
        </w:rPr>
        <w:t>In the present study, H2B use, but not PPI use, was identified as an independent risk factor for PD-related peritonitis development.</w:t>
      </w:r>
    </w:p>
    <w:p w:rsidR="00A350C1" w:rsidRPr="00BF3C3C" w:rsidRDefault="00A350C1" w:rsidP="002A4F8D">
      <w:pPr>
        <w:adjustRightInd w:val="0"/>
        <w:snapToGrid w:val="0"/>
        <w:spacing w:line="360" w:lineRule="auto"/>
        <w:rPr>
          <w:rFonts w:ascii="Book Antiqua" w:hAnsi="Book Antiqua" w:cs="Tahoma"/>
          <w:sz w:val="24"/>
          <w:szCs w:val="24"/>
        </w:rPr>
      </w:pPr>
      <w:bookmarkStart w:id="20" w:name="OLE_LINK130"/>
      <w:bookmarkStart w:id="21" w:name="OLE_LINK134"/>
    </w:p>
    <w:p w:rsidR="00A350C1" w:rsidRPr="00BF3C3C" w:rsidRDefault="00CA6867" w:rsidP="00CA6867">
      <w:pPr>
        <w:wordWrap/>
        <w:spacing w:line="360" w:lineRule="auto"/>
        <w:rPr>
          <w:rFonts w:ascii="Book Antiqua" w:eastAsia="宋体" w:hAnsi="Book Antiqua" w:cs="Times New Roman"/>
          <w:sz w:val="24"/>
          <w:szCs w:val="24"/>
          <w:lang w:eastAsia="zh-CN"/>
        </w:rPr>
      </w:pPr>
      <w:r w:rsidRPr="00BF3C3C">
        <w:rPr>
          <w:rFonts w:ascii="Book Antiqua" w:hAnsi="Book Antiqua" w:cs="Times New Roman"/>
          <w:sz w:val="24"/>
          <w:szCs w:val="24"/>
        </w:rPr>
        <w:t>Kwon</w:t>
      </w:r>
      <w:r w:rsidRPr="00BF3C3C">
        <w:rPr>
          <w:rFonts w:ascii="Book Antiqua" w:eastAsia="宋体" w:hAnsi="Book Antiqua" w:cs="Times New Roman" w:hint="eastAsia"/>
          <w:sz w:val="24"/>
          <w:szCs w:val="24"/>
          <w:lang w:eastAsia="zh-CN"/>
        </w:rPr>
        <w:t xml:space="preserve"> JE, </w:t>
      </w:r>
      <w:r w:rsidRPr="00BF3C3C">
        <w:rPr>
          <w:rFonts w:ascii="Book Antiqua" w:eastAsia="宋体" w:hAnsi="Book Antiqua" w:cs="Times New Roman"/>
          <w:sz w:val="24"/>
          <w:szCs w:val="24"/>
          <w:lang w:eastAsia="zh-CN"/>
        </w:rPr>
        <w:t>Koh</w:t>
      </w:r>
      <w:r w:rsidRPr="00BF3C3C">
        <w:rPr>
          <w:rFonts w:ascii="Book Antiqua" w:eastAsia="宋体" w:hAnsi="Book Antiqua" w:cs="Times New Roman" w:hint="eastAsia"/>
          <w:sz w:val="24"/>
          <w:szCs w:val="24"/>
          <w:lang w:eastAsia="zh-CN"/>
        </w:rPr>
        <w:t xml:space="preserve"> SJ, </w:t>
      </w:r>
      <w:r w:rsidRPr="00BF3C3C">
        <w:rPr>
          <w:rFonts w:ascii="Book Antiqua" w:hAnsi="Book Antiqua" w:cs="Times New Roman"/>
          <w:sz w:val="24"/>
          <w:szCs w:val="24"/>
        </w:rPr>
        <w:t>Chun</w:t>
      </w:r>
      <w:r w:rsidRPr="00BF3C3C">
        <w:rPr>
          <w:rFonts w:ascii="Book Antiqua" w:eastAsia="宋体" w:hAnsi="Book Antiqua" w:cs="Times New Roman" w:hint="eastAsia"/>
          <w:sz w:val="24"/>
          <w:szCs w:val="24"/>
          <w:lang w:eastAsia="zh-CN"/>
        </w:rPr>
        <w:t xml:space="preserve"> J, </w:t>
      </w:r>
      <w:r w:rsidRPr="00BF3C3C">
        <w:rPr>
          <w:rFonts w:ascii="Book Antiqua" w:hAnsi="Book Antiqua" w:cs="Times New Roman"/>
          <w:sz w:val="24"/>
          <w:szCs w:val="24"/>
        </w:rPr>
        <w:t>Kim</w:t>
      </w:r>
      <w:r w:rsidRPr="00BF3C3C">
        <w:rPr>
          <w:rFonts w:ascii="Book Antiqua" w:eastAsia="宋体" w:hAnsi="Book Antiqua" w:cs="Times New Roman" w:hint="eastAsia"/>
          <w:sz w:val="24"/>
          <w:szCs w:val="24"/>
          <w:lang w:eastAsia="zh-CN"/>
        </w:rPr>
        <w:t xml:space="preserve"> JW, </w:t>
      </w:r>
      <w:r w:rsidRPr="00BF3C3C">
        <w:rPr>
          <w:rFonts w:ascii="Book Antiqua" w:hAnsi="Book Antiqua" w:cs="Times New Roman"/>
          <w:sz w:val="24"/>
          <w:szCs w:val="24"/>
        </w:rPr>
        <w:t>Kim</w:t>
      </w:r>
      <w:r w:rsidRPr="00BF3C3C">
        <w:rPr>
          <w:rFonts w:ascii="Book Antiqua" w:eastAsia="宋体" w:hAnsi="Book Antiqua" w:cs="Times New Roman" w:hint="eastAsia"/>
          <w:sz w:val="24"/>
          <w:szCs w:val="24"/>
          <w:lang w:eastAsia="zh-CN"/>
        </w:rPr>
        <w:t xml:space="preserve"> BG, </w:t>
      </w:r>
      <w:r w:rsidRPr="00BF3C3C">
        <w:rPr>
          <w:rFonts w:ascii="Book Antiqua" w:hAnsi="Book Antiqua" w:cs="Times New Roman"/>
          <w:sz w:val="24"/>
          <w:szCs w:val="24"/>
        </w:rPr>
        <w:t>Lee</w:t>
      </w:r>
      <w:r w:rsidRPr="00BF3C3C">
        <w:rPr>
          <w:rFonts w:ascii="Book Antiqua" w:eastAsia="宋体" w:hAnsi="Book Antiqua" w:cs="Times New Roman" w:hint="eastAsia"/>
          <w:sz w:val="24"/>
          <w:szCs w:val="24"/>
          <w:lang w:eastAsia="zh-CN"/>
        </w:rPr>
        <w:t xml:space="preserve"> KL, </w:t>
      </w:r>
      <w:r w:rsidRPr="00BF3C3C">
        <w:rPr>
          <w:rFonts w:ascii="Book Antiqua" w:eastAsia="Gulim" w:hAnsi="Book Antiqua" w:cs="Times New Roman"/>
          <w:kern w:val="0"/>
          <w:sz w:val="24"/>
          <w:szCs w:val="24"/>
        </w:rPr>
        <w:t>Im</w:t>
      </w:r>
      <w:r w:rsidRPr="00BF3C3C">
        <w:rPr>
          <w:rFonts w:ascii="Book Antiqua" w:eastAsia="宋体" w:hAnsi="Book Antiqua" w:cs="Times New Roman" w:hint="eastAsia"/>
          <w:kern w:val="0"/>
          <w:sz w:val="24"/>
          <w:szCs w:val="24"/>
          <w:lang w:eastAsia="zh-CN"/>
        </w:rPr>
        <w:t xml:space="preserve"> JP,</w:t>
      </w:r>
      <w:r w:rsidRPr="00BF3C3C">
        <w:rPr>
          <w:rFonts w:ascii="Book Antiqua" w:eastAsia="Gulim" w:hAnsi="Book Antiqua" w:cs="Times New Roman"/>
          <w:kern w:val="0"/>
          <w:sz w:val="24"/>
          <w:szCs w:val="24"/>
        </w:rPr>
        <w:t xml:space="preserve"> Kim</w:t>
      </w:r>
      <w:r w:rsidRPr="00BF3C3C">
        <w:rPr>
          <w:rFonts w:ascii="Book Antiqua" w:eastAsia="宋体" w:hAnsi="Book Antiqua" w:cs="Times New Roman" w:hint="eastAsia"/>
          <w:kern w:val="0"/>
          <w:sz w:val="24"/>
          <w:szCs w:val="24"/>
          <w:lang w:eastAsia="zh-CN"/>
        </w:rPr>
        <w:t xml:space="preserve"> JS, </w:t>
      </w:r>
      <w:r w:rsidRPr="00BF3C3C">
        <w:rPr>
          <w:rFonts w:ascii="Book Antiqua" w:eastAsia="Gulim" w:hAnsi="Book Antiqua" w:cs="Times New Roman"/>
          <w:kern w:val="0"/>
          <w:sz w:val="24"/>
          <w:szCs w:val="24"/>
        </w:rPr>
        <w:t>Jung</w:t>
      </w:r>
      <w:r w:rsidRPr="00BF3C3C">
        <w:rPr>
          <w:rFonts w:ascii="Book Antiqua" w:eastAsia="宋体" w:hAnsi="Book Antiqua" w:cs="Times New Roman" w:hint="eastAsia"/>
          <w:kern w:val="0"/>
          <w:sz w:val="24"/>
          <w:szCs w:val="24"/>
          <w:lang w:eastAsia="zh-CN"/>
        </w:rPr>
        <w:t xml:space="preserve"> HC.</w:t>
      </w:r>
      <w:r w:rsidRPr="00BF3C3C">
        <w:rPr>
          <w:rFonts w:ascii="Book Antiqua" w:eastAsia="宋体" w:hAnsi="Book Antiqua" w:cs="Times New Roman" w:hint="eastAsia"/>
          <w:sz w:val="24"/>
          <w:szCs w:val="24"/>
          <w:lang w:eastAsia="zh-CN"/>
        </w:rPr>
        <w:t xml:space="preserve"> </w:t>
      </w:r>
      <w:r w:rsidR="00A350C1" w:rsidRPr="00BF3C3C">
        <w:rPr>
          <w:rFonts w:ascii="Book Antiqua" w:hAnsi="Book Antiqua" w:cs="Times New Roman"/>
          <w:sz w:val="24"/>
          <w:szCs w:val="24"/>
        </w:rPr>
        <w:t>The Effect of Gastric Acid Suppressants and Prokinetics on Peritoneal Dialysis-related Peritonitis</w:t>
      </w:r>
    </w:p>
    <w:p w:rsidR="002A4F8D" w:rsidRPr="00BF3C3C" w:rsidRDefault="002A4F8D" w:rsidP="002A4F8D">
      <w:pPr>
        <w:adjustRightInd w:val="0"/>
        <w:snapToGrid w:val="0"/>
        <w:spacing w:line="360" w:lineRule="auto"/>
        <w:ind w:rightChars="-506" w:right="-1012"/>
        <w:rPr>
          <w:rFonts w:ascii="Book Antiqua" w:hAnsi="Book Antiqua"/>
          <w:sz w:val="24"/>
          <w:szCs w:val="24"/>
        </w:rPr>
      </w:pPr>
      <w:r w:rsidRPr="00BF3C3C">
        <w:rPr>
          <w:rFonts w:ascii="Book Antiqua" w:hAnsi="Book Antiqua"/>
          <w:i/>
          <w:sz w:val="24"/>
          <w:szCs w:val="24"/>
        </w:rPr>
        <w:t>World J Gastroenterol</w:t>
      </w:r>
      <w:r w:rsidRPr="00BF3C3C">
        <w:rPr>
          <w:rFonts w:ascii="Book Antiqua" w:hAnsi="Book Antiqua"/>
          <w:sz w:val="24"/>
          <w:szCs w:val="24"/>
        </w:rPr>
        <w:t xml:space="preserve"> 2014;  </w:t>
      </w:r>
    </w:p>
    <w:p w:rsidR="002A4F8D" w:rsidRPr="00BF3C3C" w:rsidRDefault="002A4F8D" w:rsidP="002A4F8D">
      <w:pPr>
        <w:pStyle w:val="p0"/>
        <w:adjustRightInd w:val="0"/>
        <w:snapToGrid w:val="0"/>
        <w:spacing w:line="360" w:lineRule="auto"/>
        <w:jc w:val="both"/>
        <w:rPr>
          <w:rFonts w:ascii="Book Antiqua" w:hAnsi="Book Antiqua"/>
          <w:sz w:val="24"/>
          <w:szCs w:val="24"/>
        </w:rPr>
      </w:pPr>
      <w:r w:rsidRPr="00BF3C3C">
        <w:rPr>
          <w:rFonts w:ascii="Book Antiqua" w:hAnsi="Book Antiqua"/>
          <w:b/>
          <w:bCs/>
          <w:sz w:val="24"/>
          <w:szCs w:val="24"/>
        </w:rPr>
        <w:t>Available from:</w:t>
      </w:r>
    </w:p>
    <w:p w:rsidR="002A4F8D" w:rsidRPr="00BF3C3C" w:rsidRDefault="002A4F8D" w:rsidP="002A4F8D">
      <w:pPr>
        <w:pStyle w:val="p0"/>
        <w:adjustRightInd w:val="0"/>
        <w:snapToGrid w:val="0"/>
        <w:spacing w:line="360" w:lineRule="auto"/>
        <w:jc w:val="both"/>
        <w:rPr>
          <w:rFonts w:ascii="Book Antiqua" w:hAnsi="Book Antiqua"/>
          <w:kern w:val="2"/>
          <w:sz w:val="24"/>
          <w:szCs w:val="24"/>
        </w:rPr>
      </w:pPr>
      <w:r w:rsidRPr="00BF3C3C">
        <w:rPr>
          <w:rFonts w:ascii="Book Antiqua" w:hAnsi="Book Antiqua"/>
          <w:b/>
          <w:kern w:val="2"/>
          <w:sz w:val="24"/>
          <w:szCs w:val="24"/>
        </w:rPr>
        <w:t>DOI:</w:t>
      </w:r>
      <w:r w:rsidRPr="00BF3C3C">
        <w:rPr>
          <w:rFonts w:ascii="Book Antiqua" w:hAnsi="Book Antiqua"/>
          <w:kern w:val="2"/>
          <w:sz w:val="24"/>
          <w:szCs w:val="24"/>
        </w:rPr>
        <w:t xml:space="preserve"> </w:t>
      </w:r>
    </w:p>
    <w:bookmarkEnd w:id="20"/>
    <w:bookmarkEnd w:id="21"/>
    <w:p w:rsidR="000B751C" w:rsidRPr="00BF3C3C" w:rsidRDefault="007C27F9" w:rsidP="000B751C">
      <w:pPr>
        <w:widowControl/>
        <w:wordWrap/>
        <w:autoSpaceDE/>
        <w:autoSpaceDN/>
        <w:spacing w:line="360" w:lineRule="auto"/>
        <w:rPr>
          <w:rFonts w:ascii="Book Antiqua" w:eastAsia="宋体" w:hAnsi="Book Antiqua" w:cs="Times New Roman"/>
          <w:b/>
          <w:sz w:val="24"/>
          <w:szCs w:val="24"/>
          <w:lang w:eastAsia="zh-CN"/>
        </w:rPr>
      </w:pPr>
      <w:r w:rsidRPr="00BF3C3C">
        <w:rPr>
          <w:rFonts w:ascii="Book Antiqua" w:hAnsi="Book Antiqua" w:cs="Times New Roman"/>
          <w:b/>
          <w:sz w:val="24"/>
          <w:szCs w:val="24"/>
        </w:rPr>
        <w:br w:type="page"/>
      </w:r>
      <w:r w:rsidR="000B751C" w:rsidRPr="00BF3C3C">
        <w:rPr>
          <w:rFonts w:ascii="Book Antiqua" w:hAnsi="Book Antiqua" w:cs="Times New Roman"/>
          <w:b/>
          <w:caps/>
          <w:sz w:val="24"/>
          <w:szCs w:val="24"/>
        </w:rPr>
        <w:lastRenderedPageBreak/>
        <w:t>Introduction</w:t>
      </w:r>
    </w:p>
    <w:p w:rsidR="00461375" w:rsidRPr="00BF3C3C" w:rsidRDefault="000B751C" w:rsidP="00461375">
      <w:pPr>
        <w:pStyle w:val="af"/>
        <w:spacing w:line="360" w:lineRule="auto"/>
        <w:rPr>
          <w:rFonts w:ascii="Book Antiqua" w:eastAsiaTheme="minorEastAsia" w:hAnsi="Book Antiqua" w:cs="Times New Roman"/>
          <w:color w:val="auto"/>
          <w:sz w:val="24"/>
          <w:szCs w:val="24"/>
        </w:rPr>
      </w:pPr>
      <w:r w:rsidRPr="00BF3C3C">
        <w:rPr>
          <w:rFonts w:ascii="Book Antiqua" w:eastAsia="HYSinMyeongJo-Medium" w:hAnsi="Book Antiqua" w:cs="Times New Roman"/>
          <w:color w:val="auto"/>
          <w:sz w:val="24"/>
          <w:szCs w:val="24"/>
        </w:rPr>
        <w:t>Peritonitis is common in peritoneal dialysis (PD) patients and is associated with sign</w:t>
      </w:r>
      <w:r w:rsidR="00CA6867" w:rsidRPr="00BF3C3C">
        <w:rPr>
          <w:rFonts w:ascii="Book Antiqua" w:eastAsia="HYSinMyeongJo-Medium" w:hAnsi="Book Antiqua" w:cs="Times New Roman"/>
          <w:color w:val="auto"/>
          <w:sz w:val="24"/>
          <w:szCs w:val="24"/>
        </w:rPr>
        <w:t>ificant morbidity and mortality</w:t>
      </w:r>
      <w:r w:rsidR="0078479C" w:rsidRPr="00BF3C3C">
        <w:rPr>
          <w:rFonts w:ascii="Book Antiqua" w:eastAsia="HYSinMyeongJo-Medium" w:hAnsi="Book Antiqua" w:cs="Times New Roman"/>
          <w:sz w:val="24"/>
          <w:szCs w:val="24"/>
        </w:rPr>
        <w:fldChar w:fldCharType="begin"/>
      </w:r>
      <w:r w:rsidRPr="00BF3C3C">
        <w:rPr>
          <w:rFonts w:ascii="Book Antiqua" w:eastAsia="HYSinMyeongJo-Medium" w:hAnsi="Book Antiqua" w:cs="Times New Roman"/>
          <w:color w:val="auto"/>
          <w:sz w:val="24"/>
          <w:szCs w:val="24"/>
        </w:rPr>
        <w:instrText xml:space="preserve"> ADDIN ZOTERO_ITEM CSL_CITATION {"citationID":"252348blom","properties":{"formattedCitation":"{\\rtf \\super [1,2]\\nosupersub{}}","plainCitation":"[1,2]"},"citationItems":[{"id":270,"uris":["http://zotero.org/users/1334241/items/748NJREB"],"uri":["http://zotero.org/users/1334241/items/748NJREB"],"itemData":{"id":270,"type":"article-journal","title":"A quarter of a century of adult peritoneal dialysis-related peritonitis at an Australian medical center","container-title":"Peritoneal dialysis international: journal of the International Society for Peritoneal Dialysis","page":"565-574","volume":"27","issue":"5","source":"NCBI PubMed","abstract":"BACKGROUND: Peritonitis remains one of the major complications of peritoneal dialysis (PD) and results in reduced technique survival and increased patient morbidity and mortality.\nMETHODS: We prospectively recorded comprehensive data on all episodes of PD peritonitis over a 25-year period, including organisms isolated and antibiotic sensitivities. Data on 1588 PD patient-years with 2073 episodes of peritonitis were analyzed; 2089 organisms were isolated in 608 patients. Peritoneal dialysis technique and patient survival were also recorded.\nRESULTS: There was a significant decline over the years in the incidence of peritonitis, from 6.5 to 0.35 episodes/patient-year, with the decline in the post twin-bag era from 2.3 to 0.47 (p &lt; 0.001) due primarily to a decrease in gram-positive organisms. The most common isolates (68.9%) were gram-positive organisms; gram-negative organisms comprised 26.8% and fungi 4.1%. Coagulase-negative staphylococci were the most common pathogen isolated (35.3%). Culture-negative peritonitis was seen in 13.4% of episodes.\nCONCLUSION: This is the largest series of PD peritonitis reported, demonstrating a dramatic reduction over a 25-year period and also detailing the changing trends of organisms isolated in association with improved technique and patient survival. Although rates have improved, peritonitis remains a major complication and further research needs to be done to improve both PD technique and patient survival.","ISSN":"0896-8608","note":"PMID: 17704449","journalAbbreviation":"Perit Dial Int","language":"eng","author":[{"family":"Brown","given":"Fiona"},{"family":"Liu","given":"Wen Jiun"},{"family":"Kotsanas","given":"Despina"},{"family":"Korman","given":"Tony M"},{"family":"Atkins","given":"Robert C"}],"issued":{"date-parts":[["2007",10]]},"PMID":"17704449"},"label":"page"},{"id":239,"uris":["http://zotero.org/users/1334241/items/9M6EVEBH"],"uri":["http://zotero.org/users/1334241/items/9M6EVEBH"],"itemData":{"id":239,"type":"article-journal","title":"Peritoneal dialysis-related infections recommendations: 2010 update","container-title":"Peritoneal dialysis international: journal of the International Society for Peritoneal Dialysis","page":"393-423","volume":"30","issue":"4","source":"NCBI PubMed","DOI":"10.3747/pdi.2010.00049","ISSN":"1718-4304","note":"PMID: 20628102","shortTitle":"Peritoneal dialysis-related infections recommendations","journalAbbreviation":"Perit Dial Int","language":"eng","author":[{"family":"Li","given":"Philip Kam-Tao"},{"family":"Szeto","given":"Cheuk Chun"},{"family":"Piraino","given":"Beth"},{"family":"Bernardini","given":"Judith"},{"family":"Figueiredo","given":"Ana E"},{"family":"Gupta","given":"Amit"},{"family":"Johnson","given":"David W"},{"family":"Kuijper","given":"Ed J"},{"family":"Lye","given":"Wai-Choong"},{"family":"Salzer","given":"William"},{"family":"Schaefer","given":"Franz"},{"family":"Struijk","given":"Dirk G"},{"family":"International Society for Peritoneal Dialysis","given":""}],"issued":{"date-parts":[["2010",8]]},"PMID":"20628102"},"label":"page"}],"schema":"https://github.com/citation-style-language/schema/raw/master/csl-citation.json"} </w:instrText>
      </w:r>
      <w:r w:rsidR="0078479C" w:rsidRPr="00BF3C3C">
        <w:rPr>
          <w:rFonts w:ascii="Book Antiqua" w:eastAsia="HYSinMyeongJo-Medium" w:hAnsi="Book Antiqua" w:cs="Times New Roman"/>
          <w:sz w:val="24"/>
          <w:szCs w:val="24"/>
        </w:rPr>
        <w:fldChar w:fldCharType="separate"/>
      </w:r>
      <w:r w:rsidRPr="00BF3C3C">
        <w:rPr>
          <w:rFonts w:ascii="Book Antiqua" w:hAnsi="Book Antiqua" w:cs="Times New Roman"/>
          <w:sz w:val="24"/>
          <w:szCs w:val="24"/>
          <w:vertAlign w:val="superscript"/>
        </w:rPr>
        <w:t>[1,2]</w:t>
      </w:r>
      <w:r w:rsidR="0078479C" w:rsidRPr="00BF3C3C">
        <w:rPr>
          <w:rFonts w:ascii="Book Antiqua" w:eastAsia="HYSinMyeongJo-Medium" w:hAnsi="Book Antiqua" w:cs="Times New Roman"/>
          <w:sz w:val="24"/>
          <w:szCs w:val="24"/>
        </w:rPr>
        <w:fldChar w:fldCharType="end"/>
      </w:r>
      <w:r w:rsidR="00CA6867" w:rsidRPr="00BF3C3C">
        <w:rPr>
          <w:rFonts w:ascii="Book Antiqua" w:eastAsia="宋体" w:hAnsi="Book Antiqua" w:cs="Times New Roman" w:hint="eastAsia"/>
          <w:sz w:val="24"/>
          <w:szCs w:val="24"/>
          <w:lang w:eastAsia="zh-CN"/>
        </w:rPr>
        <w:t>,</w:t>
      </w:r>
      <w:r w:rsidRPr="00BF3C3C">
        <w:rPr>
          <w:rFonts w:ascii="Book Antiqua" w:eastAsia="HYSinMyeongJo-Medium" w:hAnsi="Book Antiqua" w:cs="Times New Roman"/>
          <w:color w:val="auto"/>
          <w:sz w:val="24"/>
          <w:szCs w:val="24"/>
        </w:rPr>
        <w:t xml:space="preserve"> Several studies have evaluated the risk factors for PD-related peritonitis; in particular, ethnicity and body mass index have been identified as independent risk factors for PD-related peri</w:t>
      </w:r>
      <w:r w:rsidR="00CA6867" w:rsidRPr="00BF3C3C">
        <w:rPr>
          <w:rFonts w:ascii="Book Antiqua" w:eastAsia="HYSinMyeongJo-Medium" w:hAnsi="Book Antiqua" w:cs="Times New Roman"/>
          <w:color w:val="auto"/>
          <w:sz w:val="24"/>
          <w:szCs w:val="24"/>
        </w:rPr>
        <w:t>tonitis in large cohort studies</w:t>
      </w:r>
      <w:r w:rsidR="0078479C" w:rsidRPr="00BF3C3C">
        <w:rPr>
          <w:rFonts w:ascii="Book Antiqua" w:eastAsia="HYSinMyeongJo-Medium" w:hAnsi="Book Antiqua" w:cs="Times New Roman"/>
          <w:sz w:val="24"/>
          <w:szCs w:val="24"/>
        </w:rPr>
        <w:fldChar w:fldCharType="begin"/>
      </w:r>
      <w:r w:rsidRPr="00BF3C3C">
        <w:rPr>
          <w:rFonts w:ascii="Book Antiqua" w:eastAsia="HYSinMyeongJo-Medium" w:hAnsi="Book Antiqua" w:cs="Times New Roman"/>
          <w:color w:val="auto"/>
          <w:sz w:val="24"/>
          <w:szCs w:val="24"/>
        </w:rPr>
        <w:instrText xml:space="preserve"> ADDIN ZOTERO_ITEM CSL_CITATION {"citationID":"1kk309n0jo","properties":{"formattedCitation":"{\\rtf \\super [3,4]\\nosupersub{}}","plainCitation":"[3,4]"},"citationItems":[{"id":346,"uris":["http://zotero.org/users/1334241/items/J6E87FHQ"],"uri":["http://zotero.org/users/1334241/items/J6E87FHQ"],"itemData":{"id":346,"type":"article-journal","title":"Race and the risk of peritonitis: an analysis of factors associated with the initial episode","container-title":"Kidney international","page":"1392-1396","volume":"46","issue":"5","source":"NCBI PubMed","abstract":"To study how clinical characteristics influence the risk of peritonitis in African American patients with end-stage renal disease treated with continuous ambulatory peritoneal dialysis (CAPD), we examined the risk of developing a first episode of peritonitis among 1,595 new dialysis patients initially treated by CAPD over a two year period in North Carolina, South Carolina, and Georgia (Network 6). Characteristics examined were demographic and socioeconomic factors, functional status, serum albumin and comorbid conditions. There were 538 initial episodes of peritonitis during an average of 8.8 patient months of follow-up; the time to peritonitis for the entire cohort was 26 months. Factors found to be independently associated with a risk for peritonitis were student status (Odds Ratio and 95% Confidence Interval = 2.4; 1.4 to 4.3), rental housing (1.2; 1.0 to 1.5), and substance abuse (1.9; 1.1 to 3.2). African Americans were 60% more likely to have an initial episode of peritonitis during follow-up than whites (1.6; 1.3 to 1.8). The time to the initial episode was 21 months for African Americans versus 32 months for whites (P &lt; 0.001). Even after adjusting for other factors, African Americans were significantly more likely to develop peritonitis (1.5; 1.2 to 1.8). Thus, the increased risk of peritonitis of African American patients treated by CAPD is independent of other demographic, socioeconomic and comorbid characteristics.","ISSN":"0085-2538","note":"PMID: 7853799","shortTitle":"Race and the risk of peritonitis","journalAbbreviation":"Kidney Int.","language":"eng","author":[{"family":"Farias","given":"M G"},{"family":"Soucie","given":"J M"},{"family":"McClellan","given":"W"},{"family":"Mitch","given":"W E"}],"issued":{"date-parts":[["1994",11]]},"PMID":"7853799"},"label":"page"},{"id":310,"uris":["http://zotero.org/users/1334241/items/DIHXTS39"],"uri":["http://zotero.org/users/1334241/items/DIHXTS39"],"itemData":{"id":310,"type":"article-journal","title":"Obesity is a risk factor for peritonitis in the Australian and New Zealand peritoneal dialysis patient populations","container-title":"Peritoneal dialysis international: journal of the International Society for Peritoneal Dialysis","page":"340-346","volume":"24","issue":"4","source":"NCBI PubMed","abstract":"OBJECTIVE: The aim of the present investigation was to examine the association between body mass index (BMI) and peritonitis rates among incident peritoneal dialysis (PD) patients in a large cohort with long-term follow-up.\nDESIGN: Retrospective observational cohort study of the Australian and New Zealand PD patient population.\nSETTING: Australia and New Zealand Dialysis and Transplant (ANZDATA) Registry.\nPARTICIPANTS: The study included all incident adult patients (n = 10 709) who received PD in Australia and New Zealand in the 12-year period between 1 April 1991 and 31 March 2003. Patients were classified as obese (BMI &gt; or = 30 kg/m2), overweight (BMI 25.0 - 29.9 kg/m2), normal weight (20 - 24.9 kg/m2), or underweight (&lt; 20 kg/m2).\nMAIN MEASUREMENTS: Time to first peritonitis and episodes of peritonitis per patient-year were recorded over the 12-year period.\nRESULTS: Higher BMI was associated with a shorter time to first peritonitis episode, independent of other risk factors [hazard ratio 1.08 for each 5-kg/m2 increase in BMI, 95% confidence interval (CI) 1.04 - 1.12, p &lt; 0.001]. When peritonitis outcomes were analyzed as episodes of peritonitis per patient-year, these rates were significantly higher among patients with higher BMI: underweight 0.69 episodes/year (95% CI 0.66 - 0.73), normal weight 0.79 (95% CI 0.77 - 0.81), overweight 0.88 (95% CI 0.85 - 0.90), obese 1.06 (95% CI 1.02 - 1.09). Coronary artery disease and chronic lung disease were associated with both shorter time to first peritonitis and higher peritonitis rates, independently of these other factors. There was also a \"vintage effect,\" with lower peritonitis rates seen among people who commenced dialysis in more recent years.\nCONCLUSIONS: Higher BMI at the commencement of renal replacement therapy is a significant risk factor for peritonitis. The mechanisms for this remain undefined.","ISSN":"0896-8608","note":"PMID: 15335147","journalAbbreviation":"Perit Dial Int","language":"eng","author":[{"family":"McDonald","given":"Stephen P"},{"family":"Collins","given":"John F"},{"family":"Rumpsfeld","given":"Markus"},{"family":"Johnson","given":"David W"}],"issued":{"date-parts":[["2004",8]]},"PMID":"15335147"},"label":"page"}],"schema":"https://github.com/citation-style-language/schema/raw/master/csl-citation.json"} </w:instrText>
      </w:r>
      <w:r w:rsidR="0078479C" w:rsidRPr="00BF3C3C">
        <w:rPr>
          <w:rFonts w:ascii="Book Antiqua" w:eastAsia="HYSinMyeongJo-Medium" w:hAnsi="Book Antiqua" w:cs="Times New Roman"/>
          <w:sz w:val="24"/>
          <w:szCs w:val="24"/>
        </w:rPr>
        <w:fldChar w:fldCharType="separate"/>
      </w:r>
      <w:r w:rsidRPr="00BF3C3C">
        <w:rPr>
          <w:rFonts w:ascii="Book Antiqua" w:hAnsi="Book Antiqua" w:cs="Times New Roman"/>
          <w:sz w:val="24"/>
          <w:szCs w:val="24"/>
          <w:vertAlign w:val="superscript"/>
        </w:rPr>
        <w:t>[3,4]</w:t>
      </w:r>
      <w:r w:rsidR="0078479C" w:rsidRPr="00BF3C3C">
        <w:rPr>
          <w:rFonts w:ascii="Book Antiqua" w:eastAsia="HYSinMyeongJo-Medium" w:hAnsi="Book Antiqua" w:cs="Times New Roman"/>
          <w:sz w:val="24"/>
          <w:szCs w:val="24"/>
        </w:rPr>
        <w:fldChar w:fldCharType="end"/>
      </w:r>
      <w:r w:rsidR="00CA6867" w:rsidRPr="00BF3C3C">
        <w:rPr>
          <w:rFonts w:ascii="Book Antiqua" w:eastAsia="宋体" w:hAnsi="Book Antiqua" w:cs="Times New Roman" w:hint="eastAsia"/>
          <w:sz w:val="24"/>
          <w:szCs w:val="24"/>
          <w:lang w:eastAsia="zh-CN"/>
        </w:rPr>
        <w:t>,</w:t>
      </w:r>
      <w:r w:rsidRPr="00BF3C3C">
        <w:rPr>
          <w:rFonts w:ascii="Book Antiqua" w:eastAsia="HYSinMyeongJo-Medium" w:hAnsi="Book Antiqua" w:cs="Times New Roman"/>
          <w:color w:val="auto"/>
          <w:sz w:val="24"/>
          <w:szCs w:val="24"/>
        </w:rPr>
        <w:t xml:space="preserve"> However, obesity is not a useful predictor of the risk for peritonitis in East Asian PD patients because of the lower prevalence of obesity.</w:t>
      </w:r>
    </w:p>
    <w:p w:rsidR="000B751C" w:rsidRPr="00BF3C3C" w:rsidRDefault="000B751C" w:rsidP="00CA6867">
      <w:pPr>
        <w:pStyle w:val="af"/>
        <w:spacing w:line="360" w:lineRule="auto"/>
        <w:ind w:firstLineChars="200" w:firstLine="480"/>
        <w:rPr>
          <w:rFonts w:ascii="Book Antiqua" w:eastAsia="HYSinMyeongJo-Medium" w:hAnsi="Book Antiqua" w:cs="Times New Roman"/>
          <w:color w:val="auto"/>
          <w:sz w:val="24"/>
          <w:szCs w:val="24"/>
        </w:rPr>
      </w:pPr>
      <w:r w:rsidRPr="00BF3C3C">
        <w:rPr>
          <w:rFonts w:ascii="Book Antiqua" w:eastAsia="HYSinMyeongJo-Medium" w:hAnsi="Book Antiqua" w:cs="Times New Roman"/>
          <w:color w:val="auto"/>
          <w:sz w:val="24"/>
          <w:szCs w:val="24"/>
        </w:rPr>
        <w:t>Diverticulosis is also a risk factor for PD-related peritoni</w:t>
      </w:r>
      <w:r w:rsidR="00CA6867" w:rsidRPr="00BF3C3C">
        <w:rPr>
          <w:rFonts w:ascii="Book Antiqua" w:eastAsia="HYSinMyeongJo-Medium" w:hAnsi="Book Antiqua" w:cs="Times New Roman"/>
          <w:color w:val="auto"/>
          <w:sz w:val="24"/>
          <w:szCs w:val="24"/>
        </w:rPr>
        <w:t>tis</w:t>
      </w:r>
      <w:r w:rsidR="0078479C" w:rsidRPr="00BF3C3C">
        <w:rPr>
          <w:rFonts w:ascii="Book Antiqua" w:eastAsia="HYSinMyeongJo-Medium" w:hAnsi="Book Antiqua" w:cs="Times New Roman"/>
          <w:sz w:val="24"/>
          <w:szCs w:val="24"/>
        </w:rPr>
        <w:fldChar w:fldCharType="begin"/>
      </w:r>
      <w:r w:rsidRPr="00BF3C3C">
        <w:rPr>
          <w:rFonts w:ascii="Book Antiqua" w:eastAsia="HYSinMyeongJo-Medium" w:hAnsi="Book Antiqua" w:cs="Times New Roman"/>
          <w:color w:val="auto"/>
          <w:sz w:val="24"/>
          <w:szCs w:val="24"/>
        </w:rPr>
        <w:instrText xml:space="preserve"> ADDIN ZOTERO_ITEM CSL_CITATION {"citationID":"UQkMJZIk","properties":{"formattedCitation":"{\\rtf \\super [5]\\nosupersub{}}","plainCitation":"[5]"},"citationItems":[{"id":210,"uris":["http://zotero.org/users/1334241/items/ADW8HKTS"],"uri":["http://zotero.org/users/1334241/items/ADW8HKTS"],"itemData":{"id":210,"type":"article-journal","title":"Diverticular disease of the colon: a risk factor for peritonitis in continuous peritoneal dialysis","container-title":"Nephrology, dialysis, transplantation: official publication of the European Dialysis and Transplant Association - European Renal Association","page":"141-147","volume":"5","issue":"2","source":"NCBI PubMed","abstract":"To study the possible influence of colonic diverticula on the risk of peritonitis of enteral (intestinal) origin in patients undergoing continuous peritoneal dialysis, a barium enema was carried out as a pretreatment investigation in 129 consecutive patients starting CAPD over a 9-year period. In this prospective study comprising 3103 patient months, a total of 44 (15% of all) episodes of peritonitis with micro-organisms of enteral origin occurred in 30 of the 129 patients. The estimated probability of developing such an episode was 16% and 24%, respectively, within 1 or 2 years of treatment. Diverticula (greater than or equal to 1) were found in 54 (42%) of all patients. In all cases the following factors: greater than or equal to 10 diverticula, diverticular size of greater than or equal to 10 mm and diverticula in the ascending, transverse, or descending colon, significantly increased the risk of developing peritonitis of enteral origin (P less than 0.05). Neither diverticula in the sigmoid colon nor diverticulitis, as assessed by radiological findings, were identified as risk factors. Enteral episodes (as defined in this study) appear to represent mainly microperformations of existing diverticula; such episodes should probably be regarded as and handled differently from episodes due to major perforations of the colon secondary to diverticulitis. We conclude that diverticular disease of the non-sigmoid colon is a risk factor for peritonitis in CAPD.","ISSN":"0931-0509","note":"PMID: 2113212","shortTitle":"Diverticular disease of the colon","journalAbbreviation":"Nephrol. Dial. Transplant.","language":"eng","author":[{"family":"Tranaeus","given":"A"},{"family":"Heimbürger","given":"O"},{"family":"Granqvist","given":"S"}],"issued":{"date-parts":[["1990"]]},"PMID":"2113212"}}],"schema":"https://github.com/citation-style-language/schema/raw/master/csl-citation.json"} </w:instrText>
      </w:r>
      <w:r w:rsidR="0078479C" w:rsidRPr="00BF3C3C">
        <w:rPr>
          <w:rFonts w:ascii="Book Antiqua" w:eastAsia="HYSinMyeongJo-Medium" w:hAnsi="Book Antiqua" w:cs="Times New Roman"/>
          <w:sz w:val="24"/>
          <w:szCs w:val="24"/>
        </w:rPr>
        <w:fldChar w:fldCharType="separate"/>
      </w:r>
      <w:r w:rsidRPr="00BF3C3C">
        <w:rPr>
          <w:rFonts w:ascii="Book Antiqua" w:hAnsi="Book Antiqua" w:cs="Times New Roman"/>
          <w:sz w:val="24"/>
          <w:szCs w:val="24"/>
          <w:vertAlign w:val="superscript"/>
        </w:rPr>
        <w:t>[5]</w:t>
      </w:r>
      <w:r w:rsidR="0078479C" w:rsidRPr="00BF3C3C">
        <w:rPr>
          <w:rFonts w:ascii="Book Antiqua" w:eastAsia="HYSinMyeongJo-Medium" w:hAnsi="Book Antiqua" w:cs="Times New Roman"/>
          <w:sz w:val="24"/>
          <w:szCs w:val="24"/>
        </w:rPr>
        <w:fldChar w:fldCharType="end"/>
      </w:r>
      <w:r w:rsidR="00CA6867" w:rsidRPr="00BF3C3C">
        <w:rPr>
          <w:rFonts w:ascii="Book Antiqua" w:eastAsia="宋体" w:hAnsi="Book Antiqua" w:cs="Times New Roman" w:hint="eastAsia"/>
          <w:sz w:val="24"/>
          <w:szCs w:val="24"/>
          <w:lang w:eastAsia="zh-CN"/>
        </w:rPr>
        <w:t>.</w:t>
      </w:r>
      <w:r w:rsidRPr="00BF3C3C">
        <w:rPr>
          <w:rFonts w:ascii="Book Antiqua" w:eastAsia="HYSinMyeongJo-Medium" w:hAnsi="Book Antiqua" w:cs="Times New Roman"/>
          <w:color w:val="auto"/>
          <w:sz w:val="24"/>
          <w:szCs w:val="24"/>
        </w:rPr>
        <w:t xml:space="preserve"> With mucosal thinning and/or microperforation of the colonic diverticulum, microorganisms in the gastrointestinal tract can easily transmigrate into the peritoneal space. The other potential risk factor for PD-related peritonitis is acid suppressive therapy, as several </w:t>
      </w:r>
      <w:r w:rsidRPr="00BF3C3C">
        <w:rPr>
          <w:rFonts w:ascii="Book Antiqua" w:eastAsia="Arial Unicode MS" w:hAnsi="Book Antiqua" w:cs="Times New Roman"/>
          <w:color w:val="auto"/>
          <w:sz w:val="24"/>
          <w:szCs w:val="24"/>
        </w:rPr>
        <w:t xml:space="preserve">recent studies have shown that </w:t>
      </w:r>
      <w:r w:rsidRPr="00BF3C3C">
        <w:rPr>
          <w:rFonts w:ascii="Book Antiqua" w:eastAsia="HYSinMyeongJo-Medium" w:hAnsi="Book Antiqua" w:cs="Times New Roman"/>
          <w:color w:val="auto"/>
          <w:sz w:val="24"/>
          <w:szCs w:val="24"/>
        </w:rPr>
        <w:t>a higher pH in the gastrointestinal tract induced by gastric acid suppressants provides a good environment for microbial proliferati</w:t>
      </w:r>
      <w:r w:rsidR="00CA6867" w:rsidRPr="00BF3C3C">
        <w:rPr>
          <w:rFonts w:ascii="Book Antiqua" w:eastAsia="HYSinMyeongJo-Medium" w:hAnsi="Book Antiqua" w:cs="Times New Roman"/>
          <w:color w:val="auto"/>
          <w:sz w:val="24"/>
          <w:szCs w:val="24"/>
        </w:rPr>
        <w:t>on and overgrowth</w:t>
      </w:r>
      <w:r w:rsidR="0078479C" w:rsidRPr="00BF3C3C">
        <w:rPr>
          <w:rFonts w:ascii="Book Antiqua" w:eastAsia="HYSinMyeongJo-Medium" w:hAnsi="Book Antiqua" w:cs="Times New Roman"/>
          <w:sz w:val="24"/>
          <w:szCs w:val="24"/>
        </w:rPr>
        <w:fldChar w:fldCharType="begin"/>
      </w:r>
      <w:r w:rsidRPr="00BF3C3C">
        <w:rPr>
          <w:rFonts w:ascii="Book Antiqua" w:eastAsia="HYSinMyeongJo-Medium" w:hAnsi="Book Antiqua" w:cs="Times New Roman"/>
          <w:color w:val="auto"/>
          <w:sz w:val="24"/>
          <w:szCs w:val="24"/>
        </w:rPr>
        <w:instrText xml:space="preserve"> ADDIN ZOTERO_ITEM CSL_CITATION {"citationID":"18bnlp7igu","properties":{"formattedCitation":"{\\rtf \\super [6\\uc0\\u8211{}9]\\nosupersub{}}","plainCitation":"[6–9]"},"citationItems":[{"id":221,"uris":["http://zotero.org/users/1334241/items/WMCGU9JV"],"uri":["http://zotero.org/users/1334241/items/WMCGU9JV"],"itemData":{"id":221,"type":"article-journal","title":"Altered bowel function and duodenal bacterial overgrowth in patients treated with omeprazole","container-title":"Alimentary pharmacology &amp; therapeutics","page":"557-561","volume":"10","issue":"4","source":"NCBI PubMed","abstract":"BACKGROUND: The dramatic inhibitory effect of proton pump inhibitors on acid secretion has raised concern about possible side-effects, such as small bowel bacterial overgrowth, which may result in further gut dysfunction. The aim of this study was to assess the effect of proton pump inhibitors on duodenal bacteriology, carbohydrate absorption and bowel habit.\nMETHODS: Small bowel bacterial overgrowth and xylose absorption were measured by culture of aspirated duodenal fluid and a combined 1 g 14C-D-xylose absorption-metabolism test in 20 patients with peptic ulcer disease. Tests were repeated after 4 weeks of treatment with omeprazole 20 mg daily. Intestinal transit was assessed by recording interdefecatory intervals and stool form.\nRESULTS: All patients showed an increase in duodenal bacterial counts following treatment, geometric mean counts increasing from 330 to 95000 CFU/mL. The geometric mean of the difference was 290 CFU/mL (95% CI, 110-720 CFU/mL; P &lt; 0.0001). No changes were noted in the xylose absorption or metabolism tests. Mean interdefecatory intervals decreased by 32% from 31.7 to 21.6 h, the mean difference being 10.1 h (95% CI, 1.6-18.5 h: P = 0.01). The mean stool form index increased from 2.95 to 4.70, mean difference 1.75 (95% CI, 1.10-2.40: P &lt; 0.0001), with four patients reporting diarrhoea.\nCONCLUSION: The results indicate that conventional treatment for duodenal ulcers with a proton pump inhibitor significantly increases bacterial colonization of the duodenum and the speed of intestinal transit.","ISSN":"0269-2813","note":"PMID: 8853759","journalAbbreviation":"Aliment. Pharmacol. Ther.","language":"eng","author":[{"family":"Lewis","given":"S J"},{"family":"Franco","given":"S"},{"family":"Young","given":"G"},{"family":"O'Keefe","given":"S J"}],"issued":{"date-parts":[["1996",8]]},"PMID":"8853759"},"label":"page"},{"id":225,"uris":["http://zotero.org/users/1334241/items/AN5KUF89"],"uri":["http://zotero.org/users/1334241/items/AN5KUF89"],"itemData":{"id":225,"type":"article-journal","title":"Bacterial overgrowth during treatment with omeprazole compared with cimetidine: a prospective randomised double blind study","container-title":"Gut","page":"54-59","volume":"39","issue":"1","source":"NCBI PubMed","abstract":"BACKGROUND: Gastric and duodenal bacterial overgrowth frequently occurs in conditions where diminished acid secretion is present. Omeprazole inhibits acid secretion more effectively than cimetidine and might therefore more frequently cause bacterial overgrowth.\nAIM: This controlled prospective study compared the incidence of gastric and duodenal bacterial overgrowth in patients treated with omeprazole or cimetidine.\nMETHODS: 47 outpatients with peptic disease were randomly assigned to a four week treatment regimen with omeprazole 20 mg or cimetidine 800 mg daily. Gastric and duodenal juice were obtained during upper gastrointestinal endoscopy and plated for anaerobic and aerobic organisms.\nRESULTS: Bacterial overgrowth (&gt; or = 10(5) cfu/ml) was present in 53% of the patients receiving omeprazole and in 17% receiving cimetidine (p &lt; 0.05). The mean (SEM) number of gastric and duodenal bacterial counts was 6.0 (0.2) and 5.0 (0.2) respectively in the omeprazole group and 4.0 (0.2) and 4.0 (0.1) in the cimetidine group (p &lt; 0.001 and &lt; 0.01; respectively). Faecal type bacteria were found in 30% of the patients with bacterial overgrowth. Basal gastric pH was higher in patients treated with omeprazole compared with cimetidine (4.2 (0.5) versus 2.0 (0.2); p &lt; 0.001) and in patients with bacterial overgrowth compared with those without bacterial overgrowth (5.1 (0.6) versus 2.0 (0.1); p &lt; 0.0001). The nitrate, nitrite, and nitrosamine values in gastric juice did not increase after treatment with either cimetidine or omeprazole. Serum concentrations of vitamin B12, beta carotene, and albumin were similar before and after treatment with both drugs.\nCONCLUSIONS: These results show that the incidence of gastric and duodenal bacterial overgrowth is considerably higher in patients treated with omeprazole compared with cimetidine. This can be explained by more pronounced inhibition of gastric acid secretion. No patient developed signs of malabsorption or an increase of N-nitroso compounds. The clinical significance of these findings needs to be assessed in studies with long-term treatment with omeprazole, in particular in patients belonging to high risk groups such as HIV infected and intensive care units patients.","ISSN":"0017-5749","note":"PMID: 8881809","shortTitle":"Bacterial overgrowth during treatment with omeprazole compared with cimetidine","journalAbbreviation":"Gut","language":"eng","author":[{"family":"Thorens","given":"J"},{"family":"Froehlich","given":"F"},{"family":"Schwizer","given":"W"},{"family":"Saraga","given":"E"},{"family":"Bille","given":"J"},{"family":"Gyr","given":"K"},{"family":"Duroux","given":"P"},{"family":"Nicolet","given":"M"},{"family":"Pignatelli","given":"B"},{"family":"Blum","given":"A L"},{"family":"Gonvers","given":"J J"},{"family":"Fried","given":"M"}],"issued":{"date-parts":[["1996",7]]},"PMID":"8881809"},"label":"page"},{"id":227,"uris":["http://zotero.org/users/1334241/items/H6EEDIBQ"],"uri":["http://zotero.org/users/1334241/items/H6EEDIBQ"],"itemData":{"id":227,"type":"article-journal","title":"Duodenal bacterial overgrowth during treatment in outpatients with omeprazole","container-title":"Gut","page":"23-26","volume":"35","issue":"1","source":"NCBI PubMed","abstract":"The extent of duodenal bacterial overgrowth during the pronounced inhibition of acid secretion that occurs with omeprazole treatment is unknown. The bacterial content of duodenal juice of patients treated with omeprazole was therefore examined in a controlled prospective study. Duodenal juice was obtained under sterile conditions during diagnostic upper endoscopy. Aspirates were plated quantitatively for anaerobic and aerobic organisms. Twenty five outpatients with peptic ulcer disease were investigated after a 5.7 (0.5) weeks (mean (SEM)) treatment course with 20 mg (nine patients) or 40 mg (16 patients). The control group consisted of 15 outpatients referred for diagnostic endoscopy without prior antisecretory treatment. No patient in the control group had duodenal bacterial overgrowth. In the omeprazole group bacterial overgrowth (&gt; or = 10(5) cfu/ml) was found in 14 (56%) patients (p = 0.0003). The number of bacteria (log10) in duodenal juice in patients treated with omeprazole was distinctly higher (median 5.7; range &lt; 2-8.7) when compared with the control group (median &lt; 2; range &lt; 2-5.0; p = 0.0004). As well as orally derived bacteria, faecal type bacteria were found in seven of 14 and anaerobic bacteria in three of 14 patients. Bacterial overgrowth was similar with the two doses of omeprazole. These results indicate that duodenal bacterial overgrowth of both oral and faecal type bacteria occurs often in ambulatory patients treated with omeprazole. Further studies are needed to determine the clinical significance of these findings, particularly in high risk groups during long term treatment with omeprazole.","ISSN":"0017-5749","note":"PMID: 8307444","journalAbbreviation":"Gut","language":"eng","author":[{"family":"Fried","given":"M"},{"family":"Siegrist","given":"H"},{"family":"Frei","given":"R"},{"family":"Froehlich","given":"F"},{"family":"Duroux","given":"P"},{"family":"Thorens","given":"J"},{"family":"Blum","given":"A"},{"family":"Bille","given":"J"},{"family":"Gonvers","given":"J J"},{"family":"Gyr","given":"K"}],"issued":{"date-parts":[["1994",1]]},"PMID":"8307444"},"label":"page"},{"id":215,"uris":["http://zotero.org/users/1334241/items/WX7JK8WV"],"uri":["http://zotero.org/users/1334241/items/WX7JK8WV"],"itemData":{"id":215,"type":"article-journal","title":"Suppression of gastric acid production by proton pump inhibitor treatment facilitates colonization of the large intestine by vancomycin-resistant Enterococcus spp. and Klebsiella pneumoniae in clindamycin-treated mice","container-title":"Antimicrobial agents and chemotherapy","page":"3905-3907","volume":"50","issue":"11","source":"NCBI PubMed","abstract":"Proton pump inhibitor treatment of clindamycin-treated mice elevated the gastric pH and facilitated the establishment of colonization of the large intestine by vancomycin-resistant Enterococcus spp. (75 to 80%, versus 20 to 25% for saline-treated controls) and Klebsiella pneumoniae (90%, versus 30% for saline-treated controls). These findings demonstrate a mechanism by which proton pump inhibitor therapy could contribute to the dissemination of nosocomial pathogens.","DOI":"10.1128/AAC.00522-06","ISSN":"0066-4804","note":"PMID: 16940078","journalAbbreviation":"Antimicrob. Agents Chemother.","language":"eng","author":[{"family":"Stiefel","given":"Usha"},{"family":"Rao","given":"Agam"},{"family":"Pultz","given":"Michael J"},{"family":"Jump","given":"Robin L P"},{"family":"Aron","given":"David C"},{"family":"Donskey","given":"Curtis J"}],"issued":{"date-parts":[["2006",11]]},"PMID":"16940078"},"label":"page"}],"schema":"https://github.com/citation-style-language/schema/raw/master/csl-citation.json"} </w:instrText>
      </w:r>
      <w:r w:rsidR="0078479C" w:rsidRPr="00BF3C3C">
        <w:rPr>
          <w:rFonts w:ascii="Book Antiqua" w:eastAsia="HYSinMyeongJo-Medium" w:hAnsi="Book Antiqua" w:cs="Times New Roman"/>
          <w:sz w:val="24"/>
          <w:szCs w:val="24"/>
        </w:rPr>
        <w:fldChar w:fldCharType="separate"/>
      </w:r>
      <w:r w:rsidRPr="00BF3C3C">
        <w:rPr>
          <w:rFonts w:ascii="Book Antiqua" w:hAnsi="Book Antiqua" w:cs="Times New Roman"/>
          <w:sz w:val="24"/>
          <w:szCs w:val="24"/>
          <w:vertAlign w:val="superscript"/>
        </w:rPr>
        <w:t>[6–9]</w:t>
      </w:r>
      <w:r w:rsidR="0078479C" w:rsidRPr="00BF3C3C">
        <w:rPr>
          <w:rFonts w:ascii="Book Antiqua" w:eastAsia="HYSinMyeongJo-Medium" w:hAnsi="Book Antiqua" w:cs="Times New Roman"/>
          <w:sz w:val="24"/>
          <w:szCs w:val="24"/>
        </w:rPr>
        <w:fldChar w:fldCharType="end"/>
      </w:r>
      <w:r w:rsidR="00CA6867" w:rsidRPr="00BF3C3C">
        <w:rPr>
          <w:rFonts w:ascii="Book Antiqua" w:eastAsia="宋体" w:hAnsi="Book Antiqua" w:cs="Times New Roman" w:hint="eastAsia"/>
          <w:sz w:val="24"/>
          <w:szCs w:val="24"/>
          <w:lang w:eastAsia="zh-CN"/>
        </w:rPr>
        <w:t>.</w:t>
      </w:r>
      <w:r w:rsidRPr="00BF3C3C">
        <w:rPr>
          <w:rFonts w:ascii="Book Antiqua" w:eastAsia="HYSinMyeongJo-Medium" w:hAnsi="Book Antiqua" w:cs="Times New Roman"/>
          <w:color w:val="auto"/>
          <w:sz w:val="24"/>
          <w:szCs w:val="24"/>
        </w:rPr>
        <w:t xml:space="preserve"> Although these studies showed an association between acid suppression treatment and PD peritonitis, t</w:t>
      </w:r>
      <w:r w:rsidR="00CA6867" w:rsidRPr="00BF3C3C">
        <w:rPr>
          <w:rFonts w:ascii="Book Antiqua" w:eastAsia="HYSinMyeongJo-Medium" w:hAnsi="Book Antiqua" w:cs="Times New Roman"/>
          <w:color w:val="auto"/>
          <w:sz w:val="24"/>
          <w:szCs w:val="24"/>
        </w:rPr>
        <w:t>he results remain controversial</w:t>
      </w:r>
      <w:r w:rsidR="0078479C" w:rsidRPr="00BF3C3C">
        <w:rPr>
          <w:rFonts w:ascii="Book Antiqua" w:eastAsia="HYSinMyeongJo-Medium" w:hAnsi="Book Antiqua" w:cs="Times New Roman"/>
          <w:sz w:val="24"/>
          <w:szCs w:val="24"/>
        </w:rPr>
        <w:fldChar w:fldCharType="begin"/>
      </w:r>
      <w:r w:rsidRPr="00BF3C3C">
        <w:rPr>
          <w:rFonts w:ascii="Book Antiqua" w:eastAsia="HYSinMyeongJo-Medium" w:hAnsi="Book Antiqua" w:cs="Times New Roman"/>
          <w:color w:val="auto"/>
          <w:sz w:val="24"/>
          <w:szCs w:val="24"/>
        </w:rPr>
        <w:instrText xml:space="preserve"> ADDIN ZOTERO_ITEM CSL_CITATION {"citationID":"5rlc2622b","properties":{"formattedCitation":"{\\rtf \\super [9\\uc0\\u8211{}12]\\nosupersub{}}","plainCitation":"[9–12]"},"citationItems":[{"id":233,"uris":["http://zotero.org/users/1334241/items/2ATN4GJW"],"uri":["http://zotero.org/users/1334241/items/2ATN4GJW"],"itemData":{"id":233,"type":"article-journal","title":"Diverticular disease and treatment with gastric acid inhibitors do not predispose to peritonitis of enteric origin in peritoneal dialysis patients","container-title":"Peritoneal dialysis international: journal of the International Society for Peritoneal Dialysis","page":"360-364","volume":"21","issue":"4","source":"NCBI PubMed","abstract":"OBJECTIVE: Enteric peritonitis (EP) is an infrequent complication of peritoneal dialysis (PD), with severe consequences for peritoneal membrane viability and patient outcome. Factors such as diverticular disease and gastric acid inhibitors have been implicated in its appearance. We investigated several risk factors, including those mentioned below, that can influence the development of EP.\nDESIGN: Retrospective cross-sectional study.\nSETTING: Tertiary-care public university hospital.\nPATIENTS: Fifty-seven PD patients treated in our PD unit during August 1998.\nMAIN OUTCOME MEASURES: A barium enema was performed on 50 of the 57 patients (the remaining 7 patients refused it) in order to exclude the presence of diverticulosis. All episodes of peritonitis occurring in those patients, including EP, were registered. Enteric peritonitis was defined as that caused by gram-positive, gram-negative, or fungus micro-organisms that colonized the intestinal tract, excluding episodes secondary to genitourinary tract or peritoneal catheter exit-site infections.\nRESULTS: Twenty-four patients showed diverticular disease in the barium enema, but only 5 of them (21%) had any EP episode. Five of the 26 patients with no diverticula (19%) had EP. Fifty-five episodes of peritonitis were reported in 21 patients; 15 episodes of EP (27.3% of all) developed in 11 patients. Seven of the 11 patients (64%) required peritoneal catheter removal and 3 of them (27%) finally were transferred to hemodialysis due to consequences of the EP episode. Logistic regression analysis did not find any of the independent variables analyzed (age, sex, time on PD, type of PD, peritoneal transport parameters, presence of polycystic kidney disease, constipation or diverticulosis, or treatment with gastric acid inhibitors, or phosphate-binding agents) to be risk factors for developing EP.\nCONCLUSIONS: Neither diverticulosis nor treatment with gastric acid inhibitors seem to be risk factors for developing peritonitis of enteric origin in PD patients. This type of peritonitis has to be promptly identified and treated in order to diminish the high frequency of peritoneal catheter removal and PD dropout due to such episodes.","ISSN":"0896-8608","note":"PMID: 11587398","journalAbbreviation":"Perit Dial Int","language":"eng","author":[{"family":"del Peso","given":"G"},{"family":"Bajo","given":"M A"},{"family":"Gadola","given":"L"},{"family":"Millán","given":"I"},{"family":"Codoceo","given":"R"},{"family":"Celadilla","given":"O"},{"family":"Castro","given":"M J"},{"family":"Aguilera","given":"A"},{"family":"Gil","given":"F"},{"family":"Selgas","given":"R"}],"issued":{"date-parts":[["2001",8]]},"PMID":"11587398"},"label":"page"},{"id":229,"uris":["http://zotero.org/users/1334241/items/RH89K4J4"],"uri":["http://zotero.org/users/1334241/items/RH89K4J4"],"itemData":{"id":229,"type":"article-journal","title":"Gastric acid suppression and the risk of enteric peritonitis in peritoneal dialysis patients","container-title":"Peritoneal dialysis international: journal of the International Society for Peritoneal Dialysis","page":"246-251; discussion 236-237","volume":"28","issue":"3","source":"NCBI PubMed","abstract":"OBJECTIVE: Peritonitis caused by enteric organisms in peritoneal dialysis (PD) patients is associated with greater morbidity and mortality than peritonitis with non-enteric organisms. One reported risk factor for enteric peritonitis (EP) is gastric acid suppression, with two small studies providing conflicting results. The objective of this study was to determine, using a larger patient population, whether gastric acid suppressants are associated with an increased risk of EP. Patients and\nMETHODS: Using a single-center case-control design, information on episodes of EP occurring between 2003 and 2006 was collected. Control episodes were all non-enteric episodes of peritonitis that occurred during the same time interval. Proton pump inhibitor (PPI) or H(2)-blocker (H(2)B) use prior to development of peritonitis was documented.\nRESULTS: A total of 228 peritonitis episodes among 137 patients met inclusion criteria. In 32% of episodes, the causative organism was enteric. Gastric acid suppressant use was documented in 46% of episodes, with the majority on PPIs. Overall, gastric acid suppression was not associated with a higher EP risk (p = 0.17). In a post hoc analysis, PPIs were not associated with EP [odds ratio (OR) 1.3, 95% confidence interval (CI) 0.7-2.4; p = 0.42], whereas H(2)Bs were associated with a higher risk of EP (OR 2.9, 95% CI 1.1-7.7; p = 0.04), although the number of patients on H(2)Bs was small.\nCONCLUSION: Overall, gastric acid suppression was not associated with an increased risk of peritonitis with enteric organisms. While PPI use appears to be safe for PD patients with appropriate indications, the potential risk of EP with H(2)Bs requires further investigation.","ISSN":"0896-8608","note":"PMID: 18474916","journalAbbreviation":"Perit Dial Int","language":"eng","author":[{"family":"Nessim","given":"Sharon J"},{"family":"Tomlinson","given":"George"},{"family":"Bargman","given":"Joanne M"},{"family":"Jassal","given":"Sarbjit Vanita"}],"issued":{"date-parts":[["2008",6]]},"PMID":"18474916"},"label":"page"},{"id":231,"uris":["http://zotero.org/users/1334241/items/DWZ59UF8"],"uri":["http://zotero.org/users/1334241/items/DWZ59UF8"],"itemData":{"id":231,"type":"article-journal","title":"Risk factors for developing peritonitis caused by micro-organisms of enteral origin in peritoneal dialysis patients","container-title":"Peritoneal dialysis international: journal of the International Society for Peritoneal Dialysis","page":"41-45","volume":"18","issue":"1","source":"NCBI PubMed","abstract":"OBJECTIVE: To investigate the risk factors associated with the development of peritonitis caused by enteral bacteria in peritoneal dialysis patients, including the prescription of gastric acid inhibitors as a potential risk factor.\nDESIGN: Retrospective single-center study.\nSETTING: Tertiary university hospital.\nPATIENTS AND MAIN OUTCOME MEASURES: Fifty-five patients who entered into our continuous ambulatory peritoneal dialysis (CAPD) program during the last 6 years were included. Multiple logistic regression analysis was used to establish the best determinants over the development of at least one episode of enteric peritonitis. The predictive variables included in the model were: age, gender, diabetic versus nondiabetic, polycystic versus nonpolycystic kidney diseases, history of constipation, presence or absence of moderate/severe malnutrition, peritoneal transport characteristics, peritoneal protein losses, rate of exit-site infections, rate of total peritonitis, intestinal abnormalities, and treatment with inhibitors of gastric acid secretion.\nRESULTS: The total number of peritonitis episodes during the studied period was 88, which clustered in 34 of 55 patients. Fourteen (16%) were caused by enteric micro-organisms in 10 patients: Escherichia coli (6), Klebsiella sp (2), Enterobacter sp (1), and Enterococcus sp (5). Nine of 10 patients who developed enteric peritonitis were on gastric acid inhibitors (3 patients on omeprazole and 6 patients on H2-antagonists), while 15 of 45 patients who did not develop enteric peritonitis were on gastric acid inhibitors (all of them on H2-blockers). There were temporal relationships between the start of gastric acid inhibitors and the development of enteric peritonitis in 6 of 9 patients who were on this medication. Four of 10 patients who developed enteric peritonitis had diverticulosis. Ten of 45 patients who did not develop enteric peritonitis had been diagnosed with diverticulosis of the colon or sigmoid prior to entry to CAPD. The unique patient who was not on gastric acid inhibitors and developed enteric peritonitis, had been diagnosed with chronic atrophic gastritis with achlorhydria. By multiple logistic regression analysis, the treatment with gastric acid inhibitors was the only independent variable that entered into the best predictive equation over the development of enteric peritonitis (log likelihood ratio = -26.077, odds ratio = 18; 95% CI odds ratio: 2 - 155).\nCONCLUSION: Gastric acid inhibitors may increase the risk for developing enteric peritonitis in peritoneal dialysis patients.","ISSN":"0896-8608","note":"PMID: 9527028","journalAbbreviation":"Perit Dial Int","language":"eng","author":[{"family":"Caravaca","given":"F"},{"family":"Ruiz-Calero","given":"R"},{"family":"Dominguez","given":"C"}],"issued":{"date-parts":[["1998",2]]},"PMID":"9527028"},"label":"page"},{"id":215,"uris":["http://zotero.org/users/1334241/items/WX7JK8WV"],"uri":["http://zotero.org/users/1334241/items/WX7JK8WV"],"itemData":{"id":215,"type":"article-journal","title":"Suppression of gastric acid production by proton pump inhibitor treatment facilitates colonization of the large intestine by vancomycin-resistant Enterococcus spp. and Klebsiella pneumoniae in clindamycin-treated mice","container-title":"Antimicrobial agents and chemotherapy","page":"3905-3907","volume":"50","issue":"11","source":"NCBI PubMed","abstract":"Proton pump inhibitor treatment of clindamycin-treated mice elevated the gastric pH and facilitated the establishment of colonization of the large intestine by vancomycin-resistant Enterococcus spp. (75 to 80%, versus 20 to 25% for saline-treated controls) and Klebsiella pneumoniae (90%, versus 30% for saline-treated controls). These findings demonstrate a mechanism by which proton pump inhibitor therapy could contribute to the dissemination of nosocomial pathogens.","DOI":"10.1128/AAC.00522-06","ISSN":"0066-4804","note":"PMID: 16940078","journalAbbreviation":"Antimicrob. Agents Chemother.","language":"eng","author":[{"family":"Stiefel","given":"Usha"},{"family":"Rao","given":"Agam"},{"family":"Pultz","given":"Michael J"},{"family":"Jump","given":"Robin L P"},{"family":"Aron","given":"David C"},{"family":"Donskey","given":"Curtis J"}],"issued":{"date-parts":[["2006",11]]},"PMID":"16940078"},"label":"page"}],"schema":"https://github.com/citation-style-language/schema/raw/master/csl-citation.json"} </w:instrText>
      </w:r>
      <w:r w:rsidR="0078479C" w:rsidRPr="00BF3C3C">
        <w:rPr>
          <w:rFonts w:ascii="Book Antiqua" w:eastAsia="HYSinMyeongJo-Medium" w:hAnsi="Book Antiqua" w:cs="Times New Roman"/>
          <w:sz w:val="24"/>
          <w:szCs w:val="24"/>
        </w:rPr>
        <w:fldChar w:fldCharType="separate"/>
      </w:r>
      <w:r w:rsidRPr="00BF3C3C">
        <w:rPr>
          <w:rFonts w:ascii="Book Antiqua" w:hAnsi="Book Antiqua" w:cs="Times New Roman"/>
          <w:sz w:val="24"/>
          <w:szCs w:val="24"/>
          <w:vertAlign w:val="superscript"/>
        </w:rPr>
        <w:t>[9–12]</w:t>
      </w:r>
      <w:r w:rsidR="0078479C" w:rsidRPr="00BF3C3C">
        <w:rPr>
          <w:rFonts w:ascii="Book Antiqua" w:eastAsia="HYSinMyeongJo-Medium" w:hAnsi="Book Antiqua" w:cs="Times New Roman"/>
          <w:sz w:val="24"/>
          <w:szCs w:val="24"/>
        </w:rPr>
        <w:fldChar w:fldCharType="end"/>
      </w:r>
      <w:r w:rsidR="00CA6867" w:rsidRPr="00BF3C3C">
        <w:rPr>
          <w:rFonts w:ascii="Book Antiqua" w:eastAsia="宋体" w:hAnsi="Book Antiqua" w:cs="Times New Roman" w:hint="eastAsia"/>
          <w:sz w:val="24"/>
          <w:szCs w:val="24"/>
          <w:lang w:eastAsia="zh-CN"/>
        </w:rPr>
        <w:t>.</w:t>
      </w:r>
      <w:r w:rsidRPr="00BF3C3C">
        <w:rPr>
          <w:rFonts w:ascii="Book Antiqua" w:eastAsia="HYSinMyeongJo-Medium" w:hAnsi="Book Antiqua" w:cs="Times New Roman"/>
          <w:color w:val="auto"/>
          <w:sz w:val="24"/>
          <w:szCs w:val="24"/>
        </w:rPr>
        <w:t xml:space="preserve"> In addition, few studies have examined the effects of acid suppressive therapy in Asian patients with PD. Furthermore, several drugs such as immunosuppressants and prokinetics can influence the development of PD-related peritonitis and have not been evaluated simultaneously, which may have led to bias in previous studies. Moreover, many patients with end-stage renal disease (ESRD) experience gastroparesis or reduced bowel movements, and several studies have identified an association between gastrointestinal dysmotility and spontaneous bacterial peritonitis in cirrhotic patients and animal models of liver cirrhosis (LC). Indeed, decreased intestinal motility and extended transit time can lead to bacterial overgrowth and bacterial translocation </w:t>
      </w:r>
      <w:r w:rsidR="00CA6867" w:rsidRPr="00BF3C3C">
        <w:rPr>
          <w:rFonts w:ascii="Book Antiqua" w:eastAsia="HYSinMyeongJo-Medium" w:hAnsi="Book Antiqua" w:cs="Times New Roman"/>
          <w:color w:val="auto"/>
          <w:sz w:val="24"/>
          <w:szCs w:val="24"/>
        </w:rPr>
        <w:t>from the gastrointestinal tract</w:t>
      </w:r>
      <w:r w:rsidR="0078479C" w:rsidRPr="00BF3C3C">
        <w:rPr>
          <w:rFonts w:ascii="Book Antiqua" w:eastAsia="HYSinMyeongJo-Medium" w:hAnsi="Book Antiqua" w:cs="Times New Roman"/>
          <w:color w:val="auto"/>
          <w:sz w:val="24"/>
          <w:szCs w:val="24"/>
        </w:rPr>
        <w:fldChar w:fldCharType="begin"/>
      </w:r>
      <w:r w:rsidRPr="00BF3C3C">
        <w:rPr>
          <w:rFonts w:ascii="Book Antiqua" w:eastAsia="HYSinMyeongJo-Medium" w:hAnsi="Book Antiqua" w:cs="Times New Roman"/>
          <w:color w:val="auto"/>
          <w:sz w:val="24"/>
          <w:szCs w:val="24"/>
        </w:rPr>
        <w:instrText xml:space="preserve"> ADDIN ZOTERO_ITEM CSL_CITATION {"citationID":"1vdpcoqoiv","properties":{"formattedCitation":"{\\rtf \\super [13\\uc0\\u8211{}16]\\nosupersub{}}","plainCitation":"[13–16]"},"citationItems":[{"id":243,"uris":["http://zotero.org/users/1334241/items/R4RVUFPX"],"uri":["http://zotero.org/users/1334241/items/R4RVUFPX"],"itemData":{"id":243,"type":"article-journal","title":"Bacterial translocation in acute and chronic portal hypertension","container-title":"Hepatology (Baltimore, Md.)","page":"1081-1085","volume":"17","issue":"6","source":"NCBI PubMed","abstract":"Patients with cirrhosis are predisposed to develop spontaneous bacteremias and peritonitis, mainly by enteric bacteria. Portal hypertension, by producing congestion and edema of the bowel wall, could increase the passage of bacteria from the intestinal lumen to regional lymph nodes to the systemic circulation or to both, a process termed bacterial translocation. The aim of this study was to investigate bacterial translocation at two stages of experimental portal hypertension: (a) acute (when shunting is minimal); and (b) chronic (when shunting is extensive and mimics the portal hypertension of cirrhosis). Rats were killed 2 days (acute) or 15 days (chronic) after partial portal vein ligation or control surgeries. Samples of mesenteric lymph nodes, blood, liver and spleen for standard bacteriological cultures and a fragment of ileum for histological examination were obtained. Two days after surgery, a significantly greater proportion of rats with acute portal hypertension (12 of 13 or 92%) had positive mesenteric lymph node cultures compared with both control groups: sham-operated (4 of 13 or 31%) and inferior vena cava-ligated (3 of 10 or 33%) animals (p &lt; 0.01). However, 15 days after surgery no differences in translocation to mesenteric lymph nodes were found between rats with chronic portal hypertension (3 of 15 or 20%) and sham-operated controls (3 of 11 or 27%). In neither the acute nor the chronic rats were bacteria isolated from blood, spleen or liver. Rats with acute portal hypertension had significantly greater mesenteric inflammation than rats with chronic portal hypertension and control animals.(ABSTRACT TRUNCATED AT 250 WORDS)","ISSN":"0270-9139","note":"PMID: 8514258","journalAbbreviation":"Hepatology","language":"eng","author":[{"family":"Garcia-Tsao","given":"G"},{"family":"Albillos","given":"A"},{"family":"Barden","given":"G E"},{"family":"West","given":"A B"}],"issued":{"date-parts":[["1993",6]]},"PMID":"8514258"},"label":"page"},{"id":241,"uris":["http://zotero.org/users/1334241/items/XMDJ5JFW"],"uri":["http://zotero.org/users/1334241/items/XMDJ5JFW"],"itemData":{"id":241,"type":"article-journal","title":"Norfloxacin and cisapride combination decreases the incidence of spontaneous bacterial peritonitis in cirrhotic ascites","container-title":"Journal of gastroenterology and hepatology","page":"599-605","volume":"20","issue":"4","source":"NCBI PubMed","abstract":"BACKGROUND: Spontaneous bacterial peritonitis (SBP) is a serious complication of cirrhosis with ascites, having high recurrence despite antibiotic prophylaxis. Small bowel dysmotility and bacterial overgrowth have been documented to be related to SBP. The purpose of the present paper was (i) to study whether addition of a prokinetic agent to norfloxacin ameliorates the development of SBP in high-risk patients; and (ii) to identify risk factors for SBP development.\nMETHODS: A prospective, single blinded, randomized controlled trial was conducted in high-risk cirrhotic patients with ascites who had either recovered from an episode of SBP or who had low ascitic fluid protein. Norfloxacin 400 mg once daily (group I) or norfloxacin 400 mg once daily with cisapride 20 mg twice a day (group II) was given and occurrence of side-effects of therapy and mortality were recorded.\nRESULTS: Of the 94 patients, 48 (51%) were in group I, and 46 (49%) in group II. The actuarial probability of developing SBP at 12 month in group I was 56.8% and in group II, 21.7% (P = 0.026). Treatment failure was observed in five patients (10%) in group I and none in group II (P = 0.003). The actuarial probability of death at 18 months was 20.6% in group I and 6.2% in group II (P = 0.1). Low serum albumin, low ascitic fluid protein and alcoholic cirrhosis were related to development of SBP (P &lt; 0.05). Additionally, low serum albumin (2.8 g/dL), gastrointestinal bleeding, alcoholic cirrhosis and low ascitic fluid protein were significantly associated with multiple occurrences of SBP.\nCONCLUSIONS: Prophylaxis with norfloxacin and cisapride significantly reduces the incidence of SBP in high-risk cirrhosis patients; low serum albumin, low ascitic fluid protein and alcoholic cirrhosis predispose to the development of SBP in high-risk cirrhosis patients; and low ascitic fluid protein should also be considered as a risk factor for the development of SBP requiring prophylaxis.","DOI":"10.1111/j.1440-1746.2005.03796.x","ISSN":"0815-9319","note":"PMID: 15836710","journalAbbreviation":"J. Gastroenterol. Hepatol.","language":"eng","author":[{"family":"Sandhu","given":"Bimaljit S"},{"family":"Gupta","given":"Rajesh"},{"family":"Sharma","given":"Jayant"},{"family":"Singh","given":"Jagdeep"},{"family":"Murthy","given":"Nandagudi S"},{"family":"Sarin","given":"Shiv K"}],"issued":{"date-parts":[["2005",4]]},"PMID":"15836710"},"label":"page"},{"id":245,"uris":["http://zotero.org/users/1334241/items/J7GUBUHW"],"uri":["http://zotero.org/users/1334241/items/J7GUBUHW"],"itemData":{"id":245,"type":"article-journal","title":"Small intestine dysmotility and bacterial overgrowth in cirrhotic patients with spontaneous bacterial peritonitis","container-title":"Hepatology (Baltimore, Md.)","page":"1187-1190","volume":"28","issue":"5","source":"NCBI PubMed","abstract":"Patients with bacterial overgrowth of the small intestine developed spontaneous bacterial peritonitis (SBP) more frequently than patients without bacterial overgrowth of the small intestine. The objective of this study was to determine whether the incidences of small intestine dysmotility and bacterial overgrowth are higher in cirrhotic patients with a history of SBP than in cirrhotic patients without SBP. Forty cirrhotic patients were enrolled in this study. There were 20 patients with a history of SBP and 20 patients without a history of SBP. Small intestine bacterial overgrowth was diagnosed by breath hydrogen test. Small intestine motility was recorded, by a 3-channel solid-state manometric catheter, for 24 hours. There were no statistical differences in age or sex between the two groups. The Child-Pugh scores in the SBP group were higher than in the non-SBP group (10.5 +/- 2.1 vs. 8.1 +/- 1.9, P &lt; .01). The incidence of bacterial overgrowth of the small intestine was higher in the SBP group than in the non-SBP group (70% vs. 20%, P &lt; .01). The amplitude and duration of migrating motor complex (MMC) activity fronts, as well as the number of clusters per hour, were similar in both groups. However, the frequency of MMC activity fronts was higher in the non-SBP group than in the SBP group (4.8 +/- 2.3/24 hours vs. 3.5 +/- 1.2/24 hours, P &lt; .05). In addition, the MMC velocity was significantly higher in the non-SBP group (8.3 +/- 2.6 vs. 5.3 +/- 2.1 cm/min, P &lt; .01). The incidence of bacterial overgrowth of the small intestine was higher in cirrhotic patients with history of SBP than in those without SBP. Small intestine motility dysfunction was more severe in cirrhotic patients with history of SBP. Impaired motility of the small intestine, causing bacterial overgrowth of the small intestine, may be one of the explanations for recurrent SBP in cirrhotic patients.","DOI":"10.1002/hep.510280504","ISSN":"0270-9139","note":"PMID: 9794900","journalAbbreviation":"Hepatology","language":"eng","author":[{"family":"Chang","given":"C S"},{"family":"Chen","given":"G H"},{"family":"Lien","given":"H C"},{"family":"Yeh","given":"H Z"}],"issued":{"date-parts":[["1998",11]]},"PMID":"9794900"},"label":"page"},{"id":247,"uris":["http://zotero.org/users/1334241/items/T3UVDPPP"],"uri":["http://zotero.org/users/1334241/items/T3UVDPPP"],"itemData":{"id":247,"type":"article-journal","title":"Intestinal bacterial translocation in rats with cirrhosis is related to compromised paneth cell antimicrobial host defense","container-title":"Hepatology","page":"1154–1163","volume":"55","issue":"4","source":"Wiley Online Library","abstract":"Liver cirrhosis is associated with bacterial translocation (BT) and endotoxemia. Most translocating bacteria belong to the common intestinal microbiota, suggesting a breakdown of intestinal barrier function. We hypothesized that diminished mucosal antimicrobial host defense could predispose to BT. Two rodent models of portal hypertension with increased BT were used, CCl4-induced ascitic cirrhosis and 2-day portal vein–ligated (PVL) animals. BT was assessed by standard microbiological techniques on mesenteric lymph nodes. Total RNA was isolated systematically throughout the intestinal tract, and expression of Paneth cell α-cryptdins and β-defensins was determined by real-time quantitative polymerase chain reaction (qPCR). To determine functional consequences, mucosal antimicrobial activity was assessed with a fluorescence-activated cell sorting assay. BT was detectable in 40% of rats with cirrhosis. Compared with the group without BT, these animals exhibited diminished intestinal Paneth cell α-cryptdin 5 and 7 expression. In contrast, PVL was associated with BT in all animals but did not affect antimicrobial peptides. The decrease in Paneth cell antimicrobials was most pronounced in the ileum and the coecum. Other antimicrobials showed no changes or even an induction in the case of BT at different sites. Antimicrobial activity toward different commensal strains was reduced, especially in the distal ileum and the cecum in experimental cirrhosis with BT (excluding PVL). Conclusion: Compromised Paneth cell antimicrobial host defense seems to predispose to BT in experimental cirrhosis. Understanding this liver–gut axis including the underlying mechanisms could help us to find new treatment avenues. (HEPATOLOGY 2012)","DOI":"10.1002/hep.24789","ISSN":"1527-3350","language":"en","author":[{"family":"Teltschik","given":"Zora"},{"family":"Wiest","given":"Reiner"},{"family":"Beisner","given":"Julia"},{"family":"Nuding","given":"Sabine"},{"family":"Hofmann","given":"Claudia"},{"family":"Schoelmerich","given":"Juergen"},{"family":"Bevins","given":"Charles L."},{"family":"Stange","given":"Eduard F."},{"family":"Wehkamp","given":"Jan"}],"issued":{"date-parts":[["2012"]]},"accessed":{"date-parts":[["2013",10,22]]}},"label":"page"}],"schema":"https://github.com/citation-style-language/schema/raw/master/csl-citation.json"} </w:instrText>
      </w:r>
      <w:r w:rsidR="0078479C" w:rsidRPr="00BF3C3C">
        <w:rPr>
          <w:rFonts w:ascii="Book Antiqua" w:eastAsia="HYSinMyeongJo-Medium" w:hAnsi="Book Antiqua" w:cs="Times New Roman"/>
          <w:color w:val="auto"/>
          <w:sz w:val="24"/>
          <w:szCs w:val="24"/>
        </w:rPr>
        <w:fldChar w:fldCharType="separate"/>
      </w:r>
      <w:r w:rsidRPr="00BF3C3C">
        <w:rPr>
          <w:rFonts w:ascii="Book Antiqua" w:hAnsi="Book Antiqua" w:cs="Times New Roman"/>
          <w:color w:val="auto"/>
          <w:sz w:val="24"/>
          <w:szCs w:val="24"/>
          <w:vertAlign w:val="superscript"/>
        </w:rPr>
        <w:t>[13–16]</w:t>
      </w:r>
      <w:r w:rsidR="0078479C" w:rsidRPr="00BF3C3C">
        <w:rPr>
          <w:rFonts w:ascii="Book Antiqua" w:eastAsia="HYSinMyeongJo-Medium" w:hAnsi="Book Antiqua" w:cs="Times New Roman"/>
          <w:color w:val="auto"/>
          <w:sz w:val="24"/>
          <w:szCs w:val="24"/>
        </w:rPr>
        <w:fldChar w:fldCharType="end"/>
      </w:r>
      <w:r w:rsidR="00CA6867" w:rsidRPr="00BF3C3C">
        <w:rPr>
          <w:rFonts w:ascii="Book Antiqua" w:eastAsia="宋体" w:hAnsi="Book Antiqua" w:cs="Times New Roman" w:hint="eastAsia"/>
          <w:color w:val="auto"/>
          <w:sz w:val="24"/>
          <w:szCs w:val="24"/>
          <w:lang w:eastAsia="zh-CN"/>
        </w:rPr>
        <w:t>.</w:t>
      </w:r>
      <w:r w:rsidRPr="00BF3C3C">
        <w:rPr>
          <w:rFonts w:ascii="Book Antiqua" w:eastAsia="HYSinMyeongJo-Medium" w:hAnsi="Book Antiqua" w:cs="Times New Roman"/>
          <w:color w:val="auto"/>
          <w:sz w:val="24"/>
          <w:szCs w:val="24"/>
        </w:rPr>
        <w:t xml:space="preserve"> However, no study has clarified the effects of prokinetics on PD-related peritonitis.</w:t>
      </w:r>
    </w:p>
    <w:p w:rsidR="000B751C" w:rsidRPr="00BF3C3C" w:rsidRDefault="000B751C" w:rsidP="00CA6867">
      <w:pPr>
        <w:pStyle w:val="af"/>
        <w:spacing w:line="360" w:lineRule="auto"/>
        <w:ind w:firstLineChars="200" w:firstLine="480"/>
        <w:rPr>
          <w:rFonts w:ascii="Book Antiqua" w:hAnsi="Book Antiqua" w:cs="Times New Roman"/>
          <w:b/>
          <w:sz w:val="24"/>
          <w:szCs w:val="24"/>
        </w:rPr>
      </w:pPr>
      <w:r w:rsidRPr="00BF3C3C">
        <w:rPr>
          <w:rFonts w:ascii="Book Antiqua" w:eastAsia="HYSinMyeongJo-Medium" w:hAnsi="Book Antiqua" w:cs="Times New Roman"/>
          <w:color w:val="auto"/>
          <w:sz w:val="24"/>
          <w:szCs w:val="24"/>
        </w:rPr>
        <w:t>This study aimed to evaluate whether acid suppressive therapy is associated with an increased risk of PD-related peritonitis, especially peritonitis caused by enteric organisms. In addition, we assessed the effects of prokinetics on PD-related peritonitis.</w:t>
      </w:r>
      <w:r w:rsidRPr="00BF3C3C">
        <w:rPr>
          <w:rFonts w:ascii="Book Antiqua" w:hAnsi="Book Antiqua" w:cs="Times New Roman"/>
          <w:b/>
          <w:sz w:val="24"/>
          <w:szCs w:val="24"/>
        </w:rPr>
        <w:br w:type="page"/>
      </w:r>
    </w:p>
    <w:p w:rsidR="000B751C" w:rsidRPr="00BF3C3C" w:rsidRDefault="000B751C" w:rsidP="000B751C">
      <w:pPr>
        <w:wordWrap/>
        <w:spacing w:line="360" w:lineRule="auto"/>
        <w:rPr>
          <w:rFonts w:ascii="Book Antiqua" w:hAnsi="Book Antiqua" w:cs="Times New Roman"/>
          <w:b/>
          <w:caps/>
          <w:sz w:val="24"/>
          <w:szCs w:val="24"/>
        </w:rPr>
      </w:pPr>
      <w:r w:rsidRPr="00BF3C3C">
        <w:rPr>
          <w:rFonts w:ascii="Book Antiqua" w:hAnsi="Book Antiqua" w:cs="Times New Roman"/>
          <w:b/>
          <w:caps/>
          <w:sz w:val="24"/>
          <w:szCs w:val="24"/>
        </w:rPr>
        <w:lastRenderedPageBreak/>
        <w:t>Materials and methods</w:t>
      </w:r>
    </w:p>
    <w:p w:rsidR="000B751C" w:rsidRPr="00BF3C3C" w:rsidRDefault="000B751C" w:rsidP="000B751C">
      <w:pPr>
        <w:wordWrap/>
        <w:spacing w:line="360" w:lineRule="auto"/>
        <w:rPr>
          <w:rFonts w:ascii="Book Antiqua" w:hAnsi="Book Antiqua" w:cs="Times New Roman"/>
          <w:i/>
          <w:sz w:val="24"/>
          <w:szCs w:val="24"/>
        </w:rPr>
      </w:pPr>
      <w:r w:rsidRPr="00BF3C3C">
        <w:rPr>
          <w:rFonts w:ascii="Book Antiqua" w:hAnsi="Book Antiqua" w:cs="Times New Roman"/>
          <w:b/>
          <w:i/>
          <w:sz w:val="24"/>
          <w:szCs w:val="24"/>
        </w:rPr>
        <w:t>Patients</w:t>
      </w:r>
    </w:p>
    <w:p w:rsidR="000B751C" w:rsidRPr="00BF3C3C" w:rsidRDefault="000B751C" w:rsidP="000B751C">
      <w:pPr>
        <w:pStyle w:val="af"/>
        <w:spacing w:line="360" w:lineRule="auto"/>
        <w:rPr>
          <w:rFonts w:ascii="Book Antiqua" w:eastAsia="HYSinMyeongJo-Medium" w:hAnsi="Book Antiqua" w:cs="Times New Roman"/>
          <w:color w:val="auto"/>
          <w:sz w:val="24"/>
          <w:szCs w:val="24"/>
        </w:rPr>
      </w:pPr>
      <w:r w:rsidRPr="00BF3C3C">
        <w:rPr>
          <w:rFonts w:ascii="Book Antiqua" w:eastAsia="HYSinMyeongJo-Medium" w:hAnsi="Book Antiqua" w:cs="Times New Roman"/>
          <w:color w:val="auto"/>
          <w:sz w:val="24"/>
          <w:szCs w:val="24"/>
        </w:rPr>
        <w:t>Data from 398 patients with ESRD who underwent PD at our institution between January 2001 and September 2012 were collected. This study was approved by the Institutional Review Board of the Seoul National University Hospital.</w:t>
      </w:r>
    </w:p>
    <w:p w:rsidR="000B751C" w:rsidRPr="00BF3C3C" w:rsidRDefault="000B751C" w:rsidP="00CA6867">
      <w:pPr>
        <w:pStyle w:val="af"/>
        <w:spacing w:line="360" w:lineRule="auto"/>
        <w:ind w:firstLineChars="200" w:firstLine="480"/>
        <w:rPr>
          <w:rFonts w:ascii="Book Antiqua" w:eastAsia="HYSinMyeongJo-Medium" w:hAnsi="Book Antiqua" w:cs="Times New Roman"/>
          <w:color w:val="auto"/>
          <w:sz w:val="24"/>
          <w:szCs w:val="24"/>
        </w:rPr>
      </w:pPr>
      <w:r w:rsidRPr="00BF3C3C">
        <w:rPr>
          <w:rFonts w:ascii="Book Antiqua" w:eastAsia="HYSinMyeongJo-Medium" w:hAnsi="Book Antiqua" w:cs="Times New Roman"/>
          <w:color w:val="auto"/>
          <w:sz w:val="24"/>
          <w:szCs w:val="24"/>
        </w:rPr>
        <w:t>This study included only adult patients aged ≥</w:t>
      </w:r>
      <w:r w:rsidR="00CA6867" w:rsidRPr="00BF3C3C">
        <w:rPr>
          <w:rFonts w:ascii="Book Antiqua" w:eastAsia="宋体" w:hAnsi="Book Antiqua" w:cs="Times New Roman" w:hint="eastAsia"/>
          <w:color w:val="auto"/>
          <w:sz w:val="24"/>
          <w:szCs w:val="24"/>
          <w:lang w:eastAsia="zh-CN"/>
        </w:rPr>
        <w:t xml:space="preserve"> </w:t>
      </w:r>
      <w:r w:rsidRPr="00BF3C3C">
        <w:rPr>
          <w:rFonts w:ascii="Book Antiqua" w:eastAsia="HYSinMyeongJo-Medium" w:hAnsi="Book Antiqua" w:cs="Times New Roman"/>
          <w:color w:val="auto"/>
          <w:sz w:val="24"/>
          <w:szCs w:val="24"/>
        </w:rPr>
        <w:t>20 years; therefore, 54 patients aged &lt;</w:t>
      </w:r>
      <w:r w:rsidRPr="00BF3C3C">
        <w:rPr>
          <w:rFonts w:ascii="Book Antiqua" w:eastAsia="宋体" w:hAnsi="Book Antiqua" w:cs="Times New Roman"/>
          <w:color w:val="auto"/>
          <w:sz w:val="24"/>
          <w:szCs w:val="24"/>
          <w:lang w:eastAsia="zh-CN"/>
        </w:rPr>
        <w:t xml:space="preserve"> </w:t>
      </w:r>
      <w:r w:rsidRPr="00BF3C3C">
        <w:rPr>
          <w:rFonts w:ascii="Book Antiqua" w:eastAsia="HYSinMyeongJo-Medium" w:hAnsi="Book Antiqua" w:cs="Times New Roman"/>
          <w:color w:val="auto"/>
          <w:sz w:val="24"/>
          <w:szCs w:val="24"/>
        </w:rPr>
        <w:t xml:space="preserve">20 years were excluded. Sixty-three patients were excluded because of incomplete data and 4 patients because of peritonitis related to perforation of the gastrointestinal tract or gallbladder. Twenty-three patients with LC were excluded because there were no standard criteria to distinguish PD-related peritonitis from spontaneous bacterial peritonitis. In addition, 127 patients who were previously administered antibiotics were excluded. One patient who did not receive PD after surgical replacement of the PD catheter was also excluded (Figure 1). Peritonitis episodes were identified by reviewing the medical records of patients. PD-related peritonitis was diagnosed if at least </w:t>
      </w:r>
      <w:r w:rsidR="00461375" w:rsidRPr="00BF3C3C">
        <w:rPr>
          <w:rFonts w:ascii="Book Antiqua" w:eastAsiaTheme="minorEastAsia" w:hAnsi="Book Antiqua" w:cs="Times New Roman"/>
          <w:color w:val="auto"/>
          <w:sz w:val="24"/>
          <w:szCs w:val="24"/>
        </w:rPr>
        <w:t>2</w:t>
      </w:r>
      <w:r w:rsidRPr="00BF3C3C">
        <w:rPr>
          <w:rFonts w:ascii="Book Antiqua" w:eastAsia="HYSinMyeongJo-Medium" w:hAnsi="Book Antiqua" w:cs="Times New Roman"/>
          <w:color w:val="auto"/>
          <w:sz w:val="24"/>
          <w:szCs w:val="24"/>
        </w:rPr>
        <w:t xml:space="preserve"> of the following diagnostic criteria were met: (1) abdominal pain or cloudy PD effluent; (2) leukocytosis in the peritoneal fluid effluent (white blood cells &gt;</w:t>
      </w:r>
      <w:r w:rsidR="00CA6867" w:rsidRPr="00BF3C3C">
        <w:rPr>
          <w:rFonts w:ascii="Book Antiqua" w:eastAsia="宋体" w:hAnsi="Book Antiqua" w:cs="Times New Roman" w:hint="eastAsia"/>
          <w:color w:val="auto"/>
          <w:sz w:val="24"/>
          <w:szCs w:val="24"/>
          <w:lang w:eastAsia="zh-CN"/>
        </w:rPr>
        <w:t xml:space="preserve"> </w:t>
      </w:r>
      <w:r w:rsidRPr="00BF3C3C">
        <w:rPr>
          <w:rFonts w:ascii="Book Antiqua" w:eastAsia="HYSinMyeongJo-Medium" w:hAnsi="Book Antiqua" w:cs="Times New Roman"/>
          <w:color w:val="auto"/>
          <w:sz w:val="24"/>
          <w:szCs w:val="24"/>
        </w:rPr>
        <w:t>100/mm</w:t>
      </w:r>
      <w:r w:rsidRPr="00BF3C3C">
        <w:rPr>
          <w:rFonts w:ascii="Book Antiqua" w:eastAsia="HYSinMyeongJo-Medium" w:hAnsi="Book Antiqua" w:cs="Times New Roman"/>
          <w:color w:val="auto"/>
          <w:sz w:val="24"/>
          <w:szCs w:val="24"/>
          <w:vertAlign w:val="superscript"/>
        </w:rPr>
        <w:t>3</w:t>
      </w:r>
      <w:r w:rsidRPr="00BF3C3C">
        <w:rPr>
          <w:rFonts w:ascii="Book Antiqua" w:eastAsia="HYSinMyeongJo-Medium" w:hAnsi="Book Antiqua" w:cs="Times New Roman"/>
          <w:color w:val="auto"/>
          <w:sz w:val="24"/>
          <w:szCs w:val="24"/>
        </w:rPr>
        <w:t>, with at least 50% polymorphonuclear neutrophils); or (3) a positive Gram stain or po</w:t>
      </w:r>
      <w:r w:rsidR="00CA6867" w:rsidRPr="00BF3C3C">
        <w:rPr>
          <w:rFonts w:ascii="Book Antiqua" w:eastAsia="HYSinMyeongJo-Medium" w:hAnsi="Book Antiqua" w:cs="Times New Roman"/>
          <w:color w:val="auto"/>
          <w:sz w:val="24"/>
          <w:szCs w:val="24"/>
        </w:rPr>
        <w:t>sitive culture from PD effluent</w:t>
      </w:r>
      <w:r w:rsidR="0078479C" w:rsidRPr="00BF3C3C">
        <w:rPr>
          <w:rFonts w:ascii="Book Antiqua" w:eastAsia="HYSinMyeongJo-Medium" w:hAnsi="Book Antiqua" w:cs="Times New Roman"/>
          <w:sz w:val="24"/>
          <w:szCs w:val="24"/>
        </w:rPr>
        <w:fldChar w:fldCharType="begin"/>
      </w:r>
      <w:r w:rsidRPr="00BF3C3C">
        <w:rPr>
          <w:rFonts w:ascii="Book Antiqua" w:eastAsia="HYSinMyeongJo-Medium" w:hAnsi="Book Antiqua" w:cs="Times New Roman"/>
          <w:color w:val="auto"/>
          <w:sz w:val="24"/>
          <w:szCs w:val="24"/>
        </w:rPr>
        <w:instrText xml:space="preserve"> ADDIN ZOTERO_ITEM CSL_CITATION {"citationID":"VJVd2859","properties":{"formattedCitation":"{\\rtf \\super [17]\\nosupersub{}}","plainCitation":"[17]"},"citationItems":[{"id":237,"uris":["http://zotero.org/users/1334241/items/57DIAIHW"],"uri":["http://zotero.org/users/1334241/items/57DIAIHW"],"itemData":{"id":237,"type":"article-journal","title":"Peritoneal dialysis-related peritonitis treatment recommendations: 1996 update","container-title":"Peritoneal dialysis international: journal of the International Society for Peritoneal Dialysis","page":"557-573","volume":"16","issue":"6","source":"NCBI PubMed","abstract":"The recommendations provided in this document represent a distillation of various experiences, as well as data obtained from published studies in the setting of substantial changes in antibiotic sensitivity. It is hoped that this revised compilation will provide a basis upon which future developments and advances can be made in the therapeutic approach to infectious complications of peritoneal dialysis.","ISSN":"0896-8608","note":"PMID: 8981523","shortTitle":"Peritoneal dialysis-related peritonitis treatment recommendations","journalAbbreviation":"Perit Dial Int","language":"eng","author":[{"family":"Keane","given":"W F"},{"family":"Alexander","given":"S R"},{"family":"Bailie","given":"G R"},{"family":"Boeschoten","given":"E"},{"family":"Gokal","given":"R"},{"family":"Golper","given":"T A"},{"family":"Holmes","given":"C J"},{"family":"Huang","given":"C C"},{"family":"Kawaguchi","given":"Y"},{"family":"Piraino","given":"B"},{"family":"Riella","given":"M"},{"family":"Schaefer","given":"F"},{"family":"Vas","given":"S"}],"issued":{"date-parts":[["1996",12]]},"PMID":"8981523"}}],"schema":"https://github.com/citation-style-language/schema/raw/master/csl-citation.json"} </w:instrText>
      </w:r>
      <w:r w:rsidR="0078479C" w:rsidRPr="00BF3C3C">
        <w:rPr>
          <w:rFonts w:ascii="Book Antiqua" w:eastAsia="HYSinMyeongJo-Medium" w:hAnsi="Book Antiqua" w:cs="Times New Roman"/>
          <w:sz w:val="24"/>
          <w:szCs w:val="24"/>
        </w:rPr>
        <w:fldChar w:fldCharType="separate"/>
      </w:r>
      <w:r w:rsidRPr="00BF3C3C">
        <w:rPr>
          <w:rFonts w:ascii="Book Antiqua" w:hAnsi="Book Antiqua" w:cs="Times New Roman"/>
          <w:sz w:val="24"/>
          <w:szCs w:val="24"/>
          <w:vertAlign w:val="superscript"/>
        </w:rPr>
        <w:t>[17]</w:t>
      </w:r>
      <w:r w:rsidR="0078479C" w:rsidRPr="00BF3C3C">
        <w:rPr>
          <w:rFonts w:ascii="Book Antiqua" w:eastAsia="HYSinMyeongJo-Medium" w:hAnsi="Book Antiqua" w:cs="Times New Roman"/>
          <w:sz w:val="24"/>
          <w:szCs w:val="24"/>
        </w:rPr>
        <w:fldChar w:fldCharType="end"/>
      </w:r>
      <w:r w:rsidR="00CA6867" w:rsidRPr="00BF3C3C">
        <w:rPr>
          <w:rFonts w:ascii="Book Antiqua" w:eastAsia="宋体" w:hAnsi="Book Antiqua" w:cs="Times New Roman" w:hint="eastAsia"/>
          <w:sz w:val="24"/>
          <w:szCs w:val="24"/>
          <w:lang w:eastAsia="zh-CN"/>
        </w:rPr>
        <w:t>.</w:t>
      </w:r>
      <w:r w:rsidRPr="00BF3C3C">
        <w:rPr>
          <w:rFonts w:ascii="Book Antiqua" w:eastAsia="HYSinMyeongJo-Medium" w:hAnsi="Book Antiqua" w:cs="Times New Roman"/>
          <w:color w:val="auto"/>
          <w:sz w:val="24"/>
          <w:szCs w:val="24"/>
        </w:rPr>
        <w:t xml:space="preserve"> All episodes of peritonitis were initially treated by intraperitoneal administration of first-generation cephalosporin (cefazolin) and third-generation cephalosporin (ceftazidime). Management of peritonitis depended on the clinical course and results of the antibiotic resistance tests for each isolated organism. To minimize potential bias, we excluded individual episodes of recurrent or relapsing peritonitis. According to the International Society for Peri</w:t>
      </w:r>
      <w:r w:rsidR="00CA6867" w:rsidRPr="00BF3C3C">
        <w:rPr>
          <w:rFonts w:ascii="Book Antiqua" w:eastAsia="HYSinMyeongJo-Medium" w:hAnsi="Book Antiqua" w:cs="Times New Roman"/>
          <w:color w:val="auto"/>
          <w:sz w:val="24"/>
          <w:szCs w:val="24"/>
        </w:rPr>
        <w:t>toneal Dialysis recommendations</w:t>
      </w:r>
      <w:r w:rsidR="0078479C" w:rsidRPr="00BF3C3C">
        <w:rPr>
          <w:rFonts w:ascii="Book Antiqua" w:eastAsia="HYSinMyeongJo-Medium" w:hAnsi="Book Antiqua" w:cs="Times New Roman"/>
          <w:color w:val="auto"/>
          <w:sz w:val="24"/>
          <w:szCs w:val="24"/>
        </w:rPr>
        <w:fldChar w:fldCharType="begin"/>
      </w:r>
      <w:r w:rsidRPr="00BF3C3C">
        <w:rPr>
          <w:rFonts w:ascii="Book Antiqua" w:eastAsia="HYSinMyeongJo-Medium" w:hAnsi="Book Antiqua" w:cs="Times New Roman"/>
          <w:color w:val="auto"/>
          <w:sz w:val="24"/>
          <w:szCs w:val="24"/>
        </w:rPr>
        <w:instrText xml:space="preserve"> ADDIN ZOTERO_ITEM CSL_CITATION {"citationID":"fLm0zdKf","properties":{"formattedCitation":"{\\rtf \\super [2]\\nosupersub{}}","plainCitation":"[2]"},"citationItems":[{"id":239,"uris":["http://zotero.org/users/1334241/items/9M6EVEBH"],"uri":["http://zotero.org/users/1334241/items/9M6EVEBH"],"itemData":{"id":239,"type":"article-journal","title":"Peritoneal dialysis-related infections recommendations: 2010 update","container-title":"Peritoneal dialysis international: journal of the International Society for Peritoneal Dialysis","page":"393-423","volume":"30","issue":"4","source":"NCBI PubMed","DOI":"10.3747/pdi.2010.00049","ISSN":"1718-4304","note":"PMID: 20628102","shortTitle":"Peritoneal dialysis-related infections recommendations","journalAbbreviation":"Perit Dial Int","language":"eng","author":[{"family":"Li","given":"Philip Kam-Tao"},{"family":"Szeto","given":"Cheuk Chun"},{"family":"Piraino","given":"Beth"},{"family":"Bernardini","given":"Judith"},{"family":"Figueiredo","given":"Ana E"},{"family":"Gupta","given":"Amit"},{"family":"Johnson","given":"David W"},{"family":"Kuijper","given":"Ed J"},{"family":"Lye","given":"Wai-Choong"},{"family":"Salzer","given":"William"},{"family":"Schaefer","given":"Franz"},{"family":"Struijk","given":"Dirk G"},{"family":"International Society for Peritoneal Dialysis","given":""}],"issued":{"date-parts":[["2010",8]]},"PMID":"20628102"}}],"schema":"https://github.com/citation-style-language/schema/raw/master/csl-citation.json"} </w:instrText>
      </w:r>
      <w:r w:rsidR="0078479C" w:rsidRPr="00BF3C3C">
        <w:rPr>
          <w:rFonts w:ascii="Book Antiqua" w:eastAsia="HYSinMyeongJo-Medium" w:hAnsi="Book Antiqua" w:cs="Times New Roman"/>
          <w:color w:val="auto"/>
          <w:sz w:val="24"/>
          <w:szCs w:val="24"/>
        </w:rPr>
        <w:fldChar w:fldCharType="separate"/>
      </w:r>
      <w:r w:rsidRPr="00BF3C3C">
        <w:rPr>
          <w:rFonts w:ascii="Book Antiqua" w:hAnsi="Book Antiqua" w:cs="Times New Roman"/>
          <w:sz w:val="24"/>
          <w:szCs w:val="24"/>
          <w:vertAlign w:val="superscript"/>
        </w:rPr>
        <w:t>[2]</w:t>
      </w:r>
      <w:r w:rsidR="0078479C" w:rsidRPr="00BF3C3C">
        <w:rPr>
          <w:rFonts w:ascii="Book Antiqua" w:eastAsia="HYSinMyeongJo-Medium" w:hAnsi="Book Antiqua" w:cs="Times New Roman"/>
          <w:color w:val="auto"/>
          <w:sz w:val="24"/>
          <w:szCs w:val="24"/>
        </w:rPr>
        <w:fldChar w:fldCharType="end"/>
      </w:r>
      <w:r w:rsidR="00CA6867" w:rsidRPr="00BF3C3C">
        <w:rPr>
          <w:rFonts w:ascii="Book Antiqua" w:eastAsia="宋体" w:hAnsi="Book Antiqua" w:cs="Times New Roman" w:hint="eastAsia"/>
          <w:color w:val="auto"/>
          <w:sz w:val="24"/>
          <w:szCs w:val="24"/>
          <w:lang w:eastAsia="zh-CN"/>
        </w:rPr>
        <w:t>,</w:t>
      </w:r>
      <w:r w:rsidRPr="00BF3C3C">
        <w:rPr>
          <w:rFonts w:ascii="Book Antiqua" w:eastAsia="HYSinMyeongJo-Medium" w:hAnsi="Book Antiqua" w:cs="Times New Roman"/>
          <w:color w:val="auto"/>
          <w:sz w:val="24"/>
          <w:szCs w:val="24"/>
        </w:rPr>
        <w:t xml:space="preserve"> recurrent peritonitis is defined as newly developed peritonitis caused by a different organism within</w:t>
      </w:r>
      <w:r w:rsidRPr="00BF3C3C">
        <w:rPr>
          <w:rFonts w:ascii="Book Antiqua" w:hAnsi="Book Antiqua" w:cs="Times New Roman"/>
          <w:sz w:val="24"/>
          <w:szCs w:val="24"/>
        </w:rPr>
        <w:t xml:space="preserve"> </w:t>
      </w:r>
      <w:r w:rsidRPr="00BF3C3C">
        <w:rPr>
          <w:rFonts w:ascii="Book Antiqua" w:eastAsia="HYSinMyeongJo-Medium" w:hAnsi="Book Antiqua" w:cs="Times New Roman"/>
          <w:color w:val="auto"/>
          <w:sz w:val="24"/>
          <w:szCs w:val="24"/>
        </w:rPr>
        <w:t>4 w</w:t>
      </w:r>
      <w:r w:rsidR="00CA6867" w:rsidRPr="00BF3C3C">
        <w:rPr>
          <w:rFonts w:ascii="Book Antiqua" w:eastAsia="HYSinMyeongJo-Medium" w:hAnsi="Book Antiqua" w:cs="Times New Roman"/>
          <w:color w:val="auto"/>
          <w:sz w:val="24"/>
          <w:szCs w:val="24"/>
        </w:rPr>
        <w:t>k</w:t>
      </w:r>
      <w:r w:rsidRPr="00BF3C3C">
        <w:rPr>
          <w:rFonts w:ascii="Book Antiqua" w:eastAsia="HYSinMyeongJo-Medium" w:hAnsi="Book Antiqua" w:cs="Times New Roman"/>
          <w:color w:val="auto"/>
          <w:sz w:val="24"/>
          <w:szCs w:val="24"/>
        </w:rPr>
        <w:t xml:space="preserve"> of the completion of therapy for a prior episode, whereas relapsing peritonitis is defined as newly developed peritonitis caused by the same organism within</w:t>
      </w:r>
      <w:r w:rsidRPr="00BF3C3C">
        <w:rPr>
          <w:rFonts w:ascii="Book Antiqua" w:hAnsi="Book Antiqua" w:cs="Times New Roman"/>
          <w:sz w:val="24"/>
          <w:szCs w:val="24"/>
        </w:rPr>
        <w:t xml:space="preserve"> </w:t>
      </w:r>
      <w:r w:rsidRPr="00BF3C3C">
        <w:rPr>
          <w:rFonts w:ascii="Book Antiqua" w:eastAsia="HYSinMyeongJo-Medium" w:hAnsi="Book Antiqua" w:cs="Times New Roman"/>
          <w:color w:val="auto"/>
          <w:sz w:val="24"/>
          <w:szCs w:val="24"/>
        </w:rPr>
        <w:t>4 w</w:t>
      </w:r>
      <w:r w:rsidR="00CA6867" w:rsidRPr="00BF3C3C">
        <w:rPr>
          <w:rFonts w:ascii="Book Antiqua" w:eastAsia="HYSinMyeongJo-Medium" w:hAnsi="Book Antiqua" w:cs="Times New Roman"/>
          <w:color w:val="auto"/>
          <w:sz w:val="24"/>
          <w:szCs w:val="24"/>
        </w:rPr>
        <w:t>k</w:t>
      </w:r>
      <w:r w:rsidRPr="00BF3C3C">
        <w:rPr>
          <w:rFonts w:ascii="Book Antiqua" w:eastAsia="HYSinMyeongJo-Medium" w:hAnsi="Book Antiqua" w:cs="Times New Roman"/>
          <w:color w:val="auto"/>
          <w:sz w:val="24"/>
          <w:szCs w:val="24"/>
        </w:rPr>
        <w:t xml:space="preserve"> of the completion of therapy for a prior episode. In addition, we included only up to the third episode for each patient in the analysis to minimize potential bias. </w:t>
      </w:r>
    </w:p>
    <w:p w:rsidR="000B751C" w:rsidRPr="00BF3C3C" w:rsidRDefault="000B751C" w:rsidP="000B751C">
      <w:pPr>
        <w:wordWrap/>
        <w:spacing w:line="360" w:lineRule="auto"/>
        <w:rPr>
          <w:rFonts w:ascii="Book Antiqua" w:hAnsi="Book Antiqua" w:cs="Times New Roman"/>
          <w:b/>
          <w:i/>
          <w:sz w:val="24"/>
          <w:szCs w:val="24"/>
        </w:rPr>
      </w:pPr>
      <w:r w:rsidRPr="00BF3C3C">
        <w:rPr>
          <w:rFonts w:ascii="Book Antiqua" w:hAnsi="Book Antiqua" w:cs="Times New Roman"/>
          <w:b/>
          <w:i/>
          <w:sz w:val="24"/>
          <w:szCs w:val="24"/>
        </w:rPr>
        <w:lastRenderedPageBreak/>
        <w:t>Data collection and outcome measurement</w:t>
      </w:r>
    </w:p>
    <w:p w:rsidR="000B751C" w:rsidRPr="00BF3C3C" w:rsidRDefault="000B751C" w:rsidP="000B751C">
      <w:pPr>
        <w:wordWrap/>
        <w:spacing w:line="360" w:lineRule="auto"/>
        <w:rPr>
          <w:rFonts w:ascii="Book Antiqua" w:hAnsi="Book Antiqua" w:cs="Times New Roman"/>
          <w:sz w:val="24"/>
          <w:szCs w:val="24"/>
        </w:rPr>
      </w:pPr>
      <w:r w:rsidRPr="00BF3C3C">
        <w:rPr>
          <w:rFonts w:ascii="Book Antiqua" w:hAnsi="Book Antiqua" w:cs="Times New Roman"/>
          <w:sz w:val="24"/>
          <w:szCs w:val="24"/>
        </w:rPr>
        <w:t xml:space="preserve">Medical records were reviewed by a single trained investigator. Baseline characteristics including age, sex, cause of ESRD, modality of PD, initial serum albumin level, and presence of comorbidities such as diabetes mellitus, hypertension, and diverticulosis were recorded. The presence of diverticulosis was determined by reviewing previous findings of abdomen and pelvic contrast-enhanced computed tomography or colonoscopy. Data on treatment with gastric acid suppressants, prokinetics, and immunosuppressants were also collected. Data on acid suppressive therapy with proton pump inhibitors (PPIs), histamine-2 receptor blockers (H2Bs), and other antacids were recorded separately. </w:t>
      </w:r>
      <w:r w:rsidRPr="00BF3C3C">
        <w:rPr>
          <w:rFonts w:ascii="Book Antiqua" w:eastAsia="Batang" w:hAnsi="Book Antiqua" w:cs="Times New Roman"/>
          <w:sz w:val="24"/>
          <w:szCs w:val="24"/>
        </w:rPr>
        <w:t xml:space="preserve">Ribeiro </w:t>
      </w:r>
      <w:r w:rsidRPr="00BF3C3C">
        <w:rPr>
          <w:rFonts w:ascii="Book Antiqua" w:eastAsia="Batang" w:hAnsi="Book Antiqua" w:cs="Times New Roman"/>
          <w:i/>
          <w:sz w:val="24"/>
          <w:szCs w:val="24"/>
        </w:rPr>
        <w:t>et al</w:t>
      </w:r>
      <w:r w:rsidR="00CA6867" w:rsidRPr="00BF3C3C">
        <w:rPr>
          <w:rFonts w:ascii="Book Antiqua" w:eastAsia="HYSinMyeongJo-Medium" w:hAnsi="Book Antiqua" w:cs="Times New Roman"/>
          <w:color w:val="FF0000"/>
          <w:sz w:val="24"/>
          <w:szCs w:val="24"/>
        </w:rPr>
        <w:fldChar w:fldCharType="begin"/>
      </w:r>
      <w:r w:rsidR="00CA6867" w:rsidRPr="00BF3C3C">
        <w:rPr>
          <w:rFonts w:ascii="Book Antiqua" w:eastAsia="HYSinMyeongJo-Medium" w:hAnsi="Book Antiqua" w:cs="Times New Roman"/>
          <w:color w:val="FF0000"/>
          <w:sz w:val="24"/>
          <w:szCs w:val="24"/>
        </w:rPr>
        <w:instrText xml:space="preserve"> ADDIN ZOTERO_ITEM CSL_CITATION {"citationID":"W9hxXdHv","properties":{"formattedCitation":"{\\rtf \\super [18]\\nosupersub{}}","plainCitation":"[18]"},"citationItems":[{"id":307,"uris":["http://zotero.org/users/1334241/items/U3QKDI8R"],"uri":["http://zotero.org/users/1334241/items/U3QKDI8R"],"itemData":{"id":307,"type":"article-journal","title":"Spontaneous bacterial peritonitis: How to deal with this life-threatening cirrhosis complication?","container-title":"Therapeutics and Clinical Risk Management","page":"919-925","volume":"4","issue":"5","source":"PubMed Central","abstract":"Spontaneous bacterial peritonitis (SBP) is one of the most common and life-threatening complications of cirrhosis. It occurs in 10% to 30% of patients admitted to hospital and recent studies tend to demonstrate that SBP incidence seems to be decreasing in its frequency. A bacterial overgrowth with translocation through the increased permeable small intestinal wall and impaired defense mechanisms is considered to be the main mechanism associated with its occurrence. The Gram-negative aerobic bacteria are the major responsible for SBP episodes and Gram-positive bacteria, mainly Staphylococcus aureus, are being considered an emergent agent causing SBP. The prompt diagnosis of SBP is the key factor for reduction observed in mortality rates in recent years. The clinical diagnosis of SBP is neither sensitive nor specific and the search for new practical and available tools for a rapid diagnosis of SBP is an important endpoint of current studies. Reagent strips were considered a promising and faster way of SBP diagnosis. The prompt use of empirical antibiotics, mostly cefotaxime, improves significantly the short-term prognosis of cirrhotic patients with SBP. The recurrence rate of SBP is high and antibiotic prophylaxis has been recommended in high-risk settings. Unfortunately, the long-term prognosis remains poor.","ISSN":"1176-6336","note":"PMID: 19209274\nPMCID: PMC2621420","shortTitle":"Spontaneous bacterial peritonitis","journalAbbreviation":"Ther Clin Risk Manag","author":[{"family":"Ribeiro","given":"Tarsila CR"},{"family":"Chebli","given":"Julio MF"},{"family":"Kondo","given":"Mario"},{"family":"Gaburri","given":"Pedro Duarte"},{"family":"Chebli","given":"Liliana Andrade"},{"family":"Feldner","given":"Ana Cristina Amaral"}],"issued":{"date-parts":[["2008",10]]},"accessed":{"date-parts":[["2013",12,9]]},"PMID":"19209274"}}],"schema":"https://github.com/citation-style-language/schema/raw/master/csl-citation.json"} </w:instrText>
      </w:r>
      <w:r w:rsidR="00CA6867" w:rsidRPr="00BF3C3C">
        <w:rPr>
          <w:rFonts w:ascii="Book Antiqua" w:eastAsia="HYSinMyeongJo-Medium" w:hAnsi="Book Antiqua" w:cs="Times New Roman"/>
          <w:color w:val="FF0000"/>
          <w:sz w:val="24"/>
          <w:szCs w:val="24"/>
        </w:rPr>
        <w:fldChar w:fldCharType="separate"/>
      </w:r>
      <w:r w:rsidR="00CA6867" w:rsidRPr="00BF3C3C">
        <w:rPr>
          <w:rFonts w:ascii="Book Antiqua" w:hAnsi="Book Antiqua" w:cs="Times New Roman"/>
          <w:kern w:val="0"/>
          <w:sz w:val="24"/>
          <w:szCs w:val="24"/>
          <w:vertAlign w:val="superscript"/>
        </w:rPr>
        <w:t>[18]</w:t>
      </w:r>
      <w:r w:rsidR="00CA6867" w:rsidRPr="00BF3C3C">
        <w:rPr>
          <w:rFonts w:ascii="Book Antiqua" w:eastAsia="HYSinMyeongJo-Medium" w:hAnsi="Book Antiqua" w:cs="Times New Roman"/>
          <w:color w:val="FF0000"/>
          <w:sz w:val="24"/>
          <w:szCs w:val="24"/>
        </w:rPr>
        <w:fldChar w:fldCharType="end"/>
      </w:r>
      <w:r w:rsidRPr="00BF3C3C">
        <w:rPr>
          <w:rFonts w:ascii="Book Antiqua" w:eastAsia="Batang" w:hAnsi="Book Antiqua" w:cs="Times New Roman"/>
          <w:sz w:val="24"/>
          <w:szCs w:val="24"/>
        </w:rPr>
        <w:t xml:space="preserve">reported that </w:t>
      </w:r>
      <w:r w:rsidRPr="00BF3C3C">
        <w:rPr>
          <w:rFonts w:ascii="Book Antiqua" w:eastAsia="宋体" w:hAnsi="Book Antiqua" w:cs="Times New Roman"/>
          <w:sz w:val="24"/>
          <w:szCs w:val="24"/>
          <w:lang w:eastAsia="zh-CN"/>
        </w:rPr>
        <w:t xml:space="preserve">PPI use 48 hours after </w:t>
      </w:r>
      <w:r w:rsidRPr="00BF3C3C">
        <w:rPr>
          <w:rFonts w:ascii="Book Antiqua" w:eastAsia="Batang" w:hAnsi="Book Antiqua" w:cs="Times New Roman"/>
          <w:sz w:val="24"/>
          <w:szCs w:val="24"/>
        </w:rPr>
        <w:t>the first</w:t>
      </w:r>
      <w:r w:rsidRPr="00BF3C3C">
        <w:rPr>
          <w:rFonts w:ascii="Book Antiqua" w:eastAsia="宋体" w:hAnsi="Book Antiqua" w:cs="Times New Roman"/>
          <w:sz w:val="24"/>
          <w:szCs w:val="24"/>
          <w:lang w:eastAsia="zh-CN"/>
        </w:rPr>
        <w:t xml:space="preserve"> dose increases and sustains gastric acid suppression</w:t>
      </w:r>
      <w:r w:rsidRPr="00BF3C3C">
        <w:rPr>
          <w:rFonts w:ascii="Book Antiqua" w:hAnsi="Book Antiqua" w:cs="Times New Roman"/>
          <w:sz w:val="24"/>
          <w:szCs w:val="24"/>
        </w:rPr>
        <w:t xml:space="preserve">. </w:t>
      </w:r>
      <w:r w:rsidRPr="00BF3C3C">
        <w:rPr>
          <w:rFonts w:ascii="Book Antiqua" w:eastAsia="宋体" w:hAnsi="Book Antiqua" w:cs="Times New Roman"/>
          <w:kern w:val="0"/>
          <w:sz w:val="24"/>
          <w:szCs w:val="24"/>
          <w:lang w:eastAsia="zh-CN"/>
        </w:rPr>
        <w:t>In addition, a single</w:t>
      </w:r>
      <w:r w:rsidRPr="00BF3C3C">
        <w:rPr>
          <w:rFonts w:ascii="Book Antiqua" w:hAnsi="Book Antiqua" w:cs="Times New Roman"/>
          <w:kern w:val="0"/>
          <w:sz w:val="24"/>
          <w:szCs w:val="24"/>
        </w:rPr>
        <w:t xml:space="preserve"> dose </w:t>
      </w:r>
      <w:r w:rsidRPr="00BF3C3C">
        <w:rPr>
          <w:rFonts w:ascii="Book Antiqua" w:eastAsia="宋体" w:hAnsi="Book Antiqua" w:cs="Times New Roman"/>
          <w:kern w:val="0"/>
          <w:sz w:val="24"/>
          <w:szCs w:val="24"/>
          <w:lang w:eastAsia="zh-CN"/>
        </w:rPr>
        <w:t>of PPI</w:t>
      </w:r>
      <w:r w:rsidRPr="00BF3C3C">
        <w:rPr>
          <w:rFonts w:ascii="Book Antiqua" w:hAnsi="Book Antiqua" w:cs="Times New Roman"/>
          <w:kern w:val="0"/>
          <w:sz w:val="24"/>
          <w:szCs w:val="24"/>
        </w:rPr>
        <w:t xml:space="preserve"> </w:t>
      </w:r>
      <w:r w:rsidRPr="00BF3C3C">
        <w:rPr>
          <w:rFonts w:ascii="Book Antiqua" w:eastAsia="宋体" w:hAnsi="Book Antiqua" w:cs="Times New Roman"/>
          <w:kern w:val="0"/>
          <w:sz w:val="24"/>
          <w:szCs w:val="24"/>
          <w:lang w:eastAsia="zh-CN"/>
        </w:rPr>
        <w:t xml:space="preserve">per day may cause protopathic bias. </w:t>
      </w:r>
      <w:r w:rsidRPr="00BF3C3C">
        <w:rPr>
          <w:rFonts w:ascii="Book Antiqua" w:hAnsi="Book Antiqua" w:cs="Times New Roman"/>
          <w:kern w:val="0"/>
          <w:sz w:val="24"/>
          <w:szCs w:val="24"/>
        </w:rPr>
        <w:t xml:space="preserve">Therefore, </w:t>
      </w:r>
      <w:r w:rsidRPr="00BF3C3C">
        <w:rPr>
          <w:rFonts w:ascii="Book Antiqua" w:hAnsi="Book Antiqua" w:cs="Times New Roman"/>
          <w:sz w:val="24"/>
          <w:szCs w:val="24"/>
        </w:rPr>
        <w:t xml:space="preserve">for this study, the use of acid suppressants was defined as the use of any PPIs or H2Bs for at least 2 days. Because the therapeutic doses of PPIs or H2Bs reach a steady state after daily dosing and thus achieve their maximal effective level between 5 to 7 d, the use of gastric acid suppressants was classified into four groups: use within the previous 7 days, use within the previous 30 d but not within the past 7 d, use within the previous 1 year but not within the last 30 d, and no use of acid suppressants. The appropriate indications for treatment with a gastric acid suppressant were defined as follows: gastroesophageal reflux disease (GERD), peptic ulcer disease (PUD), Barrett’s esophagus, and concomitant use of steroids or non-steroidal anti-inflammatory drugs. Prokinetic agents were assumed to be administered to patients with clinical symptoms associated with decreased gastrointestinal motility. In most of the cases, </w:t>
      </w:r>
      <w:r w:rsidRPr="00BF3C3C">
        <w:rPr>
          <w:rFonts w:ascii="Book Antiqua" w:eastAsia="HYSinMyeongJo-Medium" w:hAnsi="Book Antiqua" w:cs="Times New Roman"/>
          <w:snapToGrid w:val="0"/>
          <w:kern w:val="0"/>
          <w:sz w:val="24"/>
          <w:szCs w:val="24"/>
        </w:rPr>
        <w:t xml:space="preserve">the reasons for prescription were not described in the medical records. </w:t>
      </w:r>
      <w:r w:rsidRPr="00BF3C3C">
        <w:rPr>
          <w:rFonts w:ascii="Book Antiqua" w:hAnsi="Book Antiqua" w:cs="Times New Roman"/>
          <w:sz w:val="24"/>
          <w:szCs w:val="24"/>
        </w:rPr>
        <w:t xml:space="preserve">In group A (the peritonitis group), the use of gastric acid suppressants and other medications was determined by reviewing the electronic medical records from the most recent clinical visits 1 year prior to the first episode of peritonitis. In group B (no peritonitis group), the use of medications was determined by reviewing the records from the most recent clinical visit 1 year prior to the last outpatient visit, renal transplantation, death, or transfer date to hemodialysis or other renal </w:t>
      </w:r>
      <w:r w:rsidRPr="00BF3C3C">
        <w:rPr>
          <w:rFonts w:ascii="Book Antiqua" w:hAnsi="Book Antiqua" w:cs="Times New Roman"/>
          <w:sz w:val="24"/>
          <w:szCs w:val="24"/>
        </w:rPr>
        <w:lastRenderedPageBreak/>
        <w:t xml:space="preserve">replacement modalities. Each peritonitis episode was classified as enteric peritonitis (EP) or non-enteric peritonitis (NEP) depending on the organism isolated from the PD effluent culture. Microorganisms known to colonize the gastrointestinal tract, such as Gram-negative bacteria and </w:t>
      </w:r>
      <w:r w:rsidRPr="00BF3C3C">
        <w:rPr>
          <w:rFonts w:ascii="Book Antiqua" w:hAnsi="Book Antiqua" w:cs="Times New Roman"/>
          <w:i/>
          <w:iCs/>
          <w:sz w:val="24"/>
          <w:szCs w:val="24"/>
        </w:rPr>
        <w:t xml:space="preserve">Enterococcus </w:t>
      </w:r>
      <w:r w:rsidRPr="00BF3C3C">
        <w:rPr>
          <w:rFonts w:ascii="Book Antiqua" w:hAnsi="Book Antiqua" w:cs="Times New Roman"/>
          <w:sz w:val="24"/>
          <w:szCs w:val="24"/>
        </w:rPr>
        <w:t xml:space="preserve">and </w:t>
      </w:r>
      <w:r w:rsidRPr="00BF3C3C">
        <w:rPr>
          <w:rFonts w:ascii="Book Antiqua" w:hAnsi="Book Antiqua" w:cs="Times New Roman"/>
          <w:i/>
          <w:iCs/>
          <w:sz w:val="24"/>
          <w:szCs w:val="24"/>
        </w:rPr>
        <w:t xml:space="preserve">Candida </w:t>
      </w:r>
      <w:r w:rsidRPr="00BF3C3C">
        <w:rPr>
          <w:rFonts w:ascii="Book Antiqua" w:hAnsi="Book Antiqua" w:cs="Times New Roman"/>
          <w:iCs/>
          <w:sz w:val="24"/>
          <w:szCs w:val="24"/>
        </w:rPr>
        <w:t>species,</w:t>
      </w:r>
      <w:r w:rsidRPr="00BF3C3C">
        <w:rPr>
          <w:rFonts w:ascii="Book Antiqua" w:hAnsi="Book Antiqua" w:cs="Times New Roman"/>
          <w:sz w:val="24"/>
          <w:szCs w:val="24"/>
        </w:rPr>
        <w:t xml:space="preserve"> were the causative organisms of EP, whereas all other organisms were pathogens of NEP. For the comparison of mediations used in the EP and NEP groups, the medications used were determined from the records of the most recent clinical visits 1 year prior to the first episode of peritonitis.</w:t>
      </w:r>
    </w:p>
    <w:p w:rsidR="000B751C" w:rsidRPr="00BF3C3C" w:rsidRDefault="000B751C" w:rsidP="000B751C">
      <w:pPr>
        <w:wordWrap/>
        <w:spacing w:line="360" w:lineRule="auto"/>
        <w:rPr>
          <w:rFonts w:ascii="Book Antiqua" w:hAnsi="Book Antiqua" w:cs="Times New Roman"/>
          <w:sz w:val="24"/>
          <w:szCs w:val="24"/>
        </w:rPr>
      </w:pPr>
    </w:p>
    <w:p w:rsidR="000B751C" w:rsidRPr="00BF3C3C" w:rsidRDefault="000B751C" w:rsidP="000B751C">
      <w:pPr>
        <w:wordWrap/>
        <w:spacing w:line="360" w:lineRule="auto"/>
        <w:rPr>
          <w:rFonts w:ascii="Book Antiqua" w:eastAsiaTheme="minorHAnsi" w:hAnsi="Book Antiqua" w:cs="Times New Roman"/>
          <w:b/>
          <w:i/>
          <w:sz w:val="24"/>
          <w:szCs w:val="24"/>
        </w:rPr>
      </w:pPr>
      <w:r w:rsidRPr="00BF3C3C">
        <w:rPr>
          <w:rFonts w:ascii="Book Antiqua" w:eastAsiaTheme="minorHAnsi" w:hAnsi="Book Antiqua" w:cs="Times New Roman"/>
          <w:b/>
          <w:i/>
          <w:sz w:val="24"/>
          <w:szCs w:val="24"/>
        </w:rPr>
        <w:t>Statistical analysis</w:t>
      </w:r>
    </w:p>
    <w:p w:rsidR="000B751C" w:rsidRPr="00BF3C3C" w:rsidRDefault="000B751C" w:rsidP="000B751C">
      <w:pPr>
        <w:wordWrap/>
        <w:spacing w:line="360" w:lineRule="auto"/>
        <w:rPr>
          <w:rFonts w:ascii="Book Antiqua" w:eastAsia="宋体" w:hAnsi="Book Antiqua" w:cs="Times New Roman"/>
          <w:kern w:val="0"/>
          <w:sz w:val="24"/>
          <w:szCs w:val="24"/>
          <w:lang w:eastAsia="zh-CN"/>
        </w:rPr>
      </w:pPr>
      <w:r w:rsidRPr="00BF3C3C">
        <w:rPr>
          <w:rFonts w:ascii="Book Antiqua" w:hAnsi="Book Antiqua" w:cs="Times New Roman"/>
          <w:sz w:val="24"/>
          <w:szCs w:val="24"/>
        </w:rPr>
        <w:t xml:space="preserve">Baseline characteristics are presented as the mean ± standard deviation or median and percentage for categorical variables. Statistical analysis was performed using Student’s </w:t>
      </w:r>
      <w:r w:rsidRPr="00BF3C3C">
        <w:rPr>
          <w:rFonts w:ascii="Book Antiqua" w:hAnsi="Book Antiqua" w:cs="Times New Roman"/>
          <w:i/>
          <w:sz w:val="24"/>
          <w:szCs w:val="24"/>
        </w:rPr>
        <w:t>t</w:t>
      </w:r>
      <w:r w:rsidRPr="00BF3C3C">
        <w:rPr>
          <w:rFonts w:ascii="Book Antiqua" w:hAnsi="Book Antiqua" w:cs="Times New Roman"/>
          <w:sz w:val="24"/>
          <w:szCs w:val="24"/>
        </w:rPr>
        <w:t xml:space="preserve">-test for the comparison of numerical variables and the chi-squared test or Fisher’s exact test for the comparison of categorical variables between groups. All probability values were two-tailed, and the significance levels were set at 0.05. Multivariate logistic regression analysis was performed to assess the association of significant variables in the univariate analysis with the occurrence of peritonitis. All analyses were performed using </w:t>
      </w:r>
      <w:r w:rsidRPr="00BF3C3C">
        <w:rPr>
          <w:rFonts w:ascii="Book Antiqua" w:hAnsi="Book Antiqua" w:cs="Times New Roman"/>
          <w:kern w:val="0"/>
          <w:sz w:val="24"/>
          <w:szCs w:val="24"/>
        </w:rPr>
        <w:t xml:space="preserve">SPSS version 19.0 for Windows (IBM, New York, </w:t>
      </w:r>
      <w:r w:rsidR="00CA6867" w:rsidRPr="00BF3C3C">
        <w:rPr>
          <w:rFonts w:ascii="Book Antiqua" w:hAnsi="Book Antiqua" w:cs="Times New Roman"/>
          <w:kern w:val="0"/>
          <w:sz w:val="24"/>
          <w:szCs w:val="24"/>
        </w:rPr>
        <w:t>United States</w:t>
      </w:r>
      <w:r w:rsidRPr="00BF3C3C">
        <w:rPr>
          <w:rFonts w:ascii="Book Antiqua" w:hAnsi="Book Antiqua" w:cs="Times New Roman"/>
          <w:kern w:val="0"/>
          <w:sz w:val="24"/>
          <w:szCs w:val="24"/>
        </w:rPr>
        <w:t>).</w:t>
      </w:r>
    </w:p>
    <w:p w:rsidR="000B751C" w:rsidRPr="00BF3C3C" w:rsidRDefault="000B751C" w:rsidP="000B751C">
      <w:pPr>
        <w:wordWrap/>
        <w:spacing w:line="360" w:lineRule="auto"/>
        <w:rPr>
          <w:rFonts w:ascii="Book Antiqua" w:eastAsia="宋体" w:hAnsi="Book Antiqua" w:cs="Times New Roman"/>
          <w:sz w:val="24"/>
          <w:szCs w:val="24"/>
          <w:lang w:eastAsia="zh-CN"/>
        </w:rPr>
      </w:pPr>
    </w:p>
    <w:p w:rsidR="000B751C" w:rsidRPr="00BF3C3C" w:rsidRDefault="000B751C" w:rsidP="000B751C">
      <w:pPr>
        <w:wordWrap/>
        <w:spacing w:line="360" w:lineRule="auto"/>
        <w:rPr>
          <w:rFonts w:ascii="Book Antiqua" w:hAnsi="Book Antiqua" w:cs="Times New Roman"/>
          <w:b/>
          <w:caps/>
          <w:sz w:val="24"/>
          <w:szCs w:val="24"/>
        </w:rPr>
      </w:pPr>
      <w:r w:rsidRPr="00BF3C3C">
        <w:rPr>
          <w:rFonts w:ascii="Book Antiqua" w:hAnsi="Book Antiqua" w:cs="Times New Roman"/>
          <w:b/>
          <w:caps/>
          <w:sz w:val="24"/>
          <w:szCs w:val="24"/>
        </w:rPr>
        <w:t>Results</w:t>
      </w:r>
    </w:p>
    <w:p w:rsidR="000B751C" w:rsidRPr="00BF3C3C" w:rsidRDefault="000B751C" w:rsidP="000B751C">
      <w:pPr>
        <w:wordWrap/>
        <w:spacing w:line="360" w:lineRule="auto"/>
        <w:rPr>
          <w:rFonts w:ascii="Book Antiqua" w:hAnsi="Book Antiqua" w:cs="Times New Roman"/>
          <w:i/>
          <w:sz w:val="24"/>
          <w:szCs w:val="24"/>
        </w:rPr>
      </w:pPr>
      <w:r w:rsidRPr="00BF3C3C">
        <w:rPr>
          <w:rFonts w:ascii="Book Antiqua" w:hAnsi="Book Antiqua" w:cs="Times New Roman"/>
          <w:b/>
          <w:i/>
          <w:sz w:val="24"/>
          <w:szCs w:val="24"/>
        </w:rPr>
        <w:t>Baseline characteristics of the study patients</w:t>
      </w:r>
    </w:p>
    <w:p w:rsidR="000B751C" w:rsidRPr="00BF3C3C" w:rsidRDefault="000B751C" w:rsidP="000B751C">
      <w:pPr>
        <w:pStyle w:val="af"/>
        <w:spacing w:line="360" w:lineRule="auto"/>
        <w:rPr>
          <w:rFonts w:ascii="Book Antiqua" w:eastAsia="HYSinMyeongJo-Medium" w:hAnsi="Book Antiqua" w:cs="Times New Roman"/>
          <w:sz w:val="24"/>
          <w:szCs w:val="24"/>
        </w:rPr>
      </w:pPr>
      <w:r w:rsidRPr="00BF3C3C">
        <w:rPr>
          <w:rFonts w:ascii="Book Antiqua" w:eastAsia="HYSinMyeongJo-Medium" w:hAnsi="Book Antiqua" w:cs="Times New Roman"/>
          <w:snapToGrid w:val="0"/>
          <w:color w:val="auto"/>
          <w:sz w:val="24"/>
          <w:szCs w:val="24"/>
        </w:rPr>
        <w:t xml:space="preserve">A total of 120 patients were included in the study: </w:t>
      </w:r>
      <w:r w:rsidRPr="00BF3C3C">
        <w:rPr>
          <w:rFonts w:ascii="Book Antiqua" w:eastAsia="HYSinMyeongJo-Medium" w:hAnsi="Book Antiqua" w:cs="Times New Roman"/>
          <w:sz w:val="24"/>
          <w:szCs w:val="24"/>
        </w:rPr>
        <w:t xml:space="preserve">61 patients in group A and 59 patients in group B. Table 1 summarizes the clinical characteristics of the two groups. In both groups, the common causes of renal failure were diabetic nephropathy and glomerulonephritis (GN). The GN cases included immunoglobulin A nephropathy (6/16 in group A, 12/20 in group B), focal segment glomerular sclerosis (4/16 in group A, 3/20 in group B), lupus nephritis (1/16 in group A, 1/20 in group B), hepatitis B virus-associated GN (1/16 in group A, none in group B), and other types of GN (7/16 in group A, 4/20 in group B). The baseline concentrations of serum </w:t>
      </w:r>
      <w:r w:rsidRPr="00BF3C3C">
        <w:rPr>
          <w:rFonts w:ascii="Book Antiqua" w:eastAsia="HYSinMyeongJo-Medium" w:hAnsi="Book Antiqua" w:cs="Times New Roman"/>
          <w:sz w:val="24"/>
          <w:szCs w:val="24"/>
        </w:rPr>
        <w:lastRenderedPageBreak/>
        <w:t xml:space="preserve">albumin were 3.51 ± 0.47 mg/dL in group A and 3.60 ± 0.48 mg/dL in group B. There was no significant </w:t>
      </w:r>
      <w:r w:rsidRPr="00BF3C3C">
        <w:rPr>
          <w:rFonts w:ascii="Book Antiqua" w:eastAsia="HYSinMyeongJo-Medium" w:hAnsi="Book Antiqua" w:cs="Times New Roman"/>
          <w:color w:val="auto"/>
          <w:sz w:val="24"/>
          <w:szCs w:val="24"/>
        </w:rPr>
        <w:t xml:space="preserve">difference in baseline characteristics between the </w:t>
      </w:r>
      <w:r w:rsidRPr="00BF3C3C">
        <w:rPr>
          <w:rFonts w:ascii="Book Antiqua" w:eastAsia="HYSinMyeongJo-Medium" w:hAnsi="Book Antiqua" w:cs="Times New Roman"/>
          <w:sz w:val="24"/>
          <w:szCs w:val="24"/>
        </w:rPr>
        <w:t>two groups (</w:t>
      </w:r>
      <w:r w:rsidR="00CA6867" w:rsidRPr="00BF3C3C">
        <w:rPr>
          <w:rFonts w:ascii="Book Antiqua" w:eastAsia="HYSinMyeongJo-Medium" w:hAnsi="Book Antiqua" w:cs="Times New Roman"/>
          <w:i/>
          <w:sz w:val="24"/>
          <w:szCs w:val="24"/>
        </w:rPr>
        <w:t>P</w:t>
      </w:r>
      <w:r w:rsidRPr="00BF3C3C">
        <w:rPr>
          <w:rFonts w:ascii="Book Antiqua" w:eastAsia="HYSinMyeongJo-Medium" w:hAnsi="Book Antiqua" w:cs="Times New Roman"/>
          <w:i/>
          <w:sz w:val="24"/>
          <w:szCs w:val="24"/>
        </w:rPr>
        <w:t xml:space="preserve"> </w:t>
      </w:r>
      <w:r w:rsidRPr="00BF3C3C">
        <w:rPr>
          <w:rFonts w:ascii="Book Antiqua" w:eastAsia="HYSinMyeongJo-Medium" w:hAnsi="Book Antiqua" w:cs="Times New Roman"/>
          <w:sz w:val="24"/>
          <w:szCs w:val="24"/>
        </w:rPr>
        <w:t>= 0.336).</w:t>
      </w:r>
    </w:p>
    <w:p w:rsidR="000B751C" w:rsidRPr="00BF3C3C" w:rsidRDefault="000B751C" w:rsidP="000B751C">
      <w:pPr>
        <w:pStyle w:val="af"/>
        <w:spacing w:line="360" w:lineRule="auto"/>
        <w:rPr>
          <w:rFonts w:ascii="Book Antiqua" w:eastAsia="HYSinMyeongJo-Medium" w:hAnsi="Book Antiqua" w:cs="Times New Roman"/>
          <w:sz w:val="24"/>
          <w:szCs w:val="24"/>
        </w:rPr>
      </w:pPr>
    </w:p>
    <w:p w:rsidR="000B751C" w:rsidRPr="00BF3C3C" w:rsidRDefault="000B751C" w:rsidP="000B751C">
      <w:pPr>
        <w:wordWrap/>
        <w:spacing w:line="360" w:lineRule="auto"/>
        <w:rPr>
          <w:rFonts w:ascii="Book Antiqua" w:hAnsi="Book Antiqua" w:cs="Times New Roman"/>
          <w:b/>
          <w:i/>
          <w:sz w:val="24"/>
          <w:szCs w:val="24"/>
        </w:rPr>
      </w:pPr>
      <w:r w:rsidRPr="00BF3C3C">
        <w:rPr>
          <w:rFonts w:ascii="Book Antiqua" w:hAnsi="Book Antiqua" w:cs="Times New Roman"/>
          <w:b/>
          <w:i/>
          <w:sz w:val="24"/>
          <w:szCs w:val="24"/>
        </w:rPr>
        <w:t>Drug effects on PD-related peritonitis</w:t>
      </w:r>
    </w:p>
    <w:p w:rsidR="000B751C" w:rsidRPr="00BF3C3C" w:rsidRDefault="000B751C" w:rsidP="000B751C">
      <w:pPr>
        <w:pStyle w:val="af"/>
        <w:spacing w:line="360" w:lineRule="auto"/>
        <w:rPr>
          <w:rFonts w:ascii="Book Antiqua" w:eastAsia="HYSinMyeongJo-Medium" w:hAnsi="Book Antiqua" w:cs="Times New Roman"/>
          <w:color w:val="000000" w:themeColor="text1"/>
          <w:sz w:val="24"/>
          <w:szCs w:val="24"/>
        </w:rPr>
      </w:pPr>
      <w:r w:rsidRPr="00BF3C3C">
        <w:rPr>
          <w:rFonts w:ascii="Book Antiqua" w:eastAsia="HYSinMyeongJo-Medium" w:hAnsi="Book Antiqua" w:cs="Times New Roman"/>
          <w:sz w:val="24"/>
          <w:szCs w:val="24"/>
        </w:rPr>
        <w:t>Table 2 summarizes the results of the comparison between group A and group B patients in terms of acid suppressive therapy, prokinetics, and immunosuppressants. PPIs or H2Bs were administered</w:t>
      </w:r>
      <w:r w:rsidRPr="00BF3C3C">
        <w:rPr>
          <w:rFonts w:ascii="Book Antiqua" w:eastAsia="HYSinMyeongJo-Medium" w:hAnsi="Book Antiqua" w:cs="Times New Roman"/>
          <w:color w:val="000000" w:themeColor="text1"/>
          <w:sz w:val="24"/>
          <w:szCs w:val="24"/>
        </w:rPr>
        <w:t xml:space="preserve"> to 20 of the 61 patients (32.8%) in group A and 13 of the 59 patients (22.0%) in group B. Pantoprazole was the most frequently prescribed PPI, and famotidine was the most frequently used H2B. The reasons for prescribing PPI or H2B were not recorded in 18 of the 33 patient files (54.5%). Inappropriate indications for drug treatment included gastritis (24.2%) and nausea or vomiting (12.1%). The drugs were administered properly in 3 patients, including 1 patient with GERD (3.0%), 1 patient with PUD (3.0%), and 1 patient who concomitantly received steroids (3.0%).</w:t>
      </w:r>
    </w:p>
    <w:p w:rsidR="000B751C" w:rsidRPr="00BF3C3C" w:rsidRDefault="000B751C" w:rsidP="00CA6867">
      <w:pPr>
        <w:pStyle w:val="af"/>
        <w:spacing w:line="360" w:lineRule="auto"/>
        <w:ind w:firstLineChars="200" w:firstLine="480"/>
        <w:rPr>
          <w:rFonts w:ascii="Book Antiqua" w:eastAsia="HYSinMyeongJo-Medium" w:hAnsi="Book Antiqua" w:cs="Times New Roman"/>
          <w:color w:val="000000" w:themeColor="text1"/>
          <w:sz w:val="24"/>
          <w:szCs w:val="24"/>
        </w:rPr>
      </w:pPr>
      <w:r w:rsidRPr="00BF3C3C">
        <w:rPr>
          <w:rFonts w:ascii="Book Antiqua" w:eastAsia="HYSinMyeongJo-Medium" w:hAnsi="Book Antiqua" w:cs="Times New Roman"/>
          <w:color w:val="000000" w:themeColor="text1"/>
          <w:sz w:val="24"/>
          <w:szCs w:val="24"/>
        </w:rPr>
        <w:t>Univariate analysis showed that the use of H2Bs significantly increased the risk of PD-related peritonitis. U</w:t>
      </w:r>
      <w:r w:rsidRPr="00BF3C3C">
        <w:rPr>
          <w:rFonts w:ascii="Book Antiqua" w:eastAsia="HYSinMyeongJo-Medium" w:hAnsi="Book Antiqua" w:cs="Times New Roman"/>
          <w:snapToGrid w:val="0"/>
          <w:color w:val="000000" w:themeColor="text1"/>
          <w:sz w:val="24"/>
          <w:szCs w:val="24"/>
        </w:rPr>
        <w:t>sing linear-by-linear association analysis, a higher proportion of patients with peritonitis used H2Bs than those without peritonitis for each time interval of treatment (previous 7 d, 8–30 d prior to peritonitis, and within the last 1 year</w:t>
      </w:r>
      <w:r w:rsidR="00AD1E31">
        <w:rPr>
          <w:rFonts w:ascii="Book Antiqua" w:eastAsia="HYSinMyeongJo-Medium" w:hAnsi="Book Antiqua" w:cs="Times New Roman"/>
          <w:snapToGrid w:val="0"/>
          <w:color w:val="000000" w:themeColor="text1"/>
          <w:sz w:val="24"/>
          <w:szCs w:val="24"/>
        </w:rPr>
        <w:t xml:space="preserve"> but not in the previous 30 d</w:t>
      </w:r>
      <w:r w:rsidRPr="00BF3C3C">
        <w:rPr>
          <w:rFonts w:ascii="Book Antiqua" w:eastAsia="HYSinMyeongJo-Medium" w:hAnsi="Book Antiqua" w:cs="Times New Roman"/>
          <w:snapToGrid w:val="0"/>
          <w:color w:val="000000" w:themeColor="text1"/>
          <w:sz w:val="24"/>
          <w:szCs w:val="24"/>
        </w:rPr>
        <w:t>). No association between</w:t>
      </w:r>
      <w:r w:rsidRPr="00BF3C3C">
        <w:rPr>
          <w:rFonts w:ascii="Book Antiqua" w:eastAsia="HYSinMyeongJo-Medium" w:hAnsi="Book Antiqua" w:cs="Times New Roman"/>
          <w:color w:val="000000" w:themeColor="text1"/>
          <w:sz w:val="24"/>
          <w:szCs w:val="24"/>
        </w:rPr>
        <w:t xml:space="preserve"> PPI, other antacid, or prokinetic use and PD-related peritonitis was found. Furthermore, exposure to immunosuppressants was not associated with PD-related peritonitis. In the multivariate analysis, we found that H2B use within 1 year prior to the development of peritonitis was an independent risk factor for the increased risk of peritonitis development (</w:t>
      </w:r>
      <w:r w:rsidR="00CA6867" w:rsidRPr="00BF3C3C">
        <w:rPr>
          <w:rFonts w:ascii="Book Antiqua" w:eastAsia="宋体" w:hAnsi="Book Antiqua" w:cs="Times New Roman" w:hint="eastAsia"/>
          <w:color w:val="000000" w:themeColor="text1"/>
          <w:sz w:val="24"/>
          <w:szCs w:val="24"/>
          <w:lang w:eastAsia="zh-CN"/>
        </w:rPr>
        <w:t xml:space="preserve">OR = </w:t>
      </w:r>
      <w:r w:rsidRPr="00BF3C3C">
        <w:rPr>
          <w:rFonts w:ascii="Book Antiqua" w:eastAsia="HYSinMyeongJo-Medium" w:hAnsi="Book Antiqua" w:cs="Times New Roman"/>
          <w:color w:val="000000" w:themeColor="text1"/>
          <w:sz w:val="24"/>
          <w:szCs w:val="24"/>
        </w:rPr>
        <w:t>6.55; 95%</w:t>
      </w:r>
      <w:r w:rsidR="00CA6867" w:rsidRPr="00BF3C3C">
        <w:rPr>
          <w:rFonts w:ascii="Book Antiqua" w:eastAsia="宋体" w:hAnsi="Book Antiqua" w:cs="Times New Roman" w:hint="eastAsia"/>
          <w:color w:val="000000" w:themeColor="text1"/>
          <w:sz w:val="24"/>
          <w:szCs w:val="24"/>
          <w:lang w:eastAsia="zh-CN"/>
        </w:rPr>
        <w:t xml:space="preserve">CI: </w:t>
      </w:r>
      <w:r w:rsidRPr="00BF3C3C">
        <w:rPr>
          <w:rFonts w:ascii="Book Antiqua" w:eastAsia="HYSinMyeongJo-Medium" w:hAnsi="Book Antiqua" w:cs="Times New Roman"/>
          <w:color w:val="000000" w:themeColor="text1"/>
          <w:sz w:val="24"/>
          <w:szCs w:val="24"/>
        </w:rPr>
        <w:t xml:space="preserve">1.64–26.26; </w:t>
      </w:r>
      <w:r w:rsidR="00CA6867" w:rsidRPr="00BF3C3C">
        <w:rPr>
          <w:rFonts w:ascii="Book Antiqua" w:eastAsia="HYSinMyeongJo-Medium" w:hAnsi="Book Antiqua" w:cs="Times New Roman"/>
          <w:i/>
          <w:color w:val="000000" w:themeColor="text1"/>
          <w:sz w:val="24"/>
          <w:szCs w:val="24"/>
        </w:rPr>
        <w:t xml:space="preserve">P </w:t>
      </w:r>
      <w:r w:rsidRPr="00BF3C3C">
        <w:rPr>
          <w:rFonts w:ascii="Book Antiqua" w:eastAsia="HYSinMyeongJo-Medium" w:hAnsi="Book Antiqua" w:cs="Times New Roman"/>
          <w:color w:val="000000" w:themeColor="text1"/>
          <w:sz w:val="24"/>
          <w:szCs w:val="24"/>
        </w:rPr>
        <w:t>= 0.008) (Table 3).</w:t>
      </w:r>
    </w:p>
    <w:p w:rsidR="000B751C" w:rsidRPr="00BF3C3C" w:rsidRDefault="000B751C" w:rsidP="000B751C">
      <w:pPr>
        <w:pStyle w:val="af"/>
        <w:spacing w:line="360" w:lineRule="auto"/>
        <w:rPr>
          <w:rFonts w:ascii="Book Antiqua" w:eastAsia="HYSinMyeongJo-Medium" w:hAnsi="Book Antiqua" w:cs="Times New Roman"/>
          <w:color w:val="000000" w:themeColor="text1"/>
          <w:sz w:val="24"/>
          <w:szCs w:val="24"/>
        </w:rPr>
      </w:pPr>
    </w:p>
    <w:p w:rsidR="000B751C" w:rsidRPr="00BF3C3C" w:rsidRDefault="000B751C" w:rsidP="000B751C">
      <w:pPr>
        <w:pStyle w:val="af"/>
        <w:spacing w:line="360" w:lineRule="auto"/>
        <w:rPr>
          <w:rFonts w:ascii="Book Antiqua" w:eastAsia="HYSinMyeongJo-Medium" w:hAnsi="Book Antiqua" w:cs="Times New Roman"/>
          <w:b/>
          <w:i/>
          <w:color w:val="000000" w:themeColor="text1"/>
          <w:sz w:val="24"/>
          <w:szCs w:val="24"/>
        </w:rPr>
      </w:pPr>
      <w:r w:rsidRPr="00BF3C3C">
        <w:rPr>
          <w:rFonts w:ascii="Book Antiqua" w:eastAsia="HYSinMyeongJo-Medium" w:hAnsi="Book Antiqua" w:cs="Times New Roman"/>
          <w:b/>
          <w:i/>
          <w:color w:val="000000" w:themeColor="text1"/>
          <w:sz w:val="24"/>
          <w:szCs w:val="24"/>
        </w:rPr>
        <w:t>Drug effects on enteric peritonitis</w:t>
      </w:r>
    </w:p>
    <w:p w:rsidR="000B751C" w:rsidRPr="00BF3C3C" w:rsidRDefault="000B751C" w:rsidP="000B751C">
      <w:pPr>
        <w:pStyle w:val="af"/>
        <w:spacing w:line="360" w:lineRule="auto"/>
        <w:rPr>
          <w:rFonts w:ascii="Book Antiqua" w:eastAsia="HYSinMyeongJo-Medium" w:hAnsi="Book Antiqua" w:cs="Times New Roman"/>
          <w:sz w:val="24"/>
          <w:szCs w:val="24"/>
        </w:rPr>
      </w:pPr>
      <w:r w:rsidRPr="00BF3C3C">
        <w:rPr>
          <w:rFonts w:ascii="Book Antiqua" w:eastAsia="HYSinMyeongJo-Medium" w:hAnsi="Book Antiqua" w:cs="Times New Roman"/>
          <w:sz w:val="24"/>
          <w:szCs w:val="24"/>
        </w:rPr>
        <w:t xml:space="preserve">During the study period, 54 of the 61 patients in group A experienced a single episode of peritonitis, according to the inclusion criteria, 12 patients had two episodes, and one patient had three episodes. A total of 81 episodes were included in </w:t>
      </w:r>
      <w:r w:rsidRPr="00BF3C3C">
        <w:rPr>
          <w:rFonts w:ascii="Book Antiqua" w:eastAsia="HYSinMyeongJo-Medium" w:hAnsi="Book Antiqua" w:cs="Times New Roman"/>
          <w:sz w:val="24"/>
          <w:szCs w:val="24"/>
        </w:rPr>
        <w:lastRenderedPageBreak/>
        <w:t>the study, and all episodes were classified as EP or NEP, depending on the causative organism. Baseline characteristics did not show statistically significant differences between the groups (Table 4).</w:t>
      </w:r>
    </w:p>
    <w:p w:rsidR="000B751C" w:rsidRPr="00BF3C3C" w:rsidRDefault="000B751C" w:rsidP="00CA6867">
      <w:pPr>
        <w:pStyle w:val="af"/>
        <w:spacing w:line="360" w:lineRule="auto"/>
        <w:ind w:firstLineChars="200" w:firstLine="480"/>
        <w:rPr>
          <w:rFonts w:ascii="Book Antiqua" w:eastAsia="HYSinMyeongJo-Medium" w:hAnsi="Book Antiqua" w:cs="Times New Roman"/>
          <w:snapToGrid w:val="0"/>
          <w:color w:val="auto"/>
          <w:sz w:val="24"/>
          <w:szCs w:val="24"/>
        </w:rPr>
      </w:pPr>
      <w:r w:rsidRPr="00BF3C3C">
        <w:rPr>
          <w:rFonts w:ascii="Book Antiqua" w:eastAsia="HYSinMyeongJo-Medium" w:hAnsi="Book Antiqua" w:cs="Times New Roman"/>
          <w:sz w:val="24"/>
          <w:szCs w:val="24"/>
        </w:rPr>
        <w:t xml:space="preserve">The causative microorganisms were identified from peritoneal fluid culture in 61 of the 81 episodes. </w:t>
      </w:r>
      <w:r w:rsidRPr="00BF3C3C">
        <w:rPr>
          <w:rFonts w:ascii="Book Antiqua" w:eastAsia="HYSinMyeongJo-Medium" w:hAnsi="Book Antiqua" w:cs="Times New Roman"/>
          <w:i/>
          <w:sz w:val="24"/>
          <w:szCs w:val="24"/>
        </w:rPr>
        <w:t>Escherichia coli</w:t>
      </w:r>
      <w:r w:rsidRPr="00BF3C3C">
        <w:rPr>
          <w:rFonts w:ascii="Book Antiqua" w:eastAsia="HYSinMyeongJo-Medium" w:hAnsi="Book Antiqua" w:cs="Times New Roman"/>
          <w:sz w:val="24"/>
          <w:szCs w:val="24"/>
        </w:rPr>
        <w:t xml:space="preserve"> (9/26, 34.6%) was the most frequently isolated enteric microorganism, and </w:t>
      </w:r>
      <w:r w:rsidRPr="00BF3C3C">
        <w:rPr>
          <w:rFonts w:ascii="Book Antiqua" w:eastAsia="HYSinMyeongJo-Medium" w:hAnsi="Book Antiqua" w:cs="Times New Roman"/>
          <w:i/>
          <w:sz w:val="24"/>
          <w:szCs w:val="24"/>
        </w:rPr>
        <w:t xml:space="preserve">Streptococcus </w:t>
      </w:r>
      <w:r w:rsidRPr="00BF3C3C">
        <w:rPr>
          <w:rFonts w:ascii="Book Antiqua" w:eastAsia="HYSinMyeongJo-Medium" w:hAnsi="Book Antiqua" w:cs="Times New Roman"/>
          <w:sz w:val="24"/>
          <w:szCs w:val="24"/>
        </w:rPr>
        <w:t>species</w:t>
      </w:r>
      <w:r w:rsidRPr="00BF3C3C">
        <w:rPr>
          <w:rFonts w:ascii="Book Antiqua" w:eastAsia="HYSinMyeongJo-Medium" w:hAnsi="Book Antiqua" w:cs="Times New Roman"/>
          <w:i/>
          <w:sz w:val="24"/>
          <w:szCs w:val="24"/>
        </w:rPr>
        <w:t xml:space="preserve"> </w:t>
      </w:r>
      <w:r w:rsidRPr="00BF3C3C">
        <w:rPr>
          <w:rFonts w:ascii="Book Antiqua" w:eastAsia="HYSinMyeongJo-Medium" w:hAnsi="Book Antiqua" w:cs="Times New Roman"/>
          <w:sz w:val="24"/>
          <w:szCs w:val="24"/>
        </w:rPr>
        <w:t>(14/55, 24.5%)</w:t>
      </w:r>
      <w:r w:rsidRPr="00BF3C3C">
        <w:rPr>
          <w:rFonts w:ascii="Book Antiqua" w:eastAsia="HYSinMyeongJo-Medium" w:hAnsi="Book Antiqua" w:cs="Times New Roman"/>
          <w:i/>
          <w:sz w:val="24"/>
          <w:szCs w:val="24"/>
        </w:rPr>
        <w:t xml:space="preserve"> </w:t>
      </w:r>
      <w:r w:rsidRPr="00BF3C3C">
        <w:rPr>
          <w:rFonts w:ascii="Book Antiqua" w:eastAsia="HYSinMyeongJo-Medium" w:hAnsi="Book Antiqua" w:cs="Times New Roman"/>
          <w:sz w:val="24"/>
          <w:szCs w:val="24"/>
        </w:rPr>
        <w:t>were the most frequently identified non-enteric microorganisms. The peritoneal fluid cultures from 20 episodes were negative (Table 5).</w:t>
      </w:r>
      <w:r w:rsidRPr="00BF3C3C">
        <w:rPr>
          <w:rFonts w:ascii="Book Antiqua" w:eastAsia="HYSinMyeongJo-Medium" w:hAnsi="Book Antiqua" w:cs="Times New Roman"/>
          <w:snapToGrid w:val="0"/>
          <w:color w:val="auto"/>
          <w:sz w:val="24"/>
          <w:szCs w:val="24"/>
        </w:rPr>
        <w:t xml:space="preserve"> The effects of various medications taken within 1 year prior to peritonitis on the development of EP are summarized in Table 6. When culture-negative peritonitis was included in the NEP group, no statistically significant association was found between exposure to gastric acid suppressants and EP. In addition, the use of prokinetics and immunosuppressants did not influence</w:t>
      </w:r>
      <w:r w:rsidR="00BF3C3C">
        <w:rPr>
          <w:rFonts w:ascii="Book Antiqua" w:eastAsia="HYSinMyeongJo-Medium" w:hAnsi="Book Antiqua" w:cs="Times New Roman"/>
          <w:snapToGrid w:val="0"/>
          <w:color w:val="auto"/>
          <w:sz w:val="24"/>
          <w:szCs w:val="24"/>
        </w:rPr>
        <w:t xml:space="preserve"> the development of EP (Table 6</w:t>
      </w:r>
      <w:r w:rsidRPr="00BF3C3C">
        <w:rPr>
          <w:rFonts w:ascii="Book Antiqua" w:eastAsia="HYSinMyeongJo-Medium" w:hAnsi="Book Antiqua" w:cs="Times New Roman"/>
          <w:snapToGrid w:val="0"/>
          <w:color w:val="auto"/>
          <w:sz w:val="24"/>
          <w:szCs w:val="24"/>
        </w:rPr>
        <w:t>). When culture-negative peritonitis was excluded from the NEP group, the overall results were similar to those of the NEP group that included culture-negative peritonitis. The use of PPIs, H2Bs, other antacids, prokinetics, and immunosuppressants did not increase the risk of developme</w:t>
      </w:r>
      <w:r w:rsidR="00BF3C3C">
        <w:rPr>
          <w:rFonts w:ascii="Book Antiqua" w:eastAsia="HYSinMyeongJo-Medium" w:hAnsi="Book Antiqua" w:cs="Times New Roman"/>
          <w:snapToGrid w:val="0"/>
          <w:color w:val="auto"/>
          <w:sz w:val="24"/>
          <w:szCs w:val="24"/>
        </w:rPr>
        <w:t>nt of EP (Table 6</w:t>
      </w:r>
      <w:r w:rsidRPr="00BF3C3C">
        <w:rPr>
          <w:rFonts w:ascii="Book Antiqua" w:eastAsia="HYSinMyeongJo-Medium" w:hAnsi="Book Antiqua" w:cs="Times New Roman"/>
          <w:snapToGrid w:val="0"/>
          <w:color w:val="auto"/>
          <w:sz w:val="24"/>
          <w:szCs w:val="24"/>
        </w:rPr>
        <w:t>).</w:t>
      </w:r>
    </w:p>
    <w:p w:rsidR="00CA6867" w:rsidRPr="00BF3C3C" w:rsidRDefault="00CA6867" w:rsidP="00CA6867">
      <w:pPr>
        <w:widowControl/>
        <w:wordWrap/>
        <w:autoSpaceDE/>
        <w:autoSpaceDN/>
        <w:spacing w:line="360" w:lineRule="auto"/>
        <w:rPr>
          <w:rFonts w:ascii="Book Antiqua" w:eastAsia="宋体" w:hAnsi="Book Antiqua" w:cs="Times New Roman"/>
          <w:b/>
          <w:sz w:val="24"/>
          <w:szCs w:val="24"/>
          <w:lang w:eastAsia="zh-CN"/>
        </w:rPr>
      </w:pPr>
    </w:p>
    <w:p w:rsidR="000B751C" w:rsidRPr="00BF3C3C" w:rsidRDefault="000B751C" w:rsidP="00CA6867">
      <w:pPr>
        <w:widowControl/>
        <w:wordWrap/>
        <w:autoSpaceDE/>
        <w:autoSpaceDN/>
        <w:spacing w:line="360" w:lineRule="auto"/>
        <w:rPr>
          <w:rFonts w:ascii="Book Antiqua" w:hAnsi="Book Antiqua" w:cs="Times New Roman"/>
          <w:b/>
          <w:sz w:val="24"/>
          <w:szCs w:val="24"/>
        </w:rPr>
      </w:pPr>
      <w:r w:rsidRPr="00BF3C3C">
        <w:rPr>
          <w:rFonts w:ascii="Book Antiqua" w:hAnsi="Book Antiqua" w:cs="Times New Roman"/>
          <w:b/>
          <w:caps/>
          <w:sz w:val="24"/>
          <w:szCs w:val="24"/>
        </w:rPr>
        <w:t>Discussion</w:t>
      </w:r>
    </w:p>
    <w:p w:rsidR="000B751C" w:rsidRPr="00BF3C3C" w:rsidRDefault="000B751C" w:rsidP="000B751C">
      <w:pPr>
        <w:widowControl/>
        <w:wordWrap/>
        <w:autoSpaceDE/>
        <w:autoSpaceDN/>
        <w:snapToGrid w:val="0"/>
        <w:spacing w:line="360" w:lineRule="auto"/>
        <w:rPr>
          <w:rFonts w:ascii="Book Antiqua" w:eastAsia="HYSinMyeongJo-Medium" w:hAnsi="Book Antiqua" w:cs="Times New Roman"/>
          <w:snapToGrid w:val="0"/>
          <w:kern w:val="0"/>
          <w:sz w:val="24"/>
          <w:szCs w:val="24"/>
        </w:rPr>
      </w:pPr>
      <w:r w:rsidRPr="00BF3C3C">
        <w:rPr>
          <w:rFonts w:ascii="Book Antiqua" w:eastAsia="HYSinMyeongJo-Medium" w:hAnsi="Book Antiqua" w:cs="Times New Roman"/>
          <w:snapToGrid w:val="0"/>
          <w:kern w:val="0"/>
          <w:sz w:val="24"/>
          <w:szCs w:val="24"/>
        </w:rPr>
        <w:t>Bacterial overgrowth and proliferation in an intraluminal environment with a high pH is a well-recognized mechanism for the development of periton</w:t>
      </w:r>
      <w:r w:rsidR="00CA6867" w:rsidRPr="00BF3C3C">
        <w:rPr>
          <w:rFonts w:ascii="Book Antiqua" w:eastAsia="HYSinMyeongJo-Medium" w:hAnsi="Book Antiqua" w:cs="Times New Roman"/>
          <w:snapToGrid w:val="0"/>
          <w:kern w:val="0"/>
          <w:sz w:val="24"/>
          <w:szCs w:val="24"/>
        </w:rPr>
        <w:t>itis, especially in LC patients</w:t>
      </w:r>
      <w:r w:rsidR="0078479C" w:rsidRPr="00BF3C3C">
        <w:rPr>
          <w:rFonts w:ascii="Book Antiqua" w:eastAsia="HYSinMyeongJo-Medium" w:hAnsi="Book Antiqua" w:cs="Times New Roman"/>
          <w:snapToGrid w:val="0"/>
          <w:color w:val="FF0000"/>
          <w:kern w:val="0"/>
          <w:sz w:val="24"/>
          <w:szCs w:val="24"/>
        </w:rPr>
        <w:fldChar w:fldCharType="begin"/>
      </w:r>
      <w:r w:rsidRPr="00BF3C3C">
        <w:rPr>
          <w:rFonts w:ascii="Book Antiqua" w:eastAsia="HYSinMyeongJo-Medium" w:hAnsi="Book Antiqua" w:cs="Times New Roman"/>
          <w:snapToGrid w:val="0"/>
          <w:color w:val="FF0000"/>
          <w:kern w:val="0"/>
          <w:sz w:val="24"/>
          <w:szCs w:val="24"/>
        </w:rPr>
        <w:instrText xml:space="preserve"> ADDIN ZOTERO_ITEM CSL_CITATION {"citationID":"19cmdbvk75","properties":{"formattedCitation":"{\\rtf \\super [6,7,10,13]\\nosupersub{}}","plainCitation":"[6,7,10,13]"},"citationItems":[{"id":221,"uris":["http://zotero.org/users/1334241/items/WMCGU9JV"],"uri":["http://zotero.org/users/1334241/items/WMCGU9JV"],"itemData":{"id":221,"type":"article-journal","title":"Altered bowel function and duodenal bacterial overgrowth in patients treated with omeprazole","container-title":"Alimentary pharmacology &amp; therapeutics","page":"557-561","volume":"10","issue":"4","source":"NCBI PubMed","abstract":"BACKGROUND: The dramatic inhibitory effect of proton pump inhibitors on acid secretion has raised concern about possible side-effects, such as small bowel bacterial overgrowth, which may result in further gut dysfunction. The aim of this study was to assess the effect of proton pump inhibitors on duodenal bacteriology, carbohydrate absorption and bowel habit.\nMETHODS: Small bowel bacterial overgrowth and xylose absorption were measured by culture of aspirated duodenal fluid and a combined 1 g 14C-D-xylose absorption-metabolism test in 20 patients with peptic ulcer disease. Tests were repeated after 4 weeks of treatment with omeprazole 20 mg daily. Intestinal transit was assessed by recording interdefecatory intervals and stool form.\nRESULTS: All patients showed an increase in duodenal bacterial counts following treatment, geometric mean counts increasing from 330 to 95000 CFU/mL. The geometric mean of the difference was 290 CFU/mL (95% CI, 110-720 CFU/mL; P &lt; 0.0001). No changes were noted in the xylose absorption or metabolism tests. Mean interdefecatory intervals decreased by 32% from 31.7 to 21.6 h, the mean difference being 10.1 h (95% CI, 1.6-18.5 h: P = 0.01). The mean stool form index increased from 2.95 to 4.70, mean difference 1.75 (95% CI, 1.10-2.40: P &lt; 0.0001), with four patients reporting diarrhoea.\nCONCLUSION: The results indicate that conventional treatment for duodenal ulcers with a proton pump inhibitor significantly increases bacterial colonization of the duodenum and the speed of intestinal transit.","ISSN":"0269-2813","note":"PMID: 8853759","journalAbbreviation":"Aliment. Pharmacol. Ther.","language":"eng","author":[{"family":"Lewis","given":"S J"},{"family":"Franco","given":"S"},{"family":"Young","given":"G"},{"family":"O'Keefe","given":"S J"}],"issued":{"date-parts":[["1996",8]]},"PMID":"8853759"},"label":"page"},{"id":225,"uris":["http://zotero.org/users/1334241/items/AN5KUF89"],"uri":["http://zotero.org/users/1334241/items/AN5KUF89"],"itemData":{"id":225,"type":"article-journal","title":"Bacterial overgrowth during treatment with omeprazole compared with cimetidine: a prospective randomised double blind study","container-title":"Gut","page":"54-59","volume":"39","issue":"1","source":"NCBI PubMed","abstract":"BACKGROUND: Gastric and duodenal bacterial overgrowth frequently occurs in conditions where diminished acid secretion is present. Omeprazole inhibits acid secretion more effectively than cimetidine and might therefore more frequently cause bacterial overgrowth.\nAIM: This controlled prospective study compared the incidence of gastric and duodenal bacterial overgrowth in patients treated with omeprazole or cimetidine.\nMETHODS: 47 outpatients with peptic disease were randomly assigned to a four week treatment regimen with omeprazole 20 mg or cimetidine 800 mg daily. Gastric and duodenal juice were obtained during upper gastrointestinal endoscopy and plated for anaerobic and aerobic organisms.\nRESULTS: Bacterial overgrowth (&gt; or = 10(5) cfu/ml) was present in 53% of the patients receiving omeprazole and in 17% receiving cimetidine (p &lt; 0.05). The mean (SEM) number of gastric and duodenal bacterial counts was 6.0 (0.2) and 5.0 (0.2) respectively in the omeprazole group and 4.0 (0.2) and 4.0 (0.1) in the cimetidine group (p &lt; 0.001 and &lt; 0.01; respectively). Faecal type bacteria were found in 30% of the patients with bacterial overgrowth. Basal gastric pH was higher in patients treated with omeprazole compared with cimetidine (4.2 (0.5) versus 2.0 (0.2); p &lt; 0.001) and in patients with bacterial overgrowth compared with those without bacterial overgrowth (5.1 (0.6) versus 2.0 (0.1); p &lt; 0.0001). The nitrate, nitrite, and nitrosamine values in gastric juice did not increase after treatment with either cimetidine or omeprazole. Serum concentrations of vitamin B12, beta carotene, and albumin were similar before and after treatment with both drugs.\nCONCLUSIONS: These results show that the incidence of gastric and duodenal bacterial overgrowth is considerably higher in patients treated with omeprazole compared with cimetidine. This can be explained by more pronounced inhibition of gastric acid secretion. No patient developed signs of malabsorption or an increase of N-nitroso compounds. The clinical significance of these findings needs to be assessed in studies with long-term treatment with omeprazole, in particular in patients belonging to high risk groups such as HIV infected and intensive care units patients.","ISSN":"0017-5749","note":"PMID: 8881809","shortTitle":"Bacterial overgrowth during treatment with omeprazole compared with cimetidine","journalAbbreviation":"Gut","language":"eng","author":[{"family":"Thorens","given":"J"},{"family":"Froehlich","given":"F"},{"family":"Schwizer","given":"W"},{"family":"Saraga","given":"E"},{"family":"Bille","given":"J"},{"family":"Gyr","given":"K"},{"family":"Duroux","given":"P"},{"family":"Nicolet","given":"M"},{"family":"Pignatelli","given":"B"},{"family":"Blum","given":"A L"},{"family":"Gonvers","given":"J J"},{"family":"Fried","given":"M"}],"issued":{"date-parts":[["1996",7]]},"PMID":"8881809"},"label":"page"},{"id":243,"uris":["http://zotero.org/users/1334241/items/R4RVUFPX"],"uri":["http://zotero.org/users/1334241/items/R4RVUFPX"],"itemData":{"id":243,"type":"article-journal","title":"Bacterial translocation in acute and chronic portal hypertension","container-title":"Hepatology (Baltimore, Md.)","page":"1081-1085","volume":"17","issue":"6","source":"NCBI PubMed","abstract":"Patients with cirrhosis are predisposed to develop spontaneous bacteremias and peritonitis, mainly by enteric bacteria. Portal hypertension, by producing congestion and edema of the bowel wall, could increase the passage of bacteria from the intestinal lumen to regional lymph nodes to the systemic circulation or to both, a process termed bacterial translocation. The aim of this study was to investigate bacterial translocation at two stages of experimental portal hypertension: (a) acute (when shunting is minimal); and (b) chronic (when shunting is extensive and mimics the portal hypertension of cirrhosis). Rats were killed 2 days (acute) or 15 days (chronic) after partial portal vein ligation or control surgeries. Samples of mesenteric lymph nodes, blood, liver and spleen for standard bacteriological cultures and a fragment of ileum for histological examination were obtained. Two days after surgery, a significantly greater proportion of rats with acute portal hypertension (12 of 13 or 92%) had positive mesenteric lymph node cultures compared with both control groups: sham-operated (4 of 13 or 31%) and inferior vena cava-ligated (3 of 10 or 33%) animals (p &lt; 0.01). However, 15 days after surgery no differences in translocation to mesenteric lymph nodes were found between rats with chronic portal hypertension (3 of 15 or 20%) and sham-operated controls (3 of 11 or 27%). In neither the acute nor the chronic rats were bacteria isolated from blood, spleen or liver. Rats with acute portal hypertension had significantly greater mesenteric inflammation than rats with chronic portal hypertension and control animals.(ABSTRACT TRUNCATED AT 250 WORDS)","ISSN":"0270-9139","note":"PMID: 8514258","journalAbbreviation":"Hepatology","language":"eng","author":[{"family":"Garcia-Tsao","given":"G"},{"family":"Albillos","given":"A"},{"family":"Barden","given":"G E"},{"family":"West","given":"A B"}],"issued":{"date-parts":[["1993",6]]},"PMID":"8514258"},"label":"page"},{"id":233,"uris":["http://zotero.org/users/1334241/items/2ATN4GJW"],"uri":["http://zotero.org/users/1334241/items/2ATN4GJW"],"itemData":{"id":233,"type":"article-journal","title":"Diverticular disease and treatment with gastric acid inhibitors do not predispose to peritonitis of enteric origin in peritoneal dialysis patients","container-title":"Peritoneal dialysis international: journal of the International Society for Peritoneal Dialysis","page":"360-364","volume":"21","issue":"4","source":"NCBI PubMed","abstract":"OBJECTIVE: Enteric peritonitis (EP) is an infrequent complication of peritoneal dialysis (PD), with severe consequences for peritoneal membrane viability and patient outcome. Factors such as diverticular disease and gastric acid inhibitors have been implicated in its appearance. We investigated several risk factors, including those mentioned below, that can influence the development of EP.\nDESIGN: Retrospective cross-sectional study.\nSETTING: Tertiary-care public university hospital.\nPATIENTS: Fifty-seven PD patients treated in our PD unit during August 1998.\nMAIN OUTCOME MEASURES: A barium enema was performed on 50 of the 57 patients (the remaining 7 patients refused it) in order to exclude the presence of diverticulosis. All episodes of peritonitis occurring in those patients, including EP, were registered. Enteric peritonitis was defined as that caused by gram-positive, gram-negative, or fungus micro-organisms that colonized the intestinal tract, excluding episodes secondary to genitourinary tract or peritoneal catheter exit-site infections.\nRESULTS: Twenty-four patients showed diverticular disease in the barium enema, but only 5 of them (21%) had any EP episode. Five of the 26 patients with no diverticula (19%) had EP. Fifty-five episodes of peritonitis were reported in 21 patients; 15 episodes of EP (27.3% of all) developed in 11 patients. Seven of the 11 patients (64%) required peritoneal catheter removal and 3 of them (27%) finally were transferred to hemodialysis due to consequences of the EP episode. Logistic regression analysis did not find any of the independent variables analyzed (age, sex, time on PD, type of PD, peritoneal transport parameters, presence of polycystic kidney disease, constipation or diverticulosis, or treatment with gastric acid inhibitors, or phosphate-binding agents) to be risk factors for developing EP.\nCONCLUSIONS: Neither diverticulosis nor treatment with gastric acid inhibitors seem to be risk factors for developing peritonitis of enteric origin in PD patients. This type of peritonitis has to be promptly identified and treated in order to diminish the high frequency of peritoneal catheter removal and PD dropout due to such episodes.","ISSN":"0896-8608","note":"PMID: 11587398","journalAbbreviation":"Perit Dial Int","language":"eng","author":[{"family":"del Peso","given":"G"},{"family":"Bajo","given":"M A"},{"family":"Gadola","given":"L"},{"family":"Millán","given":"I"},{"family":"Codoceo","given":"R"},{"family":"Celadilla","given":"O"},{"family":"Castro","given":"M J"},{"family":"Aguilera","given":"A"},{"family":"Gil","given":"F"},{"family":"Selgas","given":"R"}],"issued":{"date-parts":[["2001",8]]},"PMID":"11587398"},"label":"page"}],"schema":"https://github.com/citation-style-language/schema/raw/master/csl-citation.json"} </w:instrText>
      </w:r>
      <w:r w:rsidR="0078479C" w:rsidRPr="00BF3C3C">
        <w:rPr>
          <w:rFonts w:ascii="Book Antiqua" w:eastAsia="HYSinMyeongJo-Medium" w:hAnsi="Book Antiqua" w:cs="Times New Roman"/>
          <w:snapToGrid w:val="0"/>
          <w:color w:val="FF0000"/>
          <w:kern w:val="0"/>
          <w:sz w:val="24"/>
          <w:szCs w:val="24"/>
        </w:rPr>
        <w:fldChar w:fldCharType="separate"/>
      </w:r>
      <w:r w:rsidRPr="00BF3C3C">
        <w:rPr>
          <w:rFonts w:ascii="Book Antiqua" w:hAnsi="Book Antiqua" w:cs="Times New Roman"/>
          <w:kern w:val="0"/>
          <w:sz w:val="24"/>
          <w:szCs w:val="24"/>
          <w:vertAlign w:val="superscript"/>
        </w:rPr>
        <w:t>[6,7,10,13]</w:t>
      </w:r>
      <w:r w:rsidR="0078479C" w:rsidRPr="00BF3C3C">
        <w:rPr>
          <w:rFonts w:ascii="Book Antiqua" w:eastAsia="HYSinMyeongJo-Medium" w:hAnsi="Book Antiqua" w:cs="Times New Roman"/>
          <w:snapToGrid w:val="0"/>
          <w:color w:val="FF0000"/>
          <w:kern w:val="0"/>
          <w:sz w:val="24"/>
          <w:szCs w:val="24"/>
        </w:rPr>
        <w:fldChar w:fldCharType="end"/>
      </w:r>
      <w:r w:rsidR="00CA6867" w:rsidRPr="00BF3C3C">
        <w:rPr>
          <w:rFonts w:ascii="Book Antiqua" w:eastAsia="宋体" w:hAnsi="Book Antiqua" w:cs="Times New Roman" w:hint="eastAsia"/>
          <w:snapToGrid w:val="0"/>
          <w:color w:val="FF0000"/>
          <w:kern w:val="0"/>
          <w:sz w:val="24"/>
          <w:szCs w:val="24"/>
          <w:lang w:eastAsia="zh-CN"/>
        </w:rPr>
        <w:t>.</w:t>
      </w:r>
      <w:r w:rsidRPr="00BF3C3C">
        <w:rPr>
          <w:rFonts w:ascii="Book Antiqua" w:eastAsia="HYSinMyeongJo-Medium" w:hAnsi="Book Antiqua" w:cs="Times New Roman"/>
          <w:snapToGrid w:val="0"/>
          <w:kern w:val="0"/>
          <w:sz w:val="24"/>
          <w:szCs w:val="24"/>
        </w:rPr>
        <w:t xml:space="preserve"> Several studies have investigated whether this mechanism causes PD-related peritonitis, especially enteric pathogen infections, although conflicting results have been obtained for the association between acid suppressive therapy and PD-related peritonitis. Caravaca </w:t>
      </w:r>
      <w:r w:rsidRPr="00BF3C3C">
        <w:rPr>
          <w:rFonts w:ascii="Book Antiqua" w:eastAsia="HYSinMyeongJo-Medium" w:hAnsi="Book Antiqua" w:cs="Times New Roman"/>
          <w:i/>
          <w:iCs/>
          <w:snapToGrid w:val="0"/>
          <w:kern w:val="0"/>
          <w:sz w:val="24"/>
          <w:szCs w:val="24"/>
        </w:rPr>
        <w:t>et al</w:t>
      </w:r>
      <w:r w:rsidR="00CA6867" w:rsidRPr="00BF3C3C">
        <w:rPr>
          <w:rFonts w:ascii="Book Antiqua" w:eastAsia="HYSinMyeongJo-Medium" w:hAnsi="Book Antiqua" w:cs="Times New Roman"/>
          <w:snapToGrid w:val="0"/>
          <w:kern w:val="0"/>
          <w:sz w:val="24"/>
          <w:szCs w:val="24"/>
        </w:rPr>
        <w:fldChar w:fldCharType="begin"/>
      </w:r>
      <w:r w:rsidR="00CA6867" w:rsidRPr="00BF3C3C">
        <w:rPr>
          <w:rFonts w:ascii="Book Antiqua" w:eastAsia="HYSinMyeongJo-Medium" w:hAnsi="Book Antiqua" w:cs="Times New Roman"/>
          <w:snapToGrid w:val="0"/>
          <w:kern w:val="0"/>
          <w:sz w:val="24"/>
          <w:szCs w:val="24"/>
        </w:rPr>
        <w:instrText xml:space="preserve"> ADDIN ZOTERO_ITEM CSL_CITATION {"citationID":"DQtATChi","properties":{"formattedCitation":"{\\rtf \\super [10]\\nosupersub{}}","plainCitation":"[10]"},"citationItems":[{"id":233,"uris":["http://zotero.org/users/1334241/items/2ATN4GJW"],"uri":["http://zotero.org/users/1334241/items/2ATN4GJW"],"itemData":{"id":233,"type":"article-journal","title":"Diverticular disease and treatment with gastric acid inhibitors do not predispose to peritonitis of enteric origin in peritoneal dialysis patients","container-title":"Peritoneal dialysis international: journal of the International Society for Peritoneal Dialysis","page":"360-364","volume":"21","issue":"4","source":"NCBI PubMed","abstract":"OBJECTIVE: Enteric peritonitis (EP) is an infrequent complication of peritoneal dialysis (PD), with severe consequences for peritoneal membrane viability and patient outcome. Factors such as diverticular disease and gastric acid inhibitors have been implicated in its appearance. We investigated several risk factors, including those mentioned below, that can influence the development of EP.\nDESIGN: Retrospective cross-sectional study.\nSETTING: Tertiary-care public university hospital.\nPATIENTS: Fifty-seven PD patients treated in our PD unit during August 1998.\nMAIN OUTCOME MEASURES: A barium enema was performed on 50 of the 57 patients (the remaining 7 patients refused it) in order to exclude the presence of diverticulosis. All episodes of peritonitis occurring in those patients, including EP, were registered. Enteric peritonitis was defined as that caused by gram-positive, gram-negative, or fungus micro-organisms that colonized the intestinal tract, excluding episodes secondary to genitourinary tract or peritoneal catheter exit-site infections.\nRESULTS: Twenty-four patients showed diverticular disease in the barium enema, but only 5 of them (21%) had any EP episode. Five of the 26 patients with no diverticula (19%) had EP. Fifty-five episodes of peritonitis were reported in 21 patients; 15 episodes of EP (27.3% of all) developed in 11 patients. Seven of the 11 patients (64%) required peritoneal catheter removal and 3 of them (27%) finally were transferred to hemodialysis due to consequences of the EP episode. Logistic regression analysis did not find any of the independent variables analyzed (age, sex, time on PD, type of PD, peritoneal transport parameters, presence of polycystic kidney disease, constipation or diverticulosis, or treatment with gastric acid inhibitors, or phosphate-binding agents) to be risk factors for developing EP.\nCONCLUSIONS: Neither diverticulosis nor treatment with gastric acid inhibitors seem to be risk factors for developing peritonitis of enteric origin in PD patients. This type of peritonitis has to be promptly identified and treated in order to diminish the high frequency of peritoneal catheter removal and PD dropout due to such episodes.","ISSN":"0896-8608","note":"PMID: 11587398","journalAbbreviation":"Perit Dial Int","language":"eng","author":[{"family":"del Peso","given":"G"},{"family":"Bajo","given":"M A"},{"family":"Gadola","given":"L"},{"family":"Millán","given":"I"},{"family":"Codoceo","given":"R"},{"family":"Celadilla","given":"O"},{"family":"Castro","given":"M J"},{"family":"Aguilera","given":"A"},{"family":"Gil","given":"F"},{"family":"Selgas","given":"R"}],"issued":{"date-parts":[["2001",8]]},"PMID":"11587398"}}],"schema":"https://github.com/citation-style-language/schema/raw/master/csl-citation.json"} </w:instrText>
      </w:r>
      <w:r w:rsidR="00CA6867" w:rsidRPr="00BF3C3C">
        <w:rPr>
          <w:rFonts w:ascii="Book Antiqua" w:eastAsia="HYSinMyeongJo-Medium" w:hAnsi="Book Antiqua" w:cs="Times New Roman"/>
          <w:snapToGrid w:val="0"/>
          <w:kern w:val="0"/>
          <w:sz w:val="24"/>
          <w:szCs w:val="24"/>
        </w:rPr>
        <w:fldChar w:fldCharType="separate"/>
      </w:r>
      <w:r w:rsidR="00CA6867" w:rsidRPr="00BF3C3C">
        <w:rPr>
          <w:rFonts w:ascii="Book Antiqua" w:hAnsi="Book Antiqua" w:cs="Times New Roman"/>
          <w:kern w:val="0"/>
          <w:sz w:val="24"/>
          <w:szCs w:val="24"/>
          <w:vertAlign w:val="superscript"/>
        </w:rPr>
        <w:t>[10]</w:t>
      </w:r>
      <w:r w:rsidR="00CA6867" w:rsidRPr="00BF3C3C">
        <w:rPr>
          <w:rFonts w:ascii="Book Antiqua" w:eastAsia="HYSinMyeongJo-Medium" w:hAnsi="Book Antiqua" w:cs="Times New Roman"/>
          <w:snapToGrid w:val="0"/>
          <w:kern w:val="0"/>
          <w:sz w:val="24"/>
          <w:szCs w:val="24"/>
        </w:rPr>
        <w:fldChar w:fldCharType="end"/>
      </w:r>
      <w:r w:rsidRPr="00BF3C3C">
        <w:rPr>
          <w:rFonts w:ascii="Book Antiqua" w:eastAsia="HYSinMyeongJo-Medium" w:hAnsi="Book Antiqua" w:cs="Times New Roman"/>
          <w:snapToGrid w:val="0"/>
          <w:kern w:val="0"/>
          <w:sz w:val="24"/>
          <w:szCs w:val="24"/>
        </w:rPr>
        <w:t xml:space="preserve">reported that gastric acid suppressive therapy was an independent risk factor for EP, and Nessim </w:t>
      </w:r>
      <w:r w:rsidRPr="00BF3C3C">
        <w:rPr>
          <w:rFonts w:ascii="Book Antiqua" w:eastAsia="HYSinMyeongJo-Medium" w:hAnsi="Book Antiqua" w:cs="Times New Roman"/>
          <w:i/>
          <w:iCs/>
          <w:snapToGrid w:val="0"/>
          <w:kern w:val="0"/>
          <w:sz w:val="24"/>
          <w:szCs w:val="24"/>
        </w:rPr>
        <w:t>et al</w:t>
      </w:r>
      <w:r w:rsidR="00CA6867" w:rsidRPr="00BF3C3C">
        <w:rPr>
          <w:rFonts w:ascii="Book Antiqua" w:eastAsia="HYSinMyeongJo-Medium" w:hAnsi="Book Antiqua" w:cs="Times New Roman"/>
          <w:snapToGrid w:val="0"/>
          <w:color w:val="FF0000"/>
          <w:kern w:val="0"/>
          <w:sz w:val="24"/>
          <w:szCs w:val="24"/>
        </w:rPr>
        <w:fldChar w:fldCharType="begin"/>
      </w:r>
      <w:r w:rsidR="00CA6867" w:rsidRPr="00BF3C3C">
        <w:rPr>
          <w:rFonts w:ascii="Book Antiqua" w:eastAsia="HYSinMyeongJo-Medium" w:hAnsi="Book Antiqua" w:cs="Times New Roman"/>
          <w:snapToGrid w:val="0"/>
          <w:color w:val="FF0000"/>
          <w:kern w:val="0"/>
          <w:sz w:val="24"/>
          <w:szCs w:val="24"/>
        </w:rPr>
        <w:instrText xml:space="preserve"> ADDIN ZOTERO_ITEM CSL_CITATION {"citationID":"LOuXSy2k","properties":{"formattedCitation":"{\\rtf \\super [11]\\nosupersub{}}","plainCitation":"[11]"},"citationItems":[{"id":229,"uris":["http://zotero.org/users/1334241/items/RH89K4J4"],"uri":["http://zotero.org/users/1334241/items/RH89K4J4"],"itemData":{"id":229,"type":"article-journal","title":"Gastric acid suppression and the risk of enteric peritonitis in peritoneal dialysis patients","container-title":"Peritoneal dialysis international: journal of the International Society for Peritoneal Dialysis","page":"246-251; discussion 236-237","volume":"28","issue":"3","source":"NCBI PubMed","abstract":"OBJECTIVE: Peritonitis caused by enteric organisms in peritoneal dialysis (PD) patients is associated with greater morbidity and mortality than peritonitis with non-enteric organisms. One reported risk factor for enteric peritonitis (EP) is gastric acid suppression, with two small studies providing conflicting results. The objective of this study was to determine, using a larger patient population, whether gastric acid suppressants are associated with an increased risk of EP. Patients and\nMETHODS: Using a single-center case-control design, information on episodes of EP occurring between 2003 and 2006 was collected. Control episodes were all non-enteric episodes of peritonitis that occurred during the same time interval. Proton pump inhibitor (PPI) or H(2)-blocker (H(2)B) use prior to development of peritonitis was documented.\nRESULTS: A total of 228 peritonitis episodes among 137 patients met inclusion criteria. In 32% of episodes, the causative organism was enteric. Gastric acid suppressant use was documented in 46% of episodes, with the majority on PPIs. Overall, gastric acid suppression was not associated with a higher EP risk (p = 0.17). In a post hoc analysis, PPIs were not associated with EP [odds ratio (OR) 1.3, 95% confidence interval (CI) 0.7-2.4; p = 0.42], whereas H(2)Bs were associated with a higher risk of EP (OR 2.9, 95% CI 1.1-7.7; p = 0.04), although the number of patients on H(2)Bs was small.\nCONCLUSION: Overall, gastric acid suppression was not associated with an increased risk of peritonitis with enteric organisms. While PPI use appears to be safe for PD patients with appropriate indications, the potential risk of EP with H(2)Bs requires further investigation.","ISSN":"0896-8608","note":"PMID: 18474916","journalAbbreviation":"Perit Dial Int","language":"eng","author":[{"family":"Nessim","given":"Sharon J"},{"family":"Tomlinson","given":"George"},{"family":"Bargman","given":"Joanne M"},{"family":"Jassal","given":"Sarbjit Vanita"}],"issued":{"date-parts":[["2008",6]]},"PMID":"18474916"}}],"schema":"https://github.com/citation-style-language/schema/raw/master/csl-citation.json"} </w:instrText>
      </w:r>
      <w:r w:rsidR="00CA6867" w:rsidRPr="00BF3C3C">
        <w:rPr>
          <w:rFonts w:ascii="Book Antiqua" w:eastAsia="HYSinMyeongJo-Medium" w:hAnsi="Book Antiqua" w:cs="Times New Roman"/>
          <w:snapToGrid w:val="0"/>
          <w:color w:val="FF0000"/>
          <w:kern w:val="0"/>
          <w:sz w:val="24"/>
          <w:szCs w:val="24"/>
        </w:rPr>
        <w:fldChar w:fldCharType="separate"/>
      </w:r>
      <w:r w:rsidR="00CA6867" w:rsidRPr="00BF3C3C">
        <w:rPr>
          <w:rFonts w:ascii="Book Antiqua" w:hAnsi="Book Antiqua" w:cs="Times New Roman"/>
          <w:kern w:val="0"/>
          <w:sz w:val="24"/>
          <w:szCs w:val="24"/>
          <w:vertAlign w:val="superscript"/>
        </w:rPr>
        <w:t>[11]</w:t>
      </w:r>
      <w:r w:rsidR="00CA6867" w:rsidRPr="00BF3C3C">
        <w:rPr>
          <w:rFonts w:ascii="Book Antiqua" w:eastAsia="HYSinMyeongJo-Medium" w:hAnsi="Book Antiqua" w:cs="Times New Roman"/>
          <w:snapToGrid w:val="0"/>
          <w:color w:val="FF0000"/>
          <w:kern w:val="0"/>
          <w:sz w:val="24"/>
          <w:szCs w:val="24"/>
        </w:rPr>
        <w:fldChar w:fldCharType="end"/>
      </w:r>
      <w:r w:rsidRPr="00BF3C3C">
        <w:rPr>
          <w:rFonts w:ascii="Book Antiqua" w:eastAsia="HYSinMyeongJo-Medium" w:hAnsi="Book Antiqua" w:cs="Times New Roman"/>
          <w:snapToGrid w:val="0"/>
          <w:kern w:val="0"/>
          <w:sz w:val="24"/>
          <w:szCs w:val="24"/>
        </w:rPr>
        <w:t xml:space="preserve"> reported that H2B use was associated with a higher risk of EP in PD patients.</w:t>
      </w:r>
      <w:r w:rsidRPr="00BF3C3C">
        <w:rPr>
          <w:rFonts w:ascii="Book Antiqua" w:eastAsia="HYSinMyeongJo-Medium" w:hAnsi="Book Antiqua" w:cs="Times New Roman"/>
          <w:snapToGrid w:val="0"/>
          <w:color w:val="FF0000"/>
          <w:kern w:val="0"/>
          <w:sz w:val="24"/>
          <w:szCs w:val="24"/>
        </w:rPr>
        <w:t xml:space="preserve"> </w:t>
      </w:r>
      <w:r w:rsidRPr="00BF3C3C">
        <w:rPr>
          <w:rFonts w:ascii="Book Antiqua" w:eastAsia="HYSinMyeongJo-Medium" w:hAnsi="Book Antiqua" w:cs="Times New Roman"/>
          <w:snapToGrid w:val="0"/>
          <w:kern w:val="0"/>
          <w:sz w:val="24"/>
          <w:szCs w:val="24"/>
        </w:rPr>
        <w:t xml:space="preserve">Conversely, del Peso </w:t>
      </w:r>
      <w:r w:rsidRPr="00BF3C3C">
        <w:rPr>
          <w:rFonts w:ascii="Book Antiqua" w:eastAsia="HYSinMyeongJo-Medium" w:hAnsi="Book Antiqua" w:cs="Times New Roman"/>
          <w:i/>
          <w:iCs/>
          <w:snapToGrid w:val="0"/>
          <w:kern w:val="0"/>
          <w:sz w:val="24"/>
          <w:szCs w:val="24"/>
        </w:rPr>
        <w:t>et al</w:t>
      </w:r>
      <w:r w:rsidR="00CA6867" w:rsidRPr="00BF3C3C">
        <w:rPr>
          <w:rFonts w:ascii="Book Antiqua" w:eastAsia="HYSinMyeongJo-Medium" w:hAnsi="Book Antiqua" w:cs="Times New Roman"/>
          <w:snapToGrid w:val="0"/>
          <w:color w:val="FF0000"/>
          <w:kern w:val="0"/>
          <w:sz w:val="24"/>
          <w:szCs w:val="24"/>
        </w:rPr>
        <w:fldChar w:fldCharType="begin"/>
      </w:r>
      <w:r w:rsidR="00CA6867" w:rsidRPr="00BF3C3C">
        <w:rPr>
          <w:rFonts w:ascii="Book Antiqua" w:eastAsia="HYSinMyeongJo-Medium" w:hAnsi="Book Antiqua" w:cs="Times New Roman"/>
          <w:snapToGrid w:val="0"/>
          <w:color w:val="FF0000"/>
          <w:kern w:val="0"/>
          <w:sz w:val="24"/>
          <w:szCs w:val="24"/>
        </w:rPr>
        <w:instrText xml:space="preserve"> ADDIN ZOTERO_ITEM CSL_CITATION {"citationID":"ui64RfTJ","properties":{"formattedCitation":"{\\rtf \\super [12]\\nosupersub{}}","plainCitation":"[12]"},"citationItems":[{"id":231,"uris":["http://zotero.org/users/1334241/items/DWZ59UF8"],"uri":["http://zotero.org/users/1334241/items/DWZ59UF8"],"itemData":{"id":231,"type":"article-journal","title":"Risk factors for developing peritonitis caused by micro-organisms of enteral origin in peritoneal dialysis patients","container-title":"Peritoneal dialysis international: journal of the International Society for Peritoneal Dialysis","page":"41-45","volume":"18","issue":"1","source":"NCBI PubMed","abstract":"OBJECTIVE: To investigate the risk factors associated with the development of peritonitis caused by enteral bacteria in peritoneal dialysis patients, including the prescription of gastric acid inhibitors as a potential risk factor.\nDESIGN: Retrospective single-center study.\nSETTING: Tertiary university hospital.\nPATIENTS AND MAIN OUTCOME MEASURES: Fifty-five patients who entered into our continuous ambulatory peritoneal dialysis (CAPD) program during the last 6 years were included. Multiple logistic regression analysis was used to establish the best determinants over the development of at least one episode of enteric peritonitis. The predictive variables included in the model were: age, gender, diabetic versus nondiabetic, polycystic versus nonpolycystic kidney diseases, history of constipation, presence or absence of moderate/severe malnutrition, peritoneal transport characteristics, peritoneal protein losses, rate of exit-site infections, rate of total peritonitis, intestinal abnormalities, and treatment with inhibitors of gastric acid secretion.\nRESULTS: The total number of peritonitis episodes during the studied period was 88, which clustered in 34 of 55 patients. Fourteen (16%) were caused by enteric micro-organisms in 10 patients: Escherichia coli (6), Klebsiella sp (2), Enterobacter sp (1), and Enterococcus sp (5). Nine of 10 patients who developed enteric peritonitis were on gastric acid inhibitors (3 patients on omeprazole and 6 patients on H2-antagonists), while 15 of 45 patients who did not develop enteric peritonitis were on gastric acid inhibitors (all of them on H2-blockers). There were temporal relationships between the start of gastric acid inhibitors and the development of enteric peritonitis in 6 of 9 patients who were on this medication. Four of 10 patients who developed enteric peritonitis had diverticulosis. Ten of 45 patients who did not develop enteric peritonitis had been diagnosed with diverticulosis of the colon or sigmoid prior to entry to CAPD. The unique patient who was not on gastric acid inhibitors and developed enteric peritonitis, had been diagnosed with chronic atrophic gastritis with achlorhydria. By multiple logistic regression analysis, the treatment with gastric acid inhibitors was the only independent variable that entered into the best predictive equation over the development of enteric peritonitis (log likelihood ratio = -26.077, odds ratio = 18; 95% CI odds ratio: 2 - 155).\nCONCLUSION: Gastric acid inhibitors may increase the risk for developing enteric peritonitis in peritoneal dialysis patients.","ISSN":"0896-8608","note":"PMID: 9527028","journalAbbreviation":"Perit Dial Int","language":"eng","author":[{"family":"Caravaca","given":"F"},{"family":"Ruiz-Calero","given":"R"},{"family":"Dominguez","given":"C"}],"issued":{"date-parts":[["1998",2]]},"PMID":"9527028"},"label":"page"}],"schema":"https://github.com/citation-style-language/schema/raw/master/csl-citation.json"} </w:instrText>
      </w:r>
      <w:r w:rsidR="00CA6867" w:rsidRPr="00BF3C3C">
        <w:rPr>
          <w:rFonts w:ascii="Book Antiqua" w:eastAsia="HYSinMyeongJo-Medium" w:hAnsi="Book Antiqua" w:cs="Times New Roman"/>
          <w:snapToGrid w:val="0"/>
          <w:color w:val="FF0000"/>
          <w:kern w:val="0"/>
          <w:sz w:val="24"/>
          <w:szCs w:val="24"/>
        </w:rPr>
        <w:fldChar w:fldCharType="separate"/>
      </w:r>
      <w:r w:rsidR="00CA6867" w:rsidRPr="00BF3C3C">
        <w:rPr>
          <w:rFonts w:ascii="Book Antiqua" w:hAnsi="Book Antiqua" w:cs="Times New Roman"/>
          <w:kern w:val="0"/>
          <w:sz w:val="24"/>
          <w:szCs w:val="24"/>
          <w:vertAlign w:val="superscript"/>
        </w:rPr>
        <w:t>[12]</w:t>
      </w:r>
      <w:r w:rsidR="00CA6867" w:rsidRPr="00BF3C3C">
        <w:rPr>
          <w:rFonts w:ascii="Book Antiqua" w:eastAsia="HYSinMyeongJo-Medium" w:hAnsi="Book Antiqua" w:cs="Times New Roman"/>
          <w:snapToGrid w:val="0"/>
          <w:color w:val="FF0000"/>
          <w:kern w:val="0"/>
          <w:sz w:val="24"/>
          <w:szCs w:val="24"/>
        </w:rPr>
        <w:fldChar w:fldCharType="end"/>
      </w:r>
      <w:r w:rsidRPr="00BF3C3C">
        <w:rPr>
          <w:rFonts w:ascii="Book Antiqua" w:eastAsia="HYSinMyeongJo-Medium" w:hAnsi="Book Antiqua" w:cs="Times New Roman"/>
          <w:snapToGrid w:val="0"/>
          <w:kern w:val="0"/>
          <w:sz w:val="24"/>
          <w:szCs w:val="24"/>
        </w:rPr>
        <w:t xml:space="preserve"> did not find any effect of gastric acid suppressants on EP. These studies were valuable but limited in design. Therefore, we carefully excluded patients with liver cirrhosis, prior use of antibiotics, and a history of medication use that might influence </w:t>
      </w:r>
      <w:r w:rsidRPr="00BF3C3C">
        <w:rPr>
          <w:rFonts w:ascii="Book Antiqua" w:eastAsia="HYSinMyeongJo-Medium" w:hAnsi="Book Antiqua" w:cs="Times New Roman"/>
          <w:snapToGrid w:val="0"/>
          <w:kern w:val="0"/>
          <w:sz w:val="24"/>
          <w:szCs w:val="24"/>
        </w:rPr>
        <w:lastRenderedPageBreak/>
        <w:t>peritonitis development to investigate the relationship between acid suppressive therapy and PD-related peritonitis. In the present study, H2B use, but not PPI use, was identified as an independent risk factor for the development of PD-related peritonitis after adjusting for variable factors. Therefore, our results suggest an association between H2Bs and PD-related peritonitis.</w:t>
      </w:r>
    </w:p>
    <w:p w:rsidR="000B751C" w:rsidRPr="00BF3C3C" w:rsidRDefault="000B751C" w:rsidP="00CA6867">
      <w:pPr>
        <w:widowControl/>
        <w:wordWrap/>
        <w:autoSpaceDE/>
        <w:autoSpaceDN/>
        <w:snapToGrid w:val="0"/>
        <w:spacing w:line="360" w:lineRule="auto"/>
        <w:ind w:firstLineChars="200" w:firstLine="480"/>
        <w:rPr>
          <w:rFonts w:ascii="Book Antiqua" w:eastAsia="HYSinMyeongJo-Medium" w:hAnsi="Book Antiqua" w:cs="Times New Roman"/>
          <w:snapToGrid w:val="0"/>
          <w:kern w:val="0"/>
          <w:sz w:val="24"/>
          <w:szCs w:val="24"/>
        </w:rPr>
      </w:pPr>
      <w:r w:rsidRPr="00BF3C3C">
        <w:rPr>
          <w:rFonts w:ascii="Book Antiqua" w:eastAsia="HYSinMyeongJo-Medium" w:hAnsi="Book Antiqua" w:cs="Times New Roman"/>
          <w:snapToGrid w:val="0"/>
          <w:kern w:val="0"/>
          <w:sz w:val="24"/>
          <w:szCs w:val="24"/>
        </w:rPr>
        <w:t xml:space="preserve">Keane </w:t>
      </w:r>
      <w:r w:rsidRPr="00BF3C3C">
        <w:rPr>
          <w:rFonts w:ascii="Book Antiqua" w:eastAsia="HYSinMyeongJo-Medium" w:hAnsi="Book Antiqua" w:cs="Times New Roman"/>
          <w:i/>
          <w:snapToGrid w:val="0"/>
          <w:kern w:val="0"/>
          <w:sz w:val="24"/>
          <w:szCs w:val="24"/>
        </w:rPr>
        <w:t>et al</w:t>
      </w:r>
      <w:r w:rsidR="00CA6867" w:rsidRPr="00BF3C3C">
        <w:rPr>
          <w:rFonts w:ascii="Book Antiqua" w:eastAsia="HYSinMyeongJo-Medium" w:hAnsi="Book Antiqua" w:cs="Times New Roman"/>
          <w:snapToGrid w:val="0"/>
          <w:kern w:val="0"/>
          <w:sz w:val="24"/>
          <w:szCs w:val="24"/>
        </w:rPr>
        <w:fldChar w:fldCharType="begin"/>
      </w:r>
      <w:r w:rsidR="00CA6867" w:rsidRPr="00BF3C3C">
        <w:rPr>
          <w:rFonts w:ascii="Book Antiqua" w:eastAsia="HYSinMyeongJo-Medium" w:hAnsi="Book Antiqua" w:cs="Times New Roman"/>
          <w:snapToGrid w:val="0"/>
          <w:kern w:val="0"/>
          <w:sz w:val="24"/>
          <w:szCs w:val="24"/>
        </w:rPr>
        <w:instrText xml:space="preserve"> ADDIN ZOTERO_ITEM CSL_CITATION {"citationID":"JoJt1o0q","properties":{"formattedCitation":"{\\rtf \\super [19]\\nosupersub{}}","plainCitation":"[19]"},"citationItems":[{"id":297,"uris":["http://zotero.org/users/1334241/items/V78WGKF8"],"uri":["http://zotero.org/users/1334241/items/V78WGKF8"],"itemData":{"id":297,"type":"article-journal","title":"Rabeprazole: pharmacokinetics and tolerability in patients with stable, end-stage renal failure","container-title":"Journal of clinical pharmacology","page":"927-933","volume":"39","issue":"9","source":"NCBI PubMed","abstract":"The authors compare the pharmacokinetic profiles, safety, and tolerability of rabeprazole, a new proton pump inhibitor (PPI), in healthy volunteers and in subjects with stable, end-stage renal failure. This single-center, open-label trial included two groups of subjects: 10 healthy males with 24-hour creatinine clearance &gt; or = 90 mL/min/m2 and 10 males with renal failure (24-hour creatinine clearance &lt; or = 5 mL/min/m2) receiving hemodialytic therapy. Normal subjects received a single, oral 20 mg rabeprazole dose. Those with renal failure received a 20 mg dose of rabeprazole on the day after hemodialysis and a second dose after a 2-week washout period during dialysis. Blood samples were drawn before and up to 24 hours after rabeprazole administration for determination of plasma rabeprazole concentrations by high-performance liquid chromatography. Safety and tolerability of rabeprazole were determined by reporting adverse events and comparing vital signs, ECG, physical examinations, and clinical laboratory tests before and during treatment. Comparison of pharmacokinetic results from healthy volunteers with those from subjects with renal failure indicated no clinically significant differences between groups. In addition, there were no statistically significant differences between any pharmacokinetic parameters recorded during or after hemodialysis. Rabeprazole was well tolerated by both groups. Only two drug-related adverse events were reported, and there were no significant treatment-emergent changes in vital signs or ECG. Treatment-emergent changes in hematologic and clinical chemistry parameters were observed for a few subjects in each group and generally represented only slight deviations from the normal range. These results indicate that no dosage adjustment of rabeprazole is required in patients with renal dysfunction. These findings and the well-documented clinical efficacy of this new PPI in patients with gastric ulcers, duodenal ulcers, or gastroesophageal reflux disease support rabeprazole's use in the treatment of patients with acid peptic disorders.","ISSN":"0091-2700","note":"PMID: 10471983","shortTitle":"Rabeprazole","journalAbbreviation":"J Clin Pharmacol","language":"eng","author":[{"family":"Keane","given":"W F"},{"family":"Swan","given":"S K"},{"family":"Grimes","given":"I"},{"family":"Humphries","given":"T J"}],"issued":{"date-parts":[["1999",9]]},"PMID":"10471983"}}],"schema":"https://github.com/citation-style-language/schema/raw/master/csl-citation.json"} </w:instrText>
      </w:r>
      <w:r w:rsidR="00CA6867" w:rsidRPr="00BF3C3C">
        <w:rPr>
          <w:rFonts w:ascii="Book Antiqua" w:eastAsia="HYSinMyeongJo-Medium" w:hAnsi="Book Antiqua" w:cs="Times New Roman"/>
          <w:snapToGrid w:val="0"/>
          <w:kern w:val="0"/>
          <w:sz w:val="24"/>
          <w:szCs w:val="24"/>
        </w:rPr>
        <w:fldChar w:fldCharType="separate"/>
      </w:r>
      <w:r w:rsidR="00CA6867" w:rsidRPr="00BF3C3C">
        <w:rPr>
          <w:rFonts w:ascii="Book Antiqua" w:hAnsi="Book Antiqua" w:cs="Times New Roman"/>
          <w:kern w:val="0"/>
          <w:sz w:val="24"/>
          <w:szCs w:val="24"/>
          <w:vertAlign w:val="superscript"/>
        </w:rPr>
        <w:t>[19]</w:t>
      </w:r>
      <w:r w:rsidR="00CA6867" w:rsidRPr="00BF3C3C">
        <w:rPr>
          <w:rFonts w:ascii="Book Antiqua" w:eastAsia="HYSinMyeongJo-Medium" w:hAnsi="Book Antiqua" w:cs="Times New Roman"/>
          <w:snapToGrid w:val="0"/>
          <w:kern w:val="0"/>
          <w:sz w:val="24"/>
          <w:szCs w:val="24"/>
        </w:rPr>
        <w:fldChar w:fldCharType="end"/>
      </w:r>
      <w:r w:rsidRPr="00BF3C3C">
        <w:rPr>
          <w:rFonts w:ascii="Book Antiqua" w:eastAsia="HYSinMyeongJo-Medium" w:hAnsi="Book Antiqua" w:cs="Times New Roman"/>
          <w:snapToGrid w:val="0"/>
          <w:kern w:val="0"/>
          <w:sz w:val="24"/>
          <w:szCs w:val="24"/>
        </w:rPr>
        <w:t xml:space="preserve"> evaluated the metabolism of PPIs such as rabeprazole and showed that PPI clearance was not affected by renal failure. Conversely, Sica </w:t>
      </w:r>
      <w:r w:rsidRPr="00BF3C3C">
        <w:rPr>
          <w:rFonts w:ascii="Book Antiqua" w:eastAsia="HYSinMyeongJo-Medium" w:hAnsi="Book Antiqua" w:cs="Times New Roman"/>
          <w:i/>
          <w:snapToGrid w:val="0"/>
          <w:kern w:val="0"/>
          <w:sz w:val="24"/>
          <w:szCs w:val="24"/>
        </w:rPr>
        <w:t>et al</w:t>
      </w:r>
      <w:r w:rsidR="00CA6867" w:rsidRPr="00BF3C3C">
        <w:rPr>
          <w:rFonts w:ascii="Book Antiqua" w:eastAsia="HYSinMyeongJo-Medium" w:hAnsi="Book Antiqua" w:cs="Times New Roman"/>
          <w:snapToGrid w:val="0"/>
          <w:kern w:val="0"/>
          <w:sz w:val="24"/>
          <w:szCs w:val="24"/>
        </w:rPr>
        <w:fldChar w:fldCharType="begin"/>
      </w:r>
      <w:r w:rsidR="00CA6867" w:rsidRPr="00BF3C3C">
        <w:rPr>
          <w:rFonts w:ascii="Book Antiqua" w:eastAsia="HYSinMyeongJo-Medium" w:hAnsi="Book Antiqua" w:cs="Times New Roman"/>
          <w:snapToGrid w:val="0"/>
          <w:kern w:val="0"/>
          <w:sz w:val="24"/>
          <w:szCs w:val="24"/>
        </w:rPr>
        <w:instrText xml:space="preserve"> ADDIN ZOTERO_ITEM CSL_CITATION {"citationID":"mN5RDb2I","properties":{"formattedCitation":"{\\rtf \\super [20]\\nosupersub{}}","plainCitation":"[20]"},"citationItems":[{"id":305,"uris":["http://zotero.org/users/1334241/items/RN5FJZ5T"],"uri":["http://zotero.org/users/1334241/items/RN5FJZ5T"],"itemData":{"id":305,"type":"article-journal","title":"Ranitidine pharmacokinetics in continuous ambulatory peritoneal dialysis","container-title":"European journal of clinical pharmacology","page":"587-591","volume":"32","issue":"6","source":"NCBI PubMed","abstract":"Ranitidine kinetics in renal failure were evaluated in six patients undergoing continuous ambulatory peritoneal dialysis (CAPD). On separate occasions each patient received either 50 mg intravenously (i.v.) or 150 mg orally of ranitidine HCl. Following i.v. administration, the plasma concentration vs time curve was best described by a two compartment model with firstorder elimination. The mean +/- SD distribution and elimination rate constants were 2.47 +/- 0.78 and 0.098 +/- 0.013 h, respectively. The area under the serum concentration vs time curve after the i.v. dose was 5979 +/- 2870 micrograms X h X l-1, resulting in a mean volume of distribution of 76.8 l and a total body clearance of 126 ml X min-1. Following oral administration the observed maximum plasma concentration was 904 +/- 483 micrograms X l-1 at 4.2 +/- 1.8 h, and the bioavailability was 69.7 +/- 35.6%. The peritoneal clearance of ranitidine was 3.2 +/- 0.7 and 2.6 +/- 0.6 ml X min-1 for the i.v. and oral groups, respectively. The amount of drug removed by dialysis was 561.2 +/- 336.2 micrograms for the i.v. and 1197.1 +/- 602.3 micrograms for the oral group. Four patients in the i.v. group had urine output during the study period with renal ranitidine clearance values of 9.9 +/- 9.9 ml X min-1. Two patients in the oral group had urine output and corresponding renal ranitidine clearance values of 5.1 and 20.1 ml X min-1. A dosage regimen for ranitidine is proposed based on ranitidine kinetics in patients undergoing CAPD.","ISSN":"0031-6970","note":"PMID: 3653228","journalAbbreviation":"Eur. J. Clin. Pharmacol.","language":"eng","author":[{"family":"Sica","given":"D A"},{"family":"Comstock","given":"T"},{"family":"Harford","given":"A"},{"family":"Eshelman","given":"F"}],"issued":{"date-parts":[["1987"]]},"PMID":"3653228"}}],"schema":"https://github.com/citation-style-language/schema/raw/master/csl-citation.json"} </w:instrText>
      </w:r>
      <w:r w:rsidR="00CA6867" w:rsidRPr="00BF3C3C">
        <w:rPr>
          <w:rFonts w:ascii="Book Antiqua" w:eastAsia="HYSinMyeongJo-Medium" w:hAnsi="Book Antiqua" w:cs="Times New Roman"/>
          <w:snapToGrid w:val="0"/>
          <w:kern w:val="0"/>
          <w:sz w:val="24"/>
          <w:szCs w:val="24"/>
        </w:rPr>
        <w:fldChar w:fldCharType="separate"/>
      </w:r>
      <w:r w:rsidR="00CA6867" w:rsidRPr="00BF3C3C">
        <w:rPr>
          <w:rFonts w:ascii="Book Antiqua" w:hAnsi="Book Antiqua" w:cs="Times New Roman"/>
          <w:kern w:val="0"/>
          <w:sz w:val="24"/>
          <w:szCs w:val="24"/>
          <w:vertAlign w:val="superscript"/>
        </w:rPr>
        <w:t>[20]</w:t>
      </w:r>
      <w:r w:rsidR="00CA6867" w:rsidRPr="00BF3C3C">
        <w:rPr>
          <w:rFonts w:ascii="Book Antiqua" w:eastAsia="HYSinMyeongJo-Medium" w:hAnsi="Book Antiqua" w:cs="Times New Roman"/>
          <w:snapToGrid w:val="0"/>
          <w:kern w:val="0"/>
          <w:sz w:val="24"/>
          <w:szCs w:val="24"/>
        </w:rPr>
        <w:fldChar w:fldCharType="end"/>
      </w:r>
      <w:r w:rsidR="00CA6867" w:rsidRPr="00BF3C3C">
        <w:rPr>
          <w:rFonts w:ascii="Book Antiqua" w:eastAsia="HYSinMyeongJo-Medium" w:hAnsi="Book Antiqua" w:cs="Times New Roman"/>
          <w:snapToGrid w:val="0"/>
          <w:kern w:val="0"/>
          <w:sz w:val="24"/>
          <w:szCs w:val="24"/>
        </w:rPr>
        <w:t xml:space="preserve"> </w:t>
      </w:r>
      <w:r w:rsidRPr="00BF3C3C">
        <w:rPr>
          <w:rFonts w:ascii="Book Antiqua" w:eastAsia="HYSinMyeongJo-Medium" w:hAnsi="Book Antiqua" w:cs="Times New Roman"/>
          <w:snapToGrid w:val="0"/>
          <w:kern w:val="0"/>
          <w:sz w:val="24"/>
          <w:szCs w:val="24"/>
        </w:rPr>
        <w:t xml:space="preserve"> analyzed the pharmacokinetics of H2B using ranitidine and reported that H2B clearance was decreased in continuous ambulatory PD patients compared to that observed in individuals with normal kidney function. Therefore, acid suppression with H2B treatment may be more powerful than that obtained with PPIs in PD patients. However, our results showed that neither H2Bs nor PPIs increased the risk of EP development, which suggests that a mechanism independent of acid suppression is involved in the development of PD-related peritonitis. Peritoneal macrophages, mast cells, and migrated leukocytes play crucial roles in the immune response to bacterial invasion. Histamine, which is released by peritoneal mast cells, stimulates vasodilation and encourages leukocyte transmigration. Moreover, histamine induces the aggregation of complement and opsonin, which </w:t>
      </w:r>
      <w:r w:rsidR="00CA6867" w:rsidRPr="00BF3C3C">
        <w:rPr>
          <w:rFonts w:ascii="Book Antiqua" w:eastAsia="HYSinMyeongJo-Medium" w:hAnsi="Book Antiqua" w:cs="Times New Roman"/>
          <w:snapToGrid w:val="0"/>
          <w:kern w:val="0"/>
          <w:sz w:val="24"/>
          <w:szCs w:val="24"/>
        </w:rPr>
        <w:t>promotes bacterial phagocytosis</w:t>
      </w:r>
      <w:r w:rsidR="0078479C" w:rsidRPr="00BF3C3C">
        <w:rPr>
          <w:rFonts w:ascii="Book Antiqua" w:eastAsia="HYSinMyeongJo-Medium" w:hAnsi="Book Antiqua" w:cs="Times New Roman"/>
          <w:snapToGrid w:val="0"/>
          <w:kern w:val="0"/>
          <w:sz w:val="24"/>
          <w:szCs w:val="24"/>
        </w:rPr>
        <w:fldChar w:fldCharType="begin"/>
      </w:r>
      <w:r w:rsidRPr="00BF3C3C">
        <w:rPr>
          <w:rFonts w:ascii="Book Antiqua" w:eastAsia="HYSinMyeongJo-Medium" w:hAnsi="Book Antiqua" w:cs="Times New Roman"/>
          <w:snapToGrid w:val="0"/>
          <w:kern w:val="0"/>
          <w:sz w:val="24"/>
          <w:szCs w:val="24"/>
        </w:rPr>
        <w:instrText xml:space="preserve"> ADDIN ZOTERO_ITEM CSL_CITATION {"citationID":"138kpc535d","properties":{"formattedCitation":"{\\rtf \\super [21\\uc0\\u8211{}23]\\nosupersub{}}","plainCitation":"[21–23]"},"citationItems":[{"id":296,"uris":["http://zotero.org/users/1334241/items/4XDHBCRZ"],"uri":["http://zotero.org/users/1334241/items/4XDHBCRZ"],"itemData":{"id":296,"type":"article-journal","title":"The pathobiology of peritonitis","container-title":"Gastroenterology","page":"185-196","volume":"114","issue":"1","source":"www.gastrojournal.org","abstract":"The peritoneum is more than a mechanical covering that allows for the easy gliding of opposed peritoneal surfaces. The peritoneal mesothelial cells facilitate the action of powerful innate immune mechanisms. In addition, the peritoneal-associated lymphoid tissues contain unique cells that may play a crucial role in the localization of intraperitoneal infection. A clearer understanding of the molecular and cellular events underlying peritoneal functions in both the unstimulated and stimulated state will aid future treatment of peritonitis.\nGASTROENTEROLOGY 1998;114:185-196","ISSN":"0016-5085","note":"PMID: 9428232","author":[{"family":"Hall*","given":"John C."},{"family":"Heel*","given":"Kathryn A."},{"family":"Papadimitriou‡","given":"John M."},{"family":"Platell*","given":"Cameron"}],"issued":{"date-parts":[["1998",1]]},"accessed":{"date-parts":[["2013",11,18]]},"PMID":"9428232"},"label":"page"},{"id":294,"uris":["http://zotero.org/users/1334241/items/246SZBHQ"],"uri":["http://zotero.org/users/1334241/items/246SZBHQ"],"itemData":{"id":294,"type":"article-journal","title":"Peritoneal defences and peritoneum-associated lymphoid tissue","container-title":"The British journal of surgery","page":"1031-1036","volume":"83","issue":"8","source":"NCBI PubMed","abstract":"The peritoneum is mainly protected by the innate immune system. This consists of mechanical clearance of the peritoneal cavity, activation of complement, and the actions of polymorphonuclear neutrophils and macrophages. The specific immune system, which is mediated by the activity of lymphocytes, provides a secondary amplification system that may be of great importance for patients with intraperitoneal sepsis. This review provides an overview of the relevant innate immune mechanisms and explores the possible role of peritoneum-associated lymphoid tissue.","ISSN":"0007-1323","note":"PMID: 8869299","journalAbbreviation":"Br J Surg","language":"eng","author":[{"family":"Heel","given":"K A"},{"family":"Hall","given":"J C"}],"issued":{"date-parts":[["1996",8]]},"PMID":"8869299"},"label":"page"},{"id":302,"uris":["http://zotero.org/users/1334241/items/MCBEF734"],"uri":["http://zotero.org/users/1334241/items/MCBEF734"],"itemData":{"id":302,"type":"article-journal","title":"Histamine h2 receptor signaling in the pathogenesis of sepsis: studies in a murine diabetes model","container-title":"Journal of immunology (Baltimore, Md.: 1950)","page":"1373-1382","volume":"191","issue":"3","source":"NCBI PubMed","abstract":"Type 1 diabetes enhances susceptibility to infection and favors the sepsis development. In addition, diabetic mice produced higher levels of histamine in several tissues and in the blood after LPS stimulation than nondiabetic mice. In this study, we aimed to explore the role of mast cells (MCs) and histamine in neutrophil migration and, consequently, infection control in diabetic mice with mild sepsis (MS) induced by cecum ligation and puncture. We used female BALB/c, MC-sufficient (WB/B6), MC-deficient (W/W(v)), and NOD mice. Diabetic mice given MS displayed 100% mortality within 24 h, whereas all nondiabetic mice survived for at least 5 d. The mortality rate of diabetic mice was reduced to 57% after the depletion of MC granules with compound 48/80. Moreover, this pretreatment increased neutrophil migration to the focus of infection, which reduced systemic inflammatory response and bacteremia. The downregulation of CXCR2 and upregulation of G protein-coupled receptor kinase 2 in neutrophils was prevented by pretreatment of diabetic mice given MS with compound 48/80. In addition, blocking the histamine H2 receptor restored neutrophil migration, enhanced CXCR2 expression, decreased bacteremia, and improved sepsis survival in alloxan-induced diabetic and spontaneous NOD mice. Finally, diabetic W/W(v) mice had neutrophil migration to the peritoneal cavity, increased CXCR2 expression, and reduced bacteremia compared with diabetic WB/B6 mice. These results demonstrate that histamine released by MCs reduces diabetic host resistance to septic peritonitis in mice.","DOI":"10.4049/jimmunol.1202907","ISSN":"1550-6606","note":"PMID: 23817413","shortTitle":"Histamine h2 receptor signaling in the pathogenesis of sepsis","journalAbbreviation":"J. Immunol.","language":"eng","author":[{"family":"Carlos","given":"Daniela"},{"family":"Spiller","given":"Fernando"},{"family":"Souto","given":"Fabrício O"},{"family":"Trevelin","given":"Silvia C"},{"family":"Borges","given":"Vanessa F"},{"family":"de Freitas","given":"Andressa"},{"family":"Alves-Filho","given":"José C"},{"family":"Silva","given":"João S"},{"family":"Ryffel","given":"Bernhard"},{"family":"Cunha","given":"Fernando Q"}],"issued":{"date-parts":[["2013",8,1]]},"PMID":"23817413"},"label":"page"}],"schema":"https://github.com/citation-style-language/schema/raw/master/csl-citation.json"} </w:instrText>
      </w:r>
      <w:r w:rsidR="0078479C" w:rsidRPr="00BF3C3C">
        <w:rPr>
          <w:rFonts w:ascii="Book Antiqua" w:eastAsia="HYSinMyeongJo-Medium" w:hAnsi="Book Antiqua" w:cs="Times New Roman"/>
          <w:snapToGrid w:val="0"/>
          <w:kern w:val="0"/>
          <w:sz w:val="24"/>
          <w:szCs w:val="24"/>
        </w:rPr>
        <w:fldChar w:fldCharType="separate"/>
      </w:r>
      <w:r w:rsidRPr="00BF3C3C">
        <w:rPr>
          <w:rFonts w:ascii="Book Antiqua" w:hAnsi="Book Antiqua" w:cs="Times New Roman"/>
          <w:kern w:val="0"/>
          <w:sz w:val="24"/>
          <w:szCs w:val="24"/>
          <w:vertAlign w:val="superscript"/>
        </w:rPr>
        <w:t>[21–23]</w:t>
      </w:r>
      <w:r w:rsidR="0078479C" w:rsidRPr="00BF3C3C">
        <w:rPr>
          <w:rFonts w:ascii="Book Antiqua" w:eastAsia="HYSinMyeongJo-Medium" w:hAnsi="Book Antiqua" w:cs="Times New Roman"/>
          <w:snapToGrid w:val="0"/>
          <w:kern w:val="0"/>
          <w:sz w:val="24"/>
          <w:szCs w:val="24"/>
        </w:rPr>
        <w:fldChar w:fldCharType="end"/>
      </w:r>
      <w:r w:rsidR="00CA6867" w:rsidRPr="00BF3C3C">
        <w:rPr>
          <w:rFonts w:ascii="Book Antiqua" w:eastAsia="宋体" w:hAnsi="Book Antiqua" w:cs="Times New Roman" w:hint="eastAsia"/>
          <w:snapToGrid w:val="0"/>
          <w:kern w:val="0"/>
          <w:sz w:val="24"/>
          <w:szCs w:val="24"/>
          <w:lang w:eastAsia="zh-CN"/>
        </w:rPr>
        <w:t>.</w:t>
      </w:r>
      <w:r w:rsidRPr="00BF3C3C">
        <w:rPr>
          <w:rFonts w:ascii="Book Antiqua" w:eastAsia="HYSinMyeongJo-Medium" w:hAnsi="Book Antiqua" w:cs="Times New Roman"/>
          <w:snapToGrid w:val="0"/>
          <w:kern w:val="0"/>
          <w:sz w:val="24"/>
          <w:szCs w:val="24"/>
        </w:rPr>
        <w:t xml:space="preserve"> H2Bs block these mechanisms and also inhibit inflammation-generated increases</w:t>
      </w:r>
      <w:r w:rsidR="00CA6867" w:rsidRPr="00BF3C3C">
        <w:rPr>
          <w:rFonts w:ascii="Book Antiqua" w:eastAsia="HYSinMyeongJo-Medium" w:hAnsi="Book Antiqua" w:cs="Times New Roman"/>
          <w:snapToGrid w:val="0"/>
          <w:kern w:val="0"/>
          <w:sz w:val="24"/>
          <w:szCs w:val="24"/>
        </w:rPr>
        <w:t xml:space="preserve"> in nitric oxide concentrations</w:t>
      </w:r>
      <w:r w:rsidR="0078479C" w:rsidRPr="00BF3C3C">
        <w:rPr>
          <w:rFonts w:ascii="Book Antiqua" w:eastAsia="HYSinMyeongJo-Medium" w:hAnsi="Book Antiqua" w:cs="Times New Roman"/>
          <w:snapToGrid w:val="0"/>
          <w:kern w:val="0"/>
          <w:sz w:val="24"/>
          <w:szCs w:val="24"/>
        </w:rPr>
        <w:fldChar w:fldCharType="begin"/>
      </w:r>
      <w:r w:rsidRPr="00BF3C3C">
        <w:rPr>
          <w:rFonts w:ascii="Book Antiqua" w:eastAsia="HYSinMyeongJo-Medium" w:hAnsi="Book Antiqua" w:cs="Times New Roman"/>
          <w:snapToGrid w:val="0"/>
          <w:kern w:val="0"/>
          <w:sz w:val="24"/>
          <w:szCs w:val="24"/>
        </w:rPr>
        <w:instrText xml:space="preserve"> ADDIN ZOTERO_ITEM CSL_CITATION {"citationID":"pFmcsdCK","properties":{"formattedCitation":"{\\rtf \\super [24]\\nosupersub{}}","plainCitation":"[24]"},"citationItems":[{"id":300,"uris":["http://zotero.org/users/1334241/items/P2CFCWQU"],"uri":["http://zotero.org/users/1334241/items/P2CFCWQU"],"itemData":{"id":300,"type":"article-journal","title":"General principles of wound healing","container-title":"The Surgical clinics of North America","page":"509-528","volume":"77","issue":"3","source":"NCBI PubMed","abstract":"Wound healing is a complex process involving different biologic and immunologic systems. Despite improvements in diagnostics and therapy, wound failures remain a clinical problem. The approach to a nonhealed wound is an interdisciplinary challenge that should not be underestimated. Better understanding of the complex wound-healing cascade helps our approach to wound healing and its possible failure. Manipulations of the involved immunologic features offer future therapeutic strategies.","ISSN":"0039-6109","note":"PMID: 9194878","journalAbbreviation":"Surg. Clin. North Am.","language":"eng","author":[{"family":"Witte","given":"M B"},{"family":"Barbul","given":"A"}],"issued":{"date-parts":[["1997",6]]},"PMID":"9194878"}}],"schema":"https://github.com/citation-style-language/schema/raw/master/csl-citation.json"} </w:instrText>
      </w:r>
      <w:r w:rsidR="0078479C" w:rsidRPr="00BF3C3C">
        <w:rPr>
          <w:rFonts w:ascii="Book Antiqua" w:eastAsia="HYSinMyeongJo-Medium" w:hAnsi="Book Antiqua" w:cs="Times New Roman"/>
          <w:snapToGrid w:val="0"/>
          <w:kern w:val="0"/>
          <w:sz w:val="24"/>
          <w:szCs w:val="24"/>
        </w:rPr>
        <w:fldChar w:fldCharType="separate"/>
      </w:r>
      <w:r w:rsidRPr="00BF3C3C">
        <w:rPr>
          <w:rFonts w:ascii="Book Antiqua" w:hAnsi="Book Antiqua" w:cs="Times New Roman"/>
          <w:kern w:val="0"/>
          <w:sz w:val="24"/>
          <w:szCs w:val="24"/>
          <w:vertAlign w:val="superscript"/>
        </w:rPr>
        <w:t>[24]</w:t>
      </w:r>
      <w:r w:rsidR="0078479C" w:rsidRPr="00BF3C3C">
        <w:rPr>
          <w:rFonts w:ascii="Book Antiqua" w:eastAsia="HYSinMyeongJo-Medium" w:hAnsi="Book Antiqua" w:cs="Times New Roman"/>
          <w:snapToGrid w:val="0"/>
          <w:kern w:val="0"/>
          <w:sz w:val="24"/>
          <w:szCs w:val="24"/>
        </w:rPr>
        <w:fldChar w:fldCharType="end"/>
      </w:r>
      <w:r w:rsidR="00CA6867" w:rsidRPr="00BF3C3C">
        <w:rPr>
          <w:rFonts w:ascii="Book Antiqua" w:eastAsia="宋体" w:hAnsi="Book Antiqua" w:cs="Times New Roman" w:hint="eastAsia"/>
          <w:snapToGrid w:val="0"/>
          <w:kern w:val="0"/>
          <w:sz w:val="24"/>
          <w:szCs w:val="24"/>
          <w:lang w:eastAsia="zh-CN"/>
        </w:rPr>
        <w:t>,</w:t>
      </w:r>
      <w:r w:rsidRPr="00BF3C3C">
        <w:rPr>
          <w:rFonts w:ascii="Book Antiqua" w:eastAsia="HYSinMyeongJo-Medium" w:hAnsi="Book Antiqua" w:cs="Times New Roman"/>
          <w:snapToGrid w:val="0"/>
          <w:kern w:val="0"/>
          <w:sz w:val="24"/>
          <w:szCs w:val="24"/>
        </w:rPr>
        <w:t xml:space="preserve"> resulting in reduced phagocytosis and antimicrobial effects. These facts support the hypothesis that H2Bs increase the risk of PD-related peritonitis.</w:t>
      </w:r>
    </w:p>
    <w:p w:rsidR="000B751C" w:rsidRPr="00BF3C3C" w:rsidRDefault="000B751C" w:rsidP="00CA6867">
      <w:pPr>
        <w:widowControl/>
        <w:wordWrap/>
        <w:autoSpaceDE/>
        <w:autoSpaceDN/>
        <w:snapToGrid w:val="0"/>
        <w:spacing w:line="360" w:lineRule="auto"/>
        <w:ind w:firstLineChars="250" w:firstLine="600"/>
        <w:rPr>
          <w:rFonts w:ascii="Book Antiqua" w:eastAsia="HYSinMyeongJo-Medium" w:hAnsi="Book Antiqua" w:cs="Times New Roman"/>
          <w:snapToGrid w:val="0"/>
          <w:kern w:val="0"/>
          <w:sz w:val="24"/>
          <w:szCs w:val="24"/>
        </w:rPr>
      </w:pPr>
      <w:r w:rsidRPr="00BF3C3C">
        <w:rPr>
          <w:rFonts w:ascii="Book Antiqua" w:eastAsia="HYSinMyeongJo-Medium" w:hAnsi="Book Antiqua" w:cs="Times New Roman"/>
          <w:snapToGrid w:val="0"/>
          <w:kern w:val="0"/>
          <w:sz w:val="24"/>
          <w:szCs w:val="24"/>
        </w:rPr>
        <w:t>Many ESRD patients experience abdominal discomfort, dyspepsia, and constipation due to decreased dietary fiber content, inadequate liquid intake, electrolyte imbalance, the use of certain medications such as phosphate binders containing aluminum, and calcium- or iron-replacement therapy. Diabetic nephropathy i</w:t>
      </w:r>
      <w:r w:rsidR="00CA6867" w:rsidRPr="00BF3C3C">
        <w:rPr>
          <w:rFonts w:ascii="Book Antiqua" w:eastAsia="HYSinMyeongJo-Medium" w:hAnsi="Book Antiqua" w:cs="Times New Roman"/>
          <w:snapToGrid w:val="0"/>
          <w:kern w:val="0"/>
          <w:sz w:val="24"/>
          <w:szCs w:val="24"/>
        </w:rPr>
        <w:t>s the most common cause of ESRD</w:t>
      </w:r>
      <w:r w:rsidR="0078479C" w:rsidRPr="00BF3C3C">
        <w:rPr>
          <w:rFonts w:ascii="Book Antiqua" w:eastAsia="HYSinMyeongJo-Medium" w:hAnsi="Book Antiqua" w:cs="Times New Roman"/>
          <w:snapToGrid w:val="0"/>
          <w:kern w:val="0"/>
          <w:sz w:val="24"/>
          <w:szCs w:val="24"/>
        </w:rPr>
        <w:fldChar w:fldCharType="begin"/>
      </w:r>
      <w:r w:rsidRPr="00BF3C3C">
        <w:rPr>
          <w:rFonts w:ascii="Book Antiqua" w:eastAsia="HYSinMyeongJo-Medium" w:hAnsi="Book Antiqua" w:cs="Times New Roman"/>
          <w:snapToGrid w:val="0"/>
          <w:kern w:val="0"/>
          <w:sz w:val="24"/>
          <w:szCs w:val="24"/>
        </w:rPr>
        <w:instrText xml:space="preserve"> ADDIN ZOTERO_ITEM CSL_CITATION {"citationID":"1upff7t9m2","properties":{"formattedCitation":"{\\rtf \\super [25,26]\\nosupersub{}}","plainCitation":"[25,26]"},"citationItems":[{"id":250,"uris":["http://zotero.org/users/1334241/items/3VN2ZDVV"],"uri":["http://zotero.org/users/1334241/items/3VN2ZDVV"],"itemData":{"id":250,"type":"article-journal","title":"Current status of dialysis therapy for ESRD patients in Korea","container-title":"Journal of the Korean Medical Association","page":"562","volume":"56","issue":"7","source":"CrossRef","DOI":"10.5124/jkma.2013.56.7.562","ISSN":"1975-8456, 2093-5951","author":[{"family":"Jin","given":"Dong Chan"}],"issued":{"date-parts":[["2013"]]},"accessed":{"date-parts":[["2013",10,22]]}},"label":"page"},{"id":318,"uris":["http://zotero.org/users/1334241/items/B985A58J"],"uri":["http://zotero.org/users/1334241/items/B985A58J"],"itemData":{"id":318,"type":"article-journal","title":"New Therapies for Diabetic Kidney Disease","container-title":"The New England journal of medicine","source":"NCBI PubMed","abstract":"Fueled by a global pandemic of obesity, diabetic kidney disease is a pressing public health challenge. Diabetic kidney disease is the most common cause of chronic kidney disease, leading to premature death and end-stage renal disease (ESRD) in the developed and developing worlds. Remarkably, the excess risk of death from any cause in type 1 or 2 diabetes is associated almost entirely with the presence of kidney disease. In the absence of diabetic kidney disease, the risk of death among persons with diabetes is similar to that in the general population.(1),(2) The management of diabetic kidney disease focuses on . . .","DOI":"10.1056/NEJMe1313104","ISSN":"1533-4406","note":"PMID: 24206460","journalAbbreviation":"N. Engl. J. Med.","language":"ENG","author":[{"family":"Himmelfarb","given":"Jonathan"},{"family":"Tuttle","given":"Katherine R"}],"issued":{"date-parts":[["2013",11,9]]},"PMID":"24206460"},"label":"page"}],"schema":"https://github.com/citation-style-language/schema/raw/master/csl-citation.json"} </w:instrText>
      </w:r>
      <w:r w:rsidR="0078479C" w:rsidRPr="00BF3C3C">
        <w:rPr>
          <w:rFonts w:ascii="Book Antiqua" w:eastAsia="HYSinMyeongJo-Medium" w:hAnsi="Book Antiqua" w:cs="Times New Roman"/>
          <w:snapToGrid w:val="0"/>
          <w:kern w:val="0"/>
          <w:sz w:val="24"/>
          <w:szCs w:val="24"/>
        </w:rPr>
        <w:fldChar w:fldCharType="separate"/>
      </w:r>
      <w:r w:rsidRPr="00BF3C3C">
        <w:rPr>
          <w:rFonts w:ascii="Book Antiqua" w:hAnsi="Book Antiqua" w:cs="Times New Roman"/>
          <w:kern w:val="0"/>
          <w:sz w:val="24"/>
          <w:szCs w:val="24"/>
          <w:vertAlign w:val="superscript"/>
        </w:rPr>
        <w:t>[25,26]</w:t>
      </w:r>
      <w:r w:rsidR="0078479C" w:rsidRPr="00BF3C3C">
        <w:rPr>
          <w:rFonts w:ascii="Book Antiqua" w:eastAsia="HYSinMyeongJo-Medium" w:hAnsi="Book Antiqua" w:cs="Times New Roman"/>
          <w:snapToGrid w:val="0"/>
          <w:kern w:val="0"/>
          <w:sz w:val="24"/>
          <w:szCs w:val="24"/>
        </w:rPr>
        <w:fldChar w:fldCharType="end"/>
      </w:r>
      <w:r w:rsidR="00CA6867" w:rsidRPr="00BF3C3C">
        <w:rPr>
          <w:rFonts w:ascii="Book Antiqua" w:eastAsia="宋体" w:hAnsi="Book Antiqua" w:cs="Times New Roman" w:hint="eastAsia"/>
          <w:snapToGrid w:val="0"/>
          <w:kern w:val="0"/>
          <w:sz w:val="24"/>
          <w:szCs w:val="24"/>
          <w:lang w:eastAsia="zh-CN"/>
        </w:rPr>
        <w:t>,</w:t>
      </w:r>
      <w:r w:rsidRPr="00BF3C3C">
        <w:rPr>
          <w:rFonts w:ascii="Book Antiqua" w:eastAsia="HYSinMyeongJo-Medium" w:hAnsi="Book Antiqua" w:cs="Times New Roman"/>
          <w:snapToGrid w:val="0"/>
          <w:kern w:val="0"/>
          <w:sz w:val="24"/>
          <w:szCs w:val="24"/>
        </w:rPr>
        <w:t xml:space="preserve"> and most of these patients also show diabetic gastroparesis and decreased intestinal motility. Although the reasons for prescription were not described in detail, these symptoms might be related to the use of gastric acid suppressants and/or prokinetic drugs. Previous studies have </w:t>
      </w:r>
      <w:r w:rsidRPr="00BF3C3C">
        <w:rPr>
          <w:rFonts w:ascii="Book Antiqua" w:eastAsia="HYSinMyeongJo-Medium" w:hAnsi="Book Antiqua" w:cs="Times New Roman"/>
          <w:snapToGrid w:val="0"/>
          <w:kern w:val="0"/>
          <w:sz w:val="24"/>
          <w:szCs w:val="24"/>
        </w:rPr>
        <w:lastRenderedPageBreak/>
        <w:t xml:space="preserve">shown </w:t>
      </w:r>
      <w:r w:rsidRPr="00BF3C3C">
        <w:rPr>
          <w:rFonts w:ascii="Book Antiqua" w:eastAsia="HYSinMyeongJo-Medium" w:hAnsi="Book Antiqua" w:cs="Times New Roman"/>
          <w:sz w:val="24"/>
          <w:szCs w:val="24"/>
        </w:rPr>
        <w:t xml:space="preserve">an association between gastrointestinal dysmotility and spontaneous bacterial </w:t>
      </w:r>
      <w:r w:rsidR="00BF3C3C">
        <w:rPr>
          <w:rFonts w:ascii="Book Antiqua" w:eastAsia="HYSinMyeongJo-Medium" w:hAnsi="Book Antiqua" w:cs="Times New Roman"/>
          <w:sz w:val="24"/>
          <w:szCs w:val="24"/>
        </w:rPr>
        <w:t>peritonitis in patients with LC</w:t>
      </w:r>
      <w:r w:rsidR="0078479C" w:rsidRPr="00BF3C3C">
        <w:rPr>
          <w:rFonts w:ascii="Book Antiqua" w:eastAsia="HYSinMyeongJo-Medium" w:hAnsi="Book Antiqua" w:cs="Times New Roman"/>
          <w:sz w:val="24"/>
          <w:szCs w:val="24"/>
        </w:rPr>
        <w:fldChar w:fldCharType="begin"/>
      </w:r>
      <w:r w:rsidRPr="00BF3C3C">
        <w:rPr>
          <w:rFonts w:ascii="Book Antiqua" w:eastAsia="HYSinMyeongJo-Medium" w:hAnsi="Book Antiqua" w:cs="Times New Roman"/>
          <w:sz w:val="24"/>
          <w:szCs w:val="24"/>
        </w:rPr>
        <w:instrText xml:space="preserve"> ADDIN ZOTERO_ITEM CSL_CITATION {"citationID":"KWfakwvF","properties":{"formattedCitation":"{\\rtf \\super [13\\uc0\\u8211{}16]\\nosupersub{}}","plainCitation":"[13–16]"},"citationItems":[{"id":243,"uris":["http://zotero.org/users/1334241/items/R4RVUFPX"],"uri":["http://zotero.org/users/1334241/items/R4RVUFPX"],"itemData":{"id":243,"type":"article-journal","title":"Bacterial translocation in acute and chronic portal hypertension","container-title":"Hepatology (Baltimore, Md.)","page":"1081-1085","volume":"17","issue":"6","source":"NCBI PubMed","abstract":"Patients with cirrhosis are predisposed to develop spontaneous bacteremias and peritonitis, mainly by enteric bacteria. Portal hypertension, by producing congestion and edema of the bowel wall, could increase the passage of bacteria from the intestinal lumen to regional lymph nodes to the systemic circulation or to both, a process termed bacterial translocation. The aim of this study was to investigate bacterial translocation at two stages of experimental portal hypertension: (a) acute (when shunting is minimal); and (b) chronic (when shunting is extensive and mimics the portal hypertension of cirrhosis). Rats were killed 2 days (acute) or 15 days (chronic) after partial portal vein ligation or control surgeries. Samples of mesenteric lymph nodes, blood, liver and spleen for standard bacteriological cultures and a fragment of ileum for histological examination were obtained. Two days after surgery, a significantly greater proportion of rats with acute portal hypertension (12 of 13 or 92%) had positive mesenteric lymph node cultures compared with both control groups: sham-operated (4 of 13 or 31%) and inferior vena cava-ligated (3 of 10 or 33%) animals (p &lt; 0.01). However, 15 days after surgery no differences in translocation to mesenteric lymph nodes were found between rats with chronic portal hypertension (3 of 15 or 20%) and sham-operated controls (3 of 11 or 27%). In neither the acute nor the chronic rats were bacteria isolated from blood, spleen or liver. Rats with acute portal hypertension had significantly greater mesenteric inflammation than rats with chronic portal hypertension and control animals.(ABSTRACT TRUNCATED AT 250 WORDS)","ISSN":"0270-9139","note":"PMID: 8514258","journalAbbreviation":"Hepatology","language":"eng","author":[{"family":"Garcia-Tsao","given":"G"},{"family":"Albillos","given":"A"},{"family":"Barden","given":"G E"},{"family":"West","given":"A B"}],"issued":{"date-parts":[["1993",6]]},"PMID":"8514258"},"label":"page"},{"id":241,"uris":["http://zotero.org/users/1334241/items/XMDJ5JFW"],"uri":["http://zotero.org/users/1334241/items/XMDJ5JFW"],"itemData":{"id":241,"type":"article-journal","title":"Norfloxacin and cisapride combination decreases the incidence of spontaneous bacterial peritonitis in cirrhotic ascites","container-title":"Journal of gastroenterology and hepatology","page":"599-605","volume":"20","issue":"4","source":"NCBI PubMed","abstract":"BACKGROUND: Spontaneous bacterial peritonitis (SBP) is a serious complication of cirrhosis with ascites, having high recurrence despite antibiotic prophylaxis. Small bowel dysmotility and bacterial overgrowth have been documented to be related to SBP. The purpose of the present paper was (i) to study whether addition of a prokinetic agent to norfloxacin ameliorates the development of SBP in high-risk patients; and (ii) to identify risk factors for SBP development.\nMETHODS: A prospective, single blinded, randomized controlled trial was conducted in high-risk cirrhotic patients with ascites who had either recovered from an episode of SBP or who had low ascitic fluid protein. Norfloxacin 400 mg once daily (group I) or norfloxacin 400 mg once daily with cisapride 20 mg twice a day (group II) was given and occurrence of side-effects of therapy and mortality were recorded.\nRESULTS: Of the 94 patients, 48 (51%) were in group I, and 46 (49%) in group II. The actuarial probability of developing SBP at 12 month in group I was 56.8% and in group II, 21.7% (P = 0.026). Treatment failure was observed in five patients (10%) in group I and none in group II (P = 0.003). The actuarial probability of death at 18 months was 20.6% in group I and 6.2% in group II (P = 0.1). Low serum albumin, low ascitic fluid protein and alcoholic cirrhosis were related to development of SBP (P &lt; 0.05). Additionally, low serum albumin (2.8 g/dL), gastrointestinal bleeding, alcoholic cirrhosis and low ascitic fluid protein were significantly associated with multiple occurrences of SBP.\nCONCLUSIONS: Prophylaxis with norfloxacin and cisapride significantly reduces the incidence of SBP in high-risk cirrhosis patients; low serum albumin, low ascitic fluid protein and alcoholic cirrhosis predispose to the development of SBP in high-risk cirrhosis patients; and low ascitic fluid protein should also be considered as a risk factor for the development of SBP requiring prophylaxis.","DOI":"10.1111/j.1440-1746.2005.03796.x","ISSN":"0815-9319","note":"PMID: 15836710","journalAbbreviation":"J. Gastroenterol. Hepatol.","language":"eng","author":[{"family":"Sandhu","given":"Bimaljit S"},{"family":"Gupta","given":"Rajesh"},{"family":"Sharma","given":"Jayant"},{"family":"Singh","given":"Jagdeep"},{"family":"Murthy","given":"Nandagudi S"},{"family":"Sarin","given":"Shiv K"}],"issued":{"date-parts":[["2005",4]]},"PMID":"15836710"},"label":"page"},{"id":245,"uris":["http://zotero.org/users/1334241/items/J7GUBUHW"],"uri":["http://zotero.org/users/1334241/items/J7GUBUHW"],"itemData":{"id":245,"type":"article-journal","title":"Small intestine dysmotility and bacterial overgrowth in cirrhotic patients with spontaneous bacterial peritonitis","container-title":"Hepatology (Baltimore, Md.)","page":"1187-1190","volume":"28","issue":"5","source":"NCBI PubMed","abstract":"Patients with bacterial overgrowth of the small intestine developed spontaneous bacterial peritonitis (SBP) more frequently than patients without bacterial overgrowth of the small intestine. The objective of this study was to determine whether the incidences of small intestine dysmotility and bacterial overgrowth are higher in cirrhotic patients with a history of SBP than in cirrhotic patients without SBP. Forty cirrhotic patients were enrolled in this study. There were 20 patients with a history of SBP and 20 patients without a history of SBP. Small intestine bacterial overgrowth was diagnosed by breath hydrogen test. Small intestine motility was recorded, by a 3-channel solid-state manometric catheter, for 24 hours. There were no statistical differences in age or sex between the two groups. The Child-Pugh scores in the SBP group were higher than in the non-SBP group (10.5 +/- 2.1 vs. 8.1 +/- 1.9, P &lt; .01). The incidence of bacterial overgrowth of the small intestine was higher in the SBP group than in the non-SBP group (70% vs. 20%, P &lt; .01). The amplitude and duration of migrating motor complex (MMC) activity fronts, as well as the number of clusters per hour, were similar in both groups. However, the frequency of MMC activity fronts was higher in the non-SBP group than in the SBP group (4.8 +/- 2.3/24 hours vs. 3.5 +/- 1.2/24 hours, P &lt; .05). In addition, the MMC velocity was significantly higher in the non-SBP group (8.3 +/- 2.6 vs. 5.3 +/- 2.1 cm/min, P &lt; .01). The incidence of bacterial overgrowth of the small intestine was higher in cirrhotic patients with history of SBP than in those without SBP. Small intestine motility dysfunction was more severe in cirrhotic patients with history of SBP. Impaired motility of the small intestine, causing bacterial overgrowth of the small intestine, may be one of the explanations for recurrent SBP in cirrhotic patients.","DOI":"10.1002/hep.510280504","ISSN":"0270-9139","note":"PMID: 9794900","journalAbbreviation":"Hepatology","language":"eng","author":[{"family":"Chang","given":"C S"},{"family":"Chen","given":"G H"},{"family":"Lien","given":"H C"},{"family":"Yeh","given":"H Z"}],"issued":{"date-parts":[["1998",11]]},"PMID":"9794900"},"label":"page"},{"id":247,"uris":["http://zotero.org/users/1334241/items/T3UVDPPP"],"uri":["http://zotero.org/users/1334241/items/T3UVDPPP"],"itemData":{"id":247,"type":"article-journal","title":"Intestinal bacterial translocation in rats with cirrhosis is related to compromised paneth cell antimicrobial host defense","container-title":"Hepatology","page":"1154–1163","volume":"55","issue":"4","source":"Wiley Online Library","abstract":"Liver cirrhosis is associated with bacterial translocation (BT) and endotoxemia. Most translocating bacteria belong to the common intestinal microbiota, suggesting a breakdown of intestinal barrier function. We hypothesized that diminished mucosal antimicrobial host defense could predispose to BT. Two rodent models of portal hypertension with increased BT were used, CCl4-induced ascitic cirrhosis and 2-day portal vein–ligated (PVL) animals. BT was assessed by standard microbiological techniques on mesenteric lymph nodes. Total RNA was isolated systematically throughout the intestinal tract, and expression of Paneth cell α-cryptdins and β-defensins was determined by real-time quantitative polymerase chain reaction (qPCR). To determine functional consequences, mucosal antimicrobial activity was assessed with a fluorescence-activated cell sorting assay. BT was detectable in 40% of rats with cirrhosis. Compared with the group without BT, these animals exhibited diminished intestinal Paneth cell α-cryptdin 5 and 7 expression. In contrast, PVL was associated with BT in all animals but did not affect antimicrobial peptides. The decrease in Paneth cell antimicrobials was most pronounced in the ileum and the coecum. Other antimicrobials showed no changes or even an induction in the case of BT at different sites. Antimicrobial activity toward different commensal strains was reduced, especially in the distal ileum and the cecum in experimental cirrhosis with BT (excluding PVL). Conclusion: Compromised Paneth cell antimicrobial host defense seems to predispose to BT in experimental cirrhosis. Understanding this liver–gut axis including the underlying mechanisms could help us to find new treatment avenues. (HEPATOLOGY 2012)","DOI":"10.1002/hep.24789","ISSN":"1527-3350","language":"en","author":[{"family":"Teltschik","given":"Zora"},{"family":"Wiest","given":"Reiner"},{"family":"Beisner","given":"Julia"},{"family":"Nuding","given":"Sabine"},{"family":"Hofmann","given":"Claudia"},{"family":"Schoelmerich","given":"Juergen"},{"family":"Bevins","given":"Charles L."},{"family":"Stange","given":"Eduard F."},{"family":"Wehkamp","given":"Jan"}],"issued":{"date-parts":[["2012"]]},"accessed":{"date-parts":[["2013",10,22]]}},"label":"page"}],"schema":"https://github.com/citation-style-language/schema/raw/master/csl-citation.json"} </w:instrText>
      </w:r>
      <w:r w:rsidR="0078479C" w:rsidRPr="00BF3C3C">
        <w:rPr>
          <w:rFonts w:ascii="Book Antiqua" w:eastAsia="HYSinMyeongJo-Medium" w:hAnsi="Book Antiqua" w:cs="Times New Roman"/>
          <w:sz w:val="24"/>
          <w:szCs w:val="24"/>
        </w:rPr>
        <w:fldChar w:fldCharType="separate"/>
      </w:r>
      <w:r w:rsidRPr="00BF3C3C">
        <w:rPr>
          <w:rFonts w:ascii="Book Antiqua" w:hAnsi="Book Antiqua" w:cs="Times New Roman"/>
          <w:kern w:val="0"/>
          <w:sz w:val="24"/>
          <w:szCs w:val="24"/>
          <w:vertAlign w:val="superscript"/>
        </w:rPr>
        <w:t>[13–16]</w:t>
      </w:r>
      <w:r w:rsidR="0078479C" w:rsidRPr="00BF3C3C">
        <w:rPr>
          <w:rFonts w:ascii="Book Antiqua" w:eastAsia="HYSinMyeongJo-Medium" w:hAnsi="Book Antiqua" w:cs="Times New Roman"/>
          <w:sz w:val="24"/>
          <w:szCs w:val="24"/>
        </w:rPr>
        <w:fldChar w:fldCharType="end"/>
      </w:r>
      <w:r w:rsidR="00BF3C3C" w:rsidRPr="00BF3C3C">
        <w:rPr>
          <w:rFonts w:ascii="Book Antiqua" w:eastAsia="宋体" w:hAnsi="Book Antiqua" w:cs="Times New Roman" w:hint="eastAsia"/>
          <w:sz w:val="24"/>
          <w:szCs w:val="24"/>
          <w:lang w:eastAsia="zh-CN"/>
        </w:rPr>
        <w:t>.</w:t>
      </w:r>
      <w:r w:rsidRPr="00BF3C3C">
        <w:rPr>
          <w:rFonts w:ascii="Book Antiqua" w:eastAsia="HYSinMyeongJo-Medium" w:hAnsi="Book Antiqua" w:cs="Times New Roman"/>
          <w:sz w:val="24"/>
          <w:szCs w:val="24"/>
        </w:rPr>
        <w:t xml:space="preserve"> Therefore, we investigated the effects of prokinetics on PD-related peritonitis, and our data showed that prokinetic use was not associated with a reduced risk of PD-related peritonitis. To our knowledge, this is the first study to investigate the association between prokinetic drugs and PD-related peritonitis, and further studies are therefore needed to confirm the effects of prokinetics on PD-related peritonitis.</w:t>
      </w:r>
    </w:p>
    <w:p w:rsidR="000B751C" w:rsidRPr="00BF3C3C" w:rsidRDefault="000B751C" w:rsidP="00CA6867">
      <w:pPr>
        <w:widowControl/>
        <w:wordWrap/>
        <w:autoSpaceDE/>
        <w:autoSpaceDN/>
        <w:snapToGrid w:val="0"/>
        <w:spacing w:line="360" w:lineRule="auto"/>
        <w:ind w:firstLineChars="200" w:firstLine="480"/>
        <w:rPr>
          <w:rFonts w:ascii="Book Antiqua" w:eastAsia="HYSinMyeongJo-Medium" w:hAnsi="Book Antiqua" w:cs="Times New Roman"/>
          <w:snapToGrid w:val="0"/>
          <w:kern w:val="0"/>
          <w:sz w:val="24"/>
          <w:szCs w:val="24"/>
        </w:rPr>
      </w:pPr>
      <w:r w:rsidRPr="00BF3C3C">
        <w:rPr>
          <w:rFonts w:ascii="Book Antiqua" w:eastAsia="HYSinMyeongJo-Medium" w:hAnsi="Book Antiqua" w:cs="Times New Roman"/>
          <w:snapToGrid w:val="0"/>
          <w:kern w:val="0"/>
          <w:sz w:val="24"/>
          <w:szCs w:val="24"/>
        </w:rPr>
        <w:t>The prognosis of EP is worse in patients with PD-related peritonitis, and peritonitis caused by enteric organisms is also associated with increased rates of PD catheter loss, prolonged</w:t>
      </w:r>
      <w:r w:rsidR="00CA6867" w:rsidRPr="00BF3C3C">
        <w:rPr>
          <w:rFonts w:ascii="Book Antiqua" w:eastAsia="HYSinMyeongJo-Medium" w:hAnsi="Book Antiqua" w:cs="Times New Roman"/>
          <w:snapToGrid w:val="0"/>
          <w:kern w:val="0"/>
          <w:sz w:val="24"/>
          <w:szCs w:val="24"/>
        </w:rPr>
        <w:t xml:space="preserve"> hospitalization, and mortality</w:t>
      </w:r>
      <w:r w:rsidR="0078479C" w:rsidRPr="00BF3C3C">
        <w:rPr>
          <w:rFonts w:ascii="Book Antiqua" w:eastAsia="HYSinMyeongJo-Medium" w:hAnsi="Book Antiqua" w:cs="Times New Roman"/>
          <w:snapToGrid w:val="0"/>
          <w:kern w:val="0"/>
          <w:sz w:val="24"/>
          <w:szCs w:val="24"/>
        </w:rPr>
        <w:fldChar w:fldCharType="begin"/>
      </w:r>
      <w:r w:rsidRPr="00BF3C3C">
        <w:rPr>
          <w:rFonts w:ascii="Book Antiqua" w:eastAsia="HYSinMyeongJo-Medium" w:hAnsi="Book Antiqua" w:cs="Times New Roman"/>
          <w:snapToGrid w:val="0"/>
          <w:kern w:val="0"/>
          <w:sz w:val="24"/>
          <w:szCs w:val="24"/>
        </w:rPr>
        <w:instrText xml:space="preserve"> ADDIN ZOTERO_ITEM CSL_CITATION {"citationID":"1dq7tth6v0","properties":{"formattedCitation":"{\\rtf \\super [27,28]\\nosupersub{}}","plainCitation":"[27,28]"},"citationItems":[{"id":254,"uris":["http://zotero.org/users/1334241/items/XAS7H2G9"],"uri":["http://zotero.org/users/1334241/items/XAS7H2G9"],"itemData":{"id":254,"type":"article-journal","title":"Differing outcomes of gram-positive and gram-negative peritonitis","container-title":"American journal of kidney diseases: the official journal of the National Kidney Foundation","page":"623-628","volume":"32","issue":"4","source":"NCBI PubMed","abstract":"Peritonitis remains the leading cause of patient dropout from continuous peritoneal dialysis (CPD) therapy. Few studies have compared patient morbidity, mortality, and outcome for patients undergoing CPD who develop gram-positive and gram-negative peritonitis. We retrospectively reviewed the charts of patients who developed either gram-positive or gram-negative peritonitis between January 1, 1993, and December 31, 1995. Three hundred seventy-five patients who developed 415 episodes of gram-positive and gram-negative peritonitis were maintained on CPD therapy during this time period. There was no difference in age, race, and sex between patients who developed gram-positive or gram-negative peritonitis. More patients with diabetes developed gram-negative peritonitis than gram-positive peritonitis (53% v 40%, respectively; P &lt; 0.05). Coagulase-negative staphylococcal species accounted for 47% of all gram-positive episodes, whereas Klebsiella organisms, Escherichia coli, and Enterobacter organisms accounted for 63% of all gram-negative episodes. Significantly more patients who developed gram-positive peritonitis continued CPD therapy 2 weeks and 6 months after the onset of peritonitis than patients who developed gram-negative peritonitis (97% v 73%; P &lt; 0.05 at 2 weeks and 81% v 58% at 6 months; P &lt; 0.05, respectively). Nine percent of the patients who developed gram-positive peritonitis died within 6 months after the onset of peritonitis, whereas 21% of the patients who developed gram-negative peritonitis died (P &lt; 0.05). Patients who developed gram-negative peritonitis were significantly more likely to require hospitalization than patients who developed gram-positive peritonitis (74% v 24%; P &lt; 0.001). More patients with gram-negative peritonitis required peritoneal catheter removal than patients with gram-positive peritonitis (18% v 4%; P &lt; 0.001). Thirty-two percent of the patients who developed gram-positive peritonitis re-developed an episode of peritonitis with the same organism compared with only 9% of the patients who developed gram-negative peritonitis. Furthermore, peritonitis recurrence with the same organism within 6 months after the initial episode was noted in 60% of the patients with peritonitis caused by Staphylococcus aureus compared with 24% of patients with peritonitis caused by other gram-positive organisms (P &lt; 0.05). We conclude that the outcomes of gram-positive and gram-negative peritonitis are different. When rates of peritonitis are used to predict outcome, it appears that gram-positive and gram-negative peritonitis rates need to be examined separately.","ISSN":"1523-6838","note":"PMID: 9774124","journalAbbreviation":"Am. J. Kidney Dis.","language":"eng","author":[{"family":"Troidle","given":"L"},{"family":"Gorban-Brennan","given":"N"},{"family":"Kliger","given":"A"},{"family":"Finkelstein","given":"F"}],"issued":{"date-parts":[["1998",10]]},"PMID":"9774124"},"label":"page"},{"id":252,"uris":["http://zotero.org/users/1334241/items/NUSWFWNB"],"uri":["http://zotero.org/users/1334241/items/NUSWFWNB"],"itemData":{"id":252,"type":"article-journal","title":"Outcomes of single organism peritonitis in peritoneal dialysis: gram negatives versus gram positives in the Network 9 Peritonitis Study","container-title":"Kidney international","page":"524-529","volume":"52","issue":"2","source":"NCBI PubMed","abstract":"The use of the \"peritonitis rate\" in the management of patients undergoing peritoneal dialysis is assuming importance in comparing the prowess of facilities, care givers and new innovations. For this to be a meaningful outcome measure, the type of infection (causative pathogen) must have less clinical significance than the number of infections during a time interval. The natural history of Staphylococcus aureus, pseudomonas, and fungal peritonitis would not support that the outcome of an episode of peritonitis is independent of the causative pathogen. Could this concern be extended to other more frequently occurring pathogens? To address this, the Network 9 Peritonitis Study identified 530 episodes of single organism peritonitis caused by a gram positive organism and 136 episodes caused by a single non-pseudomonal gram negative (NPGN) pathogen. Coincidental soft tissue infections (exit site or tunnel) occurred equally in both groups. Outcomes of peritonitis were analyzed by organism classification and by presence or absence of a soft tissue infection. NPGN peritonitis was associated with significantly more frequent catheter loss, hospitalization, and technique failure and was less likely to resolve regardless of the presence or absence of a soft tissue infection. Hospitalization and death tended to occur more frequently with enterococcal peritonitis than with other gram positive peritonitis. The outcomes in the NPGN peritonitis group were significantly worse (resolution, catheter loss, hospitalization, technique failure) compared to coagulase negative staphylococcal or S. aureus peritonitis, regardless of the presence or absence of a coincidental soft tissue infection. Furthermore, for the first time, the poor outcomes of gram negative peritonitis are shown to be independent of pseudomonas or polymicrobial involvement or soft tissue infections. The gram negative organism appears to be the important factor. In addition, the outcome of peritonitis caused by S. aureus is worse than that of other staphylococci. Thus, it is clear that all peritonitis episodes cannot be considered equivalent in terms of outcome. The concept of peritonitis rate is only meaningful when specific organisms are considered.","ISSN":"0085-2538","note":"PMID: 9264012","shortTitle":"Outcomes of single organism peritonitis in peritoneal dialysis","journalAbbreviation":"Kidney Int.","language":"eng","author":[{"family":"Bunke","given":"C M"},{"family":"Brier","given":"M E"},{"family":"Golper","given":"T A"}],"issued":{"date-parts":[["1997",8]]},"PMID":"9264012"},"label":"page"}],"schema":"https://github.com/citation-style-language/schema/raw/master/csl-citation.json"} </w:instrText>
      </w:r>
      <w:r w:rsidR="0078479C" w:rsidRPr="00BF3C3C">
        <w:rPr>
          <w:rFonts w:ascii="Book Antiqua" w:eastAsia="HYSinMyeongJo-Medium" w:hAnsi="Book Antiqua" w:cs="Times New Roman"/>
          <w:snapToGrid w:val="0"/>
          <w:kern w:val="0"/>
          <w:sz w:val="24"/>
          <w:szCs w:val="24"/>
        </w:rPr>
        <w:fldChar w:fldCharType="separate"/>
      </w:r>
      <w:r w:rsidRPr="00BF3C3C">
        <w:rPr>
          <w:rFonts w:ascii="Book Antiqua" w:hAnsi="Book Antiqua" w:cs="Times New Roman"/>
          <w:kern w:val="0"/>
          <w:sz w:val="24"/>
          <w:szCs w:val="24"/>
          <w:vertAlign w:val="superscript"/>
        </w:rPr>
        <w:t>[27,28]</w:t>
      </w:r>
      <w:r w:rsidR="0078479C" w:rsidRPr="00BF3C3C">
        <w:rPr>
          <w:rFonts w:ascii="Book Antiqua" w:eastAsia="HYSinMyeongJo-Medium" w:hAnsi="Book Antiqua" w:cs="Times New Roman"/>
          <w:snapToGrid w:val="0"/>
          <w:kern w:val="0"/>
          <w:sz w:val="24"/>
          <w:szCs w:val="24"/>
        </w:rPr>
        <w:fldChar w:fldCharType="end"/>
      </w:r>
      <w:r w:rsidR="00CA6867" w:rsidRPr="00BF3C3C">
        <w:rPr>
          <w:rFonts w:ascii="Book Antiqua" w:eastAsia="宋体" w:hAnsi="Book Antiqua" w:cs="Times New Roman" w:hint="eastAsia"/>
          <w:snapToGrid w:val="0"/>
          <w:kern w:val="0"/>
          <w:sz w:val="24"/>
          <w:szCs w:val="24"/>
          <w:lang w:eastAsia="zh-CN"/>
        </w:rPr>
        <w:t>.</w:t>
      </w:r>
      <w:r w:rsidRPr="00BF3C3C">
        <w:rPr>
          <w:rFonts w:ascii="Book Antiqua" w:eastAsia="HYSinMyeongJo-Medium" w:hAnsi="Book Antiqua" w:cs="Times New Roman"/>
          <w:snapToGrid w:val="0"/>
          <w:kern w:val="0"/>
          <w:sz w:val="24"/>
          <w:szCs w:val="24"/>
        </w:rPr>
        <w:t xml:space="preserve"> In this study, we found no statistically significant variables that increased the risk of EP. However, </w:t>
      </w:r>
      <w:r w:rsidRPr="00BF3C3C">
        <w:rPr>
          <w:rFonts w:ascii="Book Antiqua" w:hAnsi="Book Antiqua"/>
          <w:sz w:val="24"/>
          <w:szCs w:val="24"/>
        </w:rPr>
        <w:t xml:space="preserve">this result should be interpreted with caution because </w:t>
      </w:r>
      <w:r w:rsidRPr="00BF3C3C">
        <w:rPr>
          <w:rFonts w:ascii="Book Antiqua" w:eastAsia="HYSinMyeongJo-Medium" w:hAnsi="Book Antiqua" w:cs="Times New Roman"/>
          <w:snapToGrid w:val="0"/>
          <w:kern w:val="0"/>
          <w:sz w:val="24"/>
          <w:szCs w:val="24"/>
        </w:rPr>
        <w:t>of the small number of peritonitis episodes that were found with each individual drug use.</w:t>
      </w:r>
    </w:p>
    <w:p w:rsidR="000B751C" w:rsidRPr="00BF3C3C" w:rsidRDefault="000B751C" w:rsidP="00CA6867">
      <w:pPr>
        <w:widowControl/>
        <w:wordWrap/>
        <w:autoSpaceDE/>
        <w:autoSpaceDN/>
        <w:snapToGrid w:val="0"/>
        <w:spacing w:line="360" w:lineRule="auto"/>
        <w:ind w:firstLineChars="200" w:firstLine="480"/>
        <w:rPr>
          <w:rFonts w:ascii="Book Antiqua" w:eastAsia="Arial Unicode MS" w:hAnsi="Book Antiqua" w:cs="Times New Roman"/>
          <w:kern w:val="0"/>
          <w:sz w:val="24"/>
          <w:szCs w:val="24"/>
        </w:rPr>
      </w:pPr>
      <w:r w:rsidRPr="00BF3C3C">
        <w:rPr>
          <w:rFonts w:ascii="Book Antiqua" w:eastAsia="HYSinMyeongJo-Medium" w:hAnsi="Book Antiqua" w:cs="Times New Roman"/>
          <w:snapToGrid w:val="0"/>
          <w:kern w:val="0"/>
          <w:sz w:val="24"/>
          <w:szCs w:val="24"/>
        </w:rPr>
        <w:t xml:space="preserve">This study was superior to previous studies in several aspects. First, we carefully excluded patients with LC or previous antibiotic use. Furthermore, </w:t>
      </w:r>
      <w:r w:rsidRPr="00BF3C3C">
        <w:rPr>
          <w:rFonts w:ascii="Book Antiqua" w:hAnsi="Book Antiqua" w:cs="Times New Roman"/>
          <w:sz w:val="24"/>
          <w:szCs w:val="24"/>
        </w:rPr>
        <w:t xml:space="preserve">we performed multiple logistic regression analysis using various clinical factors such as the use of immunosuppressive agents and prokinetics, thus eliminating these potentially confounding factors. </w:t>
      </w:r>
      <w:r w:rsidRPr="00BF3C3C">
        <w:rPr>
          <w:rFonts w:ascii="Book Antiqua" w:eastAsia="Arial Unicode MS" w:hAnsi="Book Antiqua" w:cs="Times New Roman"/>
          <w:kern w:val="0"/>
          <w:sz w:val="24"/>
          <w:szCs w:val="24"/>
        </w:rPr>
        <w:t xml:space="preserve">Second, a complete history of H2B and </w:t>
      </w:r>
      <w:r w:rsidRPr="00BF3C3C">
        <w:rPr>
          <w:rFonts w:ascii="Book Antiqua" w:hAnsi="Book Antiqua" w:cs="Times New Roman"/>
          <w:kern w:val="0"/>
          <w:sz w:val="24"/>
          <w:szCs w:val="24"/>
        </w:rPr>
        <w:t xml:space="preserve">PPI use was obtained, as both drugs required a prescription in Korea during the study period. In addition, H2B and </w:t>
      </w:r>
      <w:r w:rsidRPr="00BF3C3C">
        <w:rPr>
          <w:rFonts w:ascii="Book Antiqua" w:eastAsia="Arial Unicode MS" w:hAnsi="Book Antiqua" w:cs="Times New Roman"/>
          <w:kern w:val="0"/>
          <w:sz w:val="24"/>
          <w:szCs w:val="24"/>
        </w:rPr>
        <w:t xml:space="preserve">PPI use was defined as the use of these drugs for at least 2 d to prevent protopathic bias, which increased the causality of the results. </w:t>
      </w:r>
    </w:p>
    <w:p w:rsidR="000B751C" w:rsidRPr="00BF3C3C" w:rsidRDefault="000B751C" w:rsidP="00CA6867">
      <w:pPr>
        <w:widowControl/>
        <w:wordWrap/>
        <w:autoSpaceDE/>
        <w:autoSpaceDN/>
        <w:snapToGrid w:val="0"/>
        <w:spacing w:line="360" w:lineRule="auto"/>
        <w:ind w:firstLineChars="250" w:firstLine="600"/>
        <w:rPr>
          <w:rFonts w:ascii="Book Antiqua" w:eastAsia="HYSinMyeongJo-Medium" w:hAnsi="Book Antiqua" w:cs="Times New Roman"/>
          <w:snapToGrid w:val="0"/>
          <w:kern w:val="0"/>
          <w:sz w:val="24"/>
          <w:szCs w:val="24"/>
        </w:rPr>
      </w:pPr>
      <w:r w:rsidRPr="00BF3C3C">
        <w:rPr>
          <w:rFonts w:ascii="Book Antiqua" w:eastAsia="HYSinMyeongJo-Medium" w:hAnsi="Book Antiqua" w:cs="Times New Roman"/>
          <w:snapToGrid w:val="0"/>
          <w:kern w:val="0"/>
          <w:sz w:val="24"/>
          <w:szCs w:val="24"/>
        </w:rPr>
        <w:t>There were also several limitations to this study. First, this was a retrospective study that lacked clinical data on the reasons for gastric acid suppressant prescription. The study design did not permit analysis of individual drug doses and potential confounding factors such as type of PD and exit-site infection. Furthermore, few patients used H2Bs or PPIs, so the sample size was small. When we compared the EP and NEP groups, the number of peritonitis episodes treated with H2B or other medications was considerably smaller than that in groups A and B. To overcome these limitations, a prospective, randomized, placebo-control study is needed, which may put patients at unnecessary risk. As an alternative, a well-</w:t>
      </w:r>
      <w:r w:rsidRPr="00BF3C3C">
        <w:rPr>
          <w:rFonts w:ascii="Book Antiqua" w:eastAsia="HYSinMyeongJo-Medium" w:hAnsi="Book Antiqua" w:cs="Times New Roman"/>
          <w:snapToGrid w:val="0"/>
          <w:kern w:val="0"/>
          <w:sz w:val="24"/>
          <w:szCs w:val="24"/>
        </w:rPr>
        <w:lastRenderedPageBreak/>
        <w:t xml:space="preserve">designed, prospective cohort study might provide further evidence of the association between acid suppressive therapy and PD-related peritonitis. </w:t>
      </w:r>
    </w:p>
    <w:p w:rsidR="000B751C" w:rsidRPr="00BF3C3C" w:rsidRDefault="000B751C" w:rsidP="00CA6867">
      <w:pPr>
        <w:widowControl/>
        <w:wordWrap/>
        <w:autoSpaceDE/>
        <w:autoSpaceDN/>
        <w:snapToGrid w:val="0"/>
        <w:spacing w:line="360" w:lineRule="auto"/>
        <w:ind w:firstLineChars="300" w:firstLine="720"/>
        <w:rPr>
          <w:rFonts w:ascii="Book Antiqua" w:hAnsi="Book Antiqua" w:cs="Times New Roman"/>
          <w:snapToGrid w:val="0"/>
          <w:kern w:val="0"/>
          <w:sz w:val="24"/>
          <w:szCs w:val="24"/>
        </w:rPr>
      </w:pPr>
      <w:r w:rsidRPr="00BF3C3C">
        <w:rPr>
          <w:rFonts w:ascii="Book Antiqua" w:eastAsia="HYSinMyeongJo-Medium" w:hAnsi="Book Antiqua" w:cs="Times New Roman"/>
          <w:snapToGrid w:val="0"/>
          <w:kern w:val="0"/>
          <w:sz w:val="24"/>
          <w:szCs w:val="24"/>
        </w:rPr>
        <w:t>In conclusion, H2Bs tended to increase the risk of PD-related peritonitis, whereas PPIs and prokinetics did not. However, further large prospective cohort studies are required to assess the effects of gastric acid suppressants and prokinetics on the development of peritonitis in PD patients.</w:t>
      </w:r>
      <w:r w:rsidRPr="00BF3C3C">
        <w:rPr>
          <w:rFonts w:ascii="Book Antiqua" w:eastAsia="HYSinMyeongJo-Medium" w:hAnsi="Book Antiqua" w:cs="Times New Roman"/>
          <w:b/>
          <w:bCs/>
          <w:kern w:val="0"/>
          <w:sz w:val="24"/>
          <w:szCs w:val="24"/>
        </w:rPr>
        <w:t xml:space="preserve"> </w:t>
      </w:r>
    </w:p>
    <w:p w:rsidR="00787A3F" w:rsidRPr="00BF3C3C" w:rsidRDefault="00787A3F" w:rsidP="002A4F8D">
      <w:pPr>
        <w:widowControl/>
        <w:wordWrap/>
        <w:autoSpaceDE/>
        <w:autoSpaceDN/>
        <w:snapToGrid w:val="0"/>
        <w:spacing w:line="360" w:lineRule="auto"/>
        <w:rPr>
          <w:rFonts w:ascii="Book Antiqua" w:eastAsia="HYSinMyeongJo-Medium" w:hAnsi="Book Antiqua" w:cs="Times New Roman"/>
          <w:snapToGrid w:val="0"/>
          <w:kern w:val="0"/>
          <w:sz w:val="24"/>
          <w:szCs w:val="24"/>
        </w:rPr>
      </w:pPr>
      <w:r w:rsidRPr="00BF3C3C">
        <w:rPr>
          <w:rFonts w:ascii="Book Antiqua" w:eastAsia="HYSinMyeongJo-Medium" w:hAnsi="Book Antiqua" w:cs="Times New Roman"/>
          <w:b/>
          <w:bCs/>
          <w:kern w:val="0"/>
          <w:sz w:val="24"/>
          <w:szCs w:val="24"/>
        </w:rPr>
        <w:br w:type="page"/>
      </w:r>
    </w:p>
    <w:p w:rsidR="002A4F8D" w:rsidRPr="00BF3C3C" w:rsidRDefault="002A4F8D" w:rsidP="002A4F8D">
      <w:pPr>
        <w:spacing w:line="360" w:lineRule="auto"/>
        <w:rPr>
          <w:rFonts w:ascii="Book Antiqua" w:hAnsi="Book Antiqua"/>
          <w:b/>
          <w:sz w:val="24"/>
          <w:szCs w:val="24"/>
        </w:rPr>
      </w:pPr>
      <w:bookmarkStart w:id="22" w:name="OLE_LINK13"/>
      <w:bookmarkStart w:id="23" w:name="OLE_LINK323"/>
      <w:bookmarkStart w:id="24" w:name="OLE_LINK349"/>
      <w:r w:rsidRPr="00BF3C3C">
        <w:rPr>
          <w:rFonts w:ascii="Book Antiqua" w:hAnsi="Book Antiqua"/>
          <w:b/>
          <w:sz w:val="24"/>
          <w:szCs w:val="24"/>
        </w:rPr>
        <w:lastRenderedPageBreak/>
        <w:t>COMMENTS</w:t>
      </w:r>
    </w:p>
    <w:p w:rsidR="002A4F8D" w:rsidRPr="00BF3C3C" w:rsidRDefault="002A4F8D" w:rsidP="002A4F8D">
      <w:pPr>
        <w:spacing w:line="360" w:lineRule="auto"/>
        <w:rPr>
          <w:rFonts w:ascii="Book Antiqua" w:hAnsi="Book Antiqua"/>
          <w:b/>
          <w:i/>
          <w:sz w:val="24"/>
          <w:szCs w:val="24"/>
        </w:rPr>
      </w:pPr>
      <w:r w:rsidRPr="00BF3C3C">
        <w:rPr>
          <w:rFonts w:ascii="Book Antiqua" w:hAnsi="Book Antiqua"/>
          <w:b/>
          <w:i/>
          <w:sz w:val="24"/>
          <w:szCs w:val="24"/>
        </w:rPr>
        <w:t>Background</w:t>
      </w:r>
    </w:p>
    <w:bookmarkEnd w:id="22"/>
    <w:bookmarkEnd w:id="23"/>
    <w:bookmarkEnd w:id="24"/>
    <w:p w:rsidR="000B751C" w:rsidRPr="00BF3C3C" w:rsidRDefault="000B751C" w:rsidP="000B751C">
      <w:pPr>
        <w:spacing w:line="360" w:lineRule="auto"/>
        <w:rPr>
          <w:rFonts w:ascii="Book Antiqua" w:eastAsia="HYSinMyeongJo-Medium" w:hAnsi="Book Antiqua" w:cs="Times New Roman"/>
          <w:snapToGrid w:val="0"/>
          <w:sz w:val="24"/>
          <w:szCs w:val="24"/>
        </w:rPr>
      </w:pPr>
      <w:r w:rsidRPr="00BF3C3C">
        <w:rPr>
          <w:rFonts w:ascii="Book Antiqua" w:eastAsia="HYSinMyeongJo-Medium" w:hAnsi="Book Antiqua" w:cs="Times New Roman"/>
          <w:snapToGrid w:val="0"/>
          <w:sz w:val="24"/>
          <w:szCs w:val="24"/>
        </w:rPr>
        <w:t xml:space="preserve">Bacterial overgrowth and proliferation in an intraluminal environment with a high pH is a well-recognized mechanism for the development of peritonitis, especially in </w:t>
      </w:r>
      <w:r w:rsidR="00CA6867" w:rsidRPr="00BF3C3C">
        <w:rPr>
          <w:rFonts w:ascii="Book Antiqua" w:eastAsia="HYSinMyeongJo-Medium" w:hAnsi="Book Antiqua" w:cs="Times New Roman"/>
          <w:snapToGrid w:val="0"/>
          <w:sz w:val="24"/>
          <w:szCs w:val="24"/>
        </w:rPr>
        <w:t>liver cirrhosis (LC)</w:t>
      </w:r>
      <w:r w:rsidR="00CA6867" w:rsidRPr="00BF3C3C">
        <w:rPr>
          <w:rFonts w:ascii="Book Antiqua" w:eastAsia="宋体" w:hAnsi="Book Antiqua" w:cs="Times New Roman" w:hint="eastAsia"/>
          <w:snapToGrid w:val="0"/>
          <w:sz w:val="24"/>
          <w:szCs w:val="24"/>
          <w:lang w:eastAsia="zh-CN"/>
        </w:rPr>
        <w:t xml:space="preserve"> </w:t>
      </w:r>
      <w:r w:rsidRPr="00BF3C3C">
        <w:rPr>
          <w:rFonts w:ascii="Book Antiqua" w:eastAsia="HYSinMyeongJo-Medium" w:hAnsi="Book Antiqua" w:cs="Times New Roman"/>
          <w:snapToGrid w:val="0"/>
          <w:sz w:val="24"/>
          <w:szCs w:val="24"/>
        </w:rPr>
        <w:t xml:space="preserve">patients. Several studies have investigated whether this mechanism causes peritoneal dialysis (PD)-related peritonitis, although conflicting results have been obtained for the association between acid suppressive therapy and PD-related peritonitis. In addition, previous studies have shown </w:t>
      </w:r>
      <w:r w:rsidRPr="00BF3C3C">
        <w:rPr>
          <w:rFonts w:ascii="Book Antiqua" w:eastAsia="HYSinMyeongJo-Medium" w:hAnsi="Book Antiqua" w:cs="Times New Roman"/>
          <w:sz w:val="24"/>
          <w:szCs w:val="24"/>
        </w:rPr>
        <w:t>an association between gastrointestinal dysmotility and spontaneous bacterial peritonitis in patients with LC, although no study was conducted to evaluate the association between prokinetics and PD-related peritonitis.</w:t>
      </w:r>
    </w:p>
    <w:p w:rsidR="000B751C" w:rsidRPr="00BF3C3C" w:rsidRDefault="000B751C" w:rsidP="000B751C">
      <w:pPr>
        <w:spacing w:line="360" w:lineRule="auto"/>
        <w:rPr>
          <w:rFonts w:ascii="Book Antiqua" w:hAnsi="Book Antiqua"/>
          <w:b/>
          <w:i/>
          <w:sz w:val="24"/>
          <w:szCs w:val="24"/>
        </w:rPr>
      </w:pPr>
    </w:p>
    <w:p w:rsidR="000B751C" w:rsidRPr="00BF3C3C" w:rsidRDefault="000B751C" w:rsidP="000B751C">
      <w:pPr>
        <w:spacing w:line="360" w:lineRule="auto"/>
        <w:rPr>
          <w:rFonts w:ascii="Book Antiqua" w:hAnsi="Book Antiqua"/>
          <w:b/>
          <w:i/>
          <w:sz w:val="24"/>
          <w:szCs w:val="24"/>
        </w:rPr>
      </w:pPr>
      <w:r w:rsidRPr="00BF3C3C">
        <w:rPr>
          <w:rFonts w:ascii="Book Antiqua" w:hAnsi="Book Antiqua"/>
          <w:b/>
          <w:i/>
          <w:sz w:val="24"/>
          <w:szCs w:val="24"/>
        </w:rPr>
        <w:t>Research frontiers</w:t>
      </w:r>
    </w:p>
    <w:p w:rsidR="000B751C" w:rsidRPr="00BF3C3C" w:rsidRDefault="000B751C" w:rsidP="000B751C">
      <w:pPr>
        <w:spacing w:line="360" w:lineRule="auto"/>
        <w:rPr>
          <w:rFonts w:ascii="Book Antiqua" w:eastAsia="HYSinMyeongJo-Medium" w:hAnsi="Book Antiqua" w:cs="Times New Roman"/>
          <w:sz w:val="24"/>
          <w:szCs w:val="24"/>
        </w:rPr>
      </w:pPr>
      <w:r w:rsidRPr="00BF3C3C">
        <w:rPr>
          <w:rFonts w:ascii="Book Antiqua" w:eastAsia="HYSinMyeongJo-Medium" w:hAnsi="Book Antiqua" w:cs="Times New Roman"/>
          <w:sz w:val="24"/>
          <w:szCs w:val="24"/>
        </w:rPr>
        <w:t>We sought to assess the effect of not only gastric acid suppressants but also prokinetics on PD-related peritonitis.</w:t>
      </w:r>
    </w:p>
    <w:p w:rsidR="000B751C" w:rsidRPr="00BF3C3C" w:rsidRDefault="000B751C" w:rsidP="000B751C">
      <w:pPr>
        <w:spacing w:line="360" w:lineRule="auto"/>
        <w:rPr>
          <w:rFonts w:ascii="Book Antiqua" w:hAnsi="Book Antiqua"/>
          <w:b/>
          <w:i/>
          <w:sz w:val="24"/>
          <w:szCs w:val="24"/>
        </w:rPr>
      </w:pPr>
    </w:p>
    <w:p w:rsidR="000B751C" w:rsidRPr="00BF3C3C" w:rsidRDefault="000B751C" w:rsidP="000B751C">
      <w:pPr>
        <w:spacing w:line="360" w:lineRule="auto"/>
        <w:rPr>
          <w:rFonts w:ascii="Book Antiqua" w:hAnsi="Book Antiqua"/>
          <w:b/>
          <w:i/>
          <w:sz w:val="24"/>
          <w:szCs w:val="24"/>
        </w:rPr>
      </w:pPr>
      <w:r w:rsidRPr="00BF3C3C">
        <w:rPr>
          <w:rFonts w:ascii="Book Antiqua" w:hAnsi="Book Antiqua"/>
          <w:b/>
          <w:i/>
          <w:sz w:val="24"/>
          <w:szCs w:val="24"/>
        </w:rPr>
        <w:t>Innovations and breakthroughs</w:t>
      </w:r>
    </w:p>
    <w:p w:rsidR="000B751C" w:rsidRPr="00BF3C3C" w:rsidRDefault="000B751C" w:rsidP="000B751C">
      <w:pPr>
        <w:spacing w:line="360" w:lineRule="auto"/>
        <w:rPr>
          <w:rFonts w:ascii="Book Antiqua" w:eastAsia="HYSinMyeongJo-Medium" w:hAnsi="Book Antiqua" w:cs="Times New Roman"/>
          <w:snapToGrid w:val="0"/>
          <w:sz w:val="24"/>
          <w:szCs w:val="24"/>
        </w:rPr>
      </w:pPr>
      <w:r w:rsidRPr="00BF3C3C">
        <w:rPr>
          <w:rFonts w:ascii="Book Antiqua" w:eastAsia="HYSinMyeongJo-Medium" w:hAnsi="Book Antiqua" w:cs="Times New Roman"/>
          <w:snapToGrid w:val="0"/>
          <w:sz w:val="24"/>
          <w:szCs w:val="24"/>
        </w:rPr>
        <w:t xml:space="preserve">In the present study, </w:t>
      </w:r>
      <w:r w:rsidR="00CA6867" w:rsidRPr="00BF3C3C">
        <w:rPr>
          <w:rFonts w:ascii="Book Antiqua" w:hAnsi="Book Antiqua"/>
          <w:sz w:val="24"/>
          <w:szCs w:val="24"/>
        </w:rPr>
        <w:t>Histamine 2 receptor blocker (H2B)</w:t>
      </w:r>
      <w:r w:rsidR="00CA6867" w:rsidRPr="00BF3C3C">
        <w:rPr>
          <w:rFonts w:ascii="Book Antiqua" w:eastAsia="宋体" w:hAnsi="Book Antiqua" w:hint="eastAsia"/>
          <w:sz w:val="24"/>
          <w:szCs w:val="24"/>
          <w:lang w:eastAsia="zh-CN"/>
        </w:rPr>
        <w:t xml:space="preserve"> </w:t>
      </w:r>
      <w:r w:rsidRPr="00BF3C3C">
        <w:rPr>
          <w:rFonts w:ascii="Book Antiqua" w:eastAsia="HYSinMyeongJo-Medium" w:hAnsi="Book Antiqua" w:cs="Times New Roman"/>
          <w:snapToGrid w:val="0"/>
          <w:sz w:val="24"/>
          <w:szCs w:val="24"/>
        </w:rPr>
        <w:t xml:space="preserve">use, but not </w:t>
      </w:r>
      <w:r w:rsidR="00CA6867" w:rsidRPr="00BF3C3C">
        <w:rPr>
          <w:rFonts w:ascii="Book Antiqua" w:eastAsia="HYSinMyeongJo-Medium" w:hAnsi="Book Antiqua" w:cs="Times New Roman"/>
          <w:snapToGrid w:val="0"/>
          <w:sz w:val="24"/>
          <w:szCs w:val="24"/>
        </w:rPr>
        <w:t>proton pump inhibitors (PPIs)</w:t>
      </w:r>
      <w:r w:rsidR="00CA6867" w:rsidRPr="00BF3C3C">
        <w:rPr>
          <w:rFonts w:ascii="Book Antiqua" w:eastAsia="宋体" w:hAnsi="Book Antiqua" w:cs="Times New Roman" w:hint="eastAsia"/>
          <w:snapToGrid w:val="0"/>
          <w:sz w:val="24"/>
          <w:szCs w:val="24"/>
          <w:lang w:eastAsia="zh-CN"/>
        </w:rPr>
        <w:t xml:space="preserve"> </w:t>
      </w:r>
      <w:r w:rsidRPr="00BF3C3C">
        <w:rPr>
          <w:rFonts w:ascii="Book Antiqua" w:eastAsia="HYSinMyeongJo-Medium" w:hAnsi="Book Antiqua" w:cs="Times New Roman"/>
          <w:snapToGrid w:val="0"/>
          <w:sz w:val="24"/>
          <w:szCs w:val="24"/>
        </w:rPr>
        <w:t xml:space="preserve">or prokinetics use, was identified as an independent risk factor for the development of PD-related peritonitis after adjusting for variable factors. This study was superior to previous studies in the following aspects. First, we carefully excluded patients with LC or previous antibiotic use. Furthermore, </w:t>
      </w:r>
      <w:r w:rsidRPr="00BF3C3C">
        <w:rPr>
          <w:rFonts w:ascii="Book Antiqua" w:hAnsi="Book Antiqua" w:cs="Times New Roman"/>
          <w:sz w:val="24"/>
          <w:szCs w:val="24"/>
        </w:rPr>
        <w:t xml:space="preserve">we performed multiple logistic regression analysis using various clinical factors such as the use of immunosuppressive agents and prokinetics, thus eliminating confounding factors. </w:t>
      </w:r>
      <w:r w:rsidRPr="00BF3C3C">
        <w:rPr>
          <w:rFonts w:ascii="Book Antiqua" w:eastAsia="Arial Unicode MS" w:hAnsi="Book Antiqua" w:cs="Times New Roman"/>
          <w:sz w:val="24"/>
          <w:szCs w:val="24"/>
        </w:rPr>
        <w:t>Second, a complete history of H2B and PPI use was obtained, as both required a prescription in Korea during the study period</w:t>
      </w:r>
      <w:r w:rsidRPr="00BF3C3C">
        <w:rPr>
          <w:rFonts w:ascii="Book Antiqua" w:hAnsi="Book Antiqua" w:cs="Times New Roman"/>
          <w:sz w:val="24"/>
          <w:szCs w:val="24"/>
        </w:rPr>
        <w:t>.</w:t>
      </w:r>
    </w:p>
    <w:p w:rsidR="000B751C" w:rsidRPr="00BF3C3C" w:rsidRDefault="000B751C" w:rsidP="000B751C">
      <w:pPr>
        <w:spacing w:line="360" w:lineRule="auto"/>
        <w:rPr>
          <w:rFonts w:ascii="Book Antiqua" w:hAnsi="Book Antiqua"/>
          <w:b/>
          <w:i/>
          <w:sz w:val="24"/>
          <w:szCs w:val="24"/>
        </w:rPr>
      </w:pPr>
    </w:p>
    <w:p w:rsidR="000B751C" w:rsidRPr="00BF3C3C" w:rsidRDefault="000B751C" w:rsidP="000B751C">
      <w:pPr>
        <w:spacing w:line="360" w:lineRule="auto"/>
        <w:rPr>
          <w:rFonts w:ascii="Book Antiqua" w:hAnsi="Book Antiqua"/>
          <w:b/>
          <w:i/>
          <w:sz w:val="24"/>
          <w:szCs w:val="24"/>
        </w:rPr>
      </w:pPr>
      <w:r w:rsidRPr="00BF3C3C">
        <w:rPr>
          <w:rFonts w:ascii="Book Antiqua" w:hAnsi="Book Antiqua"/>
          <w:b/>
          <w:i/>
          <w:sz w:val="24"/>
          <w:szCs w:val="24"/>
        </w:rPr>
        <w:t>Applications</w:t>
      </w:r>
    </w:p>
    <w:p w:rsidR="000B751C" w:rsidRPr="00BF3C3C" w:rsidRDefault="000B751C" w:rsidP="000B751C">
      <w:pPr>
        <w:spacing w:line="360" w:lineRule="auto"/>
        <w:rPr>
          <w:rFonts w:ascii="Book Antiqua" w:hAnsi="Book Antiqua" w:cs="Times New Roman"/>
          <w:snapToGrid w:val="0"/>
          <w:kern w:val="0"/>
          <w:sz w:val="24"/>
          <w:szCs w:val="24"/>
        </w:rPr>
      </w:pPr>
      <w:r w:rsidRPr="00BF3C3C">
        <w:rPr>
          <w:rFonts w:ascii="Book Antiqua" w:hAnsi="Book Antiqua"/>
          <w:sz w:val="24"/>
          <w:szCs w:val="24"/>
        </w:rPr>
        <w:t xml:space="preserve">The study results suggest that </w:t>
      </w:r>
      <w:r w:rsidRPr="00BF3C3C">
        <w:rPr>
          <w:rFonts w:ascii="Book Antiqua" w:eastAsia="HYSinMyeongJo-Medium" w:hAnsi="Book Antiqua" w:cs="Times New Roman"/>
          <w:snapToGrid w:val="0"/>
          <w:kern w:val="0"/>
          <w:sz w:val="24"/>
          <w:szCs w:val="24"/>
        </w:rPr>
        <w:t>H2Bs tend to increase the risk of PD-related peritonitis, whereas PPIs and prokinetics do not</w:t>
      </w:r>
      <w:r w:rsidRPr="00BF3C3C">
        <w:rPr>
          <w:rFonts w:ascii="Book Antiqua" w:hAnsi="Book Antiqua" w:cs="Times New Roman"/>
          <w:snapToGrid w:val="0"/>
          <w:kern w:val="0"/>
          <w:sz w:val="24"/>
          <w:szCs w:val="24"/>
        </w:rPr>
        <w:t>.</w:t>
      </w:r>
    </w:p>
    <w:p w:rsidR="000B751C" w:rsidRPr="00BF3C3C" w:rsidRDefault="000B751C" w:rsidP="000B751C">
      <w:pPr>
        <w:spacing w:line="360" w:lineRule="auto"/>
        <w:rPr>
          <w:rFonts w:ascii="Book Antiqua" w:hAnsi="Book Antiqua"/>
          <w:sz w:val="24"/>
          <w:szCs w:val="24"/>
        </w:rPr>
      </w:pPr>
    </w:p>
    <w:p w:rsidR="000B751C" w:rsidRPr="00BF3C3C" w:rsidRDefault="000B751C" w:rsidP="000B751C">
      <w:pPr>
        <w:spacing w:line="360" w:lineRule="auto"/>
        <w:rPr>
          <w:rFonts w:ascii="Book Antiqua" w:hAnsi="Book Antiqua"/>
          <w:b/>
          <w:i/>
          <w:sz w:val="24"/>
          <w:szCs w:val="24"/>
        </w:rPr>
      </w:pPr>
      <w:r w:rsidRPr="00BF3C3C">
        <w:rPr>
          <w:rFonts w:ascii="Book Antiqua" w:hAnsi="Book Antiqua"/>
          <w:b/>
          <w:i/>
          <w:sz w:val="24"/>
          <w:szCs w:val="24"/>
        </w:rPr>
        <w:t>Terminology</w:t>
      </w:r>
    </w:p>
    <w:p w:rsidR="000B751C" w:rsidRPr="00BF3C3C" w:rsidRDefault="00CA6867" w:rsidP="000B751C">
      <w:pPr>
        <w:spacing w:line="360" w:lineRule="auto"/>
        <w:rPr>
          <w:rFonts w:ascii="Book Antiqua" w:hAnsi="Book Antiqua"/>
          <w:b/>
          <w:i/>
          <w:sz w:val="24"/>
          <w:szCs w:val="24"/>
        </w:rPr>
      </w:pPr>
      <w:r w:rsidRPr="00BF3C3C">
        <w:rPr>
          <w:rFonts w:ascii="Book Antiqua" w:hAnsi="Book Antiqua"/>
          <w:sz w:val="24"/>
          <w:szCs w:val="24"/>
        </w:rPr>
        <w:t>PPI</w:t>
      </w:r>
      <w:r w:rsidR="000B751C" w:rsidRPr="00BF3C3C">
        <w:rPr>
          <w:rFonts w:ascii="Book Antiqua" w:hAnsi="Book Antiqua"/>
          <w:sz w:val="24"/>
          <w:szCs w:val="24"/>
        </w:rPr>
        <w:t xml:space="preserve">: a class of drugs whose main action is a pronounced and long-lasting reduction of gastric acid production; </w:t>
      </w:r>
      <w:r w:rsidRPr="00BF3C3C">
        <w:rPr>
          <w:rFonts w:ascii="Book Antiqua" w:hAnsi="Book Antiqua"/>
          <w:sz w:val="24"/>
          <w:szCs w:val="24"/>
        </w:rPr>
        <w:t>H2B</w:t>
      </w:r>
      <w:r w:rsidR="000B751C" w:rsidRPr="00BF3C3C">
        <w:rPr>
          <w:rFonts w:ascii="Book Antiqua" w:hAnsi="Book Antiqua"/>
          <w:sz w:val="24"/>
          <w:szCs w:val="24"/>
        </w:rPr>
        <w:t>: a group of drugs used to block the action of histamine on parietal cells in the stomach, decreasing the production of acid by these cells; Prokinetics: a type of drug that enhances gastrointestinal motility by increasing the frequency of contractions in the small intestine or making them stronger.</w:t>
      </w:r>
    </w:p>
    <w:p w:rsidR="000B751C" w:rsidRPr="00BF3C3C" w:rsidRDefault="000B751C" w:rsidP="000B751C">
      <w:pPr>
        <w:spacing w:line="360" w:lineRule="auto"/>
        <w:rPr>
          <w:rFonts w:ascii="Book Antiqua" w:hAnsi="Book Antiqua"/>
          <w:b/>
          <w:i/>
          <w:sz w:val="24"/>
          <w:szCs w:val="24"/>
        </w:rPr>
      </w:pPr>
    </w:p>
    <w:p w:rsidR="000B751C" w:rsidRPr="00BF3C3C" w:rsidRDefault="000B751C" w:rsidP="000B751C">
      <w:pPr>
        <w:spacing w:line="360" w:lineRule="auto"/>
        <w:rPr>
          <w:rFonts w:ascii="Book Antiqua" w:hAnsi="Book Antiqua"/>
          <w:b/>
          <w:i/>
          <w:sz w:val="24"/>
          <w:szCs w:val="24"/>
        </w:rPr>
      </w:pPr>
      <w:r w:rsidRPr="00BF3C3C">
        <w:rPr>
          <w:rFonts w:ascii="Book Antiqua" w:hAnsi="Book Antiqua"/>
          <w:b/>
          <w:i/>
          <w:sz w:val="24"/>
          <w:szCs w:val="24"/>
        </w:rPr>
        <w:t>Peer review</w:t>
      </w:r>
    </w:p>
    <w:p w:rsidR="000B751C" w:rsidRPr="00BF3C3C" w:rsidRDefault="000B751C" w:rsidP="000B751C">
      <w:pPr>
        <w:wordWrap/>
        <w:spacing w:line="360" w:lineRule="auto"/>
        <w:rPr>
          <w:rFonts w:ascii="Book Antiqua" w:eastAsia="宋体" w:hAnsi="Book Antiqua" w:cs="Times New Roman"/>
          <w:sz w:val="24"/>
          <w:szCs w:val="24"/>
          <w:lang w:eastAsia="zh-CN"/>
        </w:rPr>
      </w:pPr>
      <w:r w:rsidRPr="00BF3C3C">
        <w:rPr>
          <w:rFonts w:ascii="Book Antiqua" w:eastAsia="宋体" w:hAnsi="Book Antiqua" w:cs="Times New Roman"/>
          <w:sz w:val="24"/>
          <w:szCs w:val="24"/>
          <w:lang w:eastAsia="zh-CN"/>
        </w:rPr>
        <w:t>The author</w:t>
      </w:r>
      <w:r w:rsidRPr="00BF3C3C">
        <w:rPr>
          <w:rFonts w:ascii="Book Antiqua" w:hAnsi="Book Antiqua" w:cs="Times New Roman"/>
          <w:sz w:val="24"/>
          <w:szCs w:val="24"/>
        </w:rPr>
        <w:t>s</w:t>
      </w:r>
      <w:r w:rsidRPr="00BF3C3C">
        <w:rPr>
          <w:rFonts w:ascii="Book Antiqua" w:eastAsia="宋体" w:hAnsi="Book Antiqua" w:cs="Times New Roman"/>
          <w:sz w:val="24"/>
          <w:szCs w:val="24"/>
          <w:lang w:eastAsia="zh-CN"/>
        </w:rPr>
        <w:t xml:space="preserve"> have studied "The Effect of Gastric Acid Suppressants and Prokinetics on Peritoneal Dialysis-related Peritonitis". Peritonitis is a very important event in PD patients and may lead to technique failure in many patients. The authors’ study was a retrospective analysis, and a small number of patients were included in the study. The concept is also not new, but may provide useful information for clinicians.</w:t>
      </w:r>
    </w:p>
    <w:p w:rsidR="000B751C" w:rsidRPr="00BF3C3C" w:rsidRDefault="000B751C" w:rsidP="002A4F8D">
      <w:pPr>
        <w:wordWrap/>
        <w:spacing w:line="360" w:lineRule="auto"/>
        <w:rPr>
          <w:rFonts w:ascii="Book Antiqua" w:hAnsi="Book Antiqua" w:cs="Times New Roman"/>
          <w:b/>
          <w:caps/>
          <w:sz w:val="24"/>
          <w:szCs w:val="24"/>
        </w:rPr>
      </w:pPr>
    </w:p>
    <w:p w:rsidR="000B751C" w:rsidRPr="00BF3C3C" w:rsidRDefault="000B751C">
      <w:pPr>
        <w:widowControl/>
        <w:wordWrap/>
        <w:autoSpaceDE/>
        <w:autoSpaceDN/>
        <w:jc w:val="left"/>
        <w:rPr>
          <w:rFonts w:ascii="Book Antiqua" w:hAnsi="Book Antiqua" w:cs="Times New Roman"/>
          <w:b/>
          <w:caps/>
          <w:sz w:val="24"/>
          <w:szCs w:val="24"/>
        </w:rPr>
      </w:pPr>
      <w:r w:rsidRPr="00BF3C3C">
        <w:rPr>
          <w:rFonts w:ascii="Book Antiqua" w:hAnsi="Book Antiqua" w:cs="Times New Roman"/>
          <w:b/>
          <w:caps/>
          <w:sz w:val="24"/>
          <w:szCs w:val="24"/>
        </w:rPr>
        <w:br w:type="page"/>
      </w:r>
    </w:p>
    <w:p w:rsidR="009C7B7B" w:rsidRPr="00BF3C3C" w:rsidRDefault="009C7B7B" w:rsidP="002A4F8D">
      <w:pPr>
        <w:wordWrap/>
        <w:spacing w:line="360" w:lineRule="auto"/>
        <w:rPr>
          <w:rFonts w:ascii="Book Antiqua" w:hAnsi="Book Antiqua" w:cs="Times New Roman"/>
          <w:b/>
          <w:caps/>
          <w:sz w:val="24"/>
          <w:szCs w:val="24"/>
        </w:rPr>
      </w:pPr>
      <w:r w:rsidRPr="00BF3C3C">
        <w:rPr>
          <w:rFonts w:ascii="Book Antiqua" w:hAnsi="Book Antiqua" w:cs="Times New Roman"/>
          <w:b/>
          <w:caps/>
          <w:sz w:val="24"/>
          <w:szCs w:val="24"/>
        </w:rPr>
        <w:lastRenderedPageBreak/>
        <w:t>References</w:t>
      </w:r>
    </w:p>
    <w:p w:rsidR="00AF2DB1" w:rsidRPr="00816912" w:rsidRDefault="00AF2DB1" w:rsidP="00AF2DB1">
      <w:pPr>
        <w:widowControl/>
        <w:spacing w:line="360" w:lineRule="auto"/>
        <w:rPr>
          <w:rFonts w:ascii="Book Antiqua" w:eastAsia="宋体" w:hAnsi="Book Antiqua" w:cs="宋体"/>
          <w:kern w:val="0"/>
          <w:sz w:val="24"/>
          <w:szCs w:val="24"/>
        </w:rPr>
      </w:pPr>
      <w:bookmarkStart w:id="25" w:name="OLE_LINK139"/>
      <w:bookmarkStart w:id="26" w:name="OLE_LINK142"/>
      <w:bookmarkStart w:id="27" w:name="OLE_LINK144"/>
      <w:bookmarkStart w:id="28" w:name="OLE_LINK187"/>
      <w:bookmarkStart w:id="29" w:name="OLE_LINK235"/>
      <w:bookmarkStart w:id="30" w:name="OLE_LINK239"/>
      <w:bookmarkStart w:id="31" w:name="OLE_LINK248"/>
      <w:bookmarkStart w:id="32" w:name="OLE_LINK253"/>
      <w:bookmarkStart w:id="33" w:name="OLE_LINK322"/>
      <w:r w:rsidRPr="00816912">
        <w:rPr>
          <w:rFonts w:ascii="Book Antiqua" w:eastAsia="宋体" w:hAnsi="Book Antiqua" w:cs="宋体"/>
          <w:kern w:val="0"/>
          <w:sz w:val="24"/>
          <w:szCs w:val="24"/>
        </w:rPr>
        <w:t>1 </w:t>
      </w:r>
      <w:r w:rsidRPr="00816912">
        <w:rPr>
          <w:rFonts w:ascii="Book Antiqua" w:eastAsia="宋体" w:hAnsi="Book Antiqua" w:cs="宋体"/>
          <w:b/>
          <w:bCs/>
          <w:kern w:val="0"/>
          <w:sz w:val="24"/>
          <w:szCs w:val="24"/>
        </w:rPr>
        <w:t>Brown F</w:t>
      </w:r>
      <w:r w:rsidRPr="00816912">
        <w:rPr>
          <w:rFonts w:ascii="Book Antiqua" w:eastAsia="宋体" w:hAnsi="Book Antiqua" w:cs="宋体"/>
          <w:kern w:val="0"/>
          <w:sz w:val="24"/>
          <w:szCs w:val="24"/>
        </w:rPr>
        <w:t>, Liu WJ, Kotsanas D, Korman TM, Atkins RC. A quarter of a century of adult peritoneal dialysis-related peritonitis at an Australian medical center. </w:t>
      </w:r>
      <w:r w:rsidRPr="00816912">
        <w:rPr>
          <w:rFonts w:ascii="Book Antiqua" w:eastAsia="宋体" w:hAnsi="Book Antiqua" w:cs="宋体"/>
          <w:i/>
          <w:iCs/>
          <w:kern w:val="0"/>
          <w:sz w:val="24"/>
          <w:szCs w:val="24"/>
        </w:rPr>
        <w:t>Perit Dial Int</w:t>
      </w:r>
      <w:r w:rsidRPr="00816912">
        <w:rPr>
          <w:rFonts w:ascii="Book Antiqua" w:eastAsia="宋体" w:hAnsi="Book Antiqua" w:cs="宋体"/>
          <w:kern w:val="0"/>
          <w:sz w:val="24"/>
          <w:szCs w:val="24"/>
        </w:rPr>
        <w:t> </w:t>
      </w:r>
      <w:r>
        <w:rPr>
          <w:rFonts w:ascii="Book Antiqua" w:eastAsia="宋体" w:hAnsi="Book Antiqua" w:cs="宋体" w:hint="eastAsia"/>
          <w:kern w:val="0"/>
          <w:sz w:val="24"/>
          <w:szCs w:val="24"/>
        </w:rPr>
        <w:t>2007</w:t>
      </w:r>
      <w:r w:rsidRPr="00816912">
        <w:rPr>
          <w:rFonts w:ascii="Book Antiqua" w:eastAsia="宋体" w:hAnsi="Book Antiqua" w:cs="宋体"/>
          <w:kern w:val="0"/>
          <w:sz w:val="24"/>
          <w:szCs w:val="24"/>
        </w:rPr>
        <w:t>; </w:t>
      </w:r>
      <w:r w:rsidRPr="00816912">
        <w:rPr>
          <w:rFonts w:ascii="Book Antiqua" w:eastAsia="宋体" w:hAnsi="Book Antiqua" w:cs="宋体"/>
          <w:b/>
          <w:bCs/>
          <w:kern w:val="0"/>
          <w:sz w:val="24"/>
          <w:szCs w:val="24"/>
        </w:rPr>
        <w:t>27</w:t>
      </w:r>
      <w:r w:rsidRPr="00816912">
        <w:rPr>
          <w:rFonts w:ascii="Book Antiqua" w:eastAsia="宋体" w:hAnsi="Book Antiqua" w:cs="宋体"/>
          <w:kern w:val="0"/>
          <w:sz w:val="24"/>
          <w:szCs w:val="24"/>
        </w:rPr>
        <w:t>: 565-574 [PMID: 17704449]</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2 </w:t>
      </w:r>
      <w:r w:rsidRPr="00816912">
        <w:rPr>
          <w:rFonts w:ascii="Book Antiqua" w:eastAsia="宋体" w:hAnsi="Book Antiqua" w:cs="宋体"/>
          <w:b/>
          <w:bCs/>
          <w:kern w:val="0"/>
          <w:sz w:val="24"/>
          <w:szCs w:val="24"/>
        </w:rPr>
        <w:t>Li PK</w:t>
      </w:r>
      <w:r w:rsidRPr="00816912">
        <w:rPr>
          <w:rFonts w:ascii="Book Antiqua" w:eastAsia="宋体" w:hAnsi="Book Antiqua" w:cs="宋体"/>
          <w:kern w:val="0"/>
          <w:sz w:val="24"/>
          <w:szCs w:val="24"/>
        </w:rPr>
        <w:t>, Szeto CC, Piraino B, Bernardini J, Figueiredo AE, Gupta A, Johnson DW, Kuijper EJ, Lye WC, Salzer W, Schaefer F, Struijk DG. Peritoneal dialysis-related infections recommendations: 2010 update. </w:t>
      </w:r>
      <w:r w:rsidRPr="00816912">
        <w:rPr>
          <w:rFonts w:ascii="Book Antiqua" w:eastAsia="宋体" w:hAnsi="Book Antiqua" w:cs="宋体"/>
          <w:i/>
          <w:iCs/>
          <w:kern w:val="0"/>
          <w:sz w:val="24"/>
          <w:szCs w:val="24"/>
        </w:rPr>
        <w:t>Perit Dial Int</w:t>
      </w:r>
      <w:r w:rsidRPr="00816912">
        <w:rPr>
          <w:rFonts w:ascii="Book Antiqua" w:eastAsia="宋体" w:hAnsi="Book Antiqua" w:cs="宋体"/>
          <w:kern w:val="0"/>
          <w:sz w:val="24"/>
          <w:szCs w:val="24"/>
        </w:rPr>
        <w:t> </w:t>
      </w:r>
      <w:r>
        <w:rPr>
          <w:rFonts w:ascii="Book Antiqua" w:eastAsia="宋体" w:hAnsi="Book Antiqua" w:cs="宋体" w:hint="eastAsia"/>
          <w:kern w:val="0"/>
          <w:sz w:val="24"/>
          <w:szCs w:val="24"/>
        </w:rPr>
        <w:t>2010</w:t>
      </w:r>
      <w:r w:rsidRPr="00816912">
        <w:rPr>
          <w:rFonts w:ascii="Book Antiqua" w:eastAsia="宋体" w:hAnsi="Book Antiqua" w:cs="宋体"/>
          <w:kern w:val="0"/>
          <w:sz w:val="24"/>
          <w:szCs w:val="24"/>
        </w:rPr>
        <w:t>; </w:t>
      </w:r>
      <w:r w:rsidRPr="00816912">
        <w:rPr>
          <w:rFonts w:ascii="Book Antiqua" w:eastAsia="宋体" w:hAnsi="Book Antiqua" w:cs="宋体"/>
          <w:b/>
          <w:bCs/>
          <w:kern w:val="0"/>
          <w:sz w:val="24"/>
          <w:szCs w:val="24"/>
        </w:rPr>
        <w:t>30</w:t>
      </w:r>
      <w:r w:rsidRPr="00816912">
        <w:rPr>
          <w:rFonts w:ascii="Book Antiqua" w:eastAsia="宋体" w:hAnsi="Book Antiqua" w:cs="宋体"/>
          <w:kern w:val="0"/>
          <w:sz w:val="24"/>
          <w:szCs w:val="24"/>
        </w:rPr>
        <w:t>: 393-423 [PMID: 20628102 DOI: 10.3747/pdi.2010.00049]</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3 </w:t>
      </w:r>
      <w:r w:rsidRPr="00816912">
        <w:rPr>
          <w:rFonts w:ascii="Book Antiqua" w:eastAsia="宋体" w:hAnsi="Book Antiqua" w:cs="宋体"/>
          <w:b/>
          <w:bCs/>
          <w:kern w:val="0"/>
          <w:sz w:val="24"/>
          <w:szCs w:val="24"/>
        </w:rPr>
        <w:t>Farias MG</w:t>
      </w:r>
      <w:r w:rsidRPr="00816912">
        <w:rPr>
          <w:rFonts w:ascii="Book Antiqua" w:eastAsia="宋体" w:hAnsi="Book Antiqua" w:cs="宋体"/>
          <w:kern w:val="0"/>
          <w:sz w:val="24"/>
          <w:szCs w:val="24"/>
        </w:rPr>
        <w:t>, Soucie JM, McClellan W, Mitch WE. Race and the risk of peritonitis: an analysis of factors associated with the initial episode. </w:t>
      </w:r>
      <w:r w:rsidRPr="00816912">
        <w:rPr>
          <w:rFonts w:ascii="Book Antiqua" w:eastAsia="宋体" w:hAnsi="Book Antiqua" w:cs="宋体"/>
          <w:i/>
          <w:iCs/>
          <w:kern w:val="0"/>
          <w:sz w:val="24"/>
          <w:szCs w:val="24"/>
        </w:rPr>
        <w:t>Kidney Int</w:t>
      </w:r>
      <w:r w:rsidRPr="00816912">
        <w:rPr>
          <w:rFonts w:ascii="Book Antiqua" w:eastAsia="宋体" w:hAnsi="Book Antiqua" w:cs="宋体"/>
          <w:kern w:val="0"/>
          <w:sz w:val="24"/>
          <w:szCs w:val="24"/>
        </w:rPr>
        <w:t> 1994; </w:t>
      </w:r>
      <w:r w:rsidRPr="00816912">
        <w:rPr>
          <w:rFonts w:ascii="Book Antiqua" w:eastAsia="宋体" w:hAnsi="Book Antiqua" w:cs="宋体"/>
          <w:b/>
          <w:bCs/>
          <w:kern w:val="0"/>
          <w:sz w:val="24"/>
          <w:szCs w:val="24"/>
        </w:rPr>
        <w:t>46</w:t>
      </w:r>
      <w:r w:rsidRPr="00816912">
        <w:rPr>
          <w:rFonts w:ascii="Book Antiqua" w:eastAsia="宋体" w:hAnsi="Book Antiqua" w:cs="宋体"/>
          <w:kern w:val="0"/>
          <w:sz w:val="24"/>
          <w:szCs w:val="24"/>
        </w:rPr>
        <w:t>: 1392-1396 [PMID: 7853799</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rPr>
        <w:t>DOI</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rPr>
        <w:t>10.1038/ki.1994.410</w:t>
      </w:r>
      <w:r w:rsidRPr="00816912">
        <w:rPr>
          <w:rFonts w:ascii="Book Antiqua" w:eastAsia="宋体" w:hAnsi="Book Antiqua" w:cs="宋体"/>
          <w:kern w:val="0"/>
          <w:sz w:val="24"/>
          <w:szCs w:val="24"/>
        </w:rPr>
        <w:t>]</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4 </w:t>
      </w:r>
      <w:r w:rsidRPr="00816912">
        <w:rPr>
          <w:rFonts w:ascii="Book Antiqua" w:eastAsia="宋体" w:hAnsi="Book Antiqua" w:cs="宋体"/>
          <w:b/>
          <w:bCs/>
          <w:kern w:val="0"/>
          <w:sz w:val="24"/>
          <w:szCs w:val="24"/>
        </w:rPr>
        <w:t>McDonald SP</w:t>
      </w:r>
      <w:r w:rsidRPr="00816912">
        <w:rPr>
          <w:rFonts w:ascii="Book Antiqua" w:eastAsia="宋体" w:hAnsi="Book Antiqua" w:cs="宋体"/>
          <w:kern w:val="0"/>
          <w:sz w:val="24"/>
          <w:szCs w:val="24"/>
        </w:rPr>
        <w:t>, Collins JF, Rumpsfeld M, Johnson DW. Obesity is a risk factor for peritonitis in the Australian and New Zealand peritoneal dialysis patient populations. </w:t>
      </w:r>
      <w:r w:rsidRPr="00816912">
        <w:rPr>
          <w:rFonts w:ascii="Book Antiqua" w:eastAsia="宋体" w:hAnsi="Book Antiqua" w:cs="宋体"/>
          <w:i/>
          <w:iCs/>
          <w:kern w:val="0"/>
          <w:sz w:val="24"/>
          <w:szCs w:val="24"/>
        </w:rPr>
        <w:t>Perit Dial Int</w:t>
      </w:r>
      <w:r w:rsidRPr="00816912">
        <w:rPr>
          <w:rFonts w:ascii="Book Antiqua" w:eastAsia="宋体" w:hAnsi="Book Antiqua" w:cs="宋体"/>
          <w:kern w:val="0"/>
          <w:sz w:val="24"/>
          <w:szCs w:val="24"/>
        </w:rPr>
        <w:t> </w:t>
      </w:r>
      <w:r>
        <w:rPr>
          <w:rFonts w:ascii="Book Antiqua" w:eastAsia="宋体" w:hAnsi="Book Antiqua" w:cs="宋体" w:hint="eastAsia"/>
          <w:kern w:val="0"/>
          <w:sz w:val="24"/>
          <w:szCs w:val="24"/>
        </w:rPr>
        <w:t>2004</w:t>
      </w:r>
      <w:r w:rsidRPr="00816912">
        <w:rPr>
          <w:rFonts w:ascii="Book Antiqua" w:eastAsia="宋体" w:hAnsi="Book Antiqua" w:cs="宋体"/>
          <w:kern w:val="0"/>
          <w:sz w:val="24"/>
          <w:szCs w:val="24"/>
        </w:rPr>
        <w:t>; </w:t>
      </w:r>
      <w:r w:rsidRPr="00816912">
        <w:rPr>
          <w:rFonts w:ascii="Book Antiqua" w:eastAsia="宋体" w:hAnsi="Book Antiqua" w:cs="宋体"/>
          <w:b/>
          <w:bCs/>
          <w:kern w:val="0"/>
          <w:sz w:val="24"/>
          <w:szCs w:val="24"/>
        </w:rPr>
        <w:t>24</w:t>
      </w:r>
      <w:r w:rsidRPr="00816912">
        <w:rPr>
          <w:rFonts w:ascii="Book Antiqua" w:eastAsia="宋体" w:hAnsi="Book Antiqua" w:cs="宋体"/>
          <w:kern w:val="0"/>
          <w:sz w:val="24"/>
          <w:szCs w:val="24"/>
        </w:rPr>
        <w:t>: 340-346 [PMID: 15335147]</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5 </w:t>
      </w:r>
      <w:r w:rsidRPr="00816912">
        <w:rPr>
          <w:rFonts w:ascii="Book Antiqua" w:eastAsia="宋体" w:hAnsi="Book Antiqua" w:cs="宋体"/>
          <w:b/>
          <w:bCs/>
          <w:kern w:val="0"/>
          <w:sz w:val="24"/>
          <w:szCs w:val="24"/>
        </w:rPr>
        <w:t>Tranaeus A</w:t>
      </w:r>
      <w:r w:rsidRPr="00816912">
        <w:rPr>
          <w:rFonts w:ascii="Book Antiqua" w:eastAsia="宋体" w:hAnsi="Book Antiqua" w:cs="宋体"/>
          <w:kern w:val="0"/>
          <w:sz w:val="24"/>
          <w:szCs w:val="24"/>
        </w:rPr>
        <w:t>, Heimbürger O, Granqvist S. Diverticular disease of the colon: a risk factor for peritonitis in continuous peritoneal dialysis. </w:t>
      </w:r>
      <w:r w:rsidRPr="00816912">
        <w:rPr>
          <w:rFonts w:ascii="Book Antiqua" w:eastAsia="宋体" w:hAnsi="Book Antiqua" w:cs="宋体"/>
          <w:i/>
          <w:iCs/>
          <w:kern w:val="0"/>
          <w:sz w:val="24"/>
          <w:szCs w:val="24"/>
        </w:rPr>
        <w:t>Nephrol Dial Transplant</w:t>
      </w:r>
      <w:r w:rsidRPr="00816912">
        <w:rPr>
          <w:rFonts w:ascii="Book Antiqua" w:eastAsia="宋体" w:hAnsi="Book Antiqua" w:cs="宋体"/>
          <w:kern w:val="0"/>
          <w:sz w:val="24"/>
          <w:szCs w:val="24"/>
        </w:rPr>
        <w:t> 1990; </w:t>
      </w:r>
      <w:r w:rsidRPr="00816912">
        <w:rPr>
          <w:rFonts w:ascii="Book Antiqua" w:eastAsia="宋体" w:hAnsi="Book Antiqua" w:cs="宋体"/>
          <w:b/>
          <w:bCs/>
          <w:kern w:val="0"/>
          <w:sz w:val="24"/>
          <w:szCs w:val="24"/>
        </w:rPr>
        <w:t>5</w:t>
      </w:r>
      <w:r w:rsidRPr="00816912">
        <w:rPr>
          <w:rFonts w:ascii="Book Antiqua" w:eastAsia="宋体" w:hAnsi="Book Antiqua" w:cs="宋体"/>
          <w:kern w:val="0"/>
          <w:sz w:val="24"/>
          <w:szCs w:val="24"/>
        </w:rPr>
        <w:t>: 141-147 [PMID: 2113212</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rPr>
        <w:t>DOI</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rPr>
        <w:t>10.1093/ndt/5.2.141</w:t>
      </w:r>
      <w:r w:rsidRPr="00816912">
        <w:rPr>
          <w:rFonts w:ascii="Book Antiqua" w:eastAsia="宋体" w:hAnsi="Book Antiqua" w:cs="宋体"/>
          <w:kern w:val="0"/>
          <w:sz w:val="24"/>
          <w:szCs w:val="24"/>
        </w:rPr>
        <w:t>]</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6 </w:t>
      </w:r>
      <w:r w:rsidRPr="00816912">
        <w:rPr>
          <w:rFonts w:ascii="Book Antiqua" w:eastAsia="宋体" w:hAnsi="Book Antiqua" w:cs="宋体"/>
          <w:b/>
          <w:bCs/>
          <w:kern w:val="0"/>
          <w:sz w:val="24"/>
          <w:szCs w:val="24"/>
        </w:rPr>
        <w:t>Lewis SJ</w:t>
      </w:r>
      <w:r w:rsidRPr="00816912">
        <w:rPr>
          <w:rFonts w:ascii="Book Antiqua" w:eastAsia="宋体" w:hAnsi="Book Antiqua" w:cs="宋体"/>
          <w:kern w:val="0"/>
          <w:sz w:val="24"/>
          <w:szCs w:val="24"/>
        </w:rPr>
        <w:t>, Franco S, Young G, O'Keefe SJ. Altered bowel function and duodenal bacterial overgrowth in patients treated with omeprazole. </w:t>
      </w:r>
      <w:r w:rsidRPr="00816912">
        <w:rPr>
          <w:rFonts w:ascii="Book Antiqua" w:eastAsia="宋体" w:hAnsi="Book Antiqua" w:cs="宋体"/>
          <w:i/>
          <w:iCs/>
          <w:kern w:val="0"/>
          <w:sz w:val="24"/>
          <w:szCs w:val="24"/>
        </w:rPr>
        <w:t>Aliment Pharmacol Ther</w:t>
      </w:r>
      <w:r w:rsidRPr="00816912">
        <w:rPr>
          <w:rFonts w:ascii="Book Antiqua" w:eastAsia="宋体" w:hAnsi="Book Antiqua" w:cs="宋体"/>
          <w:kern w:val="0"/>
          <w:sz w:val="24"/>
          <w:szCs w:val="24"/>
        </w:rPr>
        <w:t> 1996; </w:t>
      </w:r>
      <w:r w:rsidRPr="00816912">
        <w:rPr>
          <w:rFonts w:ascii="Book Antiqua" w:eastAsia="宋体" w:hAnsi="Book Antiqua" w:cs="宋体"/>
          <w:b/>
          <w:bCs/>
          <w:kern w:val="0"/>
          <w:sz w:val="24"/>
          <w:szCs w:val="24"/>
        </w:rPr>
        <w:t>10</w:t>
      </w:r>
      <w:r w:rsidRPr="00816912">
        <w:rPr>
          <w:rFonts w:ascii="Book Antiqua" w:eastAsia="宋体" w:hAnsi="Book Antiqua" w:cs="宋体"/>
          <w:kern w:val="0"/>
          <w:sz w:val="24"/>
          <w:szCs w:val="24"/>
        </w:rPr>
        <w:t>: 557-561 [PMID: 8853759</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rPr>
        <w:t>DOI</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rPr>
        <w:t>10.1046/j.1365-2036.1996.d01-506.x</w:t>
      </w:r>
      <w:r w:rsidRPr="00816912">
        <w:rPr>
          <w:rFonts w:ascii="Book Antiqua" w:eastAsia="宋体" w:hAnsi="Book Antiqua" w:cs="宋体"/>
          <w:kern w:val="0"/>
          <w:sz w:val="24"/>
          <w:szCs w:val="24"/>
        </w:rPr>
        <w:t>]</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7 </w:t>
      </w:r>
      <w:r w:rsidRPr="00816912">
        <w:rPr>
          <w:rFonts w:ascii="Book Antiqua" w:eastAsia="宋体" w:hAnsi="Book Antiqua" w:cs="宋体"/>
          <w:b/>
          <w:bCs/>
          <w:kern w:val="0"/>
          <w:sz w:val="24"/>
          <w:szCs w:val="24"/>
        </w:rPr>
        <w:t>Thorens J</w:t>
      </w:r>
      <w:r w:rsidRPr="00816912">
        <w:rPr>
          <w:rFonts w:ascii="Book Antiqua" w:eastAsia="宋体" w:hAnsi="Book Antiqua" w:cs="宋体"/>
          <w:kern w:val="0"/>
          <w:sz w:val="24"/>
          <w:szCs w:val="24"/>
        </w:rPr>
        <w:t>, Froehlich F, Schwizer W, Saraga E, Bille J, Gyr K, Duroux P, Nicolet M, Pignatelli B, Blum AL, Gonvers JJ, Fried M. Bacterial overgrowth during treatment with omeprazole compared with cimetidine: a prospective randomised double blind study. </w:t>
      </w:r>
      <w:r w:rsidRPr="00816912">
        <w:rPr>
          <w:rFonts w:ascii="Book Antiqua" w:eastAsia="宋体" w:hAnsi="Book Antiqua" w:cs="宋体"/>
          <w:i/>
          <w:iCs/>
          <w:kern w:val="0"/>
          <w:sz w:val="24"/>
          <w:szCs w:val="24"/>
        </w:rPr>
        <w:t>Gut</w:t>
      </w:r>
      <w:r w:rsidRPr="00816912">
        <w:rPr>
          <w:rFonts w:ascii="Book Antiqua" w:eastAsia="宋体" w:hAnsi="Book Antiqua" w:cs="宋体"/>
          <w:kern w:val="0"/>
          <w:sz w:val="24"/>
          <w:szCs w:val="24"/>
        </w:rPr>
        <w:t> 1996; </w:t>
      </w:r>
      <w:r w:rsidRPr="00816912">
        <w:rPr>
          <w:rFonts w:ascii="Book Antiqua" w:eastAsia="宋体" w:hAnsi="Book Antiqua" w:cs="宋体"/>
          <w:b/>
          <w:bCs/>
          <w:kern w:val="0"/>
          <w:sz w:val="24"/>
          <w:szCs w:val="24"/>
        </w:rPr>
        <w:t>39</w:t>
      </w:r>
      <w:r w:rsidRPr="00816912">
        <w:rPr>
          <w:rFonts w:ascii="Book Antiqua" w:eastAsia="宋体" w:hAnsi="Book Antiqua" w:cs="宋体"/>
          <w:kern w:val="0"/>
          <w:sz w:val="24"/>
          <w:szCs w:val="24"/>
        </w:rPr>
        <w:t>: 54-59 [PMID: 8881809</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rPr>
        <w:t>DOI</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rPr>
        <w:t>10.1136/gut.39.1.54</w:t>
      </w:r>
      <w:r w:rsidRPr="00816912">
        <w:rPr>
          <w:rFonts w:ascii="Book Antiqua" w:eastAsia="宋体" w:hAnsi="Book Antiqua" w:cs="宋体"/>
          <w:kern w:val="0"/>
          <w:sz w:val="24"/>
          <w:szCs w:val="24"/>
        </w:rPr>
        <w:t>]</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8 </w:t>
      </w:r>
      <w:r w:rsidRPr="00816912">
        <w:rPr>
          <w:rFonts w:ascii="Book Antiqua" w:eastAsia="宋体" w:hAnsi="Book Antiqua" w:cs="宋体"/>
          <w:b/>
          <w:bCs/>
          <w:kern w:val="0"/>
          <w:sz w:val="24"/>
          <w:szCs w:val="24"/>
        </w:rPr>
        <w:t>Fried M</w:t>
      </w:r>
      <w:r w:rsidRPr="00816912">
        <w:rPr>
          <w:rFonts w:ascii="Book Antiqua" w:eastAsia="宋体" w:hAnsi="Book Antiqua" w:cs="宋体"/>
          <w:kern w:val="0"/>
          <w:sz w:val="24"/>
          <w:szCs w:val="24"/>
        </w:rPr>
        <w:t>, Siegrist H, Frei R, Froehlich F, Duroux P, Thorens J, Blum A, Bille J, Gonvers JJ, Gyr K. Duodenal bacterial overgrowth during treatment in outpatients with omeprazole. </w:t>
      </w:r>
      <w:r w:rsidRPr="00816912">
        <w:rPr>
          <w:rFonts w:ascii="Book Antiqua" w:eastAsia="宋体" w:hAnsi="Book Antiqua" w:cs="宋体"/>
          <w:i/>
          <w:iCs/>
          <w:kern w:val="0"/>
          <w:sz w:val="24"/>
          <w:szCs w:val="24"/>
        </w:rPr>
        <w:t>Gut</w:t>
      </w:r>
      <w:r w:rsidRPr="00816912">
        <w:rPr>
          <w:rFonts w:ascii="Book Antiqua" w:eastAsia="宋体" w:hAnsi="Book Antiqua" w:cs="宋体"/>
          <w:kern w:val="0"/>
          <w:sz w:val="24"/>
          <w:szCs w:val="24"/>
        </w:rPr>
        <w:t> 1994; </w:t>
      </w:r>
      <w:r w:rsidRPr="00816912">
        <w:rPr>
          <w:rFonts w:ascii="Book Antiqua" w:eastAsia="宋体" w:hAnsi="Book Antiqua" w:cs="宋体"/>
          <w:b/>
          <w:bCs/>
          <w:kern w:val="0"/>
          <w:sz w:val="24"/>
          <w:szCs w:val="24"/>
        </w:rPr>
        <w:t>35</w:t>
      </w:r>
      <w:r w:rsidRPr="00816912">
        <w:rPr>
          <w:rFonts w:ascii="Book Antiqua" w:eastAsia="宋体" w:hAnsi="Book Antiqua" w:cs="宋体"/>
          <w:kern w:val="0"/>
          <w:sz w:val="24"/>
          <w:szCs w:val="24"/>
        </w:rPr>
        <w:t>: 23-26 [PMID: 8307444</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rPr>
        <w:t>DOI</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rPr>
        <w:t>10.1136/gut.35.1.23</w:t>
      </w:r>
      <w:r w:rsidRPr="00816912">
        <w:rPr>
          <w:rFonts w:ascii="Book Antiqua" w:eastAsia="宋体" w:hAnsi="Book Antiqua" w:cs="宋体"/>
          <w:kern w:val="0"/>
          <w:sz w:val="24"/>
          <w:szCs w:val="24"/>
        </w:rPr>
        <w:t>]</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9 </w:t>
      </w:r>
      <w:r w:rsidRPr="00816912">
        <w:rPr>
          <w:rFonts w:ascii="Book Antiqua" w:eastAsia="宋体" w:hAnsi="Book Antiqua" w:cs="宋体"/>
          <w:b/>
          <w:bCs/>
          <w:kern w:val="0"/>
          <w:sz w:val="24"/>
          <w:szCs w:val="24"/>
        </w:rPr>
        <w:t>Stiefel U</w:t>
      </w:r>
      <w:r w:rsidRPr="00816912">
        <w:rPr>
          <w:rFonts w:ascii="Book Antiqua" w:eastAsia="宋体" w:hAnsi="Book Antiqua" w:cs="宋体"/>
          <w:kern w:val="0"/>
          <w:sz w:val="24"/>
          <w:szCs w:val="24"/>
        </w:rPr>
        <w:t xml:space="preserve">, Rao A, Pultz MJ, Jump RL, Aron DC, Donskey CJ. Suppression of gastric acid production by proton pump inhibitor treatment facilitates colonization of the large intestine by vancomycin-resistant Enterococcus spp. and Klebsiella </w:t>
      </w:r>
      <w:r w:rsidRPr="00816912">
        <w:rPr>
          <w:rFonts w:ascii="Book Antiqua" w:eastAsia="宋体" w:hAnsi="Book Antiqua" w:cs="宋体"/>
          <w:kern w:val="0"/>
          <w:sz w:val="24"/>
          <w:szCs w:val="24"/>
        </w:rPr>
        <w:lastRenderedPageBreak/>
        <w:t>pneumoniae in clindamycin-treated mice. </w:t>
      </w:r>
      <w:r w:rsidRPr="00816912">
        <w:rPr>
          <w:rFonts w:ascii="Book Antiqua" w:eastAsia="宋体" w:hAnsi="Book Antiqua" w:cs="宋体"/>
          <w:i/>
          <w:iCs/>
          <w:kern w:val="0"/>
          <w:sz w:val="24"/>
          <w:szCs w:val="24"/>
        </w:rPr>
        <w:t>Antimicrob Agents Chemother</w:t>
      </w:r>
      <w:r w:rsidRPr="00816912">
        <w:rPr>
          <w:rFonts w:ascii="Book Antiqua" w:eastAsia="宋体" w:hAnsi="Book Antiqua" w:cs="宋体"/>
          <w:kern w:val="0"/>
          <w:sz w:val="24"/>
          <w:szCs w:val="24"/>
        </w:rPr>
        <w:t> 2006; </w:t>
      </w:r>
      <w:r w:rsidRPr="00816912">
        <w:rPr>
          <w:rFonts w:ascii="Book Antiqua" w:eastAsia="宋体" w:hAnsi="Book Antiqua" w:cs="宋体"/>
          <w:b/>
          <w:bCs/>
          <w:kern w:val="0"/>
          <w:sz w:val="24"/>
          <w:szCs w:val="24"/>
        </w:rPr>
        <w:t>50</w:t>
      </w:r>
      <w:r w:rsidRPr="00816912">
        <w:rPr>
          <w:rFonts w:ascii="Book Antiqua" w:eastAsia="宋体" w:hAnsi="Book Antiqua" w:cs="宋体"/>
          <w:kern w:val="0"/>
          <w:sz w:val="24"/>
          <w:szCs w:val="24"/>
        </w:rPr>
        <w:t>: 3905-3907 [PMID: 16940078 DOI: 10.1128/AAC.00522-06]</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10 </w:t>
      </w:r>
      <w:r w:rsidRPr="00816912">
        <w:rPr>
          <w:rFonts w:ascii="Book Antiqua" w:eastAsia="宋体" w:hAnsi="Book Antiqua" w:cs="宋体"/>
          <w:b/>
          <w:bCs/>
          <w:kern w:val="0"/>
          <w:sz w:val="24"/>
          <w:szCs w:val="24"/>
        </w:rPr>
        <w:t>del Peso G</w:t>
      </w:r>
      <w:r w:rsidRPr="00816912">
        <w:rPr>
          <w:rFonts w:ascii="Book Antiqua" w:eastAsia="宋体" w:hAnsi="Book Antiqua" w:cs="宋体"/>
          <w:kern w:val="0"/>
          <w:sz w:val="24"/>
          <w:szCs w:val="24"/>
        </w:rPr>
        <w:t>, Bajo MA, Gadola L, Millán I, Codoceo R, Celadilla O, Castro MJ, Aguilera A, Gil F, Selgas R. Diverticular disease and treatment with gastric acid inhibitors do not predispose to peritonitis of enteric origin in peritoneal dialysis patients. </w:t>
      </w:r>
      <w:r w:rsidRPr="00816912">
        <w:rPr>
          <w:rFonts w:ascii="Book Antiqua" w:eastAsia="宋体" w:hAnsi="Book Antiqua" w:cs="宋体"/>
          <w:i/>
          <w:iCs/>
          <w:kern w:val="0"/>
          <w:sz w:val="24"/>
          <w:szCs w:val="24"/>
        </w:rPr>
        <w:t>Perit Dial Int</w:t>
      </w:r>
      <w:r w:rsidRPr="00816912">
        <w:rPr>
          <w:rFonts w:ascii="Book Antiqua" w:eastAsia="宋体" w:hAnsi="Book Antiqua" w:cs="宋体"/>
          <w:kern w:val="0"/>
          <w:sz w:val="24"/>
          <w:szCs w:val="24"/>
        </w:rPr>
        <w:t> </w:t>
      </w:r>
      <w:r>
        <w:rPr>
          <w:rFonts w:ascii="Book Antiqua" w:eastAsia="宋体" w:hAnsi="Book Antiqua" w:cs="宋体" w:hint="eastAsia"/>
          <w:kern w:val="0"/>
          <w:sz w:val="24"/>
          <w:szCs w:val="24"/>
        </w:rPr>
        <w:t>2001</w:t>
      </w:r>
      <w:r w:rsidRPr="00816912">
        <w:rPr>
          <w:rFonts w:ascii="Book Antiqua" w:eastAsia="宋体" w:hAnsi="Book Antiqua" w:cs="宋体"/>
          <w:kern w:val="0"/>
          <w:sz w:val="24"/>
          <w:szCs w:val="24"/>
        </w:rPr>
        <w:t>; </w:t>
      </w:r>
      <w:r w:rsidRPr="00816912">
        <w:rPr>
          <w:rFonts w:ascii="Book Antiqua" w:eastAsia="宋体" w:hAnsi="Book Antiqua" w:cs="宋体"/>
          <w:b/>
          <w:bCs/>
          <w:kern w:val="0"/>
          <w:sz w:val="24"/>
          <w:szCs w:val="24"/>
        </w:rPr>
        <w:t>21</w:t>
      </w:r>
      <w:r w:rsidRPr="00816912">
        <w:rPr>
          <w:rFonts w:ascii="Book Antiqua" w:eastAsia="宋体" w:hAnsi="Book Antiqua" w:cs="宋体"/>
          <w:kern w:val="0"/>
          <w:sz w:val="24"/>
          <w:szCs w:val="24"/>
        </w:rPr>
        <w:t>: 360-364 [PMID: 11587398]</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11 </w:t>
      </w:r>
      <w:r w:rsidRPr="00816912">
        <w:rPr>
          <w:rFonts w:ascii="Book Antiqua" w:eastAsia="宋体" w:hAnsi="Book Antiqua" w:cs="宋体"/>
          <w:b/>
          <w:bCs/>
          <w:kern w:val="0"/>
          <w:sz w:val="24"/>
          <w:szCs w:val="24"/>
        </w:rPr>
        <w:t>Nessim SJ</w:t>
      </w:r>
      <w:r w:rsidRPr="00816912">
        <w:rPr>
          <w:rFonts w:ascii="Book Antiqua" w:eastAsia="宋体" w:hAnsi="Book Antiqua" w:cs="宋体"/>
          <w:kern w:val="0"/>
          <w:sz w:val="24"/>
          <w:szCs w:val="24"/>
        </w:rPr>
        <w:t>, Tomlinson G, Bargman JM, Jassal SV. Gastric acid suppression and the risk of enteric peritonitis in peritoneal dialysis patients. </w:t>
      </w:r>
      <w:r w:rsidRPr="00816912">
        <w:rPr>
          <w:rFonts w:ascii="Book Antiqua" w:eastAsia="宋体" w:hAnsi="Book Antiqua" w:cs="宋体"/>
          <w:i/>
          <w:iCs/>
          <w:kern w:val="0"/>
          <w:sz w:val="24"/>
          <w:szCs w:val="24"/>
        </w:rPr>
        <w:t>Perit Dial Int</w:t>
      </w:r>
      <w:r w:rsidRPr="00816912">
        <w:rPr>
          <w:rFonts w:ascii="Book Antiqua" w:eastAsia="宋体" w:hAnsi="Book Antiqua" w:cs="宋体"/>
          <w:kern w:val="0"/>
          <w:sz w:val="24"/>
          <w:szCs w:val="24"/>
        </w:rPr>
        <w:t> </w:t>
      </w:r>
      <w:r>
        <w:rPr>
          <w:rFonts w:ascii="Book Antiqua" w:eastAsia="宋体" w:hAnsi="Book Antiqua" w:cs="宋体" w:hint="eastAsia"/>
          <w:kern w:val="0"/>
          <w:sz w:val="24"/>
          <w:szCs w:val="24"/>
        </w:rPr>
        <w:t>2008</w:t>
      </w:r>
      <w:r w:rsidRPr="00816912">
        <w:rPr>
          <w:rFonts w:ascii="Book Antiqua" w:eastAsia="宋体" w:hAnsi="Book Antiqua" w:cs="宋体"/>
          <w:kern w:val="0"/>
          <w:sz w:val="24"/>
          <w:szCs w:val="24"/>
        </w:rPr>
        <w:t>; </w:t>
      </w:r>
      <w:r w:rsidRPr="00816912">
        <w:rPr>
          <w:rFonts w:ascii="Book Antiqua" w:eastAsia="宋体" w:hAnsi="Book Antiqua" w:cs="宋体"/>
          <w:b/>
          <w:bCs/>
          <w:kern w:val="0"/>
          <w:sz w:val="24"/>
          <w:szCs w:val="24"/>
        </w:rPr>
        <w:t>28</w:t>
      </w:r>
      <w:r w:rsidRPr="00816912">
        <w:rPr>
          <w:rFonts w:ascii="Book Antiqua" w:eastAsia="宋体" w:hAnsi="Book Antiqua" w:cs="宋体"/>
          <w:kern w:val="0"/>
          <w:sz w:val="24"/>
          <w:szCs w:val="24"/>
        </w:rPr>
        <w:t>: 246-51; discussion 236-7 [PMID: 18474916]</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12 </w:t>
      </w:r>
      <w:r w:rsidRPr="00816912">
        <w:rPr>
          <w:rFonts w:ascii="Book Antiqua" w:eastAsia="宋体" w:hAnsi="Book Antiqua" w:cs="宋体"/>
          <w:b/>
          <w:bCs/>
          <w:kern w:val="0"/>
          <w:sz w:val="24"/>
          <w:szCs w:val="24"/>
        </w:rPr>
        <w:t>Caravaca F</w:t>
      </w:r>
      <w:r w:rsidRPr="00816912">
        <w:rPr>
          <w:rFonts w:ascii="Book Antiqua" w:eastAsia="宋体" w:hAnsi="Book Antiqua" w:cs="宋体"/>
          <w:kern w:val="0"/>
          <w:sz w:val="24"/>
          <w:szCs w:val="24"/>
        </w:rPr>
        <w:t>, Ruiz-Calero R, Dominguez C. Risk factors for developing peritonitis caused by micro-organisms of enteral origin in peritoneal dialysis patients. </w:t>
      </w:r>
      <w:r w:rsidRPr="00816912">
        <w:rPr>
          <w:rFonts w:ascii="Book Antiqua" w:eastAsia="宋体" w:hAnsi="Book Antiqua" w:cs="宋体"/>
          <w:i/>
          <w:iCs/>
          <w:kern w:val="0"/>
          <w:sz w:val="24"/>
          <w:szCs w:val="24"/>
        </w:rPr>
        <w:t>Perit Dial Int</w:t>
      </w:r>
      <w:r w:rsidRPr="00816912">
        <w:rPr>
          <w:rFonts w:ascii="Book Antiqua" w:eastAsia="宋体" w:hAnsi="Book Antiqua" w:cs="宋体"/>
          <w:kern w:val="0"/>
          <w:sz w:val="24"/>
          <w:szCs w:val="24"/>
        </w:rPr>
        <w:t> </w:t>
      </w:r>
      <w:r>
        <w:rPr>
          <w:rFonts w:ascii="Book Antiqua" w:eastAsia="宋体" w:hAnsi="Book Antiqua" w:cs="宋体" w:hint="eastAsia"/>
          <w:kern w:val="0"/>
          <w:sz w:val="24"/>
          <w:szCs w:val="24"/>
        </w:rPr>
        <w:t>1998</w:t>
      </w:r>
      <w:r w:rsidRPr="00816912">
        <w:rPr>
          <w:rFonts w:ascii="Book Antiqua" w:eastAsia="宋体" w:hAnsi="Book Antiqua" w:cs="宋体"/>
          <w:kern w:val="0"/>
          <w:sz w:val="24"/>
          <w:szCs w:val="24"/>
        </w:rPr>
        <w:t>; </w:t>
      </w:r>
      <w:r w:rsidRPr="00816912">
        <w:rPr>
          <w:rFonts w:ascii="Book Antiqua" w:eastAsia="宋体" w:hAnsi="Book Antiqua" w:cs="宋体"/>
          <w:b/>
          <w:bCs/>
          <w:kern w:val="0"/>
          <w:sz w:val="24"/>
          <w:szCs w:val="24"/>
        </w:rPr>
        <w:t>18</w:t>
      </w:r>
      <w:r w:rsidRPr="00816912">
        <w:rPr>
          <w:rFonts w:ascii="Book Antiqua" w:eastAsia="宋体" w:hAnsi="Book Antiqua" w:cs="宋体"/>
          <w:kern w:val="0"/>
          <w:sz w:val="24"/>
          <w:szCs w:val="24"/>
        </w:rPr>
        <w:t>: 41-45 [PMID: 9527028]</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13 </w:t>
      </w:r>
      <w:r w:rsidRPr="00816912">
        <w:rPr>
          <w:rFonts w:ascii="Book Antiqua" w:eastAsia="宋体" w:hAnsi="Book Antiqua" w:cs="宋体"/>
          <w:b/>
          <w:bCs/>
          <w:kern w:val="0"/>
          <w:sz w:val="24"/>
          <w:szCs w:val="24"/>
        </w:rPr>
        <w:t>Garcia-Tsao G</w:t>
      </w:r>
      <w:r w:rsidRPr="00816912">
        <w:rPr>
          <w:rFonts w:ascii="Book Antiqua" w:eastAsia="宋体" w:hAnsi="Book Antiqua" w:cs="宋体"/>
          <w:kern w:val="0"/>
          <w:sz w:val="24"/>
          <w:szCs w:val="24"/>
        </w:rPr>
        <w:t>, Albillos A, Barden GE, West AB. Bacterial translocation in acute and chronic portal hypertension. </w:t>
      </w:r>
      <w:r w:rsidRPr="00816912">
        <w:rPr>
          <w:rFonts w:ascii="Book Antiqua" w:eastAsia="宋体" w:hAnsi="Book Antiqua" w:cs="宋体"/>
          <w:i/>
          <w:iCs/>
          <w:kern w:val="0"/>
          <w:sz w:val="24"/>
          <w:szCs w:val="24"/>
        </w:rPr>
        <w:t>Hepatology</w:t>
      </w:r>
      <w:r w:rsidRPr="00816912">
        <w:rPr>
          <w:rFonts w:ascii="Book Antiqua" w:eastAsia="宋体" w:hAnsi="Book Antiqua" w:cs="宋体"/>
          <w:kern w:val="0"/>
          <w:sz w:val="24"/>
          <w:szCs w:val="24"/>
        </w:rPr>
        <w:t> 1993; </w:t>
      </w:r>
      <w:r w:rsidRPr="00816912">
        <w:rPr>
          <w:rFonts w:ascii="Book Antiqua" w:eastAsia="宋体" w:hAnsi="Book Antiqua" w:cs="宋体"/>
          <w:b/>
          <w:bCs/>
          <w:kern w:val="0"/>
          <w:sz w:val="24"/>
          <w:szCs w:val="24"/>
        </w:rPr>
        <w:t>17</w:t>
      </w:r>
      <w:r w:rsidRPr="00816912">
        <w:rPr>
          <w:rFonts w:ascii="Book Antiqua" w:eastAsia="宋体" w:hAnsi="Book Antiqua" w:cs="宋体"/>
          <w:kern w:val="0"/>
          <w:sz w:val="24"/>
          <w:szCs w:val="24"/>
        </w:rPr>
        <w:t>: 1081-1085 [PMID: 8514258</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rPr>
        <w:t>DOI</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rPr>
        <w:t>10.1002/hep.1840170622</w:t>
      </w:r>
      <w:r w:rsidRPr="00816912">
        <w:rPr>
          <w:rFonts w:ascii="Book Antiqua" w:eastAsia="宋体" w:hAnsi="Book Antiqua" w:cs="宋体"/>
          <w:kern w:val="0"/>
          <w:sz w:val="24"/>
          <w:szCs w:val="24"/>
        </w:rPr>
        <w:t>]</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14 </w:t>
      </w:r>
      <w:r w:rsidRPr="00816912">
        <w:rPr>
          <w:rFonts w:ascii="Book Antiqua" w:eastAsia="宋体" w:hAnsi="Book Antiqua" w:cs="宋体"/>
          <w:b/>
          <w:bCs/>
          <w:kern w:val="0"/>
          <w:sz w:val="24"/>
          <w:szCs w:val="24"/>
        </w:rPr>
        <w:t>Sandhu BS</w:t>
      </w:r>
      <w:r w:rsidRPr="00816912">
        <w:rPr>
          <w:rFonts w:ascii="Book Antiqua" w:eastAsia="宋体" w:hAnsi="Book Antiqua" w:cs="宋体"/>
          <w:kern w:val="0"/>
          <w:sz w:val="24"/>
          <w:szCs w:val="24"/>
        </w:rPr>
        <w:t>, Gupta R, Sharma J, Singh J, Murthy NS, Sarin SK. Norfloxacin and cisapride combination decreases the incidence of spontaneous bacterial peritonitis in cirrhotic ascites. </w:t>
      </w:r>
      <w:r w:rsidRPr="00816912">
        <w:rPr>
          <w:rFonts w:ascii="Book Antiqua" w:eastAsia="宋体" w:hAnsi="Book Antiqua" w:cs="宋体"/>
          <w:i/>
          <w:iCs/>
          <w:kern w:val="0"/>
          <w:sz w:val="24"/>
          <w:szCs w:val="24"/>
        </w:rPr>
        <w:t>J Gastroenterol Hepatol</w:t>
      </w:r>
      <w:r w:rsidRPr="00816912">
        <w:rPr>
          <w:rFonts w:ascii="Book Antiqua" w:eastAsia="宋体" w:hAnsi="Book Antiqua" w:cs="宋体"/>
          <w:kern w:val="0"/>
          <w:sz w:val="24"/>
          <w:szCs w:val="24"/>
        </w:rPr>
        <w:t> 2005; </w:t>
      </w:r>
      <w:r w:rsidRPr="00816912">
        <w:rPr>
          <w:rFonts w:ascii="Book Antiqua" w:eastAsia="宋体" w:hAnsi="Book Antiqua" w:cs="宋体"/>
          <w:b/>
          <w:bCs/>
          <w:kern w:val="0"/>
          <w:sz w:val="24"/>
          <w:szCs w:val="24"/>
        </w:rPr>
        <w:t>20</w:t>
      </w:r>
      <w:r w:rsidRPr="00816912">
        <w:rPr>
          <w:rFonts w:ascii="Book Antiqua" w:eastAsia="宋体" w:hAnsi="Book Antiqua" w:cs="宋体"/>
          <w:kern w:val="0"/>
          <w:sz w:val="24"/>
          <w:szCs w:val="24"/>
        </w:rPr>
        <w:t>: 599-605 [PMID: 15836710 DOI: 10.1111/j.1440-1746.2005.03796.x]</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15 </w:t>
      </w:r>
      <w:r w:rsidRPr="00816912">
        <w:rPr>
          <w:rFonts w:ascii="Book Antiqua" w:eastAsia="宋体" w:hAnsi="Book Antiqua" w:cs="宋体"/>
          <w:b/>
          <w:bCs/>
          <w:kern w:val="0"/>
          <w:sz w:val="24"/>
          <w:szCs w:val="24"/>
        </w:rPr>
        <w:t>Chang CS</w:t>
      </w:r>
      <w:r w:rsidRPr="00816912">
        <w:rPr>
          <w:rFonts w:ascii="Book Antiqua" w:eastAsia="宋体" w:hAnsi="Book Antiqua" w:cs="宋体"/>
          <w:kern w:val="0"/>
          <w:sz w:val="24"/>
          <w:szCs w:val="24"/>
        </w:rPr>
        <w:t>, Chen GH, Lien HC, Yeh HZ. Small intestine dysmotility and bacterial overgrowth in cirrhotic patients with spontaneous bacterial peritonitis. </w:t>
      </w:r>
      <w:r w:rsidRPr="00816912">
        <w:rPr>
          <w:rFonts w:ascii="Book Antiqua" w:eastAsia="宋体" w:hAnsi="Book Antiqua" w:cs="宋体"/>
          <w:i/>
          <w:iCs/>
          <w:kern w:val="0"/>
          <w:sz w:val="24"/>
          <w:szCs w:val="24"/>
        </w:rPr>
        <w:t>Hepatology</w:t>
      </w:r>
      <w:r w:rsidRPr="00816912">
        <w:rPr>
          <w:rFonts w:ascii="Book Antiqua" w:eastAsia="宋体" w:hAnsi="Book Antiqua" w:cs="宋体"/>
          <w:kern w:val="0"/>
          <w:sz w:val="24"/>
          <w:szCs w:val="24"/>
        </w:rPr>
        <w:t> 1998; </w:t>
      </w:r>
      <w:r w:rsidRPr="00816912">
        <w:rPr>
          <w:rFonts w:ascii="Book Antiqua" w:eastAsia="宋体" w:hAnsi="Book Antiqua" w:cs="宋体"/>
          <w:b/>
          <w:bCs/>
          <w:kern w:val="0"/>
          <w:sz w:val="24"/>
          <w:szCs w:val="24"/>
        </w:rPr>
        <w:t>28</w:t>
      </w:r>
      <w:r w:rsidRPr="00816912">
        <w:rPr>
          <w:rFonts w:ascii="Book Antiqua" w:eastAsia="宋体" w:hAnsi="Book Antiqua" w:cs="宋体"/>
          <w:kern w:val="0"/>
          <w:sz w:val="24"/>
          <w:szCs w:val="24"/>
        </w:rPr>
        <w:t>: 1187-1190 [PMID: 9794900 DOI: 10.1002/hep.510280504]</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 xml:space="preserve">16 </w:t>
      </w:r>
      <w:r w:rsidRPr="00816912">
        <w:rPr>
          <w:rFonts w:ascii="Book Antiqua" w:eastAsia="宋体" w:hAnsi="Book Antiqua" w:cs="宋体"/>
          <w:b/>
          <w:kern w:val="0"/>
          <w:sz w:val="24"/>
          <w:szCs w:val="24"/>
        </w:rPr>
        <w:t>Teltschik Z</w:t>
      </w:r>
      <w:r w:rsidRPr="00816912">
        <w:rPr>
          <w:rFonts w:ascii="Book Antiqua" w:eastAsia="宋体" w:hAnsi="Book Antiqua" w:cs="宋体"/>
          <w:kern w:val="0"/>
          <w:sz w:val="24"/>
          <w:szCs w:val="24"/>
        </w:rPr>
        <w:t xml:space="preserve">, Wiest R, Beisner J, Nuding S, Hofmann C, Schoelmerich J, Bevins CL, Stange EF, Wehkamp J. Intestinal bacterial translocation in rats with cirrhosis is related to compromised paneth cell antimicrobial host defense. </w:t>
      </w:r>
      <w:r w:rsidRPr="00816912">
        <w:rPr>
          <w:rFonts w:ascii="Book Antiqua" w:eastAsia="宋体" w:hAnsi="Book Antiqua" w:cs="宋体"/>
          <w:i/>
          <w:kern w:val="0"/>
          <w:sz w:val="24"/>
          <w:szCs w:val="24"/>
        </w:rPr>
        <w:t>Hepatology</w:t>
      </w:r>
      <w:r w:rsidRPr="00816912">
        <w:rPr>
          <w:rFonts w:ascii="Book Antiqua" w:eastAsia="宋体" w:hAnsi="Book Antiqua" w:cs="宋体"/>
          <w:kern w:val="0"/>
          <w:sz w:val="24"/>
          <w:szCs w:val="24"/>
        </w:rPr>
        <w:t xml:space="preserve"> 2012; </w:t>
      </w:r>
      <w:r w:rsidRPr="00816912">
        <w:rPr>
          <w:rFonts w:ascii="Book Antiqua" w:eastAsia="宋体" w:hAnsi="Book Antiqua" w:cs="宋体"/>
          <w:b/>
          <w:kern w:val="0"/>
          <w:sz w:val="24"/>
          <w:szCs w:val="24"/>
        </w:rPr>
        <w:t>55</w:t>
      </w:r>
      <w:r w:rsidRPr="00816912">
        <w:rPr>
          <w:rFonts w:ascii="Book Antiqua" w:eastAsia="宋体" w:hAnsi="Book Antiqua" w:cs="宋体"/>
          <w:kern w:val="0"/>
          <w:sz w:val="24"/>
          <w:szCs w:val="24"/>
        </w:rPr>
        <w:t>: 1154–</w:t>
      </w:r>
      <w:r>
        <w:rPr>
          <w:rFonts w:ascii="Book Antiqua" w:eastAsia="宋体" w:hAnsi="Book Antiqua" w:cs="宋体" w:hint="eastAsia"/>
          <w:kern w:val="0"/>
          <w:sz w:val="24"/>
          <w:szCs w:val="24"/>
        </w:rPr>
        <w:t>11</w:t>
      </w:r>
      <w:r w:rsidRPr="00816912">
        <w:rPr>
          <w:rFonts w:ascii="Book Antiqua" w:eastAsia="宋体" w:hAnsi="Book Antiqua" w:cs="宋体"/>
          <w:kern w:val="0"/>
          <w:sz w:val="24"/>
          <w:szCs w:val="24"/>
        </w:rPr>
        <w:t>63 [PMID: 22095436</w:t>
      </w:r>
      <w:r>
        <w:rPr>
          <w:rFonts w:ascii="Book Antiqua" w:eastAsia="宋体" w:hAnsi="Book Antiqua" w:cs="宋体" w:hint="eastAsia"/>
          <w:kern w:val="0"/>
          <w:sz w:val="24"/>
          <w:szCs w:val="24"/>
        </w:rPr>
        <w:t xml:space="preserve"> </w:t>
      </w:r>
      <w:r w:rsidRPr="00816912">
        <w:rPr>
          <w:rFonts w:ascii="Book Antiqua" w:eastAsia="宋体" w:hAnsi="Book Antiqua" w:cs="宋体"/>
          <w:kern w:val="0"/>
          <w:sz w:val="24"/>
          <w:szCs w:val="24"/>
        </w:rPr>
        <w:t>DOI: 10.1002/hep.24789]</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17 </w:t>
      </w:r>
      <w:r w:rsidRPr="00816912">
        <w:rPr>
          <w:rFonts w:ascii="Book Antiqua" w:eastAsia="宋体" w:hAnsi="Book Antiqua" w:cs="宋体"/>
          <w:b/>
          <w:bCs/>
          <w:kern w:val="0"/>
          <w:sz w:val="24"/>
          <w:szCs w:val="24"/>
        </w:rPr>
        <w:t>Keane WF</w:t>
      </w:r>
      <w:r w:rsidRPr="00816912">
        <w:rPr>
          <w:rFonts w:ascii="Book Antiqua" w:eastAsia="宋体" w:hAnsi="Book Antiqua" w:cs="宋体"/>
          <w:kern w:val="0"/>
          <w:sz w:val="24"/>
          <w:szCs w:val="24"/>
        </w:rPr>
        <w:t xml:space="preserve">, Alexander SR, Bailie GR, Boeschoten E, Gokal R, Golper TA, Holmes CJ, Huang CC, Kawaguchi Y, Piraino B, Riella M, Schaefer F, Vas S. Peritoneal </w:t>
      </w:r>
      <w:r w:rsidRPr="00816912">
        <w:rPr>
          <w:rFonts w:ascii="Book Antiqua" w:eastAsia="宋体" w:hAnsi="Book Antiqua" w:cs="宋体"/>
          <w:kern w:val="0"/>
          <w:sz w:val="24"/>
          <w:szCs w:val="24"/>
        </w:rPr>
        <w:lastRenderedPageBreak/>
        <w:t>dialysis-related peritonitis treatment recommendations: 1996 update. </w:t>
      </w:r>
      <w:r w:rsidRPr="00816912">
        <w:rPr>
          <w:rFonts w:ascii="Book Antiqua" w:eastAsia="宋体" w:hAnsi="Book Antiqua" w:cs="宋体"/>
          <w:i/>
          <w:iCs/>
          <w:kern w:val="0"/>
          <w:sz w:val="24"/>
          <w:szCs w:val="24"/>
        </w:rPr>
        <w:t>Perit Dial Int</w:t>
      </w:r>
      <w:r w:rsidRPr="00816912">
        <w:rPr>
          <w:rFonts w:ascii="Book Antiqua" w:eastAsia="宋体" w:hAnsi="Book Antiqua" w:cs="宋体"/>
          <w:kern w:val="0"/>
          <w:sz w:val="24"/>
          <w:szCs w:val="24"/>
        </w:rPr>
        <w:t> </w:t>
      </w:r>
      <w:r>
        <w:rPr>
          <w:rFonts w:ascii="Book Antiqua" w:eastAsia="宋体" w:hAnsi="Book Antiqua" w:cs="宋体" w:hint="eastAsia"/>
          <w:kern w:val="0"/>
          <w:sz w:val="24"/>
          <w:szCs w:val="24"/>
        </w:rPr>
        <w:t>1996</w:t>
      </w:r>
      <w:r w:rsidRPr="00816912">
        <w:rPr>
          <w:rFonts w:ascii="Book Antiqua" w:eastAsia="宋体" w:hAnsi="Book Antiqua" w:cs="宋体"/>
          <w:kern w:val="0"/>
          <w:sz w:val="24"/>
          <w:szCs w:val="24"/>
        </w:rPr>
        <w:t>; </w:t>
      </w:r>
      <w:r w:rsidRPr="00816912">
        <w:rPr>
          <w:rFonts w:ascii="Book Antiqua" w:eastAsia="宋体" w:hAnsi="Book Antiqua" w:cs="宋体"/>
          <w:b/>
          <w:bCs/>
          <w:kern w:val="0"/>
          <w:sz w:val="24"/>
          <w:szCs w:val="24"/>
        </w:rPr>
        <w:t>16</w:t>
      </w:r>
      <w:r w:rsidRPr="00816912">
        <w:rPr>
          <w:rFonts w:ascii="Book Antiqua" w:eastAsia="宋体" w:hAnsi="Book Antiqua" w:cs="宋体"/>
          <w:kern w:val="0"/>
          <w:sz w:val="24"/>
          <w:szCs w:val="24"/>
        </w:rPr>
        <w:t>: 557-573 [PMID: 8981523]</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18 </w:t>
      </w:r>
      <w:r w:rsidRPr="00816912">
        <w:rPr>
          <w:rFonts w:ascii="Book Antiqua" w:eastAsia="宋体" w:hAnsi="Book Antiqua" w:cs="宋体"/>
          <w:b/>
          <w:bCs/>
          <w:kern w:val="0"/>
          <w:sz w:val="24"/>
          <w:szCs w:val="24"/>
        </w:rPr>
        <w:t>Ribeiro TC</w:t>
      </w:r>
      <w:r w:rsidRPr="00816912">
        <w:rPr>
          <w:rFonts w:ascii="Book Antiqua" w:eastAsia="宋体" w:hAnsi="Book Antiqua" w:cs="宋体"/>
          <w:kern w:val="0"/>
          <w:sz w:val="24"/>
          <w:szCs w:val="24"/>
        </w:rPr>
        <w:t>, Chebli JM, Kondo M, Gaburri PD, Chebli LA, Feldner AC. Spontaneous bacterial peritonitis: How to deal with this life-threatening cirrhosis complication? </w:t>
      </w:r>
      <w:r w:rsidRPr="00816912">
        <w:rPr>
          <w:rFonts w:ascii="Book Antiqua" w:eastAsia="宋体" w:hAnsi="Book Antiqua" w:cs="宋体"/>
          <w:i/>
          <w:iCs/>
          <w:kern w:val="0"/>
          <w:sz w:val="24"/>
          <w:szCs w:val="24"/>
        </w:rPr>
        <w:t>Ther Clin Risk Manag</w:t>
      </w:r>
      <w:r w:rsidRPr="00816912">
        <w:rPr>
          <w:rFonts w:ascii="Book Antiqua" w:eastAsia="宋体" w:hAnsi="Book Antiqua" w:cs="宋体"/>
          <w:kern w:val="0"/>
          <w:sz w:val="24"/>
          <w:szCs w:val="24"/>
        </w:rPr>
        <w:t> 2008; </w:t>
      </w:r>
      <w:r w:rsidRPr="00816912">
        <w:rPr>
          <w:rFonts w:ascii="Book Antiqua" w:eastAsia="宋体" w:hAnsi="Book Antiqua" w:cs="宋体"/>
          <w:b/>
          <w:bCs/>
          <w:kern w:val="0"/>
          <w:sz w:val="24"/>
          <w:szCs w:val="24"/>
        </w:rPr>
        <w:t>4</w:t>
      </w:r>
      <w:r w:rsidRPr="00816912">
        <w:rPr>
          <w:rFonts w:ascii="Book Antiqua" w:eastAsia="宋体" w:hAnsi="Book Antiqua" w:cs="宋体"/>
          <w:kern w:val="0"/>
          <w:sz w:val="24"/>
          <w:szCs w:val="24"/>
        </w:rPr>
        <w:t>: 919-925 [PMID: 19209274]</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19 </w:t>
      </w:r>
      <w:r w:rsidRPr="00816912">
        <w:rPr>
          <w:rFonts w:ascii="Book Antiqua" w:eastAsia="宋体" w:hAnsi="Book Antiqua" w:cs="宋体"/>
          <w:b/>
          <w:bCs/>
          <w:kern w:val="0"/>
          <w:sz w:val="24"/>
          <w:szCs w:val="24"/>
        </w:rPr>
        <w:t>Keane WF</w:t>
      </w:r>
      <w:r w:rsidRPr="00816912">
        <w:rPr>
          <w:rFonts w:ascii="Book Antiqua" w:eastAsia="宋体" w:hAnsi="Book Antiqua" w:cs="宋体"/>
          <w:kern w:val="0"/>
          <w:sz w:val="24"/>
          <w:szCs w:val="24"/>
        </w:rPr>
        <w:t>, Swan SK, Grimes I, Humphries TJ. Rabeprazole: pharmacokinetics and tolerability in patients with stable, end-stage renal failure. </w:t>
      </w:r>
      <w:r w:rsidRPr="00816912">
        <w:rPr>
          <w:rFonts w:ascii="Book Antiqua" w:eastAsia="宋体" w:hAnsi="Book Antiqua" w:cs="宋体"/>
          <w:i/>
          <w:iCs/>
          <w:kern w:val="0"/>
          <w:sz w:val="24"/>
          <w:szCs w:val="24"/>
        </w:rPr>
        <w:t>J Clin Pharmacol</w:t>
      </w:r>
      <w:r w:rsidRPr="00816912">
        <w:rPr>
          <w:rFonts w:ascii="Book Antiqua" w:eastAsia="宋体" w:hAnsi="Book Antiqua" w:cs="宋体"/>
          <w:kern w:val="0"/>
          <w:sz w:val="24"/>
          <w:szCs w:val="24"/>
        </w:rPr>
        <w:t> 1999; </w:t>
      </w:r>
      <w:r w:rsidRPr="00816912">
        <w:rPr>
          <w:rFonts w:ascii="Book Antiqua" w:eastAsia="宋体" w:hAnsi="Book Antiqua" w:cs="宋体"/>
          <w:b/>
          <w:bCs/>
          <w:kern w:val="0"/>
          <w:sz w:val="24"/>
          <w:szCs w:val="24"/>
        </w:rPr>
        <w:t>39</w:t>
      </w:r>
      <w:r w:rsidRPr="00816912">
        <w:rPr>
          <w:rFonts w:ascii="Book Antiqua" w:eastAsia="宋体" w:hAnsi="Book Antiqua" w:cs="宋体"/>
          <w:kern w:val="0"/>
          <w:sz w:val="24"/>
          <w:szCs w:val="24"/>
        </w:rPr>
        <w:t>: 927-933 [PMID: 10471983</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lang w:eastAsia="zh-CN"/>
        </w:rPr>
        <w:t>DOI</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lang w:eastAsia="zh-CN"/>
        </w:rPr>
        <w:t>10.1177/00912709922008542</w:t>
      </w:r>
      <w:r w:rsidRPr="00816912">
        <w:rPr>
          <w:rFonts w:ascii="Book Antiqua" w:eastAsia="宋体" w:hAnsi="Book Antiqua" w:cs="宋体"/>
          <w:kern w:val="0"/>
          <w:sz w:val="24"/>
          <w:szCs w:val="24"/>
        </w:rPr>
        <w:t>]</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20 </w:t>
      </w:r>
      <w:r w:rsidRPr="00816912">
        <w:rPr>
          <w:rFonts w:ascii="Book Antiqua" w:eastAsia="宋体" w:hAnsi="Book Antiqua" w:cs="宋体"/>
          <w:b/>
          <w:bCs/>
          <w:kern w:val="0"/>
          <w:sz w:val="24"/>
          <w:szCs w:val="24"/>
        </w:rPr>
        <w:t>Sica DA</w:t>
      </w:r>
      <w:r w:rsidRPr="00816912">
        <w:rPr>
          <w:rFonts w:ascii="Book Antiqua" w:eastAsia="宋体" w:hAnsi="Book Antiqua" w:cs="宋体"/>
          <w:kern w:val="0"/>
          <w:sz w:val="24"/>
          <w:szCs w:val="24"/>
        </w:rPr>
        <w:t>, Comstock T, Harford A, Eshelman F. Ranitidine pharmacokinetics in continuous ambulatory peritoneal dialysis. </w:t>
      </w:r>
      <w:r w:rsidRPr="00816912">
        <w:rPr>
          <w:rFonts w:ascii="Book Antiqua" w:eastAsia="宋体" w:hAnsi="Book Antiqua" w:cs="宋体"/>
          <w:i/>
          <w:iCs/>
          <w:kern w:val="0"/>
          <w:sz w:val="24"/>
          <w:szCs w:val="24"/>
        </w:rPr>
        <w:t>Eur J Clin Pharmacol</w:t>
      </w:r>
      <w:r w:rsidRPr="00816912">
        <w:rPr>
          <w:rFonts w:ascii="Book Antiqua" w:eastAsia="宋体" w:hAnsi="Book Antiqua" w:cs="宋体"/>
          <w:kern w:val="0"/>
          <w:sz w:val="24"/>
          <w:szCs w:val="24"/>
        </w:rPr>
        <w:t> 1987; </w:t>
      </w:r>
      <w:r w:rsidRPr="00816912">
        <w:rPr>
          <w:rFonts w:ascii="Book Antiqua" w:eastAsia="宋体" w:hAnsi="Book Antiqua" w:cs="宋体"/>
          <w:b/>
          <w:bCs/>
          <w:kern w:val="0"/>
          <w:sz w:val="24"/>
          <w:szCs w:val="24"/>
        </w:rPr>
        <w:t>32</w:t>
      </w:r>
      <w:r w:rsidRPr="00816912">
        <w:rPr>
          <w:rFonts w:ascii="Book Antiqua" w:eastAsia="宋体" w:hAnsi="Book Antiqua" w:cs="宋体"/>
          <w:kern w:val="0"/>
          <w:sz w:val="24"/>
          <w:szCs w:val="24"/>
        </w:rPr>
        <w:t>: 587-591 [PMID: 3653228]</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21 </w:t>
      </w:r>
      <w:r w:rsidRPr="00816912">
        <w:rPr>
          <w:rFonts w:ascii="Book Antiqua" w:eastAsia="宋体" w:hAnsi="Book Antiqua" w:cs="宋体"/>
          <w:b/>
          <w:bCs/>
          <w:kern w:val="0"/>
          <w:sz w:val="24"/>
          <w:szCs w:val="24"/>
        </w:rPr>
        <w:t>Hall JC</w:t>
      </w:r>
      <w:r w:rsidRPr="00816912">
        <w:rPr>
          <w:rFonts w:ascii="Book Antiqua" w:eastAsia="宋体" w:hAnsi="Book Antiqua" w:cs="宋体"/>
          <w:kern w:val="0"/>
          <w:sz w:val="24"/>
          <w:szCs w:val="24"/>
        </w:rPr>
        <w:t>, Heel KA, Papadimitriou JM, Platell C. The pathobiology of peritonitis. </w:t>
      </w:r>
      <w:r w:rsidRPr="00816912">
        <w:rPr>
          <w:rFonts w:ascii="Book Antiqua" w:eastAsia="宋体" w:hAnsi="Book Antiqua" w:cs="宋体"/>
          <w:i/>
          <w:iCs/>
          <w:kern w:val="0"/>
          <w:sz w:val="24"/>
          <w:szCs w:val="24"/>
        </w:rPr>
        <w:t>Gastroenterology</w:t>
      </w:r>
      <w:r w:rsidRPr="00816912">
        <w:rPr>
          <w:rFonts w:ascii="Book Antiqua" w:eastAsia="宋体" w:hAnsi="Book Antiqua" w:cs="宋体"/>
          <w:kern w:val="0"/>
          <w:sz w:val="24"/>
          <w:szCs w:val="24"/>
        </w:rPr>
        <w:t> 1998; </w:t>
      </w:r>
      <w:r w:rsidRPr="00816912">
        <w:rPr>
          <w:rFonts w:ascii="Book Antiqua" w:eastAsia="宋体" w:hAnsi="Book Antiqua" w:cs="宋体"/>
          <w:b/>
          <w:bCs/>
          <w:kern w:val="0"/>
          <w:sz w:val="24"/>
          <w:szCs w:val="24"/>
        </w:rPr>
        <w:t>114</w:t>
      </w:r>
      <w:r w:rsidRPr="00816912">
        <w:rPr>
          <w:rFonts w:ascii="Book Antiqua" w:eastAsia="宋体" w:hAnsi="Book Antiqua" w:cs="宋体"/>
          <w:kern w:val="0"/>
          <w:sz w:val="24"/>
          <w:szCs w:val="24"/>
        </w:rPr>
        <w:t>: 185-196 [PMID: 9428232</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lang w:eastAsia="zh-CN"/>
        </w:rPr>
        <w:t>DOI</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lang w:eastAsia="zh-CN"/>
        </w:rPr>
        <w:t>10.1016/S0016-5085(98)70646-8</w:t>
      </w:r>
      <w:r w:rsidRPr="00816912">
        <w:rPr>
          <w:rFonts w:ascii="Book Antiqua" w:eastAsia="宋体" w:hAnsi="Book Antiqua" w:cs="宋体"/>
          <w:kern w:val="0"/>
          <w:sz w:val="24"/>
          <w:szCs w:val="24"/>
        </w:rPr>
        <w:t>]</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22 </w:t>
      </w:r>
      <w:r w:rsidRPr="00816912">
        <w:rPr>
          <w:rFonts w:ascii="Book Antiqua" w:eastAsia="宋体" w:hAnsi="Book Antiqua" w:cs="宋体"/>
          <w:b/>
          <w:bCs/>
          <w:kern w:val="0"/>
          <w:sz w:val="24"/>
          <w:szCs w:val="24"/>
        </w:rPr>
        <w:t>Heel KA</w:t>
      </w:r>
      <w:r w:rsidRPr="00816912">
        <w:rPr>
          <w:rFonts w:ascii="Book Antiqua" w:eastAsia="宋体" w:hAnsi="Book Antiqua" w:cs="宋体"/>
          <w:kern w:val="0"/>
          <w:sz w:val="24"/>
          <w:szCs w:val="24"/>
        </w:rPr>
        <w:t>, Hall JC. Peritoneal defences and peritoneum-associated lymphoid tissue. </w:t>
      </w:r>
      <w:r w:rsidRPr="00816912">
        <w:rPr>
          <w:rFonts w:ascii="Book Antiqua" w:eastAsia="宋体" w:hAnsi="Book Antiqua" w:cs="宋体"/>
          <w:i/>
          <w:iCs/>
          <w:kern w:val="0"/>
          <w:sz w:val="24"/>
          <w:szCs w:val="24"/>
        </w:rPr>
        <w:t>Br J Surg</w:t>
      </w:r>
      <w:r w:rsidRPr="00816912">
        <w:rPr>
          <w:rFonts w:ascii="Book Antiqua" w:eastAsia="宋体" w:hAnsi="Book Antiqua" w:cs="宋体"/>
          <w:kern w:val="0"/>
          <w:sz w:val="24"/>
          <w:szCs w:val="24"/>
        </w:rPr>
        <w:t> 1996; </w:t>
      </w:r>
      <w:r w:rsidRPr="00816912">
        <w:rPr>
          <w:rFonts w:ascii="Book Antiqua" w:eastAsia="宋体" w:hAnsi="Book Antiqua" w:cs="宋体"/>
          <w:b/>
          <w:bCs/>
          <w:kern w:val="0"/>
          <w:sz w:val="24"/>
          <w:szCs w:val="24"/>
        </w:rPr>
        <w:t>83</w:t>
      </w:r>
      <w:r w:rsidRPr="00816912">
        <w:rPr>
          <w:rFonts w:ascii="Book Antiqua" w:eastAsia="宋体" w:hAnsi="Book Antiqua" w:cs="宋体"/>
          <w:kern w:val="0"/>
          <w:sz w:val="24"/>
          <w:szCs w:val="24"/>
        </w:rPr>
        <w:t>: 1031-1036 [PMID: 8869299</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lang w:eastAsia="zh-CN"/>
        </w:rPr>
        <w:t>DOI</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lang w:eastAsia="zh-CN"/>
        </w:rPr>
        <w:t>10.1002/bjs.1800830804</w:t>
      </w:r>
      <w:r w:rsidRPr="00816912">
        <w:rPr>
          <w:rFonts w:ascii="Book Antiqua" w:eastAsia="宋体" w:hAnsi="Book Antiqua" w:cs="宋体"/>
          <w:kern w:val="0"/>
          <w:sz w:val="24"/>
          <w:szCs w:val="24"/>
        </w:rPr>
        <w:t>]</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23 </w:t>
      </w:r>
      <w:r w:rsidRPr="00816912">
        <w:rPr>
          <w:rFonts w:ascii="Book Antiqua" w:eastAsia="宋体" w:hAnsi="Book Antiqua" w:cs="宋体"/>
          <w:b/>
          <w:bCs/>
          <w:kern w:val="0"/>
          <w:sz w:val="24"/>
          <w:szCs w:val="24"/>
        </w:rPr>
        <w:t>Carlos D</w:t>
      </w:r>
      <w:r w:rsidRPr="00816912">
        <w:rPr>
          <w:rFonts w:ascii="Book Antiqua" w:eastAsia="宋体" w:hAnsi="Book Antiqua" w:cs="宋体"/>
          <w:kern w:val="0"/>
          <w:sz w:val="24"/>
          <w:szCs w:val="24"/>
        </w:rPr>
        <w:t>, Spiller F, Souto FO, Trevelin SC, Borges VF, de Freitas A, Alves-Filho JC, Silva JS, Ryffel B, Cunha FQ. Histamine h2 receptor signaling in the pathogenesis of sepsis: studies in a murine diabetes model. </w:t>
      </w:r>
      <w:r w:rsidRPr="00816912">
        <w:rPr>
          <w:rFonts w:ascii="Book Antiqua" w:eastAsia="宋体" w:hAnsi="Book Antiqua" w:cs="宋体"/>
          <w:i/>
          <w:iCs/>
          <w:kern w:val="0"/>
          <w:sz w:val="24"/>
          <w:szCs w:val="24"/>
        </w:rPr>
        <w:t>J Immunol</w:t>
      </w:r>
      <w:r w:rsidRPr="00816912">
        <w:rPr>
          <w:rFonts w:ascii="Book Antiqua" w:eastAsia="宋体" w:hAnsi="Book Antiqua" w:cs="宋体"/>
          <w:kern w:val="0"/>
          <w:sz w:val="24"/>
          <w:szCs w:val="24"/>
        </w:rPr>
        <w:t> 2013; </w:t>
      </w:r>
      <w:r w:rsidRPr="00816912">
        <w:rPr>
          <w:rFonts w:ascii="Book Antiqua" w:eastAsia="宋体" w:hAnsi="Book Antiqua" w:cs="宋体"/>
          <w:b/>
          <w:bCs/>
          <w:kern w:val="0"/>
          <w:sz w:val="24"/>
          <w:szCs w:val="24"/>
        </w:rPr>
        <w:t>191</w:t>
      </w:r>
      <w:r w:rsidRPr="00816912">
        <w:rPr>
          <w:rFonts w:ascii="Book Antiqua" w:eastAsia="宋体" w:hAnsi="Book Antiqua" w:cs="宋体"/>
          <w:kern w:val="0"/>
          <w:sz w:val="24"/>
          <w:szCs w:val="24"/>
        </w:rPr>
        <w:t>: 1373-1382 [PMID: 23817413 DOI: 10.4049/jimmunol.1202907]</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24 </w:t>
      </w:r>
      <w:r w:rsidRPr="00816912">
        <w:rPr>
          <w:rFonts w:ascii="Book Antiqua" w:eastAsia="宋体" w:hAnsi="Book Antiqua" w:cs="宋体"/>
          <w:b/>
          <w:bCs/>
          <w:kern w:val="0"/>
          <w:sz w:val="24"/>
          <w:szCs w:val="24"/>
        </w:rPr>
        <w:t>Witte MB</w:t>
      </w:r>
      <w:r w:rsidRPr="00816912">
        <w:rPr>
          <w:rFonts w:ascii="Book Antiqua" w:eastAsia="宋体" w:hAnsi="Book Antiqua" w:cs="宋体"/>
          <w:kern w:val="0"/>
          <w:sz w:val="24"/>
          <w:szCs w:val="24"/>
        </w:rPr>
        <w:t>, Barbul A. General principles of wound healing. </w:t>
      </w:r>
      <w:r w:rsidRPr="00816912">
        <w:rPr>
          <w:rFonts w:ascii="Book Antiqua" w:eastAsia="宋体" w:hAnsi="Book Antiqua" w:cs="宋体"/>
          <w:i/>
          <w:iCs/>
          <w:kern w:val="0"/>
          <w:sz w:val="24"/>
          <w:szCs w:val="24"/>
        </w:rPr>
        <w:t>Surg Clin North Am</w:t>
      </w:r>
      <w:r w:rsidRPr="00816912">
        <w:rPr>
          <w:rFonts w:ascii="Book Antiqua" w:eastAsia="宋体" w:hAnsi="Book Antiqua" w:cs="宋体"/>
          <w:kern w:val="0"/>
          <w:sz w:val="24"/>
          <w:szCs w:val="24"/>
        </w:rPr>
        <w:t> 1997; </w:t>
      </w:r>
      <w:r w:rsidRPr="00816912">
        <w:rPr>
          <w:rFonts w:ascii="Book Antiqua" w:eastAsia="宋体" w:hAnsi="Book Antiqua" w:cs="宋体"/>
          <w:b/>
          <w:bCs/>
          <w:kern w:val="0"/>
          <w:sz w:val="24"/>
          <w:szCs w:val="24"/>
        </w:rPr>
        <w:t>77</w:t>
      </w:r>
      <w:r w:rsidRPr="00816912">
        <w:rPr>
          <w:rFonts w:ascii="Book Antiqua" w:eastAsia="宋体" w:hAnsi="Book Antiqua" w:cs="宋体"/>
          <w:kern w:val="0"/>
          <w:sz w:val="24"/>
          <w:szCs w:val="24"/>
        </w:rPr>
        <w:t>: 509-528 [PMID: 9194878</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lang w:eastAsia="zh-CN"/>
        </w:rPr>
        <w:t>DOI</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lang w:eastAsia="zh-CN"/>
        </w:rPr>
        <w:t>10.1016/S0039-6109(05)70566-1</w:t>
      </w:r>
      <w:r w:rsidRPr="00816912">
        <w:rPr>
          <w:rFonts w:ascii="Book Antiqua" w:eastAsia="宋体" w:hAnsi="Book Antiqua" w:cs="宋体"/>
          <w:kern w:val="0"/>
          <w:sz w:val="24"/>
          <w:szCs w:val="24"/>
        </w:rPr>
        <w:t>]</w:t>
      </w:r>
    </w:p>
    <w:p w:rsidR="00AF2DB1" w:rsidRPr="00816912" w:rsidRDefault="00AF2DB1" w:rsidP="00AF2DB1">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25 </w:t>
      </w:r>
      <w:r w:rsidRPr="00816912">
        <w:rPr>
          <w:rFonts w:ascii="Book Antiqua" w:eastAsia="宋体" w:hAnsi="Book Antiqua" w:cs="宋体"/>
          <w:b/>
          <w:kern w:val="0"/>
          <w:sz w:val="24"/>
          <w:szCs w:val="24"/>
        </w:rPr>
        <w:t>Jin DC.</w:t>
      </w:r>
      <w:r w:rsidRPr="00816912">
        <w:rPr>
          <w:rFonts w:ascii="Book Antiqua" w:eastAsia="宋体" w:hAnsi="Book Antiqua" w:cs="宋体"/>
          <w:kern w:val="0"/>
          <w:sz w:val="24"/>
          <w:szCs w:val="24"/>
        </w:rPr>
        <w:t xml:space="preserve"> Current status of dialysis therapy for ESRD patients in Korea. </w:t>
      </w:r>
      <w:r w:rsidRPr="00816912">
        <w:rPr>
          <w:rFonts w:ascii="Book Antiqua" w:eastAsia="宋体" w:hAnsi="Book Antiqua" w:cs="宋体"/>
          <w:i/>
          <w:kern w:val="0"/>
          <w:sz w:val="24"/>
          <w:szCs w:val="24"/>
        </w:rPr>
        <w:t xml:space="preserve">J Korean Med Assoc </w:t>
      </w:r>
      <w:r w:rsidRPr="00816912">
        <w:rPr>
          <w:rFonts w:ascii="Book Antiqua" w:eastAsia="宋体" w:hAnsi="Book Antiqua" w:cs="宋体"/>
          <w:kern w:val="0"/>
          <w:sz w:val="24"/>
          <w:szCs w:val="24"/>
        </w:rPr>
        <w:t xml:space="preserve">2013; </w:t>
      </w:r>
      <w:r w:rsidRPr="00816912">
        <w:rPr>
          <w:rFonts w:ascii="Book Antiqua" w:eastAsia="宋体" w:hAnsi="Book Antiqua" w:cs="宋体"/>
          <w:b/>
          <w:kern w:val="0"/>
          <w:sz w:val="24"/>
          <w:szCs w:val="24"/>
        </w:rPr>
        <w:t>56</w:t>
      </w:r>
      <w:r w:rsidRPr="00816912">
        <w:rPr>
          <w:rFonts w:ascii="Book Antiqua" w:eastAsia="宋体" w:hAnsi="Book Antiqua" w:cs="宋体"/>
          <w:kern w:val="0"/>
          <w:sz w:val="24"/>
          <w:szCs w:val="24"/>
        </w:rPr>
        <w:t>: 562 [DOI: 10.5124/jkma.2013.56.7.562]</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26 </w:t>
      </w:r>
      <w:r w:rsidRPr="00816912">
        <w:rPr>
          <w:rFonts w:ascii="Book Antiqua" w:eastAsia="宋体" w:hAnsi="Book Antiqua" w:cs="宋体"/>
          <w:b/>
          <w:bCs/>
          <w:kern w:val="0"/>
          <w:sz w:val="24"/>
          <w:szCs w:val="24"/>
        </w:rPr>
        <w:t>Himmelfarb J</w:t>
      </w:r>
      <w:r w:rsidRPr="00816912">
        <w:rPr>
          <w:rFonts w:ascii="Book Antiqua" w:eastAsia="宋体" w:hAnsi="Book Antiqua" w:cs="宋体"/>
          <w:kern w:val="0"/>
          <w:sz w:val="24"/>
          <w:szCs w:val="24"/>
        </w:rPr>
        <w:t>, Tuttle KR. New therapies for diabetic kidney disease. </w:t>
      </w:r>
      <w:r w:rsidRPr="00816912">
        <w:rPr>
          <w:rFonts w:ascii="Book Antiqua" w:eastAsia="宋体" w:hAnsi="Book Antiqua" w:cs="宋体"/>
          <w:i/>
          <w:iCs/>
          <w:kern w:val="0"/>
          <w:sz w:val="24"/>
          <w:szCs w:val="24"/>
        </w:rPr>
        <w:t>N Engl J Med</w:t>
      </w:r>
      <w:r w:rsidRPr="00816912">
        <w:rPr>
          <w:rFonts w:ascii="Book Antiqua" w:eastAsia="宋体" w:hAnsi="Book Antiqua" w:cs="宋体"/>
          <w:kern w:val="0"/>
          <w:sz w:val="24"/>
          <w:szCs w:val="24"/>
        </w:rPr>
        <w:t> 2013; </w:t>
      </w:r>
      <w:r w:rsidRPr="00816912">
        <w:rPr>
          <w:rFonts w:ascii="Book Antiqua" w:eastAsia="宋体" w:hAnsi="Book Antiqua" w:cs="宋体"/>
          <w:b/>
          <w:bCs/>
          <w:kern w:val="0"/>
          <w:sz w:val="24"/>
          <w:szCs w:val="24"/>
        </w:rPr>
        <w:t>369</w:t>
      </w:r>
      <w:r w:rsidRPr="00816912">
        <w:rPr>
          <w:rFonts w:ascii="Book Antiqua" w:eastAsia="宋体" w:hAnsi="Book Antiqua" w:cs="宋体"/>
          <w:kern w:val="0"/>
          <w:sz w:val="24"/>
          <w:szCs w:val="24"/>
        </w:rPr>
        <w:t>: 2549-2550 [PMID: 24206460 DOI: 10.1056/NEJMe1313104]</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t>27 </w:t>
      </w:r>
      <w:r w:rsidRPr="00816912">
        <w:rPr>
          <w:rFonts w:ascii="Book Antiqua" w:eastAsia="宋体" w:hAnsi="Book Antiqua" w:cs="宋体"/>
          <w:b/>
          <w:bCs/>
          <w:kern w:val="0"/>
          <w:sz w:val="24"/>
          <w:szCs w:val="24"/>
        </w:rPr>
        <w:t>Troidle L</w:t>
      </w:r>
      <w:r w:rsidRPr="00816912">
        <w:rPr>
          <w:rFonts w:ascii="Book Antiqua" w:eastAsia="宋体" w:hAnsi="Book Antiqua" w:cs="宋体"/>
          <w:kern w:val="0"/>
          <w:sz w:val="24"/>
          <w:szCs w:val="24"/>
        </w:rPr>
        <w:t>, Gorban-Brennan N, Kliger A, Finkelstein F. Differing outcomes of gram-positive and gram-negative peritonitis. </w:t>
      </w:r>
      <w:r w:rsidRPr="00816912">
        <w:rPr>
          <w:rFonts w:ascii="Book Antiqua" w:eastAsia="宋体" w:hAnsi="Book Antiqua" w:cs="宋体"/>
          <w:i/>
          <w:iCs/>
          <w:kern w:val="0"/>
          <w:sz w:val="24"/>
          <w:szCs w:val="24"/>
        </w:rPr>
        <w:t>Am J Kidney Dis</w:t>
      </w:r>
      <w:r w:rsidRPr="00816912">
        <w:rPr>
          <w:rFonts w:ascii="Book Antiqua" w:eastAsia="宋体" w:hAnsi="Book Antiqua" w:cs="宋体"/>
          <w:kern w:val="0"/>
          <w:sz w:val="24"/>
          <w:szCs w:val="24"/>
        </w:rPr>
        <w:t> 1998; </w:t>
      </w:r>
      <w:r w:rsidRPr="00816912">
        <w:rPr>
          <w:rFonts w:ascii="Book Antiqua" w:eastAsia="宋体" w:hAnsi="Book Antiqua" w:cs="宋体"/>
          <w:b/>
          <w:bCs/>
          <w:kern w:val="0"/>
          <w:sz w:val="24"/>
          <w:szCs w:val="24"/>
        </w:rPr>
        <w:t>32</w:t>
      </w:r>
      <w:r w:rsidRPr="00816912">
        <w:rPr>
          <w:rFonts w:ascii="Book Antiqua" w:eastAsia="宋体" w:hAnsi="Book Antiqua" w:cs="宋体"/>
          <w:kern w:val="0"/>
          <w:sz w:val="24"/>
          <w:szCs w:val="24"/>
        </w:rPr>
        <w:t>: 623-628 [PMID: 9774124</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lang w:eastAsia="zh-CN"/>
        </w:rPr>
        <w:t>DOI</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lang w:eastAsia="zh-CN"/>
        </w:rPr>
        <w:t>10.1016/S0272-6386(98)70026-5</w:t>
      </w:r>
      <w:r w:rsidRPr="00816912">
        <w:rPr>
          <w:rFonts w:ascii="Book Antiqua" w:eastAsia="宋体" w:hAnsi="Book Antiqua" w:cs="宋体"/>
          <w:kern w:val="0"/>
          <w:sz w:val="24"/>
          <w:szCs w:val="24"/>
        </w:rPr>
        <w:t>]</w:t>
      </w:r>
    </w:p>
    <w:p w:rsidR="00AF2DB1" w:rsidRPr="00816912" w:rsidRDefault="00AF2DB1" w:rsidP="00AF2DB1">
      <w:pPr>
        <w:widowControl/>
        <w:spacing w:line="360" w:lineRule="auto"/>
        <w:rPr>
          <w:rFonts w:ascii="Book Antiqua" w:eastAsia="宋体" w:hAnsi="Book Antiqua" w:cs="宋体"/>
          <w:kern w:val="0"/>
          <w:sz w:val="24"/>
          <w:szCs w:val="24"/>
        </w:rPr>
      </w:pPr>
      <w:r w:rsidRPr="00816912">
        <w:rPr>
          <w:rFonts w:ascii="Book Antiqua" w:eastAsia="宋体" w:hAnsi="Book Antiqua" w:cs="宋体"/>
          <w:kern w:val="0"/>
          <w:sz w:val="24"/>
          <w:szCs w:val="24"/>
        </w:rPr>
        <w:lastRenderedPageBreak/>
        <w:t>28 </w:t>
      </w:r>
      <w:r w:rsidRPr="00816912">
        <w:rPr>
          <w:rFonts w:ascii="Book Antiqua" w:eastAsia="宋体" w:hAnsi="Book Antiqua" w:cs="宋体"/>
          <w:b/>
          <w:bCs/>
          <w:kern w:val="0"/>
          <w:sz w:val="24"/>
          <w:szCs w:val="24"/>
        </w:rPr>
        <w:t>Bunke CM</w:t>
      </w:r>
      <w:r w:rsidRPr="00816912">
        <w:rPr>
          <w:rFonts w:ascii="Book Antiqua" w:eastAsia="宋体" w:hAnsi="Book Antiqua" w:cs="宋体"/>
          <w:kern w:val="0"/>
          <w:sz w:val="24"/>
          <w:szCs w:val="24"/>
        </w:rPr>
        <w:t>, Brier ME, Golper TA. Outcomes of single organism peritonitis in peritoneal dialysis: gram negatives versus gram positives in the Network 9 Peritonitis Study. </w:t>
      </w:r>
      <w:r w:rsidRPr="00816912">
        <w:rPr>
          <w:rFonts w:ascii="Book Antiqua" w:eastAsia="宋体" w:hAnsi="Book Antiqua" w:cs="宋体"/>
          <w:i/>
          <w:iCs/>
          <w:kern w:val="0"/>
          <w:sz w:val="24"/>
          <w:szCs w:val="24"/>
        </w:rPr>
        <w:t>Kidney Int</w:t>
      </w:r>
      <w:r w:rsidRPr="00816912">
        <w:rPr>
          <w:rFonts w:ascii="Book Antiqua" w:eastAsia="宋体" w:hAnsi="Book Antiqua" w:cs="宋体"/>
          <w:kern w:val="0"/>
          <w:sz w:val="24"/>
          <w:szCs w:val="24"/>
        </w:rPr>
        <w:t> 1997; </w:t>
      </w:r>
      <w:r w:rsidRPr="00816912">
        <w:rPr>
          <w:rFonts w:ascii="Book Antiqua" w:eastAsia="宋体" w:hAnsi="Book Antiqua" w:cs="宋体"/>
          <w:b/>
          <w:bCs/>
          <w:kern w:val="0"/>
          <w:sz w:val="24"/>
          <w:szCs w:val="24"/>
        </w:rPr>
        <w:t>52</w:t>
      </w:r>
      <w:r w:rsidRPr="00816912">
        <w:rPr>
          <w:rFonts w:ascii="Book Antiqua" w:eastAsia="宋体" w:hAnsi="Book Antiqua" w:cs="宋体"/>
          <w:kern w:val="0"/>
          <w:sz w:val="24"/>
          <w:szCs w:val="24"/>
        </w:rPr>
        <w:t>: 524-529 [PMID: 9264012</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lang w:eastAsia="zh-CN"/>
        </w:rPr>
        <w:t>DOI</w:t>
      </w:r>
      <w:r w:rsidR="00856759">
        <w:rPr>
          <w:rFonts w:ascii="Book Antiqua" w:eastAsia="宋体" w:hAnsi="Book Antiqua" w:cs="宋体" w:hint="eastAsia"/>
          <w:kern w:val="0"/>
          <w:sz w:val="24"/>
          <w:szCs w:val="24"/>
          <w:lang w:eastAsia="zh-CN"/>
        </w:rPr>
        <w:t xml:space="preserve">: </w:t>
      </w:r>
      <w:r w:rsidR="00856759" w:rsidRPr="00856759">
        <w:rPr>
          <w:rFonts w:ascii="Book Antiqua" w:eastAsia="宋体" w:hAnsi="Book Antiqua" w:cs="宋体"/>
          <w:kern w:val="0"/>
          <w:sz w:val="24"/>
          <w:szCs w:val="24"/>
          <w:lang w:eastAsia="zh-CN"/>
        </w:rPr>
        <w:t>10.1038/ki.1997.363</w:t>
      </w:r>
      <w:r w:rsidRPr="00816912">
        <w:rPr>
          <w:rFonts w:ascii="Book Antiqua" w:eastAsia="宋体" w:hAnsi="Book Antiqua" w:cs="宋体"/>
          <w:kern w:val="0"/>
          <w:sz w:val="24"/>
          <w:szCs w:val="24"/>
        </w:rPr>
        <w:t>]</w:t>
      </w:r>
    </w:p>
    <w:p w:rsidR="00AF2DB1" w:rsidRPr="00816912" w:rsidRDefault="00AF2DB1" w:rsidP="00AF2DB1">
      <w:pPr>
        <w:spacing w:line="360" w:lineRule="auto"/>
        <w:rPr>
          <w:rFonts w:ascii="Book Antiqua" w:hAnsi="Book Antiqua"/>
          <w:sz w:val="24"/>
          <w:szCs w:val="24"/>
        </w:rPr>
      </w:pPr>
    </w:p>
    <w:p w:rsidR="002A4F8D" w:rsidRPr="00BF3C3C" w:rsidRDefault="002A4F8D" w:rsidP="002A4F8D">
      <w:pPr>
        <w:pStyle w:val="aa"/>
        <w:spacing w:line="360" w:lineRule="auto"/>
        <w:ind w:right="120"/>
        <w:jc w:val="right"/>
        <w:rPr>
          <w:rFonts w:ascii="Book Antiqua" w:eastAsia="宋体" w:hAnsi="Book Antiqua"/>
          <w:b/>
          <w:bCs/>
          <w:color w:val="000000"/>
          <w:sz w:val="24"/>
          <w:szCs w:val="24"/>
          <w:lang w:eastAsia="zh-CN"/>
        </w:rPr>
      </w:pPr>
      <w:r w:rsidRPr="00BF3C3C">
        <w:rPr>
          <w:rStyle w:val="af4"/>
          <w:rFonts w:ascii="Book Antiqua" w:hAnsi="Book Antiqua" w:cs="Arial"/>
          <w:bCs w:val="0"/>
          <w:noProof/>
          <w:color w:val="000000"/>
          <w:sz w:val="24"/>
          <w:szCs w:val="24"/>
        </w:rPr>
        <w:t>P-Reviewers</w:t>
      </w:r>
      <w:r w:rsidRPr="00BF3C3C">
        <w:rPr>
          <w:rStyle w:val="af4"/>
          <w:rFonts w:ascii="Book Antiqua" w:eastAsia="宋体" w:hAnsi="Book Antiqua" w:cs="Arial"/>
          <w:bCs w:val="0"/>
          <w:noProof/>
          <w:color w:val="000000"/>
          <w:sz w:val="24"/>
          <w:szCs w:val="24"/>
          <w:lang w:eastAsia="zh-CN"/>
        </w:rPr>
        <w:t>:</w:t>
      </w:r>
      <w:r w:rsidRPr="00BF3C3C">
        <w:rPr>
          <w:rFonts w:ascii="Book Antiqua" w:hAnsi="Book Antiqua"/>
          <w:bCs/>
          <w:color w:val="000000"/>
          <w:sz w:val="24"/>
          <w:szCs w:val="24"/>
        </w:rPr>
        <w:t xml:space="preserve"> </w:t>
      </w:r>
      <w:r w:rsidR="00AF2DB1">
        <w:rPr>
          <w:rFonts w:ascii="Book Antiqua" w:hAnsi="Book Antiqua"/>
          <w:bCs/>
          <w:color w:val="000000"/>
          <w:sz w:val="24"/>
          <w:szCs w:val="24"/>
        </w:rPr>
        <w:t>Prasad</w:t>
      </w:r>
      <w:r w:rsidR="00AF2DB1">
        <w:rPr>
          <w:rFonts w:ascii="Book Antiqua" w:eastAsia="宋体" w:hAnsi="Book Antiqua" w:hint="eastAsia"/>
          <w:bCs/>
          <w:color w:val="000000"/>
          <w:sz w:val="24"/>
          <w:szCs w:val="24"/>
          <w:lang w:eastAsia="zh-CN"/>
        </w:rPr>
        <w:t xml:space="preserve"> </w:t>
      </w:r>
      <w:r w:rsidR="00AF2DB1" w:rsidRPr="00AF2DB1">
        <w:rPr>
          <w:rFonts w:ascii="Book Antiqua" w:hAnsi="Book Antiqua"/>
          <w:bCs/>
          <w:color w:val="000000"/>
          <w:sz w:val="24"/>
          <w:szCs w:val="24"/>
        </w:rPr>
        <w:t xml:space="preserve">N </w:t>
      </w:r>
      <w:r w:rsidRPr="00BF3C3C">
        <w:rPr>
          <w:rFonts w:ascii="Book Antiqua" w:hAnsi="Book Antiqua"/>
          <w:b/>
          <w:bCs/>
          <w:color w:val="000000"/>
          <w:sz w:val="24"/>
          <w:szCs w:val="24"/>
        </w:rPr>
        <w:t>S-Editor</w:t>
      </w:r>
      <w:r w:rsidRPr="00BF3C3C">
        <w:rPr>
          <w:rFonts w:ascii="Book Antiqua" w:eastAsia="宋体" w:hAnsi="Book Antiqua"/>
          <w:b/>
          <w:bCs/>
          <w:color w:val="000000"/>
          <w:sz w:val="24"/>
          <w:szCs w:val="24"/>
          <w:lang w:eastAsia="zh-CN"/>
        </w:rPr>
        <w:t>:</w:t>
      </w:r>
      <w:r w:rsidRPr="00BF3C3C">
        <w:rPr>
          <w:rFonts w:ascii="Book Antiqua" w:hAnsi="Book Antiqua"/>
          <w:bCs/>
          <w:color w:val="000000"/>
          <w:sz w:val="24"/>
          <w:szCs w:val="24"/>
        </w:rPr>
        <w:t xml:space="preserve"> </w:t>
      </w:r>
      <w:r w:rsidRPr="00BF3C3C">
        <w:rPr>
          <w:rFonts w:ascii="Book Antiqua" w:eastAsia="宋体" w:hAnsi="Book Antiqua"/>
          <w:bCs/>
          <w:color w:val="000000"/>
          <w:sz w:val="24"/>
          <w:szCs w:val="24"/>
          <w:lang w:eastAsia="zh-CN"/>
        </w:rPr>
        <w:t>Qi Y</w:t>
      </w:r>
      <w:r w:rsidR="00AF2DB1">
        <w:rPr>
          <w:rFonts w:ascii="Book Antiqua" w:eastAsia="宋体" w:hAnsi="Book Antiqua" w:hint="eastAsia"/>
          <w:b/>
          <w:bCs/>
          <w:color w:val="000000"/>
          <w:sz w:val="24"/>
          <w:szCs w:val="24"/>
          <w:lang w:eastAsia="zh-CN"/>
        </w:rPr>
        <w:t xml:space="preserve"> </w:t>
      </w:r>
      <w:r w:rsidRPr="00BF3C3C">
        <w:rPr>
          <w:rFonts w:ascii="Book Antiqua" w:hAnsi="Book Antiqua"/>
          <w:b/>
          <w:bCs/>
          <w:color w:val="000000"/>
          <w:sz w:val="24"/>
          <w:szCs w:val="24"/>
        </w:rPr>
        <w:t>L-Editor</w:t>
      </w:r>
      <w:r w:rsidRPr="00BF3C3C">
        <w:rPr>
          <w:rFonts w:ascii="Book Antiqua" w:eastAsia="宋体" w:hAnsi="Book Antiqua"/>
          <w:b/>
          <w:bCs/>
          <w:color w:val="000000"/>
          <w:sz w:val="24"/>
          <w:szCs w:val="24"/>
          <w:lang w:eastAsia="zh-CN"/>
        </w:rPr>
        <w:t>:</w:t>
      </w:r>
      <w:r w:rsidRPr="00BF3C3C">
        <w:rPr>
          <w:rFonts w:ascii="Book Antiqua" w:hAnsi="Book Antiqua"/>
          <w:b/>
          <w:bCs/>
          <w:color w:val="000000"/>
          <w:sz w:val="24"/>
          <w:szCs w:val="24"/>
        </w:rPr>
        <w:t xml:space="preserve"> E-Editor</w:t>
      </w:r>
      <w:bookmarkEnd w:id="25"/>
      <w:r w:rsidRPr="00BF3C3C">
        <w:rPr>
          <w:rFonts w:ascii="Book Antiqua" w:eastAsia="宋体" w:hAnsi="Book Antiqua"/>
          <w:b/>
          <w:bCs/>
          <w:color w:val="000000"/>
          <w:sz w:val="24"/>
          <w:szCs w:val="24"/>
          <w:lang w:eastAsia="zh-CN"/>
        </w:rPr>
        <w:t>:</w:t>
      </w:r>
    </w:p>
    <w:bookmarkEnd w:id="26"/>
    <w:bookmarkEnd w:id="27"/>
    <w:bookmarkEnd w:id="28"/>
    <w:bookmarkEnd w:id="29"/>
    <w:bookmarkEnd w:id="30"/>
    <w:bookmarkEnd w:id="31"/>
    <w:bookmarkEnd w:id="32"/>
    <w:bookmarkEnd w:id="33"/>
    <w:p w:rsidR="007F3A43" w:rsidRPr="00BF3C3C" w:rsidRDefault="007F3A43" w:rsidP="002A4F8D">
      <w:pPr>
        <w:widowControl/>
        <w:wordWrap/>
        <w:autoSpaceDE/>
        <w:autoSpaceDN/>
        <w:spacing w:line="360" w:lineRule="auto"/>
        <w:rPr>
          <w:rFonts w:ascii="Book Antiqua" w:eastAsia="HYSinMyeongJo-Medium" w:hAnsi="Book Antiqua" w:cs="Times New Roman"/>
          <w:sz w:val="24"/>
          <w:szCs w:val="24"/>
        </w:rPr>
      </w:pPr>
    </w:p>
    <w:p w:rsidR="007F3A43" w:rsidRPr="00BF3C3C" w:rsidRDefault="007F3A43" w:rsidP="002A4F8D">
      <w:pPr>
        <w:widowControl/>
        <w:wordWrap/>
        <w:autoSpaceDE/>
        <w:autoSpaceDN/>
        <w:spacing w:line="360" w:lineRule="auto"/>
        <w:rPr>
          <w:rFonts w:ascii="Book Antiqua" w:eastAsia="HYSinMyeongJo-Medium" w:hAnsi="Book Antiqua" w:cs="Times New Roman"/>
          <w:sz w:val="24"/>
          <w:szCs w:val="24"/>
        </w:rPr>
      </w:pPr>
      <w:r w:rsidRPr="00BF3C3C">
        <w:rPr>
          <w:rFonts w:ascii="Book Antiqua" w:eastAsia="HYSinMyeongJo-Medium" w:hAnsi="Book Antiqua" w:cs="Times New Roman"/>
          <w:sz w:val="24"/>
          <w:szCs w:val="24"/>
        </w:rPr>
        <w:br w:type="page"/>
      </w:r>
    </w:p>
    <w:p w:rsidR="00B22DE1" w:rsidRPr="00BF3C3C" w:rsidRDefault="00CA6867" w:rsidP="00B22DE1">
      <w:pPr>
        <w:widowControl/>
        <w:wordWrap/>
        <w:autoSpaceDE/>
        <w:autoSpaceDN/>
        <w:spacing w:line="360" w:lineRule="auto"/>
        <w:rPr>
          <w:rFonts w:ascii="Book Antiqua" w:eastAsia="宋体" w:hAnsi="Book Antiqua" w:cs="Times New Roman"/>
          <w:sz w:val="24"/>
          <w:szCs w:val="24"/>
          <w:lang w:eastAsia="zh-CN"/>
        </w:rPr>
      </w:pPr>
      <w:r w:rsidRPr="00BF3C3C">
        <w:rPr>
          <w:rFonts w:ascii="Book Antiqua" w:eastAsiaTheme="minorHAnsi" w:hAnsi="Book Antiqua" w:cs="Times New Roman"/>
          <w:b/>
          <w:sz w:val="24"/>
          <w:szCs w:val="24"/>
        </w:rPr>
        <w:lastRenderedPageBreak/>
        <w:t>Figure 1</w:t>
      </w:r>
      <w:r w:rsidR="00143D0C" w:rsidRPr="00BF3C3C">
        <w:rPr>
          <w:rFonts w:ascii="Book Antiqua" w:eastAsiaTheme="minorHAnsi" w:hAnsi="Book Antiqua" w:cs="Times New Roman"/>
          <w:b/>
          <w:sz w:val="24"/>
          <w:szCs w:val="24"/>
        </w:rPr>
        <w:t xml:space="preserve"> Patient inclusion / exclusion chart</w:t>
      </w:r>
      <w:r w:rsidRPr="00BF3C3C">
        <w:rPr>
          <w:rFonts w:ascii="Book Antiqua" w:eastAsia="宋体" w:hAnsi="Book Antiqua" w:cs="Times New Roman" w:hint="eastAsia"/>
          <w:b/>
          <w:sz w:val="24"/>
          <w:szCs w:val="24"/>
          <w:lang w:eastAsia="zh-CN"/>
        </w:rPr>
        <w:t xml:space="preserve">. </w:t>
      </w:r>
      <w:r w:rsidR="000B751C" w:rsidRPr="00BF3C3C">
        <w:rPr>
          <w:rFonts w:ascii="Book Antiqua" w:eastAsiaTheme="minorHAnsi" w:hAnsi="Book Antiqua" w:cs="Times New Roman"/>
          <w:sz w:val="24"/>
          <w:szCs w:val="24"/>
        </w:rPr>
        <w:t>Two hundred seventy-eight patients were excluded, as shown in the flow chart. Among the included 120 patients, 61 patients with at least one episode of peritonitis (group A) and 59 patients without peritonitis (group B) were compared. The data for 81 peritonitis episodes were collected from 61 patients in group A.</w:t>
      </w:r>
      <w:r w:rsidR="00B22DE1" w:rsidRPr="00BF3C3C">
        <w:rPr>
          <w:rFonts w:ascii="Book Antiqua" w:eastAsia="宋体" w:hAnsi="Book Antiqua" w:cs="Times New Roman" w:hint="eastAsia"/>
          <w:sz w:val="24"/>
          <w:szCs w:val="24"/>
          <w:lang w:eastAsia="zh-CN"/>
        </w:rPr>
        <w:t xml:space="preserve"> </w:t>
      </w:r>
      <w:r w:rsidR="00B22DE1" w:rsidRPr="00BF3C3C">
        <w:rPr>
          <w:rFonts w:ascii="Book Antiqua" w:eastAsiaTheme="minorHAnsi" w:hAnsi="Book Antiqua" w:cs="Times New Roman"/>
          <w:sz w:val="24"/>
          <w:szCs w:val="24"/>
        </w:rPr>
        <w:t>PD</w:t>
      </w:r>
      <w:r w:rsidR="00B22DE1" w:rsidRPr="00BF3C3C">
        <w:rPr>
          <w:rFonts w:ascii="Book Antiqua" w:eastAsia="宋体" w:hAnsi="Book Antiqua" w:cs="Times New Roman" w:hint="eastAsia"/>
          <w:sz w:val="24"/>
          <w:szCs w:val="24"/>
          <w:lang w:eastAsia="zh-CN"/>
        </w:rPr>
        <w:t>:</w:t>
      </w:r>
      <w:r w:rsidR="00B22DE1" w:rsidRPr="00BF3C3C">
        <w:rPr>
          <w:rFonts w:ascii="Book Antiqua" w:eastAsiaTheme="minorHAnsi" w:hAnsi="Book Antiqua" w:cs="Times New Roman"/>
          <w:sz w:val="24"/>
          <w:szCs w:val="24"/>
        </w:rPr>
        <w:t xml:space="preserve"> Peritoneal dialysis; GIT</w:t>
      </w:r>
      <w:r w:rsidR="00B22DE1" w:rsidRPr="00BF3C3C">
        <w:rPr>
          <w:rFonts w:ascii="Book Antiqua" w:eastAsia="宋体" w:hAnsi="Book Antiqua" w:cs="Times New Roman" w:hint="eastAsia"/>
          <w:sz w:val="24"/>
          <w:szCs w:val="24"/>
          <w:lang w:eastAsia="zh-CN"/>
        </w:rPr>
        <w:t xml:space="preserve">: </w:t>
      </w:r>
      <w:r w:rsidR="00B22DE1" w:rsidRPr="00BF3C3C">
        <w:rPr>
          <w:rFonts w:ascii="Book Antiqua" w:eastAsiaTheme="minorHAnsi" w:hAnsi="Book Antiqua" w:cs="Times New Roman"/>
          <w:sz w:val="24"/>
          <w:szCs w:val="24"/>
        </w:rPr>
        <w:t>Gastrointestinal tract; GB</w:t>
      </w:r>
      <w:r w:rsidR="00B22DE1" w:rsidRPr="00BF3C3C">
        <w:rPr>
          <w:rFonts w:ascii="Book Antiqua" w:eastAsia="宋体" w:hAnsi="Book Antiqua" w:cs="Times New Roman" w:hint="eastAsia"/>
          <w:sz w:val="24"/>
          <w:szCs w:val="24"/>
          <w:lang w:eastAsia="zh-CN"/>
        </w:rPr>
        <w:t xml:space="preserve">: </w:t>
      </w:r>
      <w:r w:rsidR="00B22DE1" w:rsidRPr="00BF3C3C">
        <w:rPr>
          <w:rFonts w:ascii="Book Antiqua" w:eastAsiaTheme="minorHAnsi" w:hAnsi="Book Antiqua" w:cs="Times New Roman"/>
          <w:sz w:val="24"/>
          <w:szCs w:val="24"/>
        </w:rPr>
        <w:t>Gallbladder; cath</w:t>
      </w:r>
      <w:r w:rsidR="00B22DE1" w:rsidRPr="00BF3C3C">
        <w:rPr>
          <w:rFonts w:ascii="Book Antiqua" w:eastAsia="宋体" w:hAnsi="Book Antiqua" w:cs="Times New Roman" w:hint="eastAsia"/>
          <w:sz w:val="24"/>
          <w:szCs w:val="24"/>
          <w:lang w:eastAsia="zh-CN"/>
        </w:rPr>
        <w:t xml:space="preserve">: </w:t>
      </w:r>
      <w:r w:rsidR="00B22DE1" w:rsidRPr="00BF3C3C">
        <w:rPr>
          <w:rFonts w:ascii="Book Antiqua" w:eastAsiaTheme="minorHAnsi" w:hAnsi="Book Antiqua" w:cs="Times New Roman"/>
          <w:sz w:val="24"/>
          <w:szCs w:val="24"/>
        </w:rPr>
        <w:t>Catheter</w:t>
      </w:r>
      <w:r w:rsidR="00B22DE1" w:rsidRPr="00BF3C3C">
        <w:rPr>
          <w:rFonts w:ascii="Book Antiqua" w:eastAsia="宋体" w:hAnsi="Book Antiqua" w:cs="Times New Roman" w:hint="eastAsia"/>
          <w:sz w:val="24"/>
          <w:szCs w:val="24"/>
          <w:lang w:eastAsia="zh-CN"/>
        </w:rPr>
        <w:t>.</w:t>
      </w:r>
    </w:p>
    <w:p w:rsidR="00B22DE1" w:rsidRPr="00BF3C3C" w:rsidRDefault="00B22DE1" w:rsidP="00B22DE1">
      <w:pPr>
        <w:widowControl/>
        <w:wordWrap/>
        <w:autoSpaceDE/>
        <w:autoSpaceDN/>
        <w:spacing w:line="360" w:lineRule="auto"/>
        <w:rPr>
          <w:rFonts w:ascii="Book Antiqua" w:eastAsiaTheme="minorHAnsi" w:hAnsi="Book Antiqua" w:cs="Times New Roman"/>
          <w:b/>
          <w:sz w:val="24"/>
          <w:szCs w:val="24"/>
        </w:rPr>
      </w:pPr>
    </w:p>
    <w:p w:rsidR="00B22DE1" w:rsidRPr="00BF3C3C" w:rsidRDefault="00B22DE1" w:rsidP="00B22DE1">
      <w:pPr>
        <w:widowControl/>
        <w:wordWrap/>
        <w:autoSpaceDE/>
        <w:autoSpaceDN/>
        <w:spacing w:line="360" w:lineRule="auto"/>
        <w:rPr>
          <w:rFonts w:ascii="Book Antiqua" w:eastAsiaTheme="minorHAnsi" w:hAnsi="Book Antiqua" w:cs="Times New Roman"/>
          <w:sz w:val="24"/>
          <w:szCs w:val="24"/>
        </w:rPr>
      </w:pPr>
      <w:r w:rsidRPr="00BF3C3C">
        <w:rPr>
          <w:rFonts w:ascii="Book Antiqua" w:eastAsiaTheme="minorHAnsi" w:hAnsi="Book Antiqua" w:cs="Times New Roman"/>
          <w:sz w:val="24"/>
          <w:szCs w:val="24"/>
        </w:rPr>
        <w:object w:dxaOrig="11747" w:dyaOrig="8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20.75pt" o:ole="">
            <v:imagedata r:id="rId16" o:title=""/>
          </v:shape>
          <o:OLEObject Type="Embed" ProgID="PowerPoint.Slide.8" ShapeID="_x0000_i1025" DrawAspect="Content" ObjectID="_1459060508" r:id="rId17"/>
        </w:object>
      </w:r>
    </w:p>
    <w:p w:rsidR="0068126E" w:rsidRPr="00BF3C3C" w:rsidRDefault="0068126E" w:rsidP="00CA6867">
      <w:pPr>
        <w:widowControl/>
        <w:wordWrap/>
        <w:autoSpaceDE/>
        <w:autoSpaceDN/>
        <w:spacing w:line="360" w:lineRule="auto"/>
        <w:rPr>
          <w:rFonts w:ascii="Book Antiqua" w:eastAsia="宋体" w:hAnsi="Book Antiqua" w:cs="Times New Roman"/>
          <w:b/>
          <w:sz w:val="24"/>
          <w:szCs w:val="24"/>
          <w:lang w:eastAsia="zh-CN"/>
        </w:rPr>
      </w:pPr>
      <w:r w:rsidRPr="00BF3C3C">
        <w:rPr>
          <w:rFonts w:ascii="Book Antiqua" w:eastAsiaTheme="minorHAnsi" w:hAnsi="Book Antiqua" w:cs="Times New Roman"/>
          <w:b/>
          <w:sz w:val="24"/>
          <w:szCs w:val="24"/>
        </w:rPr>
        <w:br w:type="page"/>
      </w:r>
      <w:r w:rsidR="000B751C" w:rsidRPr="00BF3C3C">
        <w:rPr>
          <w:rFonts w:ascii="Book Antiqua" w:eastAsiaTheme="minorHAnsi" w:hAnsi="Book Antiqua" w:cs="Times New Roman"/>
          <w:b/>
          <w:sz w:val="24"/>
          <w:szCs w:val="24"/>
        </w:rPr>
        <w:lastRenderedPageBreak/>
        <w:tab/>
      </w:r>
    </w:p>
    <w:p w:rsidR="00D85EC3" w:rsidRPr="00BF3C3C" w:rsidRDefault="00CA6867" w:rsidP="002A4F8D">
      <w:pPr>
        <w:spacing w:line="360" w:lineRule="auto"/>
        <w:rPr>
          <w:rFonts w:ascii="Book Antiqua" w:hAnsi="Book Antiqua" w:cs="Times New Roman"/>
          <w:sz w:val="24"/>
          <w:szCs w:val="24"/>
        </w:rPr>
      </w:pPr>
      <w:r w:rsidRPr="00BF3C3C">
        <w:rPr>
          <w:rFonts w:ascii="Book Antiqua" w:eastAsiaTheme="minorHAnsi" w:hAnsi="Book Antiqua" w:cs="Times New Roman"/>
          <w:b/>
          <w:sz w:val="24"/>
          <w:szCs w:val="24"/>
        </w:rPr>
        <w:t>Table 1</w:t>
      </w:r>
      <w:r w:rsidRPr="00BF3C3C">
        <w:rPr>
          <w:rFonts w:ascii="Book Antiqua" w:eastAsia="宋体" w:hAnsi="Book Antiqua" w:cs="Times New Roman" w:hint="eastAsia"/>
          <w:b/>
          <w:sz w:val="24"/>
          <w:szCs w:val="24"/>
          <w:lang w:eastAsia="zh-CN"/>
        </w:rPr>
        <w:t xml:space="preserve"> </w:t>
      </w:r>
      <w:r w:rsidR="00D85EC3" w:rsidRPr="00BF3C3C">
        <w:rPr>
          <w:rFonts w:ascii="Book Antiqua" w:eastAsiaTheme="minorHAnsi" w:hAnsi="Book Antiqua" w:cs="Times New Roman"/>
          <w:b/>
          <w:sz w:val="24"/>
          <w:szCs w:val="24"/>
        </w:rPr>
        <w:t>Clinical characteristics of the included patients</w:t>
      </w:r>
      <w:r w:rsidRPr="00BF3C3C">
        <w:rPr>
          <w:rFonts w:ascii="Book Antiqua" w:hAnsi="Book Antiqua" w:cs="Times New Roman"/>
          <w:i/>
          <w:sz w:val="24"/>
          <w:szCs w:val="24"/>
        </w:rPr>
        <w:t xml:space="preserve"> </w:t>
      </w:r>
      <w:r w:rsidRPr="00BF3C3C">
        <w:rPr>
          <w:rFonts w:ascii="Book Antiqua" w:hAnsi="Book Antiqua" w:cs="Times New Roman"/>
          <w:b/>
          <w:i/>
          <w:sz w:val="24"/>
          <w:szCs w:val="24"/>
        </w:rPr>
        <w:t xml:space="preserve">n </w:t>
      </w:r>
      <w:r w:rsidRPr="00BF3C3C">
        <w:rPr>
          <w:rFonts w:ascii="Book Antiqua" w:hAnsi="Book Antiqua" w:cs="Times New Roman"/>
          <w:b/>
          <w:sz w:val="24"/>
          <w:szCs w:val="24"/>
        </w:rPr>
        <w:t>(%)</w:t>
      </w:r>
    </w:p>
    <w:tbl>
      <w:tblPr>
        <w:tblStyle w:val="ad"/>
        <w:tblW w:w="5000" w:type="pct"/>
        <w:tblInd w:w="17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2126"/>
        <w:gridCol w:w="2268"/>
        <w:gridCol w:w="1224"/>
      </w:tblGrid>
      <w:tr w:rsidR="00EF6307" w:rsidRPr="00BF3C3C" w:rsidTr="00B22DE1">
        <w:tc>
          <w:tcPr>
            <w:tcW w:w="1961" w:type="pct"/>
            <w:tcBorders>
              <w:top w:val="single" w:sz="4" w:space="0" w:color="auto"/>
              <w:bottom w:val="single" w:sz="4" w:space="0" w:color="auto"/>
            </w:tcBorders>
            <w:shd w:val="clear" w:color="auto" w:fill="auto"/>
            <w:vAlign w:val="center"/>
          </w:tcPr>
          <w:p w:rsidR="00D85EC3" w:rsidRPr="00BF3C3C" w:rsidRDefault="00D85EC3" w:rsidP="002A4F8D">
            <w:pPr>
              <w:spacing w:line="360" w:lineRule="auto"/>
              <w:rPr>
                <w:rFonts w:ascii="Book Antiqua" w:hAnsi="Book Antiqua" w:cs="Times New Roman"/>
                <w:b/>
                <w:sz w:val="24"/>
                <w:szCs w:val="24"/>
              </w:rPr>
            </w:pPr>
            <w:r w:rsidRPr="00BF3C3C">
              <w:rPr>
                <w:rFonts w:ascii="Book Antiqua" w:hAnsi="Book Antiqua" w:cs="Times New Roman"/>
                <w:sz w:val="24"/>
                <w:szCs w:val="24"/>
              </w:rPr>
              <w:t xml:space="preserve">　</w:t>
            </w:r>
            <w:r w:rsidRPr="00BF3C3C">
              <w:rPr>
                <w:rFonts w:ascii="Book Antiqua" w:hAnsi="Book Antiqua" w:cs="Times New Roman"/>
                <w:b/>
                <w:sz w:val="24"/>
                <w:szCs w:val="24"/>
              </w:rPr>
              <w:t>Variables</w:t>
            </w:r>
          </w:p>
        </w:tc>
        <w:tc>
          <w:tcPr>
            <w:tcW w:w="1150" w:type="pct"/>
            <w:tcBorders>
              <w:top w:val="single" w:sz="4" w:space="0" w:color="auto"/>
              <w:bottom w:val="single" w:sz="4" w:space="0" w:color="auto"/>
            </w:tcBorders>
            <w:shd w:val="clear" w:color="auto" w:fill="auto"/>
          </w:tcPr>
          <w:p w:rsidR="00D85EC3" w:rsidRPr="00BF3C3C" w:rsidRDefault="00D85EC3" w:rsidP="002A4F8D">
            <w:pPr>
              <w:spacing w:line="360" w:lineRule="auto"/>
              <w:rPr>
                <w:rFonts w:ascii="Book Antiqua" w:eastAsia="HYSinMyeongJo-Medium" w:hAnsi="Book Antiqua" w:cs="Times New Roman"/>
                <w:b/>
                <w:sz w:val="24"/>
                <w:szCs w:val="24"/>
              </w:rPr>
            </w:pPr>
            <w:r w:rsidRPr="00BF3C3C">
              <w:rPr>
                <w:rFonts w:ascii="Book Antiqua" w:eastAsia="HYSinMyeongJo-Medium" w:hAnsi="Book Antiqua" w:cs="Times New Roman"/>
                <w:b/>
                <w:sz w:val="24"/>
                <w:szCs w:val="24"/>
              </w:rPr>
              <w:t>Peritonitis group</w:t>
            </w:r>
          </w:p>
          <w:p w:rsidR="00D85EC3" w:rsidRPr="00BF3C3C" w:rsidRDefault="00D85EC3" w:rsidP="002A4F8D">
            <w:pPr>
              <w:spacing w:line="360" w:lineRule="auto"/>
              <w:rPr>
                <w:rFonts w:ascii="Book Antiqua" w:eastAsia="HYSinMyeongJo-Medium" w:hAnsi="Book Antiqua" w:cs="Times New Roman"/>
                <w:b/>
                <w:sz w:val="24"/>
                <w:szCs w:val="24"/>
              </w:rPr>
            </w:pPr>
            <w:r w:rsidRPr="00BF3C3C">
              <w:rPr>
                <w:rFonts w:ascii="Book Antiqua" w:eastAsia="HYSinMyeongJo-Medium" w:hAnsi="Book Antiqua" w:cs="Times New Roman"/>
                <w:b/>
                <w:sz w:val="24"/>
                <w:szCs w:val="24"/>
              </w:rPr>
              <w:t>(</w:t>
            </w:r>
            <w:r w:rsidRPr="00BF3C3C">
              <w:rPr>
                <w:rFonts w:ascii="Book Antiqua" w:eastAsia="HYSinMyeongJo-Medium" w:hAnsi="Book Antiqua" w:cs="Times New Roman"/>
                <w:b/>
                <w:i/>
                <w:sz w:val="24"/>
                <w:szCs w:val="24"/>
              </w:rPr>
              <w:t>n</w:t>
            </w:r>
            <w:r w:rsidR="00CA6867" w:rsidRPr="00BF3C3C">
              <w:rPr>
                <w:rFonts w:ascii="Book Antiqua" w:eastAsia="宋体" w:hAnsi="Book Antiqua" w:cs="Times New Roman" w:hint="eastAsia"/>
                <w:b/>
                <w:sz w:val="24"/>
                <w:szCs w:val="24"/>
                <w:lang w:eastAsia="zh-CN"/>
              </w:rPr>
              <w:t xml:space="preserve"> </w:t>
            </w:r>
            <w:r w:rsidRPr="00BF3C3C">
              <w:rPr>
                <w:rFonts w:ascii="Book Antiqua" w:eastAsia="HYSinMyeongJo-Medium" w:hAnsi="Book Antiqua" w:cs="Times New Roman"/>
                <w:b/>
                <w:sz w:val="24"/>
                <w:szCs w:val="24"/>
              </w:rPr>
              <w:t>=</w:t>
            </w:r>
            <w:r w:rsidR="00CA6867" w:rsidRPr="00BF3C3C">
              <w:rPr>
                <w:rFonts w:ascii="Book Antiqua" w:eastAsia="宋体" w:hAnsi="Book Antiqua" w:cs="Times New Roman" w:hint="eastAsia"/>
                <w:b/>
                <w:sz w:val="24"/>
                <w:szCs w:val="24"/>
                <w:lang w:eastAsia="zh-CN"/>
              </w:rPr>
              <w:t xml:space="preserve"> </w:t>
            </w:r>
            <w:r w:rsidRPr="00BF3C3C">
              <w:rPr>
                <w:rFonts w:ascii="Book Antiqua" w:eastAsia="HYSinMyeongJo-Medium" w:hAnsi="Book Antiqua" w:cs="Times New Roman"/>
                <w:b/>
                <w:sz w:val="24"/>
                <w:szCs w:val="24"/>
              </w:rPr>
              <w:t>61)</w:t>
            </w:r>
          </w:p>
        </w:tc>
        <w:tc>
          <w:tcPr>
            <w:tcW w:w="1227" w:type="pct"/>
            <w:tcBorders>
              <w:top w:val="single" w:sz="4" w:space="0" w:color="auto"/>
              <w:bottom w:val="single" w:sz="4" w:space="0" w:color="auto"/>
            </w:tcBorders>
            <w:shd w:val="clear" w:color="auto" w:fill="auto"/>
          </w:tcPr>
          <w:p w:rsidR="00D85EC3" w:rsidRPr="00BF3C3C" w:rsidRDefault="00D85EC3" w:rsidP="002A4F8D">
            <w:pPr>
              <w:spacing w:line="360" w:lineRule="auto"/>
              <w:rPr>
                <w:rFonts w:ascii="Book Antiqua" w:eastAsia="HYSinMyeongJo-Medium" w:hAnsi="Book Antiqua" w:cs="Times New Roman"/>
                <w:b/>
                <w:sz w:val="24"/>
                <w:szCs w:val="24"/>
              </w:rPr>
            </w:pPr>
            <w:r w:rsidRPr="00BF3C3C">
              <w:rPr>
                <w:rFonts w:ascii="Book Antiqua" w:eastAsia="HYSinMyeongJo-Medium" w:hAnsi="Book Antiqua" w:cs="Times New Roman"/>
                <w:b/>
                <w:sz w:val="24"/>
                <w:szCs w:val="24"/>
              </w:rPr>
              <w:t>No peritonitis group</w:t>
            </w:r>
          </w:p>
          <w:p w:rsidR="00D85EC3" w:rsidRPr="00BF3C3C" w:rsidRDefault="00D85EC3" w:rsidP="002A4F8D">
            <w:pPr>
              <w:spacing w:line="360" w:lineRule="auto"/>
              <w:rPr>
                <w:rFonts w:ascii="Book Antiqua" w:eastAsia="HYSinMyeongJo-Medium" w:hAnsi="Book Antiqua" w:cs="Times New Roman"/>
                <w:b/>
                <w:sz w:val="24"/>
                <w:szCs w:val="24"/>
              </w:rPr>
            </w:pPr>
            <w:r w:rsidRPr="00BF3C3C">
              <w:rPr>
                <w:rFonts w:ascii="Book Antiqua" w:eastAsia="HYSinMyeongJo-Medium" w:hAnsi="Book Antiqua" w:cs="Times New Roman"/>
                <w:b/>
                <w:sz w:val="24"/>
                <w:szCs w:val="24"/>
              </w:rPr>
              <w:t>(</w:t>
            </w:r>
            <w:r w:rsidRPr="00BF3C3C">
              <w:rPr>
                <w:rFonts w:ascii="Book Antiqua" w:eastAsia="HYSinMyeongJo-Medium" w:hAnsi="Book Antiqua" w:cs="Times New Roman"/>
                <w:b/>
                <w:i/>
                <w:sz w:val="24"/>
                <w:szCs w:val="24"/>
              </w:rPr>
              <w:t>n</w:t>
            </w:r>
            <w:r w:rsidR="00CA6867" w:rsidRPr="00BF3C3C">
              <w:rPr>
                <w:rFonts w:ascii="Book Antiqua" w:eastAsia="宋体" w:hAnsi="Book Antiqua" w:cs="Times New Roman" w:hint="eastAsia"/>
                <w:b/>
                <w:sz w:val="24"/>
                <w:szCs w:val="24"/>
                <w:lang w:eastAsia="zh-CN"/>
              </w:rPr>
              <w:t xml:space="preserve"> </w:t>
            </w:r>
            <w:r w:rsidRPr="00BF3C3C">
              <w:rPr>
                <w:rFonts w:ascii="Book Antiqua" w:eastAsia="HYSinMyeongJo-Medium" w:hAnsi="Book Antiqua" w:cs="Times New Roman"/>
                <w:b/>
                <w:sz w:val="24"/>
                <w:szCs w:val="24"/>
              </w:rPr>
              <w:t>=</w:t>
            </w:r>
            <w:r w:rsidR="00CA6867" w:rsidRPr="00BF3C3C">
              <w:rPr>
                <w:rFonts w:ascii="Book Antiqua" w:eastAsia="宋体" w:hAnsi="Book Antiqua" w:cs="Times New Roman" w:hint="eastAsia"/>
                <w:b/>
                <w:sz w:val="24"/>
                <w:szCs w:val="24"/>
                <w:lang w:eastAsia="zh-CN"/>
              </w:rPr>
              <w:t xml:space="preserve"> </w:t>
            </w:r>
            <w:r w:rsidRPr="00BF3C3C">
              <w:rPr>
                <w:rFonts w:ascii="Book Antiqua" w:eastAsia="HYSinMyeongJo-Medium" w:hAnsi="Book Antiqua" w:cs="Times New Roman"/>
                <w:b/>
                <w:sz w:val="24"/>
                <w:szCs w:val="24"/>
              </w:rPr>
              <w:t>59)</w:t>
            </w:r>
          </w:p>
        </w:tc>
        <w:tc>
          <w:tcPr>
            <w:tcW w:w="662" w:type="pct"/>
            <w:tcBorders>
              <w:top w:val="single" w:sz="4" w:space="0" w:color="auto"/>
              <w:bottom w:val="single" w:sz="4" w:space="0" w:color="auto"/>
            </w:tcBorders>
            <w:shd w:val="clear" w:color="auto" w:fill="auto"/>
            <w:vAlign w:val="center"/>
          </w:tcPr>
          <w:p w:rsidR="00D85EC3" w:rsidRPr="00BF3C3C" w:rsidRDefault="00CA6867" w:rsidP="002A4F8D">
            <w:pPr>
              <w:spacing w:line="360" w:lineRule="auto"/>
              <w:rPr>
                <w:rFonts w:ascii="Book Antiqua" w:hAnsi="Book Antiqua" w:cs="Times New Roman"/>
                <w:sz w:val="24"/>
                <w:szCs w:val="24"/>
              </w:rPr>
            </w:pPr>
            <w:r w:rsidRPr="00BF3C3C">
              <w:rPr>
                <w:rFonts w:ascii="Book Antiqua" w:hAnsi="Book Antiqua" w:cs="Times New Roman"/>
                <w:b/>
                <w:bCs/>
                <w:i/>
                <w:sz w:val="24"/>
                <w:szCs w:val="24"/>
              </w:rPr>
              <w:t>P</w:t>
            </w:r>
            <w:r w:rsidR="00D85EC3" w:rsidRPr="00BF3C3C">
              <w:rPr>
                <w:rFonts w:ascii="Book Antiqua" w:hAnsi="Book Antiqua" w:cs="Times New Roman"/>
                <w:b/>
                <w:bCs/>
                <w:i/>
                <w:sz w:val="24"/>
                <w:szCs w:val="24"/>
              </w:rPr>
              <w:t xml:space="preserve"> </w:t>
            </w:r>
            <w:r w:rsidR="00D85EC3" w:rsidRPr="00BF3C3C">
              <w:rPr>
                <w:rFonts w:ascii="Book Antiqua" w:hAnsi="Book Antiqua" w:cs="Times New Roman"/>
                <w:b/>
                <w:bCs/>
                <w:sz w:val="24"/>
                <w:szCs w:val="24"/>
              </w:rPr>
              <w:t>value</w:t>
            </w:r>
          </w:p>
        </w:tc>
      </w:tr>
      <w:tr w:rsidR="00EF6307" w:rsidRPr="00BF3C3C" w:rsidTr="00B22DE1">
        <w:trPr>
          <w:trHeight w:hRule="exact" w:val="397"/>
        </w:trPr>
        <w:tc>
          <w:tcPr>
            <w:tcW w:w="1961" w:type="pct"/>
            <w:tcBorders>
              <w:top w:val="single" w:sz="4" w:space="0" w:color="auto"/>
            </w:tcBorders>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Age (years), [median (range)]</w:t>
            </w:r>
          </w:p>
        </w:tc>
        <w:tc>
          <w:tcPr>
            <w:tcW w:w="1150" w:type="pct"/>
            <w:tcBorders>
              <w:top w:val="single" w:sz="4" w:space="0" w:color="auto"/>
            </w:tcBorders>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51 (27-79)</w:t>
            </w:r>
          </w:p>
        </w:tc>
        <w:tc>
          <w:tcPr>
            <w:tcW w:w="1227" w:type="pct"/>
            <w:tcBorders>
              <w:top w:val="single" w:sz="4" w:space="0" w:color="auto"/>
            </w:tcBorders>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49 (24-77)</w:t>
            </w:r>
          </w:p>
        </w:tc>
        <w:tc>
          <w:tcPr>
            <w:tcW w:w="662" w:type="pct"/>
            <w:tcBorders>
              <w:top w:val="single" w:sz="4" w:space="0" w:color="auto"/>
            </w:tcBorders>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0.653</w:t>
            </w:r>
          </w:p>
        </w:tc>
      </w:tr>
      <w:tr w:rsidR="00EF6307" w:rsidRPr="00BF3C3C" w:rsidTr="00DE3F27">
        <w:trPr>
          <w:trHeight w:hRule="exact" w:val="397"/>
        </w:trPr>
        <w:tc>
          <w:tcPr>
            <w:tcW w:w="1961" w:type="pct"/>
          </w:tcPr>
          <w:p w:rsidR="00D85EC3" w:rsidRPr="00BF3C3C" w:rsidRDefault="00CA6867" w:rsidP="00CA6867">
            <w:pPr>
              <w:spacing w:line="360" w:lineRule="auto"/>
              <w:rPr>
                <w:rFonts w:ascii="Book Antiqua" w:eastAsia="宋体" w:hAnsi="Book Antiqua" w:cs="Times New Roman"/>
                <w:sz w:val="24"/>
                <w:szCs w:val="24"/>
                <w:lang w:eastAsia="zh-CN"/>
              </w:rPr>
            </w:pPr>
            <w:r w:rsidRPr="00BF3C3C">
              <w:rPr>
                <w:rFonts w:ascii="Book Antiqua" w:hAnsi="Book Antiqua" w:cs="Times New Roman"/>
                <w:sz w:val="24"/>
                <w:szCs w:val="24"/>
              </w:rPr>
              <w:t>Sex (male)</w:t>
            </w:r>
          </w:p>
        </w:tc>
        <w:tc>
          <w:tcPr>
            <w:tcW w:w="1150"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55 (52.9</w:t>
            </w:r>
            <w:r w:rsidR="00D85EC3" w:rsidRPr="00BF3C3C">
              <w:rPr>
                <w:rFonts w:ascii="Book Antiqua" w:hAnsi="Book Antiqua" w:cs="Times New Roman"/>
                <w:sz w:val="24"/>
                <w:szCs w:val="24"/>
              </w:rPr>
              <w:t>)</w:t>
            </w:r>
          </w:p>
        </w:tc>
        <w:tc>
          <w:tcPr>
            <w:tcW w:w="1227"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81 (56.6</w:t>
            </w:r>
            <w:r w:rsidR="00D85EC3" w:rsidRPr="00BF3C3C">
              <w:rPr>
                <w:rFonts w:ascii="Book Antiqua" w:hAnsi="Book Antiqua" w:cs="Times New Roman"/>
                <w:sz w:val="24"/>
                <w:szCs w:val="24"/>
              </w:rPr>
              <w:t>)</w:t>
            </w:r>
          </w:p>
        </w:tc>
        <w:tc>
          <w:tcPr>
            <w:tcW w:w="662"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0.558</w:t>
            </w:r>
          </w:p>
        </w:tc>
      </w:tr>
      <w:tr w:rsidR="00EF6307" w:rsidRPr="00BF3C3C" w:rsidTr="00DE3F27">
        <w:trPr>
          <w:trHeight w:hRule="exact" w:val="397"/>
        </w:trPr>
        <w:tc>
          <w:tcPr>
            <w:tcW w:w="1961"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Height (cm)</w:t>
            </w:r>
          </w:p>
        </w:tc>
        <w:tc>
          <w:tcPr>
            <w:tcW w:w="1150"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162.09 ± 6.94</w:t>
            </w:r>
          </w:p>
        </w:tc>
        <w:tc>
          <w:tcPr>
            <w:tcW w:w="1227"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163.21 ±</w:t>
            </w:r>
            <w:r w:rsidR="00B13937">
              <w:rPr>
                <w:rFonts w:ascii="Book Antiqua" w:eastAsia="宋体" w:hAnsi="Book Antiqua" w:cs="Times New Roman" w:hint="eastAsia"/>
                <w:sz w:val="24"/>
                <w:szCs w:val="24"/>
                <w:lang w:eastAsia="zh-CN"/>
              </w:rPr>
              <w:t xml:space="preserve"> </w:t>
            </w:r>
            <w:r w:rsidRPr="00BF3C3C">
              <w:rPr>
                <w:rFonts w:ascii="Book Antiqua" w:hAnsi="Book Antiqua" w:cs="Times New Roman"/>
                <w:sz w:val="24"/>
                <w:szCs w:val="24"/>
              </w:rPr>
              <w:t>8.45</w:t>
            </w:r>
          </w:p>
        </w:tc>
        <w:tc>
          <w:tcPr>
            <w:tcW w:w="662"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0.435</w:t>
            </w:r>
          </w:p>
        </w:tc>
      </w:tr>
      <w:tr w:rsidR="00EF6307" w:rsidRPr="00BF3C3C" w:rsidTr="00DE3F27">
        <w:trPr>
          <w:trHeight w:hRule="exact" w:val="397"/>
        </w:trPr>
        <w:tc>
          <w:tcPr>
            <w:tcW w:w="1961"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Bwt (kg)</w:t>
            </w:r>
          </w:p>
        </w:tc>
        <w:tc>
          <w:tcPr>
            <w:tcW w:w="1150"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57.68 ± 8.41</w:t>
            </w:r>
          </w:p>
        </w:tc>
        <w:tc>
          <w:tcPr>
            <w:tcW w:w="1227"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59.49 ± 11.24</w:t>
            </w:r>
          </w:p>
        </w:tc>
        <w:tc>
          <w:tcPr>
            <w:tcW w:w="662"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0.332</w:t>
            </w:r>
          </w:p>
        </w:tc>
      </w:tr>
      <w:tr w:rsidR="00EF6307" w:rsidRPr="00BF3C3C" w:rsidTr="00DE3F27">
        <w:trPr>
          <w:trHeight w:hRule="exact" w:val="397"/>
        </w:trPr>
        <w:tc>
          <w:tcPr>
            <w:tcW w:w="1961"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BMI (m/(kg)</w:t>
            </w:r>
            <w:r w:rsidRPr="00BF3C3C">
              <w:rPr>
                <w:rFonts w:ascii="Book Antiqua" w:hAnsi="Book Antiqua" w:cs="Times New Roman"/>
                <w:sz w:val="24"/>
                <w:szCs w:val="24"/>
                <w:vertAlign w:val="superscript"/>
              </w:rPr>
              <w:t>2</w:t>
            </w:r>
            <w:r w:rsidRPr="00BF3C3C">
              <w:rPr>
                <w:rFonts w:ascii="Book Antiqua" w:hAnsi="Book Antiqua" w:cs="Times New Roman"/>
                <w:sz w:val="24"/>
                <w:szCs w:val="24"/>
              </w:rPr>
              <w:t>)</w:t>
            </w:r>
          </w:p>
        </w:tc>
        <w:tc>
          <w:tcPr>
            <w:tcW w:w="1150"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21.98 ± 2.73</w:t>
            </w:r>
          </w:p>
        </w:tc>
        <w:tc>
          <w:tcPr>
            <w:tcW w:w="1227"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22.26 ± 3.48</w:t>
            </w:r>
          </w:p>
        </w:tc>
        <w:tc>
          <w:tcPr>
            <w:tcW w:w="662"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0.628</w:t>
            </w:r>
          </w:p>
        </w:tc>
      </w:tr>
      <w:tr w:rsidR="00EF6307" w:rsidRPr="00BF3C3C" w:rsidTr="00DE3F27">
        <w:trPr>
          <w:trHeight w:hRule="exact" w:val="397"/>
        </w:trPr>
        <w:tc>
          <w:tcPr>
            <w:tcW w:w="1961"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Cause of ESRD</w:t>
            </w:r>
          </w:p>
        </w:tc>
        <w:tc>
          <w:tcPr>
            <w:tcW w:w="1150" w:type="pct"/>
          </w:tcPr>
          <w:p w:rsidR="00D85EC3" w:rsidRPr="00BF3C3C" w:rsidRDefault="00D85EC3" w:rsidP="002A4F8D">
            <w:pPr>
              <w:spacing w:line="360" w:lineRule="auto"/>
              <w:rPr>
                <w:rFonts w:ascii="Book Antiqua" w:hAnsi="Book Antiqua" w:cs="Times New Roman"/>
                <w:sz w:val="24"/>
                <w:szCs w:val="24"/>
              </w:rPr>
            </w:pPr>
          </w:p>
        </w:tc>
        <w:tc>
          <w:tcPr>
            <w:tcW w:w="1227" w:type="pct"/>
          </w:tcPr>
          <w:p w:rsidR="00D85EC3" w:rsidRPr="00BF3C3C" w:rsidRDefault="00D85EC3" w:rsidP="002A4F8D">
            <w:pPr>
              <w:spacing w:line="360" w:lineRule="auto"/>
              <w:rPr>
                <w:rFonts w:ascii="Book Antiqua" w:hAnsi="Book Antiqua" w:cs="Times New Roman"/>
                <w:sz w:val="24"/>
                <w:szCs w:val="24"/>
              </w:rPr>
            </w:pPr>
          </w:p>
        </w:tc>
        <w:tc>
          <w:tcPr>
            <w:tcW w:w="662" w:type="pct"/>
          </w:tcPr>
          <w:p w:rsidR="00D85EC3" w:rsidRPr="00BF3C3C" w:rsidRDefault="00D85EC3" w:rsidP="002A4F8D">
            <w:pPr>
              <w:spacing w:line="360" w:lineRule="auto"/>
              <w:rPr>
                <w:rFonts w:ascii="Book Antiqua" w:hAnsi="Book Antiqua" w:cs="Times New Roman"/>
                <w:sz w:val="24"/>
                <w:szCs w:val="24"/>
              </w:rPr>
            </w:pPr>
          </w:p>
        </w:tc>
      </w:tr>
      <w:tr w:rsidR="00EF6307" w:rsidRPr="00BF3C3C" w:rsidTr="00DE3F27">
        <w:trPr>
          <w:trHeight w:hRule="exact" w:val="397"/>
        </w:trPr>
        <w:tc>
          <w:tcPr>
            <w:tcW w:w="1961" w:type="pct"/>
          </w:tcPr>
          <w:p w:rsidR="00D85EC3" w:rsidRPr="00BF3C3C" w:rsidRDefault="00DC5B6C" w:rsidP="00CA6867">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Glo</w:t>
            </w:r>
            <w:r w:rsidR="00D85EC3" w:rsidRPr="00BF3C3C">
              <w:rPr>
                <w:rFonts w:ascii="Book Antiqua" w:hAnsi="Book Antiqua" w:cs="Times New Roman"/>
                <w:sz w:val="24"/>
                <w:szCs w:val="24"/>
              </w:rPr>
              <w:t xml:space="preserve">merulonephritis </w:t>
            </w:r>
          </w:p>
        </w:tc>
        <w:tc>
          <w:tcPr>
            <w:tcW w:w="1150"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19 (31.1</w:t>
            </w:r>
            <w:r w:rsidR="00D85EC3" w:rsidRPr="00BF3C3C">
              <w:rPr>
                <w:rFonts w:ascii="Book Antiqua" w:hAnsi="Book Antiqua" w:cs="Times New Roman"/>
                <w:sz w:val="24"/>
                <w:szCs w:val="24"/>
              </w:rPr>
              <w:t>)</w:t>
            </w:r>
          </w:p>
        </w:tc>
        <w:tc>
          <w:tcPr>
            <w:tcW w:w="1227"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20 (33.9</w:t>
            </w:r>
            <w:r w:rsidR="00D85EC3" w:rsidRPr="00BF3C3C">
              <w:rPr>
                <w:rFonts w:ascii="Book Antiqua" w:hAnsi="Book Antiqua" w:cs="Times New Roman"/>
                <w:sz w:val="24"/>
                <w:szCs w:val="24"/>
              </w:rPr>
              <w:t>)</w:t>
            </w:r>
          </w:p>
        </w:tc>
        <w:tc>
          <w:tcPr>
            <w:tcW w:w="662" w:type="pct"/>
            <w:vMerge w:val="restar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0.153</w:t>
            </w:r>
          </w:p>
        </w:tc>
      </w:tr>
      <w:tr w:rsidR="00EF6307" w:rsidRPr="00BF3C3C" w:rsidTr="00DE3F27">
        <w:trPr>
          <w:trHeight w:hRule="exact" w:val="397"/>
        </w:trPr>
        <w:tc>
          <w:tcPr>
            <w:tcW w:w="1961" w:type="pct"/>
          </w:tcPr>
          <w:p w:rsidR="00D85EC3" w:rsidRPr="00BF3C3C" w:rsidRDefault="00D85EC3" w:rsidP="00CA6867">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 xml:space="preserve">DM </w:t>
            </w:r>
          </w:p>
        </w:tc>
        <w:tc>
          <w:tcPr>
            <w:tcW w:w="1150"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21 (34.4</w:t>
            </w:r>
            <w:r w:rsidR="00D85EC3" w:rsidRPr="00BF3C3C">
              <w:rPr>
                <w:rFonts w:ascii="Book Antiqua" w:hAnsi="Book Antiqua" w:cs="Times New Roman"/>
                <w:sz w:val="24"/>
                <w:szCs w:val="24"/>
              </w:rPr>
              <w:t>)</w:t>
            </w:r>
          </w:p>
        </w:tc>
        <w:tc>
          <w:tcPr>
            <w:tcW w:w="1227"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12 (20.3</w:t>
            </w:r>
            <w:r w:rsidR="00D85EC3" w:rsidRPr="00BF3C3C">
              <w:rPr>
                <w:rFonts w:ascii="Book Antiqua" w:hAnsi="Book Antiqua" w:cs="Times New Roman"/>
                <w:sz w:val="24"/>
                <w:szCs w:val="24"/>
              </w:rPr>
              <w:t>)</w:t>
            </w:r>
          </w:p>
        </w:tc>
        <w:tc>
          <w:tcPr>
            <w:tcW w:w="662"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DE3F27">
        <w:trPr>
          <w:trHeight w:hRule="exact" w:val="397"/>
        </w:trPr>
        <w:tc>
          <w:tcPr>
            <w:tcW w:w="1961" w:type="pct"/>
          </w:tcPr>
          <w:p w:rsidR="00D85EC3" w:rsidRPr="00BF3C3C" w:rsidRDefault="00D85EC3" w:rsidP="00CA6867">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 xml:space="preserve">HTN </w:t>
            </w:r>
          </w:p>
        </w:tc>
        <w:tc>
          <w:tcPr>
            <w:tcW w:w="1150"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5 (8.2</w:t>
            </w:r>
            <w:r w:rsidR="00D85EC3" w:rsidRPr="00BF3C3C">
              <w:rPr>
                <w:rFonts w:ascii="Book Antiqua" w:hAnsi="Book Antiqua" w:cs="Times New Roman"/>
                <w:sz w:val="24"/>
                <w:szCs w:val="24"/>
              </w:rPr>
              <w:t>)</w:t>
            </w:r>
          </w:p>
        </w:tc>
        <w:tc>
          <w:tcPr>
            <w:tcW w:w="1227"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1 (1.7</w:t>
            </w:r>
            <w:r w:rsidR="00D85EC3" w:rsidRPr="00BF3C3C">
              <w:rPr>
                <w:rFonts w:ascii="Book Antiqua" w:hAnsi="Book Antiqua" w:cs="Times New Roman"/>
                <w:sz w:val="24"/>
                <w:szCs w:val="24"/>
              </w:rPr>
              <w:t>)</w:t>
            </w:r>
          </w:p>
        </w:tc>
        <w:tc>
          <w:tcPr>
            <w:tcW w:w="662"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DE3F27">
        <w:trPr>
          <w:trHeight w:hRule="exact" w:val="397"/>
        </w:trPr>
        <w:tc>
          <w:tcPr>
            <w:tcW w:w="1961" w:type="pct"/>
          </w:tcPr>
          <w:p w:rsidR="00D85EC3" w:rsidRPr="00BF3C3C" w:rsidRDefault="00D85EC3" w:rsidP="00CA6867">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 xml:space="preserve">Polycystic kidney disease </w:t>
            </w:r>
            <w:r w:rsidRPr="00BF3C3C">
              <w:rPr>
                <w:rFonts w:ascii="Book Antiqua" w:eastAsia="Arial Unicode MS" w:hAnsi="Book Antiqua" w:cs="Times New Roman"/>
                <w:sz w:val="24"/>
                <w:szCs w:val="24"/>
              </w:rPr>
              <w:t>(%)]</w:t>
            </w:r>
          </w:p>
        </w:tc>
        <w:tc>
          <w:tcPr>
            <w:tcW w:w="1150"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1 (1.6</w:t>
            </w:r>
            <w:r w:rsidR="00D85EC3" w:rsidRPr="00BF3C3C">
              <w:rPr>
                <w:rFonts w:ascii="Book Antiqua" w:hAnsi="Book Antiqua" w:cs="Times New Roman"/>
                <w:sz w:val="24"/>
                <w:szCs w:val="24"/>
              </w:rPr>
              <w:t>)</w:t>
            </w:r>
          </w:p>
        </w:tc>
        <w:tc>
          <w:tcPr>
            <w:tcW w:w="1227"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2 (3.4</w:t>
            </w:r>
            <w:r w:rsidR="00D85EC3" w:rsidRPr="00BF3C3C">
              <w:rPr>
                <w:rFonts w:ascii="Book Antiqua" w:hAnsi="Book Antiqua" w:cs="Times New Roman"/>
                <w:sz w:val="24"/>
                <w:szCs w:val="24"/>
              </w:rPr>
              <w:t>)</w:t>
            </w:r>
          </w:p>
        </w:tc>
        <w:tc>
          <w:tcPr>
            <w:tcW w:w="662"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DE3F27">
        <w:trPr>
          <w:trHeight w:hRule="exact" w:val="397"/>
        </w:trPr>
        <w:tc>
          <w:tcPr>
            <w:tcW w:w="1961" w:type="pct"/>
          </w:tcPr>
          <w:p w:rsidR="00D85EC3" w:rsidRPr="00BF3C3C" w:rsidRDefault="00D85EC3" w:rsidP="00CA6867">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 xml:space="preserve">Unknown/idiopathic </w:t>
            </w:r>
          </w:p>
        </w:tc>
        <w:tc>
          <w:tcPr>
            <w:tcW w:w="1150"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11 (18.0</w:t>
            </w:r>
            <w:r w:rsidR="00D85EC3" w:rsidRPr="00BF3C3C">
              <w:rPr>
                <w:rFonts w:ascii="Book Antiqua" w:hAnsi="Book Antiqua" w:cs="Times New Roman"/>
                <w:sz w:val="24"/>
                <w:szCs w:val="24"/>
              </w:rPr>
              <w:t>)</w:t>
            </w:r>
          </w:p>
        </w:tc>
        <w:tc>
          <w:tcPr>
            <w:tcW w:w="1227"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17 (28.8</w:t>
            </w:r>
            <w:r w:rsidR="00D85EC3" w:rsidRPr="00BF3C3C">
              <w:rPr>
                <w:rFonts w:ascii="Book Antiqua" w:hAnsi="Book Antiqua" w:cs="Times New Roman"/>
                <w:sz w:val="24"/>
                <w:szCs w:val="24"/>
              </w:rPr>
              <w:t>)</w:t>
            </w:r>
          </w:p>
        </w:tc>
        <w:tc>
          <w:tcPr>
            <w:tcW w:w="662"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DE3F27">
        <w:trPr>
          <w:trHeight w:hRule="exact" w:val="397"/>
        </w:trPr>
        <w:tc>
          <w:tcPr>
            <w:tcW w:w="1961" w:type="pct"/>
          </w:tcPr>
          <w:p w:rsidR="00D85EC3" w:rsidRPr="00BF3C3C" w:rsidRDefault="00D85EC3" w:rsidP="00CA6867">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Other cause</w:t>
            </w:r>
          </w:p>
        </w:tc>
        <w:tc>
          <w:tcPr>
            <w:tcW w:w="1150"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4 (6.6</w:t>
            </w:r>
            <w:r w:rsidR="00D85EC3" w:rsidRPr="00BF3C3C">
              <w:rPr>
                <w:rFonts w:ascii="Book Antiqua" w:hAnsi="Book Antiqua" w:cs="Times New Roman"/>
                <w:sz w:val="24"/>
                <w:szCs w:val="24"/>
              </w:rPr>
              <w:t>)</w:t>
            </w:r>
          </w:p>
        </w:tc>
        <w:tc>
          <w:tcPr>
            <w:tcW w:w="1227"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7 (11.9</w:t>
            </w:r>
            <w:r w:rsidR="00D85EC3" w:rsidRPr="00BF3C3C">
              <w:rPr>
                <w:rFonts w:ascii="Book Antiqua" w:hAnsi="Book Antiqua" w:cs="Times New Roman"/>
                <w:sz w:val="24"/>
                <w:szCs w:val="24"/>
              </w:rPr>
              <w:t>)</w:t>
            </w:r>
          </w:p>
        </w:tc>
        <w:tc>
          <w:tcPr>
            <w:tcW w:w="662"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DE3F27">
        <w:trPr>
          <w:trHeight w:hRule="exact" w:val="397"/>
        </w:trPr>
        <w:tc>
          <w:tcPr>
            <w:tcW w:w="1961" w:type="pct"/>
          </w:tcPr>
          <w:p w:rsidR="00D85EC3" w:rsidRPr="00BF3C3C" w:rsidRDefault="00D85EC3" w:rsidP="00CA6867">
            <w:pPr>
              <w:spacing w:line="360" w:lineRule="auto"/>
              <w:rPr>
                <w:rFonts w:ascii="Book Antiqua" w:hAnsi="Book Antiqua" w:cs="Times New Roman"/>
                <w:sz w:val="24"/>
                <w:szCs w:val="24"/>
              </w:rPr>
            </w:pPr>
            <w:r w:rsidRPr="00BF3C3C">
              <w:rPr>
                <w:rFonts w:ascii="Book Antiqua" w:hAnsi="Book Antiqua" w:cs="Times New Roman"/>
                <w:sz w:val="24"/>
                <w:szCs w:val="24"/>
              </w:rPr>
              <w:t xml:space="preserve">HTN </w:t>
            </w:r>
          </w:p>
        </w:tc>
        <w:tc>
          <w:tcPr>
            <w:tcW w:w="1150"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50 (82.0</w:t>
            </w:r>
            <w:r w:rsidR="00D85EC3" w:rsidRPr="00BF3C3C">
              <w:rPr>
                <w:rFonts w:ascii="Book Antiqua" w:hAnsi="Book Antiqua" w:cs="Times New Roman"/>
                <w:sz w:val="24"/>
                <w:szCs w:val="24"/>
              </w:rPr>
              <w:t>)</w:t>
            </w:r>
          </w:p>
        </w:tc>
        <w:tc>
          <w:tcPr>
            <w:tcW w:w="1227"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53 (89.8</w:t>
            </w:r>
            <w:r w:rsidR="00D85EC3" w:rsidRPr="00BF3C3C">
              <w:rPr>
                <w:rFonts w:ascii="Book Antiqua" w:hAnsi="Book Antiqua" w:cs="Times New Roman"/>
                <w:sz w:val="24"/>
                <w:szCs w:val="24"/>
              </w:rPr>
              <w:t>)</w:t>
            </w:r>
          </w:p>
        </w:tc>
        <w:tc>
          <w:tcPr>
            <w:tcW w:w="662"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0.217</w:t>
            </w:r>
          </w:p>
        </w:tc>
      </w:tr>
      <w:tr w:rsidR="00EF6307" w:rsidRPr="00BF3C3C" w:rsidTr="00DE3F27">
        <w:trPr>
          <w:trHeight w:hRule="exact" w:val="397"/>
        </w:trPr>
        <w:tc>
          <w:tcPr>
            <w:tcW w:w="1961" w:type="pct"/>
          </w:tcPr>
          <w:p w:rsidR="00D85EC3" w:rsidRPr="00BF3C3C" w:rsidRDefault="00D85EC3" w:rsidP="00CA6867">
            <w:pPr>
              <w:spacing w:line="360" w:lineRule="auto"/>
              <w:rPr>
                <w:rFonts w:ascii="Book Antiqua" w:hAnsi="Book Antiqua" w:cs="Times New Roman"/>
                <w:sz w:val="24"/>
                <w:szCs w:val="24"/>
              </w:rPr>
            </w:pPr>
            <w:r w:rsidRPr="00BF3C3C">
              <w:rPr>
                <w:rFonts w:ascii="Book Antiqua" w:hAnsi="Book Antiqua" w:cs="Times New Roman"/>
                <w:sz w:val="24"/>
                <w:szCs w:val="24"/>
              </w:rPr>
              <w:t>DM</w:t>
            </w:r>
          </w:p>
        </w:tc>
        <w:tc>
          <w:tcPr>
            <w:tcW w:w="1150"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23 (37.7</w:t>
            </w:r>
            <w:r w:rsidR="00D85EC3" w:rsidRPr="00BF3C3C">
              <w:rPr>
                <w:rFonts w:ascii="Book Antiqua" w:hAnsi="Book Antiqua" w:cs="Times New Roman"/>
                <w:sz w:val="24"/>
                <w:szCs w:val="24"/>
              </w:rPr>
              <w:t>)</w:t>
            </w:r>
          </w:p>
        </w:tc>
        <w:tc>
          <w:tcPr>
            <w:tcW w:w="1227"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17 (28.8</w:t>
            </w:r>
            <w:r w:rsidR="00D85EC3" w:rsidRPr="00BF3C3C">
              <w:rPr>
                <w:rFonts w:ascii="Book Antiqua" w:hAnsi="Book Antiqua" w:cs="Times New Roman"/>
                <w:sz w:val="24"/>
                <w:szCs w:val="24"/>
              </w:rPr>
              <w:t>)</w:t>
            </w:r>
          </w:p>
        </w:tc>
        <w:tc>
          <w:tcPr>
            <w:tcW w:w="662"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0.302</w:t>
            </w:r>
          </w:p>
        </w:tc>
      </w:tr>
      <w:tr w:rsidR="00EF6307" w:rsidRPr="00BF3C3C" w:rsidTr="00DE3F27">
        <w:trPr>
          <w:trHeight w:hRule="exact" w:val="397"/>
        </w:trPr>
        <w:tc>
          <w:tcPr>
            <w:tcW w:w="1961" w:type="pct"/>
          </w:tcPr>
          <w:p w:rsidR="00D85EC3" w:rsidRPr="00BF3C3C" w:rsidRDefault="00D85EC3" w:rsidP="00CA6867">
            <w:pPr>
              <w:spacing w:line="360" w:lineRule="auto"/>
              <w:rPr>
                <w:rFonts w:ascii="Book Antiqua" w:hAnsi="Book Antiqua" w:cs="Times New Roman"/>
                <w:sz w:val="24"/>
                <w:szCs w:val="24"/>
              </w:rPr>
            </w:pPr>
            <w:r w:rsidRPr="00BF3C3C">
              <w:rPr>
                <w:rFonts w:ascii="Book Antiqua" w:hAnsi="Book Antiqua" w:cs="Times New Roman"/>
                <w:sz w:val="24"/>
                <w:szCs w:val="24"/>
              </w:rPr>
              <w:t xml:space="preserve">Diverticulosis </w:t>
            </w:r>
          </w:p>
        </w:tc>
        <w:tc>
          <w:tcPr>
            <w:tcW w:w="1150"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1 (2.3</w:t>
            </w:r>
            <w:r w:rsidR="00D85EC3" w:rsidRPr="00BF3C3C">
              <w:rPr>
                <w:rFonts w:ascii="Book Antiqua" w:hAnsi="Book Antiqua" w:cs="Times New Roman"/>
                <w:sz w:val="24"/>
                <w:szCs w:val="24"/>
              </w:rPr>
              <w:t>)</w:t>
            </w:r>
          </w:p>
        </w:tc>
        <w:tc>
          <w:tcPr>
            <w:tcW w:w="1227"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3 (6.7</w:t>
            </w:r>
            <w:r w:rsidR="00D85EC3" w:rsidRPr="00BF3C3C">
              <w:rPr>
                <w:rFonts w:ascii="Book Antiqua" w:hAnsi="Book Antiqua" w:cs="Times New Roman"/>
                <w:sz w:val="24"/>
                <w:szCs w:val="24"/>
              </w:rPr>
              <w:t>)</w:t>
            </w:r>
          </w:p>
        </w:tc>
        <w:tc>
          <w:tcPr>
            <w:tcW w:w="662"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 xml:space="preserve">0.616 </w:t>
            </w:r>
          </w:p>
        </w:tc>
      </w:tr>
      <w:tr w:rsidR="00EF6307" w:rsidRPr="00BF3C3C" w:rsidTr="00DE3F27">
        <w:trPr>
          <w:trHeight w:hRule="exact" w:val="397"/>
        </w:trPr>
        <w:tc>
          <w:tcPr>
            <w:tcW w:w="1961" w:type="pct"/>
          </w:tcPr>
          <w:p w:rsidR="00D85EC3" w:rsidRPr="00BF3C3C" w:rsidRDefault="00D85EC3" w:rsidP="00CA6867">
            <w:pPr>
              <w:spacing w:line="360" w:lineRule="auto"/>
              <w:rPr>
                <w:rFonts w:ascii="Book Antiqua" w:hAnsi="Book Antiqua" w:cs="Times New Roman"/>
                <w:sz w:val="24"/>
                <w:szCs w:val="24"/>
              </w:rPr>
            </w:pPr>
            <w:r w:rsidRPr="00BF3C3C">
              <w:rPr>
                <w:rFonts w:ascii="Book Antiqua" w:hAnsi="Book Antiqua" w:cs="Times New Roman"/>
                <w:sz w:val="24"/>
                <w:szCs w:val="24"/>
              </w:rPr>
              <w:t xml:space="preserve">PD modality (CAPD) </w:t>
            </w:r>
          </w:p>
        </w:tc>
        <w:tc>
          <w:tcPr>
            <w:tcW w:w="1150"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51 (83.6</w:t>
            </w:r>
            <w:r w:rsidR="00D85EC3" w:rsidRPr="00BF3C3C">
              <w:rPr>
                <w:rFonts w:ascii="Book Antiqua" w:hAnsi="Book Antiqua" w:cs="Times New Roman"/>
                <w:sz w:val="24"/>
                <w:szCs w:val="24"/>
              </w:rPr>
              <w:t>)</w:t>
            </w:r>
          </w:p>
        </w:tc>
        <w:tc>
          <w:tcPr>
            <w:tcW w:w="1227" w:type="pct"/>
          </w:tcPr>
          <w:p w:rsidR="00D85EC3" w:rsidRPr="00BF3C3C" w:rsidRDefault="00B13937" w:rsidP="002A4F8D">
            <w:pPr>
              <w:spacing w:line="360" w:lineRule="auto"/>
              <w:rPr>
                <w:rFonts w:ascii="Book Antiqua" w:hAnsi="Book Antiqua" w:cs="Times New Roman"/>
                <w:sz w:val="24"/>
                <w:szCs w:val="24"/>
              </w:rPr>
            </w:pPr>
            <w:r>
              <w:rPr>
                <w:rFonts w:ascii="Book Antiqua" w:hAnsi="Book Antiqua" w:cs="Times New Roman"/>
                <w:sz w:val="24"/>
                <w:szCs w:val="24"/>
              </w:rPr>
              <w:t>47 (79.7</w:t>
            </w:r>
            <w:r w:rsidR="00D85EC3" w:rsidRPr="00BF3C3C">
              <w:rPr>
                <w:rFonts w:ascii="Book Antiqua" w:hAnsi="Book Antiqua" w:cs="Times New Roman"/>
                <w:sz w:val="24"/>
                <w:szCs w:val="24"/>
              </w:rPr>
              <w:t>)</w:t>
            </w:r>
          </w:p>
        </w:tc>
        <w:tc>
          <w:tcPr>
            <w:tcW w:w="662"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0.577</w:t>
            </w:r>
          </w:p>
        </w:tc>
      </w:tr>
      <w:tr w:rsidR="00EF6307" w:rsidRPr="00BF3C3C" w:rsidTr="00DE3F27">
        <w:trPr>
          <w:trHeight w:hRule="exact" w:val="397"/>
        </w:trPr>
        <w:tc>
          <w:tcPr>
            <w:tcW w:w="1961"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 xml:space="preserve">Initial serum Albumin (mg/dL) </w:t>
            </w:r>
          </w:p>
        </w:tc>
        <w:tc>
          <w:tcPr>
            <w:tcW w:w="1150"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3.51 ± 0.47</w:t>
            </w:r>
          </w:p>
        </w:tc>
        <w:tc>
          <w:tcPr>
            <w:tcW w:w="1227"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3.60 ± 0.48</w:t>
            </w:r>
          </w:p>
        </w:tc>
        <w:tc>
          <w:tcPr>
            <w:tcW w:w="662"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0.336</w:t>
            </w:r>
          </w:p>
        </w:tc>
      </w:tr>
      <w:tr w:rsidR="00EF6307" w:rsidRPr="00BF3C3C" w:rsidTr="00DE3F27">
        <w:trPr>
          <w:trHeight w:hRule="exact" w:val="397"/>
        </w:trPr>
        <w:tc>
          <w:tcPr>
            <w:tcW w:w="1961" w:type="pct"/>
          </w:tcPr>
          <w:p w:rsidR="00D85EC3" w:rsidRPr="00BF3C3C" w:rsidRDefault="00D85EC3" w:rsidP="00CA6867">
            <w:pPr>
              <w:spacing w:line="360" w:lineRule="auto"/>
              <w:rPr>
                <w:rFonts w:ascii="Book Antiqua" w:hAnsi="Book Antiqua" w:cs="Times New Roman"/>
                <w:sz w:val="24"/>
                <w:szCs w:val="24"/>
              </w:rPr>
            </w:pPr>
            <w:r w:rsidRPr="00BF3C3C">
              <w:rPr>
                <w:rFonts w:ascii="Book Antiqua" w:hAnsi="Book Antiqua" w:cs="Times New Roman"/>
                <w:sz w:val="24"/>
                <w:szCs w:val="24"/>
              </w:rPr>
              <w:t xml:space="preserve">Peritonitis free time (d), </w:t>
            </w:r>
          </w:p>
        </w:tc>
        <w:tc>
          <w:tcPr>
            <w:tcW w:w="1150" w:type="pct"/>
          </w:tcPr>
          <w:p w:rsidR="00D85EC3" w:rsidRPr="00BF3C3C" w:rsidRDefault="00D85EC3" w:rsidP="002A4F8D">
            <w:pPr>
              <w:spacing w:line="360" w:lineRule="auto"/>
              <w:rPr>
                <w:rFonts w:ascii="Book Antiqua" w:hAnsi="Book Antiqua" w:cs="Times New Roman"/>
                <w:sz w:val="24"/>
                <w:szCs w:val="24"/>
              </w:rPr>
            </w:pPr>
          </w:p>
        </w:tc>
        <w:tc>
          <w:tcPr>
            <w:tcW w:w="1227" w:type="pct"/>
          </w:tcPr>
          <w:p w:rsidR="00D85EC3" w:rsidRPr="00BF3C3C" w:rsidRDefault="00D85EC3" w:rsidP="002A4F8D">
            <w:pPr>
              <w:spacing w:line="360" w:lineRule="auto"/>
              <w:rPr>
                <w:rFonts w:ascii="Book Antiqua" w:hAnsi="Book Antiqua" w:cs="Times New Roman"/>
                <w:sz w:val="24"/>
                <w:szCs w:val="24"/>
              </w:rPr>
            </w:pPr>
          </w:p>
        </w:tc>
        <w:tc>
          <w:tcPr>
            <w:tcW w:w="662" w:type="pct"/>
          </w:tcPr>
          <w:p w:rsidR="00D85EC3" w:rsidRPr="00BF3C3C" w:rsidRDefault="00D85EC3" w:rsidP="002A4F8D">
            <w:pPr>
              <w:spacing w:line="360" w:lineRule="auto"/>
              <w:rPr>
                <w:rFonts w:ascii="Book Antiqua" w:hAnsi="Book Antiqua" w:cs="Times New Roman"/>
                <w:sz w:val="24"/>
                <w:szCs w:val="24"/>
              </w:rPr>
            </w:pPr>
          </w:p>
        </w:tc>
      </w:tr>
      <w:tr w:rsidR="00EF6307" w:rsidRPr="00BF3C3C" w:rsidTr="00B22DE1">
        <w:trPr>
          <w:trHeight w:hRule="exact" w:val="397"/>
        </w:trPr>
        <w:tc>
          <w:tcPr>
            <w:tcW w:w="1961" w:type="pct"/>
            <w:tcBorders>
              <w:bottom w:val="single" w:sz="4" w:space="0" w:color="auto"/>
            </w:tcBorders>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[median (range)]</w:t>
            </w:r>
          </w:p>
        </w:tc>
        <w:tc>
          <w:tcPr>
            <w:tcW w:w="1150" w:type="pct"/>
            <w:tcBorders>
              <w:bottom w:val="single" w:sz="4" w:space="0" w:color="auto"/>
            </w:tcBorders>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 xml:space="preserve">762 (31-3918) </w:t>
            </w:r>
          </w:p>
        </w:tc>
        <w:tc>
          <w:tcPr>
            <w:tcW w:w="1227" w:type="pct"/>
            <w:tcBorders>
              <w:bottom w:val="single" w:sz="4" w:space="0" w:color="auto"/>
            </w:tcBorders>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1302 (100-4234)</w:t>
            </w:r>
          </w:p>
        </w:tc>
        <w:tc>
          <w:tcPr>
            <w:tcW w:w="662" w:type="pct"/>
            <w:tcBorders>
              <w:bottom w:val="single" w:sz="4" w:space="0" w:color="auto"/>
            </w:tcBorders>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0.070</w:t>
            </w:r>
          </w:p>
        </w:tc>
      </w:tr>
    </w:tbl>
    <w:p w:rsidR="00D85EC3" w:rsidRPr="00BF3C3C" w:rsidRDefault="00D85EC3" w:rsidP="002A4F8D">
      <w:pPr>
        <w:spacing w:line="360" w:lineRule="auto"/>
        <w:rPr>
          <w:rFonts w:ascii="Book Antiqua" w:eastAsia="宋体" w:hAnsi="Book Antiqua" w:cs="Times New Roman"/>
          <w:sz w:val="24"/>
          <w:szCs w:val="24"/>
          <w:lang w:eastAsia="zh-CN"/>
        </w:rPr>
      </w:pPr>
      <w:r w:rsidRPr="00BF3C3C">
        <w:rPr>
          <w:rFonts w:ascii="Book Antiqua" w:hAnsi="Book Antiqua" w:cs="Times New Roman"/>
          <w:sz w:val="24"/>
          <w:szCs w:val="24"/>
        </w:rPr>
        <w:t>Data presented as mean ± standard devi</w:t>
      </w:r>
      <w:r w:rsidR="009E237A" w:rsidRPr="00BF3C3C">
        <w:rPr>
          <w:rFonts w:ascii="Book Antiqua" w:hAnsi="Book Antiqua" w:cs="Times New Roman"/>
          <w:sz w:val="24"/>
          <w:szCs w:val="24"/>
        </w:rPr>
        <w:t>ation, unless otherwise stated.</w:t>
      </w:r>
      <w:r w:rsidR="009E237A" w:rsidRPr="00BF3C3C">
        <w:rPr>
          <w:rFonts w:ascii="Book Antiqua" w:eastAsia="宋体" w:hAnsi="Book Antiqua" w:cs="Times New Roman" w:hint="eastAsia"/>
          <w:sz w:val="24"/>
          <w:szCs w:val="24"/>
          <w:lang w:eastAsia="zh-CN"/>
        </w:rPr>
        <w:t xml:space="preserve"> </w:t>
      </w:r>
      <w:r w:rsidRPr="00BF3C3C">
        <w:rPr>
          <w:rFonts w:ascii="Book Antiqua" w:hAnsi="Book Antiqua" w:cs="Times New Roman"/>
          <w:sz w:val="24"/>
          <w:szCs w:val="24"/>
        </w:rPr>
        <w:t>Bwt</w:t>
      </w:r>
      <w:r w:rsidR="009E237A" w:rsidRPr="00BF3C3C">
        <w:rPr>
          <w:rFonts w:ascii="Book Antiqua" w:eastAsia="宋体" w:hAnsi="Book Antiqua" w:cs="Times New Roman" w:hint="eastAsia"/>
          <w:sz w:val="24"/>
          <w:szCs w:val="24"/>
          <w:lang w:eastAsia="zh-CN"/>
        </w:rPr>
        <w:t xml:space="preserve">: </w:t>
      </w:r>
      <w:r w:rsidR="009E237A" w:rsidRPr="00BF3C3C">
        <w:rPr>
          <w:rFonts w:ascii="Book Antiqua" w:hAnsi="Book Antiqua" w:cs="Times New Roman"/>
          <w:sz w:val="24"/>
          <w:szCs w:val="24"/>
        </w:rPr>
        <w:t xml:space="preserve">Body </w:t>
      </w:r>
      <w:r w:rsidRPr="00BF3C3C">
        <w:rPr>
          <w:rFonts w:ascii="Book Antiqua" w:hAnsi="Book Antiqua" w:cs="Times New Roman"/>
          <w:sz w:val="24"/>
          <w:szCs w:val="24"/>
        </w:rPr>
        <w:t>weight; BMI</w:t>
      </w:r>
      <w:r w:rsidR="009E237A" w:rsidRPr="00BF3C3C">
        <w:rPr>
          <w:rFonts w:ascii="Book Antiqua" w:eastAsia="宋体" w:hAnsi="Book Antiqua" w:cs="Times New Roman" w:hint="eastAsia"/>
          <w:sz w:val="24"/>
          <w:szCs w:val="24"/>
          <w:lang w:eastAsia="zh-CN"/>
        </w:rPr>
        <w:t>:</w:t>
      </w:r>
      <w:r w:rsidRPr="00BF3C3C">
        <w:rPr>
          <w:rFonts w:ascii="Book Antiqua" w:hAnsi="Book Antiqua" w:cs="Times New Roman"/>
          <w:sz w:val="24"/>
          <w:szCs w:val="24"/>
        </w:rPr>
        <w:t xml:space="preserve"> </w:t>
      </w:r>
      <w:r w:rsidR="009E237A" w:rsidRPr="00BF3C3C">
        <w:rPr>
          <w:rFonts w:ascii="Book Antiqua" w:hAnsi="Book Antiqua" w:cs="Times New Roman"/>
          <w:sz w:val="24"/>
          <w:szCs w:val="24"/>
        </w:rPr>
        <w:t xml:space="preserve">Body </w:t>
      </w:r>
      <w:r w:rsidRPr="00BF3C3C">
        <w:rPr>
          <w:rFonts w:ascii="Book Antiqua" w:hAnsi="Book Antiqua" w:cs="Times New Roman"/>
          <w:sz w:val="24"/>
          <w:szCs w:val="24"/>
        </w:rPr>
        <w:t>mass index; ESRD</w:t>
      </w:r>
      <w:r w:rsidR="009E237A" w:rsidRPr="00BF3C3C">
        <w:rPr>
          <w:rFonts w:ascii="Book Antiqua" w:eastAsia="宋体" w:hAnsi="Book Antiqua" w:cs="Times New Roman" w:hint="eastAsia"/>
          <w:sz w:val="24"/>
          <w:szCs w:val="24"/>
          <w:lang w:eastAsia="zh-CN"/>
        </w:rPr>
        <w:t xml:space="preserve">: </w:t>
      </w:r>
      <w:r w:rsidR="009E237A" w:rsidRPr="00BF3C3C">
        <w:rPr>
          <w:rFonts w:ascii="Book Antiqua" w:hAnsi="Book Antiqua" w:cs="Times New Roman"/>
          <w:sz w:val="24"/>
          <w:szCs w:val="24"/>
        </w:rPr>
        <w:t xml:space="preserve">End </w:t>
      </w:r>
      <w:r w:rsidRPr="00BF3C3C">
        <w:rPr>
          <w:rFonts w:ascii="Book Antiqua" w:hAnsi="Book Antiqua" w:cs="Times New Roman"/>
          <w:sz w:val="24"/>
          <w:szCs w:val="24"/>
        </w:rPr>
        <w:t>stage renal disease; DM</w:t>
      </w:r>
      <w:r w:rsidR="009E237A" w:rsidRPr="00BF3C3C">
        <w:rPr>
          <w:rFonts w:ascii="Book Antiqua" w:eastAsia="宋体" w:hAnsi="Book Antiqua" w:cs="Times New Roman" w:hint="eastAsia"/>
          <w:sz w:val="24"/>
          <w:szCs w:val="24"/>
          <w:lang w:eastAsia="zh-CN"/>
        </w:rPr>
        <w:t>:</w:t>
      </w:r>
      <w:r w:rsidRPr="00BF3C3C">
        <w:rPr>
          <w:rFonts w:ascii="Book Antiqua" w:hAnsi="Book Antiqua" w:cs="Times New Roman"/>
          <w:sz w:val="24"/>
          <w:szCs w:val="24"/>
        </w:rPr>
        <w:t xml:space="preserve"> </w:t>
      </w:r>
      <w:r w:rsidR="009E237A" w:rsidRPr="00BF3C3C">
        <w:rPr>
          <w:rFonts w:ascii="Book Antiqua" w:hAnsi="Book Antiqua" w:cs="Times New Roman"/>
          <w:sz w:val="24"/>
          <w:szCs w:val="24"/>
        </w:rPr>
        <w:t xml:space="preserve">Diabetes </w:t>
      </w:r>
      <w:r w:rsidRPr="00BF3C3C">
        <w:rPr>
          <w:rFonts w:ascii="Book Antiqua" w:hAnsi="Book Antiqua" w:cs="Times New Roman"/>
          <w:sz w:val="24"/>
          <w:szCs w:val="24"/>
        </w:rPr>
        <w:t>mellitus; HTN</w:t>
      </w:r>
      <w:r w:rsidR="009E237A" w:rsidRPr="00BF3C3C">
        <w:rPr>
          <w:rFonts w:ascii="Book Antiqua" w:eastAsia="宋体" w:hAnsi="Book Antiqua" w:cs="Times New Roman" w:hint="eastAsia"/>
          <w:sz w:val="24"/>
          <w:szCs w:val="24"/>
          <w:lang w:eastAsia="zh-CN"/>
        </w:rPr>
        <w:t>:</w:t>
      </w:r>
      <w:r w:rsidRPr="00BF3C3C">
        <w:rPr>
          <w:rFonts w:ascii="Book Antiqua" w:hAnsi="Book Antiqua" w:cs="Times New Roman"/>
          <w:sz w:val="24"/>
          <w:szCs w:val="24"/>
        </w:rPr>
        <w:t xml:space="preserve"> </w:t>
      </w:r>
      <w:r w:rsidR="009E237A" w:rsidRPr="00BF3C3C">
        <w:rPr>
          <w:rFonts w:ascii="Book Antiqua" w:hAnsi="Book Antiqua" w:cs="Times New Roman"/>
          <w:sz w:val="24"/>
          <w:szCs w:val="24"/>
        </w:rPr>
        <w:t>Hypertension</w:t>
      </w:r>
      <w:r w:rsidRPr="00BF3C3C">
        <w:rPr>
          <w:rFonts w:ascii="Book Antiqua" w:hAnsi="Book Antiqua" w:cs="Times New Roman"/>
          <w:sz w:val="24"/>
          <w:szCs w:val="24"/>
        </w:rPr>
        <w:t>; LC</w:t>
      </w:r>
      <w:r w:rsidR="009E237A" w:rsidRPr="00BF3C3C">
        <w:rPr>
          <w:rFonts w:ascii="Book Antiqua" w:eastAsia="宋体" w:hAnsi="Book Antiqua" w:cs="Times New Roman" w:hint="eastAsia"/>
          <w:sz w:val="24"/>
          <w:szCs w:val="24"/>
          <w:lang w:eastAsia="zh-CN"/>
        </w:rPr>
        <w:t xml:space="preserve">: </w:t>
      </w:r>
      <w:r w:rsidR="009E237A" w:rsidRPr="00BF3C3C">
        <w:rPr>
          <w:rFonts w:ascii="Book Antiqua" w:hAnsi="Book Antiqua" w:cs="Times New Roman"/>
          <w:sz w:val="24"/>
          <w:szCs w:val="24"/>
        </w:rPr>
        <w:t xml:space="preserve">Liver </w:t>
      </w:r>
      <w:r w:rsidRPr="00BF3C3C">
        <w:rPr>
          <w:rFonts w:ascii="Book Antiqua" w:hAnsi="Book Antiqua" w:cs="Times New Roman"/>
          <w:sz w:val="24"/>
          <w:szCs w:val="24"/>
        </w:rPr>
        <w:t>cirrhosis; PD</w:t>
      </w:r>
      <w:r w:rsidR="009E237A" w:rsidRPr="00BF3C3C">
        <w:rPr>
          <w:rFonts w:ascii="Book Antiqua" w:eastAsia="宋体" w:hAnsi="Book Antiqua" w:cs="Times New Roman" w:hint="eastAsia"/>
          <w:sz w:val="24"/>
          <w:szCs w:val="24"/>
          <w:lang w:eastAsia="zh-CN"/>
        </w:rPr>
        <w:t xml:space="preserve">: </w:t>
      </w:r>
      <w:r w:rsidR="009E237A" w:rsidRPr="00BF3C3C">
        <w:rPr>
          <w:rFonts w:ascii="Book Antiqua" w:hAnsi="Book Antiqua" w:cs="Times New Roman"/>
          <w:sz w:val="24"/>
          <w:szCs w:val="24"/>
        </w:rPr>
        <w:t>Peritoneal dialysis; CAPD</w:t>
      </w:r>
      <w:r w:rsidR="009E237A" w:rsidRPr="00BF3C3C">
        <w:rPr>
          <w:rFonts w:ascii="Book Antiqua" w:eastAsia="宋体" w:hAnsi="Book Antiqua" w:cs="Times New Roman" w:hint="eastAsia"/>
          <w:sz w:val="24"/>
          <w:szCs w:val="24"/>
          <w:lang w:eastAsia="zh-CN"/>
        </w:rPr>
        <w:t>:</w:t>
      </w:r>
      <w:r w:rsidRPr="00BF3C3C">
        <w:rPr>
          <w:rFonts w:ascii="Book Antiqua" w:hAnsi="Book Antiqua" w:cs="Times New Roman"/>
          <w:sz w:val="24"/>
          <w:szCs w:val="24"/>
        </w:rPr>
        <w:t xml:space="preserve"> </w:t>
      </w:r>
      <w:r w:rsidR="009E237A" w:rsidRPr="00BF3C3C">
        <w:rPr>
          <w:rFonts w:ascii="Book Antiqua" w:hAnsi="Book Antiqua" w:cs="Times New Roman"/>
          <w:sz w:val="24"/>
          <w:szCs w:val="24"/>
        </w:rPr>
        <w:t xml:space="preserve">Continuous </w:t>
      </w:r>
      <w:r w:rsidRPr="00BF3C3C">
        <w:rPr>
          <w:rFonts w:ascii="Book Antiqua" w:hAnsi="Book Antiqua" w:cs="Times New Roman"/>
          <w:sz w:val="24"/>
          <w:szCs w:val="24"/>
        </w:rPr>
        <w:t>ambulatory peritoneal dialysis</w:t>
      </w:r>
      <w:r w:rsidR="009E237A" w:rsidRPr="00BF3C3C">
        <w:rPr>
          <w:rFonts w:ascii="Book Antiqua" w:eastAsia="宋体" w:hAnsi="Book Antiqua" w:cs="Times New Roman" w:hint="eastAsia"/>
          <w:sz w:val="24"/>
          <w:szCs w:val="24"/>
          <w:lang w:eastAsia="zh-CN"/>
        </w:rPr>
        <w:t>.</w:t>
      </w:r>
    </w:p>
    <w:p w:rsidR="00D85EC3" w:rsidRPr="00BF3C3C" w:rsidRDefault="00D85EC3" w:rsidP="002A4F8D">
      <w:pPr>
        <w:widowControl/>
        <w:wordWrap/>
        <w:autoSpaceDE/>
        <w:autoSpaceDN/>
        <w:spacing w:line="360" w:lineRule="auto"/>
        <w:rPr>
          <w:rFonts w:ascii="Book Antiqua" w:hAnsi="Book Antiqua" w:cs="Times New Roman"/>
          <w:b/>
          <w:sz w:val="24"/>
          <w:szCs w:val="24"/>
        </w:rPr>
      </w:pPr>
      <w:r w:rsidRPr="00BF3C3C">
        <w:rPr>
          <w:rFonts w:ascii="Book Antiqua" w:hAnsi="Book Antiqua" w:cs="Times New Roman"/>
          <w:b/>
          <w:sz w:val="24"/>
          <w:szCs w:val="24"/>
        </w:rPr>
        <w:br w:type="page"/>
      </w:r>
    </w:p>
    <w:p w:rsidR="00D85EC3" w:rsidRPr="004A36EB" w:rsidRDefault="009E237A" w:rsidP="002A4F8D">
      <w:pPr>
        <w:widowControl/>
        <w:wordWrap/>
        <w:autoSpaceDE/>
        <w:autoSpaceDN/>
        <w:spacing w:line="360" w:lineRule="auto"/>
        <w:rPr>
          <w:rFonts w:ascii="Book Antiqua" w:eastAsia="宋体" w:hAnsi="Book Antiqua" w:cs="Times New Roman"/>
          <w:b/>
          <w:sz w:val="24"/>
          <w:szCs w:val="24"/>
          <w:lang w:eastAsia="zh-CN"/>
        </w:rPr>
      </w:pPr>
      <w:r w:rsidRPr="00BF3C3C">
        <w:rPr>
          <w:rFonts w:ascii="Book Antiqua" w:hAnsi="Book Antiqua" w:cs="Times New Roman"/>
          <w:b/>
          <w:sz w:val="24"/>
          <w:szCs w:val="24"/>
        </w:rPr>
        <w:lastRenderedPageBreak/>
        <w:t xml:space="preserve">Table 2 </w:t>
      </w:r>
      <w:r w:rsidR="00D85EC3" w:rsidRPr="00BF3C3C">
        <w:rPr>
          <w:rFonts w:ascii="Book Antiqua" w:hAnsi="Book Antiqua" w:cs="Times New Roman"/>
          <w:b/>
          <w:sz w:val="24"/>
          <w:szCs w:val="24"/>
        </w:rPr>
        <w:t>Acid-suppressive therapy and other medications in peritonitis group and no peritonitis group</w:t>
      </w:r>
      <w:r w:rsidR="004A36EB">
        <w:rPr>
          <w:rFonts w:ascii="Book Antiqua" w:eastAsia="宋体" w:hAnsi="Book Antiqua" w:cs="Times New Roman" w:hint="eastAsia"/>
          <w:b/>
          <w:sz w:val="24"/>
          <w:szCs w:val="24"/>
          <w:lang w:eastAsia="zh-CN"/>
        </w:rPr>
        <w:t xml:space="preserve"> </w:t>
      </w:r>
      <w:r w:rsidR="004A36EB" w:rsidRPr="004A36EB">
        <w:rPr>
          <w:rFonts w:ascii="Book Antiqua" w:eastAsia="宋体" w:hAnsi="Book Antiqua" w:cs="Times New Roman" w:hint="eastAsia"/>
          <w:b/>
          <w:i/>
          <w:sz w:val="24"/>
          <w:szCs w:val="24"/>
          <w:lang w:eastAsia="zh-CN"/>
        </w:rPr>
        <w:t>n</w:t>
      </w:r>
      <w:r w:rsidR="004A36EB">
        <w:rPr>
          <w:rFonts w:ascii="Book Antiqua" w:eastAsia="宋体" w:hAnsi="Book Antiqua" w:cs="Times New Roman" w:hint="eastAsia"/>
          <w:b/>
          <w:sz w:val="24"/>
          <w:szCs w:val="24"/>
          <w:lang w:eastAsia="zh-CN"/>
        </w:rPr>
        <w:t xml:space="preserve"> (%)</w:t>
      </w:r>
    </w:p>
    <w:p w:rsidR="00D85EC3" w:rsidRPr="00BF3C3C" w:rsidRDefault="00D85EC3" w:rsidP="002A4F8D">
      <w:pPr>
        <w:widowControl/>
        <w:wordWrap/>
        <w:autoSpaceDE/>
        <w:autoSpaceDN/>
        <w:spacing w:line="360" w:lineRule="auto"/>
        <w:rPr>
          <w:rFonts w:ascii="Book Antiqua" w:hAnsi="Book Antiqua" w:cs="Times New Roman"/>
          <w:b/>
          <w:sz w:val="24"/>
          <w:szCs w:val="24"/>
        </w:rPr>
      </w:pPr>
    </w:p>
    <w:tbl>
      <w:tblPr>
        <w:tblStyle w:val="ad"/>
        <w:tblW w:w="5340" w:type="pct"/>
        <w:tblInd w:w="-45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126"/>
        <w:gridCol w:w="2268"/>
        <w:gridCol w:w="1222"/>
      </w:tblGrid>
      <w:tr w:rsidR="00EF6307" w:rsidRPr="00BF3C3C" w:rsidTr="00B22DE1">
        <w:tc>
          <w:tcPr>
            <w:tcW w:w="2155" w:type="pct"/>
            <w:tcBorders>
              <w:top w:val="single" w:sz="4" w:space="0" w:color="auto"/>
              <w:bottom w:val="single" w:sz="4" w:space="0" w:color="auto"/>
            </w:tcBorders>
            <w:shd w:val="clear" w:color="auto" w:fill="auto"/>
            <w:vAlign w:val="center"/>
          </w:tcPr>
          <w:p w:rsidR="00D85EC3" w:rsidRPr="00BF3C3C" w:rsidRDefault="00D85EC3" w:rsidP="002A4F8D">
            <w:pPr>
              <w:spacing w:line="360" w:lineRule="auto"/>
              <w:rPr>
                <w:rFonts w:ascii="Book Antiqua" w:hAnsi="Book Antiqua" w:cs="Times New Roman"/>
                <w:b/>
                <w:sz w:val="24"/>
                <w:szCs w:val="24"/>
              </w:rPr>
            </w:pPr>
            <w:r w:rsidRPr="00BF3C3C">
              <w:rPr>
                <w:rFonts w:ascii="Book Antiqua" w:hAnsi="Book Antiqua" w:cs="Times New Roman"/>
                <w:sz w:val="24"/>
                <w:szCs w:val="24"/>
              </w:rPr>
              <w:t xml:space="preserve">　</w:t>
            </w:r>
          </w:p>
        </w:tc>
        <w:tc>
          <w:tcPr>
            <w:tcW w:w="1077" w:type="pct"/>
            <w:tcBorders>
              <w:top w:val="single" w:sz="4" w:space="0" w:color="auto"/>
              <w:bottom w:val="single" w:sz="4" w:space="0" w:color="auto"/>
            </w:tcBorders>
            <w:shd w:val="clear" w:color="auto" w:fill="auto"/>
          </w:tcPr>
          <w:p w:rsidR="00D85EC3" w:rsidRPr="00BF3C3C" w:rsidRDefault="00D85EC3" w:rsidP="002A4F8D">
            <w:pPr>
              <w:spacing w:line="360" w:lineRule="auto"/>
              <w:rPr>
                <w:rFonts w:ascii="Book Antiqua" w:eastAsia="HYSinMyeongJo-Medium" w:hAnsi="Book Antiqua" w:cs="Times New Roman"/>
                <w:b/>
                <w:sz w:val="24"/>
                <w:szCs w:val="24"/>
              </w:rPr>
            </w:pPr>
            <w:r w:rsidRPr="00BF3C3C">
              <w:rPr>
                <w:rFonts w:ascii="Book Antiqua" w:eastAsia="HYSinMyeongJo-Medium" w:hAnsi="Book Antiqua" w:cs="Times New Roman"/>
                <w:b/>
                <w:sz w:val="24"/>
                <w:szCs w:val="24"/>
              </w:rPr>
              <w:t>Peritonitis group</w:t>
            </w:r>
          </w:p>
          <w:p w:rsidR="00D85EC3" w:rsidRPr="00BF3C3C" w:rsidRDefault="00D85EC3" w:rsidP="002A4F8D">
            <w:pPr>
              <w:spacing w:line="360" w:lineRule="auto"/>
              <w:rPr>
                <w:rFonts w:ascii="Book Antiqua" w:eastAsia="HYSinMyeongJo-Medium" w:hAnsi="Book Antiqua" w:cs="Times New Roman"/>
                <w:b/>
                <w:sz w:val="24"/>
                <w:szCs w:val="24"/>
              </w:rPr>
            </w:pPr>
            <w:r w:rsidRPr="00BF3C3C">
              <w:rPr>
                <w:rFonts w:ascii="Book Antiqua" w:eastAsia="HYSinMyeongJo-Medium" w:hAnsi="Book Antiqua" w:cs="Times New Roman"/>
                <w:b/>
                <w:sz w:val="24"/>
                <w:szCs w:val="24"/>
              </w:rPr>
              <w:t>(</w:t>
            </w:r>
            <w:r w:rsidRPr="00BF3C3C">
              <w:rPr>
                <w:rFonts w:ascii="Book Antiqua" w:eastAsia="HYSinMyeongJo-Medium" w:hAnsi="Book Antiqua" w:cs="Times New Roman"/>
                <w:b/>
                <w:i/>
                <w:sz w:val="24"/>
                <w:szCs w:val="24"/>
              </w:rPr>
              <w:t>n</w:t>
            </w:r>
            <w:r w:rsidR="009E237A" w:rsidRPr="00BF3C3C">
              <w:rPr>
                <w:rFonts w:ascii="Book Antiqua" w:eastAsia="宋体" w:hAnsi="Book Antiqua" w:cs="Times New Roman" w:hint="eastAsia"/>
                <w:b/>
                <w:sz w:val="24"/>
                <w:szCs w:val="24"/>
                <w:lang w:eastAsia="zh-CN"/>
              </w:rPr>
              <w:t xml:space="preserve"> </w:t>
            </w:r>
            <w:r w:rsidRPr="00BF3C3C">
              <w:rPr>
                <w:rFonts w:ascii="Book Antiqua" w:eastAsia="HYSinMyeongJo-Medium" w:hAnsi="Book Antiqua" w:cs="Times New Roman"/>
                <w:b/>
                <w:sz w:val="24"/>
                <w:szCs w:val="24"/>
              </w:rPr>
              <w:t>=</w:t>
            </w:r>
            <w:r w:rsidR="009E237A" w:rsidRPr="00BF3C3C">
              <w:rPr>
                <w:rFonts w:ascii="Book Antiqua" w:eastAsia="宋体" w:hAnsi="Book Antiqua" w:cs="Times New Roman" w:hint="eastAsia"/>
                <w:b/>
                <w:sz w:val="24"/>
                <w:szCs w:val="24"/>
                <w:lang w:eastAsia="zh-CN"/>
              </w:rPr>
              <w:t xml:space="preserve"> </w:t>
            </w:r>
            <w:r w:rsidRPr="00BF3C3C">
              <w:rPr>
                <w:rFonts w:ascii="Book Antiqua" w:eastAsia="HYSinMyeongJo-Medium" w:hAnsi="Book Antiqua" w:cs="Times New Roman"/>
                <w:b/>
                <w:sz w:val="24"/>
                <w:szCs w:val="24"/>
              </w:rPr>
              <w:t>61)</w:t>
            </w:r>
          </w:p>
        </w:tc>
        <w:tc>
          <w:tcPr>
            <w:tcW w:w="1149" w:type="pct"/>
            <w:tcBorders>
              <w:top w:val="single" w:sz="4" w:space="0" w:color="auto"/>
              <w:bottom w:val="single" w:sz="4" w:space="0" w:color="auto"/>
            </w:tcBorders>
            <w:shd w:val="clear" w:color="auto" w:fill="auto"/>
          </w:tcPr>
          <w:p w:rsidR="00D85EC3" w:rsidRPr="00BF3C3C" w:rsidRDefault="00D85EC3" w:rsidP="002A4F8D">
            <w:pPr>
              <w:spacing w:line="360" w:lineRule="auto"/>
              <w:rPr>
                <w:rFonts w:ascii="Book Antiqua" w:eastAsia="HYSinMyeongJo-Medium" w:hAnsi="Book Antiqua" w:cs="Times New Roman"/>
                <w:b/>
                <w:sz w:val="24"/>
                <w:szCs w:val="24"/>
              </w:rPr>
            </w:pPr>
            <w:r w:rsidRPr="00BF3C3C">
              <w:rPr>
                <w:rFonts w:ascii="Book Antiqua" w:eastAsia="HYSinMyeongJo-Medium" w:hAnsi="Book Antiqua" w:cs="Times New Roman"/>
                <w:b/>
                <w:sz w:val="24"/>
                <w:szCs w:val="24"/>
              </w:rPr>
              <w:t>No peritonitis group</w:t>
            </w:r>
          </w:p>
          <w:p w:rsidR="00D85EC3" w:rsidRPr="00BF3C3C" w:rsidRDefault="00D85EC3" w:rsidP="002A4F8D">
            <w:pPr>
              <w:spacing w:line="360" w:lineRule="auto"/>
              <w:rPr>
                <w:rFonts w:ascii="Book Antiqua" w:eastAsia="HYSinMyeongJo-Medium" w:hAnsi="Book Antiqua" w:cs="Times New Roman"/>
                <w:b/>
                <w:sz w:val="24"/>
                <w:szCs w:val="24"/>
              </w:rPr>
            </w:pPr>
            <w:r w:rsidRPr="00BF3C3C">
              <w:rPr>
                <w:rFonts w:ascii="Book Antiqua" w:eastAsia="HYSinMyeongJo-Medium" w:hAnsi="Book Antiqua" w:cs="Times New Roman"/>
                <w:b/>
                <w:sz w:val="24"/>
                <w:szCs w:val="24"/>
              </w:rPr>
              <w:t>(</w:t>
            </w:r>
            <w:r w:rsidRPr="00BF3C3C">
              <w:rPr>
                <w:rFonts w:ascii="Book Antiqua" w:eastAsia="HYSinMyeongJo-Medium" w:hAnsi="Book Antiqua" w:cs="Times New Roman"/>
                <w:b/>
                <w:i/>
                <w:sz w:val="24"/>
                <w:szCs w:val="24"/>
              </w:rPr>
              <w:t>n</w:t>
            </w:r>
            <w:r w:rsidR="009E237A" w:rsidRPr="00BF3C3C">
              <w:rPr>
                <w:rFonts w:ascii="Book Antiqua" w:eastAsia="宋体" w:hAnsi="Book Antiqua" w:cs="Times New Roman" w:hint="eastAsia"/>
                <w:b/>
                <w:sz w:val="24"/>
                <w:szCs w:val="24"/>
                <w:lang w:eastAsia="zh-CN"/>
              </w:rPr>
              <w:t xml:space="preserve"> </w:t>
            </w:r>
            <w:r w:rsidRPr="00BF3C3C">
              <w:rPr>
                <w:rFonts w:ascii="Book Antiqua" w:eastAsia="HYSinMyeongJo-Medium" w:hAnsi="Book Antiqua" w:cs="Times New Roman"/>
                <w:b/>
                <w:sz w:val="24"/>
                <w:szCs w:val="24"/>
              </w:rPr>
              <w:t>=</w:t>
            </w:r>
            <w:r w:rsidR="009E237A" w:rsidRPr="00BF3C3C">
              <w:rPr>
                <w:rFonts w:ascii="Book Antiqua" w:eastAsia="宋体" w:hAnsi="Book Antiqua" w:cs="Times New Roman" w:hint="eastAsia"/>
                <w:b/>
                <w:sz w:val="24"/>
                <w:szCs w:val="24"/>
                <w:lang w:eastAsia="zh-CN"/>
              </w:rPr>
              <w:t xml:space="preserve"> </w:t>
            </w:r>
            <w:r w:rsidRPr="00BF3C3C">
              <w:rPr>
                <w:rFonts w:ascii="Book Antiqua" w:eastAsia="HYSinMyeongJo-Medium" w:hAnsi="Book Antiqua" w:cs="Times New Roman"/>
                <w:b/>
                <w:sz w:val="24"/>
                <w:szCs w:val="24"/>
              </w:rPr>
              <w:t>59)</w:t>
            </w:r>
          </w:p>
        </w:tc>
        <w:tc>
          <w:tcPr>
            <w:tcW w:w="619" w:type="pct"/>
            <w:tcBorders>
              <w:top w:val="single" w:sz="4" w:space="0" w:color="auto"/>
              <w:bottom w:val="single" w:sz="4" w:space="0" w:color="auto"/>
            </w:tcBorders>
            <w:shd w:val="clear" w:color="auto" w:fill="auto"/>
            <w:vAlign w:val="center"/>
          </w:tcPr>
          <w:p w:rsidR="00D85EC3" w:rsidRPr="00BF3C3C" w:rsidRDefault="009E237A" w:rsidP="002A4F8D">
            <w:pPr>
              <w:spacing w:line="360" w:lineRule="auto"/>
              <w:rPr>
                <w:rFonts w:ascii="Book Antiqua" w:hAnsi="Book Antiqua" w:cs="Times New Roman"/>
                <w:sz w:val="24"/>
                <w:szCs w:val="24"/>
              </w:rPr>
            </w:pPr>
            <w:r w:rsidRPr="00BF3C3C">
              <w:rPr>
                <w:rFonts w:ascii="Book Antiqua" w:hAnsi="Book Antiqua" w:cs="Times New Roman"/>
                <w:b/>
                <w:bCs/>
                <w:i/>
                <w:sz w:val="24"/>
                <w:szCs w:val="24"/>
              </w:rPr>
              <w:t>P</w:t>
            </w:r>
            <w:r w:rsidR="00D85EC3" w:rsidRPr="00BF3C3C">
              <w:rPr>
                <w:rFonts w:ascii="Book Antiqua" w:hAnsi="Book Antiqua" w:cs="Times New Roman"/>
                <w:b/>
                <w:bCs/>
                <w:i/>
                <w:sz w:val="24"/>
                <w:szCs w:val="24"/>
              </w:rPr>
              <w:t xml:space="preserve"> </w:t>
            </w:r>
            <w:r w:rsidR="00D85EC3" w:rsidRPr="00BF3C3C">
              <w:rPr>
                <w:rFonts w:ascii="Book Antiqua" w:hAnsi="Book Antiqua" w:cs="Times New Roman"/>
                <w:b/>
                <w:bCs/>
                <w:sz w:val="24"/>
                <w:szCs w:val="24"/>
              </w:rPr>
              <w:t>value</w:t>
            </w:r>
          </w:p>
        </w:tc>
      </w:tr>
      <w:tr w:rsidR="00EF6307" w:rsidRPr="00BF3C3C" w:rsidTr="00B22DE1">
        <w:trPr>
          <w:trHeight w:hRule="exact" w:val="397"/>
        </w:trPr>
        <w:tc>
          <w:tcPr>
            <w:tcW w:w="2155" w:type="pct"/>
            <w:tcBorders>
              <w:top w:val="single" w:sz="4" w:space="0" w:color="auto"/>
            </w:tcBorders>
          </w:tcPr>
          <w:p w:rsidR="00D85EC3" w:rsidRPr="00BF3C3C" w:rsidRDefault="00D85EC3" w:rsidP="009E237A">
            <w:pPr>
              <w:spacing w:line="360" w:lineRule="auto"/>
              <w:rPr>
                <w:rFonts w:ascii="Book Antiqua" w:hAnsi="Book Antiqua" w:cs="Times New Roman"/>
                <w:sz w:val="24"/>
                <w:szCs w:val="24"/>
              </w:rPr>
            </w:pPr>
            <w:r w:rsidRPr="00BF3C3C">
              <w:rPr>
                <w:rFonts w:ascii="Book Antiqua" w:hAnsi="Book Antiqua" w:cs="Times New Roman"/>
                <w:sz w:val="24"/>
                <w:szCs w:val="24"/>
              </w:rPr>
              <w:t>Use of PPI</w:t>
            </w:r>
            <w:r w:rsidR="00DC5B6C" w:rsidRPr="00BF3C3C">
              <w:rPr>
                <w:rFonts w:ascii="Book Antiqua" w:hAnsi="Book Antiqua" w:cs="Times New Roman"/>
                <w:sz w:val="24"/>
                <w:szCs w:val="24"/>
              </w:rPr>
              <w:t>s</w:t>
            </w:r>
            <w:r w:rsidRPr="00BF3C3C">
              <w:rPr>
                <w:rFonts w:ascii="Book Antiqua" w:hAnsi="Book Antiqua" w:cs="Times New Roman"/>
                <w:sz w:val="24"/>
                <w:szCs w:val="24"/>
              </w:rPr>
              <w:t xml:space="preserve"> </w:t>
            </w:r>
          </w:p>
        </w:tc>
        <w:tc>
          <w:tcPr>
            <w:tcW w:w="1077" w:type="pct"/>
            <w:tcBorders>
              <w:top w:val="single" w:sz="4" w:space="0" w:color="auto"/>
            </w:tcBorders>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6 (9.8</w:t>
            </w:r>
            <w:r w:rsidR="00D85EC3" w:rsidRPr="00BF3C3C">
              <w:rPr>
                <w:rFonts w:ascii="Book Antiqua" w:hAnsi="Book Antiqua" w:cs="Times New Roman"/>
                <w:sz w:val="24"/>
                <w:szCs w:val="24"/>
              </w:rPr>
              <w:t>)</w:t>
            </w:r>
          </w:p>
        </w:tc>
        <w:tc>
          <w:tcPr>
            <w:tcW w:w="1149" w:type="pct"/>
            <w:tcBorders>
              <w:top w:val="single" w:sz="4" w:space="0" w:color="auto"/>
            </w:tcBorders>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10 (16.9</w:t>
            </w:r>
            <w:r w:rsidR="00D85EC3" w:rsidRPr="00BF3C3C">
              <w:rPr>
                <w:rFonts w:ascii="Book Antiqua" w:hAnsi="Book Antiqua" w:cs="Times New Roman"/>
                <w:sz w:val="24"/>
                <w:szCs w:val="24"/>
              </w:rPr>
              <w:t>)</w:t>
            </w:r>
          </w:p>
        </w:tc>
        <w:tc>
          <w:tcPr>
            <w:tcW w:w="619" w:type="pct"/>
            <w:tcBorders>
              <w:top w:val="single" w:sz="4" w:space="0" w:color="auto"/>
            </w:tcBorders>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0.252</w:t>
            </w:r>
          </w:p>
        </w:tc>
      </w:tr>
      <w:tr w:rsidR="00EF6307" w:rsidRPr="00BF3C3C" w:rsidTr="00B22DE1">
        <w:trPr>
          <w:trHeight w:hRule="exact" w:val="397"/>
        </w:trPr>
        <w:tc>
          <w:tcPr>
            <w:tcW w:w="2155" w:type="pct"/>
          </w:tcPr>
          <w:p w:rsidR="00D85EC3" w:rsidRPr="00BF3C3C" w:rsidRDefault="00D85EC3" w:rsidP="009E237A">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w:t>
            </w:r>
            <w:r w:rsidR="009E237A" w:rsidRPr="00BF3C3C">
              <w:rPr>
                <w:rFonts w:ascii="Book Antiqua" w:eastAsia="宋体" w:hAnsi="Book Antiqua" w:cs="Times New Roman" w:hint="eastAsia"/>
                <w:sz w:val="24"/>
                <w:szCs w:val="24"/>
                <w:lang w:eastAsia="zh-CN"/>
              </w:rPr>
              <w:t xml:space="preserve"> </w:t>
            </w:r>
            <w:r w:rsidRPr="00BF3C3C">
              <w:rPr>
                <w:rFonts w:ascii="Book Antiqua" w:hAnsi="Book Antiqua" w:cs="Times New Roman"/>
                <w:sz w:val="24"/>
                <w:szCs w:val="24"/>
              </w:rPr>
              <w:t xml:space="preserve">7 d </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5 (8.2</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4 (6.8</w:t>
            </w:r>
            <w:r w:rsidR="00D85EC3" w:rsidRPr="00BF3C3C">
              <w:rPr>
                <w:rFonts w:ascii="Book Antiqua" w:hAnsi="Book Antiqua" w:cs="Times New Roman"/>
                <w:sz w:val="24"/>
                <w:szCs w:val="24"/>
              </w:rPr>
              <w:t>)</w:t>
            </w:r>
          </w:p>
        </w:tc>
        <w:tc>
          <w:tcPr>
            <w:tcW w:w="619" w:type="pct"/>
            <w:vMerge w:val="restar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0.691</w:t>
            </w:r>
          </w:p>
        </w:tc>
      </w:tr>
      <w:tr w:rsidR="00EF6307" w:rsidRPr="00BF3C3C" w:rsidTr="00B22DE1">
        <w:trPr>
          <w:trHeight w:hRule="exact" w:val="397"/>
        </w:trPr>
        <w:tc>
          <w:tcPr>
            <w:tcW w:w="2155" w:type="pct"/>
          </w:tcPr>
          <w:p w:rsidR="00D85EC3" w:rsidRPr="00BF3C3C" w:rsidRDefault="00D85EC3" w:rsidP="009E237A">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 xml:space="preserve">8-30 d </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0 (0.0</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 (1.7</w:t>
            </w:r>
            <w:r w:rsidR="00D85EC3" w:rsidRPr="00BF3C3C">
              <w:rPr>
                <w:rFonts w:ascii="Book Antiqua" w:hAnsi="Book Antiqua" w:cs="Times New Roman"/>
                <w:sz w:val="24"/>
                <w:szCs w:val="24"/>
              </w:rPr>
              <w:t>)</w:t>
            </w:r>
          </w:p>
        </w:tc>
        <w:tc>
          <w:tcPr>
            <w:tcW w:w="619"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B22DE1">
        <w:trPr>
          <w:trHeight w:hRule="exact" w:val="397"/>
        </w:trPr>
        <w:tc>
          <w:tcPr>
            <w:tcW w:w="2155" w:type="pct"/>
          </w:tcPr>
          <w:p w:rsidR="00D85EC3" w:rsidRPr="00BF3C3C" w:rsidRDefault="00D85EC3" w:rsidP="00B22DE1">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&gt;</w:t>
            </w:r>
            <w:r w:rsidR="009E237A" w:rsidRPr="00BF3C3C">
              <w:rPr>
                <w:rFonts w:ascii="Book Antiqua" w:eastAsia="宋体" w:hAnsi="Book Antiqua" w:cs="Times New Roman" w:hint="eastAsia"/>
                <w:sz w:val="24"/>
                <w:szCs w:val="24"/>
                <w:lang w:eastAsia="zh-CN"/>
              </w:rPr>
              <w:t xml:space="preserve"> </w:t>
            </w:r>
            <w:r w:rsidRPr="00BF3C3C">
              <w:rPr>
                <w:rFonts w:ascii="Book Antiqua" w:hAnsi="Book Antiqua" w:cs="Times New Roman"/>
                <w:sz w:val="24"/>
                <w:szCs w:val="24"/>
              </w:rPr>
              <w:t xml:space="preserve">30 d -1 yr </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 (1.6</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5 (8.5</w:t>
            </w:r>
            <w:r w:rsidR="00D85EC3" w:rsidRPr="00BF3C3C">
              <w:rPr>
                <w:rFonts w:ascii="Book Antiqua" w:hAnsi="Book Antiqua" w:cs="Times New Roman"/>
                <w:sz w:val="24"/>
                <w:szCs w:val="24"/>
              </w:rPr>
              <w:t>)</w:t>
            </w:r>
          </w:p>
        </w:tc>
        <w:tc>
          <w:tcPr>
            <w:tcW w:w="619"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B22DE1">
        <w:trPr>
          <w:trHeight w:hRule="exact" w:val="397"/>
        </w:trPr>
        <w:tc>
          <w:tcPr>
            <w:tcW w:w="2155" w:type="pct"/>
          </w:tcPr>
          <w:p w:rsidR="00D85EC3" w:rsidRPr="00BF3C3C" w:rsidRDefault="00D85EC3" w:rsidP="002A4F8D">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 xml:space="preserve">No use </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55 (90.2</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49 (83.1</w:t>
            </w:r>
            <w:r w:rsidR="00D85EC3" w:rsidRPr="00BF3C3C">
              <w:rPr>
                <w:rFonts w:ascii="Book Antiqua" w:hAnsi="Book Antiqua" w:cs="Times New Roman"/>
                <w:sz w:val="24"/>
                <w:szCs w:val="24"/>
              </w:rPr>
              <w:t>)</w:t>
            </w:r>
          </w:p>
        </w:tc>
        <w:tc>
          <w:tcPr>
            <w:tcW w:w="619"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B22DE1">
        <w:trPr>
          <w:trHeight w:hRule="exact" w:val="397"/>
        </w:trPr>
        <w:tc>
          <w:tcPr>
            <w:tcW w:w="2155" w:type="pct"/>
          </w:tcPr>
          <w:p w:rsidR="00D85EC3" w:rsidRPr="00BF3C3C" w:rsidRDefault="00D85EC3" w:rsidP="009E237A">
            <w:pPr>
              <w:spacing w:line="360" w:lineRule="auto"/>
              <w:rPr>
                <w:rFonts w:ascii="Book Antiqua" w:hAnsi="Book Antiqua" w:cs="Times New Roman"/>
                <w:sz w:val="24"/>
                <w:szCs w:val="24"/>
              </w:rPr>
            </w:pPr>
            <w:r w:rsidRPr="00BF3C3C">
              <w:rPr>
                <w:rFonts w:ascii="Book Antiqua" w:hAnsi="Book Antiqua" w:cs="Times New Roman"/>
                <w:sz w:val="24"/>
                <w:szCs w:val="24"/>
              </w:rPr>
              <w:t>Use of H2B</w:t>
            </w:r>
            <w:r w:rsidR="00DC5B6C" w:rsidRPr="00BF3C3C">
              <w:rPr>
                <w:rFonts w:ascii="Book Antiqua" w:hAnsi="Book Antiqua" w:cs="Times New Roman"/>
                <w:sz w:val="24"/>
                <w:szCs w:val="24"/>
              </w:rPr>
              <w:t>s</w:t>
            </w:r>
            <w:r w:rsidRPr="00BF3C3C">
              <w:rPr>
                <w:rFonts w:ascii="Book Antiqua" w:hAnsi="Book Antiqua" w:cs="Times New Roman"/>
                <w:sz w:val="24"/>
                <w:szCs w:val="24"/>
              </w:rPr>
              <w:t xml:space="preserve"> </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15 (24.6</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4 (6.8</w:t>
            </w:r>
            <w:r w:rsidR="00D85EC3" w:rsidRPr="00BF3C3C">
              <w:rPr>
                <w:rFonts w:ascii="Book Antiqua" w:hAnsi="Book Antiqua" w:cs="Times New Roman"/>
                <w:sz w:val="24"/>
                <w:szCs w:val="24"/>
              </w:rPr>
              <w:t>)</w:t>
            </w:r>
          </w:p>
        </w:tc>
        <w:tc>
          <w:tcPr>
            <w:tcW w:w="619"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0.011</w:t>
            </w:r>
          </w:p>
        </w:tc>
      </w:tr>
      <w:tr w:rsidR="00EF6307" w:rsidRPr="00BF3C3C" w:rsidTr="00B22DE1">
        <w:trPr>
          <w:trHeight w:hRule="exact" w:val="397"/>
        </w:trPr>
        <w:tc>
          <w:tcPr>
            <w:tcW w:w="2155" w:type="pct"/>
          </w:tcPr>
          <w:p w:rsidR="00D85EC3" w:rsidRPr="00BF3C3C" w:rsidRDefault="00D85EC3" w:rsidP="009E237A">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w:t>
            </w:r>
            <w:r w:rsidR="009E237A" w:rsidRPr="00BF3C3C">
              <w:rPr>
                <w:rFonts w:ascii="Book Antiqua" w:eastAsia="宋体" w:hAnsi="Book Antiqua" w:cs="Times New Roman" w:hint="eastAsia"/>
                <w:sz w:val="24"/>
                <w:szCs w:val="24"/>
                <w:lang w:eastAsia="zh-CN"/>
              </w:rPr>
              <w:t xml:space="preserve"> </w:t>
            </w:r>
            <w:r w:rsidRPr="00BF3C3C">
              <w:rPr>
                <w:rFonts w:ascii="Book Antiqua" w:hAnsi="Book Antiqua" w:cs="Times New Roman"/>
                <w:sz w:val="24"/>
                <w:szCs w:val="24"/>
              </w:rPr>
              <w:t xml:space="preserve">7 d </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7 (11.5</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3 (5.1</w:t>
            </w:r>
            <w:r w:rsidR="00D85EC3" w:rsidRPr="00BF3C3C">
              <w:rPr>
                <w:rFonts w:ascii="Book Antiqua" w:hAnsi="Book Antiqua" w:cs="Times New Roman"/>
                <w:sz w:val="24"/>
                <w:szCs w:val="24"/>
              </w:rPr>
              <w:t>)</w:t>
            </w:r>
          </w:p>
        </w:tc>
        <w:tc>
          <w:tcPr>
            <w:tcW w:w="619" w:type="pct"/>
            <w:vMerge w:val="restar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0.041</w:t>
            </w:r>
          </w:p>
        </w:tc>
      </w:tr>
      <w:tr w:rsidR="00EF6307" w:rsidRPr="00BF3C3C" w:rsidTr="00B22DE1">
        <w:trPr>
          <w:trHeight w:hRule="exact" w:val="397"/>
        </w:trPr>
        <w:tc>
          <w:tcPr>
            <w:tcW w:w="2155" w:type="pct"/>
          </w:tcPr>
          <w:p w:rsidR="00D85EC3" w:rsidRPr="00BF3C3C" w:rsidRDefault="00D85EC3" w:rsidP="009E237A">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8-30 d</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 (1.6</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0 (0.0</w:t>
            </w:r>
            <w:r w:rsidR="00D85EC3" w:rsidRPr="00BF3C3C">
              <w:rPr>
                <w:rFonts w:ascii="Book Antiqua" w:hAnsi="Book Antiqua" w:cs="Times New Roman"/>
                <w:sz w:val="24"/>
                <w:szCs w:val="24"/>
              </w:rPr>
              <w:t>)</w:t>
            </w:r>
          </w:p>
        </w:tc>
        <w:tc>
          <w:tcPr>
            <w:tcW w:w="619"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B22DE1">
        <w:trPr>
          <w:trHeight w:hRule="exact" w:val="397"/>
        </w:trPr>
        <w:tc>
          <w:tcPr>
            <w:tcW w:w="2155" w:type="pct"/>
          </w:tcPr>
          <w:p w:rsidR="00D85EC3" w:rsidRPr="00BF3C3C" w:rsidRDefault="00D85EC3" w:rsidP="009E237A">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&gt;</w:t>
            </w:r>
            <w:r w:rsidR="009E237A" w:rsidRPr="00BF3C3C">
              <w:rPr>
                <w:rFonts w:ascii="Book Antiqua" w:eastAsia="宋体" w:hAnsi="Book Antiqua" w:cs="Times New Roman" w:hint="eastAsia"/>
                <w:sz w:val="24"/>
                <w:szCs w:val="24"/>
                <w:lang w:eastAsia="zh-CN"/>
              </w:rPr>
              <w:t xml:space="preserve"> </w:t>
            </w:r>
            <w:r w:rsidRPr="00BF3C3C">
              <w:rPr>
                <w:rFonts w:ascii="Book Antiqua" w:hAnsi="Book Antiqua" w:cs="Times New Roman"/>
                <w:sz w:val="24"/>
                <w:szCs w:val="24"/>
              </w:rPr>
              <w:t>30 d -1 yr</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7 (11.5</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 (1.7</w:t>
            </w:r>
            <w:r w:rsidR="00D85EC3" w:rsidRPr="00BF3C3C">
              <w:rPr>
                <w:rFonts w:ascii="Book Antiqua" w:hAnsi="Book Antiqua" w:cs="Times New Roman"/>
                <w:sz w:val="24"/>
                <w:szCs w:val="24"/>
              </w:rPr>
              <w:t>)</w:t>
            </w:r>
          </w:p>
        </w:tc>
        <w:tc>
          <w:tcPr>
            <w:tcW w:w="619"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B22DE1">
        <w:trPr>
          <w:trHeight w:hRule="exact" w:val="397"/>
        </w:trPr>
        <w:tc>
          <w:tcPr>
            <w:tcW w:w="2155" w:type="pct"/>
          </w:tcPr>
          <w:p w:rsidR="00D85EC3" w:rsidRPr="00BF3C3C" w:rsidRDefault="00D85EC3" w:rsidP="002A4F8D">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No use</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46 (75.4</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55 (93.2</w:t>
            </w:r>
            <w:r w:rsidR="00D85EC3" w:rsidRPr="00BF3C3C">
              <w:rPr>
                <w:rFonts w:ascii="Book Antiqua" w:hAnsi="Book Antiqua" w:cs="Times New Roman"/>
                <w:sz w:val="24"/>
                <w:szCs w:val="24"/>
              </w:rPr>
              <w:t>)</w:t>
            </w:r>
          </w:p>
        </w:tc>
        <w:tc>
          <w:tcPr>
            <w:tcW w:w="619"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B22DE1">
        <w:trPr>
          <w:trHeight w:hRule="exact" w:val="397"/>
        </w:trPr>
        <w:tc>
          <w:tcPr>
            <w:tcW w:w="2155" w:type="pct"/>
          </w:tcPr>
          <w:p w:rsidR="00D85EC3" w:rsidRPr="00BF3C3C" w:rsidRDefault="00DC5B6C" w:rsidP="009E237A">
            <w:pPr>
              <w:spacing w:line="360" w:lineRule="auto"/>
              <w:rPr>
                <w:rFonts w:ascii="Book Antiqua" w:hAnsi="Book Antiqua" w:cs="Times New Roman"/>
                <w:sz w:val="24"/>
                <w:szCs w:val="24"/>
              </w:rPr>
            </w:pPr>
            <w:r w:rsidRPr="00BF3C3C">
              <w:rPr>
                <w:rFonts w:ascii="Book Antiqua" w:hAnsi="Book Antiqua" w:cs="Times New Roman"/>
                <w:sz w:val="24"/>
                <w:szCs w:val="24"/>
              </w:rPr>
              <w:t xml:space="preserve">Use of </w:t>
            </w:r>
            <w:r w:rsidR="00D85EC3" w:rsidRPr="00BF3C3C">
              <w:rPr>
                <w:rFonts w:ascii="Book Antiqua" w:hAnsi="Book Antiqua" w:cs="Times New Roman"/>
                <w:sz w:val="24"/>
                <w:szCs w:val="24"/>
              </w:rPr>
              <w:t>other antacid</w:t>
            </w:r>
            <w:r w:rsidR="00896C62" w:rsidRPr="00BF3C3C">
              <w:rPr>
                <w:rFonts w:ascii="Book Antiqua" w:hAnsi="Book Antiqua" w:cs="Times New Roman"/>
                <w:sz w:val="24"/>
                <w:szCs w:val="24"/>
              </w:rPr>
              <w:t>s</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4 (6.6</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3 (5.1</w:t>
            </w:r>
            <w:r w:rsidR="00D85EC3" w:rsidRPr="00BF3C3C">
              <w:rPr>
                <w:rFonts w:ascii="Book Antiqua" w:hAnsi="Book Antiqua" w:cs="Times New Roman"/>
                <w:sz w:val="24"/>
                <w:szCs w:val="24"/>
              </w:rPr>
              <w:t>)</w:t>
            </w:r>
          </w:p>
        </w:tc>
        <w:tc>
          <w:tcPr>
            <w:tcW w:w="619"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1.000</w:t>
            </w:r>
          </w:p>
        </w:tc>
      </w:tr>
      <w:tr w:rsidR="00EF6307" w:rsidRPr="00BF3C3C" w:rsidTr="00B22DE1">
        <w:trPr>
          <w:trHeight w:hRule="exact" w:val="397"/>
        </w:trPr>
        <w:tc>
          <w:tcPr>
            <w:tcW w:w="2155" w:type="pct"/>
          </w:tcPr>
          <w:p w:rsidR="00D85EC3" w:rsidRPr="00BF3C3C" w:rsidRDefault="00D85EC3" w:rsidP="009E237A">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w:t>
            </w:r>
            <w:r w:rsidR="009E237A" w:rsidRPr="00BF3C3C">
              <w:rPr>
                <w:rFonts w:ascii="Book Antiqua" w:eastAsia="宋体" w:hAnsi="Book Antiqua" w:cs="Times New Roman" w:hint="eastAsia"/>
                <w:sz w:val="24"/>
                <w:szCs w:val="24"/>
                <w:lang w:eastAsia="zh-CN"/>
              </w:rPr>
              <w:t xml:space="preserve"> </w:t>
            </w:r>
            <w:r w:rsidRPr="00BF3C3C">
              <w:rPr>
                <w:rFonts w:ascii="Book Antiqua" w:hAnsi="Book Antiqua" w:cs="Times New Roman"/>
                <w:sz w:val="24"/>
                <w:szCs w:val="24"/>
              </w:rPr>
              <w:t>7 d</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3 (1.9</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 (1.7</w:t>
            </w:r>
            <w:r w:rsidR="00D85EC3" w:rsidRPr="00BF3C3C">
              <w:rPr>
                <w:rFonts w:ascii="Book Antiqua" w:hAnsi="Book Antiqua" w:cs="Times New Roman"/>
                <w:sz w:val="24"/>
                <w:szCs w:val="24"/>
              </w:rPr>
              <w:t>)</w:t>
            </w:r>
          </w:p>
        </w:tc>
        <w:tc>
          <w:tcPr>
            <w:tcW w:w="619" w:type="pct"/>
            <w:vMerge w:val="restar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0.472</w:t>
            </w:r>
          </w:p>
        </w:tc>
      </w:tr>
      <w:tr w:rsidR="00EF6307" w:rsidRPr="00BF3C3C" w:rsidTr="00B22DE1">
        <w:trPr>
          <w:trHeight w:hRule="exact" w:val="397"/>
        </w:trPr>
        <w:tc>
          <w:tcPr>
            <w:tcW w:w="2155" w:type="pct"/>
          </w:tcPr>
          <w:p w:rsidR="00D85EC3" w:rsidRPr="00BF3C3C" w:rsidRDefault="00D85EC3" w:rsidP="009E237A">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8-30 d</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 (0.0</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 (1.7</w:t>
            </w:r>
            <w:r w:rsidR="00D85EC3" w:rsidRPr="00BF3C3C">
              <w:rPr>
                <w:rFonts w:ascii="Book Antiqua" w:hAnsi="Book Antiqua" w:cs="Times New Roman"/>
                <w:sz w:val="24"/>
                <w:szCs w:val="24"/>
              </w:rPr>
              <w:t>)</w:t>
            </w:r>
          </w:p>
        </w:tc>
        <w:tc>
          <w:tcPr>
            <w:tcW w:w="619"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B22DE1">
        <w:trPr>
          <w:trHeight w:hRule="exact" w:val="397"/>
        </w:trPr>
        <w:tc>
          <w:tcPr>
            <w:tcW w:w="2155" w:type="pct"/>
          </w:tcPr>
          <w:p w:rsidR="00D85EC3" w:rsidRPr="00BF3C3C" w:rsidRDefault="00D85EC3" w:rsidP="009E237A">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&gt;30 d -1 yr</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0 (1.9</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 (1.7</w:t>
            </w:r>
            <w:r w:rsidR="00D85EC3" w:rsidRPr="00BF3C3C">
              <w:rPr>
                <w:rFonts w:ascii="Book Antiqua" w:hAnsi="Book Antiqua" w:cs="Times New Roman"/>
                <w:sz w:val="24"/>
                <w:szCs w:val="24"/>
              </w:rPr>
              <w:t>)</w:t>
            </w:r>
          </w:p>
        </w:tc>
        <w:tc>
          <w:tcPr>
            <w:tcW w:w="619"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B22DE1">
        <w:trPr>
          <w:trHeight w:hRule="exact" w:val="397"/>
        </w:trPr>
        <w:tc>
          <w:tcPr>
            <w:tcW w:w="2155" w:type="pct"/>
          </w:tcPr>
          <w:p w:rsidR="00D85EC3" w:rsidRPr="00BF3C3C" w:rsidRDefault="00D85EC3" w:rsidP="002A4F8D">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No use</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57 (96.2</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56 (94.9</w:t>
            </w:r>
            <w:r w:rsidR="00D85EC3" w:rsidRPr="00BF3C3C">
              <w:rPr>
                <w:rFonts w:ascii="Book Antiqua" w:hAnsi="Book Antiqua" w:cs="Times New Roman"/>
                <w:sz w:val="24"/>
                <w:szCs w:val="24"/>
              </w:rPr>
              <w:t>)</w:t>
            </w:r>
          </w:p>
        </w:tc>
        <w:tc>
          <w:tcPr>
            <w:tcW w:w="619"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B22DE1">
        <w:trPr>
          <w:trHeight w:hRule="exact" w:val="397"/>
        </w:trPr>
        <w:tc>
          <w:tcPr>
            <w:tcW w:w="2155" w:type="pct"/>
          </w:tcPr>
          <w:p w:rsidR="00D85EC3" w:rsidRPr="00BF3C3C" w:rsidRDefault="00D85EC3" w:rsidP="009E237A">
            <w:pPr>
              <w:spacing w:line="360" w:lineRule="auto"/>
              <w:rPr>
                <w:rFonts w:ascii="Book Antiqua" w:hAnsi="Book Antiqua" w:cs="Times New Roman"/>
                <w:sz w:val="24"/>
                <w:szCs w:val="24"/>
              </w:rPr>
            </w:pPr>
            <w:r w:rsidRPr="00BF3C3C">
              <w:rPr>
                <w:rFonts w:ascii="Book Antiqua" w:hAnsi="Book Antiqua" w:cs="Times New Roman"/>
                <w:sz w:val="24"/>
                <w:szCs w:val="24"/>
              </w:rPr>
              <w:t xml:space="preserve">Use of prokinetics </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20 (32.8</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18 (30.5</w:t>
            </w:r>
            <w:r w:rsidR="00D85EC3" w:rsidRPr="00BF3C3C">
              <w:rPr>
                <w:rFonts w:ascii="Book Antiqua" w:hAnsi="Book Antiqua" w:cs="Times New Roman"/>
                <w:sz w:val="24"/>
                <w:szCs w:val="24"/>
              </w:rPr>
              <w:t>)</w:t>
            </w:r>
          </w:p>
        </w:tc>
        <w:tc>
          <w:tcPr>
            <w:tcW w:w="619"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0.789</w:t>
            </w:r>
          </w:p>
        </w:tc>
      </w:tr>
      <w:tr w:rsidR="00EF6307" w:rsidRPr="00BF3C3C" w:rsidTr="00B22DE1">
        <w:trPr>
          <w:trHeight w:hRule="exact" w:val="397"/>
        </w:trPr>
        <w:tc>
          <w:tcPr>
            <w:tcW w:w="2155" w:type="pct"/>
          </w:tcPr>
          <w:p w:rsidR="00D85EC3" w:rsidRPr="00BF3C3C" w:rsidRDefault="00D85EC3" w:rsidP="009E237A">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w:t>
            </w:r>
            <w:r w:rsidR="009E237A" w:rsidRPr="00BF3C3C">
              <w:rPr>
                <w:rFonts w:ascii="Book Antiqua" w:eastAsia="宋体" w:hAnsi="Book Antiqua" w:cs="Times New Roman" w:hint="eastAsia"/>
                <w:sz w:val="24"/>
                <w:szCs w:val="24"/>
                <w:lang w:eastAsia="zh-CN"/>
              </w:rPr>
              <w:t xml:space="preserve"> </w:t>
            </w:r>
            <w:r w:rsidRPr="00BF3C3C">
              <w:rPr>
                <w:rFonts w:ascii="Book Antiqua" w:hAnsi="Book Antiqua" w:cs="Times New Roman"/>
                <w:sz w:val="24"/>
                <w:szCs w:val="24"/>
              </w:rPr>
              <w:t>7 d</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11 (18.0</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10 (16.9</w:t>
            </w:r>
            <w:r w:rsidR="00D85EC3" w:rsidRPr="00BF3C3C">
              <w:rPr>
                <w:rFonts w:ascii="Book Antiqua" w:hAnsi="Book Antiqua" w:cs="Times New Roman"/>
                <w:sz w:val="24"/>
                <w:szCs w:val="24"/>
              </w:rPr>
              <w:t>)</w:t>
            </w:r>
          </w:p>
        </w:tc>
        <w:tc>
          <w:tcPr>
            <w:tcW w:w="619" w:type="pct"/>
            <w:vMerge w:val="restar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0.712</w:t>
            </w:r>
          </w:p>
        </w:tc>
      </w:tr>
      <w:tr w:rsidR="00EF6307" w:rsidRPr="00BF3C3C" w:rsidTr="00B22DE1">
        <w:trPr>
          <w:trHeight w:hRule="exact" w:val="397"/>
        </w:trPr>
        <w:tc>
          <w:tcPr>
            <w:tcW w:w="2155" w:type="pct"/>
          </w:tcPr>
          <w:p w:rsidR="00D85EC3" w:rsidRPr="00BF3C3C" w:rsidRDefault="00D85EC3" w:rsidP="009E237A">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8-30 d</w:t>
            </w:r>
          </w:p>
        </w:tc>
        <w:tc>
          <w:tcPr>
            <w:tcW w:w="1077"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2 (3.3)</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0 (0.0</w:t>
            </w:r>
            <w:r w:rsidR="00D85EC3" w:rsidRPr="00BF3C3C">
              <w:rPr>
                <w:rFonts w:ascii="Book Antiqua" w:hAnsi="Book Antiqua" w:cs="Times New Roman"/>
                <w:sz w:val="24"/>
                <w:szCs w:val="24"/>
              </w:rPr>
              <w:t>)</w:t>
            </w:r>
          </w:p>
        </w:tc>
        <w:tc>
          <w:tcPr>
            <w:tcW w:w="619"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B22DE1">
        <w:trPr>
          <w:trHeight w:hRule="exact" w:val="397"/>
        </w:trPr>
        <w:tc>
          <w:tcPr>
            <w:tcW w:w="2155" w:type="pct"/>
          </w:tcPr>
          <w:p w:rsidR="00D85EC3" w:rsidRPr="00BF3C3C" w:rsidRDefault="00D85EC3" w:rsidP="009E237A">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&gt;</w:t>
            </w:r>
            <w:r w:rsidR="009E237A" w:rsidRPr="00BF3C3C">
              <w:rPr>
                <w:rFonts w:ascii="Book Antiqua" w:eastAsia="宋体" w:hAnsi="Book Antiqua" w:cs="Times New Roman" w:hint="eastAsia"/>
                <w:sz w:val="24"/>
                <w:szCs w:val="24"/>
                <w:lang w:eastAsia="zh-CN"/>
              </w:rPr>
              <w:t xml:space="preserve"> </w:t>
            </w:r>
            <w:r w:rsidRPr="00BF3C3C">
              <w:rPr>
                <w:rFonts w:ascii="Book Antiqua" w:hAnsi="Book Antiqua" w:cs="Times New Roman"/>
                <w:sz w:val="24"/>
                <w:szCs w:val="24"/>
              </w:rPr>
              <w:t>30 d -1 yr</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7 (11.5</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8 (13.6</w:t>
            </w:r>
            <w:r w:rsidR="00D85EC3" w:rsidRPr="00BF3C3C">
              <w:rPr>
                <w:rFonts w:ascii="Book Antiqua" w:hAnsi="Book Antiqua" w:cs="Times New Roman"/>
                <w:sz w:val="24"/>
                <w:szCs w:val="24"/>
              </w:rPr>
              <w:t>)</w:t>
            </w:r>
          </w:p>
        </w:tc>
        <w:tc>
          <w:tcPr>
            <w:tcW w:w="619"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B22DE1">
        <w:trPr>
          <w:trHeight w:hRule="exact" w:val="397"/>
        </w:trPr>
        <w:tc>
          <w:tcPr>
            <w:tcW w:w="2155" w:type="pct"/>
          </w:tcPr>
          <w:p w:rsidR="00D85EC3" w:rsidRPr="00BF3C3C" w:rsidRDefault="00D85EC3" w:rsidP="002A4F8D">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No use</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41 (67.2</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41 (69.5</w:t>
            </w:r>
            <w:r w:rsidR="00D85EC3" w:rsidRPr="00BF3C3C">
              <w:rPr>
                <w:rFonts w:ascii="Book Antiqua" w:hAnsi="Book Antiqua" w:cs="Times New Roman"/>
                <w:sz w:val="24"/>
                <w:szCs w:val="24"/>
              </w:rPr>
              <w:t>)</w:t>
            </w:r>
          </w:p>
        </w:tc>
        <w:tc>
          <w:tcPr>
            <w:tcW w:w="619"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B22DE1">
        <w:trPr>
          <w:trHeight w:hRule="exact" w:val="397"/>
        </w:trPr>
        <w:tc>
          <w:tcPr>
            <w:tcW w:w="2155" w:type="pct"/>
          </w:tcPr>
          <w:p w:rsidR="00D85EC3" w:rsidRPr="00BF3C3C" w:rsidRDefault="00D85EC3" w:rsidP="00B22DE1">
            <w:pPr>
              <w:spacing w:line="360" w:lineRule="auto"/>
              <w:rPr>
                <w:rFonts w:ascii="Book Antiqua" w:hAnsi="Book Antiqua" w:cs="Times New Roman"/>
                <w:sz w:val="24"/>
                <w:szCs w:val="24"/>
              </w:rPr>
            </w:pPr>
            <w:r w:rsidRPr="00BF3C3C">
              <w:rPr>
                <w:rFonts w:ascii="Book Antiqua" w:hAnsi="Book Antiqua" w:cs="Times New Roman"/>
                <w:sz w:val="24"/>
                <w:szCs w:val="24"/>
              </w:rPr>
              <w:t>Use of immunosuppressant</w:t>
            </w:r>
            <w:r w:rsidR="00DC5B6C" w:rsidRPr="00BF3C3C">
              <w:rPr>
                <w:rFonts w:ascii="Book Antiqua" w:hAnsi="Book Antiqua" w:cs="Times New Roman"/>
                <w:sz w:val="24"/>
                <w:szCs w:val="24"/>
              </w:rPr>
              <w:t>s</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4 (6.6</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3 (5.1</w:t>
            </w:r>
            <w:r w:rsidR="00D85EC3" w:rsidRPr="00BF3C3C">
              <w:rPr>
                <w:rFonts w:ascii="Book Antiqua" w:hAnsi="Book Antiqua" w:cs="Times New Roman"/>
                <w:sz w:val="24"/>
                <w:szCs w:val="24"/>
              </w:rPr>
              <w:t>)</w:t>
            </w:r>
          </w:p>
        </w:tc>
        <w:tc>
          <w:tcPr>
            <w:tcW w:w="619"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1.000</w:t>
            </w:r>
          </w:p>
        </w:tc>
      </w:tr>
      <w:tr w:rsidR="00EF6307" w:rsidRPr="00BF3C3C" w:rsidTr="00B22DE1">
        <w:trPr>
          <w:trHeight w:hRule="exact" w:val="397"/>
        </w:trPr>
        <w:tc>
          <w:tcPr>
            <w:tcW w:w="2155" w:type="pct"/>
          </w:tcPr>
          <w:p w:rsidR="00D85EC3" w:rsidRPr="00BF3C3C" w:rsidRDefault="00D85EC3" w:rsidP="009E237A">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w:t>
            </w:r>
            <w:r w:rsidR="009E237A" w:rsidRPr="00BF3C3C">
              <w:rPr>
                <w:rFonts w:ascii="Book Antiqua" w:eastAsia="宋体" w:hAnsi="Book Antiqua" w:cs="Times New Roman" w:hint="eastAsia"/>
                <w:sz w:val="24"/>
                <w:szCs w:val="24"/>
                <w:lang w:eastAsia="zh-CN"/>
              </w:rPr>
              <w:t xml:space="preserve"> </w:t>
            </w:r>
            <w:r w:rsidRPr="00BF3C3C">
              <w:rPr>
                <w:rFonts w:ascii="Book Antiqua" w:hAnsi="Book Antiqua" w:cs="Times New Roman"/>
                <w:sz w:val="24"/>
                <w:szCs w:val="24"/>
              </w:rPr>
              <w:t>7 d</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2 (3.3</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 (1.7</w:t>
            </w:r>
            <w:r w:rsidR="00D85EC3" w:rsidRPr="00BF3C3C">
              <w:rPr>
                <w:rFonts w:ascii="Book Antiqua" w:hAnsi="Book Antiqua" w:cs="Times New Roman"/>
                <w:sz w:val="24"/>
                <w:szCs w:val="24"/>
              </w:rPr>
              <w:t>)</w:t>
            </w:r>
          </w:p>
        </w:tc>
        <w:tc>
          <w:tcPr>
            <w:tcW w:w="619" w:type="pct"/>
            <w:vMerge w:val="restar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0.610</w:t>
            </w:r>
          </w:p>
        </w:tc>
      </w:tr>
      <w:tr w:rsidR="00EF6307" w:rsidRPr="00BF3C3C" w:rsidTr="00B22DE1">
        <w:trPr>
          <w:trHeight w:hRule="exact" w:val="397"/>
        </w:trPr>
        <w:tc>
          <w:tcPr>
            <w:tcW w:w="2155" w:type="pct"/>
          </w:tcPr>
          <w:p w:rsidR="00D85EC3" w:rsidRPr="00BF3C3C" w:rsidRDefault="00D85EC3" w:rsidP="009E237A">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8-30 d</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0 (0.0</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0 (0.7</w:t>
            </w:r>
            <w:r w:rsidR="00D85EC3" w:rsidRPr="00BF3C3C">
              <w:rPr>
                <w:rFonts w:ascii="Book Antiqua" w:hAnsi="Book Antiqua" w:cs="Times New Roman"/>
                <w:sz w:val="24"/>
                <w:szCs w:val="24"/>
              </w:rPr>
              <w:t>)</w:t>
            </w:r>
          </w:p>
        </w:tc>
        <w:tc>
          <w:tcPr>
            <w:tcW w:w="619"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B22DE1">
        <w:trPr>
          <w:trHeight w:hRule="exact" w:val="397"/>
        </w:trPr>
        <w:tc>
          <w:tcPr>
            <w:tcW w:w="2155" w:type="pct"/>
          </w:tcPr>
          <w:p w:rsidR="00D85EC3" w:rsidRPr="00BF3C3C" w:rsidRDefault="00D85EC3" w:rsidP="009E237A">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&gt;</w:t>
            </w:r>
            <w:r w:rsidR="009E237A" w:rsidRPr="00BF3C3C">
              <w:rPr>
                <w:rFonts w:ascii="Book Antiqua" w:eastAsia="宋体" w:hAnsi="Book Antiqua" w:cs="Times New Roman" w:hint="eastAsia"/>
                <w:sz w:val="24"/>
                <w:szCs w:val="24"/>
                <w:lang w:eastAsia="zh-CN"/>
              </w:rPr>
              <w:t xml:space="preserve"> </w:t>
            </w:r>
            <w:r w:rsidRPr="00BF3C3C">
              <w:rPr>
                <w:rFonts w:ascii="Book Antiqua" w:hAnsi="Book Antiqua" w:cs="Times New Roman"/>
                <w:sz w:val="24"/>
                <w:szCs w:val="24"/>
              </w:rPr>
              <w:t>30 d -1 yr</w:t>
            </w:r>
          </w:p>
        </w:tc>
        <w:tc>
          <w:tcPr>
            <w:tcW w:w="1077"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2 (3.3</w:t>
            </w:r>
            <w:r w:rsidR="00D85EC3" w:rsidRPr="00BF3C3C">
              <w:rPr>
                <w:rFonts w:ascii="Book Antiqua" w:hAnsi="Book Antiqua" w:cs="Times New Roman"/>
                <w:sz w:val="24"/>
                <w:szCs w:val="24"/>
              </w:rPr>
              <w:t>)</w:t>
            </w:r>
          </w:p>
        </w:tc>
        <w:tc>
          <w:tcPr>
            <w:tcW w:w="1149"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2 (3.4</w:t>
            </w:r>
            <w:r w:rsidR="00D85EC3" w:rsidRPr="00BF3C3C">
              <w:rPr>
                <w:rFonts w:ascii="Book Antiqua" w:hAnsi="Book Antiqua" w:cs="Times New Roman"/>
                <w:sz w:val="24"/>
                <w:szCs w:val="24"/>
              </w:rPr>
              <w:t>)</w:t>
            </w:r>
          </w:p>
        </w:tc>
        <w:tc>
          <w:tcPr>
            <w:tcW w:w="619"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B22DE1">
        <w:trPr>
          <w:trHeight w:hRule="exact" w:val="397"/>
        </w:trPr>
        <w:tc>
          <w:tcPr>
            <w:tcW w:w="2155" w:type="pct"/>
            <w:tcBorders>
              <w:bottom w:val="single" w:sz="4" w:space="0" w:color="auto"/>
            </w:tcBorders>
          </w:tcPr>
          <w:p w:rsidR="00D85EC3" w:rsidRPr="00BF3C3C" w:rsidRDefault="00D85EC3" w:rsidP="002A4F8D">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No use</w:t>
            </w:r>
          </w:p>
        </w:tc>
        <w:tc>
          <w:tcPr>
            <w:tcW w:w="1077" w:type="pct"/>
            <w:tcBorders>
              <w:bottom w:val="single" w:sz="4" w:space="0" w:color="auto"/>
            </w:tcBorders>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57 (93.4</w:t>
            </w:r>
            <w:r w:rsidR="00D85EC3" w:rsidRPr="00BF3C3C">
              <w:rPr>
                <w:rFonts w:ascii="Book Antiqua" w:hAnsi="Book Antiqua" w:cs="Times New Roman"/>
                <w:sz w:val="24"/>
                <w:szCs w:val="24"/>
              </w:rPr>
              <w:t>)</w:t>
            </w:r>
          </w:p>
        </w:tc>
        <w:tc>
          <w:tcPr>
            <w:tcW w:w="1149" w:type="pct"/>
            <w:tcBorders>
              <w:bottom w:val="single" w:sz="4" w:space="0" w:color="auto"/>
            </w:tcBorders>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 xml:space="preserve">56 </w:t>
            </w:r>
            <w:r w:rsidR="004A36EB">
              <w:rPr>
                <w:rFonts w:ascii="Book Antiqua" w:hAnsi="Book Antiqua" w:cs="Times New Roman"/>
                <w:sz w:val="24"/>
                <w:szCs w:val="24"/>
              </w:rPr>
              <w:t>(94.9</w:t>
            </w:r>
            <w:r w:rsidRPr="00BF3C3C">
              <w:rPr>
                <w:rFonts w:ascii="Book Antiqua" w:hAnsi="Book Antiqua" w:cs="Times New Roman"/>
                <w:sz w:val="24"/>
                <w:szCs w:val="24"/>
              </w:rPr>
              <w:t>)</w:t>
            </w:r>
          </w:p>
        </w:tc>
        <w:tc>
          <w:tcPr>
            <w:tcW w:w="619" w:type="pct"/>
            <w:vMerge/>
            <w:tcBorders>
              <w:bottom w:val="single" w:sz="4" w:space="0" w:color="auto"/>
            </w:tcBorders>
          </w:tcPr>
          <w:p w:rsidR="00D85EC3" w:rsidRPr="00BF3C3C" w:rsidRDefault="00D85EC3" w:rsidP="002A4F8D">
            <w:pPr>
              <w:spacing w:line="360" w:lineRule="auto"/>
              <w:rPr>
                <w:rFonts w:ascii="Book Antiqua" w:hAnsi="Book Antiqua" w:cs="Times New Roman"/>
                <w:sz w:val="24"/>
                <w:szCs w:val="24"/>
              </w:rPr>
            </w:pPr>
          </w:p>
        </w:tc>
      </w:tr>
    </w:tbl>
    <w:p w:rsidR="00D85EC3" w:rsidRPr="00BF3C3C" w:rsidRDefault="00D85EC3" w:rsidP="002A4F8D">
      <w:pPr>
        <w:widowControl/>
        <w:wordWrap/>
        <w:autoSpaceDE/>
        <w:autoSpaceDN/>
        <w:spacing w:after="200" w:line="360" w:lineRule="auto"/>
        <w:rPr>
          <w:rFonts w:ascii="Book Antiqua" w:hAnsi="Book Antiqua" w:cs="Times New Roman"/>
          <w:sz w:val="24"/>
          <w:szCs w:val="24"/>
        </w:rPr>
      </w:pPr>
    </w:p>
    <w:p w:rsidR="00343D1E" w:rsidRPr="00BF3C3C" w:rsidRDefault="00D85EC3" w:rsidP="002A4F8D">
      <w:pPr>
        <w:widowControl/>
        <w:wordWrap/>
        <w:autoSpaceDE/>
        <w:autoSpaceDN/>
        <w:spacing w:after="200" w:line="360" w:lineRule="auto"/>
        <w:rPr>
          <w:rFonts w:ascii="Book Antiqua" w:hAnsi="Book Antiqua" w:cs="Times New Roman"/>
          <w:sz w:val="24"/>
          <w:szCs w:val="24"/>
        </w:rPr>
      </w:pPr>
      <w:r w:rsidRPr="00BF3C3C">
        <w:rPr>
          <w:rFonts w:ascii="Book Antiqua" w:hAnsi="Book Antiqua" w:cs="Times New Roman"/>
          <w:sz w:val="24"/>
          <w:szCs w:val="24"/>
        </w:rPr>
        <w:lastRenderedPageBreak/>
        <w:t>PPI</w:t>
      </w:r>
      <w:r w:rsidR="00896C62" w:rsidRPr="00BF3C3C">
        <w:rPr>
          <w:rFonts w:ascii="Book Antiqua" w:hAnsi="Book Antiqua" w:cs="Times New Roman"/>
          <w:sz w:val="24"/>
          <w:szCs w:val="24"/>
        </w:rPr>
        <w:t>s</w:t>
      </w:r>
      <w:r w:rsidR="009E237A" w:rsidRPr="00BF3C3C">
        <w:rPr>
          <w:rFonts w:ascii="Book Antiqua" w:eastAsia="宋体" w:hAnsi="Book Antiqua" w:cs="Times New Roman" w:hint="eastAsia"/>
          <w:sz w:val="24"/>
          <w:szCs w:val="24"/>
          <w:lang w:eastAsia="zh-CN"/>
        </w:rPr>
        <w:t xml:space="preserve">: </w:t>
      </w:r>
      <w:r w:rsidR="009E237A" w:rsidRPr="00BF3C3C">
        <w:rPr>
          <w:rFonts w:ascii="Book Antiqua" w:hAnsi="Book Antiqua" w:cs="Times New Roman"/>
          <w:sz w:val="24"/>
          <w:szCs w:val="24"/>
        </w:rPr>
        <w:t xml:space="preserve">Proton </w:t>
      </w:r>
      <w:r w:rsidRPr="00BF3C3C">
        <w:rPr>
          <w:rFonts w:ascii="Book Antiqua" w:hAnsi="Book Antiqua" w:cs="Times New Roman"/>
          <w:sz w:val="24"/>
          <w:szCs w:val="24"/>
        </w:rPr>
        <w:t>pump inhibitor</w:t>
      </w:r>
      <w:r w:rsidR="00896C62" w:rsidRPr="00BF3C3C">
        <w:rPr>
          <w:rFonts w:ascii="Book Antiqua" w:hAnsi="Book Antiqua" w:cs="Times New Roman"/>
          <w:sz w:val="24"/>
          <w:szCs w:val="24"/>
        </w:rPr>
        <w:t>s</w:t>
      </w:r>
      <w:r w:rsidRPr="00BF3C3C">
        <w:rPr>
          <w:rFonts w:ascii="Book Antiqua" w:hAnsi="Book Antiqua" w:cs="Times New Roman"/>
          <w:sz w:val="24"/>
          <w:szCs w:val="24"/>
        </w:rPr>
        <w:t>; H2B</w:t>
      </w:r>
      <w:r w:rsidR="009E237A" w:rsidRPr="00BF3C3C">
        <w:rPr>
          <w:rFonts w:ascii="Book Antiqua" w:eastAsia="宋体" w:hAnsi="Book Antiqua" w:cs="Times New Roman" w:hint="eastAsia"/>
          <w:sz w:val="24"/>
          <w:szCs w:val="24"/>
          <w:lang w:eastAsia="zh-CN"/>
        </w:rPr>
        <w:t>:</w:t>
      </w:r>
      <w:r w:rsidRPr="00BF3C3C">
        <w:rPr>
          <w:rFonts w:ascii="Book Antiqua" w:hAnsi="Book Antiqua" w:cs="Times New Roman"/>
          <w:sz w:val="24"/>
          <w:szCs w:val="24"/>
        </w:rPr>
        <w:t xml:space="preserve"> H2-blocker</w:t>
      </w:r>
      <w:r w:rsidR="00896C62" w:rsidRPr="00BF3C3C">
        <w:rPr>
          <w:rFonts w:ascii="Book Antiqua" w:hAnsi="Book Antiqua" w:cs="Times New Roman"/>
          <w:sz w:val="24"/>
          <w:szCs w:val="24"/>
        </w:rPr>
        <w:t>s</w:t>
      </w:r>
      <w:r w:rsidR="009E237A" w:rsidRPr="00BF3C3C">
        <w:rPr>
          <w:rFonts w:ascii="Book Antiqua" w:eastAsia="宋体" w:hAnsi="Book Antiqua" w:cs="Times New Roman" w:hint="eastAsia"/>
          <w:sz w:val="24"/>
          <w:szCs w:val="24"/>
          <w:lang w:eastAsia="zh-CN"/>
        </w:rPr>
        <w:t>.</w:t>
      </w:r>
      <w:r w:rsidRPr="00BF3C3C">
        <w:rPr>
          <w:rFonts w:ascii="Book Antiqua" w:hAnsi="Book Antiqua" w:cs="Times New Roman"/>
          <w:sz w:val="24"/>
          <w:szCs w:val="24"/>
        </w:rPr>
        <w:t xml:space="preserve"> </w:t>
      </w:r>
    </w:p>
    <w:p w:rsidR="00D85EC3" w:rsidRPr="00BF3C3C" w:rsidRDefault="00D85EC3" w:rsidP="002A4F8D">
      <w:pPr>
        <w:widowControl/>
        <w:wordWrap/>
        <w:autoSpaceDE/>
        <w:autoSpaceDN/>
        <w:spacing w:after="200" w:line="360" w:lineRule="auto"/>
        <w:rPr>
          <w:rFonts w:ascii="Book Antiqua" w:hAnsi="Book Antiqua" w:cs="Times New Roman"/>
          <w:sz w:val="24"/>
          <w:szCs w:val="24"/>
        </w:rPr>
      </w:pPr>
      <w:r w:rsidRPr="00BF3C3C">
        <w:rPr>
          <w:rFonts w:ascii="Book Antiqua" w:hAnsi="Book Antiqua" w:cs="Times New Roman"/>
          <w:sz w:val="24"/>
          <w:szCs w:val="24"/>
        </w:rPr>
        <w:br w:type="page"/>
      </w:r>
    </w:p>
    <w:p w:rsidR="00D85EC3" w:rsidRPr="00A974F7" w:rsidRDefault="009E237A" w:rsidP="002A4F8D">
      <w:pPr>
        <w:spacing w:line="360" w:lineRule="auto"/>
        <w:rPr>
          <w:rFonts w:ascii="Book Antiqua" w:eastAsia="宋体" w:hAnsi="Book Antiqua" w:cs="Times New Roman"/>
          <w:b/>
          <w:sz w:val="24"/>
          <w:szCs w:val="24"/>
          <w:lang w:eastAsia="zh-CN"/>
        </w:rPr>
      </w:pPr>
      <w:r w:rsidRPr="00BF3C3C">
        <w:rPr>
          <w:rFonts w:ascii="Book Antiqua" w:hAnsi="Book Antiqua" w:cs="Times New Roman"/>
          <w:b/>
          <w:sz w:val="24"/>
          <w:szCs w:val="24"/>
        </w:rPr>
        <w:lastRenderedPageBreak/>
        <w:t>Table 3</w:t>
      </w:r>
      <w:r w:rsidR="008B2C5B">
        <w:rPr>
          <w:rFonts w:ascii="Book Antiqua" w:eastAsia="宋体" w:hAnsi="Book Antiqua" w:cs="Times New Roman" w:hint="eastAsia"/>
          <w:b/>
          <w:sz w:val="24"/>
          <w:szCs w:val="24"/>
          <w:lang w:eastAsia="zh-CN"/>
        </w:rPr>
        <w:t xml:space="preserve"> </w:t>
      </w:r>
      <w:bookmarkStart w:id="34" w:name="_GoBack"/>
      <w:bookmarkEnd w:id="34"/>
      <w:r w:rsidR="00D85EC3" w:rsidRPr="00BF3C3C">
        <w:rPr>
          <w:rFonts w:ascii="Book Antiqua" w:hAnsi="Book Antiqua" w:cs="Times New Roman"/>
          <w:b/>
          <w:sz w:val="24"/>
          <w:szCs w:val="24"/>
        </w:rPr>
        <w:t>Multivariate analysis of potential risk factors for the development of peritonea</w:t>
      </w:r>
      <w:r w:rsidR="00A974F7">
        <w:rPr>
          <w:rFonts w:ascii="Book Antiqua" w:hAnsi="Book Antiqua" w:cs="Times New Roman"/>
          <w:b/>
          <w:sz w:val="24"/>
          <w:szCs w:val="24"/>
        </w:rPr>
        <w:t>l dialysis related peritonitis</w:t>
      </w:r>
    </w:p>
    <w:p w:rsidR="00D85EC3" w:rsidRPr="00A974F7" w:rsidRDefault="00D85EC3" w:rsidP="002A4F8D">
      <w:pPr>
        <w:spacing w:line="360" w:lineRule="auto"/>
        <w:rPr>
          <w:rFonts w:ascii="Book Antiqua" w:hAnsi="Book Antiqua" w:cs="Times New Roman"/>
          <w:b/>
          <w:sz w:val="24"/>
          <w:szCs w:val="24"/>
        </w:rPr>
      </w:pPr>
    </w:p>
    <w:tbl>
      <w:tblPr>
        <w:tblStyle w:val="a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985"/>
        <w:gridCol w:w="2410"/>
        <w:gridCol w:w="1319"/>
      </w:tblGrid>
      <w:tr w:rsidR="00EF6307" w:rsidRPr="00BF3C3C" w:rsidTr="00B03D77">
        <w:tc>
          <w:tcPr>
            <w:tcW w:w="3510" w:type="dxa"/>
            <w:tcBorders>
              <w:top w:val="single" w:sz="4" w:space="0" w:color="auto"/>
              <w:bottom w:val="single" w:sz="4" w:space="0" w:color="auto"/>
            </w:tcBorders>
            <w:shd w:val="clear" w:color="auto" w:fill="auto"/>
            <w:vAlign w:val="center"/>
          </w:tcPr>
          <w:p w:rsidR="00D85EC3" w:rsidRPr="00BF3C3C" w:rsidRDefault="00D85EC3" w:rsidP="002A4F8D">
            <w:pPr>
              <w:spacing w:line="360" w:lineRule="auto"/>
              <w:rPr>
                <w:rFonts w:ascii="Book Antiqua" w:hAnsi="Book Antiqua" w:cs="Times New Roman"/>
                <w:sz w:val="24"/>
                <w:szCs w:val="24"/>
              </w:rPr>
            </w:pPr>
          </w:p>
        </w:tc>
        <w:tc>
          <w:tcPr>
            <w:tcW w:w="1985" w:type="dxa"/>
            <w:tcBorders>
              <w:top w:val="single" w:sz="4" w:space="0" w:color="auto"/>
              <w:bottom w:val="single" w:sz="4" w:space="0" w:color="auto"/>
            </w:tcBorders>
            <w:shd w:val="clear" w:color="auto" w:fill="auto"/>
            <w:vAlign w:val="center"/>
          </w:tcPr>
          <w:p w:rsidR="00D85EC3" w:rsidRPr="00BF3C3C" w:rsidRDefault="00D85EC3" w:rsidP="002A4F8D">
            <w:pPr>
              <w:spacing w:line="360" w:lineRule="auto"/>
              <w:rPr>
                <w:rFonts w:ascii="Book Antiqua" w:hAnsi="Book Antiqua" w:cs="Times New Roman"/>
                <w:b/>
                <w:sz w:val="24"/>
                <w:szCs w:val="24"/>
              </w:rPr>
            </w:pPr>
            <w:r w:rsidRPr="00BF3C3C">
              <w:rPr>
                <w:rFonts w:ascii="Book Antiqua" w:hAnsi="Book Antiqua" w:cs="Times New Roman"/>
                <w:b/>
                <w:sz w:val="24"/>
                <w:szCs w:val="24"/>
              </w:rPr>
              <w:t>Odds ratio</w:t>
            </w:r>
          </w:p>
        </w:tc>
        <w:tc>
          <w:tcPr>
            <w:tcW w:w="2410" w:type="dxa"/>
            <w:tcBorders>
              <w:top w:val="single" w:sz="4" w:space="0" w:color="auto"/>
              <w:bottom w:val="single" w:sz="4" w:space="0" w:color="auto"/>
            </w:tcBorders>
            <w:shd w:val="clear" w:color="auto" w:fill="auto"/>
            <w:vAlign w:val="center"/>
          </w:tcPr>
          <w:p w:rsidR="00D85EC3" w:rsidRPr="00BF3C3C" w:rsidRDefault="00D85EC3" w:rsidP="002A4F8D">
            <w:pPr>
              <w:spacing w:line="360" w:lineRule="auto"/>
              <w:rPr>
                <w:rFonts w:ascii="Book Antiqua" w:hAnsi="Book Antiqua" w:cs="Times New Roman"/>
                <w:b/>
                <w:sz w:val="24"/>
                <w:szCs w:val="24"/>
              </w:rPr>
            </w:pPr>
            <w:r w:rsidRPr="00BF3C3C">
              <w:rPr>
                <w:rFonts w:ascii="Book Antiqua" w:hAnsi="Book Antiqua" w:cs="Times New Roman"/>
                <w:b/>
                <w:sz w:val="24"/>
                <w:szCs w:val="24"/>
              </w:rPr>
              <w:t>95% CI</w:t>
            </w:r>
          </w:p>
        </w:tc>
        <w:tc>
          <w:tcPr>
            <w:tcW w:w="1319" w:type="dxa"/>
            <w:tcBorders>
              <w:top w:val="single" w:sz="4" w:space="0" w:color="auto"/>
              <w:bottom w:val="single" w:sz="4" w:space="0" w:color="auto"/>
            </w:tcBorders>
            <w:shd w:val="clear" w:color="auto" w:fill="auto"/>
            <w:vAlign w:val="center"/>
          </w:tcPr>
          <w:p w:rsidR="00D85EC3" w:rsidRPr="00BF3C3C" w:rsidRDefault="009E237A" w:rsidP="002A4F8D">
            <w:pPr>
              <w:spacing w:line="360" w:lineRule="auto"/>
              <w:rPr>
                <w:rFonts w:ascii="Book Antiqua" w:hAnsi="Book Antiqua" w:cs="Times New Roman"/>
                <w:b/>
                <w:sz w:val="24"/>
                <w:szCs w:val="24"/>
              </w:rPr>
            </w:pPr>
            <w:r w:rsidRPr="00BF3C3C">
              <w:rPr>
                <w:rFonts w:ascii="Book Antiqua" w:hAnsi="Book Antiqua" w:cs="Times New Roman"/>
                <w:b/>
                <w:i/>
                <w:sz w:val="24"/>
                <w:szCs w:val="24"/>
              </w:rPr>
              <w:t>P</w:t>
            </w:r>
            <w:r w:rsidR="00D85EC3" w:rsidRPr="00BF3C3C">
              <w:rPr>
                <w:rFonts w:ascii="Book Antiqua" w:hAnsi="Book Antiqua" w:cs="Times New Roman"/>
                <w:b/>
                <w:i/>
                <w:sz w:val="24"/>
                <w:szCs w:val="24"/>
              </w:rPr>
              <w:t xml:space="preserve"> </w:t>
            </w:r>
            <w:r w:rsidR="00D85EC3" w:rsidRPr="00BF3C3C">
              <w:rPr>
                <w:rFonts w:ascii="Book Antiqua" w:hAnsi="Book Antiqua" w:cs="Times New Roman"/>
                <w:b/>
                <w:sz w:val="24"/>
                <w:szCs w:val="24"/>
              </w:rPr>
              <w:t>value</w:t>
            </w:r>
          </w:p>
        </w:tc>
      </w:tr>
      <w:tr w:rsidR="00EF6307" w:rsidRPr="00BF3C3C" w:rsidTr="00B03D77">
        <w:trPr>
          <w:trHeight w:val="397"/>
        </w:trPr>
        <w:tc>
          <w:tcPr>
            <w:tcW w:w="3510" w:type="dxa"/>
            <w:tcBorders>
              <w:top w:val="single" w:sz="4" w:space="0" w:color="auto"/>
            </w:tcBorders>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Initial serum albumin level</w:t>
            </w:r>
          </w:p>
        </w:tc>
        <w:tc>
          <w:tcPr>
            <w:tcW w:w="1985" w:type="dxa"/>
            <w:tcBorders>
              <w:top w:val="single" w:sz="4" w:space="0" w:color="auto"/>
            </w:tcBorders>
            <w:vAlign w:val="center"/>
          </w:tcPr>
          <w:p w:rsidR="00D85EC3" w:rsidRPr="00BF3C3C" w:rsidRDefault="00D85EC3" w:rsidP="002A4F8D">
            <w:pPr>
              <w:widowControl/>
              <w:wordWrap/>
              <w:autoSpaceDE/>
              <w:autoSpaceDN/>
              <w:spacing w:line="360" w:lineRule="auto"/>
              <w:rPr>
                <w:rFonts w:ascii="Book Antiqua" w:eastAsia="HYSinMyeongJo-Medium" w:hAnsi="Book Antiqua" w:cs="Times New Roman"/>
                <w:sz w:val="24"/>
                <w:szCs w:val="24"/>
              </w:rPr>
            </w:pPr>
            <w:r w:rsidRPr="00BF3C3C">
              <w:rPr>
                <w:rFonts w:ascii="Book Antiqua" w:eastAsia="HYSinMyeongJo-Medium" w:hAnsi="Book Antiqua" w:cs="Times New Roman"/>
                <w:sz w:val="24"/>
                <w:szCs w:val="24"/>
              </w:rPr>
              <w:t xml:space="preserve">0.50 </w:t>
            </w:r>
          </w:p>
        </w:tc>
        <w:tc>
          <w:tcPr>
            <w:tcW w:w="2410" w:type="dxa"/>
            <w:tcBorders>
              <w:top w:val="single" w:sz="4" w:space="0" w:color="auto"/>
            </w:tcBorders>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eastAsia="HYSinMyeongJo-Medium" w:hAnsi="Book Antiqua" w:cs="Times New Roman"/>
                <w:sz w:val="24"/>
                <w:szCs w:val="24"/>
              </w:rPr>
              <w:t>0.20-1.25</w:t>
            </w:r>
          </w:p>
        </w:tc>
        <w:tc>
          <w:tcPr>
            <w:tcW w:w="1319" w:type="dxa"/>
            <w:tcBorders>
              <w:top w:val="single" w:sz="4" w:space="0" w:color="auto"/>
            </w:tcBorders>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0.139</w:t>
            </w:r>
          </w:p>
        </w:tc>
      </w:tr>
      <w:tr w:rsidR="00EF6307" w:rsidRPr="00BF3C3C" w:rsidTr="00DE3F27">
        <w:trPr>
          <w:trHeight w:val="397"/>
        </w:trPr>
        <w:tc>
          <w:tcPr>
            <w:tcW w:w="3510" w:type="dxa"/>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Use of Immunosuppressant</w:t>
            </w:r>
            <w:r w:rsidR="00DC5B6C" w:rsidRPr="00BF3C3C">
              <w:rPr>
                <w:rFonts w:ascii="Book Antiqua" w:hAnsi="Book Antiqua" w:cs="Times New Roman"/>
                <w:sz w:val="24"/>
                <w:szCs w:val="24"/>
              </w:rPr>
              <w:t>s</w:t>
            </w:r>
          </w:p>
        </w:tc>
        <w:tc>
          <w:tcPr>
            <w:tcW w:w="1985" w:type="dxa"/>
            <w:vAlign w:val="center"/>
          </w:tcPr>
          <w:p w:rsidR="00D85EC3" w:rsidRPr="00BF3C3C" w:rsidRDefault="00D85EC3" w:rsidP="002A4F8D">
            <w:pPr>
              <w:widowControl/>
              <w:wordWrap/>
              <w:autoSpaceDE/>
              <w:autoSpaceDN/>
              <w:spacing w:line="360" w:lineRule="auto"/>
              <w:rPr>
                <w:rFonts w:ascii="Book Antiqua" w:eastAsia="HYSinMyeongJo-Medium" w:hAnsi="Book Antiqua" w:cs="Times New Roman"/>
                <w:sz w:val="24"/>
                <w:szCs w:val="24"/>
              </w:rPr>
            </w:pPr>
            <w:r w:rsidRPr="00BF3C3C">
              <w:rPr>
                <w:rFonts w:ascii="Book Antiqua" w:eastAsia="HYSinMyeongJo-Medium" w:hAnsi="Book Antiqua" w:cs="Times New Roman"/>
                <w:sz w:val="24"/>
                <w:szCs w:val="24"/>
              </w:rPr>
              <w:t>1.85</w:t>
            </w:r>
          </w:p>
        </w:tc>
        <w:tc>
          <w:tcPr>
            <w:tcW w:w="2410" w:type="dxa"/>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eastAsia="HYSinMyeongJo-Medium" w:hAnsi="Book Antiqua" w:cs="Times New Roman"/>
                <w:sz w:val="24"/>
                <w:szCs w:val="24"/>
              </w:rPr>
              <w:t>0.28-12.40</w:t>
            </w:r>
          </w:p>
        </w:tc>
        <w:tc>
          <w:tcPr>
            <w:tcW w:w="1319" w:type="dxa"/>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0.527</w:t>
            </w:r>
          </w:p>
        </w:tc>
      </w:tr>
      <w:tr w:rsidR="00EF6307" w:rsidRPr="00BF3C3C" w:rsidTr="00DE3F27">
        <w:trPr>
          <w:trHeight w:val="397"/>
        </w:trPr>
        <w:tc>
          <w:tcPr>
            <w:tcW w:w="3510" w:type="dxa"/>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Use of PPI</w:t>
            </w:r>
            <w:r w:rsidR="00DC5B6C" w:rsidRPr="00BF3C3C">
              <w:rPr>
                <w:rFonts w:ascii="Book Antiqua" w:hAnsi="Book Antiqua" w:cs="Times New Roman"/>
                <w:sz w:val="24"/>
                <w:szCs w:val="24"/>
              </w:rPr>
              <w:t>s</w:t>
            </w:r>
          </w:p>
        </w:tc>
        <w:tc>
          <w:tcPr>
            <w:tcW w:w="1985" w:type="dxa"/>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0.50</w:t>
            </w:r>
          </w:p>
        </w:tc>
        <w:tc>
          <w:tcPr>
            <w:tcW w:w="2410" w:type="dxa"/>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eastAsia="HYSinMyeongJo-Medium" w:hAnsi="Book Antiqua" w:cs="Times New Roman"/>
                <w:sz w:val="24"/>
                <w:szCs w:val="24"/>
              </w:rPr>
              <w:t>0.20-1.25</w:t>
            </w:r>
          </w:p>
        </w:tc>
        <w:tc>
          <w:tcPr>
            <w:tcW w:w="1319" w:type="dxa"/>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0.364</w:t>
            </w:r>
          </w:p>
        </w:tc>
      </w:tr>
      <w:tr w:rsidR="00EF6307" w:rsidRPr="00BF3C3C" w:rsidTr="00DE3F27">
        <w:trPr>
          <w:trHeight w:val="397"/>
        </w:trPr>
        <w:tc>
          <w:tcPr>
            <w:tcW w:w="3510" w:type="dxa"/>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Use of H2B</w:t>
            </w:r>
            <w:r w:rsidR="00DC5B6C" w:rsidRPr="00BF3C3C">
              <w:rPr>
                <w:rFonts w:ascii="Book Antiqua" w:hAnsi="Book Antiqua" w:cs="Times New Roman"/>
                <w:sz w:val="24"/>
                <w:szCs w:val="24"/>
              </w:rPr>
              <w:t>s</w:t>
            </w:r>
          </w:p>
        </w:tc>
        <w:tc>
          <w:tcPr>
            <w:tcW w:w="1985" w:type="dxa"/>
            <w:vAlign w:val="center"/>
          </w:tcPr>
          <w:p w:rsidR="00D85EC3" w:rsidRPr="00BF3C3C" w:rsidRDefault="00D85EC3" w:rsidP="002A4F8D">
            <w:pPr>
              <w:widowControl/>
              <w:wordWrap/>
              <w:autoSpaceDE/>
              <w:autoSpaceDN/>
              <w:spacing w:line="360" w:lineRule="auto"/>
              <w:rPr>
                <w:rFonts w:ascii="Book Antiqua" w:eastAsia="HYSinMyeongJo-Medium" w:hAnsi="Book Antiqua" w:cs="Times New Roman"/>
                <w:sz w:val="24"/>
                <w:szCs w:val="24"/>
              </w:rPr>
            </w:pPr>
            <w:r w:rsidRPr="00BF3C3C">
              <w:rPr>
                <w:rFonts w:ascii="Book Antiqua" w:eastAsia="HYSinMyeongJo-Medium" w:hAnsi="Book Antiqua" w:cs="Times New Roman"/>
                <w:sz w:val="24"/>
                <w:szCs w:val="24"/>
              </w:rPr>
              <w:t>6.55</w:t>
            </w:r>
          </w:p>
        </w:tc>
        <w:tc>
          <w:tcPr>
            <w:tcW w:w="2410" w:type="dxa"/>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eastAsia="HYSinMyeongJo-Medium" w:hAnsi="Book Antiqua" w:cs="Times New Roman"/>
                <w:sz w:val="24"/>
                <w:szCs w:val="24"/>
              </w:rPr>
              <w:t>1.64-26.26</w:t>
            </w:r>
          </w:p>
        </w:tc>
        <w:tc>
          <w:tcPr>
            <w:tcW w:w="1319" w:type="dxa"/>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0.008</w:t>
            </w:r>
          </w:p>
        </w:tc>
      </w:tr>
      <w:tr w:rsidR="00EF6307" w:rsidRPr="00BF3C3C" w:rsidTr="00DE3F27">
        <w:trPr>
          <w:trHeight w:val="397"/>
        </w:trPr>
        <w:tc>
          <w:tcPr>
            <w:tcW w:w="3510" w:type="dxa"/>
            <w:vAlign w:val="center"/>
          </w:tcPr>
          <w:p w:rsidR="00D85EC3" w:rsidRPr="00BF3C3C" w:rsidRDefault="00DC5B6C" w:rsidP="002A4F8D">
            <w:pPr>
              <w:spacing w:line="360" w:lineRule="auto"/>
              <w:rPr>
                <w:rFonts w:ascii="Book Antiqua" w:hAnsi="Book Antiqua" w:cs="Times New Roman"/>
                <w:sz w:val="24"/>
                <w:szCs w:val="24"/>
              </w:rPr>
            </w:pPr>
            <w:r w:rsidRPr="00BF3C3C">
              <w:rPr>
                <w:rFonts w:ascii="Book Antiqua" w:hAnsi="Book Antiqua" w:cs="Times New Roman"/>
                <w:sz w:val="24"/>
                <w:szCs w:val="24"/>
              </w:rPr>
              <w:t xml:space="preserve">Use of </w:t>
            </w:r>
            <w:r w:rsidR="00D85EC3" w:rsidRPr="00BF3C3C">
              <w:rPr>
                <w:rFonts w:ascii="Book Antiqua" w:hAnsi="Book Antiqua" w:cs="Times New Roman"/>
                <w:sz w:val="24"/>
                <w:szCs w:val="24"/>
              </w:rPr>
              <w:t>other Antacid</w:t>
            </w:r>
            <w:r w:rsidR="00896C62" w:rsidRPr="00BF3C3C">
              <w:rPr>
                <w:rFonts w:ascii="Book Antiqua" w:hAnsi="Book Antiqua" w:cs="Times New Roman"/>
                <w:sz w:val="24"/>
                <w:szCs w:val="24"/>
              </w:rPr>
              <w:t>s</w:t>
            </w:r>
          </w:p>
        </w:tc>
        <w:tc>
          <w:tcPr>
            <w:tcW w:w="1985" w:type="dxa"/>
            <w:vAlign w:val="center"/>
          </w:tcPr>
          <w:p w:rsidR="00D85EC3" w:rsidRPr="00BF3C3C" w:rsidRDefault="00D85EC3" w:rsidP="002A4F8D">
            <w:pPr>
              <w:widowControl/>
              <w:wordWrap/>
              <w:autoSpaceDE/>
              <w:autoSpaceDN/>
              <w:spacing w:line="360" w:lineRule="auto"/>
              <w:rPr>
                <w:rFonts w:ascii="Book Antiqua" w:eastAsia="HYSinMyeongJo-Medium" w:hAnsi="Book Antiqua" w:cs="Times New Roman"/>
                <w:sz w:val="24"/>
                <w:szCs w:val="24"/>
              </w:rPr>
            </w:pPr>
            <w:r w:rsidRPr="00BF3C3C">
              <w:rPr>
                <w:rFonts w:ascii="Book Antiqua" w:eastAsia="HYSinMyeongJo-Medium" w:hAnsi="Book Antiqua" w:cs="Times New Roman"/>
                <w:sz w:val="24"/>
                <w:szCs w:val="24"/>
              </w:rPr>
              <w:t>1.47</w:t>
            </w:r>
          </w:p>
        </w:tc>
        <w:tc>
          <w:tcPr>
            <w:tcW w:w="2410" w:type="dxa"/>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eastAsia="HYSinMyeongJo-Medium" w:hAnsi="Book Antiqua" w:cs="Times New Roman"/>
                <w:sz w:val="24"/>
                <w:szCs w:val="24"/>
              </w:rPr>
              <w:t>0.21-10.29</w:t>
            </w:r>
          </w:p>
        </w:tc>
        <w:tc>
          <w:tcPr>
            <w:tcW w:w="1319" w:type="dxa"/>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0.696</w:t>
            </w:r>
          </w:p>
        </w:tc>
      </w:tr>
      <w:tr w:rsidR="00EF6307" w:rsidRPr="00BF3C3C" w:rsidTr="00B03D77">
        <w:trPr>
          <w:trHeight w:val="397"/>
        </w:trPr>
        <w:tc>
          <w:tcPr>
            <w:tcW w:w="3510" w:type="dxa"/>
            <w:tcBorders>
              <w:bottom w:val="single" w:sz="4" w:space="0" w:color="auto"/>
            </w:tcBorders>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Use of prokinetics</w:t>
            </w:r>
          </w:p>
        </w:tc>
        <w:tc>
          <w:tcPr>
            <w:tcW w:w="1985" w:type="dxa"/>
            <w:tcBorders>
              <w:bottom w:val="single" w:sz="4" w:space="0" w:color="auto"/>
            </w:tcBorders>
            <w:vAlign w:val="center"/>
          </w:tcPr>
          <w:p w:rsidR="00D85EC3" w:rsidRPr="00BF3C3C" w:rsidRDefault="00D85EC3" w:rsidP="002A4F8D">
            <w:pPr>
              <w:widowControl/>
              <w:wordWrap/>
              <w:autoSpaceDE/>
              <w:autoSpaceDN/>
              <w:spacing w:line="360" w:lineRule="auto"/>
              <w:rPr>
                <w:rFonts w:ascii="Book Antiqua" w:eastAsia="HYSinMyeongJo-Medium" w:hAnsi="Book Antiqua" w:cs="Times New Roman"/>
                <w:sz w:val="24"/>
                <w:szCs w:val="24"/>
              </w:rPr>
            </w:pPr>
            <w:r w:rsidRPr="00BF3C3C">
              <w:rPr>
                <w:rFonts w:ascii="Book Antiqua" w:eastAsia="HYSinMyeongJo-Medium" w:hAnsi="Book Antiqua" w:cs="Times New Roman"/>
                <w:sz w:val="24"/>
                <w:szCs w:val="24"/>
              </w:rPr>
              <w:t>1.70</w:t>
            </w:r>
          </w:p>
        </w:tc>
        <w:tc>
          <w:tcPr>
            <w:tcW w:w="2410" w:type="dxa"/>
            <w:tcBorders>
              <w:bottom w:val="single" w:sz="4" w:space="0" w:color="auto"/>
            </w:tcBorders>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eastAsia="HYSinMyeongJo-Medium" w:hAnsi="Book Antiqua" w:cs="Times New Roman"/>
                <w:sz w:val="24"/>
                <w:szCs w:val="24"/>
              </w:rPr>
              <w:t>0.67-4.33</w:t>
            </w:r>
          </w:p>
        </w:tc>
        <w:tc>
          <w:tcPr>
            <w:tcW w:w="1319" w:type="dxa"/>
            <w:tcBorders>
              <w:bottom w:val="single" w:sz="4" w:space="0" w:color="auto"/>
            </w:tcBorders>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0.269</w:t>
            </w:r>
          </w:p>
        </w:tc>
      </w:tr>
    </w:tbl>
    <w:p w:rsidR="00D85EC3" w:rsidRPr="00BF3C3C" w:rsidRDefault="00D85EC3" w:rsidP="002A4F8D">
      <w:pPr>
        <w:widowControl/>
        <w:wordWrap/>
        <w:autoSpaceDE/>
        <w:autoSpaceDN/>
        <w:spacing w:after="200" w:line="360" w:lineRule="auto"/>
        <w:rPr>
          <w:rFonts w:ascii="Book Antiqua" w:hAnsi="Book Antiqua" w:cs="Times New Roman"/>
          <w:sz w:val="24"/>
          <w:szCs w:val="24"/>
        </w:rPr>
      </w:pPr>
      <w:r w:rsidRPr="00BF3C3C">
        <w:rPr>
          <w:rFonts w:ascii="Book Antiqua" w:hAnsi="Book Antiqua" w:cs="Times New Roman"/>
          <w:sz w:val="24"/>
          <w:szCs w:val="24"/>
        </w:rPr>
        <w:t>PPI</w:t>
      </w:r>
      <w:r w:rsidR="00896C62" w:rsidRPr="00BF3C3C">
        <w:rPr>
          <w:rFonts w:ascii="Book Antiqua" w:hAnsi="Book Antiqua" w:cs="Times New Roman"/>
          <w:sz w:val="24"/>
          <w:szCs w:val="24"/>
        </w:rPr>
        <w:t>s</w:t>
      </w:r>
      <w:r w:rsidR="00B03D77" w:rsidRPr="00BF3C3C">
        <w:rPr>
          <w:rFonts w:ascii="Book Antiqua" w:eastAsia="宋体" w:hAnsi="Book Antiqua" w:cs="Times New Roman" w:hint="eastAsia"/>
          <w:sz w:val="24"/>
          <w:szCs w:val="24"/>
          <w:lang w:eastAsia="zh-CN"/>
        </w:rPr>
        <w:t xml:space="preserve">: </w:t>
      </w:r>
      <w:r w:rsidR="00B03D77" w:rsidRPr="00BF3C3C">
        <w:rPr>
          <w:rFonts w:ascii="Book Antiqua" w:hAnsi="Book Antiqua" w:cs="Times New Roman"/>
          <w:sz w:val="24"/>
          <w:szCs w:val="24"/>
        </w:rPr>
        <w:t xml:space="preserve">Proton </w:t>
      </w:r>
      <w:r w:rsidRPr="00BF3C3C">
        <w:rPr>
          <w:rFonts w:ascii="Book Antiqua" w:hAnsi="Book Antiqua" w:cs="Times New Roman"/>
          <w:sz w:val="24"/>
          <w:szCs w:val="24"/>
        </w:rPr>
        <w:t>pump inhibitor; H2B</w:t>
      </w:r>
      <w:r w:rsidR="00896C62" w:rsidRPr="00BF3C3C">
        <w:rPr>
          <w:rFonts w:ascii="Book Antiqua" w:hAnsi="Book Antiqua" w:cs="Times New Roman"/>
          <w:sz w:val="24"/>
          <w:szCs w:val="24"/>
        </w:rPr>
        <w:t>s</w:t>
      </w:r>
      <w:r w:rsidR="00B03D77" w:rsidRPr="00BF3C3C">
        <w:rPr>
          <w:rFonts w:ascii="Book Antiqua" w:eastAsia="宋体" w:hAnsi="Book Antiqua" w:cs="Times New Roman" w:hint="eastAsia"/>
          <w:sz w:val="24"/>
          <w:szCs w:val="24"/>
          <w:lang w:eastAsia="zh-CN"/>
        </w:rPr>
        <w:t>;</w:t>
      </w:r>
      <w:r w:rsidRPr="00BF3C3C">
        <w:rPr>
          <w:rFonts w:ascii="Book Antiqua" w:hAnsi="Book Antiqua" w:cs="Times New Roman"/>
          <w:sz w:val="24"/>
          <w:szCs w:val="24"/>
        </w:rPr>
        <w:t xml:space="preserve"> H2-blocker</w:t>
      </w:r>
      <w:r w:rsidR="00B03D77" w:rsidRPr="00BF3C3C">
        <w:rPr>
          <w:rFonts w:ascii="Book Antiqua" w:eastAsia="宋体" w:hAnsi="Book Antiqua" w:cs="Times New Roman" w:hint="eastAsia"/>
          <w:sz w:val="24"/>
          <w:szCs w:val="24"/>
          <w:lang w:eastAsia="zh-CN"/>
        </w:rPr>
        <w:t>.</w:t>
      </w:r>
      <w:r w:rsidRPr="00BF3C3C">
        <w:rPr>
          <w:rFonts w:ascii="Book Antiqua" w:hAnsi="Book Antiqua" w:cs="Times New Roman"/>
          <w:sz w:val="24"/>
          <w:szCs w:val="24"/>
        </w:rPr>
        <w:br w:type="page"/>
      </w:r>
    </w:p>
    <w:p w:rsidR="00D85EC3" w:rsidRPr="00BF3C3C" w:rsidRDefault="00B03D77" w:rsidP="002A4F8D">
      <w:pPr>
        <w:spacing w:line="360" w:lineRule="auto"/>
        <w:rPr>
          <w:rFonts w:ascii="Book Antiqua" w:eastAsia="宋体" w:hAnsi="Book Antiqua" w:cs="Times New Roman"/>
          <w:sz w:val="24"/>
          <w:szCs w:val="24"/>
          <w:lang w:eastAsia="zh-CN"/>
        </w:rPr>
      </w:pPr>
      <w:r w:rsidRPr="00BF3C3C">
        <w:rPr>
          <w:rFonts w:ascii="Book Antiqua" w:eastAsiaTheme="minorHAnsi" w:hAnsi="Book Antiqua" w:cs="Times New Roman"/>
          <w:b/>
          <w:sz w:val="24"/>
          <w:szCs w:val="24"/>
        </w:rPr>
        <w:lastRenderedPageBreak/>
        <w:t>Table 4</w:t>
      </w:r>
      <w:r w:rsidRPr="00BF3C3C">
        <w:rPr>
          <w:rFonts w:ascii="Book Antiqua" w:eastAsia="宋体" w:hAnsi="Book Antiqua" w:cs="Times New Roman" w:hint="eastAsia"/>
          <w:b/>
          <w:sz w:val="24"/>
          <w:szCs w:val="24"/>
          <w:lang w:eastAsia="zh-CN"/>
        </w:rPr>
        <w:t xml:space="preserve"> </w:t>
      </w:r>
      <w:r w:rsidR="00D85EC3" w:rsidRPr="00BF3C3C">
        <w:rPr>
          <w:rFonts w:ascii="Book Antiqua" w:eastAsiaTheme="minorHAnsi" w:hAnsi="Book Antiqua" w:cs="Times New Roman"/>
          <w:b/>
          <w:sz w:val="24"/>
          <w:szCs w:val="24"/>
        </w:rPr>
        <w:t>Clinical characteristics of peritonitis patients by the causative pathogen</w:t>
      </w:r>
      <w:r w:rsidR="00B22DE1" w:rsidRPr="00BF3C3C">
        <w:rPr>
          <w:rFonts w:ascii="Book Antiqua" w:eastAsia="宋体" w:hAnsi="Book Antiqua" w:cs="Times New Roman" w:hint="eastAsia"/>
          <w:b/>
          <w:sz w:val="24"/>
          <w:szCs w:val="24"/>
          <w:lang w:eastAsia="zh-CN"/>
        </w:rPr>
        <w:t xml:space="preserve"> </w:t>
      </w:r>
      <w:r w:rsidR="00B22DE1" w:rsidRPr="004A36EB">
        <w:rPr>
          <w:rFonts w:ascii="Book Antiqua" w:eastAsia="宋体" w:hAnsi="Book Antiqua" w:cs="Times New Roman" w:hint="eastAsia"/>
          <w:b/>
          <w:i/>
          <w:sz w:val="24"/>
          <w:szCs w:val="24"/>
          <w:lang w:eastAsia="zh-CN"/>
        </w:rPr>
        <w:t>n</w:t>
      </w:r>
      <w:r w:rsidR="00B22DE1" w:rsidRPr="00BF3C3C">
        <w:rPr>
          <w:rFonts w:ascii="Book Antiqua" w:eastAsia="宋体" w:hAnsi="Book Antiqua" w:cs="Times New Roman" w:hint="eastAsia"/>
          <w:b/>
          <w:sz w:val="24"/>
          <w:szCs w:val="24"/>
          <w:lang w:eastAsia="zh-CN"/>
        </w:rPr>
        <w:t>(%)</w:t>
      </w:r>
    </w:p>
    <w:tbl>
      <w:tblPr>
        <w:tblStyle w:val="ad"/>
        <w:tblW w:w="5000" w:type="pct"/>
        <w:tblInd w:w="17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2266"/>
        <w:gridCol w:w="2270"/>
        <w:gridCol w:w="1081"/>
      </w:tblGrid>
      <w:tr w:rsidR="00EF6307" w:rsidRPr="00BF3C3C" w:rsidTr="00B22DE1">
        <w:tc>
          <w:tcPr>
            <w:tcW w:w="1961" w:type="pct"/>
            <w:vMerge w:val="restart"/>
            <w:tcBorders>
              <w:top w:val="single" w:sz="4" w:space="0" w:color="auto"/>
            </w:tcBorders>
            <w:shd w:val="clear" w:color="auto" w:fill="auto"/>
            <w:vAlign w:val="center"/>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 xml:space="preserve">　</w:t>
            </w:r>
            <w:r w:rsidRPr="00BF3C3C">
              <w:rPr>
                <w:rFonts w:ascii="Book Antiqua" w:hAnsi="Book Antiqua" w:cs="Times New Roman"/>
                <w:b/>
                <w:sz w:val="24"/>
                <w:szCs w:val="24"/>
              </w:rPr>
              <w:t>Variables</w:t>
            </w:r>
          </w:p>
        </w:tc>
        <w:tc>
          <w:tcPr>
            <w:tcW w:w="3039" w:type="pct"/>
            <w:gridSpan w:val="3"/>
            <w:tcBorders>
              <w:top w:val="single" w:sz="4" w:space="0" w:color="auto"/>
              <w:bottom w:val="single" w:sz="4" w:space="0" w:color="auto"/>
            </w:tcBorders>
            <w:shd w:val="clear" w:color="auto" w:fill="auto"/>
          </w:tcPr>
          <w:p w:rsidR="00D85EC3" w:rsidRPr="00BF3C3C" w:rsidRDefault="00D85EC3" w:rsidP="002A4F8D">
            <w:pPr>
              <w:spacing w:line="360" w:lineRule="auto"/>
              <w:rPr>
                <w:rFonts w:ascii="Book Antiqua" w:hAnsi="Book Antiqua" w:cs="Times New Roman"/>
                <w:b/>
                <w:bCs/>
                <w:i/>
                <w:sz w:val="24"/>
                <w:szCs w:val="24"/>
              </w:rPr>
            </w:pPr>
            <w:r w:rsidRPr="00BF3C3C">
              <w:rPr>
                <w:rFonts w:ascii="Book Antiqua" w:eastAsia="HYSinMyeongJo-Medium" w:hAnsi="Book Antiqua" w:cs="Times New Roman"/>
                <w:b/>
                <w:sz w:val="24"/>
                <w:szCs w:val="24"/>
              </w:rPr>
              <w:t>Included peritonitis episode (</w:t>
            </w:r>
            <w:r w:rsidRPr="00BF3C3C">
              <w:rPr>
                <w:rFonts w:ascii="Book Antiqua" w:eastAsia="HYSinMyeongJo-Medium" w:hAnsi="Book Antiqua" w:cs="Times New Roman"/>
                <w:b/>
                <w:i/>
                <w:sz w:val="24"/>
                <w:szCs w:val="24"/>
              </w:rPr>
              <w:t>n</w:t>
            </w:r>
            <w:r w:rsidR="00B03D77" w:rsidRPr="00BF3C3C">
              <w:rPr>
                <w:rFonts w:ascii="Book Antiqua" w:eastAsia="宋体" w:hAnsi="Book Antiqua" w:cs="Times New Roman" w:hint="eastAsia"/>
                <w:b/>
                <w:sz w:val="24"/>
                <w:szCs w:val="24"/>
                <w:lang w:eastAsia="zh-CN"/>
              </w:rPr>
              <w:t xml:space="preserve"> </w:t>
            </w:r>
            <w:r w:rsidRPr="00BF3C3C">
              <w:rPr>
                <w:rFonts w:ascii="Book Antiqua" w:eastAsia="HYSinMyeongJo-Medium" w:hAnsi="Book Antiqua" w:cs="Times New Roman"/>
                <w:b/>
                <w:sz w:val="24"/>
                <w:szCs w:val="24"/>
              </w:rPr>
              <w:t>=</w:t>
            </w:r>
            <w:r w:rsidR="00B03D77" w:rsidRPr="00BF3C3C">
              <w:rPr>
                <w:rFonts w:ascii="Book Antiqua" w:eastAsia="宋体" w:hAnsi="Book Antiqua" w:cs="Times New Roman" w:hint="eastAsia"/>
                <w:b/>
                <w:sz w:val="24"/>
                <w:szCs w:val="24"/>
                <w:lang w:eastAsia="zh-CN"/>
              </w:rPr>
              <w:t xml:space="preserve"> </w:t>
            </w:r>
            <w:r w:rsidRPr="00BF3C3C">
              <w:rPr>
                <w:rFonts w:ascii="Book Antiqua" w:eastAsia="HYSinMyeongJo-Medium" w:hAnsi="Book Antiqua" w:cs="Times New Roman"/>
                <w:b/>
                <w:sz w:val="24"/>
                <w:szCs w:val="24"/>
              </w:rPr>
              <w:t>81)</w:t>
            </w:r>
          </w:p>
        </w:tc>
      </w:tr>
      <w:tr w:rsidR="00EF6307" w:rsidRPr="00BF3C3C" w:rsidTr="00B22DE1">
        <w:tc>
          <w:tcPr>
            <w:tcW w:w="1961" w:type="pct"/>
            <w:vMerge/>
            <w:tcBorders>
              <w:bottom w:val="single" w:sz="4" w:space="0" w:color="auto"/>
            </w:tcBorders>
            <w:shd w:val="clear" w:color="auto" w:fill="auto"/>
            <w:vAlign w:val="center"/>
          </w:tcPr>
          <w:p w:rsidR="00D85EC3" w:rsidRPr="00BF3C3C" w:rsidRDefault="00D85EC3" w:rsidP="002A4F8D">
            <w:pPr>
              <w:spacing w:line="360" w:lineRule="auto"/>
              <w:rPr>
                <w:rFonts w:ascii="Book Antiqua" w:hAnsi="Book Antiqua" w:cs="Times New Roman"/>
                <w:b/>
                <w:sz w:val="24"/>
                <w:szCs w:val="24"/>
              </w:rPr>
            </w:pPr>
          </w:p>
        </w:tc>
        <w:tc>
          <w:tcPr>
            <w:tcW w:w="1226" w:type="pct"/>
            <w:tcBorders>
              <w:top w:val="single" w:sz="4" w:space="0" w:color="auto"/>
              <w:bottom w:val="single" w:sz="4" w:space="0" w:color="auto"/>
            </w:tcBorders>
            <w:shd w:val="clear" w:color="auto" w:fill="auto"/>
          </w:tcPr>
          <w:p w:rsidR="00D85EC3" w:rsidRPr="00BF3C3C" w:rsidRDefault="00D85EC3" w:rsidP="002A4F8D">
            <w:pPr>
              <w:spacing w:line="360" w:lineRule="auto"/>
              <w:rPr>
                <w:rFonts w:ascii="Book Antiqua" w:eastAsia="HYSinMyeongJo-Medium" w:hAnsi="Book Antiqua" w:cs="Times New Roman"/>
                <w:b/>
                <w:sz w:val="24"/>
                <w:szCs w:val="24"/>
              </w:rPr>
            </w:pPr>
            <w:r w:rsidRPr="00BF3C3C">
              <w:rPr>
                <w:rFonts w:ascii="Book Antiqua" w:eastAsia="HYSinMyeongJo-Medium" w:hAnsi="Book Antiqua" w:cs="Times New Roman"/>
                <w:b/>
                <w:sz w:val="24"/>
                <w:szCs w:val="24"/>
              </w:rPr>
              <w:t>Enteric peritonitis</w:t>
            </w:r>
          </w:p>
          <w:p w:rsidR="00D85EC3" w:rsidRPr="00BF3C3C" w:rsidRDefault="00D85EC3" w:rsidP="002A4F8D">
            <w:pPr>
              <w:spacing w:line="360" w:lineRule="auto"/>
              <w:rPr>
                <w:rFonts w:ascii="Book Antiqua" w:eastAsia="HYSinMyeongJo-Medium" w:hAnsi="Book Antiqua" w:cs="Times New Roman"/>
                <w:b/>
                <w:sz w:val="24"/>
                <w:szCs w:val="24"/>
              </w:rPr>
            </w:pPr>
            <w:r w:rsidRPr="00BF3C3C">
              <w:rPr>
                <w:rFonts w:ascii="Book Antiqua" w:eastAsia="HYSinMyeongJo-Medium" w:hAnsi="Book Antiqua" w:cs="Times New Roman"/>
                <w:b/>
                <w:sz w:val="24"/>
                <w:szCs w:val="24"/>
              </w:rPr>
              <w:t>(</w:t>
            </w:r>
            <w:r w:rsidRPr="00BF3C3C">
              <w:rPr>
                <w:rFonts w:ascii="Book Antiqua" w:eastAsia="HYSinMyeongJo-Medium" w:hAnsi="Book Antiqua" w:cs="Times New Roman"/>
                <w:b/>
                <w:i/>
                <w:sz w:val="24"/>
                <w:szCs w:val="24"/>
              </w:rPr>
              <w:t>n</w:t>
            </w:r>
            <w:r w:rsidR="00B03D77" w:rsidRPr="00BF3C3C">
              <w:rPr>
                <w:rFonts w:ascii="Book Antiqua" w:eastAsia="宋体" w:hAnsi="Book Antiqua" w:cs="Times New Roman" w:hint="eastAsia"/>
                <w:b/>
                <w:sz w:val="24"/>
                <w:szCs w:val="24"/>
                <w:lang w:eastAsia="zh-CN"/>
              </w:rPr>
              <w:t xml:space="preserve"> </w:t>
            </w:r>
            <w:r w:rsidRPr="00BF3C3C">
              <w:rPr>
                <w:rFonts w:ascii="Book Antiqua" w:eastAsia="HYSinMyeongJo-Medium" w:hAnsi="Book Antiqua" w:cs="Times New Roman"/>
                <w:b/>
                <w:sz w:val="24"/>
                <w:szCs w:val="24"/>
              </w:rPr>
              <w:t>=</w:t>
            </w:r>
            <w:r w:rsidR="00B03D77" w:rsidRPr="00BF3C3C">
              <w:rPr>
                <w:rFonts w:ascii="Book Antiqua" w:eastAsia="宋体" w:hAnsi="Book Antiqua" w:cs="Times New Roman" w:hint="eastAsia"/>
                <w:b/>
                <w:sz w:val="24"/>
                <w:szCs w:val="24"/>
                <w:lang w:eastAsia="zh-CN"/>
              </w:rPr>
              <w:t xml:space="preserve"> </w:t>
            </w:r>
            <w:r w:rsidRPr="00BF3C3C">
              <w:rPr>
                <w:rFonts w:ascii="Book Antiqua" w:eastAsia="HYSinMyeongJo-Medium" w:hAnsi="Book Antiqua" w:cs="Times New Roman"/>
                <w:b/>
                <w:sz w:val="24"/>
                <w:szCs w:val="24"/>
              </w:rPr>
              <w:t>26)</w:t>
            </w:r>
          </w:p>
        </w:tc>
        <w:tc>
          <w:tcPr>
            <w:tcW w:w="1228" w:type="pct"/>
            <w:tcBorders>
              <w:top w:val="single" w:sz="4" w:space="0" w:color="auto"/>
              <w:bottom w:val="single" w:sz="4" w:space="0" w:color="auto"/>
            </w:tcBorders>
            <w:shd w:val="clear" w:color="auto" w:fill="auto"/>
          </w:tcPr>
          <w:p w:rsidR="00D85EC3" w:rsidRPr="00BF3C3C" w:rsidRDefault="00D85EC3" w:rsidP="002A4F8D">
            <w:pPr>
              <w:spacing w:line="360" w:lineRule="auto"/>
              <w:rPr>
                <w:rFonts w:ascii="Book Antiqua" w:eastAsia="HYSinMyeongJo-Medium" w:hAnsi="Book Antiqua" w:cs="Times New Roman"/>
                <w:b/>
                <w:sz w:val="24"/>
                <w:szCs w:val="24"/>
              </w:rPr>
            </w:pPr>
            <w:r w:rsidRPr="00BF3C3C">
              <w:rPr>
                <w:rFonts w:ascii="Book Antiqua" w:eastAsia="HYSinMyeongJo-Medium" w:hAnsi="Book Antiqua" w:cs="Times New Roman"/>
                <w:b/>
                <w:sz w:val="24"/>
                <w:szCs w:val="24"/>
              </w:rPr>
              <w:t>Non-enteric peritonitis</w:t>
            </w:r>
          </w:p>
          <w:p w:rsidR="00D85EC3" w:rsidRPr="00BF3C3C" w:rsidRDefault="00D85EC3" w:rsidP="002A4F8D">
            <w:pPr>
              <w:spacing w:line="360" w:lineRule="auto"/>
              <w:rPr>
                <w:rFonts w:ascii="Book Antiqua" w:eastAsia="HYSinMyeongJo-Medium" w:hAnsi="Book Antiqua" w:cs="Times New Roman"/>
                <w:b/>
                <w:sz w:val="24"/>
                <w:szCs w:val="24"/>
              </w:rPr>
            </w:pPr>
            <w:r w:rsidRPr="00BF3C3C">
              <w:rPr>
                <w:rFonts w:ascii="Book Antiqua" w:eastAsia="HYSinMyeongJo-Medium" w:hAnsi="Book Antiqua" w:cs="Times New Roman"/>
                <w:b/>
                <w:sz w:val="24"/>
                <w:szCs w:val="24"/>
              </w:rPr>
              <w:t>(</w:t>
            </w:r>
            <w:r w:rsidRPr="00BF3C3C">
              <w:rPr>
                <w:rFonts w:ascii="Book Antiqua" w:eastAsia="HYSinMyeongJo-Medium" w:hAnsi="Book Antiqua" w:cs="Times New Roman"/>
                <w:b/>
                <w:i/>
                <w:sz w:val="24"/>
                <w:szCs w:val="24"/>
              </w:rPr>
              <w:t>n</w:t>
            </w:r>
            <w:r w:rsidR="00B03D77" w:rsidRPr="00BF3C3C">
              <w:rPr>
                <w:rFonts w:ascii="Book Antiqua" w:eastAsia="宋体" w:hAnsi="Book Antiqua" w:cs="Times New Roman" w:hint="eastAsia"/>
                <w:b/>
                <w:i/>
                <w:sz w:val="24"/>
                <w:szCs w:val="24"/>
                <w:lang w:eastAsia="zh-CN"/>
              </w:rPr>
              <w:t xml:space="preserve"> </w:t>
            </w:r>
            <w:r w:rsidRPr="00BF3C3C">
              <w:rPr>
                <w:rFonts w:ascii="Book Antiqua" w:eastAsia="HYSinMyeongJo-Medium" w:hAnsi="Book Antiqua" w:cs="Times New Roman"/>
                <w:b/>
                <w:sz w:val="24"/>
                <w:szCs w:val="24"/>
              </w:rPr>
              <w:t>=</w:t>
            </w:r>
            <w:r w:rsidR="00B03D77" w:rsidRPr="00BF3C3C">
              <w:rPr>
                <w:rFonts w:ascii="Book Antiqua" w:eastAsia="宋体" w:hAnsi="Book Antiqua" w:cs="Times New Roman" w:hint="eastAsia"/>
                <w:b/>
                <w:sz w:val="24"/>
                <w:szCs w:val="24"/>
                <w:lang w:eastAsia="zh-CN"/>
              </w:rPr>
              <w:t xml:space="preserve"> </w:t>
            </w:r>
            <w:r w:rsidRPr="00BF3C3C">
              <w:rPr>
                <w:rFonts w:ascii="Book Antiqua" w:eastAsia="HYSinMyeongJo-Medium" w:hAnsi="Book Antiqua" w:cs="Times New Roman"/>
                <w:b/>
                <w:sz w:val="24"/>
                <w:szCs w:val="24"/>
              </w:rPr>
              <w:t>55)</w:t>
            </w:r>
          </w:p>
        </w:tc>
        <w:tc>
          <w:tcPr>
            <w:tcW w:w="585" w:type="pct"/>
            <w:tcBorders>
              <w:top w:val="single" w:sz="4" w:space="0" w:color="auto"/>
              <w:bottom w:val="single" w:sz="4" w:space="0" w:color="auto"/>
            </w:tcBorders>
            <w:shd w:val="clear" w:color="auto" w:fill="auto"/>
            <w:vAlign w:val="center"/>
          </w:tcPr>
          <w:p w:rsidR="00D85EC3" w:rsidRPr="00BF3C3C" w:rsidRDefault="00B03D77" w:rsidP="002A4F8D">
            <w:pPr>
              <w:spacing w:line="360" w:lineRule="auto"/>
              <w:rPr>
                <w:rFonts w:ascii="Book Antiqua" w:hAnsi="Book Antiqua" w:cs="Times New Roman"/>
                <w:sz w:val="24"/>
                <w:szCs w:val="24"/>
              </w:rPr>
            </w:pPr>
            <w:r w:rsidRPr="00BF3C3C">
              <w:rPr>
                <w:rFonts w:ascii="Book Antiqua" w:hAnsi="Book Antiqua" w:cs="Times New Roman"/>
                <w:b/>
                <w:bCs/>
                <w:i/>
                <w:sz w:val="24"/>
                <w:szCs w:val="24"/>
              </w:rPr>
              <w:t>P</w:t>
            </w:r>
            <w:r w:rsidR="00D85EC3" w:rsidRPr="00BF3C3C">
              <w:rPr>
                <w:rFonts w:ascii="Book Antiqua" w:hAnsi="Book Antiqua" w:cs="Times New Roman"/>
                <w:b/>
                <w:bCs/>
                <w:i/>
                <w:sz w:val="24"/>
                <w:szCs w:val="24"/>
              </w:rPr>
              <w:t xml:space="preserve"> </w:t>
            </w:r>
            <w:r w:rsidR="00D85EC3" w:rsidRPr="00BF3C3C">
              <w:rPr>
                <w:rFonts w:ascii="Book Antiqua" w:hAnsi="Book Antiqua" w:cs="Times New Roman"/>
                <w:b/>
                <w:bCs/>
                <w:sz w:val="24"/>
                <w:szCs w:val="24"/>
              </w:rPr>
              <w:t>value</w:t>
            </w:r>
          </w:p>
        </w:tc>
      </w:tr>
      <w:tr w:rsidR="00EF6307" w:rsidRPr="00BF3C3C" w:rsidTr="00B22DE1">
        <w:trPr>
          <w:trHeight w:hRule="exact" w:val="397"/>
        </w:trPr>
        <w:tc>
          <w:tcPr>
            <w:tcW w:w="1961" w:type="pct"/>
            <w:tcBorders>
              <w:top w:val="single" w:sz="4" w:space="0" w:color="auto"/>
            </w:tcBorders>
          </w:tcPr>
          <w:p w:rsidR="00D85EC3" w:rsidRPr="00BF3C3C" w:rsidRDefault="00D85EC3" w:rsidP="00B22DE1">
            <w:pPr>
              <w:spacing w:line="360" w:lineRule="auto"/>
              <w:rPr>
                <w:rFonts w:ascii="Book Antiqua" w:hAnsi="Book Antiqua" w:cs="Times New Roman"/>
                <w:sz w:val="24"/>
                <w:szCs w:val="24"/>
              </w:rPr>
            </w:pPr>
            <w:r w:rsidRPr="00BF3C3C">
              <w:rPr>
                <w:rFonts w:ascii="Book Antiqua" w:hAnsi="Book Antiqua" w:cs="Times New Roman"/>
                <w:sz w:val="24"/>
                <w:szCs w:val="24"/>
              </w:rPr>
              <w:t>Age (y</w:t>
            </w:r>
            <w:r w:rsidR="00B22DE1" w:rsidRPr="00BF3C3C">
              <w:rPr>
                <w:rFonts w:ascii="Book Antiqua" w:hAnsi="Book Antiqua" w:cs="Times New Roman"/>
                <w:sz w:val="24"/>
                <w:szCs w:val="24"/>
              </w:rPr>
              <w:t>r</w:t>
            </w:r>
            <w:r w:rsidRPr="00BF3C3C">
              <w:rPr>
                <w:rFonts w:ascii="Book Antiqua" w:hAnsi="Book Antiqua" w:cs="Times New Roman"/>
                <w:sz w:val="24"/>
                <w:szCs w:val="24"/>
              </w:rPr>
              <w:t>) [median (range)]</w:t>
            </w:r>
          </w:p>
        </w:tc>
        <w:tc>
          <w:tcPr>
            <w:tcW w:w="1226" w:type="pct"/>
            <w:tcBorders>
              <w:top w:val="single" w:sz="4" w:space="0" w:color="auto"/>
            </w:tcBorders>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51.5 (29-69)</w:t>
            </w:r>
          </w:p>
        </w:tc>
        <w:tc>
          <w:tcPr>
            <w:tcW w:w="1228" w:type="pct"/>
            <w:tcBorders>
              <w:top w:val="single" w:sz="4" w:space="0" w:color="auto"/>
            </w:tcBorders>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51.0 (27-79)</w:t>
            </w:r>
          </w:p>
        </w:tc>
        <w:tc>
          <w:tcPr>
            <w:tcW w:w="585" w:type="pct"/>
            <w:tcBorders>
              <w:top w:val="single" w:sz="4" w:space="0" w:color="auto"/>
            </w:tcBorders>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0.990</w:t>
            </w:r>
          </w:p>
        </w:tc>
      </w:tr>
      <w:tr w:rsidR="00EF6307" w:rsidRPr="00BF3C3C" w:rsidTr="00DE3F27">
        <w:trPr>
          <w:trHeight w:hRule="exact" w:val="397"/>
        </w:trPr>
        <w:tc>
          <w:tcPr>
            <w:tcW w:w="1961" w:type="pct"/>
          </w:tcPr>
          <w:p w:rsidR="00D85EC3" w:rsidRPr="00BF3C3C" w:rsidRDefault="00D85EC3" w:rsidP="00B03D77">
            <w:pPr>
              <w:spacing w:line="360" w:lineRule="auto"/>
              <w:rPr>
                <w:rFonts w:ascii="Book Antiqua" w:hAnsi="Book Antiqua" w:cs="Times New Roman"/>
                <w:sz w:val="24"/>
                <w:szCs w:val="24"/>
              </w:rPr>
            </w:pPr>
            <w:r w:rsidRPr="00BF3C3C">
              <w:rPr>
                <w:rFonts w:ascii="Book Antiqua" w:hAnsi="Book Antiqua" w:cs="Times New Roman"/>
                <w:sz w:val="24"/>
                <w:szCs w:val="24"/>
              </w:rPr>
              <w:t>Sex (male)</w:t>
            </w:r>
          </w:p>
        </w:tc>
        <w:tc>
          <w:tcPr>
            <w:tcW w:w="1226"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16 (61.5</w:t>
            </w:r>
            <w:r w:rsidR="00D85EC3" w:rsidRPr="00BF3C3C">
              <w:rPr>
                <w:rFonts w:ascii="Book Antiqua" w:hAnsi="Book Antiqua" w:cs="Times New Roman"/>
                <w:sz w:val="24"/>
                <w:szCs w:val="24"/>
              </w:rPr>
              <w:t>)</w:t>
            </w:r>
          </w:p>
        </w:tc>
        <w:tc>
          <w:tcPr>
            <w:tcW w:w="1228"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27 (49.1</w:t>
            </w:r>
            <w:r w:rsidR="00D85EC3" w:rsidRPr="00BF3C3C">
              <w:rPr>
                <w:rFonts w:ascii="Book Antiqua" w:hAnsi="Book Antiqua" w:cs="Times New Roman"/>
                <w:sz w:val="24"/>
                <w:szCs w:val="24"/>
              </w:rPr>
              <w:t>)</w:t>
            </w:r>
          </w:p>
        </w:tc>
        <w:tc>
          <w:tcPr>
            <w:tcW w:w="585"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0.295</w:t>
            </w:r>
          </w:p>
        </w:tc>
      </w:tr>
      <w:tr w:rsidR="00EF6307" w:rsidRPr="00BF3C3C" w:rsidTr="00DE3F27">
        <w:trPr>
          <w:trHeight w:hRule="exact" w:val="397"/>
        </w:trPr>
        <w:tc>
          <w:tcPr>
            <w:tcW w:w="1961"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Height (cm)</w:t>
            </w:r>
          </w:p>
        </w:tc>
        <w:tc>
          <w:tcPr>
            <w:tcW w:w="1226"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162.34 ± 7.88</w:t>
            </w:r>
          </w:p>
        </w:tc>
        <w:tc>
          <w:tcPr>
            <w:tcW w:w="1228"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162.21 ± 6.82</w:t>
            </w:r>
          </w:p>
        </w:tc>
        <w:tc>
          <w:tcPr>
            <w:tcW w:w="585"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0.943</w:t>
            </w:r>
          </w:p>
        </w:tc>
      </w:tr>
      <w:tr w:rsidR="00EF6307" w:rsidRPr="00BF3C3C" w:rsidTr="00DE3F27">
        <w:trPr>
          <w:trHeight w:hRule="exact" w:val="397"/>
        </w:trPr>
        <w:tc>
          <w:tcPr>
            <w:tcW w:w="1961"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Bwt (kg)</w:t>
            </w:r>
          </w:p>
        </w:tc>
        <w:tc>
          <w:tcPr>
            <w:tcW w:w="1226"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56.93 ± 7.88</w:t>
            </w:r>
          </w:p>
        </w:tc>
        <w:tc>
          <w:tcPr>
            <w:tcW w:w="1228"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57.95 ± 8.50</w:t>
            </w:r>
          </w:p>
        </w:tc>
        <w:tc>
          <w:tcPr>
            <w:tcW w:w="585"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0.610</w:t>
            </w:r>
          </w:p>
        </w:tc>
      </w:tr>
      <w:tr w:rsidR="00EF6307" w:rsidRPr="00BF3C3C" w:rsidTr="00DE3F27">
        <w:trPr>
          <w:trHeight w:hRule="exact" w:val="397"/>
        </w:trPr>
        <w:tc>
          <w:tcPr>
            <w:tcW w:w="1961"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BMI (m/(kg)2)</w:t>
            </w:r>
          </w:p>
        </w:tc>
        <w:tc>
          <w:tcPr>
            <w:tcW w:w="1226"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21.61 ± 2.68</w:t>
            </w:r>
          </w:p>
        </w:tc>
        <w:tc>
          <w:tcPr>
            <w:tcW w:w="1228"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22.05 ± 2.81</w:t>
            </w:r>
          </w:p>
        </w:tc>
        <w:tc>
          <w:tcPr>
            <w:tcW w:w="585"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0.504</w:t>
            </w:r>
          </w:p>
        </w:tc>
      </w:tr>
      <w:tr w:rsidR="00EF6307" w:rsidRPr="00BF3C3C" w:rsidTr="00DE3F27">
        <w:trPr>
          <w:trHeight w:hRule="exact" w:val="397"/>
        </w:trPr>
        <w:tc>
          <w:tcPr>
            <w:tcW w:w="1961"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Cause of ESRD</w:t>
            </w:r>
          </w:p>
        </w:tc>
        <w:tc>
          <w:tcPr>
            <w:tcW w:w="1226" w:type="pct"/>
          </w:tcPr>
          <w:p w:rsidR="00D85EC3" w:rsidRPr="00BF3C3C" w:rsidRDefault="00D85EC3" w:rsidP="002A4F8D">
            <w:pPr>
              <w:spacing w:line="360" w:lineRule="auto"/>
              <w:rPr>
                <w:rFonts w:ascii="Book Antiqua" w:hAnsi="Book Antiqua" w:cs="Times New Roman"/>
                <w:sz w:val="24"/>
                <w:szCs w:val="24"/>
              </w:rPr>
            </w:pPr>
          </w:p>
        </w:tc>
        <w:tc>
          <w:tcPr>
            <w:tcW w:w="1228" w:type="pct"/>
          </w:tcPr>
          <w:p w:rsidR="00D85EC3" w:rsidRPr="00BF3C3C" w:rsidRDefault="00D85EC3" w:rsidP="002A4F8D">
            <w:pPr>
              <w:spacing w:line="360" w:lineRule="auto"/>
              <w:rPr>
                <w:rFonts w:ascii="Book Antiqua" w:hAnsi="Book Antiqua" w:cs="Times New Roman"/>
                <w:sz w:val="24"/>
                <w:szCs w:val="24"/>
              </w:rPr>
            </w:pPr>
          </w:p>
        </w:tc>
        <w:tc>
          <w:tcPr>
            <w:tcW w:w="585" w:type="pct"/>
          </w:tcPr>
          <w:p w:rsidR="00D85EC3" w:rsidRPr="00BF3C3C" w:rsidRDefault="00D85EC3" w:rsidP="002A4F8D">
            <w:pPr>
              <w:spacing w:line="360" w:lineRule="auto"/>
              <w:rPr>
                <w:rFonts w:ascii="Book Antiqua" w:hAnsi="Book Antiqua" w:cs="Times New Roman"/>
                <w:sz w:val="24"/>
                <w:szCs w:val="24"/>
              </w:rPr>
            </w:pPr>
          </w:p>
        </w:tc>
      </w:tr>
      <w:tr w:rsidR="00EF6307" w:rsidRPr="00BF3C3C" w:rsidTr="00DE3F27">
        <w:trPr>
          <w:trHeight w:hRule="exact" w:val="397"/>
        </w:trPr>
        <w:tc>
          <w:tcPr>
            <w:tcW w:w="1961" w:type="pct"/>
          </w:tcPr>
          <w:p w:rsidR="00D85EC3" w:rsidRPr="00BF3C3C" w:rsidRDefault="00DC5B6C" w:rsidP="00B03D77">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Glo</w:t>
            </w:r>
            <w:r w:rsidR="00D85EC3" w:rsidRPr="00BF3C3C">
              <w:rPr>
                <w:rFonts w:ascii="Book Antiqua" w:hAnsi="Book Antiqua" w:cs="Times New Roman"/>
                <w:sz w:val="24"/>
                <w:szCs w:val="24"/>
              </w:rPr>
              <w:t xml:space="preserve">merulonephritis </w:t>
            </w:r>
          </w:p>
        </w:tc>
        <w:tc>
          <w:tcPr>
            <w:tcW w:w="1226"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12 (46.2</w:t>
            </w:r>
            <w:r w:rsidR="00D85EC3" w:rsidRPr="00BF3C3C">
              <w:rPr>
                <w:rFonts w:ascii="Book Antiqua" w:hAnsi="Book Antiqua" w:cs="Times New Roman"/>
                <w:sz w:val="24"/>
                <w:szCs w:val="24"/>
              </w:rPr>
              <w:t>)</w:t>
            </w:r>
          </w:p>
        </w:tc>
        <w:tc>
          <w:tcPr>
            <w:tcW w:w="1228"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17 (30.9</w:t>
            </w:r>
            <w:r w:rsidR="00D85EC3" w:rsidRPr="00BF3C3C">
              <w:rPr>
                <w:rFonts w:ascii="Book Antiqua" w:hAnsi="Book Antiqua" w:cs="Times New Roman"/>
                <w:sz w:val="24"/>
                <w:szCs w:val="24"/>
              </w:rPr>
              <w:t>)</w:t>
            </w:r>
          </w:p>
        </w:tc>
        <w:tc>
          <w:tcPr>
            <w:tcW w:w="585" w:type="pct"/>
            <w:vMerge w:val="restar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0.250</w:t>
            </w:r>
          </w:p>
        </w:tc>
      </w:tr>
      <w:tr w:rsidR="00EF6307" w:rsidRPr="00BF3C3C" w:rsidTr="00DE3F27">
        <w:trPr>
          <w:trHeight w:hRule="exact" w:val="397"/>
        </w:trPr>
        <w:tc>
          <w:tcPr>
            <w:tcW w:w="1961" w:type="pct"/>
          </w:tcPr>
          <w:p w:rsidR="00D85EC3" w:rsidRPr="00BF3C3C" w:rsidRDefault="00D85EC3" w:rsidP="00B03D77">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 xml:space="preserve">DM </w:t>
            </w:r>
          </w:p>
        </w:tc>
        <w:tc>
          <w:tcPr>
            <w:tcW w:w="1226"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7 (26.9</w:t>
            </w:r>
            <w:r w:rsidR="00D85EC3" w:rsidRPr="00BF3C3C">
              <w:rPr>
                <w:rFonts w:ascii="Book Antiqua" w:hAnsi="Book Antiqua" w:cs="Times New Roman"/>
                <w:sz w:val="24"/>
                <w:szCs w:val="24"/>
              </w:rPr>
              <w:t>)</w:t>
            </w:r>
          </w:p>
        </w:tc>
        <w:tc>
          <w:tcPr>
            <w:tcW w:w="1228"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20 (36.4</w:t>
            </w:r>
            <w:r w:rsidR="00D85EC3" w:rsidRPr="00BF3C3C">
              <w:rPr>
                <w:rFonts w:ascii="Book Antiqua" w:hAnsi="Book Antiqua" w:cs="Times New Roman"/>
                <w:sz w:val="24"/>
                <w:szCs w:val="24"/>
              </w:rPr>
              <w:t>)</w:t>
            </w:r>
          </w:p>
        </w:tc>
        <w:tc>
          <w:tcPr>
            <w:tcW w:w="585"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DE3F27">
        <w:trPr>
          <w:trHeight w:hRule="exact" w:val="397"/>
        </w:trPr>
        <w:tc>
          <w:tcPr>
            <w:tcW w:w="1961" w:type="pct"/>
          </w:tcPr>
          <w:p w:rsidR="00D85EC3" w:rsidRPr="00BF3C3C" w:rsidRDefault="00D85EC3" w:rsidP="00B22DE1">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HTN</w:t>
            </w:r>
          </w:p>
        </w:tc>
        <w:tc>
          <w:tcPr>
            <w:tcW w:w="1226"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3 (11.5</w:t>
            </w:r>
            <w:r w:rsidR="00D85EC3" w:rsidRPr="00BF3C3C">
              <w:rPr>
                <w:rFonts w:ascii="Book Antiqua" w:hAnsi="Book Antiqua" w:cs="Times New Roman"/>
                <w:sz w:val="24"/>
                <w:szCs w:val="24"/>
              </w:rPr>
              <w:t>)</w:t>
            </w:r>
          </w:p>
        </w:tc>
        <w:tc>
          <w:tcPr>
            <w:tcW w:w="1228"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3 (5.5</w:t>
            </w:r>
            <w:r w:rsidR="00D85EC3" w:rsidRPr="00BF3C3C">
              <w:rPr>
                <w:rFonts w:ascii="Book Antiqua" w:hAnsi="Book Antiqua" w:cs="Times New Roman"/>
                <w:sz w:val="24"/>
                <w:szCs w:val="24"/>
              </w:rPr>
              <w:t>)</w:t>
            </w:r>
          </w:p>
        </w:tc>
        <w:tc>
          <w:tcPr>
            <w:tcW w:w="585"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DE3F27">
        <w:trPr>
          <w:trHeight w:hRule="exact" w:val="397"/>
        </w:trPr>
        <w:tc>
          <w:tcPr>
            <w:tcW w:w="1961" w:type="pct"/>
          </w:tcPr>
          <w:p w:rsidR="00D85EC3" w:rsidRPr="00BF3C3C" w:rsidRDefault="00D85EC3" w:rsidP="00B22DE1">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 xml:space="preserve">Polycystic kidney disease </w:t>
            </w:r>
            <w:r w:rsidRPr="00BF3C3C">
              <w:rPr>
                <w:rFonts w:ascii="Book Antiqua" w:eastAsia="Arial Unicode MS" w:hAnsi="Book Antiqua" w:cs="Times New Roman"/>
                <w:sz w:val="24"/>
                <w:szCs w:val="24"/>
              </w:rPr>
              <w:t>(%)]</w:t>
            </w:r>
          </w:p>
        </w:tc>
        <w:tc>
          <w:tcPr>
            <w:tcW w:w="1226"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0 (0.0</w:t>
            </w:r>
            <w:r w:rsidR="00D85EC3" w:rsidRPr="00BF3C3C">
              <w:rPr>
                <w:rFonts w:ascii="Book Antiqua" w:hAnsi="Book Antiqua" w:cs="Times New Roman"/>
                <w:sz w:val="24"/>
                <w:szCs w:val="24"/>
              </w:rPr>
              <w:t>)</w:t>
            </w:r>
          </w:p>
        </w:tc>
        <w:tc>
          <w:tcPr>
            <w:tcW w:w="1228"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 (1.8</w:t>
            </w:r>
            <w:r w:rsidR="00D85EC3" w:rsidRPr="00BF3C3C">
              <w:rPr>
                <w:rFonts w:ascii="Book Antiqua" w:hAnsi="Book Antiqua" w:cs="Times New Roman"/>
                <w:sz w:val="24"/>
                <w:szCs w:val="24"/>
              </w:rPr>
              <w:t>)</w:t>
            </w:r>
          </w:p>
        </w:tc>
        <w:tc>
          <w:tcPr>
            <w:tcW w:w="585"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DE3F27">
        <w:trPr>
          <w:trHeight w:hRule="exact" w:val="397"/>
        </w:trPr>
        <w:tc>
          <w:tcPr>
            <w:tcW w:w="1961" w:type="pct"/>
          </w:tcPr>
          <w:p w:rsidR="00D85EC3" w:rsidRPr="00BF3C3C" w:rsidRDefault="00D85EC3" w:rsidP="00B22DE1">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 xml:space="preserve">unknown/idiopathic </w:t>
            </w:r>
          </w:p>
        </w:tc>
        <w:tc>
          <w:tcPr>
            <w:tcW w:w="1226"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3 (11.5</w:t>
            </w:r>
            <w:r w:rsidR="00D85EC3" w:rsidRPr="00BF3C3C">
              <w:rPr>
                <w:rFonts w:ascii="Book Antiqua" w:hAnsi="Book Antiqua" w:cs="Times New Roman"/>
                <w:sz w:val="24"/>
                <w:szCs w:val="24"/>
              </w:rPr>
              <w:t>)</w:t>
            </w:r>
          </w:p>
        </w:tc>
        <w:tc>
          <w:tcPr>
            <w:tcW w:w="1228"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11 (20.0</w:t>
            </w:r>
            <w:r w:rsidR="00D85EC3" w:rsidRPr="00BF3C3C">
              <w:rPr>
                <w:rFonts w:ascii="Book Antiqua" w:hAnsi="Book Antiqua" w:cs="Times New Roman"/>
                <w:sz w:val="24"/>
                <w:szCs w:val="24"/>
              </w:rPr>
              <w:t>)</w:t>
            </w:r>
          </w:p>
        </w:tc>
        <w:tc>
          <w:tcPr>
            <w:tcW w:w="585"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DE3F27">
        <w:trPr>
          <w:trHeight w:hRule="exact" w:val="397"/>
        </w:trPr>
        <w:tc>
          <w:tcPr>
            <w:tcW w:w="1961" w:type="pct"/>
          </w:tcPr>
          <w:p w:rsidR="00D85EC3" w:rsidRPr="00BF3C3C" w:rsidRDefault="00D85EC3" w:rsidP="00B22DE1">
            <w:pPr>
              <w:spacing w:line="360" w:lineRule="auto"/>
              <w:ind w:firstLineChars="150" w:firstLine="360"/>
              <w:rPr>
                <w:rFonts w:ascii="Book Antiqua" w:hAnsi="Book Antiqua" w:cs="Times New Roman"/>
                <w:sz w:val="24"/>
                <w:szCs w:val="24"/>
              </w:rPr>
            </w:pPr>
            <w:r w:rsidRPr="00BF3C3C">
              <w:rPr>
                <w:rFonts w:ascii="Book Antiqua" w:hAnsi="Book Antiqua" w:cs="Times New Roman"/>
                <w:sz w:val="24"/>
                <w:szCs w:val="24"/>
              </w:rPr>
              <w:t>other cause</w:t>
            </w:r>
          </w:p>
        </w:tc>
        <w:tc>
          <w:tcPr>
            <w:tcW w:w="1226"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1 (3.8</w:t>
            </w:r>
            <w:r w:rsidR="00D85EC3" w:rsidRPr="00BF3C3C">
              <w:rPr>
                <w:rFonts w:ascii="Book Antiqua" w:hAnsi="Book Antiqua" w:cs="Times New Roman"/>
                <w:sz w:val="24"/>
                <w:szCs w:val="24"/>
              </w:rPr>
              <w:t>)</w:t>
            </w:r>
          </w:p>
        </w:tc>
        <w:tc>
          <w:tcPr>
            <w:tcW w:w="1228"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3 (5.5</w:t>
            </w:r>
            <w:r w:rsidR="00D85EC3" w:rsidRPr="00BF3C3C">
              <w:rPr>
                <w:rFonts w:ascii="Book Antiqua" w:hAnsi="Book Antiqua" w:cs="Times New Roman"/>
                <w:sz w:val="24"/>
                <w:szCs w:val="24"/>
              </w:rPr>
              <w:t>)</w:t>
            </w:r>
          </w:p>
        </w:tc>
        <w:tc>
          <w:tcPr>
            <w:tcW w:w="585" w:type="pct"/>
            <w:vMerge/>
          </w:tcPr>
          <w:p w:rsidR="00D85EC3" w:rsidRPr="00BF3C3C" w:rsidRDefault="00D85EC3" w:rsidP="002A4F8D">
            <w:pPr>
              <w:spacing w:line="360" w:lineRule="auto"/>
              <w:rPr>
                <w:rFonts w:ascii="Book Antiqua" w:hAnsi="Book Antiqua" w:cs="Times New Roman"/>
                <w:sz w:val="24"/>
                <w:szCs w:val="24"/>
              </w:rPr>
            </w:pPr>
          </w:p>
        </w:tc>
      </w:tr>
      <w:tr w:rsidR="00EF6307" w:rsidRPr="00BF3C3C" w:rsidTr="00DE3F27">
        <w:trPr>
          <w:trHeight w:hRule="exact" w:val="397"/>
        </w:trPr>
        <w:tc>
          <w:tcPr>
            <w:tcW w:w="1961" w:type="pct"/>
          </w:tcPr>
          <w:p w:rsidR="00D85EC3" w:rsidRPr="00BF3C3C" w:rsidRDefault="00D85EC3" w:rsidP="00B22DE1">
            <w:pPr>
              <w:spacing w:line="360" w:lineRule="auto"/>
              <w:rPr>
                <w:rFonts w:ascii="Book Antiqua" w:hAnsi="Book Antiqua" w:cs="Times New Roman"/>
                <w:sz w:val="24"/>
                <w:szCs w:val="24"/>
              </w:rPr>
            </w:pPr>
            <w:r w:rsidRPr="00BF3C3C">
              <w:rPr>
                <w:rFonts w:ascii="Book Antiqua" w:hAnsi="Book Antiqua" w:cs="Times New Roman"/>
                <w:sz w:val="24"/>
                <w:szCs w:val="24"/>
              </w:rPr>
              <w:t>HTN</w:t>
            </w:r>
          </w:p>
        </w:tc>
        <w:tc>
          <w:tcPr>
            <w:tcW w:w="1226"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21 (80.8</w:t>
            </w:r>
            <w:r w:rsidR="00D85EC3" w:rsidRPr="00BF3C3C">
              <w:rPr>
                <w:rFonts w:ascii="Book Antiqua" w:hAnsi="Book Antiqua" w:cs="Times New Roman"/>
                <w:sz w:val="24"/>
                <w:szCs w:val="24"/>
              </w:rPr>
              <w:t>)</w:t>
            </w:r>
          </w:p>
        </w:tc>
        <w:tc>
          <w:tcPr>
            <w:tcW w:w="1228"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43 (78.2</w:t>
            </w:r>
            <w:r w:rsidR="00D85EC3" w:rsidRPr="00BF3C3C">
              <w:rPr>
                <w:rFonts w:ascii="Book Antiqua" w:hAnsi="Book Antiqua" w:cs="Times New Roman"/>
                <w:sz w:val="24"/>
                <w:szCs w:val="24"/>
              </w:rPr>
              <w:t>)</w:t>
            </w:r>
          </w:p>
        </w:tc>
        <w:tc>
          <w:tcPr>
            <w:tcW w:w="585"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0.789</w:t>
            </w:r>
          </w:p>
        </w:tc>
      </w:tr>
      <w:tr w:rsidR="00EF6307" w:rsidRPr="00BF3C3C" w:rsidTr="00DE3F27">
        <w:trPr>
          <w:trHeight w:hRule="exact" w:val="397"/>
        </w:trPr>
        <w:tc>
          <w:tcPr>
            <w:tcW w:w="1961" w:type="pct"/>
          </w:tcPr>
          <w:p w:rsidR="00D85EC3" w:rsidRPr="00BF3C3C" w:rsidRDefault="00D85EC3" w:rsidP="00B22DE1">
            <w:pPr>
              <w:spacing w:line="360" w:lineRule="auto"/>
              <w:rPr>
                <w:rFonts w:ascii="Book Antiqua" w:hAnsi="Book Antiqua" w:cs="Times New Roman"/>
                <w:sz w:val="24"/>
                <w:szCs w:val="24"/>
              </w:rPr>
            </w:pPr>
            <w:r w:rsidRPr="00BF3C3C">
              <w:rPr>
                <w:rFonts w:ascii="Book Antiqua" w:hAnsi="Book Antiqua" w:cs="Times New Roman"/>
                <w:sz w:val="24"/>
                <w:szCs w:val="24"/>
              </w:rPr>
              <w:t xml:space="preserve">DM </w:t>
            </w:r>
          </w:p>
        </w:tc>
        <w:tc>
          <w:tcPr>
            <w:tcW w:w="1226"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8 (30.8</w:t>
            </w:r>
            <w:r w:rsidR="00D85EC3" w:rsidRPr="00BF3C3C">
              <w:rPr>
                <w:rFonts w:ascii="Book Antiqua" w:hAnsi="Book Antiqua" w:cs="Times New Roman"/>
                <w:sz w:val="24"/>
                <w:szCs w:val="24"/>
              </w:rPr>
              <w:t>)</w:t>
            </w:r>
          </w:p>
        </w:tc>
        <w:tc>
          <w:tcPr>
            <w:tcW w:w="1228"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25 (45.5</w:t>
            </w:r>
            <w:r w:rsidR="00D85EC3" w:rsidRPr="00BF3C3C">
              <w:rPr>
                <w:rFonts w:ascii="Book Antiqua" w:hAnsi="Book Antiqua" w:cs="Times New Roman"/>
                <w:sz w:val="24"/>
                <w:szCs w:val="24"/>
              </w:rPr>
              <w:t>)</w:t>
            </w:r>
          </w:p>
        </w:tc>
        <w:tc>
          <w:tcPr>
            <w:tcW w:w="585"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0.209</w:t>
            </w:r>
          </w:p>
        </w:tc>
      </w:tr>
      <w:tr w:rsidR="00EF6307" w:rsidRPr="00BF3C3C" w:rsidTr="00DE3F27">
        <w:trPr>
          <w:trHeight w:hRule="exact" w:val="397"/>
        </w:trPr>
        <w:tc>
          <w:tcPr>
            <w:tcW w:w="1961" w:type="pct"/>
          </w:tcPr>
          <w:p w:rsidR="00D85EC3" w:rsidRPr="00BF3C3C" w:rsidRDefault="00D85EC3" w:rsidP="00B22DE1">
            <w:pPr>
              <w:spacing w:line="360" w:lineRule="auto"/>
              <w:rPr>
                <w:rFonts w:ascii="Book Antiqua" w:hAnsi="Book Antiqua" w:cs="Times New Roman"/>
                <w:sz w:val="24"/>
                <w:szCs w:val="24"/>
              </w:rPr>
            </w:pPr>
            <w:r w:rsidRPr="00BF3C3C">
              <w:rPr>
                <w:rFonts w:ascii="Book Antiqua" w:hAnsi="Book Antiqua" w:cs="Times New Roman"/>
                <w:sz w:val="24"/>
                <w:szCs w:val="24"/>
              </w:rPr>
              <w:t xml:space="preserve">Diverticulosis </w:t>
            </w:r>
          </w:p>
        </w:tc>
        <w:tc>
          <w:tcPr>
            <w:tcW w:w="1226"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0 (0.0</w:t>
            </w:r>
            <w:r w:rsidR="00D85EC3" w:rsidRPr="00BF3C3C">
              <w:rPr>
                <w:rFonts w:ascii="Book Antiqua" w:hAnsi="Book Antiqua" w:cs="Times New Roman"/>
                <w:sz w:val="24"/>
                <w:szCs w:val="24"/>
              </w:rPr>
              <w:t>)</w:t>
            </w:r>
          </w:p>
        </w:tc>
        <w:tc>
          <w:tcPr>
            <w:tcW w:w="1228"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0 (0.0</w:t>
            </w:r>
            <w:r w:rsidR="00D85EC3" w:rsidRPr="00BF3C3C">
              <w:rPr>
                <w:rFonts w:ascii="Book Antiqua" w:hAnsi="Book Antiqua" w:cs="Times New Roman"/>
                <w:sz w:val="24"/>
                <w:szCs w:val="24"/>
              </w:rPr>
              <w:t>)</w:t>
            </w:r>
          </w:p>
        </w:tc>
        <w:tc>
          <w:tcPr>
            <w:tcW w:w="585" w:type="pct"/>
          </w:tcPr>
          <w:p w:rsidR="00D85EC3" w:rsidRPr="00BF3C3C" w:rsidRDefault="00D85EC3" w:rsidP="002A4F8D">
            <w:pPr>
              <w:spacing w:line="360" w:lineRule="auto"/>
              <w:rPr>
                <w:rFonts w:ascii="Book Antiqua" w:hAnsi="Book Antiqua" w:cs="Times New Roman"/>
                <w:sz w:val="24"/>
                <w:szCs w:val="24"/>
              </w:rPr>
            </w:pPr>
          </w:p>
        </w:tc>
      </w:tr>
      <w:tr w:rsidR="00EF6307" w:rsidRPr="00BF3C3C" w:rsidTr="00DE3F27">
        <w:trPr>
          <w:trHeight w:hRule="exact" w:val="397"/>
        </w:trPr>
        <w:tc>
          <w:tcPr>
            <w:tcW w:w="1961" w:type="pct"/>
          </w:tcPr>
          <w:p w:rsidR="00D85EC3" w:rsidRPr="00BF3C3C" w:rsidRDefault="00D85EC3" w:rsidP="00B22DE1">
            <w:pPr>
              <w:spacing w:line="360" w:lineRule="auto"/>
              <w:rPr>
                <w:rFonts w:ascii="Book Antiqua" w:hAnsi="Book Antiqua" w:cs="Times New Roman"/>
                <w:sz w:val="24"/>
                <w:szCs w:val="24"/>
              </w:rPr>
            </w:pPr>
            <w:r w:rsidRPr="00BF3C3C">
              <w:rPr>
                <w:rFonts w:ascii="Book Antiqua" w:hAnsi="Book Antiqua" w:cs="Times New Roman"/>
                <w:sz w:val="24"/>
                <w:szCs w:val="24"/>
              </w:rPr>
              <w:t xml:space="preserve">PD modality (CAPD) </w:t>
            </w:r>
          </w:p>
        </w:tc>
        <w:tc>
          <w:tcPr>
            <w:tcW w:w="1226"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23 (88.5</w:t>
            </w:r>
            <w:r w:rsidR="00D85EC3" w:rsidRPr="00BF3C3C">
              <w:rPr>
                <w:rFonts w:ascii="Book Antiqua" w:hAnsi="Book Antiqua" w:cs="Times New Roman"/>
                <w:sz w:val="24"/>
                <w:szCs w:val="24"/>
              </w:rPr>
              <w:t>)</w:t>
            </w:r>
          </w:p>
        </w:tc>
        <w:tc>
          <w:tcPr>
            <w:tcW w:w="1228" w:type="pct"/>
          </w:tcPr>
          <w:p w:rsidR="00D85EC3" w:rsidRPr="00BF3C3C" w:rsidRDefault="004A36EB" w:rsidP="002A4F8D">
            <w:pPr>
              <w:spacing w:line="360" w:lineRule="auto"/>
              <w:rPr>
                <w:rFonts w:ascii="Book Antiqua" w:hAnsi="Book Antiqua" w:cs="Times New Roman"/>
                <w:sz w:val="24"/>
                <w:szCs w:val="24"/>
              </w:rPr>
            </w:pPr>
            <w:r>
              <w:rPr>
                <w:rFonts w:ascii="Book Antiqua" w:hAnsi="Book Antiqua" w:cs="Times New Roman"/>
                <w:sz w:val="24"/>
                <w:szCs w:val="24"/>
              </w:rPr>
              <w:t>46 (83.6</w:t>
            </w:r>
            <w:r w:rsidR="00D85EC3" w:rsidRPr="00BF3C3C">
              <w:rPr>
                <w:rFonts w:ascii="Book Antiqua" w:hAnsi="Book Antiqua" w:cs="Times New Roman"/>
                <w:sz w:val="24"/>
                <w:szCs w:val="24"/>
              </w:rPr>
              <w:t>)</w:t>
            </w:r>
          </w:p>
        </w:tc>
        <w:tc>
          <w:tcPr>
            <w:tcW w:w="585"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0.743</w:t>
            </w:r>
          </w:p>
        </w:tc>
      </w:tr>
      <w:tr w:rsidR="00EF6307" w:rsidRPr="00BF3C3C" w:rsidTr="00DE3F27">
        <w:trPr>
          <w:trHeight w:hRule="exact" w:val="397"/>
        </w:trPr>
        <w:tc>
          <w:tcPr>
            <w:tcW w:w="1961"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 xml:space="preserve">Initial serum Albumin (mg/dL) </w:t>
            </w:r>
          </w:p>
        </w:tc>
        <w:tc>
          <w:tcPr>
            <w:tcW w:w="1226"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3.52 ± 0.45</w:t>
            </w:r>
          </w:p>
        </w:tc>
        <w:tc>
          <w:tcPr>
            <w:tcW w:w="1228"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3.47 ± 0.43</w:t>
            </w:r>
          </w:p>
        </w:tc>
        <w:tc>
          <w:tcPr>
            <w:tcW w:w="585" w:type="pct"/>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0.687</w:t>
            </w:r>
          </w:p>
        </w:tc>
      </w:tr>
      <w:tr w:rsidR="00EF6307" w:rsidRPr="00BF3C3C" w:rsidTr="00DE3F27">
        <w:trPr>
          <w:trHeight w:hRule="exact" w:val="397"/>
        </w:trPr>
        <w:tc>
          <w:tcPr>
            <w:tcW w:w="1961" w:type="pct"/>
          </w:tcPr>
          <w:p w:rsidR="00D85EC3" w:rsidRPr="00BF3C3C" w:rsidRDefault="00D85EC3" w:rsidP="00B22DE1">
            <w:pPr>
              <w:spacing w:line="360" w:lineRule="auto"/>
              <w:rPr>
                <w:rFonts w:ascii="Book Antiqua" w:hAnsi="Book Antiqua" w:cs="Times New Roman"/>
                <w:sz w:val="24"/>
                <w:szCs w:val="24"/>
              </w:rPr>
            </w:pPr>
            <w:r w:rsidRPr="00BF3C3C">
              <w:rPr>
                <w:rFonts w:ascii="Book Antiqua" w:hAnsi="Book Antiqua" w:cs="Times New Roman"/>
                <w:sz w:val="24"/>
                <w:szCs w:val="24"/>
              </w:rPr>
              <w:t xml:space="preserve">Peritonitis free time (d) </w:t>
            </w:r>
          </w:p>
        </w:tc>
        <w:tc>
          <w:tcPr>
            <w:tcW w:w="1226" w:type="pct"/>
          </w:tcPr>
          <w:p w:rsidR="00D85EC3" w:rsidRPr="00BF3C3C" w:rsidRDefault="00D85EC3" w:rsidP="002A4F8D">
            <w:pPr>
              <w:spacing w:line="360" w:lineRule="auto"/>
              <w:rPr>
                <w:rFonts w:ascii="Book Antiqua" w:hAnsi="Book Antiqua" w:cs="Times New Roman"/>
                <w:sz w:val="24"/>
                <w:szCs w:val="24"/>
              </w:rPr>
            </w:pPr>
          </w:p>
        </w:tc>
        <w:tc>
          <w:tcPr>
            <w:tcW w:w="1228" w:type="pct"/>
          </w:tcPr>
          <w:p w:rsidR="00D85EC3" w:rsidRPr="00BF3C3C" w:rsidRDefault="00D85EC3" w:rsidP="002A4F8D">
            <w:pPr>
              <w:spacing w:line="360" w:lineRule="auto"/>
              <w:rPr>
                <w:rFonts w:ascii="Book Antiqua" w:hAnsi="Book Antiqua" w:cs="Times New Roman"/>
                <w:sz w:val="24"/>
                <w:szCs w:val="24"/>
              </w:rPr>
            </w:pPr>
          </w:p>
        </w:tc>
        <w:tc>
          <w:tcPr>
            <w:tcW w:w="585" w:type="pct"/>
          </w:tcPr>
          <w:p w:rsidR="00D85EC3" w:rsidRPr="00BF3C3C" w:rsidRDefault="00D85EC3" w:rsidP="002A4F8D">
            <w:pPr>
              <w:spacing w:line="360" w:lineRule="auto"/>
              <w:rPr>
                <w:rFonts w:ascii="Book Antiqua" w:hAnsi="Book Antiqua" w:cs="Times New Roman"/>
                <w:sz w:val="24"/>
                <w:szCs w:val="24"/>
              </w:rPr>
            </w:pPr>
          </w:p>
        </w:tc>
      </w:tr>
      <w:tr w:rsidR="00EF6307" w:rsidRPr="00BF3C3C" w:rsidTr="00B22DE1">
        <w:trPr>
          <w:trHeight w:hRule="exact" w:val="397"/>
        </w:trPr>
        <w:tc>
          <w:tcPr>
            <w:tcW w:w="1961" w:type="pct"/>
            <w:tcBorders>
              <w:bottom w:val="single" w:sz="4" w:space="0" w:color="auto"/>
            </w:tcBorders>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[median (range)]</w:t>
            </w:r>
          </w:p>
        </w:tc>
        <w:tc>
          <w:tcPr>
            <w:tcW w:w="1226" w:type="pct"/>
            <w:tcBorders>
              <w:bottom w:val="single" w:sz="4" w:space="0" w:color="auto"/>
            </w:tcBorders>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692 (31–3696)</w:t>
            </w:r>
          </w:p>
        </w:tc>
        <w:tc>
          <w:tcPr>
            <w:tcW w:w="1228" w:type="pct"/>
            <w:tcBorders>
              <w:bottom w:val="single" w:sz="4" w:space="0" w:color="auto"/>
            </w:tcBorders>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1064 (31-5383)</w:t>
            </w:r>
          </w:p>
        </w:tc>
        <w:tc>
          <w:tcPr>
            <w:tcW w:w="585" w:type="pct"/>
            <w:tcBorders>
              <w:bottom w:val="single" w:sz="4" w:space="0" w:color="auto"/>
            </w:tcBorders>
          </w:tcPr>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0.380</w:t>
            </w:r>
          </w:p>
        </w:tc>
      </w:tr>
    </w:tbl>
    <w:p w:rsidR="00D85EC3" w:rsidRPr="00BF3C3C" w:rsidRDefault="00D85EC3" w:rsidP="002A4F8D">
      <w:pPr>
        <w:spacing w:line="360" w:lineRule="auto"/>
        <w:rPr>
          <w:rFonts w:ascii="Book Antiqua" w:hAnsi="Book Antiqua" w:cs="Times New Roman"/>
          <w:sz w:val="24"/>
          <w:szCs w:val="24"/>
        </w:rPr>
      </w:pPr>
      <w:r w:rsidRPr="00BF3C3C">
        <w:rPr>
          <w:rFonts w:ascii="Book Antiqua" w:hAnsi="Book Antiqua" w:cs="Times New Roman"/>
          <w:sz w:val="24"/>
          <w:szCs w:val="24"/>
        </w:rPr>
        <w:t>Data presented as mean ± standard devi</w:t>
      </w:r>
      <w:r w:rsidR="00B22DE1" w:rsidRPr="00BF3C3C">
        <w:rPr>
          <w:rFonts w:ascii="Book Antiqua" w:hAnsi="Book Antiqua" w:cs="Times New Roman"/>
          <w:sz w:val="24"/>
          <w:szCs w:val="24"/>
        </w:rPr>
        <w:t>ation, unless otherwise stated.</w:t>
      </w:r>
      <w:r w:rsidR="00B22DE1" w:rsidRPr="00BF3C3C">
        <w:rPr>
          <w:rFonts w:ascii="Book Antiqua" w:eastAsia="宋体" w:hAnsi="Book Antiqua" w:cs="Times New Roman" w:hint="eastAsia"/>
          <w:sz w:val="24"/>
          <w:szCs w:val="24"/>
          <w:lang w:eastAsia="zh-CN"/>
        </w:rPr>
        <w:t xml:space="preserve"> </w:t>
      </w:r>
      <w:r w:rsidRPr="00BF3C3C">
        <w:rPr>
          <w:rFonts w:ascii="Book Antiqua" w:hAnsi="Book Antiqua" w:cs="Times New Roman"/>
          <w:sz w:val="24"/>
          <w:szCs w:val="24"/>
        </w:rPr>
        <w:t>Bwt</w:t>
      </w:r>
      <w:r w:rsidR="00B22DE1" w:rsidRPr="00BF3C3C">
        <w:rPr>
          <w:rFonts w:ascii="Book Antiqua" w:eastAsia="宋体" w:hAnsi="Book Antiqua" w:cs="Times New Roman" w:hint="eastAsia"/>
          <w:sz w:val="24"/>
          <w:szCs w:val="24"/>
          <w:lang w:eastAsia="zh-CN"/>
        </w:rPr>
        <w:t>:</w:t>
      </w:r>
      <w:r w:rsidRPr="00BF3C3C">
        <w:rPr>
          <w:rFonts w:ascii="Book Antiqua" w:hAnsi="Book Antiqua" w:cs="Times New Roman"/>
          <w:sz w:val="24"/>
          <w:szCs w:val="24"/>
        </w:rPr>
        <w:t xml:space="preserve"> </w:t>
      </w:r>
      <w:r w:rsidR="00B22DE1" w:rsidRPr="00BF3C3C">
        <w:rPr>
          <w:rFonts w:ascii="Book Antiqua" w:hAnsi="Book Antiqua" w:cs="Times New Roman"/>
          <w:sz w:val="24"/>
          <w:szCs w:val="24"/>
        </w:rPr>
        <w:t xml:space="preserve">Body </w:t>
      </w:r>
      <w:r w:rsidRPr="00BF3C3C">
        <w:rPr>
          <w:rFonts w:ascii="Book Antiqua" w:hAnsi="Book Antiqua" w:cs="Times New Roman"/>
          <w:sz w:val="24"/>
          <w:szCs w:val="24"/>
        </w:rPr>
        <w:t>weight; BMI</w:t>
      </w:r>
      <w:r w:rsidR="00B22DE1" w:rsidRPr="00BF3C3C">
        <w:rPr>
          <w:rFonts w:ascii="Book Antiqua" w:eastAsia="宋体" w:hAnsi="Book Antiqua" w:cs="Times New Roman" w:hint="eastAsia"/>
          <w:sz w:val="24"/>
          <w:szCs w:val="24"/>
          <w:lang w:eastAsia="zh-CN"/>
        </w:rPr>
        <w:t xml:space="preserve">: </w:t>
      </w:r>
      <w:r w:rsidR="00B22DE1" w:rsidRPr="00BF3C3C">
        <w:rPr>
          <w:rFonts w:ascii="Book Antiqua" w:hAnsi="Book Antiqua" w:cs="Times New Roman"/>
          <w:sz w:val="24"/>
          <w:szCs w:val="24"/>
        </w:rPr>
        <w:t xml:space="preserve">Body </w:t>
      </w:r>
      <w:r w:rsidRPr="00BF3C3C">
        <w:rPr>
          <w:rFonts w:ascii="Book Antiqua" w:hAnsi="Book Antiqua" w:cs="Times New Roman"/>
          <w:sz w:val="24"/>
          <w:szCs w:val="24"/>
        </w:rPr>
        <w:t>mass index; ESRD</w:t>
      </w:r>
      <w:r w:rsidR="00B22DE1" w:rsidRPr="00BF3C3C">
        <w:rPr>
          <w:rFonts w:ascii="Book Antiqua" w:eastAsia="宋体" w:hAnsi="Book Antiqua" w:cs="Times New Roman" w:hint="eastAsia"/>
          <w:sz w:val="24"/>
          <w:szCs w:val="24"/>
          <w:lang w:eastAsia="zh-CN"/>
        </w:rPr>
        <w:t xml:space="preserve">: </w:t>
      </w:r>
      <w:r w:rsidR="00B22DE1" w:rsidRPr="00BF3C3C">
        <w:rPr>
          <w:rFonts w:ascii="Book Antiqua" w:hAnsi="Book Antiqua" w:cs="Times New Roman"/>
          <w:sz w:val="24"/>
          <w:szCs w:val="24"/>
        </w:rPr>
        <w:t xml:space="preserve">End </w:t>
      </w:r>
      <w:r w:rsidRPr="00BF3C3C">
        <w:rPr>
          <w:rFonts w:ascii="Book Antiqua" w:hAnsi="Book Antiqua" w:cs="Times New Roman"/>
          <w:sz w:val="24"/>
          <w:szCs w:val="24"/>
        </w:rPr>
        <w:t>stage renal disease; DM</w:t>
      </w:r>
      <w:r w:rsidR="00B22DE1" w:rsidRPr="00BF3C3C">
        <w:rPr>
          <w:rFonts w:ascii="Book Antiqua" w:eastAsia="宋体" w:hAnsi="Book Antiqua" w:cs="Times New Roman" w:hint="eastAsia"/>
          <w:sz w:val="24"/>
          <w:szCs w:val="24"/>
          <w:lang w:eastAsia="zh-CN"/>
        </w:rPr>
        <w:t>:</w:t>
      </w:r>
      <w:r w:rsidRPr="00BF3C3C">
        <w:rPr>
          <w:rFonts w:ascii="Book Antiqua" w:hAnsi="Book Antiqua" w:cs="Times New Roman"/>
          <w:sz w:val="24"/>
          <w:szCs w:val="24"/>
        </w:rPr>
        <w:t xml:space="preserve"> </w:t>
      </w:r>
      <w:r w:rsidR="00B22DE1" w:rsidRPr="00BF3C3C">
        <w:rPr>
          <w:rFonts w:ascii="Book Antiqua" w:hAnsi="Book Antiqua" w:cs="Times New Roman"/>
          <w:sz w:val="24"/>
          <w:szCs w:val="24"/>
        </w:rPr>
        <w:t xml:space="preserve">Diabetes </w:t>
      </w:r>
      <w:r w:rsidRPr="00BF3C3C">
        <w:rPr>
          <w:rFonts w:ascii="Book Antiqua" w:hAnsi="Book Antiqua" w:cs="Times New Roman"/>
          <w:sz w:val="24"/>
          <w:szCs w:val="24"/>
        </w:rPr>
        <w:t>mellitus; HTN</w:t>
      </w:r>
      <w:r w:rsidR="00B22DE1" w:rsidRPr="00BF3C3C">
        <w:rPr>
          <w:rFonts w:ascii="Book Antiqua" w:eastAsia="宋体" w:hAnsi="Book Antiqua" w:cs="Times New Roman" w:hint="eastAsia"/>
          <w:sz w:val="24"/>
          <w:szCs w:val="24"/>
          <w:lang w:eastAsia="zh-CN"/>
        </w:rPr>
        <w:t xml:space="preserve">: </w:t>
      </w:r>
      <w:r w:rsidR="00B22DE1" w:rsidRPr="00BF3C3C">
        <w:rPr>
          <w:rFonts w:ascii="Book Antiqua" w:hAnsi="Book Antiqua" w:cs="Times New Roman"/>
          <w:sz w:val="24"/>
          <w:szCs w:val="24"/>
        </w:rPr>
        <w:t>Hypertension</w:t>
      </w:r>
      <w:r w:rsidRPr="00BF3C3C">
        <w:rPr>
          <w:rFonts w:ascii="Book Antiqua" w:hAnsi="Book Antiqua" w:cs="Times New Roman"/>
          <w:sz w:val="24"/>
          <w:szCs w:val="24"/>
        </w:rPr>
        <w:t>; LC</w:t>
      </w:r>
      <w:r w:rsidR="00B22DE1" w:rsidRPr="00BF3C3C">
        <w:rPr>
          <w:rFonts w:ascii="Book Antiqua" w:eastAsia="宋体" w:hAnsi="Book Antiqua" w:cs="Times New Roman" w:hint="eastAsia"/>
          <w:sz w:val="24"/>
          <w:szCs w:val="24"/>
          <w:lang w:eastAsia="zh-CN"/>
        </w:rPr>
        <w:t>:</w:t>
      </w:r>
      <w:r w:rsidRPr="00BF3C3C">
        <w:rPr>
          <w:rFonts w:ascii="Book Antiqua" w:hAnsi="Book Antiqua" w:cs="Times New Roman"/>
          <w:sz w:val="24"/>
          <w:szCs w:val="24"/>
        </w:rPr>
        <w:t xml:space="preserve"> </w:t>
      </w:r>
      <w:r w:rsidR="00B22DE1" w:rsidRPr="00BF3C3C">
        <w:rPr>
          <w:rFonts w:ascii="Book Antiqua" w:hAnsi="Book Antiqua" w:cs="Times New Roman"/>
          <w:sz w:val="24"/>
          <w:szCs w:val="24"/>
        </w:rPr>
        <w:t xml:space="preserve">Liver </w:t>
      </w:r>
      <w:r w:rsidRPr="00BF3C3C">
        <w:rPr>
          <w:rFonts w:ascii="Book Antiqua" w:hAnsi="Book Antiqua" w:cs="Times New Roman"/>
          <w:sz w:val="24"/>
          <w:szCs w:val="24"/>
        </w:rPr>
        <w:t>cirrhosis; PD</w:t>
      </w:r>
      <w:r w:rsidR="00B22DE1" w:rsidRPr="00BF3C3C">
        <w:rPr>
          <w:rFonts w:ascii="Book Antiqua" w:eastAsia="宋体" w:hAnsi="Book Antiqua" w:cs="Times New Roman" w:hint="eastAsia"/>
          <w:sz w:val="24"/>
          <w:szCs w:val="24"/>
          <w:lang w:eastAsia="zh-CN"/>
        </w:rPr>
        <w:t xml:space="preserve">: </w:t>
      </w:r>
      <w:r w:rsidR="00B22DE1" w:rsidRPr="00BF3C3C">
        <w:rPr>
          <w:rFonts w:ascii="Book Antiqua" w:hAnsi="Book Antiqua" w:cs="Times New Roman"/>
          <w:sz w:val="24"/>
          <w:szCs w:val="24"/>
        </w:rPr>
        <w:t xml:space="preserve">Peritoneal </w:t>
      </w:r>
      <w:r w:rsidRPr="00BF3C3C">
        <w:rPr>
          <w:rFonts w:ascii="Book Antiqua" w:hAnsi="Book Antiqua" w:cs="Times New Roman"/>
          <w:sz w:val="24"/>
          <w:szCs w:val="24"/>
        </w:rPr>
        <w:t>dialysis; CAPD</w:t>
      </w:r>
      <w:r w:rsidR="00B22DE1" w:rsidRPr="00BF3C3C">
        <w:rPr>
          <w:rFonts w:ascii="Book Antiqua" w:eastAsia="宋体" w:hAnsi="Book Antiqua" w:cs="Times New Roman" w:hint="eastAsia"/>
          <w:sz w:val="24"/>
          <w:szCs w:val="24"/>
          <w:lang w:eastAsia="zh-CN"/>
        </w:rPr>
        <w:t xml:space="preserve">: </w:t>
      </w:r>
      <w:r w:rsidR="00B22DE1" w:rsidRPr="00BF3C3C">
        <w:rPr>
          <w:rFonts w:ascii="Book Antiqua" w:hAnsi="Book Antiqua" w:cs="Times New Roman"/>
          <w:sz w:val="24"/>
          <w:szCs w:val="24"/>
        </w:rPr>
        <w:t xml:space="preserve">Continuous </w:t>
      </w:r>
      <w:r w:rsidRPr="00BF3C3C">
        <w:rPr>
          <w:rFonts w:ascii="Book Antiqua" w:hAnsi="Book Antiqua" w:cs="Times New Roman"/>
          <w:sz w:val="24"/>
          <w:szCs w:val="24"/>
        </w:rPr>
        <w:t>ambulatory peritoneal dialysis.</w:t>
      </w:r>
      <w:r w:rsidR="00343D1E" w:rsidRPr="00BF3C3C">
        <w:rPr>
          <w:rFonts w:ascii="Book Antiqua" w:hAnsi="Book Antiqua" w:cs="Times New Roman"/>
          <w:sz w:val="24"/>
          <w:szCs w:val="24"/>
        </w:rPr>
        <w:t xml:space="preserve"> </w:t>
      </w:r>
    </w:p>
    <w:p w:rsidR="00D85EC3" w:rsidRPr="00BF3C3C" w:rsidRDefault="00D85EC3" w:rsidP="002A4F8D">
      <w:pPr>
        <w:widowControl/>
        <w:wordWrap/>
        <w:autoSpaceDE/>
        <w:autoSpaceDN/>
        <w:spacing w:line="360" w:lineRule="auto"/>
        <w:rPr>
          <w:rFonts w:ascii="Book Antiqua" w:hAnsi="Book Antiqua" w:cs="Times New Roman"/>
          <w:b/>
          <w:sz w:val="24"/>
          <w:szCs w:val="24"/>
        </w:rPr>
      </w:pPr>
      <w:r w:rsidRPr="00BF3C3C">
        <w:rPr>
          <w:rFonts w:ascii="Book Antiqua" w:hAnsi="Book Antiqua" w:cs="Times New Roman"/>
          <w:b/>
          <w:sz w:val="24"/>
          <w:szCs w:val="24"/>
        </w:rPr>
        <w:br w:type="page"/>
      </w:r>
    </w:p>
    <w:p w:rsidR="00D85EC3" w:rsidRPr="00BF3C3C" w:rsidRDefault="00B22DE1" w:rsidP="002A4F8D">
      <w:pPr>
        <w:spacing w:line="360" w:lineRule="auto"/>
        <w:rPr>
          <w:rFonts w:ascii="Book Antiqua" w:hAnsi="Book Antiqua" w:cs="Times New Roman"/>
          <w:b/>
          <w:sz w:val="24"/>
          <w:szCs w:val="24"/>
        </w:rPr>
      </w:pPr>
      <w:r w:rsidRPr="00BF3C3C">
        <w:rPr>
          <w:rFonts w:ascii="Book Antiqua" w:hAnsi="Book Antiqua" w:cs="Times New Roman"/>
          <w:b/>
          <w:sz w:val="24"/>
          <w:szCs w:val="24"/>
        </w:rPr>
        <w:lastRenderedPageBreak/>
        <w:t>Table 5</w:t>
      </w:r>
      <w:r w:rsidRPr="00BF3C3C">
        <w:rPr>
          <w:rFonts w:ascii="Book Antiqua" w:eastAsia="宋体" w:hAnsi="Book Antiqua" w:cs="Times New Roman" w:hint="eastAsia"/>
          <w:b/>
          <w:sz w:val="24"/>
          <w:szCs w:val="24"/>
          <w:lang w:eastAsia="zh-CN"/>
        </w:rPr>
        <w:t xml:space="preserve"> </w:t>
      </w:r>
      <w:r w:rsidR="00D85EC3" w:rsidRPr="00BF3C3C">
        <w:rPr>
          <w:rFonts w:ascii="Book Antiqua" w:eastAsiaTheme="minorHAnsi" w:hAnsi="Book Antiqua" w:cs="Times New Roman"/>
          <w:b/>
          <w:sz w:val="24"/>
          <w:szCs w:val="24"/>
        </w:rPr>
        <w:t>Isolated microorganisms of the peritonitis episodes by the PD effluent culture</w:t>
      </w:r>
    </w:p>
    <w:p w:rsidR="00D85EC3" w:rsidRPr="00BF3C3C" w:rsidRDefault="00D85EC3" w:rsidP="002A4F8D">
      <w:pPr>
        <w:spacing w:line="360" w:lineRule="auto"/>
        <w:rPr>
          <w:rFonts w:ascii="Book Antiqua" w:hAnsi="Book Antiqua" w:cs="Times New Roman"/>
          <w:sz w:val="24"/>
          <w:szCs w:val="24"/>
        </w:rPr>
      </w:pPr>
    </w:p>
    <w:tbl>
      <w:tblPr>
        <w:tblW w:w="9370" w:type="dxa"/>
        <w:tblCellMar>
          <w:left w:w="0" w:type="dxa"/>
          <w:right w:w="0" w:type="dxa"/>
        </w:tblCellMar>
        <w:tblLook w:val="04A0" w:firstRow="1" w:lastRow="0" w:firstColumn="1" w:lastColumn="0" w:noHBand="0" w:noVBand="1"/>
      </w:tblPr>
      <w:tblGrid>
        <w:gridCol w:w="4834"/>
        <w:gridCol w:w="2835"/>
        <w:gridCol w:w="1701"/>
      </w:tblGrid>
      <w:tr w:rsidR="00EF6307" w:rsidRPr="00BF3C3C" w:rsidTr="00B22DE1">
        <w:trPr>
          <w:trHeight w:val="305"/>
        </w:trPr>
        <w:tc>
          <w:tcPr>
            <w:tcW w:w="4834"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D85EC3" w:rsidRPr="00BF3C3C" w:rsidRDefault="00D85EC3" w:rsidP="002A4F8D">
            <w:pPr>
              <w:spacing w:line="360" w:lineRule="auto"/>
              <w:rPr>
                <w:rFonts w:ascii="Book Antiqua" w:eastAsia="HYSinMyeongJo-Medium" w:hAnsi="Book Antiqua" w:cs="Times New Roman"/>
                <w:b/>
                <w:sz w:val="24"/>
                <w:szCs w:val="24"/>
              </w:rPr>
            </w:pPr>
            <w:r w:rsidRPr="00BF3C3C">
              <w:rPr>
                <w:rFonts w:ascii="Book Antiqua" w:eastAsia="HYSinMyeongJo-Medium" w:hAnsi="Book Antiqua" w:cs="Times New Roman"/>
                <w:b/>
                <w:sz w:val="24"/>
                <w:szCs w:val="24"/>
              </w:rPr>
              <w:t>Causative organism</w:t>
            </w:r>
          </w:p>
        </w:tc>
        <w:tc>
          <w:tcPr>
            <w:tcW w:w="2835"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D85EC3" w:rsidRPr="00BF3C3C" w:rsidRDefault="00D85EC3" w:rsidP="002A4F8D">
            <w:pPr>
              <w:spacing w:line="360" w:lineRule="auto"/>
              <w:rPr>
                <w:rFonts w:ascii="Book Antiqua" w:eastAsia="HYSinMyeongJo-Medium" w:hAnsi="Book Antiqua" w:cs="Times New Roman"/>
                <w:b/>
                <w:sz w:val="24"/>
                <w:szCs w:val="24"/>
              </w:rPr>
            </w:pPr>
            <w:r w:rsidRPr="00BF3C3C">
              <w:rPr>
                <w:rFonts w:ascii="Book Antiqua" w:eastAsia="HYSinMyeongJo-Medium" w:hAnsi="Book Antiqua" w:cs="Times New Roman"/>
                <w:b/>
                <w:sz w:val="24"/>
                <w:szCs w:val="24"/>
              </w:rPr>
              <w:t xml:space="preserve">Peritonitis episodes </w:t>
            </w:r>
          </w:p>
          <w:p w:rsidR="00D85EC3" w:rsidRPr="00BF3C3C" w:rsidRDefault="00D85EC3" w:rsidP="002A4F8D">
            <w:pPr>
              <w:spacing w:line="360" w:lineRule="auto"/>
              <w:rPr>
                <w:rFonts w:ascii="Book Antiqua" w:eastAsia="HYSinMyeongJo-Medium" w:hAnsi="Book Antiqua" w:cs="Times New Roman"/>
                <w:b/>
                <w:sz w:val="24"/>
                <w:szCs w:val="24"/>
              </w:rPr>
            </w:pPr>
            <w:r w:rsidRPr="00BF3C3C">
              <w:rPr>
                <w:rFonts w:ascii="Book Antiqua" w:eastAsia="HYSinMyeongJo-Medium" w:hAnsi="Book Antiqua" w:cs="Times New Roman"/>
                <w:b/>
                <w:sz w:val="24"/>
                <w:szCs w:val="24"/>
              </w:rPr>
              <w:t>(N</w:t>
            </w:r>
            <w:r w:rsidR="00B22DE1" w:rsidRPr="00BF3C3C">
              <w:rPr>
                <w:rFonts w:ascii="Book Antiqua" w:eastAsia="宋体" w:hAnsi="Book Antiqua" w:cs="Times New Roman" w:hint="eastAsia"/>
                <w:b/>
                <w:sz w:val="24"/>
                <w:szCs w:val="24"/>
                <w:lang w:eastAsia="zh-CN"/>
              </w:rPr>
              <w:t xml:space="preserve"> </w:t>
            </w:r>
            <w:r w:rsidRPr="00BF3C3C">
              <w:rPr>
                <w:rFonts w:ascii="Book Antiqua" w:eastAsia="HYSinMyeongJo-Medium" w:hAnsi="Book Antiqua" w:cs="Times New Roman"/>
                <w:b/>
                <w:sz w:val="24"/>
                <w:szCs w:val="24"/>
              </w:rPr>
              <w:t>=</w:t>
            </w:r>
            <w:r w:rsidR="00B22DE1" w:rsidRPr="00BF3C3C">
              <w:rPr>
                <w:rFonts w:ascii="Book Antiqua" w:eastAsia="宋体" w:hAnsi="Book Antiqua" w:cs="Times New Roman" w:hint="eastAsia"/>
                <w:b/>
                <w:sz w:val="24"/>
                <w:szCs w:val="24"/>
                <w:lang w:eastAsia="zh-CN"/>
              </w:rPr>
              <w:t xml:space="preserve"> </w:t>
            </w:r>
            <w:r w:rsidRPr="00BF3C3C">
              <w:rPr>
                <w:rFonts w:ascii="Book Antiqua" w:eastAsia="HYSinMyeongJo-Medium" w:hAnsi="Book Antiqua" w:cs="Times New Roman"/>
                <w:b/>
                <w:sz w:val="24"/>
                <w:szCs w:val="24"/>
              </w:rPr>
              <w:t>81)</w:t>
            </w:r>
          </w:p>
        </w:tc>
        <w:tc>
          <w:tcPr>
            <w:tcW w:w="1701"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D85EC3" w:rsidRPr="00BF3C3C" w:rsidRDefault="00D85EC3" w:rsidP="002A4F8D">
            <w:pPr>
              <w:spacing w:line="360" w:lineRule="auto"/>
              <w:rPr>
                <w:rFonts w:ascii="Book Antiqua" w:eastAsia="HYSinMyeongJo-Medium" w:hAnsi="Book Antiqua" w:cs="Times New Roman"/>
                <w:b/>
                <w:sz w:val="24"/>
                <w:szCs w:val="24"/>
              </w:rPr>
            </w:pPr>
            <w:r w:rsidRPr="00BF3C3C">
              <w:rPr>
                <w:rFonts w:ascii="Book Antiqua" w:eastAsia="HYSinMyeongJo-Medium" w:hAnsi="Book Antiqua" w:cs="Times New Roman"/>
                <w:b/>
                <w:sz w:val="24"/>
                <w:szCs w:val="24"/>
              </w:rPr>
              <w:t>Percentage (%)</w:t>
            </w:r>
          </w:p>
        </w:tc>
      </w:tr>
      <w:tr w:rsidR="00EF6307" w:rsidRPr="00BF3C3C" w:rsidTr="00B22DE1">
        <w:trPr>
          <w:trHeight w:val="293"/>
        </w:trPr>
        <w:tc>
          <w:tcPr>
            <w:tcW w:w="4834" w:type="dxa"/>
            <w:tcBorders>
              <w:top w:val="single" w:sz="4" w:space="0" w:color="auto"/>
            </w:tcBorders>
            <w:shd w:val="clear" w:color="auto" w:fill="auto"/>
            <w:tcMar>
              <w:top w:w="14" w:type="dxa"/>
              <w:left w:w="14" w:type="dxa"/>
              <w:bottom w:w="0" w:type="dxa"/>
              <w:right w:w="14" w:type="dxa"/>
            </w:tcMar>
            <w:vAlign w:val="center"/>
          </w:tcPr>
          <w:p w:rsidR="00D85EC3" w:rsidRPr="00BF3C3C" w:rsidRDefault="00D85EC3" w:rsidP="002A4F8D">
            <w:pPr>
              <w:spacing w:line="360" w:lineRule="auto"/>
              <w:rPr>
                <w:rFonts w:ascii="Book Antiqua" w:eastAsia="HYSinMyeongJo-Medium" w:hAnsi="Book Antiqua" w:cs="Times New Roman"/>
                <w:i/>
                <w:sz w:val="24"/>
                <w:szCs w:val="24"/>
              </w:rPr>
            </w:pPr>
            <w:r w:rsidRPr="00BF3C3C">
              <w:rPr>
                <w:rFonts w:ascii="Book Antiqua" w:eastAsia="HYSinMyeongJo-Medium" w:hAnsi="Book Antiqua" w:cs="Times New Roman"/>
                <w:i/>
                <w:sz w:val="24"/>
                <w:szCs w:val="24"/>
              </w:rPr>
              <w:t>Escherichia coli</w:t>
            </w:r>
          </w:p>
        </w:tc>
        <w:tc>
          <w:tcPr>
            <w:tcW w:w="2835" w:type="dxa"/>
            <w:tcBorders>
              <w:top w:val="single" w:sz="4" w:space="0" w:color="auto"/>
            </w:tcBorders>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9</w:t>
            </w:r>
          </w:p>
        </w:tc>
        <w:tc>
          <w:tcPr>
            <w:tcW w:w="1701" w:type="dxa"/>
            <w:tcBorders>
              <w:top w:val="single" w:sz="4" w:space="0" w:color="auto"/>
            </w:tcBorders>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11.1</w:t>
            </w:r>
          </w:p>
        </w:tc>
      </w:tr>
      <w:tr w:rsidR="00EF6307" w:rsidRPr="00BF3C3C" w:rsidTr="00DE3F27">
        <w:trPr>
          <w:trHeight w:val="293"/>
        </w:trPr>
        <w:tc>
          <w:tcPr>
            <w:tcW w:w="4834" w:type="dxa"/>
            <w:shd w:val="clear" w:color="auto" w:fill="auto"/>
            <w:tcMar>
              <w:top w:w="14" w:type="dxa"/>
              <w:left w:w="14" w:type="dxa"/>
              <w:bottom w:w="0" w:type="dxa"/>
              <w:right w:w="14" w:type="dxa"/>
            </w:tcMar>
            <w:vAlign w:val="center"/>
          </w:tcPr>
          <w:p w:rsidR="00D85EC3" w:rsidRPr="00BF3C3C" w:rsidRDefault="00D85EC3" w:rsidP="002A4F8D">
            <w:pPr>
              <w:spacing w:line="360" w:lineRule="auto"/>
              <w:rPr>
                <w:rFonts w:ascii="Book Antiqua" w:eastAsia="HYSinMyeongJo-Medium" w:hAnsi="Book Antiqua" w:cs="Times New Roman"/>
                <w:i/>
                <w:sz w:val="24"/>
                <w:szCs w:val="24"/>
              </w:rPr>
            </w:pPr>
            <w:r w:rsidRPr="00BF3C3C">
              <w:rPr>
                <w:rFonts w:ascii="Book Antiqua" w:eastAsia="HYSinMyeongJo-Medium" w:hAnsi="Book Antiqua" w:cs="Times New Roman"/>
                <w:i/>
                <w:sz w:val="24"/>
                <w:szCs w:val="24"/>
              </w:rPr>
              <w:t>Klebsiella species</w:t>
            </w:r>
          </w:p>
        </w:tc>
        <w:tc>
          <w:tcPr>
            <w:tcW w:w="2835"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4</w:t>
            </w:r>
          </w:p>
        </w:tc>
        <w:tc>
          <w:tcPr>
            <w:tcW w:w="1701"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4.9</w:t>
            </w:r>
          </w:p>
        </w:tc>
      </w:tr>
      <w:tr w:rsidR="00EF6307" w:rsidRPr="00BF3C3C" w:rsidTr="00DE3F27">
        <w:trPr>
          <w:trHeight w:val="293"/>
        </w:trPr>
        <w:tc>
          <w:tcPr>
            <w:tcW w:w="4834" w:type="dxa"/>
            <w:shd w:val="clear" w:color="auto" w:fill="auto"/>
            <w:tcMar>
              <w:top w:w="14" w:type="dxa"/>
              <w:left w:w="14" w:type="dxa"/>
              <w:bottom w:w="0" w:type="dxa"/>
              <w:right w:w="14" w:type="dxa"/>
            </w:tcMar>
            <w:vAlign w:val="center"/>
          </w:tcPr>
          <w:p w:rsidR="00D85EC3" w:rsidRPr="00BF3C3C" w:rsidRDefault="00D85EC3" w:rsidP="002A4F8D">
            <w:pPr>
              <w:spacing w:line="360" w:lineRule="auto"/>
              <w:rPr>
                <w:rFonts w:ascii="Book Antiqua" w:eastAsia="HYSinMyeongJo-Medium" w:hAnsi="Book Antiqua" w:cs="Times New Roman"/>
                <w:i/>
                <w:sz w:val="24"/>
                <w:szCs w:val="24"/>
              </w:rPr>
            </w:pPr>
            <w:r w:rsidRPr="00BF3C3C">
              <w:rPr>
                <w:rFonts w:ascii="Book Antiqua" w:eastAsia="HYSinMyeongJo-Medium" w:hAnsi="Book Antiqua" w:cs="Times New Roman"/>
                <w:i/>
                <w:sz w:val="24"/>
                <w:szCs w:val="24"/>
              </w:rPr>
              <w:t>Acinetobacter species</w:t>
            </w:r>
          </w:p>
        </w:tc>
        <w:tc>
          <w:tcPr>
            <w:tcW w:w="2835"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3</w:t>
            </w:r>
          </w:p>
        </w:tc>
        <w:tc>
          <w:tcPr>
            <w:tcW w:w="1701"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3.7</w:t>
            </w:r>
          </w:p>
        </w:tc>
      </w:tr>
      <w:tr w:rsidR="00EF6307" w:rsidRPr="00BF3C3C" w:rsidTr="00DE3F27">
        <w:trPr>
          <w:trHeight w:val="293"/>
        </w:trPr>
        <w:tc>
          <w:tcPr>
            <w:tcW w:w="4834" w:type="dxa"/>
            <w:shd w:val="clear" w:color="auto" w:fill="auto"/>
            <w:tcMar>
              <w:top w:w="14" w:type="dxa"/>
              <w:left w:w="14" w:type="dxa"/>
              <w:bottom w:w="0" w:type="dxa"/>
              <w:right w:w="14" w:type="dxa"/>
            </w:tcMar>
            <w:vAlign w:val="center"/>
          </w:tcPr>
          <w:p w:rsidR="00D85EC3" w:rsidRPr="00BF3C3C" w:rsidRDefault="00D85EC3" w:rsidP="002A4F8D">
            <w:pPr>
              <w:spacing w:line="360" w:lineRule="auto"/>
              <w:rPr>
                <w:rFonts w:ascii="Book Antiqua" w:eastAsia="HYSinMyeongJo-Medium" w:hAnsi="Book Antiqua" w:cs="Times New Roman"/>
                <w:i/>
                <w:sz w:val="24"/>
                <w:szCs w:val="24"/>
              </w:rPr>
            </w:pPr>
            <w:r w:rsidRPr="00BF3C3C">
              <w:rPr>
                <w:rFonts w:ascii="Book Antiqua" w:eastAsia="HYSinMyeongJo-Medium" w:hAnsi="Book Antiqua" w:cs="Times New Roman"/>
                <w:i/>
                <w:sz w:val="24"/>
                <w:szCs w:val="24"/>
              </w:rPr>
              <w:t>Enterococcus species</w:t>
            </w:r>
          </w:p>
        </w:tc>
        <w:tc>
          <w:tcPr>
            <w:tcW w:w="2835"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1</w:t>
            </w:r>
          </w:p>
        </w:tc>
        <w:tc>
          <w:tcPr>
            <w:tcW w:w="1701"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1.2</w:t>
            </w:r>
          </w:p>
        </w:tc>
      </w:tr>
      <w:tr w:rsidR="00EF6307" w:rsidRPr="00BF3C3C" w:rsidTr="00DE3F27">
        <w:trPr>
          <w:trHeight w:val="293"/>
        </w:trPr>
        <w:tc>
          <w:tcPr>
            <w:tcW w:w="4834" w:type="dxa"/>
            <w:shd w:val="clear" w:color="auto" w:fill="auto"/>
            <w:tcMar>
              <w:top w:w="14" w:type="dxa"/>
              <w:left w:w="14" w:type="dxa"/>
              <w:bottom w:w="0" w:type="dxa"/>
              <w:right w:w="14" w:type="dxa"/>
            </w:tcMar>
            <w:vAlign w:val="center"/>
          </w:tcPr>
          <w:p w:rsidR="00D85EC3" w:rsidRPr="00BF3C3C" w:rsidRDefault="00D85EC3" w:rsidP="002A4F8D">
            <w:pPr>
              <w:spacing w:line="360" w:lineRule="auto"/>
              <w:rPr>
                <w:rFonts w:ascii="Book Antiqua" w:eastAsia="HYSinMyeongJo-Medium" w:hAnsi="Book Antiqua" w:cs="Times New Roman"/>
                <w:i/>
                <w:sz w:val="24"/>
                <w:szCs w:val="24"/>
              </w:rPr>
            </w:pPr>
            <w:r w:rsidRPr="00BF3C3C">
              <w:rPr>
                <w:rFonts w:ascii="Book Antiqua" w:eastAsia="HYSinMyeongJo-Medium" w:hAnsi="Book Antiqua" w:cs="Times New Roman"/>
                <w:i/>
                <w:sz w:val="24"/>
                <w:szCs w:val="24"/>
              </w:rPr>
              <w:t>Enterobacter species</w:t>
            </w:r>
          </w:p>
        </w:tc>
        <w:tc>
          <w:tcPr>
            <w:tcW w:w="2835"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0</w:t>
            </w:r>
          </w:p>
        </w:tc>
        <w:tc>
          <w:tcPr>
            <w:tcW w:w="1701"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0</w:t>
            </w:r>
          </w:p>
        </w:tc>
      </w:tr>
      <w:tr w:rsidR="00EF6307" w:rsidRPr="00BF3C3C" w:rsidTr="00DE3F27">
        <w:trPr>
          <w:trHeight w:val="293"/>
        </w:trPr>
        <w:tc>
          <w:tcPr>
            <w:tcW w:w="4834" w:type="dxa"/>
            <w:shd w:val="clear" w:color="auto" w:fill="auto"/>
            <w:tcMar>
              <w:top w:w="14" w:type="dxa"/>
              <w:left w:w="14" w:type="dxa"/>
              <w:bottom w:w="0" w:type="dxa"/>
              <w:right w:w="14" w:type="dxa"/>
            </w:tcMar>
            <w:vAlign w:val="center"/>
          </w:tcPr>
          <w:p w:rsidR="00D85EC3" w:rsidRPr="00BF3C3C" w:rsidRDefault="00D85EC3" w:rsidP="002A4F8D">
            <w:pPr>
              <w:spacing w:line="360" w:lineRule="auto"/>
              <w:rPr>
                <w:rFonts w:ascii="Book Antiqua" w:eastAsia="HYSinMyeongJo-Medium" w:hAnsi="Book Antiqua" w:cs="Times New Roman"/>
                <w:i/>
                <w:sz w:val="24"/>
                <w:szCs w:val="24"/>
              </w:rPr>
            </w:pPr>
            <w:r w:rsidRPr="00BF3C3C">
              <w:rPr>
                <w:rFonts w:ascii="Book Antiqua" w:eastAsia="HYSinMyeongJo-Medium" w:hAnsi="Book Antiqua" w:cs="Times New Roman"/>
                <w:i/>
                <w:sz w:val="24"/>
                <w:szCs w:val="24"/>
              </w:rPr>
              <w:t>Bacillus species</w:t>
            </w:r>
          </w:p>
        </w:tc>
        <w:tc>
          <w:tcPr>
            <w:tcW w:w="2835"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4</w:t>
            </w:r>
          </w:p>
        </w:tc>
        <w:tc>
          <w:tcPr>
            <w:tcW w:w="1701"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4.9</w:t>
            </w:r>
          </w:p>
        </w:tc>
      </w:tr>
      <w:tr w:rsidR="00896C62" w:rsidRPr="00BF3C3C" w:rsidTr="00DE3F27">
        <w:trPr>
          <w:trHeight w:val="293"/>
        </w:trPr>
        <w:tc>
          <w:tcPr>
            <w:tcW w:w="4834" w:type="dxa"/>
            <w:shd w:val="clear" w:color="auto" w:fill="auto"/>
            <w:tcMar>
              <w:top w:w="14" w:type="dxa"/>
              <w:left w:w="14" w:type="dxa"/>
              <w:bottom w:w="0" w:type="dxa"/>
              <w:right w:w="14" w:type="dxa"/>
            </w:tcMar>
            <w:vAlign w:val="center"/>
          </w:tcPr>
          <w:p w:rsidR="00896C62" w:rsidRPr="00BF3C3C" w:rsidRDefault="00896C62" w:rsidP="002A4F8D">
            <w:pPr>
              <w:spacing w:line="360" w:lineRule="auto"/>
              <w:rPr>
                <w:rFonts w:ascii="Book Antiqua" w:eastAsia="HYSinMyeongJo-Medium" w:hAnsi="Book Antiqua" w:cs="Times New Roman"/>
                <w:i/>
                <w:sz w:val="24"/>
                <w:szCs w:val="24"/>
              </w:rPr>
            </w:pPr>
            <w:r w:rsidRPr="00BF3C3C">
              <w:rPr>
                <w:rFonts w:ascii="Book Antiqua" w:eastAsia="HYSinMyeongJo-Medium" w:hAnsi="Book Antiqua" w:cs="Times New Roman"/>
                <w:i/>
                <w:sz w:val="24"/>
                <w:szCs w:val="24"/>
              </w:rPr>
              <w:t>Pseudomonas species</w:t>
            </w:r>
          </w:p>
        </w:tc>
        <w:tc>
          <w:tcPr>
            <w:tcW w:w="2835" w:type="dxa"/>
            <w:shd w:val="clear" w:color="auto" w:fill="auto"/>
            <w:tcMar>
              <w:top w:w="14" w:type="dxa"/>
              <w:left w:w="14" w:type="dxa"/>
              <w:bottom w:w="0" w:type="dxa"/>
              <w:right w:w="14" w:type="dxa"/>
            </w:tcMar>
          </w:tcPr>
          <w:p w:rsidR="00896C62" w:rsidRPr="00BF3C3C" w:rsidRDefault="00896C62" w:rsidP="002A4F8D">
            <w:pPr>
              <w:spacing w:line="360" w:lineRule="auto"/>
              <w:rPr>
                <w:rFonts w:ascii="Book Antiqua" w:hAnsi="Book Antiqua"/>
                <w:sz w:val="24"/>
                <w:szCs w:val="24"/>
              </w:rPr>
            </w:pPr>
            <w:r w:rsidRPr="00BF3C3C">
              <w:rPr>
                <w:rFonts w:ascii="Book Antiqua" w:hAnsi="Book Antiqua"/>
                <w:sz w:val="24"/>
                <w:szCs w:val="24"/>
              </w:rPr>
              <w:t>0</w:t>
            </w:r>
          </w:p>
        </w:tc>
        <w:tc>
          <w:tcPr>
            <w:tcW w:w="1701" w:type="dxa"/>
            <w:shd w:val="clear" w:color="auto" w:fill="auto"/>
            <w:tcMar>
              <w:top w:w="14" w:type="dxa"/>
              <w:left w:w="14" w:type="dxa"/>
              <w:bottom w:w="0" w:type="dxa"/>
              <w:right w:w="14" w:type="dxa"/>
            </w:tcMar>
          </w:tcPr>
          <w:p w:rsidR="00896C62" w:rsidRPr="00BF3C3C" w:rsidRDefault="00896C62" w:rsidP="002A4F8D">
            <w:pPr>
              <w:spacing w:line="360" w:lineRule="auto"/>
              <w:rPr>
                <w:rFonts w:ascii="Book Antiqua" w:hAnsi="Book Antiqua"/>
                <w:sz w:val="24"/>
                <w:szCs w:val="24"/>
              </w:rPr>
            </w:pPr>
            <w:r w:rsidRPr="00BF3C3C">
              <w:rPr>
                <w:rFonts w:ascii="Book Antiqua" w:hAnsi="Book Antiqua"/>
                <w:sz w:val="24"/>
                <w:szCs w:val="24"/>
              </w:rPr>
              <w:t>0</w:t>
            </w:r>
          </w:p>
        </w:tc>
      </w:tr>
      <w:tr w:rsidR="00EF6307" w:rsidRPr="00BF3C3C" w:rsidTr="00DE3F27">
        <w:trPr>
          <w:trHeight w:val="293"/>
        </w:trPr>
        <w:tc>
          <w:tcPr>
            <w:tcW w:w="4834" w:type="dxa"/>
            <w:shd w:val="clear" w:color="auto" w:fill="auto"/>
            <w:tcMar>
              <w:top w:w="14" w:type="dxa"/>
              <w:left w:w="14" w:type="dxa"/>
              <w:bottom w:w="0" w:type="dxa"/>
              <w:right w:w="14" w:type="dxa"/>
            </w:tcMar>
            <w:vAlign w:val="center"/>
          </w:tcPr>
          <w:p w:rsidR="00D85EC3" w:rsidRPr="00BF3C3C" w:rsidRDefault="00D85EC3" w:rsidP="002A4F8D">
            <w:pPr>
              <w:spacing w:line="360" w:lineRule="auto"/>
              <w:rPr>
                <w:rFonts w:ascii="Book Antiqua" w:eastAsia="HYSinMyeongJo-Medium" w:hAnsi="Book Antiqua" w:cs="Times New Roman"/>
                <w:i/>
                <w:sz w:val="24"/>
                <w:szCs w:val="24"/>
              </w:rPr>
            </w:pPr>
            <w:r w:rsidRPr="00BF3C3C">
              <w:rPr>
                <w:rFonts w:ascii="Book Antiqua" w:eastAsia="HYSinMyeongJo-Medium" w:hAnsi="Book Antiqua" w:cs="Times New Roman"/>
                <w:i/>
                <w:sz w:val="24"/>
                <w:szCs w:val="24"/>
              </w:rPr>
              <w:t>Staphylococcus aureus</w:t>
            </w:r>
          </w:p>
        </w:tc>
        <w:tc>
          <w:tcPr>
            <w:tcW w:w="2835"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0</w:t>
            </w:r>
          </w:p>
        </w:tc>
        <w:tc>
          <w:tcPr>
            <w:tcW w:w="1701"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0</w:t>
            </w:r>
          </w:p>
        </w:tc>
      </w:tr>
      <w:tr w:rsidR="00EF6307" w:rsidRPr="00BF3C3C" w:rsidTr="00DE3F27">
        <w:trPr>
          <w:trHeight w:val="293"/>
        </w:trPr>
        <w:tc>
          <w:tcPr>
            <w:tcW w:w="4834" w:type="dxa"/>
            <w:shd w:val="clear" w:color="auto" w:fill="auto"/>
            <w:tcMar>
              <w:top w:w="14" w:type="dxa"/>
              <w:left w:w="14" w:type="dxa"/>
              <w:bottom w:w="0" w:type="dxa"/>
              <w:right w:w="14" w:type="dxa"/>
            </w:tcMar>
            <w:vAlign w:val="center"/>
          </w:tcPr>
          <w:p w:rsidR="00D85EC3" w:rsidRPr="00BF3C3C" w:rsidRDefault="00D85EC3" w:rsidP="002A4F8D">
            <w:pPr>
              <w:spacing w:line="360" w:lineRule="auto"/>
              <w:rPr>
                <w:rFonts w:ascii="Book Antiqua" w:eastAsia="HYSinMyeongJo-Medium" w:hAnsi="Book Antiqua" w:cs="Times New Roman"/>
                <w:sz w:val="24"/>
                <w:szCs w:val="24"/>
              </w:rPr>
            </w:pPr>
            <w:r w:rsidRPr="00BF3C3C">
              <w:rPr>
                <w:rFonts w:ascii="Book Antiqua" w:eastAsia="HYSinMyeongJo-Medium" w:hAnsi="Book Antiqua" w:cs="Times New Roman"/>
                <w:sz w:val="24"/>
                <w:szCs w:val="24"/>
              </w:rPr>
              <w:t xml:space="preserve">other </w:t>
            </w:r>
            <w:r w:rsidRPr="00BF3C3C">
              <w:rPr>
                <w:rFonts w:ascii="Book Antiqua" w:eastAsia="HYSinMyeongJo-Medium" w:hAnsi="Book Antiqua" w:cs="Times New Roman"/>
                <w:i/>
                <w:sz w:val="24"/>
                <w:szCs w:val="24"/>
              </w:rPr>
              <w:t>staphylococcus species</w:t>
            </w:r>
            <w:r w:rsidRPr="00BF3C3C">
              <w:rPr>
                <w:rFonts w:ascii="Book Antiqua" w:eastAsia="HYSinMyeongJo-Medium" w:hAnsi="Book Antiqua" w:cs="Times New Roman"/>
                <w:sz w:val="24"/>
                <w:szCs w:val="24"/>
              </w:rPr>
              <w:t xml:space="preserve"> (CoNS, </w:t>
            </w:r>
            <w:r w:rsidRPr="00BF3C3C">
              <w:rPr>
                <w:rFonts w:ascii="Book Antiqua" w:eastAsia="HYSinMyeongJo-Medium" w:hAnsi="Book Antiqua" w:cs="Times New Roman"/>
                <w:i/>
                <w:sz w:val="24"/>
                <w:szCs w:val="24"/>
              </w:rPr>
              <w:t>etc</w:t>
            </w:r>
            <w:r w:rsidRPr="00BF3C3C">
              <w:rPr>
                <w:rFonts w:ascii="Book Antiqua" w:eastAsia="HYSinMyeongJo-Medium" w:hAnsi="Book Antiqua" w:cs="Times New Roman"/>
                <w:sz w:val="24"/>
                <w:szCs w:val="24"/>
              </w:rPr>
              <w:t>)</w:t>
            </w:r>
          </w:p>
        </w:tc>
        <w:tc>
          <w:tcPr>
            <w:tcW w:w="2835"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9</w:t>
            </w:r>
          </w:p>
        </w:tc>
        <w:tc>
          <w:tcPr>
            <w:tcW w:w="1701"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11.1</w:t>
            </w:r>
          </w:p>
        </w:tc>
      </w:tr>
      <w:tr w:rsidR="00EF6307" w:rsidRPr="00BF3C3C" w:rsidTr="00DE3F27">
        <w:trPr>
          <w:trHeight w:val="293"/>
        </w:trPr>
        <w:tc>
          <w:tcPr>
            <w:tcW w:w="4834" w:type="dxa"/>
            <w:shd w:val="clear" w:color="auto" w:fill="auto"/>
            <w:tcMar>
              <w:top w:w="14" w:type="dxa"/>
              <w:left w:w="14" w:type="dxa"/>
              <w:bottom w:w="0" w:type="dxa"/>
              <w:right w:w="14" w:type="dxa"/>
            </w:tcMar>
            <w:vAlign w:val="center"/>
          </w:tcPr>
          <w:p w:rsidR="00D85EC3" w:rsidRPr="00BF3C3C" w:rsidRDefault="00D85EC3" w:rsidP="002A4F8D">
            <w:pPr>
              <w:spacing w:line="360" w:lineRule="auto"/>
              <w:rPr>
                <w:rFonts w:ascii="Book Antiqua" w:eastAsia="HYSinMyeongJo-Medium" w:hAnsi="Book Antiqua" w:cs="Times New Roman"/>
                <w:i/>
                <w:sz w:val="24"/>
                <w:szCs w:val="24"/>
              </w:rPr>
            </w:pPr>
            <w:r w:rsidRPr="00BF3C3C">
              <w:rPr>
                <w:rFonts w:ascii="Book Antiqua" w:eastAsia="HYSinMyeongJo-Medium" w:hAnsi="Book Antiqua" w:cs="Times New Roman"/>
                <w:i/>
                <w:sz w:val="24"/>
                <w:szCs w:val="24"/>
              </w:rPr>
              <w:t>Streptococcus species</w:t>
            </w:r>
          </w:p>
        </w:tc>
        <w:tc>
          <w:tcPr>
            <w:tcW w:w="2835"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14</w:t>
            </w:r>
          </w:p>
        </w:tc>
        <w:tc>
          <w:tcPr>
            <w:tcW w:w="1701"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17.3</w:t>
            </w:r>
          </w:p>
        </w:tc>
      </w:tr>
      <w:tr w:rsidR="00EF6307" w:rsidRPr="00BF3C3C" w:rsidTr="00DE3F27">
        <w:trPr>
          <w:trHeight w:val="291"/>
        </w:trPr>
        <w:tc>
          <w:tcPr>
            <w:tcW w:w="4834" w:type="dxa"/>
            <w:shd w:val="clear" w:color="auto" w:fill="auto"/>
            <w:tcMar>
              <w:top w:w="14" w:type="dxa"/>
              <w:left w:w="14" w:type="dxa"/>
              <w:bottom w:w="0" w:type="dxa"/>
              <w:right w:w="14" w:type="dxa"/>
            </w:tcMar>
            <w:vAlign w:val="center"/>
          </w:tcPr>
          <w:p w:rsidR="00D85EC3" w:rsidRPr="00BF3C3C" w:rsidRDefault="00D85EC3" w:rsidP="002A4F8D">
            <w:pPr>
              <w:spacing w:line="360" w:lineRule="auto"/>
              <w:rPr>
                <w:rFonts w:ascii="Book Antiqua" w:eastAsia="HYSinMyeongJo-Medium" w:hAnsi="Book Antiqua" w:cs="Times New Roman"/>
                <w:i/>
                <w:sz w:val="24"/>
                <w:szCs w:val="24"/>
              </w:rPr>
            </w:pPr>
            <w:r w:rsidRPr="00BF3C3C">
              <w:rPr>
                <w:rFonts w:ascii="Book Antiqua" w:eastAsia="HYSinMyeongJo-Medium" w:hAnsi="Book Antiqua" w:cs="Times New Roman"/>
                <w:i/>
                <w:sz w:val="24"/>
                <w:szCs w:val="24"/>
              </w:rPr>
              <w:t>Corynebacterium species</w:t>
            </w:r>
          </w:p>
        </w:tc>
        <w:tc>
          <w:tcPr>
            <w:tcW w:w="2835"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1</w:t>
            </w:r>
          </w:p>
        </w:tc>
        <w:tc>
          <w:tcPr>
            <w:tcW w:w="1701"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1.2</w:t>
            </w:r>
          </w:p>
        </w:tc>
      </w:tr>
      <w:tr w:rsidR="00EF6307" w:rsidRPr="00BF3C3C" w:rsidTr="00DE3F27">
        <w:trPr>
          <w:trHeight w:val="291"/>
        </w:trPr>
        <w:tc>
          <w:tcPr>
            <w:tcW w:w="4834" w:type="dxa"/>
            <w:shd w:val="clear" w:color="auto" w:fill="auto"/>
            <w:tcMar>
              <w:top w:w="14" w:type="dxa"/>
              <w:left w:w="14" w:type="dxa"/>
              <w:bottom w:w="0" w:type="dxa"/>
              <w:right w:w="14" w:type="dxa"/>
            </w:tcMar>
            <w:vAlign w:val="center"/>
          </w:tcPr>
          <w:p w:rsidR="00D85EC3" w:rsidRPr="00BF3C3C" w:rsidRDefault="00D85EC3" w:rsidP="002A4F8D">
            <w:pPr>
              <w:spacing w:line="360" w:lineRule="auto"/>
              <w:rPr>
                <w:rFonts w:ascii="Book Antiqua" w:eastAsia="HYSinMyeongJo-Medium" w:hAnsi="Book Antiqua" w:cs="Times New Roman"/>
                <w:i/>
                <w:sz w:val="24"/>
                <w:szCs w:val="24"/>
              </w:rPr>
            </w:pPr>
            <w:r w:rsidRPr="00BF3C3C">
              <w:rPr>
                <w:rFonts w:ascii="Book Antiqua" w:eastAsia="HYSinMyeongJo-Medium" w:hAnsi="Book Antiqua" w:cs="Times New Roman"/>
                <w:i/>
                <w:sz w:val="24"/>
                <w:szCs w:val="24"/>
              </w:rPr>
              <w:t>Micrococcus species</w:t>
            </w:r>
          </w:p>
        </w:tc>
        <w:tc>
          <w:tcPr>
            <w:tcW w:w="2835"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1</w:t>
            </w:r>
          </w:p>
        </w:tc>
        <w:tc>
          <w:tcPr>
            <w:tcW w:w="1701"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1.2</w:t>
            </w:r>
          </w:p>
        </w:tc>
      </w:tr>
      <w:tr w:rsidR="00EF6307" w:rsidRPr="00BF3C3C" w:rsidTr="00DE3F27">
        <w:trPr>
          <w:trHeight w:val="291"/>
        </w:trPr>
        <w:tc>
          <w:tcPr>
            <w:tcW w:w="4834" w:type="dxa"/>
            <w:shd w:val="clear" w:color="auto" w:fill="auto"/>
            <w:tcMar>
              <w:top w:w="14" w:type="dxa"/>
              <w:left w:w="14" w:type="dxa"/>
              <w:bottom w:w="0" w:type="dxa"/>
              <w:right w:w="14" w:type="dxa"/>
            </w:tcMar>
            <w:vAlign w:val="center"/>
          </w:tcPr>
          <w:p w:rsidR="00D85EC3" w:rsidRPr="00BF3C3C" w:rsidRDefault="00D85EC3" w:rsidP="002A4F8D">
            <w:pPr>
              <w:spacing w:line="360" w:lineRule="auto"/>
              <w:rPr>
                <w:rFonts w:ascii="Book Antiqua" w:eastAsia="HYSinMyeongJo-Medium" w:hAnsi="Book Antiqua" w:cs="Times New Roman"/>
                <w:i/>
                <w:sz w:val="24"/>
                <w:szCs w:val="24"/>
              </w:rPr>
            </w:pPr>
            <w:r w:rsidRPr="00BF3C3C">
              <w:rPr>
                <w:rFonts w:ascii="Book Antiqua" w:eastAsia="HYSinMyeongJo-Medium" w:hAnsi="Book Antiqua" w:cs="Times New Roman"/>
                <w:i/>
                <w:sz w:val="24"/>
                <w:szCs w:val="24"/>
              </w:rPr>
              <w:t>Candida</w:t>
            </w:r>
            <w:r w:rsidR="00DC5B6C" w:rsidRPr="00BF3C3C">
              <w:rPr>
                <w:rFonts w:ascii="Book Antiqua" w:eastAsia="HYSinMyeongJo-Medium" w:hAnsi="Book Antiqua" w:cs="Times New Roman"/>
                <w:i/>
                <w:sz w:val="24"/>
                <w:szCs w:val="24"/>
              </w:rPr>
              <w:t xml:space="preserve"> species</w:t>
            </w:r>
          </w:p>
        </w:tc>
        <w:tc>
          <w:tcPr>
            <w:tcW w:w="2835"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2</w:t>
            </w:r>
          </w:p>
        </w:tc>
        <w:tc>
          <w:tcPr>
            <w:tcW w:w="1701"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2.5</w:t>
            </w:r>
          </w:p>
        </w:tc>
      </w:tr>
      <w:tr w:rsidR="00EF6307" w:rsidRPr="00BF3C3C" w:rsidTr="00DE3F27">
        <w:trPr>
          <w:trHeight w:val="291"/>
        </w:trPr>
        <w:tc>
          <w:tcPr>
            <w:tcW w:w="4834" w:type="dxa"/>
            <w:shd w:val="clear" w:color="auto" w:fill="auto"/>
            <w:tcMar>
              <w:top w:w="14" w:type="dxa"/>
              <w:left w:w="14" w:type="dxa"/>
              <w:bottom w:w="0" w:type="dxa"/>
              <w:right w:w="14" w:type="dxa"/>
            </w:tcMar>
            <w:vAlign w:val="center"/>
          </w:tcPr>
          <w:p w:rsidR="00D85EC3" w:rsidRPr="00BF3C3C" w:rsidRDefault="00D85EC3" w:rsidP="002A4F8D">
            <w:pPr>
              <w:spacing w:line="360" w:lineRule="auto"/>
              <w:rPr>
                <w:rFonts w:ascii="Book Antiqua" w:eastAsia="HYSinMyeongJo-Medium" w:hAnsi="Book Antiqua" w:cs="Times New Roman"/>
                <w:sz w:val="24"/>
                <w:szCs w:val="24"/>
              </w:rPr>
            </w:pPr>
            <w:r w:rsidRPr="00BF3C3C">
              <w:rPr>
                <w:rFonts w:ascii="Book Antiqua" w:eastAsia="HYSinMyeongJo-Medium" w:hAnsi="Book Antiqua" w:cs="Times New Roman"/>
                <w:sz w:val="24"/>
                <w:szCs w:val="24"/>
              </w:rPr>
              <w:t>Other</w:t>
            </w:r>
          </w:p>
        </w:tc>
        <w:tc>
          <w:tcPr>
            <w:tcW w:w="2835"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3</w:t>
            </w:r>
          </w:p>
        </w:tc>
        <w:tc>
          <w:tcPr>
            <w:tcW w:w="1701"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3.7</w:t>
            </w:r>
          </w:p>
        </w:tc>
      </w:tr>
      <w:tr w:rsidR="00EF6307" w:rsidRPr="00BF3C3C" w:rsidTr="00DE3F27">
        <w:trPr>
          <w:trHeight w:val="291"/>
        </w:trPr>
        <w:tc>
          <w:tcPr>
            <w:tcW w:w="4834" w:type="dxa"/>
            <w:shd w:val="clear" w:color="auto" w:fill="auto"/>
            <w:tcMar>
              <w:top w:w="14" w:type="dxa"/>
              <w:left w:w="14" w:type="dxa"/>
              <w:bottom w:w="0" w:type="dxa"/>
              <w:right w:w="14" w:type="dxa"/>
            </w:tcMar>
            <w:vAlign w:val="center"/>
          </w:tcPr>
          <w:p w:rsidR="00D85EC3" w:rsidRPr="00BF3C3C" w:rsidRDefault="00D85EC3" w:rsidP="002A4F8D">
            <w:pPr>
              <w:spacing w:line="360" w:lineRule="auto"/>
              <w:rPr>
                <w:rFonts w:ascii="Book Antiqua" w:eastAsia="HYSinMyeongJo-Medium" w:hAnsi="Book Antiqua" w:cs="Times New Roman"/>
                <w:sz w:val="24"/>
                <w:szCs w:val="24"/>
              </w:rPr>
            </w:pPr>
            <w:r w:rsidRPr="00BF3C3C">
              <w:rPr>
                <w:rFonts w:ascii="Book Antiqua" w:eastAsia="HYSinMyeongJo-Medium" w:hAnsi="Book Antiqua" w:cs="Times New Roman"/>
                <w:sz w:val="24"/>
                <w:szCs w:val="24"/>
              </w:rPr>
              <w:t>Polymicrobial</w:t>
            </w:r>
          </w:p>
        </w:tc>
        <w:tc>
          <w:tcPr>
            <w:tcW w:w="2835"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10</w:t>
            </w:r>
          </w:p>
        </w:tc>
        <w:tc>
          <w:tcPr>
            <w:tcW w:w="1701" w:type="dxa"/>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12.3</w:t>
            </w:r>
          </w:p>
        </w:tc>
      </w:tr>
      <w:tr w:rsidR="00EF6307" w:rsidRPr="00BF3C3C" w:rsidTr="00DE3F27">
        <w:trPr>
          <w:trHeight w:val="291"/>
        </w:trPr>
        <w:tc>
          <w:tcPr>
            <w:tcW w:w="4834" w:type="dxa"/>
            <w:tcBorders>
              <w:bottom w:val="single" w:sz="4" w:space="0" w:color="auto"/>
            </w:tcBorders>
            <w:shd w:val="clear" w:color="auto" w:fill="auto"/>
            <w:tcMar>
              <w:top w:w="14" w:type="dxa"/>
              <w:left w:w="14" w:type="dxa"/>
              <w:bottom w:w="0" w:type="dxa"/>
              <w:right w:w="14" w:type="dxa"/>
            </w:tcMar>
            <w:vAlign w:val="center"/>
          </w:tcPr>
          <w:p w:rsidR="00D85EC3" w:rsidRPr="00BF3C3C" w:rsidRDefault="00D85EC3" w:rsidP="002A4F8D">
            <w:pPr>
              <w:spacing w:line="360" w:lineRule="auto"/>
              <w:rPr>
                <w:rFonts w:ascii="Book Antiqua" w:eastAsia="HYSinMyeongJo-Medium" w:hAnsi="Book Antiqua" w:cs="Times New Roman"/>
                <w:sz w:val="24"/>
                <w:szCs w:val="24"/>
              </w:rPr>
            </w:pPr>
            <w:r w:rsidRPr="00BF3C3C">
              <w:rPr>
                <w:rFonts w:ascii="Book Antiqua" w:eastAsia="HYSinMyeongJo-Medium" w:hAnsi="Book Antiqua" w:cs="Times New Roman"/>
                <w:sz w:val="24"/>
                <w:szCs w:val="24"/>
              </w:rPr>
              <w:t>No growth</w:t>
            </w:r>
          </w:p>
        </w:tc>
        <w:tc>
          <w:tcPr>
            <w:tcW w:w="2835" w:type="dxa"/>
            <w:tcBorders>
              <w:bottom w:val="single" w:sz="4" w:space="0" w:color="auto"/>
            </w:tcBorders>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20</w:t>
            </w:r>
          </w:p>
        </w:tc>
        <w:tc>
          <w:tcPr>
            <w:tcW w:w="1701" w:type="dxa"/>
            <w:tcBorders>
              <w:bottom w:val="single" w:sz="4" w:space="0" w:color="auto"/>
            </w:tcBorders>
            <w:shd w:val="clear" w:color="auto" w:fill="auto"/>
            <w:tcMar>
              <w:top w:w="14" w:type="dxa"/>
              <w:left w:w="14" w:type="dxa"/>
              <w:bottom w:w="0" w:type="dxa"/>
              <w:right w:w="14" w:type="dxa"/>
            </w:tcMar>
          </w:tcPr>
          <w:p w:rsidR="00D85EC3" w:rsidRPr="00BF3C3C" w:rsidRDefault="00D85EC3" w:rsidP="002A4F8D">
            <w:pPr>
              <w:spacing w:line="360" w:lineRule="auto"/>
              <w:rPr>
                <w:rFonts w:ascii="Book Antiqua" w:hAnsi="Book Antiqua"/>
                <w:sz w:val="24"/>
                <w:szCs w:val="24"/>
              </w:rPr>
            </w:pPr>
            <w:r w:rsidRPr="00BF3C3C">
              <w:rPr>
                <w:rFonts w:ascii="Book Antiqua" w:hAnsi="Book Antiqua"/>
                <w:sz w:val="24"/>
                <w:szCs w:val="24"/>
              </w:rPr>
              <w:t>24.7</w:t>
            </w:r>
          </w:p>
        </w:tc>
      </w:tr>
    </w:tbl>
    <w:p w:rsidR="00D85EC3" w:rsidRPr="00BF3C3C" w:rsidRDefault="00D85EC3" w:rsidP="002A4F8D">
      <w:pPr>
        <w:spacing w:line="360" w:lineRule="auto"/>
        <w:rPr>
          <w:rFonts w:ascii="Book Antiqua" w:eastAsia="宋体" w:hAnsi="Book Antiqua" w:cs="Times New Roman"/>
          <w:sz w:val="24"/>
          <w:szCs w:val="24"/>
          <w:lang w:eastAsia="zh-CN"/>
        </w:rPr>
      </w:pPr>
      <w:r w:rsidRPr="00BF3C3C">
        <w:rPr>
          <w:rFonts w:ascii="Book Antiqua" w:hAnsi="Book Antiqua" w:cs="Times New Roman"/>
          <w:sz w:val="24"/>
          <w:szCs w:val="24"/>
        </w:rPr>
        <w:t>CoNS</w:t>
      </w:r>
      <w:r w:rsidR="00B22DE1" w:rsidRPr="00BF3C3C">
        <w:rPr>
          <w:rFonts w:ascii="Book Antiqua" w:eastAsia="宋体" w:hAnsi="Book Antiqua" w:cs="Times New Roman" w:hint="eastAsia"/>
          <w:sz w:val="24"/>
          <w:szCs w:val="24"/>
          <w:lang w:eastAsia="zh-CN"/>
        </w:rPr>
        <w:t xml:space="preserve">: </w:t>
      </w:r>
      <w:r w:rsidRPr="00BF3C3C">
        <w:rPr>
          <w:rFonts w:ascii="Book Antiqua" w:hAnsi="Book Antiqua" w:cs="Times New Roman"/>
          <w:sz w:val="24"/>
          <w:szCs w:val="24"/>
        </w:rPr>
        <w:t>Co</w:t>
      </w:r>
      <w:r w:rsidR="00B203E2">
        <w:rPr>
          <w:rFonts w:ascii="Book Antiqua" w:hAnsi="Book Antiqua" w:cs="Times New Roman"/>
          <w:sz w:val="24"/>
          <w:szCs w:val="24"/>
        </w:rPr>
        <w:t>agulase negative staphylococcus</w:t>
      </w:r>
      <w:r w:rsidR="00B22DE1" w:rsidRPr="00BF3C3C">
        <w:rPr>
          <w:rFonts w:ascii="Book Antiqua" w:eastAsia="宋体" w:hAnsi="Book Antiqua" w:cs="Times New Roman" w:hint="eastAsia"/>
          <w:sz w:val="24"/>
          <w:szCs w:val="24"/>
          <w:lang w:eastAsia="zh-CN"/>
        </w:rPr>
        <w:t>.</w:t>
      </w:r>
    </w:p>
    <w:p w:rsidR="00D85EC3" w:rsidRPr="00BF3C3C" w:rsidRDefault="00D85EC3" w:rsidP="002A4F8D">
      <w:pPr>
        <w:widowControl/>
        <w:wordWrap/>
        <w:autoSpaceDE/>
        <w:autoSpaceDN/>
        <w:spacing w:after="200" w:line="360" w:lineRule="auto"/>
        <w:rPr>
          <w:rFonts w:ascii="Book Antiqua" w:hAnsi="Book Antiqua" w:cs="Times New Roman"/>
          <w:sz w:val="24"/>
          <w:szCs w:val="24"/>
        </w:rPr>
      </w:pPr>
      <w:r w:rsidRPr="00BF3C3C">
        <w:rPr>
          <w:rFonts w:ascii="Book Antiqua" w:hAnsi="Book Antiqua" w:cs="Times New Roman"/>
          <w:sz w:val="24"/>
          <w:szCs w:val="24"/>
        </w:rPr>
        <w:br w:type="page"/>
      </w:r>
    </w:p>
    <w:p w:rsidR="00B22DE1" w:rsidRPr="00BF3C3C" w:rsidRDefault="00B22DE1" w:rsidP="002A4F8D">
      <w:pPr>
        <w:spacing w:line="360" w:lineRule="auto"/>
        <w:rPr>
          <w:rFonts w:ascii="Book Antiqua" w:eastAsia="宋体" w:hAnsi="Book Antiqua" w:cs="宋体"/>
          <w:b/>
          <w:color w:val="000000"/>
          <w:kern w:val="0"/>
          <w:sz w:val="24"/>
          <w:szCs w:val="24"/>
          <w:lang w:eastAsia="zh-CN"/>
        </w:rPr>
      </w:pPr>
      <w:r w:rsidRPr="00BF3C3C">
        <w:rPr>
          <w:rFonts w:ascii="Book Antiqua" w:hAnsi="Book Antiqua" w:cs="Times New Roman"/>
          <w:b/>
          <w:sz w:val="24"/>
          <w:szCs w:val="24"/>
        </w:rPr>
        <w:lastRenderedPageBreak/>
        <w:t>Table 6</w:t>
      </w:r>
      <w:r w:rsidRPr="00BF3C3C">
        <w:rPr>
          <w:rFonts w:ascii="Book Antiqua" w:eastAsia="宋体" w:hAnsi="Book Antiqua" w:cs="Times New Roman" w:hint="eastAsia"/>
          <w:b/>
          <w:sz w:val="24"/>
          <w:szCs w:val="24"/>
          <w:lang w:eastAsia="zh-CN"/>
        </w:rPr>
        <w:t xml:space="preserve"> </w:t>
      </w:r>
      <w:r w:rsidR="00D85EC3" w:rsidRPr="00BF3C3C">
        <w:rPr>
          <w:rFonts w:ascii="Book Antiqua" w:hAnsi="Book Antiqua" w:cs="Times New Roman"/>
          <w:b/>
          <w:sz w:val="24"/>
          <w:szCs w:val="24"/>
        </w:rPr>
        <w:t>Acid-suppressive therapy and other medications in enteric peritonitis (EP) group and non-enteric peritonitis (NEP) group</w:t>
      </w:r>
      <w:r w:rsidRPr="00BF3C3C">
        <w:rPr>
          <w:rFonts w:ascii="Book Antiqua" w:eastAsia="宋体" w:hAnsi="Book Antiqua" w:cs="Times New Roman" w:hint="eastAsia"/>
          <w:b/>
          <w:sz w:val="24"/>
          <w:szCs w:val="24"/>
          <w:lang w:eastAsia="zh-CN"/>
        </w:rPr>
        <w:t xml:space="preserve"> </w:t>
      </w:r>
      <w:r w:rsidRPr="00B22DE1">
        <w:rPr>
          <w:rFonts w:ascii="Book Antiqua" w:eastAsia="宋体" w:hAnsi="Book Antiqua" w:cs="宋体"/>
          <w:b/>
          <w:i/>
          <w:color w:val="000000"/>
          <w:kern w:val="0"/>
          <w:sz w:val="24"/>
          <w:szCs w:val="24"/>
          <w:lang w:eastAsia="zh-CN"/>
        </w:rPr>
        <w:t xml:space="preserve">n </w:t>
      </w:r>
      <w:r w:rsidRPr="00B22DE1">
        <w:rPr>
          <w:rFonts w:ascii="Book Antiqua" w:eastAsia="宋体" w:hAnsi="Book Antiqua" w:cs="宋体"/>
          <w:b/>
          <w:color w:val="000000"/>
          <w:kern w:val="0"/>
          <w:sz w:val="24"/>
          <w:szCs w:val="24"/>
          <w:lang w:eastAsia="zh-CN"/>
        </w:rPr>
        <w:t>(%)</w:t>
      </w:r>
      <w:r w:rsidRPr="00BF3C3C">
        <w:rPr>
          <w:rFonts w:ascii="Book Antiqua" w:eastAsia="宋体" w:hAnsi="Book Antiqua" w:cs="宋体" w:hint="eastAsia"/>
          <w:b/>
          <w:color w:val="000000"/>
          <w:kern w:val="0"/>
          <w:sz w:val="24"/>
          <w:szCs w:val="24"/>
          <w:lang w:eastAsia="zh-CN"/>
        </w:rPr>
        <w:t xml:space="preserve"> </w:t>
      </w:r>
    </w:p>
    <w:p w:rsidR="00D85EC3" w:rsidRPr="00BF3C3C" w:rsidRDefault="00D85EC3" w:rsidP="002A4F8D">
      <w:pPr>
        <w:spacing w:line="360" w:lineRule="auto"/>
        <w:rPr>
          <w:rFonts w:ascii="Book Antiqua" w:eastAsia="宋体" w:hAnsi="Book Antiqua" w:cs="Times New Roman"/>
          <w:sz w:val="24"/>
          <w:szCs w:val="24"/>
          <w:lang w:eastAsia="zh-CN"/>
        </w:rPr>
      </w:pPr>
    </w:p>
    <w:tbl>
      <w:tblPr>
        <w:tblW w:w="9985" w:type="dxa"/>
        <w:tblInd w:w="-743" w:type="dxa"/>
        <w:tblLayout w:type="fixed"/>
        <w:tblLook w:val="04A0" w:firstRow="1" w:lastRow="0" w:firstColumn="1" w:lastColumn="0" w:noHBand="0" w:noVBand="1"/>
      </w:tblPr>
      <w:tblGrid>
        <w:gridCol w:w="1593"/>
        <w:gridCol w:w="1952"/>
        <w:gridCol w:w="2835"/>
        <w:gridCol w:w="1559"/>
        <w:gridCol w:w="2046"/>
      </w:tblGrid>
      <w:tr w:rsidR="00B22DE1" w:rsidRPr="00BF3C3C" w:rsidTr="00B22DE1">
        <w:trPr>
          <w:trHeight w:val="660"/>
        </w:trPr>
        <w:tc>
          <w:tcPr>
            <w:tcW w:w="1593" w:type="dxa"/>
            <w:tcBorders>
              <w:top w:val="single" w:sz="4" w:space="0" w:color="auto"/>
              <w:left w:val="nil"/>
              <w:right w:val="nil"/>
            </w:tcBorders>
            <w:shd w:val="clear" w:color="auto" w:fill="auto"/>
            <w:noWrap/>
            <w:vAlign w:val="center"/>
            <w:hideMark/>
          </w:tcPr>
          <w:p w:rsidR="00B22DE1" w:rsidRPr="00B22DE1" w:rsidRDefault="00B22DE1" w:rsidP="00B22DE1">
            <w:pPr>
              <w:widowControl/>
              <w:wordWrap/>
              <w:autoSpaceDE/>
              <w:autoSpaceDN/>
              <w:jc w:val="left"/>
              <w:rPr>
                <w:rFonts w:ascii="宋体" w:eastAsia="宋体" w:hAnsi="宋体" w:cs="宋体"/>
                <w:color w:val="000000"/>
                <w:kern w:val="0"/>
                <w:sz w:val="22"/>
                <w:lang w:eastAsia="zh-CN"/>
              </w:rPr>
            </w:pPr>
          </w:p>
        </w:tc>
        <w:tc>
          <w:tcPr>
            <w:tcW w:w="1952" w:type="dxa"/>
            <w:vMerge w:val="restart"/>
            <w:tcBorders>
              <w:top w:val="single" w:sz="4" w:space="0" w:color="auto"/>
              <w:left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 xml:space="preserve">　</w:t>
            </w:r>
          </w:p>
        </w:tc>
        <w:tc>
          <w:tcPr>
            <w:tcW w:w="6440" w:type="dxa"/>
            <w:gridSpan w:val="3"/>
            <w:tcBorders>
              <w:top w:val="single" w:sz="4" w:space="0" w:color="auto"/>
              <w:left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b/>
                <w:bCs/>
                <w:color w:val="000000"/>
                <w:kern w:val="0"/>
                <w:sz w:val="24"/>
                <w:szCs w:val="24"/>
                <w:lang w:eastAsia="zh-CN"/>
              </w:rPr>
            </w:pPr>
            <w:r w:rsidRPr="00B22DE1">
              <w:rPr>
                <w:rFonts w:ascii="Book Antiqua" w:eastAsia="宋体" w:hAnsi="Book Antiqua" w:cs="宋体"/>
                <w:b/>
                <w:bCs/>
                <w:color w:val="000000"/>
                <w:kern w:val="0"/>
                <w:sz w:val="24"/>
                <w:szCs w:val="24"/>
                <w:lang w:eastAsia="zh-CN"/>
              </w:rPr>
              <w:t>Included peritonitis episode (</w:t>
            </w:r>
            <w:r w:rsidRPr="00B22DE1">
              <w:rPr>
                <w:rFonts w:ascii="Book Antiqua" w:eastAsia="宋体" w:hAnsi="Book Antiqua" w:cs="宋体"/>
                <w:b/>
                <w:bCs/>
                <w:i/>
                <w:color w:val="000000"/>
                <w:kern w:val="0"/>
                <w:sz w:val="24"/>
                <w:szCs w:val="24"/>
                <w:lang w:eastAsia="zh-CN"/>
              </w:rPr>
              <w:t>n</w:t>
            </w:r>
            <w:r w:rsidRPr="00BF3C3C">
              <w:rPr>
                <w:rFonts w:ascii="Book Antiqua" w:eastAsia="宋体" w:hAnsi="Book Antiqua" w:cs="宋体" w:hint="eastAsia"/>
                <w:b/>
                <w:bCs/>
                <w:color w:val="000000"/>
                <w:kern w:val="0"/>
                <w:sz w:val="24"/>
                <w:szCs w:val="24"/>
                <w:lang w:eastAsia="zh-CN"/>
              </w:rPr>
              <w:t xml:space="preserve"> </w:t>
            </w:r>
            <w:r w:rsidRPr="00B22DE1">
              <w:rPr>
                <w:rFonts w:ascii="Book Antiqua" w:eastAsia="宋体" w:hAnsi="Book Antiqua" w:cs="宋体"/>
                <w:b/>
                <w:bCs/>
                <w:color w:val="000000"/>
                <w:kern w:val="0"/>
                <w:sz w:val="24"/>
                <w:szCs w:val="24"/>
                <w:lang w:eastAsia="zh-CN"/>
              </w:rPr>
              <w:t>=</w:t>
            </w:r>
            <w:r w:rsidRPr="00BF3C3C">
              <w:rPr>
                <w:rFonts w:ascii="Book Antiqua" w:eastAsia="宋体" w:hAnsi="Book Antiqua" w:cs="宋体" w:hint="eastAsia"/>
                <w:b/>
                <w:bCs/>
                <w:color w:val="000000"/>
                <w:kern w:val="0"/>
                <w:sz w:val="24"/>
                <w:szCs w:val="24"/>
                <w:lang w:eastAsia="zh-CN"/>
              </w:rPr>
              <w:t xml:space="preserve"> </w:t>
            </w:r>
            <w:r w:rsidRPr="00B22DE1">
              <w:rPr>
                <w:rFonts w:ascii="Book Antiqua" w:eastAsia="宋体" w:hAnsi="Book Antiqua" w:cs="宋体"/>
                <w:b/>
                <w:bCs/>
                <w:color w:val="000000"/>
                <w:kern w:val="0"/>
                <w:sz w:val="24"/>
                <w:szCs w:val="24"/>
                <w:lang w:eastAsia="zh-CN"/>
              </w:rPr>
              <w:t>81)</w:t>
            </w:r>
          </w:p>
        </w:tc>
      </w:tr>
      <w:tr w:rsidR="00B22DE1" w:rsidRPr="00BF3C3C" w:rsidTr="00B22DE1">
        <w:trPr>
          <w:trHeight w:val="1275"/>
        </w:trPr>
        <w:tc>
          <w:tcPr>
            <w:tcW w:w="1593" w:type="dxa"/>
            <w:tcBorders>
              <w:left w:val="nil"/>
              <w:right w:val="nil"/>
            </w:tcBorders>
            <w:shd w:val="clear" w:color="auto" w:fill="auto"/>
            <w:noWrap/>
            <w:vAlign w:val="center"/>
            <w:hideMark/>
          </w:tcPr>
          <w:p w:rsidR="00B22DE1" w:rsidRPr="00B22DE1" w:rsidRDefault="00B22DE1" w:rsidP="00B22DE1">
            <w:pPr>
              <w:widowControl/>
              <w:wordWrap/>
              <w:autoSpaceDE/>
              <w:autoSpaceDN/>
              <w:jc w:val="left"/>
              <w:rPr>
                <w:rFonts w:ascii="宋体" w:eastAsia="宋体" w:hAnsi="宋体" w:cs="宋体"/>
                <w:color w:val="000000"/>
                <w:kern w:val="0"/>
                <w:sz w:val="22"/>
                <w:lang w:eastAsia="zh-CN"/>
              </w:rPr>
            </w:pPr>
          </w:p>
        </w:tc>
        <w:tc>
          <w:tcPr>
            <w:tcW w:w="1952" w:type="dxa"/>
            <w:vMerge/>
            <w:tcBorders>
              <w:left w:val="nil"/>
              <w:right w:val="nil"/>
            </w:tcBorders>
            <w:vAlign w:val="center"/>
            <w:hideMark/>
          </w:tcPr>
          <w:p w:rsidR="00B22DE1" w:rsidRPr="00B22DE1" w:rsidRDefault="00B22DE1" w:rsidP="00B22DE1">
            <w:pPr>
              <w:widowControl/>
              <w:wordWrap/>
              <w:autoSpaceDE/>
              <w:autoSpaceDN/>
              <w:jc w:val="left"/>
              <w:rPr>
                <w:rFonts w:ascii="Book Antiqua" w:eastAsia="宋体" w:hAnsi="Book Antiqua" w:cs="宋体"/>
                <w:color w:val="000000"/>
                <w:kern w:val="0"/>
                <w:sz w:val="24"/>
                <w:szCs w:val="24"/>
                <w:lang w:eastAsia="zh-CN"/>
              </w:rPr>
            </w:pPr>
          </w:p>
        </w:tc>
        <w:tc>
          <w:tcPr>
            <w:tcW w:w="2835" w:type="dxa"/>
            <w:tcBorders>
              <w:left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Enteric peritonitis</w:t>
            </w:r>
          </w:p>
        </w:tc>
        <w:tc>
          <w:tcPr>
            <w:tcW w:w="1559" w:type="dxa"/>
            <w:tcBorders>
              <w:left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Non-enteric peritonitis</w:t>
            </w:r>
          </w:p>
        </w:tc>
        <w:tc>
          <w:tcPr>
            <w:tcW w:w="2046" w:type="dxa"/>
            <w:vMerge w:val="restart"/>
            <w:tcBorders>
              <w:top w:val="nil"/>
              <w:left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i/>
                <w:iCs/>
                <w:color w:val="000000"/>
                <w:kern w:val="0"/>
                <w:sz w:val="24"/>
                <w:szCs w:val="24"/>
                <w:lang w:eastAsia="zh-CN"/>
              </w:rPr>
            </w:pPr>
            <w:r w:rsidRPr="00BF3C3C">
              <w:rPr>
                <w:rFonts w:ascii="Book Antiqua" w:eastAsia="宋体" w:hAnsi="Book Antiqua" w:cs="宋体"/>
                <w:i/>
                <w:iCs/>
                <w:color w:val="000000"/>
                <w:kern w:val="0"/>
                <w:sz w:val="24"/>
                <w:szCs w:val="24"/>
                <w:lang w:eastAsia="zh-CN"/>
              </w:rPr>
              <w:t>P</w:t>
            </w:r>
            <w:r w:rsidRPr="00BF3C3C">
              <w:rPr>
                <w:rFonts w:ascii="Book Antiqua" w:eastAsia="宋体" w:hAnsi="Book Antiqua" w:cs="宋体"/>
                <w:color w:val="000000"/>
                <w:kern w:val="0"/>
                <w:sz w:val="24"/>
                <w:szCs w:val="24"/>
                <w:lang w:eastAsia="zh-CN"/>
              </w:rPr>
              <w:t xml:space="preserve"> </w:t>
            </w:r>
            <w:r w:rsidRPr="00B22DE1">
              <w:rPr>
                <w:rFonts w:ascii="Book Antiqua" w:eastAsia="宋体" w:hAnsi="Book Antiqua" w:cs="宋体"/>
                <w:color w:val="000000"/>
                <w:kern w:val="0"/>
                <w:sz w:val="24"/>
                <w:szCs w:val="24"/>
                <w:lang w:eastAsia="zh-CN"/>
              </w:rPr>
              <w:t>value</w:t>
            </w:r>
          </w:p>
        </w:tc>
      </w:tr>
      <w:tr w:rsidR="00B22DE1" w:rsidRPr="00BF3C3C" w:rsidTr="00B22DE1">
        <w:trPr>
          <w:trHeight w:val="330"/>
        </w:trPr>
        <w:tc>
          <w:tcPr>
            <w:tcW w:w="1593" w:type="dxa"/>
            <w:tcBorders>
              <w:left w:val="nil"/>
              <w:bottom w:val="single" w:sz="4" w:space="0" w:color="auto"/>
              <w:right w:val="nil"/>
            </w:tcBorders>
            <w:shd w:val="clear" w:color="auto" w:fill="auto"/>
            <w:noWrap/>
            <w:vAlign w:val="center"/>
            <w:hideMark/>
          </w:tcPr>
          <w:p w:rsidR="00B22DE1" w:rsidRPr="00B22DE1" w:rsidRDefault="00B22DE1" w:rsidP="00B22DE1">
            <w:pPr>
              <w:widowControl/>
              <w:wordWrap/>
              <w:autoSpaceDE/>
              <w:autoSpaceDN/>
              <w:jc w:val="left"/>
              <w:rPr>
                <w:rFonts w:ascii="宋体" w:eastAsia="宋体" w:hAnsi="宋体" w:cs="宋体"/>
                <w:color w:val="000000"/>
                <w:kern w:val="0"/>
                <w:sz w:val="22"/>
                <w:lang w:eastAsia="zh-CN"/>
              </w:rPr>
            </w:pPr>
          </w:p>
        </w:tc>
        <w:tc>
          <w:tcPr>
            <w:tcW w:w="1952" w:type="dxa"/>
            <w:vMerge/>
            <w:tcBorders>
              <w:left w:val="nil"/>
              <w:bottom w:val="single" w:sz="4" w:space="0" w:color="auto"/>
              <w:right w:val="nil"/>
            </w:tcBorders>
            <w:vAlign w:val="center"/>
            <w:hideMark/>
          </w:tcPr>
          <w:p w:rsidR="00B22DE1" w:rsidRPr="00B22DE1" w:rsidRDefault="00B22DE1" w:rsidP="00B22DE1">
            <w:pPr>
              <w:widowControl/>
              <w:wordWrap/>
              <w:autoSpaceDE/>
              <w:autoSpaceDN/>
              <w:jc w:val="left"/>
              <w:rPr>
                <w:rFonts w:ascii="Book Antiqua" w:eastAsia="宋体" w:hAnsi="Book Antiqua" w:cs="宋体"/>
                <w:color w:val="000000"/>
                <w:kern w:val="0"/>
                <w:sz w:val="24"/>
                <w:szCs w:val="24"/>
                <w:lang w:eastAsia="zh-CN"/>
              </w:rPr>
            </w:pPr>
          </w:p>
        </w:tc>
        <w:tc>
          <w:tcPr>
            <w:tcW w:w="2835" w:type="dxa"/>
            <w:tcBorders>
              <w:left w:val="nil"/>
              <w:bottom w:val="single" w:sz="4" w:space="0" w:color="auto"/>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w:t>
            </w:r>
            <w:r w:rsidRPr="00B22DE1">
              <w:rPr>
                <w:rFonts w:ascii="Book Antiqua" w:eastAsia="宋体" w:hAnsi="Book Antiqua" w:cs="宋体"/>
                <w:i/>
                <w:color w:val="000000"/>
                <w:kern w:val="0"/>
                <w:sz w:val="24"/>
                <w:szCs w:val="24"/>
                <w:lang w:eastAsia="zh-CN"/>
              </w:rPr>
              <w:t>n</w:t>
            </w:r>
            <w:r w:rsidRPr="00BF3C3C">
              <w:rPr>
                <w:rFonts w:ascii="Book Antiqua" w:eastAsia="宋体" w:hAnsi="Book Antiqua" w:cs="宋体" w:hint="eastAsia"/>
                <w:i/>
                <w:color w:val="000000"/>
                <w:kern w:val="0"/>
                <w:sz w:val="24"/>
                <w:szCs w:val="24"/>
                <w:lang w:eastAsia="zh-CN"/>
              </w:rPr>
              <w:t xml:space="preserve"> </w:t>
            </w:r>
            <w:r w:rsidRPr="00B22DE1">
              <w:rPr>
                <w:rFonts w:ascii="Book Antiqua" w:eastAsia="宋体" w:hAnsi="Book Antiqua" w:cs="宋体"/>
                <w:color w:val="000000"/>
                <w:kern w:val="0"/>
                <w:sz w:val="24"/>
                <w:szCs w:val="24"/>
                <w:lang w:eastAsia="zh-CN"/>
              </w:rPr>
              <w:t>=</w:t>
            </w:r>
            <w:r w:rsidRPr="00BF3C3C">
              <w:rPr>
                <w:rFonts w:ascii="Book Antiqua" w:eastAsia="宋体" w:hAnsi="Book Antiqua" w:cs="宋体" w:hint="eastAsia"/>
                <w:color w:val="000000"/>
                <w:kern w:val="0"/>
                <w:sz w:val="24"/>
                <w:szCs w:val="24"/>
                <w:lang w:eastAsia="zh-CN"/>
              </w:rPr>
              <w:t xml:space="preserve"> </w:t>
            </w:r>
            <w:r w:rsidRPr="00B22DE1">
              <w:rPr>
                <w:rFonts w:ascii="Book Antiqua" w:eastAsia="宋体" w:hAnsi="Book Antiqua" w:cs="宋体"/>
                <w:color w:val="000000"/>
                <w:kern w:val="0"/>
                <w:sz w:val="24"/>
                <w:szCs w:val="24"/>
                <w:lang w:eastAsia="zh-CN"/>
              </w:rPr>
              <w:t>26)</w:t>
            </w:r>
          </w:p>
        </w:tc>
        <w:tc>
          <w:tcPr>
            <w:tcW w:w="1559" w:type="dxa"/>
            <w:tcBorders>
              <w:left w:val="nil"/>
              <w:bottom w:val="single" w:sz="4" w:space="0" w:color="auto"/>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w:t>
            </w:r>
            <w:r w:rsidRPr="00B22DE1">
              <w:rPr>
                <w:rFonts w:ascii="Book Antiqua" w:eastAsia="宋体" w:hAnsi="Book Antiqua" w:cs="宋体"/>
                <w:i/>
                <w:color w:val="000000"/>
                <w:kern w:val="0"/>
                <w:sz w:val="24"/>
                <w:szCs w:val="24"/>
                <w:lang w:eastAsia="zh-CN"/>
              </w:rPr>
              <w:t>n</w:t>
            </w:r>
            <w:r w:rsidRPr="00BF3C3C">
              <w:rPr>
                <w:rFonts w:ascii="Book Antiqua" w:eastAsia="宋体" w:hAnsi="Book Antiqua" w:cs="宋体" w:hint="eastAsia"/>
                <w:i/>
                <w:color w:val="000000"/>
                <w:kern w:val="0"/>
                <w:sz w:val="24"/>
                <w:szCs w:val="24"/>
                <w:lang w:eastAsia="zh-CN"/>
              </w:rPr>
              <w:t xml:space="preserve"> </w:t>
            </w:r>
            <w:r w:rsidRPr="00B22DE1">
              <w:rPr>
                <w:rFonts w:ascii="Book Antiqua" w:eastAsia="宋体" w:hAnsi="Book Antiqua" w:cs="宋体"/>
                <w:color w:val="000000"/>
                <w:kern w:val="0"/>
                <w:sz w:val="24"/>
                <w:szCs w:val="24"/>
                <w:lang w:eastAsia="zh-CN"/>
              </w:rPr>
              <w:t>=</w:t>
            </w:r>
            <w:r w:rsidRPr="00BF3C3C">
              <w:rPr>
                <w:rFonts w:ascii="Book Antiqua" w:eastAsia="宋体" w:hAnsi="Book Antiqua" w:cs="宋体" w:hint="eastAsia"/>
                <w:color w:val="000000"/>
                <w:kern w:val="0"/>
                <w:sz w:val="24"/>
                <w:szCs w:val="24"/>
                <w:lang w:eastAsia="zh-CN"/>
              </w:rPr>
              <w:t xml:space="preserve"> </w:t>
            </w:r>
            <w:r w:rsidRPr="00B22DE1">
              <w:rPr>
                <w:rFonts w:ascii="Book Antiqua" w:eastAsia="宋体" w:hAnsi="Book Antiqua" w:cs="宋体"/>
                <w:color w:val="000000"/>
                <w:kern w:val="0"/>
                <w:sz w:val="24"/>
                <w:szCs w:val="24"/>
                <w:lang w:eastAsia="zh-CN"/>
              </w:rPr>
              <w:t>55)</w:t>
            </w:r>
          </w:p>
        </w:tc>
        <w:tc>
          <w:tcPr>
            <w:tcW w:w="2046" w:type="dxa"/>
            <w:vMerge/>
            <w:tcBorders>
              <w:left w:val="nil"/>
              <w:bottom w:val="single" w:sz="4" w:space="0" w:color="auto"/>
              <w:right w:val="nil"/>
            </w:tcBorders>
            <w:vAlign w:val="center"/>
            <w:hideMark/>
          </w:tcPr>
          <w:p w:rsidR="00B22DE1" w:rsidRPr="00B22DE1" w:rsidRDefault="00B22DE1" w:rsidP="00B22DE1">
            <w:pPr>
              <w:widowControl/>
              <w:wordWrap/>
              <w:autoSpaceDE/>
              <w:autoSpaceDN/>
              <w:jc w:val="left"/>
              <w:rPr>
                <w:rFonts w:ascii="Book Antiqua" w:eastAsia="宋体" w:hAnsi="Book Antiqua" w:cs="宋体"/>
                <w:i/>
                <w:iCs/>
                <w:color w:val="000000"/>
                <w:kern w:val="0"/>
                <w:sz w:val="24"/>
                <w:szCs w:val="24"/>
                <w:lang w:eastAsia="zh-CN"/>
              </w:rPr>
            </w:pPr>
          </w:p>
        </w:tc>
      </w:tr>
      <w:tr w:rsidR="00B22DE1" w:rsidRPr="00BF3C3C" w:rsidTr="00B22DE1">
        <w:trPr>
          <w:trHeight w:val="960"/>
        </w:trPr>
        <w:tc>
          <w:tcPr>
            <w:tcW w:w="1593" w:type="dxa"/>
            <w:tcBorders>
              <w:top w:val="single" w:sz="4" w:space="0" w:color="auto"/>
              <w:left w:val="nil"/>
              <w:bottom w:val="nil"/>
              <w:right w:val="nil"/>
            </w:tcBorders>
            <w:shd w:val="clear" w:color="auto" w:fill="auto"/>
            <w:noWrap/>
            <w:vAlign w:val="center"/>
            <w:hideMark/>
          </w:tcPr>
          <w:p w:rsidR="00B22DE1" w:rsidRPr="00B22DE1" w:rsidRDefault="00B22DE1" w:rsidP="00B22DE1">
            <w:pPr>
              <w:widowControl/>
              <w:wordWrap/>
              <w:autoSpaceDE/>
              <w:autoSpaceDN/>
              <w:jc w:val="left"/>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 xml:space="preserve"> Sterile peritonitis included in NEP group</w:t>
            </w:r>
          </w:p>
        </w:tc>
        <w:tc>
          <w:tcPr>
            <w:tcW w:w="1952" w:type="dxa"/>
            <w:tcBorders>
              <w:top w:val="single" w:sz="4" w:space="0" w:color="auto"/>
              <w:left w:val="nil"/>
              <w:bottom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 xml:space="preserve">Use of PPIs </w:t>
            </w:r>
          </w:p>
        </w:tc>
        <w:tc>
          <w:tcPr>
            <w:tcW w:w="2835" w:type="dxa"/>
            <w:tcBorders>
              <w:top w:val="single" w:sz="4" w:space="0" w:color="auto"/>
              <w:left w:val="nil"/>
              <w:bottom w:val="nil"/>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3 (11.5</w:t>
            </w:r>
            <w:r w:rsidR="00B22DE1" w:rsidRPr="00B22DE1">
              <w:rPr>
                <w:rFonts w:ascii="Book Antiqua" w:eastAsia="宋体" w:hAnsi="Book Antiqua" w:cs="宋体"/>
                <w:color w:val="000000"/>
                <w:kern w:val="0"/>
                <w:sz w:val="24"/>
                <w:szCs w:val="24"/>
                <w:lang w:eastAsia="zh-CN"/>
              </w:rPr>
              <w:t>)</w:t>
            </w:r>
          </w:p>
        </w:tc>
        <w:tc>
          <w:tcPr>
            <w:tcW w:w="1559" w:type="dxa"/>
            <w:tcBorders>
              <w:top w:val="single" w:sz="4" w:space="0" w:color="auto"/>
              <w:left w:val="nil"/>
              <w:bottom w:val="nil"/>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8 (14.5</w:t>
            </w:r>
            <w:r w:rsidR="00B22DE1" w:rsidRPr="00B22DE1">
              <w:rPr>
                <w:rFonts w:ascii="Book Antiqua" w:eastAsia="宋体" w:hAnsi="Book Antiqua" w:cs="宋体"/>
                <w:color w:val="000000"/>
                <w:kern w:val="0"/>
                <w:sz w:val="24"/>
                <w:szCs w:val="24"/>
                <w:lang w:eastAsia="zh-CN"/>
              </w:rPr>
              <w:t>)</w:t>
            </w:r>
          </w:p>
        </w:tc>
        <w:tc>
          <w:tcPr>
            <w:tcW w:w="2046" w:type="dxa"/>
            <w:tcBorders>
              <w:top w:val="single" w:sz="4" w:space="0" w:color="auto"/>
              <w:left w:val="nil"/>
              <w:bottom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1</w:t>
            </w:r>
          </w:p>
        </w:tc>
      </w:tr>
      <w:tr w:rsidR="00B22DE1" w:rsidRPr="00BF3C3C" w:rsidTr="00B22DE1">
        <w:trPr>
          <w:trHeight w:val="945"/>
        </w:trPr>
        <w:tc>
          <w:tcPr>
            <w:tcW w:w="1593" w:type="dxa"/>
            <w:tcBorders>
              <w:top w:val="nil"/>
              <w:left w:val="nil"/>
              <w:right w:val="nil"/>
            </w:tcBorders>
            <w:shd w:val="clear" w:color="auto" w:fill="auto"/>
            <w:noWrap/>
            <w:vAlign w:val="center"/>
            <w:hideMark/>
          </w:tcPr>
          <w:p w:rsidR="00B22DE1" w:rsidRPr="00B22DE1" w:rsidRDefault="00B22DE1" w:rsidP="00B22DE1">
            <w:pPr>
              <w:widowControl/>
              <w:wordWrap/>
              <w:autoSpaceDE/>
              <w:autoSpaceDN/>
              <w:jc w:val="left"/>
              <w:rPr>
                <w:rFonts w:ascii="宋体" w:eastAsia="宋体" w:hAnsi="宋体" w:cs="宋体"/>
                <w:color w:val="000000"/>
                <w:kern w:val="0"/>
                <w:sz w:val="22"/>
                <w:lang w:eastAsia="zh-CN"/>
              </w:rPr>
            </w:pPr>
          </w:p>
        </w:tc>
        <w:tc>
          <w:tcPr>
            <w:tcW w:w="1952" w:type="dxa"/>
            <w:tcBorders>
              <w:top w:val="nil"/>
              <w:left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Use of H2Bs</w:t>
            </w:r>
          </w:p>
        </w:tc>
        <w:tc>
          <w:tcPr>
            <w:tcW w:w="2835" w:type="dxa"/>
            <w:tcBorders>
              <w:top w:val="nil"/>
              <w:left w:val="nil"/>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6 (23.1</w:t>
            </w:r>
            <w:r w:rsidR="00B22DE1" w:rsidRPr="00B22DE1">
              <w:rPr>
                <w:rFonts w:ascii="Book Antiqua" w:eastAsia="宋体" w:hAnsi="Book Antiqua" w:cs="宋体"/>
                <w:color w:val="000000"/>
                <w:kern w:val="0"/>
                <w:sz w:val="24"/>
                <w:szCs w:val="24"/>
                <w:lang w:eastAsia="zh-CN"/>
              </w:rPr>
              <w:t>)</w:t>
            </w:r>
          </w:p>
        </w:tc>
        <w:tc>
          <w:tcPr>
            <w:tcW w:w="1559" w:type="dxa"/>
            <w:tcBorders>
              <w:top w:val="nil"/>
              <w:left w:val="nil"/>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15 (27.3</w:t>
            </w:r>
            <w:r w:rsidR="00B22DE1" w:rsidRPr="00B22DE1">
              <w:rPr>
                <w:rFonts w:ascii="Book Antiqua" w:eastAsia="宋体" w:hAnsi="Book Antiqua" w:cs="宋体"/>
                <w:color w:val="000000"/>
                <w:kern w:val="0"/>
                <w:sz w:val="24"/>
                <w:szCs w:val="24"/>
                <w:lang w:eastAsia="zh-CN"/>
              </w:rPr>
              <w:t>)</w:t>
            </w:r>
          </w:p>
        </w:tc>
        <w:tc>
          <w:tcPr>
            <w:tcW w:w="2046" w:type="dxa"/>
            <w:tcBorders>
              <w:top w:val="nil"/>
              <w:left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0.687</w:t>
            </w:r>
          </w:p>
        </w:tc>
      </w:tr>
      <w:tr w:rsidR="00B22DE1" w:rsidRPr="00BF3C3C" w:rsidTr="00B22DE1">
        <w:trPr>
          <w:trHeight w:val="1260"/>
        </w:trPr>
        <w:tc>
          <w:tcPr>
            <w:tcW w:w="1593" w:type="dxa"/>
            <w:tcBorders>
              <w:top w:val="nil"/>
              <w:left w:val="nil"/>
              <w:bottom w:val="nil"/>
              <w:right w:val="nil"/>
            </w:tcBorders>
            <w:shd w:val="clear" w:color="auto" w:fill="auto"/>
            <w:noWrap/>
            <w:vAlign w:val="center"/>
            <w:hideMark/>
          </w:tcPr>
          <w:p w:rsidR="00B22DE1" w:rsidRPr="00B22DE1" w:rsidRDefault="00B22DE1" w:rsidP="00B22DE1">
            <w:pPr>
              <w:widowControl/>
              <w:wordWrap/>
              <w:autoSpaceDE/>
              <w:autoSpaceDN/>
              <w:jc w:val="left"/>
              <w:rPr>
                <w:rFonts w:ascii="宋体" w:eastAsia="宋体" w:hAnsi="宋体" w:cs="宋体"/>
                <w:color w:val="000000"/>
                <w:kern w:val="0"/>
                <w:sz w:val="22"/>
                <w:lang w:eastAsia="zh-CN"/>
              </w:rPr>
            </w:pPr>
          </w:p>
        </w:tc>
        <w:tc>
          <w:tcPr>
            <w:tcW w:w="1952" w:type="dxa"/>
            <w:tcBorders>
              <w:top w:val="nil"/>
              <w:left w:val="nil"/>
              <w:bottom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 xml:space="preserve">Use of other antacids </w:t>
            </w:r>
          </w:p>
        </w:tc>
        <w:tc>
          <w:tcPr>
            <w:tcW w:w="2835" w:type="dxa"/>
            <w:tcBorders>
              <w:top w:val="nil"/>
              <w:left w:val="nil"/>
              <w:bottom w:val="nil"/>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1 (3.8</w:t>
            </w:r>
            <w:r w:rsidR="00B22DE1" w:rsidRPr="00B22DE1">
              <w:rPr>
                <w:rFonts w:ascii="Book Antiqua" w:eastAsia="宋体" w:hAnsi="Book Antiqua" w:cs="宋体"/>
                <w:color w:val="000000"/>
                <w:kern w:val="0"/>
                <w:sz w:val="24"/>
                <w:szCs w:val="24"/>
                <w:lang w:eastAsia="zh-CN"/>
              </w:rPr>
              <w:t>)</w:t>
            </w:r>
          </w:p>
        </w:tc>
        <w:tc>
          <w:tcPr>
            <w:tcW w:w="1559" w:type="dxa"/>
            <w:tcBorders>
              <w:top w:val="nil"/>
              <w:left w:val="nil"/>
              <w:bottom w:val="nil"/>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5 (9.1</w:t>
            </w:r>
            <w:r w:rsidR="00B22DE1" w:rsidRPr="00B22DE1">
              <w:rPr>
                <w:rFonts w:ascii="Book Antiqua" w:eastAsia="宋体" w:hAnsi="Book Antiqua" w:cs="宋体"/>
                <w:color w:val="000000"/>
                <w:kern w:val="0"/>
                <w:sz w:val="24"/>
                <w:szCs w:val="24"/>
                <w:lang w:eastAsia="zh-CN"/>
              </w:rPr>
              <w:t>)</w:t>
            </w:r>
          </w:p>
        </w:tc>
        <w:tc>
          <w:tcPr>
            <w:tcW w:w="2046" w:type="dxa"/>
            <w:tcBorders>
              <w:top w:val="nil"/>
              <w:left w:val="nil"/>
              <w:bottom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0.658</w:t>
            </w:r>
          </w:p>
        </w:tc>
      </w:tr>
      <w:tr w:rsidR="00B22DE1" w:rsidRPr="00BF3C3C" w:rsidTr="00B22DE1">
        <w:trPr>
          <w:trHeight w:val="945"/>
        </w:trPr>
        <w:tc>
          <w:tcPr>
            <w:tcW w:w="1593" w:type="dxa"/>
            <w:tcBorders>
              <w:top w:val="nil"/>
              <w:left w:val="nil"/>
              <w:bottom w:val="nil"/>
              <w:right w:val="nil"/>
            </w:tcBorders>
            <w:shd w:val="clear" w:color="auto" w:fill="auto"/>
            <w:noWrap/>
            <w:vAlign w:val="center"/>
            <w:hideMark/>
          </w:tcPr>
          <w:p w:rsidR="00B22DE1" w:rsidRPr="00B22DE1" w:rsidRDefault="00B22DE1" w:rsidP="00B22DE1">
            <w:pPr>
              <w:widowControl/>
              <w:wordWrap/>
              <w:autoSpaceDE/>
              <w:autoSpaceDN/>
              <w:jc w:val="left"/>
              <w:rPr>
                <w:rFonts w:ascii="宋体" w:eastAsia="宋体" w:hAnsi="宋体" w:cs="宋体"/>
                <w:color w:val="000000"/>
                <w:kern w:val="0"/>
                <w:sz w:val="22"/>
                <w:lang w:eastAsia="zh-CN"/>
              </w:rPr>
            </w:pPr>
          </w:p>
        </w:tc>
        <w:tc>
          <w:tcPr>
            <w:tcW w:w="1952" w:type="dxa"/>
            <w:tcBorders>
              <w:top w:val="nil"/>
              <w:left w:val="nil"/>
              <w:bottom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 xml:space="preserve">Use of prokinetics </w:t>
            </w:r>
          </w:p>
        </w:tc>
        <w:tc>
          <w:tcPr>
            <w:tcW w:w="2835" w:type="dxa"/>
            <w:tcBorders>
              <w:top w:val="nil"/>
              <w:left w:val="nil"/>
              <w:bottom w:val="nil"/>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5 (19.2</w:t>
            </w:r>
            <w:r w:rsidR="00B22DE1" w:rsidRPr="00B22DE1">
              <w:rPr>
                <w:rFonts w:ascii="Book Antiqua" w:eastAsia="宋体" w:hAnsi="Book Antiqua" w:cs="宋体"/>
                <w:color w:val="000000"/>
                <w:kern w:val="0"/>
                <w:sz w:val="24"/>
                <w:szCs w:val="24"/>
                <w:lang w:eastAsia="zh-CN"/>
              </w:rPr>
              <w:t>)</w:t>
            </w:r>
          </w:p>
        </w:tc>
        <w:tc>
          <w:tcPr>
            <w:tcW w:w="1559" w:type="dxa"/>
            <w:tcBorders>
              <w:top w:val="nil"/>
              <w:left w:val="nil"/>
              <w:bottom w:val="nil"/>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18 (32.7</w:t>
            </w:r>
            <w:r w:rsidR="00B22DE1" w:rsidRPr="00B22DE1">
              <w:rPr>
                <w:rFonts w:ascii="Book Antiqua" w:eastAsia="宋体" w:hAnsi="Book Antiqua" w:cs="宋体"/>
                <w:color w:val="000000"/>
                <w:kern w:val="0"/>
                <w:sz w:val="24"/>
                <w:szCs w:val="24"/>
                <w:lang w:eastAsia="zh-CN"/>
              </w:rPr>
              <w:t>)</w:t>
            </w:r>
          </w:p>
        </w:tc>
        <w:tc>
          <w:tcPr>
            <w:tcW w:w="2046" w:type="dxa"/>
            <w:tcBorders>
              <w:top w:val="nil"/>
              <w:left w:val="nil"/>
              <w:bottom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0.209</w:t>
            </w:r>
          </w:p>
        </w:tc>
      </w:tr>
      <w:tr w:rsidR="00B22DE1" w:rsidRPr="00BF3C3C" w:rsidTr="00B22DE1">
        <w:trPr>
          <w:trHeight w:val="1590"/>
        </w:trPr>
        <w:tc>
          <w:tcPr>
            <w:tcW w:w="1593" w:type="dxa"/>
            <w:tcBorders>
              <w:top w:val="nil"/>
              <w:left w:val="nil"/>
              <w:right w:val="nil"/>
            </w:tcBorders>
            <w:shd w:val="clear" w:color="auto" w:fill="auto"/>
            <w:noWrap/>
            <w:vAlign w:val="center"/>
            <w:hideMark/>
          </w:tcPr>
          <w:p w:rsidR="00B22DE1" w:rsidRPr="00B22DE1" w:rsidRDefault="00B22DE1" w:rsidP="00B22DE1">
            <w:pPr>
              <w:widowControl/>
              <w:wordWrap/>
              <w:autoSpaceDE/>
              <w:autoSpaceDN/>
              <w:jc w:val="left"/>
              <w:rPr>
                <w:rFonts w:ascii="宋体" w:eastAsia="宋体" w:hAnsi="宋体" w:cs="宋体"/>
                <w:color w:val="000000"/>
                <w:kern w:val="0"/>
                <w:sz w:val="22"/>
                <w:lang w:eastAsia="zh-CN"/>
              </w:rPr>
            </w:pPr>
          </w:p>
        </w:tc>
        <w:tc>
          <w:tcPr>
            <w:tcW w:w="1952" w:type="dxa"/>
            <w:tcBorders>
              <w:top w:val="nil"/>
              <w:left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 xml:space="preserve">Use of immunosuppressants </w:t>
            </w:r>
          </w:p>
        </w:tc>
        <w:tc>
          <w:tcPr>
            <w:tcW w:w="2835" w:type="dxa"/>
            <w:tcBorders>
              <w:top w:val="nil"/>
              <w:left w:val="nil"/>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2 (7.7</w:t>
            </w:r>
            <w:r w:rsidR="00B22DE1" w:rsidRPr="00B22DE1">
              <w:rPr>
                <w:rFonts w:ascii="Book Antiqua" w:eastAsia="宋体" w:hAnsi="Book Antiqua" w:cs="宋体"/>
                <w:color w:val="000000"/>
                <w:kern w:val="0"/>
                <w:sz w:val="24"/>
                <w:szCs w:val="24"/>
                <w:lang w:eastAsia="zh-CN"/>
              </w:rPr>
              <w:t>)</w:t>
            </w:r>
          </w:p>
        </w:tc>
        <w:tc>
          <w:tcPr>
            <w:tcW w:w="1559" w:type="dxa"/>
            <w:tcBorders>
              <w:top w:val="nil"/>
              <w:left w:val="nil"/>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7 (12.7</w:t>
            </w:r>
            <w:r w:rsidR="00B22DE1" w:rsidRPr="00B22DE1">
              <w:rPr>
                <w:rFonts w:ascii="Book Antiqua" w:eastAsia="宋体" w:hAnsi="Book Antiqua" w:cs="宋体"/>
                <w:color w:val="000000"/>
                <w:kern w:val="0"/>
                <w:sz w:val="24"/>
                <w:szCs w:val="24"/>
                <w:lang w:eastAsia="zh-CN"/>
              </w:rPr>
              <w:t>)</w:t>
            </w:r>
          </w:p>
        </w:tc>
        <w:tc>
          <w:tcPr>
            <w:tcW w:w="2046" w:type="dxa"/>
            <w:tcBorders>
              <w:top w:val="nil"/>
              <w:left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0.501</w:t>
            </w:r>
          </w:p>
        </w:tc>
      </w:tr>
      <w:tr w:rsidR="00B22DE1" w:rsidRPr="00BF3C3C" w:rsidTr="00B22DE1">
        <w:trPr>
          <w:trHeight w:val="960"/>
        </w:trPr>
        <w:tc>
          <w:tcPr>
            <w:tcW w:w="1593" w:type="dxa"/>
            <w:tcBorders>
              <w:top w:val="nil"/>
              <w:left w:val="nil"/>
              <w:bottom w:val="nil"/>
              <w:right w:val="nil"/>
            </w:tcBorders>
            <w:shd w:val="clear" w:color="auto" w:fill="auto"/>
            <w:noWrap/>
            <w:vAlign w:val="center"/>
            <w:hideMark/>
          </w:tcPr>
          <w:p w:rsidR="00B22DE1" w:rsidRPr="00B22DE1" w:rsidRDefault="00B22DE1" w:rsidP="00B22DE1">
            <w:pPr>
              <w:widowControl/>
              <w:wordWrap/>
              <w:autoSpaceDE/>
              <w:autoSpaceDN/>
              <w:jc w:val="left"/>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Sterile peritonitis excluded in NEP group</w:t>
            </w:r>
          </w:p>
        </w:tc>
        <w:tc>
          <w:tcPr>
            <w:tcW w:w="1952" w:type="dxa"/>
            <w:tcBorders>
              <w:top w:val="nil"/>
              <w:left w:val="nil"/>
              <w:bottom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Use of PPIs</w:t>
            </w:r>
          </w:p>
        </w:tc>
        <w:tc>
          <w:tcPr>
            <w:tcW w:w="2835" w:type="dxa"/>
            <w:tcBorders>
              <w:top w:val="nil"/>
              <w:left w:val="nil"/>
              <w:bottom w:val="nil"/>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3 (11.5</w:t>
            </w:r>
            <w:r w:rsidR="00B22DE1" w:rsidRPr="00B22DE1">
              <w:rPr>
                <w:rFonts w:ascii="Book Antiqua" w:eastAsia="宋体" w:hAnsi="Book Antiqua" w:cs="宋体"/>
                <w:color w:val="000000"/>
                <w:kern w:val="0"/>
                <w:sz w:val="24"/>
                <w:szCs w:val="24"/>
                <w:lang w:eastAsia="zh-CN"/>
              </w:rPr>
              <w:t>)</w:t>
            </w:r>
          </w:p>
        </w:tc>
        <w:tc>
          <w:tcPr>
            <w:tcW w:w="1559" w:type="dxa"/>
            <w:tcBorders>
              <w:top w:val="nil"/>
              <w:left w:val="nil"/>
              <w:bottom w:val="nil"/>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5 (14.3</w:t>
            </w:r>
            <w:r w:rsidR="00B22DE1" w:rsidRPr="00B22DE1">
              <w:rPr>
                <w:rFonts w:ascii="Book Antiqua" w:eastAsia="宋体" w:hAnsi="Book Antiqua" w:cs="宋体"/>
                <w:color w:val="000000"/>
                <w:kern w:val="0"/>
                <w:sz w:val="24"/>
                <w:szCs w:val="24"/>
                <w:lang w:eastAsia="zh-CN"/>
              </w:rPr>
              <w:t>)</w:t>
            </w:r>
          </w:p>
        </w:tc>
        <w:tc>
          <w:tcPr>
            <w:tcW w:w="2046" w:type="dxa"/>
            <w:tcBorders>
              <w:top w:val="nil"/>
              <w:left w:val="nil"/>
              <w:bottom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1</w:t>
            </w:r>
          </w:p>
        </w:tc>
      </w:tr>
      <w:tr w:rsidR="00B22DE1" w:rsidRPr="00BF3C3C" w:rsidTr="00B22DE1">
        <w:trPr>
          <w:trHeight w:val="945"/>
        </w:trPr>
        <w:tc>
          <w:tcPr>
            <w:tcW w:w="1593" w:type="dxa"/>
            <w:tcBorders>
              <w:top w:val="nil"/>
              <w:left w:val="nil"/>
              <w:bottom w:val="nil"/>
              <w:right w:val="nil"/>
            </w:tcBorders>
            <w:shd w:val="clear" w:color="auto" w:fill="auto"/>
            <w:noWrap/>
            <w:vAlign w:val="center"/>
            <w:hideMark/>
          </w:tcPr>
          <w:p w:rsidR="00B22DE1" w:rsidRPr="00B22DE1" w:rsidRDefault="00B22DE1" w:rsidP="00B22DE1">
            <w:pPr>
              <w:widowControl/>
              <w:wordWrap/>
              <w:autoSpaceDE/>
              <w:autoSpaceDN/>
              <w:jc w:val="left"/>
              <w:rPr>
                <w:rFonts w:ascii="宋体" w:eastAsia="宋体" w:hAnsi="宋体" w:cs="宋体"/>
                <w:color w:val="000000"/>
                <w:kern w:val="0"/>
                <w:sz w:val="22"/>
                <w:lang w:eastAsia="zh-CN"/>
              </w:rPr>
            </w:pPr>
          </w:p>
        </w:tc>
        <w:tc>
          <w:tcPr>
            <w:tcW w:w="1952" w:type="dxa"/>
            <w:tcBorders>
              <w:top w:val="nil"/>
              <w:left w:val="nil"/>
              <w:bottom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 xml:space="preserve">Use of H2Bs </w:t>
            </w:r>
          </w:p>
        </w:tc>
        <w:tc>
          <w:tcPr>
            <w:tcW w:w="2835" w:type="dxa"/>
            <w:tcBorders>
              <w:top w:val="nil"/>
              <w:left w:val="nil"/>
              <w:bottom w:val="nil"/>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6 (23.1</w:t>
            </w:r>
            <w:r w:rsidR="00B22DE1" w:rsidRPr="00B22DE1">
              <w:rPr>
                <w:rFonts w:ascii="Book Antiqua" w:eastAsia="宋体" w:hAnsi="Book Antiqua" w:cs="宋体"/>
                <w:color w:val="000000"/>
                <w:kern w:val="0"/>
                <w:sz w:val="24"/>
                <w:szCs w:val="24"/>
                <w:lang w:eastAsia="zh-CN"/>
              </w:rPr>
              <w:t>)</w:t>
            </w:r>
          </w:p>
        </w:tc>
        <w:tc>
          <w:tcPr>
            <w:tcW w:w="1559" w:type="dxa"/>
            <w:tcBorders>
              <w:top w:val="nil"/>
              <w:left w:val="nil"/>
              <w:bottom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 xml:space="preserve">9 </w:t>
            </w:r>
            <w:r w:rsidR="004A36EB">
              <w:rPr>
                <w:rFonts w:ascii="Book Antiqua" w:eastAsia="宋体" w:hAnsi="Book Antiqua" w:cs="宋体"/>
                <w:color w:val="000000"/>
                <w:kern w:val="0"/>
                <w:sz w:val="24"/>
                <w:szCs w:val="24"/>
                <w:lang w:eastAsia="zh-CN"/>
              </w:rPr>
              <w:t>(25.7</w:t>
            </w:r>
            <w:r w:rsidRPr="00B22DE1">
              <w:rPr>
                <w:rFonts w:ascii="Book Antiqua" w:eastAsia="宋体" w:hAnsi="Book Antiqua" w:cs="宋体"/>
                <w:color w:val="000000"/>
                <w:kern w:val="0"/>
                <w:sz w:val="24"/>
                <w:szCs w:val="24"/>
                <w:lang w:eastAsia="zh-CN"/>
              </w:rPr>
              <w:t>)</w:t>
            </w:r>
          </w:p>
        </w:tc>
        <w:tc>
          <w:tcPr>
            <w:tcW w:w="2046" w:type="dxa"/>
            <w:tcBorders>
              <w:top w:val="nil"/>
              <w:left w:val="nil"/>
              <w:bottom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0.818</w:t>
            </w:r>
          </w:p>
        </w:tc>
      </w:tr>
      <w:tr w:rsidR="00B22DE1" w:rsidRPr="00BF3C3C" w:rsidTr="00B22DE1">
        <w:trPr>
          <w:trHeight w:val="1260"/>
        </w:trPr>
        <w:tc>
          <w:tcPr>
            <w:tcW w:w="1593" w:type="dxa"/>
            <w:tcBorders>
              <w:top w:val="nil"/>
              <w:left w:val="nil"/>
              <w:bottom w:val="nil"/>
              <w:right w:val="nil"/>
            </w:tcBorders>
            <w:shd w:val="clear" w:color="auto" w:fill="auto"/>
            <w:noWrap/>
            <w:vAlign w:val="center"/>
            <w:hideMark/>
          </w:tcPr>
          <w:p w:rsidR="00B22DE1" w:rsidRPr="00B22DE1" w:rsidRDefault="00B22DE1" w:rsidP="00B22DE1">
            <w:pPr>
              <w:widowControl/>
              <w:wordWrap/>
              <w:autoSpaceDE/>
              <w:autoSpaceDN/>
              <w:jc w:val="left"/>
              <w:rPr>
                <w:rFonts w:ascii="宋体" w:eastAsia="宋体" w:hAnsi="宋体" w:cs="宋体"/>
                <w:color w:val="000000"/>
                <w:kern w:val="0"/>
                <w:sz w:val="22"/>
                <w:lang w:eastAsia="zh-CN"/>
              </w:rPr>
            </w:pPr>
          </w:p>
        </w:tc>
        <w:tc>
          <w:tcPr>
            <w:tcW w:w="1952" w:type="dxa"/>
            <w:tcBorders>
              <w:top w:val="nil"/>
              <w:left w:val="nil"/>
              <w:bottom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Use of other antacids</w:t>
            </w:r>
          </w:p>
        </w:tc>
        <w:tc>
          <w:tcPr>
            <w:tcW w:w="2835" w:type="dxa"/>
            <w:tcBorders>
              <w:top w:val="nil"/>
              <w:left w:val="nil"/>
              <w:bottom w:val="nil"/>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1 (3.8</w:t>
            </w:r>
            <w:r w:rsidR="00B22DE1" w:rsidRPr="00B22DE1">
              <w:rPr>
                <w:rFonts w:ascii="Book Antiqua" w:eastAsia="宋体" w:hAnsi="Book Antiqua" w:cs="宋体"/>
                <w:color w:val="000000"/>
                <w:kern w:val="0"/>
                <w:sz w:val="24"/>
                <w:szCs w:val="24"/>
                <w:lang w:eastAsia="zh-CN"/>
              </w:rPr>
              <w:t>)</w:t>
            </w:r>
          </w:p>
        </w:tc>
        <w:tc>
          <w:tcPr>
            <w:tcW w:w="1559" w:type="dxa"/>
            <w:tcBorders>
              <w:top w:val="nil"/>
              <w:left w:val="nil"/>
              <w:bottom w:val="nil"/>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3 (8.6</w:t>
            </w:r>
            <w:r w:rsidR="00B22DE1" w:rsidRPr="00B22DE1">
              <w:rPr>
                <w:rFonts w:ascii="Book Antiqua" w:eastAsia="宋体" w:hAnsi="Book Antiqua" w:cs="宋体"/>
                <w:color w:val="000000"/>
                <w:kern w:val="0"/>
                <w:sz w:val="24"/>
                <w:szCs w:val="24"/>
                <w:lang w:eastAsia="zh-CN"/>
              </w:rPr>
              <w:t>)</w:t>
            </w:r>
          </w:p>
        </w:tc>
        <w:tc>
          <w:tcPr>
            <w:tcW w:w="2046" w:type="dxa"/>
            <w:tcBorders>
              <w:top w:val="nil"/>
              <w:left w:val="nil"/>
              <w:bottom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0.629</w:t>
            </w:r>
          </w:p>
        </w:tc>
      </w:tr>
      <w:tr w:rsidR="00B22DE1" w:rsidRPr="00BF3C3C" w:rsidTr="00B22DE1">
        <w:trPr>
          <w:trHeight w:val="945"/>
        </w:trPr>
        <w:tc>
          <w:tcPr>
            <w:tcW w:w="1593" w:type="dxa"/>
            <w:tcBorders>
              <w:top w:val="nil"/>
              <w:left w:val="nil"/>
              <w:right w:val="nil"/>
            </w:tcBorders>
            <w:shd w:val="clear" w:color="auto" w:fill="auto"/>
            <w:noWrap/>
            <w:vAlign w:val="center"/>
            <w:hideMark/>
          </w:tcPr>
          <w:p w:rsidR="00B22DE1" w:rsidRPr="00B22DE1" w:rsidRDefault="00B22DE1" w:rsidP="00B22DE1">
            <w:pPr>
              <w:widowControl/>
              <w:wordWrap/>
              <w:autoSpaceDE/>
              <w:autoSpaceDN/>
              <w:jc w:val="left"/>
              <w:rPr>
                <w:rFonts w:ascii="宋体" w:eastAsia="宋体" w:hAnsi="宋体" w:cs="宋体"/>
                <w:color w:val="000000"/>
                <w:kern w:val="0"/>
                <w:sz w:val="22"/>
                <w:lang w:eastAsia="zh-CN"/>
              </w:rPr>
            </w:pPr>
          </w:p>
        </w:tc>
        <w:tc>
          <w:tcPr>
            <w:tcW w:w="1952" w:type="dxa"/>
            <w:tcBorders>
              <w:top w:val="nil"/>
              <w:left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 xml:space="preserve">Use of prokinetics </w:t>
            </w:r>
          </w:p>
        </w:tc>
        <w:tc>
          <w:tcPr>
            <w:tcW w:w="2835" w:type="dxa"/>
            <w:tcBorders>
              <w:top w:val="nil"/>
              <w:left w:val="nil"/>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5 (19.2</w:t>
            </w:r>
            <w:r w:rsidR="00B22DE1" w:rsidRPr="00B22DE1">
              <w:rPr>
                <w:rFonts w:ascii="Book Antiqua" w:eastAsia="宋体" w:hAnsi="Book Antiqua" w:cs="宋体"/>
                <w:color w:val="000000"/>
                <w:kern w:val="0"/>
                <w:sz w:val="24"/>
                <w:szCs w:val="24"/>
                <w:lang w:eastAsia="zh-CN"/>
              </w:rPr>
              <w:t>)</w:t>
            </w:r>
          </w:p>
        </w:tc>
        <w:tc>
          <w:tcPr>
            <w:tcW w:w="1559" w:type="dxa"/>
            <w:tcBorders>
              <w:top w:val="nil"/>
              <w:left w:val="nil"/>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13 (37.1</w:t>
            </w:r>
            <w:r w:rsidR="00B22DE1" w:rsidRPr="00B22DE1">
              <w:rPr>
                <w:rFonts w:ascii="Book Antiqua" w:eastAsia="宋体" w:hAnsi="Book Antiqua" w:cs="宋体"/>
                <w:color w:val="000000"/>
                <w:kern w:val="0"/>
                <w:sz w:val="24"/>
                <w:szCs w:val="24"/>
                <w:lang w:eastAsia="zh-CN"/>
              </w:rPr>
              <w:t>)</w:t>
            </w:r>
          </w:p>
        </w:tc>
        <w:tc>
          <w:tcPr>
            <w:tcW w:w="2046" w:type="dxa"/>
            <w:tcBorders>
              <w:top w:val="nil"/>
              <w:left w:val="nil"/>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0.129</w:t>
            </w:r>
          </w:p>
        </w:tc>
      </w:tr>
      <w:tr w:rsidR="00B22DE1" w:rsidRPr="00BF3C3C" w:rsidTr="00B22DE1">
        <w:trPr>
          <w:trHeight w:val="1590"/>
        </w:trPr>
        <w:tc>
          <w:tcPr>
            <w:tcW w:w="1593" w:type="dxa"/>
            <w:tcBorders>
              <w:top w:val="nil"/>
              <w:left w:val="nil"/>
              <w:bottom w:val="single" w:sz="4" w:space="0" w:color="auto"/>
              <w:right w:val="nil"/>
            </w:tcBorders>
            <w:shd w:val="clear" w:color="auto" w:fill="auto"/>
            <w:noWrap/>
            <w:vAlign w:val="center"/>
            <w:hideMark/>
          </w:tcPr>
          <w:p w:rsidR="00B22DE1" w:rsidRPr="00B22DE1" w:rsidRDefault="00B22DE1" w:rsidP="00B22DE1">
            <w:pPr>
              <w:widowControl/>
              <w:wordWrap/>
              <w:autoSpaceDE/>
              <w:autoSpaceDN/>
              <w:jc w:val="left"/>
              <w:rPr>
                <w:rFonts w:ascii="宋体" w:eastAsia="宋体" w:hAnsi="宋体" w:cs="宋体"/>
                <w:color w:val="000000"/>
                <w:kern w:val="0"/>
                <w:sz w:val="22"/>
                <w:lang w:eastAsia="zh-CN"/>
              </w:rPr>
            </w:pPr>
          </w:p>
        </w:tc>
        <w:tc>
          <w:tcPr>
            <w:tcW w:w="1952" w:type="dxa"/>
            <w:tcBorders>
              <w:top w:val="nil"/>
              <w:left w:val="nil"/>
              <w:bottom w:val="single" w:sz="4" w:space="0" w:color="auto"/>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 xml:space="preserve">Use of immunosuppressants </w:t>
            </w:r>
          </w:p>
        </w:tc>
        <w:tc>
          <w:tcPr>
            <w:tcW w:w="2835" w:type="dxa"/>
            <w:tcBorders>
              <w:top w:val="nil"/>
              <w:left w:val="nil"/>
              <w:bottom w:val="single" w:sz="4" w:space="0" w:color="auto"/>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2 (7.7</w:t>
            </w:r>
            <w:r w:rsidR="00B22DE1" w:rsidRPr="00B22DE1">
              <w:rPr>
                <w:rFonts w:ascii="Book Antiqua" w:eastAsia="宋体" w:hAnsi="Book Antiqua" w:cs="宋体"/>
                <w:color w:val="000000"/>
                <w:kern w:val="0"/>
                <w:sz w:val="24"/>
                <w:szCs w:val="24"/>
                <w:lang w:eastAsia="zh-CN"/>
              </w:rPr>
              <w:t>)</w:t>
            </w:r>
          </w:p>
        </w:tc>
        <w:tc>
          <w:tcPr>
            <w:tcW w:w="1559" w:type="dxa"/>
            <w:tcBorders>
              <w:top w:val="nil"/>
              <w:left w:val="nil"/>
              <w:bottom w:val="single" w:sz="4" w:space="0" w:color="auto"/>
              <w:right w:val="nil"/>
            </w:tcBorders>
            <w:shd w:val="clear" w:color="auto" w:fill="auto"/>
            <w:vAlign w:val="center"/>
            <w:hideMark/>
          </w:tcPr>
          <w:p w:rsidR="00B22DE1" w:rsidRPr="00B22DE1" w:rsidRDefault="004A36EB" w:rsidP="00B22DE1">
            <w:pPr>
              <w:widowControl/>
              <w:wordWrap/>
              <w:autoSpaceDE/>
              <w:autoSpaceDN/>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5 (14.3</w:t>
            </w:r>
            <w:r w:rsidR="00B22DE1" w:rsidRPr="00B22DE1">
              <w:rPr>
                <w:rFonts w:ascii="Book Antiqua" w:eastAsia="宋体" w:hAnsi="Book Antiqua" w:cs="宋体"/>
                <w:color w:val="000000"/>
                <w:kern w:val="0"/>
                <w:sz w:val="24"/>
                <w:szCs w:val="24"/>
                <w:lang w:eastAsia="zh-CN"/>
              </w:rPr>
              <w:t>)</w:t>
            </w:r>
          </w:p>
        </w:tc>
        <w:tc>
          <w:tcPr>
            <w:tcW w:w="2046" w:type="dxa"/>
            <w:tcBorders>
              <w:top w:val="nil"/>
              <w:left w:val="nil"/>
              <w:bottom w:val="single" w:sz="4" w:space="0" w:color="auto"/>
              <w:right w:val="nil"/>
            </w:tcBorders>
            <w:shd w:val="clear" w:color="auto" w:fill="auto"/>
            <w:vAlign w:val="center"/>
            <w:hideMark/>
          </w:tcPr>
          <w:p w:rsidR="00B22DE1" w:rsidRPr="00B22DE1" w:rsidRDefault="00B22DE1" w:rsidP="00B22DE1">
            <w:pPr>
              <w:widowControl/>
              <w:wordWrap/>
              <w:autoSpaceDE/>
              <w:autoSpaceDN/>
              <w:rPr>
                <w:rFonts w:ascii="Book Antiqua" w:eastAsia="宋体" w:hAnsi="Book Antiqua" w:cs="宋体"/>
                <w:color w:val="000000"/>
                <w:kern w:val="0"/>
                <w:sz w:val="24"/>
                <w:szCs w:val="24"/>
                <w:lang w:eastAsia="zh-CN"/>
              </w:rPr>
            </w:pPr>
            <w:r w:rsidRPr="00B22DE1">
              <w:rPr>
                <w:rFonts w:ascii="Book Antiqua" w:eastAsia="宋体" w:hAnsi="Book Antiqua" w:cs="宋体"/>
                <w:color w:val="000000"/>
                <w:kern w:val="0"/>
                <w:sz w:val="24"/>
                <w:szCs w:val="24"/>
                <w:lang w:eastAsia="zh-CN"/>
              </w:rPr>
              <w:t>0.688</w:t>
            </w:r>
          </w:p>
        </w:tc>
      </w:tr>
    </w:tbl>
    <w:p w:rsidR="00EF6307" w:rsidRPr="00B22DE1" w:rsidRDefault="00D85EC3" w:rsidP="002A4F8D">
      <w:pPr>
        <w:widowControl/>
        <w:wordWrap/>
        <w:autoSpaceDE/>
        <w:autoSpaceDN/>
        <w:spacing w:line="360" w:lineRule="auto"/>
        <w:rPr>
          <w:rFonts w:ascii="Book Antiqua" w:eastAsia="宋体" w:hAnsi="Book Antiqua" w:cs="Times New Roman"/>
          <w:b/>
          <w:sz w:val="24"/>
          <w:szCs w:val="24"/>
          <w:lang w:eastAsia="zh-CN"/>
        </w:rPr>
      </w:pPr>
      <w:r w:rsidRPr="00BF3C3C">
        <w:rPr>
          <w:rFonts w:ascii="Book Antiqua" w:hAnsi="Book Antiqua" w:cs="Times New Roman"/>
          <w:sz w:val="24"/>
          <w:szCs w:val="24"/>
        </w:rPr>
        <w:t>PPI</w:t>
      </w:r>
      <w:r w:rsidR="00343D1E" w:rsidRPr="00BF3C3C">
        <w:rPr>
          <w:rFonts w:ascii="Book Antiqua" w:hAnsi="Book Antiqua" w:cs="Times New Roman"/>
          <w:sz w:val="24"/>
          <w:szCs w:val="24"/>
        </w:rPr>
        <w:t>s</w:t>
      </w:r>
      <w:r w:rsidR="00B22DE1" w:rsidRPr="00BF3C3C">
        <w:rPr>
          <w:rFonts w:ascii="Book Antiqua" w:eastAsia="宋体" w:hAnsi="Book Antiqua" w:cs="Times New Roman" w:hint="eastAsia"/>
          <w:sz w:val="24"/>
          <w:szCs w:val="24"/>
          <w:lang w:eastAsia="zh-CN"/>
        </w:rPr>
        <w:t xml:space="preserve">: </w:t>
      </w:r>
      <w:r w:rsidR="00B22DE1" w:rsidRPr="00BF3C3C">
        <w:rPr>
          <w:rFonts w:ascii="Book Antiqua" w:hAnsi="Book Antiqua" w:cs="Times New Roman"/>
          <w:sz w:val="24"/>
          <w:szCs w:val="24"/>
        </w:rPr>
        <w:t xml:space="preserve">Proton </w:t>
      </w:r>
      <w:r w:rsidRPr="00BF3C3C">
        <w:rPr>
          <w:rFonts w:ascii="Book Antiqua" w:hAnsi="Book Antiqua" w:cs="Times New Roman"/>
          <w:sz w:val="24"/>
          <w:szCs w:val="24"/>
        </w:rPr>
        <w:t>pump inhibitors; H2Bs</w:t>
      </w:r>
      <w:r w:rsidR="00B22DE1" w:rsidRPr="00BF3C3C">
        <w:rPr>
          <w:rFonts w:ascii="Book Antiqua" w:eastAsia="宋体" w:hAnsi="Book Antiqua" w:cs="Times New Roman" w:hint="eastAsia"/>
          <w:sz w:val="24"/>
          <w:szCs w:val="24"/>
          <w:lang w:eastAsia="zh-CN"/>
        </w:rPr>
        <w:t xml:space="preserve">: </w:t>
      </w:r>
      <w:r w:rsidRPr="00BF3C3C">
        <w:rPr>
          <w:rFonts w:ascii="Book Antiqua" w:hAnsi="Book Antiqua" w:cs="Times New Roman"/>
          <w:sz w:val="24"/>
          <w:szCs w:val="24"/>
        </w:rPr>
        <w:t>H2-blockers</w:t>
      </w:r>
      <w:r w:rsidR="00B22DE1" w:rsidRPr="00BF3C3C">
        <w:rPr>
          <w:rFonts w:ascii="Book Antiqua" w:eastAsia="宋体" w:hAnsi="Book Antiqua" w:cs="Times New Roman" w:hint="eastAsia"/>
          <w:b/>
          <w:sz w:val="24"/>
          <w:szCs w:val="24"/>
          <w:lang w:eastAsia="zh-CN"/>
        </w:rPr>
        <w:t>.</w:t>
      </w:r>
    </w:p>
    <w:p w:rsidR="008E3697" w:rsidRPr="00B22DE1" w:rsidRDefault="008E3697" w:rsidP="002A4F8D">
      <w:pPr>
        <w:widowControl/>
        <w:wordWrap/>
        <w:autoSpaceDE/>
        <w:autoSpaceDN/>
        <w:spacing w:line="360" w:lineRule="auto"/>
        <w:rPr>
          <w:rFonts w:ascii="Book Antiqua" w:eastAsia="宋体" w:hAnsi="Book Antiqua" w:cs="Times New Roman"/>
          <w:b/>
          <w:sz w:val="24"/>
          <w:szCs w:val="24"/>
          <w:lang w:eastAsia="zh-CN"/>
        </w:rPr>
      </w:pPr>
    </w:p>
    <w:sectPr w:rsidR="008E3697" w:rsidRPr="00B22DE1" w:rsidSect="004C655D">
      <w:footerReference w:type="default" r:id="rId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9A6" w:rsidRDefault="009E19A6" w:rsidP="00CF6CCB">
      <w:r>
        <w:separator/>
      </w:r>
    </w:p>
  </w:endnote>
  <w:endnote w:type="continuationSeparator" w:id="0">
    <w:p w:rsidR="009E19A6" w:rsidRDefault="009E19A6" w:rsidP="00CF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YSinMyeongJo-Medium">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26110"/>
      <w:docPartObj>
        <w:docPartGallery w:val="Page Numbers (Bottom of Page)"/>
        <w:docPartUnique/>
      </w:docPartObj>
    </w:sdtPr>
    <w:sdtEndPr/>
    <w:sdtContent>
      <w:p w:rsidR="00CA6867" w:rsidRDefault="00CA6867">
        <w:pPr>
          <w:pStyle w:val="a6"/>
          <w:jc w:val="center"/>
        </w:pPr>
        <w:r>
          <w:fldChar w:fldCharType="begin"/>
        </w:r>
        <w:r>
          <w:instrText xml:space="preserve"> PAGE   \* MERGEFORMAT </w:instrText>
        </w:r>
        <w:r>
          <w:fldChar w:fldCharType="separate"/>
        </w:r>
        <w:r w:rsidR="008B2C5B" w:rsidRPr="008B2C5B">
          <w:rPr>
            <w:noProof/>
            <w:lang w:val="ko-KR"/>
          </w:rPr>
          <w:t>28</w:t>
        </w:r>
        <w:r>
          <w:rPr>
            <w:noProof/>
            <w:lang w:val="ko-KR"/>
          </w:rPr>
          <w:fldChar w:fldCharType="end"/>
        </w:r>
      </w:p>
    </w:sdtContent>
  </w:sdt>
  <w:p w:rsidR="00CA6867" w:rsidRDefault="00CA68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9A6" w:rsidRDefault="009E19A6" w:rsidP="00CF6CCB">
      <w:r>
        <w:separator/>
      </w:r>
    </w:p>
  </w:footnote>
  <w:footnote w:type="continuationSeparator" w:id="0">
    <w:p w:rsidR="009E19A6" w:rsidRDefault="009E19A6" w:rsidP="00CF6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C12"/>
    <w:multiLevelType w:val="hybridMultilevel"/>
    <w:tmpl w:val="BB622866"/>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1A86325C"/>
    <w:multiLevelType w:val="hybridMultilevel"/>
    <w:tmpl w:val="C21C5AD6"/>
    <w:lvl w:ilvl="0" w:tplc="AFF0267C">
      <w:start w:val="1"/>
      <w:numFmt w:val="decimal"/>
      <w:lvlText w:val="%1."/>
      <w:lvlJc w:val="left"/>
      <w:pPr>
        <w:ind w:left="760" w:hanging="360"/>
      </w:pPr>
      <w:rPr>
        <w:rFonts w:hint="default"/>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4527ADC"/>
    <w:multiLevelType w:val="hybridMultilevel"/>
    <w:tmpl w:val="3B4E7DB6"/>
    <w:lvl w:ilvl="0" w:tplc="21BA4B9E">
      <w:start w:val="1"/>
      <w:numFmt w:val="decimal"/>
      <w:lvlText w:val="%1"/>
      <w:lvlJc w:val="left"/>
      <w:pPr>
        <w:ind w:left="760" w:hanging="360"/>
      </w:pPr>
      <w:rPr>
        <w:rFonts w:hint="default"/>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J Gastroenterol Hepatol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6171DE"/>
    <w:rsid w:val="000018CA"/>
    <w:rsid w:val="00007E15"/>
    <w:rsid w:val="000103D0"/>
    <w:rsid w:val="00010AEC"/>
    <w:rsid w:val="0001507A"/>
    <w:rsid w:val="000220F0"/>
    <w:rsid w:val="0003136A"/>
    <w:rsid w:val="0003387F"/>
    <w:rsid w:val="000371E8"/>
    <w:rsid w:val="00043DB1"/>
    <w:rsid w:val="00044C18"/>
    <w:rsid w:val="0004623A"/>
    <w:rsid w:val="000573CE"/>
    <w:rsid w:val="000621B2"/>
    <w:rsid w:val="0006344F"/>
    <w:rsid w:val="00066140"/>
    <w:rsid w:val="000729D1"/>
    <w:rsid w:val="0007397F"/>
    <w:rsid w:val="00075D23"/>
    <w:rsid w:val="00075E26"/>
    <w:rsid w:val="000955A9"/>
    <w:rsid w:val="00096481"/>
    <w:rsid w:val="000A53B3"/>
    <w:rsid w:val="000A58AA"/>
    <w:rsid w:val="000A5C52"/>
    <w:rsid w:val="000A735E"/>
    <w:rsid w:val="000B26DA"/>
    <w:rsid w:val="000B3F0E"/>
    <w:rsid w:val="000B4D2E"/>
    <w:rsid w:val="000B50B2"/>
    <w:rsid w:val="000B5563"/>
    <w:rsid w:val="000B751C"/>
    <w:rsid w:val="000B7F69"/>
    <w:rsid w:val="000C32A5"/>
    <w:rsid w:val="000C74B7"/>
    <w:rsid w:val="000D0BA1"/>
    <w:rsid w:val="000D38A9"/>
    <w:rsid w:val="000D7523"/>
    <w:rsid w:val="000D7D76"/>
    <w:rsid w:val="000E26F1"/>
    <w:rsid w:val="000E3726"/>
    <w:rsid w:val="000E5129"/>
    <w:rsid w:val="000E56C0"/>
    <w:rsid w:val="000F218B"/>
    <w:rsid w:val="000F3150"/>
    <w:rsid w:val="000F4250"/>
    <w:rsid w:val="000F5FAA"/>
    <w:rsid w:val="000F667A"/>
    <w:rsid w:val="00101181"/>
    <w:rsid w:val="001022B1"/>
    <w:rsid w:val="00112A75"/>
    <w:rsid w:val="001136A8"/>
    <w:rsid w:val="00113B0B"/>
    <w:rsid w:val="00121674"/>
    <w:rsid w:val="0012747F"/>
    <w:rsid w:val="0013043A"/>
    <w:rsid w:val="00136E14"/>
    <w:rsid w:val="00143D0C"/>
    <w:rsid w:val="00145A5E"/>
    <w:rsid w:val="00157D77"/>
    <w:rsid w:val="001635AB"/>
    <w:rsid w:val="00165476"/>
    <w:rsid w:val="00165BAF"/>
    <w:rsid w:val="00171492"/>
    <w:rsid w:val="00174D5D"/>
    <w:rsid w:val="001829CC"/>
    <w:rsid w:val="00183D49"/>
    <w:rsid w:val="00184D6B"/>
    <w:rsid w:val="001A0A2F"/>
    <w:rsid w:val="001A5669"/>
    <w:rsid w:val="001A7AA9"/>
    <w:rsid w:val="001A7E80"/>
    <w:rsid w:val="001B062D"/>
    <w:rsid w:val="001B60C8"/>
    <w:rsid w:val="001B7955"/>
    <w:rsid w:val="001C32A9"/>
    <w:rsid w:val="001C3355"/>
    <w:rsid w:val="001D18BF"/>
    <w:rsid w:val="001E3080"/>
    <w:rsid w:val="001F1EC0"/>
    <w:rsid w:val="001F2BEA"/>
    <w:rsid w:val="001F672C"/>
    <w:rsid w:val="00213F7F"/>
    <w:rsid w:val="00223F56"/>
    <w:rsid w:val="00227DB7"/>
    <w:rsid w:val="002334D4"/>
    <w:rsid w:val="00233F0E"/>
    <w:rsid w:val="00241374"/>
    <w:rsid w:val="0024371A"/>
    <w:rsid w:val="0024538A"/>
    <w:rsid w:val="002521FE"/>
    <w:rsid w:val="00256B98"/>
    <w:rsid w:val="00262CF0"/>
    <w:rsid w:val="00272C75"/>
    <w:rsid w:val="00273465"/>
    <w:rsid w:val="00282D60"/>
    <w:rsid w:val="0028532E"/>
    <w:rsid w:val="002860C6"/>
    <w:rsid w:val="00293248"/>
    <w:rsid w:val="002947E2"/>
    <w:rsid w:val="002A3260"/>
    <w:rsid w:val="002A3C77"/>
    <w:rsid w:val="002A4F8D"/>
    <w:rsid w:val="002C0A1C"/>
    <w:rsid w:val="002C0D96"/>
    <w:rsid w:val="002C2A80"/>
    <w:rsid w:val="002C32E8"/>
    <w:rsid w:val="002C4884"/>
    <w:rsid w:val="002C6130"/>
    <w:rsid w:val="002C617F"/>
    <w:rsid w:val="002D4ADB"/>
    <w:rsid w:val="002D501D"/>
    <w:rsid w:val="002D68FA"/>
    <w:rsid w:val="002D7D49"/>
    <w:rsid w:val="002E1726"/>
    <w:rsid w:val="002E5453"/>
    <w:rsid w:val="002E6224"/>
    <w:rsid w:val="002E76CD"/>
    <w:rsid w:val="002E7995"/>
    <w:rsid w:val="002F57E6"/>
    <w:rsid w:val="002F7D9A"/>
    <w:rsid w:val="003100E1"/>
    <w:rsid w:val="0033029C"/>
    <w:rsid w:val="003313E7"/>
    <w:rsid w:val="00331E3C"/>
    <w:rsid w:val="0033390C"/>
    <w:rsid w:val="00334306"/>
    <w:rsid w:val="00340AB4"/>
    <w:rsid w:val="00343D1E"/>
    <w:rsid w:val="00346129"/>
    <w:rsid w:val="0035194C"/>
    <w:rsid w:val="00352A17"/>
    <w:rsid w:val="0035626E"/>
    <w:rsid w:val="00365CA4"/>
    <w:rsid w:val="00370005"/>
    <w:rsid w:val="0038022A"/>
    <w:rsid w:val="00383817"/>
    <w:rsid w:val="00395641"/>
    <w:rsid w:val="003B1A56"/>
    <w:rsid w:val="003B1E52"/>
    <w:rsid w:val="003B4BA8"/>
    <w:rsid w:val="003C0D1F"/>
    <w:rsid w:val="003C4682"/>
    <w:rsid w:val="003C59A3"/>
    <w:rsid w:val="003C6B45"/>
    <w:rsid w:val="003D4F0B"/>
    <w:rsid w:val="003F3FE1"/>
    <w:rsid w:val="003F4929"/>
    <w:rsid w:val="003F6E56"/>
    <w:rsid w:val="00401554"/>
    <w:rsid w:val="004044F2"/>
    <w:rsid w:val="004075D3"/>
    <w:rsid w:val="00417BE6"/>
    <w:rsid w:val="004210EE"/>
    <w:rsid w:val="00421864"/>
    <w:rsid w:val="00424079"/>
    <w:rsid w:val="00424A5D"/>
    <w:rsid w:val="00430FB1"/>
    <w:rsid w:val="00437351"/>
    <w:rsid w:val="0044667C"/>
    <w:rsid w:val="0044797F"/>
    <w:rsid w:val="004508BF"/>
    <w:rsid w:val="004562F0"/>
    <w:rsid w:val="00456BA1"/>
    <w:rsid w:val="00456CE5"/>
    <w:rsid w:val="004570B7"/>
    <w:rsid w:val="004607B6"/>
    <w:rsid w:val="00460A61"/>
    <w:rsid w:val="00460E80"/>
    <w:rsid w:val="00461375"/>
    <w:rsid w:val="0046198F"/>
    <w:rsid w:val="004768E7"/>
    <w:rsid w:val="00477D8D"/>
    <w:rsid w:val="00480B32"/>
    <w:rsid w:val="00482450"/>
    <w:rsid w:val="00482534"/>
    <w:rsid w:val="0048733F"/>
    <w:rsid w:val="00487EB5"/>
    <w:rsid w:val="004A0C0A"/>
    <w:rsid w:val="004A36EB"/>
    <w:rsid w:val="004B6BCA"/>
    <w:rsid w:val="004B6F54"/>
    <w:rsid w:val="004B7042"/>
    <w:rsid w:val="004B74DE"/>
    <w:rsid w:val="004C655D"/>
    <w:rsid w:val="004E0F92"/>
    <w:rsid w:val="004E774D"/>
    <w:rsid w:val="004E78CD"/>
    <w:rsid w:val="004F350F"/>
    <w:rsid w:val="004F4374"/>
    <w:rsid w:val="00501F48"/>
    <w:rsid w:val="00513E0F"/>
    <w:rsid w:val="005160BE"/>
    <w:rsid w:val="0052779C"/>
    <w:rsid w:val="00531630"/>
    <w:rsid w:val="00536EF7"/>
    <w:rsid w:val="00537D12"/>
    <w:rsid w:val="0054128E"/>
    <w:rsid w:val="00542669"/>
    <w:rsid w:val="005504AC"/>
    <w:rsid w:val="00555475"/>
    <w:rsid w:val="00560529"/>
    <w:rsid w:val="00560909"/>
    <w:rsid w:val="00561E0D"/>
    <w:rsid w:val="00564C48"/>
    <w:rsid w:val="00565BD8"/>
    <w:rsid w:val="00567F56"/>
    <w:rsid w:val="00570929"/>
    <w:rsid w:val="00571722"/>
    <w:rsid w:val="00574602"/>
    <w:rsid w:val="00575F49"/>
    <w:rsid w:val="005838EC"/>
    <w:rsid w:val="005907D6"/>
    <w:rsid w:val="00590ECA"/>
    <w:rsid w:val="005937D2"/>
    <w:rsid w:val="00595C41"/>
    <w:rsid w:val="005A1A00"/>
    <w:rsid w:val="005B23C0"/>
    <w:rsid w:val="005B75CA"/>
    <w:rsid w:val="005D6E66"/>
    <w:rsid w:val="005D74A0"/>
    <w:rsid w:val="005E29C0"/>
    <w:rsid w:val="005E3872"/>
    <w:rsid w:val="005E464D"/>
    <w:rsid w:val="005E6213"/>
    <w:rsid w:val="005E74A8"/>
    <w:rsid w:val="005F1AE9"/>
    <w:rsid w:val="005F5983"/>
    <w:rsid w:val="005F6B83"/>
    <w:rsid w:val="0060182E"/>
    <w:rsid w:val="00604BBC"/>
    <w:rsid w:val="0060529C"/>
    <w:rsid w:val="0061196A"/>
    <w:rsid w:val="00612452"/>
    <w:rsid w:val="00616816"/>
    <w:rsid w:val="006171DE"/>
    <w:rsid w:val="0062752F"/>
    <w:rsid w:val="00630442"/>
    <w:rsid w:val="00632020"/>
    <w:rsid w:val="00633150"/>
    <w:rsid w:val="00640A2F"/>
    <w:rsid w:val="006454C1"/>
    <w:rsid w:val="006460DB"/>
    <w:rsid w:val="00646AF4"/>
    <w:rsid w:val="0064724B"/>
    <w:rsid w:val="00652632"/>
    <w:rsid w:val="00653CCA"/>
    <w:rsid w:val="00654037"/>
    <w:rsid w:val="0066220D"/>
    <w:rsid w:val="00676740"/>
    <w:rsid w:val="00677A28"/>
    <w:rsid w:val="006809DE"/>
    <w:rsid w:val="00680E77"/>
    <w:rsid w:val="0068126E"/>
    <w:rsid w:val="00681770"/>
    <w:rsid w:val="00681ADF"/>
    <w:rsid w:val="006856EA"/>
    <w:rsid w:val="006862FF"/>
    <w:rsid w:val="00686FC1"/>
    <w:rsid w:val="00695C6C"/>
    <w:rsid w:val="006A102E"/>
    <w:rsid w:val="006A6779"/>
    <w:rsid w:val="006B067A"/>
    <w:rsid w:val="006B1C13"/>
    <w:rsid w:val="006B3152"/>
    <w:rsid w:val="006B359F"/>
    <w:rsid w:val="006C3739"/>
    <w:rsid w:val="006E0F5B"/>
    <w:rsid w:val="006E122E"/>
    <w:rsid w:val="006E1843"/>
    <w:rsid w:val="006E1C5C"/>
    <w:rsid w:val="006E5725"/>
    <w:rsid w:val="006E5CBF"/>
    <w:rsid w:val="006E6CC3"/>
    <w:rsid w:val="006E6F7C"/>
    <w:rsid w:val="006F2430"/>
    <w:rsid w:val="006F3FCF"/>
    <w:rsid w:val="006F581C"/>
    <w:rsid w:val="006F619E"/>
    <w:rsid w:val="00701029"/>
    <w:rsid w:val="007158EE"/>
    <w:rsid w:val="00722BA1"/>
    <w:rsid w:val="00726DE4"/>
    <w:rsid w:val="00734B90"/>
    <w:rsid w:val="00741A00"/>
    <w:rsid w:val="00743031"/>
    <w:rsid w:val="007440AF"/>
    <w:rsid w:val="007445C7"/>
    <w:rsid w:val="00745424"/>
    <w:rsid w:val="00753EC1"/>
    <w:rsid w:val="00753EEE"/>
    <w:rsid w:val="00756856"/>
    <w:rsid w:val="00762970"/>
    <w:rsid w:val="007639BC"/>
    <w:rsid w:val="00772F98"/>
    <w:rsid w:val="00773571"/>
    <w:rsid w:val="0077426E"/>
    <w:rsid w:val="00780A21"/>
    <w:rsid w:val="0078479C"/>
    <w:rsid w:val="00784995"/>
    <w:rsid w:val="007875B1"/>
    <w:rsid w:val="00787A3F"/>
    <w:rsid w:val="00792955"/>
    <w:rsid w:val="00793CCD"/>
    <w:rsid w:val="00796422"/>
    <w:rsid w:val="007A02B4"/>
    <w:rsid w:val="007A267B"/>
    <w:rsid w:val="007A36F6"/>
    <w:rsid w:val="007B26EF"/>
    <w:rsid w:val="007B4435"/>
    <w:rsid w:val="007B6409"/>
    <w:rsid w:val="007C00C2"/>
    <w:rsid w:val="007C15F8"/>
    <w:rsid w:val="007C27F9"/>
    <w:rsid w:val="007C3DD2"/>
    <w:rsid w:val="007C4638"/>
    <w:rsid w:val="007D4E15"/>
    <w:rsid w:val="007D79DF"/>
    <w:rsid w:val="007E4B4F"/>
    <w:rsid w:val="007F1139"/>
    <w:rsid w:val="007F3A43"/>
    <w:rsid w:val="007F5DB2"/>
    <w:rsid w:val="007F62AA"/>
    <w:rsid w:val="00801249"/>
    <w:rsid w:val="00801369"/>
    <w:rsid w:val="0080385A"/>
    <w:rsid w:val="00806725"/>
    <w:rsid w:val="00810ACA"/>
    <w:rsid w:val="0081100F"/>
    <w:rsid w:val="00814093"/>
    <w:rsid w:val="00815417"/>
    <w:rsid w:val="008172BF"/>
    <w:rsid w:val="00824803"/>
    <w:rsid w:val="0082515C"/>
    <w:rsid w:val="00830D5B"/>
    <w:rsid w:val="0083349D"/>
    <w:rsid w:val="0083375D"/>
    <w:rsid w:val="00835A96"/>
    <w:rsid w:val="00835F8A"/>
    <w:rsid w:val="008361CD"/>
    <w:rsid w:val="008400DC"/>
    <w:rsid w:val="008527EF"/>
    <w:rsid w:val="00856759"/>
    <w:rsid w:val="00860E97"/>
    <w:rsid w:val="00861C23"/>
    <w:rsid w:val="00862C5B"/>
    <w:rsid w:val="0086642A"/>
    <w:rsid w:val="00867205"/>
    <w:rsid w:val="00867ED4"/>
    <w:rsid w:val="00880380"/>
    <w:rsid w:val="0088089E"/>
    <w:rsid w:val="00881831"/>
    <w:rsid w:val="00885D00"/>
    <w:rsid w:val="008911EF"/>
    <w:rsid w:val="00896C62"/>
    <w:rsid w:val="008A3374"/>
    <w:rsid w:val="008A5D82"/>
    <w:rsid w:val="008B0B56"/>
    <w:rsid w:val="008B29AB"/>
    <w:rsid w:val="008B2C5B"/>
    <w:rsid w:val="008B3133"/>
    <w:rsid w:val="008B39A1"/>
    <w:rsid w:val="008B4555"/>
    <w:rsid w:val="008C19B5"/>
    <w:rsid w:val="008C2B83"/>
    <w:rsid w:val="008C3745"/>
    <w:rsid w:val="008D4A7F"/>
    <w:rsid w:val="008D4C31"/>
    <w:rsid w:val="008D5A8E"/>
    <w:rsid w:val="008D6EC5"/>
    <w:rsid w:val="008E3697"/>
    <w:rsid w:val="008E3B98"/>
    <w:rsid w:val="008E4F80"/>
    <w:rsid w:val="008E60E7"/>
    <w:rsid w:val="008F1996"/>
    <w:rsid w:val="008F3FC2"/>
    <w:rsid w:val="008F47CA"/>
    <w:rsid w:val="008F5BF2"/>
    <w:rsid w:val="009167FD"/>
    <w:rsid w:val="00916F1B"/>
    <w:rsid w:val="00917482"/>
    <w:rsid w:val="00941579"/>
    <w:rsid w:val="00944439"/>
    <w:rsid w:val="00944CC2"/>
    <w:rsid w:val="009451E0"/>
    <w:rsid w:val="00950BF5"/>
    <w:rsid w:val="00951A9A"/>
    <w:rsid w:val="00954FDF"/>
    <w:rsid w:val="00960FE6"/>
    <w:rsid w:val="00961CDD"/>
    <w:rsid w:val="009636D2"/>
    <w:rsid w:val="00975209"/>
    <w:rsid w:val="009832F0"/>
    <w:rsid w:val="00993E49"/>
    <w:rsid w:val="009954FD"/>
    <w:rsid w:val="009A0EFA"/>
    <w:rsid w:val="009B3A4B"/>
    <w:rsid w:val="009B5BD3"/>
    <w:rsid w:val="009B675D"/>
    <w:rsid w:val="009C2155"/>
    <w:rsid w:val="009C2EA0"/>
    <w:rsid w:val="009C7A79"/>
    <w:rsid w:val="009C7B7B"/>
    <w:rsid w:val="009D17A7"/>
    <w:rsid w:val="009D3798"/>
    <w:rsid w:val="009D3EBE"/>
    <w:rsid w:val="009D60D7"/>
    <w:rsid w:val="009E19A6"/>
    <w:rsid w:val="009E237A"/>
    <w:rsid w:val="009E5728"/>
    <w:rsid w:val="009E7FD3"/>
    <w:rsid w:val="009F20C2"/>
    <w:rsid w:val="009F4F4B"/>
    <w:rsid w:val="009F6918"/>
    <w:rsid w:val="00A033F5"/>
    <w:rsid w:val="00A06EA8"/>
    <w:rsid w:val="00A13755"/>
    <w:rsid w:val="00A16C19"/>
    <w:rsid w:val="00A25957"/>
    <w:rsid w:val="00A26642"/>
    <w:rsid w:val="00A3112B"/>
    <w:rsid w:val="00A31E83"/>
    <w:rsid w:val="00A350C1"/>
    <w:rsid w:val="00A36383"/>
    <w:rsid w:val="00A37367"/>
    <w:rsid w:val="00A37475"/>
    <w:rsid w:val="00A37968"/>
    <w:rsid w:val="00A47507"/>
    <w:rsid w:val="00A477A7"/>
    <w:rsid w:val="00A4793D"/>
    <w:rsid w:val="00A5165D"/>
    <w:rsid w:val="00A52E07"/>
    <w:rsid w:val="00A67610"/>
    <w:rsid w:val="00A75074"/>
    <w:rsid w:val="00A8749D"/>
    <w:rsid w:val="00A93AD8"/>
    <w:rsid w:val="00A94C3F"/>
    <w:rsid w:val="00A95D80"/>
    <w:rsid w:val="00A974F7"/>
    <w:rsid w:val="00AA13B5"/>
    <w:rsid w:val="00AA543A"/>
    <w:rsid w:val="00AA7139"/>
    <w:rsid w:val="00AA7682"/>
    <w:rsid w:val="00AB23C1"/>
    <w:rsid w:val="00AB4EB3"/>
    <w:rsid w:val="00AB4EDD"/>
    <w:rsid w:val="00AB5868"/>
    <w:rsid w:val="00AC0679"/>
    <w:rsid w:val="00AC2D45"/>
    <w:rsid w:val="00AC552A"/>
    <w:rsid w:val="00AD0085"/>
    <w:rsid w:val="00AD1E31"/>
    <w:rsid w:val="00AD3BE1"/>
    <w:rsid w:val="00AD3E52"/>
    <w:rsid w:val="00AE6875"/>
    <w:rsid w:val="00AE7ADE"/>
    <w:rsid w:val="00AF11FD"/>
    <w:rsid w:val="00AF2DB1"/>
    <w:rsid w:val="00AF7B72"/>
    <w:rsid w:val="00B03D77"/>
    <w:rsid w:val="00B10A5D"/>
    <w:rsid w:val="00B13846"/>
    <w:rsid w:val="00B13937"/>
    <w:rsid w:val="00B13C21"/>
    <w:rsid w:val="00B203E2"/>
    <w:rsid w:val="00B20FCB"/>
    <w:rsid w:val="00B22587"/>
    <w:rsid w:val="00B22DE1"/>
    <w:rsid w:val="00B2357B"/>
    <w:rsid w:val="00B26627"/>
    <w:rsid w:val="00B26C14"/>
    <w:rsid w:val="00B2761E"/>
    <w:rsid w:val="00B2780B"/>
    <w:rsid w:val="00B27B9A"/>
    <w:rsid w:val="00B30463"/>
    <w:rsid w:val="00B32DFF"/>
    <w:rsid w:val="00B35BA2"/>
    <w:rsid w:val="00B3713C"/>
    <w:rsid w:val="00B40C53"/>
    <w:rsid w:val="00B448CE"/>
    <w:rsid w:val="00B470A1"/>
    <w:rsid w:val="00B55B6D"/>
    <w:rsid w:val="00B61846"/>
    <w:rsid w:val="00B64557"/>
    <w:rsid w:val="00B66346"/>
    <w:rsid w:val="00B664E5"/>
    <w:rsid w:val="00B7359B"/>
    <w:rsid w:val="00B757FA"/>
    <w:rsid w:val="00B77FD7"/>
    <w:rsid w:val="00B83B7E"/>
    <w:rsid w:val="00B863E9"/>
    <w:rsid w:val="00B86EF5"/>
    <w:rsid w:val="00B948BE"/>
    <w:rsid w:val="00BA258C"/>
    <w:rsid w:val="00BA57AB"/>
    <w:rsid w:val="00BA6849"/>
    <w:rsid w:val="00BA6953"/>
    <w:rsid w:val="00BA6B2A"/>
    <w:rsid w:val="00BB2147"/>
    <w:rsid w:val="00BC186C"/>
    <w:rsid w:val="00BC1C71"/>
    <w:rsid w:val="00BC3C82"/>
    <w:rsid w:val="00BC548A"/>
    <w:rsid w:val="00BC7BC7"/>
    <w:rsid w:val="00BD22FE"/>
    <w:rsid w:val="00BE510B"/>
    <w:rsid w:val="00BE51E4"/>
    <w:rsid w:val="00BF0DAF"/>
    <w:rsid w:val="00BF3C3C"/>
    <w:rsid w:val="00C0329B"/>
    <w:rsid w:val="00C05E1C"/>
    <w:rsid w:val="00C17742"/>
    <w:rsid w:val="00C235BC"/>
    <w:rsid w:val="00C35765"/>
    <w:rsid w:val="00C361AB"/>
    <w:rsid w:val="00C42F0F"/>
    <w:rsid w:val="00C53C70"/>
    <w:rsid w:val="00C666ED"/>
    <w:rsid w:val="00C67F8B"/>
    <w:rsid w:val="00C76144"/>
    <w:rsid w:val="00C90F16"/>
    <w:rsid w:val="00C9539A"/>
    <w:rsid w:val="00CA094A"/>
    <w:rsid w:val="00CA0E9E"/>
    <w:rsid w:val="00CA2170"/>
    <w:rsid w:val="00CA6867"/>
    <w:rsid w:val="00CB0043"/>
    <w:rsid w:val="00CB3FDB"/>
    <w:rsid w:val="00CB4630"/>
    <w:rsid w:val="00CB4BF9"/>
    <w:rsid w:val="00CB7217"/>
    <w:rsid w:val="00CB74C8"/>
    <w:rsid w:val="00CC2100"/>
    <w:rsid w:val="00CC29E4"/>
    <w:rsid w:val="00CC5518"/>
    <w:rsid w:val="00CC734C"/>
    <w:rsid w:val="00CC7CE5"/>
    <w:rsid w:val="00CC7E88"/>
    <w:rsid w:val="00CE46B3"/>
    <w:rsid w:val="00CE4BF9"/>
    <w:rsid w:val="00CF1D9F"/>
    <w:rsid w:val="00CF4306"/>
    <w:rsid w:val="00CF6CCB"/>
    <w:rsid w:val="00D02A0A"/>
    <w:rsid w:val="00D030F8"/>
    <w:rsid w:val="00D04433"/>
    <w:rsid w:val="00D04723"/>
    <w:rsid w:val="00D11EAD"/>
    <w:rsid w:val="00D21201"/>
    <w:rsid w:val="00D2270A"/>
    <w:rsid w:val="00D24127"/>
    <w:rsid w:val="00D264E2"/>
    <w:rsid w:val="00D266AE"/>
    <w:rsid w:val="00D26AC5"/>
    <w:rsid w:val="00D30682"/>
    <w:rsid w:val="00D33CB5"/>
    <w:rsid w:val="00D43BF8"/>
    <w:rsid w:val="00D43DB2"/>
    <w:rsid w:val="00D43EAA"/>
    <w:rsid w:val="00D4449F"/>
    <w:rsid w:val="00D616F3"/>
    <w:rsid w:val="00D646B7"/>
    <w:rsid w:val="00D6701A"/>
    <w:rsid w:val="00D77E1D"/>
    <w:rsid w:val="00D81721"/>
    <w:rsid w:val="00D85EC3"/>
    <w:rsid w:val="00D95A92"/>
    <w:rsid w:val="00D96C35"/>
    <w:rsid w:val="00DA4641"/>
    <w:rsid w:val="00DA6A66"/>
    <w:rsid w:val="00DC3C7C"/>
    <w:rsid w:val="00DC5B6C"/>
    <w:rsid w:val="00DC6A41"/>
    <w:rsid w:val="00DD18CF"/>
    <w:rsid w:val="00DD25BA"/>
    <w:rsid w:val="00DD7AB1"/>
    <w:rsid w:val="00DD7F45"/>
    <w:rsid w:val="00DE01E2"/>
    <w:rsid w:val="00DE3F27"/>
    <w:rsid w:val="00DF2658"/>
    <w:rsid w:val="00DF3FD0"/>
    <w:rsid w:val="00E03AAF"/>
    <w:rsid w:val="00E11C64"/>
    <w:rsid w:val="00E131ED"/>
    <w:rsid w:val="00E16F80"/>
    <w:rsid w:val="00E30783"/>
    <w:rsid w:val="00E33C48"/>
    <w:rsid w:val="00E40624"/>
    <w:rsid w:val="00E413C5"/>
    <w:rsid w:val="00E464D9"/>
    <w:rsid w:val="00E517F0"/>
    <w:rsid w:val="00E53ABE"/>
    <w:rsid w:val="00E56B33"/>
    <w:rsid w:val="00E64557"/>
    <w:rsid w:val="00E645B2"/>
    <w:rsid w:val="00E65464"/>
    <w:rsid w:val="00E718AD"/>
    <w:rsid w:val="00E73B8F"/>
    <w:rsid w:val="00E84596"/>
    <w:rsid w:val="00EA1E4F"/>
    <w:rsid w:val="00EA3E44"/>
    <w:rsid w:val="00EB2CAD"/>
    <w:rsid w:val="00EB462A"/>
    <w:rsid w:val="00EB57AA"/>
    <w:rsid w:val="00EB6EBB"/>
    <w:rsid w:val="00EB7A88"/>
    <w:rsid w:val="00EC2286"/>
    <w:rsid w:val="00EC42D2"/>
    <w:rsid w:val="00EC77EC"/>
    <w:rsid w:val="00ED1ED9"/>
    <w:rsid w:val="00EE7055"/>
    <w:rsid w:val="00EF073F"/>
    <w:rsid w:val="00EF3B86"/>
    <w:rsid w:val="00EF48F9"/>
    <w:rsid w:val="00EF58E4"/>
    <w:rsid w:val="00EF5D2B"/>
    <w:rsid w:val="00EF6307"/>
    <w:rsid w:val="00F00351"/>
    <w:rsid w:val="00F074C8"/>
    <w:rsid w:val="00F14D0D"/>
    <w:rsid w:val="00F46D53"/>
    <w:rsid w:val="00F5747D"/>
    <w:rsid w:val="00F62AF7"/>
    <w:rsid w:val="00F62C95"/>
    <w:rsid w:val="00F753E9"/>
    <w:rsid w:val="00F76445"/>
    <w:rsid w:val="00F76ABC"/>
    <w:rsid w:val="00F9091D"/>
    <w:rsid w:val="00F92ECF"/>
    <w:rsid w:val="00F92FFC"/>
    <w:rsid w:val="00FA1024"/>
    <w:rsid w:val="00FA56EB"/>
    <w:rsid w:val="00FA72AF"/>
    <w:rsid w:val="00FB7B9D"/>
    <w:rsid w:val="00FC2D2C"/>
    <w:rsid w:val="00FC3EFF"/>
    <w:rsid w:val="00FC5322"/>
    <w:rsid w:val="00FC6252"/>
    <w:rsid w:val="00FF5C45"/>
    <w:rsid w:val="00FF6F44"/>
    <w:rsid w:val="00FF7F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D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1DE"/>
    <w:rPr>
      <w:color w:val="81031C"/>
      <w:u w:val="single"/>
    </w:rPr>
  </w:style>
  <w:style w:type="paragraph" w:styleId="a4">
    <w:name w:val="Balloon Text"/>
    <w:basedOn w:val="a"/>
    <w:link w:val="Char"/>
    <w:uiPriority w:val="99"/>
    <w:semiHidden/>
    <w:unhideWhenUsed/>
    <w:rsid w:val="006171DE"/>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6171DE"/>
    <w:rPr>
      <w:rFonts w:asciiTheme="majorHAnsi" w:eastAsiaTheme="majorEastAsia" w:hAnsiTheme="majorHAnsi" w:cstheme="majorBidi"/>
      <w:sz w:val="18"/>
      <w:szCs w:val="18"/>
    </w:rPr>
  </w:style>
  <w:style w:type="paragraph" w:styleId="a5">
    <w:name w:val="header"/>
    <w:basedOn w:val="a"/>
    <w:link w:val="Char0"/>
    <w:uiPriority w:val="99"/>
    <w:unhideWhenUsed/>
    <w:rsid w:val="006171DE"/>
    <w:pPr>
      <w:tabs>
        <w:tab w:val="center" w:pos="4513"/>
        <w:tab w:val="right" w:pos="9026"/>
      </w:tabs>
      <w:snapToGrid w:val="0"/>
    </w:pPr>
  </w:style>
  <w:style w:type="character" w:customStyle="1" w:styleId="Char0">
    <w:name w:val="页眉 Char"/>
    <w:basedOn w:val="a0"/>
    <w:link w:val="a5"/>
    <w:uiPriority w:val="99"/>
    <w:rsid w:val="006171DE"/>
  </w:style>
  <w:style w:type="paragraph" w:styleId="a6">
    <w:name w:val="footer"/>
    <w:basedOn w:val="a"/>
    <w:link w:val="Char1"/>
    <w:uiPriority w:val="99"/>
    <w:unhideWhenUsed/>
    <w:rsid w:val="006171DE"/>
    <w:pPr>
      <w:tabs>
        <w:tab w:val="center" w:pos="4513"/>
        <w:tab w:val="right" w:pos="9026"/>
      </w:tabs>
      <w:snapToGrid w:val="0"/>
    </w:pPr>
  </w:style>
  <w:style w:type="character" w:customStyle="1" w:styleId="Char1">
    <w:name w:val="页脚 Char"/>
    <w:basedOn w:val="a0"/>
    <w:link w:val="a6"/>
    <w:uiPriority w:val="99"/>
    <w:rsid w:val="006171DE"/>
  </w:style>
  <w:style w:type="paragraph" w:styleId="a7">
    <w:name w:val="Normal (Web)"/>
    <w:basedOn w:val="a"/>
    <w:unhideWhenUsed/>
    <w:rsid w:val="006171DE"/>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converted-space">
    <w:name w:val="apple-converted-space"/>
    <w:basedOn w:val="a0"/>
    <w:rsid w:val="006171DE"/>
  </w:style>
  <w:style w:type="character" w:styleId="a8">
    <w:name w:val="Placeholder Text"/>
    <w:basedOn w:val="a0"/>
    <w:uiPriority w:val="99"/>
    <w:semiHidden/>
    <w:rsid w:val="006171DE"/>
    <w:rPr>
      <w:color w:val="808080"/>
    </w:rPr>
  </w:style>
  <w:style w:type="character" w:styleId="a9">
    <w:name w:val="line number"/>
    <w:basedOn w:val="a0"/>
    <w:uiPriority w:val="99"/>
    <w:semiHidden/>
    <w:unhideWhenUsed/>
    <w:rsid w:val="006171DE"/>
  </w:style>
  <w:style w:type="paragraph" w:styleId="aa">
    <w:name w:val="List Paragraph"/>
    <w:basedOn w:val="a"/>
    <w:uiPriority w:val="34"/>
    <w:qFormat/>
    <w:rsid w:val="006171DE"/>
    <w:pPr>
      <w:ind w:leftChars="400" w:left="800"/>
    </w:pPr>
  </w:style>
  <w:style w:type="paragraph" w:styleId="ab">
    <w:name w:val="endnote text"/>
    <w:basedOn w:val="a"/>
    <w:link w:val="Char2"/>
    <w:uiPriority w:val="99"/>
    <w:semiHidden/>
    <w:unhideWhenUsed/>
    <w:rsid w:val="006171DE"/>
    <w:pPr>
      <w:snapToGrid w:val="0"/>
      <w:jc w:val="left"/>
    </w:pPr>
  </w:style>
  <w:style w:type="character" w:customStyle="1" w:styleId="Char2">
    <w:name w:val="尾注文本 Char"/>
    <w:basedOn w:val="a0"/>
    <w:link w:val="ab"/>
    <w:uiPriority w:val="99"/>
    <w:semiHidden/>
    <w:rsid w:val="006171DE"/>
  </w:style>
  <w:style w:type="character" w:styleId="ac">
    <w:name w:val="endnote reference"/>
    <w:basedOn w:val="a0"/>
    <w:uiPriority w:val="99"/>
    <w:semiHidden/>
    <w:unhideWhenUsed/>
    <w:rsid w:val="006171DE"/>
    <w:rPr>
      <w:vertAlign w:val="superscript"/>
    </w:rPr>
  </w:style>
  <w:style w:type="table" w:styleId="ad">
    <w:name w:val="Table Grid"/>
    <w:basedOn w:val="a1"/>
    <w:uiPriority w:val="59"/>
    <w:rsid w:val="00EA3E4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ibliography"/>
    <w:basedOn w:val="a"/>
    <w:next w:val="a"/>
    <w:uiPriority w:val="37"/>
    <w:unhideWhenUsed/>
    <w:rsid w:val="00787A3F"/>
    <w:pPr>
      <w:tabs>
        <w:tab w:val="left" w:pos="504"/>
      </w:tabs>
      <w:spacing w:after="240"/>
      <w:ind w:left="504" w:hanging="504"/>
    </w:pPr>
  </w:style>
  <w:style w:type="paragraph" w:customStyle="1" w:styleId="af">
    <w:name w:val="바탕글"/>
    <w:basedOn w:val="a"/>
    <w:rsid w:val="00787A3F"/>
    <w:pPr>
      <w:widowControl/>
      <w:wordWrap/>
      <w:autoSpaceDE/>
      <w:autoSpaceDN/>
      <w:snapToGrid w:val="0"/>
      <w:spacing w:line="384" w:lineRule="auto"/>
    </w:pPr>
    <w:rPr>
      <w:rFonts w:ascii="Batang" w:eastAsia="Batang" w:hAnsi="Batang" w:cs="Gulim"/>
      <w:color w:val="000000"/>
      <w:kern w:val="0"/>
      <w:szCs w:val="20"/>
    </w:rPr>
  </w:style>
  <w:style w:type="table" w:customStyle="1" w:styleId="1">
    <w:name w:val="옅은 음영1"/>
    <w:basedOn w:val="a1"/>
    <w:uiPriority w:val="60"/>
    <w:rsid w:val="00F5747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annotation reference"/>
    <w:basedOn w:val="a0"/>
    <w:unhideWhenUsed/>
    <w:rsid w:val="00075D23"/>
    <w:rPr>
      <w:sz w:val="16"/>
      <w:szCs w:val="16"/>
    </w:rPr>
  </w:style>
  <w:style w:type="paragraph" w:styleId="af1">
    <w:name w:val="annotation text"/>
    <w:basedOn w:val="a"/>
    <w:link w:val="Char3"/>
    <w:unhideWhenUsed/>
    <w:rsid w:val="00075D23"/>
    <w:rPr>
      <w:szCs w:val="20"/>
    </w:rPr>
  </w:style>
  <w:style w:type="character" w:customStyle="1" w:styleId="Char3">
    <w:name w:val="批注文字 Char"/>
    <w:basedOn w:val="a0"/>
    <w:link w:val="af1"/>
    <w:rsid w:val="00075D23"/>
    <w:rPr>
      <w:szCs w:val="20"/>
    </w:rPr>
  </w:style>
  <w:style w:type="paragraph" w:styleId="af2">
    <w:name w:val="annotation subject"/>
    <w:basedOn w:val="af1"/>
    <w:next w:val="af1"/>
    <w:link w:val="Char4"/>
    <w:uiPriority w:val="99"/>
    <w:semiHidden/>
    <w:unhideWhenUsed/>
    <w:rsid w:val="00075D23"/>
    <w:rPr>
      <w:b/>
      <w:bCs/>
    </w:rPr>
  </w:style>
  <w:style w:type="character" w:customStyle="1" w:styleId="Char4">
    <w:name w:val="批注主题 Char"/>
    <w:basedOn w:val="Char3"/>
    <w:link w:val="af2"/>
    <w:uiPriority w:val="99"/>
    <w:semiHidden/>
    <w:rsid w:val="00075D23"/>
    <w:rPr>
      <w:b/>
      <w:bCs/>
      <w:szCs w:val="20"/>
    </w:rPr>
  </w:style>
  <w:style w:type="character" w:customStyle="1" w:styleId="st">
    <w:name w:val="st"/>
    <w:basedOn w:val="a0"/>
    <w:rsid w:val="00075D23"/>
    <w:rPr>
      <w:rFonts w:cs="Times New Roman"/>
    </w:rPr>
  </w:style>
  <w:style w:type="paragraph" w:styleId="af3">
    <w:name w:val="Revision"/>
    <w:hidden/>
    <w:uiPriority w:val="99"/>
    <w:semiHidden/>
    <w:rsid w:val="00075D23"/>
  </w:style>
  <w:style w:type="paragraph" w:customStyle="1" w:styleId="p0">
    <w:name w:val="p0"/>
    <w:basedOn w:val="a"/>
    <w:rsid w:val="002A4F8D"/>
    <w:pPr>
      <w:widowControl/>
      <w:wordWrap/>
      <w:autoSpaceDE/>
      <w:autoSpaceDN/>
      <w:spacing w:line="240" w:lineRule="atLeast"/>
      <w:jc w:val="left"/>
    </w:pPr>
    <w:rPr>
      <w:rFonts w:ascii="Century" w:eastAsia="宋体" w:hAnsi="Century" w:cs="宋体"/>
      <w:kern w:val="0"/>
      <w:sz w:val="21"/>
      <w:szCs w:val="21"/>
      <w:lang w:eastAsia="zh-CN"/>
    </w:rPr>
  </w:style>
  <w:style w:type="character" w:styleId="af4">
    <w:name w:val="Strong"/>
    <w:qFormat/>
    <w:rsid w:val="002A4F8D"/>
    <w:rPr>
      <w:b/>
      <w:bCs/>
    </w:rPr>
  </w:style>
  <w:style w:type="character" w:customStyle="1" w:styleId="labellist1">
    <w:name w:val="label_list1"/>
    <w:rsid w:val="002A4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D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1DE"/>
    <w:rPr>
      <w:color w:val="81031C"/>
      <w:u w:val="single"/>
    </w:rPr>
  </w:style>
  <w:style w:type="paragraph" w:styleId="a4">
    <w:name w:val="Balloon Text"/>
    <w:basedOn w:val="a"/>
    <w:link w:val="Char"/>
    <w:uiPriority w:val="99"/>
    <w:semiHidden/>
    <w:unhideWhenUsed/>
    <w:rsid w:val="006171DE"/>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6171DE"/>
    <w:rPr>
      <w:rFonts w:asciiTheme="majorHAnsi" w:eastAsiaTheme="majorEastAsia" w:hAnsiTheme="majorHAnsi" w:cstheme="majorBidi"/>
      <w:sz w:val="18"/>
      <w:szCs w:val="18"/>
    </w:rPr>
  </w:style>
  <w:style w:type="paragraph" w:styleId="a5">
    <w:name w:val="header"/>
    <w:basedOn w:val="a"/>
    <w:link w:val="Char0"/>
    <w:uiPriority w:val="99"/>
    <w:unhideWhenUsed/>
    <w:rsid w:val="006171DE"/>
    <w:pPr>
      <w:tabs>
        <w:tab w:val="center" w:pos="4513"/>
        <w:tab w:val="right" w:pos="9026"/>
      </w:tabs>
      <w:snapToGrid w:val="0"/>
    </w:pPr>
  </w:style>
  <w:style w:type="character" w:customStyle="1" w:styleId="Char0">
    <w:name w:val="页眉 Char"/>
    <w:basedOn w:val="a0"/>
    <w:link w:val="a5"/>
    <w:uiPriority w:val="99"/>
    <w:rsid w:val="006171DE"/>
  </w:style>
  <w:style w:type="paragraph" w:styleId="a6">
    <w:name w:val="footer"/>
    <w:basedOn w:val="a"/>
    <w:link w:val="Char1"/>
    <w:uiPriority w:val="99"/>
    <w:unhideWhenUsed/>
    <w:rsid w:val="006171DE"/>
    <w:pPr>
      <w:tabs>
        <w:tab w:val="center" w:pos="4513"/>
        <w:tab w:val="right" w:pos="9026"/>
      </w:tabs>
      <w:snapToGrid w:val="0"/>
    </w:pPr>
  </w:style>
  <w:style w:type="character" w:customStyle="1" w:styleId="Char1">
    <w:name w:val="页脚 Char"/>
    <w:basedOn w:val="a0"/>
    <w:link w:val="a6"/>
    <w:uiPriority w:val="99"/>
    <w:rsid w:val="006171DE"/>
  </w:style>
  <w:style w:type="paragraph" w:styleId="a7">
    <w:name w:val="Normal (Web)"/>
    <w:basedOn w:val="a"/>
    <w:unhideWhenUsed/>
    <w:rsid w:val="006171DE"/>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converted-space">
    <w:name w:val="apple-converted-space"/>
    <w:basedOn w:val="a0"/>
    <w:rsid w:val="006171DE"/>
  </w:style>
  <w:style w:type="character" w:styleId="a8">
    <w:name w:val="Placeholder Text"/>
    <w:basedOn w:val="a0"/>
    <w:uiPriority w:val="99"/>
    <w:semiHidden/>
    <w:rsid w:val="006171DE"/>
    <w:rPr>
      <w:color w:val="808080"/>
    </w:rPr>
  </w:style>
  <w:style w:type="character" w:styleId="a9">
    <w:name w:val="line number"/>
    <w:basedOn w:val="a0"/>
    <w:uiPriority w:val="99"/>
    <w:semiHidden/>
    <w:unhideWhenUsed/>
    <w:rsid w:val="006171DE"/>
  </w:style>
  <w:style w:type="paragraph" w:styleId="aa">
    <w:name w:val="List Paragraph"/>
    <w:basedOn w:val="a"/>
    <w:uiPriority w:val="34"/>
    <w:qFormat/>
    <w:rsid w:val="006171DE"/>
    <w:pPr>
      <w:ind w:leftChars="400" w:left="800"/>
    </w:pPr>
  </w:style>
  <w:style w:type="paragraph" w:styleId="ab">
    <w:name w:val="endnote text"/>
    <w:basedOn w:val="a"/>
    <w:link w:val="Char2"/>
    <w:uiPriority w:val="99"/>
    <w:semiHidden/>
    <w:unhideWhenUsed/>
    <w:rsid w:val="006171DE"/>
    <w:pPr>
      <w:snapToGrid w:val="0"/>
      <w:jc w:val="left"/>
    </w:pPr>
  </w:style>
  <w:style w:type="character" w:customStyle="1" w:styleId="Char2">
    <w:name w:val="尾注文本 Char"/>
    <w:basedOn w:val="a0"/>
    <w:link w:val="ab"/>
    <w:uiPriority w:val="99"/>
    <w:semiHidden/>
    <w:rsid w:val="006171DE"/>
  </w:style>
  <w:style w:type="character" w:styleId="ac">
    <w:name w:val="endnote reference"/>
    <w:basedOn w:val="a0"/>
    <w:uiPriority w:val="99"/>
    <w:semiHidden/>
    <w:unhideWhenUsed/>
    <w:rsid w:val="006171DE"/>
    <w:rPr>
      <w:vertAlign w:val="superscript"/>
    </w:rPr>
  </w:style>
  <w:style w:type="table" w:styleId="ad">
    <w:name w:val="Table Grid"/>
    <w:basedOn w:val="a1"/>
    <w:uiPriority w:val="59"/>
    <w:rsid w:val="00EA3E4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ibliography"/>
    <w:basedOn w:val="a"/>
    <w:next w:val="a"/>
    <w:uiPriority w:val="37"/>
    <w:unhideWhenUsed/>
    <w:rsid w:val="00787A3F"/>
    <w:pPr>
      <w:tabs>
        <w:tab w:val="left" w:pos="504"/>
      </w:tabs>
      <w:spacing w:after="240"/>
      <w:ind w:left="504" w:hanging="504"/>
    </w:pPr>
  </w:style>
  <w:style w:type="paragraph" w:customStyle="1" w:styleId="af">
    <w:name w:val="바탕글"/>
    <w:basedOn w:val="a"/>
    <w:rsid w:val="00787A3F"/>
    <w:pPr>
      <w:widowControl/>
      <w:wordWrap/>
      <w:autoSpaceDE/>
      <w:autoSpaceDN/>
      <w:snapToGrid w:val="0"/>
      <w:spacing w:line="384" w:lineRule="auto"/>
    </w:pPr>
    <w:rPr>
      <w:rFonts w:ascii="Batang" w:eastAsia="Batang" w:hAnsi="Batang" w:cs="Gulim"/>
      <w:color w:val="000000"/>
      <w:kern w:val="0"/>
      <w:szCs w:val="20"/>
    </w:rPr>
  </w:style>
  <w:style w:type="table" w:customStyle="1" w:styleId="1">
    <w:name w:val="옅은 음영1"/>
    <w:basedOn w:val="a1"/>
    <w:uiPriority w:val="60"/>
    <w:rsid w:val="00F5747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annotation reference"/>
    <w:basedOn w:val="a0"/>
    <w:unhideWhenUsed/>
    <w:rsid w:val="00075D23"/>
    <w:rPr>
      <w:sz w:val="16"/>
      <w:szCs w:val="16"/>
    </w:rPr>
  </w:style>
  <w:style w:type="paragraph" w:styleId="af1">
    <w:name w:val="annotation text"/>
    <w:basedOn w:val="a"/>
    <w:link w:val="Char3"/>
    <w:unhideWhenUsed/>
    <w:rsid w:val="00075D23"/>
    <w:rPr>
      <w:szCs w:val="20"/>
    </w:rPr>
  </w:style>
  <w:style w:type="character" w:customStyle="1" w:styleId="Char3">
    <w:name w:val="批注文字 Char"/>
    <w:basedOn w:val="a0"/>
    <w:link w:val="af1"/>
    <w:rsid w:val="00075D23"/>
    <w:rPr>
      <w:szCs w:val="20"/>
    </w:rPr>
  </w:style>
  <w:style w:type="paragraph" w:styleId="af2">
    <w:name w:val="annotation subject"/>
    <w:basedOn w:val="af1"/>
    <w:next w:val="af1"/>
    <w:link w:val="Char4"/>
    <w:uiPriority w:val="99"/>
    <w:semiHidden/>
    <w:unhideWhenUsed/>
    <w:rsid w:val="00075D23"/>
    <w:rPr>
      <w:b/>
      <w:bCs/>
    </w:rPr>
  </w:style>
  <w:style w:type="character" w:customStyle="1" w:styleId="Char4">
    <w:name w:val="批注主题 Char"/>
    <w:basedOn w:val="Char3"/>
    <w:link w:val="af2"/>
    <w:uiPriority w:val="99"/>
    <w:semiHidden/>
    <w:rsid w:val="00075D23"/>
    <w:rPr>
      <w:b/>
      <w:bCs/>
      <w:szCs w:val="20"/>
    </w:rPr>
  </w:style>
  <w:style w:type="character" w:customStyle="1" w:styleId="st">
    <w:name w:val="st"/>
    <w:basedOn w:val="a0"/>
    <w:rsid w:val="00075D23"/>
    <w:rPr>
      <w:rFonts w:cs="Times New Roman"/>
    </w:rPr>
  </w:style>
  <w:style w:type="paragraph" w:styleId="af3">
    <w:name w:val="Revision"/>
    <w:hidden/>
    <w:uiPriority w:val="99"/>
    <w:semiHidden/>
    <w:rsid w:val="00075D23"/>
  </w:style>
  <w:style w:type="paragraph" w:customStyle="1" w:styleId="p0">
    <w:name w:val="p0"/>
    <w:basedOn w:val="a"/>
    <w:rsid w:val="002A4F8D"/>
    <w:pPr>
      <w:widowControl/>
      <w:wordWrap/>
      <w:autoSpaceDE/>
      <w:autoSpaceDN/>
      <w:spacing w:line="240" w:lineRule="atLeast"/>
      <w:jc w:val="left"/>
    </w:pPr>
    <w:rPr>
      <w:rFonts w:ascii="Century" w:eastAsia="宋体" w:hAnsi="Century" w:cs="宋体"/>
      <w:kern w:val="0"/>
      <w:sz w:val="21"/>
      <w:szCs w:val="21"/>
      <w:lang w:eastAsia="zh-CN"/>
    </w:rPr>
  </w:style>
  <w:style w:type="character" w:styleId="af4">
    <w:name w:val="Strong"/>
    <w:qFormat/>
    <w:rsid w:val="002A4F8D"/>
    <w:rPr>
      <w:b/>
      <w:bCs/>
    </w:rPr>
  </w:style>
  <w:style w:type="character" w:customStyle="1" w:styleId="labellist1">
    <w:name w:val="label_list1"/>
    <w:rsid w:val="002A4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592316">
      <w:bodyDiv w:val="1"/>
      <w:marLeft w:val="0"/>
      <w:marRight w:val="0"/>
      <w:marTop w:val="0"/>
      <w:marBottom w:val="0"/>
      <w:divBdr>
        <w:top w:val="none" w:sz="0" w:space="0" w:color="auto"/>
        <w:left w:val="none" w:sz="0" w:space="0" w:color="auto"/>
        <w:bottom w:val="none" w:sz="0" w:space="0" w:color="auto"/>
        <w:right w:val="none" w:sz="0" w:space="0" w:color="auto"/>
      </w:divBdr>
    </w:div>
    <w:div w:id="20431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jpgi.physiology.org/search?author1=Seong-Joon+Koh&amp;sortspec=date&amp;submit=Subm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jpgi.physiology.org/search?author1=Seong-Joon+Koh&amp;sortspec=date&amp;submit=Submit"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jpgi.physiology.org/search?author1=Seong-Joon+Koh&amp;sortspec=date&amp;submit=Submit" TargetMode="External"/><Relationship Id="rId5" Type="http://schemas.openxmlformats.org/officeDocument/2006/relationships/settings" Target="settings.xml"/><Relationship Id="rId15" Type="http://schemas.openxmlformats.org/officeDocument/2006/relationships/hyperlink" Target="mailto:caskim@brm.co.kr" TargetMode="External"/><Relationship Id="rId10" Type="http://schemas.openxmlformats.org/officeDocument/2006/relationships/hyperlink" Target="http://ajpgi.physiology.org/search?author1=Seong-Joon+Koh&amp;sortspec=date&amp;submit=Subm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jpgi.physiology.org/search?author1=Seong-Joon+Koh&amp;sortspec=date&amp;submit=Submit" TargetMode="External"/><Relationship Id="rId14" Type="http://schemas.openxmlformats.org/officeDocument/2006/relationships/hyperlink" Target="http://ajpgi.physiology.org/search?author1=Seong-Joon+Koh&amp;sortspec=date&amp;submit=Submi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D3CA-96B9-4814-8BD3-003B1C2F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21000</Words>
  <Characters>119700</Characters>
  <Application>Microsoft Office Word</Application>
  <DocSecurity>0</DocSecurity>
  <Lines>997</Lines>
  <Paragraphs>280</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140420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NEX</dc:creator>
  <cp:lastModifiedBy>LS Ma</cp:lastModifiedBy>
  <cp:revision>2</cp:revision>
  <cp:lastPrinted>2013-04-21T10:09:00Z</cp:lastPrinted>
  <dcterms:created xsi:type="dcterms:W3CDTF">2014-04-15T01:48:00Z</dcterms:created>
  <dcterms:modified xsi:type="dcterms:W3CDTF">2014-04-15T01:48:00Z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id="kwGcVk8N"/&gt;&lt;style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