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E24" w:rsidRPr="009661D0" w:rsidRDefault="00E82E24" w:rsidP="00646A85">
      <w:pPr>
        <w:wordWrap/>
        <w:spacing w:line="360" w:lineRule="auto"/>
        <w:rPr>
          <w:rFonts w:ascii="Book Antiqua" w:eastAsia="Times New Roman" w:hAnsi="Book Antiqua" w:cs="Tahoma"/>
          <w:b/>
          <w:color w:val="000000"/>
          <w:sz w:val="24"/>
        </w:rPr>
      </w:pPr>
      <w:r w:rsidRPr="009661D0">
        <w:rPr>
          <w:rFonts w:ascii="Book Antiqua" w:eastAsia="Times New Roman" w:hAnsi="Book Antiqua" w:cs="Tahoma"/>
          <w:b/>
          <w:color w:val="0000FF"/>
          <w:sz w:val="24"/>
        </w:rPr>
        <w:t xml:space="preserve">Name of journal: </w:t>
      </w:r>
      <w:r w:rsidRPr="009661D0">
        <w:rPr>
          <w:rFonts w:ascii="Book Antiqua" w:eastAsia="Times New Roman" w:hAnsi="Book Antiqua" w:cs="Tahoma"/>
          <w:b/>
          <w:color w:val="000000"/>
          <w:sz w:val="24"/>
        </w:rPr>
        <w:t>World Journal of Gastroenterology</w:t>
      </w:r>
    </w:p>
    <w:p w:rsidR="00E82E24" w:rsidRPr="009661D0" w:rsidRDefault="00E82E24" w:rsidP="00646A85">
      <w:pPr>
        <w:wordWrap/>
        <w:spacing w:line="360" w:lineRule="auto"/>
        <w:rPr>
          <w:rFonts w:ascii="Book Antiqua" w:eastAsia="宋体" w:hAnsi="Book Antiqua" w:cs="Tahoma"/>
          <w:b/>
          <w:color w:val="0000FF"/>
          <w:sz w:val="24"/>
          <w:lang w:eastAsia="zh-CN"/>
        </w:rPr>
      </w:pPr>
      <w:r w:rsidRPr="009661D0">
        <w:rPr>
          <w:rFonts w:ascii="Book Antiqua" w:eastAsia="Times New Roman" w:hAnsi="Book Antiqua" w:cs="Tahoma"/>
          <w:b/>
          <w:color w:val="0000FF"/>
          <w:sz w:val="24"/>
        </w:rPr>
        <w:t>ESPS Manuscript NO:</w:t>
      </w:r>
      <w:r w:rsidRPr="009661D0">
        <w:rPr>
          <w:rFonts w:ascii="Book Antiqua" w:hAnsi="Book Antiqua" w:cs="Tahoma"/>
          <w:b/>
          <w:color w:val="0000FF"/>
          <w:sz w:val="24"/>
          <w:lang w:eastAsia="zh-CN"/>
        </w:rPr>
        <w:t xml:space="preserve"> </w:t>
      </w:r>
      <w:r w:rsidRPr="004F376A">
        <w:rPr>
          <w:rFonts w:ascii="Book Antiqua" w:eastAsia="宋体" w:hAnsi="Book Antiqua" w:cs="Tahoma"/>
          <w:b/>
          <w:sz w:val="24"/>
          <w:lang w:eastAsia="zh-CN"/>
        </w:rPr>
        <w:t>9534</w:t>
      </w:r>
    </w:p>
    <w:p w:rsidR="00E82E24" w:rsidRPr="009661D0" w:rsidRDefault="00E82E24" w:rsidP="00646A85">
      <w:pPr>
        <w:wordWrap/>
        <w:spacing w:line="360" w:lineRule="auto"/>
        <w:rPr>
          <w:rFonts w:ascii="Book Antiqua" w:hAnsi="Book Antiqua" w:cs="Tahoma"/>
          <w:b/>
          <w:color w:val="000000"/>
          <w:sz w:val="24"/>
          <w:lang w:eastAsia="zh-CN"/>
        </w:rPr>
      </w:pPr>
      <w:r w:rsidRPr="009661D0">
        <w:rPr>
          <w:rFonts w:ascii="Book Antiqua" w:eastAsia="Times New Roman" w:hAnsi="Book Antiqua" w:cs="Tahoma"/>
          <w:b/>
          <w:color w:val="0000FF"/>
          <w:sz w:val="24"/>
        </w:rPr>
        <w:t>Columns:</w:t>
      </w:r>
      <w:r w:rsidRPr="009661D0">
        <w:rPr>
          <w:rFonts w:ascii="Book Antiqua" w:eastAsia="Times New Roman" w:hAnsi="Book Antiqua"/>
          <w:sz w:val="24"/>
        </w:rPr>
        <w:t xml:space="preserve"> </w:t>
      </w:r>
      <w:r w:rsidR="00E54814" w:rsidRPr="00E54814">
        <w:rPr>
          <w:rFonts w:ascii="Book Antiqua" w:eastAsia="Times New Roman" w:hAnsi="Book Antiqua" w:cs="Tahoma"/>
          <w:b/>
          <w:color w:val="000000"/>
          <w:sz w:val="24"/>
        </w:rPr>
        <w:t>CLINICAL TRIALS STUDY</w:t>
      </w:r>
    </w:p>
    <w:p w:rsidR="00E82E24" w:rsidRPr="009661D0" w:rsidRDefault="00E82E24" w:rsidP="00646A85">
      <w:pPr>
        <w:wordWrap/>
        <w:spacing w:line="360" w:lineRule="auto"/>
        <w:ind w:leftChars="41" w:left="82"/>
        <w:rPr>
          <w:rFonts w:ascii="Book Antiqua" w:hAnsi="Book Antiqua" w:cs="Arial"/>
          <w:b/>
          <w:color w:val="000000"/>
          <w:sz w:val="24"/>
        </w:rPr>
      </w:pPr>
    </w:p>
    <w:p w:rsidR="0075590F" w:rsidRPr="009661D0" w:rsidRDefault="0075590F" w:rsidP="0067027E">
      <w:pPr>
        <w:wordWrap/>
        <w:spacing w:line="360" w:lineRule="auto"/>
        <w:rPr>
          <w:rFonts w:ascii="Book Antiqua" w:hAnsi="Book Antiqua" w:cs="Arial"/>
          <w:b/>
          <w:color w:val="000000"/>
          <w:sz w:val="24"/>
        </w:rPr>
      </w:pPr>
      <w:r w:rsidRPr="009661D0">
        <w:rPr>
          <w:rFonts w:ascii="Book Antiqua" w:hAnsi="Book Antiqua" w:cs="Arial"/>
          <w:b/>
          <w:color w:val="000000"/>
          <w:sz w:val="24"/>
        </w:rPr>
        <w:t>Magnifying endoscopy of gastric</w:t>
      </w:r>
      <w:r w:rsidR="00981529" w:rsidRPr="009661D0">
        <w:rPr>
          <w:rFonts w:ascii="Book Antiqua" w:eastAsia="宋体" w:hAnsi="Book Antiqua" w:cs="Arial" w:hint="eastAsia"/>
          <w:b/>
          <w:color w:val="000000"/>
          <w:sz w:val="24"/>
          <w:lang w:eastAsia="zh-CN"/>
        </w:rPr>
        <w:t xml:space="preserve"> </w:t>
      </w:r>
      <w:r w:rsidRPr="009661D0">
        <w:rPr>
          <w:rFonts w:ascii="Book Antiqua" w:hAnsi="Book Antiqua" w:cs="Arial"/>
          <w:b/>
          <w:color w:val="000000"/>
          <w:sz w:val="24"/>
        </w:rPr>
        <w:t>epithelial dysplasia based on the morphologic characteristics</w:t>
      </w:r>
    </w:p>
    <w:p w:rsidR="0075590F" w:rsidRPr="009661D0" w:rsidRDefault="0075590F" w:rsidP="00646A85">
      <w:pPr>
        <w:wordWrap/>
        <w:spacing w:line="360" w:lineRule="auto"/>
        <w:ind w:leftChars="41" w:left="82"/>
        <w:rPr>
          <w:rFonts w:ascii="Book Antiqua" w:hAnsi="Book Antiqua" w:cs="Arial"/>
          <w:b/>
          <w:color w:val="000000"/>
          <w:sz w:val="24"/>
        </w:rPr>
      </w:pPr>
    </w:p>
    <w:p w:rsidR="00E82E24" w:rsidRPr="009661D0" w:rsidRDefault="0059744E" w:rsidP="0067027E">
      <w:pPr>
        <w:wordWrap/>
        <w:spacing w:line="360" w:lineRule="auto"/>
        <w:rPr>
          <w:rFonts w:ascii="Book Antiqua" w:hAnsi="Book Antiqua" w:cs="Arial"/>
          <w:sz w:val="24"/>
        </w:rPr>
      </w:pPr>
      <w:r w:rsidRPr="009661D0">
        <w:rPr>
          <w:rFonts w:ascii="Book Antiqua" w:hAnsi="Book Antiqua" w:cs="Arial"/>
          <w:sz w:val="24"/>
        </w:rPr>
        <w:t xml:space="preserve">Kang </w:t>
      </w:r>
      <w:r w:rsidRPr="009661D0">
        <w:rPr>
          <w:rFonts w:ascii="Book Antiqua" w:hAnsi="Book Antiqua" w:cs="Arial"/>
          <w:i/>
          <w:sz w:val="24"/>
        </w:rPr>
        <w:t>et al</w:t>
      </w:r>
      <w:r w:rsidRPr="009661D0">
        <w:rPr>
          <w:rFonts w:ascii="Book Antiqua" w:hAnsi="Book Antiqua" w:cs="Arial"/>
          <w:sz w:val="24"/>
        </w:rPr>
        <w:t xml:space="preserve">. </w:t>
      </w:r>
      <w:r w:rsidR="00E82E24" w:rsidRPr="009661D0">
        <w:rPr>
          <w:rFonts w:ascii="Book Antiqua" w:hAnsi="Book Antiqua" w:cs="Arial"/>
          <w:sz w:val="24"/>
        </w:rPr>
        <w:t>Magnifying endoscopy of gastric epithelial dysplasia</w:t>
      </w:r>
    </w:p>
    <w:p w:rsidR="00E82E24" w:rsidRPr="009661D0" w:rsidRDefault="00E82E24" w:rsidP="00646A85">
      <w:pPr>
        <w:wordWrap/>
        <w:spacing w:line="360" w:lineRule="auto"/>
        <w:ind w:leftChars="41" w:left="82"/>
        <w:rPr>
          <w:rFonts w:ascii="Book Antiqua" w:hAnsi="Book Antiqua" w:cs="Arial"/>
          <w:b/>
          <w:color w:val="000000"/>
          <w:sz w:val="24"/>
        </w:rPr>
      </w:pPr>
    </w:p>
    <w:p w:rsidR="0075590F" w:rsidRPr="009661D0" w:rsidRDefault="0075590F" w:rsidP="00646A85">
      <w:pPr>
        <w:widowControl/>
        <w:wordWrap/>
        <w:autoSpaceDE/>
        <w:snapToGrid w:val="0"/>
        <w:spacing w:line="360" w:lineRule="auto"/>
        <w:jc w:val="left"/>
        <w:rPr>
          <w:rFonts w:ascii="Book Antiqua" w:hAnsi="Book Antiqua" w:cs="Arial"/>
          <w:color w:val="000000"/>
          <w:kern w:val="0"/>
          <w:sz w:val="24"/>
        </w:rPr>
      </w:pPr>
      <w:r w:rsidRPr="009661D0">
        <w:rPr>
          <w:rFonts w:ascii="Book Antiqua" w:hAnsi="Book Antiqua" w:cs="Arial"/>
          <w:color w:val="000000"/>
          <w:kern w:val="0"/>
          <w:sz w:val="24"/>
        </w:rPr>
        <w:t>Hwa Mi Kang, Gwang Ha Kim, Do Youn Park, Hong Ryeol Cheong, Dong Hoon Baek, Bong Eun Lee, Geun Am Song</w:t>
      </w:r>
    </w:p>
    <w:p w:rsidR="0075590F" w:rsidRPr="009661D0" w:rsidRDefault="00703431" w:rsidP="00646A85">
      <w:pPr>
        <w:widowControl/>
        <w:wordWrap/>
        <w:autoSpaceDE/>
        <w:snapToGrid w:val="0"/>
        <w:spacing w:line="360" w:lineRule="auto"/>
        <w:jc w:val="center"/>
        <w:rPr>
          <w:rFonts w:ascii="Book Antiqua" w:hAnsi="Book Antiqua" w:cs="Arial"/>
          <w:color w:val="000000"/>
          <w:kern w:val="0"/>
          <w:sz w:val="24"/>
        </w:rPr>
      </w:pPr>
      <w:r>
        <w:rPr>
          <w:noProof/>
          <w:lang w:eastAsia="zh-CN"/>
        </w:rPr>
        <mc:AlternateContent>
          <mc:Choice Requires="wps">
            <w:drawing>
              <wp:anchor distT="4294967294" distB="4294967294" distL="114300" distR="114300" simplePos="0" relativeHeight="251659264" behindDoc="0" locked="0" layoutInCell="1" allowOverlap="1">
                <wp:simplePos x="0" y="0"/>
                <wp:positionH relativeFrom="column">
                  <wp:posOffset>12700</wp:posOffset>
                </wp:positionH>
                <wp:positionV relativeFrom="paragraph">
                  <wp:posOffset>105409</wp:posOffset>
                </wp:positionV>
                <wp:extent cx="5196840" cy="0"/>
                <wp:effectExtent l="0" t="19050" r="3810" b="1905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684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8.3pt" to="410.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" strokecolor="gray" strokeweight="3pt"/>
            </w:pict>
          </mc:Fallback>
        </mc:AlternateContent>
      </w:r>
    </w:p>
    <w:p w:rsidR="0075590F" w:rsidRDefault="0075590F" w:rsidP="007816D5">
      <w:pPr>
        <w:widowControl/>
        <w:wordWrap/>
        <w:autoSpaceDE/>
        <w:snapToGrid w:val="0"/>
        <w:spacing w:line="360" w:lineRule="auto"/>
        <w:rPr>
          <w:rFonts w:ascii="Book Antiqua" w:eastAsia="Gulim" w:hAnsi="Book Antiqua" w:cs="Arial"/>
          <w:kern w:val="0"/>
          <w:sz w:val="24"/>
        </w:rPr>
      </w:pPr>
      <w:r w:rsidRPr="009661D0">
        <w:rPr>
          <w:rFonts w:ascii="Book Antiqua" w:hAnsi="Book Antiqua" w:cs="Arial"/>
          <w:b/>
          <w:color w:val="000000"/>
          <w:kern w:val="0"/>
          <w:sz w:val="24"/>
        </w:rPr>
        <w:t xml:space="preserve">Hwa Mi Kang, </w:t>
      </w:r>
      <w:r w:rsidRPr="009661D0">
        <w:rPr>
          <w:rFonts w:ascii="Book Antiqua" w:eastAsia="Gulim" w:hAnsi="Book Antiqua" w:cs="Arial"/>
          <w:kern w:val="0"/>
          <w:sz w:val="24"/>
        </w:rPr>
        <w:t xml:space="preserve">Department of Internal Medicine, Busan Adeventist Hospital, Busan </w:t>
      </w:r>
      <w:r w:rsidRPr="009661D0">
        <w:rPr>
          <w:rFonts w:ascii="Book Antiqua" w:eastAsia="Dotum" w:hAnsi="Book Antiqua" w:cs="Arial"/>
          <w:sz w:val="24"/>
        </w:rPr>
        <w:t>602</w:t>
      </w:r>
      <w:r w:rsidR="00BE0D9F" w:rsidRPr="009661D0">
        <w:rPr>
          <w:rFonts w:ascii="Book Antiqua" w:eastAsia="Dotum" w:hAnsi="Book Antiqua" w:cs="Arial"/>
          <w:sz w:val="24"/>
        </w:rPr>
        <w:t>-</w:t>
      </w:r>
      <w:r w:rsidRPr="009661D0">
        <w:rPr>
          <w:rFonts w:ascii="Book Antiqua" w:eastAsia="Dotum" w:hAnsi="Book Antiqua" w:cs="Arial"/>
          <w:sz w:val="24"/>
        </w:rPr>
        <w:t>819</w:t>
      </w:r>
      <w:r w:rsidRPr="009661D0">
        <w:rPr>
          <w:rFonts w:ascii="Book Antiqua" w:eastAsia="Gulim" w:hAnsi="Book Antiqua" w:cs="Arial"/>
          <w:kern w:val="0"/>
          <w:sz w:val="24"/>
        </w:rPr>
        <w:t>, South</w:t>
      </w:r>
      <w:r w:rsidR="00981529" w:rsidRPr="009661D0">
        <w:rPr>
          <w:rFonts w:ascii="Book Antiqua" w:eastAsia="宋体" w:hAnsi="Book Antiqua" w:cs="Arial" w:hint="eastAsia"/>
          <w:kern w:val="0"/>
          <w:sz w:val="24"/>
          <w:lang w:eastAsia="zh-CN"/>
        </w:rPr>
        <w:t xml:space="preserve"> </w:t>
      </w:r>
      <w:r w:rsidRPr="009661D0">
        <w:rPr>
          <w:rFonts w:ascii="Book Antiqua" w:eastAsia="Gulim" w:hAnsi="Book Antiqua" w:cs="Arial"/>
          <w:kern w:val="0"/>
          <w:sz w:val="24"/>
        </w:rPr>
        <w:t>Korea</w:t>
      </w:r>
    </w:p>
    <w:p w:rsidR="004E33FA" w:rsidRPr="009661D0" w:rsidRDefault="004E33FA" w:rsidP="007816D5">
      <w:pPr>
        <w:widowControl/>
        <w:wordWrap/>
        <w:autoSpaceDE/>
        <w:snapToGrid w:val="0"/>
        <w:spacing w:line="360" w:lineRule="auto"/>
        <w:rPr>
          <w:rFonts w:ascii="Book Antiqua" w:eastAsia="Gulim" w:hAnsi="Book Antiqua" w:cs="Arial"/>
          <w:kern w:val="0"/>
          <w:sz w:val="24"/>
        </w:rPr>
      </w:pPr>
    </w:p>
    <w:p w:rsidR="0075590F" w:rsidRDefault="0075590F" w:rsidP="007816D5">
      <w:pPr>
        <w:widowControl/>
        <w:wordWrap/>
        <w:autoSpaceDE/>
        <w:snapToGrid w:val="0"/>
        <w:spacing w:line="360" w:lineRule="auto"/>
        <w:rPr>
          <w:rFonts w:ascii="Book Antiqua" w:eastAsia="Gulim" w:hAnsi="Book Antiqua" w:cs="Arial"/>
          <w:kern w:val="0"/>
          <w:sz w:val="24"/>
        </w:rPr>
      </w:pPr>
      <w:r w:rsidRPr="009661D0">
        <w:rPr>
          <w:rFonts w:ascii="Book Antiqua" w:hAnsi="Book Antiqua" w:cs="Arial"/>
          <w:b/>
          <w:color w:val="000000"/>
          <w:kern w:val="0"/>
          <w:sz w:val="24"/>
        </w:rPr>
        <w:t xml:space="preserve">Gwang Ha Kim, Hong Ryeol Cheong, Dong Hoon Baek, Bong Eun Lee, Geun Am Song, </w:t>
      </w:r>
      <w:r w:rsidRPr="009661D0">
        <w:rPr>
          <w:rFonts w:ascii="Book Antiqua" w:eastAsia="Gulim" w:hAnsi="Book Antiqua" w:cs="Arial"/>
          <w:kern w:val="0"/>
          <w:sz w:val="24"/>
        </w:rPr>
        <w:t>Department of Internal Medicine, Pusan National University School of Medicine, Busan 602</w:t>
      </w:r>
      <w:r w:rsidR="00BE0D9F" w:rsidRPr="009661D0">
        <w:rPr>
          <w:rFonts w:ascii="Book Antiqua" w:eastAsia="Gulim" w:hAnsi="Book Antiqua" w:cs="Arial"/>
          <w:kern w:val="0"/>
          <w:sz w:val="24"/>
        </w:rPr>
        <w:t>-</w:t>
      </w:r>
      <w:r w:rsidRPr="009661D0">
        <w:rPr>
          <w:rFonts w:ascii="Book Antiqua" w:eastAsia="Gulim" w:hAnsi="Book Antiqua" w:cs="Arial"/>
          <w:kern w:val="0"/>
          <w:sz w:val="24"/>
        </w:rPr>
        <w:t xml:space="preserve">739, South Korea </w:t>
      </w:r>
    </w:p>
    <w:p w:rsidR="004E33FA" w:rsidRPr="009661D0" w:rsidRDefault="004E33FA" w:rsidP="007816D5">
      <w:pPr>
        <w:widowControl/>
        <w:wordWrap/>
        <w:autoSpaceDE/>
        <w:snapToGrid w:val="0"/>
        <w:spacing w:line="360" w:lineRule="auto"/>
        <w:rPr>
          <w:rFonts w:ascii="Book Antiqua" w:eastAsia="Gulim" w:hAnsi="Book Antiqua" w:cs="Arial"/>
          <w:kern w:val="0"/>
          <w:sz w:val="24"/>
        </w:rPr>
      </w:pPr>
    </w:p>
    <w:p w:rsidR="0075590F" w:rsidRPr="009661D0" w:rsidRDefault="0075590F" w:rsidP="007816D5">
      <w:pPr>
        <w:widowControl/>
        <w:wordWrap/>
        <w:autoSpaceDE/>
        <w:snapToGrid w:val="0"/>
        <w:spacing w:line="360" w:lineRule="auto"/>
        <w:rPr>
          <w:rFonts w:ascii="Book Antiqua" w:eastAsia="Gulim" w:hAnsi="Book Antiqua" w:cs="Arial"/>
          <w:kern w:val="0"/>
          <w:sz w:val="24"/>
        </w:rPr>
      </w:pPr>
      <w:r w:rsidRPr="009661D0">
        <w:rPr>
          <w:rFonts w:ascii="Book Antiqua" w:hAnsi="Book Antiqua" w:cs="Arial"/>
          <w:b/>
          <w:color w:val="000000"/>
          <w:kern w:val="0"/>
          <w:sz w:val="24"/>
        </w:rPr>
        <w:t>Do Youn Park</w:t>
      </w:r>
      <w:r w:rsidRPr="009661D0">
        <w:rPr>
          <w:rFonts w:ascii="Book Antiqua" w:hAnsi="Book Antiqua" w:cs="Arial"/>
          <w:color w:val="000000"/>
          <w:kern w:val="0"/>
          <w:sz w:val="24"/>
        </w:rPr>
        <w:t xml:space="preserve">, </w:t>
      </w:r>
      <w:r w:rsidRPr="009661D0">
        <w:rPr>
          <w:rFonts w:ascii="Book Antiqua" w:eastAsia="Gulim" w:hAnsi="Book Antiqua" w:cs="Arial"/>
          <w:kern w:val="0"/>
          <w:sz w:val="24"/>
        </w:rPr>
        <w:t>Department of Pathology, Pusan National University School of Medicine, Busan 602</w:t>
      </w:r>
      <w:r w:rsidR="00BE0D9F" w:rsidRPr="009661D0">
        <w:rPr>
          <w:rFonts w:ascii="Book Antiqua" w:eastAsia="Gulim" w:hAnsi="Book Antiqua" w:cs="Arial"/>
          <w:kern w:val="0"/>
          <w:sz w:val="24"/>
        </w:rPr>
        <w:t>-</w:t>
      </w:r>
      <w:r w:rsidRPr="009661D0">
        <w:rPr>
          <w:rFonts w:ascii="Book Antiqua" w:eastAsia="Gulim" w:hAnsi="Book Antiqua" w:cs="Arial"/>
          <w:kern w:val="0"/>
          <w:sz w:val="24"/>
        </w:rPr>
        <w:t>739,</w:t>
      </w:r>
      <w:r w:rsidR="00B232BD" w:rsidRPr="009661D0">
        <w:rPr>
          <w:rFonts w:ascii="Book Antiqua" w:eastAsia="Gulim" w:hAnsi="Book Antiqua" w:cs="Arial"/>
          <w:kern w:val="0"/>
          <w:sz w:val="24"/>
        </w:rPr>
        <w:t xml:space="preserve"> </w:t>
      </w:r>
      <w:r w:rsidRPr="009661D0">
        <w:rPr>
          <w:rFonts w:ascii="Book Antiqua" w:eastAsia="Gulim" w:hAnsi="Book Antiqua" w:cs="Arial"/>
          <w:kern w:val="0"/>
          <w:sz w:val="24"/>
        </w:rPr>
        <w:t>South Korea</w:t>
      </w:r>
    </w:p>
    <w:p w:rsidR="0075590F" w:rsidRPr="009661D0" w:rsidRDefault="0075590F" w:rsidP="007816D5">
      <w:pPr>
        <w:widowControl/>
        <w:wordWrap/>
        <w:autoSpaceDE/>
        <w:snapToGrid w:val="0"/>
        <w:spacing w:line="360" w:lineRule="auto"/>
        <w:rPr>
          <w:rFonts w:ascii="Book Antiqua" w:eastAsia="Gulim" w:hAnsi="Book Antiqua" w:cs="Arial"/>
          <w:kern w:val="0"/>
          <w:sz w:val="24"/>
        </w:rPr>
      </w:pPr>
    </w:p>
    <w:p w:rsidR="0075590F" w:rsidRPr="009661D0" w:rsidRDefault="0075590F" w:rsidP="007816D5">
      <w:pPr>
        <w:wordWrap/>
        <w:spacing w:line="360" w:lineRule="auto"/>
        <w:rPr>
          <w:rFonts w:ascii="Book Antiqua" w:hAnsi="Book Antiqua" w:cs="Arial"/>
          <w:kern w:val="0"/>
          <w:sz w:val="24"/>
        </w:rPr>
      </w:pPr>
      <w:r w:rsidRPr="009661D0">
        <w:rPr>
          <w:rFonts w:ascii="Book Antiqua" w:hAnsi="Book Antiqua" w:cs="Arial"/>
          <w:b/>
          <w:kern w:val="0"/>
          <w:sz w:val="24"/>
        </w:rPr>
        <w:t>Author contributions:</w:t>
      </w:r>
      <w:r w:rsidRPr="009661D0">
        <w:rPr>
          <w:rFonts w:ascii="Book Antiqua" w:hAnsi="Book Antiqua" w:cs="Arial"/>
          <w:kern w:val="0"/>
          <w:sz w:val="24"/>
        </w:rPr>
        <w:t xml:space="preserve"> Kim GH and Park DY designed the</w:t>
      </w:r>
      <w:r w:rsidR="0067027E">
        <w:rPr>
          <w:rFonts w:ascii="Book Antiqua" w:eastAsia="宋体" w:hAnsi="Book Antiqua" w:cs="Arial" w:hint="eastAsia"/>
          <w:kern w:val="0"/>
          <w:sz w:val="24"/>
          <w:lang w:eastAsia="zh-CN"/>
        </w:rPr>
        <w:t xml:space="preserve"> </w:t>
      </w:r>
      <w:r w:rsidRPr="009661D0">
        <w:rPr>
          <w:rFonts w:ascii="Book Antiqua" w:hAnsi="Book Antiqua" w:cs="Arial"/>
          <w:kern w:val="0"/>
          <w:sz w:val="24"/>
        </w:rPr>
        <w:t>study; Cheong HY and Baek DH analyzed the data; Kim GH and Lee BE performed the study; Kang HM and Kim GH collected the data; Song GA reviewed the data of study population; and Kang HM and Kim GH wrote the paper.</w:t>
      </w:r>
    </w:p>
    <w:p w:rsidR="0075590F" w:rsidRPr="009661D0" w:rsidRDefault="0075590F" w:rsidP="007816D5">
      <w:pPr>
        <w:widowControl/>
        <w:wordWrap/>
        <w:autoSpaceDE/>
        <w:snapToGrid w:val="0"/>
        <w:spacing w:line="360" w:lineRule="auto"/>
        <w:rPr>
          <w:rFonts w:ascii="Book Antiqua" w:eastAsia="Gulim" w:hAnsi="Book Antiqua" w:cs="Arial"/>
          <w:kern w:val="0"/>
          <w:sz w:val="24"/>
        </w:rPr>
      </w:pPr>
    </w:p>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b/>
          <w:kern w:val="0"/>
          <w:sz w:val="24"/>
        </w:rPr>
        <w:t>Supported by</w:t>
      </w:r>
      <w:r w:rsidRPr="009661D0">
        <w:rPr>
          <w:rFonts w:ascii="Book Antiqua" w:hAnsi="Book Antiqua" w:cs="Arial"/>
          <w:kern w:val="0"/>
          <w:sz w:val="24"/>
        </w:rPr>
        <w:t xml:space="preserve"> </w:t>
      </w:r>
      <w:r w:rsidR="0067027E">
        <w:rPr>
          <w:rFonts w:ascii="Book Antiqua" w:eastAsia="宋体" w:hAnsi="Book Antiqua" w:cs="Arial" w:hint="eastAsia"/>
          <w:sz w:val="24"/>
          <w:lang w:eastAsia="zh-CN"/>
        </w:rPr>
        <w:t>G</w:t>
      </w:r>
      <w:r w:rsidRPr="009661D0">
        <w:rPr>
          <w:rFonts w:ascii="Book Antiqua" w:hAnsi="Book Antiqua" w:cs="Arial"/>
          <w:sz w:val="24"/>
        </w:rPr>
        <w:t xml:space="preserve">rant </w:t>
      </w:r>
      <w:r w:rsidR="001E0399" w:rsidRPr="009661D0">
        <w:rPr>
          <w:rFonts w:ascii="Book Antiqua" w:eastAsia="宋体" w:hAnsi="Book Antiqua" w:cs="Arial" w:hint="eastAsia"/>
          <w:sz w:val="24"/>
          <w:lang w:eastAsia="zh-CN"/>
        </w:rPr>
        <w:t>from</w:t>
      </w:r>
      <w:r w:rsidRPr="009661D0">
        <w:rPr>
          <w:rFonts w:ascii="Book Antiqua" w:hAnsi="Book Antiqua" w:cs="Arial"/>
          <w:sz w:val="24"/>
        </w:rPr>
        <w:t xml:space="preserve"> the Korea Healthcare technology R&amp;D Project, Ministry of Health </w:t>
      </w:r>
      <w:r w:rsidR="007D1565">
        <w:rPr>
          <w:rFonts w:ascii="Book Antiqua" w:hAnsi="Book Antiqua" w:cs="Arial"/>
          <w:sz w:val="24"/>
        </w:rPr>
        <w:t>and</w:t>
      </w:r>
      <w:r w:rsidRPr="009661D0">
        <w:rPr>
          <w:rFonts w:ascii="Book Antiqua" w:hAnsi="Book Antiqua" w:cs="Arial"/>
          <w:sz w:val="24"/>
        </w:rPr>
        <w:t xml:space="preserve"> Welfare, Republic of Korea</w:t>
      </w:r>
      <w:r w:rsidR="00646A85" w:rsidRPr="009661D0">
        <w:rPr>
          <w:rFonts w:ascii="Book Antiqua" w:eastAsia="宋体" w:hAnsi="Book Antiqua" w:cs="Arial" w:hint="eastAsia"/>
          <w:sz w:val="24"/>
          <w:lang w:eastAsia="zh-CN"/>
        </w:rPr>
        <w:t xml:space="preserve">, </w:t>
      </w:r>
      <w:r w:rsidR="00646A85" w:rsidRPr="009661D0">
        <w:rPr>
          <w:rFonts w:ascii="Book Antiqua" w:hAnsi="Book Antiqua"/>
          <w:sz w:val="24"/>
        </w:rPr>
        <w:t>No.</w:t>
      </w:r>
      <w:r w:rsidR="0067027E">
        <w:rPr>
          <w:rFonts w:ascii="Book Antiqua" w:eastAsia="宋体" w:hAnsi="Book Antiqua" w:hint="eastAsia"/>
          <w:sz w:val="24"/>
          <w:lang w:eastAsia="zh-CN"/>
        </w:rPr>
        <w:t xml:space="preserve"> </w:t>
      </w:r>
      <w:r w:rsidRPr="009661D0">
        <w:rPr>
          <w:rFonts w:ascii="Book Antiqua" w:hAnsi="Book Antiqua" w:cs="Arial"/>
          <w:sz w:val="24"/>
        </w:rPr>
        <w:t>A121994</w:t>
      </w:r>
    </w:p>
    <w:p w:rsidR="0075590F" w:rsidRPr="009661D0" w:rsidRDefault="0075590F" w:rsidP="00646A85">
      <w:pPr>
        <w:widowControl/>
        <w:wordWrap/>
        <w:autoSpaceDE/>
        <w:snapToGrid w:val="0"/>
        <w:spacing w:line="360" w:lineRule="auto"/>
        <w:jc w:val="left"/>
        <w:rPr>
          <w:rFonts w:ascii="Book Antiqua" w:eastAsia="Gulim" w:hAnsi="Book Antiqua" w:cs="Arial"/>
          <w:kern w:val="0"/>
          <w:sz w:val="24"/>
        </w:rPr>
      </w:pPr>
    </w:p>
    <w:p w:rsidR="0075590F" w:rsidRPr="009661D0" w:rsidRDefault="0075590F" w:rsidP="00646A85">
      <w:pPr>
        <w:wordWrap/>
        <w:spacing w:line="360" w:lineRule="auto"/>
        <w:rPr>
          <w:rFonts w:ascii="Book Antiqua" w:hAnsi="Book Antiqua" w:cs="Arial"/>
          <w:sz w:val="24"/>
        </w:rPr>
      </w:pPr>
      <w:r w:rsidRPr="009661D0">
        <w:rPr>
          <w:rFonts w:ascii="Book Antiqua" w:eastAsiaTheme="minorHAnsi" w:hAnsi="Book Antiqua" w:cs="Arial"/>
          <w:b/>
          <w:sz w:val="24"/>
        </w:rPr>
        <w:t>Correspondence to:</w:t>
      </w:r>
      <w:r w:rsidRPr="009661D0">
        <w:rPr>
          <w:rFonts w:ascii="Book Antiqua" w:eastAsiaTheme="minorHAnsi" w:hAnsi="Book Antiqua" w:cs="Arial"/>
          <w:sz w:val="24"/>
        </w:rPr>
        <w:t xml:space="preserve"> </w:t>
      </w:r>
      <w:r w:rsidRPr="009661D0">
        <w:rPr>
          <w:rFonts w:ascii="Book Antiqua" w:eastAsiaTheme="minorHAnsi" w:hAnsi="Book Antiqua" w:cs="Arial"/>
          <w:b/>
          <w:sz w:val="24"/>
        </w:rPr>
        <w:t xml:space="preserve">Gwang Ha Kim, MD, PhD, </w:t>
      </w:r>
      <w:r w:rsidR="00981529" w:rsidRPr="009661D0">
        <w:rPr>
          <w:rFonts w:ascii="Book Antiqua" w:eastAsia="Gulim" w:hAnsi="Book Antiqua" w:cs="Arial"/>
          <w:kern w:val="0"/>
          <w:sz w:val="24"/>
        </w:rPr>
        <w:t xml:space="preserve">Department of Internal Medicine, </w:t>
      </w:r>
      <w:r w:rsidR="00981529" w:rsidRPr="009661D0">
        <w:rPr>
          <w:rFonts w:ascii="Book Antiqua" w:eastAsia="Gulim" w:hAnsi="Book Antiqua" w:cs="Arial"/>
          <w:kern w:val="0"/>
          <w:sz w:val="24"/>
        </w:rPr>
        <w:lastRenderedPageBreak/>
        <w:t xml:space="preserve">Pusan National University School of Medicine, </w:t>
      </w:r>
      <w:r w:rsidR="000864FC" w:rsidRPr="000864FC">
        <w:rPr>
          <w:rFonts w:ascii="Book Antiqua" w:eastAsia="Gulim" w:hAnsi="Book Antiqua" w:cs="Arial"/>
          <w:kern w:val="0"/>
          <w:sz w:val="24"/>
        </w:rPr>
        <w:t xml:space="preserve">1-10 Ami-dong, Seo-gu, </w:t>
      </w:r>
      <w:r w:rsidR="00981529" w:rsidRPr="009661D0">
        <w:rPr>
          <w:rFonts w:ascii="Book Antiqua" w:eastAsia="Gulim" w:hAnsi="Book Antiqua" w:cs="Arial"/>
          <w:kern w:val="0"/>
          <w:sz w:val="24"/>
        </w:rPr>
        <w:t>Busan 602</w:t>
      </w:r>
      <w:r w:rsidR="00BE0D9F" w:rsidRPr="009661D0">
        <w:rPr>
          <w:rFonts w:ascii="Book Antiqua" w:eastAsia="Gulim" w:hAnsi="Book Antiqua" w:cs="Arial"/>
          <w:kern w:val="0"/>
          <w:sz w:val="24"/>
        </w:rPr>
        <w:t>-</w:t>
      </w:r>
      <w:r w:rsidR="00981529" w:rsidRPr="009661D0">
        <w:rPr>
          <w:rFonts w:ascii="Book Antiqua" w:eastAsia="Gulim" w:hAnsi="Book Antiqua" w:cs="Arial"/>
          <w:kern w:val="0"/>
          <w:sz w:val="24"/>
        </w:rPr>
        <w:t>739, South Korea</w:t>
      </w:r>
      <w:r w:rsidR="00981529" w:rsidRPr="009661D0">
        <w:rPr>
          <w:rFonts w:ascii="Book Antiqua" w:eastAsia="宋体" w:hAnsi="Book Antiqua" w:cs="Arial" w:hint="eastAsia"/>
          <w:kern w:val="0"/>
          <w:sz w:val="24"/>
          <w:lang w:eastAsia="zh-CN"/>
        </w:rPr>
        <w:t>.</w:t>
      </w:r>
      <w:r w:rsidRPr="009661D0">
        <w:rPr>
          <w:rFonts w:ascii="Book Antiqua" w:hAnsi="Book Antiqua" w:cs="Arial"/>
          <w:sz w:val="24"/>
        </w:rPr>
        <w:t xml:space="preserve"> doc0224@pusan.ac.kr</w:t>
      </w:r>
    </w:p>
    <w:p w:rsidR="0075590F" w:rsidRPr="009661D0" w:rsidRDefault="0075590F" w:rsidP="00646A85">
      <w:pPr>
        <w:wordWrap/>
        <w:spacing w:line="360" w:lineRule="auto"/>
        <w:rPr>
          <w:rFonts w:ascii="Book Antiqua" w:hAnsi="Book Antiqua" w:cs="Arial"/>
          <w:b/>
          <w:sz w:val="24"/>
        </w:rPr>
      </w:pPr>
    </w:p>
    <w:p w:rsidR="0075590F" w:rsidRPr="009661D0" w:rsidRDefault="0075590F" w:rsidP="00646A85">
      <w:pPr>
        <w:wordWrap/>
        <w:spacing w:line="360" w:lineRule="auto"/>
        <w:rPr>
          <w:rFonts w:ascii="Book Antiqua" w:eastAsiaTheme="minorHAnsi" w:hAnsi="Book Antiqua" w:cs="Arial"/>
          <w:sz w:val="24"/>
        </w:rPr>
      </w:pPr>
      <w:r w:rsidRPr="009661D0">
        <w:rPr>
          <w:rFonts w:ascii="Book Antiqua" w:hAnsi="Book Antiqua" w:cs="Arial"/>
          <w:b/>
          <w:sz w:val="24"/>
        </w:rPr>
        <w:t>Telephone:</w:t>
      </w:r>
      <w:r w:rsidRPr="009661D0">
        <w:rPr>
          <w:rFonts w:ascii="Book Antiqua" w:hAnsi="Book Antiqua" w:cs="Arial"/>
          <w:sz w:val="24"/>
        </w:rPr>
        <w:t xml:space="preserve"> +82</w:t>
      </w:r>
      <w:r w:rsidR="00BE0D9F" w:rsidRPr="009661D0">
        <w:rPr>
          <w:rFonts w:ascii="Book Antiqua" w:hAnsi="Book Antiqua" w:cs="Arial"/>
          <w:sz w:val="24"/>
        </w:rPr>
        <w:t>-</w:t>
      </w:r>
      <w:r w:rsidRPr="009661D0">
        <w:rPr>
          <w:rFonts w:ascii="Book Antiqua" w:hAnsi="Book Antiqua" w:cs="Arial"/>
          <w:sz w:val="24"/>
        </w:rPr>
        <w:t>51</w:t>
      </w:r>
      <w:r w:rsidR="00BE0D9F" w:rsidRPr="009661D0">
        <w:rPr>
          <w:rFonts w:ascii="Book Antiqua" w:hAnsi="Book Antiqua" w:cs="Arial"/>
          <w:sz w:val="24"/>
        </w:rPr>
        <w:t>-</w:t>
      </w:r>
      <w:r w:rsidRPr="009661D0">
        <w:rPr>
          <w:rFonts w:ascii="Book Antiqua" w:hAnsi="Book Antiqua" w:cs="Arial"/>
          <w:sz w:val="24"/>
        </w:rPr>
        <w:t xml:space="preserve">2407869 </w:t>
      </w:r>
      <w:r w:rsidR="00FD35B5" w:rsidRPr="009661D0">
        <w:rPr>
          <w:rFonts w:ascii="Book Antiqua" w:hAnsi="Book Antiqua" w:cs="Arial"/>
          <w:sz w:val="24"/>
        </w:rPr>
        <w:t xml:space="preserve"> </w:t>
      </w:r>
      <w:r w:rsidRPr="009661D0">
        <w:rPr>
          <w:rFonts w:ascii="Book Antiqua" w:hAnsi="Book Antiqua" w:cs="Arial"/>
          <w:b/>
          <w:sz w:val="24"/>
        </w:rPr>
        <w:t>Fax:</w:t>
      </w:r>
      <w:r w:rsidRPr="009661D0">
        <w:rPr>
          <w:rFonts w:ascii="Book Antiqua" w:hAnsi="Book Antiqua" w:cs="Arial"/>
          <w:sz w:val="24"/>
        </w:rPr>
        <w:t xml:space="preserve"> +82</w:t>
      </w:r>
      <w:r w:rsidR="00BE0D9F" w:rsidRPr="009661D0">
        <w:rPr>
          <w:rFonts w:ascii="Book Antiqua" w:hAnsi="Book Antiqua" w:cs="Arial"/>
          <w:sz w:val="24"/>
        </w:rPr>
        <w:t>-</w:t>
      </w:r>
      <w:r w:rsidRPr="009661D0">
        <w:rPr>
          <w:rFonts w:ascii="Book Antiqua" w:hAnsi="Book Antiqua" w:cs="Arial"/>
          <w:sz w:val="24"/>
        </w:rPr>
        <w:t>51</w:t>
      </w:r>
      <w:r w:rsidR="00BE0D9F" w:rsidRPr="009661D0">
        <w:rPr>
          <w:rFonts w:ascii="Book Antiqua" w:hAnsi="Book Antiqua" w:cs="Arial"/>
          <w:sz w:val="24"/>
        </w:rPr>
        <w:t>-</w:t>
      </w:r>
      <w:r w:rsidRPr="009661D0">
        <w:rPr>
          <w:rFonts w:ascii="Book Antiqua" w:hAnsi="Book Antiqua" w:cs="Arial"/>
          <w:sz w:val="24"/>
        </w:rPr>
        <w:t>2448180</w:t>
      </w:r>
    </w:p>
    <w:p w:rsidR="0075590F" w:rsidRPr="009661D0" w:rsidRDefault="0075590F" w:rsidP="00646A85">
      <w:pPr>
        <w:widowControl/>
        <w:wordWrap/>
        <w:autoSpaceDE/>
        <w:snapToGrid w:val="0"/>
        <w:spacing w:line="360" w:lineRule="auto"/>
        <w:jc w:val="left"/>
        <w:rPr>
          <w:rFonts w:ascii="Book Antiqua" w:eastAsia="Gulim" w:hAnsi="Book Antiqua" w:cs="Arial"/>
          <w:kern w:val="0"/>
          <w:sz w:val="24"/>
        </w:rPr>
      </w:pPr>
    </w:p>
    <w:p w:rsidR="00646A85" w:rsidRPr="009661D0" w:rsidRDefault="00646A85" w:rsidP="00646A85">
      <w:pPr>
        <w:wordWrap/>
        <w:spacing w:line="360" w:lineRule="auto"/>
        <w:rPr>
          <w:rFonts w:ascii="Book Antiqua" w:eastAsia="Times New Roman" w:hAnsi="Book Antiqua"/>
          <w:color w:val="000000"/>
          <w:sz w:val="24"/>
        </w:rPr>
      </w:pPr>
      <w:bookmarkStart w:id="0" w:name="OLE_LINK212"/>
      <w:r w:rsidRPr="009661D0">
        <w:rPr>
          <w:rFonts w:ascii="Book Antiqua" w:eastAsia="Times New Roman" w:hAnsi="Book Antiqua"/>
          <w:b/>
          <w:color w:val="000000"/>
          <w:sz w:val="24"/>
        </w:rPr>
        <w:t>Received:</w:t>
      </w:r>
      <w:r w:rsidRPr="009661D0">
        <w:rPr>
          <w:rFonts w:ascii="Book Antiqua" w:hAnsi="Book Antiqua" w:hint="eastAsia"/>
          <w:b/>
          <w:color w:val="000000"/>
          <w:sz w:val="24"/>
        </w:rPr>
        <w:t xml:space="preserve"> </w:t>
      </w:r>
      <w:r w:rsidRPr="009661D0">
        <w:rPr>
          <w:rFonts w:ascii="Book Antiqua" w:eastAsia="Times New Roman" w:hAnsi="Book Antiqua"/>
          <w:sz w:val="24"/>
        </w:rPr>
        <w:t>February</w:t>
      </w:r>
      <w:r w:rsidRPr="009661D0">
        <w:rPr>
          <w:rFonts w:ascii="Book Antiqua" w:hAnsi="Book Antiqua" w:hint="eastAsia"/>
          <w:sz w:val="24"/>
        </w:rPr>
        <w:t xml:space="preserve"> 1</w:t>
      </w:r>
      <w:r w:rsidRPr="009661D0">
        <w:rPr>
          <w:rFonts w:ascii="Book Antiqua" w:eastAsia="宋体" w:hAnsi="Book Antiqua" w:hint="eastAsia"/>
          <w:sz w:val="24"/>
          <w:lang w:eastAsia="zh-CN"/>
        </w:rPr>
        <w:t>6</w:t>
      </w:r>
      <w:r w:rsidRPr="009661D0">
        <w:rPr>
          <w:rFonts w:ascii="Book Antiqua" w:eastAsia="Times New Roman" w:hAnsi="Book Antiqua"/>
          <w:color w:val="000000"/>
          <w:sz w:val="24"/>
        </w:rPr>
        <w:t>, 2014</w:t>
      </w:r>
      <w:r w:rsidRPr="009661D0">
        <w:rPr>
          <w:rFonts w:ascii="Book Antiqua" w:hAnsi="Book Antiqua"/>
          <w:color w:val="000000"/>
          <w:sz w:val="24"/>
        </w:rPr>
        <w:tab/>
      </w:r>
      <w:r w:rsidRPr="009661D0">
        <w:rPr>
          <w:rFonts w:ascii="Book Antiqua" w:hAnsi="Book Antiqua"/>
          <w:color w:val="000000"/>
          <w:sz w:val="24"/>
        </w:rPr>
        <w:tab/>
      </w:r>
      <w:r w:rsidRPr="009661D0">
        <w:rPr>
          <w:rFonts w:ascii="Book Antiqua" w:eastAsia="Times New Roman" w:hAnsi="Book Antiqua"/>
          <w:b/>
          <w:color w:val="000000"/>
          <w:sz w:val="24"/>
        </w:rPr>
        <w:t xml:space="preserve">Revised: </w:t>
      </w:r>
      <w:r w:rsidRPr="009661D0">
        <w:rPr>
          <w:rFonts w:ascii="Book Antiqua" w:eastAsia="宋体" w:hAnsi="Book Antiqua" w:hint="eastAsia"/>
          <w:color w:val="000000"/>
          <w:sz w:val="24"/>
          <w:lang w:eastAsia="zh-CN"/>
        </w:rPr>
        <w:t>June</w:t>
      </w:r>
      <w:r w:rsidRPr="009661D0">
        <w:rPr>
          <w:rFonts w:ascii="Book Antiqua" w:eastAsia="Times New Roman" w:hAnsi="Book Antiqua"/>
          <w:color w:val="000000"/>
          <w:sz w:val="24"/>
        </w:rPr>
        <w:t xml:space="preserve"> </w:t>
      </w:r>
      <w:r w:rsidRPr="009661D0">
        <w:rPr>
          <w:rFonts w:ascii="Book Antiqua" w:eastAsia="宋体" w:hAnsi="Book Antiqua" w:hint="eastAsia"/>
          <w:color w:val="000000"/>
          <w:sz w:val="24"/>
          <w:lang w:eastAsia="zh-CN"/>
        </w:rPr>
        <w:t>4</w:t>
      </w:r>
      <w:r w:rsidRPr="009661D0">
        <w:rPr>
          <w:rFonts w:ascii="Book Antiqua" w:eastAsia="Times New Roman" w:hAnsi="Book Antiqua"/>
          <w:color w:val="000000"/>
          <w:sz w:val="24"/>
        </w:rPr>
        <w:t>, 2014</w:t>
      </w:r>
    </w:p>
    <w:p w:rsidR="00646A85" w:rsidRPr="00C031F5" w:rsidRDefault="00646A85" w:rsidP="00C031F5">
      <w:pPr>
        <w:rPr>
          <w:rFonts w:ascii="Book Antiqua" w:hAnsi="Book Antiqua"/>
          <w:color w:val="000000"/>
          <w:sz w:val="24"/>
        </w:rPr>
      </w:pPr>
      <w:r w:rsidRPr="009661D0">
        <w:rPr>
          <w:rFonts w:ascii="Book Antiqua" w:eastAsia="Times New Roman" w:hAnsi="Book Antiqua"/>
          <w:b/>
          <w:color w:val="000000"/>
          <w:sz w:val="24"/>
        </w:rPr>
        <w:t>Accepted:</w:t>
      </w:r>
      <w:bookmarkStart w:id="1" w:name="OLE_LINK1"/>
      <w:bookmarkStart w:id="2" w:name="OLE_LINK2"/>
      <w:bookmarkStart w:id="3" w:name="OLE_LINK3"/>
      <w:bookmarkStart w:id="4" w:name="OLE_LINK4"/>
      <w:bookmarkStart w:id="5" w:name="OLE_LINK5"/>
      <w:bookmarkStart w:id="6" w:name="OLE_LINK6"/>
      <w:bookmarkStart w:id="7" w:name="OLE_LINK7"/>
      <w:bookmarkStart w:id="8" w:name="OLE_LINK9"/>
      <w:bookmarkStart w:id="9" w:name="OLE_LINK10"/>
      <w:bookmarkStart w:id="10" w:name="OLE_LINK13"/>
      <w:bookmarkStart w:id="11" w:name="OLE_LINK14"/>
      <w:bookmarkStart w:id="12" w:name="OLE_LINK17"/>
      <w:bookmarkStart w:id="13" w:name="OLE_LINK18"/>
      <w:bookmarkStart w:id="14" w:name="OLE_LINK19"/>
      <w:bookmarkStart w:id="15" w:name="OLE_LINK22"/>
      <w:bookmarkStart w:id="16" w:name="OLE_LINK24"/>
      <w:bookmarkStart w:id="17" w:name="OLE_LINK25"/>
      <w:bookmarkStart w:id="18" w:name="OLE_LINK26"/>
      <w:bookmarkStart w:id="19" w:name="OLE_LINK27"/>
      <w:bookmarkStart w:id="20" w:name="OLE_LINK28"/>
      <w:bookmarkStart w:id="21" w:name="OLE_LINK29"/>
      <w:bookmarkStart w:id="22" w:name="OLE_LINK30"/>
      <w:bookmarkStart w:id="23" w:name="OLE_LINK31"/>
      <w:bookmarkStart w:id="24" w:name="OLE_LINK32"/>
      <w:bookmarkStart w:id="25" w:name="OLE_LINK34"/>
      <w:r w:rsidR="00C031F5" w:rsidRPr="00C031F5">
        <w:rPr>
          <w:rFonts w:ascii="Book Antiqua" w:hAnsi="Book Antiqua"/>
          <w:color w:val="000000"/>
          <w:sz w:val="24"/>
        </w:rPr>
        <w:t xml:space="preserve"> </w:t>
      </w:r>
      <w:r w:rsidR="00C031F5">
        <w:rPr>
          <w:rFonts w:ascii="Book Antiqua" w:hAnsi="Book Antiqua"/>
          <w:color w:val="000000"/>
          <w:sz w:val="24"/>
        </w:rPr>
        <w:t>June 2</w:t>
      </w:r>
      <w:r w:rsidR="00C031F5">
        <w:rPr>
          <w:rFonts w:ascii="Book Antiqua" w:hAnsi="Book Antiqua" w:hint="eastAsia"/>
          <w:color w:val="000000"/>
          <w:sz w:val="24"/>
        </w:rPr>
        <w:t>5</w:t>
      </w:r>
      <w:r w:rsidR="00C031F5">
        <w:rPr>
          <w:rFonts w:ascii="Book Antiqua" w:hAnsi="Book Antiqua"/>
          <w:color w:val="000000"/>
          <w:sz w:val="24"/>
        </w:rPr>
        <w:t>, 2014</w:t>
      </w:r>
      <w:bookmarkStart w:id="26" w:name="_GoBack"/>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9661D0">
        <w:rPr>
          <w:rFonts w:ascii="Book Antiqua" w:eastAsia="Times New Roman" w:hAnsi="Book Antiqua"/>
          <w:b/>
          <w:color w:val="000000"/>
          <w:sz w:val="24"/>
        </w:rPr>
        <w:t xml:space="preserve"> </w:t>
      </w:r>
    </w:p>
    <w:p w:rsidR="00646A85" w:rsidRPr="009661D0" w:rsidRDefault="00646A85" w:rsidP="00646A85">
      <w:pPr>
        <w:wordWrap/>
        <w:spacing w:line="360" w:lineRule="auto"/>
        <w:rPr>
          <w:rFonts w:ascii="Book Antiqua" w:eastAsia="Times New Roman" w:hAnsi="Book Antiqua"/>
          <w:b/>
          <w:color w:val="000000"/>
          <w:sz w:val="24"/>
        </w:rPr>
      </w:pPr>
      <w:r w:rsidRPr="009661D0">
        <w:rPr>
          <w:rFonts w:ascii="Book Antiqua" w:eastAsia="Times New Roman" w:hAnsi="Book Antiqua"/>
          <w:b/>
          <w:color w:val="000000"/>
          <w:sz w:val="24"/>
        </w:rPr>
        <w:t xml:space="preserve">Published online: </w:t>
      </w:r>
      <w:bookmarkEnd w:id="0"/>
    </w:p>
    <w:p w:rsidR="0067027E" w:rsidRDefault="0067027E" w:rsidP="0067027E">
      <w:pPr>
        <w:widowControl/>
        <w:wordWrap/>
        <w:autoSpaceDE/>
        <w:autoSpaceDN/>
        <w:spacing w:after="200" w:line="360" w:lineRule="auto"/>
        <w:rPr>
          <w:rFonts w:ascii="Book Antiqua" w:eastAsia="宋体" w:hAnsi="Book Antiqua" w:cs="Arial"/>
          <w:b/>
          <w:color w:val="000000"/>
          <w:kern w:val="0"/>
          <w:sz w:val="24"/>
          <w:lang w:eastAsia="zh-CN"/>
        </w:rPr>
      </w:pPr>
    </w:p>
    <w:p w:rsidR="0075590F" w:rsidRPr="009661D0" w:rsidRDefault="0075590F" w:rsidP="0067027E">
      <w:pPr>
        <w:widowControl/>
        <w:wordWrap/>
        <w:autoSpaceDE/>
        <w:autoSpaceDN/>
        <w:spacing w:after="200" w:line="360" w:lineRule="auto"/>
        <w:rPr>
          <w:rFonts w:ascii="Book Antiqua" w:hAnsi="Book Antiqua" w:cs="Arial"/>
          <w:b/>
          <w:color w:val="000000"/>
          <w:kern w:val="0"/>
          <w:sz w:val="24"/>
        </w:rPr>
      </w:pPr>
      <w:r w:rsidRPr="009661D0">
        <w:rPr>
          <w:rFonts w:ascii="Book Antiqua" w:hAnsi="Book Antiqua" w:cs="Arial"/>
          <w:b/>
          <w:color w:val="000000"/>
          <w:kern w:val="0"/>
          <w:sz w:val="24"/>
        </w:rPr>
        <w:t>Abstract</w:t>
      </w:r>
    </w:p>
    <w:p w:rsidR="0075590F" w:rsidRDefault="0075590F" w:rsidP="00646A85">
      <w:pPr>
        <w:wordWrap/>
        <w:adjustRightInd w:val="0"/>
        <w:spacing w:line="360" w:lineRule="auto"/>
        <w:rPr>
          <w:rFonts w:ascii="Book Antiqua" w:eastAsia="宋体" w:hAnsi="Book Antiqua" w:cs="Arial"/>
          <w:kern w:val="0"/>
          <w:sz w:val="24"/>
          <w:lang w:eastAsia="zh-CN"/>
        </w:rPr>
      </w:pPr>
      <w:r w:rsidRPr="009661D0">
        <w:rPr>
          <w:rFonts w:ascii="Book Antiqua" w:eastAsiaTheme="minorEastAsia" w:hAnsi="Book Antiqua" w:cs="Arial"/>
          <w:b/>
          <w:bCs/>
          <w:iCs/>
          <w:kern w:val="0"/>
          <w:sz w:val="24"/>
        </w:rPr>
        <w:t>AIM:</w:t>
      </w:r>
      <w:r w:rsidRPr="009661D0">
        <w:rPr>
          <w:rFonts w:ascii="Book Antiqua" w:eastAsiaTheme="minorEastAsia" w:hAnsi="Book Antiqua" w:cs="Arial"/>
          <w:b/>
          <w:bCs/>
          <w:i/>
          <w:iCs/>
          <w:kern w:val="0"/>
          <w:sz w:val="24"/>
        </w:rPr>
        <w:t xml:space="preserve"> </w:t>
      </w:r>
      <w:r w:rsidRPr="009661D0">
        <w:rPr>
          <w:rFonts w:ascii="Book Antiqua" w:hAnsi="Book Antiqua" w:cs="Arial"/>
          <w:kern w:val="0"/>
          <w:sz w:val="24"/>
        </w:rPr>
        <w:t xml:space="preserve">To investigate the difference in magnifying endoscopic findings of </w:t>
      </w:r>
      <w:r w:rsidRPr="009661D0">
        <w:rPr>
          <w:rFonts w:ascii="Book Antiqua" w:eastAsia="AdvTimes" w:hAnsi="Book Antiqua" w:cs="Arial"/>
          <w:color w:val="000000" w:themeColor="text1"/>
          <w:kern w:val="0"/>
          <w:sz w:val="24"/>
        </w:rPr>
        <w:t xml:space="preserve">gastric epithelial dysplasias (GEDs) </w:t>
      </w:r>
      <w:r w:rsidRPr="009661D0">
        <w:rPr>
          <w:rFonts w:ascii="Book Antiqua" w:hAnsi="Book Antiqua" w:cs="Arial"/>
          <w:sz w:val="24"/>
        </w:rPr>
        <w:t xml:space="preserve">according to </w:t>
      </w:r>
      <w:r w:rsidRPr="009661D0">
        <w:rPr>
          <w:rFonts w:ascii="Book Antiqua" w:eastAsia="AdvTimes" w:hAnsi="Book Antiqua" w:cs="Arial"/>
          <w:kern w:val="0"/>
          <w:sz w:val="24"/>
        </w:rPr>
        <w:t>the morphologic characteristics</w:t>
      </w:r>
      <w:r w:rsidR="00B805F0">
        <w:rPr>
          <w:rFonts w:ascii="Book Antiqua" w:eastAsia="宋体" w:hAnsi="Book Antiqua" w:cs="Arial" w:hint="eastAsia"/>
          <w:kern w:val="0"/>
          <w:sz w:val="24"/>
          <w:lang w:eastAsia="zh-CN"/>
        </w:rPr>
        <w:t>.</w:t>
      </w:r>
    </w:p>
    <w:p w:rsidR="00B805F0" w:rsidRPr="00B805F0" w:rsidRDefault="00B805F0" w:rsidP="00646A85">
      <w:pPr>
        <w:wordWrap/>
        <w:adjustRightInd w:val="0"/>
        <w:spacing w:line="360" w:lineRule="auto"/>
        <w:rPr>
          <w:rFonts w:ascii="Book Antiqua" w:eastAsia="宋体" w:hAnsi="Book Antiqua" w:cs="Arial"/>
          <w:b/>
          <w:sz w:val="24"/>
          <w:lang w:eastAsia="zh-CN"/>
        </w:rPr>
      </w:pPr>
    </w:p>
    <w:p w:rsidR="0075590F" w:rsidRDefault="0075590F" w:rsidP="00646A85">
      <w:pPr>
        <w:wordWrap/>
        <w:adjustRightInd w:val="0"/>
        <w:spacing w:line="360" w:lineRule="auto"/>
        <w:rPr>
          <w:rFonts w:ascii="Book Antiqua" w:eastAsia="宋体" w:hAnsi="Book Antiqua" w:cs="Arial"/>
          <w:kern w:val="0"/>
          <w:sz w:val="24"/>
          <w:lang w:eastAsia="zh-CN"/>
        </w:rPr>
      </w:pPr>
      <w:r w:rsidRPr="009661D0">
        <w:rPr>
          <w:rFonts w:ascii="Book Antiqua" w:hAnsi="Book Antiqua" w:cs="Arial"/>
          <w:b/>
          <w:color w:val="000000"/>
          <w:kern w:val="0"/>
          <w:sz w:val="24"/>
        </w:rPr>
        <w:t>METHODS:</w:t>
      </w:r>
      <w:r w:rsidRPr="009661D0">
        <w:rPr>
          <w:rFonts w:ascii="Book Antiqua" w:hAnsi="Book Antiqua" w:cs="Arial"/>
          <w:color w:val="000000"/>
          <w:kern w:val="0"/>
          <w:sz w:val="24"/>
        </w:rPr>
        <w:t xml:space="preserve"> This study included 46</w:t>
      </w:r>
      <w:r w:rsidRPr="009661D0">
        <w:rPr>
          <w:rFonts w:ascii="Book Antiqua" w:hAnsi="Book Antiqua" w:cs="Arial"/>
          <w:sz w:val="24"/>
        </w:rPr>
        <w:t xml:space="preserve"> GED lesions in 45 patients who underwent magnifying endoscopy</w:t>
      </w:r>
      <w:r w:rsidRPr="009661D0">
        <w:rPr>
          <w:rFonts w:ascii="Book Antiqua" w:hAnsi="Book Antiqua" w:cs="Arial"/>
          <w:kern w:val="0"/>
          <w:sz w:val="24"/>
        </w:rPr>
        <w:t xml:space="preserve"> using narrow band imaging (ME</w:t>
      </w:r>
      <w:r w:rsidR="00BE0D9F" w:rsidRPr="009661D0">
        <w:rPr>
          <w:rFonts w:ascii="Book Antiqua" w:hAnsi="Book Antiqua" w:cs="Arial"/>
          <w:kern w:val="0"/>
          <w:sz w:val="24"/>
        </w:rPr>
        <w:t>-</w:t>
      </w:r>
      <w:r w:rsidRPr="009661D0">
        <w:rPr>
          <w:rFonts w:ascii="Book Antiqua" w:hAnsi="Book Antiqua" w:cs="Arial"/>
          <w:kern w:val="0"/>
          <w:sz w:val="24"/>
        </w:rPr>
        <w:t>NBI) before endoscopic resection. During ME</w:t>
      </w:r>
      <w:r w:rsidR="00BE0D9F" w:rsidRPr="009661D0">
        <w:rPr>
          <w:rFonts w:ascii="Book Antiqua" w:hAnsi="Book Antiqua" w:cs="Arial"/>
          <w:kern w:val="0"/>
          <w:sz w:val="24"/>
        </w:rPr>
        <w:t>-</w:t>
      </w:r>
      <w:r w:rsidRPr="009661D0">
        <w:rPr>
          <w:rFonts w:ascii="Book Antiqua" w:hAnsi="Book Antiqua" w:cs="Arial"/>
          <w:kern w:val="0"/>
          <w:sz w:val="24"/>
        </w:rPr>
        <w:t xml:space="preserve">NBI, the microvascular (MV) and microsurface (MS) patterns and the presence of light blue crest (LBC) and white opaque substance (WOS) were investigated. GEDs were categorized as adenomatous, foveolar, and hybrid types, and their mucin phenotype was evaluated. </w:t>
      </w:r>
    </w:p>
    <w:p w:rsidR="00B805F0" w:rsidRPr="00B805F0" w:rsidRDefault="00B805F0" w:rsidP="00646A85">
      <w:pPr>
        <w:wordWrap/>
        <w:adjustRightInd w:val="0"/>
        <w:spacing w:line="360" w:lineRule="auto"/>
        <w:rPr>
          <w:rFonts w:ascii="Book Antiqua" w:eastAsia="宋体" w:hAnsi="Book Antiqua" w:cs="Arial"/>
          <w:kern w:val="0"/>
          <w:sz w:val="24"/>
          <w:lang w:eastAsia="zh-CN"/>
        </w:rPr>
      </w:pPr>
    </w:p>
    <w:p w:rsidR="0075590F" w:rsidRDefault="0075590F" w:rsidP="00646A85">
      <w:pPr>
        <w:wordWrap/>
        <w:adjustRightInd w:val="0"/>
        <w:spacing w:line="360" w:lineRule="auto"/>
        <w:rPr>
          <w:rFonts w:ascii="Book Antiqua" w:eastAsia="宋体" w:hAnsi="Book Antiqua" w:cs="Arial"/>
          <w:color w:val="000000"/>
          <w:kern w:val="0"/>
          <w:sz w:val="24"/>
          <w:lang w:eastAsia="zh-CN"/>
        </w:rPr>
      </w:pPr>
      <w:r w:rsidRPr="009661D0">
        <w:rPr>
          <w:rFonts w:ascii="Book Antiqua" w:hAnsi="Book Antiqua" w:cs="Arial"/>
          <w:b/>
          <w:kern w:val="0"/>
          <w:sz w:val="24"/>
        </w:rPr>
        <w:t>RESULTS:</w:t>
      </w:r>
      <w:r w:rsidRPr="009661D0">
        <w:rPr>
          <w:rFonts w:ascii="Book Antiqua" w:hAnsi="Book Antiqua" w:cs="Arial"/>
          <w:color w:val="000000"/>
          <w:kern w:val="0"/>
          <w:sz w:val="24"/>
        </w:rPr>
        <w:t xml:space="preserve"> Of the 46 lesions, 27</w:t>
      </w:r>
      <w:r w:rsidRPr="009661D0">
        <w:rPr>
          <w:rFonts w:ascii="Book Antiqua" w:eastAsia="AdvTimes" w:hAnsi="Book Antiqua" w:cs="Arial"/>
          <w:kern w:val="0"/>
          <w:sz w:val="24"/>
        </w:rPr>
        <w:t xml:space="preserve"> (59%) were categorized as adenomatous, 15 (32%) as hybrid, and the remaining 4 (9%) as foveolar.</w:t>
      </w:r>
      <w:r w:rsidRPr="009661D0">
        <w:rPr>
          <w:rFonts w:ascii="Book Antiqua" w:hAnsi="Book Antiqua" w:cs="Arial"/>
          <w:color w:val="000000"/>
          <w:kern w:val="0"/>
          <w:sz w:val="24"/>
        </w:rPr>
        <w:t xml:space="preserve"> All adenomatous GEDs showed the round pit and/or tubular MS patterns, all foveolar GEDs showed the papillary pattern, and hybrid GEDs showed mixed patterns (</w:t>
      </w:r>
      <w:r w:rsidRPr="009661D0">
        <w:rPr>
          <w:rFonts w:ascii="Book Antiqua" w:hAnsi="Book Antiqua" w:cs="Arial"/>
          <w:i/>
          <w:color w:val="000000"/>
          <w:kern w:val="0"/>
          <w:sz w:val="24"/>
        </w:rPr>
        <w:t>P</w:t>
      </w:r>
      <w:r w:rsidR="00646A85" w:rsidRPr="009661D0">
        <w:rPr>
          <w:rFonts w:ascii="Book Antiqua" w:hAnsi="Book Antiqua" w:cs="Arial"/>
          <w:color w:val="000000"/>
          <w:kern w:val="0"/>
          <w:sz w:val="24"/>
        </w:rPr>
        <w:t xml:space="preserve"> &lt;</w:t>
      </w:r>
      <w:r w:rsidR="00646A85" w:rsidRPr="009661D0">
        <w:rPr>
          <w:rFonts w:ascii="Book Antiqua" w:eastAsia="宋体" w:hAnsi="Book Antiqua" w:cs="Arial" w:hint="eastAsia"/>
          <w:color w:val="000000"/>
          <w:kern w:val="0"/>
          <w:sz w:val="24"/>
          <w:lang w:eastAsia="zh-CN"/>
        </w:rPr>
        <w:t xml:space="preserve"> </w:t>
      </w:r>
      <w:r w:rsidRPr="009661D0">
        <w:rPr>
          <w:rFonts w:ascii="Book Antiqua" w:hAnsi="Book Antiqua" w:cs="Arial"/>
          <w:color w:val="000000"/>
          <w:kern w:val="0"/>
          <w:sz w:val="24"/>
        </w:rPr>
        <w:t xml:space="preserve">0.001). </w:t>
      </w:r>
      <w:r w:rsidRPr="009661D0">
        <w:rPr>
          <w:rFonts w:ascii="Book Antiqua" w:hAnsi="Book Antiqua" w:cs="Arial"/>
          <w:color w:val="000000" w:themeColor="text1"/>
          <w:kern w:val="0"/>
          <w:sz w:val="24"/>
        </w:rPr>
        <w:t>LBC was more frequently observed in adenomatous GEDs than in hybrid or foveolar GEDs (52%, 33%, 0%, respectively), although this difference was not significant (</w:t>
      </w:r>
      <w:r w:rsidRPr="009661D0">
        <w:rPr>
          <w:rFonts w:ascii="Book Antiqua" w:hAnsi="Book Antiqua" w:cs="Arial"/>
          <w:i/>
          <w:color w:val="000000" w:themeColor="text1"/>
          <w:kern w:val="0"/>
          <w:sz w:val="24"/>
        </w:rPr>
        <w:t>P</w:t>
      </w:r>
      <w:r w:rsidRPr="009661D0">
        <w:rPr>
          <w:rFonts w:ascii="Book Antiqua" w:hAnsi="Book Antiqua" w:cs="Arial"/>
          <w:color w:val="000000" w:themeColor="text1"/>
          <w:kern w:val="0"/>
          <w:sz w:val="24"/>
        </w:rPr>
        <w:t xml:space="preserve"> = 0.127). The p</w:t>
      </w:r>
      <w:r w:rsidRPr="009661D0">
        <w:rPr>
          <w:rFonts w:ascii="Book Antiqua" w:eastAsia="AdvTimes" w:hAnsi="Book Antiqua" w:cs="Arial"/>
          <w:kern w:val="0"/>
          <w:sz w:val="24"/>
        </w:rPr>
        <w:t>apillary MS pattern was associated with MUC5AC and MUC6 expression,</w:t>
      </w:r>
      <w:r w:rsidRPr="009661D0">
        <w:rPr>
          <w:rFonts w:ascii="Book Antiqua" w:hAnsi="Book Antiqua" w:cs="Arial"/>
          <w:color w:val="000000"/>
          <w:kern w:val="0"/>
          <w:sz w:val="24"/>
        </w:rPr>
        <w:t xml:space="preserve"> and the round pit and/or tubular MS patterns were associated with CD10 expression. </w:t>
      </w:r>
    </w:p>
    <w:p w:rsidR="00B805F0" w:rsidRPr="00B805F0" w:rsidRDefault="00B805F0" w:rsidP="00646A85">
      <w:pPr>
        <w:wordWrap/>
        <w:adjustRightInd w:val="0"/>
        <w:spacing w:line="360" w:lineRule="auto"/>
        <w:rPr>
          <w:rFonts w:ascii="Book Antiqua" w:eastAsia="宋体" w:hAnsi="Book Antiqua" w:cs="Arial"/>
          <w:color w:val="000000"/>
          <w:kern w:val="0"/>
          <w:sz w:val="24"/>
          <w:lang w:eastAsia="zh-CN"/>
        </w:rPr>
      </w:pP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hAnsi="Book Antiqua" w:cs="Arial"/>
          <w:b/>
          <w:color w:val="000000"/>
          <w:kern w:val="0"/>
          <w:sz w:val="24"/>
        </w:rPr>
        <w:t xml:space="preserve">CONCLUSION: </w:t>
      </w:r>
      <w:r w:rsidRPr="009661D0">
        <w:rPr>
          <w:rFonts w:ascii="Book Antiqua" w:hAnsi="Book Antiqua" w:cs="Arial"/>
          <w:color w:val="000000"/>
          <w:kern w:val="0"/>
          <w:sz w:val="24"/>
        </w:rPr>
        <w:t>The</w:t>
      </w:r>
      <w:r w:rsidRPr="009661D0">
        <w:rPr>
          <w:rFonts w:ascii="Book Antiqua" w:hAnsi="Book Antiqua" w:cs="Arial"/>
          <w:b/>
          <w:color w:val="000000"/>
          <w:kern w:val="0"/>
          <w:sz w:val="24"/>
        </w:rPr>
        <w:t xml:space="preserve"> </w:t>
      </w:r>
      <w:r w:rsidRPr="009661D0">
        <w:rPr>
          <w:rFonts w:ascii="Book Antiqua" w:hAnsi="Book Antiqua" w:cs="Arial"/>
          <w:color w:val="000000"/>
          <w:kern w:val="0"/>
          <w:sz w:val="24"/>
        </w:rPr>
        <w:t>MS pattern in ME</w:t>
      </w:r>
      <w:r w:rsidR="00BE0D9F" w:rsidRPr="009661D0">
        <w:rPr>
          <w:rFonts w:ascii="Book Antiqua" w:hAnsi="Book Antiqua" w:cs="Arial"/>
          <w:color w:val="000000"/>
          <w:kern w:val="0"/>
          <w:sz w:val="24"/>
        </w:rPr>
        <w:t>-</w:t>
      </w:r>
      <w:r w:rsidRPr="009661D0">
        <w:rPr>
          <w:rFonts w:ascii="Book Antiqua" w:hAnsi="Book Antiqua" w:cs="Arial"/>
          <w:color w:val="000000"/>
          <w:kern w:val="0"/>
          <w:sz w:val="24"/>
        </w:rPr>
        <w:t xml:space="preserve">NBI findings is useful for predicting the </w:t>
      </w:r>
      <w:r w:rsidRPr="009661D0">
        <w:rPr>
          <w:rFonts w:ascii="Book Antiqua" w:hAnsi="Book Antiqua" w:cs="Arial"/>
          <w:color w:val="000000"/>
          <w:kern w:val="0"/>
          <w:sz w:val="24"/>
        </w:rPr>
        <w:lastRenderedPageBreak/>
        <w:t xml:space="preserve">morphologic category and mucin phenotype of GEDs, and </w:t>
      </w:r>
      <w:r w:rsidRPr="009661D0">
        <w:rPr>
          <w:rFonts w:ascii="Book Antiqua" w:eastAsia="AdvTimes" w:hAnsi="Book Antiqua" w:cs="Arial"/>
          <w:kern w:val="0"/>
          <w:sz w:val="24"/>
        </w:rPr>
        <w:t>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may guide decisions regarding GED treatment.</w:t>
      </w:r>
    </w:p>
    <w:p w:rsidR="0075590F" w:rsidRPr="009661D0" w:rsidRDefault="0075590F" w:rsidP="00646A85">
      <w:pPr>
        <w:wordWrap/>
        <w:adjustRightInd w:val="0"/>
        <w:spacing w:line="360" w:lineRule="auto"/>
        <w:rPr>
          <w:rFonts w:ascii="Book Antiqua" w:eastAsia="宋体" w:hAnsi="Book Antiqua" w:cs="Arial"/>
          <w:b/>
          <w:kern w:val="0"/>
          <w:sz w:val="24"/>
          <w:lang w:eastAsia="zh-CN"/>
        </w:rPr>
      </w:pPr>
    </w:p>
    <w:p w:rsidR="001267D4" w:rsidRPr="009661D0" w:rsidRDefault="001267D4" w:rsidP="001267D4">
      <w:pPr>
        <w:spacing w:line="360" w:lineRule="auto"/>
        <w:rPr>
          <w:rFonts w:ascii="Book Antiqua" w:hAnsi="Book Antiqua"/>
          <w:sz w:val="24"/>
        </w:rPr>
      </w:pPr>
      <w:r w:rsidRPr="009661D0">
        <w:rPr>
          <w:rFonts w:ascii="Book Antiqua" w:hAnsi="Book Antiqua"/>
          <w:sz w:val="24"/>
        </w:rPr>
        <w:t>© 2014 Baishideng Publishing Group Inc. All rights reserved.</w:t>
      </w:r>
    </w:p>
    <w:p w:rsidR="001267D4" w:rsidRPr="009661D0" w:rsidRDefault="001267D4" w:rsidP="00646A85">
      <w:pPr>
        <w:wordWrap/>
        <w:adjustRightInd w:val="0"/>
        <w:spacing w:line="360" w:lineRule="auto"/>
        <w:rPr>
          <w:rFonts w:ascii="Book Antiqua" w:eastAsia="宋体" w:hAnsi="Book Antiqua" w:cs="Arial"/>
          <w:b/>
          <w:kern w:val="0"/>
          <w:sz w:val="24"/>
          <w:lang w:eastAsia="zh-CN"/>
        </w:rPr>
      </w:pPr>
    </w:p>
    <w:p w:rsidR="00E82E24" w:rsidRPr="009661D0" w:rsidRDefault="0075590F" w:rsidP="00646A85">
      <w:pPr>
        <w:wordWrap/>
        <w:adjustRightInd w:val="0"/>
        <w:spacing w:line="360" w:lineRule="auto"/>
        <w:rPr>
          <w:rFonts w:ascii="Book Antiqua" w:hAnsi="Book Antiqua" w:cs="Arial"/>
          <w:kern w:val="0"/>
          <w:sz w:val="24"/>
        </w:rPr>
      </w:pPr>
      <w:r w:rsidRPr="009661D0">
        <w:rPr>
          <w:rFonts w:ascii="Book Antiqua" w:eastAsia="AdvTimes" w:hAnsi="Book Antiqua" w:cs="Arial"/>
          <w:b/>
          <w:kern w:val="0"/>
          <w:sz w:val="24"/>
        </w:rPr>
        <w:t>Ke</w:t>
      </w:r>
      <w:r w:rsidR="00494297" w:rsidRPr="009661D0">
        <w:rPr>
          <w:rFonts w:ascii="Book Antiqua" w:hAnsi="Book Antiqua" w:cs="Arial"/>
          <w:b/>
          <w:kern w:val="0"/>
          <w:sz w:val="24"/>
        </w:rPr>
        <w:fldChar w:fldCharType="begin"/>
      </w:r>
      <w:r w:rsidRPr="009661D0">
        <w:rPr>
          <w:rFonts w:ascii="Book Antiqua" w:hAnsi="Book Antiqua" w:cs="Arial"/>
          <w:b/>
          <w:kern w:val="0"/>
          <w:sz w:val="24"/>
        </w:rPr>
        <w:instrText xml:space="preserve"> ADDIN EN.REFLIST </w:instrText>
      </w:r>
      <w:r w:rsidR="00494297" w:rsidRPr="009661D0">
        <w:rPr>
          <w:rFonts w:ascii="Book Antiqua" w:hAnsi="Book Antiqua" w:cs="Arial"/>
          <w:b/>
          <w:kern w:val="0"/>
          <w:sz w:val="24"/>
        </w:rPr>
        <w:fldChar w:fldCharType="end"/>
      </w:r>
      <w:r w:rsidRPr="009661D0">
        <w:rPr>
          <w:rFonts w:ascii="Book Antiqua" w:hAnsi="Book Antiqua" w:cs="Arial"/>
          <w:b/>
          <w:kern w:val="0"/>
          <w:sz w:val="24"/>
        </w:rPr>
        <w:t xml:space="preserve">y words: </w:t>
      </w:r>
      <w:r w:rsidR="00E82E24" w:rsidRPr="009661D0">
        <w:rPr>
          <w:rFonts w:ascii="Book Antiqua" w:hAnsi="Book Antiqua" w:cs="Arial"/>
          <w:kern w:val="0"/>
          <w:sz w:val="24"/>
        </w:rPr>
        <w:t>Stomach; Dysplasia; Narrow band imaging; Mag</w:t>
      </w:r>
      <w:r w:rsidRPr="009661D0">
        <w:rPr>
          <w:rFonts w:ascii="Book Antiqua" w:hAnsi="Book Antiqua" w:cs="Arial"/>
          <w:kern w:val="0"/>
          <w:sz w:val="24"/>
        </w:rPr>
        <w:t>nifying endoscopy</w:t>
      </w:r>
      <w:r w:rsidR="00E82E24" w:rsidRPr="009661D0">
        <w:rPr>
          <w:rFonts w:ascii="Book Antiqua" w:hAnsi="Book Antiqua" w:cs="Arial"/>
          <w:kern w:val="0"/>
          <w:sz w:val="24"/>
        </w:rPr>
        <w:t>; Mucin</w:t>
      </w:r>
    </w:p>
    <w:p w:rsidR="00E82E24" w:rsidRPr="009661D0" w:rsidRDefault="00E82E24" w:rsidP="00646A85">
      <w:pPr>
        <w:wordWrap/>
        <w:adjustRightInd w:val="0"/>
        <w:spacing w:line="360" w:lineRule="auto"/>
        <w:rPr>
          <w:rFonts w:ascii="Book Antiqua" w:hAnsi="Book Antiqua" w:cs="Arial"/>
          <w:kern w:val="0"/>
          <w:sz w:val="24"/>
        </w:rPr>
      </w:pPr>
    </w:p>
    <w:p w:rsidR="00E82E24" w:rsidRPr="009661D0" w:rsidRDefault="00E82E24" w:rsidP="00646A85">
      <w:pPr>
        <w:wordWrap/>
        <w:adjustRightInd w:val="0"/>
        <w:spacing w:line="360" w:lineRule="auto"/>
        <w:rPr>
          <w:rFonts w:ascii="Book Antiqua" w:eastAsia="AdvTimes" w:hAnsi="Book Antiqua" w:cs="Arial"/>
          <w:kern w:val="0"/>
          <w:sz w:val="24"/>
        </w:rPr>
      </w:pPr>
      <w:r w:rsidRPr="009661D0">
        <w:rPr>
          <w:rFonts w:ascii="Book Antiqua" w:hAnsi="Book Antiqua" w:cs="Arial"/>
          <w:b/>
          <w:kern w:val="0"/>
          <w:sz w:val="24"/>
        </w:rPr>
        <w:t xml:space="preserve">Core tip: </w:t>
      </w:r>
      <w:r w:rsidRPr="009661D0">
        <w:rPr>
          <w:rFonts w:ascii="Book Antiqua" w:hAnsi="Book Antiqua" w:cs="Arial"/>
          <w:kern w:val="0"/>
          <w:sz w:val="24"/>
        </w:rPr>
        <w:t>Microsurface</w:t>
      </w:r>
      <w:r w:rsidR="00782E03" w:rsidRPr="009661D0">
        <w:rPr>
          <w:rFonts w:ascii="Book Antiqua" w:hAnsi="Book Antiqua" w:cs="Arial"/>
          <w:kern w:val="0"/>
          <w:sz w:val="24"/>
        </w:rPr>
        <w:t xml:space="preserve"> </w:t>
      </w:r>
      <w:r w:rsidRPr="009661D0">
        <w:rPr>
          <w:rFonts w:ascii="Book Antiqua" w:hAnsi="Book Antiqua" w:cs="Arial"/>
          <w:kern w:val="0"/>
          <w:sz w:val="24"/>
        </w:rPr>
        <w:t>pattern</w:t>
      </w:r>
      <w:r w:rsidR="00FD35B5" w:rsidRPr="009661D0">
        <w:rPr>
          <w:rFonts w:ascii="Book Antiqua" w:hAnsi="Book Antiqua" w:cs="Arial"/>
          <w:kern w:val="0"/>
          <w:sz w:val="24"/>
        </w:rPr>
        <w:t>s</w:t>
      </w:r>
      <w:r w:rsidRPr="009661D0">
        <w:rPr>
          <w:rFonts w:ascii="Book Antiqua" w:hAnsi="Book Antiqua" w:cs="Arial"/>
          <w:kern w:val="0"/>
          <w:sz w:val="24"/>
        </w:rPr>
        <w:t xml:space="preserve"> in the </w:t>
      </w:r>
      <w:r w:rsidRPr="009661D0">
        <w:rPr>
          <w:rFonts w:ascii="Book Antiqua" w:hAnsi="Book Antiqua" w:cs="Arial"/>
          <w:sz w:val="24"/>
        </w:rPr>
        <w:t>magnifying endoscopy</w:t>
      </w:r>
      <w:r w:rsidRPr="009661D0">
        <w:rPr>
          <w:rFonts w:ascii="Book Antiqua" w:hAnsi="Book Antiqua" w:cs="Arial"/>
          <w:kern w:val="0"/>
          <w:sz w:val="24"/>
        </w:rPr>
        <w:t xml:space="preserve"> using narrow band imaging (ME</w:t>
      </w:r>
      <w:r w:rsidR="00BE0D9F" w:rsidRPr="009661D0">
        <w:rPr>
          <w:rFonts w:ascii="Book Antiqua" w:hAnsi="Book Antiqua" w:cs="Arial"/>
          <w:kern w:val="0"/>
          <w:sz w:val="24"/>
        </w:rPr>
        <w:t>-</w:t>
      </w:r>
      <w:r w:rsidRPr="009661D0">
        <w:rPr>
          <w:rFonts w:ascii="Book Antiqua" w:hAnsi="Book Antiqua" w:cs="Arial"/>
          <w:kern w:val="0"/>
          <w:sz w:val="24"/>
        </w:rPr>
        <w:t xml:space="preserve">NBI) </w:t>
      </w:r>
      <w:r w:rsidR="00FD35B5" w:rsidRPr="009661D0">
        <w:rPr>
          <w:rFonts w:ascii="Book Antiqua" w:hAnsi="Book Antiqua" w:cs="Arial"/>
          <w:kern w:val="0"/>
          <w:sz w:val="24"/>
        </w:rPr>
        <w:t>are</w:t>
      </w:r>
      <w:r w:rsidRPr="009661D0">
        <w:rPr>
          <w:rFonts w:ascii="Book Antiqua" w:hAnsi="Book Antiqua" w:cs="Arial"/>
          <w:kern w:val="0"/>
          <w:sz w:val="24"/>
        </w:rPr>
        <w:t xml:space="preserve"> </w:t>
      </w:r>
      <w:r w:rsidR="00782E03" w:rsidRPr="009661D0">
        <w:rPr>
          <w:rFonts w:ascii="Book Antiqua" w:hAnsi="Book Antiqua" w:cs="Arial"/>
          <w:kern w:val="0"/>
          <w:sz w:val="24"/>
        </w:rPr>
        <w:t xml:space="preserve">different according to the </w:t>
      </w:r>
      <w:r w:rsidRPr="009661D0">
        <w:rPr>
          <w:rFonts w:ascii="Book Antiqua" w:hAnsi="Book Antiqua" w:cs="Arial"/>
          <w:kern w:val="0"/>
          <w:sz w:val="24"/>
        </w:rPr>
        <w:t xml:space="preserve">morphologic category and mucin phenotype in </w:t>
      </w:r>
      <w:r w:rsidRPr="009661D0">
        <w:rPr>
          <w:rFonts w:ascii="Book Antiqua" w:eastAsia="AdvTimes" w:hAnsi="Book Antiqua" w:cs="Arial"/>
          <w:kern w:val="0"/>
          <w:sz w:val="24"/>
        </w:rPr>
        <w:t>gastric epithelial dysplasias</w:t>
      </w:r>
      <w:r w:rsidR="009D66A7" w:rsidRPr="009661D0">
        <w:rPr>
          <w:rFonts w:ascii="Book Antiqua" w:eastAsia="AdvTimes" w:hAnsi="Book Antiqua" w:cs="Arial"/>
          <w:kern w:val="0"/>
          <w:sz w:val="24"/>
        </w:rPr>
        <w:t xml:space="preserve"> </w:t>
      </w:r>
      <w:r w:rsidRPr="009661D0">
        <w:rPr>
          <w:rFonts w:ascii="Book Antiqua" w:eastAsia="AdvTimes" w:hAnsi="Book Antiqua" w:cs="Arial"/>
          <w:kern w:val="0"/>
          <w:sz w:val="24"/>
        </w:rPr>
        <w:t>(GEDs)</w:t>
      </w:r>
      <w:r w:rsidRPr="009661D0">
        <w:rPr>
          <w:rFonts w:ascii="Book Antiqua" w:hAnsi="Book Antiqua" w:cs="Arial"/>
          <w:kern w:val="0"/>
          <w:sz w:val="24"/>
        </w:rPr>
        <w:t xml:space="preserve">. Considering that </w:t>
      </w:r>
      <w:r w:rsidRPr="009661D0">
        <w:rPr>
          <w:rFonts w:ascii="Book Antiqua" w:eastAsia="AdvTimes" w:hAnsi="Book Antiqua" w:cs="Arial"/>
          <w:kern w:val="0"/>
          <w:sz w:val="24"/>
        </w:rPr>
        <w:t>foveolar GEDs tend to be associated with high</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grade morphology,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such as the papillary microsurface pattern may guide decisions regarding GED treatment.</w:t>
      </w:r>
    </w:p>
    <w:p w:rsidR="00782E03" w:rsidRPr="009661D0" w:rsidRDefault="00782E03" w:rsidP="00646A85">
      <w:pPr>
        <w:widowControl/>
        <w:wordWrap/>
        <w:autoSpaceDE/>
        <w:autoSpaceDN/>
        <w:spacing w:after="200" w:line="360" w:lineRule="auto"/>
        <w:rPr>
          <w:rFonts w:ascii="Book Antiqua" w:hAnsi="Book Antiqua" w:cs="Arial"/>
          <w:b/>
          <w:kern w:val="0"/>
          <w:sz w:val="24"/>
        </w:rPr>
      </w:pPr>
    </w:p>
    <w:p w:rsidR="00782E03" w:rsidRPr="009661D0" w:rsidRDefault="00782E03" w:rsidP="00646A85">
      <w:pPr>
        <w:wordWrap/>
        <w:spacing w:line="360" w:lineRule="auto"/>
        <w:ind w:leftChars="41" w:left="82"/>
        <w:rPr>
          <w:rFonts w:ascii="Book Antiqua" w:hAnsi="Book Antiqua" w:cs="Arial"/>
          <w:b/>
          <w:sz w:val="24"/>
        </w:rPr>
      </w:pPr>
      <w:r w:rsidRPr="009661D0">
        <w:rPr>
          <w:rFonts w:ascii="Book Antiqua" w:hAnsi="Book Antiqua" w:cs="Arial"/>
          <w:kern w:val="0"/>
          <w:sz w:val="24"/>
        </w:rPr>
        <w:t xml:space="preserve">Kang HM, Kim GH, Park DY, Cheong HR, Baek DH, Lee BE, Song GA. </w:t>
      </w:r>
      <w:r w:rsidRPr="009661D0">
        <w:rPr>
          <w:rFonts w:ascii="Book Antiqua" w:hAnsi="Book Antiqua" w:cs="Arial"/>
          <w:sz w:val="24"/>
        </w:rPr>
        <w:t>Magnifying endoscopy of gastric epithelial dysplasia based on the morphologic characteristics</w:t>
      </w:r>
      <w:r w:rsidR="008D7050" w:rsidRPr="009661D0">
        <w:rPr>
          <w:rFonts w:ascii="Book Antiqua" w:hAnsi="Book Antiqua" w:cs="Arial"/>
          <w:sz w:val="24"/>
        </w:rPr>
        <w:t xml:space="preserve">. </w:t>
      </w:r>
      <w:r w:rsidR="001267D4" w:rsidRPr="009661D0">
        <w:rPr>
          <w:rFonts w:ascii="Book Antiqua" w:hAnsi="Book Antiqua"/>
          <w:i/>
          <w:sz w:val="24"/>
        </w:rPr>
        <w:t>World J Gastroenterol</w:t>
      </w:r>
      <w:r w:rsidR="001267D4" w:rsidRPr="009661D0">
        <w:rPr>
          <w:rFonts w:ascii="Book Antiqua" w:hAnsi="Book Antiqua"/>
          <w:sz w:val="24"/>
        </w:rPr>
        <w:t xml:space="preserve"> 2014; In press</w:t>
      </w:r>
    </w:p>
    <w:p w:rsidR="00782E03" w:rsidRPr="009661D0" w:rsidRDefault="00782E03" w:rsidP="00646A85">
      <w:pPr>
        <w:widowControl/>
        <w:wordWrap/>
        <w:autoSpaceDE/>
        <w:snapToGrid w:val="0"/>
        <w:spacing w:line="360" w:lineRule="auto"/>
        <w:jc w:val="left"/>
        <w:rPr>
          <w:rFonts w:ascii="Book Antiqua" w:hAnsi="Book Antiqua" w:cs="Arial"/>
          <w:color w:val="000000"/>
          <w:kern w:val="0"/>
          <w:sz w:val="24"/>
        </w:rPr>
      </w:pPr>
    </w:p>
    <w:p w:rsidR="0075590F" w:rsidRPr="009661D0" w:rsidRDefault="0075590F" w:rsidP="00646A85">
      <w:pPr>
        <w:widowControl/>
        <w:wordWrap/>
        <w:autoSpaceDE/>
        <w:autoSpaceDN/>
        <w:spacing w:after="200" w:line="360" w:lineRule="auto"/>
        <w:rPr>
          <w:rFonts w:ascii="Book Antiqua" w:hAnsi="Book Antiqua" w:cs="Arial"/>
          <w:b/>
          <w:color w:val="000000"/>
          <w:kern w:val="0"/>
          <w:sz w:val="24"/>
        </w:rPr>
      </w:pPr>
      <w:r w:rsidRPr="009661D0">
        <w:rPr>
          <w:rFonts w:ascii="Book Antiqua" w:hAnsi="Book Antiqua" w:cs="Arial"/>
          <w:b/>
          <w:color w:val="000000"/>
          <w:kern w:val="0"/>
          <w:sz w:val="24"/>
        </w:rPr>
        <w:br w:type="page"/>
      </w:r>
      <w:r w:rsidRPr="009661D0">
        <w:rPr>
          <w:rFonts w:ascii="Book Antiqua" w:hAnsi="Book Antiqua" w:cs="Arial"/>
          <w:b/>
          <w:color w:val="000000"/>
          <w:kern w:val="0"/>
          <w:sz w:val="24"/>
        </w:rPr>
        <w:lastRenderedPageBreak/>
        <w:t>INTRODUCTION</w:t>
      </w: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hAnsi="Book Antiqua" w:cs="Arial"/>
          <w:kern w:val="0"/>
          <w:sz w:val="24"/>
        </w:rPr>
        <w:t>Ga</w:t>
      </w:r>
      <w:r w:rsidRPr="009661D0">
        <w:rPr>
          <w:rFonts w:ascii="Book Antiqua" w:eastAsia="AdvTimes" w:hAnsi="Book Antiqua" w:cs="Arial"/>
          <w:kern w:val="0"/>
          <w:sz w:val="24"/>
        </w:rPr>
        <w:t xml:space="preserve">stric epithelial dysplasia (GED) is </w:t>
      </w:r>
      <w:r w:rsidR="00D46616" w:rsidRPr="009661D0">
        <w:rPr>
          <w:rFonts w:ascii="Book Antiqua" w:eastAsia="AdvTimes" w:hAnsi="Book Antiqua" w:cs="Arial" w:hint="eastAsia"/>
          <w:kern w:val="0"/>
          <w:sz w:val="24"/>
        </w:rPr>
        <w:t xml:space="preserve">generally accepted as </w:t>
      </w:r>
      <w:r w:rsidRPr="009661D0">
        <w:rPr>
          <w:rFonts w:ascii="Book Antiqua" w:eastAsia="AdvTimes" w:hAnsi="Book Antiqua" w:cs="Arial"/>
          <w:kern w:val="0"/>
          <w:sz w:val="24"/>
        </w:rPr>
        <w:t>a neoplastic</w:t>
      </w:r>
      <w:r w:rsidR="00D46616" w:rsidRPr="009661D0">
        <w:rPr>
          <w:rFonts w:ascii="Book Antiqua" w:eastAsia="AdvTimes" w:hAnsi="Book Antiqua" w:cs="Arial" w:hint="eastAsia"/>
          <w:kern w:val="0"/>
          <w:sz w:val="24"/>
        </w:rPr>
        <w:t xml:space="preserve"> lesion</w:t>
      </w:r>
      <w:r w:rsidRPr="009661D0">
        <w:rPr>
          <w:rFonts w:ascii="Book Antiqua" w:eastAsia="AdvTimes" w:hAnsi="Book Antiqua" w:cs="Arial"/>
          <w:kern w:val="0"/>
          <w:sz w:val="24"/>
        </w:rPr>
        <w:t xml:space="preserve"> to gastric adenocarcinoma</w:t>
      </w:r>
      <w:r w:rsidRPr="009661D0">
        <w:rPr>
          <w:rFonts w:ascii="Book Antiqua" w:eastAsia="AdvTimes" w:hAnsi="Book Antiqua" w:cs="Arial"/>
          <w:noProof/>
          <w:kern w:val="0"/>
          <w:sz w:val="24"/>
          <w:vertAlign w:val="superscript"/>
        </w:rPr>
        <w:t>[1]</w:t>
      </w:r>
      <w:r w:rsidRPr="009661D0">
        <w:rPr>
          <w:rFonts w:ascii="Book Antiqua" w:eastAsia="AdvTimes" w:hAnsi="Book Antiqua" w:cs="Arial"/>
          <w:kern w:val="0"/>
          <w:sz w:val="24"/>
        </w:rPr>
        <w:t>.</w:t>
      </w:r>
      <w:r w:rsidR="00893A71">
        <w:rPr>
          <w:rFonts w:ascii="Book Antiqua" w:eastAsia="宋体" w:hAnsi="Book Antiqua" w:cs="Arial" w:hint="eastAsia"/>
          <w:kern w:val="0"/>
          <w:sz w:val="24"/>
          <w:lang w:eastAsia="zh-CN"/>
        </w:rPr>
        <w:t xml:space="preserve"> </w:t>
      </w:r>
      <w:r w:rsidRPr="009661D0">
        <w:rPr>
          <w:rFonts w:ascii="Book Antiqua" w:eastAsia="AdvTimes" w:hAnsi="Book Antiqua" w:cs="Arial"/>
          <w:kern w:val="0"/>
          <w:sz w:val="24"/>
        </w:rPr>
        <w:t xml:space="preserve">GED has traditionally been </w:t>
      </w:r>
      <w:r w:rsidR="00F35507" w:rsidRPr="009661D0">
        <w:rPr>
          <w:rFonts w:ascii="Book Antiqua" w:eastAsia="AdvTimes" w:hAnsi="Book Antiqua" w:cs="Arial" w:hint="eastAsia"/>
          <w:kern w:val="0"/>
          <w:sz w:val="24"/>
        </w:rPr>
        <w:t>categorized</w:t>
      </w:r>
      <w:r w:rsidRPr="009661D0">
        <w:rPr>
          <w:rFonts w:ascii="Book Antiqua" w:eastAsia="AdvTimes" w:hAnsi="Book Antiqua" w:cs="Arial"/>
          <w:kern w:val="0"/>
          <w:sz w:val="24"/>
        </w:rPr>
        <w:t xml:space="preserve"> into the adenomatous (or intestinal) and foveolar (or gastric) types </w:t>
      </w:r>
      <w:r w:rsidR="00D46616" w:rsidRPr="009661D0">
        <w:rPr>
          <w:rFonts w:ascii="Book Antiqua" w:eastAsia="AdvTimes" w:hAnsi="Book Antiqua" w:cs="Arial" w:hint="eastAsia"/>
          <w:kern w:val="0"/>
          <w:sz w:val="24"/>
        </w:rPr>
        <w:t xml:space="preserve">on the basis of </w:t>
      </w:r>
      <w:r w:rsidRPr="009661D0">
        <w:rPr>
          <w:rFonts w:ascii="Book Antiqua" w:eastAsia="AdvTimes" w:hAnsi="Book Antiqua" w:cs="Arial"/>
          <w:kern w:val="0"/>
          <w:sz w:val="24"/>
        </w:rPr>
        <w:t xml:space="preserve">morphologic </w:t>
      </w:r>
      <w:r w:rsidR="00D46616" w:rsidRPr="009661D0">
        <w:rPr>
          <w:rFonts w:ascii="Book Antiqua" w:eastAsia="AdvTimes" w:hAnsi="Book Antiqua" w:cs="Arial" w:hint="eastAsia"/>
          <w:kern w:val="0"/>
          <w:sz w:val="24"/>
        </w:rPr>
        <w:t>features</w:t>
      </w:r>
      <w:r w:rsidRPr="009661D0">
        <w:rPr>
          <w:rFonts w:ascii="Book Antiqua" w:eastAsia="AdvTimes" w:hAnsi="Book Antiqua" w:cs="Arial"/>
          <w:noProof/>
          <w:kern w:val="0"/>
          <w:sz w:val="24"/>
          <w:vertAlign w:val="superscript"/>
        </w:rPr>
        <w:t>[2,3]</w:t>
      </w:r>
      <w:r w:rsidRPr="009661D0">
        <w:rPr>
          <w:rFonts w:ascii="Book Antiqua" w:eastAsia="AdvTimes" w:hAnsi="Book Antiqua" w:cs="Arial"/>
          <w:kern w:val="0"/>
          <w:sz w:val="24"/>
        </w:rPr>
        <w:t xml:space="preserve">, but the clinical relevance of this GED classification has not been extensively studied thus far. Western studies have </w:t>
      </w:r>
      <w:r w:rsidR="00D46616" w:rsidRPr="009661D0">
        <w:rPr>
          <w:rFonts w:ascii="Book Antiqua" w:eastAsia="AdvTimes" w:hAnsi="Book Antiqua" w:cs="Arial" w:hint="eastAsia"/>
          <w:kern w:val="0"/>
          <w:sz w:val="24"/>
        </w:rPr>
        <w:t>shown</w:t>
      </w:r>
      <w:r w:rsidRPr="009661D0">
        <w:rPr>
          <w:rFonts w:ascii="Book Antiqua" w:eastAsia="AdvTimes" w:hAnsi="Book Antiqua" w:cs="Arial"/>
          <w:kern w:val="0"/>
          <w:sz w:val="24"/>
        </w:rPr>
        <w:t xml:space="preserve"> that </w:t>
      </w:r>
      <w:r w:rsidR="00D46616" w:rsidRPr="009661D0">
        <w:rPr>
          <w:rFonts w:ascii="Book Antiqua" w:eastAsia="AdvTimes" w:hAnsi="Book Antiqua" w:cs="Arial" w:hint="eastAsia"/>
          <w:kern w:val="0"/>
          <w:sz w:val="24"/>
        </w:rPr>
        <w:t xml:space="preserve">most </w:t>
      </w:r>
      <w:r w:rsidRPr="009661D0">
        <w:rPr>
          <w:rFonts w:ascii="Book Antiqua" w:eastAsia="AdvTimes" w:hAnsi="Book Antiqua" w:cs="Arial"/>
          <w:kern w:val="0"/>
          <w:sz w:val="24"/>
        </w:rPr>
        <w:t>foveolar GED</w:t>
      </w:r>
      <w:r w:rsidR="00D46616" w:rsidRPr="009661D0">
        <w:rPr>
          <w:rFonts w:ascii="Book Antiqua" w:eastAsia="AdvTimes" w:hAnsi="Book Antiqua" w:cs="Arial" w:hint="eastAsia"/>
          <w:kern w:val="0"/>
          <w:sz w:val="24"/>
        </w:rPr>
        <w:t>s</w:t>
      </w:r>
      <w:r w:rsidRPr="009661D0">
        <w:rPr>
          <w:rFonts w:ascii="Book Antiqua" w:eastAsia="AdvTimes" w:hAnsi="Book Antiqua" w:cs="Arial"/>
          <w:kern w:val="0"/>
          <w:sz w:val="24"/>
        </w:rPr>
        <w:t xml:space="preserve"> </w:t>
      </w:r>
      <w:r w:rsidR="00D46616" w:rsidRPr="009661D0">
        <w:rPr>
          <w:rFonts w:ascii="Book Antiqua" w:eastAsia="AdvTimes" w:hAnsi="Book Antiqua" w:cs="Arial" w:hint="eastAsia"/>
          <w:kern w:val="0"/>
          <w:sz w:val="24"/>
        </w:rPr>
        <w:t>are</w:t>
      </w:r>
      <w:r w:rsidRPr="009661D0">
        <w:rPr>
          <w:rFonts w:ascii="Book Antiqua" w:eastAsia="AdvTimes" w:hAnsi="Book Antiqua" w:cs="Arial"/>
          <w:kern w:val="0"/>
          <w:sz w:val="24"/>
        </w:rPr>
        <w:t xml:space="preserve"> low grade, while adenomatous GED</w:t>
      </w:r>
      <w:r w:rsidR="00D46616" w:rsidRPr="009661D0">
        <w:rPr>
          <w:rFonts w:ascii="Book Antiqua" w:eastAsia="AdvTimes" w:hAnsi="Book Antiqua" w:cs="Arial" w:hint="eastAsia"/>
          <w:kern w:val="0"/>
          <w:sz w:val="24"/>
        </w:rPr>
        <w:t>s</w:t>
      </w:r>
      <w:r w:rsidRPr="009661D0">
        <w:rPr>
          <w:rFonts w:ascii="Book Antiqua" w:eastAsia="AdvTimes" w:hAnsi="Book Antiqua" w:cs="Arial"/>
          <w:kern w:val="0"/>
          <w:sz w:val="24"/>
        </w:rPr>
        <w:t xml:space="preserve"> </w:t>
      </w:r>
      <w:r w:rsidR="00387E2A" w:rsidRPr="009661D0">
        <w:rPr>
          <w:rFonts w:ascii="Book Antiqua" w:eastAsia="AdvTimes" w:hAnsi="Book Antiqua" w:cs="Arial" w:hint="eastAsia"/>
          <w:kern w:val="0"/>
          <w:sz w:val="24"/>
        </w:rPr>
        <w:t>tend to be</w:t>
      </w:r>
      <w:r w:rsidRPr="009661D0">
        <w:rPr>
          <w:rFonts w:ascii="Book Antiqua" w:eastAsia="AdvTimes" w:hAnsi="Book Antiqua" w:cs="Arial"/>
          <w:kern w:val="0"/>
          <w:sz w:val="24"/>
        </w:rPr>
        <w:t xml:space="preserve"> associated with intestinal metaplasia</w:t>
      </w:r>
      <w:r w:rsidR="00387E2A" w:rsidRPr="009661D0">
        <w:rPr>
          <w:rFonts w:ascii="Book Antiqua" w:eastAsia="AdvTimes" w:hAnsi="Book Antiqua" w:cs="Arial" w:hint="eastAsia"/>
          <w:kern w:val="0"/>
          <w:sz w:val="24"/>
        </w:rPr>
        <w:t xml:space="preserve"> and</w:t>
      </w:r>
      <w:r w:rsidRPr="009661D0">
        <w:rPr>
          <w:rFonts w:ascii="Book Antiqua" w:eastAsia="AdvTimes" w:hAnsi="Book Antiqua" w:cs="Arial"/>
          <w:kern w:val="0"/>
          <w:sz w:val="24"/>
        </w:rPr>
        <w:t xml:space="preserve"> high grade</w:t>
      </w:r>
      <w:r w:rsidR="002420B2" w:rsidRPr="009661D0">
        <w:rPr>
          <w:rFonts w:ascii="Book Antiqua" w:eastAsia="AdvTimes" w:hAnsi="Book Antiqua" w:cs="Arial" w:hint="eastAsia"/>
          <w:kern w:val="0"/>
          <w:sz w:val="24"/>
        </w:rPr>
        <w:t>,</w:t>
      </w:r>
      <w:r w:rsidRPr="009661D0">
        <w:rPr>
          <w:rFonts w:ascii="Book Antiqua" w:eastAsia="AdvTimes" w:hAnsi="Book Antiqua" w:cs="Arial"/>
          <w:kern w:val="0"/>
          <w:sz w:val="24"/>
        </w:rPr>
        <w:t xml:space="preserve"> and </w:t>
      </w:r>
      <w:r w:rsidR="002420B2" w:rsidRPr="009661D0">
        <w:rPr>
          <w:rFonts w:ascii="Book Antiqua" w:eastAsia="AdvTimes" w:hAnsi="Book Antiqua" w:cs="Arial" w:hint="eastAsia"/>
          <w:kern w:val="0"/>
          <w:sz w:val="24"/>
        </w:rPr>
        <w:t xml:space="preserve">tend </w:t>
      </w:r>
      <w:r w:rsidR="00387E2A" w:rsidRPr="009661D0">
        <w:rPr>
          <w:rFonts w:ascii="Book Antiqua" w:eastAsia="AdvTimes" w:hAnsi="Book Antiqua" w:cs="Arial" w:hint="eastAsia"/>
          <w:kern w:val="0"/>
          <w:sz w:val="24"/>
        </w:rPr>
        <w:t xml:space="preserve">to have </w:t>
      </w:r>
      <w:r w:rsidRPr="009661D0">
        <w:rPr>
          <w:rFonts w:ascii="Book Antiqua" w:eastAsia="AdvTimes" w:hAnsi="Book Antiqua" w:cs="Arial"/>
          <w:kern w:val="0"/>
          <w:sz w:val="24"/>
        </w:rPr>
        <w:t>a</w:t>
      </w:r>
      <w:r w:rsidR="00387E2A" w:rsidRPr="009661D0">
        <w:rPr>
          <w:rFonts w:ascii="Book Antiqua" w:eastAsia="AdvTimes" w:hAnsi="Book Antiqua" w:cs="Arial" w:hint="eastAsia"/>
          <w:kern w:val="0"/>
          <w:sz w:val="24"/>
        </w:rPr>
        <w:t>n</w:t>
      </w:r>
      <w:r w:rsidRPr="009661D0">
        <w:rPr>
          <w:rFonts w:ascii="Book Antiqua" w:eastAsia="AdvTimes" w:hAnsi="Book Antiqua" w:cs="Arial"/>
          <w:kern w:val="0"/>
          <w:sz w:val="24"/>
        </w:rPr>
        <w:t xml:space="preserve"> </w:t>
      </w:r>
      <w:r w:rsidR="00387E2A" w:rsidRPr="009661D0">
        <w:rPr>
          <w:rFonts w:ascii="Book Antiqua" w:eastAsia="AdvTimes" w:hAnsi="Book Antiqua" w:cs="Arial" w:hint="eastAsia"/>
          <w:kern w:val="0"/>
          <w:sz w:val="24"/>
        </w:rPr>
        <w:t>increased</w:t>
      </w:r>
      <w:r w:rsidRPr="009661D0">
        <w:rPr>
          <w:rFonts w:ascii="Book Antiqua" w:eastAsia="AdvTimes" w:hAnsi="Book Antiqua" w:cs="Arial"/>
          <w:kern w:val="0"/>
          <w:sz w:val="24"/>
        </w:rPr>
        <w:t xml:space="preserve"> risk of malignant transformation</w:t>
      </w:r>
      <w:r w:rsidRPr="009661D0">
        <w:rPr>
          <w:rFonts w:ascii="Book Antiqua" w:eastAsia="AdvTimes" w:hAnsi="Book Antiqua" w:cs="Arial"/>
          <w:noProof/>
          <w:kern w:val="0"/>
          <w:sz w:val="24"/>
          <w:vertAlign w:val="superscript"/>
        </w:rPr>
        <w:t>[4,5]</w:t>
      </w:r>
      <w:r w:rsidRPr="009661D0">
        <w:rPr>
          <w:rFonts w:ascii="Book Antiqua" w:eastAsia="AdvTimes" w:hAnsi="Book Antiqua" w:cs="Arial"/>
          <w:kern w:val="0"/>
          <w:sz w:val="24"/>
        </w:rPr>
        <w:t>. In contrast, East Asian studies have shown that foveolar GED</w:t>
      </w:r>
      <w:r w:rsidR="00387E2A" w:rsidRPr="009661D0">
        <w:rPr>
          <w:rFonts w:ascii="Book Antiqua" w:eastAsia="AdvTimes" w:hAnsi="Book Antiqua" w:cs="Arial" w:hint="eastAsia"/>
          <w:kern w:val="0"/>
          <w:sz w:val="24"/>
        </w:rPr>
        <w:t>s</w:t>
      </w:r>
      <w:r w:rsidRPr="009661D0">
        <w:rPr>
          <w:rFonts w:ascii="Book Antiqua" w:eastAsia="AdvTimes" w:hAnsi="Book Antiqua" w:cs="Arial"/>
          <w:kern w:val="0"/>
          <w:sz w:val="24"/>
        </w:rPr>
        <w:t xml:space="preserve"> </w:t>
      </w:r>
      <w:r w:rsidR="00387E2A" w:rsidRPr="009661D0">
        <w:rPr>
          <w:rFonts w:ascii="Book Antiqua" w:eastAsia="AdvTimes" w:hAnsi="Book Antiqua" w:cs="Arial" w:hint="eastAsia"/>
          <w:kern w:val="0"/>
          <w:sz w:val="24"/>
        </w:rPr>
        <w:t>are</w:t>
      </w:r>
      <w:r w:rsidRPr="009661D0">
        <w:rPr>
          <w:rFonts w:ascii="Book Antiqua" w:eastAsia="AdvTimes" w:hAnsi="Book Antiqua" w:cs="Arial"/>
          <w:kern w:val="0"/>
          <w:sz w:val="24"/>
        </w:rPr>
        <w:t xml:space="preserve"> more commonly high grade and </w:t>
      </w:r>
      <w:r w:rsidR="002420B2" w:rsidRPr="009661D0">
        <w:rPr>
          <w:rFonts w:ascii="Book Antiqua" w:eastAsia="AdvTimes" w:hAnsi="Book Antiqua" w:cs="Arial" w:hint="eastAsia"/>
          <w:kern w:val="0"/>
          <w:sz w:val="24"/>
        </w:rPr>
        <w:t>are</w:t>
      </w:r>
      <w:r w:rsidRPr="009661D0">
        <w:rPr>
          <w:rFonts w:ascii="Book Antiqua" w:eastAsia="AdvTimes" w:hAnsi="Book Antiqua" w:cs="Arial"/>
          <w:kern w:val="0"/>
          <w:sz w:val="24"/>
        </w:rPr>
        <w:t xml:space="preserve"> associated with the development of second</w:t>
      </w:r>
      <w:r w:rsidR="002420B2" w:rsidRPr="009661D0">
        <w:rPr>
          <w:rFonts w:ascii="Book Antiqua" w:eastAsia="AdvTimes" w:hAnsi="Book Antiqua" w:cs="Arial" w:hint="eastAsia"/>
          <w:kern w:val="0"/>
          <w:sz w:val="24"/>
        </w:rPr>
        <w:t>ary</w:t>
      </w:r>
      <w:r w:rsidRPr="009661D0">
        <w:rPr>
          <w:rFonts w:ascii="Book Antiqua" w:eastAsia="AdvTimes" w:hAnsi="Book Antiqua" w:cs="Arial"/>
          <w:kern w:val="0"/>
          <w:sz w:val="24"/>
        </w:rPr>
        <w:t xml:space="preserve"> dysplastic lesion</w:t>
      </w:r>
      <w:r w:rsidRPr="009661D0">
        <w:rPr>
          <w:rFonts w:ascii="Book Antiqua" w:eastAsia="AdvTimes" w:hAnsi="Book Antiqua" w:cs="Arial"/>
          <w:noProof/>
          <w:kern w:val="0"/>
          <w:sz w:val="24"/>
          <w:vertAlign w:val="superscript"/>
        </w:rPr>
        <w:t>[6,7]</w:t>
      </w:r>
      <w:r w:rsidRPr="009661D0">
        <w:rPr>
          <w:rFonts w:ascii="Book Antiqua" w:eastAsia="AdvTimes" w:hAnsi="Book Antiqua" w:cs="Arial"/>
          <w:kern w:val="0"/>
          <w:sz w:val="24"/>
        </w:rPr>
        <w:t xml:space="preserve">. Recent </w:t>
      </w:r>
      <w:r w:rsidR="00387E2A" w:rsidRPr="009661D0">
        <w:rPr>
          <w:rFonts w:ascii="Book Antiqua" w:eastAsia="AdvTimes" w:hAnsi="Book Antiqua" w:cs="Arial" w:hint="eastAsia"/>
          <w:kern w:val="0"/>
          <w:sz w:val="24"/>
        </w:rPr>
        <w:t xml:space="preserve">developments in </w:t>
      </w:r>
      <w:r w:rsidRPr="009661D0">
        <w:rPr>
          <w:rFonts w:ascii="Book Antiqua" w:eastAsia="AdvTimes" w:hAnsi="Book Antiqua" w:cs="Arial"/>
          <w:kern w:val="0"/>
          <w:sz w:val="24"/>
        </w:rPr>
        <w:t>mucin immunohistochemistry have supported effort</w:t>
      </w:r>
      <w:r w:rsidR="002420B2" w:rsidRPr="009661D0">
        <w:rPr>
          <w:rFonts w:ascii="Book Antiqua" w:eastAsia="AdvTimes" w:hAnsi="Book Antiqua" w:cs="Arial" w:hint="eastAsia"/>
          <w:kern w:val="0"/>
          <w:sz w:val="24"/>
        </w:rPr>
        <w:t>s</w:t>
      </w:r>
      <w:r w:rsidRPr="009661D0">
        <w:rPr>
          <w:rFonts w:ascii="Book Antiqua" w:eastAsia="AdvTimes" w:hAnsi="Book Antiqua" w:cs="Arial"/>
          <w:kern w:val="0"/>
          <w:sz w:val="24"/>
        </w:rPr>
        <w:t xml:space="preserve"> to </w:t>
      </w:r>
      <w:r w:rsidR="00387E2A" w:rsidRPr="009661D0">
        <w:rPr>
          <w:rFonts w:ascii="Book Antiqua" w:eastAsia="AdvTimes" w:hAnsi="Book Antiqua" w:cs="Arial" w:hint="eastAsia"/>
          <w:kern w:val="0"/>
          <w:sz w:val="24"/>
        </w:rPr>
        <w:t>categorize</w:t>
      </w:r>
      <w:r w:rsidRPr="009661D0">
        <w:rPr>
          <w:rFonts w:ascii="Book Antiqua" w:eastAsia="AdvTimes" w:hAnsi="Book Antiqua" w:cs="Arial"/>
          <w:kern w:val="0"/>
          <w:sz w:val="24"/>
        </w:rPr>
        <w:t xml:space="preserve"> gastric neopla</w:t>
      </w:r>
      <w:r w:rsidRPr="009661D0">
        <w:rPr>
          <w:rFonts w:ascii="Book Antiqua" w:hAnsi="Book Antiqua" w:cs="Arial"/>
          <w:kern w:val="0"/>
          <w:sz w:val="24"/>
        </w:rPr>
        <w:t>sms</w:t>
      </w:r>
      <w:r w:rsidRPr="009661D0">
        <w:rPr>
          <w:rFonts w:ascii="Book Antiqua" w:eastAsia="AdvTimes" w:hAnsi="Book Antiqua" w:cs="Arial"/>
          <w:kern w:val="0"/>
          <w:sz w:val="24"/>
        </w:rPr>
        <w:t xml:space="preserve"> </w:t>
      </w:r>
      <w:r w:rsidR="00387E2A" w:rsidRPr="009661D0">
        <w:rPr>
          <w:rFonts w:ascii="Book Antiqua" w:eastAsia="AdvTimes" w:hAnsi="Book Antiqua" w:cs="Arial" w:hint="eastAsia"/>
          <w:kern w:val="0"/>
          <w:sz w:val="24"/>
        </w:rPr>
        <w:t>on</w:t>
      </w:r>
      <w:r w:rsidRPr="009661D0">
        <w:rPr>
          <w:rFonts w:ascii="Book Antiqua" w:eastAsia="AdvTimes" w:hAnsi="Book Antiqua" w:cs="Arial"/>
          <w:kern w:val="0"/>
          <w:sz w:val="24"/>
        </w:rPr>
        <w:t xml:space="preserve"> the </w:t>
      </w:r>
      <w:r w:rsidR="002420B2" w:rsidRPr="009661D0">
        <w:rPr>
          <w:rFonts w:ascii="Book Antiqua" w:eastAsia="AdvTimes" w:hAnsi="Book Antiqua" w:cs="Arial" w:hint="eastAsia"/>
          <w:kern w:val="0"/>
          <w:sz w:val="24"/>
        </w:rPr>
        <w:t xml:space="preserve">basis of the </w:t>
      </w:r>
      <w:r w:rsidRPr="009661D0">
        <w:rPr>
          <w:rFonts w:ascii="Book Antiqua" w:eastAsia="AdvTimes" w:hAnsi="Book Antiqua" w:cs="Arial"/>
          <w:kern w:val="0"/>
          <w:sz w:val="24"/>
        </w:rPr>
        <w:t xml:space="preserve">pattern of mucin expression. </w:t>
      </w:r>
      <w:r w:rsidR="00D36B95" w:rsidRPr="009661D0">
        <w:rPr>
          <w:rFonts w:ascii="Book Antiqua" w:eastAsia="AdvTimes" w:hAnsi="Book Antiqua" w:cs="Arial" w:hint="eastAsia"/>
          <w:kern w:val="0"/>
          <w:sz w:val="24"/>
        </w:rPr>
        <w:t xml:space="preserve">Previous </w:t>
      </w:r>
      <w:r w:rsidRPr="009661D0">
        <w:rPr>
          <w:rFonts w:ascii="Book Antiqua" w:eastAsia="AdvTimes" w:hAnsi="Book Antiqua" w:cs="Arial"/>
          <w:kern w:val="0"/>
          <w:sz w:val="24"/>
        </w:rPr>
        <w:t xml:space="preserve">studies have </w:t>
      </w:r>
      <w:r w:rsidR="00D36B95" w:rsidRPr="009661D0">
        <w:rPr>
          <w:rFonts w:ascii="Book Antiqua" w:eastAsia="AdvTimes" w:hAnsi="Book Antiqua" w:cs="Arial" w:hint="eastAsia"/>
          <w:kern w:val="0"/>
          <w:sz w:val="24"/>
        </w:rPr>
        <w:t>reported</w:t>
      </w:r>
      <w:r w:rsidRPr="009661D0">
        <w:rPr>
          <w:rFonts w:ascii="Book Antiqua" w:eastAsia="AdvTimes" w:hAnsi="Book Antiqua" w:cs="Arial"/>
          <w:kern w:val="0"/>
          <w:sz w:val="24"/>
        </w:rPr>
        <w:t xml:space="preserve"> that the </w:t>
      </w:r>
      <w:r w:rsidR="00D36B95" w:rsidRPr="009661D0">
        <w:rPr>
          <w:rFonts w:ascii="Book Antiqua" w:eastAsia="AdvTimes" w:hAnsi="Book Antiqua" w:cs="Arial" w:hint="eastAsia"/>
          <w:kern w:val="0"/>
          <w:sz w:val="24"/>
        </w:rPr>
        <w:t>pattern</w:t>
      </w:r>
      <w:r w:rsidRPr="009661D0">
        <w:rPr>
          <w:rFonts w:ascii="Book Antiqua" w:eastAsia="AdvTimes" w:hAnsi="Book Antiqua" w:cs="Arial"/>
          <w:kern w:val="0"/>
          <w:sz w:val="24"/>
        </w:rPr>
        <w:t xml:space="preserve"> of mucin expression in </w:t>
      </w:r>
      <w:r w:rsidR="00D36B95" w:rsidRPr="009661D0">
        <w:rPr>
          <w:rFonts w:ascii="Book Antiqua" w:eastAsia="AdvTimes" w:hAnsi="Book Antiqua" w:cs="Arial" w:hint="eastAsia"/>
          <w:kern w:val="0"/>
          <w:sz w:val="24"/>
        </w:rPr>
        <w:t>gastric cancer</w:t>
      </w:r>
      <w:r w:rsidRPr="009661D0">
        <w:rPr>
          <w:rFonts w:ascii="Book Antiqua" w:eastAsia="AdvTimes" w:hAnsi="Book Antiqua" w:cs="Arial"/>
          <w:kern w:val="0"/>
          <w:sz w:val="24"/>
        </w:rPr>
        <w:t xml:space="preserve"> is clinical</w:t>
      </w:r>
      <w:r w:rsidR="00D36B95" w:rsidRPr="009661D0">
        <w:rPr>
          <w:rFonts w:ascii="Book Antiqua" w:eastAsia="AdvTimes" w:hAnsi="Book Antiqua" w:cs="Arial" w:hint="eastAsia"/>
          <w:kern w:val="0"/>
          <w:sz w:val="24"/>
        </w:rPr>
        <w:t>ly</w:t>
      </w:r>
      <w:r w:rsidRPr="009661D0">
        <w:rPr>
          <w:rFonts w:ascii="Book Antiqua" w:eastAsia="AdvTimes" w:hAnsi="Book Antiqua" w:cs="Arial"/>
          <w:kern w:val="0"/>
          <w:sz w:val="24"/>
        </w:rPr>
        <w:t xml:space="preserve"> significan</w:t>
      </w:r>
      <w:r w:rsidR="00D36B95" w:rsidRPr="009661D0">
        <w:rPr>
          <w:rFonts w:ascii="Book Antiqua" w:eastAsia="AdvTimes" w:hAnsi="Book Antiqua" w:cs="Arial" w:hint="eastAsia"/>
          <w:kern w:val="0"/>
          <w:sz w:val="24"/>
        </w:rPr>
        <w:t>t</w:t>
      </w:r>
      <w:r w:rsidRPr="009661D0">
        <w:rPr>
          <w:rFonts w:ascii="Book Antiqua" w:eastAsia="AdvTimes" w:hAnsi="Book Antiqua" w:cs="Arial"/>
          <w:kern w:val="0"/>
          <w:sz w:val="24"/>
        </w:rPr>
        <w:t xml:space="preserve">, </w:t>
      </w:r>
      <w:r w:rsidR="00D36B95" w:rsidRPr="009661D0">
        <w:rPr>
          <w:rFonts w:ascii="Book Antiqua" w:eastAsia="AdvTimes" w:hAnsi="Book Antiqua" w:cs="Arial" w:hint="eastAsia"/>
          <w:kern w:val="0"/>
          <w:sz w:val="24"/>
        </w:rPr>
        <w:t>suggesting</w:t>
      </w:r>
      <w:r w:rsidRPr="009661D0">
        <w:rPr>
          <w:rFonts w:ascii="Book Antiqua" w:eastAsia="AdvTimes" w:hAnsi="Book Antiqua" w:cs="Arial"/>
          <w:kern w:val="0"/>
          <w:sz w:val="24"/>
        </w:rPr>
        <w:t xml:space="preserve"> biologic differences in </w:t>
      </w:r>
      <w:r w:rsidR="003E3D75" w:rsidRPr="009661D0">
        <w:rPr>
          <w:rFonts w:ascii="Book Antiqua" w:eastAsia="AdvTimes" w:hAnsi="Book Antiqua" w:cs="Arial" w:hint="eastAsia"/>
          <w:kern w:val="0"/>
          <w:sz w:val="24"/>
        </w:rPr>
        <w:t>pre-neoplastic</w:t>
      </w:r>
      <w:r w:rsidRPr="009661D0">
        <w:rPr>
          <w:rFonts w:ascii="Book Antiqua" w:eastAsia="AdvTimes" w:hAnsi="Book Antiqua" w:cs="Arial"/>
          <w:kern w:val="0"/>
          <w:sz w:val="24"/>
        </w:rPr>
        <w:t xml:space="preserve"> lesions and/or </w:t>
      </w:r>
      <w:r w:rsidR="002420B2" w:rsidRPr="009661D0">
        <w:rPr>
          <w:rFonts w:ascii="Book Antiqua" w:eastAsia="AdvTimes" w:hAnsi="Book Antiqua" w:cs="Arial" w:hint="eastAsia"/>
          <w:kern w:val="0"/>
          <w:sz w:val="24"/>
        </w:rPr>
        <w:t xml:space="preserve">the </w:t>
      </w:r>
      <w:r w:rsidR="003E3D75" w:rsidRPr="009661D0">
        <w:rPr>
          <w:rFonts w:ascii="Book Antiqua" w:eastAsia="AdvTimes" w:hAnsi="Book Antiqua" w:cs="Arial" w:hint="eastAsia"/>
          <w:kern w:val="0"/>
          <w:sz w:val="24"/>
        </w:rPr>
        <w:t>process</w:t>
      </w:r>
      <w:r w:rsidRPr="009661D0">
        <w:rPr>
          <w:rFonts w:ascii="Book Antiqua" w:eastAsia="AdvTimes" w:hAnsi="Book Antiqua" w:cs="Arial"/>
          <w:kern w:val="0"/>
          <w:sz w:val="24"/>
        </w:rPr>
        <w:t xml:space="preserve"> of malignant transformation</w:t>
      </w:r>
      <w:r w:rsidRPr="009661D0">
        <w:rPr>
          <w:rFonts w:ascii="Book Antiqua" w:eastAsia="AdvTimes" w:hAnsi="Book Antiqua" w:cs="Arial"/>
          <w:noProof/>
          <w:kern w:val="0"/>
          <w:sz w:val="24"/>
          <w:vertAlign w:val="superscript"/>
        </w:rPr>
        <w:t>[8</w:t>
      </w:r>
      <w:r w:rsidR="00BE0D9F" w:rsidRPr="009661D0">
        <w:rPr>
          <w:rFonts w:ascii="Book Antiqua" w:eastAsia="AdvTimes" w:hAnsi="Book Antiqua" w:cs="Arial"/>
          <w:noProof/>
          <w:kern w:val="0"/>
          <w:sz w:val="24"/>
          <w:vertAlign w:val="superscript"/>
        </w:rPr>
        <w:t>-</w:t>
      </w:r>
      <w:r w:rsidRPr="009661D0">
        <w:rPr>
          <w:rFonts w:ascii="Book Antiqua" w:eastAsia="AdvTimes" w:hAnsi="Book Antiqua" w:cs="Arial"/>
          <w:noProof/>
          <w:kern w:val="0"/>
          <w:sz w:val="24"/>
          <w:vertAlign w:val="superscript"/>
        </w:rPr>
        <w:t>11]</w:t>
      </w:r>
      <w:r w:rsidRPr="009661D0">
        <w:rPr>
          <w:rFonts w:ascii="Book Antiqua" w:eastAsia="AdvTimes" w:hAnsi="Book Antiqua" w:cs="Arial"/>
          <w:kern w:val="0"/>
          <w:sz w:val="24"/>
        </w:rPr>
        <w:t>.</w:t>
      </w:r>
    </w:p>
    <w:p w:rsidR="0075590F" w:rsidRPr="009661D0" w:rsidRDefault="0075590F" w:rsidP="000025E0">
      <w:pPr>
        <w:wordWrap/>
        <w:adjustRightInd w:val="0"/>
        <w:spacing w:line="360" w:lineRule="auto"/>
        <w:ind w:firstLineChars="200" w:firstLine="480"/>
        <w:rPr>
          <w:rFonts w:ascii="Book Antiqua" w:hAnsi="Book Antiqua" w:cs="Arial"/>
          <w:b/>
          <w:sz w:val="24"/>
        </w:rPr>
      </w:pPr>
      <w:r w:rsidRPr="009661D0">
        <w:rPr>
          <w:rFonts w:ascii="Book Antiqua" w:hAnsi="Book Antiqua" w:cs="Arial"/>
          <w:kern w:val="0"/>
          <w:sz w:val="24"/>
        </w:rPr>
        <w:t>Magnifying endoscopy (ME)</w:t>
      </w:r>
      <w:r w:rsidRPr="009661D0">
        <w:rPr>
          <w:rFonts w:ascii="Book Antiqua" w:hAnsi="Book Antiqua" w:cs="Arial"/>
          <w:color w:val="548DD4" w:themeColor="text2" w:themeTint="99"/>
          <w:kern w:val="0"/>
          <w:sz w:val="24"/>
        </w:rPr>
        <w:t xml:space="preserve"> </w:t>
      </w:r>
      <w:r w:rsidRPr="009661D0">
        <w:rPr>
          <w:rFonts w:ascii="Book Antiqua" w:hAnsi="Book Antiqua" w:cs="Arial"/>
          <w:color w:val="000000"/>
          <w:kern w:val="0"/>
          <w:sz w:val="24"/>
        </w:rPr>
        <w:t>has been used clinically because it enables visualization of the mucosa in great detail. Many studies have been reported on the clinical application of ME, particularly for the colon and esophagus</w:t>
      </w:r>
      <w:r w:rsidRPr="009661D0">
        <w:rPr>
          <w:rFonts w:ascii="Book Antiqua" w:hAnsi="Book Antiqua" w:cs="Arial"/>
          <w:noProof/>
          <w:color w:val="000000"/>
          <w:kern w:val="0"/>
          <w:sz w:val="24"/>
          <w:vertAlign w:val="superscript"/>
        </w:rPr>
        <w:t>[12</w:t>
      </w:r>
      <w:r w:rsidR="00BE0D9F" w:rsidRPr="009661D0">
        <w:rPr>
          <w:rFonts w:ascii="Book Antiqua" w:hAnsi="Book Antiqua" w:cs="Arial"/>
          <w:noProof/>
          <w:color w:val="000000"/>
          <w:kern w:val="0"/>
          <w:sz w:val="24"/>
          <w:vertAlign w:val="superscript"/>
        </w:rPr>
        <w:t>-</w:t>
      </w:r>
      <w:r w:rsidRPr="009661D0">
        <w:rPr>
          <w:rFonts w:ascii="Book Antiqua" w:hAnsi="Book Antiqua" w:cs="Arial"/>
          <w:noProof/>
          <w:color w:val="000000"/>
          <w:kern w:val="0"/>
          <w:sz w:val="24"/>
          <w:vertAlign w:val="superscript"/>
        </w:rPr>
        <w:t>14]</w:t>
      </w:r>
      <w:r w:rsidRPr="009661D0">
        <w:rPr>
          <w:rFonts w:ascii="Book Antiqua" w:hAnsi="Book Antiqua" w:cs="Arial"/>
          <w:color w:val="000000"/>
          <w:kern w:val="0"/>
          <w:sz w:val="24"/>
        </w:rPr>
        <w:t>. Additionally, the application of ME</w:t>
      </w:r>
      <w:r w:rsidRPr="009661D0">
        <w:rPr>
          <w:rFonts w:ascii="Book Antiqua" w:hAnsi="Book Antiqua" w:cs="Arial"/>
          <w:kern w:val="0"/>
          <w:sz w:val="24"/>
        </w:rPr>
        <w:t xml:space="preserve"> using narrow band imaging (ME</w:t>
      </w:r>
      <w:r w:rsidR="00BE0D9F" w:rsidRPr="009661D0">
        <w:rPr>
          <w:rFonts w:ascii="Book Antiqua" w:hAnsi="Book Antiqua" w:cs="Arial"/>
          <w:kern w:val="0"/>
          <w:sz w:val="24"/>
        </w:rPr>
        <w:t>-</w:t>
      </w:r>
      <w:r w:rsidRPr="009661D0">
        <w:rPr>
          <w:rFonts w:ascii="Book Antiqua" w:hAnsi="Book Antiqua" w:cs="Arial"/>
          <w:kern w:val="0"/>
          <w:sz w:val="24"/>
        </w:rPr>
        <w:t>NBI) is becoming increasingly common, and it has been reported to be useful for the diagnosis of gastrointestinal tumors</w:t>
      </w:r>
      <w:r w:rsidRPr="009661D0">
        <w:rPr>
          <w:rFonts w:ascii="Book Antiqua" w:hAnsi="Book Antiqua" w:cs="Arial"/>
          <w:noProof/>
          <w:kern w:val="0"/>
          <w:sz w:val="24"/>
          <w:vertAlign w:val="superscript"/>
        </w:rPr>
        <w:t>[15</w:t>
      </w:r>
      <w:r w:rsidR="00BE0D9F" w:rsidRPr="009661D0">
        <w:rPr>
          <w:rFonts w:ascii="Book Antiqua" w:hAnsi="Book Antiqua" w:cs="Arial"/>
          <w:noProof/>
          <w:kern w:val="0"/>
          <w:sz w:val="24"/>
          <w:vertAlign w:val="superscript"/>
        </w:rPr>
        <w:t>-</w:t>
      </w:r>
      <w:r w:rsidRPr="009661D0">
        <w:rPr>
          <w:rFonts w:ascii="Book Antiqua" w:hAnsi="Book Antiqua" w:cs="Arial"/>
          <w:noProof/>
          <w:kern w:val="0"/>
          <w:sz w:val="24"/>
          <w:vertAlign w:val="superscript"/>
        </w:rPr>
        <w:t>17]</w:t>
      </w:r>
      <w:r w:rsidRPr="009661D0">
        <w:rPr>
          <w:rFonts w:ascii="Book Antiqua" w:hAnsi="Book Antiqua" w:cs="Arial"/>
          <w:kern w:val="0"/>
          <w:sz w:val="24"/>
        </w:rPr>
        <w:t xml:space="preserve"> as well as histologic </w:t>
      </w:r>
      <w:r w:rsidRPr="009661D0">
        <w:rPr>
          <w:rFonts w:ascii="Book Antiqua" w:hAnsi="Book Antiqua" w:cs="Arial"/>
          <w:color w:val="000000"/>
          <w:kern w:val="0"/>
          <w:sz w:val="24"/>
        </w:rPr>
        <w:t>gastritis</w:t>
      </w:r>
      <w:r w:rsidRPr="009661D0">
        <w:rPr>
          <w:rFonts w:ascii="Book Antiqua" w:hAnsi="Book Antiqua" w:cs="Arial"/>
          <w:noProof/>
          <w:color w:val="000000"/>
          <w:kern w:val="0"/>
          <w:sz w:val="24"/>
          <w:vertAlign w:val="superscript"/>
        </w:rPr>
        <w:t>[18</w:t>
      </w:r>
      <w:r w:rsidR="00BE0D9F" w:rsidRPr="009661D0">
        <w:rPr>
          <w:rFonts w:ascii="Book Antiqua" w:hAnsi="Book Antiqua" w:cs="Arial"/>
          <w:noProof/>
          <w:color w:val="000000"/>
          <w:kern w:val="0"/>
          <w:sz w:val="24"/>
          <w:vertAlign w:val="superscript"/>
        </w:rPr>
        <w:t>-</w:t>
      </w:r>
      <w:r w:rsidRPr="009661D0">
        <w:rPr>
          <w:rFonts w:ascii="Book Antiqua" w:hAnsi="Book Antiqua" w:cs="Arial"/>
          <w:noProof/>
          <w:color w:val="000000"/>
          <w:kern w:val="0"/>
          <w:sz w:val="24"/>
          <w:vertAlign w:val="superscript"/>
        </w:rPr>
        <w:t>20]</w:t>
      </w:r>
      <w:r w:rsidRPr="009661D0">
        <w:rPr>
          <w:rFonts w:ascii="Book Antiqua" w:hAnsi="Book Antiqua" w:cs="Arial"/>
          <w:color w:val="000000"/>
          <w:kern w:val="0"/>
          <w:sz w:val="24"/>
        </w:rPr>
        <w:t>. In fact,</w:t>
      </w:r>
      <w:r w:rsidRPr="009661D0">
        <w:rPr>
          <w:rFonts w:ascii="Book Antiqua" w:hAnsi="Book Antiqua" w:cs="Arial"/>
          <w:kern w:val="0"/>
          <w:sz w:val="24"/>
        </w:rPr>
        <w:t xml:space="preserve"> the characteristic ME</w:t>
      </w:r>
      <w:r w:rsidR="00BE0D9F" w:rsidRPr="009661D0">
        <w:rPr>
          <w:rFonts w:ascii="Book Antiqua" w:hAnsi="Book Antiqua" w:cs="Arial"/>
          <w:kern w:val="0"/>
          <w:sz w:val="24"/>
        </w:rPr>
        <w:t>-</w:t>
      </w:r>
      <w:r w:rsidRPr="009661D0">
        <w:rPr>
          <w:rFonts w:ascii="Book Antiqua" w:hAnsi="Book Antiqua" w:cs="Arial"/>
          <w:kern w:val="0"/>
          <w:sz w:val="24"/>
        </w:rPr>
        <w:t>NBI findings for gastric carcinoma are well demonstrated</w:t>
      </w:r>
      <w:r w:rsidRPr="009661D0">
        <w:rPr>
          <w:rFonts w:ascii="Book Antiqua" w:hAnsi="Book Antiqua" w:cs="Arial"/>
          <w:noProof/>
          <w:kern w:val="0"/>
          <w:sz w:val="24"/>
          <w:vertAlign w:val="superscript"/>
        </w:rPr>
        <w:t>[9,10,12]</w:t>
      </w:r>
      <w:r w:rsidRPr="009661D0">
        <w:rPr>
          <w:rFonts w:ascii="Book Antiqua" w:hAnsi="Book Antiqua" w:cs="Arial"/>
          <w:kern w:val="0"/>
          <w:sz w:val="24"/>
        </w:rPr>
        <w:t>. However, only a few studies have investigated the usefulness of ME</w:t>
      </w:r>
      <w:r w:rsidR="00BE0D9F" w:rsidRPr="009661D0">
        <w:rPr>
          <w:rFonts w:ascii="Book Antiqua" w:hAnsi="Book Antiqua" w:cs="Arial"/>
          <w:kern w:val="0"/>
          <w:sz w:val="24"/>
        </w:rPr>
        <w:t>-</w:t>
      </w:r>
      <w:r w:rsidRPr="009661D0">
        <w:rPr>
          <w:rFonts w:ascii="Book Antiqua" w:hAnsi="Book Antiqua" w:cs="Arial"/>
          <w:kern w:val="0"/>
          <w:sz w:val="24"/>
        </w:rPr>
        <w:t>NBI for GEDs</w:t>
      </w:r>
      <w:r w:rsidRPr="009661D0">
        <w:rPr>
          <w:rFonts w:ascii="Book Antiqua" w:hAnsi="Book Antiqua" w:cs="Arial"/>
          <w:noProof/>
          <w:kern w:val="0"/>
          <w:sz w:val="24"/>
          <w:vertAlign w:val="superscript"/>
        </w:rPr>
        <w:t>[4,8,21]</w:t>
      </w:r>
      <w:r w:rsidRPr="009661D0">
        <w:rPr>
          <w:rFonts w:ascii="Book Antiqua" w:hAnsi="Book Antiqua" w:cs="Arial"/>
          <w:kern w:val="0"/>
          <w:sz w:val="24"/>
        </w:rPr>
        <w:t>, and to our knowledge, no study has examined the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of GEDs depending on the </w:t>
      </w:r>
      <w:r w:rsidRPr="009661D0">
        <w:rPr>
          <w:rFonts w:ascii="Book Antiqua" w:eastAsia="AdvTimes" w:hAnsi="Book Antiqua" w:cs="Arial"/>
          <w:kern w:val="0"/>
          <w:sz w:val="24"/>
        </w:rPr>
        <w:t xml:space="preserve">morphologic category and pattern of mucin expression. </w:t>
      </w:r>
      <w:r w:rsidRPr="009661D0">
        <w:rPr>
          <w:rFonts w:ascii="Book Antiqua" w:eastAsia="AdvTimes" w:hAnsi="Book Antiqua" w:cs="Arial"/>
          <w:color w:val="000000" w:themeColor="text1"/>
          <w:kern w:val="0"/>
          <w:sz w:val="24"/>
        </w:rPr>
        <w:t>Therefore, the present study aimed to investigate the difference in ME</w:t>
      </w:r>
      <w:r w:rsidR="00BE0D9F" w:rsidRPr="009661D0">
        <w:rPr>
          <w:rFonts w:ascii="Book Antiqua" w:eastAsia="AdvTimes" w:hAnsi="Book Antiqua" w:cs="Arial"/>
          <w:color w:val="000000" w:themeColor="text1"/>
          <w:kern w:val="0"/>
          <w:sz w:val="24"/>
        </w:rPr>
        <w:t>-</w:t>
      </w:r>
      <w:r w:rsidRPr="009661D0">
        <w:rPr>
          <w:rFonts w:ascii="Book Antiqua" w:eastAsia="AdvTimes" w:hAnsi="Book Antiqua" w:cs="Arial"/>
          <w:color w:val="000000" w:themeColor="text1"/>
          <w:kern w:val="0"/>
          <w:sz w:val="24"/>
        </w:rPr>
        <w:t>NBI findings between adenomatous and foveolar GEDs, and to analyze the association between ME</w:t>
      </w:r>
      <w:r w:rsidR="00BE0D9F" w:rsidRPr="009661D0">
        <w:rPr>
          <w:rFonts w:ascii="Book Antiqua" w:eastAsia="AdvTimes" w:hAnsi="Book Antiqua" w:cs="Arial"/>
          <w:color w:val="000000" w:themeColor="text1"/>
          <w:kern w:val="0"/>
          <w:sz w:val="24"/>
        </w:rPr>
        <w:t>-</w:t>
      </w:r>
      <w:r w:rsidRPr="009661D0">
        <w:rPr>
          <w:rFonts w:ascii="Book Antiqua" w:eastAsia="AdvTimes" w:hAnsi="Book Antiqua" w:cs="Arial"/>
          <w:color w:val="000000" w:themeColor="text1"/>
          <w:kern w:val="0"/>
          <w:sz w:val="24"/>
        </w:rPr>
        <w:t>NBI findings and the mucin expression pattern.</w:t>
      </w:r>
    </w:p>
    <w:p w:rsidR="0075590F" w:rsidRPr="009661D0" w:rsidRDefault="0075590F" w:rsidP="00646A85">
      <w:pPr>
        <w:pStyle w:val="hstyle0"/>
        <w:spacing w:line="360" w:lineRule="auto"/>
        <w:rPr>
          <w:rFonts w:ascii="Book Antiqua" w:hAnsi="Book Antiqua" w:cs="Arial"/>
          <w:b/>
          <w:sz w:val="24"/>
          <w:szCs w:val="24"/>
        </w:rPr>
      </w:pPr>
    </w:p>
    <w:p w:rsidR="0075590F" w:rsidRPr="009661D0" w:rsidRDefault="0075590F" w:rsidP="00646A85">
      <w:pPr>
        <w:wordWrap/>
        <w:spacing w:line="360" w:lineRule="auto"/>
        <w:rPr>
          <w:rFonts w:ascii="Book Antiqua" w:hAnsi="Book Antiqua" w:cs="Arial"/>
          <w:b/>
          <w:sz w:val="24"/>
        </w:rPr>
      </w:pPr>
      <w:r w:rsidRPr="009661D0">
        <w:rPr>
          <w:rFonts w:ascii="Book Antiqua" w:hAnsi="Book Antiqua" w:cs="Arial"/>
          <w:b/>
          <w:sz w:val="24"/>
        </w:rPr>
        <w:lastRenderedPageBreak/>
        <w:t>MATERIALS AND METHODS</w:t>
      </w:r>
    </w:p>
    <w:p w:rsidR="0075590F" w:rsidRPr="009661D0" w:rsidRDefault="0075590F" w:rsidP="00646A85">
      <w:pPr>
        <w:pStyle w:val="hstyle0"/>
        <w:spacing w:line="360" w:lineRule="auto"/>
        <w:rPr>
          <w:rFonts w:ascii="Book Antiqua" w:hAnsi="Book Antiqua" w:cs="Arial"/>
          <w:b/>
          <w:i/>
          <w:sz w:val="24"/>
          <w:szCs w:val="24"/>
        </w:rPr>
      </w:pPr>
      <w:r w:rsidRPr="009661D0">
        <w:rPr>
          <w:rFonts w:ascii="Book Antiqua" w:hAnsi="Book Antiqua" w:cs="Arial"/>
          <w:b/>
          <w:i/>
          <w:sz w:val="24"/>
          <w:szCs w:val="24"/>
        </w:rPr>
        <w:t>Study population</w:t>
      </w:r>
    </w:p>
    <w:p w:rsidR="0075590F" w:rsidRPr="009661D0" w:rsidRDefault="0075590F" w:rsidP="00646A85">
      <w:pPr>
        <w:pStyle w:val="hstyle0"/>
        <w:spacing w:line="360" w:lineRule="auto"/>
        <w:rPr>
          <w:rFonts w:ascii="Book Antiqua" w:hAnsi="Book Antiqua" w:cs="Arial"/>
          <w:sz w:val="24"/>
          <w:szCs w:val="24"/>
        </w:rPr>
      </w:pPr>
      <w:r w:rsidRPr="009661D0">
        <w:rPr>
          <w:rFonts w:ascii="Book Antiqua" w:hAnsi="Book Antiqua" w:cs="Arial"/>
          <w:sz w:val="24"/>
          <w:szCs w:val="24"/>
        </w:rPr>
        <w:t xml:space="preserve">A total of 46 GEDs in </w:t>
      </w:r>
      <w:r w:rsidRPr="009661D0">
        <w:rPr>
          <w:rFonts w:ascii="Book Antiqua" w:hAnsi="Book Antiqua" w:cs="Arial"/>
          <w:color w:val="auto"/>
          <w:sz w:val="24"/>
          <w:szCs w:val="24"/>
        </w:rPr>
        <w:t>45 patients (28 men and 17 women;</w:t>
      </w:r>
      <w:r w:rsidRPr="009661D0">
        <w:rPr>
          <w:rFonts w:ascii="Book Antiqua" w:hAnsi="Book Antiqua" w:cs="Arial"/>
          <w:sz w:val="24"/>
          <w:szCs w:val="24"/>
        </w:rPr>
        <w:t xml:space="preserve"> age range, 45</w:t>
      </w:r>
      <w:r w:rsidR="00BE0D9F" w:rsidRPr="009661D0">
        <w:rPr>
          <w:rFonts w:ascii="Book Antiqua" w:eastAsia="宋体" w:hAnsi="Book Antiqua" w:cs="Arial" w:hint="eastAsia"/>
          <w:sz w:val="24"/>
          <w:szCs w:val="24"/>
          <w:lang w:eastAsia="zh-CN"/>
        </w:rPr>
        <w:t>-</w:t>
      </w:r>
      <w:r w:rsidR="00893A71">
        <w:rPr>
          <w:rFonts w:ascii="Book Antiqua" w:hAnsi="Book Antiqua" w:cs="Arial"/>
          <w:sz w:val="24"/>
          <w:szCs w:val="24"/>
        </w:rPr>
        <w:t>82 yr; mean age, 62 yr</w:t>
      </w:r>
      <w:r w:rsidRPr="009661D0">
        <w:rPr>
          <w:rFonts w:ascii="Book Antiqua" w:hAnsi="Book Antiqua" w:cs="Arial"/>
          <w:sz w:val="24"/>
          <w:szCs w:val="24"/>
        </w:rPr>
        <w:t>) who underwent ME</w:t>
      </w:r>
      <w:r w:rsidR="00BE0D9F" w:rsidRPr="009661D0">
        <w:rPr>
          <w:rFonts w:ascii="Book Antiqua" w:hAnsi="Book Antiqua" w:cs="Arial"/>
          <w:sz w:val="24"/>
          <w:szCs w:val="24"/>
        </w:rPr>
        <w:t>-</w:t>
      </w:r>
      <w:r w:rsidRPr="009661D0">
        <w:rPr>
          <w:rFonts w:ascii="Book Antiqua" w:hAnsi="Book Antiqua" w:cs="Arial"/>
          <w:sz w:val="24"/>
          <w:szCs w:val="24"/>
        </w:rPr>
        <w:t>NBI and were diagnosed with GED by endoscopic resection were enrolled between June 2012 and May 2013. All patients underwent upper endoscopy for various indications, including health check</w:t>
      </w:r>
      <w:r w:rsidR="00BE0D9F" w:rsidRPr="009661D0">
        <w:rPr>
          <w:rFonts w:ascii="Book Antiqua" w:hAnsi="Book Antiqua" w:cs="Arial"/>
          <w:sz w:val="24"/>
          <w:szCs w:val="24"/>
        </w:rPr>
        <w:t>-</w:t>
      </w:r>
      <w:r w:rsidRPr="009661D0">
        <w:rPr>
          <w:rFonts w:ascii="Book Antiqua" w:hAnsi="Book Antiqua" w:cs="Arial"/>
          <w:sz w:val="24"/>
          <w:szCs w:val="24"/>
        </w:rPr>
        <w:t>ups and complaints of abdominal discomfort or dyspepsia. The following patients were excluded from the study: patients who had severe systemic diseases or advanced chronic liver diseases; those on histamine</w:t>
      </w:r>
      <w:r w:rsidR="00BE0D9F" w:rsidRPr="009661D0">
        <w:rPr>
          <w:rFonts w:ascii="Book Antiqua" w:hAnsi="Book Antiqua" w:cs="Arial"/>
          <w:sz w:val="24"/>
          <w:szCs w:val="24"/>
        </w:rPr>
        <w:t>-</w:t>
      </w:r>
      <w:r w:rsidRPr="009661D0">
        <w:rPr>
          <w:rFonts w:ascii="Book Antiqua" w:hAnsi="Book Antiqua" w:cs="Arial"/>
          <w:sz w:val="24"/>
          <w:szCs w:val="24"/>
        </w:rPr>
        <w:t>2 receptor antagonists, proton</w:t>
      </w:r>
      <w:r w:rsidR="00BE0D9F" w:rsidRPr="009661D0">
        <w:rPr>
          <w:rFonts w:ascii="Book Antiqua" w:hAnsi="Book Antiqua" w:cs="Arial"/>
          <w:sz w:val="24"/>
          <w:szCs w:val="24"/>
        </w:rPr>
        <w:t>-</w:t>
      </w:r>
      <w:r w:rsidRPr="009661D0">
        <w:rPr>
          <w:rFonts w:ascii="Book Antiqua" w:hAnsi="Book Antiqua" w:cs="Arial"/>
          <w:sz w:val="24"/>
          <w:szCs w:val="24"/>
        </w:rPr>
        <w:t>pump inhibitors, or non</w:t>
      </w:r>
      <w:r w:rsidR="00BE0D9F" w:rsidRPr="009661D0">
        <w:rPr>
          <w:rFonts w:ascii="Book Antiqua" w:hAnsi="Book Antiqua" w:cs="Arial"/>
          <w:sz w:val="24"/>
          <w:szCs w:val="24"/>
        </w:rPr>
        <w:t>-</w:t>
      </w:r>
      <w:r w:rsidRPr="009661D0">
        <w:rPr>
          <w:rFonts w:ascii="Book Antiqua" w:hAnsi="Book Antiqua" w:cs="Arial"/>
          <w:sz w:val="24"/>
          <w:szCs w:val="24"/>
        </w:rPr>
        <w:t>steroidal anti</w:t>
      </w:r>
      <w:r w:rsidR="00BE0D9F" w:rsidRPr="009661D0">
        <w:rPr>
          <w:rFonts w:ascii="Book Antiqua" w:hAnsi="Book Antiqua" w:cs="Arial"/>
          <w:sz w:val="24"/>
          <w:szCs w:val="24"/>
        </w:rPr>
        <w:t>-</w:t>
      </w:r>
      <w:r w:rsidRPr="009661D0">
        <w:rPr>
          <w:rFonts w:ascii="Book Antiqua" w:hAnsi="Book Antiqua" w:cs="Arial"/>
          <w:sz w:val="24"/>
          <w:szCs w:val="24"/>
        </w:rPr>
        <w:t xml:space="preserve">inflammatory drugs; those who had received </w:t>
      </w:r>
      <w:r w:rsidRPr="009661D0">
        <w:rPr>
          <w:rFonts w:ascii="Book Antiqua" w:hAnsi="Book Antiqua" w:cs="Arial"/>
          <w:i/>
          <w:sz w:val="24"/>
          <w:szCs w:val="24"/>
        </w:rPr>
        <w:t xml:space="preserve">Helicobacter pylori </w:t>
      </w:r>
      <w:r w:rsidRPr="009661D0">
        <w:rPr>
          <w:rFonts w:ascii="Book Antiqua" w:hAnsi="Book Antiqua" w:cs="Arial"/>
          <w:sz w:val="24"/>
          <w:szCs w:val="24"/>
        </w:rPr>
        <w:t>(</w:t>
      </w:r>
      <w:r w:rsidRPr="009661D0">
        <w:rPr>
          <w:rFonts w:ascii="Book Antiqua" w:hAnsi="Book Antiqua" w:cs="Arial"/>
          <w:i/>
          <w:sz w:val="24"/>
          <w:szCs w:val="24"/>
        </w:rPr>
        <w:t>H. pylori</w:t>
      </w:r>
      <w:r w:rsidRPr="009661D0">
        <w:rPr>
          <w:rFonts w:ascii="Book Antiqua" w:hAnsi="Book Antiqua" w:cs="Arial"/>
          <w:sz w:val="24"/>
          <w:szCs w:val="24"/>
        </w:rPr>
        <w:t>)</w:t>
      </w:r>
      <w:r w:rsidRPr="009661D0">
        <w:rPr>
          <w:rFonts w:ascii="Book Antiqua" w:hAnsi="Book Antiqua" w:cs="Arial"/>
          <w:i/>
          <w:sz w:val="24"/>
          <w:szCs w:val="24"/>
        </w:rPr>
        <w:t xml:space="preserve"> </w:t>
      </w:r>
      <w:r w:rsidRPr="009661D0">
        <w:rPr>
          <w:rFonts w:ascii="Book Antiqua" w:hAnsi="Book Antiqua" w:cs="Arial"/>
          <w:sz w:val="24"/>
          <w:szCs w:val="24"/>
        </w:rPr>
        <w:t xml:space="preserve">eradication therapy; and those with a history of gastric surgery. The study protocol was reviewed and approved by the Institutional Review Board of the Pusan National University Hospital. </w:t>
      </w:r>
    </w:p>
    <w:p w:rsidR="0075590F" w:rsidRPr="009661D0" w:rsidRDefault="0075590F" w:rsidP="00646A85">
      <w:pPr>
        <w:pStyle w:val="hstyle0"/>
        <w:spacing w:line="360" w:lineRule="auto"/>
        <w:rPr>
          <w:rFonts w:ascii="Book Antiqua" w:hAnsi="Book Antiqua" w:cs="Arial"/>
          <w:sz w:val="24"/>
          <w:szCs w:val="24"/>
        </w:rPr>
      </w:pPr>
    </w:p>
    <w:p w:rsidR="0075590F" w:rsidRPr="009661D0" w:rsidRDefault="0075590F" w:rsidP="00646A85">
      <w:pPr>
        <w:wordWrap/>
        <w:adjustRightInd w:val="0"/>
        <w:spacing w:line="360" w:lineRule="auto"/>
        <w:rPr>
          <w:rFonts w:ascii="Book Antiqua" w:hAnsi="Book Antiqua" w:cs="Arial"/>
          <w:b/>
          <w:i/>
          <w:kern w:val="0"/>
          <w:sz w:val="24"/>
        </w:rPr>
      </w:pPr>
      <w:r w:rsidRPr="009661D0">
        <w:rPr>
          <w:rFonts w:ascii="Book Antiqua" w:hAnsi="Book Antiqua" w:cs="Arial"/>
          <w:b/>
          <w:i/>
          <w:kern w:val="0"/>
          <w:sz w:val="24"/>
        </w:rPr>
        <w:t>Magnifying endoscopy using narrow band imaging</w:t>
      </w:r>
    </w:p>
    <w:p w:rsidR="0075590F" w:rsidRPr="009661D0" w:rsidRDefault="0075590F" w:rsidP="00646A85">
      <w:pPr>
        <w:wordWrap/>
        <w:adjustRightInd w:val="0"/>
        <w:spacing w:line="360" w:lineRule="auto"/>
        <w:rPr>
          <w:rFonts w:ascii="Book Antiqua" w:hAnsi="Book Antiqua" w:cs="Arial"/>
          <w:kern w:val="0"/>
          <w:sz w:val="24"/>
        </w:rPr>
      </w:pPr>
      <w:r w:rsidRPr="009661D0">
        <w:rPr>
          <w:rFonts w:ascii="Book Antiqua" w:hAnsi="Book Antiqua" w:cs="Arial"/>
          <w:kern w:val="0"/>
          <w:sz w:val="24"/>
        </w:rPr>
        <w:t>The EVIS</w:t>
      </w:r>
      <w:r w:rsidR="00BE0D9F" w:rsidRPr="009661D0">
        <w:rPr>
          <w:rFonts w:ascii="Book Antiqua" w:hAnsi="Book Antiqua" w:cs="Arial"/>
          <w:kern w:val="0"/>
          <w:sz w:val="24"/>
        </w:rPr>
        <w:t>-</w:t>
      </w:r>
      <w:r w:rsidRPr="009661D0">
        <w:rPr>
          <w:rFonts w:ascii="Book Antiqua" w:hAnsi="Book Antiqua" w:cs="Arial"/>
          <w:kern w:val="0"/>
          <w:sz w:val="24"/>
        </w:rPr>
        <w:t>LUCERA SPECTRUM system (Olympus Medical Systems Corp., Tokyo, Japan), comprising a light source (CLV</w:t>
      </w:r>
      <w:r w:rsidR="00BE0D9F" w:rsidRPr="009661D0">
        <w:rPr>
          <w:rFonts w:ascii="Book Antiqua" w:hAnsi="Book Antiqua" w:cs="Arial"/>
          <w:kern w:val="0"/>
          <w:sz w:val="24"/>
        </w:rPr>
        <w:t>-</w:t>
      </w:r>
      <w:r w:rsidRPr="009661D0">
        <w:rPr>
          <w:rFonts w:ascii="Book Antiqua" w:hAnsi="Book Antiqua" w:cs="Arial"/>
          <w:kern w:val="0"/>
          <w:sz w:val="24"/>
        </w:rPr>
        <w:t>260SL), a processor (CV</w:t>
      </w:r>
      <w:r w:rsidR="00BE0D9F" w:rsidRPr="009661D0">
        <w:rPr>
          <w:rFonts w:ascii="Book Antiqua" w:hAnsi="Book Antiqua" w:cs="Arial"/>
          <w:kern w:val="0"/>
          <w:sz w:val="24"/>
        </w:rPr>
        <w:t>-</w:t>
      </w:r>
      <w:r w:rsidRPr="009661D0">
        <w:rPr>
          <w:rFonts w:ascii="Book Antiqua" w:hAnsi="Book Antiqua" w:cs="Arial"/>
          <w:kern w:val="0"/>
          <w:sz w:val="24"/>
        </w:rPr>
        <w:t>260SL), and a magnifying video endoscope (GIF</w:t>
      </w:r>
      <w:r w:rsidR="00BE0D9F" w:rsidRPr="009661D0">
        <w:rPr>
          <w:rFonts w:ascii="Book Antiqua" w:hAnsi="Book Antiqua" w:cs="Arial"/>
          <w:kern w:val="0"/>
          <w:sz w:val="24"/>
        </w:rPr>
        <w:t>-</w:t>
      </w:r>
      <w:r w:rsidRPr="009661D0">
        <w:rPr>
          <w:rFonts w:ascii="Book Antiqua" w:hAnsi="Book Antiqua" w:cs="Arial"/>
          <w:kern w:val="0"/>
          <w:sz w:val="24"/>
        </w:rPr>
        <w:t>H260Z), was used as the video endoscopy system. This system was equipped with both white light and NBI modes, which could be toggles within one minute, using a button on the control head of the video endoscope. The system can reach zoom magnifications of 80</w:t>
      </w:r>
      <w:r w:rsidR="009419A8" w:rsidRPr="009661D0">
        <w:rPr>
          <w:rFonts w:ascii="Book Antiqua" w:eastAsia="宋体" w:hAnsi="Book Antiqua" w:cs="Arial" w:hint="eastAsia"/>
          <w:kern w:val="0"/>
          <w:sz w:val="24"/>
          <w:lang w:eastAsia="zh-CN"/>
        </w:rPr>
        <w:t xml:space="preserve"> </w:t>
      </w:r>
      <w:r w:rsidRPr="009661D0">
        <w:rPr>
          <w:rFonts w:ascii="Book Antiqua" w:hAnsi="Book Antiqua" w:cs="Arial"/>
          <w:kern w:val="0"/>
          <w:sz w:val="24"/>
        </w:rPr>
        <w:t>×. To obtain a clear view with ME</w:t>
      </w:r>
      <w:r w:rsidR="00BE0D9F" w:rsidRPr="009661D0">
        <w:rPr>
          <w:rFonts w:ascii="Book Antiqua" w:hAnsi="Book Antiqua" w:cs="Arial"/>
          <w:kern w:val="0"/>
          <w:sz w:val="24"/>
        </w:rPr>
        <w:t>-</w:t>
      </w:r>
      <w:r w:rsidRPr="009661D0">
        <w:rPr>
          <w:rFonts w:ascii="Book Antiqua" w:hAnsi="Book Antiqua" w:cs="Arial"/>
          <w:kern w:val="0"/>
          <w:sz w:val="24"/>
        </w:rPr>
        <w:t>NBI, a soft black hood (MB</w:t>
      </w:r>
      <w:r w:rsidR="00BE0D9F" w:rsidRPr="009661D0">
        <w:rPr>
          <w:rFonts w:ascii="Book Antiqua" w:hAnsi="Book Antiqua" w:cs="Arial"/>
          <w:kern w:val="0"/>
          <w:sz w:val="24"/>
        </w:rPr>
        <w:t>-</w:t>
      </w:r>
      <w:r w:rsidRPr="009661D0">
        <w:rPr>
          <w:rFonts w:ascii="Book Antiqua" w:hAnsi="Book Antiqua" w:cs="Arial"/>
          <w:kern w:val="0"/>
          <w:sz w:val="24"/>
        </w:rPr>
        <w:t>46; Olympus Medical Systems) was fitted on the distal tip of the endoscope in order to maintain the focal distance.</w:t>
      </w:r>
    </w:p>
    <w:p w:rsidR="0075590F" w:rsidRPr="009661D0" w:rsidRDefault="0075590F" w:rsidP="00BE0D9F">
      <w:pPr>
        <w:wordWrap/>
        <w:adjustRightInd w:val="0"/>
        <w:spacing w:line="360" w:lineRule="auto"/>
        <w:ind w:firstLineChars="200" w:firstLine="480"/>
        <w:rPr>
          <w:rFonts w:ascii="Book Antiqua" w:hAnsi="Book Antiqua"/>
          <w:sz w:val="24"/>
        </w:rPr>
      </w:pPr>
      <w:r w:rsidRPr="009661D0">
        <w:rPr>
          <w:rFonts w:ascii="Book Antiqua" w:hAnsi="Book Antiqua" w:cs="Arial"/>
          <w:sz w:val="24"/>
        </w:rPr>
        <w:t>ME</w:t>
      </w:r>
      <w:r w:rsidR="00BE0D9F" w:rsidRPr="009661D0">
        <w:rPr>
          <w:rFonts w:ascii="Book Antiqua" w:hAnsi="Book Antiqua" w:cs="Arial"/>
          <w:sz w:val="24"/>
        </w:rPr>
        <w:t>-</w:t>
      </w:r>
      <w:r w:rsidRPr="009661D0">
        <w:rPr>
          <w:rFonts w:ascii="Book Antiqua" w:hAnsi="Book Antiqua" w:cs="Arial"/>
          <w:sz w:val="24"/>
        </w:rPr>
        <w:t xml:space="preserve">NBI was performed </w:t>
      </w:r>
      <w:r w:rsidRPr="009661D0">
        <w:rPr>
          <w:rFonts w:ascii="Book Antiqua" w:hAnsi="Book Antiqua" w:cs="Arial"/>
          <w:bCs/>
          <w:sz w:val="24"/>
        </w:rPr>
        <w:t xml:space="preserve">by a single experienced </w:t>
      </w:r>
      <w:r w:rsidRPr="009661D0">
        <w:rPr>
          <w:rFonts w:ascii="Book Antiqua" w:hAnsi="Book Antiqua" w:cs="Arial"/>
          <w:sz w:val="24"/>
        </w:rPr>
        <w:t>endoscopist</w:t>
      </w:r>
      <w:r w:rsidRPr="009661D0">
        <w:rPr>
          <w:rFonts w:ascii="Book Antiqua" w:hAnsi="Book Antiqua" w:cs="Arial"/>
          <w:bCs/>
          <w:sz w:val="24"/>
        </w:rPr>
        <w:t xml:space="preserve"> (Kim</w:t>
      </w:r>
      <w:r w:rsidR="00BE0D9F" w:rsidRPr="009661D0">
        <w:rPr>
          <w:rFonts w:ascii="Book Antiqua" w:hAnsi="Book Antiqua" w:cs="Arial"/>
          <w:bCs/>
          <w:sz w:val="24"/>
        </w:rPr>
        <w:t xml:space="preserve"> GH</w:t>
      </w:r>
      <w:r w:rsidRPr="009661D0">
        <w:rPr>
          <w:rFonts w:ascii="Book Antiqua" w:hAnsi="Book Antiqua" w:cs="Arial"/>
          <w:bCs/>
          <w:sz w:val="24"/>
        </w:rPr>
        <w:t>) who had previously performed over</w:t>
      </w:r>
      <w:r w:rsidR="00631AF2">
        <w:rPr>
          <w:rFonts w:ascii="Book Antiqua" w:eastAsia="宋体" w:hAnsi="Book Antiqua" w:cs="Arial" w:hint="eastAsia"/>
          <w:bCs/>
          <w:sz w:val="24"/>
          <w:lang w:eastAsia="zh-CN"/>
        </w:rPr>
        <w:t xml:space="preserve"> </w:t>
      </w:r>
      <w:r w:rsidRPr="009661D0">
        <w:rPr>
          <w:rFonts w:ascii="Book Antiqua" w:hAnsi="Book Antiqua" w:cs="Arial"/>
          <w:bCs/>
          <w:sz w:val="24"/>
        </w:rPr>
        <w:t>100 ME</w:t>
      </w:r>
      <w:r w:rsidR="00BE0D9F" w:rsidRPr="009661D0">
        <w:rPr>
          <w:rFonts w:ascii="Book Antiqua" w:hAnsi="Book Antiqua" w:cs="Arial"/>
          <w:bCs/>
          <w:sz w:val="24"/>
        </w:rPr>
        <w:t>-</w:t>
      </w:r>
      <w:r w:rsidRPr="009661D0">
        <w:rPr>
          <w:rFonts w:ascii="Book Antiqua" w:hAnsi="Book Antiqua" w:cs="Arial"/>
          <w:bCs/>
          <w:sz w:val="24"/>
        </w:rPr>
        <w:t xml:space="preserve">NBI examinations. All with </w:t>
      </w:r>
      <w:r w:rsidRPr="009661D0">
        <w:rPr>
          <w:rFonts w:ascii="Book Antiqua" w:hAnsi="Book Antiqua" w:cs="Arial"/>
          <w:kern w:val="0"/>
          <w:sz w:val="24"/>
        </w:rPr>
        <w:t>conventional endoscopy, all</w:t>
      </w:r>
      <w:r w:rsidRPr="009661D0">
        <w:rPr>
          <w:rFonts w:ascii="Book Antiqua" w:hAnsi="Book Antiqua" w:cs="Arial"/>
          <w:bCs/>
          <w:sz w:val="24"/>
        </w:rPr>
        <w:t xml:space="preserve"> examinations were performed under conscious sedation with 2</w:t>
      </w:r>
      <w:r w:rsidR="00BE0D9F" w:rsidRPr="009661D0">
        <w:rPr>
          <w:rFonts w:ascii="Book Antiqua" w:eastAsia="宋体" w:hAnsi="Book Antiqua" w:cs="Arial" w:hint="eastAsia"/>
          <w:bCs/>
          <w:sz w:val="24"/>
          <w:lang w:eastAsia="zh-CN"/>
        </w:rPr>
        <w:t>-</w:t>
      </w:r>
      <w:r w:rsidRPr="009661D0">
        <w:rPr>
          <w:rFonts w:ascii="Book Antiqua" w:hAnsi="Book Antiqua" w:cs="Arial"/>
          <w:bCs/>
          <w:sz w:val="24"/>
        </w:rPr>
        <w:t>5 mg of midazolam</w:t>
      </w:r>
      <w:r w:rsidRPr="009661D0">
        <w:rPr>
          <w:rFonts w:ascii="Book Antiqua" w:hAnsi="Book Antiqua" w:cs="Arial"/>
          <w:kern w:val="0"/>
          <w:sz w:val="24"/>
        </w:rPr>
        <w:t>. After routine observation, ME</w:t>
      </w:r>
      <w:r w:rsidR="00BE0D9F" w:rsidRPr="009661D0">
        <w:rPr>
          <w:rFonts w:ascii="Book Antiqua" w:hAnsi="Book Antiqua" w:cs="Arial"/>
          <w:kern w:val="0"/>
          <w:sz w:val="24"/>
        </w:rPr>
        <w:t>-</w:t>
      </w:r>
      <w:r w:rsidRPr="009661D0">
        <w:rPr>
          <w:rFonts w:ascii="Book Antiqua" w:hAnsi="Book Antiqua" w:cs="Arial"/>
          <w:kern w:val="0"/>
          <w:sz w:val="24"/>
        </w:rPr>
        <w:t>NBI examinations of GED areas were performed to evaluate the microvascular (MV) pattern, microsurface (MS) pattern, and the presence or absence of light blue crest (LBC) and white opaque substance (WOS) (Fig</w:t>
      </w:r>
      <w:r w:rsidR="00BE0D9F" w:rsidRPr="009661D0">
        <w:rPr>
          <w:rFonts w:ascii="Book Antiqua" w:eastAsia="宋体" w:hAnsi="Book Antiqua" w:cs="Arial" w:hint="eastAsia"/>
          <w:kern w:val="0"/>
          <w:sz w:val="24"/>
          <w:lang w:eastAsia="zh-CN"/>
        </w:rPr>
        <w:t xml:space="preserve">ures </w:t>
      </w:r>
      <w:r w:rsidRPr="009661D0">
        <w:rPr>
          <w:rFonts w:ascii="Book Antiqua" w:hAnsi="Book Antiqua" w:cs="Arial"/>
          <w:kern w:val="0"/>
          <w:sz w:val="24"/>
        </w:rPr>
        <w:t xml:space="preserve">1, 2). MV patterns were categorized as regular or irregular, while MS </w:t>
      </w:r>
      <w:r w:rsidRPr="009661D0">
        <w:rPr>
          <w:rFonts w:ascii="Book Antiqua" w:hAnsi="Book Antiqua" w:cs="Arial"/>
          <w:kern w:val="0"/>
          <w:sz w:val="24"/>
        </w:rPr>
        <w:lastRenderedPageBreak/>
        <w:t xml:space="preserve">patterns were classified as (1) round pit, (2) tubular, (3) mixed (both round pit and tubular), (4) papillary, or (5) absent. </w:t>
      </w:r>
      <w:r w:rsidRPr="009661D0">
        <w:rPr>
          <w:rFonts w:ascii="Book Antiqua" w:hAnsi="Book Antiqua" w:cs="Arial"/>
          <w:sz w:val="24"/>
          <w:lang w:val="en-GB"/>
        </w:rPr>
        <w:t>LBC was defined as a fine, blue</w:t>
      </w:r>
      <w:r w:rsidR="00BE0D9F" w:rsidRPr="009661D0">
        <w:rPr>
          <w:rFonts w:ascii="Book Antiqua" w:hAnsi="Book Antiqua" w:cs="Arial"/>
          <w:sz w:val="24"/>
          <w:lang w:val="en-GB"/>
        </w:rPr>
        <w:t>-</w:t>
      </w:r>
      <w:r w:rsidRPr="009661D0">
        <w:rPr>
          <w:rFonts w:ascii="Book Antiqua" w:hAnsi="Book Antiqua" w:cs="Arial"/>
          <w:sz w:val="24"/>
          <w:lang w:val="en-GB"/>
        </w:rPr>
        <w:t>white line on the crest of the epithelial surface/gyri</w:t>
      </w:r>
      <w:r w:rsidRPr="009661D0">
        <w:rPr>
          <w:rFonts w:ascii="Book Antiqua" w:hAnsi="Book Antiqua" w:cs="Arial"/>
          <w:noProof/>
          <w:sz w:val="24"/>
          <w:vertAlign w:val="superscript"/>
          <w:lang w:val="en-GB"/>
        </w:rPr>
        <w:t>[19,20]</w:t>
      </w:r>
      <w:r w:rsidRPr="009661D0">
        <w:rPr>
          <w:rFonts w:ascii="Book Antiqua" w:hAnsi="Book Antiqua" w:cs="Arial"/>
          <w:sz w:val="24"/>
          <w:lang w:val="en-GB"/>
        </w:rPr>
        <w:t>. and WOS was defined as a whitish substance that obscured the MV pattern within a neoplastic lesion</w:t>
      </w:r>
      <w:r w:rsidRPr="009661D0">
        <w:rPr>
          <w:rFonts w:ascii="Book Antiqua" w:hAnsi="Book Antiqua" w:cs="Arial"/>
          <w:noProof/>
          <w:sz w:val="24"/>
          <w:vertAlign w:val="superscript"/>
          <w:lang w:val="en-GB"/>
        </w:rPr>
        <w:t>[22,</w:t>
      </w:r>
      <w:r w:rsidR="00834D74" w:rsidRPr="009661D0">
        <w:rPr>
          <w:rFonts w:ascii="Book Antiqua" w:hAnsi="Book Antiqua" w:cs="Arial"/>
          <w:noProof/>
          <w:sz w:val="24"/>
          <w:vertAlign w:val="superscript"/>
          <w:lang w:val="en-GB"/>
        </w:rPr>
        <w:t>2</w:t>
      </w:r>
      <w:r w:rsidRPr="009661D0">
        <w:rPr>
          <w:rFonts w:ascii="Book Antiqua" w:hAnsi="Book Antiqua" w:cs="Arial"/>
          <w:noProof/>
          <w:sz w:val="24"/>
          <w:vertAlign w:val="superscript"/>
          <w:lang w:val="en-GB"/>
        </w:rPr>
        <w:t>3]</w:t>
      </w:r>
      <w:r w:rsidRPr="009661D0">
        <w:rPr>
          <w:rFonts w:ascii="Book Antiqua" w:hAnsi="Book Antiqua" w:cs="Arial"/>
          <w:sz w:val="24"/>
          <w:lang w:val="en-GB"/>
        </w:rPr>
        <w:t xml:space="preserve">. </w:t>
      </w:r>
      <w:r w:rsidRPr="009661D0">
        <w:rPr>
          <w:rFonts w:ascii="Book Antiqua" w:hAnsi="Book Antiqua" w:cs="Arial"/>
          <w:kern w:val="0"/>
          <w:sz w:val="24"/>
        </w:rPr>
        <w:t xml:space="preserve">LBC or WOS was considered positive when these features were present in </w:t>
      </w:r>
      <w:r w:rsidRPr="009661D0">
        <w:rPr>
          <w:rFonts w:ascii="Book Antiqua" w:eastAsia="AdvTimes" w:hAnsi="Book Antiqua" w:cs="Arial"/>
          <w:kern w:val="0"/>
          <w:sz w:val="24"/>
        </w:rPr>
        <w:t>≥</w:t>
      </w:r>
      <w:r w:rsidR="00BE0D9F" w:rsidRPr="009661D0">
        <w:rPr>
          <w:rFonts w:ascii="Book Antiqua" w:eastAsia="宋体" w:hAnsi="Book Antiqua" w:cs="Arial" w:hint="eastAsia"/>
          <w:kern w:val="0"/>
          <w:sz w:val="24"/>
          <w:lang w:eastAsia="zh-CN"/>
        </w:rPr>
        <w:t xml:space="preserve"> </w:t>
      </w:r>
      <w:r w:rsidRPr="009661D0">
        <w:rPr>
          <w:rFonts w:ascii="Book Antiqua" w:eastAsia="AdvTimes" w:hAnsi="Book Antiqua" w:cs="Arial"/>
          <w:kern w:val="0"/>
          <w:sz w:val="24"/>
        </w:rPr>
        <w:t>10% of the dysplastic area.</w:t>
      </w:r>
    </w:p>
    <w:p w:rsidR="00F945A1" w:rsidRPr="009661D0" w:rsidRDefault="00F945A1" w:rsidP="00646A85">
      <w:pPr>
        <w:wordWrap/>
        <w:adjustRightInd w:val="0"/>
        <w:spacing w:line="360" w:lineRule="auto"/>
        <w:rPr>
          <w:rFonts w:ascii="Book Antiqua" w:hAnsi="Book Antiqua" w:cs="Arial"/>
          <w:sz w:val="24"/>
          <w:lang w:val="en-GB"/>
        </w:rPr>
      </w:pPr>
      <w:r w:rsidRPr="009661D0">
        <w:rPr>
          <w:rFonts w:ascii="Book Antiqua" w:hAnsi="Book Antiqua" w:cs="Arial"/>
          <w:sz w:val="24"/>
          <w:lang w:val="en-GB"/>
        </w:rPr>
        <w:t xml:space="preserve"> </w:t>
      </w:r>
    </w:p>
    <w:p w:rsidR="00F945A1" w:rsidRPr="009661D0" w:rsidRDefault="00F945A1" w:rsidP="00646A85">
      <w:pPr>
        <w:wordWrap/>
        <w:adjustRightInd w:val="0"/>
        <w:spacing w:line="360" w:lineRule="auto"/>
        <w:rPr>
          <w:rFonts w:ascii="Book Antiqua" w:hAnsi="Book Antiqua" w:cs="Arial"/>
          <w:b/>
          <w:i/>
          <w:sz w:val="24"/>
          <w:lang w:val="en-GB"/>
        </w:rPr>
      </w:pPr>
      <w:r w:rsidRPr="009661D0">
        <w:rPr>
          <w:rFonts w:ascii="Book Antiqua" w:eastAsiaTheme="majorHAnsi" w:hAnsi="Book Antiqua" w:cs="Arial"/>
          <w:b/>
          <w:i/>
          <w:sz w:val="24"/>
        </w:rPr>
        <w:t>Endoscopic resection</w:t>
      </w:r>
    </w:p>
    <w:p w:rsidR="00BF6FCE" w:rsidRPr="009661D0" w:rsidRDefault="00F945A1" w:rsidP="00646A85">
      <w:pPr>
        <w:wordWrap/>
        <w:spacing w:line="360" w:lineRule="auto"/>
        <w:rPr>
          <w:rFonts w:ascii="Book Antiqua" w:hAnsi="Book Antiqua" w:cs="Arial"/>
          <w:sz w:val="24"/>
        </w:rPr>
      </w:pPr>
      <w:r w:rsidRPr="009661D0">
        <w:rPr>
          <w:rFonts w:ascii="Book Antiqua" w:hAnsi="Book Antiqua" w:cs="Arial"/>
          <w:sz w:val="24"/>
        </w:rPr>
        <w:t xml:space="preserve">Endoscopic resection was performed by 2 experienced endoscopists (Kim </w:t>
      </w:r>
      <w:r w:rsidR="00BE0D9F" w:rsidRPr="009661D0">
        <w:rPr>
          <w:rFonts w:ascii="Book Antiqua" w:hAnsi="Book Antiqua" w:cs="Arial"/>
          <w:sz w:val="24"/>
        </w:rPr>
        <w:t xml:space="preserve">GH </w:t>
      </w:r>
      <w:r w:rsidRPr="009661D0">
        <w:rPr>
          <w:rFonts w:ascii="Book Antiqua" w:hAnsi="Book Antiqua" w:cs="Arial"/>
          <w:sz w:val="24"/>
        </w:rPr>
        <w:t>and Song</w:t>
      </w:r>
      <w:r w:rsidR="00BE0D9F" w:rsidRPr="009661D0">
        <w:rPr>
          <w:rFonts w:ascii="Book Antiqua" w:hAnsi="Book Antiqua" w:cs="Arial"/>
          <w:sz w:val="24"/>
        </w:rPr>
        <w:t xml:space="preserve"> GA</w:t>
      </w:r>
      <w:r w:rsidRPr="009661D0">
        <w:rPr>
          <w:rFonts w:ascii="Book Antiqua" w:eastAsiaTheme="majorHAnsi" w:hAnsi="Book Antiqua" w:cs="Arial"/>
          <w:sz w:val="24"/>
        </w:rPr>
        <w:t>), using a single</w:t>
      </w:r>
      <w:r w:rsidR="00BE0D9F" w:rsidRPr="009661D0">
        <w:rPr>
          <w:rFonts w:ascii="Book Antiqua" w:eastAsiaTheme="majorHAnsi" w:hAnsi="Book Antiqua" w:cs="Arial"/>
          <w:sz w:val="24"/>
        </w:rPr>
        <w:t>-</w:t>
      </w:r>
      <w:r w:rsidRPr="009661D0">
        <w:rPr>
          <w:rFonts w:ascii="Book Antiqua" w:eastAsiaTheme="majorHAnsi" w:hAnsi="Book Antiqua" w:cs="Arial"/>
          <w:sz w:val="24"/>
        </w:rPr>
        <w:t>channel endoscope (GIF</w:t>
      </w:r>
      <w:r w:rsidR="00BE0D9F" w:rsidRPr="009661D0">
        <w:rPr>
          <w:rFonts w:ascii="Book Antiqua" w:eastAsiaTheme="majorHAnsi" w:hAnsi="Book Antiqua" w:cs="Arial"/>
          <w:sz w:val="24"/>
        </w:rPr>
        <w:t>-</w:t>
      </w:r>
      <w:r w:rsidRPr="009661D0">
        <w:rPr>
          <w:rFonts w:ascii="Book Antiqua" w:eastAsiaTheme="majorHAnsi" w:hAnsi="Book Antiqua" w:cs="Arial"/>
          <w:sz w:val="24"/>
        </w:rPr>
        <w:t>H260 or GIF</w:t>
      </w:r>
      <w:r w:rsidR="00BE0D9F" w:rsidRPr="009661D0">
        <w:rPr>
          <w:rFonts w:ascii="Book Antiqua" w:eastAsiaTheme="majorHAnsi" w:hAnsi="Book Antiqua" w:cs="Arial"/>
          <w:sz w:val="24"/>
        </w:rPr>
        <w:t>-</w:t>
      </w:r>
      <w:r w:rsidRPr="009661D0">
        <w:rPr>
          <w:rFonts w:ascii="Book Antiqua" w:eastAsiaTheme="majorHAnsi" w:hAnsi="Book Antiqua" w:cs="Arial"/>
          <w:sz w:val="24"/>
        </w:rPr>
        <w:t>Q260; Olympus Co., Ltd., Tokyo, Japan). Endoscopic resection was performed under conscious sedation, with cardio</w:t>
      </w:r>
      <w:r w:rsidR="00BE0D9F" w:rsidRPr="009661D0">
        <w:rPr>
          <w:rFonts w:ascii="Book Antiqua" w:eastAsiaTheme="majorHAnsi" w:hAnsi="Book Antiqua" w:cs="Arial"/>
          <w:sz w:val="24"/>
        </w:rPr>
        <w:t>-</w:t>
      </w:r>
      <w:r w:rsidRPr="009661D0">
        <w:rPr>
          <w:rFonts w:ascii="Book Antiqua" w:eastAsiaTheme="majorHAnsi" w:hAnsi="Book Antiqua" w:cs="Arial"/>
          <w:sz w:val="24"/>
        </w:rPr>
        <w:t>respiratory monitoring. For sedation, 5</w:t>
      </w:r>
      <w:r w:rsidR="00BE0D9F" w:rsidRPr="009661D0">
        <w:rPr>
          <w:rFonts w:ascii="Book Antiqua" w:eastAsia="宋体" w:hAnsi="Book Antiqua" w:cs="Arial" w:hint="eastAsia"/>
          <w:sz w:val="24"/>
          <w:lang w:eastAsia="zh-CN"/>
        </w:rPr>
        <w:t>-</w:t>
      </w:r>
      <w:r w:rsidRPr="009661D0">
        <w:rPr>
          <w:rFonts w:ascii="Book Antiqua" w:eastAsiaTheme="majorHAnsi" w:hAnsi="Book Antiqua" w:cs="Arial"/>
          <w:sz w:val="24"/>
        </w:rPr>
        <w:t xml:space="preserve">10 mg of midazolam and 25 mg of meperidine were administered intravenously; propofol was administered as needed during the procedure. </w:t>
      </w:r>
      <w:r w:rsidRPr="009661D0">
        <w:rPr>
          <w:rFonts w:ascii="Book Antiqua" w:hAnsi="Book Antiqua" w:cs="Arial"/>
          <w:sz w:val="24"/>
        </w:rPr>
        <w:t xml:space="preserve">Two methods were used: endoscopic mucosal resection (EMR) and endoscopic submucosal dissection (ESD). In EMR, </w:t>
      </w:r>
      <w:r w:rsidR="00BF6FCE" w:rsidRPr="009661D0">
        <w:rPr>
          <w:rFonts w:ascii="Book Antiqua" w:hAnsi="Book Antiqua" w:cs="Arial"/>
          <w:sz w:val="24"/>
        </w:rPr>
        <w:t>the saline solution (0.9% saline with small amount of epinephrine and indigo carmine)</w:t>
      </w:r>
      <w:r w:rsidR="00BF6FCE" w:rsidRPr="009661D0">
        <w:rPr>
          <w:rFonts w:ascii="Book Antiqua" w:hAnsi="Book Antiqua"/>
          <w:sz w:val="24"/>
        </w:rPr>
        <w:t xml:space="preserve"> </w:t>
      </w:r>
      <w:r w:rsidRPr="009661D0">
        <w:rPr>
          <w:rFonts w:ascii="Book Antiqua" w:hAnsi="Book Antiqua" w:cs="Arial"/>
          <w:sz w:val="24"/>
        </w:rPr>
        <w:t>was injected into the submucosal layer to separate the superficial layers from the muscularis propria, thereby reducing the risk of perforation. The lesion was then resected using a snare</w:t>
      </w:r>
      <w:r w:rsidRPr="00C45A94">
        <w:rPr>
          <w:rFonts w:ascii="Book Antiqua" w:hAnsi="Book Antiqua" w:cs="Arial"/>
          <w:sz w:val="24"/>
        </w:rPr>
        <w:t>.</w:t>
      </w:r>
      <w:r w:rsidRPr="009661D0">
        <w:rPr>
          <w:rFonts w:ascii="Book Antiqua" w:hAnsi="Book Antiqua" w:cs="Arial"/>
          <w:sz w:val="24"/>
        </w:rPr>
        <w:t xml:space="preserve"> In ESD, </w:t>
      </w:r>
      <w:r w:rsidR="00BF6FCE" w:rsidRPr="009661D0">
        <w:rPr>
          <w:rFonts w:ascii="Book Antiqua" w:hAnsi="Book Antiqua" w:cs="Arial"/>
          <w:sz w:val="24"/>
        </w:rPr>
        <w:t>marking outside the lesion, identified by conventional endoscopy or chromoendoscopy with indigo carmine solution, was made with argon plasma coagulation. After marking, the saline solution was injected submucosally around the lesion to lift it off the muscular layer. And then, a circumferential mucosal incision was performed outside the marking dots using the IT knife (Olympus Optical Co., Ltd., Tokyo, Japan) and/or Flex knife (Olympus Optical Co., Ltd.). Next, submucosal dissection was carried out with the above mentioned knives for complete removal of the lesion. If necessary during the procedure, a submucosal injection was repeated and endoscopic hemostasis was achieved. A high</w:t>
      </w:r>
      <w:r w:rsidR="00BE0D9F" w:rsidRPr="009661D0">
        <w:rPr>
          <w:rFonts w:ascii="Book Antiqua" w:hAnsi="Book Antiqua" w:cs="Arial"/>
          <w:sz w:val="24"/>
        </w:rPr>
        <w:t>-</w:t>
      </w:r>
      <w:r w:rsidR="00BF6FCE" w:rsidRPr="009661D0">
        <w:rPr>
          <w:rFonts w:ascii="Book Antiqua" w:hAnsi="Book Antiqua" w:cs="Arial"/>
          <w:sz w:val="24"/>
        </w:rPr>
        <w:t xml:space="preserve">frequency electrosurgical current generator (Erbotom VIO 300D; ERBE, Tübingen, Germany) was used during marking, mucosal incision, submucosal dissection and hemostasis. </w:t>
      </w:r>
    </w:p>
    <w:p w:rsidR="00F945A1" w:rsidRPr="009661D0" w:rsidRDefault="00F945A1" w:rsidP="00646A85">
      <w:pPr>
        <w:wordWrap/>
        <w:spacing w:line="360" w:lineRule="auto"/>
        <w:rPr>
          <w:rFonts w:ascii="Book Antiqua" w:hAnsi="Book Antiqua" w:cs="Arial"/>
          <w:color w:val="000000" w:themeColor="text1"/>
          <w:sz w:val="24"/>
        </w:rPr>
      </w:pPr>
    </w:p>
    <w:p w:rsidR="0075590F" w:rsidRPr="009661D0" w:rsidRDefault="0075590F" w:rsidP="00646A85">
      <w:pPr>
        <w:wordWrap/>
        <w:adjustRightInd w:val="0"/>
        <w:spacing w:line="360" w:lineRule="auto"/>
        <w:rPr>
          <w:rFonts w:ascii="Book Antiqua" w:hAnsi="Book Antiqua" w:cs="Arial"/>
          <w:b/>
          <w:i/>
          <w:kern w:val="0"/>
          <w:sz w:val="24"/>
        </w:rPr>
      </w:pPr>
      <w:r w:rsidRPr="009661D0">
        <w:rPr>
          <w:rFonts w:ascii="Book Antiqua" w:hAnsi="Book Antiqua" w:cs="Arial"/>
          <w:b/>
          <w:i/>
          <w:kern w:val="0"/>
          <w:sz w:val="24"/>
        </w:rPr>
        <w:t>Histological assessment</w:t>
      </w: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hAnsi="Book Antiqua"/>
          <w:kern w:val="0"/>
          <w:sz w:val="24"/>
        </w:rPr>
        <w:t>Endoscopic resection was performed within 2 w</w:t>
      </w:r>
      <w:r w:rsidR="0092278D" w:rsidRPr="009661D0">
        <w:rPr>
          <w:rFonts w:ascii="Book Antiqua" w:hAnsi="Book Antiqua"/>
          <w:kern w:val="0"/>
          <w:sz w:val="24"/>
        </w:rPr>
        <w:t>k</w:t>
      </w:r>
      <w:r w:rsidRPr="009661D0">
        <w:rPr>
          <w:rFonts w:ascii="Book Antiqua" w:hAnsi="Book Antiqua"/>
          <w:kern w:val="0"/>
          <w:sz w:val="24"/>
        </w:rPr>
        <w:t xml:space="preserve"> after ME</w:t>
      </w:r>
      <w:r w:rsidR="00BE0D9F" w:rsidRPr="009661D0">
        <w:rPr>
          <w:rFonts w:ascii="Book Antiqua" w:hAnsi="Book Antiqua"/>
          <w:kern w:val="0"/>
          <w:sz w:val="24"/>
        </w:rPr>
        <w:t>-</w:t>
      </w:r>
      <w:r w:rsidRPr="009661D0">
        <w:rPr>
          <w:rFonts w:ascii="Book Antiqua" w:hAnsi="Book Antiqua"/>
          <w:kern w:val="0"/>
          <w:sz w:val="24"/>
        </w:rPr>
        <w:t xml:space="preserve">NBI. The resected </w:t>
      </w:r>
      <w:r w:rsidRPr="009661D0">
        <w:rPr>
          <w:rFonts w:ascii="Book Antiqua" w:hAnsi="Book Antiqua" w:cs="Arial"/>
          <w:kern w:val="0"/>
          <w:sz w:val="24"/>
        </w:rPr>
        <w:t xml:space="preserve">specimens were fixed </w:t>
      </w:r>
      <w:r w:rsidRPr="009661D0">
        <w:rPr>
          <w:rFonts w:ascii="Book Antiqua" w:hAnsi="Book Antiqua"/>
          <w:kern w:val="0"/>
          <w:sz w:val="24"/>
        </w:rPr>
        <w:t xml:space="preserve">in 10% buffered formalin. </w:t>
      </w:r>
      <w:r w:rsidRPr="009661D0">
        <w:rPr>
          <w:rFonts w:ascii="Book Antiqua" w:hAnsi="Book Antiqua"/>
          <w:color w:val="000000"/>
          <w:sz w:val="24"/>
        </w:rPr>
        <w:t>GEDs with adjacent non</w:t>
      </w:r>
      <w:r w:rsidR="00BE0D9F" w:rsidRPr="009661D0">
        <w:rPr>
          <w:rFonts w:ascii="Book Antiqua" w:hAnsi="Book Antiqua"/>
          <w:color w:val="000000"/>
          <w:sz w:val="24"/>
        </w:rPr>
        <w:t>-</w:t>
      </w:r>
      <w:r w:rsidRPr="009661D0">
        <w:rPr>
          <w:rFonts w:ascii="Book Antiqua" w:hAnsi="Book Antiqua"/>
          <w:color w:val="000000"/>
          <w:sz w:val="24"/>
        </w:rPr>
        <w:t>GED mucosa were serially cut into 2</w:t>
      </w:r>
      <w:r w:rsidR="00BE0D9F" w:rsidRPr="009661D0">
        <w:rPr>
          <w:rFonts w:ascii="Book Antiqua" w:hAnsi="Book Antiqua"/>
          <w:color w:val="000000"/>
          <w:sz w:val="24"/>
        </w:rPr>
        <w:t>-</w:t>
      </w:r>
      <w:r w:rsidRPr="009661D0">
        <w:rPr>
          <w:rFonts w:ascii="Book Antiqua" w:hAnsi="Book Antiqua"/>
          <w:color w:val="000000"/>
          <w:sz w:val="24"/>
        </w:rPr>
        <w:t>mm slices in parallel, embedded in paraffin, sectioned, and stained with hematoxylin</w:t>
      </w:r>
      <w:r w:rsidR="00BE0D9F" w:rsidRPr="009661D0">
        <w:rPr>
          <w:rFonts w:ascii="Book Antiqua" w:hAnsi="Book Antiqua"/>
          <w:color w:val="000000"/>
          <w:sz w:val="24"/>
        </w:rPr>
        <w:t>-</w:t>
      </w:r>
      <w:r w:rsidRPr="009661D0">
        <w:rPr>
          <w:rFonts w:ascii="Book Antiqua" w:hAnsi="Book Antiqua"/>
          <w:color w:val="000000"/>
          <w:sz w:val="24"/>
        </w:rPr>
        <w:t>eosin for histologic examination.</w:t>
      </w:r>
      <w:r w:rsidR="00893A71">
        <w:rPr>
          <w:rFonts w:ascii="Book Antiqua" w:eastAsia="宋体" w:hAnsi="Book Antiqua" w:hint="eastAsia"/>
          <w:color w:val="000000"/>
          <w:sz w:val="24"/>
          <w:lang w:eastAsia="zh-CN"/>
        </w:rPr>
        <w:t xml:space="preserve"> </w:t>
      </w:r>
      <w:r w:rsidRPr="009661D0">
        <w:rPr>
          <w:rFonts w:ascii="Book Antiqua" w:hAnsi="Book Antiqua"/>
          <w:color w:val="000000"/>
          <w:sz w:val="24"/>
        </w:rPr>
        <w:t>A</w:t>
      </w:r>
      <w:r w:rsidRPr="009661D0">
        <w:rPr>
          <w:rFonts w:ascii="Book Antiqua" w:hAnsi="Book Antiqua" w:cs="Arial"/>
          <w:kern w:val="0"/>
          <w:sz w:val="24"/>
        </w:rPr>
        <w:t>ll histologic samples were examined by an expert pathologist (Park</w:t>
      </w:r>
      <w:r w:rsidR="00BE0D9F" w:rsidRPr="009661D0">
        <w:rPr>
          <w:rFonts w:ascii="Book Antiqua" w:hAnsi="Book Antiqua" w:cs="Arial"/>
          <w:kern w:val="0"/>
          <w:sz w:val="24"/>
        </w:rPr>
        <w:t xml:space="preserve"> DY</w:t>
      </w:r>
      <w:r w:rsidRPr="009661D0">
        <w:rPr>
          <w:rFonts w:ascii="Book Antiqua" w:hAnsi="Book Antiqua" w:cs="Arial"/>
          <w:kern w:val="0"/>
          <w:sz w:val="24"/>
        </w:rPr>
        <w:t>) who was blinded to the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w:t>
      </w:r>
      <w:r w:rsidRPr="009661D0">
        <w:rPr>
          <w:rFonts w:ascii="Book Antiqua" w:eastAsia="AdvTimes" w:hAnsi="Book Antiqua" w:cs="Arial"/>
          <w:kern w:val="0"/>
          <w:sz w:val="24"/>
        </w:rPr>
        <w:t xml:space="preserve">Each lesion was </w:t>
      </w:r>
      <w:r w:rsidR="00F35507" w:rsidRPr="009661D0">
        <w:rPr>
          <w:rFonts w:ascii="Book Antiqua" w:eastAsia="AdvTimes" w:hAnsi="Book Antiqua" w:cs="Arial" w:hint="eastAsia"/>
          <w:kern w:val="0"/>
          <w:sz w:val="24"/>
        </w:rPr>
        <w:t xml:space="preserve">categorized </w:t>
      </w:r>
      <w:r w:rsidR="002420B2" w:rsidRPr="009661D0">
        <w:rPr>
          <w:rFonts w:ascii="Book Antiqua" w:eastAsia="AdvTimes" w:hAnsi="Book Antiqua" w:cs="Arial" w:hint="eastAsia"/>
          <w:kern w:val="0"/>
          <w:sz w:val="24"/>
        </w:rPr>
        <w:t>as</w:t>
      </w:r>
      <w:r w:rsidRPr="009661D0">
        <w:rPr>
          <w:rFonts w:ascii="Book Antiqua" w:eastAsia="AdvTimes" w:hAnsi="Book Antiqua" w:cs="Arial"/>
          <w:kern w:val="0"/>
          <w:sz w:val="24"/>
        </w:rPr>
        <w:t xml:space="preserve"> adenomatous, foveolar</w:t>
      </w:r>
      <w:r w:rsidR="002420B2" w:rsidRPr="009661D0">
        <w:rPr>
          <w:rFonts w:ascii="Book Antiqua" w:eastAsia="AdvTimes" w:hAnsi="Book Antiqua" w:cs="Arial" w:hint="eastAsia"/>
          <w:kern w:val="0"/>
          <w:sz w:val="24"/>
        </w:rPr>
        <w:t>,</w:t>
      </w:r>
      <w:r w:rsidRPr="009661D0">
        <w:rPr>
          <w:rFonts w:ascii="Book Antiqua" w:eastAsia="AdvTimes" w:hAnsi="Book Antiqua" w:cs="Arial"/>
          <w:kern w:val="0"/>
          <w:sz w:val="24"/>
        </w:rPr>
        <w:t xml:space="preserve"> or hybrid </w:t>
      </w:r>
      <w:r w:rsidR="00F35507" w:rsidRPr="009661D0">
        <w:rPr>
          <w:rFonts w:ascii="Book Antiqua" w:eastAsia="AdvTimes" w:hAnsi="Book Antiqua" w:cs="Arial" w:hint="eastAsia"/>
          <w:kern w:val="0"/>
          <w:sz w:val="24"/>
        </w:rPr>
        <w:t>on the basis of</w:t>
      </w:r>
      <w:r w:rsidRPr="009661D0">
        <w:rPr>
          <w:rFonts w:ascii="Book Antiqua" w:eastAsia="AdvTimes" w:hAnsi="Book Antiqua" w:cs="Arial"/>
          <w:kern w:val="0"/>
          <w:sz w:val="24"/>
        </w:rPr>
        <w:t xml:space="preserve"> morphologic features</w:t>
      </w:r>
      <w:r w:rsidR="008B1547" w:rsidRPr="009661D0">
        <w:rPr>
          <w:rFonts w:ascii="Book Antiqua" w:eastAsia="AdvTimes" w:hAnsi="Book Antiqua" w:cs="Arial" w:hint="eastAsia"/>
          <w:kern w:val="0"/>
          <w:sz w:val="24"/>
        </w:rPr>
        <w:t xml:space="preserve"> as described</w:t>
      </w:r>
      <w:r w:rsidR="002420B2" w:rsidRPr="009661D0">
        <w:rPr>
          <w:rFonts w:ascii="Book Antiqua" w:eastAsia="AdvTimes" w:hAnsi="Book Antiqua" w:cs="Arial" w:hint="eastAsia"/>
          <w:kern w:val="0"/>
          <w:sz w:val="24"/>
        </w:rPr>
        <w:t xml:space="preserve"> previously</w:t>
      </w:r>
      <w:r w:rsidRPr="009661D0">
        <w:rPr>
          <w:rFonts w:ascii="Book Antiqua" w:eastAsia="AdvTimes" w:hAnsi="Book Antiqua" w:cs="Arial"/>
          <w:noProof/>
          <w:kern w:val="0"/>
          <w:sz w:val="24"/>
          <w:vertAlign w:val="superscript"/>
        </w:rPr>
        <w:t>[3,4,6]</w:t>
      </w:r>
      <w:r w:rsidRPr="009661D0">
        <w:rPr>
          <w:rFonts w:ascii="Book Antiqua" w:eastAsia="AdvTimes" w:hAnsi="Book Antiqua" w:cs="Arial"/>
          <w:kern w:val="0"/>
          <w:sz w:val="24"/>
        </w:rPr>
        <w:t xml:space="preserve">. Adenomatous GED </w:t>
      </w:r>
      <w:r w:rsidR="00D500B4" w:rsidRPr="009661D0">
        <w:rPr>
          <w:rFonts w:ascii="Book Antiqua" w:eastAsia="AdvTimes" w:hAnsi="Book Antiqua" w:cs="Arial" w:hint="eastAsia"/>
          <w:kern w:val="0"/>
          <w:sz w:val="24"/>
        </w:rPr>
        <w:t xml:space="preserve">was </w:t>
      </w:r>
      <w:r w:rsidR="008B1547" w:rsidRPr="009661D0">
        <w:rPr>
          <w:rFonts w:ascii="Book Antiqua" w:eastAsia="AdvTimes" w:hAnsi="Book Antiqua" w:cs="Arial" w:hint="eastAsia"/>
          <w:kern w:val="0"/>
          <w:sz w:val="24"/>
        </w:rPr>
        <w:t xml:space="preserve">characterized by </w:t>
      </w:r>
      <w:r w:rsidRPr="009661D0">
        <w:rPr>
          <w:rFonts w:ascii="Book Antiqua" w:eastAsia="AdvTimes" w:hAnsi="Book Antiqua" w:cs="Arial"/>
          <w:kern w:val="0"/>
          <w:sz w:val="24"/>
        </w:rPr>
        <w:t xml:space="preserve">tubules </w:t>
      </w:r>
      <w:r w:rsidR="008B1547" w:rsidRPr="009661D0">
        <w:rPr>
          <w:rFonts w:ascii="Book Antiqua" w:eastAsia="AdvTimes" w:hAnsi="Book Antiqua" w:cs="Arial" w:hint="eastAsia"/>
          <w:kern w:val="0"/>
          <w:sz w:val="24"/>
        </w:rPr>
        <w:t xml:space="preserve">or glands </w:t>
      </w:r>
      <w:r w:rsidRPr="009661D0">
        <w:rPr>
          <w:rFonts w:ascii="Book Antiqua" w:eastAsia="AdvTimes" w:hAnsi="Book Antiqua" w:cs="Arial"/>
          <w:kern w:val="0"/>
          <w:sz w:val="24"/>
        </w:rPr>
        <w:t xml:space="preserve">lined </w:t>
      </w:r>
      <w:r w:rsidR="00D500B4" w:rsidRPr="009661D0">
        <w:rPr>
          <w:rFonts w:ascii="Book Antiqua" w:eastAsia="AdvTimes" w:hAnsi="Book Antiqua" w:cs="Arial" w:hint="eastAsia"/>
          <w:kern w:val="0"/>
          <w:sz w:val="24"/>
        </w:rPr>
        <w:t xml:space="preserve">by columnar cells with </w:t>
      </w:r>
      <w:r w:rsidRPr="009661D0">
        <w:rPr>
          <w:rFonts w:ascii="Book Antiqua" w:eastAsia="AdvTimes" w:hAnsi="Book Antiqua" w:cs="Arial"/>
          <w:kern w:val="0"/>
          <w:sz w:val="24"/>
        </w:rPr>
        <w:t xml:space="preserve">hyperchromatic, pencillate nuclei </w:t>
      </w:r>
      <w:r w:rsidR="00D500B4" w:rsidRPr="009661D0">
        <w:rPr>
          <w:rFonts w:ascii="Book Antiqua" w:eastAsia="AdvTimes" w:hAnsi="Book Antiqua" w:cs="Arial" w:hint="eastAsia"/>
          <w:kern w:val="0"/>
          <w:sz w:val="24"/>
        </w:rPr>
        <w:t xml:space="preserve">with </w:t>
      </w:r>
      <w:r w:rsidRPr="009661D0">
        <w:rPr>
          <w:rFonts w:ascii="Book Antiqua" w:eastAsia="AdvTimes" w:hAnsi="Book Antiqua" w:cs="Arial"/>
          <w:kern w:val="0"/>
          <w:sz w:val="24"/>
        </w:rPr>
        <w:t>pseudostratification</w:t>
      </w:r>
      <w:r w:rsidR="008B1547" w:rsidRPr="009661D0">
        <w:rPr>
          <w:rFonts w:ascii="Book Antiqua" w:eastAsia="AdvTimes" w:hAnsi="Book Antiqua" w:cs="Arial" w:hint="eastAsia"/>
          <w:kern w:val="0"/>
          <w:sz w:val="24"/>
        </w:rPr>
        <w:t xml:space="preserve">, similar to </w:t>
      </w:r>
      <w:r w:rsidR="002420B2" w:rsidRPr="009661D0">
        <w:rPr>
          <w:rFonts w:ascii="Book Antiqua" w:eastAsia="AdvTimes" w:hAnsi="Book Antiqua" w:cs="Arial" w:hint="eastAsia"/>
          <w:kern w:val="0"/>
          <w:sz w:val="24"/>
        </w:rPr>
        <w:t xml:space="preserve">the </w:t>
      </w:r>
      <w:r w:rsidR="008B1547" w:rsidRPr="009661D0">
        <w:rPr>
          <w:rFonts w:ascii="Book Antiqua" w:eastAsia="AdvTimes" w:hAnsi="Book Antiqua" w:cs="Arial" w:hint="eastAsia"/>
          <w:kern w:val="0"/>
          <w:sz w:val="24"/>
        </w:rPr>
        <w:t>colonic adenomatous epithelium</w:t>
      </w:r>
      <w:r w:rsidRPr="009661D0">
        <w:rPr>
          <w:rFonts w:ascii="Book Antiqua" w:eastAsia="AdvTimes" w:hAnsi="Book Antiqua" w:cs="Arial"/>
          <w:kern w:val="0"/>
          <w:sz w:val="24"/>
        </w:rPr>
        <w:t xml:space="preserve"> (Figure 1). </w:t>
      </w:r>
      <w:r w:rsidR="008B1547" w:rsidRPr="009661D0">
        <w:rPr>
          <w:rFonts w:ascii="Book Antiqua" w:eastAsia="AdvTimes" w:hAnsi="Book Antiqua" w:cs="Arial" w:hint="eastAsia"/>
          <w:kern w:val="0"/>
          <w:sz w:val="24"/>
        </w:rPr>
        <w:t>In contrast</w:t>
      </w:r>
      <w:r w:rsidRPr="009661D0">
        <w:rPr>
          <w:rFonts w:ascii="Book Antiqua" w:eastAsia="AdvTimes" w:hAnsi="Book Antiqua" w:cs="Arial"/>
          <w:kern w:val="0"/>
          <w:sz w:val="24"/>
        </w:rPr>
        <w:t xml:space="preserve">, foveolar GED </w:t>
      </w:r>
      <w:r w:rsidR="008B1547" w:rsidRPr="009661D0">
        <w:rPr>
          <w:rFonts w:ascii="Book Antiqua" w:eastAsia="AdvTimes" w:hAnsi="Book Antiqua" w:cs="Arial" w:hint="eastAsia"/>
          <w:kern w:val="0"/>
          <w:sz w:val="24"/>
        </w:rPr>
        <w:t xml:space="preserve">featured </w:t>
      </w:r>
      <w:r w:rsidRPr="009661D0">
        <w:rPr>
          <w:rFonts w:ascii="Book Antiqua" w:eastAsia="AdvTimes" w:hAnsi="Book Antiqua" w:cs="Arial"/>
          <w:kern w:val="0"/>
          <w:sz w:val="24"/>
        </w:rPr>
        <w:t>columnar cells with a pale</w:t>
      </w:r>
      <w:r w:rsidR="00D500B4" w:rsidRPr="009661D0">
        <w:rPr>
          <w:rFonts w:ascii="Book Antiqua" w:eastAsia="AdvTimes" w:hAnsi="Book Antiqua" w:cs="Arial" w:hint="eastAsia"/>
          <w:kern w:val="0"/>
          <w:sz w:val="24"/>
        </w:rPr>
        <w:t xml:space="preserve"> </w:t>
      </w:r>
      <w:r w:rsidRPr="009661D0">
        <w:rPr>
          <w:rFonts w:ascii="Book Antiqua" w:eastAsia="AdvTimes" w:hAnsi="Book Antiqua" w:cs="Arial"/>
          <w:kern w:val="0"/>
          <w:sz w:val="24"/>
        </w:rPr>
        <w:t xml:space="preserve">cytoplasm and </w:t>
      </w:r>
      <w:r w:rsidR="00D500B4" w:rsidRPr="009661D0">
        <w:rPr>
          <w:rFonts w:ascii="Book Antiqua" w:eastAsia="AdvTimes" w:hAnsi="Book Antiqua" w:cs="Arial" w:hint="eastAsia"/>
          <w:kern w:val="0"/>
          <w:sz w:val="24"/>
        </w:rPr>
        <w:t xml:space="preserve">basally located </w:t>
      </w:r>
      <w:r w:rsidRPr="009661D0">
        <w:rPr>
          <w:rFonts w:ascii="Book Antiqua" w:eastAsia="AdvTimes" w:hAnsi="Book Antiqua" w:cs="Arial"/>
          <w:kern w:val="0"/>
          <w:sz w:val="24"/>
        </w:rPr>
        <w:t>round to oval nuclei</w:t>
      </w:r>
      <w:r w:rsidR="002420B2" w:rsidRPr="009661D0">
        <w:rPr>
          <w:rFonts w:ascii="Book Antiqua" w:eastAsia="AdvTimes" w:hAnsi="Book Antiqua" w:cs="Arial" w:hint="eastAsia"/>
          <w:kern w:val="0"/>
          <w:sz w:val="24"/>
        </w:rPr>
        <w:t>,</w:t>
      </w:r>
      <w:r w:rsidRPr="009661D0">
        <w:rPr>
          <w:rFonts w:ascii="Book Antiqua" w:eastAsia="AdvTimes" w:hAnsi="Book Antiqua" w:cs="Arial"/>
          <w:kern w:val="0"/>
          <w:sz w:val="24"/>
        </w:rPr>
        <w:t xml:space="preserve"> </w:t>
      </w:r>
      <w:r w:rsidR="008B1547" w:rsidRPr="009661D0">
        <w:rPr>
          <w:rFonts w:ascii="Book Antiqua" w:eastAsia="AdvTimes" w:hAnsi="Book Antiqua" w:cs="Arial" w:hint="eastAsia"/>
          <w:kern w:val="0"/>
          <w:sz w:val="24"/>
        </w:rPr>
        <w:t>resembl</w:t>
      </w:r>
      <w:r w:rsidR="002420B2" w:rsidRPr="009661D0">
        <w:rPr>
          <w:rFonts w:ascii="Book Antiqua" w:eastAsia="AdvTimes" w:hAnsi="Book Antiqua" w:cs="Arial" w:hint="eastAsia"/>
          <w:kern w:val="0"/>
          <w:sz w:val="24"/>
        </w:rPr>
        <w:t>ing the</w:t>
      </w:r>
      <w:r w:rsidR="008B1547" w:rsidRPr="009661D0">
        <w:rPr>
          <w:rFonts w:ascii="Book Antiqua" w:eastAsia="AdvTimes" w:hAnsi="Book Antiqua" w:cs="Arial" w:hint="eastAsia"/>
          <w:kern w:val="0"/>
          <w:sz w:val="24"/>
        </w:rPr>
        <w:t xml:space="preserve"> gastric foveolar epithelium </w:t>
      </w:r>
      <w:r w:rsidRPr="009661D0">
        <w:rPr>
          <w:rFonts w:ascii="Book Antiqua" w:eastAsia="AdvTimes" w:hAnsi="Book Antiqua" w:cs="Arial"/>
          <w:kern w:val="0"/>
          <w:sz w:val="24"/>
        </w:rPr>
        <w:t xml:space="preserve">(Figure 2). Hyperplasia of the foveolar region with irregular glandular branching and epithelial folding was also frequently noted in foveolar GED. </w:t>
      </w:r>
      <w:r w:rsidR="00D500B4" w:rsidRPr="009661D0">
        <w:rPr>
          <w:rFonts w:ascii="Book Antiqua" w:eastAsia="AdvTimes" w:hAnsi="Book Antiqua" w:cs="Arial" w:hint="eastAsia"/>
          <w:kern w:val="0"/>
          <w:sz w:val="24"/>
        </w:rPr>
        <w:t xml:space="preserve">When </w:t>
      </w:r>
      <w:r w:rsidRPr="009661D0">
        <w:rPr>
          <w:rFonts w:ascii="Book Antiqua" w:eastAsia="AdvTimes" w:hAnsi="Book Antiqua" w:cs="Arial"/>
          <w:kern w:val="0"/>
          <w:sz w:val="24"/>
        </w:rPr>
        <w:t>GED show</w:t>
      </w:r>
      <w:r w:rsidR="00D500B4" w:rsidRPr="009661D0">
        <w:rPr>
          <w:rFonts w:ascii="Book Antiqua" w:eastAsia="AdvTimes" w:hAnsi="Book Antiqua" w:cs="Arial" w:hint="eastAsia"/>
          <w:kern w:val="0"/>
          <w:sz w:val="24"/>
        </w:rPr>
        <w:t>ed</w:t>
      </w:r>
      <w:r w:rsidRPr="009661D0">
        <w:rPr>
          <w:rFonts w:ascii="Book Antiqua" w:eastAsia="AdvTimes" w:hAnsi="Book Antiqua" w:cs="Arial"/>
          <w:kern w:val="0"/>
          <w:sz w:val="24"/>
        </w:rPr>
        <w:t xml:space="preserve"> </w:t>
      </w:r>
      <w:r w:rsidR="00C3525F" w:rsidRPr="009661D0">
        <w:rPr>
          <w:rFonts w:ascii="Book Antiqua" w:eastAsia="AdvTimes" w:hAnsi="Book Antiqua" w:cs="Arial" w:hint="eastAsia"/>
          <w:kern w:val="0"/>
          <w:sz w:val="24"/>
        </w:rPr>
        <w:t>at least</w:t>
      </w:r>
      <w:r w:rsidRPr="009661D0">
        <w:rPr>
          <w:rFonts w:ascii="Book Antiqua" w:eastAsia="AdvTimes" w:hAnsi="Book Antiqua" w:cs="Arial"/>
          <w:kern w:val="0"/>
          <w:sz w:val="24"/>
        </w:rPr>
        <w:t xml:space="preserve"> 10% of the </w:t>
      </w:r>
      <w:r w:rsidR="00D500B4" w:rsidRPr="009661D0">
        <w:rPr>
          <w:rFonts w:ascii="Book Antiqua" w:eastAsia="AdvTimes" w:hAnsi="Book Antiqua" w:cs="Arial" w:hint="eastAsia"/>
          <w:kern w:val="0"/>
          <w:sz w:val="24"/>
        </w:rPr>
        <w:t>second</w:t>
      </w:r>
      <w:r w:rsidRPr="009661D0">
        <w:rPr>
          <w:rFonts w:ascii="Book Antiqua" w:eastAsia="AdvTimes" w:hAnsi="Book Antiqua" w:cs="Arial"/>
          <w:kern w:val="0"/>
          <w:sz w:val="24"/>
        </w:rPr>
        <w:t xml:space="preserve"> phenotype</w:t>
      </w:r>
      <w:r w:rsidR="00D500B4" w:rsidRPr="009661D0">
        <w:rPr>
          <w:rFonts w:ascii="Book Antiqua" w:eastAsia="AdvTimes" w:hAnsi="Book Antiqua" w:cs="Arial" w:hint="eastAsia"/>
          <w:kern w:val="0"/>
          <w:sz w:val="24"/>
        </w:rPr>
        <w:t>, it was classified as hybrid</w:t>
      </w:r>
      <w:r w:rsidRPr="009661D0">
        <w:rPr>
          <w:rFonts w:ascii="Book Antiqua" w:eastAsia="AdvTimes" w:hAnsi="Book Antiqua" w:cs="Arial"/>
          <w:kern w:val="0"/>
          <w:sz w:val="24"/>
        </w:rPr>
        <w:t xml:space="preserve">. </w:t>
      </w:r>
      <w:r w:rsidR="00C81413" w:rsidRPr="009661D0">
        <w:rPr>
          <w:rFonts w:ascii="Book Antiqua" w:eastAsia="AdvTimes" w:hAnsi="Book Antiqua" w:cs="Arial" w:hint="eastAsia"/>
          <w:kern w:val="0"/>
          <w:sz w:val="24"/>
        </w:rPr>
        <w:t>E</w:t>
      </w:r>
      <w:r w:rsidRPr="009661D0">
        <w:rPr>
          <w:rFonts w:ascii="Book Antiqua" w:eastAsia="AdvTimes" w:hAnsi="Book Antiqua" w:cs="Arial"/>
          <w:kern w:val="0"/>
          <w:sz w:val="24"/>
        </w:rPr>
        <w:t xml:space="preserve">ach </w:t>
      </w:r>
      <w:r w:rsidR="00C81413" w:rsidRPr="009661D0">
        <w:rPr>
          <w:rFonts w:ascii="Book Antiqua" w:eastAsia="AdvTimes" w:hAnsi="Book Antiqua" w:cs="Arial" w:hint="eastAsia"/>
          <w:kern w:val="0"/>
          <w:sz w:val="24"/>
        </w:rPr>
        <w:t>GED</w:t>
      </w:r>
      <w:r w:rsidRPr="009661D0">
        <w:rPr>
          <w:rFonts w:ascii="Book Antiqua" w:eastAsia="AdvTimes" w:hAnsi="Book Antiqua" w:cs="Arial"/>
          <w:kern w:val="0"/>
          <w:sz w:val="24"/>
        </w:rPr>
        <w:t xml:space="preserve"> was </w:t>
      </w:r>
      <w:r w:rsidR="00C81413" w:rsidRPr="009661D0">
        <w:rPr>
          <w:rFonts w:ascii="Book Antiqua" w:eastAsia="AdvTimes" w:hAnsi="Book Antiqua" w:cs="Arial" w:hint="eastAsia"/>
          <w:kern w:val="0"/>
          <w:sz w:val="24"/>
        </w:rPr>
        <w:t xml:space="preserve">also </w:t>
      </w:r>
      <w:r w:rsidR="00B91212" w:rsidRPr="009661D0">
        <w:rPr>
          <w:rFonts w:ascii="Book Antiqua" w:eastAsia="AdvTimes" w:hAnsi="Book Antiqua" w:cs="Arial" w:hint="eastAsia"/>
          <w:kern w:val="0"/>
          <w:sz w:val="24"/>
        </w:rPr>
        <w:t>classified</w:t>
      </w:r>
      <w:r w:rsidRPr="009661D0">
        <w:rPr>
          <w:rFonts w:ascii="Book Antiqua" w:eastAsia="AdvTimes" w:hAnsi="Book Antiqua" w:cs="Arial"/>
          <w:kern w:val="0"/>
          <w:sz w:val="24"/>
        </w:rPr>
        <w:t xml:space="preserve"> </w:t>
      </w:r>
      <w:r w:rsidR="00B91212" w:rsidRPr="009661D0">
        <w:rPr>
          <w:rFonts w:ascii="Book Antiqua" w:eastAsia="AdvTimes" w:hAnsi="Book Antiqua" w:cs="Arial" w:hint="eastAsia"/>
          <w:kern w:val="0"/>
          <w:sz w:val="24"/>
        </w:rPr>
        <w:t>as</w:t>
      </w:r>
      <w:r w:rsidRPr="009661D0">
        <w:rPr>
          <w:rFonts w:ascii="Book Antiqua" w:eastAsia="AdvTimes" w:hAnsi="Book Antiqua" w:cs="Arial"/>
          <w:kern w:val="0"/>
          <w:sz w:val="24"/>
        </w:rPr>
        <w:t xml:space="preserve"> low or high </w:t>
      </w:r>
      <w:r w:rsidR="002420B2" w:rsidRPr="009661D0">
        <w:rPr>
          <w:rFonts w:ascii="Book Antiqua" w:eastAsia="AdvTimes" w:hAnsi="Book Antiqua" w:cs="Arial" w:hint="eastAsia"/>
          <w:kern w:val="0"/>
          <w:sz w:val="24"/>
        </w:rPr>
        <w:t>grade depe</w:t>
      </w:r>
      <w:r w:rsidR="00EE390F" w:rsidRPr="009661D0">
        <w:rPr>
          <w:rFonts w:ascii="Book Antiqua" w:eastAsia="AdvTimes" w:hAnsi="Book Antiqua" w:cs="Arial" w:hint="eastAsia"/>
          <w:kern w:val="0"/>
          <w:sz w:val="24"/>
        </w:rPr>
        <w:t>n</w:t>
      </w:r>
      <w:r w:rsidR="002420B2" w:rsidRPr="009661D0">
        <w:rPr>
          <w:rFonts w:ascii="Book Antiqua" w:eastAsia="AdvTimes" w:hAnsi="Book Antiqua" w:cs="Arial" w:hint="eastAsia"/>
          <w:kern w:val="0"/>
          <w:sz w:val="24"/>
        </w:rPr>
        <w:t xml:space="preserve">ding on </w:t>
      </w:r>
      <w:r w:rsidRPr="009661D0">
        <w:rPr>
          <w:rFonts w:ascii="Book Antiqua" w:eastAsia="AdvTimes" w:hAnsi="Book Antiqua" w:cs="Arial"/>
          <w:kern w:val="0"/>
          <w:sz w:val="24"/>
        </w:rPr>
        <w:t>architectural complexity and cytologic atypia</w:t>
      </w:r>
      <w:r w:rsidRPr="009661D0">
        <w:rPr>
          <w:rFonts w:ascii="Book Antiqua" w:eastAsia="AdvTimes" w:hAnsi="Book Antiqua" w:cs="Arial"/>
          <w:noProof/>
          <w:kern w:val="0"/>
          <w:sz w:val="24"/>
          <w:vertAlign w:val="superscript"/>
        </w:rPr>
        <w:t>[3,24]</w:t>
      </w:r>
      <w:r w:rsidRPr="009661D0">
        <w:rPr>
          <w:rFonts w:ascii="Book Antiqua" w:eastAsia="AdvTimes" w:hAnsi="Book Antiqua" w:cs="Arial"/>
          <w:kern w:val="0"/>
          <w:sz w:val="24"/>
        </w:rPr>
        <w:t>.</w:t>
      </w:r>
    </w:p>
    <w:p w:rsidR="0075590F" w:rsidRPr="009661D0" w:rsidRDefault="0075590F" w:rsidP="00646A85">
      <w:pPr>
        <w:wordWrap/>
        <w:adjustRightInd w:val="0"/>
        <w:spacing w:line="360" w:lineRule="auto"/>
        <w:rPr>
          <w:rFonts w:ascii="Book Antiqua" w:hAnsi="Book Antiqua" w:cs="Arial"/>
          <w:b/>
          <w:kern w:val="0"/>
          <w:sz w:val="24"/>
        </w:rPr>
      </w:pPr>
    </w:p>
    <w:p w:rsidR="0075590F" w:rsidRPr="009661D0" w:rsidRDefault="0075590F" w:rsidP="00646A85">
      <w:pPr>
        <w:wordWrap/>
        <w:adjustRightInd w:val="0"/>
        <w:spacing w:line="360" w:lineRule="auto"/>
        <w:rPr>
          <w:rFonts w:ascii="Book Antiqua" w:hAnsi="Book Antiqua" w:cs="Arial"/>
          <w:b/>
          <w:i/>
          <w:kern w:val="0"/>
          <w:sz w:val="24"/>
        </w:rPr>
      </w:pPr>
      <w:r w:rsidRPr="009661D0">
        <w:rPr>
          <w:rFonts w:ascii="Book Antiqua" w:hAnsi="Book Antiqua" w:cs="Arial"/>
          <w:b/>
          <w:i/>
          <w:kern w:val="0"/>
          <w:sz w:val="24"/>
        </w:rPr>
        <w:t xml:space="preserve">Mucin phenotype </w:t>
      </w:r>
    </w:p>
    <w:p w:rsidR="0075590F" w:rsidRPr="009661D0" w:rsidRDefault="00F8646D" w:rsidP="001E0DFF">
      <w:pPr>
        <w:wordWrap/>
        <w:adjustRightInd w:val="0"/>
        <w:spacing w:line="360" w:lineRule="auto"/>
        <w:rPr>
          <w:rFonts w:ascii="Book Antiqua" w:hAnsi="Book Antiqua" w:cs="Arial"/>
          <w:color w:val="000000" w:themeColor="text1"/>
          <w:kern w:val="0"/>
          <w:sz w:val="24"/>
        </w:rPr>
      </w:pPr>
      <w:r w:rsidRPr="009661D0">
        <w:rPr>
          <w:rFonts w:ascii="Book Antiqua" w:eastAsia="AdvTimes" w:hAnsi="Book Antiqua" w:cs="Arial" w:hint="eastAsia"/>
          <w:kern w:val="0"/>
          <w:sz w:val="24"/>
        </w:rPr>
        <w:t xml:space="preserve">We </w:t>
      </w:r>
      <w:r w:rsidR="00EE390F" w:rsidRPr="009661D0">
        <w:rPr>
          <w:rFonts w:ascii="Book Antiqua" w:eastAsia="AdvTimes" w:hAnsi="Book Antiqua" w:cs="Arial" w:hint="eastAsia"/>
          <w:kern w:val="0"/>
          <w:sz w:val="24"/>
        </w:rPr>
        <w:t xml:space="preserve">immunohistochemistry </w:t>
      </w:r>
      <w:r w:rsidRPr="009661D0">
        <w:rPr>
          <w:rFonts w:ascii="Book Antiqua" w:eastAsia="AdvTimes" w:hAnsi="Book Antiqua" w:cs="Arial" w:hint="eastAsia"/>
          <w:kern w:val="0"/>
          <w:sz w:val="24"/>
        </w:rPr>
        <w:t>examined the e</w:t>
      </w:r>
      <w:r w:rsidR="0075590F" w:rsidRPr="009661D0">
        <w:rPr>
          <w:rFonts w:ascii="Book Antiqua" w:eastAsia="AdvTimes" w:hAnsi="Book Antiqua" w:cs="Arial"/>
          <w:kern w:val="0"/>
          <w:sz w:val="24"/>
        </w:rPr>
        <w:t>xpression of MUC2 (Ccp58, 1:500; Novocastra Laboratories, Newcastle, UK), MUC5AC (CLH2, 1:500; Novocastra Laboratories), MUC6 (CLH5, 1:500; Novocastra Laboratories), and CD10 (56C6, 1:100; Novocastra Laboratories) in the dysplastic epithelium</w:t>
      </w:r>
      <w:r w:rsidRPr="009661D0">
        <w:rPr>
          <w:rFonts w:ascii="Book Antiqua" w:eastAsia="AdvTimes" w:hAnsi="Book Antiqua" w:cs="Arial" w:hint="eastAsia"/>
          <w:kern w:val="0"/>
          <w:sz w:val="24"/>
        </w:rPr>
        <w:t xml:space="preserve"> as </w:t>
      </w:r>
      <w:r w:rsidRPr="009661D0">
        <w:rPr>
          <w:rFonts w:ascii="Book Antiqua" w:eastAsia="AdvTimes" w:hAnsi="Book Antiqua" w:cs="Arial"/>
          <w:kern w:val="0"/>
          <w:sz w:val="24"/>
        </w:rPr>
        <w:t>descr</w:t>
      </w:r>
      <w:r w:rsidRPr="009661D0">
        <w:rPr>
          <w:rFonts w:ascii="Book Antiqua" w:eastAsia="AdvTimes" w:hAnsi="Book Antiqua" w:cs="Arial" w:hint="eastAsia"/>
          <w:kern w:val="0"/>
          <w:sz w:val="24"/>
        </w:rPr>
        <w:t>ibed</w:t>
      </w:r>
      <w:r w:rsidR="00EE390F" w:rsidRPr="009661D0">
        <w:rPr>
          <w:rFonts w:ascii="Book Antiqua" w:eastAsia="AdvTimes" w:hAnsi="Book Antiqua" w:cs="Arial" w:hint="eastAsia"/>
          <w:kern w:val="0"/>
          <w:sz w:val="24"/>
        </w:rPr>
        <w:t xml:space="preserve"> previously</w:t>
      </w:r>
      <w:r w:rsidR="0075590F" w:rsidRPr="009661D0">
        <w:rPr>
          <w:rFonts w:ascii="Book Antiqua" w:eastAsia="AdvTimes" w:hAnsi="Book Antiqua" w:cs="Arial"/>
          <w:noProof/>
          <w:kern w:val="0"/>
          <w:sz w:val="24"/>
          <w:vertAlign w:val="superscript"/>
        </w:rPr>
        <w:t>[6]</w:t>
      </w:r>
      <w:r w:rsidR="0075590F" w:rsidRPr="009661D0">
        <w:rPr>
          <w:rFonts w:ascii="Book Antiqua" w:eastAsia="AdvTimes" w:hAnsi="Book Antiqua" w:cs="Arial"/>
          <w:kern w:val="0"/>
          <w:sz w:val="24"/>
        </w:rPr>
        <w:t>. Briefly, 5</w:t>
      </w:r>
      <w:r w:rsidR="00BE0D9F" w:rsidRPr="009661D0">
        <w:rPr>
          <w:rFonts w:ascii="Book Antiqua" w:eastAsia="AdvTimes" w:hAnsi="Book Antiqua" w:cs="Arial"/>
          <w:kern w:val="0"/>
          <w:sz w:val="24"/>
        </w:rPr>
        <w:t>-</w:t>
      </w:r>
      <w:r w:rsidR="0075590F" w:rsidRPr="009661D0">
        <w:rPr>
          <w:rFonts w:ascii="Book Antiqua" w:eastAsia="Arial Unicode MS" w:hAnsi="Book Antiqua" w:cs="Arial"/>
          <w:kern w:val="0"/>
          <w:sz w:val="24"/>
        </w:rPr>
        <w:t>µ</w:t>
      </w:r>
      <w:r w:rsidR="0075590F" w:rsidRPr="009661D0">
        <w:rPr>
          <w:rFonts w:ascii="Book Antiqua" w:eastAsia="AdvTimes" w:hAnsi="Book Antiqua" w:cs="Arial"/>
          <w:kern w:val="0"/>
          <w:sz w:val="24"/>
        </w:rPr>
        <w:t>m</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t>thick consecutive sections were deparaffinized and hydrated through a graded series of alcohol.</w:t>
      </w:r>
      <w:r w:rsidRPr="009661D0">
        <w:rPr>
          <w:rFonts w:ascii="Book Antiqua" w:eastAsia="AdvTimes" w:hAnsi="Book Antiqua" w:cs="Arial" w:hint="eastAsia"/>
          <w:kern w:val="0"/>
          <w:sz w:val="24"/>
        </w:rPr>
        <w:t xml:space="preserve"> After inhibition of </w:t>
      </w:r>
      <w:r w:rsidRPr="009661D0">
        <w:rPr>
          <w:rFonts w:ascii="Book Antiqua" w:eastAsia="AdvTimes" w:hAnsi="Book Antiqua" w:cs="Arial"/>
          <w:kern w:val="0"/>
          <w:sz w:val="24"/>
        </w:rPr>
        <w:t>endogenous peroxidase activity by immersion in 3% H</w:t>
      </w:r>
      <w:r w:rsidRPr="009661D0">
        <w:rPr>
          <w:rFonts w:ascii="Book Antiqua" w:eastAsia="AdvTimes" w:hAnsi="Book Antiqua" w:cs="Arial"/>
          <w:kern w:val="0"/>
          <w:sz w:val="24"/>
          <w:vertAlign w:val="subscript"/>
        </w:rPr>
        <w:t>2</w:t>
      </w:r>
      <w:r w:rsidRPr="009661D0">
        <w:rPr>
          <w:rFonts w:ascii="Book Antiqua" w:eastAsia="AdvTimes" w:hAnsi="Book Antiqua" w:cs="Arial"/>
          <w:kern w:val="0"/>
          <w:sz w:val="24"/>
        </w:rPr>
        <w:t>O</w:t>
      </w:r>
      <w:r w:rsidRPr="009661D0">
        <w:rPr>
          <w:rFonts w:ascii="Book Antiqua" w:eastAsia="AdvTimes" w:hAnsi="Book Antiqua" w:cs="Arial"/>
          <w:kern w:val="0"/>
          <w:sz w:val="24"/>
          <w:vertAlign w:val="subscript"/>
        </w:rPr>
        <w:t>2</w:t>
      </w:r>
      <w:r w:rsidRPr="009661D0">
        <w:rPr>
          <w:rFonts w:ascii="Book Antiqua" w:eastAsia="AdvTimes" w:hAnsi="Book Antiqua" w:cs="Arial"/>
          <w:kern w:val="0"/>
          <w:sz w:val="24"/>
        </w:rPr>
        <w:t>/methanol solution</w:t>
      </w:r>
      <w:r w:rsidRPr="009661D0">
        <w:rPr>
          <w:rFonts w:ascii="Book Antiqua" w:eastAsia="AdvTimes" w:hAnsi="Book Antiqua" w:cs="Arial" w:hint="eastAsia"/>
          <w:kern w:val="0"/>
          <w:sz w:val="24"/>
        </w:rPr>
        <w:t>,</w:t>
      </w:r>
      <w:r w:rsidR="0075590F" w:rsidRPr="009661D0">
        <w:rPr>
          <w:rFonts w:ascii="Book Antiqua" w:eastAsia="AdvTimes" w:hAnsi="Book Antiqua" w:cs="Arial"/>
          <w:kern w:val="0"/>
          <w:sz w:val="24"/>
        </w:rPr>
        <w:t xml:space="preserve"> </w:t>
      </w:r>
      <w:r w:rsidRPr="009661D0">
        <w:rPr>
          <w:rFonts w:ascii="Book Antiqua" w:eastAsia="AdvTimes" w:hAnsi="Book Antiqua" w:cs="Arial" w:hint="eastAsia"/>
          <w:kern w:val="0"/>
          <w:sz w:val="24"/>
        </w:rPr>
        <w:t>a</w:t>
      </w:r>
      <w:r w:rsidR="0075590F" w:rsidRPr="009661D0">
        <w:rPr>
          <w:rFonts w:ascii="Book Antiqua" w:eastAsia="AdvTimes" w:hAnsi="Book Antiqua" w:cs="Arial"/>
          <w:kern w:val="0"/>
          <w:sz w:val="24"/>
        </w:rPr>
        <w:t xml:space="preserve">ntigen retrieval was </w:t>
      </w:r>
      <w:r w:rsidRPr="009661D0">
        <w:rPr>
          <w:rFonts w:ascii="Book Antiqua" w:eastAsia="AdvTimes" w:hAnsi="Book Antiqua" w:cs="Arial" w:hint="eastAsia"/>
          <w:kern w:val="0"/>
          <w:sz w:val="24"/>
        </w:rPr>
        <w:t>conducted</w:t>
      </w:r>
      <w:r w:rsidR="0075590F" w:rsidRPr="009661D0">
        <w:rPr>
          <w:rFonts w:ascii="Book Antiqua" w:eastAsia="AdvTimes" w:hAnsi="Book Antiqua" w:cs="Arial"/>
          <w:kern w:val="0"/>
          <w:sz w:val="24"/>
        </w:rPr>
        <w:t xml:space="preserve"> </w:t>
      </w:r>
      <w:r w:rsidR="00EE390F" w:rsidRPr="009661D0">
        <w:rPr>
          <w:rFonts w:ascii="Book Antiqua" w:eastAsia="AdvTimes" w:hAnsi="Book Antiqua" w:cs="Arial" w:hint="eastAsia"/>
          <w:kern w:val="0"/>
          <w:sz w:val="24"/>
        </w:rPr>
        <w:t xml:space="preserve">by treatment with </w:t>
      </w:r>
      <w:r w:rsidR="0075590F" w:rsidRPr="009661D0">
        <w:rPr>
          <w:rFonts w:ascii="Book Antiqua" w:eastAsia="AdvTimes" w:hAnsi="Book Antiqua" w:cs="Arial"/>
          <w:kern w:val="0"/>
          <w:sz w:val="24"/>
        </w:rPr>
        <w:t>10 mmol/L citrate buffer (pH 6.0) in a microwave oven for 10 min</w:t>
      </w:r>
      <w:r w:rsidRPr="009661D0">
        <w:rPr>
          <w:rFonts w:ascii="Book Antiqua" w:eastAsia="AdvTimes" w:hAnsi="Book Antiqua" w:cs="Arial" w:hint="eastAsia"/>
          <w:kern w:val="0"/>
          <w:sz w:val="24"/>
        </w:rPr>
        <w:t>.</w:t>
      </w:r>
      <w:r w:rsidR="0075590F" w:rsidRPr="009661D0">
        <w:rPr>
          <w:rFonts w:ascii="Book Antiqua" w:eastAsia="AdvTimes" w:hAnsi="Book Antiqua" w:cs="Arial"/>
          <w:kern w:val="0"/>
          <w:sz w:val="24"/>
        </w:rPr>
        <w:t xml:space="preserve"> </w:t>
      </w:r>
      <w:r w:rsidRPr="009661D0">
        <w:rPr>
          <w:rFonts w:ascii="Book Antiqua" w:eastAsia="Dotum" w:hAnsi="Book Antiqua" w:cs="Dotum"/>
          <w:kern w:val="0"/>
          <w:sz w:val="24"/>
        </w:rPr>
        <w:t>Next,</w:t>
      </w:r>
      <w:r w:rsidRPr="009661D0">
        <w:rPr>
          <w:rFonts w:ascii="Book Antiqua" w:eastAsia="Dotum" w:hAnsi="Book Antiqua" w:cs="Dotum" w:hint="eastAsia"/>
          <w:kern w:val="0"/>
          <w:sz w:val="24"/>
        </w:rPr>
        <w:t xml:space="preserve"> </w:t>
      </w:r>
      <w:r w:rsidR="00EE390F" w:rsidRPr="009661D0">
        <w:rPr>
          <w:rFonts w:ascii="Book Antiqua" w:eastAsia="Dotum" w:hAnsi="Book Antiqua" w:cs="Dotum" w:hint="eastAsia"/>
          <w:kern w:val="0"/>
          <w:sz w:val="24"/>
        </w:rPr>
        <w:t xml:space="preserve">the sections were </w:t>
      </w:r>
      <w:r w:rsidRPr="009661D0">
        <w:rPr>
          <w:rFonts w:ascii="Book Antiqua" w:eastAsia="Dotum" w:hAnsi="Book Antiqua" w:cs="Dotum"/>
          <w:kern w:val="0"/>
          <w:sz w:val="24"/>
        </w:rPr>
        <w:t>thorough</w:t>
      </w:r>
      <w:r w:rsidR="00EE390F" w:rsidRPr="009661D0">
        <w:rPr>
          <w:rFonts w:ascii="Book Antiqua" w:eastAsia="Dotum" w:hAnsi="Book Antiqua" w:cs="Dotum" w:hint="eastAsia"/>
          <w:kern w:val="0"/>
          <w:sz w:val="24"/>
        </w:rPr>
        <w:t>ly</w:t>
      </w:r>
      <w:r w:rsidRPr="009661D0">
        <w:rPr>
          <w:rFonts w:ascii="Book Antiqua" w:eastAsia="Dotum" w:hAnsi="Book Antiqua" w:cs="Dotum"/>
          <w:kern w:val="0"/>
          <w:sz w:val="24"/>
        </w:rPr>
        <w:t xml:space="preserve"> wash</w:t>
      </w:r>
      <w:r w:rsidR="00EE390F" w:rsidRPr="009661D0">
        <w:rPr>
          <w:rFonts w:ascii="Book Antiqua" w:eastAsia="Dotum" w:hAnsi="Book Antiqua" w:cs="Dotum" w:hint="eastAsia"/>
          <w:kern w:val="0"/>
          <w:sz w:val="24"/>
        </w:rPr>
        <w:t>ed</w:t>
      </w:r>
      <w:r w:rsidRPr="009661D0">
        <w:rPr>
          <w:rFonts w:ascii="Book Antiqua" w:eastAsia="Dotum" w:hAnsi="Book Antiqua" w:cs="Dotum"/>
          <w:kern w:val="0"/>
          <w:sz w:val="24"/>
        </w:rPr>
        <w:t xml:space="preserve"> in phosphate-buffered solution </w:t>
      </w:r>
      <w:r w:rsidR="00EE390F" w:rsidRPr="009661D0">
        <w:rPr>
          <w:rFonts w:ascii="Book Antiqua" w:eastAsia="Dotum" w:hAnsi="Book Antiqua" w:cs="Dotum" w:hint="eastAsia"/>
          <w:kern w:val="0"/>
          <w:sz w:val="24"/>
        </w:rPr>
        <w:t xml:space="preserve">and </w:t>
      </w:r>
      <w:r w:rsidRPr="009661D0">
        <w:rPr>
          <w:rFonts w:ascii="Book Antiqua" w:eastAsia="Dotum" w:hAnsi="Book Antiqua" w:cs="Dotum"/>
          <w:kern w:val="0"/>
          <w:sz w:val="24"/>
        </w:rPr>
        <w:t>incubated first with biotinylated</w:t>
      </w:r>
      <w:r w:rsidRPr="009661D0">
        <w:rPr>
          <w:rFonts w:ascii="Book Antiqua" w:eastAsia="Dotum" w:hAnsi="Book Antiqua" w:cs="Dotum" w:hint="eastAsia"/>
          <w:kern w:val="0"/>
          <w:sz w:val="24"/>
        </w:rPr>
        <w:t xml:space="preserve"> </w:t>
      </w:r>
      <w:r w:rsidRPr="009661D0">
        <w:rPr>
          <w:rFonts w:ascii="Book Antiqua" w:eastAsia="Dotum" w:hAnsi="Book Antiqua" w:cs="Dotum"/>
          <w:kern w:val="0"/>
          <w:sz w:val="24"/>
        </w:rPr>
        <w:t>secondary antibody and</w:t>
      </w:r>
      <w:r w:rsidRPr="009661D0">
        <w:rPr>
          <w:rFonts w:ascii="Book Antiqua" w:eastAsia="Dotum" w:hAnsi="Book Antiqua" w:cs="Dotum" w:hint="eastAsia"/>
          <w:kern w:val="0"/>
          <w:sz w:val="24"/>
        </w:rPr>
        <w:t xml:space="preserve"> then</w:t>
      </w:r>
      <w:r w:rsidR="0075590F" w:rsidRPr="009661D0">
        <w:rPr>
          <w:rFonts w:ascii="Book Antiqua" w:eastAsia="AdvTimes" w:hAnsi="Book Antiqua" w:cs="Arial"/>
          <w:kern w:val="0"/>
          <w:sz w:val="24"/>
        </w:rPr>
        <w:t xml:space="preserve"> with avidin</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lastRenderedPageBreak/>
        <w:t>biotinylated horseradish peroxidase complex (Vectastain Elite ABC kit; Vector Laboratories, Burlingame, CA, USA)</w:t>
      </w:r>
      <w:r w:rsidR="001E0DFF" w:rsidRPr="009661D0">
        <w:rPr>
          <w:rFonts w:ascii="Book Antiqua" w:eastAsia="AdvTimes" w:hAnsi="Book Antiqua" w:cs="Arial" w:hint="eastAsia"/>
          <w:kern w:val="0"/>
          <w:sz w:val="24"/>
        </w:rPr>
        <w:t xml:space="preserve">. </w:t>
      </w:r>
      <w:r w:rsidR="001E0DFF" w:rsidRPr="009661D0">
        <w:rPr>
          <w:rFonts w:ascii="Book Antiqua" w:eastAsia="Dotum" w:hAnsi="Book Antiqua" w:cs="Dotum"/>
          <w:kern w:val="0"/>
          <w:sz w:val="24"/>
        </w:rPr>
        <w:t>Finally, the immune</w:t>
      </w:r>
      <w:r w:rsidR="001E0DFF" w:rsidRPr="009661D0">
        <w:rPr>
          <w:rFonts w:ascii="Book Antiqua" w:eastAsia="Dotum" w:hAnsi="Book Antiqua" w:cs="Dotum" w:hint="eastAsia"/>
          <w:kern w:val="0"/>
          <w:sz w:val="24"/>
        </w:rPr>
        <w:t xml:space="preserve"> </w:t>
      </w:r>
      <w:r w:rsidR="001E0DFF" w:rsidRPr="009661D0">
        <w:rPr>
          <w:rFonts w:ascii="Book Antiqua" w:eastAsia="Dotum" w:hAnsi="Book Antiqua" w:cs="Dotum"/>
          <w:kern w:val="0"/>
          <w:sz w:val="24"/>
        </w:rPr>
        <w:t>complexes were visualized by incubation with 0.01% H</w:t>
      </w:r>
      <w:r w:rsidR="001E0DFF" w:rsidRPr="009661D0">
        <w:rPr>
          <w:rFonts w:ascii="Book Antiqua" w:eastAsia="Dotum" w:hAnsi="Book Antiqua" w:cs="Dotum"/>
          <w:kern w:val="0"/>
          <w:sz w:val="24"/>
          <w:vertAlign w:val="subscript"/>
        </w:rPr>
        <w:t>2</w:t>
      </w:r>
      <w:r w:rsidR="001E0DFF" w:rsidRPr="009661D0">
        <w:rPr>
          <w:rFonts w:ascii="Book Antiqua" w:eastAsia="Dotum" w:hAnsi="Book Antiqua" w:cs="Dotum"/>
          <w:kern w:val="0"/>
          <w:sz w:val="24"/>
        </w:rPr>
        <w:t>O</w:t>
      </w:r>
      <w:r w:rsidR="001E0DFF" w:rsidRPr="009661D0">
        <w:rPr>
          <w:rFonts w:ascii="Book Antiqua" w:eastAsia="Dotum" w:hAnsi="Book Antiqua" w:cs="Dotum"/>
          <w:kern w:val="0"/>
          <w:sz w:val="24"/>
          <w:vertAlign w:val="subscript"/>
        </w:rPr>
        <w:t>2</w:t>
      </w:r>
      <w:r w:rsidR="001E0DFF" w:rsidRPr="009661D0">
        <w:rPr>
          <w:rFonts w:ascii="Book Antiqua" w:eastAsia="Dotum" w:hAnsi="Book Antiqua" w:cs="Dotum"/>
          <w:kern w:val="0"/>
          <w:sz w:val="24"/>
        </w:rPr>
        <w:t xml:space="preserve"> and</w:t>
      </w:r>
      <w:r w:rsidR="001E0DFF" w:rsidRPr="009661D0">
        <w:rPr>
          <w:rFonts w:ascii="Book Antiqua" w:eastAsia="Dotum" w:hAnsi="Book Antiqua" w:cs="Dotum" w:hint="eastAsia"/>
          <w:kern w:val="0"/>
          <w:sz w:val="24"/>
        </w:rPr>
        <w:t xml:space="preserve"> </w:t>
      </w:r>
      <w:r w:rsidR="001E0DFF" w:rsidRPr="009661D0">
        <w:rPr>
          <w:rFonts w:ascii="Book Antiqua" w:eastAsia="Dotum" w:hAnsi="Book Antiqua" w:cs="Dotum"/>
          <w:kern w:val="0"/>
          <w:sz w:val="24"/>
        </w:rPr>
        <w:t xml:space="preserve">0.05% </w:t>
      </w:r>
      <w:r w:rsidR="001E0DFF" w:rsidRPr="009661D0">
        <w:rPr>
          <w:rFonts w:ascii="Book Antiqua" w:eastAsia="AdvTimes" w:hAnsi="Book Antiqua" w:cs="Arial"/>
          <w:kern w:val="0"/>
          <w:sz w:val="24"/>
        </w:rPr>
        <w:t>3,3’-diaminobenzidine tetrachloride.</w:t>
      </w:r>
      <w:r w:rsidR="001E0DFF" w:rsidRPr="009661D0">
        <w:rPr>
          <w:rFonts w:ascii="Book Antiqua" w:eastAsia="Dotum" w:hAnsi="Book Antiqua" w:cs="Dotum"/>
          <w:kern w:val="0"/>
          <w:sz w:val="24"/>
        </w:rPr>
        <w:t xml:space="preserve"> </w:t>
      </w:r>
      <w:r w:rsidR="0075590F" w:rsidRPr="009661D0">
        <w:rPr>
          <w:rFonts w:ascii="Book Antiqua" w:eastAsia="AdvTimes" w:hAnsi="Book Antiqua" w:cs="Arial"/>
          <w:kern w:val="0"/>
          <w:sz w:val="24"/>
        </w:rPr>
        <w:t xml:space="preserve">Nuclear counterstaining was accomplished using Mayer’s hematoxylin. Immunostaining was considered positive </w:t>
      </w:r>
      <w:r w:rsidR="00C3525F" w:rsidRPr="009661D0">
        <w:rPr>
          <w:rFonts w:ascii="Book Antiqua" w:eastAsia="AdvTimes" w:hAnsi="Book Antiqua" w:cs="Arial" w:hint="eastAsia"/>
          <w:kern w:val="0"/>
          <w:sz w:val="24"/>
        </w:rPr>
        <w:t>if at least</w:t>
      </w:r>
      <w:r w:rsidR="00BE0D9F" w:rsidRPr="009661D0">
        <w:rPr>
          <w:rFonts w:ascii="Book Antiqua" w:eastAsia="宋体" w:hAnsi="Book Antiqua" w:cs="Arial" w:hint="eastAsia"/>
          <w:kern w:val="0"/>
          <w:sz w:val="24"/>
          <w:lang w:eastAsia="zh-CN"/>
        </w:rPr>
        <w:t xml:space="preserve"> </w:t>
      </w:r>
      <w:r w:rsidR="0075590F" w:rsidRPr="009661D0">
        <w:rPr>
          <w:rFonts w:ascii="Book Antiqua" w:eastAsia="AdvTimes" w:hAnsi="Book Antiqua" w:cs="Arial"/>
          <w:kern w:val="0"/>
          <w:sz w:val="24"/>
        </w:rPr>
        <w:t xml:space="preserve">10% of the dysplastic cells were </w:t>
      </w:r>
      <w:r w:rsidR="00BA5FFE" w:rsidRPr="009661D0">
        <w:rPr>
          <w:rFonts w:ascii="Book Antiqua" w:eastAsia="AdvTimes" w:hAnsi="Book Antiqua" w:cs="Arial" w:hint="eastAsia"/>
          <w:kern w:val="0"/>
          <w:sz w:val="24"/>
        </w:rPr>
        <w:t>immunoreactive</w:t>
      </w:r>
      <w:r w:rsidR="0075590F" w:rsidRPr="009661D0">
        <w:rPr>
          <w:rFonts w:ascii="Book Antiqua" w:eastAsia="AdvTimes" w:hAnsi="Book Antiqua" w:cs="Arial"/>
          <w:noProof/>
          <w:kern w:val="0"/>
          <w:sz w:val="24"/>
          <w:vertAlign w:val="superscript"/>
        </w:rPr>
        <w:t>[6,10]</w:t>
      </w:r>
      <w:r w:rsidR="0075590F" w:rsidRPr="009661D0">
        <w:rPr>
          <w:rFonts w:ascii="Book Antiqua" w:eastAsia="AdvTimes" w:hAnsi="Book Antiqua" w:cs="Arial"/>
          <w:kern w:val="0"/>
          <w:sz w:val="24"/>
        </w:rPr>
        <w:t>. Mucin phenotypes were divided into 4 types, namely, gastric (G</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t>type), intestinal (I</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t>type), gastrointestinal (GI</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t>type), and unclassified (N</w:t>
      </w:r>
      <w:r w:rsidR="00BE0D9F" w:rsidRPr="009661D0">
        <w:rPr>
          <w:rFonts w:ascii="Book Antiqua" w:eastAsia="AdvTimes" w:hAnsi="Book Antiqua" w:cs="Arial"/>
          <w:kern w:val="0"/>
          <w:sz w:val="24"/>
        </w:rPr>
        <w:t>-</w:t>
      </w:r>
      <w:r w:rsidR="0075590F" w:rsidRPr="009661D0">
        <w:rPr>
          <w:rFonts w:ascii="Book Antiqua" w:eastAsia="AdvTimes" w:hAnsi="Book Antiqua" w:cs="Arial"/>
          <w:kern w:val="0"/>
          <w:sz w:val="24"/>
        </w:rPr>
        <w:t>type), depending on</w:t>
      </w:r>
      <w:r w:rsidR="0075590F" w:rsidRPr="009661D0">
        <w:rPr>
          <w:rFonts w:ascii="Book Antiqua" w:eastAsia="AdvTimes" w:hAnsi="Book Antiqua" w:cs="Arial"/>
          <w:color w:val="000000" w:themeColor="text1"/>
          <w:kern w:val="0"/>
          <w:sz w:val="24"/>
        </w:rPr>
        <w:t xml:space="preserve"> the combination of immunohistochemical markers expressed for gastric mucin (MUC5AC and MUC6) and</w:t>
      </w:r>
      <w:r w:rsidR="0075590F" w:rsidRPr="009661D0">
        <w:rPr>
          <w:rFonts w:ascii="Book Antiqua" w:eastAsia="AdvTimes" w:hAnsi="Book Antiqua" w:cs="Arial"/>
          <w:color w:val="4F81BD" w:themeColor="accent1"/>
          <w:kern w:val="0"/>
          <w:sz w:val="24"/>
        </w:rPr>
        <w:t xml:space="preserve"> </w:t>
      </w:r>
      <w:r w:rsidR="0075590F" w:rsidRPr="009661D0">
        <w:rPr>
          <w:rFonts w:ascii="Book Antiqua" w:eastAsia="AdvTimes" w:hAnsi="Book Antiqua" w:cs="Arial"/>
          <w:color w:val="000000" w:themeColor="text1"/>
          <w:kern w:val="0"/>
          <w:sz w:val="24"/>
        </w:rPr>
        <w:t>intestinal mucin (MUC2 and CD10) (Figure</w:t>
      </w:r>
      <w:r w:rsidR="00BE0D9F" w:rsidRPr="009661D0">
        <w:rPr>
          <w:rFonts w:ascii="Book Antiqua" w:eastAsia="宋体" w:hAnsi="Book Antiqua" w:cs="Arial" w:hint="eastAsia"/>
          <w:color w:val="000000" w:themeColor="text1"/>
          <w:kern w:val="0"/>
          <w:sz w:val="24"/>
          <w:lang w:eastAsia="zh-CN"/>
        </w:rPr>
        <w:t>s</w:t>
      </w:r>
      <w:r w:rsidR="0075590F" w:rsidRPr="009661D0">
        <w:rPr>
          <w:rFonts w:ascii="Book Antiqua" w:eastAsia="AdvTimes" w:hAnsi="Book Antiqua" w:cs="Arial"/>
          <w:color w:val="000000" w:themeColor="text1"/>
          <w:kern w:val="0"/>
          <w:sz w:val="24"/>
        </w:rPr>
        <w:t xml:space="preserve"> 1, 2). MUC5AC, MUC6, MUC2, and CD10 have been found to be specifically expressed in the gastric foveolar epithelium, pyloric gland cells, goblet cells, and brush border, respectively</w:t>
      </w:r>
      <w:r w:rsidR="0075590F" w:rsidRPr="009661D0">
        <w:rPr>
          <w:rFonts w:ascii="Book Antiqua" w:eastAsia="AdvTimes" w:hAnsi="Book Antiqua" w:cs="Arial"/>
          <w:noProof/>
          <w:color w:val="000000" w:themeColor="text1"/>
          <w:kern w:val="0"/>
          <w:sz w:val="24"/>
          <w:vertAlign w:val="superscript"/>
        </w:rPr>
        <w:t>[25]</w:t>
      </w:r>
      <w:r w:rsidR="0075590F" w:rsidRPr="009661D0">
        <w:rPr>
          <w:rFonts w:ascii="Book Antiqua" w:eastAsia="AdvTimes" w:hAnsi="Book Antiqua" w:cs="Arial"/>
          <w:color w:val="000000" w:themeColor="text1"/>
          <w:kern w:val="0"/>
          <w:sz w:val="24"/>
        </w:rPr>
        <w:t>.</w:t>
      </w:r>
    </w:p>
    <w:p w:rsidR="0075590F" w:rsidRPr="009661D0" w:rsidRDefault="0075590F" w:rsidP="00646A85">
      <w:pPr>
        <w:wordWrap/>
        <w:adjustRightInd w:val="0"/>
        <w:spacing w:line="360" w:lineRule="auto"/>
        <w:rPr>
          <w:rFonts w:ascii="Book Antiqua" w:hAnsi="Book Antiqua" w:cs="Arial"/>
          <w:b/>
          <w:color w:val="4F81BD" w:themeColor="accent1"/>
          <w:kern w:val="0"/>
          <w:sz w:val="24"/>
        </w:rPr>
      </w:pPr>
    </w:p>
    <w:p w:rsidR="0075590F" w:rsidRPr="009661D0" w:rsidRDefault="0075590F" w:rsidP="00646A85">
      <w:pPr>
        <w:wordWrap/>
        <w:adjustRightInd w:val="0"/>
        <w:spacing w:line="360" w:lineRule="auto"/>
        <w:rPr>
          <w:rFonts w:ascii="Book Antiqua" w:hAnsi="Book Antiqua" w:cs="Arial"/>
          <w:b/>
          <w:i/>
          <w:kern w:val="0"/>
          <w:sz w:val="24"/>
        </w:rPr>
      </w:pPr>
      <w:r w:rsidRPr="009661D0">
        <w:rPr>
          <w:rFonts w:ascii="Book Antiqua" w:hAnsi="Book Antiqua" w:cs="Arial"/>
          <w:b/>
          <w:i/>
          <w:kern w:val="0"/>
          <w:sz w:val="24"/>
        </w:rPr>
        <w:t>Statistical analysis</w:t>
      </w:r>
    </w:p>
    <w:p w:rsidR="0075590F" w:rsidRPr="009661D0" w:rsidRDefault="0075590F" w:rsidP="00646A85">
      <w:pPr>
        <w:wordWrap/>
        <w:adjustRightInd w:val="0"/>
        <w:spacing w:line="360" w:lineRule="auto"/>
        <w:rPr>
          <w:rFonts w:ascii="Book Antiqua" w:hAnsi="Book Antiqua" w:cs="Arial"/>
          <w:sz w:val="24"/>
        </w:rPr>
      </w:pPr>
      <w:r w:rsidRPr="009661D0">
        <w:rPr>
          <w:rFonts w:ascii="Book Antiqua" w:hAnsi="Book Antiqua" w:cs="Arial"/>
          <w:sz w:val="24"/>
        </w:rPr>
        <w:t>Differences in clinicopathologic and ME</w:t>
      </w:r>
      <w:r w:rsidR="00BE0D9F" w:rsidRPr="009661D0">
        <w:rPr>
          <w:rFonts w:ascii="Book Antiqua" w:hAnsi="Book Antiqua" w:cs="Arial"/>
          <w:sz w:val="24"/>
        </w:rPr>
        <w:t>-</w:t>
      </w:r>
      <w:r w:rsidRPr="009661D0">
        <w:rPr>
          <w:rFonts w:ascii="Book Antiqua" w:hAnsi="Book Antiqua" w:cs="Arial"/>
          <w:sz w:val="24"/>
        </w:rPr>
        <w:t xml:space="preserve">NBI findings among the 3 GED types were evaluated using </w:t>
      </w:r>
      <w:r w:rsidRPr="009661D0">
        <w:rPr>
          <w:rFonts w:ascii="Book Antiqua" w:hAnsi="Book Antiqua" w:cs="Arial"/>
          <w:sz w:val="24"/>
          <w:lang w:val="en-GB"/>
        </w:rPr>
        <w:t>the one</w:t>
      </w:r>
      <w:r w:rsidR="00BE0D9F" w:rsidRPr="009661D0">
        <w:rPr>
          <w:rFonts w:ascii="Book Antiqua" w:hAnsi="Book Antiqua" w:cs="Arial"/>
          <w:sz w:val="24"/>
          <w:lang w:val="en-GB"/>
        </w:rPr>
        <w:t>-</w:t>
      </w:r>
      <w:r w:rsidRPr="009661D0">
        <w:rPr>
          <w:rFonts w:ascii="Book Antiqua" w:hAnsi="Book Antiqua" w:cs="Arial"/>
          <w:sz w:val="24"/>
          <w:lang w:val="en-GB"/>
        </w:rPr>
        <w:t>way analysis of variance (ANOVA) test</w:t>
      </w:r>
      <w:r w:rsidRPr="009661D0">
        <w:rPr>
          <w:rFonts w:ascii="Book Antiqua" w:hAnsi="Book Antiqua" w:cs="Arial"/>
          <w:sz w:val="24"/>
        </w:rPr>
        <w:t xml:space="preserve"> for continuous data and the </w:t>
      </w:r>
      <w:r w:rsidRPr="009661D0">
        <w:rPr>
          <w:rFonts w:ascii="Book Antiqua" w:eastAsia="Malgun Gothic" w:hAnsi="Book Antiqua" w:cs="Arial"/>
          <w:sz w:val="24"/>
        </w:rPr>
        <w:t>χ</w:t>
      </w:r>
      <w:r w:rsidRPr="009661D0">
        <w:rPr>
          <w:rFonts w:ascii="Book Antiqua" w:hAnsi="Book Antiqua" w:cs="Arial"/>
          <w:sz w:val="24"/>
          <w:vertAlign w:val="superscript"/>
        </w:rPr>
        <w:t xml:space="preserve">2 </w:t>
      </w:r>
      <w:r w:rsidRPr="009661D0">
        <w:rPr>
          <w:rFonts w:ascii="Book Antiqua" w:hAnsi="Book Antiqua" w:cs="Arial"/>
          <w:sz w:val="24"/>
        </w:rPr>
        <w:t>test for categorical variables. The association between mucin expression and ME</w:t>
      </w:r>
      <w:r w:rsidR="00BE0D9F" w:rsidRPr="009661D0">
        <w:rPr>
          <w:rFonts w:ascii="Book Antiqua" w:hAnsi="Book Antiqua" w:cs="Arial"/>
          <w:sz w:val="24"/>
        </w:rPr>
        <w:t>-</w:t>
      </w:r>
      <w:r w:rsidRPr="009661D0">
        <w:rPr>
          <w:rFonts w:ascii="Book Antiqua" w:hAnsi="Book Antiqua" w:cs="Arial"/>
          <w:sz w:val="24"/>
        </w:rPr>
        <w:t xml:space="preserve">NBI findings was assessed using the </w:t>
      </w:r>
      <w:r w:rsidRPr="009661D0">
        <w:rPr>
          <w:rFonts w:ascii="Book Antiqua" w:eastAsia="Malgun Gothic" w:hAnsi="Book Antiqua" w:cs="Arial"/>
          <w:sz w:val="24"/>
        </w:rPr>
        <w:t>χ</w:t>
      </w:r>
      <w:r w:rsidRPr="009661D0">
        <w:rPr>
          <w:rFonts w:ascii="Book Antiqua" w:hAnsi="Book Antiqua" w:cs="Arial"/>
          <w:sz w:val="24"/>
          <w:vertAlign w:val="superscript"/>
        </w:rPr>
        <w:t xml:space="preserve">2 </w:t>
      </w:r>
      <w:r w:rsidRPr="009661D0">
        <w:rPr>
          <w:rFonts w:ascii="Book Antiqua" w:hAnsi="Book Antiqua" w:cs="Arial"/>
          <w:sz w:val="24"/>
        </w:rPr>
        <w:t xml:space="preserve">test or Fisher’s exact test. </w:t>
      </w:r>
      <w:r w:rsidRPr="009661D0">
        <w:rPr>
          <w:rFonts w:ascii="Book Antiqua" w:hAnsi="Book Antiqua" w:cs="Arial"/>
          <w:kern w:val="0"/>
          <w:sz w:val="24"/>
        </w:rPr>
        <w:t xml:space="preserve">Statistical calculations were performed using the SPSS version 21.0 software for Windows (SPSS, Chicago, USA). Results were considered statistically significant when the </w:t>
      </w:r>
      <w:r w:rsidRPr="009661D0">
        <w:rPr>
          <w:rFonts w:ascii="Book Antiqua" w:hAnsi="Book Antiqua" w:cs="Arial"/>
          <w:i/>
          <w:iCs/>
          <w:kern w:val="0"/>
          <w:sz w:val="24"/>
        </w:rPr>
        <w:t xml:space="preserve">P </w:t>
      </w:r>
      <w:r w:rsidRPr="009661D0">
        <w:rPr>
          <w:rFonts w:ascii="Book Antiqua" w:hAnsi="Book Antiqua" w:cs="Arial"/>
          <w:kern w:val="0"/>
          <w:sz w:val="24"/>
        </w:rPr>
        <w:t>value was &lt; 0.05.</w:t>
      </w:r>
    </w:p>
    <w:p w:rsidR="0075590F" w:rsidRPr="009661D0" w:rsidRDefault="0075590F" w:rsidP="00646A85">
      <w:pPr>
        <w:wordWrap/>
        <w:adjustRightInd w:val="0"/>
        <w:spacing w:line="360" w:lineRule="auto"/>
        <w:rPr>
          <w:rFonts w:ascii="Book Antiqua" w:hAnsi="Book Antiqua" w:cs="Arial"/>
          <w:b/>
          <w:kern w:val="0"/>
          <w:sz w:val="24"/>
        </w:rPr>
      </w:pPr>
    </w:p>
    <w:p w:rsidR="0075590F" w:rsidRPr="009661D0" w:rsidRDefault="0075590F" w:rsidP="00646A85">
      <w:pPr>
        <w:wordWrap/>
        <w:adjustRightInd w:val="0"/>
        <w:spacing w:line="360" w:lineRule="auto"/>
        <w:rPr>
          <w:rFonts w:ascii="Book Antiqua" w:hAnsi="Book Antiqua" w:cs="Arial"/>
          <w:b/>
          <w:kern w:val="0"/>
          <w:sz w:val="24"/>
        </w:rPr>
      </w:pPr>
      <w:r w:rsidRPr="009661D0">
        <w:rPr>
          <w:rFonts w:ascii="Book Antiqua" w:hAnsi="Book Antiqua" w:cs="Arial"/>
          <w:b/>
          <w:kern w:val="0"/>
          <w:sz w:val="24"/>
        </w:rPr>
        <w:t>RESULTS</w:t>
      </w:r>
    </w:p>
    <w:p w:rsidR="0075590F" w:rsidRPr="009661D0" w:rsidRDefault="0075590F" w:rsidP="00646A85">
      <w:pPr>
        <w:wordWrap/>
        <w:adjustRightInd w:val="0"/>
        <w:spacing w:line="360" w:lineRule="auto"/>
        <w:jc w:val="left"/>
        <w:rPr>
          <w:rFonts w:ascii="Book Antiqua" w:hAnsi="Book Antiqua" w:cs="Arial"/>
          <w:b/>
          <w:i/>
          <w:kern w:val="0"/>
          <w:sz w:val="24"/>
        </w:rPr>
      </w:pPr>
      <w:r w:rsidRPr="009661D0">
        <w:rPr>
          <w:rFonts w:ascii="Book Antiqua" w:hAnsi="Book Antiqua" w:cs="Arial"/>
          <w:b/>
          <w:i/>
          <w:kern w:val="0"/>
          <w:sz w:val="24"/>
        </w:rPr>
        <w:t xml:space="preserve">Clinicopathologic characteristics of GEDs  </w:t>
      </w:r>
    </w:p>
    <w:p w:rsidR="0075590F" w:rsidRPr="009661D0" w:rsidRDefault="0075590F" w:rsidP="00646A85">
      <w:pPr>
        <w:wordWrap/>
        <w:adjustRightInd w:val="0"/>
        <w:spacing w:line="360" w:lineRule="auto"/>
        <w:rPr>
          <w:rFonts w:ascii="Book Antiqua" w:hAnsi="Book Antiqua" w:cs="Arial"/>
          <w:color w:val="000000"/>
          <w:kern w:val="0"/>
          <w:sz w:val="24"/>
        </w:rPr>
      </w:pPr>
      <w:r w:rsidRPr="009661D0">
        <w:rPr>
          <w:rFonts w:ascii="Book Antiqua" w:hAnsi="Book Antiqua" w:cs="Arial"/>
          <w:color w:val="000000"/>
          <w:kern w:val="0"/>
          <w:sz w:val="24"/>
        </w:rPr>
        <w:t>Of the 46 GED lesions, 27</w:t>
      </w:r>
      <w:r w:rsidRPr="009661D0">
        <w:rPr>
          <w:rFonts w:ascii="Book Antiqua" w:eastAsia="AdvTimes" w:hAnsi="Book Antiqua" w:cs="Arial"/>
          <w:kern w:val="0"/>
          <w:sz w:val="24"/>
        </w:rPr>
        <w:t xml:space="preserve"> (59%) were categorized as adenomatous, 15 (32%) as hybrid, and the remaining 4 (9%) as foveolar o</w:t>
      </w:r>
      <w:r w:rsidRPr="009661D0">
        <w:rPr>
          <w:rFonts w:ascii="Book Antiqua" w:hAnsi="Book Antiqua" w:cs="Arial"/>
          <w:color w:val="000000"/>
          <w:kern w:val="0"/>
          <w:sz w:val="24"/>
        </w:rPr>
        <w:t xml:space="preserve">n the basis of their morphologic features (Table </w:t>
      </w:r>
      <w:r w:rsidR="000905FA" w:rsidRPr="009661D0">
        <w:rPr>
          <w:rFonts w:ascii="Book Antiqua" w:hAnsi="Book Antiqua" w:cs="Arial"/>
          <w:color w:val="000000"/>
          <w:kern w:val="0"/>
          <w:sz w:val="24"/>
        </w:rPr>
        <w:t>1</w:t>
      </w:r>
      <w:r w:rsidRPr="009661D0">
        <w:rPr>
          <w:rFonts w:ascii="Book Antiqua" w:hAnsi="Book Antiqua" w:cs="Arial"/>
          <w:color w:val="000000"/>
          <w:kern w:val="0"/>
          <w:sz w:val="24"/>
        </w:rPr>
        <w:t>)</w:t>
      </w:r>
      <w:r w:rsidRPr="009661D0">
        <w:rPr>
          <w:rFonts w:ascii="Book Antiqua" w:eastAsia="AdvTimes" w:hAnsi="Book Antiqua" w:cs="Arial"/>
          <w:kern w:val="0"/>
          <w:sz w:val="24"/>
        </w:rPr>
        <w:t xml:space="preserve">. </w:t>
      </w:r>
      <w:r w:rsidRPr="009661D0">
        <w:rPr>
          <w:rFonts w:ascii="Book Antiqua" w:eastAsia="AdvTimes" w:hAnsi="Book Antiqua" w:cs="Arial"/>
          <w:color w:val="000000" w:themeColor="text1"/>
          <w:kern w:val="0"/>
          <w:sz w:val="24"/>
        </w:rPr>
        <w:t>Patients with adenomatous GEDs were younger than those with hybrid or foveolar GEDs (</w:t>
      </w:r>
      <w:r w:rsidR="000905FA" w:rsidRPr="009661D0">
        <w:rPr>
          <w:rFonts w:ascii="Book Antiqua" w:eastAsia="AdvTimes" w:hAnsi="Book Antiqua" w:cs="Arial"/>
          <w:i/>
          <w:color w:val="000000" w:themeColor="text1"/>
          <w:kern w:val="0"/>
          <w:sz w:val="24"/>
        </w:rPr>
        <w:t>P</w:t>
      </w:r>
      <w:r w:rsidRPr="009661D0">
        <w:rPr>
          <w:rFonts w:ascii="Book Antiqua" w:eastAsia="AdvTimes" w:hAnsi="Book Antiqua" w:cs="Arial"/>
          <w:color w:val="000000" w:themeColor="text1"/>
          <w:kern w:val="0"/>
          <w:sz w:val="24"/>
        </w:rPr>
        <w:t xml:space="preserve"> = 0.023).</w:t>
      </w:r>
      <w:r w:rsidRPr="009661D0">
        <w:rPr>
          <w:rFonts w:ascii="Book Antiqua" w:eastAsia="AdvTimes" w:hAnsi="Book Antiqua" w:cs="Arial"/>
          <w:color w:val="FF0000"/>
          <w:kern w:val="0"/>
          <w:sz w:val="24"/>
        </w:rPr>
        <w:t xml:space="preserve"> </w:t>
      </w:r>
      <w:r w:rsidRPr="009661D0">
        <w:rPr>
          <w:rFonts w:ascii="Book Antiqua" w:eastAsia="AdvTimes" w:hAnsi="Book Antiqua" w:cs="Arial"/>
          <w:kern w:val="0"/>
          <w:sz w:val="24"/>
        </w:rPr>
        <w:t xml:space="preserve">No significant difference was found in the tumor size, location, color, gross shape, and histologic grade among the 3 GED types. However, the prevalence of </w:t>
      </w:r>
      <w:r w:rsidRPr="009661D0">
        <w:rPr>
          <w:rFonts w:ascii="Book Antiqua" w:eastAsia="AdvTimes" w:hAnsi="Book Antiqua" w:cs="Arial"/>
          <w:i/>
          <w:kern w:val="0"/>
          <w:sz w:val="24"/>
        </w:rPr>
        <w:t>H. pylori</w:t>
      </w:r>
      <w:r w:rsidRPr="009661D0">
        <w:rPr>
          <w:rFonts w:ascii="Book Antiqua" w:eastAsia="AdvTimes" w:hAnsi="Book Antiqua" w:cs="Arial"/>
          <w:kern w:val="0"/>
          <w:sz w:val="24"/>
        </w:rPr>
        <w:t xml:space="preserve"> infection was higher in cases of adenomatous </w:t>
      </w:r>
      <w:r w:rsidRPr="009661D0">
        <w:rPr>
          <w:rFonts w:ascii="Book Antiqua" w:eastAsia="AdvTimes" w:hAnsi="Book Antiqua" w:cs="Arial"/>
          <w:kern w:val="0"/>
          <w:sz w:val="24"/>
        </w:rPr>
        <w:lastRenderedPageBreak/>
        <w:t xml:space="preserve">GEDs than in those of hybrid and foveolar GEDs (85%, 47%, 50%, respectively; </w:t>
      </w:r>
      <w:r w:rsidR="000905FA" w:rsidRPr="009661D0">
        <w:rPr>
          <w:rFonts w:ascii="Book Antiqua" w:eastAsia="AdvTimes" w:hAnsi="Book Antiqua" w:cs="Arial"/>
          <w:i/>
          <w:kern w:val="0"/>
          <w:sz w:val="24"/>
        </w:rPr>
        <w:t>P</w:t>
      </w:r>
      <w:r w:rsidRPr="009661D0">
        <w:rPr>
          <w:rFonts w:ascii="Book Antiqua" w:eastAsia="AdvTimes" w:hAnsi="Book Antiqua" w:cs="Arial"/>
          <w:kern w:val="0"/>
          <w:sz w:val="24"/>
        </w:rPr>
        <w:t xml:space="preserve"> = 0.020). </w:t>
      </w:r>
      <w:r w:rsidRPr="009661D0">
        <w:rPr>
          <w:rFonts w:ascii="Book Antiqua" w:hAnsi="Book Antiqua" w:cs="Arial"/>
          <w:color w:val="000000"/>
          <w:kern w:val="0"/>
          <w:sz w:val="24"/>
        </w:rPr>
        <w:t>In terms of the mucin phenotype, adenomatous GEDs mainly showed the I</w:t>
      </w:r>
      <w:r w:rsidR="00BE0D9F" w:rsidRPr="009661D0">
        <w:rPr>
          <w:rFonts w:ascii="Book Antiqua" w:hAnsi="Book Antiqua" w:cs="Arial"/>
          <w:color w:val="000000"/>
          <w:kern w:val="0"/>
          <w:sz w:val="24"/>
        </w:rPr>
        <w:t>-</w:t>
      </w:r>
      <w:r w:rsidRPr="009661D0">
        <w:rPr>
          <w:rFonts w:ascii="Book Antiqua" w:hAnsi="Book Antiqua" w:cs="Arial"/>
          <w:color w:val="000000"/>
          <w:kern w:val="0"/>
          <w:sz w:val="24"/>
        </w:rPr>
        <w:t>type (82%), hybrid GEDs mainly showed the G</w:t>
      </w:r>
      <w:r w:rsidR="00BE0D9F" w:rsidRPr="009661D0">
        <w:rPr>
          <w:rFonts w:ascii="Book Antiqua" w:hAnsi="Book Antiqua" w:cs="Arial"/>
          <w:color w:val="000000"/>
          <w:kern w:val="0"/>
          <w:sz w:val="24"/>
        </w:rPr>
        <w:t>-</w:t>
      </w:r>
      <w:r w:rsidRPr="009661D0">
        <w:rPr>
          <w:rFonts w:ascii="Book Antiqua" w:hAnsi="Book Antiqua" w:cs="Arial"/>
          <w:color w:val="000000"/>
          <w:kern w:val="0"/>
          <w:sz w:val="24"/>
        </w:rPr>
        <w:t>type (53%) and GI</w:t>
      </w:r>
      <w:r w:rsidR="00BE0D9F" w:rsidRPr="009661D0">
        <w:rPr>
          <w:rFonts w:ascii="Book Antiqua" w:hAnsi="Book Antiqua" w:cs="Arial"/>
          <w:color w:val="000000"/>
          <w:kern w:val="0"/>
          <w:sz w:val="24"/>
        </w:rPr>
        <w:t>-</w:t>
      </w:r>
      <w:r w:rsidRPr="009661D0">
        <w:rPr>
          <w:rFonts w:ascii="Book Antiqua" w:hAnsi="Book Antiqua" w:cs="Arial"/>
          <w:color w:val="000000"/>
          <w:kern w:val="0"/>
          <w:sz w:val="24"/>
        </w:rPr>
        <w:t>type (40%), and all foveolar GEDs showed the G</w:t>
      </w:r>
      <w:r w:rsidR="00BE0D9F" w:rsidRPr="009661D0">
        <w:rPr>
          <w:rFonts w:ascii="Book Antiqua" w:hAnsi="Book Antiqua" w:cs="Arial"/>
          <w:color w:val="000000"/>
          <w:kern w:val="0"/>
          <w:sz w:val="24"/>
        </w:rPr>
        <w:t>-</w:t>
      </w:r>
      <w:r w:rsidRPr="009661D0">
        <w:rPr>
          <w:rFonts w:ascii="Book Antiqua" w:hAnsi="Book Antiqua" w:cs="Arial"/>
          <w:color w:val="000000"/>
          <w:kern w:val="0"/>
          <w:sz w:val="24"/>
        </w:rPr>
        <w:t>type (100%) (</w:t>
      </w:r>
      <w:r w:rsidR="000905FA" w:rsidRPr="009661D0">
        <w:rPr>
          <w:rFonts w:ascii="Book Antiqua" w:eastAsia="AdvTimes" w:hAnsi="Book Antiqua" w:cs="Arial"/>
          <w:i/>
          <w:color w:val="000000" w:themeColor="text1"/>
          <w:kern w:val="0"/>
          <w:sz w:val="24"/>
        </w:rPr>
        <w:t>P</w:t>
      </w:r>
      <w:r w:rsidRPr="009661D0">
        <w:rPr>
          <w:rFonts w:ascii="Book Antiqua" w:hAnsi="Book Antiqua" w:cs="Arial"/>
          <w:color w:val="000000"/>
          <w:kern w:val="0"/>
          <w:sz w:val="24"/>
        </w:rPr>
        <w:t xml:space="preserve"> &lt; 0.001). </w:t>
      </w:r>
    </w:p>
    <w:p w:rsidR="0075590F" w:rsidRPr="009661D0" w:rsidRDefault="0075590F" w:rsidP="00646A85">
      <w:pPr>
        <w:wordWrap/>
        <w:adjustRightInd w:val="0"/>
        <w:spacing w:line="360" w:lineRule="auto"/>
        <w:rPr>
          <w:rFonts w:ascii="Book Antiqua" w:hAnsi="Book Antiqua" w:cs="Arial"/>
          <w:color w:val="000000"/>
          <w:kern w:val="0"/>
          <w:sz w:val="24"/>
        </w:rPr>
      </w:pPr>
    </w:p>
    <w:p w:rsidR="0075590F" w:rsidRPr="009661D0" w:rsidRDefault="0075590F" w:rsidP="00646A85">
      <w:pPr>
        <w:wordWrap/>
        <w:adjustRightInd w:val="0"/>
        <w:spacing w:line="360" w:lineRule="auto"/>
        <w:rPr>
          <w:rFonts w:ascii="Book Antiqua" w:hAnsi="Book Antiqua" w:cs="Arial"/>
          <w:b/>
          <w:i/>
          <w:color w:val="000000"/>
          <w:kern w:val="0"/>
          <w:sz w:val="24"/>
        </w:rPr>
      </w:pPr>
      <w:r w:rsidRPr="009661D0">
        <w:rPr>
          <w:rFonts w:ascii="Book Antiqua" w:hAnsi="Book Antiqua" w:cs="Arial"/>
          <w:b/>
          <w:i/>
          <w:color w:val="000000"/>
          <w:kern w:val="0"/>
          <w:sz w:val="24"/>
        </w:rPr>
        <w:t>ME</w:t>
      </w:r>
      <w:r w:rsidR="00BE0D9F" w:rsidRPr="009661D0">
        <w:rPr>
          <w:rFonts w:ascii="Book Antiqua" w:hAnsi="Book Antiqua" w:cs="Arial"/>
          <w:b/>
          <w:i/>
          <w:color w:val="000000"/>
          <w:kern w:val="0"/>
          <w:sz w:val="24"/>
        </w:rPr>
        <w:t>-</w:t>
      </w:r>
      <w:r w:rsidRPr="009661D0">
        <w:rPr>
          <w:rFonts w:ascii="Book Antiqua" w:hAnsi="Book Antiqua" w:cs="Arial"/>
          <w:b/>
          <w:i/>
          <w:color w:val="000000"/>
          <w:kern w:val="0"/>
          <w:sz w:val="24"/>
        </w:rPr>
        <w:t xml:space="preserve">NBI findings of GEDs </w:t>
      </w: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hAnsi="Book Antiqua" w:cs="Arial"/>
          <w:color w:val="000000"/>
          <w:kern w:val="0"/>
          <w:sz w:val="24"/>
        </w:rPr>
        <w:t>The irregular MV pattern was observed in 56% of the adenomatous GEDs, 73% of the hybrid GEDs, and 75% of the foveolar GEDs (</w:t>
      </w:r>
      <w:r w:rsidR="000905FA" w:rsidRPr="009661D0">
        <w:rPr>
          <w:rFonts w:ascii="Book Antiqua" w:eastAsia="AdvTimes" w:hAnsi="Book Antiqua" w:cs="Arial"/>
          <w:i/>
          <w:color w:val="000000" w:themeColor="text1"/>
          <w:kern w:val="0"/>
          <w:sz w:val="24"/>
        </w:rPr>
        <w:t>P</w:t>
      </w:r>
      <w:r w:rsidRPr="009661D0">
        <w:rPr>
          <w:rFonts w:ascii="Book Antiqua" w:hAnsi="Book Antiqua" w:cs="Arial"/>
          <w:color w:val="000000"/>
          <w:kern w:val="0"/>
          <w:sz w:val="24"/>
        </w:rPr>
        <w:t xml:space="preserve"> = 0.517) (Table </w:t>
      </w:r>
      <w:r w:rsidR="000905FA" w:rsidRPr="009661D0">
        <w:rPr>
          <w:rFonts w:ascii="Book Antiqua" w:hAnsi="Book Antiqua" w:cs="Arial"/>
          <w:color w:val="000000"/>
          <w:kern w:val="0"/>
          <w:sz w:val="24"/>
        </w:rPr>
        <w:t>2</w:t>
      </w:r>
      <w:r w:rsidRPr="009661D0">
        <w:rPr>
          <w:rFonts w:ascii="Book Antiqua" w:hAnsi="Book Antiqua" w:cs="Arial"/>
          <w:color w:val="000000"/>
          <w:kern w:val="0"/>
          <w:sz w:val="24"/>
        </w:rPr>
        <w:t>). All adenomatous GEDs showed the round pit and/or tubular patterns. All 4 foveolar GEDs showed the papillary pattern (100%), while the hybrid GEDs mainly showed the mixed (33%) and papillary (33%) patterns. Thus, the MS patterns differed significantly depending on the morphologic category (</w:t>
      </w:r>
      <w:r w:rsidR="000905FA" w:rsidRPr="009661D0">
        <w:rPr>
          <w:rFonts w:ascii="Book Antiqua" w:eastAsia="AdvTimes" w:hAnsi="Book Antiqua" w:cs="Arial"/>
          <w:i/>
          <w:color w:val="000000" w:themeColor="text1"/>
          <w:kern w:val="0"/>
          <w:sz w:val="24"/>
        </w:rPr>
        <w:t>P</w:t>
      </w:r>
      <w:r w:rsidRPr="009661D0">
        <w:rPr>
          <w:rFonts w:ascii="Book Antiqua" w:hAnsi="Book Antiqua" w:cs="Arial"/>
          <w:color w:val="000000"/>
          <w:kern w:val="0"/>
          <w:sz w:val="24"/>
        </w:rPr>
        <w:t xml:space="preserve"> &lt; 0.001). </w:t>
      </w:r>
      <w:r w:rsidRPr="009661D0">
        <w:rPr>
          <w:rFonts w:ascii="Book Antiqua" w:hAnsi="Book Antiqua" w:cs="Arial"/>
          <w:color w:val="000000" w:themeColor="text1"/>
          <w:kern w:val="0"/>
          <w:sz w:val="24"/>
        </w:rPr>
        <w:t>LBC was observed more commonly in adenomatous GEDs than in hybrid and foveolar GEDs (52%, 33%, 0%, respectively), but this difference was not statistically significant (</w:t>
      </w:r>
      <w:r w:rsidR="000905FA" w:rsidRPr="009661D0">
        <w:rPr>
          <w:rFonts w:ascii="Book Antiqua" w:eastAsia="AdvTimes" w:hAnsi="Book Antiqua" w:cs="Arial"/>
          <w:i/>
          <w:color w:val="000000" w:themeColor="text1"/>
          <w:kern w:val="0"/>
          <w:sz w:val="24"/>
        </w:rPr>
        <w:t>P</w:t>
      </w:r>
      <w:r w:rsidRPr="009661D0">
        <w:rPr>
          <w:rFonts w:ascii="Book Antiqua" w:hAnsi="Book Antiqua" w:cs="Arial"/>
          <w:color w:val="000000" w:themeColor="text1"/>
          <w:kern w:val="0"/>
          <w:sz w:val="24"/>
        </w:rPr>
        <w:t xml:space="preserve"> = 0.127). Further, no</w:t>
      </w:r>
      <w:r w:rsidRPr="009661D0">
        <w:rPr>
          <w:rFonts w:ascii="Book Antiqua" w:hAnsi="Book Antiqua" w:cs="Arial"/>
          <w:color w:val="000000"/>
          <w:kern w:val="0"/>
          <w:sz w:val="24"/>
        </w:rPr>
        <w:t xml:space="preserve"> difference in the presence of WOS was observed </w:t>
      </w:r>
      <w:r w:rsidRPr="009661D0">
        <w:rPr>
          <w:rFonts w:ascii="Book Antiqua" w:eastAsia="AdvTimes" w:hAnsi="Book Antiqua" w:cs="Arial"/>
          <w:kern w:val="0"/>
          <w:sz w:val="24"/>
        </w:rPr>
        <w:t>among the 3 GED types.</w:t>
      </w:r>
    </w:p>
    <w:p w:rsidR="0075590F" w:rsidRPr="009661D0" w:rsidRDefault="0075590F" w:rsidP="00646A85">
      <w:pPr>
        <w:wordWrap/>
        <w:adjustRightInd w:val="0"/>
        <w:spacing w:line="360" w:lineRule="auto"/>
        <w:rPr>
          <w:rFonts w:ascii="Book Antiqua" w:hAnsi="Book Antiqua" w:cs="Arial"/>
          <w:b/>
          <w:color w:val="000000"/>
          <w:kern w:val="0"/>
          <w:sz w:val="24"/>
        </w:rPr>
      </w:pPr>
    </w:p>
    <w:p w:rsidR="0075590F" w:rsidRPr="009661D0" w:rsidRDefault="0075590F" w:rsidP="00646A85">
      <w:pPr>
        <w:wordWrap/>
        <w:adjustRightInd w:val="0"/>
        <w:spacing w:line="360" w:lineRule="auto"/>
        <w:rPr>
          <w:rFonts w:ascii="Book Antiqua" w:hAnsi="Book Antiqua" w:cs="Arial"/>
          <w:b/>
          <w:i/>
          <w:color w:val="000000"/>
          <w:kern w:val="0"/>
          <w:sz w:val="24"/>
        </w:rPr>
      </w:pPr>
      <w:r w:rsidRPr="009661D0">
        <w:rPr>
          <w:rFonts w:ascii="Book Antiqua" w:hAnsi="Book Antiqua" w:cs="Arial"/>
          <w:b/>
          <w:i/>
          <w:color w:val="000000"/>
          <w:kern w:val="0"/>
          <w:sz w:val="24"/>
        </w:rPr>
        <w:t xml:space="preserve">Association </w:t>
      </w:r>
      <w:r w:rsidRPr="009661D0">
        <w:rPr>
          <w:rFonts w:ascii="Book Antiqua" w:eastAsia="GulimChe" w:hAnsi="Book Antiqua" w:cs="Arial"/>
          <w:b/>
          <w:i/>
          <w:sz w:val="24"/>
        </w:rPr>
        <w:t xml:space="preserve">between mucin expression and </w:t>
      </w:r>
      <w:r w:rsidRPr="009661D0">
        <w:rPr>
          <w:rFonts w:ascii="Book Antiqua" w:hAnsi="Book Antiqua" w:cs="Arial"/>
          <w:b/>
          <w:i/>
          <w:color w:val="000000"/>
          <w:kern w:val="0"/>
          <w:sz w:val="24"/>
        </w:rPr>
        <w:t>ME</w:t>
      </w:r>
      <w:r w:rsidR="00BE0D9F" w:rsidRPr="009661D0">
        <w:rPr>
          <w:rFonts w:ascii="Book Antiqua" w:hAnsi="Book Antiqua" w:cs="Arial"/>
          <w:b/>
          <w:i/>
          <w:color w:val="000000"/>
          <w:kern w:val="0"/>
          <w:sz w:val="24"/>
        </w:rPr>
        <w:t>-</w:t>
      </w:r>
      <w:r w:rsidRPr="009661D0">
        <w:rPr>
          <w:rFonts w:ascii="Book Antiqua" w:hAnsi="Book Antiqua" w:cs="Arial"/>
          <w:b/>
          <w:i/>
          <w:color w:val="000000"/>
          <w:kern w:val="0"/>
          <w:sz w:val="24"/>
        </w:rPr>
        <w:t xml:space="preserve">NBI findings </w:t>
      </w: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eastAsia="AdvTimes" w:hAnsi="Book Antiqua" w:cs="Arial"/>
          <w:kern w:val="0"/>
          <w:sz w:val="24"/>
        </w:rPr>
        <w:t>The round pit and/or tubular patterns, which were the main MS patterns exhibited by adenomatous GEDs, were associated with CD10 expression (</w:t>
      </w:r>
      <w:r w:rsidR="000905FA" w:rsidRPr="009661D0">
        <w:rPr>
          <w:rFonts w:ascii="Book Antiqua" w:eastAsia="AdvTimes" w:hAnsi="Book Antiqua" w:cs="Arial"/>
          <w:i/>
          <w:color w:val="000000" w:themeColor="text1"/>
          <w:kern w:val="0"/>
          <w:sz w:val="24"/>
        </w:rPr>
        <w:t>P</w:t>
      </w:r>
      <w:r w:rsidRPr="009661D0">
        <w:rPr>
          <w:rFonts w:ascii="Book Antiqua" w:eastAsia="AdvTimes" w:hAnsi="Book Antiqua" w:cs="Arial"/>
          <w:kern w:val="0"/>
          <w:sz w:val="24"/>
        </w:rPr>
        <w:t xml:space="preserve"> &lt; 0.001). In contrast, the papillary MS pattern mainly shown by foveolar GEDs was associated with MUC5AC and MUC6 expression (</w:t>
      </w:r>
      <w:r w:rsidR="000905FA" w:rsidRPr="009661D0">
        <w:rPr>
          <w:rFonts w:ascii="Book Antiqua" w:eastAsia="AdvTimes" w:hAnsi="Book Antiqua" w:cs="Arial"/>
          <w:i/>
          <w:color w:val="000000" w:themeColor="text1"/>
          <w:kern w:val="0"/>
          <w:sz w:val="24"/>
        </w:rPr>
        <w:t>P</w:t>
      </w:r>
      <w:r w:rsidRPr="009661D0">
        <w:rPr>
          <w:rFonts w:ascii="Book Antiqua" w:eastAsia="AdvTimes" w:hAnsi="Book Antiqua" w:cs="Arial"/>
          <w:kern w:val="0"/>
          <w:sz w:val="24"/>
        </w:rPr>
        <w:t xml:space="preserve"> = 0.001 and </w:t>
      </w:r>
      <w:r w:rsidR="000905FA" w:rsidRPr="009661D0">
        <w:rPr>
          <w:rFonts w:ascii="Book Antiqua" w:eastAsia="AdvTimes" w:hAnsi="Book Antiqua" w:cs="Arial"/>
          <w:i/>
          <w:color w:val="000000" w:themeColor="text1"/>
          <w:kern w:val="0"/>
          <w:sz w:val="24"/>
        </w:rPr>
        <w:t>P</w:t>
      </w:r>
      <w:r w:rsidRPr="009661D0">
        <w:rPr>
          <w:rFonts w:ascii="Book Antiqua" w:eastAsia="AdvTimes" w:hAnsi="Book Antiqua" w:cs="Arial"/>
          <w:kern w:val="0"/>
          <w:sz w:val="24"/>
        </w:rPr>
        <w:t xml:space="preserve"> = 0.014, respectively) (Table </w:t>
      </w:r>
      <w:r w:rsidR="000905FA" w:rsidRPr="009661D0">
        <w:rPr>
          <w:rFonts w:ascii="Book Antiqua" w:eastAsia="AdvTimes" w:hAnsi="Book Antiqua" w:cs="Arial"/>
          <w:kern w:val="0"/>
          <w:sz w:val="24"/>
        </w:rPr>
        <w:t>3</w:t>
      </w:r>
      <w:r w:rsidRPr="009661D0">
        <w:rPr>
          <w:rFonts w:ascii="Book Antiqua" w:eastAsia="AdvTimes" w:hAnsi="Book Antiqua" w:cs="Arial"/>
          <w:color w:val="000000" w:themeColor="text1"/>
          <w:kern w:val="0"/>
          <w:sz w:val="24"/>
        </w:rPr>
        <w:t>). The MV pattern was not associated with the expression of any mucin marker. The p</w:t>
      </w:r>
      <w:r w:rsidRPr="009661D0">
        <w:rPr>
          <w:rFonts w:ascii="Book Antiqua" w:eastAsia="AdvTimes" w:hAnsi="Book Antiqua" w:cs="Arial"/>
          <w:kern w:val="0"/>
          <w:sz w:val="24"/>
        </w:rPr>
        <w:t>resence of LBC was associated with CD10 expression (</w:t>
      </w:r>
      <w:r w:rsidR="000905FA" w:rsidRPr="009661D0">
        <w:rPr>
          <w:rFonts w:ascii="Book Antiqua" w:eastAsia="AdvTimes" w:hAnsi="Book Antiqua" w:cs="Arial"/>
          <w:i/>
          <w:color w:val="000000" w:themeColor="text1"/>
          <w:kern w:val="0"/>
          <w:sz w:val="24"/>
        </w:rPr>
        <w:t>P</w:t>
      </w:r>
      <w:r w:rsidRPr="009661D0">
        <w:rPr>
          <w:rFonts w:ascii="Book Antiqua" w:eastAsia="AdvTimes" w:hAnsi="Book Antiqua" w:cs="Arial"/>
          <w:kern w:val="0"/>
          <w:sz w:val="24"/>
        </w:rPr>
        <w:t xml:space="preserve"> = 0.002), but the presence of WOS was not associated with the expression of any mucin marker (Table </w:t>
      </w:r>
      <w:r w:rsidR="000905FA" w:rsidRPr="009661D0">
        <w:rPr>
          <w:rFonts w:ascii="Book Antiqua" w:eastAsia="AdvTimes" w:hAnsi="Book Antiqua" w:cs="Arial"/>
          <w:kern w:val="0"/>
          <w:sz w:val="24"/>
        </w:rPr>
        <w:t>4</w:t>
      </w:r>
      <w:r w:rsidRPr="009661D0">
        <w:rPr>
          <w:rFonts w:ascii="Book Antiqua" w:eastAsia="AdvTimes" w:hAnsi="Book Antiqua" w:cs="Arial"/>
          <w:kern w:val="0"/>
          <w:sz w:val="24"/>
        </w:rPr>
        <w:t>).</w:t>
      </w:r>
    </w:p>
    <w:p w:rsidR="0075590F" w:rsidRPr="009661D0" w:rsidRDefault="0075590F" w:rsidP="00646A85">
      <w:pPr>
        <w:wordWrap/>
        <w:adjustRightInd w:val="0"/>
        <w:spacing w:line="360" w:lineRule="auto"/>
        <w:rPr>
          <w:rFonts w:ascii="Book Antiqua" w:eastAsia="AdvTimes" w:hAnsi="Book Antiqua" w:cs="Arial"/>
          <w:kern w:val="0"/>
          <w:sz w:val="24"/>
        </w:rPr>
      </w:pPr>
    </w:p>
    <w:p w:rsidR="0075590F" w:rsidRPr="009661D0" w:rsidRDefault="0075590F" w:rsidP="00646A85">
      <w:pPr>
        <w:wordWrap/>
        <w:adjustRightInd w:val="0"/>
        <w:spacing w:line="360" w:lineRule="auto"/>
        <w:rPr>
          <w:rFonts w:ascii="Book Antiqua" w:eastAsia="AdvTimes" w:hAnsi="Book Antiqua" w:cs="Arial"/>
          <w:b/>
          <w:kern w:val="0"/>
          <w:sz w:val="24"/>
        </w:rPr>
      </w:pPr>
      <w:r w:rsidRPr="009661D0">
        <w:rPr>
          <w:rFonts w:ascii="Book Antiqua" w:eastAsia="AdvTimes" w:hAnsi="Book Antiqua" w:cs="Arial"/>
          <w:b/>
          <w:kern w:val="0"/>
          <w:sz w:val="24"/>
        </w:rPr>
        <w:t xml:space="preserve">DISCUSSION </w:t>
      </w:r>
    </w:p>
    <w:p w:rsidR="0075590F" w:rsidRPr="009661D0" w:rsidRDefault="0075590F" w:rsidP="00646A85">
      <w:pPr>
        <w:wordWrap/>
        <w:adjustRightInd w:val="0"/>
        <w:spacing w:line="360" w:lineRule="auto"/>
        <w:rPr>
          <w:rFonts w:ascii="Book Antiqua" w:eastAsia="AdvTimes" w:hAnsi="Book Antiqua" w:cs="Arial"/>
          <w:kern w:val="0"/>
          <w:sz w:val="24"/>
        </w:rPr>
      </w:pPr>
      <w:r w:rsidRPr="009661D0">
        <w:rPr>
          <w:rFonts w:ascii="Book Antiqua" w:eastAsia="AdvTimes" w:hAnsi="Book Antiqua" w:cs="Arial"/>
          <w:kern w:val="0"/>
          <w:sz w:val="24"/>
        </w:rPr>
        <w:t>GED is an unusual neoplasm that could be a direct precursor to gastric carcinoma</w:t>
      </w:r>
      <w:r w:rsidRPr="009661D0">
        <w:rPr>
          <w:rFonts w:ascii="Book Antiqua" w:eastAsia="AdvTimes" w:hAnsi="Book Antiqua" w:cs="Arial"/>
          <w:noProof/>
          <w:kern w:val="0"/>
          <w:sz w:val="24"/>
          <w:vertAlign w:val="superscript"/>
        </w:rPr>
        <w:t>[5]</w:t>
      </w:r>
      <w:r w:rsidRPr="009661D0">
        <w:rPr>
          <w:rFonts w:ascii="Book Antiqua" w:eastAsia="AdvTimes" w:hAnsi="Book Antiqua" w:cs="Arial"/>
          <w:kern w:val="0"/>
          <w:sz w:val="24"/>
        </w:rPr>
        <w:t>, but there is no consensus on the management of this lesion when it is diagnosed by pre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treatment biopsy</w:t>
      </w:r>
      <w:r w:rsidRPr="009661D0">
        <w:rPr>
          <w:rFonts w:ascii="Book Antiqua" w:eastAsia="AdvTimes" w:hAnsi="Book Antiqua" w:cs="Arial"/>
          <w:noProof/>
          <w:kern w:val="0"/>
          <w:sz w:val="24"/>
          <w:vertAlign w:val="superscript"/>
        </w:rPr>
        <w:t>[21]</w:t>
      </w:r>
      <w:r w:rsidRPr="009661D0">
        <w:rPr>
          <w:rFonts w:ascii="Book Antiqua" w:eastAsia="AdvTimes" w:hAnsi="Book Antiqua" w:cs="Arial"/>
          <w:kern w:val="0"/>
          <w:sz w:val="24"/>
        </w:rPr>
        <w:t xml:space="preserve">. In our previous study, we found that adenomatous and foveolar GEDs show distinct clinicopathologic features: foveolar GEDs tend to be </w:t>
      </w:r>
      <w:r w:rsidRPr="009661D0">
        <w:rPr>
          <w:rFonts w:ascii="Book Antiqua" w:eastAsia="AdvTimes" w:hAnsi="Book Antiqua" w:cs="Arial"/>
          <w:kern w:val="0"/>
          <w:sz w:val="24"/>
        </w:rPr>
        <w:lastRenderedPageBreak/>
        <w:t>associated with high</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grade morphology</w:t>
      </w:r>
      <w:r w:rsidRPr="009661D0">
        <w:rPr>
          <w:rFonts w:ascii="Book Antiqua" w:eastAsia="AdvTimes" w:hAnsi="Book Antiqua" w:cs="Arial"/>
          <w:noProof/>
          <w:kern w:val="0"/>
          <w:sz w:val="24"/>
          <w:vertAlign w:val="superscript"/>
        </w:rPr>
        <w:t>[6]</w:t>
      </w:r>
      <w:r w:rsidRPr="009661D0">
        <w:rPr>
          <w:rFonts w:ascii="Book Antiqua" w:eastAsia="AdvTimes" w:hAnsi="Book Antiqua" w:cs="Arial"/>
          <w:kern w:val="0"/>
          <w:sz w:val="24"/>
        </w:rPr>
        <w:t>.</w:t>
      </w:r>
      <w:r w:rsidR="00AA7042">
        <w:rPr>
          <w:rFonts w:ascii="Book Antiqua" w:eastAsia="宋体" w:hAnsi="Book Antiqua" w:cs="Arial" w:hint="eastAsia"/>
          <w:kern w:val="0"/>
          <w:sz w:val="24"/>
          <w:lang w:eastAsia="zh-CN"/>
        </w:rPr>
        <w:t xml:space="preserve"> </w:t>
      </w:r>
      <w:r w:rsidRPr="009661D0">
        <w:rPr>
          <w:rFonts w:ascii="Book Antiqua" w:eastAsia="AdvTimes" w:hAnsi="Book Antiqua" w:cs="Arial"/>
          <w:kern w:val="0"/>
          <w:sz w:val="24"/>
        </w:rPr>
        <w:t>Therefore,</w:t>
      </w:r>
      <w:r w:rsidR="004177A4" w:rsidRPr="009661D0">
        <w:rPr>
          <w:rFonts w:ascii="Book Antiqua" w:eastAsia="宋体" w:hAnsi="Book Antiqua" w:cs="Arial" w:hint="eastAsia"/>
          <w:kern w:val="0"/>
          <w:sz w:val="24"/>
          <w:lang w:eastAsia="zh-CN"/>
        </w:rPr>
        <w:t xml:space="preserve"> </w:t>
      </w:r>
      <w:r w:rsidRPr="009661D0">
        <w:rPr>
          <w:rFonts w:ascii="Book Antiqua" w:eastAsia="AdvTimes" w:hAnsi="Book Antiqua" w:cs="Arial"/>
          <w:kern w:val="0"/>
          <w:sz w:val="24"/>
        </w:rPr>
        <w:t>we hypothesized that treatment plans could be devised more effectively if the morphologic category of GEDs could be predicted. Although some studies have examined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for GEDs</w:t>
      </w:r>
      <w:r w:rsidRPr="009661D0">
        <w:rPr>
          <w:rFonts w:ascii="Book Antiqua" w:eastAsia="AdvTimes" w:hAnsi="Book Antiqua" w:cs="Arial"/>
          <w:noProof/>
          <w:kern w:val="0"/>
          <w:sz w:val="24"/>
          <w:vertAlign w:val="superscript"/>
        </w:rPr>
        <w:t>[15,21,26</w:t>
      </w:r>
      <w:r w:rsidR="00BE0D9F" w:rsidRPr="009661D0">
        <w:rPr>
          <w:rFonts w:ascii="Book Antiqua" w:eastAsia="AdvTimes" w:hAnsi="Book Antiqua" w:cs="Arial"/>
          <w:noProof/>
          <w:kern w:val="0"/>
          <w:sz w:val="24"/>
          <w:vertAlign w:val="superscript"/>
        </w:rPr>
        <w:t>-</w:t>
      </w:r>
      <w:r w:rsidRPr="009661D0">
        <w:rPr>
          <w:rFonts w:ascii="Book Antiqua" w:eastAsia="AdvTimes" w:hAnsi="Book Antiqua" w:cs="Arial"/>
          <w:noProof/>
          <w:kern w:val="0"/>
          <w:sz w:val="24"/>
          <w:vertAlign w:val="superscript"/>
        </w:rPr>
        <w:t>28]</w:t>
      </w:r>
      <w:r w:rsidRPr="009661D0">
        <w:rPr>
          <w:rFonts w:ascii="Book Antiqua" w:eastAsia="AdvTimes" w:hAnsi="Book Antiqua" w:cs="Arial"/>
          <w:kern w:val="0"/>
          <w:sz w:val="24"/>
        </w:rPr>
        <w:t>, to our knowledge, no study has investigated the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of GEDs categorized morphologically. The results of the present study showed a clear difference in the MS pattern between adenomatous and foveolar GEDs. The former showed the round pit and/or tubular patterns, whole the latter predominantly showed the papillary pattern. In addition, the round pit and/or tubular patterns were associated with CD10 expression, whereas the papillary pattern was associated with MUC5AC and MUC6 expression.</w:t>
      </w:r>
    </w:p>
    <w:p w:rsidR="0075590F" w:rsidRPr="009661D0" w:rsidRDefault="0075590F" w:rsidP="004177A4">
      <w:pPr>
        <w:wordWrap/>
        <w:adjustRightInd w:val="0"/>
        <w:spacing w:line="360" w:lineRule="auto"/>
        <w:ind w:firstLineChars="200" w:firstLine="480"/>
        <w:rPr>
          <w:rFonts w:ascii="Book Antiqua" w:eastAsia="AdvTimes" w:hAnsi="Book Antiqua" w:cs="Arial"/>
          <w:kern w:val="0"/>
          <w:sz w:val="24"/>
        </w:rPr>
      </w:pPr>
      <w:r w:rsidRPr="009661D0">
        <w:rPr>
          <w:rFonts w:ascii="Book Antiqua" w:eastAsiaTheme="minorEastAsia" w:hAnsi="Book Antiqua" w:cs="Arial"/>
          <w:kern w:val="0"/>
          <w:sz w:val="24"/>
        </w:rPr>
        <w:t>ME</w:t>
      </w:r>
      <w:r w:rsidR="00BE0D9F" w:rsidRPr="009661D0">
        <w:rPr>
          <w:rFonts w:ascii="Book Antiqua" w:eastAsiaTheme="minorEastAsia" w:hAnsi="Book Antiqua" w:cs="Arial"/>
          <w:kern w:val="0"/>
          <w:sz w:val="24"/>
        </w:rPr>
        <w:t>-</w:t>
      </w:r>
      <w:r w:rsidRPr="009661D0">
        <w:rPr>
          <w:rFonts w:ascii="Book Antiqua" w:eastAsiaTheme="minorEastAsia" w:hAnsi="Book Antiqua" w:cs="Arial"/>
          <w:kern w:val="0"/>
          <w:sz w:val="24"/>
        </w:rPr>
        <w:t>NBI enables clearly visualization of the MS structure as well as the MV structure of an organ. Therefore, the MS pattern on ME</w:t>
      </w:r>
      <w:r w:rsidR="00BE0D9F" w:rsidRPr="009661D0">
        <w:rPr>
          <w:rFonts w:ascii="Book Antiqua" w:eastAsiaTheme="minorEastAsia" w:hAnsi="Book Antiqua" w:cs="Arial"/>
          <w:kern w:val="0"/>
          <w:sz w:val="24"/>
        </w:rPr>
        <w:t>-</w:t>
      </w:r>
      <w:r w:rsidRPr="009661D0">
        <w:rPr>
          <w:rFonts w:ascii="Book Antiqua" w:eastAsiaTheme="minorEastAsia" w:hAnsi="Book Antiqua" w:cs="Arial"/>
          <w:kern w:val="0"/>
          <w:sz w:val="24"/>
        </w:rPr>
        <w:t xml:space="preserve">NBI may have reflected the histologic characteristics of the GEDs. In fact, because pathologic examination shows that adenomatous GEDs are </w:t>
      </w:r>
      <w:r w:rsidRPr="009661D0">
        <w:rPr>
          <w:rFonts w:ascii="Book Antiqua" w:eastAsia="AdvTimes" w:hAnsi="Book Antiqua" w:cs="Arial"/>
          <w:kern w:val="0"/>
          <w:sz w:val="24"/>
        </w:rPr>
        <w:t>composed of large tubules on pathology, they exhibited round pit and/or tubular patterns on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On the other hand, because hyperplasia of the foveolar region with irregular glandular branching and epithelial folding is usually seen in foveolar GEDs, they exhibited a papillary pattern on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like ikra. Hybrid GEDs exhibited a mix</w:t>
      </w:r>
      <w:r w:rsidRPr="009661D0">
        <w:rPr>
          <w:rFonts w:ascii="Book Antiqua" w:hAnsi="Book Antiqua" w:cs="Arial"/>
          <w:color w:val="000000"/>
          <w:kern w:val="0"/>
          <w:sz w:val="24"/>
        </w:rPr>
        <w:t xml:space="preserve"> of the MS patterns of adenomatous and foveolar GEDs</w:t>
      </w:r>
      <w:r w:rsidRPr="009661D0">
        <w:rPr>
          <w:rFonts w:ascii="Book Antiqua" w:eastAsia="AdvTimes" w:hAnsi="Book Antiqua" w:cs="Arial"/>
          <w:kern w:val="0"/>
          <w:sz w:val="24"/>
        </w:rPr>
        <w:t>. However, the MV pattern did not differ between adenomatous and foveolar GEDs. Therefore, the morphologic category of GEDs can be predicted only from the MS pattern on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before endoscopic resection.</w:t>
      </w:r>
    </w:p>
    <w:p w:rsidR="0075590F" w:rsidRPr="009661D0" w:rsidRDefault="0075590F" w:rsidP="004177A4">
      <w:pPr>
        <w:wordWrap/>
        <w:adjustRightInd w:val="0"/>
        <w:spacing w:line="360" w:lineRule="auto"/>
        <w:ind w:firstLineChars="200" w:firstLine="480"/>
        <w:rPr>
          <w:rFonts w:ascii="Book Antiqua" w:eastAsia="AdvTimes" w:hAnsi="Book Antiqua" w:cs="Arial"/>
          <w:kern w:val="0"/>
          <w:sz w:val="24"/>
        </w:rPr>
      </w:pPr>
      <w:r w:rsidRPr="009661D0">
        <w:rPr>
          <w:rFonts w:ascii="Book Antiqua" w:eastAsia="AdvTimes" w:hAnsi="Book Antiqua" w:cs="Arial"/>
          <w:kern w:val="0"/>
          <w:sz w:val="24"/>
        </w:rPr>
        <w:t>We previously found that in terms of mucin phenotype exhibited, the foveolar GEDs were more often positive for MUC5AC, while adenomatous GEDs were more often positive for CD10</w:t>
      </w:r>
      <w:r w:rsidRPr="009661D0">
        <w:rPr>
          <w:rFonts w:ascii="Book Antiqua" w:eastAsia="AdvTimes" w:hAnsi="Book Antiqua" w:cs="Arial"/>
          <w:noProof/>
          <w:kern w:val="0"/>
          <w:sz w:val="24"/>
          <w:vertAlign w:val="superscript"/>
        </w:rPr>
        <w:t>[6]</w:t>
      </w:r>
      <w:r w:rsidRPr="009661D0">
        <w:rPr>
          <w:rFonts w:ascii="Book Antiqua" w:eastAsia="AdvTimes" w:hAnsi="Book Antiqua" w:cs="Arial"/>
          <w:kern w:val="0"/>
          <w:sz w:val="24"/>
        </w:rPr>
        <w:t xml:space="preserve">. Similarly, in the present study, adenomatous </w:t>
      </w:r>
      <w:r w:rsidRPr="009661D0">
        <w:rPr>
          <w:rFonts w:ascii="Book Antiqua" w:hAnsi="Book Antiqua" w:cs="Arial"/>
          <w:kern w:val="0"/>
          <w:sz w:val="24"/>
        </w:rPr>
        <w:t>GEDs mainly exhibited the I</w:t>
      </w:r>
      <w:r w:rsidR="00BE0D9F" w:rsidRPr="009661D0">
        <w:rPr>
          <w:rFonts w:ascii="Book Antiqua" w:hAnsi="Book Antiqua" w:cs="Arial"/>
          <w:kern w:val="0"/>
          <w:sz w:val="24"/>
        </w:rPr>
        <w:t>-</w:t>
      </w:r>
      <w:r w:rsidRPr="009661D0">
        <w:rPr>
          <w:rFonts w:ascii="Book Antiqua" w:hAnsi="Book Antiqua" w:cs="Arial"/>
          <w:kern w:val="0"/>
          <w:sz w:val="24"/>
        </w:rPr>
        <w:t>type; foveolar GEDs, the G</w:t>
      </w:r>
      <w:r w:rsidR="00BE0D9F" w:rsidRPr="009661D0">
        <w:rPr>
          <w:rFonts w:ascii="Book Antiqua" w:hAnsi="Book Antiqua" w:cs="Arial"/>
          <w:kern w:val="0"/>
          <w:sz w:val="24"/>
        </w:rPr>
        <w:t>-</w:t>
      </w:r>
      <w:r w:rsidRPr="009661D0">
        <w:rPr>
          <w:rFonts w:ascii="Book Antiqua" w:hAnsi="Book Antiqua" w:cs="Arial"/>
          <w:kern w:val="0"/>
          <w:sz w:val="24"/>
        </w:rPr>
        <w:t>type; and hybrid GEDs, the G</w:t>
      </w:r>
      <w:r w:rsidR="00BE0D9F" w:rsidRPr="009661D0">
        <w:rPr>
          <w:rFonts w:ascii="Book Antiqua" w:hAnsi="Book Antiqua" w:cs="Arial"/>
          <w:kern w:val="0"/>
          <w:sz w:val="24"/>
        </w:rPr>
        <w:t>-</w:t>
      </w:r>
      <w:r w:rsidRPr="009661D0">
        <w:rPr>
          <w:rFonts w:ascii="Book Antiqua" w:hAnsi="Book Antiqua" w:cs="Arial"/>
          <w:kern w:val="0"/>
          <w:sz w:val="24"/>
        </w:rPr>
        <w:t xml:space="preserve"> and GI</w:t>
      </w:r>
      <w:r w:rsidR="00BE0D9F" w:rsidRPr="009661D0">
        <w:rPr>
          <w:rFonts w:ascii="Book Antiqua" w:hAnsi="Book Antiqua" w:cs="Arial"/>
          <w:kern w:val="0"/>
          <w:sz w:val="24"/>
        </w:rPr>
        <w:t>-</w:t>
      </w:r>
      <w:r w:rsidRPr="009661D0">
        <w:rPr>
          <w:rFonts w:ascii="Book Antiqua" w:hAnsi="Book Antiqua" w:cs="Arial"/>
          <w:kern w:val="0"/>
          <w:sz w:val="24"/>
        </w:rPr>
        <w:t>types. We also investigated the ME</w:t>
      </w:r>
      <w:r w:rsidR="00BE0D9F" w:rsidRPr="009661D0">
        <w:rPr>
          <w:rFonts w:ascii="Book Antiqua" w:hAnsi="Book Antiqua" w:cs="Arial"/>
          <w:kern w:val="0"/>
          <w:sz w:val="24"/>
        </w:rPr>
        <w:t>-</w:t>
      </w:r>
      <w:r w:rsidRPr="009661D0">
        <w:rPr>
          <w:rFonts w:ascii="Book Antiqua" w:hAnsi="Book Antiqua" w:cs="Arial"/>
          <w:kern w:val="0"/>
          <w:sz w:val="24"/>
        </w:rPr>
        <w:t>NBI findings of the GEDs according to the mucin expression and found that although the MV pattern was not associated with mucin expression, the MS pattern differed significantly depending on the mucin phenotype expressed. The r</w:t>
      </w:r>
      <w:r w:rsidRPr="009661D0">
        <w:rPr>
          <w:rFonts w:ascii="Book Antiqua" w:eastAsia="AdvTimes" w:hAnsi="Book Antiqua" w:cs="Arial"/>
          <w:kern w:val="0"/>
          <w:sz w:val="24"/>
        </w:rPr>
        <w:t xml:space="preserve">ound pit and/or tubular patterns, the main MS patterns shown by adenomatous GEDs, were associated with CD10 expression, while the papillary </w:t>
      </w:r>
      <w:r w:rsidRPr="009661D0">
        <w:rPr>
          <w:rFonts w:ascii="Book Antiqua" w:eastAsia="AdvTimes" w:hAnsi="Book Antiqua" w:cs="Arial"/>
          <w:kern w:val="0"/>
          <w:sz w:val="24"/>
        </w:rPr>
        <w:lastRenderedPageBreak/>
        <w:t xml:space="preserve">pattern, the main MS pattern of foveolar GEDs, was associated with MUC5AC and MUC6 expression. These results </w:t>
      </w:r>
      <w:r w:rsidRPr="009661D0">
        <w:rPr>
          <w:rFonts w:ascii="Book Antiqua" w:hAnsi="Book Antiqua" w:cs="Arial"/>
          <w:kern w:val="0"/>
          <w:sz w:val="24"/>
        </w:rPr>
        <w:t>suggest that the mucin phenotype influences morphogenetic differences in the surface glandular structure</w:t>
      </w:r>
      <w:r w:rsidRPr="009661D0">
        <w:rPr>
          <w:rFonts w:ascii="Book Antiqua" w:hAnsi="Book Antiqua" w:cs="Arial"/>
          <w:noProof/>
          <w:kern w:val="0"/>
          <w:sz w:val="24"/>
          <w:vertAlign w:val="superscript"/>
        </w:rPr>
        <w:t>[25]</w:t>
      </w:r>
      <w:r w:rsidRPr="009661D0">
        <w:rPr>
          <w:rFonts w:ascii="Book Antiqua" w:hAnsi="Book Antiqua" w:cs="Arial"/>
          <w:kern w:val="0"/>
          <w:sz w:val="24"/>
        </w:rPr>
        <w:t>.</w:t>
      </w:r>
    </w:p>
    <w:p w:rsidR="0075590F" w:rsidRPr="009661D0" w:rsidRDefault="0075590F" w:rsidP="004177A4">
      <w:pPr>
        <w:wordWrap/>
        <w:adjustRightInd w:val="0"/>
        <w:spacing w:line="360" w:lineRule="auto"/>
        <w:ind w:firstLineChars="200" w:firstLine="480"/>
        <w:rPr>
          <w:rFonts w:ascii="Book Antiqua" w:eastAsia="AdvTimes" w:hAnsi="Book Antiqua" w:cs="Arial"/>
          <w:kern w:val="0"/>
          <w:sz w:val="24"/>
        </w:rPr>
      </w:pPr>
      <w:r w:rsidRPr="009661D0">
        <w:rPr>
          <w:rFonts w:ascii="Book Antiqua" w:hAnsi="Book Antiqua" w:cs="Arial"/>
          <w:kern w:val="0"/>
          <w:sz w:val="24"/>
        </w:rPr>
        <w:t>LBC is thought to be an accurate predictor of intestinal metaplasia of the stomach</w:t>
      </w:r>
      <w:r w:rsidRPr="009661D0">
        <w:rPr>
          <w:rFonts w:ascii="Book Antiqua" w:hAnsi="Book Antiqua" w:cs="Arial"/>
          <w:noProof/>
          <w:kern w:val="0"/>
          <w:sz w:val="24"/>
          <w:vertAlign w:val="superscript"/>
        </w:rPr>
        <w:t>[19,20]</w:t>
      </w:r>
      <w:r w:rsidRPr="009661D0">
        <w:rPr>
          <w:rFonts w:ascii="Book Antiqua" w:hAnsi="Book Antiqua" w:cs="Arial"/>
          <w:kern w:val="0"/>
          <w:sz w:val="24"/>
        </w:rPr>
        <w:t>. It is speculated that LBC results from differences in the reflectance of the light at the surface of the brush border and that LBC is associated with cells positive for CD10</w:t>
      </w:r>
      <w:r w:rsidRPr="009661D0">
        <w:rPr>
          <w:rFonts w:ascii="Book Antiqua" w:hAnsi="Book Antiqua" w:cs="Arial"/>
          <w:noProof/>
          <w:kern w:val="0"/>
          <w:sz w:val="24"/>
          <w:vertAlign w:val="superscript"/>
        </w:rPr>
        <w:t>[19]</w:t>
      </w:r>
      <w:r w:rsidRPr="009661D0">
        <w:rPr>
          <w:rFonts w:ascii="Book Antiqua" w:hAnsi="Book Antiqua" w:cs="Arial"/>
          <w:kern w:val="0"/>
          <w:sz w:val="24"/>
        </w:rPr>
        <w:t xml:space="preserve">. The present study, too, found that </w:t>
      </w:r>
      <w:r w:rsidRPr="009661D0">
        <w:rPr>
          <w:rFonts w:ascii="Book Antiqua" w:eastAsia="AdvTimes" w:hAnsi="Book Antiqua" w:cs="Arial"/>
          <w:kern w:val="0"/>
          <w:sz w:val="24"/>
        </w:rPr>
        <w:t xml:space="preserve">LBC was associated with CD10 expression. </w:t>
      </w:r>
      <w:r w:rsidRPr="009661D0">
        <w:rPr>
          <w:rFonts w:ascii="Book Antiqua" w:hAnsi="Book Antiqua" w:cs="Arial"/>
          <w:kern w:val="0"/>
          <w:sz w:val="24"/>
        </w:rPr>
        <w:t xml:space="preserve">Further, LBC was found more often with adenomatous GEDs than foveolar GEDs, although this difference was not statistically significant. In our previous study, </w:t>
      </w:r>
      <w:r w:rsidR="00EE390F" w:rsidRPr="009661D0">
        <w:rPr>
          <w:rFonts w:ascii="Book Antiqua" w:hAnsi="Book Antiqua" w:cs="Arial" w:hint="eastAsia"/>
          <w:kern w:val="0"/>
          <w:sz w:val="24"/>
        </w:rPr>
        <w:t xml:space="preserve">we found that </w:t>
      </w:r>
      <w:r w:rsidRPr="009661D0">
        <w:rPr>
          <w:rFonts w:ascii="Book Antiqua" w:hAnsi="Book Antiqua" w:cs="Arial"/>
          <w:kern w:val="0"/>
          <w:sz w:val="24"/>
        </w:rPr>
        <w:t>f</w:t>
      </w:r>
      <w:r w:rsidRPr="009661D0">
        <w:rPr>
          <w:rFonts w:ascii="Book Antiqua" w:eastAsia="AdvTimes" w:hAnsi="Book Antiqua" w:cs="Arial"/>
          <w:kern w:val="0"/>
          <w:sz w:val="24"/>
        </w:rPr>
        <w:t>oveolar GEDs were associated more often with background intestinal metaplasia showing retained expression of G</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type mucin</w:t>
      </w:r>
      <w:r w:rsidRPr="009661D0">
        <w:rPr>
          <w:rFonts w:ascii="Book Antiqua" w:eastAsia="AdvTimes" w:hAnsi="Book Antiqua" w:cs="Arial"/>
          <w:noProof/>
          <w:kern w:val="0"/>
          <w:sz w:val="24"/>
          <w:vertAlign w:val="superscript"/>
        </w:rPr>
        <w:t>[6]</w:t>
      </w:r>
      <w:r w:rsidR="00ED0AAD" w:rsidRPr="009661D0">
        <w:rPr>
          <w:rFonts w:ascii="Book Antiqua" w:eastAsia="AdvTimes" w:hAnsi="Book Antiqua" w:cs="Arial"/>
          <w:kern w:val="0"/>
          <w:sz w:val="24"/>
        </w:rPr>
        <w:t xml:space="preserve">. </w:t>
      </w:r>
      <w:r w:rsidR="00EE390F" w:rsidRPr="009661D0">
        <w:rPr>
          <w:rFonts w:ascii="Book Antiqua" w:eastAsia="AdvTimes" w:hAnsi="Book Antiqua" w:cs="Arial" w:hint="eastAsia"/>
          <w:kern w:val="0"/>
          <w:sz w:val="24"/>
        </w:rPr>
        <w:t>In contrast</w:t>
      </w:r>
      <w:r w:rsidRPr="009661D0">
        <w:rPr>
          <w:rFonts w:ascii="Book Antiqua" w:eastAsia="AdvTimes" w:hAnsi="Book Antiqua" w:cs="Arial"/>
          <w:kern w:val="0"/>
          <w:sz w:val="24"/>
        </w:rPr>
        <w:t>,</w:t>
      </w:r>
      <w:r w:rsidR="00C3525F" w:rsidRPr="009661D0">
        <w:rPr>
          <w:rFonts w:ascii="Book Antiqua" w:eastAsia="AdvTimes" w:hAnsi="Book Antiqua" w:cs="Arial" w:hint="eastAsia"/>
          <w:kern w:val="0"/>
          <w:sz w:val="24"/>
        </w:rPr>
        <w:t xml:space="preserve"> </w:t>
      </w:r>
      <w:r w:rsidRPr="009661D0">
        <w:rPr>
          <w:rFonts w:ascii="Book Antiqua" w:eastAsia="AdvTimes" w:hAnsi="Book Antiqua" w:cs="Arial"/>
          <w:kern w:val="0"/>
          <w:sz w:val="24"/>
        </w:rPr>
        <w:t>adenomatous GEDs were significantly associated with background intestinal metaplasia showing a complete I</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type mucin phenotype (CD10). This difference in mucin expression in the background intestinal metaplasia could explain the biologic difference in mucin expression between the morphologically distinct GEDs, which in turn explains why LBC is seen more often in adenomatous GEDs than in foveolar GEDs.</w:t>
      </w:r>
    </w:p>
    <w:p w:rsidR="0075590F" w:rsidRPr="009661D0" w:rsidRDefault="0075590F" w:rsidP="004177A4">
      <w:pPr>
        <w:wordWrap/>
        <w:adjustRightInd w:val="0"/>
        <w:spacing w:line="360" w:lineRule="auto"/>
        <w:ind w:firstLineChars="200" w:firstLine="480"/>
        <w:rPr>
          <w:rFonts w:ascii="Book Antiqua" w:eastAsia="AdvTimes" w:hAnsi="Book Antiqua" w:cs="Arial"/>
          <w:kern w:val="0"/>
          <w:sz w:val="24"/>
        </w:rPr>
      </w:pPr>
      <w:r w:rsidRPr="009661D0">
        <w:rPr>
          <w:rFonts w:ascii="Book Antiqua" w:eastAsia="AdvTimes" w:hAnsi="Book Antiqua" w:cs="Arial"/>
          <w:kern w:val="0"/>
          <w:sz w:val="24"/>
        </w:rPr>
        <w:t>WOS is known to result from the accumulation of lipid droplets in the neoplastic GED cells, which suggests that GEDs with WOS may have the ability to absorb lipids</w:t>
      </w:r>
      <w:r w:rsidRPr="009661D0">
        <w:rPr>
          <w:rFonts w:ascii="Book Antiqua" w:eastAsia="AdvTimes" w:hAnsi="Book Antiqua" w:cs="Arial"/>
          <w:noProof/>
          <w:kern w:val="0"/>
          <w:sz w:val="24"/>
          <w:vertAlign w:val="superscript"/>
        </w:rPr>
        <w:t>[29]</w:t>
      </w:r>
      <w:r w:rsidRPr="009661D0">
        <w:rPr>
          <w:rFonts w:ascii="Book Antiqua" w:eastAsia="AdvTimes" w:hAnsi="Book Antiqua" w:cs="Arial"/>
          <w:kern w:val="0"/>
          <w:sz w:val="24"/>
        </w:rPr>
        <w:t>. The frequency of occurrence of WOS remains poorly elucidated. In a Japanese study, 26 (53%) of 49 GEDs showed WOS, which was observed in GI</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 xml:space="preserve"> and I</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type GEDs</w:t>
      </w:r>
      <w:r w:rsidRPr="009661D0">
        <w:rPr>
          <w:rFonts w:ascii="Book Antiqua" w:eastAsia="AdvTimes" w:hAnsi="Book Antiqua" w:cs="Arial"/>
          <w:noProof/>
          <w:kern w:val="0"/>
          <w:sz w:val="24"/>
          <w:vertAlign w:val="superscript"/>
        </w:rPr>
        <w:t>[22]</w:t>
      </w:r>
      <w:r w:rsidRPr="009661D0">
        <w:rPr>
          <w:rFonts w:ascii="Book Antiqua" w:eastAsia="AdvTimes" w:hAnsi="Book Antiqua" w:cs="Arial"/>
          <w:kern w:val="0"/>
          <w:sz w:val="24"/>
        </w:rPr>
        <w:t>. In the present study, the frequency of WOS was 33% (15/46), and it did not differ depending on morphologic category or mucin phenotype expressed.</w:t>
      </w:r>
    </w:p>
    <w:p w:rsidR="0075590F" w:rsidRPr="009661D0" w:rsidRDefault="0075590F" w:rsidP="004177A4">
      <w:pPr>
        <w:wordWrap/>
        <w:adjustRightInd w:val="0"/>
        <w:spacing w:line="360" w:lineRule="auto"/>
        <w:ind w:firstLineChars="200" w:firstLine="480"/>
        <w:rPr>
          <w:rFonts w:ascii="Book Antiqua" w:hAnsi="Book Antiqua" w:cs="Arial"/>
          <w:color w:val="FF0000"/>
          <w:kern w:val="0"/>
          <w:sz w:val="24"/>
        </w:rPr>
      </w:pPr>
      <w:r w:rsidRPr="009661D0">
        <w:rPr>
          <w:rFonts w:ascii="Book Antiqua" w:hAnsi="Book Antiqua" w:cs="Arial"/>
          <w:sz w:val="24"/>
        </w:rPr>
        <w:t xml:space="preserve">This study has some limitations, which must be acknowledged. First, </w:t>
      </w:r>
      <w:r w:rsidRPr="009661D0">
        <w:rPr>
          <w:rFonts w:ascii="Book Antiqua" w:hAnsi="Book Antiqua" w:cs="Arial"/>
          <w:kern w:val="0"/>
          <w:sz w:val="24"/>
        </w:rPr>
        <w:t>this was a retrospective study that evaluated the difference in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between </w:t>
      </w:r>
      <w:r w:rsidRPr="009661D0">
        <w:rPr>
          <w:rFonts w:ascii="Book Antiqua" w:eastAsia="AdvTimes" w:hAnsi="Book Antiqua" w:cs="Arial"/>
          <w:kern w:val="0"/>
          <w:sz w:val="24"/>
        </w:rPr>
        <w:t>adenomatous and foveolar GEDs. Therefore,</w:t>
      </w:r>
      <w:r w:rsidRPr="009661D0">
        <w:rPr>
          <w:rFonts w:ascii="Book Antiqua" w:hAnsi="Book Antiqua" w:cs="Arial"/>
          <w:kern w:val="0"/>
          <w:sz w:val="24"/>
        </w:rPr>
        <w:t xml:space="preserve"> some bias may have been introduced when the ME</w:t>
      </w:r>
      <w:r w:rsidR="00BE0D9F" w:rsidRPr="009661D0">
        <w:rPr>
          <w:rFonts w:ascii="Book Antiqua" w:hAnsi="Book Antiqua" w:cs="Arial"/>
          <w:kern w:val="0"/>
          <w:sz w:val="24"/>
        </w:rPr>
        <w:t>-</w:t>
      </w:r>
      <w:r w:rsidRPr="009661D0">
        <w:rPr>
          <w:rFonts w:ascii="Book Antiqua" w:hAnsi="Book Antiqua" w:cs="Arial"/>
          <w:kern w:val="0"/>
          <w:sz w:val="24"/>
        </w:rPr>
        <w:t xml:space="preserve">NBI images were retrospectively reviewed. However, </w:t>
      </w:r>
      <w:r w:rsidRPr="009661D0">
        <w:rPr>
          <w:rFonts w:ascii="Book Antiqua" w:hAnsi="Book Antiqua" w:cs="Arial"/>
          <w:sz w:val="24"/>
        </w:rPr>
        <w:t>we capture at least 8</w:t>
      </w:r>
      <w:r w:rsidR="00BE0D9F" w:rsidRPr="009661D0">
        <w:rPr>
          <w:rFonts w:ascii="Book Antiqua" w:hAnsi="Book Antiqua" w:cs="Arial"/>
          <w:sz w:val="24"/>
        </w:rPr>
        <w:t>-</w:t>
      </w:r>
      <w:r w:rsidRPr="009661D0">
        <w:rPr>
          <w:rFonts w:ascii="Book Antiqua" w:hAnsi="Book Antiqua" w:cs="Arial"/>
          <w:sz w:val="24"/>
        </w:rPr>
        <w:t>15 images per GED during ME</w:t>
      </w:r>
      <w:r w:rsidR="00BE0D9F" w:rsidRPr="009661D0">
        <w:rPr>
          <w:rFonts w:ascii="Book Antiqua" w:hAnsi="Book Antiqua" w:cs="Arial"/>
          <w:sz w:val="24"/>
        </w:rPr>
        <w:t>-</w:t>
      </w:r>
      <w:r w:rsidRPr="009661D0">
        <w:rPr>
          <w:rFonts w:ascii="Book Antiqua" w:hAnsi="Book Antiqua" w:cs="Arial"/>
          <w:sz w:val="24"/>
        </w:rPr>
        <w:t xml:space="preserve">NBI, and </w:t>
      </w:r>
      <w:r w:rsidRPr="009661D0">
        <w:rPr>
          <w:rFonts w:ascii="Book Antiqua" w:hAnsi="Book Antiqua" w:cs="Arial"/>
          <w:kern w:val="0"/>
          <w:sz w:val="24"/>
        </w:rPr>
        <w:t>this comprehensive collection of images may compensate for the retrospective nature of this study to some degree. Second, we could not exactly match each portion of the ME</w:t>
      </w:r>
      <w:r w:rsidR="00BE0D9F" w:rsidRPr="009661D0">
        <w:rPr>
          <w:rFonts w:ascii="Book Antiqua" w:hAnsi="Book Antiqua" w:cs="Arial"/>
          <w:kern w:val="0"/>
          <w:sz w:val="24"/>
        </w:rPr>
        <w:t>-</w:t>
      </w:r>
      <w:r w:rsidRPr="009661D0">
        <w:rPr>
          <w:rFonts w:ascii="Book Antiqua" w:hAnsi="Book Antiqua" w:cs="Arial"/>
          <w:kern w:val="0"/>
          <w:sz w:val="24"/>
        </w:rPr>
        <w:t xml:space="preserve">NBI image to its </w:t>
      </w:r>
      <w:r w:rsidRPr="009661D0">
        <w:rPr>
          <w:rFonts w:ascii="Book Antiqua" w:hAnsi="Book Antiqua" w:cs="Arial"/>
          <w:kern w:val="0"/>
          <w:sz w:val="24"/>
        </w:rPr>
        <w:lastRenderedPageBreak/>
        <w:t>corresponding portion in the histologic specimens, especially those stained immunohistochemically. Third, the number of foveolar GEDs was relatively lower than that of adenomatous GEDs. In our experience, foveolar GEDs constitute about 1</w:t>
      </w:r>
      <w:r w:rsidR="00213725" w:rsidRPr="009661D0">
        <w:rPr>
          <w:rFonts w:ascii="Book Antiqua" w:hAnsi="Book Antiqua" w:cs="Arial"/>
          <w:kern w:val="0"/>
          <w:sz w:val="24"/>
        </w:rPr>
        <w:t>5</w:t>
      </w:r>
      <w:r w:rsidR="004177A4" w:rsidRPr="009661D0">
        <w:rPr>
          <w:rFonts w:ascii="Book Antiqua" w:hAnsi="Book Antiqua" w:cs="Arial"/>
          <w:kern w:val="0"/>
          <w:sz w:val="24"/>
        </w:rPr>
        <w:t>%</w:t>
      </w:r>
      <w:r w:rsidR="004177A4" w:rsidRPr="009661D0">
        <w:rPr>
          <w:rFonts w:ascii="Book Antiqua" w:eastAsia="宋体" w:hAnsi="Book Antiqua" w:cs="Arial" w:hint="eastAsia"/>
          <w:kern w:val="0"/>
          <w:sz w:val="24"/>
          <w:lang w:eastAsia="zh-CN"/>
        </w:rPr>
        <w:t>-</w:t>
      </w:r>
      <w:r w:rsidR="00213725" w:rsidRPr="009661D0">
        <w:rPr>
          <w:rFonts w:ascii="Book Antiqua" w:hAnsi="Book Antiqua" w:cs="Arial"/>
          <w:kern w:val="0"/>
          <w:sz w:val="24"/>
        </w:rPr>
        <w:t>20</w:t>
      </w:r>
      <w:r w:rsidRPr="009661D0">
        <w:rPr>
          <w:rFonts w:ascii="Book Antiqua" w:hAnsi="Book Antiqua" w:cs="Arial"/>
          <w:kern w:val="0"/>
          <w:sz w:val="24"/>
        </w:rPr>
        <w:t>% of all GEDs (unpublished data). The number of hybrid GEDs, which are a mixed form of adenomatous and foveolar GEDs, however, was quite high, and these GEDs showed characteristic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of both adenomatous and foveolar GEDs. Therefore, we believe that the small number of foveolar GEDs could not have influenced the interpretation of our results. Lastly, since </w:t>
      </w:r>
      <w:r w:rsidRPr="009661D0">
        <w:rPr>
          <w:rFonts w:ascii="Book Antiqua" w:hAnsi="Book Antiqua" w:cs="Arial"/>
          <w:sz w:val="24"/>
        </w:rPr>
        <w:t>the ME</w:t>
      </w:r>
      <w:r w:rsidR="00BE0D9F" w:rsidRPr="009661D0">
        <w:rPr>
          <w:rFonts w:ascii="Book Antiqua" w:hAnsi="Book Antiqua" w:cs="Arial"/>
          <w:sz w:val="24"/>
        </w:rPr>
        <w:t>-</w:t>
      </w:r>
      <w:r w:rsidRPr="009661D0">
        <w:rPr>
          <w:rFonts w:ascii="Book Antiqua" w:hAnsi="Book Antiqua" w:cs="Arial"/>
          <w:sz w:val="24"/>
        </w:rPr>
        <w:t xml:space="preserve">NBI findings were interpreted </w:t>
      </w:r>
      <w:r w:rsidRPr="009661D0">
        <w:rPr>
          <w:rFonts w:ascii="Book Antiqua" w:hAnsi="Book Antiqua" w:cs="Arial"/>
          <w:kern w:val="0"/>
          <w:sz w:val="24"/>
        </w:rPr>
        <w:t xml:space="preserve">by a single experienced endoscopist, </w:t>
      </w:r>
      <w:r w:rsidRPr="009661D0">
        <w:rPr>
          <w:rFonts w:ascii="Book Antiqua" w:hAnsi="Book Antiqua" w:cs="Arial"/>
          <w:sz w:val="24"/>
        </w:rPr>
        <w:t>inter</w:t>
      </w:r>
      <w:r w:rsidR="00BE0D9F" w:rsidRPr="009661D0">
        <w:rPr>
          <w:rFonts w:ascii="Book Antiqua" w:hAnsi="Book Antiqua" w:cs="Arial"/>
          <w:sz w:val="24"/>
        </w:rPr>
        <w:t>-</w:t>
      </w:r>
      <w:r w:rsidRPr="009661D0">
        <w:rPr>
          <w:rFonts w:ascii="Book Antiqua" w:hAnsi="Book Antiqua" w:cs="Arial"/>
          <w:sz w:val="24"/>
        </w:rPr>
        <w:t xml:space="preserve">observer variation was not evaluated. </w:t>
      </w:r>
      <w:r w:rsidRPr="009661D0">
        <w:rPr>
          <w:rFonts w:ascii="Book Antiqua" w:hAnsi="Book Antiqua" w:cs="Arial"/>
          <w:kern w:val="0"/>
          <w:sz w:val="24"/>
        </w:rPr>
        <w:t>Although the reliability of ME</w:t>
      </w:r>
      <w:r w:rsidR="00BE0D9F" w:rsidRPr="009661D0">
        <w:rPr>
          <w:rFonts w:ascii="Book Antiqua" w:hAnsi="Book Antiqua" w:cs="Arial"/>
          <w:kern w:val="0"/>
          <w:sz w:val="24"/>
        </w:rPr>
        <w:t>-</w:t>
      </w:r>
      <w:r w:rsidRPr="009661D0">
        <w:rPr>
          <w:rFonts w:ascii="Book Antiqua" w:hAnsi="Book Antiqua" w:cs="Arial"/>
          <w:kern w:val="0"/>
          <w:sz w:val="24"/>
        </w:rPr>
        <w:t>NBI findings has been reported recently</w:t>
      </w:r>
      <w:r w:rsidRPr="009661D0">
        <w:rPr>
          <w:rFonts w:ascii="Book Antiqua" w:hAnsi="Book Antiqua" w:cs="Arial"/>
          <w:noProof/>
          <w:kern w:val="0"/>
          <w:sz w:val="24"/>
          <w:vertAlign w:val="superscript"/>
        </w:rPr>
        <w:t>[30,31]</w:t>
      </w:r>
      <w:r w:rsidRPr="009661D0">
        <w:rPr>
          <w:rFonts w:ascii="Book Antiqua" w:hAnsi="Book Antiqua" w:cs="Arial"/>
          <w:kern w:val="0"/>
          <w:sz w:val="24"/>
        </w:rPr>
        <w:t>,</w:t>
      </w:r>
      <w:hyperlink w:anchor="_ENREF_28" w:tooltip="Pimentel-Nunes, 2012 #200" w:history="1"/>
      <w:r w:rsidRPr="009661D0">
        <w:rPr>
          <w:rFonts w:ascii="Book Antiqua" w:hAnsi="Book Antiqua" w:cs="Arial"/>
          <w:kern w:val="0"/>
          <w:sz w:val="24"/>
        </w:rPr>
        <w:t xml:space="preserve"> inter</w:t>
      </w:r>
      <w:r w:rsidR="00BE0D9F" w:rsidRPr="009661D0">
        <w:rPr>
          <w:rFonts w:ascii="Book Antiqua" w:hAnsi="Book Antiqua" w:cs="Arial"/>
          <w:kern w:val="0"/>
          <w:sz w:val="24"/>
        </w:rPr>
        <w:t>-</w:t>
      </w:r>
      <w:r w:rsidRPr="009661D0">
        <w:rPr>
          <w:rFonts w:ascii="Book Antiqua" w:hAnsi="Book Antiqua" w:cs="Arial"/>
          <w:kern w:val="0"/>
          <w:sz w:val="24"/>
        </w:rPr>
        <w:t xml:space="preserve">observer variability in </w:t>
      </w:r>
      <w:r w:rsidR="0034690E" w:rsidRPr="009661D0">
        <w:rPr>
          <w:rFonts w:ascii="Book Antiqua" w:hAnsi="Book Antiqua" w:cs="Arial" w:hint="eastAsia"/>
          <w:kern w:val="0"/>
          <w:sz w:val="24"/>
        </w:rPr>
        <w:t>assessing</w:t>
      </w:r>
      <w:r w:rsidRPr="009661D0">
        <w:rPr>
          <w:rFonts w:ascii="Book Antiqua" w:hAnsi="Book Antiqua" w:cs="Arial"/>
          <w:kern w:val="0"/>
          <w:sz w:val="24"/>
        </w:rPr>
        <w:t xml:space="preserve"> </w:t>
      </w:r>
      <w:r w:rsidR="00EE390F" w:rsidRPr="009661D0">
        <w:rPr>
          <w:rFonts w:ascii="Book Antiqua" w:hAnsi="Book Antiqua" w:cs="Arial" w:hint="eastAsia"/>
          <w:kern w:val="0"/>
          <w:sz w:val="24"/>
        </w:rPr>
        <w:t>these</w:t>
      </w:r>
      <w:r w:rsidRPr="009661D0">
        <w:rPr>
          <w:rFonts w:ascii="Book Antiqua" w:hAnsi="Book Antiqua" w:cs="Arial"/>
          <w:kern w:val="0"/>
          <w:sz w:val="24"/>
        </w:rPr>
        <w:t xml:space="preserve"> findings </w:t>
      </w:r>
      <w:r w:rsidR="00EE390F" w:rsidRPr="009661D0">
        <w:rPr>
          <w:rFonts w:ascii="Book Antiqua" w:hAnsi="Book Antiqua" w:cs="Arial" w:hint="eastAsia"/>
          <w:kern w:val="0"/>
          <w:sz w:val="24"/>
        </w:rPr>
        <w:t>must</w:t>
      </w:r>
      <w:r w:rsidR="0034690E" w:rsidRPr="009661D0">
        <w:rPr>
          <w:rFonts w:ascii="Book Antiqua" w:hAnsi="Book Antiqua" w:cs="Arial" w:hint="eastAsia"/>
          <w:kern w:val="0"/>
          <w:sz w:val="24"/>
        </w:rPr>
        <w:t xml:space="preserve"> be </w:t>
      </w:r>
      <w:r w:rsidRPr="009661D0">
        <w:rPr>
          <w:rFonts w:ascii="Book Antiqua" w:hAnsi="Book Antiqua" w:cs="Arial"/>
          <w:kern w:val="0"/>
          <w:sz w:val="24"/>
        </w:rPr>
        <w:t>evaluated before clinical application.</w:t>
      </w:r>
      <w:r w:rsidR="0074222E" w:rsidRPr="009661D0">
        <w:rPr>
          <w:rFonts w:ascii="Book Antiqua" w:hAnsi="Book Antiqua" w:cs="Arial"/>
          <w:kern w:val="0"/>
          <w:sz w:val="24"/>
        </w:rPr>
        <w:t xml:space="preserve"> </w:t>
      </w:r>
      <w:r w:rsidR="00BC080E" w:rsidRPr="009661D0">
        <w:rPr>
          <w:rFonts w:ascii="Book Antiqua" w:hAnsi="Book Antiqua" w:cs="Arial"/>
          <w:kern w:val="0"/>
          <w:sz w:val="24"/>
        </w:rPr>
        <w:t>Furthermore</w:t>
      </w:r>
      <w:r w:rsidR="0074222E" w:rsidRPr="009661D0">
        <w:rPr>
          <w:rFonts w:ascii="Book Antiqua" w:hAnsi="Book Antiqua" w:cs="Arial"/>
          <w:kern w:val="0"/>
          <w:sz w:val="24"/>
        </w:rPr>
        <w:t>, computer</w:t>
      </w:r>
      <w:r w:rsidR="00BE0D9F" w:rsidRPr="009661D0">
        <w:rPr>
          <w:rFonts w:ascii="Book Antiqua" w:hAnsi="Book Antiqua" w:cs="Arial"/>
          <w:kern w:val="0"/>
          <w:sz w:val="24"/>
        </w:rPr>
        <w:t>-</w:t>
      </w:r>
      <w:r w:rsidR="0074222E" w:rsidRPr="009661D0">
        <w:rPr>
          <w:rFonts w:ascii="Book Antiqua" w:hAnsi="Book Antiqua" w:cs="Arial"/>
          <w:kern w:val="0"/>
          <w:sz w:val="24"/>
        </w:rPr>
        <w:t xml:space="preserve">assisted automatic </w:t>
      </w:r>
      <w:r w:rsidR="002D0C08" w:rsidRPr="009661D0">
        <w:rPr>
          <w:rFonts w:ascii="Book Antiqua" w:hAnsi="Book Antiqua" w:cs="Arial"/>
          <w:kern w:val="0"/>
          <w:sz w:val="24"/>
        </w:rPr>
        <w:t>analysis for ME</w:t>
      </w:r>
      <w:r w:rsidR="00BE0D9F" w:rsidRPr="009661D0">
        <w:rPr>
          <w:rFonts w:ascii="Book Antiqua" w:hAnsi="Book Antiqua" w:cs="Arial"/>
          <w:kern w:val="0"/>
          <w:sz w:val="24"/>
        </w:rPr>
        <w:t>-</w:t>
      </w:r>
      <w:r w:rsidR="002D0C08" w:rsidRPr="009661D0">
        <w:rPr>
          <w:rFonts w:ascii="Book Antiqua" w:hAnsi="Book Antiqua" w:cs="Arial"/>
          <w:kern w:val="0"/>
          <w:sz w:val="24"/>
        </w:rPr>
        <w:t xml:space="preserve">NBI images </w:t>
      </w:r>
      <w:r w:rsidR="00F44D50" w:rsidRPr="009661D0">
        <w:rPr>
          <w:rFonts w:ascii="Book Antiqua" w:hAnsi="Book Antiqua" w:cs="Arial"/>
          <w:kern w:val="0"/>
          <w:sz w:val="24"/>
        </w:rPr>
        <w:t>would</w:t>
      </w:r>
      <w:r w:rsidR="0074222E" w:rsidRPr="009661D0">
        <w:rPr>
          <w:rFonts w:ascii="Book Antiqua" w:hAnsi="Book Antiqua" w:cs="Arial"/>
          <w:kern w:val="0"/>
          <w:sz w:val="24"/>
        </w:rPr>
        <w:t xml:space="preserve"> </w:t>
      </w:r>
      <w:r w:rsidR="002D0C08" w:rsidRPr="009661D0">
        <w:rPr>
          <w:rFonts w:ascii="Book Antiqua" w:hAnsi="Book Antiqua" w:cs="Arial"/>
          <w:kern w:val="0"/>
          <w:sz w:val="24"/>
        </w:rPr>
        <w:t xml:space="preserve">be </w:t>
      </w:r>
      <w:r w:rsidR="0074222E" w:rsidRPr="009661D0">
        <w:rPr>
          <w:rFonts w:ascii="Book Antiqua" w:hAnsi="Book Antiqua" w:cs="Arial"/>
          <w:kern w:val="0"/>
          <w:sz w:val="24"/>
        </w:rPr>
        <w:t xml:space="preserve">considered for </w:t>
      </w:r>
      <w:r w:rsidR="002D0C08" w:rsidRPr="009661D0">
        <w:rPr>
          <w:rFonts w:ascii="Book Antiqua" w:hAnsi="Book Antiqua" w:cs="Arial"/>
          <w:kern w:val="0"/>
          <w:sz w:val="24"/>
        </w:rPr>
        <w:t>quantitative examinations going beyond qualitative observation</w:t>
      </w:r>
      <w:r w:rsidR="00BC080E" w:rsidRPr="009661D0">
        <w:rPr>
          <w:rFonts w:ascii="Book Antiqua" w:hAnsi="Book Antiqua" w:cs="Arial"/>
          <w:noProof/>
          <w:kern w:val="0"/>
          <w:sz w:val="24"/>
          <w:vertAlign w:val="superscript"/>
        </w:rPr>
        <w:t>[32,33]</w:t>
      </w:r>
      <w:hyperlink w:anchor="_ENREF_28" w:tooltip="Pimentel-Nunes, 2012 #200" w:history="1"/>
      <w:r w:rsidR="002D0C08" w:rsidRPr="009661D0">
        <w:rPr>
          <w:rFonts w:ascii="Book Antiqua" w:hAnsi="Book Antiqua" w:cs="Arial"/>
          <w:kern w:val="0"/>
          <w:sz w:val="24"/>
        </w:rPr>
        <w:t>.</w:t>
      </w:r>
    </w:p>
    <w:p w:rsidR="00BC080E" w:rsidRPr="009661D0" w:rsidRDefault="0075590F" w:rsidP="004177A4">
      <w:pPr>
        <w:wordWrap/>
        <w:adjustRightInd w:val="0"/>
        <w:spacing w:line="360" w:lineRule="auto"/>
        <w:ind w:firstLineChars="200" w:firstLine="480"/>
        <w:rPr>
          <w:rFonts w:ascii="Book Antiqua" w:eastAsia="AdvTimes" w:hAnsi="Book Antiqua" w:cs="Arial"/>
          <w:kern w:val="0"/>
          <w:sz w:val="24"/>
        </w:rPr>
      </w:pPr>
      <w:r w:rsidRPr="009661D0">
        <w:rPr>
          <w:rFonts w:ascii="Book Antiqua" w:hAnsi="Book Antiqua" w:cs="Arial"/>
          <w:kern w:val="0"/>
          <w:sz w:val="24"/>
        </w:rPr>
        <w:t>In conclusion,</w:t>
      </w:r>
      <w:r w:rsidR="00C45A94">
        <w:rPr>
          <w:rFonts w:ascii="Book Antiqua" w:eastAsia="宋体" w:hAnsi="Book Antiqua" w:cs="Arial" w:hint="eastAsia"/>
          <w:kern w:val="0"/>
          <w:sz w:val="24"/>
          <w:lang w:eastAsia="zh-CN"/>
        </w:rPr>
        <w:t xml:space="preserve"> </w:t>
      </w:r>
      <w:r w:rsidRPr="009661D0">
        <w:rPr>
          <w:rFonts w:ascii="Book Antiqua" w:hAnsi="Book Antiqua" w:cs="Arial"/>
          <w:kern w:val="0"/>
          <w:sz w:val="24"/>
        </w:rPr>
        <w:t>MS pattern in the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is useful for predicting the morphologic category and mucin phenotype in GEDs. Considering that </w:t>
      </w:r>
      <w:r w:rsidRPr="009661D0">
        <w:rPr>
          <w:rFonts w:ascii="Book Antiqua" w:eastAsia="AdvTimes" w:hAnsi="Book Antiqua" w:cs="Arial"/>
          <w:kern w:val="0"/>
          <w:sz w:val="24"/>
        </w:rPr>
        <w:t>foveolar GEDs tend to be associated with high</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grade morphology,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such as the papillary MS pattern may guide decisions regarding GED treatment.</w:t>
      </w:r>
    </w:p>
    <w:p w:rsidR="00BC080E" w:rsidRPr="009661D0" w:rsidRDefault="00BC080E" w:rsidP="00646A85">
      <w:pPr>
        <w:wordWrap/>
        <w:adjustRightInd w:val="0"/>
        <w:spacing w:line="360" w:lineRule="auto"/>
        <w:rPr>
          <w:rFonts w:ascii="Book Antiqua" w:eastAsia="AdvTimes" w:hAnsi="Book Antiqua" w:cs="Arial"/>
          <w:kern w:val="0"/>
          <w:sz w:val="24"/>
        </w:rPr>
      </w:pPr>
    </w:p>
    <w:p w:rsidR="00BC080E" w:rsidRPr="009661D0" w:rsidRDefault="00F87514" w:rsidP="00646A85">
      <w:pPr>
        <w:wordWrap/>
        <w:adjustRightInd w:val="0"/>
        <w:spacing w:line="360" w:lineRule="auto"/>
        <w:rPr>
          <w:rFonts w:ascii="Book Antiqua" w:hAnsi="Book Antiqua" w:cs="Arial"/>
          <w:b/>
          <w:sz w:val="24"/>
        </w:rPr>
      </w:pPr>
      <w:r w:rsidRPr="009661D0">
        <w:rPr>
          <w:rFonts w:ascii="Book Antiqua" w:hAnsi="Book Antiqua" w:cs="Arial"/>
          <w:b/>
          <w:sz w:val="24"/>
        </w:rPr>
        <w:t>COMMENTS</w:t>
      </w:r>
    </w:p>
    <w:p w:rsidR="00BC080E" w:rsidRPr="009661D0" w:rsidRDefault="00F87514" w:rsidP="00646A85">
      <w:pPr>
        <w:wordWrap/>
        <w:adjustRightInd w:val="0"/>
        <w:spacing w:line="360" w:lineRule="auto"/>
        <w:rPr>
          <w:rFonts w:ascii="Book Antiqua" w:hAnsi="Book Antiqua" w:cs="Arial"/>
          <w:b/>
          <w:i/>
          <w:sz w:val="24"/>
        </w:rPr>
      </w:pPr>
      <w:r w:rsidRPr="009661D0">
        <w:rPr>
          <w:rFonts w:ascii="Book Antiqua" w:hAnsi="Book Antiqua" w:cs="Arial"/>
          <w:b/>
          <w:i/>
          <w:sz w:val="24"/>
        </w:rPr>
        <w:t>Background</w:t>
      </w:r>
    </w:p>
    <w:p w:rsidR="00BC080E" w:rsidRPr="00AA7042" w:rsidRDefault="00EF3BD5" w:rsidP="00646A85">
      <w:pPr>
        <w:wordWrap/>
        <w:adjustRightInd w:val="0"/>
        <w:spacing w:line="360" w:lineRule="auto"/>
        <w:rPr>
          <w:rFonts w:ascii="Book Antiqua" w:eastAsia="宋体" w:hAnsi="Book Antiqua" w:cs="Arial"/>
          <w:kern w:val="0"/>
          <w:sz w:val="24"/>
          <w:lang w:eastAsia="zh-CN"/>
        </w:rPr>
      </w:pPr>
      <w:r w:rsidRPr="009661D0">
        <w:rPr>
          <w:rFonts w:ascii="Book Antiqua" w:hAnsi="Book Antiqua" w:cs="Arial"/>
          <w:kern w:val="0"/>
          <w:sz w:val="24"/>
        </w:rPr>
        <w:t>Ga</w:t>
      </w:r>
      <w:r w:rsidRPr="009661D0">
        <w:rPr>
          <w:rFonts w:ascii="Book Antiqua" w:eastAsia="AdvTimes" w:hAnsi="Book Antiqua" w:cs="Arial"/>
          <w:kern w:val="0"/>
          <w:sz w:val="24"/>
        </w:rPr>
        <w:t xml:space="preserve">stric epithelial dysplasia (GED) has traditionally been categorized into the adenomatous and foveolar types based on the morphologic characteristics. </w:t>
      </w:r>
      <w:r w:rsidRPr="009661D0">
        <w:rPr>
          <w:rFonts w:ascii="Book Antiqua" w:hAnsi="Book Antiqua" w:cs="Arial"/>
          <w:kern w:val="0"/>
          <w:sz w:val="24"/>
        </w:rPr>
        <w:t xml:space="preserve">Magnifying </w:t>
      </w:r>
      <w:r w:rsidRPr="009661D0">
        <w:rPr>
          <w:rFonts w:ascii="Book Antiqua" w:hAnsi="Book Antiqua" w:cs="Arial"/>
          <w:sz w:val="24"/>
        </w:rPr>
        <w:t>endoscopy</w:t>
      </w:r>
      <w:r w:rsidRPr="009661D0">
        <w:rPr>
          <w:rFonts w:ascii="Book Antiqua" w:hAnsi="Book Antiqua" w:cs="Arial"/>
          <w:kern w:val="0"/>
          <w:sz w:val="24"/>
        </w:rPr>
        <w:t xml:space="preserve"> using narrow band imaging (ME</w:t>
      </w:r>
      <w:r w:rsidR="00BE0D9F" w:rsidRPr="009661D0">
        <w:rPr>
          <w:rFonts w:ascii="Book Antiqua" w:hAnsi="Book Antiqua" w:cs="Arial"/>
          <w:kern w:val="0"/>
          <w:sz w:val="24"/>
        </w:rPr>
        <w:t>-</w:t>
      </w:r>
      <w:r w:rsidRPr="009661D0">
        <w:rPr>
          <w:rFonts w:ascii="Book Antiqua" w:hAnsi="Book Antiqua" w:cs="Arial"/>
          <w:kern w:val="0"/>
          <w:sz w:val="24"/>
        </w:rPr>
        <w:t>NBI) has been used clinically because it enables visualization of the mucosa in great detail. T</w:t>
      </w:r>
      <w:r w:rsidRPr="009661D0">
        <w:rPr>
          <w:rFonts w:ascii="Book Antiqua" w:eastAsia="AdvTimes" w:hAnsi="Book Antiqua" w:cs="Arial"/>
          <w:kern w:val="0"/>
          <w:sz w:val="24"/>
        </w:rPr>
        <w:t>here has been no</w:t>
      </w:r>
      <w:r w:rsidRPr="009661D0">
        <w:rPr>
          <w:rFonts w:ascii="Book Antiqua" w:hAnsi="Book Antiqua" w:cs="Arial"/>
          <w:kern w:val="0"/>
          <w:sz w:val="24"/>
        </w:rPr>
        <w:t xml:space="preserve"> study about the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of GEDs depending on the </w:t>
      </w:r>
      <w:r w:rsidRPr="009661D0">
        <w:rPr>
          <w:rFonts w:ascii="Book Antiqua" w:eastAsia="AdvTimes" w:hAnsi="Book Antiqua" w:cs="Arial"/>
          <w:kern w:val="0"/>
          <w:sz w:val="24"/>
        </w:rPr>
        <w:t>morphologic category.</w:t>
      </w:r>
    </w:p>
    <w:p w:rsidR="00BC080E" w:rsidRPr="009661D0" w:rsidRDefault="00F87514" w:rsidP="00646A85">
      <w:pPr>
        <w:wordWrap/>
        <w:adjustRightInd w:val="0"/>
        <w:spacing w:line="360" w:lineRule="auto"/>
        <w:rPr>
          <w:rFonts w:ascii="Book Antiqua" w:hAnsi="Book Antiqua" w:cs="Arial"/>
          <w:b/>
          <w:i/>
          <w:sz w:val="24"/>
        </w:rPr>
      </w:pPr>
      <w:r w:rsidRPr="009661D0">
        <w:rPr>
          <w:rFonts w:ascii="Book Antiqua" w:hAnsi="Book Antiqua" w:cs="Arial"/>
          <w:b/>
          <w:i/>
          <w:sz w:val="24"/>
        </w:rPr>
        <w:t>Research frontiers</w:t>
      </w:r>
    </w:p>
    <w:p w:rsidR="00BC080E" w:rsidRPr="00AA7042" w:rsidRDefault="00F87514" w:rsidP="00646A85">
      <w:pPr>
        <w:wordWrap/>
        <w:adjustRightInd w:val="0"/>
        <w:spacing w:line="360" w:lineRule="auto"/>
        <w:rPr>
          <w:rFonts w:ascii="Book Antiqua" w:eastAsia="宋体" w:hAnsi="Book Antiqua" w:cs="Arial"/>
          <w:kern w:val="0"/>
          <w:sz w:val="24"/>
          <w:lang w:eastAsia="zh-CN"/>
        </w:rPr>
      </w:pPr>
      <w:r w:rsidRPr="009661D0">
        <w:rPr>
          <w:rFonts w:ascii="Book Antiqua" w:hAnsi="Book Antiqua" w:cs="Arial"/>
          <w:kern w:val="0"/>
          <w:sz w:val="24"/>
        </w:rPr>
        <w:t>In this study, the authors</w:t>
      </w:r>
      <w:r w:rsidRPr="009661D0">
        <w:rPr>
          <w:rFonts w:ascii="Book Antiqua" w:hAnsi="Book Antiqua" w:cs="Arial"/>
          <w:bCs/>
          <w:sz w:val="24"/>
        </w:rPr>
        <w:t xml:space="preserve"> </w:t>
      </w:r>
      <w:r w:rsidR="00EF3BD5" w:rsidRPr="009661D0">
        <w:rPr>
          <w:rFonts w:ascii="Book Antiqua" w:eastAsia="AdvTimes" w:hAnsi="Book Antiqua" w:cs="Arial"/>
          <w:kern w:val="0"/>
          <w:sz w:val="24"/>
        </w:rPr>
        <w:t>investigate</w:t>
      </w:r>
      <w:r w:rsidR="00794FAB" w:rsidRPr="009661D0">
        <w:rPr>
          <w:rFonts w:ascii="Book Antiqua" w:eastAsia="AdvTimes" w:hAnsi="Book Antiqua" w:cs="Arial"/>
          <w:kern w:val="0"/>
          <w:sz w:val="24"/>
        </w:rPr>
        <w:t>d</w:t>
      </w:r>
      <w:r w:rsidR="00EF3BD5" w:rsidRPr="009661D0">
        <w:rPr>
          <w:rFonts w:ascii="Book Antiqua" w:eastAsia="AdvTimes" w:hAnsi="Book Antiqua" w:cs="Arial"/>
          <w:kern w:val="0"/>
          <w:sz w:val="24"/>
        </w:rPr>
        <w:t xml:space="preserve"> the difference in ME</w:t>
      </w:r>
      <w:r w:rsidR="00BE0D9F" w:rsidRPr="009661D0">
        <w:rPr>
          <w:rFonts w:ascii="Book Antiqua" w:eastAsia="AdvTimes" w:hAnsi="Book Antiqua" w:cs="Arial"/>
          <w:kern w:val="0"/>
          <w:sz w:val="24"/>
        </w:rPr>
        <w:t>-</w:t>
      </w:r>
      <w:r w:rsidR="00EF3BD5" w:rsidRPr="009661D0">
        <w:rPr>
          <w:rFonts w:ascii="Book Antiqua" w:eastAsia="AdvTimes" w:hAnsi="Book Antiqua" w:cs="Arial"/>
          <w:kern w:val="0"/>
          <w:sz w:val="24"/>
        </w:rPr>
        <w:t>NBI findings between adenomatous and foveolar GEDs, and analyze</w:t>
      </w:r>
      <w:r w:rsidR="00794FAB" w:rsidRPr="009661D0">
        <w:rPr>
          <w:rFonts w:ascii="Book Antiqua" w:eastAsia="AdvTimes" w:hAnsi="Book Antiqua" w:cs="Arial"/>
          <w:kern w:val="0"/>
          <w:sz w:val="24"/>
        </w:rPr>
        <w:t>d</w:t>
      </w:r>
      <w:r w:rsidR="00EF3BD5" w:rsidRPr="009661D0">
        <w:rPr>
          <w:rFonts w:ascii="Book Antiqua" w:eastAsia="AdvTimes" w:hAnsi="Book Antiqua" w:cs="Arial"/>
          <w:kern w:val="0"/>
          <w:sz w:val="24"/>
        </w:rPr>
        <w:t xml:space="preserve"> the association between ME</w:t>
      </w:r>
      <w:r w:rsidR="00BE0D9F" w:rsidRPr="009661D0">
        <w:rPr>
          <w:rFonts w:ascii="Book Antiqua" w:eastAsia="AdvTimes" w:hAnsi="Book Antiqua" w:cs="Arial"/>
          <w:kern w:val="0"/>
          <w:sz w:val="24"/>
        </w:rPr>
        <w:t>-</w:t>
      </w:r>
      <w:r w:rsidR="00EF3BD5" w:rsidRPr="009661D0">
        <w:rPr>
          <w:rFonts w:ascii="Book Antiqua" w:eastAsia="AdvTimes" w:hAnsi="Book Antiqua" w:cs="Arial"/>
          <w:kern w:val="0"/>
          <w:sz w:val="24"/>
        </w:rPr>
        <w:t xml:space="preserve">NBI </w:t>
      </w:r>
      <w:r w:rsidR="00EF3BD5" w:rsidRPr="009661D0">
        <w:rPr>
          <w:rFonts w:ascii="Book Antiqua" w:eastAsia="AdvTimes" w:hAnsi="Book Antiqua" w:cs="Arial"/>
          <w:kern w:val="0"/>
          <w:sz w:val="24"/>
        </w:rPr>
        <w:lastRenderedPageBreak/>
        <w:t>findings and the mucin expression pattern.</w:t>
      </w:r>
    </w:p>
    <w:p w:rsidR="00BC080E" w:rsidRPr="009661D0" w:rsidRDefault="00F87514" w:rsidP="00646A85">
      <w:pPr>
        <w:wordWrap/>
        <w:adjustRightInd w:val="0"/>
        <w:spacing w:line="360" w:lineRule="auto"/>
        <w:rPr>
          <w:rFonts w:ascii="Book Antiqua" w:hAnsi="Book Antiqua" w:cs="Arial"/>
          <w:b/>
          <w:i/>
          <w:sz w:val="24"/>
        </w:rPr>
      </w:pPr>
      <w:r w:rsidRPr="009661D0">
        <w:rPr>
          <w:rFonts w:ascii="Book Antiqua" w:hAnsi="Book Antiqua" w:cs="Arial"/>
          <w:b/>
          <w:i/>
          <w:sz w:val="24"/>
        </w:rPr>
        <w:t>Innovations and breakthroughs</w:t>
      </w:r>
    </w:p>
    <w:p w:rsidR="00BC080E" w:rsidRPr="00AA7042" w:rsidRDefault="00794FAB" w:rsidP="00646A85">
      <w:pPr>
        <w:wordWrap/>
        <w:adjustRightInd w:val="0"/>
        <w:spacing w:line="360" w:lineRule="auto"/>
        <w:rPr>
          <w:rFonts w:ascii="Book Antiqua" w:eastAsia="宋体" w:hAnsi="Book Antiqua" w:cs="Arial"/>
          <w:kern w:val="0"/>
          <w:sz w:val="24"/>
          <w:lang w:eastAsia="zh-CN"/>
        </w:rPr>
      </w:pPr>
      <w:r w:rsidRPr="009661D0">
        <w:rPr>
          <w:rFonts w:ascii="Book Antiqua" w:hAnsi="Book Antiqua" w:cs="Arial"/>
          <w:kern w:val="0"/>
          <w:sz w:val="24"/>
        </w:rPr>
        <w:t>All adenomatous GEDs showed the round pit and/or tubular microsurface (MS) patterns, all foveolar GEDs showed the papillary pattern, and hybrid GEDs showed mixed patterns. Light blue crest was more frequently observed in adenomatous GEDs than in hybrid or foveolar GEDs. The p</w:t>
      </w:r>
      <w:r w:rsidRPr="009661D0">
        <w:rPr>
          <w:rFonts w:ascii="Book Antiqua" w:eastAsia="AdvTimes" w:hAnsi="Book Antiqua" w:cs="Arial"/>
          <w:kern w:val="0"/>
          <w:sz w:val="24"/>
        </w:rPr>
        <w:t>apillary MS pattern was associated with MUC5AC and MUC6 expression,</w:t>
      </w:r>
      <w:r w:rsidRPr="009661D0">
        <w:rPr>
          <w:rFonts w:ascii="Book Antiqua" w:hAnsi="Book Antiqua" w:cs="Arial"/>
          <w:kern w:val="0"/>
          <w:sz w:val="24"/>
        </w:rPr>
        <w:t xml:space="preserve"> and the round pit and/or tubular MS patterns were associated with CD10 expression.</w:t>
      </w:r>
    </w:p>
    <w:p w:rsidR="00BC080E" w:rsidRPr="009661D0" w:rsidRDefault="00F87514" w:rsidP="00646A85">
      <w:pPr>
        <w:wordWrap/>
        <w:adjustRightInd w:val="0"/>
        <w:spacing w:line="360" w:lineRule="auto"/>
        <w:rPr>
          <w:rFonts w:ascii="Book Antiqua" w:hAnsi="Book Antiqua" w:cs="Arial"/>
          <w:b/>
          <w:i/>
          <w:sz w:val="24"/>
        </w:rPr>
      </w:pPr>
      <w:r w:rsidRPr="009661D0">
        <w:rPr>
          <w:rFonts w:ascii="Book Antiqua" w:hAnsi="Book Antiqua" w:cs="Arial"/>
          <w:b/>
          <w:i/>
          <w:sz w:val="24"/>
        </w:rPr>
        <w:t>Applications</w:t>
      </w:r>
    </w:p>
    <w:p w:rsidR="00BC080E" w:rsidRPr="00AA7042" w:rsidRDefault="00794FAB" w:rsidP="00646A85">
      <w:pPr>
        <w:wordWrap/>
        <w:adjustRightInd w:val="0"/>
        <w:spacing w:line="360" w:lineRule="auto"/>
        <w:rPr>
          <w:rFonts w:ascii="Book Antiqua" w:eastAsia="宋体" w:hAnsi="Book Antiqua" w:cs="Arial"/>
          <w:kern w:val="0"/>
          <w:sz w:val="24"/>
          <w:lang w:eastAsia="zh-CN"/>
        </w:rPr>
      </w:pPr>
      <w:r w:rsidRPr="009661D0">
        <w:rPr>
          <w:rFonts w:ascii="Book Antiqua" w:hAnsi="Book Antiqua" w:cs="Arial"/>
          <w:kern w:val="0"/>
          <w:sz w:val="24"/>
        </w:rPr>
        <w:t>The MS pattern in the ME</w:t>
      </w:r>
      <w:r w:rsidR="00BE0D9F" w:rsidRPr="009661D0">
        <w:rPr>
          <w:rFonts w:ascii="Book Antiqua" w:hAnsi="Book Antiqua" w:cs="Arial"/>
          <w:kern w:val="0"/>
          <w:sz w:val="24"/>
        </w:rPr>
        <w:t>-</w:t>
      </w:r>
      <w:r w:rsidRPr="009661D0">
        <w:rPr>
          <w:rFonts w:ascii="Book Antiqua" w:hAnsi="Book Antiqua" w:cs="Arial"/>
          <w:kern w:val="0"/>
          <w:sz w:val="24"/>
        </w:rPr>
        <w:t xml:space="preserve">NBI findings is useful for predicting the morphologic category and mucin phenotype in GEDs. Considering that </w:t>
      </w:r>
      <w:r w:rsidRPr="009661D0">
        <w:rPr>
          <w:rFonts w:ascii="Book Antiqua" w:eastAsia="AdvTimes" w:hAnsi="Book Antiqua" w:cs="Arial"/>
          <w:kern w:val="0"/>
          <w:sz w:val="24"/>
        </w:rPr>
        <w:t>foveolar GEDs tend to be associated with high</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grade morphology, ME</w:t>
      </w:r>
      <w:r w:rsidR="00BE0D9F" w:rsidRPr="009661D0">
        <w:rPr>
          <w:rFonts w:ascii="Book Antiqua" w:eastAsia="AdvTimes" w:hAnsi="Book Antiqua" w:cs="Arial"/>
          <w:kern w:val="0"/>
          <w:sz w:val="24"/>
        </w:rPr>
        <w:t>-</w:t>
      </w:r>
      <w:r w:rsidRPr="009661D0">
        <w:rPr>
          <w:rFonts w:ascii="Book Antiqua" w:eastAsia="AdvTimes" w:hAnsi="Book Antiqua" w:cs="Arial"/>
          <w:kern w:val="0"/>
          <w:sz w:val="24"/>
        </w:rPr>
        <w:t>NBI findings such as the papillary MS pattern may guide decisions regarding GED treatment.</w:t>
      </w:r>
    </w:p>
    <w:p w:rsidR="00F87514" w:rsidRPr="009661D0" w:rsidRDefault="00F87514" w:rsidP="00646A85">
      <w:pPr>
        <w:wordWrap/>
        <w:spacing w:line="360" w:lineRule="auto"/>
        <w:rPr>
          <w:rFonts w:ascii="Book Antiqua" w:hAnsi="Book Antiqua" w:cs="Arial"/>
          <w:b/>
          <w:i/>
          <w:sz w:val="24"/>
        </w:rPr>
      </w:pPr>
      <w:r w:rsidRPr="009661D0">
        <w:rPr>
          <w:rFonts w:ascii="Book Antiqua" w:hAnsi="Book Antiqua" w:cs="Arial"/>
          <w:b/>
          <w:i/>
          <w:sz w:val="24"/>
        </w:rPr>
        <w:t>Peer review</w:t>
      </w:r>
    </w:p>
    <w:p w:rsidR="004177A4" w:rsidRDefault="00DC404B" w:rsidP="00646A85">
      <w:pPr>
        <w:wordWrap/>
        <w:adjustRightInd w:val="0"/>
        <w:spacing w:line="360" w:lineRule="auto"/>
        <w:rPr>
          <w:rFonts w:ascii="Book Antiqua" w:eastAsia="宋体" w:hAnsi="Book Antiqua" w:cs="Arial"/>
          <w:kern w:val="0"/>
          <w:sz w:val="24"/>
          <w:lang w:eastAsia="zh-CN"/>
        </w:rPr>
      </w:pPr>
      <w:r w:rsidRPr="00DC404B">
        <w:rPr>
          <w:rFonts w:ascii="Book Antiqua" w:hAnsi="Book Antiqua" w:cs="Arial"/>
          <w:kern w:val="0"/>
          <w:sz w:val="24"/>
        </w:rPr>
        <w:t>This is an interesting descriptive paper on use of magnifying endoscopy of gastric epithelial dysplasia based on the morphologic characteristics. As such there is little to criticize and overall quality of the paper is good.</w:t>
      </w:r>
    </w:p>
    <w:p w:rsidR="00DC404B" w:rsidRPr="00DC404B" w:rsidRDefault="00DC404B" w:rsidP="00646A85">
      <w:pPr>
        <w:wordWrap/>
        <w:adjustRightInd w:val="0"/>
        <w:spacing w:line="360" w:lineRule="auto"/>
        <w:rPr>
          <w:rFonts w:ascii="Book Antiqua" w:eastAsia="宋体" w:hAnsi="Book Antiqua" w:cs="Arial"/>
          <w:kern w:val="0"/>
          <w:sz w:val="24"/>
          <w:lang w:eastAsia="zh-CN"/>
        </w:rPr>
      </w:pPr>
    </w:p>
    <w:p w:rsidR="0075590F" w:rsidRPr="009661D0" w:rsidRDefault="0075590F" w:rsidP="00646A85">
      <w:pPr>
        <w:widowControl/>
        <w:wordWrap/>
        <w:autoSpaceDE/>
        <w:autoSpaceDN/>
        <w:snapToGrid w:val="0"/>
        <w:spacing w:line="360" w:lineRule="auto"/>
        <w:rPr>
          <w:rFonts w:ascii="Book Antiqua" w:hAnsi="Book Antiqua" w:cs="Arial"/>
          <w:b/>
          <w:kern w:val="0"/>
          <w:sz w:val="24"/>
        </w:rPr>
      </w:pPr>
      <w:r w:rsidRPr="009661D0">
        <w:rPr>
          <w:rFonts w:ascii="Book Antiqua" w:hAnsi="Book Antiqua" w:cs="Arial"/>
          <w:b/>
          <w:kern w:val="0"/>
          <w:sz w:val="24"/>
        </w:rPr>
        <w:t>REFERENCES</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 xml:space="preserve">1 </w:t>
      </w:r>
      <w:r w:rsidRPr="009661D0">
        <w:rPr>
          <w:rFonts w:ascii="Book Antiqua" w:eastAsia="宋体" w:hAnsi="Book Antiqua" w:cs="宋体"/>
          <w:b/>
          <w:color w:val="000000"/>
          <w:kern w:val="0"/>
          <w:sz w:val="24"/>
        </w:rPr>
        <w:t>Lewin KJ</w:t>
      </w:r>
      <w:r w:rsidRPr="009661D0">
        <w:rPr>
          <w:rFonts w:ascii="Book Antiqua" w:eastAsia="宋体" w:hAnsi="Book Antiqua" w:cs="宋体"/>
          <w:color w:val="000000"/>
          <w:kern w:val="0"/>
          <w:sz w:val="24"/>
        </w:rPr>
        <w:t>, Appleman HD. Carcinoma of the stomach. In: Rosai J</w:t>
      </w:r>
      <w:r w:rsidRPr="009661D0">
        <w:rPr>
          <w:rFonts w:ascii="Book Antiqua" w:eastAsia="宋体" w:hAnsi="Book Antiqua" w:cs="宋体" w:hint="eastAsia"/>
          <w:color w:val="000000"/>
          <w:kern w:val="0"/>
          <w:sz w:val="24"/>
        </w:rPr>
        <w:t xml:space="preserve"> </w:t>
      </w:r>
      <w:r w:rsidRPr="009661D0">
        <w:rPr>
          <w:rFonts w:ascii="Book Antiqua" w:eastAsia="宋体" w:hAnsi="Book Antiqua" w:cs="宋体"/>
          <w:color w:val="000000"/>
          <w:kern w:val="0"/>
          <w:sz w:val="24"/>
        </w:rPr>
        <w:t>ed. Atlas of Tumor Pathology. Tumors of the Esophagus and Stomach (3rd Series Fascicle 18). Washington, DC: AFIP. 1996: 245-330</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2 </w:t>
      </w:r>
      <w:r w:rsidRPr="009661D0">
        <w:rPr>
          <w:rFonts w:ascii="Book Antiqua" w:eastAsia="宋体" w:hAnsi="Book Antiqua" w:cs="宋体"/>
          <w:b/>
          <w:bCs/>
          <w:color w:val="000000"/>
          <w:kern w:val="0"/>
          <w:sz w:val="24"/>
        </w:rPr>
        <w:t>Lauwers GY</w:t>
      </w:r>
      <w:r w:rsidRPr="009661D0">
        <w:rPr>
          <w:rFonts w:ascii="Book Antiqua" w:eastAsia="宋体" w:hAnsi="Book Antiqua" w:cs="宋体"/>
          <w:color w:val="000000"/>
          <w:kern w:val="0"/>
          <w:sz w:val="24"/>
        </w:rPr>
        <w:t>. Defining the pathologic diagnosis of metaplasia, atrophy, dysplasia, and gastric adenocarcinoma. </w:t>
      </w:r>
      <w:r w:rsidRPr="009661D0">
        <w:rPr>
          <w:rFonts w:ascii="Book Antiqua" w:eastAsia="宋体" w:hAnsi="Book Antiqua" w:cs="宋体"/>
          <w:i/>
          <w:iCs/>
          <w:color w:val="000000"/>
          <w:kern w:val="0"/>
          <w:sz w:val="24"/>
        </w:rPr>
        <w:t>J Clin Gastroenterol</w:t>
      </w:r>
      <w:r w:rsidRPr="009661D0">
        <w:rPr>
          <w:rFonts w:ascii="Book Antiqua" w:eastAsia="宋体" w:hAnsi="Book Antiqua" w:cs="宋体"/>
          <w:color w:val="000000"/>
          <w:kern w:val="0"/>
          <w:sz w:val="24"/>
        </w:rPr>
        <w:t> </w:t>
      </w:r>
      <w:r w:rsidRPr="009661D0">
        <w:rPr>
          <w:rFonts w:ascii="Book Antiqua" w:eastAsia="宋体" w:hAnsi="Book Antiqua" w:cs="宋体" w:hint="eastAsia"/>
          <w:color w:val="000000"/>
          <w:kern w:val="0"/>
          <w:sz w:val="24"/>
        </w:rPr>
        <w:t>2003</w:t>
      </w:r>
      <w:r w:rsidRPr="009661D0">
        <w:rPr>
          <w:rFonts w:ascii="Book Antiqua" w:eastAsia="宋体" w:hAnsi="Book Antiqua" w:cs="宋体"/>
          <w:color w:val="000000"/>
          <w:kern w:val="0"/>
          <w:sz w:val="24"/>
        </w:rPr>
        <w:t>; </w:t>
      </w:r>
      <w:r w:rsidRPr="009661D0">
        <w:rPr>
          <w:rFonts w:ascii="Book Antiqua" w:eastAsia="宋体" w:hAnsi="Book Antiqua" w:cs="宋体"/>
          <w:b/>
          <w:bCs/>
          <w:color w:val="000000"/>
          <w:kern w:val="0"/>
          <w:sz w:val="24"/>
        </w:rPr>
        <w:t>36</w:t>
      </w:r>
      <w:r w:rsidRPr="009661D0">
        <w:rPr>
          <w:rFonts w:ascii="Book Antiqua" w:eastAsia="宋体" w:hAnsi="Book Antiqua" w:cs="宋体"/>
          <w:color w:val="000000"/>
          <w:kern w:val="0"/>
          <w:sz w:val="24"/>
        </w:rPr>
        <w:t>: S37-</w:t>
      </w:r>
      <w:r w:rsidRPr="009661D0">
        <w:rPr>
          <w:rFonts w:ascii="Book Antiqua" w:eastAsia="宋体" w:hAnsi="Book Antiqua" w:cs="宋体" w:hint="eastAsia"/>
          <w:color w:val="000000"/>
          <w:kern w:val="0"/>
          <w:sz w:val="24"/>
        </w:rPr>
        <w:t>S</w:t>
      </w:r>
      <w:r w:rsidRPr="009661D0">
        <w:rPr>
          <w:rFonts w:ascii="Book Antiqua" w:eastAsia="宋体" w:hAnsi="Book Antiqua" w:cs="宋体"/>
          <w:color w:val="000000"/>
          <w:kern w:val="0"/>
          <w:sz w:val="24"/>
        </w:rPr>
        <w:t>43; discussion S61-</w:t>
      </w:r>
      <w:r w:rsidRPr="009661D0">
        <w:rPr>
          <w:rFonts w:ascii="Book Antiqua" w:eastAsia="宋体" w:hAnsi="Book Antiqua" w:cs="宋体" w:hint="eastAsia"/>
          <w:color w:val="000000"/>
          <w:kern w:val="0"/>
          <w:sz w:val="24"/>
        </w:rPr>
        <w:t>S6</w:t>
      </w:r>
      <w:r w:rsidRPr="009661D0">
        <w:rPr>
          <w:rFonts w:ascii="Book Antiqua" w:eastAsia="宋体" w:hAnsi="Book Antiqua" w:cs="宋体"/>
          <w:color w:val="000000"/>
          <w:kern w:val="0"/>
          <w:sz w:val="24"/>
        </w:rPr>
        <w:t>2 [PMID: 12702964 DOI: 10.1097/00004836-200305001-00007]</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3 </w:t>
      </w:r>
      <w:r w:rsidRPr="009661D0">
        <w:rPr>
          <w:rFonts w:ascii="Book Antiqua" w:eastAsia="宋体" w:hAnsi="Book Antiqua" w:cs="宋体"/>
          <w:b/>
          <w:bCs/>
          <w:color w:val="000000"/>
          <w:kern w:val="0"/>
          <w:sz w:val="24"/>
        </w:rPr>
        <w:t>Lauwers GY</w:t>
      </w:r>
      <w:r w:rsidRPr="009661D0">
        <w:rPr>
          <w:rFonts w:ascii="Book Antiqua" w:eastAsia="宋体" w:hAnsi="Book Antiqua" w:cs="宋体"/>
          <w:color w:val="000000"/>
          <w:kern w:val="0"/>
          <w:sz w:val="24"/>
        </w:rPr>
        <w:t>, Riddell RH. Gastric epithelial dysplasia. </w:t>
      </w:r>
      <w:r w:rsidRPr="009661D0">
        <w:rPr>
          <w:rFonts w:ascii="Book Antiqua" w:eastAsia="宋体" w:hAnsi="Book Antiqua" w:cs="宋体"/>
          <w:i/>
          <w:iCs/>
          <w:color w:val="000000"/>
          <w:kern w:val="0"/>
          <w:sz w:val="24"/>
        </w:rPr>
        <w:t>Gut</w:t>
      </w:r>
      <w:r w:rsidRPr="009661D0">
        <w:rPr>
          <w:rFonts w:ascii="Book Antiqua" w:eastAsia="宋体" w:hAnsi="Book Antiqua" w:cs="宋体"/>
          <w:color w:val="000000"/>
          <w:kern w:val="0"/>
          <w:sz w:val="24"/>
        </w:rPr>
        <w:t> 1999; </w:t>
      </w:r>
      <w:r w:rsidRPr="009661D0">
        <w:rPr>
          <w:rFonts w:ascii="Book Antiqua" w:eastAsia="宋体" w:hAnsi="Book Antiqua" w:cs="宋体"/>
          <w:b/>
          <w:bCs/>
          <w:color w:val="000000"/>
          <w:kern w:val="0"/>
          <w:sz w:val="24"/>
        </w:rPr>
        <w:t>45</w:t>
      </w:r>
      <w:r w:rsidRPr="009661D0">
        <w:rPr>
          <w:rFonts w:ascii="Book Antiqua" w:eastAsia="宋体" w:hAnsi="Book Antiqua" w:cs="宋体"/>
          <w:color w:val="000000"/>
          <w:kern w:val="0"/>
          <w:sz w:val="24"/>
        </w:rPr>
        <w:t>: 784-790 [PMID: 10517922 DOI: 10.1136/gut.45.5.784]</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4 </w:t>
      </w:r>
      <w:r w:rsidRPr="009661D0">
        <w:rPr>
          <w:rFonts w:ascii="Book Antiqua" w:eastAsia="宋体" w:hAnsi="Book Antiqua" w:cs="宋体"/>
          <w:b/>
          <w:bCs/>
          <w:color w:val="000000"/>
          <w:kern w:val="0"/>
          <w:sz w:val="24"/>
        </w:rPr>
        <w:t>Abraham SC</w:t>
      </w:r>
      <w:r w:rsidRPr="009661D0">
        <w:rPr>
          <w:rFonts w:ascii="Book Antiqua" w:eastAsia="宋体" w:hAnsi="Book Antiqua" w:cs="宋体"/>
          <w:color w:val="000000"/>
          <w:kern w:val="0"/>
          <w:sz w:val="24"/>
        </w:rPr>
        <w:t xml:space="preserve">, Montgomery EA, Singh VK, Yardley JH, Wu TT. Gastric adenomas: intestinal-type and gastric-type adenomas differ in the risk of adenocarcinoma and </w:t>
      </w:r>
      <w:r w:rsidRPr="009661D0">
        <w:rPr>
          <w:rFonts w:ascii="Book Antiqua" w:eastAsia="宋体" w:hAnsi="Book Antiqua" w:cs="宋体"/>
          <w:color w:val="000000"/>
          <w:kern w:val="0"/>
          <w:sz w:val="24"/>
        </w:rPr>
        <w:lastRenderedPageBreak/>
        <w:t>presence of background mucosal pathology. </w:t>
      </w:r>
      <w:r w:rsidRPr="009661D0">
        <w:rPr>
          <w:rFonts w:ascii="Book Antiqua" w:eastAsia="宋体" w:hAnsi="Book Antiqua" w:cs="宋体"/>
          <w:i/>
          <w:iCs/>
          <w:color w:val="000000"/>
          <w:kern w:val="0"/>
          <w:sz w:val="24"/>
        </w:rPr>
        <w:t>Am J Surg Pathol</w:t>
      </w:r>
      <w:r w:rsidRPr="009661D0">
        <w:rPr>
          <w:rFonts w:ascii="Book Antiqua" w:eastAsia="宋体" w:hAnsi="Book Antiqua" w:cs="宋体"/>
          <w:color w:val="000000"/>
          <w:kern w:val="0"/>
          <w:sz w:val="24"/>
        </w:rPr>
        <w:t> 2002; </w:t>
      </w:r>
      <w:r w:rsidRPr="009661D0">
        <w:rPr>
          <w:rFonts w:ascii="Book Antiqua" w:eastAsia="宋体" w:hAnsi="Book Antiqua" w:cs="宋体"/>
          <w:b/>
          <w:bCs/>
          <w:color w:val="000000"/>
          <w:kern w:val="0"/>
          <w:sz w:val="24"/>
        </w:rPr>
        <w:t>26</w:t>
      </w:r>
      <w:r w:rsidRPr="009661D0">
        <w:rPr>
          <w:rFonts w:ascii="Book Antiqua" w:eastAsia="宋体" w:hAnsi="Book Antiqua" w:cs="宋体"/>
          <w:color w:val="000000"/>
          <w:kern w:val="0"/>
          <w:sz w:val="24"/>
        </w:rPr>
        <w:t>: 1276-1285 [PMID: 12360042 DOI: 10.1097/00000478-200210000-00004]</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5 </w:t>
      </w:r>
      <w:r w:rsidRPr="009661D0">
        <w:rPr>
          <w:rFonts w:ascii="Book Antiqua" w:eastAsia="宋体" w:hAnsi="Book Antiqua" w:cs="宋体"/>
          <w:b/>
          <w:bCs/>
          <w:color w:val="000000"/>
          <w:kern w:val="0"/>
          <w:sz w:val="24"/>
        </w:rPr>
        <w:t>Abraham SC</w:t>
      </w:r>
      <w:r w:rsidRPr="009661D0">
        <w:rPr>
          <w:rFonts w:ascii="Book Antiqua" w:eastAsia="宋体" w:hAnsi="Book Antiqua" w:cs="宋体"/>
          <w:color w:val="000000"/>
          <w:kern w:val="0"/>
          <w:sz w:val="24"/>
        </w:rPr>
        <w:t>, Park SJ, Lee JH, Mugartegui L, Wu TT. Genetic alterations in gastric adenomas of intestinal and foveolar phenotypes. </w:t>
      </w:r>
      <w:r w:rsidRPr="009661D0">
        <w:rPr>
          <w:rFonts w:ascii="Book Antiqua" w:eastAsia="宋体" w:hAnsi="Book Antiqua" w:cs="宋体"/>
          <w:i/>
          <w:iCs/>
          <w:color w:val="000000"/>
          <w:kern w:val="0"/>
          <w:sz w:val="24"/>
        </w:rPr>
        <w:t>Mod Pathol</w:t>
      </w:r>
      <w:r w:rsidRPr="009661D0">
        <w:rPr>
          <w:rFonts w:ascii="Book Antiqua" w:eastAsia="宋体" w:hAnsi="Book Antiqua" w:cs="宋体"/>
          <w:color w:val="000000"/>
          <w:kern w:val="0"/>
          <w:sz w:val="24"/>
        </w:rPr>
        <w:t> 2003; </w:t>
      </w:r>
      <w:r w:rsidRPr="009661D0">
        <w:rPr>
          <w:rFonts w:ascii="Book Antiqua" w:eastAsia="宋体" w:hAnsi="Book Antiqua" w:cs="宋体"/>
          <w:b/>
          <w:bCs/>
          <w:color w:val="000000"/>
          <w:kern w:val="0"/>
          <w:sz w:val="24"/>
        </w:rPr>
        <w:t>16</w:t>
      </w:r>
      <w:r w:rsidRPr="009661D0">
        <w:rPr>
          <w:rFonts w:ascii="Book Antiqua" w:eastAsia="宋体" w:hAnsi="Book Antiqua" w:cs="宋体"/>
          <w:color w:val="000000"/>
          <w:kern w:val="0"/>
          <w:sz w:val="24"/>
        </w:rPr>
        <w:t>: 786-795 [PMID: 12920223 DOI: 10.1097/01.MP.0000080349.37658.5E]</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6 </w:t>
      </w:r>
      <w:r w:rsidRPr="009661D0">
        <w:rPr>
          <w:rFonts w:ascii="Book Antiqua" w:eastAsia="宋体" w:hAnsi="Book Antiqua" w:cs="宋体"/>
          <w:b/>
          <w:bCs/>
          <w:color w:val="000000"/>
          <w:kern w:val="0"/>
          <w:sz w:val="24"/>
        </w:rPr>
        <w:t>Park do Y</w:t>
      </w:r>
      <w:r w:rsidRPr="009661D0">
        <w:rPr>
          <w:rFonts w:ascii="Book Antiqua" w:eastAsia="宋体" w:hAnsi="Book Antiqua" w:cs="宋体"/>
          <w:color w:val="000000"/>
          <w:kern w:val="0"/>
          <w:sz w:val="24"/>
        </w:rPr>
        <w:t>, Srivastava A, Kim GH, Mino-Kenudson M, Deshpande V, Zukerberg LR, Song GA, Lauwers GY. Adenomatous and foveolar gastric dysplasia: distinct patterns of mucin expression and background intestinal metaplasia. </w:t>
      </w:r>
      <w:r w:rsidRPr="009661D0">
        <w:rPr>
          <w:rFonts w:ascii="Book Antiqua" w:eastAsia="宋体" w:hAnsi="Book Antiqua" w:cs="宋体"/>
          <w:i/>
          <w:iCs/>
          <w:color w:val="000000"/>
          <w:kern w:val="0"/>
          <w:sz w:val="24"/>
        </w:rPr>
        <w:t>Am J Surg Pathol</w:t>
      </w:r>
      <w:r w:rsidRPr="009661D0">
        <w:rPr>
          <w:rFonts w:ascii="Book Antiqua" w:eastAsia="宋体" w:hAnsi="Book Antiqua" w:cs="宋体"/>
          <w:color w:val="000000"/>
          <w:kern w:val="0"/>
          <w:sz w:val="24"/>
        </w:rPr>
        <w:t> 2008; </w:t>
      </w:r>
      <w:r w:rsidRPr="009661D0">
        <w:rPr>
          <w:rFonts w:ascii="Book Antiqua" w:eastAsia="宋体" w:hAnsi="Book Antiqua" w:cs="宋体"/>
          <w:b/>
          <w:bCs/>
          <w:color w:val="000000"/>
          <w:kern w:val="0"/>
          <w:sz w:val="24"/>
        </w:rPr>
        <w:t>32</w:t>
      </w:r>
      <w:r w:rsidRPr="009661D0">
        <w:rPr>
          <w:rFonts w:ascii="Book Antiqua" w:eastAsia="宋体" w:hAnsi="Book Antiqua" w:cs="宋体"/>
          <w:color w:val="000000"/>
          <w:kern w:val="0"/>
          <w:sz w:val="24"/>
        </w:rPr>
        <w:t>: 524-533 [PMID: 18300795 DOI: 10.1097/PAS.0b013e31815b890e]</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7 </w:t>
      </w:r>
      <w:r w:rsidRPr="009661D0">
        <w:rPr>
          <w:rFonts w:ascii="Book Antiqua" w:eastAsia="宋体" w:hAnsi="Book Antiqua" w:cs="宋体"/>
          <w:b/>
          <w:bCs/>
          <w:color w:val="000000"/>
          <w:kern w:val="0"/>
          <w:sz w:val="24"/>
        </w:rPr>
        <w:t>Tsukashita S</w:t>
      </w:r>
      <w:r w:rsidRPr="009661D0">
        <w:rPr>
          <w:rFonts w:ascii="Book Antiqua" w:eastAsia="宋体" w:hAnsi="Book Antiqua" w:cs="宋体"/>
          <w:color w:val="000000"/>
          <w:kern w:val="0"/>
          <w:sz w:val="24"/>
        </w:rPr>
        <w:t>, Kushima R, Bamba M, Sugihara H, Hattori T. MUC gene expression and histogenesis of adenocarcinoma of the stomach. </w:t>
      </w:r>
      <w:r w:rsidRPr="009661D0">
        <w:rPr>
          <w:rFonts w:ascii="Book Antiqua" w:eastAsia="宋体" w:hAnsi="Book Antiqua" w:cs="宋体"/>
          <w:i/>
          <w:iCs/>
          <w:color w:val="000000"/>
          <w:kern w:val="0"/>
          <w:sz w:val="24"/>
        </w:rPr>
        <w:t>Int J Cancer</w:t>
      </w:r>
      <w:r w:rsidRPr="009661D0">
        <w:rPr>
          <w:rFonts w:ascii="Book Antiqua" w:eastAsia="宋体" w:hAnsi="Book Antiqua" w:cs="宋体"/>
          <w:color w:val="000000"/>
          <w:kern w:val="0"/>
          <w:sz w:val="24"/>
        </w:rPr>
        <w:t> 2001; </w:t>
      </w:r>
      <w:r w:rsidRPr="009661D0">
        <w:rPr>
          <w:rFonts w:ascii="Book Antiqua" w:eastAsia="宋体" w:hAnsi="Book Antiqua" w:cs="宋体"/>
          <w:b/>
          <w:bCs/>
          <w:color w:val="000000"/>
          <w:kern w:val="0"/>
          <w:sz w:val="24"/>
        </w:rPr>
        <w:t>94</w:t>
      </w:r>
      <w:r w:rsidRPr="009661D0">
        <w:rPr>
          <w:rFonts w:ascii="Book Antiqua" w:eastAsia="宋体" w:hAnsi="Book Antiqua" w:cs="宋体"/>
          <w:color w:val="000000"/>
          <w:kern w:val="0"/>
          <w:sz w:val="24"/>
        </w:rPr>
        <w:t>: 166-170 [PMID: 11668493 DOI: 10.1002/ijc.1460]</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8 </w:t>
      </w:r>
      <w:r w:rsidRPr="009661D0">
        <w:rPr>
          <w:rFonts w:ascii="Book Antiqua" w:eastAsia="宋体" w:hAnsi="Book Antiqua" w:cs="宋体"/>
          <w:b/>
          <w:bCs/>
          <w:color w:val="000000"/>
          <w:kern w:val="0"/>
          <w:sz w:val="24"/>
        </w:rPr>
        <w:t>Koseki K</w:t>
      </w:r>
      <w:r w:rsidRPr="009661D0">
        <w:rPr>
          <w:rFonts w:ascii="Book Antiqua" w:eastAsia="宋体" w:hAnsi="Book Antiqua" w:cs="宋体"/>
          <w:color w:val="000000"/>
          <w:kern w:val="0"/>
          <w:sz w:val="24"/>
        </w:rPr>
        <w:t>, Takizawa T, Koike M, Ito M, Nihei Z, Sugihara K. Distinction of differentiated type early gastric carcinoma with gastric type mucin expression. </w:t>
      </w:r>
      <w:r w:rsidRPr="009661D0">
        <w:rPr>
          <w:rFonts w:ascii="Book Antiqua" w:eastAsia="宋体" w:hAnsi="Book Antiqua" w:cs="宋体"/>
          <w:i/>
          <w:iCs/>
          <w:color w:val="000000"/>
          <w:kern w:val="0"/>
          <w:sz w:val="24"/>
        </w:rPr>
        <w:t>Cancer</w:t>
      </w:r>
      <w:r w:rsidRPr="009661D0">
        <w:rPr>
          <w:rFonts w:ascii="Book Antiqua" w:eastAsia="宋体" w:hAnsi="Book Antiqua" w:cs="宋体"/>
          <w:color w:val="000000"/>
          <w:kern w:val="0"/>
          <w:sz w:val="24"/>
        </w:rPr>
        <w:t> 2000; </w:t>
      </w:r>
      <w:r w:rsidRPr="009661D0">
        <w:rPr>
          <w:rFonts w:ascii="Book Antiqua" w:eastAsia="宋体" w:hAnsi="Book Antiqua" w:cs="宋体"/>
          <w:b/>
          <w:bCs/>
          <w:color w:val="000000"/>
          <w:kern w:val="0"/>
          <w:sz w:val="24"/>
        </w:rPr>
        <w:t>89</w:t>
      </w:r>
      <w:r w:rsidRPr="009661D0">
        <w:rPr>
          <w:rFonts w:ascii="Book Antiqua" w:eastAsia="宋体" w:hAnsi="Book Antiqua" w:cs="宋体"/>
          <w:color w:val="000000"/>
          <w:kern w:val="0"/>
          <w:sz w:val="24"/>
        </w:rPr>
        <w:t>: 724-732 [PMID: 10951333 DOI: 10.1002/1097-0142(20000815)89:4&lt;724::AID-CNCR2&gt;3.3.CO;2-W]</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9 </w:t>
      </w:r>
      <w:r w:rsidRPr="009661D0">
        <w:rPr>
          <w:rFonts w:ascii="Book Antiqua" w:eastAsia="宋体" w:hAnsi="Book Antiqua" w:cs="宋体"/>
          <w:b/>
          <w:bCs/>
          <w:color w:val="000000"/>
          <w:kern w:val="0"/>
          <w:sz w:val="24"/>
        </w:rPr>
        <w:t>Yamazaki K</w:t>
      </w:r>
      <w:r w:rsidRPr="009661D0">
        <w:rPr>
          <w:rFonts w:ascii="Book Antiqua" w:eastAsia="宋体" w:hAnsi="Book Antiqua" w:cs="宋体"/>
          <w:color w:val="000000"/>
          <w:kern w:val="0"/>
          <w:sz w:val="24"/>
        </w:rPr>
        <w:t>, Tajima Y, Makino R, Nishino N, Aoki S, Kato M, Sakamoto M, Morohara K, Kaetsu T, Kusano M. Tumor differentiation phenotype in gastric differentiated-type tumors and its relation to tumor invasion and genetic alterations. </w:t>
      </w:r>
      <w:r w:rsidRPr="009661D0">
        <w:rPr>
          <w:rFonts w:ascii="Book Antiqua" w:eastAsia="宋体" w:hAnsi="Book Antiqua" w:cs="宋体"/>
          <w:i/>
          <w:iCs/>
          <w:color w:val="000000"/>
          <w:kern w:val="0"/>
          <w:sz w:val="24"/>
        </w:rPr>
        <w:t>World J Gastroenterol</w:t>
      </w:r>
      <w:r w:rsidRPr="009661D0">
        <w:rPr>
          <w:rFonts w:ascii="Book Antiqua" w:eastAsia="宋体" w:hAnsi="Book Antiqua" w:cs="宋体"/>
          <w:color w:val="000000"/>
          <w:kern w:val="0"/>
          <w:sz w:val="24"/>
        </w:rPr>
        <w:t> 2006; </w:t>
      </w:r>
      <w:r w:rsidRPr="009661D0">
        <w:rPr>
          <w:rFonts w:ascii="Book Antiqua" w:eastAsia="宋体" w:hAnsi="Book Antiqua" w:cs="宋体"/>
          <w:b/>
          <w:bCs/>
          <w:color w:val="000000"/>
          <w:kern w:val="0"/>
          <w:sz w:val="24"/>
        </w:rPr>
        <w:t>12</w:t>
      </w:r>
      <w:r w:rsidRPr="009661D0">
        <w:rPr>
          <w:rFonts w:ascii="Book Antiqua" w:eastAsia="宋体" w:hAnsi="Book Antiqua" w:cs="宋体"/>
          <w:color w:val="000000"/>
          <w:kern w:val="0"/>
          <w:sz w:val="24"/>
        </w:rPr>
        <w:t>: 3803-3809 [PMID: 16804962]</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10 </w:t>
      </w:r>
      <w:r w:rsidRPr="009661D0">
        <w:rPr>
          <w:rFonts w:ascii="Book Antiqua" w:eastAsia="宋体" w:hAnsi="Book Antiqua" w:cs="宋体"/>
          <w:b/>
          <w:bCs/>
          <w:color w:val="000000"/>
          <w:kern w:val="0"/>
          <w:sz w:val="24"/>
        </w:rPr>
        <w:t>Ha Kim G</w:t>
      </w:r>
      <w:r w:rsidRPr="009661D0">
        <w:rPr>
          <w:rFonts w:ascii="Book Antiqua" w:eastAsia="宋体" w:hAnsi="Book Antiqua" w:cs="宋体"/>
          <w:color w:val="000000"/>
          <w:kern w:val="0"/>
          <w:sz w:val="24"/>
        </w:rPr>
        <w:t>, Am Song G, Youn Park D, Han Lee S, Hyun Lee D, Oh Kim T, Jae Jo H, Heo J, Hwan Kang D, Cho M. CDX2 expression is increased in gastric cancers with less invasiveness and intestinal mucin phenotype. </w:t>
      </w:r>
      <w:r w:rsidRPr="009661D0">
        <w:rPr>
          <w:rFonts w:ascii="Book Antiqua" w:eastAsia="宋体" w:hAnsi="Book Antiqua" w:cs="宋体"/>
          <w:i/>
          <w:iCs/>
          <w:color w:val="000000"/>
          <w:kern w:val="0"/>
          <w:sz w:val="24"/>
        </w:rPr>
        <w:t>Scand J Gastroenterol</w:t>
      </w:r>
      <w:r w:rsidRPr="009661D0">
        <w:rPr>
          <w:rFonts w:ascii="Book Antiqua" w:eastAsia="宋体" w:hAnsi="Book Antiqua" w:cs="宋体"/>
          <w:color w:val="000000"/>
          <w:kern w:val="0"/>
          <w:sz w:val="24"/>
        </w:rPr>
        <w:t> 2006; </w:t>
      </w:r>
      <w:r w:rsidRPr="009661D0">
        <w:rPr>
          <w:rFonts w:ascii="Book Antiqua" w:eastAsia="宋体" w:hAnsi="Book Antiqua" w:cs="宋体"/>
          <w:b/>
          <w:bCs/>
          <w:color w:val="000000"/>
          <w:kern w:val="0"/>
          <w:sz w:val="24"/>
        </w:rPr>
        <w:t>41</w:t>
      </w:r>
      <w:r w:rsidRPr="009661D0">
        <w:rPr>
          <w:rFonts w:ascii="Book Antiqua" w:eastAsia="宋体" w:hAnsi="Book Antiqua" w:cs="宋体"/>
          <w:color w:val="000000"/>
          <w:kern w:val="0"/>
          <w:sz w:val="24"/>
        </w:rPr>
        <w:t>: 880-886 [PMID: 16803685 DOI: 10.1080/00365520500497140]</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11 </w:t>
      </w:r>
      <w:r w:rsidRPr="009661D0">
        <w:rPr>
          <w:rFonts w:ascii="Book Antiqua" w:eastAsia="宋体" w:hAnsi="Book Antiqua" w:cs="宋体"/>
          <w:b/>
          <w:bCs/>
          <w:color w:val="000000"/>
          <w:kern w:val="0"/>
          <w:sz w:val="24"/>
        </w:rPr>
        <w:t>Kim DH</w:t>
      </w:r>
      <w:r w:rsidRPr="009661D0">
        <w:rPr>
          <w:rFonts w:ascii="Book Antiqua" w:eastAsia="宋体" w:hAnsi="Book Antiqua" w:cs="宋体"/>
          <w:color w:val="000000"/>
          <w:kern w:val="0"/>
          <w:sz w:val="24"/>
        </w:rPr>
        <w:t>, Shin N, Kim GH, Song GA, Jeon TY, Kim DH, Lauwers GY, Park do Y. Mucin expression in gastric cancer: reappraisal of its clinicopathologic and prognostic significance. </w:t>
      </w:r>
      <w:r w:rsidRPr="009661D0">
        <w:rPr>
          <w:rFonts w:ascii="Book Antiqua" w:eastAsia="宋体" w:hAnsi="Book Antiqua" w:cs="宋体"/>
          <w:i/>
          <w:iCs/>
          <w:color w:val="000000"/>
          <w:kern w:val="0"/>
          <w:sz w:val="24"/>
        </w:rPr>
        <w:t>Arch Pathol Lab Med</w:t>
      </w:r>
      <w:r w:rsidRPr="009661D0">
        <w:rPr>
          <w:rFonts w:ascii="Book Antiqua" w:eastAsia="宋体" w:hAnsi="Book Antiqua" w:cs="宋体"/>
          <w:color w:val="000000"/>
          <w:kern w:val="0"/>
          <w:sz w:val="24"/>
        </w:rPr>
        <w:t> 2013; </w:t>
      </w:r>
      <w:r w:rsidRPr="009661D0">
        <w:rPr>
          <w:rFonts w:ascii="Book Antiqua" w:eastAsia="宋体" w:hAnsi="Book Antiqua" w:cs="宋体"/>
          <w:b/>
          <w:bCs/>
          <w:color w:val="000000"/>
          <w:kern w:val="0"/>
          <w:sz w:val="24"/>
        </w:rPr>
        <w:t>137</w:t>
      </w:r>
      <w:r w:rsidRPr="009661D0">
        <w:rPr>
          <w:rFonts w:ascii="Book Antiqua" w:eastAsia="宋体" w:hAnsi="Book Antiqua" w:cs="宋体"/>
          <w:color w:val="000000"/>
          <w:kern w:val="0"/>
          <w:sz w:val="24"/>
        </w:rPr>
        <w:t>: 1047-1053 [PMID: 23899060 DOI: 10.5858/arpa.2012-0193-OA]</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lastRenderedPageBreak/>
        <w:t>12 </w:t>
      </w:r>
      <w:r w:rsidRPr="009661D0">
        <w:rPr>
          <w:rFonts w:ascii="Book Antiqua" w:eastAsia="宋体" w:hAnsi="Book Antiqua" w:cs="宋体"/>
          <w:b/>
          <w:bCs/>
          <w:color w:val="000000"/>
          <w:kern w:val="0"/>
          <w:sz w:val="24"/>
        </w:rPr>
        <w:t>Kudo S</w:t>
      </w:r>
      <w:r w:rsidRPr="009661D0">
        <w:rPr>
          <w:rFonts w:ascii="Book Antiqua" w:eastAsia="宋体" w:hAnsi="Book Antiqua" w:cs="宋体"/>
          <w:color w:val="000000"/>
          <w:kern w:val="0"/>
          <w:sz w:val="24"/>
        </w:rPr>
        <w:t>, Tamura S, Nakajima T, Yamano H, Kusaka H, Watanabe H. Diagnosis of colorectal tumorous lesions by magnifying endoscopy. </w:t>
      </w:r>
      <w:r w:rsidRPr="009661D0">
        <w:rPr>
          <w:rFonts w:ascii="Book Antiqua" w:eastAsia="宋体" w:hAnsi="Book Antiqua" w:cs="宋体"/>
          <w:i/>
          <w:iCs/>
          <w:color w:val="000000"/>
          <w:kern w:val="0"/>
          <w:sz w:val="24"/>
        </w:rPr>
        <w:t>Gastrointest Endosc</w:t>
      </w:r>
      <w:r w:rsidRPr="009661D0">
        <w:rPr>
          <w:rFonts w:ascii="Book Antiqua" w:eastAsia="宋体" w:hAnsi="Book Antiqua" w:cs="宋体"/>
          <w:color w:val="000000"/>
          <w:kern w:val="0"/>
          <w:sz w:val="24"/>
        </w:rPr>
        <w:t> 1996; </w:t>
      </w:r>
      <w:r w:rsidRPr="009661D0">
        <w:rPr>
          <w:rFonts w:ascii="Book Antiqua" w:eastAsia="宋体" w:hAnsi="Book Antiqua" w:cs="宋体"/>
          <w:b/>
          <w:bCs/>
          <w:color w:val="000000"/>
          <w:kern w:val="0"/>
          <w:sz w:val="24"/>
        </w:rPr>
        <w:t>44</w:t>
      </w:r>
      <w:r w:rsidRPr="009661D0">
        <w:rPr>
          <w:rFonts w:ascii="Book Antiqua" w:eastAsia="宋体" w:hAnsi="Book Antiqua" w:cs="宋体"/>
          <w:color w:val="000000"/>
          <w:kern w:val="0"/>
          <w:sz w:val="24"/>
        </w:rPr>
        <w:t>: 8-14 [PMID: 8836710 DOI: 10.1016/S0016-5107(96)70222-5]</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13 </w:t>
      </w:r>
      <w:r w:rsidRPr="009661D0">
        <w:rPr>
          <w:rFonts w:ascii="Book Antiqua" w:eastAsia="宋体" w:hAnsi="Book Antiqua" w:cs="宋体"/>
          <w:b/>
          <w:bCs/>
          <w:color w:val="000000"/>
          <w:kern w:val="0"/>
          <w:sz w:val="24"/>
        </w:rPr>
        <w:t>Arima M</w:t>
      </w:r>
      <w:r w:rsidRPr="009661D0">
        <w:rPr>
          <w:rFonts w:ascii="Book Antiqua" w:eastAsia="宋体" w:hAnsi="Book Antiqua" w:cs="宋体"/>
          <w:color w:val="000000"/>
          <w:kern w:val="0"/>
          <w:sz w:val="24"/>
        </w:rPr>
        <w:t>. [Early detection of esophageal neoplasms by magnifying endoscopy]. </w:t>
      </w:r>
      <w:r w:rsidRPr="009661D0">
        <w:rPr>
          <w:rFonts w:ascii="Book Antiqua" w:eastAsia="宋体" w:hAnsi="Book Antiqua" w:cs="宋体"/>
          <w:i/>
          <w:iCs/>
          <w:color w:val="000000"/>
          <w:kern w:val="0"/>
          <w:sz w:val="24"/>
        </w:rPr>
        <w:t>Gan To Kagaku Ryoho</w:t>
      </w:r>
      <w:r w:rsidRPr="009661D0">
        <w:rPr>
          <w:rFonts w:ascii="Book Antiqua" w:eastAsia="宋体" w:hAnsi="Book Antiqua" w:cs="宋体"/>
          <w:color w:val="000000"/>
          <w:kern w:val="0"/>
          <w:sz w:val="24"/>
        </w:rPr>
        <w:t> 2011; </w:t>
      </w:r>
      <w:r w:rsidRPr="009661D0">
        <w:rPr>
          <w:rFonts w:ascii="Book Antiqua" w:eastAsia="宋体" w:hAnsi="Book Antiqua" w:cs="宋体"/>
          <w:b/>
          <w:bCs/>
          <w:color w:val="000000"/>
          <w:kern w:val="0"/>
          <w:sz w:val="24"/>
        </w:rPr>
        <w:t>38</w:t>
      </w:r>
      <w:r w:rsidRPr="009661D0">
        <w:rPr>
          <w:rFonts w:ascii="Book Antiqua" w:eastAsia="宋体" w:hAnsi="Book Antiqua" w:cs="宋体"/>
          <w:color w:val="000000"/>
          <w:kern w:val="0"/>
          <w:sz w:val="24"/>
        </w:rPr>
        <w:t>: 1417-1420 [PMID: 22007354]</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14 </w:t>
      </w:r>
      <w:r w:rsidRPr="009661D0">
        <w:rPr>
          <w:rFonts w:ascii="Book Antiqua" w:eastAsia="宋体" w:hAnsi="Book Antiqua" w:cs="宋体"/>
          <w:b/>
          <w:bCs/>
          <w:color w:val="000000"/>
          <w:kern w:val="0"/>
          <w:sz w:val="24"/>
        </w:rPr>
        <w:t>Yao K</w:t>
      </w:r>
      <w:r w:rsidRPr="009661D0">
        <w:rPr>
          <w:rFonts w:ascii="Book Antiqua" w:eastAsia="宋体" w:hAnsi="Book Antiqua" w:cs="宋体"/>
          <w:color w:val="000000"/>
          <w:kern w:val="0"/>
          <w:sz w:val="24"/>
        </w:rPr>
        <w:t>. How is the VS (vessel plus surface) classification system applicable to magnifying narrow-band imaging examinations of gastric neoplasias initially diagnosed as low-grade adenomas? </w:t>
      </w:r>
      <w:r w:rsidRPr="009661D0">
        <w:rPr>
          <w:rFonts w:ascii="Book Antiqua" w:eastAsia="宋体" w:hAnsi="Book Antiqua" w:cs="宋体"/>
          <w:i/>
          <w:iCs/>
          <w:color w:val="000000"/>
          <w:kern w:val="0"/>
          <w:sz w:val="24"/>
        </w:rPr>
        <w:t>Gastric Cancer</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15</w:t>
      </w:r>
      <w:r w:rsidRPr="009661D0">
        <w:rPr>
          <w:rFonts w:ascii="Book Antiqua" w:eastAsia="宋体" w:hAnsi="Book Antiqua" w:cs="宋体"/>
          <w:color w:val="000000"/>
          <w:kern w:val="0"/>
          <w:sz w:val="24"/>
        </w:rPr>
        <w:t>: 118-120 [PMID: 22407063 DOI: 10.1007/s10120-011-0132-3]</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15 </w:t>
      </w:r>
      <w:r w:rsidRPr="009661D0">
        <w:rPr>
          <w:rFonts w:ascii="Book Antiqua" w:eastAsia="宋体" w:hAnsi="Book Antiqua" w:cs="宋体"/>
          <w:b/>
          <w:bCs/>
          <w:color w:val="000000"/>
          <w:kern w:val="0"/>
          <w:sz w:val="24"/>
        </w:rPr>
        <w:t>Maki S</w:t>
      </w:r>
      <w:r w:rsidRPr="009661D0">
        <w:rPr>
          <w:rFonts w:ascii="Book Antiqua" w:eastAsia="宋体" w:hAnsi="Book Antiqua" w:cs="宋体"/>
          <w:color w:val="000000"/>
          <w:kern w:val="0"/>
          <w:sz w:val="24"/>
        </w:rPr>
        <w:t>, Yao K, Nagahama T, Beppu T, Hisabe T, Takaki Y, Hirai F, Matsui T, Tanabe H, Iwashita A. Magnifying endoscopy with narrow-band imaging is useful in the differential diagnosis between low-grade adenoma and early cancer of superficial elevated gastric lesions. </w:t>
      </w:r>
      <w:r w:rsidRPr="009661D0">
        <w:rPr>
          <w:rFonts w:ascii="Book Antiqua" w:eastAsia="宋体" w:hAnsi="Book Antiqua" w:cs="宋体"/>
          <w:i/>
          <w:iCs/>
          <w:color w:val="000000"/>
          <w:kern w:val="0"/>
          <w:sz w:val="24"/>
        </w:rPr>
        <w:t>Gastric Cancer</w:t>
      </w:r>
      <w:r w:rsidRPr="009661D0">
        <w:rPr>
          <w:rFonts w:ascii="Book Antiqua" w:eastAsia="宋体" w:hAnsi="Book Antiqua" w:cs="宋体"/>
          <w:color w:val="000000"/>
          <w:kern w:val="0"/>
          <w:sz w:val="24"/>
        </w:rPr>
        <w:t> 2013; </w:t>
      </w:r>
      <w:r w:rsidRPr="009661D0">
        <w:rPr>
          <w:rFonts w:ascii="Book Antiqua" w:eastAsia="宋体" w:hAnsi="Book Antiqua" w:cs="宋体"/>
          <w:b/>
          <w:bCs/>
          <w:color w:val="000000"/>
          <w:kern w:val="0"/>
          <w:sz w:val="24"/>
        </w:rPr>
        <w:t>16</w:t>
      </w:r>
      <w:r w:rsidRPr="009661D0">
        <w:rPr>
          <w:rFonts w:ascii="Book Antiqua" w:eastAsia="宋体" w:hAnsi="Book Antiqua" w:cs="宋体"/>
          <w:color w:val="000000"/>
          <w:kern w:val="0"/>
          <w:sz w:val="24"/>
        </w:rPr>
        <w:t>: 140-146 [PMID: 22592604 DOI: 10.1007/s10120-012-0160-7]</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16 </w:t>
      </w:r>
      <w:r w:rsidRPr="009661D0">
        <w:rPr>
          <w:rFonts w:ascii="Book Antiqua" w:eastAsia="宋体" w:hAnsi="Book Antiqua" w:cs="宋体"/>
          <w:b/>
          <w:bCs/>
          <w:color w:val="000000"/>
          <w:kern w:val="0"/>
          <w:sz w:val="24"/>
        </w:rPr>
        <w:t>Nagahama T</w:t>
      </w:r>
      <w:r w:rsidRPr="009661D0">
        <w:rPr>
          <w:rFonts w:ascii="Book Antiqua" w:eastAsia="宋体" w:hAnsi="Book Antiqua" w:cs="宋体"/>
          <w:color w:val="000000"/>
          <w:kern w:val="0"/>
          <w:sz w:val="24"/>
        </w:rPr>
        <w:t>, Yao K, Maki S, Yasaka M, Takaki Y, Matsui T, Tanabe H, Iwashita A, Ota A. Usefulness of magnifying endoscopy with narrow-band imaging for determining the horizontal extent of early gastric cancer when there is an unclear margin by chromoendoscopy (with video). </w:t>
      </w:r>
      <w:r w:rsidRPr="009661D0">
        <w:rPr>
          <w:rFonts w:ascii="Book Antiqua" w:eastAsia="宋体" w:hAnsi="Book Antiqua" w:cs="宋体"/>
          <w:i/>
          <w:iCs/>
          <w:color w:val="000000"/>
          <w:kern w:val="0"/>
          <w:sz w:val="24"/>
        </w:rPr>
        <w:t>Gastrointest Endosc</w:t>
      </w:r>
      <w:r w:rsidRPr="009661D0">
        <w:rPr>
          <w:rFonts w:ascii="Book Antiqua" w:eastAsia="宋体" w:hAnsi="Book Antiqua" w:cs="宋体"/>
          <w:color w:val="000000"/>
          <w:kern w:val="0"/>
          <w:sz w:val="24"/>
        </w:rPr>
        <w:t> 2011; </w:t>
      </w:r>
      <w:r w:rsidRPr="009661D0">
        <w:rPr>
          <w:rFonts w:ascii="Book Antiqua" w:eastAsia="宋体" w:hAnsi="Book Antiqua" w:cs="宋体"/>
          <w:b/>
          <w:bCs/>
          <w:color w:val="000000"/>
          <w:kern w:val="0"/>
          <w:sz w:val="24"/>
        </w:rPr>
        <w:t>74</w:t>
      </w:r>
      <w:r w:rsidRPr="009661D0">
        <w:rPr>
          <w:rFonts w:ascii="Book Antiqua" w:eastAsia="宋体" w:hAnsi="Book Antiqua" w:cs="宋体"/>
          <w:color w:val="000000"/>
          <w:kern w:val="0"/>
          <w:sz w:val="24"/>
        </w:rPr>
        <w:t>: 1259-1267 [PMID: 22136775 DOI: 10.1016/j.gie.2011.09.005]</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17 </w:t>
      </w:r>
      <w:r w:rsidRPr="009661D0">
        <w:rPr>
          <w:rFonts w:ascii="Book Antiqua" w:eastAsia="宋体" w:hAnsi="Book Antiqua" w:cs="宋体"/>
          <w:b/>
          <w:bCs/>
          <w:color w:val="000000"/>
          <w:kern w:val="0"/>
          <w:sz w:val="24"/>
        </w:rPr>
        <w:t>Ezoe Y</w:t>
      </w:r>
      <w:r w:rsidRPr="009661D0">
        <w:rPr>
          <w:rFonts w:ascii="Book Antiqua" w:eastAsia="宋体" w:hAnsi="Book Antiqua" w:cs="宋体"/>
          <w:color w:val="000000"/>
          <w:kern w:val="0"/>
          <w:sz w:val="24"/>
        </w:rPr>
        <w:t>, Muto M, Uedo N, Doyama H, Yao K, Oda I, Kaneko K, Kawahara Y, Yokoi C, Sugiura Y, Ishikawa H, Takeuchi Y, Kaneko Y, Saito Y. Magnifying narrowband imaging is more accurate than conventional white-light imaging in diagnosis of gastric mucosal cancer. </w:t>
      </w:r>
      <w:r w:rsidRPr="009661D0">
        <w:rPr>
          <w:rFonts w:ascii="Book Antiqua" w:eastAsia="宋体" w:hAnsi="Book Antiqua" w:cs="宋体"/>
          <w:i/>
          <w:iCs/>
          <w:color w:val="000000"/>
          <w:kern w:val="0"/>
          <w:sz w:val="24"/>
        </w:rPr>
        <w:t>Gastroenterology</w:t>
      </w:r>
      <w:r w:rsidRPr="009661D0">
        <w:rPr>
          <w:rFonts w:ascii="Book Antiqua" w:eastAsia="宋体" w:hAnsi="Book Antiqua" w:cs="宋体"/>
          <w:color w:val="000000"/>
          <w:kern w:val="0"/>
          <w:sz w:val="24"/>
        </w:rPr>
        <w:t> 2011; </w:t>
      </w:r>
      <w:r w:rsidRPr="009661D0">
        <w:rPr>
          <w:rFonts w:ascii="Book Antiqua" w:eastAsia="宋体" w:hAnsi="Book Antiqua" w:cs="宋体"/>
          <w:b/>
          <w:bCs/>
          <w:color w:val="000000"/>
          <w:kern w:val="0"/>
          <w:sz w:val="24"/>
        </w:rPr>
        <w:t>141</w:t>
      </w:r>
      <w:r w:rsidRPr="009661D0">
        <w:rPr>
          <w:rFonts w:ascii="Book Antiqua" w:eastAsia="宋体" w:hAnsi="Book Antiqua" w:cs="宋体"/>
          <w:color w:val="000000"/>
          <w:kern w:val="0"/>
          <w:sz w:val="24"/>
        </w:rPr>
        <w:t>: 2017-2025.e3 [PMID: 21856268 DOI: 10.1053/j.gastro.2011.08.007]</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18 </w:t>
      </w:r>
      <w:r w:rsidRPr="009661D0">
        <w:rPr>
          <w:rFonts w:ascii="Book Antiqua" w:eastAsia="宋体" w:hAnsi="Book Antiqua" w:cs="宋体"/>
          <w:b/>
          <w:bCs/>
          <w:color w:val="000000"/>
          <w:kern w:val="0"/>
          <w:sz w:val="24"/>
        </w:rPr>
        <w:t>Yagi K</w:t>
      </w:r>
      <w:r w:rsidRPr="009661D0">
        <w:rPr>
          <w:rFonts w:ascii="Book Antiqua" w:eastAsia="宋体" w:hAnsi="Book Antiqua" w:cs="宋体"/>
          <w:color w:val="000000"/>
          <w:kern w:val="0"/>
          <w:sz w:val="24"/>
        </w:rPr>
        <w:t>, Honda H, Yang JM, Nakagawa S. Magnifying endoscopy in gastritis of the corpus. </w:t>
      </w:r>
      <w:r w:rsidRPr="009661D0">
        <w:rPr>
          <w:rFonts w:ascii="Book Antiqua" w:eastAsia="宋体" w:hAnsi="Book Antiqua" w:cs="宋体"/>
          <w:i/>
          <w:iCs/>
          <w:color w:val="000000"/>
          <w:kern w:val="0"/>
          <w:sz w:val="24"/>
        </w:rPr>
        <w:t>Endoscopy</w:t>
      </w:r>
      <w:r w:rsidRPr="009661D0">
        <w:rPr>
          <w:rFonts w:ascii="Book Antiqua" w:eastAsia="宋体" w:hAnsi="Book Antiqua" w:cs="宋体"/>
          <w:color w:val="000000"/>
          <w:kern w:val="0"/>
          <w:sz w:val="24"/>
        </w:rPr>
        <w:t> 2005; </w:t>
      </w:r>
      <w:r w:rsidRPr="009661D0">
        <w:rPr>
          <w:rFonts w:ascii="Book Antiqua" w:eastAsia="宋体" w:hAnsi="Book Antiqua" w:cs="宋体"/>
          <w:b/>
          <w:bCs/>
          <w:color w:val="000000"/>
          <w:kern w:val="0"/>
          <w:sz w:val="24"/>
        </w:rPr>
        <w:t>37</w:t>
      </w:r>
      <w:r w:rsidRPr="009661D0">
        <w:rPr>
          <w:rFonts w:ascii="Book Antiqua" w:eastAsia="宋体" w:hAnsi="Book Antiqua" w:cs="宋体"/>
          <w:color w:val="000000"/>
          <w:kern w:val="0"/>
          <w:sz w:val="24"/>
        </w:rPr>
        <w:t>: 660-666 [PMID: 16010611 DOI: 10.1055/s-2005-861423]</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19 </w:t>
      </w:r>
      <w:r w:rsidRPr="009661D0">
        <w:rPr>
          <w:rFonts w:ascii="Book Antiqua" w:eastAsia="宋体" w:hAnsi="Book Antiqua" w:cs="宋体"/>
          <w:b/>
          <w:bCs/>
          <w:color w:val="000000"/>
          <w:kern w:val="0"/>
          <w:sz w:val="24"/>
        </w:rPr>
        <w:t>Uedo N</w:t>
      </w:r>
      <w:r w:rsidRPr="009661D0">
        <w:rPr>
          <w:rFonts w:ascii="Book Antiqua" w:eastAsia="宋体" w:hAnsi="Book Antiqua" w:cs="宋体"/>
          <w:color w:val="000000"/>
          <w:kern w:val="0"/>
          <w:sz w:val="24"/>
        </w:rPr>
        <w:t>, Ishihara R, Iishi H, Yamamoto S, Yamamoto S, Yamada T, Imanaka K, Takeuchi Y, Higashino K, Ishiguro S, Tatsuta M. A new method of diagnosing gastric intestinal metaplasia: narrow-band imaging with magnifying endoscopy. </w:t>
      </w:r>
      <w:r w:rsidRPr="009661D0">
        <w:rPr>
          <w:rFonts w:ascii="Book Antiqua" w:eastAsia="宋体" w:hAnsi="Book Antiqua" w:cs="宋体"/>
          <w:i/>
          <w:iCs/>
          <w:color w:val="000000"/>
          <w:kern w:val="0"/>
          <w:sz w:val="24"/>
        </w:rPr>
        <w:t>Endoscopy</w:t>
      </w:r>
      <w:r w:rsidRPr="009661D0">
        <w:rPr>
          <w:rFonts w:ascii="Book Antiqua" w:eastAsia="宋体" w:hAnsi="Book Antiqua" w:cs="宋体"/>
          <w:color w:val="000000"/>
          <w:kern w:val="0"/>
          <w:sz w:val="24"/>
        </w:rPr>
        <w:t> 2006; </w:t>
      </w:r>
      <w:r w:rsidRPr="009661D0">
        <w:rPr>
          <w:rFonts w:ascii="Book Antiqua" w:eastAsia="宋体" w:hAnsi="Book Antiqua" w:cs="宋体"/>
          <w:b/>
          <w:bCs/>
          <w:color w:val="000000"/>
          <w:kern w:val="0"/>
          <w:sz w:val="24"/>
        </w:rPr>
        <w:t>38</w:t>
      </w:r>
      <w:r w:rsidRPr="009661D0">
        <w:rPr>
          <w:rFonts w:ascii="Book Antiqua" w:eastAsia="宋体" w:hAnsi="Book Antiqua" w:cs="宋体"/>
          <w:color w:val="000000"/>
          <w:kern w:val="0"/>
          <w:sz w:val="24"/>
        </w:rPr>
        <w:t>: 819-824 [PMID: 17001572 DOI: 10.1055/s-2006-944632]</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lastRenderedPageBreak/>
        <w:t>20 </w:t>
      </w:r>
      <w:r w:rsidRPr="009661D0">
        <w:rPr>
          <w:rFonts w:ascii="Book Antiqua" w:eastAsia="宋体" w:hAnsi="Book Antiqua" w:cs="宋体"/>
          <w:b/>
          <w:bCs/>
          <w:color w:val="000000"/>
          <w:kern w:val="0"/>
          <w:sz w:val="24"/>
        </w:rPr>
        <w:t>An JK</w:t>
      </w:r>
      <w:r w:rsidRPr="009661D0">
        <w:rPr>
          <w:rFonts w:ascii="Book Antiqua" w:eastAsia="宋体" w:hAnsi="Book Antiqua" w:cs="宋体"/>
          <w:color w:val="000000"/>
          <w:kern w:val="0"/>
          <w:sz w:val="24"/>
        </w:rPr>
        <w:t>, Song GA, Kim GH, Park do Y, Shin NR, Lee BE, Woo HY, Ryu DY, Kim DU, Heo J. Marginal turbid band and light blue crest, signs observed in magnifying narrow-band imaging endoscopy, are indicative of gastric intestinal metaplasia. </w:t>
      </w:r>
      <w:r w:rsidRPr="009661D0">
        <w:rPr>
          <w:rFonts w:ascii="Book Antiqua" w:eastAsia="宋体" w:hAnsi="Book Antiqua" w:cs="宋体"/>
          <w:i/>
          <w:iCs/>
          <w:color w:val="000000"/>
          <w:kern w:val="0"/>
          <w:sz w:val="24"/>
        </w:rPr>
        <w:t>BMC Gastroenterol</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12</w:t>
      </w:r>
      <w:r w:rsidRPr="009661D0">
        <w:rPr>
          <w:rFonts w:ascii="Book Antiqua" w:eastAsia="宋体" w:hAnsi="Book Antiqua" w:cs="宋体"/>
          <w:color w:val="000000"/>
          <w:kern w:val="0"/>
          <w:sz w:val="24"/>
        </w:rPr>
        <w:t>: 169 [PMID: 23185997 DOI: 10.1186/1471-230X-12-169]</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21 </w:t>
      </w:r>
      <w:r w:rsidRPr="009661D0">
        <w:rPr>
          <w:rFonts w:ascii="Book Antiqua" w:eastAsia="宋体" w:hAnsi="Book Antiqua" w:cs="宋体"/>
          <w:b/>
          <w:bCs/>
          <w:color w:val="000000"/>
          <w:kern w:val="0"/>
          <w:sz w:val="24"/>
        </w:rPr>
        <w:t>Tsuji Y</w:t>
      </w:r>
      <w:r w:rsidRPr="009661D0">
        <w:rPr>
          <w:rFonts w:ascii="Book Antiqua" w:eastAsia="宋体" w:hAnsi="Book Antiqua" w:cs="宋体"/>
          <w:color w:val="000000"/>
          <w:kern w:val="0"/>
          <w:sz w:val="24"/>
        </w:rPr>
        <w:t>, Ohata K, Sekiguchi M, Ohno A, Ito T, Chiba H, Gunji T, Fukushima J, Yamamichi N, Fujishiro M, Matsuhashi N, Koike K. Magnifying endoscopy with narrow-band imaging helps determine the management of gastric adenomas. </w:t>
      </w:r>
      <w:r w:rsidRPr="009661D0">
        <w:rPr>
          <w:rFonts w:ascii="Book Antiqua" w:eastAsia="宋体" w:hAnsi="Book Antiqua" w:cs="宋体"/>
          <w:i/>
          <w:iCs/>
          <w:color w:val="000000"/>
          <w:kern w:val="0"/>
          <w:sz w:val="24"/>
        </w:rPr>
        <w:t>Gastric Cancer</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15</w:t>
      </w:r>
      <w:r w:rsidRPr="009661D0">
        <w:rPr>
          <w:rFonts w:ascii="Book Antiqua" w:eastAsia="宋体" w:hAnsi="Book Antiqua" w:cs="宋体"/>
          <w:color w:val="000000"/>
          <w:kern w:val="0"/>
          <w:sz w:val="24"/>
        </w:rPr>
        <w:t>: 414-418 [PMID: 22252155 DOI: 10.1007/s10120-011-0133-2]</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22 </w:t>
      </w:r>
      <w:r w:rsidRPr="009661D0">
        <w:rPr>
          <w:rFonts w:ascii="Book Antiqua" w:eastAsia="宋体" w:hAnsi="Book Antiqua" w:cs="宋体"/>
          <w:b/>
          <w:bCs/>
          <w:color w:val="000000"/>
          <w:kern w:val="0"/>
          <w:sz w:val="24"/>
        </w:rPr>
        <w:t>Yao K</w:t>
      </w:r>
      <w:r w:rsidRPr="009661D0">
        <w:rPr>
          <w:rFonts w:ascii="Book Antiqua" w:eastAsia="宋体" w:hAnsi="Book Antiqua" w:cs="宋体"/>
          <w:color w:val="000000"/>
          <w:kern w:val="0"/>
          <w:sz w:val="24"/>
        </w:rPr>
        <w:t>, Iwashita A, Nambu M, Tanabe H, Nagahama T, Maki S, Ishikawa H, Matsui T, Enjoji M. Nature of white opaque substance in gastric epithelial neoplasia as visualized by magnifying endoscopy with narrow-band imaging. </w:t>
      </w:r>
      <w:r w:rsidRPr="009661D0">
        <w:rPr>
          <w:rFonts w:ascii="Book Antiqua" w:eastAsia="宋体" w:hAnsi="Book Antiqua" w:cs="宋体"/>
          <w:i/>
          <w:iCs/>
          <w:color w:val="000000"/>
          <w:kern w:val="0"/>
          <w:sz w:val="24"/>
        </w:rPr>
        <w:t>Dig Endosc</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24</w:t>
      </w:r>
      <w:r w:rsidRPr="009661D0">
        <w:rPr>
          <w:rFonts w:ascii="Book Antiqua" w:eastAsia="宋体" w:hAnsi="Book Antiqua" w:cs="宋体"/>
          <w:color w:val="000000"/>
          <w:kern w:val="0"/>
          <w:sz w:val="24"/>
        </w:rPr>
        <w:t>: 419-425 [PMID: 23078433 DOI: 10.1111/j.1443-1661.2012.01314.x]</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23 </w:t>
      </w:r>
      <w:r w:rsidRPr="009661D0">
        <w:rPr>
          <w:rFonts w:ascii="Book Antiqua" w:eastAsia="宋体" w:hAnsi="Book Antiqua" w:cs="宋体"/>
          <w:b/>
          <w:bCs/>
          <w:color w:val="000000"/>
          <w:kern w:val="0"/>
          <w:sz w:val="24"/>
        </w:rPr>
        <w:t>Yao K</w:t>
      </w:r>
      <w:r w:rsidRPr="009661D0">
        <w:rPr>
          <w:rFonts w:ascii="Book Antiqua" w:eastAsia="宋体" w:hAnsi="Book Antiqua" w:cs="宋体"/>
          <w:color w:val="000000"/>
          <w:kern w:val="0"/>
          <w:sz w:val="24"/>
        </w:rPr>
        <w:t>, Iwashita A, Tanabe H, Nishimata N, Nagahama T, Maki S, Takaki Y, Hirai F, Hisabe T, Nishimura T, Matsui T. White opaque substance within superficial elevated gastric neoplasia as visualized by magnification endoscopy with narrow-band imaging: a new optical sign for differentiating between adenoma and carcinoma. </w:t>
      </w:r>
      <w:r w:rsidRPr="009661D0">
        <w:rPr>
          <w:rFonts w:ascii="Book Antiqua" w:eastAsia="宋体" w:hAnsi="Book Antiqua" w:cs="宋体"/>
          <w:i/>
          <w:iCs/>
          <w:color w:val="000000"/>
          <w:kern w:val="0"/>
          <w:sz w:val="24"/>
        </w:rPr>
        <w:t>Gastrointest Endosc</w:t>
      </w:r>
      <w:r w:rsidRPr="009661D0">
        <w:rPr>
          <w:rFonts w:ascii="Book Antiqua" w:eastAsia="宋体" w:hAnsi="Book Antiqua" w:cs="宋体"/>
          <w:color w:val="000000"/>
          <w:kern w:val="0"/>
          <w:sz w:val="24"/>
        </w:rPr>
        <w:t> 2008; </w:t>
      </w:r>
      <w:r w:rsidRPr="009661D0">
        <w:rPr>
          <w:rFonts w:ascii="Book Antiqua" w:eastAsia="宋体" w:hAnsi="Book Antiqua" w:cs="宋体"/>
          <w:b/>
          <w:bCs/>
          <w:color w:val="000000"/>
          <w:kern w:val="0"/>
          <w:sz w:val="24"/>
        </w:rPr>
        <w:t>68</w:t>
      </w:r>
      <w:r w:rsidRPr="009661D0">
        <w:rPr>
          <w:rFonts w:ascii="Book Antiqua" w:eastAsia="宋体" w:hAnsi="Book Antiqua" w:cs="宋体"/>
          <w:color w:val="000000"/>
          <w:kern w:val="0"/>
          <w:sz w:val="24"/>
        </w:rPr>
        <w:t>: 574-580 [PMID: 18656862 DOI: 10.1016/j.gie.2008.04.011]</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24 </w:t>
      </w:r>
      <w:r w:rsidRPr="009661D0">
        <w:rPr>
          <w:rFonts w:ascii="Book Antiqua" w:eastAsia="宋体" w:hAnsi="Book Antiqua" w:cs="宋体"/>
          <w:b/>
          <w:bCs/>
          <w:color w:val="000000"/>
          <w:kern w:val="0"/>
          <w:sz w:val="24"/>
        </w:rPr>
        <w:t>Schlemper RJ</w:t>
      </w:r>
      <w:r w:rsidRPr="009661D0">
        <w:rPr>
          <w:rFonts w:ascii="Book Antiqua" w:eastAsia="宋体" w:hAnsi="Book Antiqua" w:cs="宋体"/>
          <w:color w:val="000000"/>
          <w:kern w:val="0"/>
          <w:sz w:val="24"/>
        </w:rPr>
        <w:t>, Riddell RH, Kato Y, Borchard F, Cooper HS, Dawsey SM, Dixon MF, Fenoglio-Preiser CM, Fléjou JF, Geboes K, Hattori T, Hirota T, Itabashi M, Iwafuchi M, Iwashita A, Kim YI, Kirchner T, Klimpfinger M, Koike M, Lauwers GY, Lewin KJ, Oberhuber G, Offner F, Price AB, Rubio CA, Shimizu M, Shimoda T, Sipponen P, Solcia E, Stolte M, Watanabe H, Yamabe H. The Vienna classification of gastrointestinal epithelial neoplasia. </w:t>
      </w:r>
      <w:r w:rsidRPr="009661D0">
        <w:rPr>
          <w:rFonts w:ascii="Book Antiqua" w:eastAsia="宋体" w:hAnsi="Book Antiqua" w:cs="宋体"/>
          <w:i/>
          <w:iCs/>
          <w:color w:val="000000"/>
          <w:kern w:val="0"/>
          <w:sz w:val="24"/>
        </w:rPr>
        <w:t>Gut</w:t>
      </w:r>
      <w:r w:rsidRPr="009661D0">
        <w:rPr>
          <w:rFonts w:ascii="Book Antiqua" w:eastAsia="宋体" w:hAnsi="Book Antiqua" w:cs="宋体"/>
          <w:color w:val="000000"/>
          <w:kern w:val="0"/>
          <w:sz w:val="24"/>
        </w:rPr>
        <w:t> 2000; </w:t>
      </w:r>
      <w:r w:rsidRPr="009661D0">
        <w:rPr>
          <w:rFonts w:ascii="Book Antiqua" w:eastAsia="宋体" w:hAnsi="Book Antiqua" w:cs="宋体"/>
          <w:b/>
          <w:bCs/>
          <w:color w:val="000000"/>
          <w:kern w:val="0"/>
          <w:sz w:val="24"/>
        </w:rPr>
        <w:t>47</w:t>
      </w:r>
      <w:r w:rsidRPr="009661D0">
        <w:rPr>
          <w:rFonts w:ascii="Book Antiqua" w:eastAsia="宋体" w:hAnsi="Book Antiqua" w:cs="宋体"/>
          <w:color w:val="000000"/>
          <w:kern w:val="0"/>
          <w:sz w:val="24"/>
        </w:rPr>
        <w:t>: 251-255 [PMID: 10896917 DOI: 10.1136/gut.47.2.251]</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25 </w:t>
      </w:r>
      <w:r w:rsidRPr="009661D0">
        <w:rPr>
          <w:rFonts w:ascii="Book Antiqua" w:eastAsia="宋体" w:hAnsi="Book Antiqua" w:cs="宋体"/>
          <w:b/>
          <w:bCs/>
          <w:color w:val="000000"/>
          <w:kern w:val="0"/>
          <w:sz w:val="24"/>
        </w:rPr>
        <w:t>Kobayashi M</w:t>
      </w:r>
      <w:r w:rsidRPr="009661D0">
        <w:rPr>
          <w:rFonts w:ascii="Book Antiqua" w:eastAsia="宋体" w:hAnsi="Book Antiqua" w:cs="宋体"/>
          <w:color w:val="000000"/>
          <w:kern w:val="0"/>
          <w:sz w:val="24"/>
        </w:rPr>
        <w:t>, Takeuchi M, Ajioka Y, Hashimoto S, Sato A, Narisawa R, Aoyagi Y. Mucin phenotype and narrow-band imaging with magnifying endoscopy for differentiated-type mucosal gastric cancer. </w:t>
      </w:r>
      <w:r w:rsidRPr="009661D0">
        <w:rPr>
          <w:rFonts w:ascii="Book Antiqua" w:eastAsia="宋体" w:hAnsi="Book Antiqua" w:cs="宋体"/>
          <w:i/>
          <w:iCs/>
          <w:color w:val="000000"/>
          <w:kern w:val="0"/>
          <w:sz w:val="24"/>
        </w:rPr>
        <w:t>J Gastroenterol</w:t>
      </w:r>
      <w:r w:rsidRPr="009661D0">
        <w:rPr>
          <w:rFonts w:ascii="Book Antiqua" w:eastAsia="宋体" w:hAnsi="Book Antiqua" w:cs="宋体"/>
          <w:color w:val="000000"/>
          <w:kern w:val="0"/>
          <w:sz w:val="24"/>
        </w:rPr>
        <w:t> 2011; </w:t>
      </w:r>
      <w:r w:rsidRPr="009661D0">
        <w:rPr>
          <w:rFonts w:ascii="Book Antiqua" w:eastAsia="宋体" w:hAnsi="Book Antiqua" w:cs="宋体"/>
          <w:b/>
          <w:bCs/>
          <w:color w:val="000000"/>
          <w:kern w:val="0"/>
          <w:sz w:val="24"/>
        </w:rPr>
        <w:t>46</w:t>
      </w:r>
      <w:r w:rsidRPr="009661D0">
        <w:rPr>
          <w:rFonts w:ascii="Book Antiqua" w:eastAsia="宋体" w:hAnsi="Book Antiqua" w:cs="宋体"/>
          <w:color w:val="000000"/>
          <w:kern w:val="0"/>
          <w:sz w:val="24"/>
        </w:rPr>
        <w:t>: 1064-1070 [PMID: 21667151 DOI: 10.1007/s00535-011-0418-6]</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lastRenderedPageBreak/>
        <w:t>26 </w:t>
      </w:r>
      <w:r w:rsidRPr="009661D0">
        <w:rPr>
          <w:rFonts w:ascii="Book Antiqua" w:eastAsia="宋体" w:hAnsi="Book Antiqua" w:cs="宋体"/>
          <w:b/>
          <w:bCs/>
          <w:color w:val="000000"/>
          <w:kern w:val="0"/>
          <w:sz w:val="24"/>
        </w:rPr>
        <w:t>Miwa K</w:t>
      </w:r>
      <w:r w:rsidRPr="009661D0">
        <w:rPr>
          <w:rFonts w:ascii="Book Antiqua" w:eastAsia="宋体" w:hAnsi="Book Antiqua" w:cs="宋体"/>
          <w:color w:val="000000"/>
          <w:kern w:val="0"/>
          <w:sz w:val="24"/>
        </w:rPr>
        <w:t>, Doyama H, Ito R, Nakanishi H, Hirano K, Inagaki S, Tominaga K, Yoshida N, Takemura K, Yamada S, Kaneko Y, Katayanagi K, Kurumaya H, Okada T, Yamagishi M. Can magnifying endoscopy with narrow band imaging be useful for low grade adenomas in preoperative biopsy specimens? </w:t>
      </w:r>
      <w:r w:rsidRPr="009661D0">
        <w:rPr>
          <w:rFonts w:ascii="Book Antiqua" w:eastAsia="宋体" w:hAnsi="Book Antiqua" w:cs="宋体"/>
          <w:i/>
          <w:iCs/>
          <w:color w:val="000000"/>
          <w:kern w:val="0"/>
          <w:sz w:val="24"/>
        </w:rPr>
        <w:t>Gastric Cancer</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15</w:t>
      </w:r>
      <w:r w:rsidRPr="009661D0">
        <w:rPr>
          <w:rFonts w:ascii="Book Antiqua" w:eastAsia="宋体" w:hAnsi="Book Antiqua" w:cs="宋体"/>
          <w:color w:val="000000"/>
          <w:kern w:val="0"/>
          <w:sz w:val="24"/>
        </w:rPr>
        <w:t>: 170-178 [PMID: 22407064 DOI: 10.1007/s10120-011-0093-6]</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27 </w:t>
      </w:r>
      <w:r w:rsidRPr="009661D0">
        <w:rPr>
          <w:rFonts w:ascii="Book Antiqua" w:eastAsia="宋体" w:hAnsi="Book Antiqua" w:cs="宋体"/>
          <w:b/>
          <w:bCs/>
          <w:color w:val="000000"/>
          <w:kern w:val="0"/>
          <w:sz w:val="24"/>
        </w:rPr>
        <w:t>Nakamura M</w:t>
      </w:r>
      <w:r w:rsidRPr="009661D0">
        <w:rPr>
          <w:rFonts w:ascii="Book Antiqua" w:eastAsia="宋体" w:hAnsi="Book Antiqua" w:cs="宋体"/>
          <w:color w:val="000000"/>
          <w:kern w:val="0"/>
          <w:sz w:val="24"/>
        </w:rPr>
        <w:t>, Shibata T, Tahara T, Yoshioka D, Okubo M, Mizoguchi Y, Kuroda M, Arisawa T, Hirata I. The usefulness of magnifying endoscopy with narrow-band imaging to distinguish carcinoma in flat elevated lesions in the stomach diagnosed as adenoma by using biopsy samples. </w:t>
      </w:r>
      <w:r w:rsidRPr="009661D0">
        <w:rPr>
          <w:rFonts w:ascii="Book Antiqua" w:eastAsia="宋体" w:hAnsi="Book Antiqua" w:cs="宋体"/>
          <w:i/>
          <w:iCs/>
          <w:color w:val="000000"/>
          <w:kern w:val="0"/>
          <w:sz w:val="24"/>
        </w:rPr>
        <w:t>Gastrointest Endosc</w:t>
      </w:r>
      <w:r w:rsidRPr="009661D0">
        <w:rPr>
          <w:rFonts w:ascii="Book Antiqua" w:eastAsia="宋体" w:hAnsi="Book Antiqua" w:cs="宋体"/>
          <w:color w:val="000000"/>
          <w:kern w:val="0"/>
          <w:sz w:val="24"/>
        </w:rPr>
        <w:t> 2010; </w:t>
      </w:r>
      <w:r w:rsidRPr="009661D0">
        <w:rPr>
          <w:rFonts w:ascii="Book Antiqua" w:eastAsia="宋体" w:hAnsi="Book Antiqua" w:cs="宋体"/>
          <w:b/>
          <w:bCs/>
          <w:color w:val="000000"/>
          <w:kern w:val="0"/>
          <w:sz w:val="24"/>
        </w:rPr>
        <w:t>71</w:t>
      </w:r>
      <w:r w:rsidRPr="009661D0">
        <w:rPr>
          <w:rFonts w:ascii="Book Antiqua" w:eastAsia="宋体" w:hAnsi="Book Antiqua" w:cs="宋体"/>
          <w:color w:val="000000"/>
          <w:kern w:val="0"/>
          <w:sz w:val="24"/>
        </w:rPr>
        <w:t>: 1070-1075 [PMID: 20438898 DOI: 10.1016/j.gie.2009.12.032]</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28 </w:t>
      </w:r>
      <w:r w:rsidRPr="009661D0">
        <w:rPr>
          <w:rFonts w:ascii="Book Antiqua" w:eastAsia="宋体" w:hAnsi="Book Antiqua" w:cs="宋体"/>
          <w:b/>
          <w:bCs/>
          <w:color w:val="000000"/>
          <w:kern w:val="0"/>
          <w:sz w:val="24"/>
        </w:rPr>
        <w:t>Nonaka K</w:t>
      </w:r>
      <w:r w:rsidRPr="009661D0">
        <w:rPr>
          <w:rFonts w:ascii="Book Antiqua" w:eastAsia="宋体" w:hAnsi="Book Antiqua" w:cs="宋体"/>
          <w:color w:val="000000"/>
          <w:kern w:val="0"/>
          <w:sz w:val="24"/>
        </w:rPr>
        <w:t>, Arai S, Ban S, Kitada H, Namoto M, Nagata K, Ochiai Y, Togawa O, Nakao M, Nishimura M, Ishikawa K, Sasaki Y, Kita H. Prospective study of the evaluation of the usefulness of tumor typing by narrow band imaging for the differential diagnosis of gastric adenoma and well-differentiated adenocarcinoma. </w:t>
      </w:r>
      <w:r w:rsidRPr="009661D0">
        <w:rPr>
          <w:rFonts w:ascii="Book Antiqua" w:eastAsia="宋体" w:hAnsi="Book Antiqua" w:cs="宋体"/>
          <w:i/>
          <w:iCs/>
          <w:color w:val="000000"/>
          <w:kern w:val="0"/>
          <w:sz w:val="24"/>
        </w:rPr>
        <w:t>Dig Endosc</w:t>
      </w:r>
      <w:r w:rsidRPr="009661D0">
        <w:rPr>
          <w:rFonts w:ascii="Book Antiqua" w:eastAsia="宋体" w:hAnsi="Book Antiqua" w:cs="宋体"/>
          <w:color w:val="000000"/>
          <w:kern w:val="0"/>
          <w:sz w:val="24"/>
        </w:rPr>
        <w:t> 2011; </w:t>
      </w:r>
      <w:r w:rsidRPr="009661D0">
        <w:rPr>
          <w:rFonts w:ascii="Book Antiqua" w:eastAsia="宋体" w:hAnsi="Book Antiqua" w:cs="宋体"/>
          <w:b/>
          <w:bCs/>
          <w:color w:val="000000"/>
          <w:kern w:val="0"/>
          <w:sz w:val="24"/>
        </w:rPr>
        <w:t>23</w:t>
      </w:r>
      <w:r w:rsidRPr="009661D0">
        <w:rPr>
          <w:rFonts w:ascii="Book Antiqua" w:eastAsia="宋体" w:hAnsi="Book Antiqua" w:cs="宋体"/>
          <w:color w:val="000000"/>
          <w:kern w:val="0"/>
          <w:sz w:val="24"/>
        </w:rPr>
        <w:t>: 146-152 [PMID: 21429020 DOI: 10.1111/j.1443-1661.2010.01070.x]</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29 </w:t>
      </w:r>
      <w:r w:rsidRPr="009661D0">
        <w:rPr>
          <w:rFonts w:ascii="Book Antiqua" w:eastAsia="宋体" w:hAnsi="Book Antiqua" w:cs="宋体"/>
          <w:b/>
          <w:bCs/>
          <w:color w:val="000000"/>
          <w:kern w:val="0"/>
          <w:sz w:val="24"/>
        </w:rPr>
        <w:t>Ueo T</w:t>
      </w:r>
      <w:r w:rsidRPr="009661D0">
        <w:rPr>
          <w:rFonts w:ascii="Book Antiqua" w:eastAsia="宋体" w:hAnsi="Book Antiqua" w:cs="宋体"/>
          <w:color w:val="000000"/>
          <w:kern w:val="0"/>
          <w:sz w:val="24"/>
        </w:rPr>
        <w:t>, Yonemasu H, Yada N, Yano S, Ishida T, Urabe M, Takahashi K, Nagamatsu H, Narita R, Yao K, Daa T, Yokoyama S. White opaque substance represents an intracytoplasmic accumulation of lipid droplets: immunohistochemical and immunoelectron microscopic investigation of 26 cases. </w:t>
      </w:r>
      <w:r w:rsidRPr="009661D0">
        <w:rPr>
          <w:rFonts w:ascii="Book Antiqua" w:eastAsia="宋体" w:hAnsi="Book Antiqua" w:cs="宋体"/>
          <w:i/>
          <w:iCs/>
          <w:color w:val="000000"/>
          <w:kern w:val="0"/>
          <w:sz w:val="24"/>
        </w:rPr>
        <w:t>Dig Endosc</w:t>
      </w:r>
      <w:r w:rsidRPr="009661D0">
        <w:rPr>
          <w:rFonts w:ascii="Book Antiqua" w:eastAsia="宋体" w:hAnsi="Book Antiqua" w:cs="宋体"/>
          <w:color w:val="000000"/>
          <w:kern w:val="0"/>
          <w:sz w:val="24"/>
        </w:rPr>
        <w:t> 2013; </w:t>
      </w:r>
      <w:r w:rsidRPr="009661D0">
        <w:rPr>
          <w:rFonts w:ascii="Book Antiqua" w:eastAsia="宋体" w:hAnsi="Book Antiqua" w:cs="宋体"/>
          <w:b/>
          <w:bCs/>
          <w:color w:val="000000"/>
          <w:kern w:val="0"/>
          <w:sz w:val="24"/>
        </w:rPr>
        <w:t>25</w:t>
      </w:r>
      <w:r w:rsidRPr="009661D0">
        <w:rPr>
          <w:rFonts w:ascii="Book Antiqua" w:eastAsia="宋体" w:hAnsi="Book Antiqua" w:cs="宋体"/>
          <w:color w:val="000000"/>
          <w:kern w:val="0"/>
          <w:sz w:val="24"/>
        </w:rPr>
        <w:t>: 147-155 [PMID: 23368762 DOI: 10.1111/j.1443-1661.2012.01364.x]</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30 </w:t>
      </w:r>
      <w:r w:rsidRPr="009661D0">
        <w:rPr>
          <w:rFonts w:ascii="Book Antiqua" w:eastAsia="宋体" w:hAnsi="Book Antiqua" w:cs="宋体"/>
          <w:b/>
          <w:bCs/>
          <w:color w:val="000000"/>
          <w:kern w:val="0"/>
          <w:sz w:val="24"/>
        </w:rPr>
        <w:t>Anagnostopoulos GK</w:t>
      </w:r>
      <w:r w:rsidRPr="009661D0">
        <w:rPr>
          <w:rFonts w:ascii="Book Antiqua" w:eastAsia="宋体" w:hAnsi="Book Antiqua" w:cs="宋体"/>
          <w:color w:val="000000"/>
          <w:kern w:val="0"/>
          <w:sz w:val="24"/>
        </w:rPr>
        <w:t>, Yao K, Kaye P, Fogden E, Fortun P, Shonde A, Foley S, Sunil S, Atherton JJ, Hawkey C, Ragunath K. High-resolution magnification endoscopy can reliably identify normal gastric mucosa, Helicobacter pylori-associated gastritis, and gastric atrophy. </w:t>
      </w:r>
      <w:r w:rsidRPr="009661D0">
        <w:rPr>
          <w:rFonts w:ascii="Book Antiqua" w:eastAsia="宋体" w:hAnsi="Book Antiqua" w:cs="宋体"/>
          <w:i/>
          <w:iCs/>
          <w:color w:val="000000"/>
          <w:kern w:val="0"/>
          <w:sz w:val="24"/>
        </w:rPr>
        <w:t>Endoscopy</w:t>
      </w:r>
      <w:r w:rsidRPr="009661D0">
        <w:rPr>
          <w:rFonts w:ascii="Book Antiqua" w:eastAsia="宋体" w:hAnsi="Book Antiqua" w:cs="宋体"/>
          <w:color w:val="000000"/>
          <w:kern w:val="0"/>
          <w:sz w:val="24"/>
        </w:rPr>
        <w:t> 2007; </w:t>
      </w:r>
      <w:r w:rsidRPr="009661D0">
        <w:rPr>
          <w:rFonts w:ascii="Book Antiqua" w:eastAsia="宋体" w:hAnsi="Book Antiqua" w:cs="宋体"/>
          <w:b/>
          <w:bCs/>
          <w:color w:val="000000"/>
          <w:kern w:val="0"/>
          <w:sz w:val="24"/>
        </w:rPr>
        <w:t>39</w:t>
      </w:r>
      <w:r w:rsidRPr="009661D0">
        <w:rPr>
          <w:rFonts w:ascii="Book Antiqua" w:eastAsia="宋体" w:hAnsi="Book Antiqua" w:cs="宋体"/>
          <w:color w:val="000000"/>
          <w:kern w:val="0"/>
          <w:sz w:val="24"/>
        </w:rPr>
        <w:t>: 202-207 [PMID: 17273960 DOI: 10.1055/s-2006-945056]</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31 </w:t>
      </w:r>
      <w:r w:rsidRPr="009661D0">
        <w:rPr>
          <w:rFonts w:ascii="Book Antiqua" w:eastAsia="宋体" w:hAnsi="Book Antiqua" w:cs="宋体"/>
          <w:b/>
          <w:bCs/>
          <w:color w:val="000000"/>
          <w:kern w:val="0"/>
          <w:sz w:val="24"/>
        </w:rPr>
        <w:t>Pimentel-Nunes P</w:t>
      </w:r>
      <w:r w:rsidRPr="009661D0">
        <w:rPr>
          <w:rFonts w:ascii="Book Antiqua" w:eastAsia="宋体" w:hAnsi="Book Antiqua" w:cs="宋体"/>
          <w:color w:val="000000"/>
          <w:kern w:val="0"/>
          <w:sz w:val="24"/>
        </w:rPr>
        <w:t xml:space="preserve">, Dinis-Ribeiro M, Soares JB, Marcos-Pinto R, Santos C, Rolanda C, Bastos RP, Areia M, Afonso L, Bergman J, Sharma P, Gotoda T, Henrique R, Moreira-Dias L. A multicenter validation of an endoscopic classification with </w:t>
      </w:r>
      <w:r w:rsidRPr="009661D0">
        <w:rPr>
          <w:rFonts w:ascii="Book Antiqua" w:eastAsia="宋体" w:hAnsi="Book Antiqua" w:cs="宋体"/>
          <w:color w:val="000000"/>
          <w:kern w:val="0"/>
          <w:sz w:val="24"/>
        </w:rPr>
        <w:lastRenderedPageBreak/>
        <w:t>narrow band imaging for gastric precancerous and cancerous lesions. </w:t>
      </w:r>
      <w:r w:rsidRPr="009661D0">
        <w:rPr>
          <w:rFonts w:ascii="Book Antiqua" w:eastAsia="宋体" w:hAnsi="Book Antiqua" w:cs="宋体"/>
          <w:i/>
          <w:iCs/>
          <w:color w:val="000000"/>
          <w:kern w:val="0"/>
          <w:sz w:val="24"/>
        </w:rPr>
        <w:t>Endoscopy</w:t>
      </w:r>
      <w:r w:rsidRPr="009661D0">
        <w:rPr>
          <w:rFonts w:ascii="Book Antiqua" w:eastAsia="宋体" w:hAnsi="Book Antiqua" w:cs="宋体"/>
          <w:color w:val="000000"/>
          <w:kern w:val="0"/>
          <w:sz w:val="24"/>
        </w:rPr>
        <w:t> 2012; </w:t>
      </w:r>
      <w:r w:rsidRPr="009661D0">
        <w:rPr>
          <w:rFonts w:ascii="Book Antiqua" w:eastAsia="宋体" w:hAnsi="Book Antiqua" w:cs="宋体"/>
          <w:b/>
          <w:bCs/>
          <w:color w:val="000000"/>
          <w:kern w:val="0"/>
          <w:sz w:val="24"/>
        </w:rPr>
        <w:t>44</w:t>
      </w:r>
      <w:r w:rsidRPr="009661D0">
        <w:rPr>
          <w:rFonts w:ascii="Book Antiqua" w:eastAsia="宋体" w:hAnsi="Book Antiqua" w:cs="宋体"/>
          <w:color w:val="000000"/>
          <w:kern w:val="0"/>
          <w:sz w:val="24"/>
        </w:rPr>
        <w:t>: 236-246 [PMID: 22294194 DOI: 10.1055/s-0031-1291537]</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32 </w:t>
      </w:r>
      <w:r w:rsidRPr="009661D0">
        <w:rPr>
          <w:rFonts w:ascii="Book Antiqua" w:eastAsia="宋体" w:hAnsi="Book Antiqua" w:cs="宋体"/>
          <w:b/>
          <w:bCs/>
          <w:color w:val="000000"/>
          <w:kern w:val="0"/>
          <w:sz w:val="24"/>
        </w:rPr>
        <w:t>Riaz F</w:t>
      </w:r>
      <w:r w:rsidRPr="009661D0">
        <w:rPr>
          <w:rFonts w:ascii="Book Antiqua" w:eastAsia="宋体" w:hAnsi="Book Antiqua" w:cs="宋体"/>
          <w:color w:val="000000"/>
          <w:kern w:val="0"/>
          <w:sz w:val="24"/>
        </w:rPr>
        <w:t>, Silva FB, Ribeiro MD, Coimbra MT. Impact of visual features on the segmentation of gastroenterology images using normalized cuts. </w:t>
      </w:r>
      <w:r w:rsidRPr="009661D0">
        <w:rPr>
          <w:rFonts w:ascii="Book Antiqua" w:eastAsia="宋体" w:hAnsi="Book Antiqua" w:cs="宋体"/>
          <w:i/>
          <w:iCs/>
          <w:color w:val="000000"/>
          <w:kern w:val="0"/>
          <w:sz w:val="24"/>
        </w:rPr>
        <w:t>IEEE Trans Biomed Eng</w:t>
      </w:r>
      <w:r w:rsidRPr="009661D0">
        <w:rPr>
          <w:rFonts w:ascii="Book Antiqua" w:eastAsia="宋体" w:hAnsi="Book Antiqua" w:cs="宋体"/>
          <w:color w:val="000000"/>
          <w:kern w:val="0"/>
          <w:sz w:val="24"/>
        </w:rPr>
        <w:t> 2013; </w:t>
      </w:r>
      <w:r w:rsidRPr="009661D0">
        <w:rPr>
          <w:rFonts w:ascii="Book Antiqua" w:eastAsia="宋体" w:hAnsi="Book Antiqua" w:cs="宋体"/>
          <w:b/>
          <w:bCs/>
          <w:color w:val="000000"/>
          <w:kern w:val="0"/>
          <w:sz w:val="24"/>
        </w:rPr>
        <w:t>60</w:t>
      </w:r>
      <w:r w:rsidRPr="009661D0">
        <w:rPr>
          <w:rFonts w:ascii="Book Antiqua" w:eastAsia="宋体" w:hAnsi="Book Antiqua" w:cs="宋体"/>
          <w:color w:val="000000"/>
          <w:kern w:val="0"/>
          <w:sz w:val="24"/>
        </w:rPr>
        <w:t>: 1191-1201 [PMID: 23204269 DOI: 10.1109/TBME.2012.2230174]</w:t>
      </w:r>
    </w:p>
    <w:p w:rsidR="004177A4" w:rsidRPr="009661D0" w:rsidRDefault="004177A4" w:rsidP="004177A4">
      <w:pPr>
        <w:widowControl/>
        <w:spacing w:line="360" w:lineRule="auto"/>
        <w:rPr>
          <w:rFonts w:ascii="Book Antiqua" w:eastAsia="宋体" w:hAnsi="Book Antiqua" w:cs="宋体"/>
          <w:color w:val="000000"/>
          <w:kern w:val="0"/>
          <w:sz w:val="24"/>
        </w:rPr>
      </w:pPr>
      <w:r w:rsidRPr="009661D0">
        <w:rPr>
          <w:rFonts w:ascii="Book Antiqua" w:eastAsia="宋体" w:hAnsi="Book Antiqua" w:cs="宋体"/>
          <w:color w:val="000000"/>
          <w:kern w:val="0"/>
          <w:sz w:val="24"/>
        </w:rPr>
        <w:t>33 </w:t>
      </w:r>
      <w:r w:rsidRPr="009661D0">
        <w:rPr>
          <w:rFonts w:ascii="Book Antiqua" w:eastAsia="宋体" w:hAnsi="Book Antiqua" w:cs="宋体"/>
          <w:b/>
          <w:bCs/>
          <w:color w:val="000000"/>
          <w:kern w:val="0"/>
          <w:sz w:val="24"/>
        </w:rPr>
        <w:t>Massoptier L</w:t>
      </w:r>
      <w:r w:rsidRPr="009661D0">
        <w:rPr>
          <w:rFonts w:ascii="Book Antiqua" w:eastAsia="宋体" w:hAnsi="Book Antiqua" w:cs="宋体"/>
          <w:color w:val="000000"/>
          <w:kern w:val="0"/>
          <w:sz w:val="24"/>
        </w:rPr>
        <w:t>, Casciaro S. A new fully automatic and robust algorithm for fast segmentation of liver tissue and tumors from CT scans. </w:t>
      </w:r>
      <w:r w:rsidRPr="009661D0">
        <w:rPr>
          <w:rFonts w:ascii="Book Antiqua" w:eastAsia="宋体" w:hAnsi="Book Antiqua" w:cs="宋体"/>
          <w:i/>
          <w:iCs/>
          <w:color w:val="000000"/>
          <w:kern w:val="0"/>
          <w:sz w:val="24"/>
        </w:rPr>
        <w:t>Eur Radiol</w:t>
      </w:r>
      <w:r w:rsidRPr="009661D0">
        <w:rPr>
          <w:rFonts w:ascii="Book Antiqua" w:eastAsia="宋体" w:hAnsi="Book Antiqua" w:cs="宋体"/>
          <w:color w:val="000000"/>
          <w:kern w:val="0"/>
          <w:sz w:val="24"/>
        </w:rPr>
        <w:t> 2008; </w:t>
      </w:r>
      <w:r w:rsidRPr="009661D0">
        <w:rPr>
          <w:rFonts w:ascii="Book Antiqua" w:eastAsia="宋体" w:hAnsi="Book Antiqua" w:cs="宋体"/>
          <w:b/>
          <w:bCs/>
          <w:color w:val="000000"/>
          <w:kern w:val="0"/>
          <w:sz w:val="24"/>
        </w:rPr>
        <w:t>18</w:t>
      </w:r>
      <w:r w:rsidRPr="009661D0">
        <w:rPr>
          <w:rFonts w:ascii="Book Antiqua" w:eastAsia="宋体" w:hAnsi="Book Antiqua" w:cs="宋体"/>
          <w:color w:val="000000"/>
          <w:kern w:val="0"/>
          <w:sz w:val="24"/>
        </w:rPr>
        <w:t>: 1658-1665 [PMID: 18369633 DOI: 10.1007/s00330-008-0924-y]</w:t>
      </w:r>
    </w:p>
    <w:p w:rsidR="004177A4" w:rsidRPr="009661D0" w:rsidRDefault="004177A4" w:rsidP="004177A4">
      <w:pPr>
        <w:widowControl/>
        <w:spacing w:line="360" w:lineRule="auto"/>
        <w:rPr>
          <w:rFonts w:ascii="Book Antiqua" w:eastAsia="宋体" w:hAnsi="Book Antiqua" w:cs="宋体"/>
          <w:color w:val="000000"/>
          <w:kern w:val="0"/>
          <w:sz w:val="24"/>
        </w:rPr>
      </w:pPr>
    </w:p>
    <w:p w:rsidR="004177A4" w:rsidRPr="009661D0" w:rsidRDefault="004177A4" w:rsidP="004177A4">
      <w:pPr>
        <w:pStyle w:val="af0"/>
        <w:wordWrap w:val="0"/>
        <w:spacing w:line="360" w:lineRule="auto"/>
        <w:ind w:left="360" w:right="120" w:firstLineChars="0" w:firstLine="0"/>
        <w:jc w:val="right"/>
        <w:rPr>
          <w:rFonts w:ascii="Book Antiqua" w:hAnsi="Book Antiqua"/>
          <w:bCs/>
          <w:color w:val="000000"/>
        </w:rPr>
      </w:pPr>
      <w:bookmarkStart w:id="27" w:name="OLE_LINK277"/>
      <w:bookmarkStart w:id="28" w:name="OLE_LINK278"/>
      <w:bookmarkStart w:id="29" w:name="OLE_LINK279"/>
      <w:bookmarkStart w:id="30" w:name="OLE_LINK290"/>
      <w:bookmarkStart w:id="31" w:name="OLE_LINK301"/>
      <w:bookmarkStart w:id="32" w:name="OLE_LINK312"/>
      <w:bookmarkStart w:id="33" w:name="OLE_LINK315"/>
      <w:bookmarkStart w:id="34" w:name="OLE_LINK316"/>
      <w:bookmarkStart w:id="35" w:name="OLE_LINK317"/>
      <w:bookmarkStart w:id="36" w:name="OLE_LINK318"/>
      <w:bookmarkStart w:id="37" w:name="OLE_LINK326"/>
      <w:bookmarkStart w:id="38" w:name="OLE_LINK335"/>
      <w:bookmarkStart w:id="39" w:name="OLE_LINK339"/>
      <w:bookmarkStart w:id="40" w:name="OLE_LINK348"/>
      <w:bookmarkStart w:id="41" w:name="OLE_LINK378"/>
      <w:r w:rsidRPr="009661D0">
        <w:rPr>
          <w:rStyle w:val="af"/>
          <w:rFonts w:ascii="Book Antiqua" w:hAnsi="Book Antiqua" w:cs="Arial"/>
          <w:noProof/>
          <w:color w:val="000000"/>
        </w:rPr>
        <w:t>P-</w:t>
      </w:r>
      <w:r w:rsidRPr="009661D0">
        <w:rPr>
          <w:rStyle w:val="af"/>
          <w:rFonts w:ascii="Book Antiqua" w:hAnsi="Book Antiqua" w:cs="Arial"/>
          <w:noProof/>
          <w:color w:val="000000"/>
          <w:lang w:eastAsia="zh-CN"/>
        </w:rPr>
        <w:t xml:space="preserve"> </w:t>
      </w:r>
      <w:r w:rsidRPr="009661D0">
        <w:rPr>
          <w:rStyle w:val="af"/>
          <w:rFonts w:ascii="Book Antiqua" w:hAnsi="Book Antiqua" w:cs="Arial"/>
          <w:noProof/>
          <w:color w:val="000000"/>
        </w:rPr>
        <w:t>Reviewers</w:t>
      </w:r>
      <w:r w:rsidRPr="009661D0">
        <w:rPr>
          <w:rStyle w:val="af"/>
          <w:rFonts w:ascii="Book Antiqua" w:hAnsi="Book Antiqua" w:cs="Arial"/>
          <w:noProof/>
          <w:color w:val="000000"/>
          <w:lang w:eastAsia="zh-CN"/>
        </w:rPr>
        <w:t>:</w:t>
      </w:r>
      <w:r w:rsidRPr="009661D0">
        <w:rPr>
          <w:rFonts w:ascii="Book Antiqua" w:hAnsi="Book Antiqua"/>
          <w:bCs/>
          <w:color w:val="000000"/>
        </w:rPr>
        <w:t xml:space="preserve"> </w:t>
      </w:r>
      <w:r w:rsidR="002342C6" w:rsidRPr="002342C6">
        <w:rPr>
          <w:rFonts w:ascii="Book Antiqua" w:hAnsi="Book Antiqua"/>
          <w:bCs/>
          <w:color w:val="000000"/>
        </w:rPr>
        <w:t>Amornyotin</w:t>
      </w:r>
      <w:r w:rsidR="002342C6">
        <w:rPr>
          <w:rFonts w:ascii="Book Antiqua" w:hAnsi="Book Antiqua"/>
          <w:bCs/>
          <w:color w:val="000000"/>
        </w:rPr>
        <w:t xml:space="preserve"> S, </w:t>
      </w:r>
      <w:r w:rsidR="002342C6" w:rsidRPr="002342C6">
        <w:rPr>
          <w:rFonts w:ascii="Book Antiqua" w:hAnsi="Book Antiqua"/>
          <w:bCs/>
          <w:color w:val="000000"/>
        </w:rPr>
        <w:t>Casciaro</w:t>
      </w:r>
      <w:r w:rsidR="002342C6">
        <w:rPr>
          <w:rFonts w:ascii="Book Antiqua" w:hAnsi="Book Antiqua"/>
          <w:bCs/>
          <w:color w:val="000000"/>
        </w:rPr>
        <w:t xml:space="preserve"> S, </w:t>
      </w:r>
      <w:r w:rsidR="002342C6" w:rsidRPr="002342C6">
        <w:rPr>
          <w:rFonts w:ascii="Book Antiqua" w:hAnsi="Book Antiqua"/>
          <w:bCs/>
          <w:color w:val="000000"/>
        </w:rPr>
        <w:t>Larentzakis</w:t>
      </w:r>
      <w:r w:rsidR="002342C6">
        <w:rPr>
          <w:rFonts w:ascii="Book Antiqua" w:hAnsi="Book Antiqua"/>
          <w:bCs/>
          <w:color w:val="000000"/>
        </w:rPr>
        <w:t xml:space="preserve"> A, </w:t>
      </w:r>
      <w:r w:rsidR="002342C6" w:rsidRPr="002342C6">
        <w:rPr>
          <w:rFonts w:ascii="Book Antiqua" w:hAnsi="Book Antiqua"/>
          <w:bCs/>
          <w:color w:val="000000"/>
        </w:rPr>
        <w:t>Tsai</w:t>
      </w:r>
      <w:r w:rsidR="002342C6">
        <w:rPr>
          <w:rFonts w:ascii="Book Antiqua" w:hAnsi="Book Antiqua"/>
          <w:bCs/>
          <w:color w:val="000000"/>
        </w:rPr>
        <w:t xml:space="preserve"> HH</w:t>
      </w:r>
    </w:p>
    <w:p w:rsidR="004177A4" w:rsidRPr="009661D0" w:rsidRDefault="004177A4" w:rsidP="004177A4">
      <w:pPr>
        <w:pStyle w:val="af0"/>
        <w:wordWrap w:val="0"/>
        <w:spacing w:line="360" w:lineRule="auto"/>
        <w:ind w:left="360" w:right="120" w:firstLineChars="0" w:firstLine="0"/>
        <w:jc w:val="right"/>
        <w:rPr>
          <w:rFonts w:ascii="Book Antiqua" w:hAnsi="Book Antiqua"/>
          <w:b/>
          <w:bCs/>
          <w:color w:val="000000"/>
          <w:lang w:val="es-ES" w:eastAsia="zh-CN"/>
        </w:rPr>
      </w:pPr>
      <w:r w:rsidRPr="009661D0">
        <w:rPr>
          <w:rFonts w:ascii="Book Antiqua" w:hAnsi="Book Antiqua"/>
          <w:bCs/>
          <w:color w:val="000000"/>
          <w:lang w:val="es-ES"/>
        </w:rPr>
        <w:t xml:space="preserve"> </w:t>
      </w:r>
      <w:r w:rsidRPr="009661D0">
        <w:rPr>
          <w:rFonts w:ascii="Book Antiqua" w:hAnsi="Book Antiqua"/>
          <w:b/>
          <w:bCs/>
          <w:color w:val="000000"/>
          <w:lang w:val="es-ES"/>
        </w:rPr>
        <w:t>S-</w:t>
      </w:r>
      <w:r w:rsidRPr="009661D0">
        <w:rPr>
          <w:rFonts w:ascii="Book Antiqua" w:hAnsi="Book Antiqua"/>
          <w:b/>
          <w:bCs/>
          <w:color w:val="000000"/>
          <w:lang w:val="es-ES" w:eastAsia="zh-CN"/>
        </w:rPr>
        <w:t xml:space="preserve"> </w:t>
      </w:r>
      <w:r w:rsidRPr="009661D0">
        <w:rPr>
          <w:rFonts w:ascii="Book Antiqua" w:hAnsi="Book Antiqua"/>
          <w:b/>
          <w:bCs/>
          <w:color w:val="000000"/>
          <w:lang w:val="es-ES"/>
        </w:rPr>
        <w:t>Editor</w:t>
      </w:r>
      <w:r w:rsidRPr="009661D0">
        <w:rPr>
          <w:rFonts w:ascii="Book Antiqua" w:hAnsi="Book Antiqua"/>
          <w:b/>
          <w:bCs/>
          <w:color w:val="000000"/>
          <w:lang w:val="es-ES" w:eastAsia="zh-CN"/>
        </w:rPr>
        <w:t>:</w:t>
      </w:r>
      <w:r w:rsidRPr="009661D0">
        <w:rPr>
          <w:rFonts w:ascii="Book Antiqua" w:hAnsi="Book Antiqua"/>
          <w:bCs/>
          <w:color w:val="000000"/>
          <w:lang w:val="es-ES"/>
        </w:rPr>
        <w:t xml:space="preserve"> </w:t>
      </w:r>
      <w:r w:rsidRPr="009661D0">
        <w:rPr>
          <w:rFonts w:ascii="Book Antiqua" w:hAnsi="Book Antiqua"/>
          <w:bCs/>
          <w:color w:val="000000"/>
          <w:lang w:val="es-ES" w:eastAsia="zh-CN"/>
        </w:rPr>
        <w:t>Nan J</w:t>
      </w:r>
      <w:r w:rsidRPr="009661D0">
        <w:rPr>
          <w:rFonts w:ascii="Book Antiqua" w:hAnsi="Book Antiqua"/>
          <w:b/>
          <w:bCs/>
          <w:color w:val="000000"/>
          <w:lang w:val="es-ES"/>
        </w:rPr>
        <w:t xml:space="preserve">   L-</w:t>
      </w:r>
      <w:r w:rsidRPr="009661D0">
        <w:rPr>
          <w:rFonts w:ascii="Book Antiqua" w:hAnsi="Book Antiqua"/>
          <w:b/>
          <w:bCs/>
          <w:color w:val="000000"/>
          <w:lang w:val="es-ES" w:eastAsia="zh-CN"/>
        </w:rPr>
        <w:t xml:space="preserve"> </w:t>
      </w:r>
      <w:r w:rsidRPr="009661D0">
        <w:rPr>
          <w:rFonts w:ascii="Book Antiqua" w:hAnsi="Book Antiqua"/>
          <w:b/>
          <w:bCs/>
          <w:color w:val="000000"/>
          <w:lang w:val="es-ES"/>
        </w:rPr>
        <w:t>Editor</w:t>
      </w:r>
      <w:r w:rsidRPr="009661D0">
        <w:rPr>
          <w:rFonts w:ascii="Book Antiqua" w:hAnsi="Book Antiqua"/>
          <w:b/>
          <w:bCs/>
          <w:color w:val="000000"/>
          <w:lang w:val="es-ES" w:eastAsia="zh-CN"/>
        </w:rPr>
        <w:t>:</w:t>
      </w:r>
      <w:r w:rsidRPr="009661D0">
        <w:rPr>
          <w:rFonts w:ascii="Book Antiqua" w:hAnsi="Book Antiqua"/>
          <w:b/>
          <w:bCs/>
          <w:color w:val="000000"/>
          <w:lang w:val="es-ES"/>
        </w:rPr>
        <w:t xml:space="preserve">   E-</w:t>
      </w:r>
      <w:r w:rsidRPr="009661D0">
        <w:rPr>
          <w:rFonts w:ascii="Book Antiqua" w:hAnsi="Book Antiqua"/>
          <w:b/>
          <w:bCs/>
          <w:color w:val="000000"/>
          <w:lang w:val="es-ES" w:eastAsia="zh-CN"/>
        </w:rPr>
        <w:t xml:space="preserve"> </w:t>
      </w:r>
      <w:r w:rsidRPr="009661D0">
        <w:rPr>
          <w:rFonts w:ascii="Book Antiqua" w:hAnsi="Book Antiqua"/>
          <w:b/>
          <w:bCs/>
          <w:color w:val="000000"/>
          <w:lang w:val="es-ES"/>
        </w:rPr>
        <w:t>Editor</w:t>
      </w:r>
      <w:r w:rsidRPr="009661D0">
        <w:rPr>
          <w:rFonts w:ascii="Book Antiqua" w:hAnsi="Book Antiqua"/>
          <w:b/>
          <w:bCs/>
          <w:color w:val="000000"/>
          <w:lang w:val="es-ES" w:eastAsia="zh-CN"/>
        </w:rPr>
        <w: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75590F" w:rsidRPr="009661D0" w:rsidRDefault="0075590F" w:rsidP="00646A85">
      <w:pPr>
        <w:wordWrap/>
        <w:spacing w:line="360" w:lineRule="auto"/>
        <w:rPr>
          <w:rFonts w:ascii="Book Antiqua" w:hAnsi="Book Antiqua" w:cs="Arial"/>
          <w:sz w:val="24"/>
          <w:lang w:val="es-ES"/>
        </w:rPr>
      </w:pPr>
    </w:p>
    <w:p w:rsidR="0075590F" w:rsidRPr="009661D0" w:rsidRDefault="0075590F" w:rsidP="00646A85">
      <w:pPr>
        <w:widowControl/>
        <w:wordWrap/>
        <w:autoSpaceDE/>
        <w:autoSpaceDN/>
        <w:spacing w:after="200" w:line="360" w:lineRule="auto"/>
        <w:rPr>
          <w:rFonts w:ascii="Book Antiqua" w:hAnsi="Book Antiqua" w:cs="Arial"/>
          <w:sz w:val="24"/>
        </w:rPr>
      </w:pPr>
      <w:r w:rsidRPr="009661D0">
        <w:rPr>
          <w:rFonts w:ascii="Book Antiqua" w:hAnsi="Book Antiqua" w:cs="Arial"/>
          <w:sz w:val="24"/>
        </w:rPr>
        <w:br w:type="page"/>
      </w:r>
    </w:p>
    <w:p w:rsidR="0075590F" w:rsidRPr="009661D0" w:rsidRDefault="0075590F" w:rsidP="00646A85">
      <w:pPr>
        <w:wordWrap/>
        <w:spacing w:line="360" w:lineRule="auto"/>
        <w:rPr>
          <w:rFonts w:ascii="Book Antiqua" w:hAnsi="Book Antiqua" w:cs="Arial"/>
          <w:b/>
          <w:sz w:val="24"/>
        </w:rPr>
      </w:pPr>
      <w:r w:rsidRPr="009661D0">
        <w:rPr>
          <w:rFonts w:ascii="Book Antiqua" w:hAnsi="Book Antiqua" w:cs="Arial"/>
          <w:b/>
          <w:sz w:val="24"/>
        </w:rPr>
        <w:lastRenderedPageBreak/>
        <w:t xml:space="preserve">Table </w:t>
      </w:r>
      <w:r w:rsidR="008F0457" w:rsidRPr="009661D0">
        <w:rPr>
          <w:rFonts w:ascii="Book Antiqua" w:hAnsi="Book Antiqua" w:cs="Arial"/>
          <w:b/>
          <w:sz w:val="24"/>
        </w:rPr>
        <w:t>1</w:t>
      </w:r>
      <w:r w:rsidR="008F0457">
        <w:rPr>
          <w:rFonts w:ascii="Book Antiqua" w:eastAsiaTheme="minorEastAsia" w:hAnsi="Book Antiqua" w:cs="Arial" w:hint="eastAsia"/>
          <w:b/>
          <w:sz w:val="24"/>
          <w:lang w:eastAsia="zh-CN"/>
        </w:rPr>
        <w:t xml:space="preserve">  </w:t>
      </w:r>
      <w:r w:rsidRPr="009661D0">
        <w:rPr>
          <w:rFonts w:ascii="Book Antiqua" w:hAnsi="Book Antiqua" w:cs="Arial"/>
          <w:b/>
          <w:sz w:val="24"/>
        </w:rPr>
        <w:t>Baseline clinicopathologic characteristics of gastric epithelial dysplasias according to the morphologic type</w:t>
      </w:r>
      <w:r w:rsidR="002C5C94" w:rsidRPr="009661D0">
        <w:rPr>
          <w:rFonts w:ascii="Book Antiqua" w:hAnsi="Book Antiqua" w:cs="Arial"/>
          <w:b/>
          <w:sz w:val="24"/>
        </w:rPr>
        <w:t xml:space="preserve"> </w:t>
      </w:r>
      <w:r w:rsidR="002C5C94" w:rsidRPr="009661D0">
        <w:rPr>
          <w:rFonts w:ascii="Book Antiqua" w:hAnsi="Book Antiqua" w:cs="Arial"/>
          <w:b/>
          <w:i/>
          <w:sz w:val="24"/>
        </w:rPr>
        <w:t>n</w:t>
      </w:r>
      <w:r w:rsidR="002C5C94" w:rsidRPr="009661D0">
        <w:rPr>
          <w:rFonts w:ascii="Book Antiqua" w:hAnsi="Book Antiqua" w:cs="Arial"/>
          <w:b/>
          <w:sz w:val="24"/>
        </w:rPr>
        <w:t xml:space="preserve"> (%)</w:t>
      </w:r>
    </w:p>
    <w:tbl>
      <w:tblPr>
        <w:tblStyle w:val="ac"/>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750"/>
        <w:gridCol w:w="1559"/>
        <w:gridCol w:w="1550"/>
        <w:gridCol w:w="1011"/>
      </w:tblGrid>
      <w:tr w:rsidR="0075590F" w:rsidRPr="009661D0" w:rsidTr="00730757">
        <w:trPr>
          <w:trHeight w:val="759"/>
        </w:trPr>
        <w:tc>
          <w:tcPr>
            <w:tcW w:w="2802" w:type="dxa"/>
            <w:tcBorders>
              <w:top w:val="single" w:sz="4" w:space="0" w:color="auto"/>
              <w:bottom w:val="nil"/>
            </w:tcBorders>
            <w:vAlign w:val="center"/>
          </w:tcPr>
          <w:p w:rsidR="0075590F" w:rsidRPr="009661D0" w:rsidRDefault="0075590F" w:rsidP="00646A85">
            <w:pPr>
              <w:wordWrap/>
              <w:spacing w:line="360" w:lineRule="auto"/>
              <w:rPr>
                <w:rFonts w:ascii="Book Antiqua" w:hAnsi="Book Antiqua" w:cs="Arial"/>
                <w:sz w:val="24"/>
              </w:rPr>
            </w:pPr>
          </w:p>
        </w:tc>
        <w:tc>
          <w:tcPr>
            <w:tcW w:w="4859" w:type="dxa"/>
            <w:gridSpan w:val="3"/>
            <w:tcBorders>
              <w:top w:val="single" w:sz="4" w:space="0" w:color="auto"/>
              <w:bottom w:val="single" w:sz="4" w:space="0" w:color="auto"/>
            </w:tcBorders>
            <w:vAlign w:val="center"/>
          </w:tcPr>
          <w:p w:rsidR="0075590F" w:rsidRPr="009661D0" w:rsidRDefault="0075590F" w:rsidP="00AA2CFC">
            <w:pPr>
              <w:wordWrap/>
              <w:spacing w:line="360" w:lineRule="auto"/>
              <w:jc w:val="center"/>
              <w:rPr>
                <w:rFonts w:ascii="Book Antiqua" w:hAnsi="Book Antiqua" w:cs="Arial"/>
                <w:b/>
                <w:sz w:val="24"/>
              </w:rPr>
            </w:pPr>
            <w:r w:rsidRPr="009661D0">
              <w:rPr>
                <w:rFonts w:ascii="Book Antiqua" w:hAnsi="Book Antiqua" w:cs="Arial"/>
                <w:b/>
                <w:sz w:val="24"/>
              </w:rPr>
              <w:t xml:space="preserve">Morphologic </w:t>
            </w:r>
            <w:r w:rsidR="00AA2CFC" w:rsidRPr="009661D0">
              <w:rPr>
                <w:rFonts w:ascii="Book Antiqua" w:eastAsia="宋体" w:hAnsi="Book Antiqua" w:cs="Arial" w:hint="eastAsia"/>
                <w:b/>
                <w:sz w:val="24"/>
                <w:lang w:eastAsia="zh-CN"/>
              </w:rPr>
              <w:t>t</w:t>
            </w:r>
            <w:r w:rsidRPr="009661D0">
              <w:rPr>
                <w:rFonts w:ascii="Book Antiqua" w:hAnsi="Book Antiqua" w:cs="Arial"/>
                <w:b/>
                <w:sz w:val="24"/>
              </w:rPr>
              <w:t>ype</w:t>
            </w:r>
          </w:p>
        </w:tc>
        <w:tc>
          <w:tcPr>
            <w:tcW w:w="1011" w:type="dxa"/>
            <w:vMerge w:val="restart"/>
            <w:tcBorders>
              <w:top w:val="single" w:sz="4" w:space="0" w:color="auto"/>
            </w:tcBorders>
            <w:vAlign w:val="center"/>
          </w:tcPr>
          <w:p w:rsidR="0075590F" w:rsidRPr="00730757" w:rsidRDefault="002C5C94" w:rsidP="000603F3">
            <w:pPr>
              <w:wordWrap/>
              <w:spacing w:line="360" w:lineRule="auto"/>
              <w:jc w:val="center"/>
              <w:rPr>
                <w:rFonts w:ascii="Book Antiqua" w:eastAsia="宋体" w:hAnsi="Book Antiqua" w:cs="Arial"/>
                <w:b/>
                <w:sz w:val="24"/>
                <w:lang w:eastAsia="zh-CN"/>
              </w:rPr>
            </w:pPr>
            <w:r w:rsidRPr="009661D0">
              <w:rPr>
                <w:rFonts w:ascii="Book Antiqua" w:hAnsi="Book Antiqua" w:cs="Arial"/>
                <w:b/>
                <w:i/>
                <w:sz w:val="24"/>
              </w:rPr>
              <w:t>P</w:t>
            </w:r>
            <w:r w:rsidR="00730757">
              <w:rPr>
                <w:rFonts w:ascii="Book Antiqua" w:eastAsia="宋体" w:hAnsi="Book Antiqua" w:cs="Arial" w:hint="eastAsia"/>
                <w:b/>
                <w:i/>
                <w:sz w:val="24"/>
                <w:lang w:eastAsia="zh-CN"/>
              </w:rPr>
              <w:t xml:space="preserve"> </w:t>
            </w:r>
            <w:r w:rsidR="00730757" w:rsidRPr="00730757">
              <w:rPr>
                <w:rFonts w:ascii="Book Antiqua" w:eastAsia="宋体" w:hAnsi="Book Antiqua" w:cs="Arial" w:hint="eastAsia"/>
                <w:b/>
                <w:sz w:val="24"/>
                <w:lang w:eastAsia="zh-CN"/>
              </w:rPr>
              <w:t>value</w:t>
            </w:r>
          </w:p>
        </w:tc>
      </w:tr>
      <w:tr w:rsidR="0075590F" w:rsidRPr="009661D0" w:rsidTr="00730757">
        <w:trPr>
          <w:trHeight w:val="735"/>
        </w:trPr>
        <w:tc>
          <w:tcPr>
            <w:tcW w:w="2802" w:type="dxa"/>
            <w:tcBorders>
              <w:top w:val="nil"/>
              <w:bottom w:val="single" w:sz="4" w:space="0" w:color="auto"/>
            </w:tcBorders>
            <w:vAlign w:val="center"/>
          </w:tcPr>
          <w:p w:rsidR="0075590F" w:rsidRPr="009661D0" w:rsidRDefault="0075590F" w:rsidP="00646A85">
            <w:pPr>
              <w:wordWrap/>
              <w:spacing w:line="360" w:lineRule="auto"/>
              <w:rPr>
                <w:rFonts w:ascii="Book Antiqua" w:hAnsi="Book Antiqua" w:cs="Arial"/>
                <w:sz w:val="24"/>
              </w:rPr>
            </w:pPr>
          </w:p>
        </w:tc>
        <w:tc>
          <w:tcPr>
            <w:tcW w:w="1750"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Adenomatous</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27)</w:t>
            </w:r>
          </w:p>
        </w:tc>
        <w:tc>
          <w:tcPr>
            <w:tcW w:w="1559"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Hybrid</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15)</w:t>
            </w:r>
          </w:p>
        </w:tc>
        <w:tc>
          <w:tcPr>
            <w:tcW w:w="1550"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Foveolar</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4)</w:t>
            </w:r>
          </w:p>
        </w:tc>
        <w:tc>
          <w:tcPr>
            <w:tcW w:w="1011" w:type="dxa"/>
            <w:vMerge/>
            <w:tcBorders>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p>
        </w:tc>
      </w:tr>
      <w:tr w:rsidR="0075590F" w:rsidRPr="009661D0" w:rsidTr="00730757">
        <w:trPr>
          <w:trHeight w:val="572"/>
        </w:trPr>
        <w:tc>
          <w:tcPr>
            <w:tcW w:w="2802" w:type="dxa"/>
            <w:tcBorders>
              <w:top w:val="single" w:sz="4" w:space="0" w:color="auto"/>
            </w:tcBorders>
            <w:vAlign w:val="center"/>
          </w:tcPr>
          <w:p w:rsidR="0075590F" w:rsidRPr="009661D0" w:rsidRDefault="00F62F24" w:rsidP="00AA2CFC">
            <w:pPr>
              <w:pStyle w:val="a6"/>
              <w:spacing w:line="360" w:lineRule="auto"/>
              <w:rPr>
                <w:rFonts w:ascii="Book Antiqua" w:hAnsi="Book Antiqua" w:cs="Arial"/>
                <w:sz w:val="24"/>
                <w:szCs w:val="24"/>
              </w:rPr>
            </w:pPr>
            <w:r w:rsidRPr="009661D0">
              <w:rPr>
                <w:rFonts w:ascii="Book Antiqua" w:hAnsi="Book Antiqua" w:cs="Arial"/>
                <w:sz w:val="24"/>
                <w:szCs w:val="24"/>
              </w:rPr>
              <w:t>Age (yr</w:t>
            </w:r>
            <w:r w:rsidR="0075590F" w:rsidRPr="009661D0">
              <w:rPr>
                <w:rFonts w:ascii="Book Antiqua" w:hAnsi="Book Antiqua" w:cs="Arial"/>
                <w:sz w:val="24"/>
                <w:szCs w:val="24"/>
              </w:rPr>
              <w:t>, mean ± SD)</w:t>
            </w:r>
          </w:p>
        </w:tc>
        <w:tc>
          <w:tcPr>
            <w:tcW w:w="1750"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59.4 ± 7.3</w:t>
            </w:r>
          </w:p>
        </w:tc>
        <w:tc>
          <w:tcPr>
            <w:tcW w:w="1559"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67.1 ± 9.0</w:t>
            </w:r>
          </w:p>
        </w:tc>
        <w:tc>
          <w:tcPr>
            <w:tcW w:w="1550"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64.3 ± 7.5</w:t>
            </w:r>
          </w:p>
        </w:tc>
        <w:tc>
          <w:tcPr>
            <w:tcW w:w="1011"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0.023</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Sex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0.413</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Male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16 (59)</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9 (60)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(100)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Female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(41)</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 (40)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Tumor size (cm, mean ± SD)</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 0.5</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1.7 ± 1.1</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1.9 ± 1.1</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0.242</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Location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0.251</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Body/fundus</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17 (63)</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 (40)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Antrum</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(37)</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9 (60)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Color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0.172</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Discolored</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(48)</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(20)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Norma/reddish</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(52)</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(80)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Gross shape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0.328</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Elevated/protruded</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24 (89)</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(73)</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Flat/depressed</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(11)</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(27)</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Histologic grade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0.328</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Low</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24 (89)</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(73)</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High</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(11)</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(27)</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i/>
                <w:sz w:val="24"/>
              </w:rPr>
              <w:t>H. pylori</w:t>
            </w:r>
            <w:r w:rsidRPr="009661D0">
              <w:rPr>
                <w:rFonts w:ascii="Book Antiqua" w:hAnsi="Book Antiqua" w:cs="Arial"/>
                <w:sz w:val="24"/>
              </w:rPr>
              <w:t xml:space="preserve"> infection</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0.020</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Present</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23 (85)</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7 (47)</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(50)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Absent</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(15)</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(53)</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(50)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Mucin phenotype </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&lt;</w:t>
            </w:r>
            <w:r w:rsidR="00730757">
              <w:rPr>
                <w:rFonts w:ascii="Book Antiqua" w:eastAsia="宋体" w:hAnsi="Book Antiqua" w:cs="Arial" w:hint="eastAsia"/>
                <w:sz w:val="24"/>
                <w:lang w:eastAsia="zh-CN"/>
              </w:rPr>
              <w:t xml:space="preserve"> </w:t>
            </w:r>
            <w:r w:rsidRPr="009661D0">
              <w:rPr>
                <w:rFonts w:ascii="Book Antiqua" w:hAnsi="Book Antiqua" w:cs="Arial"/>
                <w:sz w:val="24"/>
              </w:rPr>
              <w:t>0.001</w:t>
            </w: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G</w:t>
            </w:r>
            <w:r w:rsidR="00BE0D9F" w:rsidRPr="009661D0">
              <w:rPr>
                <w:rFonts w:ascii="Book Antiqua" w:hAnsi="Book Antiqua" w:cs="Arial"/>
                <w:sz w:val="24"/>
              </w:rPr>
              <w:t>-</w:t>
            </w:r>
            <w:r w:rsidRPr="009661D0">
              <w:rPr>
                <w:rFonts w:ascii="Book Antiqua" w:hAnsi="Book Antiqua" w:cs="Arial"/>
                <w:sz w:val="24"/>
              </w:rPr>
              <w:t>type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(4)</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(53)</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(100)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I</w:t>
            </w:r>
            <w:r w:rsidR="00BE0D9F" w:rsidRPr="009661D0">
              <w:rPr>
                <w:rFonts w:ascii="Book Antiqua" w:hAnsi="Book Antiqua" w:cs="Arial"/>
                <w:sz w:val="24"/>
              </w:rPr>
              <w:t>-</w:t>
            </w:r>
            <w:r w:rsidRPr="009661D0">
              <w:rPr>
                <w:rFonts w:ascii="Book Antiqua" w:hAnsi="Book Antiqua" w:cs="Arial"/>
                <w:sz w:val="24"/>
              </w:rPr>
              <w:t>type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22 (82)</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lastRenderedPageBreak/>
              <w:t xml:space="preserve">  GI</w:t>
            </w:r>
            <w:r w:rsidR="00BE0D9F" w:rsidRPr="009661D0">
              <w:rPr>
                <w:rFonts w:ascii="Book Antiqua" w:hAnsi="Book Antiqua" w:cs="Arial"/>
                <w:sz w:val="24"/>
              </w:rPr>
              <w:t>-</w:t>
            </w:r>
            <w:r w:rsidRPr="009661D0">
              <w:rPr>
                <w:rFonts w:ascii="Book Antiqua" w:hAnsi="Book Antiqua" w:cs="Arial"/>
                <w:sz w:val="24"/>
              </w:rPr>
              <w:t>type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(7)</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 (40)</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730757">
        <w:trPr>
          <w:trHeight w:val="366"/>
        </w:trPr>
        <w:tc>
          <w:tcPr>
            <w:tcW w:w="280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w:t>
            </w:r>
            <w:r w:rsidR="00BE0D9F" w:rsidRPr="009661D0">
              <w:rPr>
                <w:rFonts w:ascii="Book Antiqua" w:hAnsi="Book Antiqua" w:cs="Arial"/>
                <w:sz w:val="24"/>
              </w:rPr>
              <w:t>-</w:t>
            </w:r>
            <w:r w:rsidRPr="009661D0">
              <w:rPr>
                <w:rFonts w:ascii="Book Antiqua" w:hAnsi="Book Antiqua" w:cs="Arial"/>
                <w:sz w:val="24"/>
              </w:rPr>
              <w:t>type</w:t>
            </w:r>
          </w:p>
        </w:tc>
        <w:tc>
          <w:tcPr>
            <w:tcW w:w="17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(7)</w:t>
            </w:r>
          </w:p>
        </w:tc>
        <w:tc>
          <w:tcPr>
            <w:tcW w:w="1559"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(7)</w:t>
            </w:r>
          </w:p>
        </w:tc>
        <w:tc>
          <w:tcPr>
            <w:tcW w:w="1550"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11" w:type="dxa"/>
            <w:vAlign w:val="center"/>
          </w:tcPr>
          <w:p w:rsidR="0075590F" w:rsidRPr="009661D0" w:rsidRDefault="0075590F" w:rsidP="00646A85">
            <w:pPr>
              <w:wordWrap/>
              <w:spacing w:line="360" w:lineRule="auto"/>
              <w:jc w:val="center"/>
              <w:rPr>
                <w:rFonts w:ascii="Book Antiqua" w:hAnsi="Book Antiqua" w:cs="Arial"/>
                <w:sz w:val="24"/>
              </w:rPr>
            </w:pPr>
          </w:p>
        </w:tc>
      </w:tr>
    </w:tbl>
    <w:p w:rsidR="0075590F" w:rsidRPr="00730757" w:rsidRDefault="00730757" w:rsidP="00730757">
      <w:pPr>
        <w:widowControl/>
        <w:wordWrap/>
        <w:autoSpaceDE/>
        <w:autoSpaceDN/>
        <w:spacing w:after="200" w:line="360" w:lineRule="auto"/>
        <w:rPr>
          <w:rFonts w:ascii="Book Antiqua" w:eastAsia="宋体" w:hAnsi="Book Antiqua" w:cs="Arial"/>
          <w:sz w:val="24"/>
          <w:lang w:eastAsia="zh-CN"/>
        </w:rPr>
      </w:pPr>
      <w:r w:rsidRPr="009661D0">
        <w:rPr>
          <w:rFonts w:ascii="Book Antiqua" w:hAnsi="Book Antiqua" w:cs="Arial"/>
          <w:i/>
          <w:sz w:val="24"/>
        </w:rPr>
        <w:t>H. pylori</w:t>
      </w:r>
      <w:r>
        <w:rPr>
          <w:rFonts w:ascii="Book Antiqua" w:eastAsia="宋体" w:hAnsi="Book Antiqua" w:cs="Arial" w:hint="eastAsia"/>
          <w:sz w:val="24"/>
          <w:lang w:eastAsia="zh-CN"/>
        </w:rPr>
        <w:t>:</w:t>
      </w:r>
      <w:r w:rsidRPr="009661D0">
        <w:rPr>
          <w:rFonts w:ascii="Book Antiqua" w:hAnsi="Book Antiqua" w:cs="Arial"/>
          <w:i/>
          <w:sz w:val="24"/>
        </w:rPr>
        <w:t xml:space="preserve"> Helicobacter pylori</w:t>
      </w:r>
      <w:r>
        <w:rPr>
          <w:rFonts w:ascii="Book Antiqua" w:eastAsia="宋体" w:hAnsi="Book Antiqua" w:cs="Arial" w:hint="eastAsia"/>
          <w:sz w:val="24"/>
          <w:lang w:eastAsia="zh-CN"/>
        </w:rPr>
        <w:t xml:space="preserve">; </w:t>
      </w:r>
      <w:r w:rsidRPr="00730757">
        <w:rPr>
          <w:rFonts w:ascii="Book Antiqua" w:eastAsia="宋体" w:hAnsi="Book Antiqua" w:cs="Arial"/>
          <w:sz w:val="24"/>
          <w:lang w:eastAsia="zh-CN"/>
        </w:rPr>
        <w:t>G-type</w:t>
      </w:r>
      <w:r>
        <w:rPr>
          <w:rFonts w:ascii="Book Antiqua" w:eastAsia="宋体" w:hAnsi="Book Antiqua" w:cs="Arial" w:hint="eastAsia"/>
          <w:sz w:val="24"/>
          <w:lang w:eastAsia="zh-CN"/>
        </w:rPr>
        <w:t xml:space="preserve">: </w:t>
      </w:r>
      <w:r>
        <w:rPr>
          <w:rFonts w:ascii="Book Antiqua" w:eastAsia="宋体" w:hAnsi="Book Antiqua" w:cs="Arial" w:hint="eastAsia"/>
          <w:kern w:val="0"/>
          <w:sz w:val="24"/>
          <w:lang w:eastAsia="zh-CN"/>
        </w:rPr>
        <w:t>G</w:t>
      </w:r>
      <w:r w:rsidRPr="009661D0">
        <w:rPr>
          <w:rFonts w:ascii="Book Antiqua" w:eastAsia="AdvTimes" w:hAnsi="Book Antiqua" w:cs="Arial"/>
          <w:kern w:val="0"/>
          <w:sz w:val="24"/>
        </w:rPr>
        <w:t>astric-type</w:t>
      </w:r>
      <w:r>
        <w:rPr>
          <w:rFonts w:ascii="Book Antiqua" w:eastAsia="宋体" w:hAnsi="Book Antiqua" w:cs="Arial" w:hint="eastAsia"/>
          <w:sz w:val="24"/>
          <w:lang w:eastAsia="zh-CN"/>
        </w:rPr>
        <w:t xml:space="preserve">; </w:t>
      </w:r>
      <w:r w:rsidRPr="00730757">
        <w:rPr>
          <w:rFonts w:ascii="Book Antiqua" w:eastAsia="宋体" w:hAnsi="Book Antiqua" w:cs="Arial"/>
          <w:sz w:val="24"/>
          <w:lang w:eastAsia="zh-CN"/>
        </w:rPr>
        <w:t>I-type</w:t>
      </w:r>
      <w:r>
        <w:rPr>
          <w:rFonts w:ascii="Book Antiqua" w:eastAsia="宋体" w:hAnsi="Book Antiqua" w:cs="Arial" w:hint="eastAsia"/>
          <w:sz w:val="24"/>
          <w:lang w:eastAsia="zh-CN"/>
        </w:rPr>
        <w:t xml:space="preserve">: </w:t>
      </w:r>
      <w:r>
        <w:rPr>
          <w:rFonts w:ascii="Book Antiqua" w:eastAsia="宋体" w:hAnsi="Book Antiqua" w:cs="Arial" w:hint="eastAsia"/>
          <w:kern w:val="0"/>
          <w:sz w:val="24"/>
          <w:lang w:eastAsia="zh-CN"/>
        </w:rPr>
        <w:t>I</w:t>
      </w:r>
      <w:r w:rsidRPr="009661D0">
        <w:rPr>
          <w:rFonts w:ascii="Book Antiqua" w:eastAsia="AdvTimes" w:hAnsi="Book Antiqua" w:cs="Arial"/>
          <w:kern w:val="0"/>
          <w:sz w:val="24"/>
        </w:rPr>
        <w:t>ntestinal-type</w:t>
      </w:r>
      <w:r>
        <w:rPr>
          <w:rFonts w:ascii="Book Antiqua" w:eastAsia="宋体" w:hAnsi="Book Antiqua" w:cs="Arial" w:hint="eastAsia"/>
          <w:sz w:val="24"/>
          <w:lang w:eastAsia="zh-CN"/>
        </w:rPr>
        <w:t xml:space="preserve">; </w:t>
      </w:r>
      <w:r w:rsidRPr="00730757">
        <w:rPr>
          <w:rFonts w:ascii="Book Antiqua" w:eastAsia="宋体" w:hAnsi="Book Antiqua" w:cs="Arial"/>
          <w:sz w:val="24"/>
          <w:lang w:eastAsia="zh-CN"/>
        </w:rPr>
        <w:t>GI-type</w:t>
      </w:r>
      <w:r>
        <w:rPr>
          <w:rFonts w:ascii="Book Antiqua" w:eastAsia="宋体" w:hAnsi="Book Antiqua" w:cs="Arial" w:hint="eastAsia"/>
          <w:sz w:val="24"/>
          <w:lang w:eastAsia="zh-CN"/>
        </w:rPr>
        <w:t xml:space="preserve">: </w:t>
      </w:r>
      <w:r>
        <w:rPr>
          <w:rFonts w:ascii="Book Antiqua" w:eastAsia="宋体" w:hAnsi="Book Antiqua" w:cs="Arial" w:hint="eastAsia"/>
          <w:kern w:val="0"/>
          <w:sz w:val="24"/>
          <w:lang w:eastAsia="zh-CN"/>
        </w:rPr>
        <w:t>G</w:t>
      </w:r>
      <w:r w:rsidRPr="009661D0">
        <w:rPr>
          <w:rFonts w:ascii="Book Antiqua" w:eastAsia="AdvTimes" w:hAnsi="Book Antiqua" w:cs="Arial"/>
          <w:kern w:val="0"/>
          <w:sz w:val="24"/>
        </w:rPr>
        <w:t>astrointestinal-type</w:t>
      </w:r>
      <w:r>
        <w:rPr>
          <w:rFonts w:ascii="Book Antiqua" w:eastAsia="宋体" w:hAnsi="Book Antiqua" w:cs="Arial" w:hint="eastAsia"/>
          <w:sz w:val="24"/>
          <w:lang w:eastAsia="zh-CN"/>
        </w:rPr>
        <w:t xml:space="preserve">; </w:t>
      </w:r>
      <w:r w:rsidRPr="00730757">
        <w:rPr>
          <w:rFonts w:ascii="Book Antiqua" w:eastAsia="宋体" w:hAnsi="Book Antiqua" w:cs="Arial"/>
          <w:sz w:val="24"/>
          <w:lang w:eastAsia="zh-CN"/>
        </w:rPr>
        <w:t>N-type</w:t>
      </w:r>
      <w:r>
        <w:rPr>
          <w:rFonts w:ascii="Book Antiqua" w:eastAsia="宋体" w:hAnsi="Book Antiqua" w:cs="Arial" w:hint="eastAsia"/>
          <w:sz w:val="24"/>
          <w:lang w:eastAsia="zh-CN"/>
        </w:rPr>
        <w:t xml:space="preserve">: </w:t>
      </w:r>
      <w:r>
        <w:rPr>
          <w:rFonts w:ascii="Book Antiqua" w:eastAsia="宋体" w:hAnsi="Book Antiqua" w:cs="Arial" w:hint="eastAsia"/>
          <w:kern w:val="0"/>
          <w:sz w:val="24"/>
          <w:lang w:eastAsia="zh-CN"/>
        </w:rPr>
        <w:t>U</w:t>
      </w:r>
      <w:r w:rsidRPr="009661D0">
        <w:rPr>
          <w:rFonts w:ascii="Book Antiqua" w:eastAsia="AdvTimes" w:hAnsi="Book Antiqua" w:cs="Arial"/>
          <w:kern w:val="0"/>
          <w:sz w:val="24"/>
        </w:rPr>
        <w:t>nclassified-type</w:t>
      </w:r>
      <w:r>
        <w:rPr>
          <w:rFonts w:ascii="Book Antiqua" w:eastAsia="宋体" w:hAnsi="Book Antiqua" w:cs="Arial" w:hint="eastAsia"/>
          <w:sz w:val="24"/>
          <w:lang w:eastAsia="zh-CN"/>
        </w:rPr>
        <w:t>.</w:t>
      </w:r>
      <w:r w:rsidR="0075590F" w:rsidRPr="009661D0">
        <w:rPr>
          <w:rFonts w:ascii="Book Antiqua" w:hAnsi="Book Antiqua" w:cs="Arial"/>
          <w:color w:val="000000" w:themeColor="text1"/>
          <w:sz w:val="24"/>
        </w:rPr>
        <w:br w:type="page"/>
      </w:r>
    </w:p>
    <w:p w:rsidR="0075590F" w:rsidRPr="009661D0" w:rsidRDefault="0075590F" w:rsidP="00646A85">
      <w:pPr>
        <w:widowControl/>
        <w:wordWrap/>
        <w:autoSpaceDE/>
        <w:autoSpaceDN/>
        <w:spacing w:line="360" w:lineRule="auto"/>
        <w:rPr>
          <w:rFonts w:ascii="Book Antiqua" w:hAnsi="Book Antiqua" w:cs="Arial"/>
          <w:b/>
          <w:color w:val="000000" w:themeColor="text1"/>
          <w:sz w:val="24"/>
        </w:rPr>
      </w:pPr>
      <w:r w:rsidRPr="009661D0">
        <w:rPr>
          <w:rFonts w:ascii="Book Antiqua" w:hAnsi="Book Antiqua" w:cs="Arial"/>
          <w:b/>
          <w:color w:val="000000" w:themeColor="text1"/>
          <w:sz w:val="24"/>
        </w:rPr>
        <w:lastRenderedPageBreak/>
        <w:t xml:space="preserve">Table </w:t>
      </w:r>
      <w:r w:rsidR="002C5C94" w:rsidRPr="009661D0">
        <w:rPr>
          <w:rFonts w:ascii="Book Antiqua" w:hAnsi="Book Antiqua" w:cs="Arial"/>
          <w:b/>
          <w:color w:val="000000" w:themeColor="text1"/>
          <w:sz w:val="24"/>
        </w:rPr>
        <w:t>2</w:t>
      </w:r>
      <w:r w:rsidR="008F0457">
        <w:rPr>
          <w:rFonts w:ascii="Book Antiqua" w:eastAsiaTheme="minorEastAsia" w:hAnsi="Book Antiqua" w:cs="Arial" w:hint="eastAsia"/>
          <w:b/>
          <w:color w:val="000000" w:themeColor="text1"/>
          <w:sz w:val="24"/>
          <w:lang w:eastAsia="zh-CN"/>
        </w:rPr>
        <w:t xml:space="preserve">  </w:t>
      </w:r>
      <w:r w:rsidRPr="009661D0">
        <w:rPr>
          <w:rFonts w:ascii="Book Antiqua" w:hAnsi="Book Antiqua" w:cs="Arial"/>
          <w:b/>
          <w:color w:val="000000" w:themeColor="text1"/>
          <w:sz w:val="24"/>
        </w:rPr>
        <w:t>M</w:t>
      </w:r>
      <w:r w:rsidRPr="009661D0">
        <w:rPr>
          <w:rFonts w:ascii="Book Antiqua" w:eastAsia="AdvTimes" w:hAnsi="Book Antiqua" w:cs="Arial"/>
          <w:b/>
          <w:color w:val="000000" w:themeColor="text1"/>
          <w:kern w:val="0"/>
          <w:sz w:val="24"/>
        </w:rPr>
        <w:t>agnifying endoscopy using narrow band imaging of</w:t>
      </w:r>
      <w:r w:rsidRPr="009661D0">
        <w:rPr>
          <w:rFonts w:ascii="Book Antiqua" w:hAnsi="Book Antiqua" w:cs="Arial"/>
          <w:b/>
          <w:color w:val="000000" w:themeColor="text1"/>
          <w:sz w:val="24"/>
        </w:rPr>
        <w:t xml:space="preserve"> gastric epithelial dysplasias according to the morphologic type</w:t>
      </w:r>
      <w:r w:rsidR="002C5C94" w:rsidRPr="009661D0">
        <w:rPr>
          <w:rFonts w:ascii="Book Antiqua" w:hAnsi="Book Antiqua" w:cs="Arial"/>
          <w:b/>
          <w:color w:val="000000" w:themeColor="text1"/>
          <w:sz w:val="24"/>
        </w:rPr>
        <w:t xml:space="preserve"> </w:t>
      </w:r>
      <w:r w:rsidR="002C5C94" w:rsidRPr="009661D0">
        <w:rPr>
          <w:rFonts w:ascii="Book Antiqua" w:hAnsi="Book Antiqua" w:cs="Arial"/>
          <w:b/>
          <w:i/>
          <w:sz w:val="24"/>
        </w:rPr>
        <w:t>n</w:t>
      </w:r>
      <w:r w:rsidR="002C5C94" w:rsidRPr="009661D0">
        <w:rPr>
          <w:rFonts w:ascii="Book Antiqua" w:hAnsi="Book Antiqua" w:cs="Arial"/>
          <w:b/>
          <w:sz w:val="24"/>
        </w:rPr>
        <w:t xml:space="preserve"> (%)</w:t>
      </w:r>
    </w:p>
    <w:tbl>
      <w:tblPr>
        <w:tblStyle w:val="a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9"/>
        <w:gridCol w:w="1750"/>
        <w:gridCol w:w="1636"/>
        <w:gridCol w:w="148"/>
        <w:gridCol w:w="1488"/>
        <w:gridCol w:w="1042"/>
      </w:tblGrid>
      <w:tr w:rsidR="0075590F" w:rsidRPr="009661D0" w:rsidTr="005615E1">
        <w:trPr>
          <w:trHeight w:val="759"/>
        </w:trPr>
        <w:tc>
          <w:tcPr>
            <w:tcW w:w="2939" w:type="dxa"/>
            <w:tcBorders>
              <w:top w:val="single" w:sz="4" w:space="0" w:color="auto"/>
              <w:bottom w:val="nil"/>
            </w:tcBorders>
            <w:vAlign w:val="center"/>
          </w:tcPr>
          <w:p w:rsidR="0075590F" w:rsidRPr="009661D0" w:rsidRDefault="0075590F" w:rsidP="00646A85">
            <w:pPr>
              <w:wordWrap/>
              <w:spacing w:line="360" w:lineRule="auto"/>
              <w:rPr>
                <w:rFonts w:ascii="Book Antiqua" w:hAnsi="Book Antiqua" w:cs="Arial"/>
                <w:sz w:val="24"/>
              </w:rPr>
            </w:pPr>
          </w:p>
        </w:tc>
        <w:tc>
          <w:tcPr>
            <w:tcW w:w="4908" w:type="dxa"/>
            <w:gridSpan w:val="4"/>
            <w:tcBorders>
              <w:top w:val="single" w:sz="4" w:space="0" w:color="auto"/>
              <w:bottom w:val="single" w:sz="4" w:space="0" w:color="auto"/>
            </w:tcBorders>
            <w:vAlign w:val="center"/>
          </w:tcPr>
          <w:p w:rsidR="0075590F" w:rsidRPr="009661D0" w:rsidRDefault="0075590F" w:rsidP="00551B4C">
            <w:pPr>
              <w:wordWrap/>
              <w:spacing w:line="360" w:lineRule="auto"/>
              <w:jc w:val="center"/>
              <w:rPr>
                <w:rFonts w:ascii="Book Antiqua" w:hAnsi="Book Antiqua" w:cs="Arial"/>
                <w:b/>
                <w:sz w:val="24"/>
              </w:rPr>
            </w:pPr>
            <w:r w:rsidRPr="009661D0">
              <w:rPr>
                <w:rFonts w:ascii="Book Antiqua" w:hAnsi="Book Antiqua" w:cs="Arial"/>
                <w:b/>
                <w:sz w:val="24"/>
              </w:rPr>
              <w:t xml:space="preserve">Morphologic </w:t>
            </w:r>
            <w:r w:rsidR="00551B4C" w:rsidRPr="009661D0">
              <w:rPr>
                <w:rFonts w:ascii="Book Antiqua" w:eastAsia="宋体" w:hAnsi="Book Antiqua" w:cs="Arial" w:hint="eastAsia"/>
                <w:b/>
                <w:sz w:val="24"/>
                <w:lang w:eastAsia="zh-CN"/>
              </w:rPr>
              <w:t>t</w:t>
            </w:r>
            <w:r w:rsidRPr="009661D0">
              <w:rPr>
                <w:rFonts w:ascii="Book Antiqua" w:hAnsi="Book Antiqua" w:cs="Arial"/>
                <w:b/>
                <w:sz w:val="24"/>
              </w:rPr>
              <w:t>ype</w:t>
            </w:r>
          </w:p>
        </w:tc>
        <w:tc>
          <w:tcPr>
            <w:tcW w:w="1042" w:type="dxa"/>
            <w:vMerge w:val="restart"/>
            <w:tcBorders>
              <w:top w:val="single" w:sz="4" w:space="0" w:color="auto"/>
            </w:tcBorders>
            <w:vAlign w:val="center"/>
          </w:tcPr>
          <w:p w:rsidR="0075590F" w:rsidRPr="00AC2A67" w:rsidRDefault="002C5C94" w:rsidP="00551B4C">
            <w:pPr>
              <w:wordWrap/>
              <w:spacing w:line="360" w:lineRule="auto"/>
              <w:rPr>
                <w:rFonts w:ascii="Book Antiqua" w:eastAsia="宋体" w:hAnsi="Book Antiqua" w:cs="Arial"/>
                <w:b/>
                <w:sz w:val="24"/>
                <w:lang w:eastAsia="zh-CN"/>
              </w:rPr>
            </w:pPr>
            <w:r w:rsidRPr="009661D0">
              <w:rPr>
                <w:rFonts w:ascii="Book Antiqua" w:hAnsi="Book Antiqua" w:cs="Arial"/>
                <w:b/>
                <w:i/>
                <w:sz w:val="24"/>
              </w:rPr>
              <w:t>P</w:t>
            </w:r>
            <w:r w:rsidR="00AC2A67">
              <w:rPr>
                <w:rFonts w:ascii="Book Antiqua" w:eastAsia="宋体" w:hAnsi="Book Antiqua" w:cs="Arial" w:hint="eastAsia"/>
                <w:b/>
                <w:i/>
                <w:sz w:val="24"/>
                <w:lang w:eastAsia="zh-CN"/>
              </w:rPr>
              <w:t xml:space="preserve"> </w:t>
            </w:r>
            <w:r w:rsidR="00AC2A67" w:rsidRPr="00730757">
              <w:rPr>
                <w:rFonts w:ascii="Book Antiqua" w:eastAsia="宋体" w:hAnsi="Book Antiqua" w:cs="Arial" w:hint="eastAsia"/>
                <w:b/>
                <w:sz w:val="24"/>
                <w:lang w:eastAsia="zh-CN"/>
              </w:rPr>
              <w:t>value</w:t>
            </w:r>
          </w:p>
        </w:tc>
      </w:tr>
      <w:tr w:rsidR="0075590F" w:rsidRPr="009661D0" w:rsidTr="005615E1">
        <w:trPr>
          <w:trHeight w:val="845"/>
        </w:trPr>
        <w:tc>
          <w:tcPr>
            <w:tcW w:w="2939" w:type="dxa"/>
            <w:tcBorders>
              <w:bottom w:val="single" w:sz="4" w:space="0" w:color="auto"/>
            </w:tcBorders>
            <w:vAlign w:val="center"/>
          </w:tcPr>
          <w:p w:rsidR="0075590F" w:rsidRPr="009661D0" w:rsidRDefault="0075590F" w:rsidP="00646A85">
            <w:pPr>
              <w:wordWrap/>
              <w:spacing w:line="360" w:lineRule="auto"/>
              <w:rPr>
                <w:rFonts w:ascii="Book Antiqua" w:hAnsi="Book Antiqua" w:cs="Arial"/>
                <w:sz w:val="24"/>
              </w:rPr>
            </w:pPr>
          </w:p>
        </w:tc>
        <w:tc>
          <w:tcPr>
            <w:tcW w:w="1636"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Adenomatous</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27)</w:t>
            </w:r>
          </w:p>
        </w:tc>
        <w:tc>
          <w:tcPr>
            <w:tcW w:w="1636"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Hybrid</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15)</w:t>
            </w:r>
          </w:p>
        </w:tc>
        <w:tc>
          <w:tcPr>
            <w:tcW w:w="1636" w:type="dxa"/>
            <w:gridSpan w:val="2"/>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Foveolar</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4)</w:t>
            </w:r>
          </w:p>
        </w:tc>
        <w:tc>
          <w:tcPr>
            <w:tcW w:w="1042" w:type="dxa"/>
            <w:vMerge/>
            <w:tcBorders>
              <w:bottom w:val="single" w:sz="4" w:space="0" w:color="auto"/>
            </w:tcBorders>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Microsurface pattern </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p>
        </w:tc>
        <w:tc>
          <w:tcPr>
            <w:tcW w:w="104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&lt;</w:t>
            </w:r>
            <w:r w:rsidR="000C2022" w:rsidRPr="009661D0">
              <w:rPr>
                <w:rFonts w:ascii="Book Antiqua" w:eastAsia="宋体" w:hAnsi="Book Antiqua" w:cs="Arial" w:hint="eastAsia"/>
                <w:sz w:val="24"/>
                <w:lang w:eastAsia="zh-CN"/>
              </w:rPr>
              <w:t xml:space="preserve"> </w:t>
            </w:r>
            <w:r w:rsidRPr="009661D0">
              <w:rPr>
                <w:rFonts w:ascii="Book Antiqua" w:hAnsi="Book Antiqua" w:cs="Arial"/>
                <w:sz w:val="24"/>
              </w:rPr>
              <w:t>0.001</w:t>
            </w:r>
          </w:p>
        </w:tc>
      </w:tr>
      <w:tr w:rsidR="0075590F" w:rsidRPr="009661D0" w:rsidTr="005615E1">
        <w:trPr>
          <w:trHeight w:val="40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Round pit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(7)</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(7)</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Tubular</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15 (56)</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Mixed</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(37)</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Papillary</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(100)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Absent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Microvascular pattern </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p>
        </w:tc>
        <w:tc>
          <w:tcPr>
            <w:tcW w:w="104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0.517</w:t>
            </w: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Regular</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(44)</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(27)</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Irregular</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15 (56)</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(73)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Light blue crest </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p>
        </w:tc>
        <w:tc>
          <w:tcPr>
            <w:tcW w:w="104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0.127</w:t>
            </w: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Present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(52)</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Absent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(48)</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(67)</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4 (100)</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White opaque substance </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p>
        </w:tc>
        <w:tc>
          <w:tcPr>
            <w:tcW w:w="1042"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1.000</w:t>
            </w:r>
          </w:p>
        </w:tc>
      </w:tr>
      <w:tr w:rsidR="0075590F" w:rsidRPr="009661D0" w:rsidTr="005615E1">
        <w:trPr>
          <w:trHeight w:val="421"/>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Present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9 (33)</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(25)</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r w:rsidR="0075590F" w:rsidRPr="009661D0" w:rsidTr="005615E1">
        <w:trPr>
          <w:trHeight w:val="443"/>
        </w:trPr>
        <w:tc>
          <w:tcPr>
            <w:tcW w:w="293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Absent</w:t>
            </w:r>
          </w:p>
        </w:tc>
        <w:tc>
          <w:tcPr>
            <w:tcW w:w="1636"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18 (67)</w:t>
            </w:r>
          </w:p>
        </w:tc>
        <w:tc>
          <w:tcPr>
            <w:tcW w:w="178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(67)</w:t>
            </w:r>
          </w:p>
        </w:tc>
        <w:tc>
          <w:tcPr>
            <w:tcW w:w="148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(75)</w:t>
            </w:r>
          </w:p>
        </w:tc>
        <w:tc>
          <w:tcPr>
            <w:tcW w:w="1042" w:type="dxa"/>
            <w:vAlign w:val="center"/>
          </w:tcPr>
          <w:p w:rsidR="0075590F" w:rsidRPr="009661D0" w:rsidRDefault="0075590F" w:rsidP="00646A85">
            <w:pPr>
              <w:wordWrap/>
              <w:spacing w:line="360" w:lineRule="auto"/>
              <w:rPr>
                <w:rFonts w:ascii="Book Antiqua" w:hAnsi="Book Antiqua" w:cs="Arial"/>
                <w:sz w:val="24"/>
              </w:rPr>
            </w:pPr>
          </w:p>
        </w:tc>
      </w:tr>
    </w:tbl>
    <w:p w:rsidR="0075590F" w:rsidRPr="009661D0" w:rsidRDefault="0075590F" w:rsidP="00646A85">
      <w:pPr>
        <w:widowControl/>
        <w:wordWrap/>
        <w:autoSpaceDE/>
        <w:autoSpaceDN/>
        <w:snapToGrid w:val="0"/>
        <w:spacing w:line="360" w:lineRule="auto"/>
        <w:rPr>
          <w:rFonts w:ascii="Book Antiqua" w:hAnsi="Book Antiqua" w:cs="Arial"/>
          <w:color w:val="000000"/>
          <w:kern w:val="0"/>
          <w:sz w:val="24"/>
          <w:vertAlign w:val="subscript"/>
        </w:rPr>
      </w:pPr>
    </w:p>
    <w:p w:rsidR="0075590F" w:rsidRPr="009661D0" w:rsidRDefault="0075590F" w:rsidP="00646A85">
      <w:pPr>
        <w:widowControl/>
        <w:wordWrap/>
        <w:autoSpaceDE/>
        <w:autoSpaceDN/>
        <w:spacing w:line="360" w:lineRule="auto"/>
        <w:jc w:val="left"/>
        <w:rPr>
          <w:rFonts w:ascii="Book Antiqua" w:hAnsi="Book Antiqua" w:cs="Arial"/>
          <w:sz w:val="24"/>
          <w:vertAlign w:val="subscript"/>
        </w:rPr>
        <w:sectPr w:rsidR="0075590F" w:rsidRPr="009661D0" w:rsidSect="005615E1">
          <w:footerReference w:type="default" r:id="rId9"/>
          <w:pgSz w:w="11906" w:h="16838"/>
          <w:pgMar w:top="1701" w:right="1440" w:bottom="1440" w:left="1440" w:header="851" w:footer="992" w:gutter="0"/>
          <w:cols w:space="425"/>
          <w:docGrid w:linePitch="360"/>
        </w:sectPr>
      </w:pPr>
      <w:r w:rsidRPr="009661D0">
        <w:rPr>
          <w:rFonts w:ascii="Book Antiqua" w:hAnsi="Book Antiqua" w:cs="Arial"/>
          <w:sz w:val="24"/>
          <w:vertAlign w:val="subscript"/>
        </w:rPr>
        <w:br w:type="page"/>
      </w:r>
    </w:p>
    <w:p w:rsidR="0075590F" w:rsidRPr="009661D0" w:rsidRDefault="0075590F" w:rsidP="00646A85">
      <w:pPr>
        <w:wordWrap/>
        <w:adjustRightInd w:val="0"/>
        <w:spacing w:line="360" w:lineRule="auto"/>
        <w:rPr>
          <w:rFonts w:ascii="Book Antiqua" w:hAnsi="Book Antiqua" w:cs="Arial"/>
          <w:b/>
          <w:kern w:val="0"/>
          <w:sz w:val="24"/>
        </w:rPr>
      </w:pPr>
      <w:r w:rsidRPr="009661D0">
        <w:rPr>
          <w:rFonts w:ascii="Book Antiqua" w:hAnsi="Book Antiqua" w:cs="Arial"/>
          <w:b/>
          <w:sz w:val="24"/>
        </w:rPr>
        <w:lastRenderedPageBreak/>
        <w:t>Table</w:t>
      </w:r>
      <w:r w:rsidRPr="009661D0">
        <w:rPr>
          <w:rFonts w:ascii="Book Antiqua" w:eastAsia="GulimChe" w:hAnsi="Book Antiqua" w:cs="Arial"/>
          <w:b/>
          <w:sz w:val="24"/>
        </w:rPr>
        <w:t xml:space="preserve"> </w:t>
      </w:r>
      <w:r w:rsidR="002C5C94" w:rsidRPr="009661D0">
        <w:rPr>
          <w:rFonts w:ascii="Book Antiqua" w:eastAsia="GulimChe" w:hAnsi="Book Antiqua" w:cs="Arial"/>
          <w:b/>
          <w:sz w:val="24"/>
        </w:rPr>
        <w:t>3</w:t>
      </w:r>
      <w:r w:rsidR="008F0457">
        <w:rPr>
          <w:rFonts w:ascii="Book Antiqua" w:eastAsiaTheme="minorEastAsia" w:hAnsi="Book Antiqua" w:cs="Arial" w:hint="eastAsia"/>
          <w:b/>
          <w:sz w:val="24"/>
          <w:lang w:eastAsia="zh-CN"/>
        </w:rPr>
        <w:t xml:space="preserve">  </w:t>
      </w:r>
      <w:r w:rsidR="000A4093" w:rsidRPr="009661D0">
        <w:rPr>
          <w:rFonts w:ascii="Book Antiqua" w:eastAsia="GulimChe" w:hAnsi="Book Antiqua" w:cs="Arial"/>
          <w:b/>
          <w:sz w:val="24"/>
        </w:rPr>
        <w:t>Mcrosurface and microvascular patterns</w:t>
      </w:r>
      <w:r w:rsidRPr="009661D0">
        <w:rPr>
          <w:rFonts w:ascii="Book Antiqua" w:eastAsia="GulimChe" w:hAnsi="Book Antiqua" w:cs="Arial"/>
          <w:b/>
          <w:sz w:val="24"/>
        </w:rPr>
        <w:t xml:space="preserve"> </w:t>
      </w:r>
      <w:r w:rsidR="000A4093" w:rsidRPr="009661D0">
        <w:rPr>
          <w:rFonts w:ascii="Book Antiqua" w:eastAsia="GulimChe" w:hAnsi="Book Antiqua" w:cs="Arial"/>
          <w:b/>
          <w:sz w:val="24"/>
        </w:rPr>
        <w:t>according to</w:t>
      </w:r>
      <w:r w:rsidRPr="009661D0">
        <w:rPr>
          <w:rFonts w:ascii="Book Antiqua" w:eastAsia="GulimChe" w:hAnsi="Book Antiqua" w:cs="Arial"/>
          <w:b/>
          <w:sz w:val="24"/>
        </w:rPr>
        <w:t xml:space="preserve"> mucin expression in</w:t>
      </w:r>
      <w:r w:rsidRPr="009661D0">
        <w:rPr>
          <w:rFonts w:ascii="Book Antiqua" w:hAnsi="Book Antiqua" w:cs="Arial"/>
          <w:b/>
          <w:sz w:val="24"/>
        </w:rPr>
        <w:t xml:space="preserve"> gastric epithelial dysplasias</w:t>
      </w:r>
      <w:r w:rsidR="00847FD0" w:rsidRPr="009661D0">
        <w:rPr>
          <w:rFonts w:ascii="Book Antiqua" w:eastAsia="宋体" w:hAnsi="Book Antiqua" w:cs="Arial" w:hint="eastAsia"/>
          <w:b/>
          <w:sz w:val="24"/>
          <w:lang w:eastAsia="zh-CN"/>
        </w:rPr>
        <w:t xml:space="preserve"> </w:t>
      </w:r>
      <w:r w:rsidR="002C5C94" w:rsidRPr="009661D0">
        <w:rPr>
          <w:rFonts w:ascii="Book Antiqua" w:hAnsi="Book Antiqua" w:cs="Arial"/>
          <w:b/>
          <w:i/>
          <w:sz w:val="24"/>
        </w:rPr>
        <w:t>n</w:t>
      </w:r>
      <w:r w:rsidR="002C5C94" w:rsidRPr="009661D0">
        <w:rPr>
          <w:rFonts w:ascii="Book Antiqua" w:hAnsi="Book Antiqua" w:cs="Arial"/>
          <w:b/>
          <w:sz w:val="24"/>
        </w:rPr>
        <w:t xml:space="preserve"> (%)</w:t>
      </w:r>
    </w:p>
    <w:tbl>
      <w:tblPr>
        <w:tblStyle w:val="ac"/>
        <w:tblW w:w="1364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360"/>
        <w:gridCol w:w="1659"/>
        <w:gridCol w:w="1571"/>
        <w:gridCol w:w="1358"/>
        <w:gridCol w:w="1348"/>
        <w:gridCol w:w="1564"/>
        <w:gridCol w:w="1571"/>
        <w:gridCol w:w="1347"/>
      </w:tblGrid>
      <w:tr w:rsidR="0075590F" w:rsidRPr="009661D0" w:rsidTr="005615E1">
        <w:trPr>
          <w:trHeight w:val="636"/>
        </w:trPr>
        <w:tc>
          <w:tcPr>
            <w:tcW w:w="3229" w:type="dxa"/>
            <w:gridSpan w:val="2"/>
            <w:tcBorders>
              <w:top w:val="single" w:sz="4" w:space="0" w:color="auto"/>
              <w:bottom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4588" w:type="dxa"/>
            <w:gridSpan w:val="3"/>
            <w:tcBorders>
              <w:top w:val="single" w:sz="4" w:space="0" w:color="auto"/>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Microsurface pattern</w:t>
            </w:r>
          </w:p>
        </w:tc>
        <w:tc>
          <w:tcPr>
            <w:tcW w:w="1348" w:type="dxa"/>
            <w:vMerge w:val="restart"/>
            <w:tcBorders>
              <w:top w:val="single" w:sz="4" w:space="0" w:color="auto"/>
              <w:left w:val="nil"/>
              <w:bottom w:val="single" w:sz="4" w:space="0" w:color="auto"/>
              <w:right w:val="nil"/>
            </w:tcBorders>
            <w:vAlign w:val="center"/>
          </w:tcPr>
          <w:p w:rsidR="0075590F" w:rsidRPr="00AC2A67" w:rsidRDefault="002C5C94" w:rsidP="00551B4C">
            <w:pPr>
              <w:wordWrap/>
              <w:spacing w:line="360" w:lineRule="auto"/>
              <w:jc w:val="center"/>
              <w:rPr>
                <w:rFonts w:ascii="Book Antiqua" w:eastAsia="宋体" w:hAnsi="Book Antiqua" w:cs="Arial"/>
                <w:b/>
                <w:i/>
                <w:sz w:val="24"/>
                <w:lang w:eastAsia="zh-CN"/>
              </w:rPr>
            </w:pPr>
            <w:r w:rsidRPr="009661D0">
              <w:rPr>
                <w:rFonts w:ascii="Book Antiqua" w:hAnsi="Book Antiqua" w:cs="Arial"/>
                <w:b/>
                <w:i/>
                <w:sz w:val="24"/>
              </w:rPr>
              <w:t>P</w:t>
            </w:r>
            <w:r w:rsidR="00AC2A67">
              <w:rPr>
                <w:rFonts w:ascii="Book Antiqua" w:eastAsia="宋体" w:hAnsi="Book Antiqua" w:cs="Arial" w:hint="eastAsia"/>
                <w:b/>
                <w:i/>
                <w:sz w:val="24"/>
                <w:lang w:eastAsia="zh-CN"/>
              </w:rPr>
              <w:t xml:space="preserve"> </w:t>
            </w:r>
            <w:r w:rsidR="00AC2A67" w:rsidRPr="00730757">
              <w:rPr>
                <w:rFonts w:ascii="Book Antiqua" w:eastAsia="宋体" w:hAnsi="Book Antiqua" w:cs="Arial" w:hint="eastAsia"/>
                <w:b/>
                <w:sz w:val="24"/>
                <w:lang w:eastAsia="zh-CN"/>
              </w:rPr>
              <w:t>value</w:t>
            </w:r>
          </w:p>
        </w:tc>
        <w:tc>
          <w:tcPr>
            <w:tcW w:w="3135" w:type="dxa"/>
            <w:gridSpan w:val="2"/>
            <w:tcBorders>
              <w:top w:val="single" w:sz="4" w:space="0" w:color="auto"/>
              <w:left w:val="nil"/>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Microvasulcar pattern</w:t>
            </w:r>
          </w:p>
        </w:tc>
        <w:tc>
          <w:tcPr>
            <w:tcW w:w="1347" w:type="dxa"/>
            <w:vMerge w:val="restart"/>
            <w:tcBorders>
              <w:top w:val="single" w:sz="4" w:space="0" w:color="auto"/>
              <w:left w:val="nil"/>
            </w:tcBorders>
            <w:vAlign w:val="center"/>
          </w:tcPr>
          <w:p w:rsidR="0075590F" w:rsidRPr="00AC2A67" w:rsidRDefault="002C5C94" w:rsidP="00551B4C">
            <w:pPr>
              <w:widowControl/>
              <w:wordWrap/>
              <w:autoSpaceDE/>
              <w:autoSpaceDN/>
              <w:spacing w:line="360" w:lineRule="auto"/>
              <w:jc w:val="center"/>
              <w:rPr>
                <w:rFonts w:ascii="Book Antiqua" w:eastAsia="宋体" w:hAnsi="Book Antiqua" w:cs="Arial"/>
                <w:b/>
                <w:sz w:val="24"/>
                <w:lang w:eastAsia="zh-CN"/>
              </w:rPr>
            </w:pPr>
            <w:r w:rsidRPr="009661D0">
              <w:rPr>
                <w:rFonts w:ascii="Book Antiqua" w:hAnsi="Book Antiqua" w:cs="Arial"/>
                <w:b/>
                <w:i/>
                <w:sz w:val="24"/>
              </w:rPr>
              <w:t>P</w:t>
            </w:r>
            <w:r w:rsidR="00AC2A67">
              <w:rPr>
                <w:rFonts w:ascii="Book Antiqua" w:eastAsia="宋体" w:hAnsi="Book Antiqua" w:cs="Arial" w:hint="eastAsia"/>
                <w:b/>
                <w:i/>
                <w:sz w:val="24"/>
                <w:lang w:eastAsia="zh-CN"/>
              </w:rPr>
              <w:t xml:space="preserve"> </w:t>
            </w:r>
            <w:r w:rsidR="00AC2A67" w:rsidRPr="00730757">
              <w:rPr>
                <w:rFonts w:ascii="Book Antiqua" w:eastAsia="宋体" w:hAnsi="Book Antiqua" w:cs="Arial" w:hint="eastAsia"/>
                <w:b/>
                <w:sz w:val="24"/>
                <w:lang w:eastAsia="zh-CN"/>
              </w:rPr>
              <w:t>value</w:t>
            </w:r>
          </w:p>
        </w:tc>
      </w:tr>
      <w:tr w:rsidR="0075590F" w:rsidRPr="009661D0" w:rsidTr="005615E1">
        <w:trPr>
          <w:trHeight w:val="912"/>
        </w:trPr>
        <w:tc>
          <w:tcPr>
            <w:tcW w:w="2869" w:type="dxa"/>
            <w:tcBorders>
              <w:top w:val="nil"/>
              <w:bottom w:val="single" w:sz="4" w:space="0" w:color="auto"/>
            </w:tcBorders>
            <w:vAlign w:val="center"/>
          </w:tcPr>
          <w:p w:rsidR="0075590F" w:rsidRPr="009661D0" w:rsidRDefault="0075590F" w:rsidP="00646A85">
            <w:pPr>
              <w:wordWrap/>
              <w:spacing w:line="360" w:lineRule="auto"/>
              <w:rPr>
                <w:rFonts w:ascii="Book Antiqua" w:hAnsi="Book Antiqua" w:cs="Arial"/>
                <w:sz w:val="24"/>
              </w:rPr>
            </w:pPr>
          </w:p>
        </w:tc>
        <w:tc>
          <w:tcPr>
            <w:tcW w:w="2019" w:type="dxa"/>
            <w:gridSpan w:val="2"/>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Round pit and/or tubular</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35)</w:t>
            </w:r>
          </w:p>
        </w:tc>
        <w:tc>
          <w:tcPr>
            <w:tcW w:w="1571"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Papillary</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9)</w:t>
            </w:r>
          </w:p>
        </w:tc>
        <w:tc>
          <w:tcPr>
            <w:tcW w:w="1358" w:type="dxa"/>
            <w:tcBorders>
              <w:top w:val="single" w:sz="4" w:space="0" w:color="auto"/>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Absent</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2)</w:t>
            </w:r>
          </w:p>
        </w:tc>
        <w:tc>
          <w:tcPr>
            <w:tcW w:w="1348" w:type="dxa"/>
            <w:vMerge/>
            <w:tcBorders>
              <w:top w:val="nil"/>
              <w:left w:val="nil"/>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p>
        </w:tc>
        <w:tc>
          <w:tcPr>
            <w:tcW w:w="1564" w:type="dxa"/>
            <w:tcBorders>
              <w:top w:val="nil"/>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Regular</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17)</w:t>
            </w:r>
          </w:p>
        </w:tc>
        <w:tc>
          <w:tcPr>
            <w:tcW w:w="1571" w:type="dxa"/>
            <w:tcBorders>
              <w:top w:val="nil"/>
              <w:left w:val="nil"/>
              <w:bottom w:val="single" w:sz="4" w:space="0" w:color="auto"/>
              <w:right w:val="nil"/>
            </w:tcBorders>
            <w:vAlign w:val="center"/>
          </w:tcPr>
          <w:p w:rsidR="0075590F" w:rsidRPr="009661D0" w:rsidRDefault="0075590F" w:rsidP="00646A85">
            <w:pPr>
              <w:widowControl/>
              <w:wordWrap/>
              <w:autoSpaceDE/>
              <w:autoSpaceDN/>
              <w:spacing w:line="360" w:lineRule="auto"/>
              <w:jc w:val="center"/>
              <w:rPr>
                <w:rFonts w:ascii="Book Antiqua" w:hAnsi="Book Antiqua" w:cs="Arial"/>
                <w:b/>
                <w:sz w:val="24"/>
              </w:rPr>
            </w:pPr>
            <w:r w:rsidRPr="009661D0">
              <w:rPr>
                <w:rFonts w:ascii="Book Antiqua" w:hAnsi="Book Antiqua" w:cs="Arial"/>
                <w:b/>
                <w:sz w:val="24"/>
              </w:rPr>
              <w:t>Irregular</w:t>
            </w:r>
          </w:p>
          <w:p w:rsidR="0075590F" w:rsidRPr="009661D0" w:rsidRDefault="0075590F" w:rsidP="00646A85">
            <w:pPr>
              <w:widowControl/>
              <w:wordWrap/>
              <w:autoSpaceDE/>
              <w:autoSpaceDN/>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29)</w:t>
            </w:r>
          </w:p>
        </w:tc>
        <w:tc>
          <w:tcPr>
            <w:tcW w:w="1347" w:type="dxa"/>
            <w:vMerge/>
            <w:tcBorders>
              <w:left w:val="nil"/>
              <w:bottom w:val="single" w:sz="4" w:space="0" w:color="auto"/>
            </w:tcBorders>
            <w:vAlign w:val="center"/>
          </w:tcPr>
          <w:p w:rsidR="0075590F" w:rsidRPr="009661D0" w:rsidRDefault="0075590F" w:rsidP="00646A85">
            <w:pPr>
              <w:wordWrap/>
              <w:spacing w:line="360" w:lineRule="auto"/>
              <w:rPr>
                <w:rFonts w:ascii="Book Antiqua" w:hAnsi="Book Antiqua" w:cs="Arial"/>
                <w:color w:val="FF0000"/>
                <w:sz w:val="24"/>
              </w:rPr>
            </w:pPr>
          </w:p>
        </w:tc>
      </w:tr>
      <w:tr w:rsidR="0075590F" w:rsidRPr="009661D0" w:rsidTr="005615E1">
        <w:trPr>
          <w:trHeight w:val="334"/>
        </w:trPr>
        <w:tc>
          <w:tcPr>
            <w:tcW w:w="2869" w:type="dxa"/>
            <w:tcBorders>
              <w:top w:val="single" w:sz="4" w:space="0" w:color="auto"/>
            </w:tcBorders>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MUC2 expression</w:t>
            </w:r>
          </w:p>
        </w:tc>
        <w:tc>
          <w:tcPr>
            <w:tcW w:w="2019" w:type="dxa"/>
            <w:gridSpan w:val="2"/>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c>
          <w:tcPr>
            <w:tcW w:w="1358"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c>
          <w:tcPr>
            <w:tcW w:w="1348" w:type="dxa"/>
            <w:tcBorders>
              <w:top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0.569</w:t>
            </w:r>
          </w:p>
        </w:tc>
        <w:tc>
          <w:tcPr>
            <w:tcW w:w="1564" w:type="dxa"/>
            <w:tcBorders>
              <w:top w:val="single" w:sz="4" w:space="0" w:color="auto"/>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tcBorders>
              <w:top w:val="single" w:sz="4" w:space="0" w:color="auto"/>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347" w:type="dxa"/>
            <w:tcBorders>
              <w:top w:val="single" w:sz="4" w:space="0" w:color="auto"/>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0.545</w:t>
            </w:r>
          </w:p>
        </w:tc>
      </w:tr>
      <w:tr w:rsidR="0075590F" w:rsidRPr="009661D0" w:rsidTr="005615E1">
        <w:trPr>
          <w:trHeight w:val="318"/>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33 (94)</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(89)</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(100)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15 (88)</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28 (97)</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(6)</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(11)</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(12)</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(3)</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MUC5AC expression</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0.001</w:t>
            </w: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0.301</w:t>
            </w: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26 (74)</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(11)</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(50)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(71)</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16 (55)</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18"/>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9 (26)</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(89)</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(50)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(29)</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(45)</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MUC6 expression</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0.014</w:t>
            </w: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0.149</w:t>
            </w: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28 (80)</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(33)</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(50)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(82)</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18 (62)</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18"/>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7 (20)</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 (67)</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(50)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(18)</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(38)</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CD10 expression</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0.001</w:t>
            </w: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0.417</w:t>
            </w: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7 (20)</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(89)</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(100)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(29)</w:t>
            </w:r>
          </w:p>
        </w:tc>
        <w:tc>
          <w:tcPr>
            <w:tcW w:w="1571" w:type="dxa"/>
            <w:tcBorders>
              <w:top w:val="nil"/>
              <w:left w:val="nil"/>
              <w:bottom w:val="nil"/>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(41)</w:t>
            </w:r>
          </w:p>
        </w:tc>
        <w:tc>
          <w:tcPr>
            <w:tcW w:w="1347" w:type="dxa"/>
            <w:tcBorders>
              <w:top w:val="nil"/>
              <w:left w:val="nil"/>
              <w:bottom w:val="nil"/>
            </w:tcBorders>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334"/>
        </w:trPr>
        <w:tc>
          <w:tcPr>
            <w:tcW w:w="2869"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2019"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28 (80)</w:t>
            </w:r>
          </w:p>
        </w:tc>
        <w:tc>
          <w:tcPr>
            <w:tcW w:w="1571"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(11)</w:t>
            </w:r>
          </w:p>
        </w:tc>
        <w:tc>
          <w:tcPr>
            <w:tcW w:w="1358"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 (0)</w:t>
            </w:r>
          </w:p>
        </w:tc>
        <w:tc>
          <w:tcPr>
            <w:tcW w:w="1348"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564" w:type="dxa"/>
            <w:tcBorders>
              <w:top w:val="nil"/>
              <w:left w:val="nil"/>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(71)</w:t>
            </w:r>
          </w:p>
        </w:tc>
        <w:tc>
          <w:tcPr>
            <w:tcW w:w="1571" w:type="dxa"/>
            <w:tcBorders>
              <w:top w:val="nil"/>
              <w:left w:val="nil"/>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17 (59)</w:t>
            </w:r>
          </w:p>
        </w:tc>
        <w:tc>
          <w:tcPr>
            <w:tcW w:w="1347" w:type="dxa"/>
            <w:tcBorders>
              <w:top w:val="nil"/>
              <w:left w:val="nil"/>
              <w:bottom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r>
    </w:tbl>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vertAlign w:val="subscript"/>
        </w:rPr>
        <w:br w:type="page"/>
      </w:r>
    </w:p>
    <w:p w:rsidR="0075590F" w:rsidRPr="009661D0" w:rsidRDefault="0075590F" w:rsidP="00646A85">
      <w:pPr>
        <w:wordWrap/>
        <w:adjustRightInd w:val="0"/>
        <w:spacing w:line="360" w:lineRule="auto"/>
        <w:rPr>
          <w:rFonts w:ascii="Book Antiqua" w:hAnsi="Book Antiqua" w:cs="Arial"/>
          <w:color w:val="000000" w:themeColor="text1"/>
          <w:sz w:val="24"/>
        </w:rPr>
        <w:sectPr w:rsidR="0075590F" w:rsidRPr="009661D0" w:rsidSect="005615E1">
          <w:pgSz w:w="16838" w:h="11906" w:orient="landscape" w:code="9"/>
          <w:pgMar w:top="1440" w:right="1440" w:bottom="1440" w:left="1701" w:header="851" w:footer="992" w:gutter="0"/>
          <w:cols w:space="425"/>
          <w:docGrid w:linePitch="360"/>
        </w:sectPr>
      </w:pPr>
    </w:p>
    <w:p w:rsidR="0075590F" w:rsidRPr="009661D0" w:rsidRDefault="0075590F" w:rsidP="00646A85">
      <w:pPr>
        <w:wordWrap/>
        <w:adjustRightInd w:val="0"/>
        <w:spacing w:line="360" w:lineRule="auto"/>
        <w:rPr>
          <w:rFonts w:ascii="Book Antiqua" w:hAnsi="Book Antiqua" w:cs="Arial"/>
          <w:b/>
          <w:kern w:val="0"/>
          <w:sz w:val="24"/>
        </w:rPr>
      </w:pPr>
      <w:r w:rsidRPr="009661D0">
        <w:rPr>
          <w:rFonts w:ascii="Book Antiqua" w:hAnsi="Book Antiqua" w:cs="Arial"/>
          <w:b/>
          <w:sz w:val="24"/>
        </w:rPr>
        <w:lastRenderedPageBreak/>
        <w:t>Table</w:t>
      </w:r>
      <w:r w:rsidRPr="009661D0">
        <w:rPr>
          <w:rFonts w:ascii="Book Antiqua" w:eastAsia="GulimChe" w:hAnsi="Book Antiqua" w:cs="Arial"/>
          <w:b/>
          <w:sz w:val="24"/>
        </w:rPr>
        <w:t xml:space="preserve"> </w:t>
      </w:r>
      <w:r w:rsidR="00551B4C" w:rsidRPr="009661D0">
        <w:rPr>
          <w:rFonts w:ascii="Book Antiqua" w:eastAsia="宋体" w:hAnsi="Book Antiqua" w:cs="Arial" w:hint="eastAsia"/>
          <w:b/>
          <w:sz w:val="24"/>
          <w:lang w:eastAsia="zh-CN"/>
        </w:rPr>
        <w:t>4</w:t>
      </w:r>
      <w:r w:rsidR="008F0457">
        <w:rPr>
          <w:rFonts w:ascii="Book Antiqua" w:eastAsiaTheme="minorEastAsia" w:hAnsi="Book Antiqua" w:cs="Arial" w:hint="eastAsia"/>
          <w:b/>
          <w:sz w:val="24"/>
          <w:lang w:eastAsia="zh-CN"/>
        </w:rPr>
        <w:t xml:space="preserve">  </w:t>
      </w:r>
      <w:r w:rsidR="000A4093" w:rsidRPr="009661D0">
        <w:rPr>
          <w:rFonts w:ascii="Book Antiqua" w:eastAsia="GulimChe" w:hAnsi="Book Antiqua" w:cs="Arial"/>
          <w:b/>
          <w:sz w:val="24"/>
        </w:rPr>
        <w:t xml:space="preserve">Presence or absence of light blue crest and white opaque substance according to </w:t>
      </w:r>
      <w:r w:rsidRPr="009661D0">
        <w:rPr>
          <w:rFonts w:ascii="Book Antiqua" w:eastAsia="GulimChe" w:hAnsi="Book Antiqua" w:cs="Arial"/>
          <w:b/>
          <w:sz w:val="24"/>
        </w:rPr>
        <w:t>mucin expression in</w:t>
      </w:r>
      <w:r w:rsidRPr="009661D0">
        <w:rPr>
          <w:rFonts w:ascii="Book Antiqua" w:hAnsi="Book Antiqua" w:cs="Arial"/>
          <w:b/>
          <w:sz w:val="24"/>
        </w:rPr>
        <w:t xml:space="preserve"> gastric epithelial dysplasias</w:t>
      </w:r>
      <w:r w:rsidR="00847FD0" w:rsidRPr="009661D0">
        <w:rPr>
          <w:rFonts w:ascii="Book Antiqua" w:eastAsia="宋体" w:hAnsi="Book Antiqua" w:cs="Arial" w:hint="eastAsia"/>
          <w:b/>
          <w:sz w:val="24"/>
          <w:lang w:eastAsia="zh-CN"/>
        </w:rPr>
        <w:t xml:space="preserve"> </w:t>
      </w:r>
      <w:r w:rsidR="002C5C94" w:rsidRPr="009661D0">
        <w:rPr>
          <w:rFonts w:ascii="Book Antiqua" w:hAnsi="Book Antiqua" w:cs="Arial"/>
          <w:b/>
          <w:i/>
          <w:sz w:val="24"/>
        </w:rPr>
        <w:t>n</w:t>
      </w:r>
      <w:r w:rsidR="002C5C94" w:rsidRPr="009661D0">
        <w:rPr>
          <w:rFonts w:ascii="Book Antiqua" w:hAnsi="Book Antiqua" w:cs="Arial"/>
          <w:b/>
          <w:sz w:val="24"/>
        </w:rPr>
        <w:t xml:space="preserve"> (%)</w:t>
      </w:r>
    </w:p>
    <w:tbl>
      <w:tblPr>
        <w:tblStyle w:val="ac"/>
        <w:tblW w:w="915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97"/>
        <w:gridCol w:w="1057"/>
        <w:gridCol w:w="1155"/>
        <w:gridCol w:w="991"/>
        <w:gridCol w:w="1154"/>
        <w:gridCol w:w="1199"/>
        <w:gridCol w:w="1238"/>
      </w:tblGrid>
      <w:tr w:rsidR="0075590F" w:rsidRPr="009661D0" w:rsidTr="005615E1">
        <w:trPr>
          <w:trHeight w:val="734"/>
        </w:trPr>
        <w:tc>
          <w:tcPr>
            <w:tcW w:w="2362" w:type="dxa"/>
            <w:gridSpan w:val="2"/>
            <w:tcBorders>
              <w:top w:val="single" w:sz="4" w:space="0" w:color="auto"/>
              <w:bottom w:val="nil"/>
            </w:tcBorders>
            <w:vAlign w:val="center"/>
          </w:tcPr>
          <w:p w:rsidR="0075590F" w:rsidRPr="009661D0" w:rsidRDefault="0075590F" w:rsidP="00646A85">
            <w:pPr>
              <w:wordWrap/>
              <w:spacing w:line="360" w:lineRule="auto"/>
              <w:rPr>
                <w:rFonts w:ascii="Book Antiqua" w:hAnsi="Book Antiqua" w:cs="Arial"/>
                <w:b/>
                <w:sz w:val="24"/>
              </w:rPr>
            </w:pPr>
          </w:p>
        </w:tc>
        <w:tc>
          <w:tcPr>
            <w:tcW w:w="2212" w:type="dxa"/>
            <w:gridSpan w:val="2"/>
            <w:tcBorders>
              <w:top w:val="single" w:sz="4" w:space="0" w:color="auto"/>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Light blue crest</w:t>
            </w:r>
          </w:p>
        </w:tc>
        <w:tc>
          <w:tcPr>
            <w:tcW w:w="991" w:type="dxa"/>
            <w:vMerge w:val="restart"/>
            <w:tcBorders>
              <w:top w:val="single" w:sz="4" w:space="0" w:color="auto"/>
              <w:left w:val="nil"/>
              <w:bottom w:val="single" w:sz="4" w:space="0" w:color="auto"/>
              <w:right w:val="nil"/>
            </w:tcBorders>
            <w:vAlign w:val="center"/>
          </w:tcPr>
          <w:p w:rsidR="0075590F" w:rsidRPr="00AC2A67" w:rsidRDefault="00192DDE" w:rsidP="00551B4C">
            <w:pPr>
              <w:wordWrap/>
              <w:spacing w:line="360" w:lineRule="auto"/>
              <w:jc w:val="center"/>
              <w:rPr>
                <w:rFonts w:ascii="Book Antiqua" w:eastAsia="宋体" w:hAnsi="Book Antiqua" w:cs="Arial"/>
                <w:b/>
                <w:i/>
                <w:sz w:val="24"/>
                <w:lang w:eastAsia="zh-CN"/>
              </w:rPr>
            </w:pPr>
            <w:r w:rsidRPr="009661D0">
              <w:rPr>
                <w:rFonts w:ascii="Book Antiqua" w:hAnsi="Book Antiqua" w:cs="Arial"/>
                <w:b/>
                <w:i/>
                <w:sz w:val="24"/>
              </w:rPr>
              <w:t>P</w:t>
            </w:r>
            <w:r w:rsidR="00AC2A67">
              <w:rPr>
                <w:rFonts w:ascii="Book Antiqua" w:eastAsia="宋体" w:hAnsi="Book Antiqua" w:cs="Arial" w:hint="eastAsia"/>
                <w:b/>
                <w:i/>
                <w:sz w:val="24"/>
                <w:lang w:eastAsia="zh-CN"/>
              </w:rPr>
              <w:t xml:space="preserve"> </w:t>
            </w:r>
            <w:r w:rsidR="00AC2A67" w:rsidRPr="00730757">
              <w:rPr>
                <w:rFonts w:ascii="Book Antiqua" w:eastAsia="宋体" w:hAnsi="Book Antiqua" w:cs="Arial" w:hint="eastAsia"/>
                <w:b/>
                <w:sz w:val="24"/>
                <w:lang w:eastAsia="zh-CN"/>
              </w:rPr>
              <w:t>value</w:t>
            </w:r>
          </w:p>
        </w:tc>
        <w:tc>
          <w:tcPr>
            <w:tcW w:w="2353" w:type="dxa"/>
            <w:gridSpan w:val="2"/>
            <w:tcBorders>
              <w:top w:val="single" w:sz="4" w:space="0" w:color="auto"/>
              <w:left w:val="nil"/>
              <w:bottom w:val="single" w:sz="4" w:space="0" w:color="auto"/>
              <w:right w:val="nil"/>
            </w:tcBorders>
            <w:shd w:val="clear" w:color="auto" w:fill="auto"/>
            <w:vAlign w:val="center"/>
          </w:tcPr>
          <w:p w:rsidR="0075590F" w:rsidRPr="009661D0" w:rsidRDefault="0075590F" w:rsidP="00646A85">
            <w:pPr>
              <w:widowControl/>
              <w:wordWrap/>
              <w:autoSpaceDE/>
              <w:autoSpaceDN/>
              <w:spacing w:line="360" w:lineRule="auto"/>
              <w:jc w:val="center"/>
              <w:rPr>
                <w:rFonts w:ascii="Book Antiqua" w:hAnsi="Book Antiqua" w:cs="Arial"/>
                <w:b/>
                <w:sz w:val="24"/>
              </w:rPr>
            </w:pPr>
            <w:r w:rsidRPr="009661D0">
              <w:rPr>
                <w:rFonts w:ascii="Book Antiqua" w:hAnsi="Book Antiqua" w:cs="Arial"/>
                <w:b/>
                <w:sz w:val="24"/>
              </w:rPr>
              <w:t>White opaque substance</w:t>
            </w:r>
          </w:p>
        </w:tc>
        <w:tc>
          <w:tcPr>
            <w:tcW w:w="1238" w:type="dxa"/>
            <w:vMerge w:val="restart"/>
            <w:tcBorders>
              <w:top w:val="single" w:sz="4" w:space="0" w:color="auto"/>
              <w:left w:val="nil"/>
              <w:bottom w:val="nil"/>
              <w:right w:val="nil"/>
            </w:tcBorders>
            <w:shd w:val="clear" w:color="auto" w:fill="auto"/>
            <w:vAlign w:val="center"/>
          </w:tcPr>
          <w:p w:rsidR="0075590F" w:rsidRPr="00AC2A67" w:rsidRDefault="002C5C94" w:rsidP="00551B4C">
            <w:pPr>
              <w:wordWrap/>
              <w:spacing w:line="360" w:lineRule="auto"/>
              <w:jc w:val="center"/>
              <w:rPr>
                <w:rFonts w:ascii="Book Antiqua" w:eastAsia="宋体" w:hAnsi="Book Antiqua" w:cs="Arial"/>
                <w:b/>
                <w:i/>
                <w:sz w:val="24"/>
                <w:lang w:eastAsia="zh-CN"/>
              </w:rPr>
            </w:pPr>
            <w:r w:rsidRPr="009661D0">
              <w:rPr>
                <w:rFonts w:ascii="Book Antiqua" w:hAnsi="Book Antiqua" w:cs="Arial"/>
                <w:b/>
                <w:i/>
                <w:sz w:val="24"/>
              </w:rPr>
              <w:t>P</w:t>
            </w:r>
            <w:r w:rsidR="00AC2A67">
              <w:rPr>
                <w:rFonts w:ascii="Book Antiqua" w:eastAsia="宋体" w:hAnsi="Book Antiqua" w:cs="Arial" w:hint="eastAsia"/>
                <w:b/>
                <w:i/>
                <w:sz w:val="24"/>
                <w:lang w:eastAsia="zh-CN"/>
              </w:rPr>
              <w:t xml:space="preserve"> </w:t>
            </w:r>
            <w:r w:rsidR="00AC2A67" w:rsidRPr="00730757">
              <w:rPr>
                <w:rFonts w:ascii="Book Antiqua" w:eastAsia="宋体" w:hAnsi="Book Antiqua" w:cs="Arial" w:hint="eastAsia"/>
                <w:b/>
                <w:sz w:val="24"/>
                <w:lang w:eastAsia="zh-CN"/>
              </w:rPr>
              <w:t>value</w:t>
            </w:r>
          </w:p>
        </w:tc>
      </w:tr>
      <w:tr w:rsidR="0075590F" w:rsidRPr="009661D0" w:rsidTr="005615E1">
        <w:trPr>
          <w:trHeight w:val="780"/>
        </w:trPr>
        <w:tc>
          <w:tcPr>
            <w:tcW w:w="2265" w:type="dxa"/>
            <w:tcBorders>
              <w:top w:val="nil"/>
              <w:bottom w:val="single" w:sz="4" w:space="0" w:color="auto"/>
            </w:tcBorders>
            <w:vAlign w:val="center"/>
          </w:tcPr>
          <w:p w:rsidR="0075590F" w:rsidRPr="009661D0" w:rsidRDefault="0075590F" w:rsidP="00646A85">
            <w:pPr>
              <w:wordWrap/>
              <w:spacing w:line="360" w:lineRule="auto"/>
              <w:rPr>
                <w:rFonts w:ascii="Book Antiqua" w:hAnsi="Book Antiqua" w:cs="Arial"/>
                <w:sz w:val="24"/>
              </w:rPr>
            </w:pPr>
          </w:p>
        </w:tc>
        <w:tc>
          <w:tcPr>
            <w:tcW w:w="1154" w:type="dxa"/>
            <w:gridSpan w:val="2"/>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Absent</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27)</w:t>
            </w:r>
          </w:p>
        </w:tc>
        <w:tc>
          <w:tcPr>
            <w:tcW w:w="1155" w:type="dxa"/>
            <w:tcBorders>
              <w:top w:val="single" w:sz="4" w:space="0" w:color="auto"/>
              <w:bottom w:val="single" w:sz="4" w:space="0" w:color="auto"/>
            </w:tcBorders>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Present</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19)</w:t>
            </w:r>
          </w:p>
        </w:tc>
        <w:tc>
          <w:tcPr>
            <w:tcW w:w="991" w:type="dxa"/>
            <w:vMerge/>
            <w:tcBorders>
              <w:top w:val="nil"/>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b/>
                <w:sz w:val="24"/>
              </w:rPr>
            </w:pPr>
          </w:p>
        </w:tc>
        <w:tc>
          <w:tcPr>
            <w:tcW w:w="1154" w:type="dxa"/>
            <w:tcBorders>
              <w:top w:val="single" w:sz="4" w:space="0" w:color="auto"/>
              <w:left w:val="nil"/>
              <w:bottom w:val="single" w:sz="4" w:space="0" w:color="auto"/>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Absent</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31)</w:t>
            </w:r>
          </w:p>
        </w:tc>
        <w:tc>
          <w:tcPr>
            <w:tcW w:w="1199" w:type="dxa"/>
            <w:tcBorders>
              <w:top w:val="single" w:sz="4" w:space="0" w:color="auto"/>
              <w:left w:val="nil"/>
              <w:bottom w:val="single" w:sz="4" w:space="0" w:color="auto"/>
            </w:tcBorders>
            <w:shd w:val="clear" w:color="auto" w:fill="auto"/>
            <w:vAlign w:val="center"/>
          </w:tcPr>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Present</w:t>
            </w:r>
          </w:p>
          <w:p w:rsidR="0075590F" w:rsidRPr="009661D0" w:rsidRDefault="0075590F" w:rsidP="00646A85">
            <w:pPr>
              <w:wordWrap/>
              <w:spacing w:line="360" w:lineRule="auto"/>
              <w:jc w:val="center"/>
              <w:rPr>
                <w:rFonts w:ascii="Book Antiqua" w:hAnsi="Book Antiqua" w:cs="Arial"/>
                <w:b/>
                <w:sz w:val="24"/>
              </w:rPr>
            </w:pPr>
            <w:r w:rsidRPr="009661D0">
              <w:rPr>
                <w:rFonts w:ascii="Book Antiqua" w:hAnsi="Book Antiqua" w:cs="Arial"/>
                <w:b/>
                <w:sz w:val="24"/>
              </w:rPr>
              <w:t>(</w:t>
            </w:r>
            <w:r w:rsidRPr="009661D0">
              <w:rPr>
                <w:rFonts w:ascii="Book Antiqua" w:hAnsi="Book Antiqua" w:cs="Arial"/>
                <w:b/>
                <w:i/>
                <w:sz w:val="24"/>
              </w:rPr>
              <w:t>n</w:t>
            </w:r>
            <w:r w:rsidRPr="009661D0">
              <w:rPr>
                <w:rFonts w:ascii="Book Antiqua" w:hAnsi="Book Antiqua" w:cs="Arial"/>
                <w:b/>
                <w:sz w:val="24"/>
              </w:rPr>
              <w:t xml:space="preserve"> = 15)</w:t>
            </w:r>
          </w:p>
        </w:tc>
        <w:tc>
          <w:tcPr>
            <w:tcW w:w="1238" w:type="dxa"/>
            <w:vMerge/>
            <w:tcBorders>
              <w:top w:val="nil"/>
              <w:bottom w:val="single" w:sz="4" w:space="0" w:color="auto"/>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b/>
                <w:sz w:val="24"/>
              </w:rPr>
            </w:pPr>
          </w:p>
        </w:tc>
      </w:tr>
      <w:tr w:rsidR="0075590F" w:rsidRPr="009661D0" w:rsidTr="005615E1">
        <w:trPr>
          <w:trHeight w:val="503"/>
        </w:trPr>
        <w:tc>
          <w:tcPr>
            <w:tcW w:w="2265" w:type="dxa"/>
            <w:tcBorders>
              <w:top w:val="single" w:sz="4" w:space="0" w:color="auto"/>
            </w:tcBorders>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MUC2 expression</w:t>
            </w:r>
          </w:p>
        </w:tc>
        <w:tc>
          <w:tcPr>
            <w:tcW w:w="1154" w:type="dxa"/>
            <w:gridSpan w:val="2"/>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c>
          <w:tcPr>
            <w:tcW w:w="1155" w:type="dxa"/>
            <w:tcBorders>
              <w:top w:val="single" w:sz="4" w:space="0" w:color="auto"/>
            </w:tcBorders>
            <w:vAlign w:val="center"/>
          </w:tcPr>
          <w:p w:rsidR="0075590F" w:rsidRPr="009661D0" w:rsidRDefault="0075590F" w:rsidP="00646A85">
            <w:pPr>
              <w:wordWrap/>
              <w:spacing w:line="360" w:lineRule="auto"/>
              <w:jc w:val="center"/>
              <w:rPr>
                <w:rFonts w:ascii="Book Antiqua" w:hAnsi="Book Antiqua" w:cs="Arial"/>
                <w:sz w:val="24"/>
              </w:rPr>
            </w:pPr>
          </w:p>
        </w:tc>
        <w:tc>
          <w:tcPr>
            <w:tcW w:w="991" w:type="dxa"/>
            <w:tcBorders>
              <w:top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1.000</w:t>
            </w:r>
          </w:p>
        </w:tc>
        <w:tc>
          <w:tcPr>
            <w:tcW w:w="1154" w:type="dxa"/>
            <w:tcBorders>
              <w:top w:val="single" w:sz="4" w:space="0" w:color="auto"/>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199" w:type="dxa"/>
            <w:tcBorders>
              <w:top w:val="single" w:sz="4" w:space="0" w:color="auto"/>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238" w:type="dxa"/>
            <w:tcBorders>
              <w:top w:val="single" w:sz="4" w:space="0" w:color="auto"/>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1.000</w:t>
            </w:r>
          </w:p>
        </w:tc>
      </w:tr>
      <w:tr w:rsidR="0075590F" w:rsidRPr="009661D0" w:rsidTr="005615E1">
        <w:trPr>
          <w:trHeight w:val="480"/>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25 (93)</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18 (95)</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29 (94)</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(93)</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(7)</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(5)</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(6)</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 (7)</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MUC5AC expression</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0.220</w:t>
            </w: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0.575</w:t>
            </w: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(52)</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14 (74)</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18 (58)</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(67)</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480"/>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(48)</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(26)</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13 (42)</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MUC6 expression</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0.106</w:t>
            </w: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0.495</w:t>
            </w: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16 (59)</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16 (84)</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23 (74)</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9 (60)</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480"/>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11 (41)</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3 (16)</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8 (26)</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6 (40)</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CD10 expression</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0.002</w:t>
            </w: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0.723</w:t>
            </w: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Negative (&lt;</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15 (56)</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2 (11)</w:t>
            </w:r>
          </w:p>
        </w:tc>
        <w:tc>
          <w:tcPr>
            <w:tcW w:w="991" w:type="dxa"/>
            <w:tcBorders>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(39)</w:t>
            </w:r>
          </w:p>
        </w:tc>
        <w:tc>
          <w:tcPr>
            <w:tcW w:w="1199"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5 (33)</w:t>
            </w:r>
          </w:p>
        </w:tc>
        <w:tc>
          <w:tcPr>
            <w:tcW w:w="1238" w:type="dxa"/>
            <w:tcBorders>
              <w:top w:val="nil"/>
              <w:left w:val="nil"/>
              <w:bottom w:val="nil"/>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r w:rsidR="0075590F" w:rsidRPr="009661D0" w:rsidTr="005615E1">
        <w:trPr>
          <w:trHeight w:val="503"/>
        </w:trPr>
        <w:tc>
          <w:tcPr>
            <w:tcW w:w="2265" w:type="dxa"/>
            <w:vAlign w:val="center"/>
          </w:tcPr>
          <w:p w:rsidR="0075590F" w:rsidRPr="009661D0" w:rsidRDefault="0075590F" w:rsidP="00646A85">
            <w:pPr>
              <w:wordWrap/>
              <w:spacing w:line="360" w:lineRule="auto"/>
              <w:rPr>
                <w:rFonts w:ascii="Book Antiqua" w:hAnsi="Book Antiqua" w:cs="Arial"/>
                <w:sz w:val="24"/>
              </w:rPr>
            </w:pPr>
            <w:r w:rsidRPr="009661D0">
              <w:rPr>
                <w:rFonts w:ascii="Book Antiqua" w:hAnsi="Book Antiqua" w:cs="Arial"/>
                <w:sz w:val="24"/>
              </w:rPr>
              <w:t xml:space="preserve"> Positive (≥</w:t>
            </w:r>
            <w:r w:rsidR="00551B4C" w:rsidRPr="009661D0">
              <w:rPr>
                <w:rFonts w:ascii="Book Antiqua" w:eastAsia="宋体" w:hAnsi="Book Antiqua" w:cs="Arial" w:hint="eastAsia"/>
                <w:sz w:val="24"/>
                <w:lang w:eastAsia="zh-CN"/>
              </w:rPr>
              <w:t xml:space="preserve"> </w:t>
            </w:r>
            <w:r w:rsidRPr="009661D0">
              <w:rPr>
                <w:rFonts w:ascii="Book Antiqua" w:hAnsi="Book Antiqua" w:cs="Arial"/>
                <w:sz w:val="24"/>
              </w:rPr>
              <w:t>10%)</w:t>
            </w:r>
          </w:p>
        </w:tc>
        <w:tc>
          <w:tcPr>
            <w:tcW w:w="1154" w:type="dxa"/>
            <w:gridSpan w:val="2"/>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12 (44)</w:t>
            </w:r>
          </w:p>
        </w:tc>
        <w:tc>
          <w:tcPr>
            <w:tcW w:w="1155" w:type="dxa"/>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17 (89)</w:t>
            </w:r>
          </w:p>
        </w:tc>
        <w:tc>
          <w:tcPr>
            <w:tcW w:w="991" w:type="dxa"/>
            <w:tcBorders>
              <w:bottom w:val="single" w:sz="4" w:space="0" w:color="auto"/>
              <w:right w:val="nil"/>
            </w:tcBorders>
            <w:vAlign w:val="center"/>
          </w:tcPr>
          <w:p w:rsidR="0075590F" w:rsidRPr="009661D0" w:rsidRDefault="0075590F" w:rsidP="00646A85">
            <w:pPr>
              <w:wordWrap/>
              <w:spacing w:line="360" w:lineRule="auto"/>
              <w:jc w:val="center"/>
              <w:rPr>
                <w:rFonts w:ascii="Book Antiqua" w:hAnsi="Book Antiqua" w:cs="Arial"/>
                <w:sz w:val="24"/>
              </w:rPr>
            </w:pPr>
          </w:p>
        </w:tc>
        <w:tc>
          <w:tcPr>
            <w:tcW w:w="1154" w:type="dxa"/>
            <w:tcBorders>
              <w:top w:val="nil"/>
              <w:left w:val="nil"/>
              <w:bottom w:val="single" w:sz="4" w:space="0" w:color="auto"/>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19 (61)</w:t>
            </w:r>
          </w:p>
        </w:tc>
        <w:tc>
          <w:tcPr>
            <w:tcW w:w="1199" w:type="dxa"/>
            <w:tcBorders>
              <w:top w:val="nil"/>
              <w:left w:val="nil"/>
              <w:bottom w:val="single" w:sz="4" w:space="0" w:color="auto"/>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r w:rsidRPr="009661D0">
              <w:rPr>
                <w:rFonts w:ascii="Book Antiqua" w:hAnsi="Book Antiqua" w:cs="Arial"/>
                <w:sz w:val="24"/>
              </w:rPr>
              <w:t>10 (67)</w:t>
            </w:r>
          </w:p>
        </w:tc>
        <w:tc>
          <w:tcPr>
            <w:tcW w:w="1238" w:type="dxa"/>
            <w:tcBorders>
              <w:top w:val="nil"/>
              <w:left w:val="nil"/>
              <w:bottom w:val="single" w:sz="4" w:space="0" w:color="auto"/>
              <w:right w:val="nil"/>
            </w:tcBorders>
            <w:shd w:val="clear" w:color="auto" w:fill="auto"/>
            <w:vAlign w:val="center"/>
          </w:tcPr>
          <w:p w:rsidR="0075590F" w:rsidRPr="009661D0" w:rsidRDefault="0075590F" w:rsidP="00646A85">
            <w:pPr>
              <w:wordWrap/>
              <w:spacing w:line="360" w:lineRule="auto"/>
              <w:jc w:val="center"/>
              <w:rPr>
                <w:rFonts w:ascii="Book Antiqua" w:hAnsi="Book Antiqua" w:cs="Arial"/>
                <w:sz w:val="24"/>
              </w:rPr>
            </w:pPr>
          </w:p>
        </w:tc>
      </w:tr>
    </w:tbl>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idowControl/>
        <w:wordWrap/>
        <w:autoSpaceDE/>
        <w:autoSpaceDN/>
        <w:spacing w:line="360" w:lineRule="auto"/>
        <w:jc w:val="left"/>
        <w:rPr>
          <w:rFonts w:ascii="Book Antiqua" w:hAnsi="Book Antiqua" w:cs="Arial"/>
          <w:sz w:val="24"/>
        </w:rPr>
      </w:pPr>
    </w:p>
    <w:p w:rsidR="0075590F" w:rsidRPr="009661D0" w:rsidRDefault="0075590F" w:rsidP="00646A85">
      <w:pPr>
        <w:wordWrap/>
        <w:adjustRightInd w:val="0"/>
        <w:spacing w:line="360" w:lineRule="auto"/>
        <w:ind w:firstLineChars="200" w:firstLine="471"/>
        <w:rPr>
          <w:rFonts w:ascii="Book Antiqua" w:hAnsi="Book Antiqua" w:cs="Arial"/>
          <w:b/>
          <w:color w:val="000000" w:themeColor="text1"/>
          <w:kern w:val="0"/>
          <w:sz w:val="24"/>
          <w:vertAlign w:val="subscript"/>
        </w:rPr>
      </w:pPr>
    </w:p>
    <w:p w:rsidR="0075590F" w:rsidRPr="009661D0" w:rsidRDefault="0075590F" w:rsidP="00646A85">
      <w:pPr>
        <w:wordWrap/>
        <w:adjustRightInd w:val="0"/>
        <w:spacing w:line="360" w:lineRule="auto"/>
        <w:rPr>
          <w:rFonts w:ascii="Book Antiqua" w:hAnsi="Book Antiqua" w:cs="Arial"/>
          <w:b/>
          <w:color w:val="000000" w:themeColor="text1"/>
          <w:kern w:val="0"/>
          <w:sz w:val="24"/>
        </w:rPr>
      </w:pPr>
    </w:p>
    <w:p w:rsidR="0075590F" w:rsidRPr="009661D0" w:rsidRDefault="0075590F" w:rsidP="00646A85">
      <w:pPr>
        <w:widowControl/>
        <w:wordWrap/>
        <w:autoSpaceDE/>
        <w:autoSpaceDN/>
        <w:spacing w:after="200" w:line="360" w:lineRule="auto"/>
        <w:rPr>
          <w:rFonts w:ascii="Book Antiqua" w:hAnsi="Book Antiqua" w:cs="Arial"/>
          <w:b/>
          <w:color w:val="000000" w:themeColor="text1"/>
          <w:kern w:val="0"/>
          <w:sz w:val="24"/>
        </w:rPr>
      </w:pPr>
      <w:r w:rsidRPr="009661D0">
        <w:rPr>
          <w:rFonts w:ascii="Book Antiqua" w:hAnsi="Book Antiqua" w:cs="Arial"/>
          <w:b/>
          <w:color w:val="000000" w:themeColor="text1"/>
          <w:kern w:val="0"/>
          <w:sz w:val="24"/>
        </w:rPr>
        <w:br w:type="page"/>
      </w:r>
    </w:p>
    <w:p w:rsidR="0075590F" w:rsidRDefault="0075590F" w:rsidP="00646A85">
      <w:pPr>
        <w:wordWrap/>
        <w:adjustRightInd w:val="0"/>
        <w:spacing w:line="360" w:lineRule="auto"/>
        <w:rPr>
          <w:rFonts w:ascii="Book Antiqua" w:eastAsia="宋体" w:hAnsi="Book Antiqua" w:cs="Arial"/>
          <w:color w:val="000000" w:themeColor="text1"/>
          <w:kern w:val="0"/>
          <w:sz w:val="24"/>
          <w:lang w:eastAsia="zh-CN"/>
        </w:rPr>
      </w:pPr>
      <w:r w:rsidRPr="009661D0">
        <w:rPr>
          <w:rFonts w:ascii="Book Antiqua" w:hAnsi="Book Antiqua" w:cs="Arial"/>
          <w:b/>
          <w:color w:val="000000" w:themeColor="text1"/>
          <w:kern w:val="0"/>
          <w:sz w:val="24"/>
        </w:rPr>
        <w:lastRenderedPageBreak/>
        <w:t>Figure 1</w:t>
      </w:r>
      <w:r w:rsidR="008F0457">
        <w:rPr>
          <w:rFonts w:ascii="Book Antiqua" w:eastAsiaTheme="minorEastAsia" w:hAnsi="Book Antiqua" w:cs="Arial" w:hint="eastAsia"/>
          <w:b/>
          <w:color w:val="000000" w:themeColor="text1"/>
          <w:kern w:val="0"/>
          <w:sz w:val="24"/>
          <w:lang w:eastAsia="zh-CN"/>
        </w:rPr>
        <w:t xml:space="preserve">  </w:t>
      </w:r>
      <w:r w:rsidRPr="009661D0">
        <w:rPr>
          <w:rFonts w:ascii="Book Antiqua" w:hAnsi="Book Antiqua" w:cs="Arial"/>
          <w:b/>
          <w:color w:val="000000" w:themeColor="text1"/>
          <w:kern w:val="0"/>
          <w:sz w:val="24"/>
        </w:rPr>
        <w:t>Endoscopic and histologic findings of adenomatous gastric epithelial dysplasia.</w:t>
      </w:r>
      <w:r w:rsidRPr="009661D0">
        <w:rPr>
          <w:rFonts w:ascii="Book Antiqua" w:hAnsi="Book Antiqua" w:cs="Arial"/>
          <w:color w:val="000000" w:themeColor="text1"/>
          <w:kern w:val="0"/>
          <w:sz w:val="24"/>
        </w:rPr>
        <w:t xml:space="preserve"> </w:t>
      </w:r>
      <w:r w:rsidR="00D7610B" w:rsidRPr="009661D0">
        <w:rPr>
          <w:rFonts w:ascii="Book Antiqua" w:hAnsi="Book Antiqua" w:cs="Arial"/>
          <w:color w:val="000000" w:themeColor="text1"/>
          <w:kern w:val="0"/>
          <w:sz w:val="24"/>
        </w:rPr>
        <w:t>A</w:t>
      </w:r>
      <w:r w:rsidR="00D7610B" w:rsidRPr="009661D0">
        <w:rPr>
          <w:rFonts w:ascii="Book Antiqua" w:eastAsia="宋体" w:hAnsi="Book Antiqua" w:cs="Arial" w:hint="eastAsia"/>
          <w:color w:val="000000" w:themeColor="text1"/>
          <w:kern w:val="0"/>
          <w:sz w:val="24"/>
          <w:lang w:eastAsia="zh-CN"/>
        </w:rPr>
        <w:t xml:space="preserve">: </w:t>
      </w:r>
      <w:r w:rsidRPr="009661D0">
        <w:rPr>
          <w:rFonts w:ascii="Book Antiqua" w:hAnsi="Book Antiqua" w:cs="Arial"/>
          <w:color w:val="000000" w:themeColor="text1"/>
          <w:kern w:val="0"/>
          <w:sz w:val="24"/>
        </w:rPr>
        <w:t>An elevated lesion with nodular changes is seen at the antrum</w:t>
      </w:r>
      <w:r w:rsidR="00D7610B" w:rsidRPr="009661D0">
        <w:rPr>
          <w:rFonts w:ascii="Book Antiqua" w:eastAsia="宋体" w:hAnsi="Book Antiqua" w:cs="Arial" w:hint="eastAsia"/>
          <w:color w:val="000000" w:themeColor="text1"/>
          <w:kern w:val="0"/>
          <w:sz w:val="24"/>
          <w:lang w:eastAsia="zh-CN"/>
        </w:rPr>
        <w:t xml:space="preserve">; </w:t>
      </w:r>
      <w:r w:rsidR="00D7610B" w:rsidRPr="009661D0">
        <w:rPr>
          <w:rFonts w:ascii="Book Antiqua" w:hAnsi="Book Antiqua" w:cs="Arial"/>
          <w:color w:val="000000" w:themeColor="text1"/>
          <w:kern w:val="0"/>
          <w:sz w:val="24"/>
        </w:rPr>
        <w:t>B</w:t>
      </w:r>
      <w:r w:rsidR="00D7610B" w:rsidRPr="009661D0">
        <w:rPr>
          <w:rFonts w:ascii="Book Antiqua" w:eastAsia="宋体" w:hAnsi="Book Antiqua" w:cs="Arial" w:hint="eastAsia"/>
          <w:color w:val="000000" w:themeColor="text1"/>
          <w:kern w:val="0"/>
          <w:sz w:val="24"/>
          <w:lang w:eastAsia="zh-CN"/>
        </w:rPr>
        <w:t xml:space="preserve">: </w:t>
      </w:r>
      <w:r w:rsidRPr="001B478A">
        <w:rPr>
          <w:rFonts w:ascii="Book Antiqua" w:hAnsi="Book Antiqua" w:cs="Arial"/>
          <w:kern w:val="0"/>
          <w:sz w:val="24"/>
        </w:rPr>
        <w:t>Magnifying endoscopy using narrow band imaging shows a mixed (tubular and round pit) microsurface and regular microvascular pattern</w:t>
      </w:r>
      <w:r w:rsidR="001B478A">
        <w:rPr>
          <w:rFonts w:ascii="Book Antiqua" w:eastAsia="宋体" w:hAnsi="Book Antiqua" w:cs="Arial" w:hint="eastAsia"/>
          <w:kern w:val="0"/>
          <w:sz w:val="24"/>
          <w:lang w:eastAsia="zh-CN"/>
        </w:rPr>
        <w:t>.</w:t>
      </w:r>
      <w:r w:rsidR="00D7610B" w:rsidRPr="001B478A">
        <w:rPr>
          <w:rFonts w:ascii="Book Antiqua" w:eastAsia="宋体" w:hAnsi="Book Antiqua" w:cs="Arial" w:hint="eastAsia"/>
          <w:kern w:val="0"/>
          <w:sz w:val="24"/>
          <w:lang w:eastAsia="zh-CN"/>
        </w:rPr>
        <w:t xml:space="preserve"> </w:t>
      </w:r>
      <w:r w:rsidRPr="001B478A">
        <w:rPr>
          <w:rFonts w:ascii="Book Antiqua" w:hAnsi="Book Antiqua" w:cs="Arial"/>
          <w:kern w:val="0"/>
          <w:sz w:val="24"/>
        </w:rPr>
        <w:t>Light blue crests are also seen (arrow)</w:t>
      </w:r>
      <w:r w:rsidR="001B478A" w:rsidRPr="001B478A">
        <w:rPr>
          <w:rFonts w:ascii="Book Antiqua" w:eastAsia="宋体" w:hAnsi="Book Antiqua" w:cs="Arial" w:hint="eastAsia"/>
          <w:kern w:val="0"/>
          <w:sz w:val="24"/>
          <w:lang w:eastAsia="zh-CN"/>
        </w:rPr>
        <w:t xml:space="preserve">; </w:t>
      </w:r>
      <w:r w:rsidR="001B478A" w:rsidRPr="009661D0">
        <w:rPr>
          <w:rFonts w:ascii="Book Antiqua" w:eastAsia="AdvTimes" w:hAnsi="Book Antiqua" w:cs="Arial"/>
          <w:color w:val="000000" w:themeColor="text1"/>
          <w:kern w:val="0"/>
          <w:sz w:val="24"/>
        </w:rPr>
        <w:t>C</w:t>
      </w:r>
      <w:r w:rsidR="001B478A" w:rsidRPr="009661D0">
        <w:rPr>
          <w:rFonts w:ascii="Book Antiqua" w:eastAsia="宋体" w:hAnsi="Book Antiqua" w:cs="Arial" w:hint="eastAsia"/>
          <w:color w:val="000000" w:themeColor="text1"/>
          <w:kern w:val="0"/>
          <w:sz w:val="24"/>
          <w:lang w:eastAsia="zh-CN"/>
        </w:rPr>
        <w:t xml:space="preserve">: </w:t>
      </w:r>
      <w:r w:rsidRPr="009661D0">
        <w:rPr>
          <w:rFonts w:ascii="Book Antiqua" w:hAnsi="Book Antiqua" w:cs="Arial"/>
          <w:color w:val="000000" w:themeColor="text1"/>
          <w:kern w:val="0"/>
          <w:sz w:val="24"/>
        </w:rPr>
        <w:t xml:space="preserve">Histologic examination shows that the dysplasia is </w:t>
      </w:r>
      <w:r w:rsidRPr="009661D0">
        <w:rPr>
          <w:rFonts w:ascii="Book Antiqua" w:eastAsia="AdvTimes" w:hAnsi="Book Antiqua" w:cs="Arial"/>
          <w:color w:val="000000" w:themeColor="text1"/>
          <w:kern w:val="0"/>
          <w:sz w:val="24"/>
        </w:rPr>
        <w:t>composed of tubules lined by columnar cells with hyperchromatic, pencillate nuclei with pseudostratification (</w:t>
      </w:r>
      <w:r w:rsidR="00893F15" w:rsidRPr="009661D0">
        <w:rPr>
          <w:rFonts w:ascii="Book Antiqua" w:hAnsi="Book Antiqua"/>
          <w:sz w:val="24"/>
          <w:lang w:eastAsia="zh-CN"/>
        </w:rPr>
        <w:t>Haematoxylin-Eosin stain</w:t>
      </w:r>
      <w:r w:rsidRPr="009661D0">
        <w:rPr>
          <w:rFonts w:ascii="Book Antiqua" w:eastAsia="AdvTimes" w:hAnsi="Book Antiqua" w:cs="Arial"/>
          <w:color w:val="000000" w:themeColor="text1"/>
          <w:kern w:val="0"/>
          <w:sz w:val="24"/>
        </w:rPr>
        <w:t xml:space="preserve">, </w:t>
      </w:r>
      <w:r w:rsidR="00893F15" w:rsidRPr="009661D0">
        <w:rPr>
          <w:rFonts w:ascii="Book Antiqua" w:hAnsi="Book Antiqua"/>
          <w:sz w:val="24"/>
          <w:lang w:eastAsia="zh-CN"/>
        </w:rPr>
        <w:t>×</w:t>
      </w:r>
      <w:r w:rsidR="00893F15" w:rsidRPr="009661D0">
        <w:rPr>
          <w:rFonts w:ascii="Book Antiqua" w:eastAsia="宋体" w:hAnsi="Book Antiqua" w:hint="eastAsia"/>
          <w:sz w:val="24"/>
          <w:lang w:eastAsia="zh-CN"/>
        </w:rPr>
        <w:t xml:space="preserve"> </w:t>
      </w:r>
      <w:r w:rsidRPr="009661D0">
        <w:rPr>
          <w:rFonts w:ascii="Book Antiqua" w:eastAsia="AdvTimes" w:hAnsi="Book Antiqua" w:cs="Arial"/>
          <w:color w:val="000000" w:themeColor="text1"/>
          <w:kern w:val="0"/>
          <w:sz w:val="24"/>
        </w:rPr>
        <w:t>10). The dysplastic epithelium is strongly positive for CD10 (</w:t>
      </w:r>
      <w:r w:rsidR="00192DDE" w:rsidRPr="009661D0">
        <w:rPr>
          <w:rFonts w:ascii="Book Antiqua" w:eastAsia="AdvTimes" w:hAnsi="Book Antiqua" w:cs="Arial"/>
          <w:color w:val="000000" w:themeColor="text1"/>
          <w:kern w:val="0"/>
          <w:sz w:val="24"/>
        </w:rPr>
        <w:t>G</w:t>
      </w:r>
      <w:r w:rsidRPr="009661D0">
        <w:rPr>
          <w:rFonts w:ascii="Book Antiqua" w:eastAsia="AdvTimes" w:hAnsi="Book Antiqua" w:cs="Arial"/>
          <w:color w:val="000000" w:themeColor="text1"/>
          <w:kern w:val="0"/>
          <w:sz w:val="24"/>
        </w:rPr>
        <w:t>) and negative for MUC2 (</w:t>
      </w:r>
      <w:r w:rsidR="00192DDE" w:rsidRPr="009661D0">
        <w:rPr>
          <w:rFonts w:ascii="Book Antiqua" w:eastAsia="AdvTimes" w:hAnsi="Book Antiqua" w:cs="Arial"/>
          <w:color w:val="000000" w:themeColor="text1"/>
          <w:kern w:val="0"/>
          <w:sz w:val="24"/>
        </w:rPr>
        <w:t>D</w:t>
      </w:r>
      <w:r w:rsidRPr="009661D0">
        <w:rPr>
          <w:rFonts w:ascii="Book Antiqua" w:eastAsia="AdvTimes" w:hAnsi="Book Antiqua" w:cs="Arial"/>
          <w:color w:val="000000" w:themeColor="text1"/>
          <w:kern w:val="0"/>
          <w:sz w:val="24"/>
        </w:rPr>
        <w:t>), MUC5AC (</w:t>
      </w:r>
      <w:r w:rsidR="00192DDE" w:rsidRPr="009661D0">
        <w:rPr>
          <w:rFonts w:ascii="Book Antiqua" w:eastAsia="AdvTimes" w:hAnsi="Book Antiqua" w:cs="Arial"/>
          <w:color w:val="000000" w:themeColor="text1"/>
          <w:kern w:val="0"/>
          <w:sz w:val="24"/>
        </w:rPr>
        <w:t>E</w:t>
      </w:r>
      <w:r w:rsidRPr="009661D0">
        <w:rPr>
          <w:rFonts w:ascii="Book Antiqua" w:eastAsia="AdvTimes" w:hAnsi="Book Antiqua" w:cs="Arial"/>
          <w:color w:val="000000" w:themeColor="text1"/>
          <w:kern w:val="0"/>
          <w:sz w:val="24"/>
        </w:rPr>
        <w:t>) and MUC6 (</w:t>
      </w:r>
      <w:r w:rsidR="00192DDE" w:rsidRPr="009661D0">
        <w:rPr>
          <w:rFonts w:ascii="Book Antiqua" w:eastAsia="AdvTimes" w:hAnsi="Book Antiqua" w:cs="Arial"/>
          <w:color w:val="000000" w:themeColor="text1"/>
          <w:kern w:val="0"/>
          <w:sz w:val="24"/>
        </w:rPr>
        <w:t>F</w:t>
      </w:r>
      <w:r w:rsidRPr="009661D0">
        <w:rPr>
          <w:rFonts w:ascii="Book Antiqua" w:eastAsia="AdvTimes" w:hAnsi="Book Antiqua" w:cs="Arial"/>
          <w:color w:val="000000" w:themeColor="text1"/>
          <w:kern w:val="0"/>
          <w:sz w:val="24"/>
        </w:rPr>
        <w:t>)</w:t>
      </w:r>
      <w:r w:rsidR="007A35B8">
        <w:rPr>
          <w:rFonts w:ascii="Book Antiqua" w:eastAsia="宋体" w:hAnsi="Book Antiqua" w:cs="Arial" w:hint="eastAsia"/>
          <w:color w:val="000000" w:themeColor="text1"/>
          <w:kern w:val="0"/>
          <w:sz w:val="24"/>
          <w:lang w:eastAsia="zh-CN"/>
        </w:rPr>
        <w:t>(I</w:t>
      </w:r>
      <w:r w:rsidR="007A35B8" w:rsidRPr="002C1436">
        <w:rPr>
          <w:rFonts w:ascii="Book Antiqua" w:eastAsia="宋体" w:hAnsi="Book Antiqua" w:cs="Arial"/>
          <w:color w:val="000000" w:themeColor="text1"/>
          <w:kern w:val="0"/>
          <w:sz w:val="24"/>
          <w:lang w:eastAsia="zh-CN"/>
        </w:rPr>
        <w:t>mmunohistochemistry</w:t>
      </w:r>
      <w:r w:rsidR="007A35B8" w:rsidRPr="009661D0">
        <w:rPr>
          <w:rFonts w:ascii="Book Antiqua" w:eastAsia="AdvTimes" w:hAnsi="Book Antiqua" w:cs="Arial"/>
          <w:color w:val="000000" w:themeColor="text1"/>
          <w:kern w:val="0"/>
          <w:sz w:val="24"/>
        </w:rPr>
        <w:t xml:space="preserve">, </w:t>
      </w:r>
      <w:r w:rsidR="007A35B8" w:rsidRPr="009661D0">
        <w:rPr>
          <w:rFonts w:ascii="Book Antiqua" w:hAnsi="Book Antiqua"/>
          <w:sz w:val="24"/>
          <w:lang w:eastAsia="zh-CN"/>
        </w:rPr>
        <w:t>×</w:t>
      </w:r>
      <w:r w:rsidR="007A35B8" w:rsidRPr="009661D0">
        <w:rPr>
          <w:rFonts w:ascii="Book Antiqua" w:eastAsia="宋体" w:hAnsi="Book Antiqua" w:hint="eastAsia"/>
          <w:sz w:val="24"/>
          <w:lang w:eastAsia="zh-CN"/>
        </w:rPr>
        <w:t xml:space="preserve"> </w:t>
      </w:r>
      <w:r w:rsidR="007A35B8" w:rsidRPr="009661D0">
        <w:rPr>
          <w:rFonts w:ascii="Book Antiqua" w:eastAsia="AdvTimes" w:hAnsi="Book Antiqua" w:cs="Arial"/>
          <w:color w:val="000000" w:themeColor="text1"/>
          <w:kern w:val="0"/>
          <w:sz w:val="24"/>
        </w:rPr>
        <w:t>10</w:t>
      </w:r>
      <w:r w:rsidR="007A35B8">
        <w:rPr>
          <w:rFonts w:ascii="Book Antiqua" w:eastAsia="宋体" w:hAnsi="Book Antiqua" w:cs="Arial" w:hint="eastAsia"/>
          <w:color w:val="000000" w:themeColor="text1"/>
          <w:kern w:val="0"/>
          <w:sz w:val="24"/>
          <w:lang w:eastAsia="zh-CN"/>
        </w:rPr>
        <w:t>)</w:t>
      </w:r>
      <w:r w:rsidRPr="009661D0">
        <w:rPr>
          <w:rFonts w:ascii="Book Antiqua" w:eastAsia="AdvTimes" w:hAnsi="Book Antiqua" w:cs="Arial"/>
          <w:color w:val="000000" w:themeColor="text1"/>
          <w:kern w:val="0"/>
          <w:sz w:val="24"/>
        </w:rPr>
        <w:t xml:space="preserve">. </w:t>
      </w:r>
    </w:p>
    <w:p w:rsidR="00AC2A67" w:rsidRPr="00AC2A67" w:rsidRDefault="00AC2A67" w:rsidP="00646A85">
      <w:pPr>
        <w:wordWrap/>
        <w:adjustRightInd w:val="0"/>
        <w:spacing w:line="360" w:lineRule="auto"/>
        <w:rPr>
          <w:rFonts w:ascii="Book Antiqua" w:eastAsia="宋体" w:hAnsi="Book Antiqua" w:cs="Arial"/>
          <w:color w:val="000000" w:themeColor="text1"/>
          <w:kern w:val="0"/>
          <w:sz w:val="24"/>
          <w:lang w:eastAsia="zh-CN"/>
        </w:rPr>
      </w:pPr>
    </w:p>
    <w:p w:rsidR="006D6D2C" w:rsidRPr="009661D0" w:rsidRDefault="006D6D2C" w:rsidP="00646A85">
      <w:pPr>
        <w:widowControl/>
        <w:wordWrap/>
        <w:autoSpaceDE/>
        <w:autoSpaceDN/>
        <w:spacing w:line="360" w:lineRule="auto"/>
        <w:ind w:left="118" w:hangingChars="50" w:hanging="118"/>
        <w:jc w:val="left"/>
        <w:rPr>
          <w:rFonts w:ascii="Book Antiqua" w:hAnsi="Book Antiqua" w:cs="Arial"/>
          <w:b/>
          <w:color w:val="000000" w:themeColor="text1"/>
          <w:kern w:val="0"/>
          <w:sz w:val="24"/>
        </w:rPr>
      </w:pPr>
      <w:r w:rsidRPr="009661D0">
        <w:rPr>
          <w:rFonts w:ascii="Book Antiqua" w:hAnsi="Book Antiqua" w:cs="Arial"/>
          <w:b/>
          <w:color w:val="000000" w:themeColor="text1"/>
          <w:kern w:val="0"/>
          <w:sz w:val="24"/>
        </w:rPr>
        <w:t>(</w:t>
      </w:r>
      <w:r w:rsidR="009C486B" w:rsidRPr="009661D0">
        <w:rPr>
          <w:rFonts w:ascii="Book Antiqua" w:eastAsia="宋体" w:hAnsi="Book Antiqua" w:cs="Arial" w:hint="eastAsia"/>
          <w:b/>
          <w:color w:val="000000" w:themeColor="text1"/>
          <w:kern w:val="0"/>
          <w:sz w:val="24"/>
          <w:lang w:eastAsia="zh-CN"/>
        </w:rPr>
        <w:t>A</w:t>
      </w:r>
      <w:r w:rsidRPr="009661D0">
        <w:rPr>
          <w:rFonts w:ascii="Book Antiqua" w:hAnsi="Book Antiqua" w:cs="Arial"/>
          <w:b/>
          <w:color w:val="000000" w:themeColor="text1"/>
          <w:kern w:val="0"/>
          <w:sz w:val="24"/>
        </w:rPr>
        <w:t xml:space="preserve">) </w:t>
      </w:r>
      <w:r w:rsidR="005615E1" w:rsidRPr="009661D0">
        <w:rPr>
          <w:rFonts w:ascii="Book Antiqua" w:hAnsi="Book Antiqua" w:cs="Arial"/>
          <w:b/>
          <w:noProof/>
          <w:color w:val="000000" w:themeColor="text1"/>
          <w:kern w:val="0"/>
          <w:sz w:val="24"/>
          <w:lang w:eastAsia="zh-CN"/>
        </w:rPr>
        <w:drawing>
          <wp:inline distT="0" distB="0" distL="0" distR="0">
            <wp:extent cx="1645200" cy="1440000"/>
            <wp:effectExtent l="0" t="0" r="0" b="8255"/>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200" cy="1440000"/>
                    </a:xfrm>
                    <a:prstGeom prst="rect">
                      <a:avLst/>
                    </a:prstGeom>
                    <a:noFill/>
                    <a:ln>
                      <a:noFill/>
                    </a:ln>
                  </pic:spPr>
                </pic:pic>
              </a:graphicData>
            </a:graphic>
          </wp:inline>
        </w:drawing>
      </w:r>
      <w:r w:rsidR="005615E1" w:rsidRPr="009661D0">
        <w:rPr>
          <w:rFonts w:ascii="Book Antiqua" w:hAnsi="Book Antiqua" w:cs="Arial"/>
          <w:b/>
          <w:color w:val="000000" w:themeColor="text1"/>
          <w:kern w:val="0"/>
          <w:sz w:val="24"/>
        </w:rPr>
        <w:t xml:space="preserve"> </w:t>
      </w:r>
      <w:r w:rsidRPr="009661D0">
        <w:rPr>
          <w:rFonts w:ascii="Book Antiqua" w:hAnsi="Book Antiqua" w:cs="Arial"/>
          <w:b/>
          <w:color w:val="000000" w:themeColor="text1"/>
          <w:kern w:val="0"/>
          <w:sz w:val="24"/>
        </w:rPr>
        <w:t xml:space="preserve"> (</w:t>
      </w:r>
      <w:r w:rsidR="009C486B" w:rsidRPr="009661D0">
        <w:rPr>
          <w:rFonts w:ascii="Book Antiqua" w:eastAsia="宋体" w:hAnsi="Book Antiqua" w:cs="Arial" w:hint="eastAsia"/>
          <w:b/>
          <w:color w:val="000000" w:themeColor="text1"/>
          <w:kern w:val="0"/>
          <w:sz w:val="24"/>
          <w:lang w:eastAsia="zh-CN"/>
        </w:rPr>
        <w:t>B</w:t>
      </w:r>
      <w:r w:rsidRPr="009661D0">
        <w:rPr>
          <w:rFonts w:ascii="Book Antiqua" w:hAnsi="Book Antiqua" w:cs="Arial"/>
          <w:b/>
          <w:color w:val="000000" w:themeColor="text1"/>
          <w:kern w:val="0"/>
          <w:sz w:val="24"/>
        </w:rPr>
        <w:t xml:space="preserve">) </w:t>
      </w:r>
      <w:r w:rsidR="005615E1" w:rsidRPr="009661D0">
        <w:rPr>
          <w:rFonts w:ascii="Book Antiqua" w:hAnsi="Book Antiqua" w:cs="Arial"/>
          <w:b/>
          <w:noProof/>
          <w:color w:val="000000" w:themeColor="text1"/>
          <w:kern w:val="0"/>
          <w:sz w:val="24"/>
          <w:lang w:eastAsia="zh-CN"/>
        </w:rPr>
        <w:drawing>
          <wp:inline distT="0" distB="0" distL="0" distR="0">
            <wp:extent cx="1645419" cy="1440000"/>
            <wp:effectExtent l="0" t="0" r="0" b="825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419" cy="1440000"/>
                    </a:xfrm>
                    <a:prstGeom prst="rect">
                      <a:avLst/>
                    </a:prstGeom>
                    <a:noFill/>
                    <a:ln>
                      <a:noFill/>
                    </a:ln>
                  </pic:spPr>
                </pic:pic>
              </a:graphicData>
            </a:graphic>
          </wp:inline>
        </w:drawing>
      </w:r>
      <w:r w:rsidR="005615E1" w:rsidRPr="009661D0">
        <w:rPr>
          <w:rFonts w:ascii="Book Antiqua" w:hAnsi="Book Antiqua" w:cs="Arial"/>
          <w:b/>
          <w:color w:val="000000" w:themeColor="text1"/>
          <w:kern w:val="0"/>
          <w:sz w:val="24"/>
        </w:rPr>
        <w:t xml:space="preserve"> </w:t>
      </w:r>
    </w:p>
    <w:p w:rsidR="006D6D2C" w:rsidRPr="009661D0" w:rsidRDefault="006D6D2C" w:rsidP="00646A85">
      <w:pPr>
        <w:widowControl/>
        <w:wordWrap/>
        <w:autoSpaceDE/>
        <w:autoSpaceDN/>
        <w:spacing w:line="360" w:lineRule="auto"/>
        <w:jc w:val="left"/>
        <w:rPr>
          <w:rFonts w:ascii="Book Antiqua" w:hAnsi="Book Antiqua" w:cs="Arial"/>
          <w:b/>
          <w:color w:val="000000" w:themeColor="text1"/>
          <w:kern w:val="0"/>
          <w:sz w:val="24"/>
        </w:rPr>
      </w:pPr>
      <w:r w:rsidRPr="009661D0">
        <w:rPr>
          <w:rFonts w:ascii="Book Antiqua" w:hAnsi="Book Antiqua" w:cs="Arial"/>
          <w:b/>
          <w:color w:val="000000" w:themeColor="text1"/>
          <w:kern w:val="0"/>
          <w:sz w:val="24"/>
        </w:rPr>
        <w:t>(</w:t>
      </w:r>
      <w:r w:rsidR="009C486B" w:rsidRPr="009661D0">
        <w:rPr>
          <w:rFonts w:ascii="Book Antiqua" w:eastAsia="宋体" w:hAnsi="Book Antiqua" w:cs="Arial" w:hint="eastAsia"/>
          <w:b/>
          <w:color w:val="000000" w:themeColor="text1"/>
          <w:kern w:val="0"/>
          <w:sz w:val="24"/>
          <w:lang w:eastAsia="zh-CN"/>
        </w:rPr>
        <w:t>C</w:t>
      </w:r>
      <w:r w:rsidRPr="009661D0">
        <w:rPr>
          <w:rFonts w:ascii="Book Antiqua" w:hAnsi="Book Antiqua" w:cs="Arial"/>
          <w:b/>
          <w:color w:val="000000" w:themeColor="text1"/>
          <w:kern w:val="0"/>
          <w:sz w:val="24"/>
        </w:rPr>
        <w:t xml:space="preserve">) </w:t>
      </w:r>
      <w:r w:rsidR="005615E1" w:rsidRPr="009661D0">
        <w:rPr>
          <w:rFonts w:ascii="Book Antiqua" w:hAnsi="Book Antiqua" w:cs="Arial"/>
          <w:b/>
          <w:noProof/>
          <w:color w:val="000000" w:themeColor="text1"/>
          <w:kern w:val="0"/>
          <w:sz w:val="24"/>
          <w:lang w:eastAsia="zh-CN"/>
        </w:rPr>
        <w:drawing>
          <wp:inline distT="0" distB="0" distL="0" distR="0">
            <wp:extent cx="1909596" cy="1440000"/>
            <wp:effectExtent l="0" t="0" r="0" b="825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9596" cy="1440000"/>
                    </a:xfrm>
                    <a:prstGeom prst="rect">
                      <a:avLst/>
                    </a:prstGeom>
                    <a:noFill/>
                    <a:ln>
                      <a:noFill/>
                    </a:ln>
                  </pic:spPr>
                </pic:pic>
              </a:graphicData>
            </a:graphic>
          </wp:inline>
        </w:drawing>
      </w:r>
      <w:r w:rsidRPr="009661D0">
        <w:rPr>
          <w:rFonts w:ascii="Book Antiqua" w:hAnsi="Book Antiqua" w:cs="Arial"/>
          <w:b/>
          <w:color w:val="000000" w:themeColor="text1"/>
          <w:kern w:val="0"/>
          <w:sz w:val="24"/>
        </w:rPr>
        <w:t xml:space="preserve">  (</w:t>
      </w:r>
      <w:r w:rsidR="009C486B" w:rsidRPr="009661D0">
        <w:rPr>
          <w:rFonts w:ascii="Book Antiqua" w:eastAsia="宋体" w:hAnsi="Book Antiqua" w:cs="Arial" w:hint="eastAsia"/>
          <w:b/>
          <w:color w:val="000000" w:themeColor="text1"/>
          <w:kern w:val="0"/>
          <w:sz w:val="24"/>
          <w:lang w:eastAsia="zh-CN"/>
        </w:rPr>
        <w:t>D</w:t>
      </w:r>
      <w:r w:rsidRPr="009661D0">
        <w:rPr>
          <w:rFonts w:ascii="Book Antiqua" w:hAnsi="Book Antiqua" w:cs="Arial"/>
          <w:b/>
          <w:color w:val="000000" w:themeColor="text1"/>
          <w:kern w:val="0"/>
          <w:sz w:val="24"/>
        </w:rPr>
        <w:t xml:space="preserve">) </w:t>
      </w:r>
      <w:r w:rsidR="005615E1" w:rsidRPr="009661D0">
        <w:rPr>
          <w:rFonts w:ascii="Book Antiqua" w:hAnsi="Book Antiqua" w:cs="Arial"/>
          <w:b/>
          <w:noProof/>
          <w:color w:val="000000" w:themeColor="text1"/>
          <w:kern w:val="0"/>
          <w:sz w:val="24"/>
          <w:lang w:eastAsia="zh-CN"/>
        </w:rPr>
        <w:drawing>
          <wp:inline distT="0" distB="0" distL="0" distR="0">
            <wp:extent cx="1909596" cy="1440000"/>
            <wp:effectExtent l="0" t="0" r="0" b="8255"/>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9596" cy="1440000"/>
                    </a:xfrm>
                    <a:prstGeom prst="rect">
                      <a:avLst/>
                    </a:prstGeom>
                    <a:noFill/>
                    <a:ln>
                      <a:noFill/>
                    </a:ln>
                  </pic:spPr>
                </pic:pic>
              </a:graphicData>
            </a:graphic>
          </wp:inline>
        </w:drawing>
      </w:r>
      <w:r w:rsidRPr="009661D0">
        <w:rPr>
          <w:rFonts w:ascii="Book Antiqua" w:hAnsi="Book Antiqua" w:cs="Arial"/>
          <w:b/>
          <w:color w:val="000000" w:themeColor="text1"/>
          <w:kern w:val="0"/>
          <w:sz w:val="24"/>
        </w:rPr>
        <w:t xml:space="preserve"> </w:t>
      </w:r>
    </w:p>
    <w:p w:rsidR="006D6D2C" w:rsidRPr="009661D0" w:rsidRDefault="006D6D2C" w:rsidP="00646A85">
      <w:pPr>
        <w:widowControl/>
        <w:wordWrap/>
        <w:autoSpaceDE/>
        <w:autoSpaceDN/>
        <w:spacing w:line="360" w:lineRule="auto"/>
        <w:jc w:val="left"/>
        <w:rPr>
          <w:rFonts w:ascii="Book Antiqua" w:hAnsi="Book Antiqua" w:cs="Arial"/>
          <w:b/>
          <w:color w:val="000000" w:themeColor="text1"/>
          <w:kern w:val="0"/>
          <w:sz w:val="24"/>
        </w:rPr>
      </w:pPr>
      <w:r w:rsidRPr="009661D0">
        <w:rPr>
          <w:rFonts w:ascii="Book Antiqua" w:hAnsi="Book Antiqua" w:cs="Arial"/>
          <w:b/>
          <w:color w:val="000000" w:themeColor="text1"/>
          <w:kern w:val="0"/>
          <w:sz w:val="24"/>
        </w:rPr>
        <w:t>(</w:t>
      </w:r>
      <w:r w:rsidR="009C486B" w:rsidRPr="009661D0">
        <w:rPr>
          <w:rFonts w:ascii="Book Antiqua" w:eastAsia="宋体" w:hAnsi="Book Antiqua" w:cs="Arial" w:hint="eastAsia"/>
          <w:b/>
          <w:color w:val="000000" w:themeColor="text1"/>
          <w:kern w:val="0"/>
          <w:sz w:val="24"/>
          <w:lang w:eastAsia="zh-CN"/>
        </w:rPr>
        <w:t>E</w:t>
      </w:r>
      <w:r w:rsidRPr="009661D0">
        <w:rPr>
          <w:rFonts w:ascii="Book Antiqua" w:hAnsi="Book Antiqua" w:cs="Arial"/>
          <w:b/>
          <w:color w:val="000000" w:themeColor="text1"/>
          <w:kern w:val="0"/>
          <w:sz w:val="24"/>
        </w:rPr>
        <w:t xml:space="preserve">) </w:t>
      </w:r>
      <w:r w:rsidRPr="009661D0">
        <w:rPr>
          <w:rFonts w:ascii="Book Antiqua" w:hAnsi="Book Antiqua" w:cs="Arial"/>
          <w:b/>
          <w:noProof/>
          <w:color w:val="000000" w:themeColor="text1"/>
          <w:kern w:val="0"/>
          <w:sz w:val="24"/>
          <w:lang w:eastAsia="zh-CN"/>
        </w:rPr>
        <w:drawing>
          <wp:inline distT="0" distB="0" distL="0" distR="0">
            <wp:extent cx="1909596" cy="1440000"/>
            <wp:effectExtent l="0" t="0" r="0" b="825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596" cy="1440000"/>
                    </a:xfrm>
                    <a:prstGeom prst="rect">
                      <a:avLst/>
                    </a:prstGeom>
                    <a:noFill/>
                    <a:ln>
                      <a:noFill/>
                    </a:ln>
                  </pic:spPr>
                </pic:pic>
              </a:graphicData>
            </a:graphic>
          </wp:inline>
        </w:drawing>
      </w:r>
      <w:r w:rsidRPr="009661D0">
        <w:rPr>
          <w:rFonts w:ascii="Book Antiqua" w:hAnsi="Book Antiqua" w:cs="Arial"/>
          <w:b/>
          <w:color w:val="000000" w:themeColor="text1"/>
          <w:kern w:val="0"/>
          <w:sz w:val="24"/>
        </w:rPr>
        <w:t xml:space="preserve">  (</w:t>
      </w:r>
      <w:r w:rsidR="009C486B" w:rsidRPr="009661D0">
        <w:rPr>
          <w:rFonts w:ascii="Book Antiqua" w:eastAsia="宋体" w:hAnsi="Book Antiqua" w:cs="Arial" w:hint="eastAsia"/>
          <w:b/>
          <w:color w:val="000000" w:themeColor="text1"/>
          <w:kern w:val="0"/>
          <w:sz w:val="24"/>
          <w:lang w:eastAsia="zh-CN"/>
        </w:rPr>
        <w:t>F</w:t>
      </w:r>
      <w:r w:rsidRPr="009661D0">
        <w:rPr>
          <w:rFonts w:ascii="Book Antiqua" w:hAnsi="Book Antiqua" w:cs="Arial"/>
          <w:b/>
          <w:color w:val="000000" w:themeColor="text1"/>
          <w:kern w:val="0"/>
          <w:sz w:val="24"/>
        </w:rPr>
        <w:t xml:space="preserve">) </w:t>
      </w:r>
      <w:r w:rsidRPr="009661D0">
        <w:rPr>
          <w:rFonts w:ascii="Book Antiqua" w:hAnsi="Book Antiqua" w:cs="Arial"/>
          <w:b/>
          <w:noProof/>
          <w:color w:val="000000" w:themeColor="text1"/>
          <w:kern w:val="0"/>
          <w:sz w:val="24"/>
          <w:lang w:eastAsia="zh-CN"/>
        </w:rPr>
        <w:drawing>
          <wp:inline distT="0" distB="0" distL="0" distR="0">
            <wp:extent cx="1909596" cy="1440000"/>
            <wp:effectExtent l="0" t="0" r="0" b="8255"/>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9596" cy="1440000"/>
                    </a:xfrm>
                    <a:prstGeom prst="rect">
                      <a:avLst/>
                    </a:prstGeom>
                    <a:noFill/>
                    <a:ln>
                      <a:noFill/>
                    </a:ln>
                  </pic:spPr>
                </pic:pic>
              </a:graphicData>
            </a:graphic>
          </wp:inline>
        </w:drawing>
      </w:r>
      <w:r w:rsidRPr="009661D0">
        <w:rPr>
          <w:rFonts w:ascii="Book Antiqua" w:hAnsi="Book Antiqua" w:cs="Arial"/>
          <w:b/>
          <w:color w:val="000000" w:themeColor="text1"/>
          <w:kern w:val="0"/>
          <w:sz w:val="24"/>
        </w:rPr>
        <w:t xml:space="preserve"> </w:t>
      </w:r>
    </w:p>
    <w:p w:rsidR="005615E1" w:rsidRDefault="006D6D2C" w:rsidP="00646A85">
      <w:pPr>
        <w:widowControl/>
        <w:wordWrap/>
        <w:autoSpaceDE/>
        <w:autoSpaceDN/>
        <w:spacing w:line="360" w:lineRule="auto"/>
        <w:jc w:val="left"/>
        <w:rPr>
          <w:rFonts w:ascii="Book Antiqua" w:eastAsia="宋体" w:hAnsi="Book Antiqua" w:cs="Arial"/>
          <w:b/>
          <w:color w:val="000000" w:themeColor="text1"/>
          <w:kern w:val="0"/>
          <w:sz w:val="24"/>
          <w:lang w:eastAsia="zh-CN"/>
        </w:rPr>
      </w:pPr>
      <w:r w:rsidRPr="009661D0">
        <w:rPr>
          <w:rFonts w:ascii="Book Antiqua" w:hAnsi="Book Antiqua" w:cs="Arial"/>
          <w:b/>
          <w:color w:val="000000" w:themeColor="text1"/>
          <w:kern w:val="0"/>
          <w:sz w:val="24"/>
        </w:rPr>
        <w:lastRenderedPageBreak/>
        <w:t>(</w:t>
      </w:r>
      <w:r w:rsidR="009C486B" w:rsidRPr="009661D0">
        <w:rPr>
          <w:rFonts w:ascii="Book Antiqua" w:eastAsia="宋体" w:hAnsi="Book Antiqua" w:cs="Arial" w:hint="eastAsia"/>
          <w:b/>
          <w:color w:val="000000" w:themeColor="text1"/>
          <w:kern w:val="0"/>
          <w:sz w:val="24"/>
          <w:lang w:eastAsia="zh-CN"/>
        </w:rPr>
        <w:t>G</w:t>
      </w:r>
      <w:r w:rsidRPr="009661D0">
        <w:rPr>
          <w:rFonts w:ascii="Book Antiqua" w:hAnsi="Book Antiqua" w:cs="Arial"/>
          <w:b/>
          <w:color w:val="000000" w:themeColor="text1"/>
          <w:kern w:val="0"/>
          <w:sz w:val="24"/>
        </w:rPr>
        <w:t xml:space="preserve">) </w:t>
      </w:r>
      <w:r w:rsidRPr="009661D0">
        <w:rPr>
          <w:rFonts w:ascii="Book Antiqua" w:hAnsi="Book Antiqua" w:cs="Arial"/>
          <w:b/>
          <w:noProof/>
          <w:color w:val="000000" w:themeColor="text1"/>
          <w:kern w:val="0"/>
          <w:sz w:val="24"/>
          <w:lang w:eastAsia="zh-CN"/>
        </w:rPr>
        <w:drawing>
          <wp:inline distT="0" distB="0" distL="0" distR="0">
            <wp:extent cx="1909596" cy="1440000"/>
            <wp:effectExtent l="0" t="0" r="0" b="825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9596" cy="1440000"/>
                    </a:xfrm>
                    <a:prstGeom prst="rect">
                      <a:avLst/>
                    </a:prstGeom>
                    <a:noFill/>
                    <a:ln>
                      <a:noFill/>
                    </a:ln>
                  </pic:spPr>
                </pic:pic>
              </a:graphicData>
            </a:graphic>
          </wp:inline>
        </w:drawing>
      </w:r>
    </w:p>
    <w:p w:rsidR="00AC2A67" w:rsidRDefault="00AC2A67" w:rsidP="00646A85">
      <w:pPr>
        <w:widowControl/>
        <w:wordWrap/>
        <w:autoSpaceDE/>
        <w:autoSpaceDN/>
        <w:spacing w:line="360" w:lineRule="auto"/>
        <w:jc w:val="left"/>
        <w:rPr>
          <w:rFonts w:ascii="Book Antiqua" w:eastAsia="宋体" w:hAnsi="Book Antiqua" w:cs="Arial"/>
          <w:b/>
          <w:color w:val="000000" w:themeColor="text1"/>
          <w:kern w:val="0"/>
          <w:sz w:val="24"/>
          <w:lang w:eastAsia="zh-CN"/>
        </w:rPr>
      </w:pPr>
    </w:p>
    <w:p w:rsidR="00AC2A67" w:rsidRDefault="00AC2A67" w:rsidP="00646A85">
      <w:pPr>
        <w:widowControl/>
        <w:wordWrap/>
        <w:autoSpaceDE/>
        <w:autoSpaceDN/>
        <w:spacing w:line="360" w:lineRule="auto"/>
        <w:jc w:val="left"/>
        <w:rPr>
          <w:rFonts w:ascii="Book Antiqua" w:eastAsia="宋体" w:hAnsi="Book Antiqua" w:cs="Arial"/>
          <w:b/>
          <w:color w:val="000000" w:themeColor="text1"/>
          <w:kern w:val="0"/>
          <w:sz w:val="24"/>
          <w:lang w:eastAsia="zh-CN"/>
        </w:rPr>
      </w:pPr>
    </w:p>
    <w:p w:rsidR="00AC2A67" w:rsidRDefault="00AC2A67" w:rsidP="00646A85">
      <w:pPr>
        <w:widowControl/>
        <w:wordWrap/>
        <w:autoSpaceDE/>
        <w:autoSpaceDN/>
        <w:spacing w:line="360" w:lineRule="auto"/>
        <w:jc w:val="left"/>
        <w:rPr>
          <w:rFonts w:ascii="Book Antiqua" w:eastAsia="宋体" w:hAnsi="Book Antiqua" w:cs="Arial"/>
          <w:b/>
          <w:color w:val="000000" w:themeColor="text1"/>
          <w:kern w:val="0"/>
          <w:sz w:val="24"/>
          <w:lang w:eastAsia="zh-CN"/>
        </w:rPr>
      </w:pPr>
    </w:p>
    <w:p w:rsidR="00AC2A67" w:rsidRPr="00AC2A67" w:rsidRDefault="00AC2A67" w:rsidP="00646A85">
      <w:pPr>
        <w:widowControl/>
        <w:wordWrap/>
        <w:autoSpaceDE/>
        <w:autoSpaceDN/>
        <w:spacing w:line="360" w:lineRule="auto"/>
        <w:jc w:val="left"/>
        <w:rPr>
          <w:rFonts w:ascii="Book Antiqua" w:eastAsia="宋体" w:hAnsi="Book Antiqua" w:cs="Arial"/>
          <w:b/>
          <w:color w:val="000000" w:themeColor="text1"/>
          <w:kern w:val="0"/>
          <w:sz w:val="24"/>
          <w:lang w:eastAsia="zh-CN"/>
        </w:rPr>
      </w:pPr>
    </w:p>
    <w:p w:rsidR="0075590F" w:rsidRPr="009661D0" w:rsidRDefault="0075590F" w:rsidP="00646A85">
      <w:pPr>
        <w:widowControl/>
        <w:wordWrap/>
        <w:autoSpaceDE/>
        <w:autoSpaceDN/>
        <w:spacing w:line="360" w:lineRule="auto"/>
        <w:rPr>
          <w:rFonts w:ascii="Book Antiqua" w:eastAsia="AdvTimes" w:hAnsi="Book Antiqua" w:cs="Arial"/>
          <w:color w:val="000000" w:themeColor="text1"/>
          <w:kern w:val="0"/>
          <w:sz w:val="24"/>
        </w:rPr>
      </w:pPr>
      <w:r w:rsidRPr="009661D0">
        <w:rPr>
          <w:rFonts w:ascii="Book Antiqua" w:hAnsi="Book Antiqua" w:cs="Arial"/>
          <w:b/>
          <w:color w:val="000000" w:themeColor="text1"/>
          <w:kern w:val="0"/>
          <w:sz w:val="24"/>
        </w:rPr>
        <w:t>Figure 2</w:t>
      </w:r>
      <w:r w:rsidR="008F0457">
        <w:rPr>
          <w:rFonts w:ascii="Book Antiqua" w:eastAsiaTheme="minorEastAsia" w:hAnsi="Book Antiqua" w:cs="Arial" w:hint="eastAsia"/>
          <w:b/>
          <w:color w:val="000000" w:themeColor="text1"/>
          <w:kern w:val="0"/>
          <w:sz w:val="24"/>
          <w:lang w:eastAsia="zh-CN"/>
        </w:rPr>
        <w:t xml:space="preserve">  </w:t>
      </w:r>
      <w:r w:rsidRPr="009661D0">
        <w:rPr>
          <w:rFonts w:ascii="Book Antiqua" w:hAnsi="Book Antiqua" w:cs="Arial"/>
          <w:b/>
          <w:color w:val="000000" w:themeColor="text1"/>
          <w:kern w:val="0"/>
          <w:sz w:val="24"/>
        </w:rPr>
        <w:t xml:space="preserve">Endoscopic and histologic findings of foveolar gastric epithelial dysplasia. </w:t>
      </w:r>
      <w:r w:rsidR="00D7610B" w:rsidRPr="009661D0">
        <w:rPr>
          <w:rFonts w:ascii="Book Antiqua" w:hAnsi="Book Antiqua" w:cs="Arial"/>
          <w:color w:val="000000" w:themeColor="text1"/>
          <w:kern w:val="0"/>
          <w:sz w:val="24"/>
        </w:rPr>
        <w:t>A</w:t>
      </w:r>
      <w:r w:rsidR="00D7610B" w:rsidRPr="009661D0">
        <w:rPr>
          <w:rFonts w:ascii="Book Antiqua" w:eastAsia="宋体" w:hAnsi="Book Antiqua" w:cs="Arial" w:hint="eastAsia"/>
          <w:color w:val="000000" w:themeColor="text1"/>
          <w:kern w:val="0"/>
          <w:sz w:val="24"/>
          <w:lang w:eastAsia="zh-CN"/>
        </w:rPr>
        <w:t>:</w:t>
      </w:r>
      <w:r w:rsidR="00D7610B" w:rsidRPr="009661D0">
        <w:rPr>
          <w:rFonts w:ascii="Book Antiqua" w:hAnsi="Book Antiqua" w:cs="Arial"/>
          <w:color w:val="000000" w:themeColor="text1"/>
          <w:kern w:val="0"/>
          <w:sz w:val="24"/>
        </w:rPr>
        <w:t xml:space="preserve"> </w:t>
      </w:r>
      <w:r w:rsidRPr="009661D0">
        <w:rPr>
          <w:rFonts w:ascii="Book Antiqua" w:hAnsi="Book Antiqua" w:cs="Arial"/>
          <w:color w:val="000000" w:themeColor="text1"/>
          <w:kern w:val="0"/>
          <w:sz w:val="24"/>
        </w:rPr>
        <w:t>A slightly depressed lesion is seen at the antrum</w:t>
      </w:r>
      <w:r w:rsidR="00D7610B" w:rsidRPr="009661D0">
        <w:rPr>
          <w:rFonts w:ascii="Book Antiqua" w:eastAsia="宋体" w:hAnsi="Book Antiqua" w:cs="Arial" w:hint="eastAsia"/>
          <w:color w:val="000000" w:themeColor="text1"/>
          <w:kern w:val="0"/>
          <w:sz w:val="24"/>
          <w:lang w:eastAsia="zh-CN"/>
        </w:rPr>
        <w:t xml:space="preserve">; </w:t>
      </w:r>
      <w:r w:rsidR="00D7610B" w:rsidRPr="009661D0">
        <w:rPr>
          <w:rFonts w:ascii="Book Antiqua" w:hAnsi="Book Antiqua" w:cs="Arial"/>
          <w:color w:val="000000" w:themeColor="text1"/>
          <w:kern w:val="0"/>
          <w:sz w:val="24"/>
        </w:rPr>
        <w:t>B</w:t>
      </w:r>
      <w:r w:rsidR="00D7610B" w:rsidRPr="009661D0">
        <w:rPr>
          <w:rFonts w:ascii="Book Antiqua" w:eastAsia="宋体" w:hAnsi="Book Antiqua" w:cs="Arial" w:hint="eastAsia"/>
          <w:color w:val="000000" w:themeColor="text1"/>
          <w:kern w:val="0"/>
          <w:sz w:val="24"/>
          <w:lang w:eastAsia="zh-CN"/>
        </w:rPr>
        <w:t>:</w:t>
      </w:r>
      <w:r w:rsidR="00D7610B" w:rsidRPr="009661D0">
        <w:rPr>
          <w:rFonts w:ascii="Book Antiqua" w:hAnsi="Book Antiqua" w:cs="Arial"/>
          <w:color w:val="000000" w:themeColor="text1"/>
          <w:kern w:val="0"/>
          <w:sz w:val="24"/>
        </w:rPr>
        <w:t xml:space="preserve"> </w:t>
      </w:r>
      <w:r w:rsidRPr="009661D0">
        <w:rPr>
          <w:rFonts w:ascii="Book Antiqua" w:hAnsi="Book Antiqua" w:cs="Arial"/>
          <w:color w:val="000000" w:themeColor="text1"/>
          <w:kern w:val="0"/>
          <w:sz w:val="24"/>
        </w:rPr>
        <w:t>Magnifying endoscopy using narrow band imaging shows a papillary microsurface and slightly irregular microvascular pattern</w:t>
      </w:r>
      <w:r w:rsidR="00D7610B" w:rsidRPr="009661D0">
        <w:rPr>
          <w:rFonts w:ascii="Book Antiqua" w:eastAsia="宋体" w:hAnsi="Book Antiqua" w:cs="Arial" w:hint="eastAsia"/>
          <w:color w:val="000000" w:themeColor="text1"/>
          <w:kern w:val="0"/>
          <w:sz w:val="24"/>
          <w:lang w:eastAsia="zh-CN"/>
        </w:rPr>
        <w:t xml:space="preserve">; </w:t>
      </w:r>
      <w:r w:rsidR="00D7610B" w:rsidRPr="009661D0">
        <w:rPr>
          <w:rFonts w:ascii="Book Antiqua" w:eastAsia="AdvTimes" w:hAnsi="Book Antiqua" w:cs="Arial"/>
          <w:color w:val="000000" w:themeColor="text1"/>
          <w:kern w:val="0"/>
          <w:sz w:val="24"/>
        </w:rPr>
        <w:t>C</w:t>
      </w:r>
      <w:r w:rsidR="00D7610B" w:rsidRPr="009661D0">
        <w:rPr>
          <w:rFonts w:ascii="Book Antiqua" w:eastAsia="宋体" w:hAnsi="Book Antiqua" w:cs="Arial" w:hint="eastAsia"/>
          <w:color w:val="000000" w:themeColor="text1"/>
          <w:kern w:val="0"/>
          <w:sz w:val="24"/>
          <w:lang w:eastAsia="zh-CN"/>
        </w:rPr>
        <w:t xml:space="preserve">: </w:t>
      </w:r>
      <w:r w:rsidRPr="009661D0">
        <w:rPr>
          <w:rFonts w:ascii="Book Antiqua" w:hAnsi="Book Antiqua" w:cs="Arial"/>
          <w:color w:val="000000" w:themeColor="text1"/>
          <w:kern w:val="0"/>
          <w:sz w:val="24"/>
        </w:rPr>
        <w:t xml:space="preserve">Histologic examination shows that the dysplasia is </w:t>
      </w:r>
      <w:r w:rsidRPr="009661D0">
        <w:rPr>
          <w:rFonts w:ascii="Book Antiqua" w:eastAsia="AdvTimes" w:hAnsi="Book Antiqua" w:cs="Arial"/>
          <w:color w:val="000000" w:themeColor="text1"/>
          <w:kern w:val="0"/>
          <w:sz w:val="24"/>
        </w:rPr>
        <w:t xml:space="preserve">composed of cuboidal to columnar cells with a pale cytoplasm and </w:t>
      </w:r>
      <w:r w:rsidRPr="009661D0">
        <w:rPr>
          <w:rFonts w:ascii="Book Antiqua" w:hAnsi="Book Antiqua" w:cs="Arial"/>
          <w:color w:val="000000" w:themeColor="text1"/>
          <w:kern w:val="0"/>
          <w:sz w:val="24"/>
        </w:rPr>
        <w:t>basally located ovoid nuclei</w:t>
      </w:r>
      <w:r w:rsidRPr="009661D0">
        <w:rPr>
          <w:rFonts w:ascii="Book Antiqua" w:eastAsia="AdvTimes" w:hAnsi="Book Antiqua" w:cs="Arial"/>
          <w:color w:val="000000" w:themeColor="text1"/>
          <w:kern w:val="0"/>
          <w:sz w:val="24"/>
        </w:rPr>
        <w:t>. Hyperplasia of the foveolar region with irregular glandular branching and epith</w:t>
      </w:r>
      <w:r w:rsidR="00D7610B" w:rsidRPr="009661D0">
        <w:rPr>
          <w:rFonts w:ascii="Book Antiqua" w:eastAsia="AdvTimes" w:hAnsi="Book Antiqua" w:cs="Arial"/>
          <w:color w:val="000000" w:themeColor="text1"/>
          <w:kern w:val="0"/>
          <w:sz w:val="24"/>
        </w:rPr>
        <w:t>elial folding are also seen</w:t>
      </w:r>
      <w:r w:rsidR="00FC5912">
        <w:rPr>
          <w:rFonts w:ascii="Book Antiqua" w:eastAsia="宋体" w:hAnsi="Book Antiqua" w:cs="Arial" w:hint="eastAsia"/>
          <w:color w:val="000000" w:themeColor="text1"/>
          <w:kern w:val="0"/>
          <w:sz w:val="24"/>
          <w:lang w:eastAsia="zh-CN"/>
        </w:rPr>
        <w:t xml:space="preserve"> </w:t>
      </w:r>
      <w:r w:rsidR="00D7610B" w:rsidRPr="009661D0">
        <w:rPr>
          <w:rFonts w:ascii="Book Antiqua" w:eastAsia="AdvTimes" w:hAnsi="Book Antiqua" w:cs="Arial"/>
          <w:color w:val="000000" w:themeColor="text1"/>
          <w:kern w:val="0"/>
          <w:sz w:val="24"/>
        </w:rPr>
        <w:t>(</w:t>
      </w:r>
      <w:r w:rsidR="00893F15" w:rsidRPr="009661D0">
        <w:rPr>
          <w:rFonts w:ascii="Book Antiqua" w:hAnsi="Book Antiqua"/>
          <w:sz w:val="24"/>
          <w:lang w:eastAsia="zh-CN"/>
        </w:rPr>
        <w:t>Haematoxylin-Eosin stain</w:t>
      </w:r>
      <w:r w:rsidRPr="009661D0">
        <w:rPr>
          <w:rFonts w:ascii="Book Antiqua" w:eastAsia="AdvTimes" w:hAnsi="Book Antiqua" w:cs="Arial"/>
          <w:color w:val="000000" w:themeColor="text1"/>
          <w:kern w:val="0"/>
          <w:sz w:val="24"/>
        </w:rPr>
        <w:t xml:space="preserve">, </w:t>
      </w:r>
      <w:r w:rsidR="00893F15" w:rsidRPr="009661D0">
        <w:rPr>
          <w:rFonts w:ascii="Book Antiqua" w:hAnsi="Book Antiqua"/>
          <w:sz w:val="24"/>
          <w:lang w:eastAsia="zh-CN"/>
        </w:rPr>
        <w:t>×</w:t>
      </w:r>
      <w:r w:rsidR="00893F15" w:rsidRPr="009661D0">
        <w:rPr>
          <w:rFonts w:ascii="Book Antiqua" w:eastAsia="宋体" w:hAnsi="Book Antiqua" w:hint="eastAsia"/>
          <w:sz w:val="24"/>
          <w:lang w:eastAsia="zh-CN"/>
        </w:rPr>
        <w:t xml:space="preserve"> </w:t>
      </w:r>
      <w:r w:rsidRPr="009661D0">
        <w:rPr>
          <w:rFonts w:ascii="Book Antiqua" w:eastAsia="AdvTimes" w:hAnsi="Book Antiqua" w:cs="Arial"/>
          <w:color w:val="000000" w:themeColor="text1"/>
          <w:kern w:val="0"/>
          <w:sz w:val="24"/>
        </w:rPr>
        <w:t>10). The dysplastic epithelium is strongly positive for MUC5AC (</w:t>
      </w:r>
      <w:r w:rsidR="00192DDE" w:rsidRPr="009661D0">
        <w:rPr>
          <w:rFonts w:ascii="Book Antiqua" w:eastAsia="AdvTimes" w:hAnsi="Book Antiqua" w:cs="Arial"/>
          <w:color w:val="000000" w:themeColor="text1"/>
          <w:kern w:val="0"/>
          <w:sz w:val="24"/>
        </w:rPr>
        <w:t>E</w:t>
      </w:r>
      <w:r w:rsidRPr="009661D0">
        <w:rPr>
          <w:rFonts w:ascii="Book Antiqua" w:eastAsia="AdvTimes" w:hAnsi="Book Antiqua" w:cs="Arial"/>
          <w:color w:val="000000" w:themeColor="text1"/>
          <w:kern w:val="0"/>
          <w:sz w:val="24"/>
        </w:rPr>
        <w:t>) and negative for MUC2 (</w:t>
      </w:r>
      <w:r w:rsidR="00192DDE" w:rsidRPr="009661D0">
        <w:rPr>
          <w:rFonts w:ascii="Book Antiqua" w:eastAsia="AdvTimes" w:hAnsi="Book Antiqua" w:cs="Arial"/>
          <w:color w:val="000000" w:themeColor="text1"/>
          <w:kern w:val="0"/>
          <w:sz w:val="24"/>
        </w:rPr>
        <w:t>D</w:t>
      </w:r>
      <w:r w:rsidRPr="009661D0">
        <w:rPr>
          <w:rFonts w:ascii="Book Antiqua" w:eastAsia="AdvTimes" w:hAnsi="Book Antiqua" w:cs="Arial"/>
          <w:color w:val="000000" w:themeColor="text1"/>
          <w:kern w:val="0"/>
          <w:sz w:val="24"/>
        </w:rPr>
        <w:t>), MUC5AC (</w:t>
      </w:r>
      <w:r w:rsidR="00192DDE" w:rsidRPr="009661D0">
        <w:rPr>
          <w:rFonts w:ascii="Book Antiqua" w:eastAsia="AdvTimes" w:hAnsi="Book Antiqua" w:cs="Arial"/>
          <w:color w:val="000000" w:themeColor="text1"/>
          <w:kern w:val="0"/>
          <w:sz w:val="24"/>
        </w:rPr>
        <w:t>F</w:t>
      </w:r>
      <w:r w:rsidRPr="009661D0">
        <w:rPr>
          <w:rFonts w:ascii="Book Antiqua" w:eastAsia="AdvTimes" w:hAnsi="Book Antiqua" w:cs="Arial"/>
          <w:color w:val="000000" w:themeColor="text1"/>
          <w:kern w:val="0"/>
          <w:sz w:val="24"/>
        </w:rPr>
        <w:t>) and CD10 (</w:t>
      </w:r>
      <w:r w:rsidR="00192DDE" w:rsidRPr="009661D0">
        <w:rPr>
          <w:rFonts w:ascii="Book Antiqua" w:eastAsia="AdvTimes" w:hAnsi="Book Antiqua" w:cs="Arial"/>
          <w:color w:val="000000" w:themeColor="text1"/>
          <w:kern w:val="0"/>
          <w:sz w:val="24"/>
        </w:rPr>
        <w:t>G</w:t>
      </w:r>
      <w:r w:rsidRPr="009661D0">
        <w:rPr>
          <w:rFonts w:ascii="Book Antiqua" w:eastAsia="AdvTimes" w:hAnsi="Book Antiqua" w:cs="Arial"/>
          <w:color w:val="000000" w:themeColor="text1"/>
          <w:kern w:val="0"/>
          <w:sz w:val="24"/>
        </w:rPr>
        <w:t>)</w:t>
      </w:r>
      <w:r w:rsidR="002C1436">
        <w:rPr>
          <w:rFonts w:ascii="Book Antiqua" w:eastAsia="宋体" w:hAnsi="Book Antiqua" w:cs="Arial" w:hint="eastAsia"/>
          <w:color w:val="000000" w:themeColor="text1"/>
          <w:kern w:val="0"/>
          <w:sz w:val="24"/>
          <w:lang w:eastAsia="zh-CN"/>
        </w:rPr>
        <w:t>(I</w:t>
      </w:r>
      <w:r w:rsidR="002C1436" w:rsidRPr="002C1436">
        <w:rPr>
          <w:rFonts w:ascii="Book Antiqua" w:eastAsia="宋体" w:hAnsi="Book Antiqua" w:cs="Arial"/>
          <w:color w:val="000000" w:themeColor="text1"/>
          <w:kern w:val="0"/>
          <w:sz w:val="24"/>
          <w:lang w:eastAsia="zh-CN"/>
        </w:rPr>
        <w:t>mmunohistochemistry</w:t>
      </w:r>
      <w:r w:rsidR="002C1436" w:rsidRPr="009661D0">
        <w:rPr>
          <w:rFonts w:ascii="Book Antiqua" w:eastAsia="AdvTimes" w:hAnsi="Book Antiqua" w:cs="Arial"/>
          <w:color w:val="000000" w:themeColor="text1"/>
          <w:kern w:val="0"/>
          <w:sz w:val="24"/>
        </w:rPr>
        <w:t xml:space="preserve">, </w:t>
      </w:r>
      <w:r w:rsidR="002C1436" w:rsidRPr="009661D0">
        <w:rPr>
          <w:rFonts w:ascii="Book Antiqua" w:hAnsi="Book Antiqua"/>
          <w:sz w:val="24"/>
          <w:lang w:eastAsia="zh-CN"/>
        </w:rPr>
        <w:t>×</w:t>
      </w:r>
      <w:r w:rsidR="002C1436" w:rsidRPr="009661D0">
        <w:rPr>
          <w:rFonts w:ascii="Book Antiqua" w:eastAsia="宋体" w:hAnsi="Book Antiqua" w:hint="eastAsia"/>
          <w:sz w:val="24"/>
          <w:lang w:eastAsia="zh-CN"/>
        </w:rPr>
        <w:t xml:space="preserve"> </w:t>
      </w:r>
      <w:r w:rsidR="002C1436" w:rsidRPr="009661D0">
        <w:rPr>
          <w:rFonts w:ascii="Book Antiqua" w:eastAsia="AdvTimes" w:hAnsi="Book Antiqua" w:cs="Arial"/>
          <w:color w:val="000000" w:themeColor="text1"/>
          <w:kern w:val="0"/>
          <w:sz w:val="24"/>
        </w:rPr>
        <w:t>10</w:t>
      </w:r>
      <w:r w:rsidR="002C1436">
        <w:rPr>
          <w:rFonts w:ascii="Book Antiqua" w:eastAsia="宋体" w:hAnsi="Book Antiqua" w:cs="Arial" w:hint="eastAsia"/>
          <w:color w:val="000000" w:themeColor="text1"/>
          <w:kern w:val="0"/>
          <w:sz w:val="24"/>
          <w:lang w:eastAsia="zh-CN"/>
        </w:rPr>
        <w:t>)</w:t>
      </w:r>
      <w:r w:rsidRPr="009661D0">
        <w:rPr>
          <w:rFonts w:ascii="Book Antiqua" w:eastAsia="AdvTimes" w:hAnsi="Book Antiqua" w:cs="Arial"/>
          <w:color w:val="000000" w:themeColor="text1"/>
          <w:kern w:val="0"/>
          <w:sz w:val="24"/>
        </w:rPr>
        <w:t xml:space="preserve">. </w:t>
      </w:r>
    </w:p>
    <w:p w:rsidR="0075590F" w:rsidRPr="009661D0" w:rsidRDefault="0075590F" w:rsidP="00646A85">
      <w:pPr>
        <w:wordWrap/>
        <w:spacing w:line="360" w:lineRule="auto"/>
        <w:rPr>
          <w:rFonts w:ascii="Book Antiqua" w:hAnsi="Book Antiqua"/>
          <w:sz w:val="24"/>
        </w:rPr>
      </w:pPr>
    </w:p>
    <w:p w:rsidR="00773739" w:rsidRPr="009661D0" w:rsidRDefault="00773739" w:rsidP="00646A85">
      <w:pPr>
        <w:wordWrap/>
        <w:spacing w:line="360" w:lineRule="auto"/>
        <w:rPr>
          <w:rFonts w:ascii="Book Antiqua" w:hAnsi="Book Antiqua"/>
          <w:sz w:val="24"/>
        </w:rPr>
      </w:pPr>
      <w:r w:rsidRPr="009661D0">
        <w:rPr>
          <w:rFonts w:ascii="Book Antiqua" w:hAnsi="Book Antiqua"/>
          <w:sz w:val="24"/>
        </w:rPr>
        <w:t>(</w:t>
      </w:r>
      <w:r w:rsidR="009C486B" w:rsidRPr="009661D0">
        <w:rPr>
          <w:rFonts w:ascii="Book Antiqua" w:eastAsia="宋体" w:hAnsi="Book Antiqua" w:hint="eastAsia"/>
          <w:sz w:val="24"/>
          <w:lang w:eastAsia="zh-CN"/>
        </w:rPr>
        <w:t>A</w:t>
      </w:r>
      <w:r w:rsidRPr="009661D0">
        <w:rPr>
          <w:rFonts w:ascii="Book Antiqua" w:hAnsi="Book Antiqua"/>
          <w:sz w:val="24"/>
        </w:rPr>
        <w:t xml:space="preserve">) </w:t>
      </w:r>
      <w:r w:rsidR="00BA0B65" w:rsidRPr="009661D0">
        <w:rPr>
          <w:rFonts w:ascii="Book Antiqua" w:hAnsi="Book Antiqua"/>
          <w:noProof/>
          <w:sz w:val="24"/>
          <w:lang w:eastAsia="zh-CN"/>
        </w:rPr>
        <w:drawing>
          <wp:inline distT="0" distB="0" distL="0" distR="0">
            <wp:extent cx="1645200" cy="1440000"/>
            <wp:effectExtent l="0" t="0" r="0" b="8255"/>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Picture 4"/>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l="1441"/>
                    <a:stretch/>
                  </pic:blipFill>
                  <pic:spPr bwMode="auto">
                    <a:xfrm>
                      <a:off x="0" y="0"/>
                      <a:ext cx="1645200" cy="1440000"/>
                    </a:xfrm>
                    <a:prstGeom prst="rect">
                      <a:avLst/>
                    </a:prstGeom>
                    <a:noFill/>
                    <a:ln>
                      <a:noFill/>
                    </a:ln>
                    <a:extLst/>
                  </pic:spPr>
                </pic:pic>
              </a:graphicData>
            </a:graphic>
          </wp:inline>
        </w:drawing>
      </w:r>
      <w:r w:rsidRPr="009661D0">
        <w:rPr>
          <w:rFonts w:ascii="Book Antiqua" w:hAnsi="Book Antiqua"/>
          <w:sz w:val="24"/>
        </w:rPr>
        <w:t xml:space="preserve">  (</w:t>
      </w:r>
      <w:r w:rsidR="009C486B" w:rsidRPr="009661D0">
        <w:rPr>
          <w:rFonts w:ascii="Book Antiqua" w:eastAsia="宋体" w:hAnsi="Book Antiqua" w:hint="eastAsia"/>
          <w:sz w:val="24"/>
          <w:lang w:eastAsia="zh-CN"/>
        </w:rPr>
        <w:t>B</w:t>
      </w:r>
      <w:r w:rsidRPr="009661D0">
        <w:rPr>
          <w:rFonts w:ascii="Book Antiqua" w:hAnsi="Book Antiqua"/>
          <w:sz w:val="24"/>
        </w:rPr>
        <w:t xml:space="preserve">) </w:t>
      </w:r>
      <w:r w:rsidRPr="009661D0">
        <w:rPr>
          <w:rFonts w:ascii="Book Antiqua" w:hAnsi="Book Antiqua"/>
          <w:noProof/>
          <w:sz w:val="24"/>
          <w:lang w:eastAsia="zh-CN"/>
        </w:rPr>
        <w:drawing>
          <wp:inline distT="0" distB="0" distL="0" distR="0">
            <wp:extent cx="1645418" cy="1440000"/>
            <wp:effectExtent l="0" t="0" r="0"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5418" cy="1440000"/>
                    </a:xfrm>
                    <a:prstGeom prst="rect">
                      <a:avLst/>
                    </a:prstGeom>
                    <a:noFill/>
                    <a:ln>
                      <a:noFill/>
                    </a:ln>
                  </pic:spPr>
                </pic:pic>
              </a:graphicData>
            </a:graphic>
          </wp:inline>
        </w:drawing>
      </w:r>
    </w:p>
    <w:p w:rsidR="00773739" w:rsidRPr="009661D0" w:rsidRDefault="00773739" w:rsidP="00646A85">
      <w:pPr>
        <w:wordWrap/>
        <w:spacing w:line="360" w:lineRule="auto"/>
        <w:rPr>
          <w:rFonts w:ascii="Book Antiqua" w:hAnsi="Book Antiqua"/>
          <w:sz w:val="24"/>
        </w:rPr>
      </w:pPr>
      <w:r w:rsidRPr="009661D0">
        <w:rPr>
          <w:rFonts w:ascii="Book Antiqua" w:hAnsi="Book Antiqua"/>
          <w:sz w:val="24"/>
        </w:rPr>
        <w:t>(</w:t>
      </w:r>
      <w:r w:rsidR="009C486B" w:rsidRPr="009661D0">
        <w:rPr>
          <w:rFonts w:ascii="Book Antiqua" w:eastAsia="宋体" w:hAnsi="Book Antiqua" w:hint="eastAsia"/>
          <w:sz w:val="24"/>
          <w:lang w:eastAsia="zh-CN"/>
        </w:rPr>
        <w:t>C</w:t>
      </w:r>
      <w:r w:rsidRPr="009661D0">
        <w:rPr>
          <w:rFonts w:ascii="Book Antiqua" w:hAnsi="Book Antiqua"/>
          <w:sz w:val="24"/>
        </w:rPr>
        <w:t xml:space="preserve">) </w:t>
      </w:r>
      <w:r w:rsidRPr="009661D0">
        <w:rPr>
          <w:rFonts w:ascii="Book Antiqua" w:hAnsi="Book Antiqua"/>
          <w:noProof/>
          <w:sz w:val="24"/>
          <w:lang w:eastAsia="zh-CN"/>
        </w:rPr>
        <w:drawing>
          <wp:inline distT="0" distB="0" distL="0" distR="0">
            <wp:extent cx="1908000" cy="1440000"/>
            <wp:effectExtent l="0" t="0" r="0" b="8255"/>
            <wp:docPr id="11" name="그림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inline>
        </w:drawing>
      </w:r>
      <w:r w:rsidRPr="009661D0">
        <w:rPr>
          <w:rFonts w:ascii="Book Antiqua" w:hAnsi="Book Antiqua"/>
          <w:sz w:val="24"/>
        </w:rPr>
        <w:t xml:space="preserve">  (</w:t>
      </w:r>
      <w:r w:rsidR="009C486B" w:rsidRPr="009661D0">
        <w:rPr>
          <w:rFonts w:ascii="Book Antiqua" w:eastAsia="宋体" w:hAnsi="Book Antiqua" w:hint="eastAsia"/>
          <w:sz w:val="24"/>
          <w:lang w:eastAsia="zh-CN"/>
        </w:rPr>
        <w:t>D</w:t>
      </w:r>
      <w:r w:rsidRPr="009661D0">
        <w:rPr>
          <w:rFonts w:ascii="Book Antiqua" w:hAnsi="Book Antiqua"/>
          <w:sz w:val="24"/>
        </w:rPr>
        <w:t xml:space="preserve">) </w:t>
      </w:r>
      <w:r w:rsidR="00DF2D27" w:rsidRPr="009661D0">
        <w:rPr>
          <w:rFonts w:ascii="Book Antiqua" w:hAnsi="Book Antiqua"/>
          <w:noProof/>
          <w:sz w:val="24"/>
          <w:lang w:eastAsia="zh-CN"/>
        </w:rPr>
        <w:drawing>
          <wp:inline distT="0" distB="0" distL="0" distR="0">
            <wp:extent cx="1908000" cy="1440000"/>
            <wp:effectExtent l="0" t="0" r="0" b="8255"/>
            <wp:docPr id="12" name="그림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inline>
        </w:drawing>
      </w:r>
    </w:p>
    <w:p w:rsidR="00DF2D27" w:rsidRPr="009661D0" w:rsidRDefault="00DF2D27" w:rsidP="00646A85">
      <w:pPr>
        <w:wordWrap/>
        <w:spacing w:line="360" w:lineRule="auto"/>
        <w:rPr>
          <w:rFonts w:ascii="Book Antiqua" w:hAnsi="Book Antiqua"/>
          <w:sz w:val="24"/>
        </w:rPr>
      </w:pPr>
      <w:r w:rsidRPr="009661D0">
        <w:rPr>
          <w:rFonts w:ascii="Book Antiqua" w:hAnsi="Book Antiqua"/>
          <w:sz w:val="24"/>
        </w:rPr>
        <w:lastRenderedPageBreak/>
        <w:t>(</w:t>
      </w:r>
      <w:r w:rsidR="009C486B" w:rsidRPr="009661D0">
        <w:rPr>
          <w:rFonts w:ascii="Book Antiqua" w:eastAsia="宋体" w:hAnsi="Book Antiqua" w:hint="eastAsia"/>
          <w:sz w:val="24"/>
          <w:lang w:eastAsia="zh-CN"/>
        </w:rPr>
        <w:t>E</w:t>
      </w:r>
      <w:r w:rsidRPr="009661D0">
        <w:rPr>
          <w:rFonts w:ascii="Book Antiqua" w:hAnsi="Book Antiqua"/>
          <w:sz w:val="24"/>
        </w:rPr>
        <w:t xml:space="preserve">) </w:t>
      </w:r>
      <w:r w:rsidRPr="009661D0">
        <w:rPr>
          <w:rFonts w:ascii="Book Antiqua" w:hAnsi="Book Antiqua"/>
          <w:noProof/>
          <w:sz w:val="24"/>
          <w:lang w:eastAsia="zh-CN"/>
        </w:rPr>
        <w:drawing>
          <wp:inline distT="0" distB="0" distL="0" distR="0">
            <wp:extent cx="1908000" cy="1440000"/>
            <wp:effectExtent l="0" t="0" r="0" b="8255"/>
            <wp:docPr id="13" name="그림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inline>
        </w:drawing>
      </w:r>
      <w:r w:rsidRPr="009661D0">
        <w:rPr>
          <w:rFonts w:ascii="Book Antiqua" w:hAnsi="Book Antiqua"/>
          <w:sz w:val="24"/>
        </w:rPr>
        <w:t xml:space="preserve">  (</w:t>
      </w:r>
      <w:r w:rsidR="009C486B" w:rsidRPr="009661D0">
        <w:rPr>
          <w:rFonts w:ascii="Book Antiqua" w:eastAsia="宋体" w:hAnsi="Book Antiqua" w:hint="eastAsia"/>
          <w:sz w:val="24"/>
          <w:lang w:eastAsia="zh-CN"/>
        </w:rPr>
        <w:t>F</w:t>
      </w:r>
      <w:r w:rsidRPr="009661D0">
        <w:rPr>
          <w:rFonts w:ascii="Book Antiqua" w:hAnsi="Book Antiqua"/>
          <w:sz w:val="24"/>
        </w:rPr>
        <w:t xml:space="preserve">) </w:t>
      </w:r>
      <w:r w:rsidRPr="009661D0">
        <w:rPr>
          <w:rFonts w:ascii="Book Antiqua" w:hAnsi="Book Antiqua"/>
          <w:noProof/>
          <w:sz w:val="24"/>
          <w:lang w:eastAsia="zh-CN"/>
        </w:rPr>
        <w:drawing>
          <wp:inline distT="0" distB="0" distL="0" distR="0">
            <wp:extent cx="1908000" cy="1440000"/>
            <wp:effectExtent l="0" t="0" r="0" b="8255"/>
            <wp:docPr id="14" name="그림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inline>
        </w:drawing>
      </w:r>
    </w:p>
    <w:p w:rsidR="00BA0B65" w:rsidRPr="00981529" w:rsidRDefault="00BA0B65" w:rsidP="00646A85">
      <w:pPr>
        <w:wordWrap/>
        <w:spacing w:line="360" w:lineRule="auto"/>
        <w:rPr>
          <w:rFonts w:ascii="Book Antiqua" w:hAnsi="Book Antiqua"/>
          <w:sz w:val="24"/>
        </w:rPr>
      </w:pPr>
      <w:r w:rsidRPr="009661D0">
        <w:rPr>
          <w:rFonts w:ascii="Book Antiqua" w:hAnsi="Book Antiqua"/>
          <w:sz w:val="24"/>
        </w:rPr>
        <w:t>(</w:t>
      </w:r>
      <w:r w:rsidR="009C486B" w:rsidRPr="009661D0">
        <w:rPr>
          <w:rFonts w:ascii="Book Antiqua" w:eastAsia="宋体" w:hAnsi="Book Antiqua" w:hint="eastAsia"/>
          <w:sz w:val="24"/>
          <w:lang w:eastAsia="zh-CN"/>
        </w:rPr>
        <w:t>G</w:t>
      </w:r>
      <w:r w:rsidRPr="009661D0">
        <w:rPr>
          <w:rFonts w:ascii="Book Antiqua" w:hAnsi="Book Antiqua"/>
          <w:sz w:val="24"/>
        </w:rPr>
        <w:t xml:space="preserve">) </w:t>
      </w:r>
      <w:r w:rsidRPr="009661D0">
        <w:rPr>
          <w:rFonts w:ascii="Book Antiqua" w:hAnsi="Book Antiqua"/>
          <w:noProof/>
          <w:sz w:val="24"/>
          <w:lang w:eastAsia="zh-CN"/>
        </w:rPr>
        <w:drawing>
          <wp:inline distT="0" distB="0" distL="0" distR="0">
            <wp:extent cx="1908000" cy="1440000"/>
            <wp:effectExtent l="0" t="0" r="0" b="8255"/>
            <wp:docPr id="15" name="그림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8000" cy="1440000"/>
                    </a:xfrm>
                    <a:prstGeom prst="rect">
                      <a:avLst/>
                    </a:prstGeom>
                    <a:noFill/>
                    <a:ln>
                      <a:noFill/>
                    </a:ln>
                  </pic:spPr>
                </pic:pic>
              </a:graphicData>
            </a:graphic>
          </wp:inline>
        </w:drawing>
      </w:r>
    </w:p>
    <w:p w:rsidR="006D6D2C" w:rsidRPr="00981529" w:rsidRDefault="006D6D2C" w:rsidP="00646A85">
      <w:pPr>
        <w:wordWrap/>
        <w:spacing w:line="360" w:lineRule="auto"/>
        <w:rPr>
          <w:rFonts w:ascii="Book Antiqua" w:hAnsi="Book Antiqua"/>
          <w:sz w:val="24"/>
        </w:rPr>
      </w:pPr>
    </w:p>
    <w:p w:rsidR="00876A82" w:rsidRPr="00981529" w:rsidRDefault="00876A82" w:rsidP="00646A85">
      <w:pPr>
        <w:wordWrap/>
        <w:spacing w:line="360" w:lineRule="auto"/>
        <w:rPr>
          <w:rFonts w:ascii="Book Antiqua" w:hAnsi="Book Antiqua"/>
          <w:sz w:val="24"/>
        </w:rPr>
      </w:pPr>
    </w:p>
    <w:sectPr w:rsidR="00876A82" w:rsidRPr="00981529" w:rsidSect="005615E1">
      <w:headerReference w:type="even" r:id="rId24"/>
      <w:headerReference w:type="default" r:id="rId25"/>
      <w:footerReference w:type="even" r:id="rId26"/>
      <w:footerReference w:type="default" r:id="rId27"/>
      <w:headerReference w:type="first" r:id="rId28"/>
      <w:footerReference w:type="first" r:id="rId29"/>
      <w:pgSz w:w="11906" w:h="16838" w:code="9"/>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677" w:rsidRDefault="00E46677">
      <w:r>
        <w:separator/>
      </w:r>
    </w:p>
  </w:endnote>
  <w:endnote w:type="continuationSeparator" w:id="0">
    <w:p w:rsidR="00E46677" w:rsidRDefault="00E466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dvTimes">
    <w:altName w:val="Cambria"/>
    <w:panose1 w:val="00000000000000000000"/>
    <w:charset w:val="4D"/>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GulimChe">
    <w:panose1 w:val="020B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96312"/>
      <w:docPartObj>
        <w:docPartGallery w:val="Page Numbers (Bottom of Page)"/>
        <w:docPartUnique/>
      </w:docPartObj>
    </w:sdtPr>
    <w:sdtEndPr/>
    <w:sdtContent>
      <w:p w:rsidR="00CC0C7D" w:rsidRDefault="00CC0C7D">
        <w:pPr>
          <w:pStyle w:val="a4"/>
          <w:jc w:val="center"/>
        </w:pPr>
        <w:r>
          <w:fldChar w:fldCharType="begin"/>
        </w:r>
        <w:r>
          <w:instrText xml:space="preserve"> PAGE   \* MERGEFORMAT </w:instrText>
        </w:r>
        <w:r>
          <w:fldChar w:fldCharType="separate"/>
        </w:r>
        <w:r w:rsidR="00703431" w:rsidRPr="00703431">
          <w:rPr>
            <w:noProof/>
            <w:lang w:val="ko-KR"/>
          </w:rPr>
          <w:t>22</w:t>
        </w:r>
        <w:r>
          <w:fldChar w:fldCharType="end"/>
        </w:r>
      </w:p>
    </w:sdtContent>
  </w:sdt>
  <w:p w:rsidR="00CC0C7D" w:rsidRDefault="00CC0C7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7D" w:rsidRDefault="00CC0C7D">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4176"/>
      <w:docPartObj>
        <w:docPartGallery w:val="Page Numbers (Bottom of Page)"/>
        <w:docPartUnique/>
      </w:docPartObj>
    </w:sdtPr>
    <w:sdtEndPr/>
    <w:sdtContent>
      <w:p w:rsidR="00CC0C7D" w:rsidRDefault="00CC0C7D">
        <w:pPr>
          <w:pStyle w:val="a4"/>
          <w:jc w:val="center"/>
        </w:pPr>
        <w:r>
          <w:fldChar w:fldCharType="begin"/>
        </w:r>
        <w:r>
          <w:instrText xml:space="preserve"> PAGE   \* MERGEFORMAT </w:instrText>
        </w:r>
        <w:r>
          <w:fldChar w:fldCharType="separate"/>
        </w:r>
        <w:r w:rsidR="00703431" w:rsidRPr="00703431">
          <w:rPr>
            <w:noProof/>
            <w:lang w:val="ko-KR"/>
          </w:rPr>
          <w:t>26</w:t>
        </w:r>
        <w:r>
          <w:fldChar w:fldCharType="end"/>
        </w:r>
      </w:p>
    </w:sdtContent>
  </w:sdt>
  <w:p w:rsidR="00CC0C7D" w:rsidRDefault="00CC0C7D">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7D" w:rsidRDefault="00CC0C7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677" w:rsidRDefault="00E46677">
      <w:r>
        <w:separator/>
      </w:r>
    </w:p>
  </w:footnote>
  <w:footnote w:type="continuationSeparator" w:id="0">
    <w:p w:rsidR="00E46677" w:rsidRDefault="00E466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7D" w:rsidRDefault="00CC0C7D" w:rsidP="005615E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7D" w:rsidRDefault="00CC0C7D" w:rsidP="005615E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C7D" w:rsidRDefault="00CC0C7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9E0ED2"/>
    <w:multiLevelType w:val="hybridMultilevel"/>
    <w:tmpl w:val="47EA7080"/>
    <w:lvl w:ilvl="0" w:tplc="3D46F764">
      <w:start w:val="1"/>
      <w:numFmt w:val="decimal"/>
      <w:lvlText w:val="%1"/>
      <w:lvlJc w:val="left"/>
      <w:pPr>
        <w:ind w:left="1195" w:hanging="795"/>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6E3822F2"/>
    <w:multiLevelType w:val="hybridMultilevel"/>
    <w:tmpl w:val="C1B6EE80"/>
    <w:lvl w:ilvl="0" w:tplc="FC4C7F36">
      <w:start w:val="1"/>
      <w:numFmt w:val="decimal"/>
      <w:lvlText w:val="%1"/>
      <w:lvlJc w:val="left"/>
      <w:pPr>
        <w:ind w:left="400" w:hanging="400"/>
      </w:pPr>
      <w:rPr>
        <w:rFonts w:hint="eastAsia"/>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5590F"/>
    <w:rsid w:val="000025E0"/>
    <w:rsid w:val="00050202"/>
    <w:rsid w:val="000603F3"/>
    <w:rsid w:val="000864FC"/>
    <w:rsid w:val="000905FA"/>
    <w:rsid w:val="000945A7"/>
    <w:rsid w:val="000A4093"/>
    <w:rsid w:val="000C2022"/>
    <w:rsid w:val="000C3FA5"/>
    <w:rsid w:val="001267D4"/>
    <w:rsid w:val="00131A9F"/>
    <w:rsid w:val="00136B50"/>
    <w:rsid w:val="00155953"/>
    <w:rsid w:val="00192DDE"/>
    <w:rsid w:val="001A5977"/>
    <w:rsid w:val="001B478A"/>
    <w:rsid w:val="001B58B7"/>
    <w:rsid w:val="001E0399"/>
    <w:rsid w:val="001E0DFF"/>
    <w:rsid w:val="001F1BA8"/>
    <w:rsid w:val="00213725"/>
    <w:rsid w:val="00214139"/>
    <w:rsid w:val="0021512D"/>
    <w:rsid w:val="002342C6"/>
    <w:rsid w:val="002420B2"/>
    <w:rsid w:val="0025674B"/>
    <w:rsid w:val="002C1436"/>
    <w:rsid w:val="002C5C94"/>
    <w:rsid w:val="002D0C08"/>
    <w:rsid w:val="002E7C2A"/>
    <w:rsid w:val="0034690E"/>
    <w:rsid w:val="00387E2A"/>
    <w:rsid w:val="003E3D75"/>
    <w:rsid w:val="004177A4"/>
    <w:rsid w:val="00434E2E"/>
    <w:rsid w:val="00465D6A"/>
    <w:rsid w:val="00476ED7"/>
    <w:rsid w:val="00494297"/>
    <w:rsid w:val="004B7F8D"/>
    <w:rsid w:val="004E33FA"/>
    <w:rsid w:val="004F376A"/>
    <w:rsid w:val="004F5BB4"/>
    <w:rsid w:val="00525CF8"/>
    <w:rsid w:val="00551B4C"/>
    <w:rsid w:val="005615E1"/>
    <w:rsid w:val="0059744E"/>
    <w:rsid w:val="005F6764"/>
    <w:rsid w:val="006107DF"/>
    <w:rsid w:val="00631AF2"/>
    <w:rsid w:val="006329A1"/>
    <w:rsid w:val="00646A85"/>
    <w:rsid w:val="0067027E"/>
    <w:rsid w:val="006C7B3F"/>
    <w:rsid w:val="006D4569"/>
    <w:rsid w:val="006D6D2C"/>
    <w:rsid w:val="00703431"/>
    <w:rsid w:val="007213C4"/>
    <w:rsid w:val="00730757"/>
    <w:rsid w:val="0074222E"/>
    <w:rsid w:val="0075590F"/>
    <w:rsid w:val="00773739"/>
    <w:rsid w:val="007816D5"/>
    <w:rsid w:val="00782E03"/>
    <w:rsid w:val="00794FAB"/>
    <w:rsid w:val="007A35B8"/>
    <w:rsid w:val="007A53FC"/>
    <w:rsid w:val="007D1565"/>
    <w:rsid w:val="007E1745"/>
    <w:rsid w:val="00834D74"/>
    <w:rsid w:val="00847FD0"/>
    <w:rsid w:val="00851B63"/>
    <w:rsid w:val="00876A82"/>
    <w:rsid w:val="00893A71"/>
    <w:rsid w:val="00893F15"/>
    <w:rsid w:val="008B1547"/>
    <w:rsid w:val="008D7050"/>
    <w:rsid w:val="008F0457"/>
    <w:rsid w:val="0091256F"/>
    <w:rsid w:val="0092278D"/>
    <w:rsid w:val="00930E84"/>
    <w:rsid w:val="009419A8"/>
    <w:rsid w:val="00961C8D"/>
    <w:rsid w:val="009661D0"/>
    <w:rsid w:val="00981529"/>
    <w:rsid w:val="009C486B"/>
    <w:rsid w:val="009D12AB"/>
    <w:rsid w:val="009D66A7"/>
    <w:rsid w:val="00A07269"/>
    <w:rsid w:val="00A12F8B"/>
    <w:rsid w:val="00A174DD"/>
    <w:rsid w:val="00A93FC4"/>
    <w:rsid w:val="00AA2CFC"/>
    <w:rsid w:val="00AA7042"/>
    <w:rsid w:val="00AB3AE5"/>
    <w:rsid w:val="00AB4902"/>
    <w:rsid w:val="00AB719B"/>
    <w:rsid w:val="00AC2A67"/>
    <w:rsid w:val="00B232BD"/>
    <w:rsid w:val="00B805F0"/>
    <w:rsid w:val="00B91212"/>
    <w:rsid w:val="00B9474A"/>
    <w:rsid w:val="00BA0B65"/>
    <w:rsid w:val="00BA5FFE"/>
    <w:rsid w:val="00BC080E"/>
    <w:rsid w:val="00BE0D9F"/>
    <w:rsid w:val="00BF6FCE"/>
    <w:rsid w:val="00C031F5"/>
    <w:rsid w:val="00C3525F"/>
    <w:rsid w:val="00C364A5"/>
    <w:rsid w:val="00C45A94"/>
    <w:rsid w:val="00C81413"/>
    <w:rsid w:val="00CC0C7D"/>
    <w:rsid w:val="00CD4BB1"/>
    <w:rsid w:val="00D03E0B"/>
    <w:rsid w:val="00D30FB7"/>
    <w:rsid w:val="00D36B95"/>
    <w:rsid w:val="00D46616"/>
    <w:rsid w:val="00D500B4"/>
    <w:rsid w:val="00D7158F"/>
    <w:rsid w:val="00D7610B"/>
    <w:rsid w:val="00DC0AE6"/>
    <w:rsid w:val="00DC404B"/>
    <w:rsid w:val="00DF2D27"/>
    <w:rsid w:val="00E46677"/>
    <w:rsid w:val="00E54814"/>
    <w:rsid w:val="00E70FA8"/>
    <w:rsid w:val="00E719E6"/>
    <w:rsid w:val="00E82E24"/>
    <w:rsid w:val="00E87F3B"/>
    <w:rsid w:val="00ED0AAD"/>
    <w:rsid w:val="00EE390F"/>
    <w:rsid w:val="00EF3BD5"/>
    <w:rsid w:val="00F33B4E"/>
    <w:rsid w:val="00F35507"/>
    <w:rsid w:val="00F44D50"/>
    <w:rsid w:val="00F62F24"/>
    <w:rsid w:val="00F8646D"/>
    <w:rsid w:val="00F87514"/>
    <w:rsid w:val="00F945A1"/>
    <w:rsid w:val="00FC5912"/>
    <w:rsid w:val="00FD35B5"/>
    <w:rsid w:val="00FF3C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90F"/>
    <w:pPr>
      <w:widowControl w:val="0"/>
      <w:wordWrap w:val="0"/>
      <w:autoSpaceDE w:val="0"/>
      <w:autoSpaceDN w:val="0"/>
      <w:spacing w:after="0" w:line="240" w:lineRule="auto"/>
    </w:pPr>
    <w:rPr>
      <w:rFonts w:ascii="Batang" w:eastAsia="Batang"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5590F"/>
    <w:pPr>
      <w:tabs>
        <w:tab w:val="center" w:pos="4513"/>
        <w:tab w:val="right" w:pos="9026"/>
      </w:tabs>
      <w:snapToGrid w:val="0"/>
    </w:pPr>
  </w:style>
  <w:style w:type="character" w:customStyle="1" w:styleId="Char">
    <w:name w:val="页眉 Char"/>
    <w:basedOn w:val="a0"/>
    <w:link w:val="a3"/>
    <w:rsid w:val="0075590F"/>
    <w:rPr>
      <w:rFonts w:ascii="Batang" w:eastAsia="Batang" w:hAnsi="Times New Roman" w:cs="Times New Roman"/>
      <w:szCs w:val="24"/>
    </w:rPr>
  </w:style>
  <w:style w:type="paragraph" w:styleId="a4">
    <w:name w:val="footer"/>
    <w:basedOn w:val="a"/>
    <w:link w:val="Char0"/>
    <w:uiPriority w:val="99"/>
    <w:rsid w:val="0075590F"/>
    <w:pPr>
      <w:tabs>
        <w:tab w:val="center" w:pos="4513"/>
        <w:tab w:val="right" w:pos="9026"/>
      </w:tabs>
      <w:snapToGrid w:val="0"/>
    </w:pPr>
  </w:style>
  <w:style w:type="character" w:customStyle="1" w:styleId="Char0">
    <w:name w:val="页脚 Char"/>
    <w:basedOn w:val="a0"/>
    <w:link w:val="a4"/>
    <w:uiPriority w:val="99"/>
    <w:rsid w:val="0075590F"/>
    <w:rPr>
      <w:rFonts w:ascii="Batang" w:eastAsia="Batang" w:hAnsi="Times New Roman" w:cs="Times New Roman"/>
      <w:szCs w:val="24"/>
    </w:rPr>
  </w:style>
  <w:style w:type="paragraph" w:customStyle="1" w:styleId="hstyle0">
    <w:name w:val="hstyle0"/>
    <w:basedOn w:val="a"/>
    <w:rsid w:val="0075590F"/>
    <w:pPr>
      <w:widowControl/>
      <w:wordWrap/>
      <w:autoSpaceDE/>
      <w:autoSpaceDN/>
      <w:spacing w:line="384" w:lineRule="auto"/>
    </w:pPr>
    <w:rPr>
      <w:rFonts w:hAnsi="Batang" w:cs="Gulim"/>
      <w:color w:val="000000"/>
      <w:kern w:val="0"/>
      <w:szCs w:val="20"/>
    </w:rPr>
  </w:style>
  <w:style w:type="character" w:styleId="a5">
    <w:name w:val="Hyperlink"/>
    <w:basedOn w:val="a0"/>
    <w:rsid w:val="0075590F"/>
    <w:rPr>
      <w:color w:val="0000FF" w:themeColor="hyperlink"/>
      <w:u w:val="single"/>
    </w:rPr>
  </w:style>
  <w:style w:type="paragraph" w:customStyle="1" w:styleId="a6">
    <w:name w:val="바탕글"/>
    <w:basedOn w:val="a"/>
    <w:rsid w:val="0075590F"/>
    <w:pPr>
      <w:widowControl/>
      <w:wordWrap/>
      <w:autoSpaceDE/>
      <w:autoSpaceDN/>
      <w:snapToGrid w:val="0"/>
      <w:spacing w:line="384" w:lineRule="auto"/>
    </w:pPr>
    <w:rPr>
      <w:rFonts w:hAnsi="Batang" w:cs="Gulim"/>
      <w:color w:val="000000"/>
      <w:kern w:val="0"/>
      <w:szCs w:val="20"/>
    </w:rPr>
  </w:style>
  <w:style w:type="paragraph" w:styleId="a7">
    <w:name w:val="Balloon Text"/>
    <w:basedOn w:val="a"/>
    <w:link w:val="Char1"/>
    <w:rsid w:val="0075590F"/>
    <w:rPr>
      <w:rFonts w:asciiTheme="majorHAnsi" w:eastAsiaTheme="majorEastAsia" w:hAnsiTheme="majorHAnsi" w:cstheme="majorBidi"/>
      <w:sz w:val="18"/>
      <w:szCs w:val="18"/>
    </w:rPr>
  </w:style>
  <w:style w:type="character" w:customStyle="1" w:styleId="Char1">
    <w:name w:val="批注框文本 Char"/>
    <w:basedOn w:val="a0"/>
    <w:link w:val="a7"/>
    <w:rsid w:val="0075590F"/>
    <w:rPr>
      <w:rFonts w:asciiTheme="majorHAnsi" w:eastAsiaTheme="majorEastAsia" w:hAnsiTheme="majorHAnsi" w:cstheme="majorBidi"/>
      <w:sz w:val="18"/>
      <w:szCs w:val="18"/>
    </w:rPr>
  </w:style>
  <w:style w:type="paragraph" w:styleId="a8">
    <w:name w:val="Normal (Web)"/>
    <w:basedOn w:val="a"/>
    <w:rsid w:val="0075590F"/>
    <w:pPr>
      <w:widowControl/>
      <w:wordWrap/>
      <w:autoSpaceDE/>
      <w:autoSpaceDN/>
      <w:spacing w:before="100" w:beforeAutospacing="1" w:after="100" w:afterAutospacing="1" w:line="360" w:lineRule="auto"/>
      <w:jc w:val="left"/>
    </w:pPr>
    <w:rPr>
      <w:rFonts w:ascii="Gulim" w:eastAsia="Gulim" w:hAnsi="Gulim" w:cs="Gulim"/>
      <w:color w:val="000000"/>
      <w:kern w:val="0"/>
      <w:sz w:val="24"/>
    </w:rPr>
  </w:style>
  <w:style w:type="character" w:styleId="a9">
    <w:name w:val="Placeholder Text"/>
    <w:basedOn w:val="a0"/>
    <w:uiPriority w:val="99"/>
    <w:semiHidden/>
    <w:rsid w:val="0075590F"/>
    <w:rPr>
      <w:color w:val="808080"/>
    </w:rPr>
  </w:style>
  <w:style w:type="character" w:styleId="aa">
    <w:name w:val="annotation reference"/>
    <w:basedOn w:val="a0"/>
    <w:rsid w:val="0075590F"/>
    <w:rPr>
      <w:sz w:val="18"/>
      <w:szCs w:val="18"/>
    </w:rPr>
  </w:style>
  <w:style w:type="paragraph" w:styleId="ab">
    <w:name w:val="annotation text"/>
    <w:basedOn w:val="a"/>
    <w:link w:val="Char2"/>
    <w:rsid w:val="0075590F"/>
    <w:pPr>
      <w:snapToGrid w:val="0"/>
    </w:pPr>
    <w:rPr>
      <w:rFonts w:ascii="Century" w:hAnsi="Century"/>
      <w:sz w:val="24"/>
    </w:rPr>
  </w:style>
  <w:style w:type="character" w:customStyle="1" w:styleId="Char2">
    <w:name w:val="批注文字 Char"/>
    <w:basedOn w:val="a0"/>
    <w:link w:val="ab"/>
    <w:rsid w:val="0075590F"/>
    <w:rPr>
      <w:rFonts w:ascii="Century" w:eastAsia="Batang" w:hAnsi="Century" w:cs="Times New Roman"/>
      <w:sz w:val="24"/>
      <w:szCs w:val="24"/>
    </w:rPr>
  </w:style>
  <w:style w:type="table" w:styleId="ac">
    <w:name w:val="Table Grid"/>
    <w:basedOn w:val="a1"/>
    <w:uiPriority w:val="59"/>
    <w:rsid w:val="00755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b"/>
    <w:next w:val="ab"/>
    <w:link w:val="Char3"/>
    <w:rsid w:val="0075590F"/>
    <w:pPr>
      <w:snapToGrid/>
      <w:jc w:val="left"/>
    </w:pPr>
    <w:rPr>
      <w:rFonts w:ascii="Batang" w:hAnsi="Times New Roman"/>
      <w:b/>
      <w:bCs/>
    </w:rPr>
  </w:style>
  <w:style w:type="character" w:customStyle="1" w:styleId="Char3">
    <w:name w:val="批注主题 Char"/>
    <w:basedOn w:val="Char2"/>
    <w:link w:val="ad"/>
    <w:rsid w:val="0075590F"/>
    <w:rPr>
      <w:rFonts w:ascii="Batang" w:eastAsia="Batang" w:hAnsi="Times New Roman" w:cs="Times New Roman"/>
      <w:b/>
      <w:bCs/>
      <w:sz w:val="24"/>
      <w:szCs w:val="24"/>
    </w:rPr>
  </w:style>
  <w:style w:type="paragraph" w:customStyle="1" w:styleId="1">
    <w:name w:val="표준 표1"/>
    <w:rsid w:val="0075590F"/>
    <w:pPr>
      <w:spacing w:after="0" w:line="240" w:lineRule="auto"/>
      <w:jc w:val="left"/>
    </w:pPr>
    <w:rPr>
      <w:rFonts w:ascii="Times New Roman" w:eastAsia="Malgun Gothic" w:hAnsi="Times New Roman" w:cs="Times New Roman"/>
    </w:rPr>
  </w:style>
  <w:style w:type="character" w:styleId="ae">
    <w:name w:val="Emphasis"/>
    <w:basedOn w:val="a0"/>
    <w:qFormat/>
    <w:rsid w:val="0075590F"/>
    <w:rPr>
      <w:i/>
      <w:iCs/>
    </w:rPr>
  </w:style>
  <w:style w:type="paragraph" w:customStyle="1" w:styleId="title1">
    <w:name w:val="title1"/>
    <w:basedOn w:val="a"/>
    <w:rsid w:val="0075590F"/>
    <w:pPr>
      <w:widowControl/>
      <w:wordWrap/>
      <w:autoSpaceDE/>
      <w:autoSpaceDN/>
      <w:jc w:val="left"/>
    </w:pPr>
    <w:rPr>
      <w:rFonts w:ascii="Gulim" w:eastAsia="Gulim" w:hAnsi="Gulim" w:cs="Gulim"/>
      <w:kern w:val="0"/>
      <w:sz w:val="27"/>
      <w:szCs w:val="27"/>
    </w:rPr>
  </w:style>
  <w:style w:type="paragraph" w:customStyle="1" w:styleId="desc2">
    <w:name w:val="desc2"/>
    <w:basedOn w:val="a"/>
    <w:rsid w:val="0075590F"/>
    <w:pPr>
      <w:widowControl/>
      <w:wordWrap/>
      <w:autoSpaceDE/>
      <w:autoSpaceDN/>
      <w:jc w:val="left"/>
    </w:pPr>
    <w:rPr>
      <w:rFonts w:ascii="Gulim" w:eastAsia="Gulim" w:hAnsi="Gulim" w:cs="Gulim"/>
      <w:kern w:val="0"/>
      <w:sz w:val="26"/>
      <w:szCs w:val="26"/>
    </w:rPr>
  </w:style>
  <w:style w:type="paragraph" w:customStyle="1" w:styleId="details1">
    <w:name w:val="details1"/>
    <w:basedOn w:val="a"/>
    <w:rsid w:val="0075590F"/>
    <w:pPr>
      <w:widowControl/>
      <w:wordWrap/>
      <w:autoSpaceDE/>
      <w:autoSpaceDN/>
      <w:jc w:val="left"/>
    </w:pPr>
    <w:rPr>
      <w:rFonts w:ascii="Gulim" w:eastAsia="Gulim" w:hAnsi="Gulim" w:cs="Gulim"/>
      <w:kern w:val="0"/>
      <w:sz w:val="22"/>
      <w:szCs w:val="22"/>
    </w:rPr>
  </w:style>
  <w:style w:type="character" w:customStyle="1" w:styleId="jrnl">
    <w:name w:val="jrnl"/>
    <w:basedOn w:val="a0"/>
    <w:rsid w:val="0075590F"/>
  </w:style>
  <w:style w:type="paragraph" w:customStyle="1" w:styleId="EndNoteBibliographyTitle">
    <w:name w:val="EndNote Bibliography Title"/>
    <w:basedOn w:val="a"/>
    <w:link w:val="EndNoteBibliographyTitleChar"/>
    <w:rsid w:val="0075590F"/>
    <w:pPr>
      <w:jc w:val="center"/>
    </w:pPr>
    <w:rPr>
      <w:rFonts w:hAnsi="Batang"/>
      <w:noProof/>
    </w:rPr>
  </w:style>
  <w:style w:type="character" w:customStyle="1" w:styleId="EndNoteBibliographyTitleChar">
    <w:name w:val="EndNote Bibliography Title Char"/>
    <w:basedOn w:val="a0"/>
    <w:link w:val="EndNoteBibliographyTitle"/>
    <w:rsid w:val="0075590F"/>
    <w:rPr>
      <w:rFonts w:ascii="Batang" w:eastAsia="Batang" w:hAnsi="Batang" w:cs="Times New Roman"/>
      <w:noProof/>
      <w:szCs w:val="24"/>
    </w:rPr>
  </w:style>
  <w:style w:type="paragraph" w:customStyle="1" w:styleId="EndNoteBibliography">
    <w:name w:val="EndNote Bibliography"/>
    <w:basedOn w:val="a"/>
    <w:link w:val="EndNoteBibliographyChar"/>
    <w:rsid w:val="0075590F"/>
    <w:rPr>
      <w:rFonts w:hAnsi="Batang"/>
      <w:noProof/>
    </w:rPr>
  </w:style>
  <w:style w:type="character" w:customStyle="1" w:styleId="EndNoteBibliographyChar">
    <w:name w:val="EndNote Bibliography Char"/>
    <w:basedOn w:val="a0"/>
    <w:link w:val="EndNoteBibliography"/>
    <w:rsid w:val="0075590F"/>
    <w:rPr>
      <w:rFonts w:ascii="Batang" w:eastAsia="Batang" w:hAnsi="Batang" w:cs="Times New Roman"/>
      <w:noProof/>
      <w:szCs w:val="24"/>
    </w:rPr>
  </w:style>
  <w:style w:type="character" w:customStyle="1" w:styleId="highlight2">
    <w:name w:val="highlight2"/>
    <w:basedOn w:val="a0"/>
    <w:rsid w:val="00136B50"/>
  </w:style>
  <w:style w:type="character" w:styleId="af">
    <w:name w:val="Strong"/>
    <w:uiPriority w:val="99"/>
    <w:qFormat/>
    <w:rsid w:val="004177A4"/>
    <w:rPr>
      <w:rFonts w:cs="Times New Roman"/>
      <w:b/>
    </w:rPr>
  </w:style>
  <w:style w:type="paragraph" w:styleId="af0">
    <w:name w:val="List Paragraph"/>
    <w:basedOn w:val="a"/>
    <w:uiPriority w:val="99"/>
    <w:qFormat/>
    <w:rsid w:val="004177A4"/>
    <w:pPr>
      <w:widowControl/>
      <w:suppressAutoHyphens/>
      <w:wordWrap/>
      <w:autoSpaceDE/>
      <w:autoSpaceDN/>
      <w:ind w:firstLineChars="200" w:firstLine="420"/>
      <w:jc w:val="left"/>
    </w:pPr>
    <w:rPr>
      <w:rFonts w:ascii="Times New Roman" w:eastAsia="宋体"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590F"/>
    <w:pPr>
      <w:widowControl w:val="0"/>
      <w:wordWrap w:val="0"/>
      <w:autoSpaceDE w:val="0"/>
      <w:autoSpaceDN w:val="0"/>
      <w:spacing w:after="0" w:line="240" w:lineRule="auto"/>
    </w:pPr>
    <w:rPr>
      <w:rFonts w:ascii="Batang" w:eastAsia="Batang"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75590F"/>
    <w:pPr>
      <w:tabs>
        <w:tab w:val="center" w:pos="4513"/>
        <w:tab w:val="right" w:pos="9026"/>
      </w:tabs>
      <w:snapToGrid w:val="0"/>
    </w:pPr>
  </w:style>
  <w:style w:type="character" w:customStyle="1" w:styleId="Char">
    <w:name w:val="页眉 Char"/>
    <w:basedOn w:val="a0"/>
    <w:link w:val="a3"/>
    <w:rsid w:val="0075590F"/>
    <w:rPr>
      <w:rFonts w:ascii="Batang" w:eastAsia="Batang" w:hAnsi="Times New Roman" w:cs="Times New Roman"/>
      <w:szCs w:val="24"/>
    </w:rPr>
  </w:style>
  <w:style w:type="paragraph" w:styleId="a4">
    <w:name w:val="footer"/>
    <w:basedOn w:val="a"/>
    <w:link w:val="Char0"/>
    <w:uiPriority w:val="99"/>
    <w:rsid w:val="0075590F"/>
    <w:pPr>
      <w:tabs>
        <w:tab w:val="center" w:pos="4513"/>
        <w:tab w:val="right" w:pos="9026"/>
      </w:tabs>
      <w:snapToGrid w:val="0"/>
    </w:pPr>
  </w:style>
  <w:style w:type="character" w:customStyle="1" w:styleId="Char0">
    <w:name w:val="页脚 Char"/>
    <w:basedOn w:val="a0"/>
    <w:link w:val="a4"/>
    <w:uiPriority w:val="99"/>
    <w:rsid w:val="0075590F"/>
    <w:rPr>
      <w:rFonts w:ascii="Batang" w:eastAsia="Batang" w:hAnsi="Times New Roman" w:cs="Times New Roman"/>
      <w:szCs w:val="24"/>
    </w:rPr>
  </w:style>
  <w:style w:type="paragraph" w:customStyle="1" w:styleId="hstyle0">
    <w:name w:val="hstyle0"/>
    <w:basedOn w:val="a"/>
    <w:rsid w:val="0075590F"/>
    <w:pPr>
      <w:widowControl/>
      <w:wordWrap/>
      <w:autoSpaceDE/>
      <w:autoSpaceDN/>
      <w:spacing w:line="384" w:lineRule="auto"/>
    </w:pPr>
    <w:rPr>
      <w:rFonts w:hAnsi="Batang" w:cs="Gulim"/>
      <w:color w:val="000000"/>
      <w:kern w:val="0"/>
      <w:szCs w:val="20"/>
    </w:rPr>
  </w:style>
  <w:style w:type="character" w:styleId="a5">
    <w:name w:val="Hyperlink"/>
    <w:basedOn w:val="a0"/>
    <w:rsid w:val="0075590F"/>
    <w:rPr>
      <w:color w:val="0000FF" w:themeColor="hyperlink"/>
      <w:u w:val="single"/>
    </w:rPr>
  </w:style>
  <w:style w:type="paragraph" w:customStyle="1" w:styleId="a6">
    <w:name w:val="바탕글"/>
    <w:basedOn w:val="a"/>
    <w:rsid w:val="0075590F"/>
    <w:pPr>
      <w:widowControl/>
      <w:wordWrap/>
      <w:autoSpaceDE/>
      <w:autoSpaceDN/>
      <w:snapToGrid w:val="0"/>
      <w:spacing w:line="384" w:lineRule="auto"/>
    </w:pPr>
    <w:rPr>
      <w:rFonts w:hAnsi="Batang" w:cs="Gulim"/>
      <w:color w:val="000000"/>
      <w:kern w:val="0"/>
      <w:szCs w:val="20"/>
    </w:rPr>
  </w:style>
  <w:style w:type="paragraph" w:styleId="a7">
    <w:name w:val="Balloon Text"/>
    <w:basedOn w:val="a"/>
    <w:link w:val="Char1"/>
    <w:rsid w:val="0075590F"/>
    <w:rPr>
      <w:rFonts w:asciiTheme="majorHAnsi" w:eastAsiaTheme="majorEastAsia" w:hAnsiTheme="majorHAnsi" w:cstheme="majorBidi"/>
      <w:sz w:val="18"/>
      <w:szCs w:val="18"/>
    </w:rPr>
  </w:style>
  <w:style w:type="character" w:customStyle="1" w:styleId="Char1">
    <w:name w:val="批注框文本 Char"/>
    <w:basedOn w:val="a0"/>
    <w:link w:val="a7"/>
    <w:rsid w:val="0075590F"/>
    <w:rPr>
      <w:rFonts w:asciiTheme="majorHAnsi" w:eastAsiaTheme="majorEastAsia" w:hAnsiTheme="majorHAnsi" w:cstheme="majorBidi"/>
      <w:sz w:val="18"/>
      <w:szCs w:val="18"/>
    </w:rPr>
  </w:style>
  <w:style w:type="paragraph" w:styleId="a8">
    <w:name w:val="Normal (Web)"/>
    <w:basedOn w:val="a"/>
    <w:rsid w:val="0075590F"/>
    <w:pPr>
      <w:widowControl/>
      <w:wordWrap/>
      <w:autoSpaceDE/>
      <w:autoSpaceDN/>
      <w:spacing w:before="100" w:beforeAutospacing="1" w:after="100" w:afterAutospacing="1" w:line="360" w:lineRule="auto"/>
      <w:jc w:val="left"/>
    </w:pPr>
    <w:rPr>
      <w:rFonts w:ascii="Gulim" w:eastAsia="Gulim" w:hAnsi="Gulim" w:cs="Gulim"/>
      <w:color w:val="000000"/>
      <w:kern w:val="0"/>
      <w:sz w:val="24"/>
    </w:rPr>
  </w:style>
  <w:style w:type="character" w:styleId="a9">
    <w:name w:val="Placeholder Text"/>
    <w:basedOn w:val="a0"/>
    <w:uiPriority w:val="99"/>
    <w:semiHidden/>
    <w:rsid w:val="0075590F"/>
    <w:rPr>
      <w:color w:val="808080"/>
    </w:rPr>
  </w:style>
  <w:style w:type="character" w:styleId="aa">
    <w:name w:val="annotation reference"/>
    <w:basedOn w:val="a0"/>
    <w:rsid w:val="0075590F"/>
    <w:rPr>
      <w:sz w:val="18"/>
      <w:szCs w:val="18"/>
    </w:rPr>
  </w:style>
  <w:style w:type="paragraph" w:styleId="ab">
    <w:name w:val="annotation text"/>
    <w:basedOn w:val="a"/>
    <w:link w:val="Char2"/>
    <w:rsid w:val="0075590F"/>
    <w:pPr>
      <w:snapToGrid w:val="0"/>
    </w:pPr>
    <w:rPr>
      <w:rFonts w:ascii="Century" w:hAnsi="Century"/>
      <w:sz w:val="24"/>
    </w:rPr>
  </w:style>
  <w:style w:type="character" w:customStyle="1" w:styleId="Char2">
    <w:name w:val="批注文字 Char"/>
    <w:basedOn w:val="a0"/>
    <w:link w:val="ab"/>
    <w:rsid w:val="0075590F"/>
    <w:rPr>
      <w:rFonts w:ascii="Century" w:eastAsia="Batang" w:hAnsi="Century" w:cs="Times New Roman"/>
      <w:sz w:val="24"/>
      <w:szCs w:val="24"/>
    </w:rPr>
  </w:style>
  <w:style w:type="table" w:styleId="ac">
    <w:name w:val="Table Grid"/>
    <w:basedOn w:val="a1"/>
    <w:uiPriority w:val="59"/>
    <w:rsid w:val="00755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annotation subject"/>
    <w:basedOn w:val="ab"/>
    <w:next w:val="ab"/>
    <w:link w:val="Char3"/>
    <w:rsid w:val="0075590F"/>
    <w:pPr>
      <w:snapToGrid/>
      <w:jc w:val="left"/>
    </w:pPr>
    <w:rPr>
      <w:rFonts w:ascii="Batang" w:hAnsi="Times New Roman"/>
      <w:b/>
      <w:bCs/>
    </w:rPr>
  </w:style>
  <w:style w:type="character" w:customStyle="1" w:styleId="Char3">
    <w:name w:val="批注主题 Char"/>
    <w:basedOn w:val="Char2"/>
    <w:link w:val="ad"/>
    <w:rsid w:val="0075590F"/>
    <w:rPr>
      <w:rFonts w:ascii="Batang" w:eastAsia="Batang" w:hAnsi="Times New Roman" w:cs="Times New Roman"/>
      <w:b/>
      <w:bCs/>
      <w:sz w:val="24"/>
      <w:szCs w:val="24"/>
    </w:rPr>
  </w:style>
  <w:style w:type="paragraph" w:customStyle="1" w:styleId="1">
    <w:name w:val="표준 표1"/>
    <w:rsid w:val="0075590F"/>
    <w:pPr>
      <w:spacing w:after="0" w:line="240" w:lineRule="auto"/>
      <w:jc w:val="left"/>
    </w:pPr>
    <w:rPr>
      <w:rFonts w:ascii="Times New Roman" w:eastAsia="Malgun Gothic" w:hAnsi="Times New Roman" w:cs="Times New Roman"/>
    </w:rPr>
  </w:style>
  <w:style w:type="character" w:styleId="ae">
    <w:name w:val="Emphasis"/>
    <w:basedOn w:val="a0"/>
    <w:qFormat/>
    <w:rsid w:val="0075590F"/>
    <w:rPr>
      <w:i/>
      <w:iCs/>
    </w:rPr>
  </w:style>
  <w:style w:type="paragraph" w:customStyle="1" w:styleId="title1">
    <w:name w:val="title1"/>
    <w:basedOn w:val="a"/>
    <w:rsid w:val="0075590F"/>
    <w:pPr>
      <w:widowControl/>
      <w:wordWrap/>
      <w:autoSpaceDE/>
      <w:autoSpaceDN/>
      <w:jc w:val="left"/>
    </w:pPr>
    <w:rPr>
      <w:rFonts w:ascii="Gulim" w:eastAsia="Gulim" w:hAnsi="Gulim" w:cs="Gulim"/>
      <w:kern w:val="0"/>
      <w:sz w:val="27"/>
      <w:szCs w:val="27"/>
    </w:rPr>
  </w:style>
  <w:style w:type="paragraph" w:customStyle="1" w:styleId="desc2">
    <w:name w:val="desc2"/>
    <w:basedOn w:val="a"/>
    <w:rsid w:val="0075590F"/>
    <w:pPr>
      <w:widowControl/>
      <w:wordWrap/>
      <w:autoSpaceDE/>
      <w:autoSpaceDN/>
      <w:jc w:val="left"/>
    </w:pPr>
    <w:rPr>
      <w:rFonts w:ascii="Gulim" w:eastAsia="Gulim" w:hAnsi="Gulim" w:cs="Gulim"/>
      <w:kern w:val="0"/>
      <w:sz w:val="26"/>
      <w:szCs w:val="26"/>
    </w:rPr>
  </w:style>
  <w:style w:type="paragraph" w:customStyle="1" w:styleId="details1">
    <w:name w:val="details1"/>
    <w:basedOn w:val="a"/>
    <w:rsid w:val="0075590F"/>
    <w:pPr>
      <w:widowControl/>
      <w:wordWrap/>
      <w:autoSpaceDE/>
      <w:autoSpaceDN/>
      <w:jc w:val="left"/>
    </w:pPr>
    <w:rPr>
      <w:rFonts w:ascii="Gulim" w:eastAsia="Gulim" w:hAnsi="Gulim" w:cs="Gulim"/>
      <w:kern w:val="0"/>
      <w:sz w:val="22"/>
      <w:szCs w:val="22"/>
    </w:rPr>
  </w:style>
  <w:style w:type="character" w:customStyle="1" w:styleId="jrnl">
    <w:name w:val="jrnl"/>
    <w:basedOn w:val="a0"/>
    <w:rsid w:val="0075590F"/>
  </w:style>
  <w:style w:type="paragraph" w:customStyle="1" w:styleId="EndNoteBibliographyTitle">
    <w:name w:val="EndNote Bibliography Title"/>
    <w:basedOn w:val="a"/>
    <w:link w:val="EndNoteBibliographyTitleChar"/>
    <w:rsid w:val="0075590F"/>
    <w:pPr>
      <w:jc w:val="center"/>
    </w:pPr>
    <w:rPr>
      <w:rFonts w:hAnsi="Batang"/>
      <w:noProof/>
    </w:rPr>
  </w:style>
  <w:style w:type="character" w:customStyle="1" w:styleId="EndNoteBibliographyTitleChar">
    <w:name w:val="EndNote Bibliography Title Char"/>
    <w:basedOn w:val="a0"/>
    <w:link w:val="EndNoteBibliographyTitle"/>
    <w:rsid w:val="0075590F"/>
    <w:rPr>
      <w:rFonts w:ascii="Batang" w:eastAsia="Batang" w:hAnsi="Batang" w:cs="Times New Roman"/>
      <w:noProof/>
      <w:szCs w:val="24"/>
    </w:rPr>
  </w:style>
  <w:style w:type="paragraph" w:customStyle="1" w:styleId="EndNoteBibliography">
    <w:name w:val="EndNote Bibliography"/>
    <w:basedOn w:val="a"/>
    <w:link w:val="EndNoteBibliographyChar"/>
    <w:rsid w:val="0075590F"/>
    <w:rPr>
      <w:rFonts w:hAnsi="Batang"/>
      <w:noProof/>
    </w:rPr>
  </w:style>
  <w:style w:type="character" w:customStyle="1" w:styleId="EndNoteBibliographyChar">
    <w:name w:val="EndNote Bibliography Char"/>
    <w:basedOn w:val="a0"/>
    <w:link w:val="EndNoteBibliography"/>
    <w:rsid w:val="0075590F"/>
    <w:rPr>
      <w:rFonts w:ascii="Batang" w:eastAsia="Batang" w:hAnsi="Batang" w:cs="Times New Roman"/>
      <w:noProof/>
      <w:szCs w:val="24"/>
    </w:rPr>
  </w:style>
  <w:style w:type="character" w:customStyle="1" w:styleId="highlight2">
    <w:name w:val="highlight2"/>
    <w:basedOn w:val="a0"/>
    <w:rsid w:val="00136B50"/>
  </w:style>
  <w:style w:type="character" w:styleId="af">
    <w:name w:val="Strong"/>
    <w:uiPriority w:val="99"/>
    <w:qFormat/>
    <w:rsid w:val="004177A4"/>
    <w:rPr>
      <w:rFonts w:cs="Times New Roman"/>
      <w:b/>
    </w:rPr>
  </w:style>
  <w:style w:type="paragraph" w:styleId="af0">
    <w:name w:val="List Paragraph"/>
    <w:basedOn w:val="a"/>
    <w:uiPriority w:val="99"/>
    <w:qFormat/>
    <w:rsid w:val="004177A4"/>
    <w:pPr>
      <w:widowControl/>
      <w:suppressAutoHyphens/>
      <w:wordWrap/>
      <w:autoSpaceDE/>
      <w:autoSpaceDN/>
      <w:ind w:firstLineChars="200" w:firstLine="420"/>
      <w:jc w:val="left"/>
    </w:pPr>
    <w:rPr>
      <w:rFonts w:ascii="Times New Roman" w:eastAsia="宋体"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50162">
      <w:bodyDiv w:val="1"/>
      <w:marLeft w:val="0"/>
      <w:marRight w:val="0"/>
      <w:marTop w:val="0"/>
      <w:marBottom w:val="0"/>
      <w:divBdr>
        <w:top w:val="none" w:sz="0" w:space="0" w:color="auto"/>
        <w:left w:val="none" w:sz="0" w:space="0" w:color="auto"/>
        <w:bottom w:val="none" w:sz="0" w:space="0" w:color="auto"/>
        <w:right w:val="none" w:sz="0" w:space="0" w:color="auto"/>
      </w:divBdr>
      <w:divsChild>
        <w:div w:id="1298340122">
          <w:marLeft w:val="0"/>
          <w:marRight w:val="1"/>
          <w:marTop w:val="0"/>
          <w:marBottom w:val="0"/>
          <w:divBdr>
            <w:top w:val="none" w:sz="0" w:space="0" w:color="auto"/>
            <w:left w:val="none" w:sz="0" w:space="0" w:color="auto"/>
            <w:bottom w:val="none" w:sz="0" w:space="0" w:color="auto"/>
            <w:right w:val="none" w:sz="0" w:space="0" w:color="auto"/>
          </w:divBdr>
          <w:divsChild>
            <w:div w:id="1423405226">
              <w:marLeft w:val="0"/>
              <w:marRight w:val="0"/>
              <w:marTop w:val="0"/>
              <w:marBottom w:val="0"/>
              <w:divBdr>
                <w:top w:val="none" w:sz="0" w:space="0" w:color="auto"/>
                <w:left w:val="none" w:sz="0" w:space="0" w:color="auto"/>
                <w:bottom w:val="none" w:sz="0" w:space="0" w:color="auto"/>
                <w:right w:val="none" w:sz="0" w:space="0" w:color="auto"/>
              </w:divBdr>
              <w:divsChild>
                <w:div w:id="655302897">
                  <w:marLeft w:val="0"/>
                  <w:marRight w:val="1"/>
                  <w:marTop w:val="0"/>
                  <w:marBottom w:val="0"/>
                  <w:divBdr>
                    <w:top w:val="none" w:sz="0" w:space="0" w:color="auto"/>
                    <w:left w:val="none" w:sz="0" w:space="0" w:color="auto"/>
                    <w:bottom w:val="none" w:sz="0" w:space="0" w:color="auto"/>
                    <w:right w:val="none" w:sz="0" w:space="0" w:color="auto"/>
                  </w:divBdr>
                  <w:divsChild>
                    <w:div w:id="2074310605">
                      <w:marLeft w:val="0"/>
                      <w:marRight w:val="0"/>
                      <w:marTop w:val="0"/>
                      <w:marBottom w:val="0"/>
                      <w:divBdr>
                        <w:top w:val="none" w:sz="0" w:space="0" w:color="auto"/>
                        <w:left w:val="none" w:sz="0" w:space="0" w:color="auto"/>
                        <w:bottom w:val="none" w:sz="0" w:space="0" w:color="auto"/>
                        <w:right w:val="none" w:sz="0" w:space="0" w:color="auto"/>
                      </w:divBdr>
                      <w:divsChild>
                        <w:div w:id="923296645">
                          <w:marLeft w:val="0"/>
                          <w:marRight w:val="0"/>
                          <w:marTop w:val="0"/>
                          <w:marBottom w:val="0"/>
                          <w:divBdr>
                            <w:top w:val="none" w:sz="0" w:space="0" w:color="auto"/>
                            <w:left w:val="none" w:sz="0" w:space="0" w:color="auto"/>
                            <w:bottom w:val="none" w:sz="0" w:space="0" w:color="auto"/>
                            <w:right w:val="none" w:sz="0" w:space="0" w:color="auto"/>
                          </w:divBdr>
                          <w:divsChild>
                            <w:div w:id="1404179539">
                              <w:marLeft w:val="0"/>
                              <w:marRight w:val="0"/>
                              <w:marTop w:val="120"/>
                              <w:marBottom w:val="360"/>
                              <w:divBdr>
                                <w:top w:val="none" w:sz="0" w:space="0" w:color="auto"/>
                                <w:left w:val="none" w:sz="0" w:space="0" w:color="auto"/>
                                <w:bottom w:val="none" w:sz="0" w:space="0" w:color="auto"/>
                                <w:right w:val="none" w:sz="0" w:space="0" w:color="auto"/>
                              </w:divBdr>
                              <w:divsChild>
                                <w:div w:id="329408971">
                                  <w:marLeft w:val="0"/>
                                  <w:marRight w:val="0"/>
                                  <w:marTop w:val="0"/>
                                  <w:marBottom w:val="0"/>
                                  <w:divBdr>
                                    <w:top w:val="none" w:sz="0" w:space="0" w:color="auto"/>
                                    <w:left w:val="none" w:sz="0" w:space="0" w:color="auto"/>
                                    <w:bottom w:val="none" w:sz="0" w:space="0" w:color="auto"/>
                                    <w:right w:val="none" w:sz="0" w:space="0" w:color="auto"/>
                                  </w:divBdr>
                                  <w:divsChild>
                                    <w:div w:id="6988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134458">
      <w:bodyDiv w:val="1"/>
      <w:marLeft w:val="0"/>
      <w:marRight w:val="0"/>
      <w:marTop w:val="0"/>
      <w:marBottom w:val="0"/>
      <w:divBdr>
        <w:top w:val="none" w:sz="0" w:space="0" w:color="auto"/>
        <w:left w:val="none" w:sz="0" w:space="0" w:color="auto"/>
        <w:bottom w:val="none" w:sz="0" w:space="0" w:color="auto"/>
        <w:right w:val="none" w:sz="0" w:space="0" w:color="auto"/>
      </w:divBdr>
      <w:divsChild>
        <w:div w:id="477652273">
          <w:marLeft w:val="0"/>
          <w:marRight w:val="1"/>
          <w:marTop w:val="0"/>
          <w:marBottom w:val="0"/>
          <w:divBdr>
            <w:top w:val="none" w:sz="0" w:space="0" w:color="auto"/>
            <w:left w:val="none" w:sz="0" w:space="0" w:color="auto"/>
            <w:bottom w:val="none" w:sz="0" w:space="0" w:color="auto"/>
            <w:right w:val="none" w:sz="0" w:space="0" w:color="auto"/>
          </w:divBdr>
          <w:divsChild>
            <w:div w:id="1193033336">
              <w:marLeft w:val="0"/>
              <w:marRight w:val="0"/>
              <w:marTop w:val="0"/>
              <w:marBottom w:val="0"/>
              <w:divBdr>
                <w:top w:val="none" w:sz="0" w:space="0" w:color="auto"/>
                <w:left w:val="none" w:sz="0" w:space="0" w:color="auto"/>
                <w:bottom w:val="none" w:sz="0" w:space="0" w:color="auto"/>
                <w:right w:val="none" w:sz="0" w:space="0" w:color="auto"/>
              </w:divBdr>
              <w:divsChild>
                <w:div w:id="1473988278">
                  <w:marLeft w:val="0"/>
                  <w:marRight w:val="1"/>
                  <w:marTop w:val="0"/>
                  <w:marBottom w:val="0"/>
                  <w:divBdr>
                    <w:top w:val="none" w:sz="0" w:space="0" w:color="auto"/>
                    <w:left w:val="none" w:sz="0" w:space="0" w:color="auto"/>
                    <w:bottom w:val="none" w:sz="0" w:space="0" w:color="auto"/>
                    <w:right w:val="none" w:sz="0" w:space="0" w:color="auto"/>
                  </w:divBdr>
                  <w:divsChild>
                    <w:div w:id="1115175966">
                      <w:marLeft w:val="0"/>
                      <w:marRight w:val="0"/>
                      <w:marTop w:val="0"/>
                      <w:marBottom w:val="0"/>
                      <w:divBdr>
                        <w:top w:val="none" w:sz="0" w:space="0" w:color="auto"/>
                        <w:left w:val="none" w:sz="0" w:space="0" w:color="auto"/>
                        <w:bottom w:val="none" w:sz="0" w:space="0" w:color="auto"/>
                        <w:right w:val="none" w:sz="0" w:space="0" w:color="auto"/>
                      </w:divBdr>
                      <w:divsChild>
                        <w:div w:id="1785609455">
                          <w:marLeft w:val="0"/>
                          <w:marRight w:val="0"/>
                          <w:marTop w:val="0"/>
                          <w:marBottom w:val="0"/>
                          <w:divBdr>
                            <w:top w:val="none" w:sz="0" w:space="0" w:color="auto"/>
                            <w:left w:val="none" w:sz="0" w:space="0" w:color="auto"/>
                            <w:bottom w:val="none" w:sz="0" w:space="0" w:color="auto"/>
                            <w:right w:val="none" w:sz="0" w:space="0" w:color="auto"/>
                          </w:divBdr>
                          <w:divsChild>
                            <w:div w:id="987444677">
                              <w:marLeft w:val="0"/>
                              <w:marRight w:val="0"/>
                              <w:marTop w:val="120"/>
                              <w:marBottom w:val="360"/>
                              <w:divBdr>
                                <w:top w:val="none" w:sz="0" w:space="0" w:color="auto"/>
                                <w:left w:val="none" w:sz="0" w:space="0" w:color="auto"/>
                                <w:bottom w:val="none" w:sz="0" w:space="0" w:color="auto"/>
                                <w:right w:val="none" w:sz="0" w:space="0" w:color="auto"/>
                              </w:divBdr>
                              <w:divsChild>
                                <w:div w:id="1143423602">
                                  <w:marLeft w:val="0"/>
                                  <w:marRight w:val="0"/>
                                  <w:marTop w:val="0"/>
                                  <w:marBottom w:val="0"/>
                                  <w:divBdr>
                                    <w:top w:val="none" w:sz="0" w:space="0" w:color="auto"/>
                                    <w:left w:val="none" w:sz="0" w:space="0" w:color="auto"/>
                                    <w:bottom w:val="none" w:sz="0" w:space="0" w:color="auto"/>
                                    <w:right w:val="none" w:sz="0" w:space="0" w:color="auto"/>
                                  </w:divBdr>
                                  <w:divsChild>
                                    <w:div w:id="7266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9939923">
      <w:bodyDiv w:val="1"/>
      <w:marLeft w:val="0"/>
      <w:marRight w:val="0"/>
      <w:marTop w:val="0"/>
      <w:marBottom w:val="0"/>
      <w:divBdr>
        <w:top w:val="none" w:sz="0" w:space="0" w:color="auto"/>
        <w:left w:val="none" w:sz="0" w:space="0" w:color="auto"/>
        <w:bottom w:val="none" w:sz="0" w:space="0" w:color="auto"/>
        <w:right w:val="none" w:sz="0" w:space="0" w:color="auto"/>
      </w:divBdr>
      <w:divsChild>
        <w:div w:id="33045419">
          <w:marLeft w:val="0"/>
          <w:marRight w:val="1"/>
          <w:marTop w:val="0"/>
          <w:marBottom w:val="0"/>
          <w:divBdr>
            <w:top w:val="none" w:sz="0" w:space="0" w:color="auto"/>
            <w:left w:val="none" w:sz="0" w:space="0" w:color="auto"/>
            <w:bottom w:val="none" w:sz="0" w:space="0" w:color="auto"/>
            <w:right w:val="none" w:sz="0" w:space="0" w:color="auto"/>
          </w:divBdr>
          <w:divsChild>
            <w:div w:id="674067551">
              <w:marLeft w:val="0"/>
              <w:marRight w:val="0"/>
              <w:marTop w:val="0"/>
              <w:marBottom w:val="0"/>
              <w:divBdr>
                <w:top w:val="none" w:sz="0" w:space="0" w:color="auto"/>
                <w:left w:val="none" w:sz="0" w:space="0" w:color="auto"/>
                <w:bottom w:val="none" w:sz="0" w:space="0" w:color="auto"/>
                <w:right w:val="none" w:sz="0" w:space="0" w:color="auto"/>
              </w:divBdr>
              <w:divsChild>
                <w:div w:id="462774243">
                  <w:marLeft w:val="0"/>
                  <w:marRight w:val="1"/>
                  <w:marTop w:val="0"/>
                  <w:marBottom w:val="0"/>
                  <w:divBdr>
                    <w:top w:val="none" w:sz="0" w:space="0" w:color="auto"/>
                    <w:left w:val="none" w:sz="0" w:space="0" w:color="auto"/>
                    <w:bottom w:val="none" w:sz="0" w:space="0" w:color="auto"/>
                    <w:right w:val="none" w:sz="0" w:space="0" w:color="auto"/>
                  </w:divBdr>
                  <w:divsChild>
                    <w:div w:id="628098182">
                      <w:marLeft w:val="0"/>
                      <w:marRight w:val="0"/>
                      <w:marTop w:val="0"/>
                      <w:marBottom w:val="0"/>
                      <w:divBdr>
                        <w:top w:val="none" w:sz="0" w:space="0" w:color="auto"/>
                        <w:left w:val="none" w:sz="0" w:space="0" w:color="auto"/>
                        <w:bottom w:val="none" w:sz="0" w:space="0" w:color="auto"/>
                        <w:right w:val="none" w:sz="0" w:space="0" w:color="auto"/>
                      </w:divBdr>
                      <w:divsChild>
                        <w:div w:id="538593169">
                          <w:marLeft w:val="0"/>
                          <w:marRight w:val="0"/>
                          <w:marTop w:val="0"/>
                          <w:marBottom w:val="0"/>
                          <w:divBdr>
                            <w:top w:val="none" w:sz="0" w:space="0" w:color="auto"/>
                            <w:left w:val="none" w:sz="0" w:space="0" w:color="auto"/>
                            <w:bottom w:val="none" w:sz="0" w:space="0" w:color="auto"/>
                            <w:right w:val="none" w:sz="0" w:space="0" w:color="auto"/>
                          </w:divBdr>
                          <w:divsChild>
                            <w:div w:id="1071663226">
                              <w:marLeft w:val="0"/>
                              <w:marRight w:val="0"/>
                              <w:marTop w:val="120"/>
                              <w:marBottom w:val="360"/>
                              <w:divBdr>
                                <w:top w:val="none" w:sz="0" w:space="0" w:color="auto"/>
                                <w:left w:val="none" w:sz="0" w:space="0" w:color="auto"/>
                                <w:bottom w:val="none" w:sz="0" w:space="0" w:color="auto"/>
                                <w:right w:val="none" w:sz="0" w:space="0" w:color="auto"/>
                              </w:divBdr>
                              <w:divsChild>
                                <w:div w:id="288706147">
                                  <w:marLeft w:val="0"/>
                                  <w:marRight w:val="0"/>
                                  <w:marTop w:val="0"/>
                                  <w:marBottom w:val="0"/>
                                  <w:divBdr>
                                    <w:top w:val="none" w:sz="0" w:space="0" w:color="auto"/>
                                    <w:left w:val="none" w:sz="0" w:space="0" w:color="auto"/>
                                    <w:bottom w:val="none" w:sz="0" w:space="0" w:color="auto"/>
                                    <w:right w:val="none" w:sz="0" w:space="0" w:color="auto"/>
                                  </w:divBdr>
                                  <w:divsChild>
                                    <w:div w:id="87195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A9910-0466-412C-AFAA-518663EE5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5770</Words>
  <Characters>32895</Characters>
  <Application>Microsoft Office Word</Application>
  <DocSecurity>0</DocSecurity>
  <Lines>274</Lines>
  <Paragraphs>77</Paragraphs>
  <ScaleCrop>false</ScaleCrop>
  <HeadingPairs>
    <vt:vector size="2" baseType="variant">
      <vt:variant>
        <vt:lpstr>제목</vt:lpstr>
      </vt:variant>
      <vt:variant>
        <vt:i4>1</vt:i4>
      </vt:variant>
    </vt:vector>
  </HeadingPairs>
  <TitlesOfParts>
    <vt:vector size="1" baseType="lpstr">
      <vt:lpstr/>
    </vt:vector>
  </TitlesOfParts>
  <Company>Hewlett-Packard</Company>
  <LinksUpToDate>false</LinksUpToDate>
  <CharactersWithSpaces>38588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doc0224</dc:creator>
  <cp:lastModifiedBy>LS Ma</cp:lastModifiedBy>
  <cp:revision>2</cp:revision>
  <dcterms:created xsi:type="dcterms:W3CDTF">2014-06-25T05:29:00Z</dcterms:created>
  <dcterms:modified xsi:type="dcterms:W3CDTF">2014-06-25T05:29:00Z</dcterms:modified>
</cp:coreProperties>
</file>