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B4" w:rsidRPr="009B3D1A" w:rsidRDefault="00225EB4" w:rsidP="00FE70C5">
      <w:pPr>
        <w:spacing w:line="360" w:lineRule="auto"/>
        <w:jc w:val="both"/>
        <w:rPr>
          <w:rFonts w:ascii="Book Antiqua" w:hAnsi="Book Antiqua" w:cs="Tahoma"/>
          <w:b/>
          <w:color w:val="000000"/>
        </w:rPr>
      </w:pPr>
      <w:r w:rsidRPr="009B3D1A">
        <w:rPr>
          <w:rFonts w:ascii="Book Antiqua" w:hAnsi="Book Antiqua" w:cs="Tahoma"/>
          <w:b/>
          <w:color w:val="0000FF"/>
        </w:rPr>
        <w:t xml:space="preserve">Name of journal: </w:t>
      </w:r>
      <w:r w:rsidRPr="009B3D1A">
        <w:rPr>
          <w:rFonts w:ascii="Book Antiqua" w:hAnsi="Book Antiqua" w:cs="Tahoma"/>
          <w:b/>
          <w:color w:val="000000"/>
        </w:rPr>
        <w:t>World Journal of Gastroenterology</w:t>
      </w:r>
    </w:p>
    <w:p w:rsidR="00225EB4" w:rsidRPr="009B3D1A" w:rsidRDefault="00225EB4" w:rsidP="00FE70C5">
      <w:pPr>
        <w:spacing w:line="360" w:lineRule="auto"/>
        <w:jc w:val="both"/>
        <w:rPr>
          <w:rFonts w:ascii="Book Antiqua" w:hAnsi="Book Antiqua" w:cs="Tahoma"/>
          <w:b/>
          <w:color w:val="0000FF"/>
          <w:lang w:eastAsia="zh-CN"/>
        </w:rPr>
      </w:pPr>
      <w:r w:rsidRPr="009B3D1A">
        <w:rPr>
          <w:rFonts w:ascii="Book Antiqua" w:hAnsi="Book Antiqua" w:cs="Tahoma"/>
          <w:b/>
          <w:color w:val="0000FF"/>
        </w:rPr>
        <w:t>ESPS Manuscript NO:</w:t>
      </w:r>
      <w:r w:rsidRPr="009B3D1A">
        <w:rPr>
          <w:rFonts w:ascii="Book Antiqua" w:hAnsi="Book Antiqua" w:cs="Tahoma"/>
          <w:b/>
          <w:color w:val="0000FF"/>
          <w:lang w:eastAsia="zh-CN"/>
        </w:rPr>
        <w:t xml:space="preserve"> 9709</w:t>
      </w:r>
    </w:p>
    <w:p w:rsidR="00225EB4" w:rsidRPr="009B3D1A" w:rsidRDefault="00225EB4" w:rsidP="00FE70C5">
      <w:pPr>
        <w:spacing w:line="360" w:lineRule="auto"/>
        <w:jc w:val="both"/>
        <w:rPr>
          <w:rFonts w:ascii="Book Antiqua" w:hAnsi="Book Antiqua" w:cs="Tahoma"/>
          <w:b/>
          <w:color w:val="000000"/>
          <w:lang w:eastAsia="zh-CN"/>
        </w:rPr>
      </w:pPr>
      <w:r w:rsidRPr="009B3D1A">
        <w:rPr>
          <w:rFonts w:ascii="Book Antiqua" w:hAnsi="Book Antiqua" w:cs="Tahoma"/>
          <w:b/>
          <w:color w:val="0000FF"/>
        </w:rPr>
        <w:t>Columns:</w:t>
      </w:r>
      <w:r w:rsidRPr="009B3D1A">
        <w:rPr>
          <w:rFonts w:ascii="Book Antiqua" w:hAnsi="Book Antiqua"/>
        </w:rPr>
        <w:t xml:space="preserve"> </w:t>
      </w:r>
      <w:r w:rsidRPr="002D17EE">
        <w:rPr>
          <w:rFonts w:ascii="Book Antiqua" w:hAnsi="Book Antiqua" w:cs="Tahoma"/>
          <w:b/>
          <w:color w:val="000000"/>
        </w:rPr>
        <w:t>PROSPECTIVE STUDY</w:t>
      </w:r>
    </w:p>
    <w:p w:rsidR="00225EB4" w:rsidRPr="009B3D1A" w:rsidRDefault="00225EB4" w:rsidP="00FE70C5">
      <w:pPr>
        <w:spacing w:line="360" w:lineRule="auto"/>
        <w:jc w:val="both"/>
        <w:rPr>
          <w:rFonts w:ascii="Book Antiqua" w:hAnsi="Book Antiqua" w:cs="Tahoma"/>
          <w:b/>
          <w:color w:val="000000"/>
          <w:lang w:eastAsia="zh-CN"/>
        </w:rPr>
      </w:pPr>
    </w:p>
    <w:p w:rsidR="00225EB4" w:rsidRPr="009B1CEC" w:rsidRDefault="00225EB4" w:rsidP="00FE70C5">
      <w:pPr>
        <w:spacing w:line="360" w:lineRule="auto"/>
        <w:jc w:val="both"/>
        <w:rPr>
          <w:rFonts w:ascii="Book Antiqua" w:hAnsi="Book Antiqua"/>
          <w:b/>
          <w:bCs/>
        </w:rPr>
      </w:pPr>
      <w:r w:rsidRPr="009B3D1A">
        <w:rPr>
          <w:rFonts w:ascii="Book Antiqua" w:hAnsi="Book Antiqua"/>
          <w:b/>
          <w:bCs/>
        </w:rPr>
        <w:t xml:space="preserve">Seroprevalence of </w:t>
      </w:r>
      <w:r w:rsidRPr="009B3D1A">
        <w:rPr>
          <w:rFonts w:ascii="Book Antiqua" w:hAnsi="Book Antiqua"/>
          <w:b/>
          <w:bCs/>
          <w:lang w:eastAsia="zh-CN"/>
        </w:rPr>
        <w:t>c</w:t>
      </w:r>
      <w:r w:rsidRPr="009B3D1A">
        <w:rPr>
          <w:rFonts w:ascii="Book Antiqua" w:hAnsi="Book Antiqua"/>
          <w:b/>
          <w:bCs/>
        </w:rPr>
        <w:t xml:space="preserve">eliac </w:t>
      </w:r>
      <w:r w:rsidRPr="009B3D1A">
        <w:rPr>
          <w:rFonts w:ascii="Book Antiqua" w:hAnsi="Book Antiqua"/>
          <w:b/>
          <w:bCs/>
          <w:lang w:eastAsia="zh-CN"/>
        </w:rPr>
        <w:t>d</w:t>
      </w:r>
      <w:r w:rsidRPr="009B3D1A">
        <w:rPr>
          <w:rFonts w:ascii="Book Antiqua" w:hAnsi="Book Antiqua"/>
          <w:b/>
          <w:bCs/>
        </w:rPr>
        <w:t xml:space="preserve">isease among </w:t>
      </w:r>
      <w:r w:rsidRPr="00CB6999">
        <w:rPr>
          <w:rFonts w:ascii="Book Antiqua" w:hAnsi="Book Antiqua"/>
          <w:b/>
        </w:rPr>
        <w:t>United Arab Emirates</w:t>
      </w:r>
      <w:r w:rsidRPr="009B3D1A" w:rsidDel="004F3E68">
        <w:rPr>
          <w:rFonts w:ascii="Book Antiqua" w:hAnsi="Book Antiqua"/>
          <w:b/>
          <w:bCs/>
        </w:rPr>
        <w:t xml:space="preserve"> </w:t>
      </w:r>
      <w:r w:rsidRPr="009B3D1A">
        <w:rPr>
          <w:rFonts w:ascii="Book Antiqua" w:hAnsi="Book Antiqua"/>
          <w:b/>
          <w:bCs/>
          <w:lang w:eastAsia="zh-CN"/>
        </w:rPr>
        <w:t>h</w:t>
      </w:r>
      <w:r w:rsidRPr="009B3D1A">
        <w:rPr>
          <w:rFonts w:ascii="Book Antiqua" w:hAnsi="Book Antiqua"/>
          <w:b/>
          <w:bCs/>
        </w:rPr>
        <w:t xml:space="preserve">ealthy </w:t>
      </w:r>
      <w:r w:rsidRPr="009B3D1A">
        <w:rPr>
          <w:rFonts w:ascii="Book Antiqua" w:hAnsi="Book Antiqua"/>
          <w:b/>
          <w:bCs/>
          <w:lang w:eastAsia="zh-CN"/>
        </w:rPr>
        <w:t>a</w:t>
      </w:r>
      <w:r w:rsidRPr="009B3D1A">
        <w:rPr>
          <w:rFonts w:ascii="Book Antiqua" w:hAnsi="Book Antiqua"/>
          <w:b/>
          <w:bCs/>
        </w:rPr>
        <w:t xml:space="preserve">dult </w:t>
      </w:r>
      <w:r w:rsidRPr="009B3D1A">
        <w:rPr>
          <w:rFonts w:ascii="Book Antiqua" w:hAnsi="Book Antiqua"/>
          <w:b/>
          <w:bCs/>
          <w:lang w:eastAsia="zh-CN"/>
        </w:rPr>
        <w:t>n</w:t>
      </w:r>
      <w:r w:rsidRPr="009B3D1A">
        <w:rPr>
          <w:rFonts w:ascii="Book Antiqua" w:hAnsi="Book Antiqua"/>
          <w:b/>
          <w:bCs/>
        </w:rPr>
        <w:t>ationals:</w:t>
      </w:r>
      <w:r w:rsidRPr="00380200">
        <w:rPr>
          <w:rFonts w:ascii="Book Antiqua" w:hAnsi="Book Antiqua"/>
          <w:b/>
          <w:bCs/>
        </w:rPr>
        <w:t xml:space="preserve"> </w:t>
      </w:r>
      <w:r w:rsidRPr="009B1CEC">
        <w:rPr>
          <w:rFonts w:ascii="Book Antiqua" w:hAnsi="Book Antiqua"/>
          <w:b/>
          <w:bCs/>
        </w:rPr>
        <w:t xml:space="preserve">A </w:t>
      </w:r>
      <w:r w:rsidRPr="009B1CEC">
        <w:rPr>
          <w:rFonts w:ascii="Book Antiqua" w:hAnsi="Book Antiqua"/>
          <w:b/>
          <w:bCs/>
          <w:lang w:eastAsia="zh-CN"/>
        </w:rPr>
        <w:t>g</w:t>
      </w:r>
      <w:r w:rsidRPr="009B1CEC">
        <w:rPr>
          <w:rFonts w:ascii="Book Antiqua" w:hAnsi="Book Antiqua"/>
          <w:b/>
          <w:bCs/>
        </w:rPr>
        <w:t xml:space="preserve">ender </w:t>
      </w:r>
      <w:r w:rsidRPr="009B1CEC">
        <w:rPr>
          <w:rFonts w:ascii="Book Antiqua" w:hAnsi="Book Antiqua"/>
          <w:b/>
          <w:bCs/>
          <w:lang w:eastAsia="zh-CN"/>
        </w:rPr>
        <w:t>d</w:t>
      </w:r>
      <w:r w:rsidRPr="009B1CEC">
        <w:rPr>
          <w:rFonts w:ascii="Book Antiqua" w:hAnsi="Book Antiqua"/>
          <w:b/>
          <w:bCs/>
        </w:rPr>
        <w:t>isparity</w:t>
      </w:r>
    </w:p>
    <w:p w:rsidR="00225EB4" w:rsidRPr="009B1CEC" w:rsidRDefault="00225EB4" w:rsidP="00FE70C5">
      <w:pPr>
        <w:spacing w:line="360" w:lineRule="auto"/>
        <w:jc w:val="both"/>
        <w:rPr>
          <w:rFonts w:ascii="Book Antiqua" w:hAnsi="Book Antiqua"/>
          <w:vertAlign w:val="superscript"/>
          <w:lang w:eastAsia="zh-CN"/>
        </w:rPr>
      </w:pPr>
    </w:p>
    <w:p w:rsidR="00225EB4" w:rsidRPr="002D17EE" w:rsidRDefault="00225EB4" w:rsidP="00FE70C5">
      <w:pPr>
        <w:spacing w:line="360" w:lineRule="auto"/>
        <w:jc w:val="both"/>
        <w:rPr>
          <w:rFonts w:ascii="Book Antiqua" w:hAnsi="Book Antiqua"/>
          <w:lang w:val="es-ES" w:eastAsia="zh-CN"/>
        </w:rPr>
      </w:pPr>
      <w:r w:rsidRPr="002D17EE">
        <w:rPr>
          <w:rFonts w:ascii="Book Antiqua" w:hAnsi="Book Antiqua"/>
          <w:lang w:val="es-ES"/>
        </w:rPr>
        <w:t>Abu-Zeid</w:t>
      </w:r>
      <w:r w:rsidRPr="002D17EE">
        <w:rPr>
          <w:rFonts w:ascii="Book Antiqua" w:hAnsi="Book Antiqua"/>
          <w:lang w:val="es-ES" w:eastAsia="zh-CN"/>
        </w:rPr>
        <w:t xml:space="preserve"> YA </w:t>
      </w:r>
      <w:r w:rsidRPr="002D17EE">
        <w:rPr>
          <w:rFonts w:ascii="Book Antiqua" w:hAnsi="Book Antiqua"/>
          <w:i/>
          <w:lang w:val="es-ES" w:eastAsia="zh-CN"/>
        </w:rPr>
        <w:t>et al</w:t>
      </w:r>
      <w:r w:rsidRPr="002D17EE">
        <w:rPr>
          <w:rFonts w:ascii="Book Antiqua" w:hAnsi="Book Antiqua"/>
          <w:lang w:val="es-ES" w:eastAsia="zh-CN"/>
        </w:rPr>
        <w:t xml:space="preserve">. </w:t>
      </w:r>
      <w:r w:rsidRPr="002D17EE">
        <w:rPr>
          <w:rFonts w:ascii="Book Antiqua" w:hAnsi="Book Antiqua"/>
          <w:vertAlign w:val="superscript"/>
          <w:lang w:val="es-ES" w:eastAsia="zh-CN"/>
        </w:rPr>
        <w:t xml:space="preserve"> </w:t>
      </w:r>
      <w:r w:rsidRPr="002D17EE">
        <w:rPr>
          <w:rFonts w:ascii="Book Antiqua" w:hAnsi="Book Antiqua"/>
          <w:lang w:val="es-ES"/>
        </w:rPr>
        <w:t xml:space="preserve">Seroprevalence of CD among Emiratis  </w:t>
      </w:r>
    </w:p>
    <w:p w:rsidR="00225EB4" w:rsidRPr="002D17EE" w:rsidRDefault="00225EB4" w:rsidP="00FE70C5">
      <w:pPr>
        <w:spacing w:line="360" w:lineRule="auto"/>
        <w:jc w:val="both"/>
        <w:rPr>
          <w:rFonts w:ascii="Book Antiqua" w:hAnsi="Book Antiqua"/>
          <w:lang w:val="es-ES" w:eastAsia="zh-CN"/>
        </w:rPr>
      </w:pPr>
    </w:p>
    <w:p w:rsidR="00225EB4" w:rsidRPr="002D17EE" w:rsidRDefault="00225EB4" w:rsidP="00FE70C5">
      <w:pPr>
        <w:spacing w:line="360" w:lineRule="auto"/>
        <w:jc w:val="both"/>
        <w:rPr>
          <w:rFonts w:ascii="Book Antiqua" w:hAnsi="Book Antiqua"/>
          <w:lang w:val="es-ES" w:eastAsia="zh-CN"/>
        </w:rPr>
      </w:pPr>
      <w:r w:rsidRPr="002D17EE">
        <w:rPr>
          <w:rFonts w:ascii="Book Antiqua" w:hAnsi="Book Antiqua"/>
          <w:lang w:val="es-ES"/>
        </w:rPr>
        <w:t>Yousif A Abu-Zeid, Waheeba S Jasem, Benjamin Lebwohl, Peter H Green, Gehad ElGhazali</w:t>
      </w:r>
    </w:p>
    <w:p w:rsidR="00225EB4" w:rsidRPr="002D17EE" w:rsidRDefault="00127AC7" w:rsidP="00FE70C5">
      <w:pPr>
        <w:spacing w:line="360" w:lineRule="auto"/>
        <w:jc w:val="both"/>
        <w:rPr>
          <w:rFonts w:ascii="Book Antiqua" w:hAnsi="Book Antiqua"/>
          <w:vertAlign w:val="superscript"/>
          <w:lang w:val="es-ES" w:eastAsia="zh-CN"/>
        </w:rPr>
      </w:pPr>
      <w:r>
        <w:rPr>
          <w:noProof/>
          <w:lang w:eastAsia="zh-CN"/>
        </w:rPr>
        <mc:AlternateContent>
          <mc:Choice Requires="wps">
            <w:drawing>
              <wp:anchor distT="4294967293" distB="4294967293" distL="114300" distR="114300" simplePos="0" relativeHeight="251658240" behindDoc="0" locked="0" layoutInCell="1" allowOverlap="1">
                <wp:simplePos x="0" y="0"/>
                <wp:positionH relativeFrom="column">
                  <wp:posOffset>-13335</wp:posOffset>
                </wp:positionH>
                <wp:positionV relativeFrom="paragraph">
                  <wp:posOffset>81914</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5pt,6.45pt" to="408.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" strokecolor="gray" strokeweight="3pt"/>
            </w:pict>
          </mc:Fallback>
        </mc:AlternateContent>
      </w:r>
    </w:p>
    <w:p w:rsidR="00225EB4" w:rsidRDefault="00225EB4" w:rsidP="00FE70C5">
      <w:pPr>
        <w:spacing w:line="360" w:lineRule="auto"/>
        <w:jc w:val="both"/>
        <w:rPr>
          <w:rFonts w:ascii="Book Antiqua" w:hAnsi="Book Antiqua"/>
          <w:lang w:eastAsia="zh-CN"/>
        </w:rPr>
      </w:pPr>
      <w:r w:rsidRPr="00E569A9">
        <w:rPr>
          <w:rFonts w:ascii="Book Antiqua" w:hAnsi="Book Antiqua"/>
          <w:b/>
        </w:rPr>
        <w:t>Yousif A Abu-Zeid,</w:t>
      </w:r>
      <w:r w:rsidRPr="00E569A9">
        <w:rPr>
          <w:rFonts w:ascii="Book Antiqua" w:hAnsi="Book Antiqua"/>
        </w:rPr>
        <w:t xml:space="preserve"> Department of Biology, College of Science, United Arab Emirates University, Al Ain, Abu Dhabi</w:t>
      </w:r>
      <w:r>
        <w:rPr>
          <w:rFonts w:ascii="Book Antiqua" w:hAnsi="Book Antiqua"/>
          <w:lang w:eastAsia="zh-CN"/>
        </w:rPr>
        <w:t xml:space="preserve"> </w:t>
      </w:r>
      <w:r w:rsidRPr="00E569A9">
        <w:rPr>
          <w:rFonts w:ascii="Book Antiqua" w:hAnsi="Book Antiqua"/>
          <w:lang w:eastAsia="zh-CN"/>
        </w:rPr>
        <w:t>AE-AZ</w:t>
      </w:r>
      <w:r w:rsidRPr="00E569A9">
        <w:rPr>
          <w:rFonts w:ascii="Book Antiqua" w:hAnsi="Book Antiqua"/>
        </w:rPr>
        <w:t>, United Arab Emirates</w:t>
      </w:r>
    </w:p>
    <w:p w:rsidR="00225EB4" w:rsidRPr="00166532" w:rsidRDefault="00225EB4" w:rsidP="00FE70C5">
      <w:pPr>
        <w:spacing w:line="360" w:lineRule="auto"/>
        <w:jc w:val="both"/>
        <w:rPr>
          <w:rFonts w:ascii="Book Antiqua" w:hAnsi="Book Antiqua"/>
          <w:lang w:eastAsia="zh-CN"/>
        </w:rPr>
      </w:pPr>
    </w:p>
    <w:p w:rsidR="00225EB4" w:rsidRDefault="00225EB4" w:rsidP="00FE70C5">
      <w:pPr>
        <w:spacing w:line="360" w:lineRule="auto"/>
        <w:jc w:val="both"/>
        <w:rPr>
          <w:rFonts w:ascii="Book Antiqua" w:hAnsi="Book Antiqua"/>
          <w:lang w:eastAsia="zh-CN"/>
        </w:rPr>
      </w:pPr>
      <w:r w:rsidRPr="00E569A9">
        <w:rPr>
          <w:rFonts w:ascii="Book Antiqua" w:hAnsi="Book Antiqua"/>
          <w:b/>
        </w:rPr>
        <w:t xml:space="preserve"> Waheeba S Jasem,</w:t>
      </w:r>
      <w:r w:rsidRPr="00E569A9">
        <w:rPr>
          <w:rFonts w:ascii="Book Antiqua" w:hAnsi="Book Antiqua"/>
        </w:rPr>
        <w:t xml:space="preserve"> Ambulatory Healthcare Services, Abu Dhabi Health Services Company, Abu Dhabi</w:t>
      </w:r>
      <w:r>
        <w:rPr>
          <w:rFonts w:ascii="Book Antiqua" w:hAnsi="Book Antiqua"/>
          <w:lang w:eastAsia="zh-CN"/>
        </w:rPr>
        <w:t xml:space="preserve"> </w:t>
      </w:r>
      <w:r w:rsidRPr="00E569A9">
        <w:rPr>
          <w:rFonts w:ascii="Book Antiqua" w:hAnsi="Book Antiqua"/>
          <w:lang w:eastAsia="zh-CN"/>
        </w:rPr>
        <w:t>AE-AZ</w:t>
      </w:r>
      <w:r w:rsidRPr="00E569A9">
        <w:rPr>
          <w:rFonts w:ascii="Book Antiqua" w:hAnsi="Book Antiqua"/>
        </w:rPr>
        <w:t>, United Arab Emirates</w:t>
      </w:r>
    </w:p>
    <w:p w:rsidR="00225EB4" w:rsidRPr="00E569A9" w:rsidRDefault="00225EB4" w:rsidP="00FE70C5">
      <w:pPr>
        <w:spacing w:line="360" w:lineRule="auto"/>
        <w:jc w:val="both"/>
        <w:rPr>
          <w:rFonts w:ascii="Book Antiqua" w:hAnsi="Book Antiqua"/>
          <w:b/>
          <w:lang w:eastAsia="zh-CN"/>
        </w:rPr>
      </w:pPr>
    </w:p>
    <w:p w:rsidR="00225EB4" w:rsidRDefault="00225EB4" w:rsidP="00FE70C5">
      <w:pPr>
        <w:spacing w:line="360" w:lineRule="auto"/>
        <w:jc w:val="both"/>
        <w:rPr>
          <w:rFonts w:ascii="Book Antiqua" w:hAnsi="Book Antiqua"/>
          <w:lang w:eastAsia="zh-CN"/>
        </w:rPr>
      </w:pPr>
      <w:r w:rsidRPr="00E569A9">
        <w:rPr>
          <w:rFonts w:ascii="Book Antiqua" w:hAnsi="Book Antiqua"/>
          <w:b/>
        </w:rPr>
        <w:t>Benjamin Lebwohl,</w:t>
      </w:r>
      <w:r w:rsidRPr="00E569A9">
        <w:rPr>
          <w:rFonts w:ascii="Book Antiqua" w:hAnsi="Book Antiqua"/>
          <w:b/>
          <w:lang w:eastAsia="zh-CN"/>
        </w:rPr>
        <w:t xml:space="preserve"> </w:t>
      </w:r>
      <w:r w:rsidRPr="00E569A9">
        <w:rPr>
          <w:rFonts w:ascii="Book Antiqua" w:hAnsi="Book Antiqua"/>
        </w:rPr>
        <w:t xml:space="preserve">Celiac Disease Center at Columbia University, New York, NY 10032, </w:t>
      </w:r>
      <w:r>
        <w:rPr>
          <w:rFonts w:ascii="Book Antiqua" w:hAnsi="Book Antiqua"/>
        </w:rPr>
        <w:t>United States</w:t>
      </w:r>
    </w:p>
    <w:p w:rsidR="00225EB4" w:rsidRPr="00E569A9" w:rsidRDefault="00225EB4" w:rsidP="00FE70C5">
      <w:pPr>
        <w:spacing w:line="360" w:lineRule="auto"/>
        <w:jc w:val="both"/>
        <w:rPr>
          <w:rFonts w:ascii="Book Antiqua" w:hAnsi="Book Antiqua"/>
          <w:lang w:eastAsia="zh-CN"/>
        </w:rPr>
      </w:pPr>
    </w:p>
    <w:p w:rsidR="00225EB4" w:rsidRDefault="00225EB4" w:rsidP="00FE70C5">
      <w:pPr>
        <w:spacing w:line="360" w:lineRule="auto"/>
        <w:jc w:val="both"/>
        <w:rPr>
          <w:rFonts w:ascii="Book Antiqua" w:hAnsi="Book Antiqua"/>
          <w:lang w:eastAsia="zh-CN"/>
        </w:rPr>
      </w:pPr>
      <w:r w:rsidRPr="00E569A9">
        <w:rPr>
          <w:rFonts w:ascii="Book Antiqua" w:hAnsi="Book Antiqua"/>
          <w:b/>
        </w:rPr>
        <w:t xml:space="preserve">Peter H Green, </w:t>
      </w:r>
      <w:r w:rsidRPr="00E569A9">
        <w:rPr>
          <w:rFonts w:ascii="Book Antiqua" w:hAnsi="Book Antiqua"/>
        </w:rPr>
        <w:t>Department of Medicine</w:t>
      </w:r>
      <w:r w:rsidRPr="00E569A9">
        <w:rPr>
          <w:rFonts w:ascii="Book Antiqua" w:hAnsi="Book Antiqua"/>
          <w:lang w:eastAsia="zh-CN"/>
        </w:rPr>
        <w:t xml:space="preserve">, </w:t>
      </w:r>
      <w:r w:rsidRPr="00E569A9">
        <w:rPr>
          <w:rFonts w:ascii="Book Antiqua" w:hAnsi="Book Antiqua"/>
        </w:rPr>
        <w:t xml:space="preserve">Columbia University College of Physicians and Surgeons, New York, NY 10032, </w:t>
      </w:r>
      <w:r>
        <w:rPr>
          <w:rFonts w:ascii="Book Antiqua" w:hAnsi="Book Antiqua"/>
        </w:rPr>
        <w:t>United States</w:t>
      </w:r>
    </w:p>
    <w:p w:rsidR="00225EB4" w:rsidRPr="00E569A9" w:rsidRDefault="00225EB4" w:rsidP="00FE70C5">
      <w:pPr>
        <w:spacing w:line="360" w:lineRule="auto"/>
        <w:jc w:val="both"/>
        <w:rPr>
          <w:rFonts w:ascii="Book Antiqua" w:hAnsi="Book Antiqua"/>
          <w:lang w:eastAsia="zh-CN"/>
        </w:rPr>
      </w:pPr>
    </w:p>
    <w:p w:rsidR="00225EB4" w:rsidRPr="009B3D1A" w:rsidRDefault="00225EB4" w:rsidP="00FE70C5">
      <w:pPr>
        <w:spacing w:line="360" w:lineRule="auto"/>
        <w:jc w:val="both"/>
        <w:rPr>
          <w:rFonts w:ascii="Book Antiqua" w:hAnsi="Book Antiqua"/>
          <w:lang w:eastAsia="zh-CN"/>
        </w:rPr>
      </w:pPr>
      <w:r w:rsidRPr="00E569A9">
        <w:rPr>
          <w:rFonts w:ascii="Book Antiqua" w:hAnsi="Book Antiqua"/>
          <w:b/>
        </w:rPr>
        <w:t>Gehad ElGhazali,</w:t>
      </w:r>
      <w:r w:rsidRPr="00E569A9">
        <w:rPr>
          <w:rFonts w:ascii="Book Antiqua" w:hAnsi="Book Antiqua"/>
        </w:rPr>
        <w:t xml:space="preserve"> Mafraq Hospital and Sheikh Khalifa Medical City, Abu Dhabi</w:t>
      </w:r>
      <w:r>
        <w:rPr>
          <w:rFonts w:ascii="Book Antiqua" w:hAnsi="Book Antiqua"/>
          <w:lang w:eastAsia="zh-CN"/>
        </w:rPr>
        <w:t xml:space="preserve"> </w:t>
      </w:r>
      <w:r w:rsidRPr="00E569A9">
        <w:rPr>
          <w:rFonts w:ascii="Book Antiqua" w:hAnsi="Book Antiqua"/>
          <w:lang w:eastAsia="zh-CN"/>
        </w:rPr>
        <w:t>AE-AZ</w:t>
      </w:r>
      <w:r w:rsidRPr="00E569A9">
        <w:rPr>
          <w:rFonts w:ascii="Book Antiqua" w:hAnsi="Book Antiqua"/>
        </w:rPr>
        <w:t>, United Arab Emirates</w:t>
      </w:r>
    </w:p>
    <w:p w:rsidR="00225EB4" w:rsidRPr="009B3D1A" w:rsidRDefault="00225EB4" w:rsidP="00FE70C5">
      <w:pPr>
        <w:spacing w:line="360" w:lineRule="auto"/>
        <w:jc w:val="both"/>
        <w:rPr>
          <w:rFonts w:ascii="Book Antiqua" w:hAnsi="Book Antiqua"/>
          <w:lang w:eastAsia="zh-CN"/>
        </w:rPr>
      </w:pPr>
    </w:p>
    <w:p w:rsidR="00225EB4" w:rsidRPr="009B3D1A" w:rsidRDefault="00225EB4" w:rsidP="00FE70C5">
      <w:pPr>
        <w:spacing w:line="360" w:lineRule="auto"/>
        <w:jc w:val="both"/>
        <w:rPr>
          <w:rFonts w:ascii="Book Antiqua" w:hAnsi="Book Antiqua"/>
        </w:rPr>
      </w:pPr>
      <w:r w:rsidRPr="00223AA1">
        <w:rPr>
          <w:rFonts w:ascii="Book Antiqua" w:hAnsi="Book Antiqua"/>
          <w:b/>
          <w:lang w:eastAsia="zh-CN"/>
        </w:rPr>
        <w:t xml:space="preserve">Author contributions: </w:t>
      </w:r>
      <w:r w:rsidRPr="009B3D1A">
        <w:rPr>
          <w:rFonts w:ascii="Book Antiqua" w:hAnsi="Book Antiqua"/>
        </w:rPr>
        <w:t>Abu-Zeid YA designed the study, performed the statistical analyses, interpreted the data and wrote the manuscript</w:t>
      </w:r>
      <w:r>
        <w:rPr>
          <w:rFonts w:ascii="Book Antiqua" w:hAnsi="Book Antiqua"/>
        </w:rPr>
        <w:t>;</w:t>
      </w:r>
      <w:r w:rsidRPr="009B3D1A">
        <w:rPr>
          <w:rFonts w:ascii="Book Antiqua" w:hAnsi="Book Antiqua"/>
        </w:rPr>
        <w:t xml:space="preserve"> Jasem WS did the sampling, data collection and the laboratory analysis and contributed in data analysis and writing</w:t>
      </w:r>
      <w:r>
        <w:rPr>
          <w:rFonts w:ascii="Book Antiqua" w:hAnsi="Book Antiqua"/>
        </w:rPr>
        <w:t>;</w:t>
      </w:r>
      <w:r w:rsidRPr="009B3D1A">
        <w:rPr>
          <w:rFonts w:ascii="Book Antiqua" w:hAnsi="Book Antiqua"/>
        </w:rPr>
        <w:t xml:space="preserve"> Green PH critically revised the article and </w:t>
      </w:r>
      <w:r w:rsidRPr="009B3D1A">
        <w:rPr>
          <w:rFonts w:ascii="Book Antiqua" w:hAnsi="Book Antiqua"/>
        </w:rPr>
        <w:lastRenderedPageBreak/>
        <w:t>contributed in interpretation of data</w:t>
      </w:r>
      <w:r>
        <w:rPr>
          <w:rFonts w:ascii="Book Antiqua" w:hAnsi="Book Antiqua"/>
        </w:rPr>
        <w:t>;</w:t>
      </w:r>
      <w:r w:rsidRPr="009B3D1A">
        <w:rPr>
          <w:rFonts w:ascii="Book Antiqua" w:hAnsi="Book Antiqua"/>
        </w:rPr>
        <w:t xml:space="preserve"> Lebwohl B reviewed the article and critically evaluated the employed statistical methods</w:t>
      </w:r>
      <w:r>
        <w:rPr>
          <w:rFonts w:ascii="Book Antiqua" w:hAnsi="Book Antiqua"/>
        </w:rPr>
        <w:t>;</w:t>
      </w:r>
      <w:r w:rsidRPr="009B3D1A">
        <w:rPr>
          <w:rFonts w:ascii="Book Antiqua" w:hAnsi="Book Antiqua"/>
        </w:rPr>
        <w:t xml:space="preserve"> ElGhazali G contributed in the design and provided critical insights in the writing of the manuscript.</w:t>
      </w:r>
    </w:p>
    <w:p w:rsidR="00225EB4" w:rsidRDefault="00225EB4" w:rsidP="00FE70C5">
      <w:pPr>
        <w:spacing w:line="360" w:lineRule="auto"/>
        <w:jc w:val="both"/>
        <w:rPr>
          <w:rFonts w:ascii="Book Antiqua" w:hAnsi="Book Antiqua"/>
          <w:b/>
          <w:bCs/>
        </w:rPr>
      </w:pPr>
    </w:p>
    <w:p w:rsidR="00225EB4" w:rsidRPr="009B3D1A" w:rsidRDefault="00225EB4" w:rsidP="00FE70C5">
      <w:pPr>
        <w:spacing w:line="360" w:lineRule="auto"/>
        <w:jc w:val="both"/>
        <w:rPr>
          <w:rFonts w:ascii="Book Antiqua" w:hAnsi="Book Antiqua"/>
          <w:b/>
          <w:bCs/>
        </w:rPr>
      </w:pPr>
      <w:r>
        <w:rPr>
          <w:rFonts w:ascii="Book Antiqua" w:hAnsi="Book Antiqua"/>
          <w:b/>
          <w:bCs/>
        </w:rPr>
        <w:t xml:space="preserve">Supported by </w:t>
      </w:r>
      <w:r w:rsidRPr="009B3D1A">
        <w:rPr>
          <w:rFonts w:ascii="Book Antiqua" w:hAnsi="Book Antiqua"/>
        </w:rPr>
        <w:t>Research Affairs at the United Arab Emirates University, grant #03-04-2-11/08</w:t>
      </w:r>
    </w:p>
    <w:p w:rsidR="00225EB4" w:rsidRDefault="00225EB4" w:rsidP="00FE70C5">
      <w:pPr>
        <w:spacing w:line="360" w:lineRule="auto"/>
        <w:jc w:val="both"/>
        <w:rPr>
          <w:rFonts w:ascii="Book Antiqua" w:hAnsi="Book Antiqua"/>
          <w:b/>
          <w:bCs/>
        </w:rPr>
      </w:pPr>
    </w:p>
    <w:p w:rsidR="00225EB4" w:rsidRPr="009B3D1A" w:rsidRDefault="00225EB4" w:rsidP="00FE70C5">
      <w:pPr>
        <w:spacing w:line="360" w:lineRule="auto"/>
        <w:jc w:val="both"/>
        <w:rPr>
          <w:rFonts w:ascii="Book Antiqua" w:hAnsi="Book Antiqua"/>
          <w:lang w:eastAsia="zh-CN"/>
        </w:rPr>
      </w:pPr>
      <w:r w:rsidRPr="009B3D1A">
        <w:rPr>
          <w:rFonts w:ascii="Book Antiqua" w:hAnsi="Book Antiqua"/>
          <w:b/>
          <w:bCs/>
        </w:rPr>
        <w:t>Correspondence to:</w:t>
      </w:r>
      <w:r w:rsidRPr="009B3D1A">
        <w:rPr>
          <w:rFonts w:ascii="Book Antiqua" w:hAnsi="Book Antiqua"/>
        </w:rPr>
        <w:t xml:space="preserve"> </w:t>
      </w:r>
      <w:r w:rsidRPr="007C3714">
        <w:rPr>
          <w:rFonts w:ascii="Book Antiqua" w:hAnsi="Book Antiqua"/>
          <w:b/>
        </w:rPr>
        <w:t>Yousif Ali Abu-Zeid, Associate Professor</w:t>
      </w:r>
      <w:r w:rsidRPr="009B3D1A">
        <w:rPr>
          <w:rFonts w:ascii="Book Antiqua" w:hAnsi="Book Antiqua"/>
        </w:rPr>
        <w:t xml:space="preserve"> of Immunology, Department of Biology, College of Science, United Arab Emirates University, P O Box 15551 Al Ain, </w:t>
      </w:r>
      <w:r w:rsidRPr="00E569A9">
        <w:rPr>
          <w:rFonts w:ascii="Book Antiqua" w:hAnsi="Book Antiqua"/>
        </w:rPr>
        <w:t>Abu Dhabi</w:t>
      </w:r>
      <w:r>
        <w:rPr>
          <w:rFonts w:ascii="Book Antiqua" w:hAnsi="Book Antiqua"/>
          <w:lang w:eastAsia="zh-CN"/>
        </w:rPr>
        <w:t xml:space="preserve"> </w:t>
      </w:r>
      <w:r w:rsidRPr="00E569A9">
        <w:rPr>
          <w:rFonts w:ascii="Book Antiqua" w:hAnsi="Book Antiqua"/>
          <w:lang w:eastAsia="zh-CN"/>
        </w:rPr>
        <w:t>AE-AZ</w:t>
      </w:r>
      <w:r w:rsidRPr="00E569A9">
        <w:rPr>
          <w:rFonts w:ascii="Book Antiqua" w:hAnsi="Book Antiqua"/>
        </w:rPr>
        <w:t>, United Arab Emirates</w:t>
      </w:r>
      <w:r w:rsidRPr="009B3D1A">
        <w:rPr>
          <w:rFonts w:ascii="Book Antiqua" w:hAnsi="Book Antiqua"/>
        </w:rPr>
        <w:t xml:space="preserve">. </w:t>
      </w:r>
      <w:hyperlink r:id="rId8" w:history="1">
        <w:r w:rsidRPr="009B3D1A">
          <w:rPr>
            <w:rStyle w:val="a6"/>
            <w:rFonts w:ascii="Book Antiqua" w:hAnsi="Book Antiqua"/>
          </w:rPr>
          <w:t>youssefa@uaeu.ac.ae</w:t>
        </w:r>
      </w:hyperlink>
    </w:p>
    <w:p w:rsidR="00225EB4" w:rsidRPr="009B3D1A" w:rsidRDefault="00225EB4" w:rsidP="00FE70C5">
      <w:pPr>
        <w:spacing w:line="360" w:lineRule="auto"/>
        <w:jc w:val="both"/>
        <w:rPr>
          <w:rFonts w:ascii="Book Antiqua" w:hAnsi="Book Antiqua"/>
          <w:lang w:eastAsia="zh-CN"/>
        </w:rPr>
      </w:pPr>
    </w:p>
    <w:p w:rsidR="00225EB4" w:rsidRPr="009B3D1A" w:rsidRDefault="00225EB4" w:rsidP="00FE70C5">
      <w:pPr>
        <w:spacing w:line="360" w:lineRule="auto"/>
        <w:jc w:val="both"/>
        <w:rPr>
          <w:rFonts w:ascii="Book Antiqua" w:hAnsi="Book Antiqua"/>
        </w:rPr>
      </w:pPr>
      <w:r w:rsidRPr="002D17EE">
        <w:rPr>
          <w:rFonts w:ascii="Book Antiqua" w:hAnsi="Book Antiqua"/>
          <w:b/>
          <w:lang w:eastAsia="zh-CN"/>
        </w:rPr>
        <w:t>Telephone</w:t>
      </w:r>
      <w:r w:rsidRPr="002D17EE">
        <w:rPr>
          <w:rFonts w:ascii="Book Antiqua" w:hAnsi="Book Antiqua"/>
        </w:rPr>
        <w:t>:</w:t>
      </w:r>
      <w:r w:rsidRPr="009B3D1A">
        <w:rPr>
          <w:rFonts w:ascii="Book Antiqua" w:hAnsi="Book Antiqua"/>
        </w:rPr>
        <w:t xml:space="preserve"> +971-3-7136517</w:t>
      </w:r>
      <w:r w:rsidRPr="009B3D1A">
        <w:rPr>
          <w:rFonts w:ascii="Book Antiqua" w:hAnsi="Book Antiqua"/>
          <w:lang w:eastAsia="zh-CN"/>
        </w:rPr>
        <w:t xml:space="preserve">  </w:t>
      </w:r>
      <w:r w:rsidRPr="002D17EE">
        <w:rPr>
          <w:rFonts w:ascii="Book Antiqua" w:hAnsi="Book Antiqua"/>
          <w:b/>
        </w:rPr>
        <w:t>Fax</w:t>
      </w:r>
      <w:r w:rsidRPr="002D17EE">
        <w:rPr>
          <w:rFonts w:ascii="Book Antiqua" w:hAnsi="Book Antiqua"/>
        </w:rPr>
        <w:t>:</w:t>
      </w:r>
      <w:r w:rsidRPr="009B3D1A">
        <w:rPr>
          <w:rFonts w:ascii="Book Antiqua" w:hAnsi="Book Antiqua"/>
        </w:rPr>
        <w:t xml:space="preserve"> +971-3-7134927</w:t>
      </w:r>
    </w:p>
    <w:p w:rsidR="00225EB4" w:rsidRPr="009B3D1A" w:rsidRDefault="00225EB4" w:rsidP="00FE70C5">
      <w:pPr>
        <w:spacing w:line="360" w:lineRule="auto"/>
        <w:jc w:val="both"/>
        <w:rPr>
          <w:rFonts w:ascii="Book Antiqua" w:hAnsi="Book Antiqua"/>
        </w:rPr>
      </w:pPr>
    </w:p>
    <w:p w:rsidR="00225EB4" w:rsidRPr="009B3D1A" w:rsidRDefault="00225EB4" w:rsidP="00FE70C5">
      <w:pPr>
        <w:spacing w:line="360" w:lineRule="auto"/>
        <w:jc w:val="both"/>
        <w:rPr>
          <w:rFonts w:ascii="Book Antiqua" w:hAnsi="Book Antiqua"/>
          <w:color w:val="000000"/>
          <w:lang w:eastAsia="zh-CN"/>
        </w:rPr>
      </w:pPr>
      <w:bookmarkStart w:id="0" w:name="OLE_LINK4"/>
      <w:bookmarkStart w:id="1" w:name="OLE_LINK5"/>
      <w:bookmarkStart w:id="2" w:name="OLE_LINK12"/>
      <w:bookmarkStart w:id="3" w:name="OLE_LINK212"/>
      <w:r w:rsidRPr="009B3D1A">
        <w:rPr>
          <w:rFonts w:ascii="Book Antiqua" w:hAnsi="Book Antiqua"/>
          <w:b/>
          <w:color w:val="000000"/>
        </w:rPr>
        <w:t xml:space="preserve">Received: </w:t>
      </w:r>
      <w:r w:rsidRPr="009B3D1A">
        <w:rPr>
          <w:rFonts w:ascii="Book Antiqua" w:hAnsi="Book Antiqua"/>
          <w:color w:val="000000"/>
          <w:lang w:eastAsia="zh-CN"/>
        </w:rPr>
        <w:t>February 24</w:t>
      </w:r>
      <w:r w:rsidRPr="009B3D1A">
        <w:rPr>
          <w:rFonts w:ascii="Book Antiqua" w:hAnsi="Book Antiqua"/>
          <w:color w:val="000000"/>
        </w:rPr>
        <w:t>, 201</w:t>
      </w:r>
      <w:r w:rsidRPr="009B3D1A">
        <w:rPr>
          <w:rFonts w:ascii="Book Antiqua" w:hAnsi="Book Antiqua"/>
          <w:color w:val="000000"/>
          <w:lang w:eastAsia="zh-CN"/>
        </w:rPr>
        <w:t>4</w:t>
      </w:r>
      <w:r w:rsidRPr="009B3D1A">
        <w:rPr>
          <w:rFonts w:ascii="Book Antiqua" w:hAnsi="Book Antiqua"/>
          <w:color w:val="000000"/>
          <w:lang w:eastAsia="zh-CN"/>
        </w:rPr>
        <w:tab/>
      </w:r>
      <w:r w:rsidRPr="009B3D1A">
        <w:rPr>
          <w:rFonts w:ascii="Book Antiqua" w:hAnsi="Book Antiqua"/>
          <w:color w:val="000000"/>
          <w:lang w:eastAsia="zh-CN"/>
        </w:rPr>
        <w:tab/>
      </w:r>
      <w:r w:rsidRPr="009B3D1A">
        <w:rPr>
          <w:rFonts w:ascii="Book Antiqua" w:hAnsi="Book Antiqua"/>
          <w:b/>
          <w:color w:val="000000"/>
        </w:rPr>
        <w:t xml:space="preserve">Revised: </w:t>
      </w:r>
      <w:r w:rsidRPr="009B3D1A">
        <w:rPr>
          <w:rFonts w:ascii="Book Antiqua" w:hAnsi="Book Antiqua"/>
          <w:color w:val="000000"/>
          <w:lang w:eastAsia="zh-CN"/>
        </w:rPr>
        <w:t xml:space="preserve"> May </w:t>
      </w:r>
      <w:r>
        <w:rPr>
          <w:rFonts w:ascii="Book Antiqua" w:hAnsi="Book Antiqua"/>
          <w:color w:val="000000"/>
          <w:lang w:eastAsia="zh-CN"/>
        </w:rPr>
        <w:t>10</w:t>
      </w:r>
      <w:r w:rsidRPr="009B3D1A">
        <w:rPr>
          <w:rFonts w:ascii="Book Antiqua" w:hAnsi="Book Antiqua"/>
          <w:color w:val="000000"/>
          <w:lang w:eastAsia="zh-CN"/>
        </w:rPr>
        <w:t>, 2014</w:t>
      </w:r>
    </w:p>
    <w:p w:rsidR="00CE3757" w:rsidRPr="00556004" w:rsidRDefault="00225EB4" w:rsidP="00CE3757">
      <w:pPr>
        <w:rPr>
          <w:rFonts w:ascii="Book Antiqua" w:hAnsi="Book Antiqua"/>
        </w:rPr>
      </w:pPr>
      <w:r w:rsidRPr="009B3D1A">
        <w:rPr>
          <w:rFonts w:ascii="Book Antiqua" w:hAnsi="Book Antiqua"/>
          <w:b/>
          <w:color w:val="000000"/>
        </w:rPr>
        <w:t>Accepted:</w:t>
      </w:r>
      <w:r w:rsidR="00CE3757" w:rsidRPr="00CE3757">
        <w:rPr>
          <w:rFonts w:ascii="Book Antiqua" w:hAnsi="Book Antiqua"/>
        </w:rPr>
        <w:t xml:space="preserve"> </w:t>
      </w:r>
      <w:r w:rsidR="00CE3757" w:rsidRPr="00556004">
        <w:rPr>
          <w:rFonts w:ascii="Book Antiqua" w:hAnsi="Book Antiqua"/>
        </w:rPr>
        <w:t>May 25, 2014</w:t>
      </w:r>
    </w:p>
    <w:p w:rsidR="00225EB4" w:rsidRPr="009B3D1A" w:rsidRDefault="00225EB4" w:rsidP="00FE70C5">
      <w:pPr>
        <w:jc w:val="both"/>
        <w:rPr>
          <w:rFonts w:ascii="Book Antiqua" w:hAnsi="Book Antiqua"/>
        </w:rPr>
      </w:pPr>
      <w:bookmarkStart w:id="4" w:name="_GoBack"/>
      <w:bookmarkEnd w:id="4"/>
      <w:r w:rsidRPr="009B3D1A">
        <w:rPr>
          <w:rFonts w:ascii="Book Antiqua" w:hAnsi="Book Antiqua"/>
          <w:b/>
          <w:color w:val="000000"/>
        </w:rPr>
        <w:t xml:space="preserve"> </w:t>
      </w:r>
    </w:p>
    <w:p w:rsidR="00225EB4" w:rsidRPr="009B3D1A" w:rsidRDefault="00225EB4" w:rsidP="00FE70C5">
      <w:pPr>
        <w:spacing w:line="360" w:lineRule="auto"/>
        <w:jc w:val="both"/>
        <w:rPr>
          <w:rFonts w:ascii="Book Antiqua" w:hAnsi="Book Antiqua"/>
          <w:b/>
          <w:color w:val="000000"/>
        </w:rPr>
      </w:pPr>
    </w:p>
    <w:p w:rsidR="00225EB4" w:rsidRPr="009B3D1A" w:rsidRDefault="00225EB4" w:rsidP="00FE70C5">
      <w:pPr>
        <w:spacing w:line="360" w:lineRule="auto"/>
        <w:jc w:val="both"/>
        <w:rPr>
          <w:rFonts w:ascii="Book Antiqua" w:hAnsi="Book Antiqua"/>
          <w:b/>
          <w:color w:val="000000"/>
        </w:rPr>
      </w:pPr>
      <w:r w:rsidRPr="009B3D1A">
        <w:rPr>
          <w:rFonts w:ascii="Book Antiqua" w:hAnsi="Book Antiqua"/>
          <w:b/>
          <w:color w:val="000000"/>
        </w:rPr>
        <w:t xml:space="preserve">Published online: </w:t>
      </w:r>
      <w:bookmarkEnd w:id="0"/>
      <w:bookmarkEnd w:id="1"/>
      <w:bookmarkEnd w:id="2"/>
      <w:bookmarkEnd w:id="3"/>
    </w:p>
    <w:p w:rsidR="00225EB4" w:rsidRPr="009B3D1A" w:rsidRDefault="00225EB4" w:rsidP="00FE70C5">
      <w:pPr>
        <w:spacing w:line="360" w:lineRule="auto"/>
        <w:jc w:val="both"/>
        <w:rPr>
          <w:rFonts w:ascii="Book Antiqua" w:hAnsi="Book Antiqua"/>
        </w:rPr>
      </w:pPr>
    </w:p>
    <w:p w:rsidR="00225EB4" w:rsidRPr="009B3D1A" w:rsidRDefault="00225EB4" w:rsidP="00FE70C5">
      <w:pPr>
        <w:spacing w:line="360" w:lineRule="auto"/>
        <w:jc w:val="both"/>
        <w:rPr>
          <w:rFonts w:ascii="Book Antiqua" w:hAnsi="Book Antiqua"/>
        </w:rPr>
      </w:pPr>
    </w:p>
    <w:p w:rsidR="00225EB4" w:rsidRPr="009B3D1A" w:rsidRDefault="00225EB4" w:rsidP="00FE70C5">
      <w:pPr>
        <w:spacing w:line="360" w:lineRule="auto"/>
        <w:jc w:val="both"/>
        <w:rPr>
          <w:rFonts w:ascii="Book Antiqua" w:hAnsi="Book Antiqua"/>
        </w:rPr>
      </w:pPr>
    </w:p>
    <w:p w:rsidR="00225EB4" w:rsidRPr="009B3D1A" w:rsidRDefault="00225EB4" w:rsidP="00FE70C5">
      <w:pPr>
        <w:spacing w:line="360" w:lineRule="auto"/>
        <w:jc w:val="both"/>
        <w:rPr>
          <w:rFonts w:ascii="Book Antiqua" w:hAnsi="Book Antiqua"/>
        </w:rPr>
      </w:pPr>
    </w:p>
    <w:p w:rsidR="00225EB4" w:rsidRDefault="00225EB4" w:rsidP="00FE70C5">
      <w:pPr>
        <w:jc w:val="both"/>
        <w:rPr>
          <w:rFonts w:ascii="Book Antiqua" w:hAnsi="Book Antiqua"/>
          <w:b/>
          <w:bCs/>
        </w:rPr>
      </w:pPr>
      <w:r>
        <w:rPr>
          <w:rFonts w:ascii="Book Antiqua" w:hAnsi="Book Antiqua"/>
          <w:b/>
          <w:bCs/>
        </w:rPr>
        <w:br w:type="page"/>
      </w:r>
    </w:p>
    <w:p w:rsidR="00225EB4" w:rsidRPr="009B3D1A" w:rsidRDefault="00225EB4" w:rsidP="00FE70C5">
      <w:pPr>
        <w:spacing w:line="360" w:lineRule="auto"/>
        <w:jc w:val="both"/>
        <w:rPr>
          <w:rFonts w:ascii="Book Antiqua" w:hAnsi="Book Antiqua"/>
          <w:b/>
          <w:bCs/>
        </w:rPr>
      </w:pPr>
      <w:r w:rsidRPr="009B3D1A">
        <w:rPr>
          <w:rFonts w:ascii="Book Antiqua" w:hAnsi="Book Antiqua"/>
          <w:b/>
          <w:bCs/>
        </w:rPr>
        <w:t>Abstract:</w:t>
      </w:r>
    </w:p>
    <w:p w:rsidR="00225EB4" w:rsidRPr="009B3D1A" w:rsidRDefault="00225EB4" w:rsidP="00FE70C5">
      <w:pPr>
        <w:spacing w:line="360" w:lineRule="auto"/>
        <w:jc w:val="both"/>
        <w:rPr>
          <w:rFonts w:ascii="Book Antiqua" w:hAnsi="Book Antiqua"/>
          <w:b/>
        </w:rPr>
      </w:pPr>
      <w:r w:rsidRPr="009B3D1A">
        <w:rPr>
          <w:rFonts w:ascii="Book Antiqua" w:hAnsi="Book Antiqua"/>
          <w:b/>
        </w:rPr>
        <w:t>AIM:</w:t>
      </w:r>
      <w:r w:rsidRPr="009B3D1A">
        <w:rPr>
          <w:rFonts w:ascii="Book Antiqua" w:hAnsi="Book Antiqua"/>
        </w:rPr>
        <w:t xml:space="preserve"> To determine the celiac disease (CD) prevalence and associated manifestations or risk factors in healthy adult Emiratis.</w:t>
      </w:r>
    </w:p>
    <w:p w:rsidR="00225EB4" w:rsidRDefault="00225EB4" w:rsidP="00FE70C5">
      <w:pPr>
        <w:spacing w:line="360" w:lineRule="auto"/>
        <w:jc w:val="both"/>
        <w:rPr>
          <w:rFonts w:ascii="Book Antiqua" w:hAnsi="Book Antiqua"/>
          <w:b/>
        </w:rPr>
      </w:pPr>
    </w:p>
    <w:p w:rsidR="00225EB4" w:rsidRPr="009B3D1A" w:rsidRDefault="00225EB4" w:rsidP="00FE70C5">
      <w:pPr>
        <w:spacing w:line="360" w:lineRule="auto"/>
        <w:jc w:val="both"/>
        <w:rPr>
          <w:rFonts w:ascii="Book Antiqua" w:hAnsi="Book Antiqua"/>
        </w:rPr>
      </w:pPr>
      <w:r w:rsidRPr="009B3D1A">
        <w:rPr>
          <w:rFonts w:ascii="Book Antiqua" w:hAnsi="Book Antiqua"/>
          <w:b/>
        </w:rPr>
        <w:t>METHODS</w:t>
      </w:r>
      <w:r>
        <w:rPr>
          <w:rFonts w:ascii="Book Antiqua" w:hAnsi="Book Antiqua"/>
          <w:lang w:eastAsia="zh-CN"/>
        </w:rPr>
        <w:t xml:space="preserve">: </w:t>
      </w:r>
      <w:r w:rsidRPr="009B3D1A">
        <w:rPr>
          <w:rFonts w:ascii="Book Antiqua" w:hAnsi="Book Antiqua"/>
        </w:rPr>
        <w:t>It is a cross-sectional prospective study, recruiting 1197 (573 women and 624 men) of healthy Emiratis between September 2007 and April 2008 among those who went to Al Ain Hospital to undertake the prenuptial examination. Test for anti-tissue transglutaminase (tTG) IgA antibodies was used for CD diagnosis. Any subject positive in the anti tTG antibodies assay, was also tested for anti-endomysial (EMA) IgA antibodies. A structured interview was used to collect basic demographic and clinical recall data including: information on name,</w:t>
      </w:r>
      <w:r w:rsidRPr="009B3D1A" w:rsidDel="00962DFE">
        <w:rPr>
          <w:rFonts w:ascii="Book Antiqua" w:hAnsi="Book Antiqua"/>
        </w:rPr>
        <w:t xml:space="preserve"> </w:t>
      </w:r>
      <w:r w:rsidRPr="009B3D1A">
        <w:rPr>
          <w:rFonts w:ascii="Book Antiqua" w:hAnsi="Book Antiqua"/>
        </w:rPr>
        <w:t>contact address, age, gender, education status, previously diagnosed as celiac disease patient, diagnosis of celiac disease in 1</w:t>
      </w:r>
      <w:r w:rsidRPr="007E470C">
        <w:rPr>
          <w:rFonts w:ascii="Book Antiqua" w:hAnsi="Book Antiqua"/>
          <w:vertAlign w:val="superscript"/>
        </w:rPr>
        <w:t>st</w:t>
      </w:r>
      <w:r w:rsidRPr="009B3D1A">
        <w:rPr>
          <w:rFonts w:ascii="Book Antiqua" w:hAnsi="Book Antiqua"/>
        </w:rPr>
        <w:t xml:space="preserve"> degree relatives and history of “chronic diarrhea, anemia, headache, hepatitis, diabetes, tumor, and thyroid disorder”. </w:t>
      </w:r>
    </w:p>
    <w:p w:rsidR="00225EB4" w:rsidRDefault="00225EB4" w:rsidP="00FE70C5">
      <w:pPr>
        <w:spacing w:line="360" w:lineRule="auto"/>
        <w:jc w:val="both"/>
        <w:rPr>
          <w:rFonts w:ascii="Book Antiqua" w:hAnsi="Book Antiqua"/>
          <w:b/>
        </w:rPr>
      </w:pPr>
    </w:p>
    <w:p w:rsidR="00225EB4" w:rsidRPr="009B3D1A" w:rsidRDefault="00225EB4" w:rsidP="00FE70C5">
      <w:pPr>
        <w:spacing w:line="360" w:lineRule="auto"/>
        <w:jc w:val="both"/>
        <w:rPr>
          <w:rFonts w:ascii="Book Antiqua" w:hAnsi="Book Antiqua"/>
        </w:rPr>
      </w:pPr>
      <w:r w:rsidRPr="009B3D1A">
        <w:rPr>
          <w:rFonts w:ascii="Book Antiqua" w:hAnsi="Book Antiqua"/>
          <w:b/>
        </w:rPr>
        <w:t>RESULTS</w:t>
      </w:r>
      <w:r w:rsidRPr="009B3D1A">
        <w:rPr>
          <w:rFonts w:ascii="Book Antiqua" w:hAnsi="Book Antiqua"/>
        </w:rPr>
        <w:t>: Fourteen blood samples (1.17%; 14/1197) were seropositive for celiac disease.</w:t>
      </w:r>
      <w:r>
        <w:rPr>
          <w:rFonts w:ascii="Book Antiqua" w:hAnsi="Book Antiqua"/>
          <w:lang w:eastAsia="zh-CN"/>
        </w:rPr>
        <w:t xml:space="preserve"> </w:t>
      </w:r>
      <w:r w:rsidRPr="009B3D1A">
        <w:rPr>
          <w:rFonts w:ascii="Book Antiqua" w:hAnsi="Book Antiqua"/>
        </w:rPr>
        <w:t>The 14 latent CD seropositive patients were 13 women and 1 man and therefore the seroprevalence of celiac disease was 1:86 (14/1197) for adult Emiratis: 1:44 (13/573) for women and 1:624 for men.</w:t>
      </w:r>
      <w:r>
        <w:rPr>
          <w:rFonts w:ascii="Book Antiqua" w:hAnsi="Book Antiqua"/>
          <w:lang w:eastAsia="zh-CN"/>
        </w:rPr>
        <w:t xml:space="preserve"> </w:t>
      </w:r>
      <w:r w:rsidRPr="009B3D1A">
        <w:rPr>
          <w:rFonts w:ascii="Book Antiqua" w:hAnsi="Book Antiqua"/>
        </w:rPr>
        <w:t xml:space="preserve"> Binary logistic regression revealed that history of chronic anemia </w:t>
      </w:r>
      <w:r>
        <w:rPr>
          <w:rFonts w:ascii="Book Antiqua" w:hAnsi="Book Antiqua"/>
          <w:lang w:eastAsia="zh-CN"/>
        </w:rPr>
        <w:t>(</w:t>
      </w:r>
      <w:r w:rsidRPr="009B3D1A">
        <w:rPr>
          <w:rFonts w:ascii="Book Antiqua" w:hAnsi="Book Antiqua"/>
        </w:rPr>
        <w:t>crude OR = 7.09; 95%CI</w:t>
      </w:r>
      <w:r>
        <w:rPr>
          <w:rFonts w:ascii="Book Antiqua" w:hAnsi="Book Antiqua"/>
          <w:lang w:eastAsia="zh-CN"/>
        </w:rPr>
        <w:t xml:space="preserve">: </w:t>
      </w:r>
      <w:r w:rsidRPr="009B3D1A">
        <w:rPr>
          <w:rFonts w:ascii="Book Antiqua" w:hAnsi="Book Antiqua"/>
        </w:rPr>
        <w:t xml:space="preserve">2.32-21.61; </w:t>
      </w:r>
      <w:r w:rsidRPr="009B3D1A">
        <w:rPr>
          <w:rFonts w:ascii="Book Antiqua" w:hAnsi="Book Antiqua"/>
          <w:i/>
          <w:iCs/>
        </w:rPr>
        <w:t>P</w:t>
      </w:r>
      <w:r w:rsidRPr="009B3D1A">
        <w:rPr>
          <w:rFonts w:ascii="Book Antiqua" w:hAnsi="Book Antiqua"/>
        </w:rPr>
        <w:t xml:space="preserve"> = 0.003</w:t>
      </w:r>
      <w:r>
        <w:rPr>
          <w:rFonts w:ascii="Book Antiqua" w:hAnsi="Book Antiqua"/>
          <w:lang w:eastAsia="zh-CN"/>
        </w:rPr>
        <w:t>)</w:t>
      </w:r>
      <w:r w:rsidRPr="009B3D1A">
        <w:rPr>
          <w:rFonts w:ascii="Book Antiqua" w:hAnsi="Book Antiqua"/>
        </w:rPr>
        <w:t xml:space="preserve"> and being a woman [OR =</w:t>
      </w:r>
      <w:r>
        <w:rPr>
          <w:rFonts w:ascii="Book Antiqua" w:hAnsi="Book Antiqua"/>
          <w:lang w:eastAsia="zh-CN"/>
        </w:rPr>
        <w:t xml:space="preserve"> </w:t>
      </w:r>
      <w:r w:rsidRPr="009B3D1A">
        <w:rPr>
          <w:rFonts w:ascii="Book Antiqua" w:hAnsi="Book Antiqua"/>
        </w:rPr>
        <w:t>14.46</w:t>
      </w:r>
      <w:r>
        <w:rPr>
          <w:rFonts w:ascii="Book Antiqua" w:hAnsi="Book Antiqua"/>
          <w:lang w:eastAsia="zh-CN"/>
        </w:rPr>
        <w:t xml:space="preserve">; 95%CI: </w:t>
      </w:r>
      <w:r w:rsidRPr="009B3D1A">
        <w:rPr>
          <w:rFonts w:ascii="Book Antiqua" w:hAnsi="Book Antiqua"/>
        </w:rPr>
        <w:t>1.89-110.91</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w:t>
      </w:r>
      <w:r>
        <w:rPr>
          <w:rFonts w:ascii="Book Antiqua" w:hAnsi="Book Antiqua"/>
          <w:lang w:eastAsia="zh-CN"/>
        </w:rPr>
        <w:t xml:space="preserve"> </w:t>
      </w:r>
      <w:r w:rsidRPr="009B3D1A">
        <w:rPr>
          <w:rFonts w:ascii="Book Antiqua" w:hAnsi="Book Antiqua"/>
        </w:rPr>
        <w:t>0.001] were associated with CD seropositivity. Whereas, the thyroid disorder showed a positive association with celiac disease seropositivity that approach statistical significance [OR =</w:t>
      </w:r>
      <w:r>
        <w:rPr>
          <w:rFonts w:ascii="Book Antiqua" w:hAnsi="Book Antiqua"/>
          <w:lang w:eastAsia="zh-CN"/>
        </w:rPr>
        <w:t xml:space="preserve"> </w:t>
      </w:r>
      <w:r w:rsidRPr="009B3D1A">
        <w:rPr>
          <w:rFonts w:ascii="Book Antiqua" w:hAnsi="Book Antiqua"/>
        </w:rPr>
        <w:t>11.30</w:t>
      </w:r>
      <w:r>
        <w:rPr>
          <w:rFonts w:ascii="Book Antiqua" w:hAnsi="Book Antiqua"/>
          <w:lang w:eastAsia="zh-CN"/>
        </w:rPr>
        <w:t xml:space="preserve">; 95%CI: </w:t>
      </w:r>
      <w:r w:rsidRPr="009B3D1A">
        <w:rPr>
          <w:rFonts w:ascii="Book Antiqua" w:hAnsi="Book Antiqua"/>
        </w:rPr>
        <w:t>1.32-96.95</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 0.09] and therefore was included in the multiple logistic regression analysis, which showed that CD seropositivity is independently associated only with history of chronic anemia [OR =</w:t>
      </w:r>
      <w:r>
        <w:rPr>
          <w:rFonts w:ascii="Book Antiqua" w:hAnsi="Book Antiqua"/>
          <w:lang w:eastAsia="zh-CN"/>
        </w:rPr>
        <w:t xml:space="preserve"> </w:t>
      </w:r>
      <w:r w:rsidRPr="009B3D1A">
        <w:rPr>
          <w:rFonts w:ascii="Book Antiqua" w:hAnsi="Book Antiqua"/>
        </w:rPr>
        <w:t>4.58</w:t>
      </w:r>
      <w:r>
        <w:rPr>
          <w:rFonts w:ascii="Book Antiqua" w:hAnsi="Book Antiqua"/>
          <w:lang w:eastAsia="zh-CN"/>
        </w:rPr>
        <w:t>;</w:t>
      </w:r>
      <w:r w:rsidRPr="00BF6BE1">
        <w:rPr>
          <w:rFonts w:ascii="Book Antiqua" w:hAnsi="Book Antiqua"/>
          <w:lang w:eastAsia="zh-CN"/>
        </w:rPr>
        <w:t xml:space="preserve"> </w:t>
      </w:r>
      <w:r>
        <w:rPr>
          <w:rFonts w:ascii="Book Antiqua" w:hAnsi="Book Antiqua"/>
          <w:lang w:eastAsia="zh-CN"/>
        </w:rPr>
        <w:t xml:space="preserve">95%CI: </w:t>
      </w:r>
      <w:r w:rsidRPr="009B3D1A">
        <w:rPr>
          <w:rFonts w:ascii="Book Antiqua" w:hAnsi="Book Antiqua"/>
        </w:rPr>
        <w:t>1.45</w:t>
      </w:r>
      <w:r>
        <w:rPr>
          <w:rFonts w:ascii="Book Antiqua" w:hAnsi="Book Antiqua"/>
          <w:lang w:eastAsia="zh-CN"/>
        </w:rPr>
        <w:t>-</w:t>
      </w:r>
      <w:r w:rsidRPr="009B3D1A">
        <w:rPr>
          <w:rFonts w:ascii="Book Antiqua" w:hAnsi="Book Antiqua"/>
        </w:rPr>
        <w:t>14.48</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 0.01] and being a woman person [OR =</w:t>
      </w:r>
      <w:r>
        <w:rPr>
          <w:rFonts w:ascii="Book Antiqua" w:hAnsi="Book Antiqua"/>
          <w:lang w:eastAsia="zh-CN"/>
        </w:rPr>
        <w:t xml:space="preserve"> </w:t>
      </w:r>
      <w:r w:rsidRPr="009B3D1A">
        <w:rPr>
          <w:rFonts w:ascii="Book Antiqua" w:hAnsi="Book Antiqua"/>
        </w:rPr>
        <w:t>10.47</w:t>
      </w:r>
      <w:r>
        <w:rPr>
          <w:rFonts w:ascii="Book Antiqua" w:hAnsi="Book Antiqua"/>
          <w:lang w:eastAsia="zh-CN"/>
        </w:rPr>
        <w:t>;</w:t>
      </w:r>
      <w:r w:rsidRPr="00BF6BE1">
        <w:rPr>
          <w:rFonts w:ascii="Book Antiqua" w:hAnsi="Book Antiqua"/>
          <w:lang w:eastAsia="zh-CN"/>
        </w:rPr>
        <w:t xml:space="preserve"> </w:t>
      </w:r>
      <w:r>
        <w:rPr>
          <w:rFonts w:ascii="Book Antiqua" w:hAnsi="Book Antiqua"/>
          <w:lang w:eastAsia="zh-CN"/>
        </w:rPr>
        <w:t xml:space="preserve">95%CI: </w:t>
      </w:r>
      <w:r w:rsidRPr="009B3D1A">
        <w:rPr>
          <w:rFonts w:ascii="Book Antiqua" w:hAnsi="Book Antiqua"/>
        </w:rPr>
        <w:t>1.33</w:t>
      </w:r>
      <w:r>
        <w:rPr>
          <w:rFonts w:ascii="Book Antiqua" w:hAnsi="Book Antiqua"/>
          <w:lang w:eastAsia="zh-CN"/>
        </w:rPr>
        <w:t>-</w:t>
      </w:r>
      <w:r w:rsidRPr="009B3D1A">
        <w:rPr>
          <w:rFonts w:ascii="Book Antiqua" w:hAnsi="Book Antiqua"/>
        </w:rPr>
        <w:t>82.14</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 0.026].</w:t>
      </w:r>
    </w:p>
    <w:p w:rsidR="00225EB4" w:rsidRDefault="00225EB4" w:rsidP="00FE70C5">
      <w:pPr>
        <w:spacing w:line="360" w:lineRule="auto"/>
        <w:jc w:val="both"/>
        <w:rPr>
          <w:rFonts w:ascii="Book Antiqua" w:hAnsi="Book Antiqua"/>
          <w:lang w:eastAsia="zh-CN"/>
        </w:rPr>
      </w:pPr>
      <w:r w:rsidRPr="009B3D1A">
        <w:rPr>
          <w:rFonts w:ascii="Book Antiqua" w:hAnsi="Book Antiqua"/>
          <w:b/>
        </w:rPr>
        <w:lastRenderedPageBreak/>
        <w:t>CONCLUSION</w:t>
      </w:r>
      <w:r w:rsidRPr="009B3D1A">
        <w:rPr>
          <w:rFonts w:ascii="Book Antiqua" w:hAnsi="Book Antiqua"/>
        </w:rPr>
        <w:t>: Compared to men the CD seroprevalence among women was remarkably higher. The CD association with women and chronic anemia is of importance from a public health perspective.</w:t>
      </w:r>
    </w:p>
    <w:p w:rsidR="00225EB4" w:rsidRDefault="00225EB4" w:rsidP="00FE70C5">
      <w:pPr>
        <w:spacing w:line="360" w:lineRule="auto"/>
        <w:jc w:val="both"/>
        <w:rPr>
          <w:rFonts w:ascii="Book Antiqua" w:hAnsi="Book Antiqua"/>
          <w:lang w:eastAsia="zh-CN"/>
        </w:rPr>
      </w:pPr>
    </w:p>
    <w:p w:rsidR="00225EB4" w:rsidRDefault="00225EB4" w:rsidP="00FE70C5">
      <w:pPr>
        <w:spacing w:line="360" w:lineRule="auto"/>
        <w:jc w:val="both"/>
        <w:rPr>
          <w:rFonts w:ascii="Book Antiqua" w:hAnsi="Book Antiqua"/>
          <w:lang w:eastAsia="zh-CN"/>
        </w:rPr>
      </w:pPr>
      <w:r w:rsidRPr="00E24548">
        <w:rPr>
          <w:rFonts w:ascii="Book Antiqua" w:hAnsi="Book Antiqua"/>
        </w:rPr>
        <w:t xml:space="preserve">© 2014 Baishideng Publishing Group </w:t>
      </w:r>
      <w:r>
        <w:rPr>
          <w:rFonts w:ascii="Book Antiqua" w:hAnsi="Book Antiqua"/>
        </w:rPr>
        <w:t>Inc</w:t>
      </w:r>
      <w:r w:rsidRPr="00E24548">
        <w:rPr>
          <w:rFonts w:ascii="Book Antiqua" w:hAnsi="Book Antiqua"/>
        </w:rPr>
        <w:t>. All rights reserved.</w:t>
      </w:r>
    </w:p>
    <w:p w:rsidR="00225EB4" w:rsidRPr="009B3D1A" w:rsidRDefault="00225EB4" w:rsidP="00FE70C5">
      <w:pPr>
        <w:spacing w:line="360" w:lineRule="auto"/>
        <w:jc w:val="both"/>
        <w:rPr>
          <w:rFonts w:ascii="Book Antiqua" w:hAnsi="Book Antiqua"/>
          <w:lang w:eastAsia="zh-CN"/>
        </w:rPr>
      </w:pPr>
    </w:p>
    <w:p w:rsidR="00225EB4" w:rsidRDefault="00225EB4" w:rsidP="00FE70C5">
      <w:pPr>
        <w:spacing w:line="360" w:lineRule="auto"/>
        <w:jc w:val="both"/>
        <w:rPr>
          <w:rFonts w:ascii="Book Antiqua" w:hAnsi="Book Antiqua"/>
          <w:lang w:eastAsia="zh-CN"/>
        </w:rPr>
      </w:pPr>
      <w:r w:rsidRPr="009B3D1A">
        <w:rPr>
          <w:rFonts w:ascii="Book Antiqua" w:hAnsi="Book Antiqua"/>
          <w:b/>
          <w:bCs/>
        </w:rPr>
        <w:t>Key</w:t>
      </w:r>
      <w:r>
        <w:rPr>
          <w:rFonts w:ascii="Book Antiqua" w:hAnsi="Book Antiqua"/>
          <w:b/>
          <w:bCs/>
          <w:lang w:eastAsia="zh-CN"/>
        </w:rPr>
        <w:t xml:space="preserve"> </w:t>
      </w:r>
      <w:r w:rsidRPr="009B3D1A">
        <w:rPr>
          <w:rFonts w:ascii="Book Antiqua" w:hAnsi="Book Antiqua"/>
          <w:b/>
          <w:bCs/>
        </w:rPr>
        <w:t xml:space="preserve">words: </w:t>
      </w:r>
      <w:r w:rsidRPr="009B3D1A">
        <w:rPr>
          <w:rFonts w:ascii="Book Antiqua" w:hAnsi="Book Antiqua"/>
        </w:rPr>
        <w:t>Celiac disease</w:t>
      </w:r>
      <w:r>
        <w:rPr>
          <w:rFonts w:ascii="Book Antiqua" w:hAnsi="Book Antiqua"/>
          <w:lang w:eastAsia="zh-CN"/>
        </w:rPr>
        <w:t>;</w:t>
      </w:r>
      <w:r w:rsidRPr="009B3D1A">
        <w:rPr>
          <w:rFonts w:ascii="Book Antiqua" w:hAnsi="Book Antiqua"/>
        </w:rPr>
        <w:t xml:space="preserve"> </w:t>
      </w:r>
      <w:r>
        <w:rPr>
          <w:rFonts w:ascii="Book Antiqua" w:hAnsi="Book Antiqua"/>
          <w:lang w:eastAsia="zh-CN"/>
        </w:rPr>
        <w:t>E</w:t>
      </w:r>
      <w:r w:rsidRPr="009B3D1A">
        <w:rPr>
          <w:rFonts w:ascii="Book Antiqua" w:hAnsi="Book Antiqua"/>
        </w:rPr>
        <w:t>pidemiology</w:t>
      </w:r>
      <w:r>
        <w:rPr>
          <w:rFonts w:ascii="Book Antiqua" w:hAnsi="Book Antiqua"/>
          <w:lang w:eastAsia="zh-CN"/>
        </w:rPr>
        <w:t>;</w:t>
      </w:r>
      <w:r w:rsidRPr="009B3D1A">
        <w:rPr>
          <w:rFonts w:ascii="Book Antiqua" w:hAnsi="Book Antiqua"/>
        </w:rPr>
        <w:t xml:space="preserve"> </w:t>
      </w:r>
      <w:r>
        <w:rPr>
          <w:rFonts w:ascii="Book Antiqua" w:hAnsi="Book Antiqua"/>
          <w:lang w:eastAsia="zh-CN"/>
        </w:rPr>
        <w:t>S</w:t>
      </w:r>
      <w:r w:rsidRPr="009B3D1A">
        <w:rPr>
          <w:rFonts w:ascii="Book Antiqua" w:hAnsi="Book Antiqua"/>
        </w:rPr>
        <w:t>erology</w:t>
      </w:r>
      <w:r>
        <w:rPr>
          <w:rFonts w:ascii="Book Antiqua" w:hAnsi="Book Antiqua"/>
          <w:lang w:eastAsia="zh-CN"/>
        </w:rPr>
        <w:t>;</w:t>
      </w:r>
      <w:r w:rsidRPr="009B3D1A">
        <w:rPr>
          <w:rFonts w:ascii="Book Antiqua" w:hAnsi="Book Antiqua"/>
        </w:rPr>
        <w:t xml:space="preserve"> </w:t>
      </w:r>
      <w:r>
        <w:rPr>
          <w:rFonts w:ascii="Book Antiqua" w:hAnsi="Book Antiqua"/>
          <w:lang w:eastAsia="zh-CN"/>
        </w:rPr>
        <w:t>P</w:t>
      </w:r>
      <w:r w:rsidRPr="009B3D1A">
        <w:rPr>
          <w:rFonts w:ascii="Book Antiqua" w:hAnsi="Book Antiqua"/>
        </w:rPr>
        <w:t>revalence</w:t>
      </w:r>
      <w:r>
        <w:rPr>
          <w:rFonts w:ascii="Book Antiqua" w:hAnsi="Book Antiqua"/>
          <w:lang w:eastAsia="zh-CN"/>
        </w:rPr>
        <w:t>;</w:t>
      </w:r>
      <w:r w:rsidRPr="009B3D1A">
        <w:rPr>
          <w:rFonts w:ascii="Book Antiqua" w:hAnsi="Book Antiqua"/>
        </w:rPr>
        <w:t xml:space="preserve"> </w:t>
      </w:r>
      <w:r>
        <w:rPr>
          <w:rFonts w:ascii="Book Antiqua" w:hAnsi="Book Antiqua"/>
          <w:lang w:eastAsia="zh-CN"/>
        </w:rPr>
        <w:t>G</w:t>
      </w:r>
      <w:r w:rsidRPr="009B3D1A">
        <w:rPr>
          <w:rFonts w:ascii="Book Antiqua" w:hAnsi="Book Antiqua"/>
        </w:rPr>
        <w:t>ender</w:t>
      </w:r>
      <w:r>
        <w:rPr>
          <w:rFonts w:ascii="Book Antiqua" w:hAnsi="Book Antiqua"/>
          <w:lang w:eastAsia="zh-CN"/>
        </w:rPr>
        <w:t>;</w:t>
      </w:r>
      <w:r w:rsidRPr="009B3D1A">
        <w:rPr>
          <w:rFonts w:ascii="Book Antiqua" w:hAnsi="Book Antiqua"/>
        </w:rPr>
        <w:t xml:space="preserve"> United Arab Emirates</w:t>
      </w:r>
    </w:p>
    <w:p w:rsidR="00225EB4" w:rsidRPr="009B3D1A" w:rsidRDefault="00225EB4" w:rsidP="00FE70C5">
      <w:pPr>
        <w:spacing w:line="360" w:lineRule="auto"/>
        <w:jc w:val="both"/>
        <w:rPr>
          <w:rFonts w:ascii="Book Antiqua" w:hAnsi="Book Antiqua"/>
          <w:b/>
          <w:bCs/>
          <w:lang w:eastAsia="zh-CN"/>
        </w:rPr>
      </w:pPr>
    </w:p>
    <w:p w:rsidR="00225EB4" w:rsidRPr="009B3D1A" w:rsidRDefault="00225EB4" w:rsidP="00FE70C5">
      <w:pPr>
        <w:spacing w:line="360" w:lineRule="auto"/>
        <w:jc w:val="both"/>
        <w:rPr>
          <w:rFonts w:ascii="Book Antiqua" w:hAnsi="Book Antiqua" w:cs="MonotypeCorsiva"/>
        </w:rPr>
      </w:pPr>
      <w:r w:rsidRPr="009B3D1A">
        <w:rPr>
          <w:rFonts w:ascii="Book Antiqua" w:hAnsi="Book Antiqua"/>
          <w:b/>
        </w:rPr>
        <w:t xml:space="preserve">Core tip:  </w:t>
      </w:r>
      <w:r w:rsidRPr="009B3D1A">
        <w:rPr>
          <w:rFonts w:ascii="Book Antiqua" w:hAnsi="Book Antiqua" w:cs="MonotypeCorsiva"/>
        </w:rPr>
        <w:t xml:space="preserve">Celiac disease (CD) prevalence is unknown in </w:t>
      </w:r>
      <w:r w:rsidRPr="00E569A9">
        <w:rPr>
          <w:rFonts w:ascii="Book Antiqua" w:hAnsi="Book Antiqua"/>
        </w:rPr>
        <w:t>United Arab Emirates</w:t>
      </w:r>
      <w:r w:rsidRPr="009B3D1A">
        <w:rPr>
          <w:rFonts w:ascii="Book Antiqua" w:hAnsi="Book Antiqua" w:cs="MonotypeCorsiva"/>
        </w:rPr>
        <w:t>. Screening for CD among adult Emiratis from Al Ain city was done by anti TtG antibodies and anti-endomysial antibodies (EMA) confirmed those positive. A structured interview used to collect demographic data and clinical history. Eleven hundred ninety seven were included in the study; the seroprevalence was 1:86 for all adults; 1:44 for women; 1: 624 for men. Chronic anemia and being a woman independently associated significantly with CD seropositivity. To our knowledge, this is the first study on CD prevalence among Emiratis; reporting the highest gender difference in celiac disease seroprevalence worldwide.</w:t>
      </w:r>
    </w:p>
    <w:p w:rsidR="00225EB4" w:rsidRDefault="00225EB4" w:rsidP="00FE70C5">
      <w:pPr>
        <w:jc w:val="both"/>
        <w:rPr>
          <w:rFonts w:ascii="Book Antiqua" w:hAnsi="Book Antiqua"/>
          <w:b/>
          <w:lang w:eastAsia="zh-CN"/>
        </w:rPr>
      </w:pPr>
    </w:p>
    <w:p w:rsidR="00225EB4" w:rsidRPr="00E24548" w:rsidRDefault="00225EB4" w:rsidP="002F506A">
      <w:pPr>
        <w:spacing w:line="360" w:lineRule="auto"/>
        <w:jc w:val="both"/>
        <w:rPr>
          <w:rFonts w:ascii="Book Antiqua" w:hAnsi="Book Antiqua"/>
          <w:lang w:eastAsia="zh-CN"/>
        </w:rPr>
      </w:pPr>
      <w:r w:rsidRPr="009B3D1A">
        <w:rPr>
          <w:rFonts w:ascii="Book Antiqua" w:hAnsi="Book Antiqua"/>
        </w:rPr>
        <w:t>Abu-Zeid</w:t>
      </w:r>
      <w:r w:rsidRPr="009B3D1A">
        <w:rPr>
          <w:rFonts w:ascii="Book Antiqua" w:hAnsi="Book Antiqua"/>
          <w:lang w:eastAsia="zh-CN"/>
        </w:rPr>
        <w:t xml:space="preserve"> YA</w:t>
      </w:r>
      <w:r w:rsidRPr="009B3D1A">
        <w:rPr>
          <w:rFonts w:ascii="Book Antiqua" w:hAnsi="Book Antiqua"/>
        </w:rPr>
        <w:t>,</w:t>
      </w:r>
      <w:r w:rsidRPr="009B3D1A">
        <w:rPr>
          <w:rFonts w:ascii="Book Antiqua" w:hAnsi="Book Antiqua"/>
          <w:lang w:eastAsia="zh-CN"/>
        </w:rPr>
        <w:t xml:space="preserve"> </w:t>
      </w:r>
      <w:r w:rsidRPr="009B3D1A">
        <w:rPr>
          <w:rFonts w:ascii="Book Antiqua" w:hAnsi="Book Antiqua"/>
        </w:rPr>
        <w:t>Jasem</w:t>
      </w:r>
      <w:r w:rsidRPr="009B3D1A">
        <w:rPr>
          <w:rFonts w:ascii="Book Antiqua" w:hAnsi="Book Antiqua"/>
          <w:lang w:eastAsia="zh-CN"/>
        </w:rPr>
        <w:t xml:space="preserve"> WS</w:t>
      </w:r>
      <w:r w:rsidRPr="009B3D1A">
        <w:rPr>
          <w:rFonts w:ascii="Book Antiqua" w:hAnsi="Book Antiqua"/>
        </w:rPr>
        <w:t>,</w:t>
      </w:r>
      <w:r w:rsidRPr="009B3D1A">
        <w:rPr>
          <w:rFonts w:ascii="Book Antiqua" w:hAnsi="Book Antiqua"/>
          <w:lang w:eastAsia="zh-CN"/>
        </w:rPr>
        <w:t xml:space="preserve"> </w:t>
      </w:r>
      <w:r w:rsidRPr="009B3D1A">
        <w:rPr>
          <w:rFonts w:ascii="Book Antiqua" w:hAnsi="Book Antiqua"/>
        </w:rPr>
        <w:t>Lebwohl</w:t>
      </w:r>
      <w:r w:rsidRPr="009B3D1A">
        <w:rPr>
          <w:rFonts w:ascii="Book Antiqua" w:hAnsi="Book Antiqua"/>
          <w:lang w:eastAsia="zh-CN"/>
        </w:rPr>
        <w:t xml:space="preserve"> B</w:t>
      </w:r>
      <w:r w:rsidRPr="009B3D1A">
        <w:rPr>
          <w:rFonts w:ascii="Book Antiqua" w:hAnsi="Book Antiqua"/>
        </w:rPr>
        <w:t>,</w:t>
      </w:r>
      <w:r w:rsidRPr="009B3D1A">
        <w:rPr>
          <w:rFonts w:ascii="Book Antiqua" w:hAnsi="Book Antiqua"/>
          <w:lang w:eastAsia="zh-CN"/>
        </w:rPr>
        <w:t xml:space="preserve"> </w:t>
      </w:r>
      <w:r w:rsidRPr="009B3D1A">
        <w:rPr>
          <w:rFonts w:ascii="Book Antiqua" w:hAnsi="Book Antiqua"/>
        </w:rPr>
        <w:t>Green</w:t>
      </w:r>
      <w:r w:rsidRPr="009B3D1A">
        <w:rPr>
          <w:rFonts w:ascii="Book Antiqua" w:hAnsi="Book Antiqua"/>
          <w:lang w:eastAsia="zh-CN"/>
        </w:rPr>
        <w:t xml:space="preserve"> PH</w:t>
      </w:r>
      <w:r w:rsidRPr="009B3D1A">
        <w:rPr>
          <w:rFonts w:ascii="Book Antiqua" w:hAnsi="Book Antiqua"/>
        </w:rPr>
        <w:t>,</w:t>
      </w:r>
      <w:r w:rsidRPr="009B3D1A">
        <w:rPr>
          <w:rFonts w:ascii="Book Antiqua" w:hAnsi="Book Antiqua"/>
          <w:lang w:eastAsia="zh-CN"/>
        </w:rPr>
        <w:t xml:space="preserve"> </w:t>
      </w:r>
      <w:r w:rsidRPr="009B3D1A">
        <w:rPr>
          <w:rFonts w:ascii="Book Antiqua" w:hAnsi="Book Antiqua"/>
        </w:rPr>
        <w:t>ElGhazali</w:t>
      </w:r>
      <w:r w:rsidRPr="009B3D1A">
        <w:rPr>
          <w:rFonts w:ascii="Book Antiqua" w:hAnsi="Book Antiqua"/>
          <w:lang w:eastAsia="zh-CN"/>
        </w:rPr>
        <w:t xml:space="preserve"> G. </w:t>
      </w:r>
      <w:r w:rsidRPr="009B3D1A">
        <w:rPr>
          <w:rFonts w:ascii="Book Antiqua" w:hAnsi="Book Antiqua"/>
          <w:bCs/>
        </w:rPr>
        <w:t xml:space="preserve">Seroprevalence of </w:t>
      </w:r>
      <w:r w:rsidRPr="009B3D1A">
        <w:rPr>
          <w:rFonts w:ascii="Book Antiqua" w:hAnsi="Book Antiqua"/>
          <w:bCs/>
          <w:lang w:eastAsia="zh-CN"/>
        </w:rPr>
        <w:t>c</w:t>
      </w:r>
      <w:r w:rsidRPr="009B3D1A">
        <w:rPr>
          <w:rFonts w:ascii="Book Antiqua" w:hAnsi="Book Antiqua"/>
          <w:bCs/>
        </w:rPr>
        <w:t xml:space="preserve">eliac </w:t>
      </w:r>
      <w:r w:rsidRPr="009B3D1A">
        <w:rPr>
          <w:rFonts w:ascii="Book Antiqua" w:hAnsi="Book Antiqua"/>
          <w:bCs/>
          <w:lang w:eastAsia="zh-CN"/>
        </w:rPr>
        <w:t>d</w:t>
      </w:r>
      <w:r w:rsidRPr="009B3D1A">
        <w:rPr>
          <w:rFonts w:ascii="Book Antiqua" w:hAnsi="Book Antiqua"/>
          <w:bCs/>
        </w:rPr>
        <w:t xml:space="preserve">isease among </w:t>
      </w:r>
      <w:r w:rsidRPr="00EF4A5C">
        <w:rPr>
          <w:rFonts w:ascii="Book Antiqua" w:hAnsi="Book Antiqua"/>
          <w:bCs/>
        </w:rPr>
        <w:t xml:space="preserve">United Arab Emirates </w:t>
      </w:r>
      <w:r w:rsidRPr="009B3D1A">
        <w:rPr>
          <w:rFonts w:ascii="Book Antiqua" w:hAnsi="Book Antiqua"/>
          <w:bCs/>
          <w:lang w:eastAsia="zh-CN"/>
        </w:rPr>
        <w:t>h</w:t>
      </w:r>
      <w:r w:rsidRPr="009B3D1A">
        <w:rPr>
          <w:rFonts w:ascii="Book Antiqua" w:hAnsi="Book Antiqua"/>
          <w:bCs/>
        </w:rPr>
        <w:t xml:space="preserve">ealthy </w:t>
      </w:r>
      <w:r w:rsidRPr="009B3D1A">
        <w:rPr>
          <w:rFonts w:ascii="Book Antiqua" w:hAnsi="Book Antiqua"/>
          <w:bCs/>
          <w:lang w:eastAsia="zh-CN"/>
        </w:rPr>
        <w:t>a</w:t>
      </w:r>
      <w:r w:rsidRPr="009B3D1A">
        <w:rPr>
          <w:rFonts w:ascii="Book Antiqua" w:hAnsi="Book Antiqua"/>
          <w:bCs/>
        </w:rPr>
        <w:t xml:space="preserve">dult </w:t>
      </w:r>
      <w:r w:rsidRPr="009B3D1A">
        <w:rPr>
          <w:rFonts w:ascii="Book Antiqua" w:hAnsi="Book Antiqua"/>
          <w:bCs/>
          <w:lang w:eastAsia="zh-CN"/>
        </w:rPr>
        <w:t>n</w:t>
      </w:r>
      <w:r w:rsidRPr="009B3D1A">
        <w:rPr>
          <w:rFonts w:ascii="Book Antiqua" w:hAnsi="Book Antiqua"/>
          <w:bCs/>
        </w:rPr>
        <w:t>ationals:</w:t>
      </w:r>
      <w:r>
        <w:rPr>
          <w:rFonts w:ascii="Book Antiqua" w:hAnsi="Book Antiqua"/>
          <w:bCs/>
          <w:lang w:eastAsia="zh-CN"/>
        </w:rPr>
        <w:t xml:space="preserve"> </w:t>
      </w:r>
      <w:r w:rsidRPr="009B3D1A">
        <w:rPr>
          <w:rFonts w:ascii="Book Antiqua" w:hAnsi="Book Antiqua"/>
          <w:bCs/>
        </w:rPr>
        <w:t xml:space="preserve">A </w:t>
      </w:r>
      <w:r w:rsidRPr="009B3D1A">
        <w:rPr>
          <w:rFonts w:ascii="Book Antiqua" w:hAnsi="Book Antiqua"/>
          <w:bCs/>
          <w:lang w:eastAsia="zh-CN"/>
        </w:rPr>
        <w:t>g</w:t>
      </w:r>
      <w:r w:rsidRPr="009B3D1A">
        <w:rPr>
          <w:rFonts w:ascii="Book Antiqua" w:hAnsi="Book Antiqua"/>
          <w:bCs/>
        </w:rPr>
        <w:t xml:space="preserve">ender </w:t>
      </w:r>
      <w:r w:rsidRPr="009B3D1A">
        <w:rPr>
          <w:rFonts w:ascii="Book Antiqua" w:hAnsi="Book Antiqua"/>
          <w:bCs/>
          <w:lang w:eastAsia="zh-CN"/>
        </w:rPr>
        <w:t>d</w:t>
      </w:r>
      <w:r w:rsidRPr="009B3D1A">
        <w:rPr>
          <w:rFonts w:ascii="Book Antiqua" w:hAnsi="Book Antiqua"/>
          <w:bCs/>
        </w:rPr>
        <w:t>isparity</w:t>
      </w:r>
      <w:r>
        <w:rPr>
          <w:rFonts w:ascii="Book Antiqua" w:hAnsi="Book Antiqua"/>
          <w:bCs/>
          <w:lang w:eastAsia="zh-CN"/>
        </w:rPr>
        <w:t>.</w:t>
      </w:r>
      <w:r>
        <w:rPr>
          <w:rFonts w:ascii="Book Antiqua" w:hAnsi="Book Antiqua"/>
          <w:i/>
        </w:rPr>
        <w:t xml:space="preserve"> </w:t>
      </w:r>
      <w:r w:rsidRPr="00E24548">
        <w:rPr>
          <w:rFonts w:ascii="Book Antiqua" w:hAnsi="Book Antiqua"/>
          <w:i/>
        </w:rPr>
        <w:t>World J Gastroenterol</w:t>
      </w:r>
      <w:r w:rsidRPr="00E24548">
        <w:rPr>
          <w:rFonts w:ascii="Book Antiqua" w:hAnsi="Book Antiqua"/>
        </w:rPr>
        <w:t xml:space="preserve"> 2014;</w:t>
      </w:r>
      <w:r>
        <w:rPr>
          <w:rFonts w:ascii="Book Antiqua" w:hAnsi="Book Antiqua"/>
          <w:lang w:eastAsia="zh-CN"/>
        </w:rPr>
        <w:t xml:space="preserve"> In press</w:t>
      </w:r>
    </w:p>
    <w:p w:rsidR="00225EB4" w:rsidRDefault="00225EB4" w:rsidP="00FE70C5">
      <w:pPr>
        <w:jc w:val="both"/>
        <w:rPr>
          <w:rFonts w:ascii="Book Antiqua" w:hAnsi="Book Antiqua"/>
          <w:b/>
        </w:rPr>
      </w:pPr>
      <w:r>
        <w:rPr>
          <w:rFonts w:ascii="Book Antiqua" w:hAnsi="Book Antiqua"/>
          <w:b/>
        </w:rPr>
        <w:br w:type="page"/>
      </w:r>
    </w:p>
    <w:p w:rsidR="00225EB4" w:rsidRPr="009B3D1A" w:rsidRDefault="00225EB4" w:rsidP="00FE70C5">
      <w:pPr>
        <w:spacing w:line="360" w:lineRule="auto"/>
        <w:jc w:val="both"/>
        <w:rPr>
          <w:rFonts w:ascii="Book Antiqua" w:hAnsi="Book Antiqua"/>
          <w:b/>
        </w:rPr>
      </w:pPr>
      <w:r w:rsidRPr="009B3D1A">
        <w:rPr>
          <w:rFonts w:ascii="Book Antiqua" w:hAnsi="Book Antiqua"/>
          <w:b/>
          <w:bCs/>
        </w:rPr>
        <w:t>INTRODUCTION</w:t>
      </w:r>
    </w:p>
    <w:p w:rsidR="00225EB4" w:rsidRPr="009B3D1A" w:rsidRDefault="00225EB4" w:rsidP="00FE70C5">
      <w:pPr>
        <w:spacing w:line="360" w:lineRule="auto"/>
        <w:jc w:val="both"/>
        <w:rPr>
          <w:rFonts w:ascii="Book Antiqua" w:hAnsi="Book Antiqua"/>
        </w:rPr>
      </w:pPr>
      <w:r w:rsidRPr="009B3D1A">
        <w:rPr>
          <w:rFonts w:ascii="Book Antiqua" w:hAnsi="Book Antiqua"/>
        </w:rPr>
        <w:t>Celiac disease is a chronic inflammatory condition in the small intestine, as a response to eating gluten in genetically susceptible individuals. Many symptoms are associated with celiac disease including chronic diarrhea, anemia, and iron/vitamins deficiencies; but what is called as silent or latent celiac disease is also common. Therefore, celiac disease is considered as one of the less diagnosed diseases and affected persons are mostly unaware of having the disease. Moreover, diagnosis of celiac disease often is required for extra-intestinal manifestations, including psychiatric</w:t>
      </w:r>
      <w:r w:rsidRPr="009B3D1A">
        <w:rPr>
          <w:rFonts w:ascii="Book Antiqua" w:hAnsi="Book Antiqua"/>
          <w:vertAlign w:val="superscript"/>
        </w:rPr>
        <w:t>[1]</w:t>
      </w:r>
      <w:r w:rsidRPr="009B3D1A">
        <w:rPr>
          <w:rFonts w:ascii="Book Antiqua" w:hAnsi="Book Antiqua"/>
        </w:rPr>
        <w:t>, skin</w:t>
      </w:r>
      <w:r w:rsidRPr="009B3D1A">
        <w:rPr>
          <w:rFonts w:ascii="Book Antiqua" w:hAnsi="Book Antiqua"/>
          <w:vertAlign w:val="superscript"/>
        </w:rPr>
        <w:t>[2]</w:t>
      </w:r>
      <w:r w:rsidRPr="009B3D1A">
        <w:rPr>
          <w:rFonts w:ascii="Book Antiqua" w:hAnsi="Book Antiqua"/>
        </w:rPr>
        <w:t>, and autoimmune diseases</w:t>
      </w:r>
      <w:r w:rsidRPr="009B3D1A">
        <w:rPr>
          <w:rFonts w:ascii="Book Antiqua" w:hAnsi="Book Antiqua"/>
          <w:vertAlign w:val="superscript"/>
        </w:rPr>
        <w:t>[3]</w:t>
      </w:r>
      <w:r w:rsidRPr="009B3D1A">
        <w:rPr>
          <w:rFonts w:ascii="Book Antiqua" w:hAnsi="Book Antiqua"/>
        </w:rPr>
        <w:t>.  Those who remain undiagnosed are at risk of many long-term complications including but not limited to infertility, osteoporosis, and lymphoma. The basis of treatment of celiac disease is abiding to a diet free of gluten</w:t>
      </w:r>
      <w:r w:rsidRPr="009B3D1A">
        <w:rPr>
          <w:rFonts w:ascii="Book Antiqua" w:hAnsi="Book Antiqua"/>
          <w:vertAlign w:val="superscript"/>
        </w:rPr>
        <w:t>[4]</w:t>
      </w:r>
      <w:r w:rsidRPr="009B3D1A">
        <w:rPr>
          <w:rFonts w:ascii="Book Antiqua" w:hAnsi="Book Antiqua"/>
        </w:rPr>
        <w:t>. Therefore, timely diagnosis is essential not just to enable proper treatment of symptoms but also to avoid possible complications</w:t>
      </w:r>
      <w:r w:rsidRPr="009B3D1A">
        <w:rPr>
          <w:rFonts w:ascii="Book Antiqua" w:hAnsi="Book Antiqua"/>
          <w:vertAlign w:val="superscript"/>
        </w:rPr>
        <w:t>[5]</w:t>
      </w:r>
      <w:r w:rsidRPr="009B3D1A">
        <w:rPr>
          <w:rFonts w:ascii="Book Antiqua" w:hAnsi="Book Antiqua"/>
        </w:rPr>
        <w:t xml:space="preserve">. </w:t>
      </w:r>
    </w:p>
    <w:p w:rsidR="00225EB4" w:rsidRPr="009B3D1A" w:rsidRDefault="00225EB4" w:rsidP="00FE70C5">
      <w:pPr>
        <w:spacing w:line="360" w:lineRule="auto"/>
        <w:ind w:firstLineChars="200" w:firstLine="480"/>
        <w:jc w:val="both"/>
        <w:rPr>
          <w:rFonts w:ascii="Book Antiqua" w:hAnsi="Book Antiqua"/>
        </w:rPr>
      </w:pPr>
      <w:r w:rsidRPr="009B3D1A">
        <w:rPr>
          <w:rFonts w:ascii="Book Antiqua" w:hAnsi="Book Antiqua"/>
        </w:rPr>
        <w:t>The early epidemiological studies of celiac disease in Europe were based on clinical presentation followed by intestinal biopsies led to undervaluing the prevalence of the disease.</w:t>
      </w:r>
      <w:r>
        <w:rPr>
          <w:rFonts w:ascii="Book Antiqua" w:hAnsi="Book Antiqua"/>
          <w:lang w:eastAsia="zh-CN"/>
        </w:rPr>
        <w:t xml:space="preserve"> </w:t>
      </w:r>
      <w:r w:rsidRPr="009B3D1A">
        <w:rPr>
          <w:rFonts w:ascii="Book Antiqua" w:hAnsi="Book Antiqua"/>
        </w:rPr>
        <w:t>Development of highly sensitive and specific serological tests on which subsequent epidemiological studies were based upon, resulted in reporting higher celiac disease prevalence and revealing many clinical features of the disease</w:t>
      </w:r>
      <w:r w:rsidRPr="009B3D1A">
        <w:rPr>
          <w:rFonts w:ascii="Book Antiqua" w:hAnsi="Book Antiqua"/>
          <w:vertAlign w:val="superscript"/>
        </w:rPr>
        <w:t>[6]</w:t>
      </w:r>
      <w:r w:rsidRPr="009B3D1A">
        <w:rPr>
          <w:rFonts w:ascii="Book Antiqua" w:hAnsi="Book Antiqua"/>
        </w:rPr>
        <w:t>.</w:t>
      </w:r>
      <w:r>
        <w:rPr>
          <w:rFonts w:ascii="Book Antiqua" w:hAnsi="Book Antiqua"/>
          <w:vertAlign w:val="superscript"/>
          <w:lang w:eastAsia="zh-CN"/>
        </w:rPr>
        <w:t xml:space="preserve"> </w:t>
      </w:r>
      <w:r w:rsidRPr="009B3D1A">
        <w:rPr>
          <w:rFonts w:ascii="Book Antiqua" w:hAnsi="Book Antiqua"/>
        </w:rPr>
        <w:t>Although intestinal biopsy is considered as the gold standard in diagnosis, serological tests are needed for screening to determine who needs the biopsy. Serology is also useful in distinguishing between the disease and the other causes of intestinal villi atrophy. The recommended test for celiac disease screening is anti-tissue transglutaminase (tTG) antibodies. The test detects both IgA and IgG antibodies. The sensitivity of anti tTG antibodies test is more than 90% but the specificity is less compared with anti</w:t>
      </w:r>
      <w:r>
        <w:rPr>
          <w:rFonts w:ascii="Book Antiqua" w:hAnsi="Book Antiqua"/>
          <w:lang w:eastAsia="zh-CN"/>
        </w:rPr>
        <w:t>-</w:t>
      </w:r>
      <w:r w:rsidRPr="009B3D1A">
        <w:rPr>
          <w:rFonts w:ascii="Book Antiqua" w:hAnsi="Book Antiqua"/>
        </w:rPr>
        <w:t>endomysial antibody (EMA) test</w:t>
      </w:r>
      <w:r w:rsidRPr="009B3D1A">
        <w:rPr>
          <w:rFonts w:ascii="Book Antiqua" w:hAnsi="Book Antiqua"/>
          <w:vertAlign w:val="superscript"/>
        </w:rPr>
        <w:t>[7]</w:t>
      </w:r>
      <w:r w:rsidRPr="009B3D1A">
        <w:rPr>
          <w:rFonts w:ascii="Book Antiqua" w:hAnsi="Book Antiqua"/>
        </w:rPr>
        <w:t>. The tTG test is based on ELISA which is from a cost and time perspective superior to EMA test</w:t>
      </w:r>
      <w:r w:rsidRPr="009B3D1A">
        <w:rPr>
          <w:rFonts w:ascii="Book Antiqua" w:hAnsi="Book Antiqua"/>
          <w:vertAlign w:val="superscript"/>
        </w:rPr>
        <w:t>[8]</w:t>
      </w:r>
      <w:r w:rsidRPr="009B3D1A">
        <w:rPr>
          <w:rFonts w:ascii="Book Antiqua" w:hAnsi="Book Antiqua"/>
        </w:rPr>
        <w:t>.</w:t>
      </w:r>
    </w:p>
    <w:p w:rsidR="00225EB4" w:rsidRPr="009B3D1A" w:rsidRDefault="00225EB4" w:rsidP="00FE70C5">
      <w:pPr>
        <w:spacing w:line="360" w:lineRule="auto"/>
        <w:ind w:firstLineChars="200" w:firstLine="480"/>
        <w:jc w:val="both"/>
        <w:rPr>
          <w:rFonts w:ascii="Book Antiqua" w:hAnsi="Book Antiqua"/>
        </w:rPr>
      </w:pPr>
      <w:r w:rsidRPr="009B3D1A">
        <w:rPr>
          <w:rFonts w:ascii="Book Antiqua" w:hAnsi="Book Antiqua"/>
        </w:rPr>
        <w:lastRenderedPageBreak/>
        <w:t>Celiac disease affects all ages and races worldwide and its prevalence varies from 0.5%-3%. Initially the disease was thought to be largely confined to northern Europe and Australasia and not common in North America and the Middle East, but celiac disease is now known to be prevalent in all those regions</w:t>
      </w:r>
      <w:r w:rsidRPr="009B3D1A">
        <w:rPr>
          <w:rFonts w:ascii="Book Antiqua" w:hAnsi="Book Antiqua"/>
          <w:vertAlign w:val="superscript"/>
        </w:rPr>
        <w:t>[9]</w:t>
      </w:r>
      <w:r w:rsidRPr="009B3D1A">
        <w:rPr>
          <w:rFonts w:ascii="Book Antiqua" w:hAnsi="Book Antiqua"/>
        </w:rPr>
        <w:t>. The published prevalence for celiac disease varies between 1:150</w:t>
      </w:r>
      <w:r>
        <w:rPr>
          <w:rFonts w:ascii="Book Antiqua" w:hAnsi="Book Antiqua"/>
          <w:lang w:eastAsia="zh-CN"/>
        </w:rPr>
        <w:t>-</w:t>
      </w:r>
      <w:r w:rsidRPr="009B3D1A">
        <w:rPr>
          <w:rFonts w:ascii="Book Antiqua" w:hAnsi="Book Antiqua"/>
        </w:rPr>
        <w:t>1:300 in UK and 1:80</w:t>
      </w:r>
      <w:r>
        <w:rPr>
          <w:rFonts w:ascii="Book Antiqua" w:hAnsi="Book Antiqua"/>
          <w:lang w:eastAsia="zh-CN"/>
        </w:rPr>
        <w:t>-</w:t>
      </w:r>
      <w:r w:rsidRPr="009B3D1A">
        <w:rPr>
          <w:rFonts w:ascii="Book Antiqua" w:hAnsi="Book Antiqua"/>
        </w:rPr>
        <w:t>1:122 in Ireland</w:t>
      </w:r>
      <w:r w:rsidRPr="009B3D1A">
        <w:rPr>
          <w:rFonts w:ascii="Book Antiqua" w:hAnsi="Book Antiqua"/>
          <w:vertAlign w:val="superscript"/>
        </w:rPr>
        <w:t>[4]</w:t>
      </w:r>
      <w:r w:rsidRPr="009B3D1A">
        <w:rPr>
          <w:rFonts w:ascii="Book Antiqua" w:hAnsi="Book Antiqua"/>
        </w:rPr>
        <w:t>, while it was 1:200 among Italian school children which is much more than earlier prevalence based on clinical findings</w:t>
      </w:r>
      <w:r w:rsidRPr="009B3D1A">
        <w:rPr>
          <w:rFonts w:ascii="Book Antiqua" w:hAnsi="Book Antiqua"/>
          <w:vertAlign w:val="superscript"/>
        </w:rPr>
        <w:t>[10]</w:t>
      </w:r>
      <w:r w:rsidRPr="009B3D1A">
        <w:rPr>
          <w:rFonts w:ascii="Book Antiqua" w:hAnsi="Book Antiqua"/>
        </w:rPr>
        <w:t>. Hotmeier and Caspary reported that; for each diagnosed celiac disease patient there are approximately 7-10 undiagnosed patients</w:t>
      </w:r>
      <w:r w:rsidRPr="009B3D1A">
        <w:rPr>
          <w:rFonts w:ascii="Book Antiqua" w:hAnsi="Book Antiqua"/>
          <w:vertAlign w:val="superscript"/>
        </w:rPr>
        <w:t>[11]</w:t>
      </w:r>
      <w:r w:rsidRPr="009B3D1A">
        <w:rPr>
          <w:rFonts w:ascii="Book Antiqua" w:hAnsi="Book Antiqua"/>
        </w:rPr>
        <w:t>. The above-mentioned findings suggested an analogy to what is called celiac disease iceberg. A study reported a prevalence of 1:96 in north India and the study concluded that celiac disease is more common than expected</w:t>
      </w:r>
      <w:r w:rsidRPr="009B3D1A">
        <w:rPr>
          <w:rFonts w:ascii="Book Antiqua" w:hAnsi="Book Antiqua"/>
          <w:vertAlign w:val="superscript"/>
        </w:rPr>
        <w:t>[12]</w:t>
      </w:r>
      <w:r w:rsidRPr="009B3D1A">
        <w:rPr>
          <w:rFonts w:ascii="Book Antiqua" w:hAnsi="Book Antiqua"/>
        </w:rPr>
        <w:t>, while the prevalence was 1:50 in Shiraz, Iran</w:t>
      </w:r>
      <w:r w:rsidRPr="009B3D1A">
        <w:rPr>
          <w:rFonts w:ascii="Book Antiqua" w:hAnsi="Book Antiqua"/>
          <w:vertAlign w:val="superscript"/>
        </w:rPr>
        <w:t>[13]</w:t>
      </w:r>
      <w:r w:rsidRPr="009B3D1A">
        <w:rPr>
          <w:rFonts w:ascii="Book Antiqua" w:hAnsi="Book Antiqua"/>
        </w:rPr>
        <w:t xml:space="preserve">. There are few reports from the Middle East and the Gulf on the prevalence of celiac disease, and to our knowledge no study exists on the prevalence of celiac disease in UAE nationals. Therefore, this study aims at estimating the prevalence of celiac disease among healthy adult Emiratis. </w:t>
      </w:r>
    </w:p>
    <w:p w:rsidR="00225EB4" w:rsidRDefault="00225EB4" w:rsidP="00FE70C5">
      <w:pPr>
        <w:tabs>
          <w:tab w:val="left" w:pos="426"/>
        </w:tabs>
        <w:spacing w:line="360" w:lineRule="auto"/>
        <w:jc w:val="both"/>
        <w:rPr>
          <w:rFonts w:ascii="Book Antiqua" w:hAnsi="Book Antiqua"/>
          <w:b/>
          <w:bCs/>
          <w:lang w:eastAsia="zh-CN"/>
        </w:rPr>
      </w:pPr>
    </w:p>
    <w:p w:rsidR="00225EB4" w:rsidRPr="00862C19" w:rsidRDefault="00225EB4" w:rsidP="00041764">
      <w:pPr>
        <w:spacing w:line="360" w:lineRule="auto"/>
        <w:contextualSpacing/>
        <w:rPr>
          <w:rFonts w:ascii="Book Antiqua" w:hAnsi="Book Antiqua"/>
          <w:b/>
        </w:rPr>
      </w:pPr>
      <w:r w:rsidRPr="00862C19">
        <w:rPr>
          <w:rFonts w:ascii="Book Antiqua" w:hAnsi="Book Antiqua"/>
          <w:b/>
        </w:rPr>
        <w:t>MATERIALS AND METHODS</w:t>
      </w:r>
    </w:p>
    <w:p w:rsidR="00225EB4" w:rsidRPr="009B3D1A" w:rsidRDefault="00225EB4" w:rsidP="00FE70C5">
      <w:pPr>
        <w:spacing w:line="360" w:lineRule="auto"/>
        <w:jc w:val="both"/>
        <w:rPr>
          <w:rFonts w:ascii="Book Antiqua" w:hAnsi="Book Antiqua"/>
          <w:b/>
          <w:bCs/>
          <w:i/>
        </w:rPr>
      </w:pPr>
      <w:r w:rsidRPr="009B3D1A">
        <w:rPr>
          <w:rFonts w:ascii="Book Antiqua" w:hAnsi="Book Antiqua"/>
          <w:b/>
          <w:bCs/>
          <w:i/>
        </w:rPr>
        <w:t xml:space="preserve">Study </w:t>
      </w:r>
      <w:r w:rsidRPr="009B3D1A">
        <w:rPr>
          <w:rFonts w:ascii="Book Antiqua" w:hAnsi="Book Antiqua"/>
          <w:b/>
          <w:bCs/>
          <w:i/>
          <w:lang w:eastAsia="zh-CN"/>
        </w:rPr>
        <w:t>d</w:t>
      </w:r>
      <w:r w:rsidRPr="009B3D1A">
        <w:rPr>
          <w:rFonts w:ascii="Book Antiqua" w:hAnsi="Book Antiqua"/>
          <w:b/>
          <w:bCs/>
          <w:i/>
        </w:rPr>
        <w:t>esign</w:t>
      </w:r>
    </w:p>
    <w:p w:rsidR="00225EB4" w:rsidRPr="009B3D1A" w:rsidRDefault="00225EB4" w:rsidP="00FE70C5">
      <w:pPr>
        <w:spacing w:line="360" w:lineRule="auto"/>
        <w:jc w:val="both"/>
        <w:rPr>
          <w:rFonts w:ascii="Book Antiqua" w:hAnsi="Book Antiqua"/>
        </w:rPr>
      </w:pPr>
      <w:r w:rsidRPr="009B3D1A">
        <w:rPr>
          <w:rFonts w:ascii="Book Antiqua" w:hAnsi="Book Antiqua"/>
        </w:rPr>
        <w:t>This study was a prospective cross sectional concerning celiac disease prevalence in Al Ain city among adult Emiratis who were undergoing the tests of prenuptial examination. Sample size calculation was based on an estimated celiac disease prevalence of 1%, and a lower 95% confidence limit of 0.58%. The estimated minimum number of subjects to be included was 1150; and was adjusted to around 1200 to include about 4% more than the required number.</w:t>
      </w:r>
    </w:p>
    <w:p w:rsidR="00225EB4" w:rsidRDefault="00225EB4" w:rsidP="00FE70C5">
      <w:pPr>
        <w:spacing w:line="360" w:lineRule="auto"/>
        <w:jc w:val="both"/>
        <w:rPr>
          <w:rFonts w:ascii="Book Antiqua" w:hAnsi="Book Antiqua"/>
          <w:b/>
          <w:bCs/>
          <w:lang w:eastAsia="zh-CN"/>
        </w:rPr>
      </w:pPr>
    </w:p>
    <w:p w:rsidR="00225EB4" w:rsidRPr="009B3D1A" w:rsidRDefault="00225EB4" w:rsidP="00FE70C5">
      <w:pPr>
        <w:spacing w:line="360" w:lineRule="auto"/>
        <w:jc w:val="both"/>
        <w:rPr>
          <w:rFonts w:ascii="Book Antiqua" w:hAnsi="Book Antiqua"/>
          <w:b/>
          <w:bCs/>
          <w:i/>
        </w:rPr>
      </w:pPr>
      <w:r w:rsidRPr="009B3D1A">
        <w:rPr>
          <w:rFonts w:ascii="Book Antiqua" w:hAnsi="Book Antiqua"/>
          <w:b/>
          <w:bCs/>
          <w:i/>
        </w:rPr>
        <w:t xml:space="preserve">Study </w:t>
      </w:r>
      <w:r w:rsidRPr="009B3D1A">
        <w:rPr>
          <w:rFonts w:ascii="Book Antiqua" w:hAnsi="Book Antiqua"/>
          <w:b/>
          <w:bCs/>
          <w:i/>
          <w:lang w:eastAsia="zh-CN"/>
        </w:rPr>
        <w:t>a</w:t>
      </w:r>
      <w:r w:rsidRPr="009B3D1A">
        <w:rPr>
          <w:rFonts w:ascii="Book Antiqua" w:hAnsi="Book Antiqua"/>
          <w:b/>
          <w:bCs/>
          <w:i/>
        </w:rPr>
        <w:t>rea</w:t>
      </w:r>
    </w:p>
    <w:p w:rsidR="00225EB4" w:rsidRPr="009B3D1A" w:rsidRDefault="00225EB4" w:rsidP="00FE70C5">
      <w:pPr>
        <w:spacing w:line="360" w:lineRule="auto"/>
        <w:jc w:val="both"/>
        <w:rPr>
          <w:rFonts w:ascii="Book Antiqua" w:hAnsi="Book Antiqua"/>
        </w:rPr>
      </w:pPr>
      <w:r w:rsidRPr="009B3D1A">
        <w:rPr>
          <w:rFonts w:ascii="Book Antiqua" w:hAnsi="Book Antiqua"/>
        </w:rPr>
        <w:t xml:space="preserve">Al Ain is the second largest  city in the Emirate of Abu Dhabi, it is located inland on the country's eastern border with Oman about 165 km from Abu </w:t>
      </w:r>
      <w:r w:rsidRPr="009B3D1A">
        <w:rPr>
          <w:rFonts w:ascii="Book Antiqua" w:hAnsi="Book Antiqua"/>
        </w:rPr>
        <w:lastRenderedPageBreak/>
        <w:t xml:space="preserve">Dhabi and about 140 km from Dubai. The area of this city covers over 1.17 million hectares mostly of sand dunes, the temperature during the year ranges between 10°C up to 48°C. Al Ain city is the country hub for learning, harboring the UAE University and is famous as a tourist destination. The city is divided into 35 districts with a total population of 0.63 million, 30.8% of whom were Emiratis (estimation of mid 2012). </w:t>
      </w:r>
    </w:p>
    <w:p w:rsidR="00225EB4" w:rsidRPr="009B3D1A" w:rsidRDefault="00225EB4" w:rsidP="00FE70C5">
      <w:pPr>
        <w:spacing w:line="360" w:lineRule="auto"/>
        <w:ind w:firstLineChars="200" w:firstLine="480"/>
        <w:jc w:val="both"/>
        <w:rPr>
          <w:rFonts w:ascii="Book Antiqua" w:hAnsi="Book Antiqua"/>
        </w:rPr>
      </w:pPr>
      <w:r w:rsidRPr="009B3D1A">
        <w:rPr>
          <w:rFonts w:ascii="Book Antiqua" w:hAnsi="Book Antiqua"/>
        </w:rPr>
        <w:t>Al Ain Hospital is one of two major governmental hospitals in Al Ain city and at the time of sampling, it was the only place in the city performing the prenuptial examination tests for UAE nationals.</w:t>
      </w:r>
    </w:p>
    <w:p w:rsidR="00225EB4" w:rsidRDefault="00225EB4" w:rsidP="00FE70C5">
      <w:pPr>
        <w:spacing w:line="360" w:lineRule="auto"/>
        <w:jc w:val="both"/>
        <w:rPr>
          <w:rFonts w:ascii="Book Antiqua" w:hAnsi="Book Antiqua"/>
          <w:b/>
          <w:bCs/>
          <w:lang w:eastAsia="zh-CN"/>
        </w:rPr>
      </w:pPr>
    </w:p>
    <w:p w:rsidR="00225EB4" w:rsidRPr="009B3D1A" w:rsidRDefault="00225EB4" w:rsidP="00FE70C5">
      <w:pPr>
        <w:spacing w:line="360" w:lineRule="auto"/>
        <w:jc w:val="both"/>
        <w:rPr>
          <w:rFonts w:ascii="Book Antiqua" w:hAnsi="Book Antiqua"/>
          <w:b/>
          <w:bCs/>
          <w:i/>
        </w:rPr>
      </w:pPr>
      <w:r w:rsidRPr="009B3D1A">
        <w:rPr>
          <w:rFonts w:ascii="Book Antiqua" w:hAnsi="Book Antiqua"/>
          <w:b/>
          <w:bCs/>
          <w:i/>
        </w:rPr>
        <w:t xml:space="preserve">Study </w:t>
      </w:r>
      <w:r w:rsidRPr="009B3D1A">
        <w:rPr>
          <w:rFonts w:ascii="Book Antiqua" w:hAnsi="Book Antiqua"/>
          <w:b/>
          <w:bCs/>
          <w:i/>
          <w:lang w:eastAsia="zh-CN"/>
        </w:rPr>
        <w:t>p</w:t>
      </w:r>
      <w:r w:rsidRPr="009B3D1A">
        <w:rPr>
          <w:rFonts w:ascii="Book Antiqua" w:hAnsi="Book Antiqua"/>
          <w:b/>
          <w:bCs/>
          <w:i/>
        </w:rPr>
        <w:t xml:space="preserve">opulation and </w:t>
      </w:r>
      <w:r w:rsidRPr="009B3D1A">
        <w:rPr>
          <w:rFonts w:ascii="Book Antiqua" w:hAnsi="Book Antiqua"/>
          <w:b/>
          <w:bCs/>
          <w:i/>
          <w:lang w:eastAsia="zh-CN"/>
        </w:rPr>
        <w:t>b</w:t>
      </w:r>
      <w:r w:rsidRPr="009B3D1A">
        <w:rPr>
          <w:rFonts w:ascii="Book Antiqua" w:hAnsi="Book Antiqua"/>
          <w:b/>
          <w:bCs/>
          <w:i/>
        </w:rPr>
        <w:t xml:space="preserve">lood </w:t>
      </w:r>
      <w:r w:rsidRPr="009B3D1A">
        <w:rPr>
          <w:rFonts w:ascii="Book Antiqua" w:hAnsi="Book Antiqua"/>
          <w:b/>
          <w:bCs/>
          <w:i/>
          <w:lang w:eastAsia="zh-CN"/>
        </w:rPr>
        <w:t>s</w:t>
      </w:r>
      <w:r w:rsidRPr="009B3D1A">
        <w:rPr>
          <w:rFonts w:ascii="Book Antiqua" w:hAnsi="Book Antiqua"/>
          <w:b/>
          <w:bCs/>
          <w:i/>
        </w:rPr>
        <w:t>ampling</w:t>
      </w:r>
    </w:p>
    <w:p w:rsidR="00225EB4" w:rsidRPr="009B3D1A" w:rsidRDefault="00225EB4" w:rsidP="00FE70C5">
      <w:pPr>
        <w:spacing w:line="360" w:lineRule="auto"/>
        <w:jc w:val="both"/>
        <w:rPr>
          <w:rFonts w:ascii="Book Antiqua" w:hAnsi="Book Antiqua"/>
        </w:rPr>
      </w:pPr>
      <w:r w:rsidRPr="009B3D1A">
        <w:rPr>
          <w:rFonts w:ascii="Book Antiqua" w:hAnsi="Book Antiqua"/>
        </w:rPr>
        <w:t>The study population is Emiratis who visited Al Ain Hospital for the prenuptial examination between September 2007 and April 2008. The inclusion criteria were: being an adult (16 year of age or more), not previously diagnosed as a celiac disease patient and willing to participate in the study. The exclusion criteria were: Emiratis less than 16 years of age, Emiratis who were diagnosed as having celiac disease, Emiratis with serological equivocal results for celiac disease diagnosis and all non-Emiratis. Blood sampling was carried out at Al Ain Hospital; 5 m</w:t>
      </w:r>
      <w:r>
        <w:rPr>
          <w:rFonts w:ascii="Book Antiqua" w:hAnsi="Book Antiqua"/>
          <w:lang w:eastAsia="zh-CN"/>
        </w:rPr>
        <w:t>L</w:t>
      </w:r>
      <w:r w:rsidRPr="009B3D1A">
        <w:rPr>
          <w:rFonts w:ascii="Book Antiqua" w:hAnsi="Book Antiqua"/>
        </w:rPr>
        <w:t xml:space="preserve"> was obtained from each subject. Sera were separated on the same day and stored at -80°C. Sera were tested for</w:t>
      </w:r>
      <w:r>
        <w:rPr>
          <w:rFonts w:ascii="Book Antiqua" w:hAnsi="Book Antiqua"/>
          <w:lang w:eastAsia="zh-CN"/>
        </w:rPr>
        <w:t xml:space="preserve"> a</w:t>
      </w:r>
      <w:r w:rsidRPr="009B3D1A">
        <w:rPr>
          <w:rFonts w:ascii="Book Antiqua" w:hAnsi="Book Antiqua"/>
        </w:rPr>
        <w:t>nti-tissue transglutaminase</w:t>
      </w:r>
      <w:r w:rsidRPr="009B3D1A">
        <w:rPr>
          <w:rFonts w:ascii="Book Antiqua" w:hAnsi="Book Antiqua"/>
          <w:b/>
          <w:bCs/>
        </w:rPr>
        <w:t xml:space="preserve"> (</w:t>
      </w:r>
      <w:r w:rsidRPr="009B3D1A">
        <w:rPr>
          <w:rFonts w:ascii="Book Antiqua" w:hAnsi="Book Antiqua"/>
        </w:rPr>
        <w:t>tTG) IgA antibodies, total IgA measurement was carried out for sera which were negative in tTG IgA. Seropositive sera in anti tTG IgA antibodies were tested for anti EMA IgA antibodies and the following criteria were used to define a serum as celiac disease positive: positive in both anti tTG IgA and anti EMA IgA antibody tests; or in sera with total IgA deficiency, positive in both anti tTG IgG and anti EMA IgG antibodies.</w:t>
      </w:r>
      <w:r>
        <w:rPr>
          <w:rFonts w:ascii="Book Antiqua" w:hAnsi="Book Antiqua"/>
          <w:lang w:eastAsia="zh-CN"/>
        </w:rPr>
        <w:t xml:space="preserve"> </w:t>
      </w:r>
      <w:r w:rsidRPr="009B3D1A">
        <w:rPr>
          <w:rFonts w:ascii="Book Antiqua" w:hAnsi="Book Antiqua"/>
        </w:rPr>
        <w:t>The criteria for a serum sample to be designated as CD seronegative were if sufficient in total IgA to be negative in anti tTG IgA, or if deficient in total IgA to be negative in anti tTG IgG.</w:t>
      </w:r>
    </w:p>
    <w:p w:rsidR="00225EB4" w:rsidRPr="009B3D1A" w:rsidRDefault="00225EB4" w:rsidP="00FE70C5">
      <w:pPr>
        <w:spacing w:line="360" w:lineRule="auto"/>
        <w:ind w:firstLineChars="200" w:firstLine="482"/>
        <w:jc w:val="both"/>
        <w:rPr>
          <w:rFonts w:ascii="Book Antiqua" w:hAnsi="Book Antiqua"/>
          <w:b/>
          <w:bCs/>
          <w:i/>
          <w:lang w:eastAsia="zh-CN"/>
        </w:rPr>
      </w:pPr>
    </w:p>
    <w:p w:rsidR="00225EB4" w:rsidRPr="009B3D1A" w:rsidRDefault="00225EB4" w:rsidP="00FE70C5">
      <w:pPr>
        <w:spacing w:line="360" w:lineRule="auto"/>
        <w:jc w:val="both"/>
        <w:rPr>
          <w:rFonts w:ascii="Book Antiqua" w:hAnsi="Book Antiqua"/>
          <w:b/>
          <w:bCs/>
          <w:i/>
          <w:lang w:eastAsia="zh-CN"/>
        </w:rPr>
      </w:pPr>
      <w:r w:rsidRPr="009B3D1A">
        <w:rPr>
          <w:rFonts w:ascii="Book Antiqua" w:hAnsi="Book Antiqua"/>
          <w:b/>
          <w:bCs/>
          <w:i/>
        </w:rPr>
        <w:t>Demographic and clinical recall data</w:t>
      </w:r>
      <w:r w:rsidRPr="009B3D1A">
        <w:rPr>
          <w:rFonts w:ascii="Book Antiqua" w:hAnsi="Book Antiqua"/>
          <w:b/>
          <w:bCs/>
          <w:i/>
          <w:lang w:eastAsia="zh-CN"/>
        </w:rPr>
        <w:t xml:space="preserve"> </w:t>
      </w:r>
    </w:p>
    <w:p w:rsidR="00225EB4" w:rsidRPr="009B3D1A" w:rsidRDefault="00225EB4" w:rsidP="00FE70C5">
      <w:pPr>
        <w:tabs>
          <w:tab w:val="left" w:pos="0"/>
          <w:tab w:val="left" w:pos="7995"/>
        </w:tabs>
        <w:spacing w:line="360" w:lineRule="auto"/>
        <w:jc w:val="both"/>
        <w:rPr>
          <w:rFonts w:ascii="Book Antiqua" w:hAnsi="Book Antiqua"/>
          <w:b/>
          <w:bCs/>
          <w:color w:val="000000"/>
        </w:rPr>
      </w:pPr>
      <w:r w:rsidRPr="009B3D1A">
        <w:rPr>
          <w:rFonts w:ascii="Book Antiqua" w:hAnsi="Book Antiqua"/>
        </w:rPr>
        <w:lastRenderedPageBreak/>
        <w:t>For each subject a structured interview was done including information on name,</w:t>
      </w:r>
      <w:r w:rsidRPr="009B3D1A" w:rsidDel="00962DFE">
        <w:rPr>
          <w:rFonts w:ascii="Book Antiqua" w:hAnsi="Book Antiqua"/>
        </w:rPr>
        <w:t xml:space="preserve"> </w:t>
      </w:r>
      <w:r w:rsidRPr="009B3D1A">
        <w:rPr>
          <w:rFonts w:ascii="Book Antiqua" w:hAnsi="Book Antiqua"/>
        </w:rPr>
        <w:t>contact address, age, gender, education status, knowledge about celiac disease, if he/she was previously diagnosed as celiac disease patient, diagnosis of celiac disease in 1</w:t>
      </w:r>
      <w:r w:rsidRPr="00017601">
        <w:rPr>
          <w:rFonts w:ascii="Book Antiqua" w:hAnsi="Book Antiqua"/>
          <w:vertAlign w:val="superscript"/>
        </w:rPr>
        <w:t>st</w:t>
      </w:r>
      <w:r w:rsidRPr="009B3D1A">
        <w:rPr>
          <w:rFonts w:ascii="Book Antiqua" w:hAnsi="Book Antiqua"/>
        </w:rPr>
        <w:t xml:space="preserve"> degree relatives, history of: chronic diarrhea, anemia, headache, diabetes, tumor, hepatitis and thyroid disorder. </w:t>
      </w:r>
    </w:p>
    <w:p w:rsidR="00225EB4" w:rsidRDefault="00225EB4" w:rsidP="00FE70C5">
      <w:pPr>
        <w:spacing w:line="360" w:lineRule="auto"/>
        <w:jc w:val="both"/>
        <w:rPr>
          <w:rFonts w:ascii="Book Antiqua" w:hAnsi="Book Antiqua"/>
          <w:b/>
          <w:bCs/>
          <w:lang w:eastAsia="zh-CN"/>
        </w:rPr>
      </w:pPr>
    </w:p>
    <w:p w:rsidR="00225EB4" w:rsidRPr="00223AA1" w:rsidRDefault="00225EB4" w:rsidP="00FE70C5">
      <w:pPr>
        <w:spacing w:line="360" w:lineRule="auto"/>
        <w:jc w:val="both"/>
        <w:rPr>
          <w:rFonts w:ascii="Book Antiqua" w:hAnsi="Book Antiqua"/>
          <w:b/>
          <w:bCs/>
          <w:i/>
        </w:rPr>
      </w:pPr>
      <w:r w:rsidRPr="00982AE8">
        <w:rPr>
          <w:rFonts w:ascii="Book Antiqua" w:hAnsi="Book Antiqua"/>
          <w:b/>
          <w:bCs/>
          <w:i/>
        </w:rPr>
        <w:t>Anti</w:t>
      </w:r>
      <w:r>
        <w:rPr>
          <w:rFonts w:ascii="Book Antiqua" w:hAnsi="Book Antiqua"/>
          <w:b/>
          <w:bCs/>
          <w:i/>
          <w:lang w:eastAsia="zh-CN"/>
        </w:rPr>
        <w:t xml:space="preserve"> </w:t>
      </w:r>
      <w:r w:rsidRPr="00982AE8">
        <w:rPr>
          <w:rFonts w:ascii="Book Antiqua" w:hAnsi="Book Antiqua"/>
          <w:b/>
          <w:bCs/>
          <w:i/>
        </w:rPr>
        <w:t>tTG</w:t>
      </w:r>
      <w:r w:rsidRPr="00223AA1">
        <w:rPr>
          <w:rFonts w:ascii="Book Antiqua" w:hAnsi="Book Antiqua"/>
          <w:b/>
          <w:bCs/>
          <w:i/>
        </w:rPr>
        <w:t xml:space="preserve"> IgA </w:t>
      </w:r>
      <w:r w:rsidRPr="00223AA1">
        <w:rPr>
          <w:rFonts w:ascii="Book Antiqua" w:hAnsi="Book Antiqua"/>
          <w:b/>
          <w:bCs/>
          <w:i/>
          <w:lang w:eastAsia="zh-CN"/>
        </w:rPr>
        <w:t>a</w:t>
      </w:r>
      <w:r w:rsidRPr="00223AA1">
        <w:rPr>
          <w:rFonts w:ascii="Book Antiqua" w:hAnsi="Book Antiqua"/>
          <w:b/>
          <w:bCs/>
          <w:i/>
        </w:rPr>
        <w:t>ntibodies</w:t>
      </w:r>
    </w:p>
    <w:p w:rsidR="00225EB4" w:rsidRPr="009B3D1A" w:rsidRDefault="00225EB4" w:rsidP="00FE70C5">
      <w:pPr>
        <w:spacing w:line="360" w:lineRule="auto"/>
        <w:jc w:val="both"/>
        <w:rPr>
          <w:rFonts w:ascii="Book Antiqua" w:hAnsi="Book Antiqua"/>
        </w:rPr>
      </w:pPr>
      <w:r w:rsidRPr="009B3D1A">
        <w:rPr>
          <w:rFonts w:ascii="Book Antiqua" w:hAnsi="Book Antiqua"/>
        </w:rPr>
        <w:t>Anti</w:t>
      </w:r>
      <w:r>
        <w:rPr>
          <w:rFonts w:ascii="Book Antiqua" w:hAnsi="Book Antiqua"/>
          <w:lang w:eastAsia="zh-CN"/>
        </w:rPr>
        <w:t xml:space="preserve"> </w:t>
      </w:r>
      <w:r w:rsidRPr="009B3D1A">
        <w:rPr>
          <w:rFonts w:ascii="Book Antiqua" w:hAnsi="Book Antiqua"/>
        </w:rPr>
        <w:t>tTG</w:t>
      </w:r>
      <w:r>
        <w:rPr>
          <w:rFonts w:ascii="Book Antiqua" w:hAnsi="Book Antiqua"/>
          <w:lang w:eastAsia="zh-CN"/>
        </w:rPr>
        <w:t xml:space="preserve"> </w:t>
      </w:r>
      <w:r w:rsidRPr="009B3D1A">
        <w:rPr>
          <w:rFonts w:ascii="Book Antiqua" w:hAnsi="Book Antiqua"/>
        </w:rPr>
        <w:t xml:space="preserve">IgA antibodies were measured using an ELISA method based on human recombinant transglutaminase (IBL International, Hamburg, Germany). The test was carried out according to the manufacturer instruction. Interpreting the results for tTG IgA qualitatively was based on OD cutoff ratio values as described in the footnote of Table </w:t>
      </w:r>
      <w:r>
        <w:rPr>
          <w:rFonts w:ascii="Book Antiqua" w:hAnsi="Book Antiqua"/>
          <w:lang w:eastAsia="zh-CN"/>
        </w:rPr>
        <w:t>1</w:t>
      </w:r>
      <w:r w:rsidRPr="009B3D1A">
        <w:rPr>
          <w:rFonts w:ascii="Book Antiqua" w:hAnsi="Book Antiqua"/>
        </w:rPr>
        <w:t>.</w:t>
      </w:r>
    </w:p>
    <w:p w:rsidR="00225EB4" w:rsidRDefault="00225EB4" w:rsidP="00FE70C5">
      <w:pPr>
        <w:spacing w:line="360" w:lineRule="auto"/>
        <w:jc w:val="both"/>
        <w:rPr>
          <w:rFonts w:ascii="Book Antiqua" w:hAnsi="Book Antiqua"/>
          <w:b/>
          <w:bCs/>
          <w:lang w:eastAsia="zh-CN"/>
        </w:rPr>
      </w:pPr>
    </w:p>
    <w:p w:rsidR="00225EB4" w:rsidRPr="00982AE8" w:rsidRDefault="00225EB4" w:rsidP="00FE70C5">
      <w:pPr>
        <w:spacing w:line="360" w:lineRule="auto"/>
        <w:jc w:val="both"/>
        <w:rPr>
          <w:rFonts w:ascii="Book Antiqua" w:hAnsi="Book Antiqua"/>
          <w:b/>
          <w:bCs/>
          <w:i/>
        </w:rPr>
      </w:pPr>
      <w:r w:rsidRPr="00982AE8">
        <w:rPr>
          <w:rFonts w:ascii="Book Antiqua" w:hAnsi="Book Antiqua"/>
          <w:b/>
          <w:bCs/>
          <w:i/>
        </w:rPr>
        <w:t xml:space="preserve">Total </w:t>
      </w:r>
      <w:r w:rsidRPr="00982AE8">
        <w:rPr>
          <w:rFonts w:ascii="Book Antiqua" w:hAnsi="Book Antiqua"/>
          <w:b/>
          <w:bCs/>
          <w:i/>
          <w:lang w:eastAsia="zh-CN"/>
        </w:rPr>
        <w:t>h</w:t>
      </w:r>
      <w:r w:rsidRPr="00982AE8">
        <w:rPr>
          <w:rFonts w:ascii="Book Antiqua" w:hAnsi="Book Antiqua"/>
          <w:b/>
          <w:bCs/>
          <w:i/>
        </w:rPr>
        <w:t xml:space="preserve">uman </w:t>
      </w:r>
      <w:r w:rsidRPr="00982AE8">
        <w:rPr>
          <w:rFonts w:ascii="Book Antiqua" w:hAnsi="Book Antiqua"/>
          <w:b/>
          <w:bCs/>
          <w:i/>
          <w:lang w:eastAsia="zh-CN"/>
        </w:rPr>
        <w:t>s</w:t>
      </w:r>
      <w:r w:rsidRPr="00982AE8">
        <w:rPr>
          <w:rFonts w:ascii="Book Antiqua" w:hAnsi="Book Antiqua"/>
          <w:b/>
          <w:bCs/>
          <w:i/>
        </w:rPr>
        <w:t>erum IgA</w:t>
      </w:r>
    </w:p>
    <w:p w:rsidR="00225EB4" w:rsidRDefault="00225EB4" w:rsidP="00FE70C5">
      <w:pPr>
        <w:spacing w:line="360" w:lineRule="auto"/>
        <w:jc w:val="both"/>
        <w:rPr>
          <w:rFonts w:ascii="Book Antiqua" w:hAnsi="Book Antiqua"/>
          <w:color w:val="FF0000"/>
          <w:lang w:eastAsia="zh-CN"/>
        </w:rPr>
      </w:pPr>
      <w:r w:rsidRPr="009B3D1A">
        <w:rPr>
          <w:rFonts w:ascii="Book Antiqua" w:hAnsi="Book Antiqua"/>
        </w:rPr>
        <w:t>Quantitative determination of human IgA in serum was carried out using an ELISA method.</w:t>
      </w:r>
      <w:r>
        <w:rPr>
          <w:rFonts w:ascii="Book Antiqua" w:hAnsi="Book Antiqua"/>
          <w:lang w:eastAsia="zh-CN"/>
        </w:rPr>
        <w:t xml:space="preserve"> </w:t>
      </w:r>
      <w:r w:rsidRPr="009B3D1A">
        <w:rPr>
          <w:rFonts w:ascii="Book Antiqua" w:hAnsi="Book Antiqua"/>
        </w:rPr>
        <w:t>The test was carried out according to the manufacturer recommendation (XEMA, Medica Co., Moscow, Russia). Sera with IgA level &lt; 0.05 g/</w:t>
      </w:r>
      <w:r>
        <w:rPr>
          <w:rFonts w:ascii="Book Antiqua" w:hAnsi="Book Antiqua"/>
          <w:lang w:eastAsia="zh-CN"/>
        </w:rPr>
        <w:t xml:space="preserve">L </w:t>
      </w:r>
      <w:r w:rsidRPr="009B3D1A">
        <w:rPr>
          <w:rFonts w:ascii="Book Antiqua" w:hAnsi="Book Antiqua"/>
        </w:rPr>
        <w:t>are considered IgA deficient.</w:t>
      </w:r>
    </w:p>
    <w:p w:rsidR="00225EB4" w:rsidRDefault="00225EB4" w:rsidP="00FE70C5">
      <w:pPr>
        <w:spacing w:line="360" w:lineRule="auto"/>
        <w:jc w:val="both"/>
        <w:rPr>
          <w:rFonts w:ascii="Book Antiqua" w:hAnsi="Book Antiqua"/>
          <w:color w:val="FF0000"/>
          <w:lang w:eastAsia="zh-CN"/>
        </w:rPr>
      </w:pPr>
    </w:p>
    <w:p w:rsidR="00225EB4" w:rsidRPr="00223AA1" w:rsidRDefault="00225EB4" w:rsidP="00FE70C5">
      <w:pPr>
        <w:spacing w:line="360" w:lineRule="auto"/>
        <w:jc w:val="both"/>
        <w:rPr>
          <w:rFonts w:ascii="Book Antiqua" w:hAnsi="Book Antiqua"/>
          <w:i/>
          <w:color w:val="FF0000"/>
        </w:rPr>
      </w:pPr>
      <w:r w:rsidRPr="00223AA1">
        <w:rPr>
          <w:rFonts w:ascii="Book Antiqua" w:hAnsi="Book Antiqua"/>
          <w:b/>
          <w:bCs/>
          <w:i/>
        </w:rPr>
        <w:t>Anti-</w:t>
      </w:r>
      <w:r w:rsidRPr="00223AA1">
        <w:rPr>
          <w:rFonts w:ascii="Book Antiqua" w:hAnsi="Book Antiqua"/>
          <w:b/>
          <w:bCs/>
          <w:i/>
          <w:lang w:eastAsia="zh-CN"/>
        </w:rPr>
        <w:t>e</w:t>
      </w:r>
      <w:r w:rsidRPr="00223AA1">
        <w:rPr>
          <w:rFonts w:ascii="Book Antiqua" w:hAnsi="Book Antiqua"/>
          <w:b/>
          <w:bCs/>
          <w:i/>
        </w:rPr>
        <w:t xml:space="preserve">ndomysial IgA </w:t>
      </w:r>
      <w:r w:rsidRPr="00223AA1">
        <w:rPr>
          <w:rFonts w:ascii="Book Antiqua" w:hAnsi="Book Antiqua"/>
          <w:b/>
          <w:bCs/>
          <w:i/>
          <w:lang w:eastAsia="zh-CN"/>
        </w:rPr>
        <w:t>a</w:t>
      </w:r>
      <w:r w:rsidRPr="00223AA1">
        <w:rPr>
          <w:rFonts w:ascii="Book Antiqua" w:hAnsi="Book Antiqua"/>
          <w:b/>
          <w:bCs/>
          <w:i/>
        </w:rPr>
        <w:t xml:space="preserve">ntibody </w:t>
      </w:r>
    </w:p>
    <w:p w:rsidR="00225EB4" w:rsidRPr="009B3D1A" w:rsidRDefault="00225EB4" w:rsidP="00FE70C5">
      <w:pPr>
        <w:spacing w:line="360" w:lineRule="auto"/>
        <w:jc w:val="both"/>
        <w:rPr>
          <w:rFonts w:ascii="Book Antiqua" w:hAnsi="Book Antiqua"/>
        </w:rPr>
      </w:pPr>
      <w:r w:rsidRPr="009B3D1A">
        <w:rPr>
          <w:rFonts w:ascii="Book Antiqua" w:hAnsi="Book Antiqua"/>
        </w:rPr>
        <w:t xml:space="preserve">The test is based on indirect immunofluorescence assay for semi-quantitative assessment of endomysial antibodies. The test was carried out according to the manufacturer instruction (Immco diagnostics, New York, USA). </w:t>
      </w:r>
    </w:p>
    <w:p w:rsidR="00225EB4" w:rsidRDefault="00225EB4" w:rsidP="00FE70C5">
      <w:pPr>
        <w:spacing w:line="360" w:lineRule="auto"/>
        <w:jc w:val="both"/>
        <w:rPr>
          <w:rFonts w:ascii="Book Antiqua" w:hAnsi="Book Antiqua"/>
          <w:b/>
          <w:bCs/>
          <w:lang w:eastAsia="zh-CN"/>
        </w:rPr>
      </w:pPr>
    </w:p>
    <w:p w:rsidR="00225EB4" w:rsidRPr="00223AA1" w:rsidRDefault="00225EB4" w:rsidP="00FE70C5">
      <w:pPr>
        <w:spacing w:line="360" w:lineRule="auto"/>
        <w:jc w:val="both"/>
        <w:rPr>
          <w:rFonts w:ascii="Book Antiqua" w:hAnsi="Book Antiqua"/>
          <w:b/>
          <w:bCs/>
          <w:i/>
        </w:rPr>
      </w:pPr>
      <w:r w:rsidRPr="00223AA1">
        <w:rPr>
          <w:rFonts w:ascii="Book Antiqua" w:hAnsi="Book Antiqua"/>
          <w:b/>
          <w:bCs/>
          <w:i/>
        </w:rPr>
        <w:t xml:space="preserve">Ethical </w:t>
      </w:r>
      <w:r w:rsidRPr="00223AA1">
        <w:rPr>
          <w:rFonts w:ascii="Book Antiqua" w:hAnsi="Book Antiqua"/>
          <w:b/>
          <w:bCs/>
          <w:i/>
          <w:lang w:eastAsia="zh-CN"/>
        </w:rPr>
        <w:t>a</w:t>
      </w:r>
      <w:r w:rsidRPr="00223AA1">
        <w:rPr>
          <w:rFonts w:ascii="Book Antiqua" w:hAnsi="Book Antiqua"/>
          <w:b/>
          <w:bCs/>
          <w:i/>
        </w:rPr>
        <w:t>spects</w:t>
      </w:r>
    </w:p>
    <w:p w:rsidR="00225EB4" w:rsidRPr="009B3D1A" w:rsidRDefault="00225EB4" w:rsidP="00FE70C5">
      <w:pPr>
        <w:spacing w:line="360" w:lineRule="auto"/>
        <w:jc w:val="both"/>
        <w:rPr>
          <w:rFonts w:ascii="Book Antiqua" w:hAnsi="Book Antiqua"/>
        </w:rPr>
      </w:pPr>
      <w:r w:rsidRPr="009B3D1A">
        <w:rPr>
          <w:rFonts w:ascii="Book Antiqua" w:hAnsi="Book Antiqua"/>
        </w:rPr>
        <w:t>Al Ain Medical District Human Research Ethics Committee approved the ethical application in July 2007.</w:t>
      </w:r>
      <w:r>
        <w:rPr>
          <w:rFonts w:ascii="Book Antiqua" w:hAnsi="Book Antiqua"/>
          <w:lang w:eastAsia="zh-CN"/>
        </w:rPr>
        <w:t xml:space="preserve"> </w:t>
      </w:r>
      <w:r w:rsidRPr="009B3D1A">
        <w:rPr>
          <w:rFonts w:ascii="Book Antiqua" w:hAnsi="Book Antiqua"/>
        </w:rPr>
        <w:t>Upon fully explaining the objectives and the expected benefits from participating in the study, each subject included in the study gave his/her consent for the blood sample and to provide the required information for the structured interview.</w:t>
      </w:r>
    </w:p>
    <w:p w:rsidR="00225EB4" w:rsidRDefault="00225EB4" w:rsidP="00FE70C5">
      <w:pPr>
        <w:spacing w:line="360" w:lineRule="auto"/>
        <w:jc w:val="both"/>
        <w:rPr>
          <w:rFonts w:ascii="Book Antiqua" w:hAnsi="Book Antiqua"/>
          <w:b/>
          <w:bCs/>
          <w:lang w:eastAsia="zh-CN"/>
        </w:rPr>
      </w:pPr>
    </w:p>
    <w:p w:rsidR="00225EB4" w:rsidRPr="00223AA1" w:rsidRDefault="00225EB4" w:rsidP="00FE70C5">
      <w:pPr>
        <w:spacing w:line="360" w:lineRule="auto"/>
        <w:jc w:val="both"/>
        <w:rPr>
          <w:rFonts w:ascii="Book Antiqua" w:hAnsi="Book Antiqua"/>
          <w:b/>
          <w:bCs/>
          <w:i/>
        </w:rPr>
      </w:pPr>
      <w:r w:rsidRPr="00223AA1">
        <w:rPr>
          <w:rFonts w:ascii="Book Antiqua" w:hAnsi="Book Antiqua"/>
          <w:b/>
          <w:bCs/>
          <w:i/>
        </w:rPr>
        <w:lastRenderedPageBreak/>
        <w:t xml:space="preserve">Statistical </w:t>
      </w:r>
      <w:r>
        <w:rPr>
          <w:rFonts w:ascii="Book Antiqua" w:hAnsi="Book Antiqua"/>
          <w:b/>
          <w:bCs/>
          <w:i/>
          <w:lang w:eastAsia="zh-CN"/>
        </w:rPr>
        <w:t>a</w:t>
      </w:r>
      <w:r w:rsidRPr="00223AA1">
        <w:rPr>
          <w:rFonts w:ascii="Book Antiqua" w:hAnsi="Book Antiqua"/>
          <w:b/>
          <w:bCs/>
          <w:i/>
        </w:rPr>
        <w:t xml:space="preserve">nalyses </w:t>
      </w:r>
    </w:p>
    <w:p w:rsidR="00225EB4" w:rsidRPr="009B3D1A" w:rsidRDefault="00225EB4" w:rsidP="00FE70C5">
      <w:pPr>
        <w:spacing w:line="360" w:lineRule="auto"/>
        <w:jc w:val="both"/>
        <w:rPr>
          <w:rFonts w:ascii="Book Antiqua" w:hAnsi="Book Antiqua"/>
        </w:rPr>
      </w:pPr>
      <w:r w:rsidRPr="009B3D1A">
        <w:rPr>
          <w:rFonts w:ascii="Book Antiqua" w:hAnsi="Book Antiqua"/>
        </w:rPr>
        <w:t xml:space="preserve">Data analysis was carried out on personal computer using SPSS (version 15, SPSS Inc., Chicago, IL, USA). The difference in age between “men and women” and between “diabetics and non-diabetics” was assessed by the student’s </w:t>
      </w:r>
      <w:r w:rsidRPr="00223AA1">
        <w:rPr>
          <w:rFonts w:ascii="Book Antiqua" w:hAnsi="Book Antiqua"/>
          <w:i/>
        </w:rPr>
        <w:t>t</w:t>
      </w:r>
      <w:r w:rsidRPr="009B3D1A">
        <w:rPr>
          <w:rFonts w:ascii="Book Antiqua" w:hAnsi="Book Antiqua"/>
        </w:rPr>
        <w:t xml:space="preserve"> test.</w:t>
      </w:r>
      <w:r>
        <w:rPr>
          <w:rFonts w:ascii="Book Antiqua" w:hAnsi="Book Antiqua"/>
          <w:lang w:eastAsia="zh-CN"/>
        </w:rPr>
        <w:t xml:space="preserve"> </w:t>
      </w:r>
      <w:r w:rsidRPr="009B3D1A">
        <w:rPr>
          <w:rFonts w:ascii="Book Antiqua" w:hAnsi="Book Antiqua"/>
        </w:rPr>
        <w:t xml:space="preserve">The linear by linear (for ordinal variables), the Pearson chi-square test and the Fisher exact test were used to compare dichotomous nominal variables between women and men. Binary and multiple logistic regressions were used to analyze the association between the variables obtained from the structured interview with celiac disease serology. </w:t>
      </w:r>
    </w:p>
    <w:p w:rsidR="00225EB4" w:rsidRPr="009B3D1A" w:rsidRDefault="00225EB4" w:rsidP="00FE70C5">
      <w:pPr>
        <w:ind w:firstLineChars="200" w:firstLine="480"/>
        <w:jc w:val="both"/>
        <w:rPr>
          <w:rFonts w:ascii="Book Antiqua" w:hAnsi="Book Antiqua"/>
        </w:rPr>
      </w:pPr>
    </w:p>
    <w:p w:rsidR="00225EB4" w:rsidRPr="009B3D1A" w:rsidRDefault="00225EB4" w:rsidP="00FE70C5">
      <w:pPr>
        <w:spacing w:line="360" w:lineRule="auto"/>
        <w:jc w:val="both"/>
        <w:rPr>
          <w:rFonts w:ascii="Book Antiqua" w:hAnsi="Book Antiqua"/>
          <w:b/>
          <w:bCs/>
        </w:rPr>
      </w:pPr>
      <w:r w:rsidRPr="009B3D1A">
        <w:rPr>
          <w:rFonts w:ascii="Book Antiqua" w:hAnsi="Book Antiqua"/>
          <w:b/>
          <w:bCs/>
        </w:rPr>
        <w:t>RESULTS</w:t>
      </w:r>
    </w:p>
    <w:p w:rsidR="00225EB4" w:rsidRPr="00223AA1" w:rsidRDefault="00225EB4" w:rsidP="00FE70C5">
      <w:pPr>
        <w:tabs>
          <w:tab w:val="left" w:pos="7995"/>
        </w:tabs>
        <w:spacing w:line="360" w:lineRule="auto"/>
        <w:jc w:val="both"/>
        <w:rPr>
          <w:rFonts w:ascii="Book Antiqua" w:hAnsi="Book Antiqua"/>
          <w:b/>
          <w:bCs/>
          <w:i/>
        </w:rPr>
      </w:pPr>
      <w:r w:rsidRPr="00223AA1">
        <w:rPr>
          <w:rFonts w:ascii="Book Antiqua" w:hAnsi="Book Antiqua"/>
          <w:b/>
          <w:bCs/>
          <w:i/>
        </w:rPr>
        <w:t>Study population attributes</w:t>
      </w:r>
    </w:p>
    <w:p w:rsidR="00225EB4" w:rsidRDefault="00225EB4" w:rsidP="00FE70C5">
      <w:pPr>
        <w:spacing w:line="360" w:lineRule="auto"/>
        <w:jc w:val="both"/>
        <w:rPr>
          <w:rFonts w:ascii="Book Antiqua" w:hAnsi="Book Antiqua"/>
          <w:lang w:eastAsia="zh-CN"/>
        </w:rPr>
      </w:pPr>
      <w:r w:rsidRPr="009B3D1A">
        <w:rPr>
          <w:rFonts w:ascii="Book Antiqua" w:hAnsi="Book Antiqua"/>
        </w:rPr>
        <w:t>Fourteen hundred and thirty persons were requested to participate in the study and 1211 (84.7%) approved. Fourteen were excluded due to grossly hemolyzed samples (11) or equivocal CD serology (3). Therefore, 1197 Emiratis (573 women and 624 men) were included in the study. The age range was 16-70 years with a mean ± SD of 24.87 ± 6.35. The mean age for men 26.36 ± 7.413 was higher (</w:t>
      </w:r>
      <w:r w:rsidRPr="009B3D1A">
        <w:rPr>
          <w:rFonts w:ascii="Book Antiqua" w:hAnsi="Book Antiqua"/>
          <w:i/>
          <w:iCs/>
        </w:rPr>
        <w:t>P</w:t>
      </w:r>
      <w:r w:rsidRPr="009B3D1A">
        <w:rPr>
          <w:rFonts w:ascii="Book Antiqua" w:hAnsi="Book Antiqua"/>
        </w:rPr>
        <w:t xml:space="preserve"> &lt;0.001) compared to women 23.247 ± 4.427. The distribution according to age of the study population  into 6 groups (16-20, 21-25, 26-30, 31-35, 36-40 and &gt; 40 years of age) and according to gender, showed that most men and women (87.4%) were between 16 and 30 years and there were more men in all the age groups except in the age group 16-20 years (data not shown).</w:t>
      </w:r>
    </w:p>
    <w:p w:rsidR="00225EB4" w:rsidRPr="009B3D1A" w:rsidRDefault="00225EB4" w:rsidP="00FE70C5">
      <w:pPr>
        <w:spacing w:line="360" w:lineRule="auto"/>
        <w:jc w:val="both"/>
        <w:rPr>
          <w:rFonts w:ascii="Book Antiqua" w:hAnsi="Book Antiqua"/>
          <w:lang w:eastAsia="zh-CN"/>
        </w:rPr>
      </w:pPr>
    </w:p>
    <w:p w:rsidR="00225EB4" w:rsidRPr="009B3D1A" w:rsidRDefault="00225EB4" w:rsidP="00FE70C5">
      <w:pPr>
        <w:spacing w:line="360" w:lineRule="auto"/>
        <w:jc w:val="both"/>
        <w:rPr>
          <w:rFonts w:ascii="Book Antiqua" w:hAnsi="Book Antiqua"/>
        </w:rPr>
      </w:pPr>
      <w:r w:rsidRPr="00223AA1">
        <w:rPr>
          <w:rFonts w:ascii="Book Antiqua" w:hAnsi="Book Antiqua"/>
          <w:b/>
          <w:bCs/>
          <w:i/>
          <w:color w:val="000000"/>
        </w:rPr>
        <w:t>Serological data</w:t>
      </w:r>
    </w:p>
    <w:p w:rsidR="00225EB4" w:rsidRPr="009B3D1A" w:rsidRDefault="00225EB4" w:rsidP="00FE70C5">
      <w:pPr>
        <w:spacing w:line="360" w:lineRule="auto"/>
        <w:jc w:val="both"/>
        <w:rPr>
          <w:rFonts w:ascii="Book Antiqua" w:hAnsi="Book Antiqua"/>
        </w:rPr>
      </w:pPr>
      <w:r w:rsidRPr="009B3D1A">
        <w:rPr>
          <w:rFonts w:ascii="Book Antiqua" w:hAnsi="Book Antiqua"/>
        </w:rPr>
        <w:t xml:space="preserve">All sera tested for total IgA antibodies were IgA sufficient (data not shown). </w:t>
      </w:r>
      <w:r w:rsidRPr="009B3D1A" w:rsidDel="00CD167C">
        <w:rPr>
          <w:rFonts w:ascii="Book Antiqua" w:hAnsi="Book Antiqua"/>
        </w:rPr>
        <w:t xml:space="preserve"> </w:t>
      </w:r>
      <w:r w:rsidRPr="009B3D1A">
        <w:rPr>
          <w:rFonts w:ascii="Book Antiqua" w:hAnsi="Book Antiqua"/>
        </w:rPr>
        <w:t>Fourteen blood samples (1.17%; 14/1197) were seropositive for anti tTG IgA and anti EMA IgA and fulfilled the celiac disease seropositive definition and therefore their donors were considered serologically as celiac disease patients (Table 1).</w:t>
      </w:r>
      <w:r>
        <w:rPr>
          <w:rFonts w:ascii="Book Antiqua" w:hAnsi="Book Antiqua"/>
          <w:lang w:eastAsia="zh-CN"/>
        </w:rPr>
        <w:t xml:space="preserve"> </w:t>
      </w:r>
      <w:r w:rsidRPr="009B3D1A">
        <w:rPr>
          <w:rFonts w:ascii="Book Antiqua" w:hAnsi="Book Antiqua"/>
        </w:rPr>
        <w:t xml:space="preserve">The 14 seropositive patients were 13 women and 1 man and </w:t>
      </w:r>
      <w:r w:rsidRPr="009B3D1A">
        <w:rPr>
          <w:rFonts w:ascii="Book Antiqua" w:hAnsi="Book Antiqua"/>
        </w:rPr>
        <w:lastRenderedPageBreak/>
        <w:t>therefore the seroprevalence of celiac disease was 1:86 (14/1197) for adult Emiratis: 1:44 (13/573) for women and 1: 624 for men.</w:t>
      </w:r>
    </w:p>
    <w:p w:rsidR="00225EB4" w:rsidRDefault="00225EB4" w:rsidP="00FE70C5">
      <w:pPr>
        <w:tabs>
          <w:tab w:val="left" w:pos="7995"/>
        </w:tabs>
        <w:spacing w:line="360" w:lineRule="auto"/>
        <w:jc w:val="both"/>
        <w:rPr>
          <w:rFonts w:ascii="Book Antiqua" w:hAnsi="Book Antiqua"/>
          <w:b/>
          <w:bCs/>
          <w:i/>
          <w:color w:val="000000"/>
          <w:lang w:eastAsia="zh-CN"/>
        </w:rPr>
      </w:pPr>
    </w:p>
    <w:p w:rsidR="00225EB4" w:rsidRPr="00223AA1" w:rsidRDefault="00225EB4" w:rsidP="00FE70C5">
      <w:pPr>
        <w:tabs>
          <w:tab w:val="left" w:pos="7995"/>
        </w:tabs>
        <w:spacing w:line="360" w:lineRule="auto"/>
        <w:jc w:val="both"/>
        <w:rPr>
          <w:rFonts w:ascii="Book Antiqua" w:hAnsi="Book Antiqua"/>
          <w:b/>
          <w:bCs/>
          <w:i/>
          <w:color w:val="000000"/>
        </w:rPr>
      </w:pPr>
      <w:r w:rsidRPr="00223AA1">
        <w:rPr>
          <w:rFonts w:ascii="Book Antiqua" w:hAnsi="Book Antiqua"/>
          <w:b/>
          <w:bCs/>
          <w:i/>
          <w:color w:val="000000"/>
        </w:rPr>
        <w:t>Association of variables with celiac disease serology</w:t>
      </w:r>
    </w:p>
    <w:p w:rsidR="00225EB4" w:rsidRPr="009B3D1A" w:rsidRDefault="00225EB4" w:rsidP="00FE70C5">
      <w:pPr>
        <w:autoSpaceDE w:val="0"/>
        <w:autoSpaceDN w:val="0"/>
        <w:adjustRightInd w:val="0"/>
        <w:spacing w:line="360" w:lineRule="auto"/>
        <w:jc w:val="both"/>
        <w:rPr>
          <w:rFonts w:ascii="Book Antiqua" w:hAnsi="Book Antiqua"/>
          <w:color w:val="000000"/>
        </w:rPr>
      </w:pPr>
      <w:r w:rsidRPr="009B3D1A">
        <w:rPr>
          <w:rFonts w:ascii="Book Antiqua" w:hAnsi="Book Antiqua"/>
        </w:rPr>
        <w:t xml:space="preserve">In order to test for any association between variables obtained through the structured interview and celiac disease serology, results of binary logistic regression analyses are presented in Table 2. The History of chronic anemia </w:t>
      </w:r>
      <w:r>
        <w:rPr>
          <w:rFonts w:ascii="Book Antiqua" w:hAnsi="Book Antiqua"/>
          <w:lang w:eastAsia="zh-CN"/>
        </w:rPr>
        <w:t>(</w:t>
      </w:r>
      <w:r w:rsidRPr="009B3D1A">
        <w:rPr>
          <w:rFonts w:ascii="Book Antiqua" w:hAnsi="Book Antiqua"/>
        </w:rPr>
        <w:t>OR = 7.09</w:t>
      </w:r>
      <w:r>
        <w:rPr>
          <w:rFonts w:ascii="Book Antiqua" w:hAnsi="Book Antiqua"/>
          <w:lang w:eastAsia="zh-CN"/>
        </w:rPr>
        <w:t xml:space="preserve">, </w:t>
      </w:r>
      <w:r w:rsidRPr="009B3D1A">
        <w:rPr>
          <w:rFonts w:ascii="Book Antiqua" w:hAnsi="Book Antiqua"/>
        </w:rPr>
        <w:t>95%CI</w:t>
      </w:r>
      <w:r>
        <w:rPr>
          <w:rFonts w:ascii="Book Antiqua" w:hAnsi="Book Antiqua"/>
          <w:lang w:eastAsia="zh-CN"/>
        </w:rPr>
        <w:t xml:space="preserve">: </w:t>
      </w:r>
      <w:r w:rsidRPr="009B3D1A">
        <w:rPr>
          <w:rFonts w:ascii="Book Antiqua" w:hAnsi="Book Antiqua"/>
        </w:rPr>
        <w:t>2.32-21.61</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 0.003</w:t>
      </w:r>
      <w:r>
        <w:rPr>
          <w:rFonts w:ascii="Book Antiqua" w:hAnsi="Book Antiqua"/>
          <w:lang w:eastAsia="zh-CN"/>
        </w:rPr>
        <w:t>)</w:t>
      </w:r>
      <w:r w:rsidRPr="009B3D1A">
        <w:rPr>
          <w:rFonts w:ascii="Book Antiqua" w:hAnsi="Book Antiqua"/>
        </w:rPr>
        <w:t xml:space="preserve"> and being a woman </w:t>
      </w:r>
      <w:r>
        <w:rPr>
          <w:rFonts w:ascii="Book Antiqua" w:hAnsi="Book Antiqua"/>
          <w:lang w:eastAsia="zh-CN"/>
        </w:rPr>
        <w:t>(</w:t>
      </w:r>
      <w:r w:rsidRPr="009B3D1A">
        <w:rPr>
          <w:rFonts w:ascii="Book Antiqua" w:hAnsi="Book Antiqua"/>
        </w:rPr>
        <w:t>OR =</w:t>
      </w:r>
      <w:r>
        <w:rPr>
          <w:rFonts w:ascii="Book Antiqua" w:hAnsi="Book Antiqua"/>
          <w:lang w:eastAsia="zh-CN"/>
        </w:rPr>
        <w:t xml:space="preserve"> </w:t>
      </w:r>
      <w:r w:rsidRPr="009B3D1A">
        <w:rPr>
          <w:rFonts w:ascii="Book Antiqua" w:hAnsi="Book Antiqua"/>
        </w:rPr>
        <w:t>14.46</w:t>
      </w:r>
      <w:r>
        <w:rPr>
          <w:rFonts w:ascii="Book Antiqua" w:hAnsi="Book Antiqua"/>
          <w:lang w:eastAsia="zh-CN"/>
        </w:rPr>
        <w:t xml:space="preserve">; </w:t>
      </w:r>
      <w:r w:rsidRPr="009B3D1A">
        <w:rPr>
          <w:rFonts w:ascii="Book Antiqua" w:hAnsi="Book Antiqua"/>
        </w:rPr>
        <w:t>95%CI</w:t>
      </w:r>
      <w:r>
        <w:rPr>
          <w:rFonts w:ascii="Book Antiqua" w:hAnsi="Book Antiqua"/>
          <w:lang w:eastAsia="zh-CN"/>
        </w:rPr>
        <w:t xml:space="preserve">: </w:t>
      </w:r>
      <w:r w:rsidRPr="009B3D1A">
        <w:rPr>
          <w:rFonts w:ascii="Book Antiqua" w:hAnsi="Book Antiqua"/>
        </w:rPr>
        <w:t>1.89-110.91</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&lt; 0.001</w:t>
      </w:r>
      <w:r>
        <w:rPr>
          <w:rFonts w:ascii="Book Antiqua" w:hAnsi="Book Antiqua"/>
          <w:lang w:eastAsia="zh-CN"/>
        </w:rPr>
        <w:t>)</w:t>
      </w:r>
      <w:r w:rsidRPr="009B3D1A">
        <w:rPr>
          <w:rFonts w:ascii="Book Antiqua" w:hAnsi="Book Antiqua"/>
        </w:rPr>
        <w:t xml:space="preserve"> were associated with celiac disease seropositivity. Whereas, the thyroid disorder showed a positive association with celiac disease serology that approach statistical significance </w:t>
      </w:r>
      <w:r>
        <w:rPr>
          <w:rFonts w:ascii="Book Antiqua" w:hAnsi="Book Antiqua"/>
          <w:lang w:eastAsia="zh-CN"/>
        </w:rPr>
        <w:t>(</w:t>
      </w:r>
      <w:r w:rsidRPr="009B3D1A">
        <w:rPr>
          <w:rFonts w:ascii="Book Antiqua" w:hAnsi="Book Antiqua"/>
        </w:rPr>
        <w:t>OR =</w:t>
      </w:r>
      <w:r>
        <w:rPr>
          <w:rFonts w:ascii="Book Antiqua" w:hAnsi="Book Antiqua"/>
          <w:lang w:eastAsia="zh-CN"/>
        </w:rPr>
        <w:t xml:space="preserve"> </w:t>
      </w:r>
      <w:r w:rsidRPr="009B3D1A">
        <w:rPr>
          <w:rFonts w:ascii="Book Antiqua" w:hAnsi="Book Antiqua"/>
        </w:rPr>
        <w:t>11.30</w:t>
      </w:r>
      <w:r>
        <w:rPr>
          <w:rFonts w:ascii="Book Antiqua" w:hAnsi="Book Antiqua"/>
          <w:lang w:eastAsia="zh-CN"/>
        </w:rPr>
        <w:t xml:space="preserve">; </w:t>
      </w:r>
      <w:r w:rsidRPr="009B3D1A">
        <w:rPr>
          <w:rFonts w:ascii="Book Antiqua" w:hAnsi="Book Antiqua"/>
        </w:rPr>
        <w:t>95%CI</w:t>
      </w:r>
      <w:r>
        <w:rPr>
          <w:rFonts w:ascii="Book Antiqua" w:hAnsi="Book Antiqua"/>
          <w:lang w:eastAsia="zh-CN"/>
        </w:rPr>
        <w:t xml:space="preserve">: </w:t>
      </w:r>
      <w:r w:rsidRPr="009B3D1A">
        <w:rPr>
          <w:rFonts w:ascii="Book Antiqua" w:hAnsi="Book Antiqua"/>
        </w:rPr>
        <w:t>1.32-96.95</w:t>
      </w:r>
      <w:r>
        <w:rPr>
          <w:rFonts w:ascii="Book Antiqua" w:hAnsi="Book Antiqua"/>
          <w:lang w:eastAsia="zh-CN"/>
        </w:rPr>
        <w:t xml:space="preserve">, </w:t>
      </w:r>
      <w:r w:rsidRPr="009B3D1A">
        <w:rPr>
          <w:rFonts w:ascii="Book Antiqua" w:hAnsi="Book Antiqua"/>
          <w:i/>
          <w:iCs/>
        </w:rPr>
        <w:t>P</w:t>
      </w:r>
      <w:r w:rsidRPr="009B3D1A">
        <w:rPr>
          <w:rFonts w:ascii="Book Antiqua" w:hAnsi="Book Antiqua"/>
        </w:rPr>
        <w:t xml:space="preserve"> = </w:t>
      </w:r>
      <w:r w:rsidRPr="009B3D1A">
        <w:rPr>
          <w:rFonts w:ascii="Book Antiqua" w:hAnsi="Book Antiqua"/>
          <w:color w:val="000000"/>
        </w:rPr>
        <w:t>0.09</w:t>
      </w:r>
      <w:r>
        <w:rPr>
          <w:rFonts w:ascii="Book Antiqua" w:hAnsi="Book Antiqua"/>
          <w:color w:val="000000"/>
          <w:lang w:eastAsia="zh-CN"/>
        </w:rPr>
        <w:t>)</w:t>
      </w:r>
      <w:r w:rsidRPr="009B3D1A">
        <w:rPr>
          <w:rFonts w:ascii="Book Antiqua" w:hAnsi="Book Antiqua"/>
          <w:color w:val="000000"/>
        </w:rPr>
        <w:t xml:space="preserve"> </w:t>
      </w:r>
      <w:r w:rsidRPr="009B3D1A">
        <w:rPr>
          <w:rFonts w:ascii="Book Antiqua" w:hAnsi="Book Antiqua"/>
        </w:rPr>
        <w:t xml:space="preserve">and therefore was included in the </w:t>
      </w:r>
      <w:r w:rsidRPr="009B3D1A">
        <w:rPr>
          <w:rFonts w:ascii="Book Antiqua" w:hAnsi="Book Antiqua"/>
          <w:color w:val="000000"/>
        </w:rPr>
        <w:t>multiple logistic regression analysis. Using multiple logistic regressions (for the statistically significant variables in binary logistic regression in addition to the variable thyroid disorder) revealed that only history of chronic anemia and being a woman were independently associated with celiac disease serology (Table 2). Five out of the 14 CD patients reported a history of chronic anemia and one patient reported a thyroid disorder. None of the remaining eight CD patients complained from diarrhea or any symptoms or signs of any disease (Table 1).</w:t>
      </w:r>
    </w:p>
    <w:p w:rsidR="00225EB4" w:rsidRDefault="00225EB4" w:rsidP="00FE70C5">
      <w:pPr>
        <w:tabs>
          <w:tab w:val="left" w:pos="7995"/>
        </w:tabs>
        <w:spacing w:line="360" w:lineRule="auto"/>
        <w:jc w:val="both"/>
        <w:rPr>
          <w:rFonts w:ascii="Book Antiqua" w:hAnsi="Book Antiqua"/>
          <w:b/>
          <w:bCs/>
          <w:color w:val="000000"/>
          <w:lang w:eastAsia="zh-CN"/>
        </w:rPr>
      </w:pPr>
    </w:p>
    <w:p w:rsidR="00225EB4" w:rsidRPr="00223AA1" w:rsidRDefault="00225EB4" w:rsidP="00FE70C5">
      <w:pPr>
        <w:tabs>
          <w:tab w:val="left" w:pos="7995"/>
        </w:tabs>
        <w:spacing w:line="360" w:lineRule="auto"/>
        <w:jc w:val="both"/>
        <w:rPr>
          <w:rFonts w:ascii="Book Antiqua" w:hAnsi="Book Antiqua"/>
          <w:b/>
          <w:bCs/>
          <w:i/>
          <w:color w:val="000000"/>
          <w:lang w:eastAsia="zh-CN"/>
        </w:rPr>
      </w:pPr>
      <w:r w:rsidRPr="00223AA1">
        <w:rPr>
          <w:rFonts w:ascii="Book Antiqua" w:hAnsi="Book Antiqua"/>
          <w:b/>
          <w:bCs/>
          <w:i/>
          <w:color w:val="000000"/>
        </w:rPr>
        <w:t>CD serology and structural interview variables in men and women</w:t>
      </w:r>
      <w:r w:rsidRPr="00223AA1">
        <w:rPr>
          <w:rFonts w:ascii="Book Antiqua" w:hAnsi="Book Antiqua"/>
          <w:b/>
          <w:bCs/>
          <w:i/>
          <w:color w:val="000000"/>
          <w:lang w:eastAsia="zh-CN"/>
        </w:rPr>
        <w:t xml:space="preserve"> </w:t>
      </w:r>
    </w:p>
    <w:p w:rsidR="00225EB4" w:rsidRDefault="00225EB4" w:rsidP="00FE70C5">
      <w:pPr>
        <w:spacing w:line="360" w:lineRule="auto"/>
        <w:jc w:val="both"/>
        <w:rPr>
          <w:rFonts w:ascii="Book Antiqua" w:hAnsi="Book Antiqua"/>
          <w:b/>
          <w:lang w:eastAsia="zh-CN"/>
        </w:rPr>
      </w:pPr>
      <w:r w:rsidRPr="009B3D1A">
        <w:rPr>
          <w:rFonts w:ascii="Book Antiqua" w:hAnsi="Book Antiqua"/>
        </w:rPr>
        <w:t>The distribution of gender in relation to celiac disease serology and the structural interview data was analyzed. Most of the CD seropositive were women (</w:t>
      </w:r>
      <w:r w:rsidRPr="00223AA1">
        <w:rPr>
          <w:rFonts w:ascii="Book Antiqua" w:hAnsi="Book Antiqua"/>
          <w:i/>
        </w:rPr>
        <w:t>P</w:t>
      </w:r>
      <w:r w:rsidRPr="009B3D1A">
        <w:rPr>
          <w:rFonts w:ascii="Book Antiqua" w:hAnsi="Book Antiqua"/>
        </w:rPr>
        <w:t xml:space="preserve"> = 0.0006) and most of the anemic persons were women (</w:t>
      </w:r>
      <w:r w:rsidRPr="00223AA1">
        <w:rPr>
          <w:rFonts w:ascii="Book Antiqua" w:hAnsi="Book Antiqua"/>
          <w:i/>
        </w:rPr>
        <w:t>P</w:t>
      </w:r>
      <w:r w:rsidRPr="009B3D1A">
        <w:rPr>
          <w:rFonts w:ascii="Book Antiqua" w:hAnsi="Book Antiqua"/>
        </w:rPr>
        <w:t xml:space="preserve"> &lt; 0.001). Whereas, most of the diabetics were men (</w:t>
      </w:r>
      <w:r w:rsidRPr="00223AA1">
        <w:rPr>
          <w:rFonts w:ascii="Book Antiqua" w:hAnsi="Book Antiqua"/>
          <w:i/>
        </w:rPr>
        <w:t>P</w:t>
      </w:r>
      <w:r w:rsidRPr="009B3D1A">
        <w:rPr>
          <w:rFonts w:ascii="Book Antiqua" w:hAnsi="Book Antiqua"/>
        </w:rPr>
        <w:t xml:space="preserve"> &lt; 0.005). The difference in diabetes between the two sexes is most likely due age. Diabetics (mostly men) had significantly higher (</w:t>
      </w:r>
      <w:r w:rsidRPr="00223AA1">
        <w:rPr>
          <w:rFonts w:ascii="Book Antiqua" w:hAnsi="Book Antiqua"/>
          <w:i/>
        </w:rPr>
        <w:t>P</w:t>
      </w:r>
      <w:r w:rsidRPr="009B3D1A">
        <w:rPr>
          <w:rFonts w:ascii="Book Antiqua" w:hAnsi="Book Antiqua"/>
        </w:rPr>
        <w:t xml:space="preserve"> &lt; 0.001) age (35.76 ± 12.454) than non-diabetics (24.67 ± 6.028). No other significant difference in the studied variables was found between the two sexes (Table 3).</w:t>
      </w:r>
      <w:r w:rsidRPr="009B3D1A">
        <w:rPr>
          <w:rFonts w:ascii="Book Antiqua" w:hAnsi="Book Antiqua"/>
          <w:b/>
        </w:rPr>
        <w:tab/>
      </w:r>
    </w:p>
    <w:p w:rsidR="00225EB4" w:rsidRDefault="00225EB4" w:rsidP="00FE70C5">
      <w:pPr>
        <w:spacing w:line="360" w:lineRule="auto"/>
        <w:jc w:val="both"/>
        <w:rPr>
          <w:rFonts w:ascii="Book Antiqua" w:hAnsi="Book Antiqua"/>
          <w:b/>
          <w:lang w:eastAsia="zh-CN"/>
        </w:rPr>
      </w:pPr>
    </w:p>
    <w:p w:rsidR="00225EB4" w:rsidRDefault="00225EB4" w:rsidP="00FE70C5">
      <w:pPr>
        <w:spacing w:line="360" w:lineRule="auto"/>
        <w:jc w:val="both"/>
        <w:rPr>
          <w:rFonts w:ascii="Book Antiqua" w:hAnsi="Book Antiqua"/>
          <w:b/>
          <w:lang w:eastAsia="zh-CN"/>
        </w:rPr>
      </w:pPr>
      <w:r w:rsidRPr="009B3D1A">
        <w:rPr>
          <w:rFonts w:ascii="Book Antiqua" w:hAnsi="Book Antiqua"/>
          <w:b/>
        </w:rPr>
        <w:t>DISCUSSION</w:t>
      </w:r>
    </w:p>
    <w:p w:rsidR="00225EB4" w:rsidRPr="00223AA1" w:rsidRDefault="00225EB4" w:rsidP="00FE70C5">
      <w:pPr>
        <w:spacing w:line="360" w:lineRule="auto"/>
        <w:jc w:val="both"/>
        <w:rPr>
          <w:rFonts w:ascii="Book Antiqua" w:hAnsi="Book Antiqua"/>
          <w:b/>
        </w:rPr>
      </w:pPr>
      <w:r w:rsidRPr="009B3D1A">
        <w:rPr>
          <w:rFonts w:ascii="Book Antiqua" w:hAnsi="Book Antiqua"/>
          <w:color w:val="000000"/>
        </w:rPr>
        <w:lastRenderedPageBreak/>
        <w:t xml:space="preserve">The epidemiological pattern of celiac disease in the world has changed due to many factors </w:t>
      </w:r>
      <w:r w:rsidRPr="00223AA1">
        <w:rPr>
          <w:rFonts w:ascii="Book Antiqua" w:hAnsi="Book Antiqua"/>
          <w:i/>
          <w:color w:val="000000"/>
        </w:rPr>
        <w:t>e.g.</w:t>
      </w:r>
      <w:r w:rsidRPr="009B3D1A">
        <w:rPr>
          <w:rFonts w:ascii="Book Antiqua" w:hAnsi="Book Antiqua"/>
          <w:color w:val="000000"/>
        </w:rPr>
        <w:t>, more awareness to the wide variation in the clinical presentations of celiac disease and discovering new serological tests which are simpler, inexpensive and led to increase in the power of detection and hence increase in the reported prevalence of celiac disease</w:t>
      </w:r>
      <w:r w:rsidRPr="009B3D1A">
        <w:rPr>
          <w:rFonts w:ascii="Book Antiqua" w:hAnsi="Book Antiqua"/>
          <w:color w:val="000000"/>
          <w:vertAlign w:val="superscript"/>
        </w:rPr>
        <w:t>[6]</w:t>
      </w:r>
      <w:r w:rsidRPr="009B3D1A">
        <w:rPr>
          <w:rFonts w:ascii="Book Antiqua" w:hAnsi="Book Antiqua"/>
          <w:color w:val="000000"/>
        </w:rPr>
        <w:t>. The new serological tests have helped in diagnosis of celiac disease and reporting a higher disease prevalence (1:133) in some countries</w:t>
      </w:r>
      <w:r w:rsidRPr="009B3D1A">
        <w:rPr>
          <w:rFonts w:ascii="Book Antiqua" w:hAnsi="Book Antiqua"/>
          <w:color w:val="000000"/>
          <w:vertAlign w:val="superscript"/>
        </w:rPr>
        <w:t>[14]</w:t>
      </w:r>
      <w:r w:rsidRPr="009B3D1A">
        <w:rPr>
          <w:rFonts w:ascii="Book Antiqua" w:hAnsi="Book Antiqua"/>
          <w:color w:val="000000"/>
        </w:rPr>
        <w:t>. However, the  actual prevalence of celiac disease is still not clear  in spite of these efforts to detect the disease.</w:t>
      </w:r>
    </w:p>
    <w:p w:rsidR="00225EB4" w:rsidRPr="009B3D1A" w:rsidRDefault="00225EB4" w:rsidP="00FE70C5">
      <w:pPr>
        <w:tabs>
          <w:tab w:val="left" w:pos="900"/>
        </w:tabs>
        <w:autoSpaceDE w:val="0"/>
        <w:autoSpaceDN w:val="0"/>
        <w:adjustRightInd w:val="0"/>
        <w:spacing w:line="360" w:lineRule="auto"/>
        <w:ind w:firstLineChars="200" w:firstLine="480"/>
        <w:jc w:val="both"/>
        <w:rPr>
          <w:rFonts w:ascii="Book Antiqua" w:hAnsi="Book Antiqua"/>
        </w:rPr>
      </w:pPr>
      <w:r w:rsidRPr="009B3D1A">
        <w:rPr>
          <w:rFonts w:ascii="Book Antiqua" w:hAnsi="Book Antiqua"/>
        </w:rPr>
        <w:t xml:space="preserve">In the Middle East, there are few studies on the prevalence of celiac disease in the general population, most of the studies focus on populations at risk, such as those having autoimmune disease </w:t>
      </w:r>
      <w:r w:rsidRPr="00223AA1">
        <w:rPr>
          <w:rFonts w:ascii="Book Antiqua" w:hAnsi="Book Antiqua"/>
          <w:i/>
        </w:rPr>
        <w:t>e.g.</w:t>
      </w:r>
      <w:r w:rsidRPr="009B3D1A">
        <w:rPr>
          <w:rFonts w:ascii="Book Antiqua" w:hAnsi="Book Antiqua"/>
        </w:rPr>
        <w:t xml:space="preserve"> diabetes mellitus type I and autoimmune thyroiditis</w:t>
      </w:r>
      <w:r w:rsidRPr="009B3D1A">
        <w:rPr>
          <w:rFonts w:ascii="Book Antiqua" w:hAnsi="Book Antiqua"/>
          <w:vertAlign w:val="superscript"/>
        </w:rPr>
        <w:t>[15]</w:t>
      </w:r>
      <w:r w:rsidRPr="009B3D1A">
        <w:rPr>
          <w:rFonts w:ascii="Book Antiqua" w:hAnsi="Book Antiqua"/>
        </w:rPr>
        <w:t>. Generally celiac disease prevalence undervalued and its clinical features have not been fully determined due to small sample size, selection bias, limited knowledge about celiac disease and insufficient research funds</w:t>
      </w:r>
      <w:r w:rsidRPr="009B3D1A">
        <w:rPr>
          <w:rFonts w:ascii="Book Antiqua" w:hAnsi="Book Antiqua"/>
          <w:vertAlign w:val="superscript"/>
        </w:rPr>
        <w:t>[6,16]</w:t>
      </w:r>
      <w:r w:rsidRPr="009B3D1A">
        <w:rPr>
          <w:rFonts w:ascii="Book Antiqua" w:hAnsi="Book Antiqua"/>
        </w:rPr>
        <w:t>. In Libya, as an example of a Middle East country, celiac disease prevalence among school students was (1:41) much higher than those reported in Europe or North America</w:t>
      </w:r>
      <w:r w:rsidRPr="009B3D1A">
        <w:rPr>
          <w:rFonts w:ascii="Book Antiqua" w:hAnsi="Book Antiqua"/>
          <w:vertAlign w:val="superscript"/>
        </w:rPr>
        <w:t>[17]</w:t>
      </w:r>
      <w:r w:rsidRPr="009B3D1A">
        <w:rPr>
          <w:rFonts w:ascii="Book Antiqua" w:hAnsi="Book Antiqua"/>
        </w:rPr>
        <w:t>.</w:t>
      </w:r>
      <w:r>
        <w:rPr>
          <w:rFonts w:ascii="Book Antiqua" w:hAnsi="Book Antiqua"/>
          <w:vertAlign w:val="superscript"/>
          <w:lang w:eastAsia="zh-CN"/>
        </w:rPr>
        <w:t xml:space="preserve"> </w:t>
      </w:r>
      <w:r w:rsidRPr="009B3D1A">
        <w:rPr>
          <w:rFonts w:ascii="Book Antiqua" w:hAnsi="Book Antiqua"/>
        </w:rPr>
        <w:t>In Saudi Arabia, celiac disease prevalence among healthy adolescents was (1:45) for both sexes; (1:33) for females and (1:68) for males. The investigators concluded that the celiac disease prevalence in their study may be among the highest worldwide</w:t>
      </w:r>
      <w:r w:rsidRPr="009B3D1A">
        <w:rPr>
          <w:rFonts w:ascii="Book Antiqua" w:hAnsi="Book Antiqua"/>
          <w:vertAlign w:val="superscript"/>
        </w:rPr>
        <w:t>[18]</w:t>
      </w:r>
      <w:r w:rsidRPr="009B3D1A">
        <w:rPr>
          <w:rFonts w:ascii="Book Antiqua" w:hAnsi="Book Antiqua"/>
        </w:rPr>
        <w:t>.</w:t>
      </w:r>
    </w:p>
    <w:p w:rsidR="00225EB4" w:rsidRPr="009B3D1A" w:rsidRDefault="00225EB4" w:rsidP="00FE70C5">
      <w:pPr>
        <w:tabs>
          <w:tab w:val="left" w:pos="900"/>
        </w:tabs>
        <w:autoSpaceDE w:val="0"/>
        <w:autoSpaceDN w:val="0"/>
        <w:adjustRightInd w:val="0"/>
        <w:spacing w:line="360" w:lineRule="auto"/>
        <w:ind w:firstLineChars="200" w:firstLine="480"/>
        <w:jc w:val="both"/>
        <w:rPr>
          <w:rFonts w:ascii="Book Antiqua" w:hAnsi="Book Antiqua"/>
        </w:rPr>
      </w:pPr>
      <w:r w:rsidRPr="009B3D1A">
        <w:rPr>
          <w:rFonts w:ascii="Book Antiqua" w:hAnsi="Book Antiqua"/>
        </w:rPr>
        <w:t xml:space="preserve">To our knowledge, this is the first study on celiac disease prevalence in UAE. This study is prospective cross-sectional concerning celiac disease prevalence among adult UAE nationals who were in the course of undertaking the prenuptial examination. The prenuptial tests include screening for HIV, hepatitis B, syphilis and anemia. The only targeted population was men and women who were apparently healthy at time of recruitment. Choosing this population is satisfactory because the aim of the study is to detect silent/latent celiac disease in healthy adult UAE nationals. Furthermore, from logistic point of view, those Emiratis were in the process of giving blood for the prenuptial tests, therefore, there was no need for much </w:t>
      </w:r>
      <w:r w:rsidRPr="009B3D1A">
        <w:rPr>
          <w:rFonts w:ascii="Book Antiqua" w:hAnsi="Book Antiqua"/>
        </w:rPr>
        <w:lastRenderedPageBreak/>
        <w:t>effort to persuade them to participate in the study.</w:t>
      </w:r>
      <w:r>
        <w:rPr>
          <w:rFonts w:ascii="Book Antiqua" w:hAnsi="Book Antiqua"/>
          <w:lang w:eastAsia="zh-CN"/>
        </w:rPr>
        <w:t xml:space="preserve"> </w:t>
      </w:r>
      <w:r w:rsidRPr="009B3D1A">
        <w:rPr>
          <w:rFonts w:ascii="Book Antiqua" w:hAnsi="Book Antiqua"/>
        </w:rPr>
        <w:t>Moreover, the study population choice may be reason for the nearly equal gender ratio in this study.</w:t>
      </w:r>
      <w:r>
        <w:rPr>
          <w:rFonts w:ascii="Book Antiqua" w:hAnsi="Book Antiqua"/>
          <w:lang w:eastAsia="zh-CN"/>
        </w:rPr>
        <w:t xml:space="preserve"> </w:t>
      </w:r>
      <w:r w:rsidRPr="009B3D1A">
        <w:rPr>
          <w:rFonts w:ascii="Book Antiqua" w:hAnsi="Book Antiqua"/>
        </w:rPr>
        <w:t xml:space="preserve">The more men in our study can be explained in part that women refused more to participate in the study compared with men; also, some men came alone because their intention was to marry foreigners and the prenuptial tests for foreigners is not carried at the test center at Al Ain Hospital. </w:t>
      </w:r>
    </w:p>
    <w:p w:rsidR="00225EB4" w:rsidRPr="009B3D1A" w:rsidRDefault="00225EB4" w:rsidP="00FE70C5">
      <w:pPr>
        <w:tabs>
          <w:tab w:val="left" w:pos="900"/>
        </w:tabs>
        <w:autoSpaceDE w:val="0"/>
        <w:autoSpaceDN w:val="0"/>
        <w:adjustRightInd w:val="0"/>
        <w:spacing w:line="360" w:lineRule="auto"/>
        <w:ind w:firstLineChars="200" w:firstLine="480"/>
        <w:jc w:val="both"/>
        <w:rPr>
          <w:rFonts w:ascii="Book Antiqua" w:hAnsi="Book Antiqua"/>
          <w:bCs/>
        </w:rPr>
      </w:pPr>
      <w:r w:rsidRPr="009B3D1A">
        <w:rPr>
          <w:rFonts w:ascii="Book Antiqua" w:hAnsi="Book Antiqua"/>
        </w:rPr>
        <w:t>In this study, the overall prevalence of celiac disease is 1:86 among UAE nationals of Al Ain city is higher than the celiac disease prevalence in the general population of Western Europe; in Denmark (1:330), Finland (1:130), Germany (1:500), Italy (1:184) and Netherland (1:198)</w:t>
      </w:r>
      <w:r w:rsidRPr="009B3D1A">
        <w:rPr>
          <w:rFonts w:ascii="Book Antiqua" w:hAnsi="Book Antiqua"/>
          <w:vertAlign w:val="superscript"/>
        </w:rPr>
        <w:t>[8]</w:t>
      </w:r>
      <w:r w:rsidRPr="009B3D1A">
        <w:rPr>
          <w:rFonts w:ascii="Book Antiqua" w:hAnsi="Book Antiqua"/>
        </w:rPr>
        <w:t>. The celiac disease high prevalence among healthy adult Emiratis emphasize the celiac disease iceberg terminology (that refers to many undiagnosed celiac disease patients in the general population).</w:t>
      </w:r>
    </w:p>
    <w:p w:rsidR="00225EB4" w:rsidRPr="009B3D1A" w:rsidRDefault="00225EB4" w:rsidP="00FE70C5">
      <w:pPr>
        <w:autoSpaceDE w:val="0"/>
        <w:autoSpaceDN w:val="0"/>
        <w:adjustRightInd w:val="0"/>
        <w:spacing w:line="360" w:lineRule="auto"/>
        <w:ind w:firstLineChars="200" w:firstLine="480"/>
        <w:jc w:val="both"/>
        <w:rPr>
          <w:rFonts w:ascii="Book Antiqua" w:hAnsi="Book Antiqua"/>
        </w:rPr>
      </w:pPr>
      <w:r w:rsidRPr="009B3D1A">
        <w:rPr>
          <w:rFonts w:ascii="Book Antiqua" w:hAnsi="Book Antiqua"/>
        </w:rPr>
        <w:t>Chronic anemia is a major manifestation of CD; it was shown to be associated with seropositivity for celiac disease. Five seropositive subjects have a history of chronic anemia. Several studies reported anemia as the most common sign of celiac disease among adults. In a study of 200 celiac disease patients, 5% of them were anemic due to nutritional deficiency</w:t>
      </w:r>
      <w:r w:rsidRPr="009B3D1A">
        <w:rPr>
          <w:rFonts w:ascii="Book Antiqua" w:hAnsi="Book Antiqua"/>
          <w:vertAlign w:val="superscript"/>
        </w:rPr>
        <w:t>[19]</w:t>
      </w:r>
      <w:r w:rsidRPr="009B3D1A">
        <w:rPr>
          <w:rFonts w:ascii="Book Antiqua" w:hAnsi="Book Antiqua"/>
        </w:rPr>
        <w:t>. Thus, it is suggested that all patients who have anemia or iron deficiency should be examined for celiac disease. Iron deficiency usually affects 2</w:t>
      </w:r>
      <w:r>
        <w:rPr>
          <w:rFonts w:ascii="Book Antiqua" w:hAnsi="Book Antiqua"/>
          <w:lang w:eastAsia="zh-CN"/>
        </w:rPr>
        <w:t>%</w:t>
      </w:r>
      <w:r w:rsidRPr="009B3D1A">
        <w:rPr>
          <w:rFonts w:ascii="Book Antiqua" w:hAnsi="Book Antiqua"/>
        </w:rPr>
        <w:t>-5% of adolescents, adult girls and women</w:t>
      </w:r>
      <w:r w:rsidRPr="009B3D1A">
        <w:rPr>
          <w:rFonts w:ascii="Book Antiqua" w:hAnsi="Book Antiqua"/>
          <w:vertAlign w:val="superscript"/>
        </w:rPr>
        <w:t>[20]</w:t>
      </w:r>
      <w:r w:rsidRPr="009B3D1A">
        <w:rPr>
          <w:rFonts w:ascii="Book Antiqua" w:hAnsi="Book Antiqua"/>
        </w:rPr>
        <w:t xml:space="preserve">. Most of the anemic subjects in this study were women, which is in agreement with the fact that anemia is more common in women compared with men. </w:t>
      </w:r>
    </w:p>
    <w:p w:rsidR="00225EB4" w:rsidRPr="009B3D1A" w:rsidRDefault="00225EB4" w:rsidP="00FE70C5">
      <w:pPr>
        <w:spacing w:line="360" w:lineRule="auto"/>
        <w:ind w:firstLineChars="200" w:firstLine="480"/>
        <w:jc w:val="both"/>
        <w:rPr>
          <w:rFonts w:ascii="Book Antiqua" w:hAnsi="Book Antiqua"/>
        </w:rPr>
      </w:pPr>
      <w:r w:rsidRPr="009B3D1A">
        <w:rPr>
          <w:rFonts w:ascii="Book Antiqua" w:hAnsi="Book Antiqua"/>
        </w:rPr>
        <w:t>The women-to-men ratio of those who are seropositive for celiac disease in this study (13:1) is much higher than that reported in Finland (11:21)</w:t>
      </w:r>
      <w:r w:rsidRPr="009B3D1A">
        <w:rPr>
          <w:rFonts w:ascii="Book Antiqua" w:hAnsi="Book Antiqua"/>
          <w:vertAlign w:val="superscript"/>
        </w:rPr>
        <w:t>[21]</w:t>
      </w:r>
      <w:r w:rsidRPr="00017601">
        <w:rPr>
          <w:rFonts w:ascii="Book Antiqua" w:hAnsi="Book Antiqua"/>
        </w:rPr>
        <w:t>,</w:t>
      </w:r>
      <w:r w:rsidRPr="009B3D1A">
        <w:rPr>
          <w:rFonts w:ascii="Book Antiqua" w:hAnsi="Book Antiqua"/>
          <w:vertAlign w:val="superscript"/>
        </w:rPr>
        <w:t xml:space="preserve"> </w:t>
      </w:r>
      <w:r w:rsidRPr="009B3D1A">
        <w:rPr>
          <w:rFonts w:ascii="Book Antiqua" w:hAnsi="Book Antiqua"/>
        </w:rPr>
        <w:t>Sweden (7:3)</w:t>
      </w:r>
      <w:r w:rsidRPr="009B3D1A">
        <w:rPr>
          <w:rFonts w:ascii="Book Antiqua" w:hAnsi="Book Antiqua"/>
          <w:vertAlign w:val="superscript"/>
        </w:rPr>
        <w:t>[22]</w:t>
      </w:r>
      <w:r w:rsidRPr="00223AA1">
        <w:rPr>
          <w:rFonts w:ascii="Book Antiqua" w:hAnsi="Book Antiqua"/>
        </w:rPr>
        <w:t>,</w:t>
      </w:r>
      <w:r w:rsidRPr="009B3D1A">
        <w:rPr>
          <w:rFonts w:ascii="Book Antiqua" w:hAnsi="Book Antiqua"/>
          <w:vertAlign w:val="superscript"/>
        </w:rPr>
        <w:t xml:space="preserve"> </w:t>
      </w:r>
      <w:r w:rsidRPr="009B3D1A">
        <w:rPr>
          <w:rFonts w:ascii="Book Antiqua" w:hAnsi="Book Antiqua"/>
        </w:rPr>
        <w:t>and Argentina (2:1)</w:t>
      </w:r>
      <w:r w:rsidRPr="009B3D1A">
        <w:rPr>
          <w:rFonts w:ascii="Book Antiqua" w:hAnsi="Book Antiqua"/>
          <w:vertAlign w:val="superscript"/>
        </w:rPr>
        <w:t>[23]</w:t>
      </w:r>
      <w:r w:rsidRPr="009B3D1A">
        <w:rPr>
          <w:rFonts w:ascii="Book Antiqua" w:hAnsi="Book Antiqua"/>
        </w:rPr>
        <w:t xml:space="preserve"> but comparable to the ratio reported from eastern Switzerland (10:1</w:t>
      </w:r>
      <w:r w:rsidRPr="007C3714">
        <w:rPr>
          <w:rFonts w:ascii="Book Antiqua" w:hAnsi="Book Antiqua"/>
        </w:rPr>
        <w:t>)</w:t>
      </w:r>
      <w:r w:rsidRPr="009B3D1A">
        <w:rPr>
          <w:rFonts w:ascii="Book Antiqua" w:hAnsi="Book Antiqua"/>
          <w:vertAlign w:val="superscript"/>
        </w:rPr>
        <w:t>[24]</w:t>
      </w:r>
      <w:r w:rsidRPr="009B3D1A">
        <w:rPr>
          <w:rFonts w:ascii="Book Antiqua" w:hAnsi="Book Antiqua"/>
        </w:rPr>
        <w:t>. In this study, the seroprevalence of celiac disease in Emirati women was considerably higher compared with men; this dichotomy in gender-related celiac disease prevalence was more remarkable compared to studies from other countries. Most of our subjects (87.4%) were in the young age category (16-30) which agrees with the conclusion of Dixit</w:t>
      </w:r>
      <w:r>
        <w:rPr>
          <w:rFonts w:ascii="Book Antiqua" w:hAnsi="Book Antiqua"/>
          <w:lang w:eastAsia="zh-CN"/>
        </w:rPr>
        <w:t xml:space="preserve"> </w:t>
      </w:r>
      <w:r w:rsidRPr="009B3D1A">
        <w:rPr>
          <w:rFonts w:ascii="Book Antiqua" w:hAnsi="Book Antiqua"/>
        </w:rPr>
        <w:lastRenderedPageBreak/>
        <w:t>and coworkers</w:t>
      </w:r>
      <w:r w:rsidRPr="009B3D1A">
        <w:rPr>
          <w:rFonts w:ascii="Book Antiqua" w:hAnsi="Book Antiqua"/>
          <w:vertAlign w:val="superscript"/>
        </w:rPr>
        <w:t>[25]</w:t>
      </w:r>
      <w:r w:rsidRPr="009B3D1A">
        <w:rPr>
          <w:rFonts w:ascii="Book Antiqua" w:hAnsi="Book Antiqua"/>
        </w:rPr>
        <w:t xml:space="preserve"> that “gender disparity was most marked in young adults between the ages 18 and 29 years of whom only 18%</w:t>
      </w:r>
      <w:r>
        <w:rPr>
          <w:rFonts w:ascii="Book Antiqua" w:hAnsi="Book Antiqua"/>
          <w:lang w:eastAsia="zh-CN"/>
        </w:rPr>
        <w:t xml:space="preserve"> </w:t>
      </w:r>
      <w:r w:rsidRPr="009B3D1A">
        <w:rPr>
          <w:rFonts w:ascii="Book Antiqua" w:hAnsi="Book Antiqua"/>
        </w:rPr>
        <w:t>of the patients diagnosed with celiac disease were males”. There are unknown factors that contribute to the high prevalence of latent celiac disease among women; two obvious factors are the amount of gluten consumption and the extent of intestinal damage</w:t>
      </w:r>
      <w:r w:rsidRPr="009B3D1A">
        <w:rPr>
          <w:rFonts w:ascii="Book Antiqua" w:hAnsi="Book Antiqua"/>
          <w:vertAlign w:val="superscript"/>
        </w:rPr>
        <w:t>[26]</w:t>
      </w:r>
      <w:r w:rsidRPr="00223AA1">
        <w:rPr>
          <w:rFonts w:ascii="Book Antiqua" w:hAnsi="Book Antiqua"/>
        </w:rPr>
        <w:t>.</w:t>
      </w:r>
      <w:r w:rsidRPr="009B3D1A">
        <w:rPr>
          <w:rFonts w:ascii="Book Antiqua" w:hAnsi="Book Antiqua"/>
        </w:rPr>
        <w:t xml:space="preserve"> There is no study comparing the consumption of wheat in women and men in UAE and this study didn't include this variable in the structured interview. There are indications that autoimmune diseases have common genetic risk factors and many of these are gender-predisposed</w:t>
      </w:r>
      <w:r w:rsidRPr="009B3D1A">
        <w:rPr>
          <w:rFonts w:ascii="Book Antiqua" w:hAnsi="Book Antiqua"/>
          <w:vertAlign w:val="superscript"/>
        </w:rPr>
        <w:t>[27]</w:t>
      </w:r>
      <w:r w:rsidRPr="009B3D1A">
        <w:rPr>
          <w:rFonts w:ascii="Book Antiqua" w:hAnsi="Book Antiqua"/>
        </w:rPr>
        <w:t>. Possibly women are genetically more susceptible to environmental exposure factors that affect the immunological processes leading to celiac disease. Smoking may be protective against celiac disease and in UAE men constitute the bulk of smokers</w:t>
      </w:r>
      <w:r w:rsidRPr="009B3D1A">
        <w:rPr>
          <w:rFonts w:ascii="Book Antiqua" w:hAnsi="Book Antiqua"/>
          <w:vertAlign w:val="superscript"/>
        </w:rPr>
        <w:t>[28,29]</w:t>
      </w:r>
      <w:r w:rsidRPr="009B3D1A">
        <w:rPr>
          <w:rFonts w:ascii="Book Antiqua" w:hAnsi="Book Antiqua"/>
        </w:rPr>
        <w:t>, also some endoscopy-confirmed CD patients who were smokers had negative CD serology</w:t>
      </w:r>
      <w:r w:rsidRPr="009B3D1A">
        <w:rPr>
          <w:rFonts w:ascii="Book Antiqua" w:hAnsi="Book Antiqua"/>
          <w:vertAlign w:val="superscript"/>
        </w:rPr>
        <w:t>[30]</w:t>
      </w:r>
      <w:r w:rsidRPr="009B3D1A">
        <w:rPr>
          <w:rFonts w:ascii="Book Antiqua" w:hAnsi="Book Antiqua"/>
        </w:rPr>
        <w:t>. Therefore, smoking may partly explain why men in this study have much less celiac disease compared with women. In support of this interpretation a retrospective study, from Sheikh Khalifa Medical City, Abu Dhabi, UAE, reported that only 48% of celiac disease children patients were females</w:t>
      </w:r>
      <w:r w:rsidRPr="009B3D1A">
        <w:rPr>
          <w:rFonts w:ascii="Book Antiqua" w:hAnsi="Book Antiqua"/>
          <w:vertAlign w:val="superscript"/>
        </w:rPr>
        <w:t>[31]</w:t>
      </w:r>
      <w:r w:rsidRPr="009B3D1A">
        <w:rPr>
          <w:rFonts w:ascii="Book Antiqua" w:hAnsi="Book Antiqua"/>
        </w:rPr>
        <w:t xml:space="preserve">. Therefore, on the assumption that those children were nonsmokers at the time of study, it is imperative to interpret the difference in celiac disease prevalence between women and men in this study on epigenetic or environmental factors </w:t>
      </w:r>
      <w:r w:rsidRPr="00223AA1">
        <w:rPr>
          <w:rFonts w:ascii="Book Antiqua" w:hAnsi="Book Antiqua"/>
          <w:i/>
        </w:rPr>
        <w:t>e.g.</w:t>
      </w:r>
      <w:r w:rsidRPr="009B3D1A">
        <w:rPr>
          <w:rFonts w:ascii="Book Antiqua" w:hAnsi="Book Antiqua"/>
        </w:rPr>
        <w:t xml:space="preserve"> smoking rather than on inherent genetic susceptibility between the genders. On the other hand, the gender discrepancy may be related to the failure of the serological test to detect the disease in young men due to hormonal or environmental factors. Therefore, one may suggest that for young men with clinical symptoms suggestive of the disease, endoscopy and biopsy should be the basis for diagnosis with less emphasis on the serological tests.</w:t>
      </w:r>
    </w:p>
    <w:p w:rsidR="00225EB4" w:rsidRDefault="00225EB4" w:rsidP="006169D7">
      <w:pPr>
        <w:spacing w:line="360" w:lineRule="auto"/>
        <w:ind w:firstLineChars="200" w:firstLine="480"/>
        <w:jc w:val="both"/>
        <w:rPr>
          <w:rFonts w:ascii="Book Antiqua" w:hAnsi="Book Antiqua"/>
          <w:color w:val="000000"/>
          <w:lang w:eastAsia="zh-CN"/>
        </w:rPr>
      </w:pPr>
      <w:r w:rsidRPr="009B3D1A">
        <w:rPr>
          <w:rFonts w:ascii="Book Antiqua" w:hAnsi="Book Antiqua"/>
          <w:color w:val="000000"/>
        </w:rPr>
        <w:t xml:space="preserve">There are some limitations in this study; most of the study population  were at the age range of 16-30 years; therefore, compared to the general population older age groups were less represented. The diagnosis relied only on highly specific serological tests but not proved by biopsy. There was no </w:t>
      </w:r>
      <w:r w:rsidRPr="009B3D1A">
        <w:rPr>
          <w:rFonts w:ascii="Book Antiqua" w:hAnsi="Book Antiqua"/>
          <w:color w:val="000000"/>
        </w:rPr>
        <w:lastRenderedPageBreak/>
        <w:t>information on the diet of the sampled population, but it is well known that due to the modern lifestyle, the consumption of fast food (wheat-based diets) among Emiratis has increased considerably during the last decades</w:t>
      </w:r>
      <w:r w:rsidRPr="009B3D1A">
        <w:rPr>
          <w:rFonts w:ascii="Book Antiqua" w:hAnsi="Book Antiqua"/>
          <w:color w:val="000000"/>
          <w:vertAlign w:val="superscript"/>
        </w:rPr>
        <w:t>[32]</w:t>
      </w:r>
      <w:r w:rsidRPr="009B3D1A">
        <w:rPr>
          <w:rFonts w:ascii="Book Antiqua" w:hAnsi="Book Antiqua"/>
          <w:color w:val="000000"/>
        </w:rPr>
        <w:t>. Finally, the study includes only the major risk factors for celiac disease and does not include factors that may be protective against celiac disease such as smoking.</w:t>
      </w:r>
      <w:bookmarkStart w:id="5" w:name="_Ref250654"/>
    </w:p>
    <w:p w:rsidR="00225EB4" w:rsidRPr="006169D7" w:rsidRDefault="00225EB4" w:rsidP="006169D7">
      <w:pPr>
        <w:spacing w:line="360" w:lineRule="auto"/>
        <w:ind w:firstLineChars="100" w:firstLine="240"/>
        <w:jc w:val="both"/>
        <w:rPr>
          <w:rFonts w:ascii="Book Antiqua" w:hAnsi="Book Antiqua"/>
          <w:color w:val="000000"/>
        </w:rPr>
      </w:pPr>
      <w:r w:rsidRPr="009C2ED1">
        <w:rPr>
          <w:rFonts w:ascii="Book Antiqua" w:hAnsi="Book Antiqua"/>
          <w:lang w:eastAsia="zh-CN"/>
        </w:rPr>
        <w:t xml:space="preserve">In </w:t>
      </w:r>
      <w:r w:rsidRPr="009C2ED1">
        <w:rPr>
          <w:rFonts w:ascii="Book Antiqua" w:hAnsi="Book Antiqua"/>
        </w:rPr>
        <w:t xml:space="preserve">conclusion, </w:t>
      </w:r>
      <w:r w:rsidRPr="006169D7">
        <w:rPr>
          <w:rFonts w:ascii="Book Antiqua" w:hAnsi="Book Antiqua"/>
        </w:rPr>
        <w:t>as anemia is a major manifestation rather than a risk factor of celiac disease, gender is the most important risk factor associated with celiac disease seropositivity in this study, with much higher prevalence in women (1:44) compared with men (1:624). These findings are of importance from a public health perspective and should be conveyed to the health authority for raising the awareness of the disease among the health workers and the population. Health workers should know that there are many undiagnosed celiac disease women patients among UAE nationals. T</w:t>
      </w:r>
      <w:r w:rsidRPr="006169D7">
        <w:rPr>
          <w:rFonts w:ascii="Book Antiqua" w:hAnsi="Book Antiqua"/>
          <w:color w:val="000000"/>
        </w:rPr>
        <w:t xml:space="preserve">herefore, they should refer any patient with vague symptoms, complications or signs suggestive of celiac disease for investigation. Among the measures to diagnose latent/silent or unrecognized celiac disease in the general population is the screening of all women who suffer from chronic anemia. </w:t>
      </w:r>
    </w:p>
    <w:p w:rsidR="00225EB4" w:rsidRDefault="00225EB4" w:rsidP="00FE70C5">
      <w:pPr>
        <w:spacing w:line="360" w:lineRule="auto"/>
        <w:jc w:val="both"/>
        <w:rPr>
          <w:rFonts w:ascii="Book Antiqua" w:hAnsi="Book Antiqua"/>
          <w:b/>
          <w:bCs/>
          <w:lang w:eastAsia="zh-CN"/>
        </w:rPr>
      </w:pPr>
    </w:p>
    <w:p w:rsidR="00225EB4" w:rsidRDefault="00225EB4" w:rsidP="00FE70C5">
      <w:pPr>
        <w:spacing w:line="360" w:lineRule="auto"/>
        <w:jc w:val="both"/>
        <w:rPr>
          <w:rFonts w:ascii="Book Antiqua" w:hAnsi="Book Antiqua"/>
          <w:b/>
          <w:bCs/>
          <w:lang w:eastAsia="zh-CN"/>
        </w:rPr>
      </w:pPr>
      <w:r w:rsidRPr="009B3D1A">
        <w:rPr>
          <w:rFonts w:ascii="Book Antiqua" w:hAnsi="Book Antiqua"/>
          <w:b/>
          <w:bCs/>
        </w:rPr>
        <w:t>ACKNOWLEDGMENT</w:t>
      </w:r>
    </w:p>
    <w:p w:rsidR="00225EB4" w:rsidRDefault="00225EB4" w:rsidP="00FE70C5">
      <w:pPr>
        <w:spacing w:line="360" w:lineRule="auto"/>
        <w:jc w:val="both"/>
        <w:rPr>
          <w:rFonts w:ascii="Book Antiqua" w:hAnsi="Book Antiqua"/>
          <w:lang w:eastAsia="zh-CN"/>
        </w:rPr>
      </w:pPr>
      <w:r w:rsidRPr="009B3D1A">
        <w:rPr>
          <w:rFonts w:ascii="Book Antiqua" w:hAnsi="Book Antiqua"/>
        </w:rPr>
        <w:t>Most of this study is from the M. Sc. thesis of WSJ. We express our sincere appreciation to the Research Affairs at the United Arab Emirates University, for the financial support. We express our gratitude to the staff at Al Ain Hospital; sampling was not possible without their help. Thank to Prof. Miodrag Lukic at College of Medicine and Health Sciences (CMHS), UAE for permission to carry out some of the laboratory analyses at CMHS. Finally, our sincere thanks extend to all subjects who participated in this study.</w:t>
      </w:r>
    </w:p>
    <w:p w:rsidR="00225EB4" w:rsidRDefault="00225EB4" w:rsidP="009C2ED1">
      <w:pPr>
        <w:spacing w:line="360" w:lineRule="auto"/>
        <w:jc w:val="both"/>
        <w:rPr>
          <w:rFonts w:ascii="Book Antiqua" w:hAnsi="Book Antiqua"/>
          <w:lang w:eastAsia="zh-CN"/>
        </w:rPr>
      </w:pPr>
    </w:p>
    <w:p w:rsidR="00225EB4" w:rsidRPr="009C2ED1" w:rsidRDefault="00225EB4" w:rsidP="00FE70C5">
      <w:pPr>
        <w:spacing w:line="360" w:lineRule="auto"/>
        <w:jc w:val="both"/>
        <w:rPr>
          <w:rFonts w:ascii="Book Antiqua" w:hAnsi="Book Antiqua"/>
          <w:b/>
          <w:color w:val="000000"/>
          <w:lang w:eastAsia="zh-CN"/>
        </w:rPr>
      </w:pPr>
      <w:r w:rsidRPr="009C2ED1">
        <w:rPr>
          <w:rFonts w:ascii="Book Antiqua" w:hAnsi="Book Antiqua"/>
          <w:b/>
          <w:color w:val="000000"/>
          <w:lang w:eastAsia="zh-CN"/>
        </w:rPr>
        <w:t>COMMENTS</w:t>
      </w:r>
    </w:p>
    <w:p w:rsidR="00225EB4" w:rsidRPr="009B3D1A" w:rsidRDefault="00225EB4" w:rsidP="00FE70C5">
      <w:pPr>
        <w:spacing w:line="360" w:lineRule="auto"/>
        <w:jc w:val="both"/>
        <w:rPr>
          <w:rFonts w:ascii="Book Antiqua" w:hAnsi="Book Antiqua"/>
          <w:b/>
          <w:i/>
        </w:rPr>
      </w:pPr>
      <w:r w:rsidRPr="009B3D1A">
        <w:rPr>
          <w:rFonts w:ascii="Book Antiqua" w:hAnsi="Book Antiqua"/>
          <w:b/>
          <w:i/>
        </w:rPr>
        <w:t>Background</w:t>
      </w:r>
    </w:p>
    <w:p w:rsidR="00225EB4" w:rsidRDefault="00225EB4" w:rsidP="00FE70C5">
      <w:pPr>
        <w:spacing w:line="360" w:lineRule="auto"/>
        <w:jc w:val="both"/>
        <w:rPr>
          <w:rFonts w:ascii="Book Antiqua" w:hAnsi="Book Antiqua"/>
        </w:rPr>
      </w:pPr>
      <w:r w:rsidRPr="009B3D1A">
        <w:rPr>
          <w:rFonts w:ascii="Book Antiqua" w:hAnsi="Book Antiqua"/>
        </w:rPr>
        <w:t xml:space="preserve">celiac disease (CD) can be easily mistaken for many other diseases due to its vast clinical symptoms and presentations. </w:t>
      </w:r>
      <w:r>
        <w:rPr>
          <w:rFonts w:ascii="Book Antiqua" w:hAnsi="Book Antiqua"/>
          <w:lang w:eastAsia="zh-CN"/>
        </w:rPr>
        <w:t>CD</w:t>
      </w:r>
      <w:r w:rsidRPr="009B3D1A">
        <w:rPr>
          <w:rFonts w:ascii="Book Antiqua" w:hAnsi="Book Antiqua"/>
        </w:rPr>
        <w:t xml:space="preserve"> is a chronic inflammatory </w:t>
      </w:r>
      <w:r w:rsidRPr="009B3D1A">
        <w:rPr>
          <w:rFonts w:ascii="Book Antiqua" w:hAnsi="Book Antiqua"/>
        </w:rPr>
        <w:lastRenderedPageBreak/>
        <w:t>condition in the small intestine, in response to eating gluten in genetically susceptible individuals. It is a lifelong disease and the only treatment up-to-date is the complete abiding to a gluten-free diet. The highest prevalence of the disease worldwide has been reported in the Middle East. The aim of this study is to determine</w:t>
      </w:r>
      <w:r>
        <w:rPr>
          <w:rFonts w:ascii="Book Antiqua" w:hAnsi="Book Antiqua"/>
          <w:lang w:eastAsia="zh-CN"/>
        </w:rPr>
        <w:t xml:space="preserve"> </w:t>
      </w:r>
      <w:r w:rsidRPr="009B3D1A">
        <w:rPr>
          <w:rFonts w:ascii="Book Antiqua" w:hAnsi="Book Antiqua"/>
        </w:rPr>
        <w:t>CD</w:t>
      </w:r>
      <w:r>
        <w:rPr>
          <w:rFonts w:ascii="Book Antiqua" w:hAnsi="Book Antiqua"/>
          <w:lang w:eastAsia="zh-CN"/>
        </w:rPr>
        <w:t xml:space="preserve"> </w:t>
      </w:r>
      <w:r w:rsidRPr="009B3D1A">
        <w:rPr>
          <w:rFonts w:ascii="Book Antiqua" w:hAnsi="Book Antiqua"/>
        </w:rPr>
        <w:t>prevalence and associated manifestations or risk factors in healthy adult Emiratis.</w:t>
      </w:r>
    </w:p>
    <w:p w:rsidR="00225EB4" w:rsidRDefault="00225EB4" w:rsidP="00FE70C5">
      <w:pPr>
        <w:spacing w:line="360" w:lineRule="auto"/>
        <w:jc w:val="both"/>
        <w:rPr>
          <w:rFonts w:ascii="Book Antiqua" w:hAnsi="Book Antiqua"/>
          <w:b/>
          <w:lang w:eastAsia="zh-CN"/>
        </w:rPr>
      </w:pPr>
    </w:p>
    <w:p w:rsidR="00225EB4" w:rsidRPr="00223AA1" w:rsidRDefault="00225EB4" w:rsidP="00FE70C5">
      <w:pPr>
        <w:spacing w:line="360" w:lineRule="auto"/>
        <w:jc w:val="both"/>
        <w:rPr>
          <w:rFonts w:ascii="Book Antiqua" w:hAnsi="Book Antiqua"/>
          <w:b/>
        </w:rPr>
      </w:pPr>
      <w:r w:rsidRPr="009B3D1A">
        <w:rPr>
          <w:rFonts w:ascii="Book Antiqua" w:hAnsi="Book Antiqua"/>
          <w:b/>
          <w:i/>
        </w:rPr>
        <w:t>Research frontiers</w:t>
      </w:r>
    </w:p>
    <w:p w:rsidR="00225EB4" w:rsidRDefault="00225EB4" w:rsidP="00FE70C5">
      <w:pPr>
        <w:spacing w:line="360" w:lineRule="auto"/>
        <w:jc w:val="both"/>
        <w:rPr>
          <w:rFonts w:ascii="Book Antiqua" w:hAnsi="Book Antiqua"/>
        </w:rPr>
      </w:pPr>
      <w:r w:rsidRPr="009B3D1A">
        <w:rPr>
          <w:rFonts w:ascii="Book Antiqua" w:hAnsi="Book Antiqua"/>
        </w:rPr>
        <w:t>The lack of information on the prevalence of the disease from many countries is hindering the effort to draw a worldwide prevalence map of the disease. There is no previous report on the prevalence of CD in the United Arab Emirates.</w:t>
      </w:r>
    </w:p>
    <w:p w:rsidR="00225EB4" w:rsidRPr="009B3D1A" w:rsidRDefault="00225EB4" w:rsidP="00FE70C5">
      <w:pPr>
        <w:spacing w:line="360" w:lineRule="auto"/>
        <w:jc w:val="both"/>
        <w:rPr>
          <w:rFonts w:ascii="Book Antiqua" w:hAnsi="Book Antiqua"/>
        </w:rPr>
      </w:pPr>
    </w:p>
    <w:p w:rsidR="00225EB4" w:rsidRPr="009B3D1A" w:rsidRDefault="00225EB4" w:rsidP="00FE70C5">
      <w:pPr>
        <w:spacing w:line="360" w:lineRule="auto"/>
        <w:jc w:val="both"/>
        <w:rPr>
          <w:rFonts w:ascii="Book Antiqua" w:hAnsi="Book Antiqua"/>
          <w:b/>
          <w:i/>
        </w:rPr>
      </w:pPr>
      <w:r w:rsidRPr="009B3D1A">
        <w:rPr>
          <w:rFonts w:ascii="Book Antiqua" w:hAnsi="Book Antiqua"/>
          <w:b/>
          <w:i/>
        </w:rPr>
        <w:t>Innovations and breakthroughs</w:t>
      </w:r>
    </w:p>
    <w:p w:rsidR="00225EB4" w:rsidRDefault="00225EB4" w:rsidP="00FE70C5">
      <w:pPr>
        <w:spacing w:line="360" w:lineRule="auto"/>
        <w:jc w:val="both"/>
        <w:rPr>
          <w:rFonts w:ascii="Book Antiqua" w:hAnsi="Book Antiqua"/>
        </w:rPr>
      </w:pPr>
      <w:r w:rsidRPr="009B3D1A">
        <w:rPr>
          <w:rFonts w:ascii="Book Antiqua" w:hAnsi="Book Antiqua"/>
        </w:rPr>
        <w:t>We have reported for the first time the prevalence of celiac disease among Emiratis. Furthermore, from public health perspective our findings of the highest gender disparity in the celiac disease prevalence worldwide is interesting, the prevalence in women was 1:44 compared with 1:624 in men. The study points to the importance of considering celiac disease as an etiological agent particularly in Emiratis women who suffer from chronic anemia.</w:t>
      </w:r>
    </w:p>
    <w:p w:rsidR="00225EB4" w:rsidRPr="009B3D1A" w:rsidRDefault="00225EB4" w:rsidP="00FE70C5">
      <w:pPr>
        <w:spacing w:line="360" w:lineRule="auto"/>
        <w:jc w:val="both"/>
        <w:rPr>
          <w:rFonts w:ascii="Book Antiqua" w:hAnsi="Book Antiqua"/>
        </w:rPr>
      </w:pPr>
    </w:p>
    <w:p w:rsidR="00225EB4" w:rsidRPr="009B3D1A" w:rsidRDefault="00225EB4" w:rsidP="00FE70C5">
      <w:pPr>
        <w:spacing w:line="360" w:lineRule="auto"/>
        <w:jc w:val="both"/>
        <w:rPr>
          <w:rFonts w:ascii="Book Antiqua" w:hAnsi="Book Antiqua"/>
          <w:b/>
          <w:i/>
        </w:rPr>
      </w:pPr>
      <w:r w:rsidRPr="009B3D1A">
        <w:rPr>
          <w:rFonts w:ascii="Book Antiqua" w:hAnsi="Book Antiqua"/>
          <w:b/>
          <w:i/>
        </w:rPr>
        <w:t xml:space="preserve">Applications </w:t>
      </w:r>
    </w:p>
    <w:p w:rsidR="00225EB4" w:rsidRDefault="00225EB4" w:rsidP="00FE70C5">
      <w:pPr>
        <w:spacing w:line="360" w:lineRule="auto"/>
        <w:jc w:val="both"/>
        <w:rPr>
          <w:rFonts w:ascii="Book Antiqua" w:hAnsi="Book Antiqua"/>
        </w:rPr>
      </w:pPr>
      <w:r w:rsidRPr="009B3D1A">
        <w:rPr>
          <w:rFonts w:ascii="Book Antiqua" w:hAnsi="Book Antiqua"/>
        </w:rPr>
        <w:t>The results suggest that celiac disease is common among young Emiratis women in Al Ain; therefore, further studies on celiac disease in UAE are warranted to determine the actual celiac disease prevalence in UAE.</w:t>
      </w:r>
    </w:p>
    <w:p w:rsidR="00225EB4" w:rsidRDefault="00225EB4" w:rsidP="00FE70C5">
      <w:pPr>
        <w:spacing w:line="360" w:lineRule="auto"/>
        <w:jc w:val="both"/>
        <w:rPr>
          <w:rFonts w:ascii="Book Antiqua" w:hAnsi="Book Antiqua"/>
          <w:b/>
          <w:i/>
        </w:rPr>
      </w:pPr>
    </w:p>
    <w:p w:rsidR="00225EB4" w:rsidRPr="009B3D1A" w:rsidRDefault="00225EB4" w:rsidP="00FE70C5">
      <w:pPr>
        <w:spacing w:line="360" w:lineRule="auto"/>
        <w:jc w:val="both"/>
        <w:rPr>
          <w:rFonts w:ascii="Book Antiqua" w:hAnsi="Book Antiqua"/>
          <w:b/>
          <w:i/>
        </w:rPr>
      </w:pPr>
      <w:r w:rsidRPr="009B3D1A">
        <w:rPr>
          <w:rFonts w:ascii="Book Antiqua" w:hAnsi="Book Antiqua"/>
          <w:b/>
          <w:i/>
        </w:rPr>
        <w:t>Peer review</w:t>
      </w:r>
    </w:p>
    <w:p w:rsidR="00225EB4" w:rsidRDefault="00225EB4" w:rsidP="00FE70C5">
      <w:pPr>
        <w:spacing w:line="360" w:lineRule="auto"/>
        <w:jc w:val="both"/>
        <w:rPr>
          <w:rFonts w:ascii="Book Antiqua" w:hAnsi="Book Antiqua" w:cs="MonotypeCorsiva"/>
          <w:lang w:eastAsia="zh-CN"/>
        </w:rPr>
      </w:pPr>
      <w:r w:rsidRPr="009B3D1A">
        <w:rPr>
          <w:rFonts w:ascii="Book Antiqua" w:hAnsi="Book Antiqua" w:cs="MonotypeCorsiva"/>
        </w:rPr>
        <w:t>CD</w:t>
      </w:r>
      <w:r>
        <w:rPr>
          <w:rFonts w:ascii="Book Antiqua" w:hAnsi="Book Antiqua" w:cs="MonotypeCorsiva"/>
          <w:lang w:eastAsia="zh-CN"/>
        </w:rPr>
        <w:t xml:space="preserve"> </w:t>
      </w:r>
      <w:r w:rsidRPr="009B3D1A">
        <w:rPr>
          <w:rFonts w:ascii="Book Antiqua" w:hAnsi="Book Antiqua" w:cs="MonotypeCorsiva"/>
        </w:rPr>
        <w:t>prevalence is unknown in UAE</w:t>
      </w:r>
      <w:r>
        <w:rPr>
          <w:rFonts w:ascii="Book Antiqua" w:hAnsi="Book Antiqua" w:cs="MonotypeCorsiva"/>
          <w:lang w:eastAsia="zh-CN"/>
        </w:rPr>
        <w:t xml:space="preserve"> and </w:t>
      </w:r>
      <w:r w:rsidRPr="009B3D1A">
        <w:rPr>
          <w:rFonts w:ascii="Book Antiqua" w:hAnsi="Book Antiqua" w:cs="MonotypeCorsiva"/>
        </w:rPr>
        <w:t xml:space="preserve">Screening for CD </w:t>
      </w:r>
      <w:r>
        <w:rPr>
          <w:rFonts w:ascii="Book Antiqua" w:hAnsi="Book Antiqua" w:cs="MonotypeCorsiva"/>
          <w:lang w:eastAsia="zh-CN"/>
        </w:rPr>
        <w:t>is very important</w:t>
      </w:r>
      <w:r w:rsidRPr="009B3D1A">
        <w:rPr>
          <w:rFonts w:ascii="Book Antiqua" w:hAnsi="Book Antiqua" w:cs="MonotypeCorsiva"/>
        </w:rPr>
        <w:t xml:space="preserve">. </w:t>
      </w:r>
      <w:r>
        <w:rPr>
          <w:rFonts w:ascii="Book Antiqua" w:hAnsi="Book Antiqua" w:cs="MonotypeCorsiva"/>
          <w:lang w:eastAsia="zh-CN"/>
        </w:rPr>
        <w:t xml:space="preserve"> T</w:t>
      </w:r>
      <w:r w:rsidRPr="009B3D1A">
        <w:rPr>
          <w:rFonts w:ascii="Book Antiqua" w:hAnsi="Book Antiqua" w:cs="MonotypeCorsiva"/>
        </w:rPr>
        <w:t>his is the first study on CD prevalence among Emiratis</w:t>
      </w:r>
      <w:r>
        <w:rPr>
          <w:rFonts w:ascii="Book Antiqua" w:hAnsi="Book Antiqua" w:cs="MonotypeCorsiva"/>
          <w:lang w:eastAsia="zh-CN"/>
        </w:rPr>
        <w:t xml:space="preserve"> and it</w:t>
      </w:r>
      <w:r w:rsidRPr="009B3D1A">
        <w:rPr>
          <w:rFonts w:ascii="Book Antiqua" w:hAnsi="Book Antiqua" w:cs="MonotypeCorsiva"/>
        </w:rPr>
        <w:t xml:space="preserve"> report</w:t>
      </w:r>
      <w:r>
        <w:rPr>
          <w:rFonts w:ascii="Book Antiqua" w:hAnsi="Book Antiqua" w:cs="MonotypeCorsiva"/>
          <w:lang w:eastAsia="zh-CN"/>
        </w:rPr>
        <w:t xml:space="preserve">s </w:t>
      </w:r>
      <w:r w:rsidRPr="009B3D1A">
        <w:rPr>
          <w:rFonts w:ascii="Book Antiqua" w:hAnsi="Book Antiqua" w:cs="MonotypeCorsiva"/>
        </w:rPr>
        <w:t>the highest gender difference in celiac disease seroprevalence worldwide.</w:t>
      </w:r>
    </w:p>
    <w:p w:rsidR="00225EB4" w:rsidRPr="009B3D1A" w:rsidRDefault="00225EB4" w:rsidP="00FE70C5">
      <w:pPr>
        <w:spacing w:line="360" w:lineRule="auto"/>
        <w:jc w:val="both"/>
        <w:rPr>
          <w:rFonts w:ascii="Book Antiqua" w:hAnsi="Book Antiqua" w:cs="MonotypeCorsiva"/>
          <w:lang w:eastAsia="zh-CN"/>
        </w:rPr>
      </w:pPr>
    </w:p>
    <w:p w:rsidR="00225EB4" w:rsidRPr="002D17EE" w:rsidRDefault="00225EB4" w:rsidP="00FE70C5">
      <w:pPr>
        <w:tabs>
          <w:tab w:val="left" w:pos="0"/>
        </w:tabs>
        <w:spacing w:line="360" w:lineRule="auto"/>
        <w:jc w:val="both"/>
        <w:rPr>
          <w:rFonts w:ascii="Book Antiqua" w:hAnsi="Book Antiqua"/>
          <w:b/>
          <w:lang w:val="it-IT"/>
        </w:rPr>
      </w:pPr>
      <w:r w:rsidRPr="002D17EE">
        <w:rPr>
          <w:rFonts w:ascii="Book Antiqua" w:hAnsi="Book Antiqua"/>
          <w:b/>
          <w:lang w:val="it-IT"/>
        </w:rPr>
        <w:t>REFERENCES</w:t>
      </w:r>
      <w:bookmarkStart w:id="6" w:name="_Ref26947015"/>
      <w:bookmarkEnd w:id="5"/>
    </w:p>
    <w:p w:rsidR="00225EB4" w:rsidRPr="002D17EE" w:rsidRDefault="00225EB4" w:rsidP="00FE70C5">
      <w:pPr>
        <w:spacing w:line="360" w:lineRule="auto"/>
        <w:jc w:val="both"/>
        <w:rPr>
          <w:rFonts w:ascii="Book Antiqua" w:hAnsi="Book Antiqua" w:cs="simsun"/>
          <w:lang w:val="it-IT"/>
        </w:rPr>
      </w:pPr>
      <w:bookmarkStart w:id="7" w:name="OLE_LINK277"/>
      <w:bookmarkStart w:id="8" w:name="OLE_LINK278"/>
      <w:bookmarkStart w:id="9" w:name="OLE_LINK279"/>
      <w:bookmarkStart w:id="10" w:name="OLE_LINK290"/>
      <w:bookmarkStart w:id="11" w:name="OLE_LINK301"/>
      <w:bookmarkStart w:id="12" w:name="OLE_LINK312"/>
      <w:bookmarkStart w:id="13" w:name="OLE_LINK315"/>
      <w:bookmarkStart w:id="14" w:name="OLE_LINK316"/>
      <w:bookmarkStart w:id="15" w:name="OLE_LINK317"/>
      <w:bookmarkStart w:id="16" w:name="OLE_LINK318"/>
      <w:bookmarkStart w:id="17" w:name="OLE_LINK326"/>
      <w:bookmarkStart w:id="18" w:name="OLE_LINK335"/>
      <w:bookmarkStart w:id="19" w:name="OLE_LINK339"/>
      <w:bookmarkStart w:id="20" w:name="OLE_LINK348"/>
      <w:bookmarkStart w:id="21" w:name="OLE_LINK378"/>
      <w:bookmarkEnd w:id="6"/>
      <w:r w:rsidRPr="002D17EE">
        <w:rPr>
          <w:rFonts w:ascii="Book Antiqua" w:hAnsi="Book Antiqua" w:cs="simsun"/>
          <w:lang w:val="it-IT"/>
        </w:rPr>
        <w:t xml:space="preserve">1 </w:t>
      </w:r>
      <w:r w:rsidRPr="002D17EE">
        <w:rPr>
          <w:rFonts w:ascii="Book Antiqua" w:hAnsi="Book Antiqua" w:cs="simsun"/>
          <w:b/>
          <w:bCs/>
          <w:lang w:val="it-IT"/>
        </w:rPr>
        <w:t>Addolorato G</w:t>
      </w:r>
      <w:r w:rsidRPr="002D17EE">
        <w:rPr>
          <w:rFonts w:ascii="Book Antiqua" w:hAnsi="Book Antiqua" w:cs="simsun"/>
          <w:lang w:val="it-IT"/>
        </w:rPr>
        <w:t xml:space="preserve">, Leggio L, D'Angelo C, Mirijello A, Ferrulli A, Cardone S, Vonghia L, Abenavoli L, Leso V, Nesci A, Piano S, Capristo E, Gasbarrini G. Affective and psychiatric disorders in celiac disease. </w:t>
      </w:r>
      <w:r w:rsidRPr="002D17EE">
        <w:rPr>
          <w:rFonts w:ascii="Book Antiqua" w:hAnsi="Book Antiqua" w:cs="simsun"/>
          <w:i/>
          <w:iCs/>
          <w:lang w:val="it-IT"/>
        </w:rPr>
        <w:t>Dig Dis</w:t>
      </w:r>
      <w:r w:rsidRPr="002D17EE">
        <w:rPr>
          <w:rFonts w:ascii="Book Antiqua" w:hAnsi="Book Antiqua" w:cs="simsun"/>
          <w:lang w:val="it-IT"/>
        </w:rPr>
        <w:t xml:space="preserve"> 2008; </w:t>
      </w:r>
      <w:r w:rsidRPr="002D17EE">
        <w:rPr>
          <w:rFonts w:ascii="Book Antiqua" w:hAnsi="Book Antiqua" w:cs="simsun"/>
          <w:b/>
          <w:bCs/>
          <w:lang w:val="it-IT"/>
        </w:rPr>
        <w:t>26</w:t>
      </w:r>
      <w:r w:rsidRPr="002D17EE">
        <w:rPr>
          <w:rFonts w:ascii="Book Antiqua" w:hAnsi="Book Antiqua" w:cs="simsun"/>
          <w:lang w:val="it-IT"/>
        </w:rPr>
        <w:t>: 140-148 [PMID: 18431064 DOI: 10.1159/000116772]</w:t>
      </w:r>
    </w:p>
    <w:p w:rsidR="00225EB4" w:rsidRPr="00704467" w:rsidRDefault="00225EB4" w:rsidP="00FE70C5">
      <w:pPr>
        <w:spacing w:line="360" w:lineRule="auto"/>
        <w:jc w:val="both"/>
        <w:rPr>
          <w:rFonts w:ascii="Book Antiqua" w:hAnsi="Book Antiqua" w:cs="simsun"/>
        </w:rPr>
      </w:pPr>
      <w:r w:rsidRPr="002D17EE">
        <w:rPr>
          <w:rFonts w:ascii="Book Antiqua" w:hAnsi="Book Antiqua" w:cs="simsun"/>
          <w:lang w:val="it-IT"/>
        </w:rPr>
        <w:t xml:space="preserve">2 </w:t>
      </w:r>
      <w:r w:rsidRPr="002D17EE">
        <w:rPr>
          <w:rFonts w:ascii="Book Antiqua" w:hAnsi="Book Antiqua" w:cs="simsun"/>
          <w:b/>
          <w:bCs/>
          <w:lang w:val="it-IT"/>
        </w:rPr>
        <w:t>Abenavoli L</w:t>
      </w:r>
      <w:r w:rsidRPr="002D17EE">
        <w:rPr>
          <w:rFonts w:ascii="Book Antiqua" w:hAnsi="Book Antiqua" w:cs="simsun"/>
          <w:lang w:val="it-IT"/>
        </w:rPr>
        <w:t xml:space="preserve">, Proietti I, Leggio L, Ferrulli A, Vonghia L, Capizzi R, Rotoli M, Amerio PL, Gasbarrini G, Addolorato G. Cutaneous manifestations in celiac disease. </w:t>
      </w:r>
      <w:r w:rsidRPr="00704467">
        <w:rPr>
          <w:rFonts w:ascii="Book Antiqua" w:hAnsi="Book Antiqua" w:cs="simsun"/>
          <w:i/>
          <w:iCs/>
        </w:rPr>
        <w:t>World J Gastroenterol</w:t>
      </w:r>
      <w:r w:rsidRPr="00704467">
        <w:rPr>
          <w:rFonts w:ascii="Book Antiqua" w:hAnsi="Book Antiqua" w:cs="simsun"/>
        </w:rPr>
        <w:t xml:space="preserve"> 2006; </w:t>
      </w:r>
      <w:r w:rsidRPr="00704467">
        <w:rPr>
          <w:rFonts w:ascii="Book Antiqua" w:hAnsi="Book Antiqua" w:cs="simsun"/>
          <w:b/>
          <w:bCs/>
        </w:rPr>
        <w:t>12</w:t>
      </w:r>
      <w:r w:rsidRPr="00704467">
        <w:rPr>
          <w:rFonts w:ascii="Book Antiqua" w:hAnsi="Book Antiqua" w:cs="simsun"/>
        </w:rPr>
        <w:t>: 843-852 [PMID: 16521210]</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3 </w:t>
      </w:r>
      <w:r w:rsidRPr="00704467">
        <w:rPr>
          <w:rFonts w:ascii="Book Antiqua" w:hAnsi="Book Antiqua" w:cs="simsun"/>
          <w:b/>
          <w:bCs/>
        </w:rPr>
        <w:t>Lauret E</w:t>
      </w:r>
      <w:r w:rsidRPr="00704467">
        <w:rPr>
          <w:rFonts w:ascii="Book Antiqua" w:hAnsi="Book Antiqua" w:cs="simsun"/>
        </w:rPr>
        <w:t xml:space="preserve">, Rodrigo L. Celiac disease and autoimmune-associated conditions. </w:t>
      </w:r>
      <w:r w:rsidRPr="00704467">
        <w:rPr>
          <w:rFonts w:ascii="Book Antiqua" w:hAnsi="Book Antiqua" w:cs="simsun"/>
          <w:i/>
          <w:iCs/>
        </w:rPr>
        <w:t>Biomed Res Int</w:t>
      </w:r>
      <w:r w:rsidRPr="00704467">
        <w:rPr>
          <w:rFonts w:ascii="Book Antiqua" w:hAnsi="Book Antiqua" w:cs="simsun"/>
        </w:rPr>
        <w:t xml:space="preserve"> 2013; </w:t>
      </w:r>
      <w:r w:rsidRPr="00704467">
        <w:rPr>
          <w:rFonts w:ascii="Book Antiqua" w:hAnsi="Book Antiqua" w:cs="simsun"/>
          <w:b/>
          <w:bCs/>
        </w:rPr>
        <w:t>2013</w:t>
      </w:r>
      <w:r w:rsidRPr="00704467">
        <w:rPr>
          <w:rFonts w:ascii="Book Antiqua" w:hAnsi="Book Antiqua" w:cs="simsun"/>
        </w:rPr>
        <w:t>: 127589 [PMID: 23984314 DOI: 10.1155/2013/127589]</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4 </w:t>
      </w:r>
      <w:r w:rsidRPr="00704467">
        <w:rPr>
          <w:rFonts w:ascii="Book Antiqua" w:hAnsi="Book Antiqua" w:cs="simsun"/>
          <w:b/>
          <w:bCs/>
        </w:rPr>
        <w:t>Ciclitira PJ</w:t>
      </w:r>
      <w:r w:rsidRPr="00704467">
        <w:rPr>
          <w:rFonts w:ascii="Book Antiqua" w:hAnsi="Book Antiqua" w:cs="simsun"/>
        </w:rPr>
        <w:t xml:space="preserve">, Moodie SJ. Transition of care between paediatric and adult gastroenterology. Coeliac disease. </w:t>
      </w:r>
      <w:r w:rsidRPr="00704467">
        <w:rPr>
          <w:rFonts w:ascii="Book Antiqua" w:hAnsi="Book Antiqua" w:cs="simsun"/>
          <w:i/>
          <w:iCs/>
        </w:rPr>
        <w:t>Best Pract Res Clin Gastroenterol</w:t>
      </w:r>
      <w:r w:rsidRPr="00704467">
        <w:rPr>
          <w:rFonts w:ascii="Book Antiqua" w:hAnsi="Book Antiqua" w:cs="simsun"/>
        </w:rPr>
        <w:t xml:space="preserve"> 2003; </w:t>
      </w:r>
      <w:r w:rsidRPr="00704467">
        <w:rPr>
          <w:rFonts w:ascii="Book Antiqua" w:hAnsi="Book Antiqua" w:cs="simsun"/>
          <w:b/>
          <w:bCs/>
        </w:rPr>
        <w:t>17</w:t>
      </w:r>
      <w:r w:rsidRPr="00704467">
        <w:rPr>
          <w:rFonts w:ascii="Book Antiqua" w:hAnsi="Book Antiqua" w:cs="simsun"/>
        </w:rPr>
        <w:t>: 181-195 [PMID: 12676114 DOI: 10.1016/S1521-6918(02)00147-6]</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5 </w:t>
      </w:r>
      <w:r w:rsidRPr="00704467">
        <w:rPr>
          <w:rFonts w:ascii="Book Antiqua" w:hAnsi="Book Antiqua" w:cs="simsun"/>
          <w:b/>
          <w:bCs/>
        </w:rPr>
        <w:t>Fasano A</w:t>
      </w:r>
      <w:r w:rsidRPr="00704467">
        <w:rPr>
          <w:rFonts w:ascii="Book Antiqua" w:hAnsi="Book Antiqua" w:cs="simsun"/>
        </w:rPr>
        <w:t xml:space="preserve">. Should we screen for coeliac disease? Yes. </w:t>
      </w:r>
      <w:r w:rsidRPr="00704467">
        <w:rPr>
          <w:rFonts w:ascii="Book Antiqua" w:hAnsi="Book Antiqua" w:cs="simsun"/>
          <w:i/>
          <w:iCs/>
        </w:rPr>
        <w:t>BMJ</w:t>
      </w:r>
      <w:r w:rsidRPr="00704467">
        <w:rPr>
          <w:rFonts w:ascii="Book Antiqua" w:hAnsi="Book Antiqua" w:cs="simsun"/>
        </w:rPr>
        <w:t xml:space="preserve"> 2009; </w:t>
      </w:r>
      <w:r w:rsidRPr="00704467">
        <w:rPr>
          <w:rFonts w:ascii="Book Antiqua" w:hAnsi="Book Antiqua" w:cs="simsun"/>
          <w:b/>
          <w:bCs/>
        </w:rPr>
        <w:t>339</w:t>
      </w:r>
      <w:r w:rsidRPr="00704467">
        <w:rPr>
          <w:rFonts w:ascii="Book Antiqua" w:hAnsi="Book Antiqua" w:cs="simsun"/>
        </w:rPr>
        <w:t>: b3592 [PMID: 19762413 DOI: 10.1136/bmj.b3592]</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6 </w:t>
      </w:r>
      <w:r w:rsidRPr="00704467">
        <w:rPr>
          <w:rFonts w:ascii="Book Antiqua" w:hAnsi="Book Antiqua" w:cs="simsun"/>
          <w:b/>
          <w:bCs/>
        </w:rPr>
        <w:t>Accomando S</w:t>
      </w:r>
      <w:r w:rsidRPr="00704467">
        <w:rPr>
          <w:rFonts w:ascii="Book Antiqua" w:hAnsi="Book Antiqua" w:cs="simsun"/>
        </w:rPr>
        <w:t xml:space="preserve">, Cataldo F. The global village of celiac disease. </w:t>
      </w:r>
      <w:r w:rsidRPr="00704467">
        <w:rPr>
          <w:rFonts w:ascii="Book Antiqua" w:hAnsi="Book Antiqua" w:cs="simsun"/>
          <w:i/>
          <w:iCs/>
        </w:rPr>
        <w:t>Dig Liver Dis</w:t>
      </w:r>
      <w:r w:rsidRPr="00704467">
        <w:rPr>
          <w:rFonts w:ascii="Book Antiqua" w:hAnsi="Book Antiqua" w:cs="simsun"/>
        </w:rPr>
        <w:t xml:space="preserve"> 2004; </w:t>
      </w:r>
      <w:r w:rsidRPr="00704467">
        <w:rPr>
          <w:rFonts w:ascii="Book Antiqua" w:hAnsi="Book Antiqua" w:cs="simsun"/>
          <w:b/>
          <w:bCs/>
        </w:rPr>
        <w:t>36</w:t>
      </w:r>
      <w:r w:rsidRPr="00704467">
        <w:rPr>
          <w:rFonts w:ascii="Book Antiqua" w:hAnsi="Book Antiqua" w:cs="simsun"/>
        </w:rPr>
        <w:t>: 492-498 [PMID: 15285531 DOI: 10.1016/j.dld.2004.01.026]</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7 </w:t>
      </w:r>
      <w:r w:rsidRPr="00704467">
        <w:rPr>
          <w:rFonts w:ascii="Book Antiqua" w:hAnsi="Book Antiqua" w:cs="simsun"/>
          <w:b/>
          <w:bCs/>
        </w:rPr>
        <w:t>Green PH</w:t>
      </w:r>
      <w:r w:rsidRPr="00704467">
        <w:rPr>
          <w:rFonts w:ascii="Book Antiqua" w:hAnsi="Book Antiqua" w:cs="simsun"/>
        </w:rPr>
        <w:t xml:space="preserve">, Rostami K, Marsh MN. Diagnosis of coeliac disease. </w:t>
      </w:r>
      <w:r w:rsidRPr="00704467">
        <w:rPr>
          <w:rFonts w:ascii="Book Antiqua" w:hAnsi="Book Antiqua" w:cs="simsun"/>
          <w:i/>
          <w:iCs/>
        </w:rPr>
        <w:t>Best Pract Res Clin Gastroenterol</w:t>
      </w:r>
      <w:r w:rsidRPr="00704467">
        <w:rPr>
          <w:rFonts w:ascii="Book Antiqua" w:hAnsi="Book Antiqua" w:cs="simsun"/>
        </w:rPr>
        <w:t xml:space="preserve"> 2005; </w:t>
      </w:r>
      <w:r w:rsidRPr="00704467">
        <w:rPr>
          <w:rFonts w:ascii="Book Antiqua" w:hAnsi="Book Antiqua" w:cs="simsun"/>
          <w:b/>
          <w:bCs/>
        </w:rPr>
        <w:t>19</w:t>
      </w:r>
      <w:r w:rsidRPr="00704467">
        <w:rPr>
          <w:rFonts w:ascii="Book Antiqua" w:hAnsi="Book Antiqua" w:cs="simsun"/>
        </w:rPr>
        <w:t>: 389-400 [PMID: 15925844 DOI: 10.1016/j.bpg.2005.02.006]</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8 </w:t>
      </w:r>
      <w:r w:rsidRPr="00704467">
        <w:rPr>
          <w:rFonts w:ascii="Book Antiqua" w:hAnsi="Book Antiqua" w:cs="simsun"/>
          <w:b/>
          <w:bCs/>
        </w:rPr>
        <w:t>Guandalini S</w:t>
      </w:r>
      <w:r w:rsidRPr="00704467">
        <w:rPr>
          <w:rFonts w:ascii="Book Antiqua" w:hAnsi="Book Antiqua" w:cs="simsun"/>
        </w:rPr>
        <w:t xml:space="preserve">, Gupta P. Do you still need a biopsy to diagnose celiac disease? </w:t>
      </w:r>
      <w:r w:rsidRPr="00704467">
        <w:rPr>
          <w:rFonts w:ascii="Book Antiqua" w:hAnsi="Book Antiqua" w:cs="simsun"/>
          <w:i/>
          <w:iCs/>
        </w:rPr>
        <w:t>Curr Gastroenterol Rep</w:t>
      </w:r>
      <w:r w:rsidRPr="00704467">
        <w:rPr>
          <w:rFonts w:ascii="Book Antiqua" w:hAnsi="Book Antiqua" w:cs="simsun"/>
        </w:rPr>
        <w:t xml:space="preserve"> 2001; </w:t>
      </w:r>
      <w:r w:rsidRPr="00704467">
        <w:rPr>
          <w:rFonts w:ascii="Book Antiqua" w:hAnsi="Book Antiqua" w:cs="simsun"/>
          <w:b/>
          <w:bCs/>
        </w:rPr>
        <w:t>3</w:t>
      </w:r>
      <w:r w:rsidRPr="00704467">
        <w:rPr>
          <w:rFonts w:ascii="Book Antiqua" w:hAnsi="Book Antiqua" w:cs="simsun"/>
        </w:rPr>
        <w:t>: 385-391 [PMID: 11560795 DOI: 10.1007/s11894-001-0080-x]</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9 </w:t>
      </w:r>
      <w:r w:rsidRPr="00704467">
        <w:rPr>
          <w:rFonts w:ascii="Book Antiqua" w:hAnsi="Book Antiqua" w:cs="simsun"/>
          <w:b/>
          <w:bCs/>
        </w:rPr>
        <w:t>Kang JY</w:t>
      </w:r>
      <w:r w:rsidRPr="00704467">
        <w:rPr>
          <w:rFonts w:ascii="Book Antiqua" w:hAnsi="Book Antiqua" w:cs="simsun"/>
        </w:rPr>
        <w:t xml:space="preserve">, Kang AH, Green A, Gwee KA, Ho KY. Systematic review: worldwide variation in the frequency of coeliac disease and changes over time. </w:t>
      </w:r>
      <w:r w:rsidRPr="00704467">
        <w:rPr>
          <w:rFonts w:ascii="Book Antiqua" w:hAnsi="Book Antiqua" w:cs="simsun"/>
          <w:i/>
          <w:iCs/>
        </w:rPr>
        <w:t>Aliment Pharmacol Ther</w:t>
      </w:r>
      <w:r w:rsidRPr="00704467">
        <w:rPr>
          <w:rFonts w:ascii="Book Antiqua" w:hAnsi="Book Antiqua" w:cs="simsun"/>
        </w:rPr>
        <w:t xml:space="preserve"> 2013; </w:t>
      </w:r>
      <w:r w:rsidRPr="00704467">
        <w:rPr>
          <w:rFonts w:ascii="Book Antiqua" w:hAnsi="Book Antiqua" w:cs="simsun"/>
          <w:b/>
          <w:bCs/>
        </w:rPr>
        <w:t>38</w:t>
      </w:r>
      <w:r w:rsidRPr="00704467">
        <w:rPr>
          <w:rFonts w:ascii="Book Antiqua" w:hAnsi="Book Antiqua" w:cs="simsun"/>
        </w:rPr>
        <w:t>: 226-245 [PMID: 23782240 DOI: 10.1111/apt.12373]</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10 </w:t>
      </w:r>
      <w:r w:rsidRPr="00704467">
        <w:rPr>
          <w:rFonts w:ascii="Book Antiqua" w:hAnsi="Book Antiqua" w:cs="simsun"/>
          <w:b/>
          <w:bCs/>
        </w:rPr>
        <w:t>Mulder CJ</w:t>
      </w:r>
      <w:r w:rsidRPr="00704467">
        <w:rPr>
          <w:rFonts w:ascii="Book Antiqua" w:hAnsi="Book Antiqua" w:cs="simsun"/>
        </w:rPr>
        <w:t xml:space="preserve">, Cellier C. Coeliac disease: changing views. </w:t>
      </w:r>
      <w:r w:rsidRPr="00704467">
        <w:rPr>
          <w:rFonts w:ascii="Book Antiqua" w:hAnsi="Book Antiqua" w:cs="simsun"/>
          <w:i/>
          <w:iCs/>
        </w:rPr>
        <w:t>Best Pract Res Clin Gastroenterol</w:t>
      </w:r>
      <w:r w:rsidRPr="00704467">
        <w:rPr>
          <w:rFonts w:ascii="Book Antiqua" w:hAnsi="Book Antiqua" w:cs="simsun"/>
        </w:rPr>
        <w:t xml:space="preserve"> 2005; </w:t>
      </w:r>
      <w:r w:rsidRPr="00704467">
        <w:rPr>
          <w:rFonts w:ascii="Book Antiqua" w:hAnsi="Book Antiqua" w:cs="simsun"/>
          <w:b/>
          <w:bCs/>
        </w:rPr>
        <w:t>19</w:t>
      </w:r>
      <w:r w:rsidRPr="00704467">
        <w:rPr>
          <w:rFonts w:ascii="Book Antiqua" w:hAnsi="Book Antiqua" w:cs="simsun"/>
        </w:rPr>
        <w:t>: 313-321 [PMID: 15925838 DOI: 10.1016/j.bpg.2005.01.006]</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lastRenderedPageBreak/>
        <w:t xml:space="preserve">11 </w:t>
      </w:r>
      <w:r w:rsidRPr="00704467">
        <w:rPr>
          <w:rFonts w:ascii="Book Antiqua" w:hAnsi="Book Antiqua" w:cs="simsun"/>
          <w:b/>
          <w:bCs/>
        </w:rPr>
        <w:t>Holtmeier W</w:t>
      </w:r>
      <w:r w:rsidRPr="00704467">
        <w:rPr>
          <w:rFonts w:ascii="Book Antiqua" w:hAnsi="Book Antiqua" w:cs="simsun"/>
        </w:rPr>
        <w:t xml:space="preserve">, Caspary WF. Celiac disease. </w:t>
      </w:r>
      <w:r w:rsidRPr="00704467">
        <w:rPr>
          <w:rFonts w:ascii="Book Antiqua" w:hAnsi="Book Antiqua" w:cs="simsun"/>
          <w:i/>
          <w:iCs/>
        </w:rPr>
        <w:t>Orphanet J Rare Dis</w:t>
      </w:r>
      <w:r w:rsidRPr="00704467">
        <w:rPr>
          <w:rFonts w:ascii="Book Antiqua" w:hAnsi="Book Antiqua" w:cs="simsun"/>
        </w:rPr>
        <w:t xml:space="preserve"> 2006; </w:t>
      </w:r>
      <w:r w:rsidRPr="00704467">
        <w:rPr>
          <w:rFonts w:ascii="Book Antiqua" w:hAnsi="Book Antiqua" w:cs="simsun"/>
          <w:b/>
          <w:bCs/>
        </w:rPr>
        <w:t>1</w:t>
      </w:r>
      <w:r w:rsidRPr="00704467">
        <w:rPr>
          <w:rFonts w:ascii="Book Antiqua" w:hAnsi="Book Antiqua" w:cs="simsun"/>
        </w:rPr>
        <w:t>: 3 [PMID: 16722573 DOI: 10.1186/1750-1172-1-3]</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12 </w:t>
      </w:r>
      <w:r w:rsidRPr="00704467">
        <w:rPr>
          <w:rFonts w:ascii="Book Antiqua" w:hAnsi="Book Antiqua" w:cs="simsun"/>
          <w:b/>
          <w:bCs/>
        </w:rPr>
        <w:t>Makharia GK</w:t>
      </w:r>
      <w:r w:rsidRPr="00704467">
        <w:rPr>
          <w:rFonts w:ascii="Book Antiqua" w:hAnsi="Book Antiqua" w:cs="simsun"/>
        </w:rPr>
        <w:t xml:space="preserve">, Verma AK, Amarchand R, Bhatnagar S, Das P, Goswami A, Bhatia V, Ahuja V, Datta Gupta S, Anand K. Prevalence of celiac disease in the northern part of India: a community based study. </w:t>
      </w:r>
      <w:r w:rsidRPr="00704467">
        <w:rPr>
          <w:rFonts w:ascii="Book Antiqua" w:hAnsi="Book Antiqua" w:cs="simsun"/>
          <w:i/>
          <w:iCs/>
        </w:rPr>
        <w:t>J Gastroenterol Hepatol</w:t>
      </w:r>
      <w:r w:rsidRPr="00704467">
        <w:rPr>
          <w:rFonts w:ascii="Book Antiqua" w:hAnsi="Book Antiqua" w:cs="simsun"/>
        </w:rPr>
        <w:t xml:space="preserve"> 2011; </w:t>
      </w:r>
      <w:r w:rsidRPr="00704467">
        <w:rPr>
          <w:rFonts w:ascii="Book Antiqua" w:hAnsi="Book Antiqua" w:cs="simsun"/>
          <w:b/>
          <w:bCs/>
        </w:rPr>
        <w:t>26</w:t>
      </w:r>
      <w:r w:rsidRPr="00704467">
        <w:rPr>
          <w:rFonts w:ascii="Book Antiqua" w:hAnsi="Book Antiqua" w:cs="simsun"/>
        </w:rPr>
        <w:t>: 894-900 [PMID: 21182543 DOI: 10.1111/j.1440-1746.2010.06606.x]</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13 </w:t>
      </w:r>
      <w:r w:rsidRPr="00704467">
        <w:rPr>
          <w:rFonts w:ascii="Book Antiqua" w:hAnsi="Book Antiqua" w:cs="simsun"/>
          <w:b/>
          <w:bCs/>
        </w:rPr>
        <w:t>Dehghani SM</w:t>
      </w:r>
      <w:r w:rsidRPr="00704467">
        <w:rPr>
          <w:rFonts w:ascii="Book Antiqua" w:hAnsi="Book Antiqua" w:cs="simsun"/>
        </w:rPr>
        <w:t xml:space="preserve">, Haghighat M, Mobayen A, Rezaianzadeh A, Geramizadeh B. Prevalence of celiac disease in healthy Iranian school children. </w:t>
      </w:r>
      <w:r w:rsidRPr="00704467">
        <w:rPr>
          <w:rFonts w:ascii="Book Antiqua" w:hAnsi="Book Antiqua" w:cs="simsun"/>
          <w:i/>
          <w:iCs/>
        </w:rPr>
        <w:t>Ann Saudi Med</w:t>
      </w:r>
      <w:r w:rsidRPr="00704467">
        <w:rPr>
          <w:rFonts w:ascii="Book Antiqua" w:hAnsi="Book Antiqua" w:cs="simsun"/>
        </w:rPr>
        <w:t xml:space="preserve"> </w:t>
      </w:r>
      <w:r>
        <w:rPr>
          <w:rFonts w:ascii="Book Antiqua" w:hAnsi="Book Antiqua" w:cs="simsun"/>
        </w:rPr>
        <w:t>2013</w:t>
      </w:r>
      <w:r w:rsidRPr="00704467">
        <w:rPr>
          <w:rFonts w:ascii="Book Antiqua" w:hAnsi="Book Antiqua" w:cs="simsun"/>
        </w:rPr>
        <w:t xml:space="preserve">; </w:t>
      </w:r>
      <w:r w:rsidRPr="00704467">
        <w:rPr>
          <w:rFonts w:ascii="Book Antiqua" w:hAnsi="Book Antiqua" w:cs="simsun"/>
          <w:b/>
          <w:bCs/>
        </w:rPr>
        <w:t>33</w:t>
      </w:r>
      <w:r w:rsidRPr="00704467">
        <w:rPr>
          <w:rFonts w:ascii="Book Antiqua" w:hAnsi="Book Antiqua" w:cs="simsun"/>
        </w:rPr>
        <w:t>: 159-161 [PMID: 23563005]</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14 </w:t>
      </w:r>
      <w:r w:rsidRPr="00704467">
        <w:rPr>
          <w:rFonts w:ascii="Book Antiqua" w:hAnsi="Book Antiqua" w:cs="simsun"/>
          <w:b/>
          <w:bCs/>
        </w:rPr>
        <w:t>Niewinski MM</w:t>
      </w:r>
      <w:r w:rsidRPr="00704467">
        <w:rPr>
          <w:rFonts w:ascii="Book Antiqua" w:hAnsi="Book Antiqua" w:cs="simsun"/>
        </w:rPr>
        <w:t xml:space="preserve">. Advances in celiac disease and gluten-free diet. </w:t>
      </w:r>
      <w:r w:rsidRPr="00704467">
        <w:rPr>
          <w:rFonts w:ascii="Book Antiqua" w:hAnsi="Book Antiqua" w:cs="simsun"/>
          <w:i/>
          <w:iCs/>
        </w:rPr>
        <w:t>J Am Diet Assoc</w:t>
      </w:r>
      <w:r w:rsidRPr="00704467">
        <w:rPr>
          <w:rFonts w:ascii="Book Antiqua" w:hAnsi="Book Antiqua" w:cs="simsun"/>
        </w:rPr>
        <w:t xml:space="preserve"> 2008; </w:t>
      </w:r>
      <w:r w:rsidRPr="00704467">
        <w:rPr>
          <w:rFonts w:ascii="Book Antiqua" w:hAnsi="Book Antiqua" w:cs="simsun"/>
          <w:b/>
          <w:bCs/>
        </w:rPr>
        <w:t>108</w:t>
      </w:r>
      <w:r w:rsidRPr="00704467">
        <w:rPr>
          <w:rFonts w:ascii="Book Antiqua" w:hAnsi="Book Antiqua" w:cs="simsun"/>
        </w:rPr>
        <w:t>: 661-672 [PMID: 18375224 DOI: 10.1016/j.jada.2008.01.011]</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15 </w:t>
      </w:r>
      <w:r w:rsidRPr="00704467">
        <w:rPr>
          <w:rFonts w:ascii="Book Antiqua" w:hAnsi="Book Antiqua" w:cs="simsun"/>
          <w:b/>
          <w:bCs/>
        </w:rPr>
        <w:t>Rostami K</w:t>
      </w:r>
      <w:r w:rsidRPr="00704467">
        <w:rPr>
          <w:rFonts w:ascii="Book Antiqua" w:hAnsi="Book Antiqua" w:cs="simsun"/>
        </w:rPr>
        <w:t xml:space="preserve">, Malekzadeh R, Shahbazkhani B, Akbari MR, Catassi C. Coeliac disease in Middle Eastern countries: a challenge for the evolutionary history of this complex disorder? </w:t>
      </w:r>
      <w:r w:rsidRPr="00704467">
        <w:rPr>
          <w:rFonts w:ascii="Book Antiqua" w:hAnsi="Book Antiqua" w:cs="simsun"/>
          <w:i/>
          <w:iCs/>
        </w:rPr>
        <w:t>Dig Liver Dis</w:t>
      </w:r>
      <w:r w:rsidRPr="00704467">
        <w:rPr>
          <w:rFonts w:ascii="Book Antiqua" w:hAnsi="Book Antiqua" w:cs="simsun"/>
        </w:rPr>
        <w:t xml:space="preserve"> 2004; </w:t>
      </w:r>
      <w:r w:rsidRPr="00704467">
        <w:rPr>
          <w:rFonts w:ascii="Book Antiqua" w:hAnsi="Book Antiqua" w:cs="simsun"/>
          <w:b/>
          <w:bCs/>
        </w:rPr>
        <w:t>36</w:t>
      </w:r>
      <w:r w:rsidRPr="00704467">
        <w:rPr>
          <w:rFonts w:ascii="Book Antiqua" w:hAnsi="Book Antiqua" w:cs="simsun"/>
        </w:rPr>
        <w:t>: 694-697 [PMID: 15506671 DOI: 10.1016/j.dld.2004.05.010]</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16 </w:t>
      </w:r>
      <w:r w:rsidRPr="00704467">
        <w:rPr>
          <w:rFonts w:ascii="Book Antiqua" w:hAnsi="Book Antiqua" w:cs="simsun"/>
          <w:b/>
          <w:bCs/>
        </w:rPr>
        <w:t>Barada K</w:t>
      </w:r>
      <w:r w:rsidRPr="00704467">
        <w:rPr>
          <w:rFonts w:ascii="Book Antiqua" w:hAnsi="Book Antiqua" w:cs="simsun"/>
        </w:rPr>
        <w:t xml:space="preserve">, Bitar A, Mokadem MA, Hashash JG, Green P. Celiac disease in Middle Eastern and North African countries: a new burden? </w:t>
      </w:r>
      <w:r w:rsidRPr="00704467">
        <w:rPr>
          <w:rFonts w:ascii="Book Antiqua" w:hAnsi="Book Antiqua" w:cs="simsun"/>
          <w:i/>
          <w:iCs/>
        </w:rPr>
        <w:t>World J Gastroenterol</w:t>
      </w:r>
      <w:r w:rsidRPr="00704467">
        <w:rPr>
          <w:rFonts w:ascii="Book Antiqua" w:hAnsi="Book Antiqua" w:cs="simsun"/>
        </w:rPr>
        <w:t xml:space="preserve"> 2010; </w:t>
      </w:r>
      <w:r w:rsidRPr="00704467">
        <w:rPr>
          <w:rFonts w:ascii="Book Antiqua" w:hAnsi="Book Antiqua" w:cs="simsun"/>
          <w:b/>
          <w:bCs/>
        </w:rPr>
        <w:t>16</w:t>
      </w:r>
      <w:r w:rsidRPr="00704467">
        <w:rPr>
          <w:rFonts w:ascii="Book Antiqua" w:hAnsi="Book Antiqua" w:cs="simsun"/>
        </w:rPr>
        <w:t>: 1449-1457 [PMID: 20333784 DOI: 10.3748/wjg.v16.i12.1449]</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17</w:t>
      </w:r>
      <w:r>
        <w:rPr>
          <w:rFonts w:ascii="Book Antiqua" w:hAnsi="Book Antiqua" w:cs="simsun"/>
          <w:lang w:eastAsia="zh-CN"/>
        </w:rPr>
        <w:t xml:space="preserve"> </w:t>
      </w:r>
      <w:r w:rsidRPr="00704467">
        <w:rPr>
          <w:rFonts w:ascii="Book Antiqua" w:hAnsi="Book Antiqua" w:cs="simsun"/>
          <w:b/>
        </w:rPr>
        <w:t>Alarida K</w:t>
      </w:r>
      <w:r w:rsidRPr="00704467">
        <w:rPr>
          <w:rFonts w:ascii="Book Antiqua" w:hAnsi="Book Antiqua" w:cs="simsun"/>
        </w:rPr>
        <w:t xml:space="preserve">, Nobile S, Catassi C. Coeliac disease in Libya. </w:t>
      </w:r>
      <w:r w:rsidRPr="00704467">
        <w:rPr>
          <w:rFonts w:ascii="Book Antiqua" w:hAnsi="Book Antiqua" w:cs="simsun"/>
          <w:i/>
        </w:rPr>
        <w:t>Dig Liver Dis</w:t>
      </w:r>
      <w:r>
        <w:rPr>
          <w:rFonts w:ascii="Book Antiqua" w:hAnsi="Book Antiqua" w:cs="simsun"/>
        </w:rPr>
        <w:t xml:space="preserve"> </w:t>
      </w:r>
      <w:r w:rsidRPr="00704467">
        <w:rPr>
          <w:rFonts w:ascii="Book Antiqua" w:hAnsi="Book Antiqua" w:cs="simsun"/>
        </w:rPr>
        <w:t xml:space="preserve">2006; </w:t>
      </w:r>
      <w:r w:rsidRPr="00704467">
        <w:rPr>
          <w:rFonts w:ascii="Book Antiqua" w:hAnsi="Book Antiqua" w:cs="simsun"/>
          <w:b/>
        </w:rPr>
        <w:t>38</w:t>
      </w:r>
      <w:r w:rsidRPr="00704467">
        <w:rPr>
          <w:rFonts w:ascii="Book Antiqua" w:hAnsi="Book Antiqua" w:cs="simsun"/>
        </w:rPr>
        <w:t>: A108-A109</w:t>
      </w:r>
      <w:r>
        <w:rPr>
          <w:rFonts w:ascii="Book Antiqua" w:hAnsi="Book Antiqua" w:cs="simsun"/>
        </w:rPr>
        <w:t xml:space="preserve"> </w:t>
      </w:r>
      <w:r w:rsidRPr="00704467">
        <w:rPr>
          <w:rFonts w:ascii="Book Antiqua" w:hAnsi="Book Antiqua" w:cs="simsun"/>
        </w:rPr>
        <w:t>[DOI: 10.1016/j.dld.2006.07.069]</w:t>
      </w:r>
    </w:p>
    <w:p w:rsidR="00225EB4" w:rsidRPr="00704467" w:rsidRDefault="00225EB4" w:rsidP="00FE70C5">
      <w:pPr>
        <w:spacing w:line="360" w:lineRule="auto"/>
        <w:jc w:val="both"/>
        <w:rPr>
          <w:rFonts w:ascii="Book Antiqua" w:hAnsi="Book Antiqua" w:cs="simsun"/>
        </w:rPr>
      </w:pPr>
      <w:r w:rsidRPr="002D17EE">
        <w:rPr>
          <w:rFonts w:ascii="Book Antiqua" w:hAnsi="Book Antiqua" w:cs="simsun"/>
          <w:lang w:val="it-IT"/>
        </w:rPr>
        <w:t xml:space="preserve">18 </w:t>
      </w:r>
      <w:r w:rsidRPr="002D17EE">
        <w:rPr>
          <w:rFonts w:ascii="Book Antiqua" w:hAnsi="Book Antiqua" w:cs="simsun"/>
          <w:b/>
          <w:bCs/>
          <w:lang w:val="it-IT"/>
        </w:rPr>
        <w:t>Aljebreen AM</w:t>
      </w:r>
      <w:r w:rsidRPr="002D17EE">
        <w:rPr>
          <w:rFonts w:ascii="Book Antiqua" w:hAnsi="Book Antiqua" w:cs="simsun"/>
          <w:lang w:val="it-IT"/>
        </w:rPr>
        <w:t xml:space="preserve">, Almadi MA, Alhammad A, Al Faleh FZ. </w:t>
      </w:r>
      <w:r w:rsidRPr="00704467">
        <w:rPr>
          <w:rFonts w:ascii="Book Antiqua" w:hAnsi="Book Antiqua" w:cs="simsun"/>
        </w:rPr>
        <w:t xml:space="preserve">Seroprevalence of celiac disease among healthy adolescents in Saudi Arabia. </w:t>
      </w:r>
      <w:r w:rsidRPr="00704467">
        <w:rPr>
          <w:rFonts w:ascii="Book Antiqua" w:hAnsi="Book Antiqua" w:cs="simsun"/>
          <w:i/>
          <w:iCs/>
        </w:rPr>
        <w:t>World J Gastroenterol</w:t>
      </w:r>
      <w:r w:rsidRPr="00704467">
        <w:rPr>
          <w:rFonts w:ascii="Book Antiqua" w:hAnsi="Book Antiqua" w:cs="simsun"/>
        </w:rPr>
        <w:t xml:space="preserve"> 2013; </w:t>
      </w:r>
      <w:r w:rsidRPr="00704467">
        <w:rPr>
          <w:rFonts w:ascii="Book Antiqua" w:hAnsi="Book Antiqua" w:cs="simsun"/>
          <w:b/>
          <w:bCs/>
        </w:rPr>
        <w:t>19</w:t>
      </w:r>
      <w:r w:rsidRPr="00704467">
        <w:rPr>
          <w:rFonts w:ascii="Book Antiqua" w:hAnsi="Book Antiqua" w:cs="simsun"/>
        </w:rPr>
        <w:t>: 2374-2378 [PMID: 23613632 DOI: 10.3748/wjg.v19.i15.2374]</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19 </w:t>
      </w:r>
      <w:r w:rsidRPr="00704467">
        <w:rPr>
          <w:rFonts w:ascii="Book Antiqua" w:hAnsi="Book Antiqua" w:cs="simsun"/>
          <w:b/>
          <w:bCs/>
        </w:rPr>
        <w:t>Howard MR</w:t>
      </w:r>
      <w:r w:rsidRPr="00704467">
        <w:rPr>
          <w:rFonts w:ascii="Book Antiqua" w:hAnsi="Book Antiqua" w:cs="simsun"/>
        </w:rPr>
        <w:t xml:space="preserve">, Turnbull AJ, Morley P, Hollier P, Webb R, Clarke A. A prospective study of the prevalence of undiagnosed coeliac disease in laboratory defined iron and folate deficiency. </w:t>
      </w:r>
      <w:r w:rsidRPr="00704467">
        <w:rPr>
          <w:rFonts w:ascii="Book Antiqua" w:hAnsi="Book Antiqua" w:cs="simsun"/>
          <w:i/>
          <w:iCs/>
        </w:rPr>
        <w:t>J Clin Pathol</w:t>
      </w:r>
      <w:r w:rsidRPr="00704467">
        <w:rPr>
          <w:rFonts w:ascii="Book Antiqua" w:hAnsi="Book Antiqua" w:cs="simsun"/>
        </w:rPr>
        <w:t xml:space="preserve"> 2002; </w:t>
      </w:r>
      <w:r w:rsidRPr="00704467">
        <w:rPr>
          <w:rFonts w:ascii="Book Antiqua" w:hAnsi="Book Antiqua" w:cs="simsun"/>
          <w:b/>
          <w:bCs/>
        </w:rPr>
        <w:t>55</w:t>
      </w:r>
      <w:r w:rsidRPr="00704467">
        <w:rPr>
          <w:rFonts w:ascii="Book Antiqua" w:hAnsi="Book Antiqua" w:cs="simsun"/>
        </w:rPr>
        <w:t>: 754-757 [PMID: 12354801 DOI: 10.1136/jcp.55.10.754]</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20</w:t>
      </w:r>
      <w:r>
        <w:rPr>
          <w:rFonts w:ascii="Book Antiqua" w:hAnsi="Book Antiqua" w:cs="simsun"/>
          <w:lang w:eastAsia="zh-CN"/>
        </w:rPr>
        <w:t xml:space="preserve"> </w:t>
      </w:r>
      <w:r w:rsidRPr="00704467">
        <w:rPr>
          <w:rFonts w:ascii="Book Antiqua" w:hAnsi="Book Antiqua" w:cs="simsun"/>
          <w:b/>
        </w:rPr>
        <w:t>Ballinger A</w:t>
      </w:r>
      <w:r w:rsidRPr="00704467">
        <w:rPr>
          <w:rFonts w:ascii="Book Antiqua" w:hAnsi="Book Antiqua" w:cs="simsun"/>
        </w:rPr>
        <w:t xml:space="preserve">. Gastroenterology and anemia. </w:t>
      </w:r>
      <w:r w:rsidRPr="00704467">
        <w:rPr>
          <w:rFonts w:ascii="Book Antiqua" w:hAnsi="Book Antiqua" w:cs="simsun"/>
          <w:i/>
        </w:rPr>
        <w:t>Medicine</w:t>
      </w:r>
      <w:r w:rsidRPr="00704467">
        <w:rPr>
          <w:rFonts w:ascii="Book Antiqua" w:hAnsi="Book Antiqua" w:cs="simsun"/>
        </w:rPr>
        <w:t xml:space="preserve"> 2007; </w:t>
      </w:r>
      <w:r w:rsidRPr="00704467">
        <w:rPr>
          <w:rFonts w:ascii="Book Antiqua" w:hAnsi="Book Antiqua" w:cs="simsun"/>
          <w:b/>
        </w:rPr>
        <w:t>35</w:t>
      </w:r>
      <w:r w:rsidRPr="00704467">
        <w:rPr>
          <w:rFonts w:ascii="Book Antiqua" w:hAnsi="Book Antiqua" w:cs="simsun"/>
        </w:rPr>
        <w:t>: 142-146. [DOI: 10.1016/j.mpmed.2006.12.003]</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lastRenderedPageBreak/>
        <w:t xml:space="preserve">21 </w:t>
      </w:r>
      <w:r w:rsidRPr="00704467">
        <w:rPr>
          <w:rFonts w:ascii="Book Antiqua" w:hAnsi="Book Antiqua" w:cs="simsun"/>
          <w:b/>
          <w:bCs/>
        </w:rPr>
        <w:t>Verkasalo MA</w:t>
      </w:r>
      <w:r w:rsidRPr="00704467">
        <w:rPr>
          <w:rFonts w:ascii="Book Antiqua" w:hAnsi="Book Antiqua" w:cs="simsun"/>
        </w:rPr>
        <w:t xml:space="preserve">, Raitakari OT, Viikari J, Marniemi J, Savilahti E. Undiagnosed silent coeliac disease: a risk for underachievement? </w:t>
      </w:r>
      <w:r w:rsidRPr="00704467">
        <w:rPr>
          <w:rFonts w:ascii="Book Antiqua" w:hAnsi="Book Antiqua" w:cs="simsun"/>
          <w:i/>
          <w:iCs/>
        </w:rPr>
        <w:t>Scand J Gastroenterol</w:t>
      </w:r>
      <w:r w:rsidRPr="00704467">
        <w:rPr>
          <w:rFonts w:ascii="Book Antiqua" w:hAnsi="Book Antiqua" w:cs="simsun"/>
        </w:rPr>
        <w:t xml:space="preserve"> 2005; </w:t>
      </w:r>
      <w:r w:rsidRPr="00704467">
        <w:rPr>
          <w:rFonts w:ascii="Book Antiqua" w:hAnsi="Book Antiqua" w:cs="simsun"/>
          <w:b/>
          <w:bCs/>
        </w:rPr>
        <w:t>40</w:t>
      </w:r>
      <w:r w:rsidRPr="00704467">
        <w:rPr>
          <w:rFonts w:ascii="Book Antiqua" w:hAnsi="Book Antiqua" w:cs="simsun"/>
        </w:rPr>
        <w:t>: 1407-1412 [PMID: 16293555 DOI: 10.1080/00365520510023792]</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22 </w:t>
      </w:r>
      <w:r w:rsidRPr="00704467">
        <w:rPr>
          <w:rFonts w:ascii="Book Antiqua" w:hAnsi="Book Antiqua" w:cs="simsun"/>
          <w:b/>
          <w:bCs/>
        </w:rPr>
        <w:t>Ivarsson A</w:t>
      </w:r>
      <w:r w:rsidRPr="00704467">
        <w:rPr>
          <w:rFonts w:ascii="Book Antiqua" w:hAnsi="Book Antiqua" w:cs="simsun"/>
        </w:rPr>
        <w:t xml:space="preserve">, Persson LA, Juto P, Peltonen M, Suhr O, Hernell O. High prevalence of undiagnosed coeliac disease in adults: a Swedish population-based study. </w:t>
      </w:r>
      <w:r w:rsidRPr="00704467">
        <w:rPr>
          <w:rFonts w:ascii="Book Antiqua" w:hAnsi="Book Antiqua" w:cs="simsun"/>
          <w:i/>
          <w:iCs/>
        </w:rPr>
        <w:t>J Intern Med</w:t>
      </w:r>
      <w:r w:rsidRPr="00704467">
        <w:rPr>
          <w:rFonts w:ascii="Book Antiqua" w:hAnsi="Book Antiqua" w:cs="simsun"/>
        </w:rPr>
        <w:t xml:space="preserve"> 1999; </w:t>
      </w:r>
      <w:r w:rsidRPr="00704467">
        <w:rPr>
          <w:rFonts w:ascii="Book Antiqua" w:hAnsi="Book Antiqua" w:cs="simsun"/>
          <w:b/>
          <w:bCs/>
        </w:rPr>
        <w:t>245</w:t>
      </w:r>
      <w:r w:rsidRPr="00704467">
        <w:rPr>
          <w:rFonts w:ascii="Book Antiqua" w:hAnsi="Book Antiqua" w:cs="simsun"/>
        </w:rPr>
        <w:t>: 63-68 [PMID: 10095818 DOI: 10.1046/j.1365-2796.1999.00403.x]</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23 </w:t>
      </w:r>
      <w:r w:rsidRPr="00704467">
        <w:rPr>
          <w:rFonts w:ascii="Book Antiqua" w:hAnsi="Book Antiqua" w:cs="simsun"/>
          <w:b/>
          <w:bCs/>
        </w:rPr>
        <w:t>Gomez JC</w:t>
      </w:r>
      <w:r w:rsidRPr="00704467">
        <w:rPr>
          <w:rFonts w:ascii="Book Antiqua" w:hAnsi="Book Antiqua" w:cs="simsun"/>
        </w:rPr>
        <w:t xml:space="preserve">, Selvaggio GS, Viola M, Pizarro B, la Motta G, de Barrio S, Castelletto R, Echeverría R, Sugai E, Vazquez H, Mauriño E, Bai JC. Prevalence of celiac disease in Argentina: screening of an adult population in the La Plata area. </w:t>
      </w:r>
      <w:r w:rsidRPr="00704467">
        <w:rPr>
          <w:rFonts w:ascii="Book Antiqua" w:hAnsi="Book Antiqua" w:cs="simsun"/>
          <w:i/>
          <w:iCs/>
        </w:rPr>
        <w:t>Am J Gastroenterol</w:t>
      </w:r>
      <w:r w:rsidRPr="00704467">
        <w:rPr>
          <w:rFonts w:ascii="Book Antiqua" w:hAnsi="Book Antiqua" w:cs="simsun"/>
        </w:rPr>
        <w:t xml:space="preserve"> 2001; </w:t>
      </w:r>
      <w:r w:rsidRPr="00704467">
        <w:rPr>
          <w:rFonts w:ascii="Book Antiqua" w:hAnsi="Book Antiqua" w:cs="simsun"/>
          <w:b/>
          <w:bCs/>
        </w:rPr>
        <w:t>96</w:t>
      </w:r>
      <w:r w:rsidRPr="00704467">
        <w:rPr>
          <w:rFonts w:ascii="Book Antiqua" w:hAnsi="Book Antiqua" w:cs="simsun"/>
        </w:rPr>
        <w:t>: 2700-2704 [PMID: 11569698 DOI: 10.1111/j.1572-0241.2001.04124.x]</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24 </w:t>
      </w:r>
      <w:r w:rsidRPr="00704467">
        <w:rPr>
          <w:rFonts w:ascii="Book Antiqua" w:hAnsi="Book Antiqua" w:cs="simsun"/>
          <w:b/>
          <w:bCs/>
        </w:rPr>
        <w:t>Rutz R</w:t>
      </w:r>
      <w:r w:rsidRPr="00704467">
        <w:rPr>
          <w:rFonts w:ascii="Book Antiqua" w:hAnsi="Book Antiqua" w:cs="simsun"/>
        </w:rPr>
        <w:t xml:space="preserve">, Ritzler E, Fierz W, Herzog D. Prevalence of asymptomatic celiac disease in adolescents of eastern Switzerland. </w:t>
      </w:r>
      <w:r w:rsidRPr="00704467">
        <w:rPr>
          <w:rFonts w:ascii="Book Antiqua" w:hAnsi="Book Antiqua" w:cs="simsun"/>
          <w:i/>
          <w:iCs/>
        </w:rPr>
        <w:t>Swiss Med Wkly</w:t>
      </w:r>
      <w:r w:rsidRPr="00704467">
        <w:rPr>
          <w:rFonts w:ascii="Book Antiqua" w:hAnsi="Book Antiqua" w:cs="simsun"/>
        </w:rPr>
        <w:t xml:space="preserve"> 2002; </w:t>
      </w:r>
      <w:r w:rsidRPr="00704467">
        <w:rPr>
          <w:rFonts w:ascii="Book Antiqua" w:hAnsi="Book Antiqua" w:cs="simsun"/>
          <w:b/>
          <w:bCs/>
        </w:rPr>
        <w:t>132</w:t>
      </w:r>
      <w:r w:rsidRPr="00704467">
        <w:rPr>
          <w:rFonts w:ascii="Book Antiqua" w:hAnsi="Book Antiqua" w:cs="simsun"/>
        </w:rPr>
        <w:t>: 43-47 [PMID: 11953905]</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25</w:t>
      </w:r>
      <w:r>
        <w:rPr>
          <w:rFonts w:ascii="Book Antiqua" w:hAnsi="Book Antiqua" w:cs="simsun"/>
          <w:lang w:eastAsia="zh-CN"/>
        </w:rPr>
        <w:t xml:space="preserve"> </w:t>
      </w:r>
      <w:r w:rsidRPr="004D0EED">
        <w:rPr>
          <w:rFonts w:ascii="Book Antiqua" w:hAnsi="Book Antiqua" w:cs="simsun"/>
          <w:b/>
        </w:rPr>
        <w:t>Dixit R</w:t>
      </w:r>
      <w:r w:rsidRPr="004D0EED">
        <w:rPr>
          <w:rFonts w:ascii="Book Antiqua" w:hAnsi="Book Antiqua" w:cs="simsun"/>
        </w:rPr>
        <w:t xml:space="preserve">, Lebwohl B, Ludvigsson JF, Lewis SK, Rizkalla-Reilly N, Green PH. Celiac disease is diagnosed less frequently in young adult males. </w:t>
      </w:r>
      <w:r w:rsidRPr="004D0EED">
        <w:rPr>
          <w:rFonts w:ascii="Book Antiqua" w:hAnsi="Book Antiqua" w:cs="simsun"/>
          <w:i/>
        </w:rPr>
        <w:t>Dig Dis Sci</w:t>
      </w:r>
      <w:r>
        <w:rPr>
          <w:rFonts w:ascii="Book Antiqua" w:hAnsi="Book Antiqua" w:cs="simsun"/>
          <w:lang w:eastAsia="zh-CN"/>
        </w:rPr>
        <w:t xml:space="preserve"> </w:t>
      </w:r>
      <w:r w:rsidRPr="004D0EED">
        <w:rPr>
          <w:rFonts w:ascii="Book Antiqua" w:hAnsi="Book Antiqua" w:cs="simsun"/>
        </w:rPr>
        <w:t>2014</w:t>
      </w:r>
      <w:r>
        <w:rPr>
          <w:rFonts w:ascii="Book Antiqua" w:hAnsi="Book Antiqua" w:cs="simsun"/>
          <w:lang w:eastAsia="zh-CN"/>
        </w:rPr>
        <w:t xml:space="preserve"> </w:t>
      </w:r>
      <w:r w:rsidRPr="004D0EED">
        <w:rPr>
          <w:rFonts w:ascii="Book Antiqua" w:hAnsi="Book Antiqua" w:cs="simsun"/>
        </w:rPr>
        <w:t>[PMID: 224445731 DOI: 10.1007/s10620-014-3025-6]</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26 </w:t>
      </w:r>
      <w:r w:rsidRPr="00704467">
        <w:rPr>
          <w:rFonts w:ascii="Book Antiqua" w:hAnsi="Book Antiqua" w:cs="simsun"/>
          <w:b/>
          <w:bCs/>
        </w:rPr>
        <w:t>Guandalini S</w:t>
      </w:r>
      <w:r w:rsidRPr="00704467">
        <w:rPr>
          <w:rFonts w:ascii="Book Antiqua" w:hAnsi="Book Antiqua" w:cs="simsun"/>
        </w:rPr>
        <w:t xml:space="preserve">, Kelly CP. Toward optimal health: Stefano Guandalini [corrected] M.D., and Ciaran P. Kelly, M.D. Discuss celiac disease. Interview by Jodi R Godfrey. </w:t>
      </w:r>
      <w:r w:rsidRPr="00704467">
        <w:rPr>
          <w:rFonts w:ascii="Book Antiqua" w:hAnsi="Book Antiqua" w:cs="simsun"/>
          <w:i/>
          <w:iCs/>
        </w:rPr>
        <w:t>J Womens Health (Larchmt)</w:t>
      </w:r>
      <w:r w:rsidRPr="00704467">
        <w:rPr>
          <w:rFonts w:ascii="Book Antiqua" w:hAnsi="Book Antiqua" w:cs="simsun"/>
        </w:rPr>
        <w:t xml:space="preserve"> 2005; </w:t>
      </w:r>
      <w:r w:rsidRPr="00704467">
        <w:rPr>
          <w:rFonts w:ascii="Book Antiqua" w:hAnsi="Book Antiqua" w:cs="simsun"/>
          <w:b/>
          <w:bCs/>
        </w:rPr>
        <w:t>14</w:t>
      </w:r>
      <w:r w:rsidRPr="00704467">
        <w:rPr>
          <w:rFonts w:ascii="Book Antiqua" w:hAnsi="Book Antiqua" w:cs="simsun"/>
        </w:rPr>
        <w:t>: 110-116 [PMID: 15775728 DOI: 10.1089/jwh.2005.14.110]</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27 </w:t>
      </w:r>
      <w:r w:rsidRPr="00704467">
        <w:rPr>
          <w:rFonts w:ascii="Book Antiqua" w:hAnsi="Book Antiqua" w:cs="simsun"/>
          <w:b/>
          <w:bCs/>
        </w:rPr>
        <w:t>Ivarsson A</w:t>
      </w:r>
      <w:r w:rsidRPr="00704467">
        <w:rPr>
          <w:rFonts w:ascii="Book Antiqua" w:hAnsi="Book Antiqua" w:cs="simsun"/>
        </w:rPr>
        <w:t xml:space="preserve">. The Swedish epidemic of coeliac disease explored using an epidemiological approach--some lessons to be learnt. </w:t>
      </w:r>
      <w:r w:rsidRPr="00704467">
        <w:rPr>
          <w:rFonts w:ascii="Book Antiqua" w:hAnsi="Book Antiqua" w:cs="simsun"/>
          <w:i/>
          <w:iCs/>
        </w:rPr>
        <w:t>Best Pract Res Clin Gastroenterol</w:t>
      </w:r>
      <w:r w:rsidRPr="00704467">
        <w:rPr>
          <w:rFonts w:ascii="Book Antiqua" w:hAnsi="Book Antiqua" w:cs="simsun"/>
        </w:rPr>
        <w:t xml:space="preserve"> 2005; </w:t>
      </w:r>
      <w:r w:rsidRPr="00704467">
        <w:rPr>
          <w:rFonts w:ascii="Book Antiqua" w:hAnsi="Book Antiqua" w:cs="simsun"/>
          <w:b/>
          <w:bCs/>
        </w:rPr>
        <w:t>19</w:t>
      </w:r>
      <w:r w:rsidRPr="00704467">
        <w:rPr>
          <w:rFonts w:ascii="Book Antiqua" w:hAnsi="Book Antiqua" w:cs="simsun"/>
        </w:rPr>
        <w:t>: 425-440 [PMID: 15925847 DOI: 10.1016/j.bpg.2005.02.005]</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28 </w:t>
      </w:r>
      <w:r w:rsidRPr="00704467">
        <w:rPr>
          <w:rFonts w:ascii="Book Antiqua" w:hAnsi="Book Antiqua" w:cs="simsun"/>
          <w:b/>
          <w:bCs/>
        </w:rPr>
        <w:t>Vazquez H</w:t>
      </w:r>
      <w:r w:rsidRPr="00704467">
        <w:rPr>
          <w:rFonts w:ascii="Book Antiqua" w:hAnsi="Book Antiqua" w:cs="simsun"/>
        </w:rPr>
        <w:t xml:space="preserve">, Smecuol E, Flores D, Mazure R, Pedreira S, Niveloni S, Mauriño E, Bai JC. Relation between cigarette smoking and celiac disease: evidence from a case-control study. </w:t>
      </w:r>
      <w:r w:rsidRPr="00704467">
        <w:rPr>
          <w:rFonts w:ascii="Book Antiqua" w:hAnsi="Book Antiqua" w:cs="simsun"/>
          <w:i/>
          <w:iCs/>
        </w:rPr>
        <w:t>Am J Gastroenterol</w:t>
      </w:r>
      <w:r w:rsidRPr="00704467">
        <w:rPr>
          <w:rFonts w:ascii="Book Antiqua" w:hAnsi="Book Antiqua" w:cs="simsun"/>
        </w:rPr>
        <w:t xml:space="preserve"> 2001; </w:t>
      </w:r>
      <w:r w:rsidRPr="00704467">
        <w:rPr>
          <w:rFonts w:ascii="Book Antiqua" w:hAnsi="Book Antiqua" w:cs="simsun"/>
          <w:b/>
          <w:bCs/>
        </w:rPr>
        <w:t>96</w:t>
      </w:r>
      <w:r w:rsidRPr="00704467">
        <w:rPr>
          <w:rFonts w:ascii="Book Antiqua" w:hAnsi="Book Antiqua" w:cs="simsun"/>
        </w:rPr>
        <w:t>: 798-802 [PMID: 11280554 DOI: 10.1111/j.1572-0241.2001.03625.x]</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lastRenderedPageBreak/>
        <w:t xml:space="preserve">29 </w:t>
      </w:r>
      <w:r w:rsidRPr="00704467">
        <w:rPr>
          <w:rFonts w:ascii="Book Antiqua" w:hAnsi="Book Antiqua" w:cs="simsun"/>
          <w:b/>
          <w:bCs/>
        </w:rPr>
        <w:t>Al-Houqani M</w:t>
      </w:r>
      <w:r w:rsidRPr="00704467">
        <w:rPr>
          <w:rFonts w:ascii="Book Antiqua" w:hAnsi="Book Antiqua" w:cs="simsun"/>
        </w:rPr>
        <w:t xml:space="preserve">, Ali R, Hajat C. Tobacco smoking using Midwakh is an emerging health problem--evidence from a large cross-sectional survey in the United Arab Emirates. </w:t>
      </w:r>
      <w:r w:rsidRPr="00704467">
        <w:rPr>
          <w:rFonts w:ascii="Book Antiqua" w:hAnsi="Book Antiqua" w:cs="simsun"/>
          <w:i/>
          <w:iCs/>
        </w:rPr>
        <w:t>PLoS One</w:t>
      </w:r>
      <w:r w:rsidRPr="00704467">
        <w:rPr>
          <w:rFonts w:ascii="Book Antiqua" w:hAnsi="Book Antiqua" w:cs="simsun"/>
        </w:rPr>
        <w:t xml:space="preserve"> 2012; </w:t>
      </w:r>
      <w:r w:rsidRPr="00704467">
        <w:rPr>
          <w:rFonts w:ascii="Book Antiqua" w:hAnsi="Book Antiqua" w:cs="simsun"/>
          <w:b/>
          <w:bCs/>
        </w:rPr>
        <w:t>7</w:t>
      </w:r>
      <w:r w:rsidRPr="00704467">
        <w:rPr>
          <w:rFonts w:ascii="Book Antiqua" w:hAnsi="Book Antiqua" w:cs="simsun"/>
        </w:rPr>
        <w:t>: e39189 [PMID: 22720071 DOI: 10.1371/journal.pone.0039189]</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 xml:space="preserve">30 </w:t>
      </w:r>
      <w:r w:rsidRPr="00704467">
        <w:rPr>
          <w:rFonts w:ascii="Book Antiqua" w:hAnsi="Book Antiqua" w:cs="simsun"/>
          <w:b/>
          <w:bCs/>
        </w:rPr>
        <w:t>Prasad S</w:t>
      </w:r>
      <w:r w:rsidRPr="00704467">
        <w:rPr>
          <w:rFonts w:ascii="Book Antiqua" w:hAnsi="Book Antiqua" w:cs="simsun"/>
        </w:rPr>
        <w:t xml:space="preserve">, Thomas P, Nicholas DS, Sharer NM, Snook JA. Adult endomysial antibody-negative coeliac disease and cigarette smoking. </w:t>
      </w:r>
      <w:r w:rsidRPr="00704467">
        <w:rPr>
          <w:rFonts w:ascii="Book Antiqua" w:hAnsi="Book Antiqua" w:cs="simsun"/>
          <w:i/>
          <w:iCs/>
        </w:rPr>
        <w:t>Eur J Gastroenterol Hepatol</w:t>
      </w:r>
      <w:r w:rsidRPr="00704467">
        <w:rPr>
          <w:rFonts w:ascii="Book Antiqua" w:hAnsi="Book Antiqua" w:cs="simsun"/>
        </w:rPr>
        <w:t xml:space="preserve"> 2001; </w:t>
      </w:r>
      <w:r w:rsidRPr="00704467">
        <w:rPr>
          <w:rFonts w:ascii="Book Antiqua" w:hAnsi="Book Antiqua" w:cs="simsun"/>
          <w:b/>
          <w:bCs/>
        </w:rPr>
        <w:t>13</w:t>
      </w:r>
      <w:r w:rsidRPr="00704467">
        <w:rPr>
          <w:rFonts w:ascii="Book Antiqua" w:hAnsi="Book Antiqua" w:cs="simsun"/>
        </w:rPr>
        <w:t>: 667-671 [PMID: 11434592 DOI: 10.1097/00042737-200106000-00009]</w:t>
      </w:r>
    </w:p>
    <w:p w:rsidR="00225EB4" w:rsidRPr="00704467" w:rsidRDefault="00225EB4" w:rsidP="00FE70C5">
      <w:pPr>
        <w:spacing w:line="360" w:lineRule="auto"/>
        <w:jc w:val="both"/>
        <w:rPr>
          <w:rFonts w:ascii="Book Antiqua" w:hAnsi="Book Antiqua" w:cs="simsun"/>
        </w:rPr>
      </w:pPr>
      <w:r w:rsidRPr="00704467">
        <w:rPr>
          <w:rFonts w:ascii="Book Antiqua" w:hAnsi="Book Antiqua" w:cs="simsun"/>
        </w:rPr>
        <w:t>31</w:t>
      </w:r>
      <w:r>
        <w:rPr>
          <w:rFonts w:ascii="Book Antiqua" w:hAnsi="Book Antiqua" w:cs="simsun"/>
          <w:lang w:eastAsia="zh-CN"/>
        </w:rPr>
        <w:t xml:space="preserve"> </w:t>
      </w:r>
      <w:r w:rsidRPr="00704467">
        <w:rPr>
          <w:rFonts w:ascii="Book Antiqua" w:hAnsi="Book Antiqua" w:cs="simsun"/>
        </w:rPr>
        <w:t xml:space="preserve"> </w:t>
      </w:r>
      <w:r w:rsidRPr="0008551D">
        <w:rPr>
          <w:rFonts w:ascii="Book Antiqua" w:hAnsi="Book Antiqua" w:cs="simsun"/>
          <w:b/>
        </w:rPr>
        <w:t>El Dannan H</w:t>
      </w:r>
      <w:r w:rsidRPr="00704467">
        <w:rPr>
          <w:rFonts w:ascii="Book Antiqua" w:hAnsi="Book Antiqua" w:cs="simsun"/>
        </w:rPr>
        <w:t>, Miqdady M. Descriptive study of celiac disease among children in UAE. Proceedings of the 5th Annual Abu Dhabi Health Services Co. (SEHA) Research Conference, 2013 Dec</w:t>
      </w:r>
      <w:r>
        <w:rPr>
          <w:rFonts w:ascii="Book Antiqua" w:hAnsi="Book Antiqua" w:cs="simsun"/>
          <w:lang w:eastAsia="zh-CN"/>
        </w:rPr>
        <w:t xml:space="preserve"> </w:t>
      </w:r>
      <w:r w:rsidRPr="00704467">
        <w:rPr>
          <w:rFonts w:ascii="Book Antiqua" w:hAnsi="Book Antiqua" w:cs="simsun"/>
        </w:rPr>
        <w:t>15-16; Abu Dhabi, United Arab Emirates</w:t>
      </w:r>
      <w:r>
        <w:rPr>
          <w:rFonts w:ascii="Book Antiqua" w:hAnsi="Book Antiqua" w:cs="simsun"/>
          <w:lang w:eastAsia="zh-CN"/>
        </w:rPr>
        <w:t xml:space="preserve">. 2013: </w:t>
      </w:r>
      <w:r w:rsidRPr="00704467">
        <w:rPr>
          <w:rFonts w:ascii="Book Antiqua" w:hAnsi="Book Antiqua" w:cs="simsun"/>
        </w:rPr>
        <w:t>Abstr</w:t>
      </w:r>
      <w:r>
        <w:rPr>
          <w:rFonts w:ascii="Book Antiqua" w:hAnsi="Book Antiqua" w:cs="simsun"/>
          <w:lang w:eastAsia="zh-CN"/>
        </w:rPr>
        <w:t xml:space="preserve"> </w:t>
      </w:r>
      <w:r w:rsidRPr="00704467">
        <w:rPr>
          <w:rFonts w:ascii="Book Antiqua" w:hAnsi="Book Antiqua" w:cs="simsun"/>
        </w:rPr>
        <w:t>126.</w:t>
      </w:r>
    </w:p>
    <w:p w:rsidR="00225EB4" w:rsidRDefault="00225EB4" w:rsidP="00FE70C5">
      <w:pPr>
        <w:spacing w:line="360" w:lineRule="auto"/>
        <w:jc w:val="both"/>
        <w:rPr>
          <w:rFonts w:ascii="Book Antiqua" w:hAnsi="Book Antiqua" w:cs="simsun"/>
          <w:lang w:eastAsia="zh-CN"/>
        </w:rPr>
      </w:pPr>
      <w:r w:rsidRPr="00704467">
        <w:rPr>
          <w:rFonts w:ascii="Book Antiqua" w:hAnsi="Book Antiqua" w:cs="simsun"/>
        </w:rPr>
        <w:t>32</w:t>
      </w:r>
      <w:r>
        <w:rPr>
          <w:rFonts w:ascii="Book Antiqua" w:hAnsi="Book Antiqua" w:cs="simsun"/>
          <w:lang w:eastAsia="zh-CN"/>
        </w:rPr>
        <w:t xml:space="preserve"> </w:t>
      </w:r>
      <w:r w:rsidRPr="00704467">
        <w:rPr>
          <w:rFonts w:ascii="Book Antiqua" w:hAnsi="Book Antiqua" w:cs="simsun"/>
          <w:b/>
        </w:rPr>
        <w:t>Ng SW</w:t>
      </w:r>
      <w:r w:rsidRPr="00704467">
        <w:rPr>
          <w:rFonts w:ascii="Book Antiqua" w:hAnsi="Book Antiqua" w:cs="simsun"/>
        </w:rPr>
        <w:t xml:space="preserve">, Zaghloul S, Ali H, Harrison G, Yeatts K, El Sadig M, Popkin BM. Nutrition transition in the United Arab Emirates. </w:t>
      </w:r>
      <w:r w:rsidRPr="00704467">
        <w:rPr>
          <w:rFonts w:ascii="Book Antiqua" w:hAnsi="Book Antiqua" w:cs="simsun"/>
          <w:i/>
        </w:rPr>
        <w:t>Eur J Clin Nutr</w:t>
      </w:r>
      <w:r>
        <w:rPr>
          <w:rFonts w:ascii="Book Antiqua" w:hAnsi="Book Antiqua" w:cs="simsun"/>
        </w:rPr>
        <w:t xml:space="preserve"> </w:t>
      </w:r>
      <w:r w:rsidRPr="00704467">
        <w:rPr>
          <w:rFonts w:ascii="Book Antiqua" w:hAnsi="Book Antiqua" w:cs="simsun"/>
        </w:rPr>
        <w:t xml:space="preserve">2011; </w:t>
      </w:r>
      <w:r w:rsidRPr="00704467">
        <w:rPr>
          <w:rFonts w:ascii="Book Antiqua" w:hAnsi="Book Antiqua" w:cs="simsun"/>
          <w:b/>
        </w:rPr>
        <w:t>65</w:t>
      </w:r>
      <w:r w:rsidRPr="00704467">
        <w:rPr>
          <w:rFonts w:ascii="Book Antiqua" w:hAnsi="Book Antiqua" w:cs="simsun"/>
        </w:rPr>
        <w:t>: 1328-1337</w:t>
      </w:r>
      <w:r>
        <w:rPr>
          <w:rFonts w:ascii="Book Antiqua" w:hAnsi="Book Antiqua" w:cs="simsun"/>
          <w:lang w:eastAsia="zh-CN"/>
        </w:rPr>
        <w:t xml:space="preserve"> </w:t>
      </w:r>
      <w:r w:rsidRPr="00704467">
        <w:rPr>
          <w:rFonts w:ascii="Book Antiqua" w:hAnsi="Book Antiqua" w:cs="simsun"/>
        </w:rPr>
        <w:t>[PMID</w:t>
      </w:r>
      <w:r>
        <w:rPr>
          <w:rFonts w:ascii="Book Antiqua" w:hAnsi="Book Antiqua" w:cs="simsun"/>
        </w:rPr>
        <w:t xml:space="preserve">: </w:t>
      </w:r>
      <w:r w:rsidRPr="00704467">
        <w:rPr>
          <w:rFonts w:ascii="Book Antiqua" w:hAnsi="Book Antiqua" w:cs="simsun"/>
        </w:rPr>
        <w:t>21772317 DOI</w:t>
      </w:r>
      <w:r>
        <w:rPr>
          <w:rFonts w:ascii="Book Antiqua" w:hAnsi="Book Antiqua" w:cs="simsun"/>
        </w:rPr>
        <w:t xml:space="preserve">: </w:t>
      </w:r>
      <w:r w:rsidRPr="00704467">
        <w:rPr>
          <w:rFonts w:ascii="Book Antiqua" w:hAnsi="Book Antiqua" w:cs="simsun"/>
        </w:rPr>
        <w:t>10.1038/ejcn.2011.135]</w:t>
      </w:r>
    </w:p>
    <w:p w:rsidR="00225EB4" w:rsidRPr="006610BD" w:rsidRDefault="00225EB4" w:rsidP="00FE70C5">
      <w:pPr>
        <w:spacing w:line="360" w:lineRule="auto"/>
        <w:jc w:val="both"/>
        <w:rPr>
          <w:rFonts w:ascii="Book Antiqua" w:hAnsi="Book Antiqua" w:cs="simsun"/>
          <w:lang w:eastAsia="zh-CN"/>
        </w:rPr>
      </w:pPr>
    </w:p>
    <w:p w:rsidR="00225EB4" w:rsidRPr="00D13FBB" w:rsidRDefault="00225EB4" w:rsidP="00947D2D">
      <w:pPr>
        <w:spacing w:line="360" w:lineRule="auto"/>
        <w:jc w:val="right"/>
        <w:rPr>
          <w:rFonts w:ascii="Book Antiqua" w:hAnsi="Book Antiqua"/>
          <w:b/>
          <w:bCs/>
          <w:color w:val="000000"/>
          <w:lang w:eastAsia="zh-CN"/>
        </w:rPr>
      </w:pPr>
      <w:r w:rsidRPr="008A435A">
        <w:rPr>
          <w:rStyle w:val="ab"/>
          <w:rFonts w:ascii="Book Antiqua" w:hAnsi="Book Antiqua" w:cs="Arial"/>
          <w:noProof/>
          <w:color w:val="000000"/>
        </w:rPr>
        <w:t>P-Reviewers</w:t>
      </w:r>
      <w:r w:rsidRPr="00673A62">
        <w:rPr>
          <w:rStyle w:val="ab"/>
          <w:rFonts w:ascii="Book Antiqua" w:hAnsi="Book Antiqua" w:cs="Arial"/>
          <w:noProof/>
          <w:color w:val="000000"/>
          <w:lang w:eastAsia="zh-CN"/>
        </w:rPr>
        <w:t>:</w:t>
      </w:r>
      <w:r w:rsidRPr="008A435A">
        <w:rPr>
          <w:rFonts w:ascii="Book Antiqua" w:hAnsi="Book Antiqua"/>
          <w:bCs/>
          <w:color w:val="000000"/>
        </w:rPr>
        <w:t xml:space="preserve"> </w:t>
      </w:r>
      <w:r w:rsidRPr="009F41E3">
        <w:rPr>
          <w:rFonts w:ascii="Book Antiqua" w:hAnsi="Book Antiqua"/>
          <w:bCs/>
          <w:color w:val="000000"/>
        </w:rPr>
        <w:t>Abenavoli L</w:t>
      </w:r>
      <w:r>
        <w:rPr>
          <w:rFonts w:ascii="Book Antiqua" w:hAnsi="Book Antiqua"/>
          <w:bCs/>
          <w:color w:val="000000"/>
        </w:rPr>
        <w:t xml:space="preserve"> </w:t>
      </w:r>
      <w:r w:rsidRPr="009F41E3">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Pr>
          <w:rFonts w:ascii="Book Antiqua" w:hAnsi="Book Antiqua"/>
          <w:bCs/>
          <w:color w:val="000000"/>
          <w:lang w:eastAsia="zh-CN"/>
        </w:rPr>
        <w:t>Ding Y</w:t>
      </w:r>
      <w:r w:rsidRPr="008A435A">
        <w:rPr>
          <w:rFonts w:ascii="Book Antiqua" w:hAnsi="Book Antiqua"/>
          <w:b/>
          <w:bCs/>
          <w:color w:val="000000"/>
        </w:rPr>
        <w:t xml:space="preserve">   L-Editor</w:t>
      </w:r>
      <w:r w:rsidRPr="00673A62">
        <w:rPr>
          <w:rFonts w:ascii="Book Antiqua" w:hAnsi="Book Antiqua"/>
          <w:b/>
          <w:bCs/>
          <w:color w:val="000000"/>
          <w:lang w:eastAsia="zh-CN"/>
        </w:rPr>
        <w:t>:</w:t>
      </w:r>
      <w:r w:rsidRPr="008A435A">
        <w:rPr>
          <w:rFonts w:ascii="Book Antiqua" w:hAnsi="Book Antiqua"/>
          <w:b/>
          <w:bCs/>
          <w:color w:val="000000"/>
        </w:rPr>
        <w:t xml:space="preserve">   E-Editor</w:t>
      </w:r>
      <w:r w:rsidRPr="00673A62">
        <w:rPr>
          <w:rFonts w:ascii="Book Antiqua" w:hAnsi="Book Antiqua"/>
          <w:b/>
          <w:bCs/>
          <w:color w:val="000000"/>
          <w:lang w:eastAsia="zh-CN"/>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25EB4" w:rsidRPr="00535C37" w:rsidRDefault="00225EB4" w:rsidP="00FE70C5">
      <w:pPr>
        <w:jc w:val="both"/>
        <w:rPr>
          <w:rFonts w:ascii="Book Antiqua" w:hAnsi="Book Antiqua"/>
          <w:b/>
          <w:bCs/>
          <w:lang w:eastAsia="zh-CN"/>
        </w:rPr>
      </w:pPr>
    </w:p>
    <w:p w:rsidR="00225EB4" w:rsidRDefault="00225EB4" w:rsidP="00FE70C5">
      <w:pPr>
        <w:jc w:val="both"/>
        <w:rPr>
          <w:rFonts w:ascii="Book Antiqua" w:hAnsi="Book Antiqua"/>
          <w:b/>
          <w:bCs/>
        </w:rPr>
      </w:pPr>
      <w:r>
        <w:rPr>
          <w:rFonts w:ascii="Book Antiqua" w:hAnsi="Book Antiqua"/>
          <w:b/>
          <w:bCs/>
        </w:rPr>
        <w:br w:type="page"/>
      </w:r>
    </w:p>
    <w:p w:rsidR="00225EB4" w:rsidRPr="00535C37" w:rsidRDefault="00225EB4" w:rsidP="00FE70C5">
      <w:pPr>
        <w:tabs>
          <w:tab w:val="left" w:pos="3600"/>
        </w:tabs>
        <w:autoSpaceDE w:val="0"/>
        <w:autoSpaceDN w:val="0"/>
        <w:adjustRightInd w:val="0"/>
        <w:spacing w:line="360" w:lineRule="auto"/>
        <w:jc w:val="both"/>
        <w:rPr>
          <w:rFonts w:ascii="Book Antiqua" w:hAnsi="Book Antiqua"/>
          <w:b/>
          <w:color w:val="000000"/>
        </w:rPr>
      </w:pPr>
      <w:r w:rsidRPr="00535C37">
        <w:rPr>
          <w:rFonts w:ascii="Book Antiqua" w:hAnsi="Book Antiqua"/>
          <w:b/>
          <w:bCs/>
        </w:rPr>
        <w:t>Table 1</w:t>
      </w:r>
      <w:r w:rsidRPr="00535C37">
        <w:rPr>
          <w:rFonts w:ascii="Book Antiqua" w:hAnsi="Book Antiqua"/>
          <w:b/>
          <w:bCs/>
          <w:lang w:eastAsia="zh-CN"/>
        </w:rPr>
        <w:t xml:space="preserve">  </w:t>
      </w:r>
      <w:r w:rsidRPr="00535C37">
        <w:rPr>
          <w:rFonts w:ascii="Book Antiqua" w:hAnsi="Book Antiqua"/>
          <w:b/>
        </w:rPr>
        <w:t>Demographic, serology and clinical history data in adult Emiratis diagnosed serologically with celiac disease</w:t>
      </w:r>
    </w:p>
    <w:tbl>
      <w:tblPr>
        <w:tblW w:w="6005" w:type="dxa"/>
        <w:tblBorders>
          <w:top w:val="single" w:sz="4" w:space="0" w:color="auto"/>
          <w:bottom w:val="single" w:sz="4" w:space="0" w:color="auto"/>
        </w:tblBorders>
        <w:tblLook w:val="01E0" w:firstRow="1" w:lastRow="1" w:firstColumn="1" w:lastColumn="1" w:noHBand="0" w:noVBand="0"/>
      </w:tblPr>
      <w:tblGrid>
        <w:gridCol w:w="1043"/>
        <w:gridCol w:w="1043"/>
        <w:gridCol w:w="657"/>
        <w:gridCol w:w="1249"/>
        <w:gridCol w:w="850"/>
        <w:gridCol w:w="1163"/>
      </w:tblGrid>
      <w:tr w:rsidR="00225EB4" w:rsidRPr="00A6750E" w:rsidTr="006C036F">
        <w:trPr>
          <w:trHeight w:val="1223"/>
        </w:trPr>
        <w:tc>
          <w:tcPr>
            <w:tcW w:w="1043"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bCs/>
              </w:rPr>
            </w:pPr>
            <w:r w:rsidRPr="00A6750E">
              <w:rPr>
                <w:rFonts w:ascii="Book Antiqua" w:hAnsi="Book Antiqua"/>
                <w:b/>
                <w:bCs/>
              </w:rPr>
              <w:t>Subject</w:t>
            </w:r>
          </w:p>
        </w:tc>
        <w:tc>
          <w:tcPr>
            <w:tcW w:w="1043"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bCs/>
              </w:rPr>
            </w:pPr>
            <w:r w:rsidRPr="00A6750E">
              <w:rPr>
                <w:rFonts w:ascii="Book Antiqua" w:hAnsi="Book Antiqua"/>
                <w:b/>
                <w:bCs/>
              </w:rPr>
              <w:t>Gender</w:t>
            </w:r>
          </w:p>
        </w:tc>
        <w:tc>
          <w:tcPr>
            <w:tcW w:w="657"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bCs/>
              </w:rPr>
            </w:pPr>
            <w:r w:rsidRPr="00A6750E">
              <w:rPr>
                <w:rFonts w:ascii="Book Antiqua" w:hAnsi="Book Antiqua"/>
                <w:b/>
                <w:bCs/>
              </w:rPr>
              <w:t>Age</w:t>
            </w:r>
          </w:p>
        </w:tc>
        <w:tc>
          <w:tcPr>
            <w:tcW w:w="1249"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bCs/>
              </w:rPr>
            </w:pPr>
            <w:r w:rsidRPr="00A6750E">
              <w:rPr>
                <w:rFonts w:ascii="Book Antiqua" w:hAnsi="Book Antiqua"/>
                <w:b/>
                <w:bCs/>
              </w:rPr>
              <w:t>tTG IgA</w:t>
            </w:r>
            <w:r>
              <w:rPr>
                <w:rFonts w:ascii="Book Antiqua" w:hAnsi="Book Antiqua"/>
                <w:b/>
                <w:bCs/>
                <w:vertAlign w:val="superscript"/>
              </w:rPr>
              <w:t>1</w:t>
            </w:r>
            <w:r w:rsidRPr="00A6750E">
              <w:rPr>
                <w:rFonts w:ascii="Book Antiqua" w:hAnsi="Book Antiqua"/>
                <w:b/>
                <w:bCs/>
              </w:rPr>
              <w:t xml:space="preserve"> </w:t>
            </w:r>
          </w:p>
        </w:tc>
        <w:tc>
          <w:tcPr>
            <w:tcW w:w="850"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bCs/>
              </w:rPr>
            </w:pPr>
            <w:r w:rsidRPr="00A6750E">
              <w:rPr>
                <w:rFonts w:ascii="Book Antiqua" w:hAnsi="Book Antiqua"/>
                <w:b/>
                <w:bCs/>
              </w:rPr>
              <w:t>EMA</w:t>
            </w:r>
          </w:p>
          <w:p w:rsidR="00225EB4" w:rsidRPr="00A6750E" w:rsidRDefault="00225EB4" w:rsidP="00FE70C5">
            <w:pPr>
              <w:spacing w:line="360" w:lineRule="auto"/>
              <w:jc w:val="both"/>
              <w:rPr>
                <w:rFonts w:ascii="Book Antiqua" w:hAnsi="Book Antiqua"/>
                <w:b/>
                <w:bCs/>
              </w:rPr>
            </w:pPr>
            <w:r w:rsidRPr="00A6750E">
              <w:rPr>
                <w:rFonts w:ascii="Book Antiqua" w:hAnsi="Book Antiqua"/>
                <w:b/>
                <w:bCs/>
              </w:rPr>
              <w:t>IgA</w:t>
            </w:r>
          </w:p>
        </w:tc>
        <w:tc>
          <w:tcPr>
            <w:tcW w:w="1163"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bCs/>
              </w:rPr>
            </w:pPr>
            <w:r w:rsidRPr="00A6750E">
              <w:rPr>
                <w:rFonts w:ascii="Book Antiqua" w:hAnsi="Book Antiqua"/>
                <w:b/>
                <w:bCs/>
              </w:rPr>
              <w:t>Clinical</w:t>
            </w:r>
            <w:r>
              <w:rPr>
                <w:rFonts w:ascii="Book Antiqua" w:hAnsi="Book Antiqua"/>
                <w:b/>
                <w:bCs/>
                <w:vertAlign w:val="superscript"/>
              </w:rPr>
              <w:t>2</w:t>
            </w:r>
          </w:p>
          <w:p w:rsidR="00225EB4" w:rsidRPr="00A6750E" w:rsidRDefault="00225EB4" w:rsidP="00FE70C5">
            <w:pPr>
              <w:spacing w:line="360" w:lineRule="auto"/>
              <w:jc w:val="both"/>
              <w:rPr>
                <w:rFonts w:ascii="Book Antiqua" w:hAnsi="Book Antiqua"/>
                <w:b/>
                <w:bCs/>
              </w:rPr>
            </w:pPr>
            <w:r w:rsidRPr="00A6750E">
              <w:rPr>
                <w:rFonts w:ascii="Book Antiqua" w:hAnsi="Book Antiqua"/>
                <w:b/>
                <w:bCs/>
              </w:rPr>
              <w:t>history</w:t>
            </w:r>
          </w:p>
        </w:tc>
      </w:tr>
      <w:tr w:rsidR="00225EB4" w:rsidRPr="00A6750E" w:rsidTr="006C036F">
        <w:trPr>
          <w:trHeight w:val="432"/>
        </w:trPr>
        <w:tc>
          <w:tcPr>
            <w:tcW w:w="1043" w:type="dxa"/>
            <w:tcBorders>
              <w:top w:val="single" w:sz="4" w:space="0" w:color="auto"/>
            </w:tcBorders>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1</w:t>
            </w:r>
          </w:p>
        </w:tc>
        <w:tc>
          <w:tcPr>
            <w:tcW w:w="1043" w:type="dxa"/>
            <w:tcBorders>
              <w:top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M</w:t>
            </w:r>
          </w:p>
        </w:tc>
        <w:tc>
          <w:tcPr>
            <w:tcW w:w="657" w:type="dxa"/>
            <w:tcBorders>
              <w:top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24</w:t>
            </w:r>
          </w:p>
        </w:tc>
        <w:tc>
          <w:tcPr>
            <w:tcW w:w="1249" w:type="dxa"/>
            <w:tcBorders>
              <w:top w:val="single" w:sz="4" w:space="0" w:color="auto"/>
            </w:tcBorders>
            <w:vAlign w:val="center"/>
          </w:tcPr>
          <w:p w:rsidR="00225EB4" w:rsidRPr="00A6750E" w:rsidRDefault="00225EB4" w:rsidP="00FE70C5">
            <w:pPr>
              <w:spacing w:line="360" w:lineRule="auto"/>
              <w:jc w:val="both"/>
              <w:rPr>
                <w:rFonts w:ascii="Book Antiqua" w:hAnsi="Book Antiqua"/>
                <w:color w:val="FF0000"/>
              </w:rPr>
            </w:pPr>
            <w:r w:rsidRPr="00A6750E">
              <w:rPr>
                <w:rFonts w:ascii="Book Antiqua" w:hAnsi="Book Antiqua"/>
              </w:rPr>
              <w:t>7.6</w:t>
            </w:r>
          </w:p>
        </w:tc>
        <w:tc>
          <w:tcPr>
            <w:tcW w:w="850" w:type="dxa"/>
            <w:tcBorders>
              <w:top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Borders>
              <w:top w:val="single" w:sz="4" w:space="0" w:color="auto"/>
            </w:tcBorders>
          </w:tcPr>
          <w:p w:rsidR="00225EB4" w:rsidRPr="00A6750E" w:rsidRDefault="00225EB4" w:rsidP="00FE70C5">
            <w:pPr>
              <w:spacing w:line="360" w:lineRule="auto"/>
              <w:jc w:val="both"/>
              <w:rPr>
                <w:rFonts w:ascii="Book Antiqua" w:hAnsi="Book Antiqua"/>
              </w:rPr>
            </w:pPr>
            <w:r w:rsidRPr="00A6750E">
              <w:rPr>
                <w:rFonts w:ascii="Book Antiqua" w:hAnsi="Book Antiqua"/>
              </w:rPr>
              <w:t>a</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2</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28</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1.27</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t</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3</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22</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2.42</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4</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24</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3.6</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5</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23</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8.25</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a</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6</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20</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3.15</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7</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20</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6.6</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8</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22</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4.87</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a</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9</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25</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9.1</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10</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18</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9.89</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a</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11</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24</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9.13</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12</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27</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7.6</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13</w:t>
            </w:r>
          </w:p>
        </w:tc>
        <w:tc>
          <w:tcPr>
            <w:tcW w:w="1043"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24</w:t>
            </w:r>
          </w:p>
        </w:tc>
        <w:tc>
          <w:tcPr>
            <w:tcW w:w="1249"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4.25</w:t>
            </w:r>
          </w:p>
        </w:tc>
        <w:tc>
          <w:tcPr>
            <w:tcW w:w="850" w:type="dxa"/>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Pr>
          <w:p w:rsidR="00225EB4" w:rsidRPr="00A6750E" w:rsidRDefault="00225EB4" w:rsidP="00FE70C5">
            <w:pPr>
              <w:spacing w:line="360" w:lineRule="auto"/>
              <w:jc w:val="both"/>
              <w:rPr>
                <w:rFonts w:ascii="Book Antiqua" w:hAnsi="Book Antiqua"/>
              </w:rPr>
            </w:pPr>
            <w:r w:rsidRPr="00A6750E">
              <w:rPr>
                <w:rFonts w:ascii="Book Antiqua" w:hAnsi="Book Antiqua"/>
              </w:rPr>
              <w:t>n</w:t>
            </w:r>
          </w:p>
        </w:tc>
      </w:tr>
      <w:tr w:rsidR="00225EB4" w:rsidRPr="00A6750E" w:rsidTr="006C036F">
        <w:trPr>
          <w:trHeight w:val="432"/>
        </w:trPr>
        <w:tc>
          <w:tcPr>
            <w:tcW w:w="1043" w:type="dxa"/>
            <w:tcBorders>
              <w:bottom w:val="single" w:sz="4" w:space="0" w:color="auto"/>
            </w:tcBorders>
            <w:vAlign w:val="center"/>
          </w:tcPr>
          <w:p w:rsidR="00225EB4" w:rsidRPr="00A6750E" w:rsidRDefault="00225EB4" w:rsidP="00FE70C5">
            <w:pPr>
              <w:spacing w:line="360" w:lineRule="auto"/>
              <w:jc w:val="both"/>
              <w:rPr>
                <w:rFonts w:ascii="Book Antiqua" w:hAnsi="Book Antiqua"/>
                <w:bCs/>
              </w:rPr>
            </w:pPr>
            <w:r w:rsidRPr="00A6750E">
              <w:rPr>
                <w:rFonts w:ascii="Book Antiqua" w:hAnsi="Book Antiqua"/>
                <w:bCs/>
              </w:rPr>
              <w:t>14</w:t>
            </w:r>
          </w:p>
        </w:tc>
        <w:tc>
          <w:tcPr>
            <w:tcW w:w="1043" w:type="dxa"/>
            <w:tcBorders>
              <w:bottom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F</w:t>
            </w:r>
          </w:p>
        </w:tc>
        <w:tc>
          <w:tcPr>
            <w:tcW w:w="657" w:type="dxa"/>
            <w:tcBorders>
              <w:bottom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22</w:t>
            </w:r>
          </w:p>
        </w:tc>
        <w:tc>
          <w:tcPr>
            <w:tcW w:w="1249" w:type="dxa"/>
            <w:tcBorders>
              <w:bottom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6.78</w:t>
            </w:r>
          </w:p>
        </w:tc>
        <w:tc>
          <w:tcPr>
            <w:tcW w:w="850" w:type="dxa"/>
            <w:tcBorders>
              <w:bottom w:val="single" w:sz="4" w:space="0" w:color="auto"/>
            </w:tcBorders>
            <w:vAlign w:val="center"/>
          </w:tcPr>
          <w:p w:rsidR="00225EB4" w:rsidRPr="00A6750E" w:rsidRDefault="00225EB4" w:rsidP="00FE70C5">
            <w:pPr>
              <w:spacing w:line="360" w:lineRule="auto"/>
              <w:jc w:val="both"/>
              <w:rPr>
                <w:rFonts w:ascii="Book Antiqua" w:hAnsi="Book Antiqua"/>
              </w:rPr>
            </w:pPr>
            <w:r w:rsidRPr="00A6750E">
              <w:rPr>
                <w:rFonts w:ascii="Book Antiqua" w:hAnsi="Book Antiqua"/>
              </w:rPr>
              <w:t>++</w:t>
            </w:r>
          </w:p>
        </w:tc>
        <w:tc>
          <w:tcPr>
            <w:tcW w:w="1163" w:type="dxa"/>
            <w:tcBorders>
              <w:bottom w:val="single" w:sz="4" w:space="0" w:color="auto"/>
            </w:tcBorders>
          </w:tcPr>
          <w:p w:rsidR="00225EB4" w:rsidRPr="00A6750E" w:rsidRDefault="00225EB4" w:rsidP="00FE70C5">
            <w:pPr>
              <w:spacing w:line="360" w:lineRule="auto"/>
              <w:jc w:val="both"/>
              <w:rPr>
                <w:rFonts w:ascii="Book Antiqua" w:hAnsi="Book Antiqua"/>
              </w:rPr>
            </w:pPr>
            <w:r w:rsidRPr="00A6750E">
              <w:rPr>
                <w:rFonts w:ascii="Book Antiqua" w:hAnsi="Book Antiqua"/>
              </w:rPr>
              <w:t>a</w:t>
            </w:r>
          </w:p>
        </w:tc>
      </w:tr>
    </w:tbl>
    <w:p w:rsidR="00225EB4" w:rsidRPr="009B3D1A" w:rsidRDefault="00225EB4" w:rsidP="00FE70C5">
      <w:pPr>
        <w:tabs>
          <w:tab w:val="left" w:pos="7995"/>
        </w:tabs>
        <w:spacing w:line="360" w:lineRule="auto"/>
        <w:jc w:val="both"/>
        <w:rPr>
          <w:rFonts w:ascii="Book Antiqua" w:hAnsi="Book Antiqua"/>
          <w:lang w:eastAsia="zh-CN"/>
        </w:rPr>
      </w:pPr>
      <w:r w:rsidRPr="009C2ED1">
        <w:rPr>
          <w:rFonts w:ascii="Book Antiqua" w:hAnsi="Book Antiqua"/>
          <w:b/>
          <w:bCs/>
          <w:vertAlign w:val="superscript"/>
        </w:rPr>
        <w:t>1</w:t>
      </w:r>
      <w:r w:rsidRPr="009B3D1A">
        <w:rPr>
          <w:rFonts w:ascii="Book Antiqua" w:hAnsi="Book Antiqua"/>
        </w:rPr>
        <w:t>Using qualitative evaluation ratio for tTG IgA the cutoff for the positive &gt;1.2, equivocal 0.85-1.2, and negative subjects &lt;0.85.</w:t>
      </w:r>
      <w:r>
        <w:rPr>
          <w:rFonts w:ascii="Book Antiqua" w:hAnsi="Book Antiqua"/>
          <w:lang w:eastAsia="zh-CN"/>
        </w:rPr>
        <w:t xml:space="preserve"> </w:t>
      </w:r>
      <w:r w:rsidRPr="009C2ED1">
        <w:rPr>
          <w:rFonts w:ascii="Book Antiqua" w:hAnsi="Book Antiqua"/>
          <w:b/>
          <w:bCs/>
          <w:vertAlign w:val="superscript"/>
        </w:rPr>
        <w:t>2</w:t>
      </w:r>
      <w:r w:rsidRPr="009B3D1A">
        <w:rPr>
          <w:rFonts w:ascii="Book Antiqua" w:hAnsi="Book Antiqua"/>
        </w:rPr>
        <w:t>a</w:t>
      </w:r>
      <w:r>
        <w:rPr>
          <w:rFonts w:ascii="Book Antiqua" w:hAnsi="Book Antiqua"/>
          <w:lang w:eastAsia="zh-CN"/>
        </w:rPr>
        <w:t>: A</w:t>
      </w:r>
      <w:r w:rsidRPr="009B3D1A">
        <w:rPr>
          <w:rFonts w:ascii="Book Antiqua" w:hAnsi="Book Antiqua"/>
        </w:rPr>
        <w:t>nemia</w:t>
      </w:r>
      <w:r>
        <w:rPr>
          <w:rFonts w:ascii="Book Antiqua" w:hAnsi="Book Antiqua"/>
          <w:lang w:eastAsia="zh-CN"/>
        </w:rPr>
        <w:t xml:space="preserve">; </w:t>
      </w:r>
      <w:r w:rsidRPr="009B3D1A">
        <w:rPr>
          <w:rFonts w:ascii="Book Antiqua" w:hAnsi="Book Antiqua"/>
        </w:rPr>
        <w:t>t</w:t>
      </w:r>
      <w:r>
        <w:rPr>
          <w:rFonts w:ascii="Book Antiqua" w:hAnsi="Book Antiqua"/>
          <w:lang w:eastAsia="zh-CN"/>
        </w:rPr>
        <w:t>: T</w:t>
      </w:r>
      <w:r w:rsidRPr="009B3D1A">
        <w:rPr>
          <w:rFonts w:ascii="Book Antiqua" w:hAnsi="Book Antiqua"/>
        </w:rPr>
        <w:t>hyroid disorder</w:t>
      </w:r>
      <w:r>
        <w:rPr>
          <w:rFonts w:ascii="Book Antiqua" w:hAnsi="Book Antiqua"/>
          <w:lang w:eastAsia="zh-CN"/>
        </w:rPr>
        <w:t xml:space="preserve">; </w:t>
      </w:r>
      <w:r w:rsidRPr="009B3D1A">
        <w:rPr>
          <w:rFonts w:ascii="Book Antiqua" w:hAnsi="Book Antiqua"/>
        </w:rPr>
        <w:t>n</w:t>
      </w:r>
      <w:r>
        <w:rPr>
          <w:rFonts w:ascii="Book Antiqua" w:hAnsi="Book Antiqua"/>
          <w:lang w:eastAsia="zh-CN"/>
        </w:rPr>
        <w:t>: N</w:t>
      </w:r>
      <w:r w:rsidRPr="009B3D1A">
        <w:rPr>
          <w:rFonts w:ascii="Book Antiqua" w:hAnsi="Book Antiqua"/>
        </w:rPr>
        <w:t>o complain.</w:t>
      </w:r>
      <w:r>
        <w:rPr>
          <w:rFonts w:ascii="Book Antiqua" w:hAnsi="Book Antiqua"/>
          <w:lang w:eastAsia="zh-CN"/>
        </w:rPr>
        <w:t xml:space="preserve"> M: Male; F: Female; </w:t>
      </w:r>
      <w:r w:rsidRPr="00D26480">
        <w:rPr>
          <w:rFonts w:ascii="Book Antiqua" w:hAnsi="Book Antiqua"/>
          <w:lang w:eastAsia="zh-CN"/>
        </w:rPr>
        <w:t>EMA</w:t>
      </w:r>
      <w:r>
        <w:rPr>
          <w:rFonts w:ascii="Book Antiqua" w:hAnsi="Book Antiqua"/>
          <w:lang w:eastAsia="zh-CN"/>
        </w:rPr>
        <w:t>: A</w:t>
      </w:r>
      <w:r w:rsidRPr="00D26480">
        <w:rPr>
          <w:rFonts w:ascii="Book Antiqua" w:hAnsi="Book Antiqua"/>
          <w:lang w:eastAsia="zh-CN"/>
        </w:rPr>
        <w:t>nti-endomysial antibodies</w:t>
      </w:r>
      <w:r>
        <w:rPr>
          <w:rFonts w:ascii="Book Antiqua" w:hAnsi="Book Antiqua"/>
          <w:lang w:eastAsia="zh-CN"/>
        </w:rPr>
        <w:t>.</w:t>
      </w: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9B3D1A" w:rsidRDefault="00225EB4" w:rsidP="00FE70C5">
      <w:pPr>
        <w:autoSpaceDE w:val="0"/>
        <w:autoSpaceDN w:val="0"/>
        <w:adjustRightInd w:val="0"/>
        <w:spacing w:line="360" w:lineRule="auto"/>
        <w:jc w:val="both"/>
        <w:rPr>
          <w:rFonts w:ascii="Book Antiqua" w:hAnsi="Book Antiqua"/>
          <w:b/>
          <w:bCs/>
        </w:rPr>
      </w:pPr>
    </w:p>
    <w:p w:rsidR="00225EB4" w:rsidRPr="00535C37" w:rsidRDefault="00225EB4" w:rsidP="00FE70C5">
      <w:pPr>
        <w:autoSpaceDE w:val="0"/>
        <w:autoSpaceDN w:val="0"/>
        <w:adjustRightInd w:val="0"/>
        <w:spacing w:line="360" w:lineRule="auto"/>
        <w:jc w:val="both"/>
        <w:rPr>
          <w:rFonts w:ascii="Book Antiqua" w:hAnsi="Book Antiqua"/>
          <w:b/>
          <w:color w:val="000000"/>
        </w:rPr>
      </w:pPr>
      <w:r w:rsidRPr="009B3D1A">
        <w:rPr>
          <w:rFonts w:ascii="Book Antiqua" w:hAnsi="Book Antiqua"/>
          <w:b/>
          <w:bCs/>
        </w:rPr>
        <w:t>Table 2</w:t>
      </w:r>
      <w:r>
        <w:rPr>
          <w:rFonts w:ascii="Book Antiqua" w:hAnsi="Book Antiqua"/>
          <w:b/>
          <w:bCs/>
          <w:lang w:eastAsia="zh-CN"/>
        </w:rPr>
        <w:t xml:space="preserve"> </w:t>
      </w:r>
      <w:r w:rsidRPr="00535C37">
        <w:rPr>
          <w:rFonts w:ascii="Book Antiqua" w:hAnsi="Book Antiqua"/>
          <w:b/>
        </w:rPr>
        <w:t>Distribution and association of variables according to celiac disease serology in Emiratis</w:t>
      </w:r>
    </w:p>
    <w:tbl>
      <w:tblPr>
        <w:tblW w:w="8910" w:type="dxa"/>
        <w:tblInd w:w="-252" w:type="dxa"/>
        <w:tblBorders>
          <w:top w:val="single" w:sz="4" w:space="0" w:color="auto"/>
          <w:bottom w:val="single" w:sz="4" w:space="0" w:color="auto"/>
        </w:tblBorders>
        <w:tblLayout w:type="fixed"/>
        <w:tblLook w:val="00A0" w:firstRow="1" w:lastRow="0" w:firstColumn="1" w:lastColumn="0" w:noHBand="0" w:noVBand="0"/>
      </w:tblPr>
      <w:tblGrid>
        <w:gridCol w:w="900"/>
        <w:gridCol w:w="450"/>
        <w:gridCol w:w="630"/>
        <w:gridCol w:w="1350"/>
        <w:gridCol w:w="1170"/>
        <w:gridCol w:w="2160"/>
        <w:gridCol w:w="2250"/>
      </w:tblGrid>
      <w:tr w:rsidR="00225EB4" w:rsidRPr="00A6750E" w:rsidTr="001A4CE1">
        <w:trPr>
          <w:trHeight w:val="323"/>
        </w:trPr>
        <w:tc>
          <w:tcPr>
            <w:tcW w:w="1980" w:type="dxa"/>
            <w:gridSpan w:val="3"/>
            <w:vMerge w:val="restart"/>
            <w:tcBorders>
              <w:top w:val="single" w:sz="4" w:space="0" w:color="auto"/>
              <w:bottom w:val="single" w:sz="4" w:space="0" w:color="auto"/>
            </w:tcBorders>
          </w:tcPr>
          <w:p w:rsidR="00225EB4" w:rsidRPr="00A6750E" w:rsidRDefault="00225EB4" w:rsidP="00FE70C5">
            <w:pPr>
              <w:spacing w:line="360" w:lineRule="auto"/>
              <w:jc w:val="both"/>
              <w:rPr>
                <w:rFonts w:ascii="Book Antiqua" w:hAnsi="Book Antiqua"/>
                <w:b/>
              </w:rPr>
            </w:pPr>
            <w:r w:rsidRPr="00A6750E">
              <w:rPr>
                <w:rFonts w:ascii="Book Antiqua" w:hAnsi="Book Antiqua"/>
                <w:b/>
              </w:rPr>
              <w:t>Variable</w:t>
            </w:r>
          </w:p>
        </w:tc>
        <w:tc>
          <w:tcPr>
            <w:tcW w:w="1350" w:type="dxa"/>
            <w:tcBorders>
              <w:top w:val="single" w:sz="4" w:space="0" w:color="auto"/>
              <w:bottom w:val="single" w:sz="4" w:space="0" w:color="auto"/>
            </w:tcBorders>
          </w:tcPr>
          <w:p w:rsidR="00225EB4" w:rsidRPr="00A6750E" w:rsidRDefault="00225EB4" w:rsidP="00FE70C5">
            <w:pPr>
              <w:spacing w:line="360" w:lineRule="auto"/>
              <w:jc w:val="both"/>
              <w:rPr>
                <w:rFonts w:ascii="Book Antiqua" w:hAnsi="Book Antiqua"/>
                <w:b/>
              </w:rPr>
            </w:pPr>
            <w:r w:rsidRPr="00A6750E">
              <w:rPr>
                <w:rFonts w:ascii="Book Antiqua" w:hAnsi="Book Antiqua"/>
                <w:b/>
              </w:rPr>
              <w:t>CD –ve</w:t>
            </w:r>
          </w:p>
        </w:tc>
        <w:tc>
          <w:tcPr>
            <w:tcW w:w="1170" w:type="dxa"/>
            <w:tcBorders>
              <w:top w:val="single" w:sz="4" w:space="0" w:color="auto"/>
              <w:bottom w:val="single" w:sz="4" w:space="0" w:color="auto"/>
            </w:tcBorders>
          </w:tcPr>
          <w:p w:rsidR="00225EB4" w:rsidRPr="00A6750E" w:rsidRDefault="00225EB4" w:rsidP="00FE70C5">
            <w:pPr>
              <w:spacing w:line="360" w:lineRule="auto"/>
              <w:jc w:val="both"/>
              <w:rPr>
                <w:rFonts w:ascii="Book Antiqua" w:hAnsi="Book Antiqua"/>
                <w:b/>
              </w:rPr>
            </w:pPr>
            <w:r w:rsidRPr="00A6750E">
              <w:rPr>
                <w:rFonts w:ascii="Book Antiqua" w:hAnsi="Book Antiqua"/>
                <w:b/>
              </w:rPr>
              <w:t>CD +ve</w:t>
            </w:r>
          </w:p>
        </w:tc>
        <w:tc>
          <w:tcPr>
            <w:tcW w:w="2160" w:type="dxa"/>
            <w:tcBorders>
              <w:top w:val="single" w:sz="4" w:space="0" w:color="auto"/>
              <w:bottom w:val="nil"/>
            </w:tcBorders>
            <w:vAlign w:val="center"/>
          </w:tcPr>
          <w:p w:rsidR="00225EB4" w:rsidRPr="00A6750E" w:rsidRDefault="00225EB4" w:rsidP="00FE70C5">
            <w:pPr>
              <w:spacing w:line="360" w:lineRule="auto"/>
              <w:jc w:val="both"/>
              <w:rPr>
                <w:rFonts w:ascii="Book Antiqua" w:hAnsi="Book Antiqua"/>
                <w:b/>
              </w:rPr>
            </w:pPr>
          </w:p>
        </w:tc>
        <w:tc>
          <w:tcPr>
            <w:tcW w:w="2250" w:type="dxa"/>
            <w:tcBorders>
              <w:top w:val="single" w:sz="4" w:space="0" w:color="auto"/>
              <w:bottom w:val="nil"/>
            </w:tcBorders>
            <w:vAlign w:val="center"/>
          </w:tcPr>
          <w:p w:rsidR="00225EB4" w:rsidRPr="00A6750E" w:rsidRDefault="00225EB4" w:rsidP="00FE70C5">
            <w:pPr>
              <w:spacing w:line="360" w:lineRule="auto"/>
              <w:jc w:val="both"/>
              <w:rPr>
                <w:rFonts w:ascii="Book Antiqua" w:hAnsi="Book Antiqua"/>
                <w:b/>
              </w:rPr>
            </w:pPr>
          </w:p>
        </w:tc>
      </w:tr>
      <w:tr w:rsidR="00225EB4" w:rsidRPr="00A6750E" w:rsidTr="001A4CE1">
        <w:trPr>
          <w:trHeight w:val="596"/>
        </w:trPr>
        <w:tc>
          <w:tcPr>
            <w:tcW w:w="1980" w:type="dxa"/>
            <w:gridSpan w:val="3"/>
            <w:vMerge/>
            <w:tcBorders>
              <w:top w:val="nil"/>
              <w:bottom w:val="single" w:sz="4" w:space="0" w:color="auto"/>
            </w:tcBorders>
          </w:tcPr>
          <w:p w:rsidR="00225EB4" w:rsidRPr="00A6750E" w:rsidRDefault="00225EB4" w:rsidP="00FE70C5">
            <w:pPr>
              <w:spacing w:line="360" w:lineRule="auto"/>
              <w:jc w:val="both"/>
              <w:rPr>
                <w:rFonts w:ascii="Book Antiqua" w:hAnsi="Book Antiqua"/>
                <w:b/>
              </w:rPr>
            </w:pPr>
          </w:p>
        </w:tc>
        <w:tc>
          <w:tcPr>
            <w:tcW w:w="1350" w:type="dxa"/>
            <w:vMerge w:val="restart"/>
            <w:tcBorders>
              <w:top w:val="nil"/>
              <w:bottom w:val="single" w:sz="4" w:space="0" w:color="auto"/>
            </w:tcBorders>
            <w:vAlign w:val="center"/>
          </w:tcPr>
          <w:p w:rsidR="00225EB4" w:rsidRPr="00A6750E" w:rsidRDefault="00225EB4" w:rsidP="00FE70C5">
            <w:pPr>
              <w:jc w:val="both"/>
              <w:rPr>
                <w:rFonts w:ascii="Book Antiqua" w:hAnsi="Book Antiqua"/>
                <w:b/>
              </w:rPr>
            </w:pPr>
            <w:r w:rsidRPr="00A6750E">
              <w:rPr>
                <w:rFonts w:ascii="Book Antiqua" w:hAnsi="Book Antiqua"/>
                <w:b/>
                <w:i/>
                <w:iCs/>
              </w:rPr>
              <w:t>n</w:t>
            </w:r>
            <w:r w:rsidRPr="00A6750E">
              <w:rPr>
                <w:rFonts w:ascii="Book Antiqua" w:hAnsi="Book Antiqua"/>
                <w:b/>
              </w:rPr>
              <w:t xml:space="preserve"> (%)</w:t>
            </w:r>
          </w:p>
          <w:p w:rsidR="00225EB4" w:rsidRPr="00A6750E" w:rsidRDefault="00225EB4" w:rsidP="00FE70C5">
            <w:pPr>
              <w:jc w:val="both"/>
              <w:rPr>
                <w:rFonts w:ascii="Book Antiqua" w:hAnsi="Book Antiqua"/>
                <w:b/>
              </w:rPr>
            </w:pPr>
          </w:p>
        </w:tc>
        <w:tc>
          <w:tcPr>
            <w:tcW w:w="1170" w:type="dxa"/>
            <w:vMerge w:val="restart"/>
            <w:tcBorders>
              <w:top w:val="nil"/>
              <w:bottom w:val="single" w:sz="4" w:space="0" w:color="auto"/>
            </w:tcBorders>
            <w:vAlign w:val="center"/>
          </w:tcPr>
          <w:p w:rsidR="00225EB4" w:rsidRPr="00A6750E" w:rsidRDefault="00225EB4" w:rsidP="00FE70C5">
            <w:pPr>
              <w:jc w:val="both"/>
              <w:rPr>
                <w:rFonts w:ascii="Book Antiqua" w:hAnsi="Book Antiqua"/>
                <w:b/>
              </w:rPr>
            </w:pPr>
            <w:r w:rsidRPr="00A6750E">
              <w:rPr>
                <w:rFonts w:ascii="Book Antiqua" w:hAnsi="Book Antiqua"/>
                <w:b/>
                <w:i/>
                <w:iCs/>
              </w:rPr>
              <w:t>n</w:t>
            </w:r>
            <w:r w:rsidRPr="00A6750E">
              <w:rPr>
                <w:rFonts w:ascii="Book Antiqua" w:hAnsi="Book Antiqua"/>
                <w:b/>
              </w:rPr>
              <w:t xml:space="preserve"> (%)</w:t>
            </w:r>
          </w:p>
          <w:p w:rsidR="00225EB4" w:rsidRPr="00A6750E" w:rsidRDefault="00225EB4" w:rsidP="00FE70C5">
            <w:pPr>
              <w:jc w:val="both"/>
              <w:rPr>
                <w:rFonts w:ascii="Book Antiqua" w:hAnsi="Book Antiqua"/>
                <w:b/>
              </w:rPr>
            </w:pPr>
          </w:p>
        </w:tc>
        <w:tc>
          <w:tcPr>
            <w:tcW w:w="2160" w:type="dxa"/>
            <w:vMerge w:val="restart"/>
            <w:tcBorders>
              <w:top w:val="nil"/>
              <w:bottom w:val="single" w:sz="4" w:space="0" w:color="auto"/>
            </w:tcBorders>
            <w:vAlign w:val="center"/>
          </w:tcPr>
          <w:p w:rsidR="00225EB4" w:rsidRPr="00A6750E" w:rsidRDefault="00225EB4" w:rsidP="00FE70C5">
            <w:pPr>
              <w:jc w:val="both"/>
              <w:rPr>
                <w:rFonts w:ascii="Book Antiqua" w:hAnsi="Book Antiqua"/>
                <w:b/>
              </w:rPr>
            </w:pPr>
            <w:r>
              <w:rPr>
                <w:rFonts w:ascii="Book Antiqua" w:hAnsi="Book Antiqua"/>
                <w:b/>
                <w:vertAlign w:val="superscript"/>
              </w:rPr>
              <w:t>1</w:t>
            </w:r>
            <w:r w:rsidRPr="00A6750E">
              <w:rPr>
                <w:rFonts w:ascii="Book Antiqua" w:hAnsi="Book Antiqua"/>
                <w:b/>
              </w:rPr>
              <w:t>OR (95%CI)</w:t>
            </w:r>
          </w:p>
          <w:p w:rsidR="00225EB4" w:rsidRPr="00A6750E" w:rsidRDefault="00225EB4" w:rsidP="00FE70C5">
            <w:pPr>
              <w:jc w:val="both"/>
              <w:rPr>
                <w:rFonts w:ascii="Book Antiqua" w:hAnsi="Book Antiqua"/>
                <w:b/>
              </w:rPr>
            </w:pPr>
            <w:r w:rsidRPr="00A6750E">
              <w:rPr>
                <w:rFonts w:ascii="Book Antiqua" w:hAnsi="Book Antiqua"/>
                <w:b/>
              </w:rPr>
              <w:t>[</w:t>
            </w:r>
            <w:r w:rsidRPr="00A6750E">
              <w:rPr>
                <w:rFonts w:ascii="Book Antiqua" w:hAnsi="Book Antiqua"/>
                <w:b/>
                <w:i/>
                <w:iCs/>
              </w:rPr>
              <w:t>P</w:t>
            </w:r>
            <w:r w:rsidRPr="00A6750E">
              <w:rPr>
                <w:rFonts w:ascii="Book Antiqua" w:hAnsi="Book Antiqua"/>
                <w:b/>
              </w:rPr>
              <w:t>]</w:t>
            </w:r>
          </w:p>
        </w:tc>
        <w:tc>
          <w:tcPr>
            <w:tcW w:w="2250" w:type="dxa"/>
            <w:vMerge w:val="restart"/>
            <w:tcBorders>
              <w:top w:val="nil"/>
              <w:bottom w:val="single" w:sz="4" w:space="0" w:color="auto"/>
            </w:tcBorders>
            <w:vAlign w:val="center"/>
          </w:tcPr>
          <w:p w:rsidR="00225EB4" w:rsidRPr="00A6750E" w:rsidRDefault="00225EB4" w:rsidP="00FE70C5">
            <w:pPr>
              <w:jc w:val="both"/>
              <w:rPr>
                <w:rFonts w:ascii="Book Antiqua" w:hAnsi="Book Antiqua"/>
                <w:b/>
              </w:rPr>
            </w:pPr>
            <w:r>
              <w:rPr>
                <w:rFonts w:ascii="Book Antiqua" w:hAnsi="Book Antiqua"/>
                <w:b/>
                <w:vertAlign w:val="superscript"/>
              </w:rPr>
              <w:t>2</w:t>
            </w:r>
            <w:r w:rsidRPr="00A6750E">
              <w:rPr>
                <w:rFonts w:ascii="Book Antiqua" w:hAnsi="Book Antiqua"/>
                <w:b/>
              </w:rPr>
              <w:t>OR (95%CI)</w:t>
            </w:r>
          </w:p>
          <w:p w:rsidR="00225EB4" w:rsidRPr="00A6750E" w:rsidRDefault="00225EB4" w:rsidP="00FE70C5">
            <w:pPr>
              <w:jc w:val="both"/>
              <w:rPr>
                <w:rFonts w:ascii="Book Antiqua" w:hAnsi="Book Antiqua"/>
                <w:b/>
              </w:rPr>
            </w:pPr>
            <w:r w:rsidRPr="00A6750E">
              <w:rPr>
                <w:rFonts w:ascii="Book Antiqua" w:hAnsi="Book Antiqua"/>
                <w:b/>
              </w:rPr>
              <w:t>[</w:t>
            </w:r>
            <w:r w:rsidRPr="00A6750E">
              <w:rPr>
                <w:rFonts w:ascii="Book Antiqua" w:hAnsi="Book Antiqua"/>
                <w:b/>
                <w:i/>
                <w:iCs/>
              </w:rPr>
              <w:t>P</w:t>
            </w:r>
            <w:r w:rsidRPr="00A6750E">
              <w:rPr>
                <w:rFonts w:ascii="Book Antiqua" w:hAnsi="Book Antiqua"/>
                <w:b/>
              </w:rPr>
              <w:t>]</w:t>
            </w:r>
          </w:p>
        </w:tc>
      </w:tr>
      <w:tr w:rsidR="00225EB4" w:rsidRPr="00A6750E" w:rsidTr="001A4CE1">
        <w:trPr>
          <w:trHeight w:val="434"/>
        </w:trPr>
        <w:tc>
          <w:tcPr>
            <w:tcW w:w="1980" w:type="dxa"/>
            <w:gridSpan w:val="3"/>
            <w:vMerge/>
            <w:tcBorders>
              <w:top w:val="nil"/>
              <w:bottom w:val="single" w:sz="4" w:space="0" w:color="auto"/>
            </w:tcBorders>
          </w:tcPr>
          <w:p w:rsidR="00225EB4" w:rsidRPr="00A6750E" w:rsidRDefault="00225EB4" w:rsidP="00FE70C5">
            <w:pPr>
              <w:spacing w:line="360" w:lineRule="auto"/>
              <w:jc w:val="both"/>
              <w:rPr>
                <w:rFonts w:ascii="Book Antiqua" w:hAnsi="Book Antiqua"/>
                <w:b/>
                <w:bCs/>
              </w:rPr>
            </w:pPr>
          </w:p>
        </w:tc>
        <w:tc>
          <w:tcPr>
            <w:tcW w:w="1350" w:type="dxa"/>
            <w:vMerge/>
            <w:tcBorders>
              <w:top w:val="nil"/>
              <w:bottom w:val="single" w:sz="4" w:space="0" w:color="auto"/>
            </w:tcBorders>
            <w:vAlign w:val="center"/>
          </w:tcPr>
          <w:p w:rsidR="00225EB4" w:rsidRPr="00A6750E" w:rsidRDefault="00225EB4" w:rsidP="00FE70C5">
            <w:pPr>
              <w:spacing w:line="360" w:lineRule="auto"/>
              <w:jc w:val="both"/>
              <w:rPr>
                <w:rFonts w:ascii="Book Antiqua" w:hAnsi="Book Antiqua"/>
                <w:b/>
                <w:bCs/>
              </w:rPr>
            </w:pPr>
          </w:p>
        </w:tc>
        <w:tc>
          <w:tcPr>
            <w:tcW w:w="1170" w:type="dxa"/>
            <w:vMerge/>
            <w:tcBorders>
              <w:top w:val="nil"/>
              <w:bottom w:val="single" w:sz="4" w:space="0" w:color="auto"/>
            </w:tcBorders>
            <w:vAlign w:val="center"/>
          </w:tcPr>
          <w:p w:rsidR="00225EB4" w:rsidRPr="00A6750E" w:rsidRDefault="00225EB4" w:rsidP="00FE70C5">
            <w:pPr>
              <w:spacing w:line="360" w:lineRule="auto"/>
              <w:jc w:val="both"/>
              <w:rPr>
                <w:rFonts w:ascii="Book Antiqua" w:hAnsi="Book Antiqua"/>
                <w:b/>
                <w:bCs/>
              </w:rPr>
            </w:pPr>
          </w:p>
        </w:tc>
        <w:tc>
          <w:tcPr>
            <w:tcW w:w="2160" w:type="dxa"/>
            <w:vMerge/>
            <w:tcBorders>
              <w:top w:val="nil"/>
              <w:bottom w:val="single" w:sz="4" w:space="0" w:color="auto"/>
            </w:tcBorders>
            <w:vAlign w:val="center"/>
          </w:tcPr>
          <w:p w:rsidR="00225EB4" w:rsidRPr="00A6750E" w:rsidRDefault="00225EB4" w:rsidP="00FE70C5">
            <w:pPr>
              <w:spacing w:line="360" w:lineRule="auto"/>
              <w:jc w:val="both"/>
              <w:rPr>
                <w:rFonts w:ascii="Book Antiqua" w:hAnsi="Book Antiqua"/>
                <w:b/>
                <w:bCs/>
              </w:rPr>
            </w:pPr>
          </w:p>
        </w:tc>
        <w:tc>
          <w:tcPr>
            <w:tcW w:w="2250" w:type="dxa"/>
            <w:vMerge/>
            <w:tcBorders>
              <w:top w:val="nil"/>
              <w:bottom w:val="single" w:sz="4" w:space="0" w:color="auto"/>
            </w:tcBorders>
            <w:vAlign w:val="center"/>
          </w:tcPr>
          <w:p w:rsidR="00225EB4" w:rsidRPr="00A6750E" w:rsidRDefault="00225EB4" w:rsidP="00FE70C5">
            <w:pPr>
              <w:spacing w:line="360" w:lineRule="auto"/>
              <w:jc w:val="both"/>
              <w:rPr>
                <w:rFonts w:ascii="Book Antiqua" w:hAnsi="Book Antiqua"/>
                <w:b/>
                <w:bCs/>
              </w:rPr>
            </w:pPr>
          </w:p>
        </w:tc>
      </w:tr>
      <w:tr w:rsidR="00225EB4" w:rsidRPr="00A6750E" w:rsidTr="001A4CE1">
        <w:tc>
          <w:tcPr>
            <w:tcW w:w="1350" w:type="dxa"/>
            <w:gridSpan w:val="2"/>
            <w:tcBorders>
              <w:top w:val="single" w:sz="4" w:space="0" w:color="auto"/>
            </w:tcBorders>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rPr>
              <w:t>CD in family</w:t>
            </w:r>
            <w:r w:rsidRPr="00A6750E">
              <w:rPr>
                <w:rFonts w:ascii="Book Antiqua" w:hAnsi="Book Antiqua"/>
                <w:color w:val="000000"/>
              </w:rPr>
              <w:t xml:space="preserve"> </w:t>
            </w:r>
          </w:p>
        </w:tc>
        <w:tc>
          <w:tcPr>
            <w:tcW w:w="630" w:type="dxa"/>
            <w:tcBorders>
              <w:top w:val="single" w:sz="4" w:space="0" w:color="auto"/>
            </w:tcBorders>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Borders>
              <w:top w:val="single" w:sz="4" w:space="0" w:color="auto"/>
            </w:tcBorders>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color w:val="000000"/>
              </w:rPr>
              <w:t>1181 (99.8)</w:t>
            </w:r>
          </w:p>
        </w:tc>
        <w:tc>
          <w:tcPr>
            <w:tcW w:w="1170" w:type="dxa"/>
            <w:tcBorders>
              <w:top w:val="single" w:sz="4" w:space="0" w:color="auto"/>
            </w:tcBorders>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color w:val="000000"/>
              </w:rPr>
              <w:t>14 (100)</w:t>
            </w:r>
          </w:p>
        </w:tc>
        <w:tc>
          <w:tcPr>
            <w:tcW w:w="2160" w:type="dxa"/>
            <w:tcBorders>
              <w:top w:val="single" w:sz="4" w:space="0" w:color="auto"/>
            </w:tcBorders>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color w:val="000000"/>
              </w:rPr>
              <w:t>0.998 (0.99-1.00)</w:t>
            </w:r>
          </w:p>
        </w:tc>
        <w:tc>
          <w:tcPr>
            <w:tcW w:w="2250" w:type="dxa"/>
            <w:tcBorders>
              <w:top w:val="single" w:sz="4" w:space="0" w:color="auto"/>
            </w:tcBorders>
            <w:vAlign w:val="center"/>
          </w:tcPr>
          <w:p w:rsidR="00225EB4" w:rsidRPr="00A6750E" w:rsidRDefault="00225EB4" w:rsidP="00FE70C5">
            <w:pPr>
              <w:jc w:val="both"/>
              <w:rPr>
                <w:rFonts w:ascii="Book Antiqua" w:hAnsi="Book Antiqua"/>
                <w:lang w:eastAsia="zh-CN"/>
              </w:rPr>
            </w:pPr>
            <w:r w:rsidRPr="00A6750E">
              <w:rPr>
                <w:rFonts w:ascii="Book Antiqua" w:hAnsi="Book Antiqua"/>
                <w:lang w:eastAsia="zh-CN"/>
              </w:rPr>
              <w:t>-</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630" w:type="dxa"/>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rPr>
              <w:t>Ye</w:t>
            </w:r>
            <w:r w:rsidRPr="00A6750E">
              <w:rPr>
                <w:rFonts w:ascii="Book Antiqua" w:hAnsi="Book Antiqua"/>
                <w:color w:val="000000"/>
              </w:rPr>
              <w:t>s</w:t>
            </w:r>
          </w:p>
        </w:tc>
        <w:tc>
          <w:tcPr>
            <w:tcW w:w="1350" w:type="dxa"/>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color w:val="000000"/>
              </w:rPr>
              <w:t>2  (0.2)</w:t>
            </w:r>
          </w:p>
        </w:tc>
        <w:tc>
          <w:tcPr>
            <w:tcW w:w="1170" w:type="dxa"/>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color w:val="000000"/>
              </w:rPr>
              <w:t>0 (0.0)</w:t>
            </w:r>
          </w:p>
        </w:tc>
        <w:tc>
          <w:tcPr>
            <w:tcW w:w="2160" w:type="dxa"/>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rPr>
              <w:t>[</w:t>
            </w:r>
            <w:r w:rsidRPr="00A6750E">
              <w:rPr>
                <w:rFonts w:ascii="Book Antiqua" w:hAnsi="Book Antiqua"/>
                <w:iCs/>
                <w:color w:val="000000"/>
              </w:rPr>
              <w:t>0.828</w:t>
            </w:r>
            <w:r w:rsidRPr="00A6750E">
              <w:rPr>
                <w:rFonts w:ascii="Book Antiqua" w:hAnsi="Book Antiqua"/>
                <w:color w:val="000000"/>
              </w:rPr>
              <w:t>]</w:t>
            </w:r>
          </w:p>
        </w:tc>
        <w:tc>
          <w:tcPr>
            <w:tcW w:w="2250" w:type="dxa"/>
          </w:tcPr>
          <w:p w:rsidR="00225EB4" w:rsidRPr="00A6750E" w:rsidRDefault="00225EB4" w:rsidP="00FE70C5">
            <w:pPr>
              <w:jc w:val="both"/>
              <w:rPr>
                <w:rFonts w:ascii="Book Antiqua" w:hAnsi="Book Antiqua"/>
              </w:rPr>
            </w:pP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Anemia</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Pr>
          <w:p w:rsidR="00225EB4" w:rsidRPr="00A6750E" w:rsidRDefault="00225EB4" w:rsidP="00FE70C5">
            <w:pPr>
              <w:spacing w:line="360" w:lineRule="auto"/>
              <w:jc w:val="both"/>
              <w:rPr>
                <w:rFonts w:ascii="Book Antiqua" w:hAnsi="Book Antiqua"/>
              </w:rPr>
            </w:pPr>
            <w:r w:rsidRPr="00A6750E">
              <w:rPr>
                <w:rFonts w:ascii="Book Antiqua" w:hAnsi="Book Antiqua"/>
              </w:rPr>
              <w:t>1097 (92.7)</w:t>
            </w:r>
          </w:p>
        </w:tc>
        <w:tc>
          <w:tcPr>
            <w:tcW w:w="1170" w:type="dxa"/>
          </w:tcPr>
          <w:p w:rsidR="00225EB4" w:rsidRPr="00A6750E" w:rsidRDefault="00225EB4" w:rsidP="00FE70C5">
            <w:pPr>
              <w:spacing w:line="360" w:lineRule="auto"/>
              <w:jc w:val="both"/>
              <w:rPr>
                <w:rFonts w:ascii="Book Antiqua" w:hAnsi="Book Antiqua"/>
              </w:rPr>
            </w:pPr>
            <w:r w:rsidRPr="00A6750E">
              <w:rPr>
                <w:rFonts w:ascii="Book Antiqua" w:hAnsi="Book Antiqua"/>
              </w:rPr>
              <w:t>9 (64.3)</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rPr>
            </w:pPr>
            <w:r w:rsidRPr="00A6750E">
              <w:rPr>
                <w:rFonts w:ascii="Book Antiqua" w:hAnsi="Book Antiqua"/>
              </w:rPr>
              <w:t>7.09</w:t>
            </w:r>
            <w:r w:rsidRPr="00A6750E">
              <w:rPr>
                <w:rFonts w:ascii="Book Antiqua" w:hAnsi="Book Antiqua"/>
                <w:lang w:eastAsia="zh-CN"/>
              </w:rPr>
              <w:t xml:space="preserve"> </w:t>
            </w:r>
            <w:r w:rsidRPr="00A6750E">
              <w:rPr>
                <w:rFonts w:ascii="Book Antiqua" w:hAnsi="Book Antiqua"/>
              </w:rPr>
              <w:t>(2.32-21.61)</w:t>
            </w:r>
          </w:p>
        </w:tc>
        <w:tc>
          <w:tcPr>
            <w:tcW w:w="2250" w:type="dxa"/>
            <w:vAlign w:val="center"/>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4.58 (1.45</w:t>
            </w:r>
            <w:r w:rsidRPr="00A6750E">
              <w:rPr>
                <w:rFonts w:ascii="Book Antiqua" w:hAnsi="Book Antiqua"/>
                <w:lang w:eastAsia="zh-CN"/>
              </w:rPr>
              <w:t>-</w:t>
            </w:r>
            <w:r w:rsidRPr="00A6750E">
              <w:rPr>
                <w:rFonts w:ascii="Book Antiqua" w:hAnsi="Book Antiqua"/>
              </w:rPr>
              <w:t>14.48)</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ind w:left="720"/>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86 (7.3)</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5 (35.7)</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rPr>
            </w:pPr>
            <w:r w:rsidRPr="00A6750E">
              <w:rPr>
                <w:rFonts w:ascii="Book Antiqua" w:hAnsi="Book Antiqua"/>
              </w:rPr>
              <w:t>[</w:t>
            </w:r>
            <w:r w:rsidRPr="00A6750E">
              <w:rPr>
                <w:rFonts w:ascii="Book Antiqua" w:hAnsi="Book Antiqua"/>
                <w:iCs/>
                <w:color w:val="000000"/>
              </w:rPr>
              <w:t>0.003</w:t>
            </w:r>
            <w:r w:rsidRPr="00A6750E">
              <w:rPr>
                <w:rFonts w:ascii="Book Antiqua" w:hAnsi="Book Antiqua"/>
                <w:color w:val="000000"/>
              </w:rPr>
              <w:t>]</w:t>
            </w:r>
          </w:p>
        </w:tc>
        <w:tc>
          <w:tcPr>
            <w:tcW w:w="22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color w:val="000000"/>
              </w:rPr>
              <w:t>0.01</w:t>
            </w:r>
            <w:r w:rsidRPr="00A6750E">
              <w:rPr>
                <w:rFonts w:ascii="Book Antiqua" w:hAnsi="Book Antiqua"/>
                <w:color w:val="000000"/>
              </w:rPr>
              <w:t>]</w:t>
            </w:r>
          </w:p>
        </w:tc>
      </w:tr>
      <w:tr w:rsidR="00225EB4" w:rsidRPr="00A6750E" w:rsidTr="001A4CE1">
        <w:trPr>
          <w:trHeight w:val="278"/>
        </w:trPr>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Headache</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Pr>
          <w:p w:rsidR="00225EB4" w:rsidRPr="00A6750E" w:rsidRDefault="00225EB4" w:rsidP="00FE70C5">
            <w:pPr>
              <w:spacing w:line="360" w:lineRule="auto"/>
              <w:jc w:val="both"/>
              <w:rPr>
                <w:rFonts w:ascii="Book Antiqua" w:hAnsi="Book Antiqua"/>
              </w:rPr>
            </w:pPr>
            <w:r w:rsidRPr="00A6750E">
              <w:rPr>
                <w:rFonts w:ascii="Book Antiqua" w:hAnsi="Book Antiqua"/>
              </w:rPr>
              <w:t>1171 (99.0)</w:t>
            </w:r>
          </w:p>
        </w:tc>
        <w:tc>
          <w:tcPr>
            <w:tcW w:w="1170" w:type="dxa"/>
          </w:tcPr>
          <w:p w:rsidR="00225EB4" w:rsidRPr="00A6750E" w:rsidRDefault="00225EB4" w:rsidP="00FE70C5">
            <w:pPr>
              <w:spacing w:line="360" w:lineRule="auto"/>
              <w:jc w:val="both"/>
              <w:rPr>
                <w:rFonts w:ascii="Book Antiqua" w:hAnsi="Book Antiqua"/>
              </w:rPr>
            </w:pPr>
            <w:r w:rsidRPr="00A6750E">
              <w:rPr>
                <w:rFonts w:ascii="Book Antiqua" w:hAnsi="Book Antiqua"/>
              </w:rPr>
              <w:t>14 (100)</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0.997 (0.99</w:t>
            </w:r>
            <w:r w:rsidRPr="00A6750E">
              <w:rPr>
                <w:rFonts w:ascii="Book Antiqua" w:hAnsi="Book Antiqua"/>
                <w:color w:val="000000"/>
                <w:lang w:eastAsia="zh-CN"/>
              </w:rPr>
              <w:t>-</w:t>
            </w:r>
            <w:r w:rsidRPr="00A6750E">
              <w:rPr>
                <w:rFonts w:ascii="Book Antiqua" w:hAnsi="Book Antiqua"/>
                <w:color w:val="000000"/>
              </w:rPr>
              <w:t>1.00)</w:t>
            </w:r>
          </w:p>
        </w:tc>
        <w:tc>
          <w:tcPr>
            <w:tcW w:w="225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color w:val="000000"/>
                <w:lang w:eastAsia="zh-CN"/>
              </w:rPr>
            </w:pPr>
            <w:r w:rsidRPr="00A6750E">
              <w:rPr>
                <w:rFonts w:ascii="Book Antiqua" w:hAnsi="Book Antiqua"/>
                <w:lang w:eastAsia="zh-CN"/>
              </w:rPr>
              <w:t>-</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spacing w:line="360" w:lineRule="auto"/>
              <w:jc w:val="both"/>
              <w:rPr>
                <w:rFonts w:ascii="Book Antiqua" w:hAnsi="Book Antiqua"/>
              </w:rPr>
            </w:pPr>
            <w:r w:rsidRPr="00A6750E">
              <w:rPr>
                <w:rFonts w:ascii="Book Antiqua" w:hAnsi="Book Antiqua"/>
              </w:rPr>
              <w:t>12 (1.0)</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 (0.0)</w:t>
            </w:r>
          </w:p>
        </w:tc>
        <w:tc>
          <w:tcPr>
            <w:tcW w:w="2160" w:type="dxa"/>
            <w:vAlign w:val="center"/>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color w:val="000000"/>
              </w:rPr>
              <w:t>0.594</w:t>
            </w:r>
            <w:r w:rsidRPr="00A6750E">
              <w:rPr>
                <w:rFonts w:ascii="Book Antiqua" w:hAnsi="Book Antiqua"/>
                <w:color w:val="000000"/>
              </w:rPr>
              <w:t>]</w:t>
            </w:r>
          </w:p>
        </w:tc>
        <w:tc>
          <w:tcPr>
            <w:tcW w:w="2250" w:type="dxa"/>
            <w:vMerge/>
          </w:tcPr>
          <w:p w:rsidR="00225EB4" w:rsidRPr="00A6750E" w:rsidRDefault="00225EB4" w:rsidP="00FE70C5">
            <w:pPr>
              <w:autoSpaceDE w:val="0"/>
              <w:autoSpaceDN w:val="0"/>
              <w:adjustRightInd w:val="0"/>
              <w:spacing w:line="360" w:lineRule="auto"/>
              <w:jc w:val="both"/>
              <w:rPr>
                <w:rFonts w:ascii="Book Antiqua" w:hAnsi="Book Antiqua"/>
                <w:color w:val="000000"/>
              </w:rPr>
            </w:pP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Diarrhea</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1178 (99.6)</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14 (100)</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0.99 (0.98-1.00)</w:t>
            </w:r>
          </w:p>
        </w:tc>
        <w:tc>
          <w:tcPr>
            <w:tcW w:w="225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color w:val="000000"/>
                <w:lang w:eastAsia="zh-CN"/>
              </w:rPr>
            </w:pPr>
            <w:r w:rsidRPr="00A6750E">
              <w:rPr>
                <w:rFonts w:ascii="Book Antiqua" w:hAnsi="Book Antiqua"/>
                <w:lang w:eastAsia="zh-CN"/>
              </w:rPr>
              <w:t>-</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ind w:left="720"/>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5 (0.4)</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 (0.0)</w:t>
            </w:r>
          </w:p>
        </w:tc>
        <w:tc>
          <w:tcPr>
            <w:tcW w:w="2160" w:type="dxa"/>
            <w:vAlign w:val="center"/>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color w:val="000000"/>
              </w:rPr>
              <w:t>0.731</w:t>
            </w:r>
            <w:r w:rsidRPr="00A6750E">
              <w:rPr>
                <w:rFonts w:ascii="Book Antiqua" w:hAnsi="Book Antiqua"/>
                <w:color w:val="000000"/>
              </w:rPr>
              <w:t>]</w:t>
            </w:r>
          </w:p>
        </w:tc>
        <w:tc>
          <w:tcPr>
            <w:tcW w:w="2250" w:type="dxa"/>
            <w:vMerge/>
          </w:tcPr>
          <w:p w:rsidR="00225EB4" w:rsidRPr="00A6750E" w:rsidRDefault="00225EB4" w:rsidP="00FE70C5">
            <w:pPr>
              <w:autoSpaceDE w:val="0"/>
              <w:autoSpaceDN w:val="0"/>
              <w:adjustRightInd w:val="0"/>
              <w:spacing w:line="360" w:lineRule="auto"/>
              <w:jc w:val="both"/>
              <w:rPr>
                <w:rFonts w:ascii="Book Antiqua" w:hAnsi="Book Antiqua"/>
                <w:color w:val="000000"/>
              </w:rPr>
            </w:pP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Diabetes</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1162 (98.2)</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14 (100)</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0.996 (0.99-1.00)</w:t>
            </w:r>
          </w:p>
        </w:tc>
        <w:tc>
          <w:tcPr>
            <w:tcW w:w="225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color w:val="000000"/>
                <w:lang w:eastAsia="zh-CN"/>
              </w:rPr>
            </w:pPr>
            <w:r w:rsidRPr="00A6750E">
              <w:rPr>
                <w:rFonts w:ascii="Book Antiqua" w:hAnsi="Book Antiqua"/>
                <w:lang w:eastAsia="zh-CN"/>
              </w:rPr>
              <w:t>-</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21 (1.7)</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 (0.0)</w:t>
            </w:r>
          </w:p>
        </w:tc>
        <w:tc>
          <w:tcPr>
            <w:tcW w:w="2160" w:type="dxa"/>
            <w:vAlign w:val="center"/>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color w:val="000000"/>
              </w:rPr>
              <w:t>0.480</w:t>
            </w:r>
            <w:r w:rsidRPr="00A6750E">
              <w:rPr>
                <w:rFonts w:ascii="Book Antiqua" w:hAnsi="Book Antiqua"/>
                <w:color w:val="000000"/>
              </w:rPr>
              <w:t>]</w:t>
            </w:r>
          </w:p>
        </w:tc>
        <w:tc>
          <w:tcPr>
            <w:tcW w:w="2250" w:type="dxa"/>
            <w:vMerge/>
          </w:tcPr>
          <w:p w:rsidR="00225EB4" w:rsidRPr="00A6750E" w:rsidRDefault="00225EB4" w:rsidP="00FE70C5">
            <w:pPr>
              <w:autoSpaceDE w:val="0"/>
              <w:autoSpaceDN w:val="0"/>
              <w:adjustRightInd w:val="0"/>
              <w:spacing w:line="360" w:lineRule="auto"/>
              <w:jc w:val="both"/>
              <w:rPr>
                <w:rFonts w:ascii="Book Antiqua" w:hAnsi="Book Antiqua"/>
                <w:color w:val="000000"/>
              </w:rPr>
            </w:pP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Tumor</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1182 (99.9)</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14 (100)</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0.98 (0.97-0.99)</w:t>
            </w:r>
          </w:p>
        </w:tc>
        <w:tc>
          <w:tcPr>
            <w:tcW w:w="225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color w:val="000000"/>
                <w:lang w:eastAsia="zh-CN"/>
              </w:rPr>
            </w:pPr>
            <w:r w:rsidRPr="00A6750E">
              <w:rPr>
                <w:rFonts w:ascii="Book Antiqua" w:hAnsi="Book Antiqua"/>
                <w:lang w:eastAsia="zh-CN"/>
              </w:rPr>
              <w:t>-</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 (0.1)</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 (0.0)</w:t>
            </w:r>
          </w:p>
        </w:tc>
        <w:tc>
          <w:tcPr>
            <w:tcW w:w="2160" w:type="dxa"/>
            <w:vAlign w:val="center"/>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color w:val="000000"/>
              </w:rPr>
              <w:t>0.878</w:t>
            </w:r>
            <w:r w:rsidRPr="00A6750E">
              <w:rPr>
                <w:rFonts w:ascii="Book Antiqua" w:hAnsi="Book Antiqua"/>
                <w:color w:val="000000"/>
              </w:rPr>
              <w:t>]</w:t>
            </w:r>
          </w:p>
        </w:tc>
        <w:tc>
          <w:tcPr>
            <w:tcW w:w="2250" w:type="dxa"/>
            <w:vMerge/>
          </w:tcPr>
          <w:p w:rsidR="00225EB4" w:rsidRPr="00A6750E" w:rsidRDefault="00225EB4" w:rsidP="00FE70C5">
            <w:pPr>
              <w:autoSpaceDE w:val="0"/>
              <w:autoSpaceDN w:val="0"/>
              <w:adjustRightInd w:val="0"/>
              <w:spacing w:line="360" w:lineRule="auto"/>
              <w:jc w:val="both"/>
              <w:rPr>
                <w:rFonts w:ascii="Book Antiqua" w:hAnsi="Book Antiqua"/>
                <w:color w:val="000000"/>
              </w:rPr>
            </w:pPr>
          </w:p>
        </w:tc>
      </w:tr>
      <w:tr w:rsidR="00225EB4" w:rsidRPr="00A6750E" w:rsidTr="001A4CE1">
        <w:tc>
          <w:tcPr>
            <w:tcW w:w="1350" w:type="dxa"/>
            <w:gridSpan w:val="2"/>
          </w:tcPr>
          <w:p w:rsidR="00225EB4" w:rsidRPr="00A6750E" w:rsidRDefault="00225EB4" w:rsidP="00FE70C5">
            <w:pPr>
              <w:autoSpaceDE w:val="0"/>
              <w:autoSpaceDN w:val="0"/>
              <w:adjustRightInd w:val="0"/>
              <w:jc w:val="both"/>
              <w:rPr>
                <w:rFonts w:ascii="Book Antiqua" w:hAnsi="Book Antiqua"/>
                <w:color w:val="000000"/>
              </w:rPr>
            </w:pPr>
            <w:r w:rsidRPr="00A6750E">
              <w:rPr>
                <w:rFonts w:ascii="Book Antiqua" w:hAnsi="Book Antiqua"/>
              </w:rPr>
              <w:t>Thyroid disorder</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sidRPr="00A6750E">
              <w:rPr>
                <w:rFonts w:ascii="Book Antiqua" w:hAnsi="Book Antiqua"/>
                <w:vertAlign w:val="superscript"/>
              </w:rPr>
              <w:t>‡</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1175 (99.3)</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13 (92.9)</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11.30 (1.32-96.95)</w:t>
            </w:r>
          </w:p>
        </w:tc>
        <w:tc>
          <w:tcPr>
            <w:tcW w:w="225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color w:val="000000"/>
                <w:lang w:eastAsia="zh-CN"/>
              </w:rPr>
            </w:pPr>
            <w:r w:rsidRPr="00A6750E">
              <w:rPr>
                <w:rFonts w:ascii="Book Antiqua" w:hAnsi="Book Antiqua"/>
                <w:lang w:eastAsia="zh-CN"/>
              </w:rPr>
              <w:t>-</w:t>
            </w:r>
          </w:p>
        </w:tc>
      </w:tr>
      <w:tr w:rsidR="00225EB4" w:rsidRPr="00A6750E" w:rsidTr="001A4CE1">
        <w:trPr>
          <w:trHeight w:val="100"/>
        </w:trPr>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8 (0.7)</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 (7.1)</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rPr>
            </w:pPr>
            <w:r w:rsidRPr="00A6750E">
              <w:rPr>
                <w:rFonts w:ascii="Book Antiqua" w:hAnsi="Book Antiqua"/>
              </w:rPr>
              <w:t>[</w:t>
            </w:r>
            <w:r w:rsidRPr="00A6750E">
              <w:rPr>
                <w:rFonts w:ascii="Book Antiqua" w:hAnsi="Book Antiqua"/>
                <w:iCs/>
                <w:color w:val="000000"/>
              </w:rPr>
              <w:t>0.09</w:t>
            </w:r>
            <w:r w:rsidRPr="00A6750E">
              <w:rPr>
                <w:rFonts w:ascii="Book Antiqua" w:hAnsi="Book Antiqua"/>
                <w:color w:val="000000"/>
              </w:rPr>
              <w:t>]</w:t>
            </w:r>
          </w:p>
        </w:tc>
        <w:tc>
          <w:tcPr>
            <w:tcW w:w="2250" w:type="dxa"/>
            <w:vMerge/>
          </w:tcPr>
          <w:p w:rsidR="00225EB4" w:rsidRPr="00A6750E" w:rsidRDefault="00225EB4" w:rsidP="00FE70C5">
            <w:pPr>
              <w:autoSpaceDE w:val="0"/>
              <w:autoSpaceDN w:val="0"/>
              <w:adjustRightInd w:val="0"/>
              <w:spacing w:line="360" w:lineRule="auto"/>
              <w:jc w:val="both"/>
              <w:rPr>
                <w:rFonts w:ascii="Book Antiqua" w:hAnsi="Book Antiqua"/>
                <w:color w:val="000000"/>
              </w:rPr>
            </w:pP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Hepatitis</w:t>
            </w: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No</w:t>
            </w:r>
            <w:r>
              <w:rPr>
                <w:rFonts w:ascii="Book Antiqua" w:hAnsi="Book Antiqua"/>
                <w:vertAlign w:val="superscript"/>
              </w:rPr>
              <w:t>3</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1172 (99.1)</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14 (100)</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0.998 (0.99</w:t>
            </w:r>
            <w:r w:rsidRPr="00A6750E">
              <w:rPr>
                <w:rFonts w:ascii="Book Antiqua" w:hAnsi="Book Antiqua"/>
                <w:color w:val="000000"/>
                <w:lang w:eastAsia="zh-CN"/>
              </w:rPr>
              <w:t>-</w:t>
            </w:r>
            <w:r w:rsidRPr="00A6750E">
              <w:rPr>
                <w:rFonts w:ascii="Book Antiqua" w:hAnsi="Book Antiqua"/>
                <w:color w:val="000000"/>
              </w:rPr>
              <w:t>1.00)</w:t>
            </w:r>
          </w:p>
        </w:tc>
        <w:tc>
          <w:tcPr>
            <w:tcW w:w="225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color w:val="000000"/>
                <w:lang w:eastAsia="zh-CN"/>
              </w:rPr>
            </w:pPr>
            <w:r w:rsidRPr="00A6750E">
              <w:rPr>
                <w:rFonts w:ascii="Book Antiqua" w:hAnsi="Book Antiqua"/>
                <w:lang w:eastAsia="zh-CN"/>
              </w:rPr>
              <w:t>-</w:t>
            </w:r>
          </w:p>
        </w:tc>
      </w:tr>
      <w:tr w:rsidR="00225EB4" w:rsidRPr="00A6750E" w:rsidTr="001A4CE1">
        <w:tc>
          <w:tcPr>
            <w:tcW w:w="135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63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11 (0.9)</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0 (0.0)</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color w:val="000000"/>
              </w:rPr>
              <w:t>0.610</w:t>
            </w:r>
            <w:r w:rsidRPr="00A6750E">
              <w:rPr>
                <w:rFonts w:ascii="Book Antiqua" w:hAnsi="Book Antiqua"/>
                <w:color w:val="000000"/>
              </w:rPr>
              <w:t>]</w:t>
            </w:r>
          </w:p>
        </w:tc>
        <w:tc>
          <w:tcPr>
            <w:tcW w:w="2250" w:type="dxa"/>
            <w:vMerge/>
          </w:tcPr>
          <w:p w:rsidR="00225EB4" w:rsidRPr="00A6750E" w:rsidRDefault="00225EB4" w:rsidP="00FE70C5">
            <w:pPr>
              <w:autoSpaceDE w:val="0"/>
              <w:autoSpaceDN w:val="0"/>
              <w:adjustRightInd w:val="0"/>
              <w:spacing w:line="360" w:lineRule="auto"/>
              <w:jc w:val="both"/>
              <w:rPr>
                <w:rFonts w:ascii="Book Antiqua" w:hAnsi="Book Antiqua"/>
                <w:color w:val="000000"/>
              </w:rPr>
            </w:pPr>
          </w:p>
        </w:tc>
      </w:tr>
      <w:tr w:rsidR="00225EB4" w:rsidRPr="00A6750E" w:rsidTr="001A4CE1">
        <w:tc>
          <w:tcPr>
            <w:tcW w:w="90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Sex</w:t>
            </w:r>
          </w:p>
        </w:tc>
        <w:tc>
          <w:tcPr>
            <w:tcW w:w="1080" w:type="dxa"/>
            <w:gridSpan w:val="2"/>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Man</w:t>
            </w:r>
            <w:r>
              <w:rPr>
                <w:rFonts w:ascii="Book Antiqua" w:hAnsi="Book Antiqua"/>
                <w:b/>
                <w:bCs/>
                <w:vertAlign w:val="superscript"/>
              </w:rPr>
              <w:t>3</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623 (52.7)</w:t>
            </w:r>
          </w:p>
        </w:tc>
        <w:tc>
          <w:tcPr>
            <w:tcW w:w="1170" w:type="dxa"/>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 (7.1)</w:t>
            </w:r>
          </w:p>
        </w:tc>
        <w:tc>
          <w:tcPr>
            <w:tcW w:w="2160" w:type="dxa"/>
          </w:tcPr>
          <w:p w:rsidR="00225EB4" w:rsidRPr="00A6750E" w:rsidRDefault="00225EB4" w:rsidP="00FE70C5">
            <w:pPr>
              <w:autoSpaceDE w:val="0"/>
              <w:autoSpaceDN w:val="0"/>
              <w:adjustRightInd w:val="0"/>
              <w:spacing w:line="360" w:lineRule="auto"/>
              <w:jc w:val="both"/>
              <w:rPr>
                <w:rFonts w:ascii="Book Antiqua" w:hAnsi="Book Antiqua"/>
              </w:rPr>
            </w:pPr>
            <w:r w:rsidRPr="00A6750E">
              <w:rPr>
                <w:rFonts w:ascii="Book Antiqua" w:hAnsi="Book Antiqua"/>
              </w:rPr>
              <w:t>14.46 (1.89-110.91)</w:t>
            </w:r>
          </w:p>
        </w:tc>
        <w:tc>
          <w:tcPr>
            <w:tcW w:w="2250" w:type="dxa"/>
            <w:vAlign w:val="center"/>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10.47 (1.33</w:t>
            </w:r>
            <w:r w:rsidRPr="00A6750E">
              <w:rPr>
                <w:rFonts w:ascii="Book Antiqua" w:hAnsi="Book Antiqua"/>
                <w:lang w:eastAsia="zh-CN"/>
              </w:rPr>
              <w:t>-</w:t>
            </w:r>
            <w:r w:rsidRPr="00A6750E">
              <w:rPr>
                <w:rFonts w:ascii="Book Antiqua" w:hAnsi="Book Antiqua"/>
              </w:rPr>
              <w:t>82.14)</w:t>
            </w:r>
          </w:p>
        </w:tc>
      </w:tr>
      <w:tr w:rsidR="00225EB4" w:rsidRPr="00A6750E" w:rsidTr="001A4CE1">
        <w:tc>
          <w:tcPr>
            <w:tcW w:w="90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rPr>
            </w:pPr>
          </w:p>
        </w:tc>
        <w:tc>
          <w:tcPr>
            <w:tcW w:w="1080" w:type="dxa"/>
            <w:gridSpan w:val="2"/>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Woman</w:t>
            </w:r>
          </w:p>
        </w:tc>
        <w:tc>
          <w:tcPr>
            <w:tcW w:w="135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560 (47.3)</w:t>
            </w:r>
          </w:p>
        </w:tc>
        <w:tc>
          <w:tcPr>
            <w:tcW w:w="117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color w:val="000000"/>
              </w:rPr>
              <w:t>13 (92.9)</w:t>
            </w:r>
          </w:p>
        </w:tc>
        <w:tc>
          <w:tcPr>
            <w:tcW w:w="216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rPr>
            </w:pPr>
            <w:r w:rsidRPr="00A6750E">
              <w:rPr>
                <w:rFonts w:ascii="Book Antiqua" w:hAnsi="Book Antiqua"/>
              </w:rPr>
              <w:t>[</w:t>
            </w:r>
            <w:r w:rsidRPr="00A6750E">
              <w:rPr>
                <w:rFonts w:ascii="Book Antiqua" w:hAnsi="Book Antiqua"/>
                <w:iCs/>
                <w:color w:val="000000"/>
              </w:rPr>
              <w:t>0.001</w:t>
            </w:r>
            <w:r w:rsidRPr="00A6750E">
              <w:rPr>
                <w:rFonts w:ascii="Book Antiqua" w:hAnsi="Book Antiqua"/>
                <w:color w:val="000000"/>
              </w:rPr>
              <w:t>]</w:t>
            </w:r>
          </w:p>
        </w:tc>
        <w:tc>
          <w:tcPr>
            <w:tcW w:w="225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rPr>
            </w:pPr>
            <w:r w:rsidRPr="00A6750E">
              <w:rPr>
                <w:rFonts w:ascii="Book Antiqua" w:hAnsi="Book Antiqua"/>
              </w:rPr>
              <w:t>[</w:t>
            </w:r>
            <w:r w:rsidRPr="00A6750E">
              <w:rPr>
                <w:rFonts w:ascii="Book Antiqua" w:hAnsi="Book Antiqua"/>
                <w:iCs/>
              </w:rPr>
              <w:t>0.026</w:t>
            </w:r>
            <w:r w:rsidRPr="00A6750E">
              <w:rPr>
                <w:rFonts w:ascii="Book Antiqua" w:hAnsi="Book Antiqua"/>
              </w:rPr>
              <w:t>]</w:t>
            </w:r>
          </w:p>
        </w:tc>
      </w:tr>
    </w:tbl>
    <w:p w:rsidR="00225EB4" w:rsidRPr="00D26480" w:rsidRDefault="00225EB4" w:rsidP="00FE70C5">
      <w:pPr>
        <w:autoSpaceDE w:val="0"/>
        <w:autoSpaceDN w:val="0"/>
        <w:adjustRightInd w:val="0"/>
        <w:spacing w:line="360" w:lineRule="auto"/>
        <w:jc w:val="both"/>
        <w:rPr>
          <w:rFonts w:ascii="Book Antiqua" w:hAnsi="Book Antiqua"/>
          <w:sz w:val="21"/>
          <w:szCs w:val="21"/>
          <w:lang w:eastAsia="zh-CN"/>
        </w:rPr>
      </w:pPr>
      <w:r>
        <w:rPr>
          <w:rFonts w:ascii="Book Antiqua" w:hAnsi="Book Antiqua"/>
          <w:b/>
          <w:bCs/>
          <w:sz w:val="21"/>
          <w:szCs w:val="21"/>
          <w:vertAlign w:val="superscript"/>
        </w:rPr>
        <w:t>1</w:t>
      </w:r>
      <w:r w:rsidRPr="00D26480">
        <w:rPr>
          <w:rFonts w:ascii="Book Antiqua" w:hAnsi="Book Antiqua"/>
          <w:color w:val="000000"/>
          <w:sz w:val="21"/>
          <w:szCs w:val="21"/>
          <w:lang w:eastAsia="zh-CN"/>
        </w:rPr>
        <w:t>C</w:t>
      </w:r>
      <w:r w:rsidRPr="00D26480">
        <w:rPr>
          <w:rFonts w:ascii="Book Antiqua" w:hAnsi="Book Antiqua"/>
          <w:color w:val="000000"/>
          <w:sz w:val="21"/>
          <w:szCs w:val="21"/>
        </w:rPr>
        <w:t>rude odd ratio</w:t>
      </w:r>
      <w:r w:rsidRPr="00D26480">
        <w:rPr>
          <w:rFonts w:ascii="Book Antiqua" w:hAnsi="Book Antiqua"/>
          <w:color w:val="000000"/>
          <w:sz w:val="21"/>
          <w:szCs w:val="21"/>
          <w:lang w:eastAsia="zh-CN"/>
        </w:rPr>
        <w:t xml:space="preserve">; </w:t>
      </w:r>
      <w:r>
        <w:rPr>
          <w:rFonts w:ascii="Book Antiqua" w:hAnsi="Book Antiqua"/>
          <w:b/>
          <w:bCs/>
          <w:sz w:val="21"/>
          <w:szCs w:val="21"/>
          <w:vertAlign w:val="superscript"/>
        </w:rPr>
        <w:t>2</w:t>
      </w:r>
      <w:r w:rsidRPr="00D26480">
        <w:rPr>
          <w:rFonts w:ascii="Book Antiqua" w:hAnsi="Book Antiqua"/>
          <w:color w:val="000000"/>
          <w:sz w:val="21"/>
          <w:szCs w:val="21"/>
          <w:lang w:eastAsia="zh-CN"/>
        </w:rPr>
        <w:t>A</w:t>
      </w:r>
      <w:r w:rsidRPr="00D26480">
        <w:rPr>
          <w:rFonts w:ascii="Book Antiqua" w:hAnsi="Book Antiqua"/>
          <w:color w:val="000000"/>
          <w:sz w:val="21"/>
          <w:szCs w:val="21"/>
        </w:rPr>
        <w:t>djusted odd ratio</w:t>
      </w:r>
      <w:r w:rsidRPr="00D26480">
        <w:rPr>
          <w:rFonts w:ascii="Book Antiqua" w:hAnsi="Book Antiqua"/>
          <w:color w:val="000000"/>
          <w:sz w:val="21"/>
          <w:szCs w:val="21"/>
          <w:lang w:eastAsia="zh-CN"/>
        </w:rPr>
        <w:t xml:space="preserve">; </w:t>
      </w:r>
      <w:r>
        <w:rPr>
          <w:rFonts w:ascii="Book Antiqua" w:hAnsi="Book Antiqua"/>
          <w:b/>
          <w:bCs/>
          <w:sz w:val="21"/>
          <w:szCs w:val="21"/>
          <w:vertAlign w:val="superscript"/>
        </w:rPr>
        <w:t>3</w:t>
      </w:r>
      <w:r w:rsidRPr="00D26480">
        <w:rPr>
          <w:rFonts w:ascii="Book Antiqua" w:hAnsi="Book Antiqua"/>
          <w:color w:val="000000"/>
          <w:sz w:val="21"/>
          <w:szCs w:val="21"/>
        </w:rPr>
        <w:t>Reference group</w:t>
      </w:r>
      <w:r>
        <w:rPr>
          <w:rFonts w:ascii="Book Antiqua" w:hAnsi="Book Antiqua"/>
          <w:color w:val="000000"/>
          <w:sz w:val="21"/>
          <w:szCs w:val="21"/>
          <w:lang w:eastAsia="zh-CN"/>
        </w:rPr>
        <w:t>.</w:t>
      </w:r>
      <w:r w:rsidRPr="00D26480">
        <w:rPr>
          <w:rFonts w:ascii="Book Antiqua" w:hAnsi="Book Antiqua"/>
          <w:color w:val="000000"/>
          <w:sz w:val="21"/>
          <w:szCs w:val="21"/>
          <w:lang w:eastAsia="zh-CN"/>
        </w:rPr>
        <w:t xml:space="preserve"> </w:t>
      </w:r>
      <w:r w:rsidRPr="00D26480">
        <w:rPr>
          <w:rFonts w:ascii="Book Antiqua" w:hAnsi="Book Antiqua"/>
          <w:sz w:val="21"/>
          <w:szCs w:val="21"/>
          <w:lang w:eastAsia="zh-CN"/>
        </w:rPr>
        <w:t>CD: C</w:t>
      </w:r>
      <w:r w:rsidRPr="00D26480">
        <w:rPr>
          <w:rFonts w:ascii="Book Antiqua" w:hAnsi="Book Antiqua"/>
          <w:sz w:val="21"/>
          <w:szCs w:val="21"/>
        </w:rPr>
        <w:t>eliac disease</w:t>
      </w:r>
      <w:r w:rsidRPr="00D26480">
        <w:rPr>
          <w:rFonts w:ascii="Book Antiqua" w:hAnsi="Book Antiqua"/>
          <w:sz w:val="21"/>
          <w:szCs w:val="21"/>
          <w:lang w:eastAsia="zh-CN"/>
        </w:rPr>
        <w:t xml:space="preserve">; </w:t>
      </w:r>
      <w:r w:rsidRPr="00D26480">
        <w:rPr>
          <w:rFonts w:ascii="Book Antiqua" w:hAnsi="Book Antiqua"/>
          <w:sz w:val="21"/>
          <w:szCs w:val="21"/>
        </w:rPr>
        <w:t>CI</w:t>
      </w:r>
      <w:r w:rsidRPr="00D26480">
        <w:rPr>
          <w:rFonts w:ascii="Book Antiqua" w:hAnsi="Book Antiqua"/>
          <w:sz w:val="21"/>
          <w:szCs w:val="21"/>
          <w:lang w:eastAsia="zh-CN"/>
        </w:rPr>
        <w:t>: C</w:t>
      </w:r>
      <w:r w:rsidRPr="00D26480">
        <w:rPr>
          <w:rFonts w:ascii="Book Antiqua" w:hAnsi="Book Antiqua"/>
          <w:sz w:val="21"/>
          <w:szCs w:val="21"/>
        </w:rPr>
        <w:t>onfidence interval; OR</w:t>
      </w:r>
      <w:r w:rsidRPr="00D26480">
        <w:rPr>
          <w:rFonts w:ascii="Book Antiqua" w:hAnsi="Book Antiqua"/>
          <w:sz w:val="21"/>
          <w:szCs w:val="21"/>
          <w:lang w:eastAsia="zh-CN"/>
        </w:rPr>
        <w:t>: O</w:t>
      </w:r>
      <w:r w:rsidRPr="00D26480">
        <w:rPr>
          <w:rFonts w:ascii="Book Antiqua" w:hAnsi="Book Antiqua"/>
          <w:sz w:val="21"/>
          <w:szCs w:val="21"/>
        </w:rPr>
        <w:t>dd ratio</w:t>
      </w:r>
      <w:r w:rsidRPr="00D26480">
        <w:rPr>
          <w:rFonts w:ascii="Book Antiqua" w:hAnsi="Book Antiqua"/>
          <w:sz w:val="21"/>
          <w:szCs w:val="21"/>
          <w:lang w:eastAsia="zh-CN"/>
        </w:rPr>
        <w:t>.</w:t>
      </w:r>
    </w:p>
    <w:p w:rsidR="00225EB4" w:rsidRPr="009B3D1A" w:rsidRDefault="00225EB4" w:rsidP="00FE70C5">
      <w:pPr>
        <w:autoSpaceDE w:val="0"/>
        <w:autoSpaceDN w:val="0"/>
        <w:adjustRightInd w:val="0"/>
        <w:spacing w:line="360" w:lineRule="auto"/>
        <w:jc w:val="both"/>
        <w:rPr>
          <w:rFonts w:ascii="Book Antiqua" w:hAnsi="Book Antiqua"/>
          <w:color w:val="000000"/>
        </w:rPr>
      </w:pPr>
    </w:p>
    <w:p w:rsidR="00225EB4" w:rsidRPr="009B3D1A" w:rsidRDefault="00225EB4" w:rsidP="00FE70C5">
      <w:pPr>
        <w:jc w:val="both"/>
        <w:rPr>
          <w:rFonts w:ascii="Book Antiqua" w:hAnsi="Book Antiqua"/>
          <w:b/>
          <w:bCs/>
          <w:color w:val="000000"/>
        </w:rPr>
      </w:pPr>
    </w:p>
    <w:p w:rsidR="00225EB4" w:rsidRPr="009B3D1A" w:rsidRDefault="00225EB4" w:rsidP="00FE70C5">
      <w:pPr>
        <w:jc w:val="both"/>
        <w:rPr>
          <w:rFonts w:ascii="Book Antiqua" w:hAnsi="Book Antiqua"/>
          <w:b/>
          <w:bCs/>
          <w:color w:val="000000"/>
        </w:rPr>
      </w:pPr>
    </w:p>
    <w:p w:rsidR="00225EB4" w:rsidRPr="00D26480" w:rsidRDefault="00225EB4" w:rsidP="00FE70C5">
      <w:pPr>
        <w:jc w:val="both"/>
        <w:rPr>
          <w:rFonts w:ascii="Book Antiqua" w:hAnsi="Book Antiqua"/>
          <w:b/>
          <w:bCs/>
          <w:color w:val="000000"/>
          <w:sz w:val="21"/>
          <w:szCs w:val="21"/>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r w:rsidRPr="00D26480">
        <w:rPr>
          <w:rFonts w:ascii="Book Antiqua" w:hAnsi="Book Antiqua"/>
          <w:b/>
          <w:bCs/>
          <w:sz w:val="21"/>
          <w:szCs w:val="21"/>
        </w:rPr>
        <w:t>Table 3</w:t>
      </w:r>
      <w:r w:rsidRPr="00D26480">
        <w:rPr>
          <w:rFonts w:ascii="Book Antiqua" w:hAnsi="Book Antiqua"/>
          <w:b/>
          <w:bCs/>
          <w:sz w:val="21"/>
          <w:szCs w:val="21"/>
          <w:lang w:eastAsia="zh-CN"/>
        </w:rPr>
        <w:t xml:space="preserve">  Distribution</w:t>
      </w:r>
      <w:r w:rsidRPr="00D26480">
        <w:rPr>
          <w:rFonts w:ascii="Book Antiqua" w:hAnsi="Book Antiqua"/>
          <w:b/>
          <w:sz w:val="21"/>
          <w:szCs w:val="21"/>
        </w:rPr>
        <w:t xml:space="preserve"> of </w:t>
      </w:r>
      <w:r w:rsidRPr="002F5785">
        <w:rPr>
          <w:rFonts w:ascii="Book Antiqua" w:hAnsi="Book Antiqua"/>
          <w:b/>
          <w:sz w:val="21"/>
          <w:szCs w:val="21"/>
        </w:rPr>
        <w:t>celiac disease</w:t>
      </w:r>
      <w:r w:rsidRPr="002F5785" w:rsidDel="002F5785">
        <w:rPr>
          <w:rFonts w:ascii="Book Antiqua" w:hAnsi="Book Antiqua"/>
          <w:b/>
          <w:sz w:val="21"/>
          <w:szCs w:val="21"/>
        </w:rPr>
        <w:t xml:space="preserve"> </w:t>
      </w:r>
      <w:r w:rsidRPr="00D26480">
        <w:rPr>
          <w:rFonts w:ascii="Book Antiqua" w:hAnsi="Book Antiqua"/>
          <w:b/>
          <w:sz w:val="21"/>
          <w:szCs w:val="21"/>
        </w:rPr>
        <w:t>serology and structural interview data in adult Emiratis men and women</w:t>
      </w:r>
      <w:r w:rsidRPr="00D26480">
        <w:rPr>
          <w:rFonts w:ascii="Book Antiqua" w:hAnsi="Book Antiqua"/>
          <w:b/>
          <w:sz w:val="21"/>
          <w:szCs w:val="21"/>
          <w:lang w:eastAsia="zh-CN"/>
        </w:rPr>
        <w:t xml:space="preserve"> </w:t>
      </w: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Pr="00D26480" w:rsidRDefault="00225EB4" w:rsidP="00FE70C5">
      <w:pPr>
        <w:autoSpaceDE w:val="0"/>
        <w:autoSpaceDN w:val="0"/>
        <w:adjustRightInd w:val="0"/>
        <w:spacing w:line="360" w:lineRule="auto"/>
        <w:jc w:val="both"/>
        <w:rPr>
          <w:rFonts w:ascii="Book Antiqua" w:hAnsi="Book Antiqua"/>
          <w:b/>
          <w:sz w:val="21"/>
          <w:szCs w:val="21"/>
          <w:lang w:eastAsia="zh-CN"/>
        </w:rPr>
      </w:pPr>
    </w:p>
    <w:p w:rsidR="00225EB4" w:rsidRPr="00D26480" w:rsidRDefault="00225EB4" w:rsidP="00FE70C5">
      <w:pPr>
        <w:jc w:val="both"/>
        <w:rPr>
          <w:rFonts w:ascii="Book Antiqua" w:hAnsi="Book Antiqua"/>
          <w:b/>
          <w:bCs/>
          <w:color w:val="000000"/>
          <w:sz w:val="21"/>
          <w:szCs w:val="21"/>
        </w:rPr>
      </w:pPr>
    </w:p>
    <w:p w:rsidR="00225EB4" w:rsidRPr="00ED2CB8" w:rsidRDefault="00225EB4" w:rsidP="00FE70C5">
      <w:pPr>
        <w:jc w:val="both"/>
        <w:rPr>
          <w:rFonts w:ascii="Book Antiqua" w:hAnsi="Book Antiqua"/>
          <w:b/>
          <w:bCs/>
          <w:color w:val="000000"/>
          <w:sz w:val="15"/>
          <w:szCs w:val="15"/>
        </w:rPr>
      </w:pPr>
    </w:p>
    <w:p w:rsidR="00225EB4" w:rsidRPr="00ED2CB8" w:rsidRDefault="00225EB4" w:rsidP="00FE70C5">
      <w:pPr>
        <w:jc w:val="both"/>
        <w:rPr>
          <w:rFonts w:ascii="Book Antiqua" w:hAnsi="Book Antiqua"/>
          <w:b/>
          <w:bCs/>
          <w:color w:val="000000"/>
          <w:sz w:val="15"/>
          <w:szCs w:val="15"/>
        </w:rPr>
      </w:pPr>
    </w:p>
    <w:p w:rsidR="00225EB4" w:rsidRPr="00ED2CB8" w:rsidRDefault="00225EB4" w:rsidP="00FE70C5">
      <w:pPr>
        <w:jc w:val="both"/>
        <w:rPr>
          <w:rFonts w:ascii="Book Antiqua" w:hAnsi="Book Antiqua"/>
          <w:b/>
          <w:bCs/>
          <w:color w:val="000000"/>
          <w:sz w:val="15"/>
          <w:szCs w:val="15"/>
        </w:rPr>
      </w:pPr>
    </w:p>
    <w:tbl>
      <w:tblPr>
        <w:tblpPr w:leftFromText="180" w:rightFromText="180" w:vertAnchor="page" w:horzAnchor="margin" w:tblpY="2506"/>
        <w:tblW w:w="7848" w:type="dxa"/>
        <w:tblBorders>
          <w:top w:val="single" w:sz="4" w:space="0" w:color="auto"/>
          <w:bottom w:val="single" w:sz="4" w:space="0" w:color="auto"/>
        </w:tblBorders>
        <w:tblLayout w:type="fixed"/>
        <w:tblLook w:val="00A0" w:firstRow="1" w:lastRow="0" w:firstColumn="1" w:lastColumn="0" w:noHBand="0" w:noVBand="0"/>
      </w:tblPr>
      <w:tblGrid>
        <w:gridCol w:w="2088"/>
        <w:gridCol w:w="810"/>
        <w:gridCol w:w="1350"/>
        <w:gridCol w:w="1260"/>
        <w:gridCol w:w="1260"/>
        <w:gridCol w:w="1080"/>
      </w:tblGrid>
      <w:tr w:rsidR="00225EB4" w:rsidRPr="00A6750E" w:rsidTr="007766F3">
        <w:trPr>
          <w:trHeight w:val="360"/>
        </w:trPr>
        <w:tc>
          <w:tcPr>
            <w:tcW w:w="2898" w:type="dxa"/>
            <w:gridSpan w:val="2"/>
            <w:tcBorders>
              <w:top w:val="single" w:sz="4" w:space="0" w:color="auto"/>
              <w:bottom w:val="single" w:sz="4" w:space="0" w:color="auto"/>
            </w:tcBorders>
          </w:tcPr>
          <w:p w:rsidR="00225EB4" w:rsidRPr="00A6750E" w:rsidRDefault="00225EB4" w:rsidP="00FE70C5">
            <w:pPr>
              <w:spacing w:line="360" w:lineRule="auto"/>
              <w:jc w:val="both"/>
              <w:rPr>
                <w:rFonts w:ascii="Book Antiqua" w:hAnsi="Book Antiqua"/>
                <w:b/>
                <w:szCs w:val="21"/>
              </w:rPr>
            </w:pPr>
            <w:r w:rsidRPr="00A6750E">
              <w:rPr>
                <w:rFonts w:ascii="Book Antiqua" w:hAnsi="Book Antiqua"/>
                <w:b/>
                <w:sz w:val="21"/>
                <w:szCs w:val="21"/>
              </w:rPr>
              <w:t>Parameter</w:t>
            </w:r>
          </w:p>
        </w:tc>
        <w:tc>
          <w:tcPr>
            <w:tcW w:w="1350" w:type="dxa"/>
            <w:tcBorders>
              <w:top w:val="single" w:sz="4" w:space="0" w:color="auto"/>
              <w:bottom w:val="single" w:sz="4" w:space="0" w:color="auto"/>
            </w:tcBorders>
          </w:tcPr>
          <w:p w:rsidR="00225EB4" w:rsidRPr="00A6750E" w:rsidRDefault="00225EB4" w:rsidP="00FE70C5">
            <w:pPr>
              <w:spacing w:line="360" w:lineRule="auto"/>
              <w:jc w:val="both"/>
              <w:rPr>
                <w:rFonts w:ascii="Book Antiqua" w:hAnsi="Book Antiqua"/>
                <w:b/>
                <w:szCs w:val="21"/>
              </w:rPr>
            </w:pPr>
            <w:r w:rsidRPr="00A6750E">
              <w:rPr>
                <w:rFonts w:ascii="Book Antiqua" w:hAnsi="Book Antiqua"/>
                <w:b/>
                <w:sz w:val="21"/>
                <w:szCs w:val="21"/>
              </w:rPr>
              <w:t>Frequency</w:t>
            </w:r>
          </w:p>
          <w:p w:rsidR="00225EB4" w:rsidRPr="00A6750E" w:rsidRDefault="00225EB4" w:rsidP="00FE70C5">
            <w:pPr>
              <w:spacing w:line="360" w:lineRule="auto"/>
              <w:jc w:val="both"/>
              <w:rPr>
                <w:rFonts w:ascii="Book Antiqua" w:hAnsi="Book Antiqua"/>
                <w:b/>
                <w:szCs w:val="21"/>
              </w:rPr>
            </w:pPr>
            <w:r w:rsidRPr="00A6750E">
              <w:rPr>
                <w:rFonts w:ascii="Book Antiqua" w:hAnsi="Book Antiqua"/>
                <w:b/>
                <w:i/>
                <w:iCs/>
                <w:sz w:val="21"/>
                <w:szCs w:val="21"/>
              </w:rPr>
              <w:t>n</w:t>
            </w:r>
            <w:r w:rsidRPr="00A6750E">
              <w:rPr>
                <w:rFonts w:ascii="Book Antiqua" w:hAnsi="Book Antiqua"/>
                <w:b/>
                <w:sz w:val="21"/>
                <w:szCs w:val="21"/>
              </w:rPr>
              <w:t xml:space="preserve"> (%)</w:t>
            </w:r>
          </w:p>
        </w:tc>
        <w:tc>
          <w:tcPr>
            <w:tcW w:w="1260"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szCs w:val="21"/>
              </w:rPr>
            </w:pPr>
            <w:r w:rsidRPr="00A6750E">
              <w:rPr>
                <w:rFonts w:ascii="Book Antiqua" w:hAnsi="Book Antiqua"/>
                <w:b/>
                <w:sz w:val="21"/>
                <w:szCs w:val="21"/>
              </w:rPr>
              <w:t>Men</w:t>
            </w:r>
          </w:p>
          <w:p w:rsidR="00225EB4" w:rsidRPr="00A6750E" w:rsidRDefault="00225EB4" w:rsidP="00FE70C5">
            <w:pPr>
              <w:spacing w:line="360" w:lineRule="auto"/>
              <w:jc w:val="both"/>
              <w:rPr>
                <w:rFonts w:ascii="Book Antiqua" w:hAnsi="Book Antiqua"/>
                <w:b/>
                <w:szCs w:val="21"/>
              </w:rPr>
            </w:pPr>
            <w:r w:rsidRPr="00A6750E">
              <w:rPr>
                <w:rFonts w:ascii="Book Antiqua" w:hAnsi="Book Antiqua"/>
                <w:b/>
                <w:i/>
                <w:iCs/>
                <w:sz w:val="21"/>
                <w:szCs w:val="21"/>
              </w:rPr>
              <w:t>n</w:t>
            </w:r>
            <w:r w:rsidRPr="00A6750E">
              <w:rPr>
                <w:rFonts w:ascii="Book Antiqua" w:hAnsi="Book Antiqua"/>
                <w:b/>
                <w:sz w:val="21"/>
                <w:szCs w:val="21"/>
              </w:rPr>
              <w:t xml:space="preserve"> (%)</w:t>
            </w:r>
          </w:p>
        </w:tc>
        <w:tc>
          <w:tcPr>
            <w:tcW w:w="1260"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szCs w:val="21"/>
              </w:rPr>
            </w:pPr>
            <w:r w:rsidRPr="00A6750E">
              <w:rPr>
                <w:rFonts w:ascii="Book Antiqua" w:hAnsi="Book Antiqua"/>
                <w:b/>
                <w:sz w:val="21"/>
                <w:szCs w:val="21"/>
              </w:rPr>
              <w:t>Women</w:t>
            </w:r>
          </w:p>
          <w:p w:rsidR="00225EB4" w:rsidRPr="00A6750E" w:rsidRDefault="00225EB4" w:rsidP="00FE70C5">
            <w:pPr>
              <w:spacing w:line="360" w:lineRule="auto"/>
              <w:jc w:val="both"/>
              <w:rPr>
                <w:rFonts w:ascii="Book Antiqua" w:hAnsi="Book Antiqua"/>
                <w:b/>
                <w:szCs w:val="21"/>
              </w:rPr>
            </w:pPr>
            <w:r w:rsidRPr="00A6750E">
              <w:rPr>
                <w:rFonts w:ascii="Book Antiqua" w:hAnsi="Book Antiqua"/>
                <w:b/>
                <w:i/>
                <w:iCs/>
                <w:sz w:val="21"/>
                <w:szCs w:val="21"/>
              </w:rPr>
              <w:t>n</w:t>
            </w:r>
            <w:r w:rsidRPr="00A6750E">
              <w:rPr>
                <w:rFonts w:ascii="Book Antiqua" w:hAnsi="Book Antiqua"/>
                <w:b/>
                <w:sz w:val="21"/>
                <w:szCs w:val="21"/>
              </w:rPr>
              <w:t xml:space="preserve"> (%)</w:t>
            </w:r>
          </w:p>
        </w:tc>
        <w:tc>
          <w:tcPr>
            <w:tcW w:w="1080" w:type="dxa"/>
            <w:tcBorders>
              <w:top w:val="single" w:sz="4" w:space="0" w:color="auto"/>
              <w:bottom w:val="single" w:sz="4" w:space="0" w:color="auto"/>
            </w:tcBorders>
            <w:vAlign w:val="center"/>
          </w:tcPr>
          <w:p w:rsidR="00225EB4" w:rsidRPr="00A6750E" w:rsidRDefault="00225EB4" w:rsidP="00FE70C5">
            <w:pPr>
              <w:spacing w:line="360" w:lineRule="auto"/>
              <w:jc w:val="both"/>
              <w:rPr>
                <w:rFonts w:ascii="Book Antiqua" w:hAnsi="Book Antiqua"/>
                <w:b/>
                <w:i/>
                <w:iCs/>
                <w:szCs w:val="21"/>
              </w:rPr>
            </w:pPr>
            <w:r w:rsidRPr="00A6750E">
              <w:rPr>
                <w:rFonts w:ascii="Book Antiqua" w:hAnsi="Book Antiqua"/>
                <w:b/>
                <w:i/>
                <w:iCs/>
                <w:sz w:val="21"/>
                <w:szCs w:val="21"/>
              </w:rPr>
              <w:t>P</w:t>
            </w:r>
          </w:p>
        </w:tc>
      </w:tr>
      <w:tr w:rsidR="00225EB4" w:rsidRPr="00A6750E" w:rsidTr="007766F3">
        <w:trPr>
          <w:trHeight w:val="360"/>
        </w:trPr>
        <w:tc>
          <w:tcPr>
            <w:tcW w:w="2088" w:type="dxa"/>
            <w:tcBorders>
              <w:top w:val="single" w:sz="4" w:space="0" w:color="auto"/>
            </w:tcBorders>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lastRenderedPageBreak/>
              <w:t xml:space="preserve">CD Serology   </w:t>
            </w:r>
          </w:p>
        </w:tc>
        <w:tc>
          <w:tcPr>
            <w:tcW w:w="810" w:type="dxa"/>
            <w:tcBorders>
              <w:top w:val="single" w:sz="4" w:space="0" w:color="auto"/>
            </w:tcBorders>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-ve</w:t>
            </w:r>
          </w:p>
        </w:tc>
        <w:tc>
          <w:tcPr>
            <w:tcW w:w="1350" w:type="dxa"/>
            <w:tcBorders>
              <w:top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1183 (98.8)</w:t>
            </w:r>
          </w:p>
        </w:tc>
        <w:tc>
          <w:tcPr>
            <w:tcW w:w="1260" w:type="dxa"/>
            <w:tcBorders>
              <w:top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623 (99.8)</w:t>
            </w:r>
          </w:p>
        </w:tc>
        <w:tc>
          <w:tcPr>
            <w:tcW w:w="1260" w:type="dxa"/>
            <w:tcBorders>
              <w:top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560 (97.7)</w:t>
            </w:r>
          </w:p>
        </w:tc>
        <w:tc>
          <w:tcPr>
            <w:tcW w:w="1080" w:type="dxa"/>
            <w:vMerge w:val="restart"/>
            <w:tcBorders>
              <w:top w:val="single" w:sz="4" w:space="0" w:color="auto"/>
            </w:tcBorders>
            <w:vAlign w:val="center"/>
          </w:tcPr>
          <w:p w:rsidR="00225EB4" w:rsidRPr="00A6750E" w:rsidRDefault="00225EB4" w:rsidP="00FE70C5">
            <w:pPr>
              <w:autoSpaceDE w:val="0"/>
              <w:autoSpaceDN w:val="0"/>
              <w:adjustRightInd w:val="0"/>
              <w:spacing w:line="360" w:lineRule="auto"/>
              <w:jc w:val="both"/>
              <w:rPr>
                <w:rFonts w:ascii="Book Antiqua" w:hAnsi="Book Antiqua"/>
                <w:iCs/>
                <w:szCs w:val="21"/>
              </w:rPr>
            </w:pPr>
            <w:r w:rsidRPr="00A6750E">
              <w:rPr>
                <w:rFonts w:ascii="Book Antiqua" w:hAnsi="Book Antiqua"/>
                <w:iCs/>
                <w:sz w:val="21"/>
                <w:szCs w:val="21"/>
              </w:rPr>
              <w:t>0.0006</w:t>
            </w:r>
            <w:r w:rsidRPr="009C2ED1">
              <w:rPr>
                <w:rFonts w:ascii="Book Antiqua" w:hAnsi="Book Antiqua"/>
                <w:iCs/>
                <w:sz w:val="21"/>
                <w:szCs w:val="21"/>
                <w:vertAlign w:val="superscript"/>
              </w:rPr>
              <w:t>1</w:t>
            </w:r>
          </w:p>
        </w:tc>
      </w:tr>
      <w:tr w:rsidR="00225EB4" w:rsidRPr="00A6750E" w:rsidTr="007766F3">
        <w:trPr>
          <w:trHeight w:val="360"/>
        </w:trPr>
        <w:tc>
          <w:tcPr>
            <w:tcW w:w="2088" w:type="dxa"/>
          </w:tcPr>
          <w:p w:rsidR="00225EB4" w:rsidRPr="00A6750E" w:rsidRDefault="00225EB4" w:rsidP="00FE70C5">
            <w:pPr>
              <w:spacing w:line="360" w:lineRule="auto"/>
              <w:ind w:left="720"/>
              <w:jc w:val="both"/>
              <w:rPr>
                <w:rFonts w:ascii="Book Antiqua" w:hAnsi="Book Antiqua"/>
                <w:szCs w:val="21"/>
              </w:rPr>
            </w:pPr>
            <w:r w:rsidRPr="00A6750E">
              <w:rPr>
                <w:rFonts w:ascii="Book Antiqua" w:hAnsi="Book Antiqua"/>
                <w:sz w:val="21"/>
                <w:szCs w:val="21"/>
              </w:rPr>
              <w:t xml:space="preserve">       </w:t>
            </w:r>
          </w:p>
        </w:tc>
        <w:tc>
          <w:tcPr>
            <w:tcW w:w="81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+ve</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 xml:space="preserve">    14 (1.2)</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 xml:space="preserve">    1 (0.2)</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 xml:space="preserve">  13 (2.3)</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CD in family</w:t>
            </w: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1195 (99.8)</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624 (100)</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571 (99.7)</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szCs w:val="21"/>
              </w:rPr>
            </w:pPr>
            <w:r w:rsidRPr="00A6750E">
              <w:rPr>
                <w:rFonts w:ascii="Book Antiqua" w:hAnsi="Book Antiqua"/>
                <w:iCs/>
                <w:color w:val="000000"/>
                <w:sz w:val="21"/>
                <w:szCs w:val="21"/>
              </w:rPr>
              <w:t>0.229</w:t>
            </w:r>
            <w:r w:rsidRPr="005571A2">
              <w:rPr>
                <w:rFonts w:ascii="Book Antiqua" w:hAnsi="Book Antiqua"/>
                <w:iCs/>
                <w:sz w:val="21"/>
                <w:szCs w:val="21"/>
                <w:vertAlign w:val="superscript"/>
              </w:rPr>
              <w:t>1</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2 (0.2)</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0 (0.0)</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2 (0.3)</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Anemia</w:t>
            </w: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1106 (92.4)</w:t>
            </w:r>
          </w:p>
        </w:tc>
        <w:tc>
          <w:tcPr>
            <w:tcW w:w="126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601 (96.3)</w:t>
            </w:r>
          </w:p>
        </w:tc>
        <w:tc>
          <w:tcPr>
            <w:tcW w:w="126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505 (88.1)</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r w:rsidRPr="00A6750E">
              <w:rPr>
                <w:rFonts w:ascii="Book Antiqua" w:hAnsi="Book Antiqua"/>
                <w:iCs/>
                <w:color w:val="000000"/>
                <w:sz w:val="21"/>
                <w:szCs w:val="21"/>
              </w:rPr>
              <w:t>&lt;0.001</w:t>
            </w:r>
            <w:r>
              <w:rPr>
                <w:rFonts w:ascii="Book Antiqua" w:hAnsi="Book Antiqua"/>
                <w:b/>
                <w:bCs/>
                <w:iCs/>
                <w:sz w:val="21"/>
                <w:szCs w:val="21"/>
                <w:vertAlign w:val="superscript"/>
              </w:rPr>
              <w:t>2</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91 (7.6)</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23 (3.7)</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68 (11.9)</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Headache</w:t>
            </w: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1185 (99.0)</w:t>
            </w:r>
          </w:p>
        </w:tc>
        <w:tc>
          <w:tcPr>
            <w:tcW w:w="126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618 (99.0)</w:t>
            </w:r>
          </w:p>
        </w:tc>
        <w:tc>
          <w:tcPr>
            <w:tcW w:w="126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567 (99.0)</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r w:rsidRPr="00A6750E">
              <w:rPr>
                <w:rFonts w:ascii="Book Antiqua" w:hAnsi="Book Antiqua"/>
                <w:iCs/>
                <w:color w:val="000000"/>
                <w:sz w:val="21"/>
                <w:szCs w:val="21"/>
              </w:rPr>
              <w:t>1.000</w:t>
            </w:r>
            <w:r w:rsidRPr="00A6750E">
              <w:rPr>
                <w:rFonts w:ascii="Book Antiqua" w:hAnsi="Book Antiqua"/>
                <w:b/>
                <w:bCs/>
                <w:iCs/>
                <w:sz w:val="21"/>
                <w:szCs w:val="21"/>
                <w:vertAlign w:val="superscript"/>
              </w:rPr>
              <w:t>†</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 xml:space="preserve">    12 (1.0)</w:t>
            </w:r>
          </w:p>
        </w:tc>
        <w:tc>
          <w:tcPr>
            <w:tcW w:w="1260" w:type="dxa"/>
          </w:tcPr>
          <w:p w:rsidR="00225EB4" w:rsidRPr="00A6750E" w:rsidRDefault="00225EB4" w:rsidP="00FE70C5">
            <w:pPr>
              <w:spacing w:line="360" w:lineRule="auto"/>
              <w:jc w:val="both"/>
              <w:rPr>
                <w:rFonts w:ascii="Book Antiqua" w:hAnsi="Book Antiqua"/>
                <w:szCs w:val="21"/>
              </w:rPr>
            </w:pPr>
            <w:r w:rsidRPr="00A6750E">
              <w:rPr>
                <w:rFonts w:ascii="Book Antiqua" w:hAnsi="Book Antiqua"/>
                <w:sz w:val="21"/>
                <w:szCs w:val="21"/>
              </w:rPr>
              <w:t xml:space="preserve">    6 (1.0)</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6 (1.0)</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 xml:space="preserve">Diarrhea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1192 (99.6)</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621 (99.5)</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571 (99.7)</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r w:rsidRPr="00A6750E">
              <w:rPr>
                <w:rFonts w:ascii="Book Antiqua" w:hAnsi="Book Antiqua"/>
                <w:iCs/>
                <w:color w:val="000000"/>
                <w:sz w:val="21"/>
                <w:szCs w:val="21"/>
              </w:rPr>
              <w:t>1.0</w:t>
            </w:r>
            <w:r w:rsidRPr="005571A2">
              <w:rPr>
                <w:rFonts w:ascii="Book Antiqua" w:hAnsi="Book Antiqua"/>
                <w:iCs/>
                <w:sz w:val="21"/>
                <w:szCs w:val="21"/>
                <w:vertAlign w:val="superscript"/>
              </w:rPr>
              <w:t>1</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5 (4.4)</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3 (0.5)</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2 (0.3)</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Diabetes</w:t>
            </w: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1176 (98.2)</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606 (97.1)</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570 (99.5)</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szCs w:val="21"/>
              </w:rPr>
            </w:pPr>
            <w:r w:rsidRPr="00A6750E">
              <w:rPr>
                <w:rFonts w:ascii="Book Antiqua" w:hAnsi="Book Antiqua"/>
                <w:iCs/>
                <w:sz w:val="21"/>
                <w:szCs w:val="21"/>
              </w:rPr>
              <w:t>&lt;0.005</w:t>
            </w:r>
            <w:r>
              <w:rPr>
                <w:rFonts w:ascii="Book Antiqua" w:hAnsi="Book Antiqua"/>
                <w:b/>
                <w:bCs/>
                <w:iCs/>
                <w:sz w:val="21"/>
                <w:szCs w:val="21"/>
                <w:vertAlign w:val="superscript"/>
              </w:rPr>
              <w:t>2</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21 (1.8)</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18 (2.9)</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3 (0.5)</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Tumor</w:t>
            </w: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1196 (99.9)</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623(99.8)</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573 (100)</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r w:rsidRPr="00A6750E">
              <w:rPr>
                <w:rFonts w:ascii="Book Antiqua" w:hAnsi="Book Antiqua"/>
                <w:iCs/>
                <w:color w:val="000000"/>
                <w:sz w:val="21"/>
                <w:szCs w:val="21"/>
              </w:rPr>
              <w:t>1.0</w:t>
            </w:r>
            <w:r w:rsidRPr="005571A2">
              <w:rPr>
                <w:rFonts w:ascii="Book Antiqua" w:hAnsi="Book Antiqua"/>
                <w:iCs/>
                <w:sz w:val="21"/>
                <w:szCs w:val="21"/>
                <w:vertAlign w:val="superscript"/>
              </w:rPr>
              <w:t>1</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1 (0.1)</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1 (0.2)</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0 (0.0)</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szCs w:val="21"/>
              </w:rPr>
            </w:pPr>
            <w:r w:rsidRPr="00A6750E">
              <w:rPr>
                <w:rFonts w:ascii="Book Antiqua" w:hAnsi="Book Antiqua"/>
                <w:sz w:val="21"/>
                <w:szCs w:val="21"/>
              </w:rPr>
              <w:t xml:space="preserve">Thyroid disorder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1188 (99.2)</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622 (99.7)</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566 (98.8)</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r w:rsidRPr="00A6750E">
              <w:rPr>
                <w:rFonts w:ascii="Book Antiqua" w:hAnsi="Book Antiqua"/>
                <w:iCs/>
                <w:color w:val="000000"/>
                <w:sz w:val="21"/>
                <w:szCs w:val="21"/>
              </w:rPr>
              <w:t>0.096</w:t>
            </w:r>
            <w:r w:rsidRPr="005571A2">
              <w:rPr>
                <w:rFonts w:ascii="Book Antiqua" w:hAnsi="Book Antiqua"/>
                <w:iCs/>
                <w:sz w:val="21"/>
                <w:szCs w:val="21"/>
                <w:vertAlign w:val="superscript"/>
              </w:rPr>
              <w:t>1</w:t>
            </w: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ind w:left="720"/>
              <w:jc w:val="both"/>
              <w:rPr>
                <w:rFonts w:ascii="Book Antiqua" w:hAnsi="Book Antiqua"/>
                <w:color w:val="000000"/>
                <w:szCs w:val="21"/>
              </w:rPr>
            </w:pP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9 (0.8)</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2 (0.3)</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7 (1.2)</w:t>
            </w:r>
          </w:p>
        </w:tc>
        <w:tc>
          <w:tcPr>
            <w:tcW w:w="1080" w:type="dxa"/>
            <w:vMerge/>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p>
        </w:tc>
      </w:tr>
      <w:tr w:rsidR="00225EB4" w:rsidRPr="00A6750E" w:rsidTr="007766F3">
        <w:trPr>
          <w:trHeight w:val="360"/>
        </w:trPr>
        <w:tc>
          <w:tcPr>
            <w:tcW w:w="2088"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sz w:val="21"/>
                <w:szCs w:val="21"/>
              </w:rPr>
              <w:t>Hepatitis</w:t>
            </w:r>
            <w:r w:rsidRPr="00A6750E">
              <w:rPr>
                <w:rFonts w:ascii="Book Antiqua" w:hAnsi="Book Antiqua"/>
                <w:color w:val="000000"/>
                <w:sz w:val="21"/>
                <w:szCs w:val="21"/>
              </w:rPr>
              <w:t xml:space="preserve"> </w:t>
            </w:r>
          </w:p>
        </w:tc>
        <w:tc>
          <w:tcPr>
            <w:tcW w:w="81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No</w:t>
            </w:r>
          </w:p>
        </w:tc>
        <w:tc>
          <w:tcPr>
            <w:tcW w:w="135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1186 (99.1)</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617 (98.9)</w:t>
            </w:r>
          </w:p>
        </w:tc>
        <w:tc>
          <w:tcPr>
            <w:tcW w:w="1260" w:type="dxa"/>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569 (99.3)</w:t>
            </w:r>
          </w:p>
        </w:tc>
        <w:tc>
          <w:tcPr>
            <w:tcW w:w="1080" w:type="dxa"/>
            <w:vMerge w:val="restart"/>
            <w:vAlign w:val="center"/>
          </w:tcPr>
          <w:p w:rsidR="00225EB4" w:rsidRPr="00A6750E" w:rsidRDefault="00225EB4" w:rsidP="00FE70C5">
            <w:pPr>
              <w:autoSpaceDE w:val="0"/>
              <w:autoSpaceDN w:val="0"/>
              <w:adjustRightInd w:val="0"/>
              <w:spacing w:line="360" w:lineRule="auto"/>
              <w:jc w:val="both"/>
              <w:rPr>
                <w:rFonts w:ascii="Book Antiqua" w:hAnsi="Book Antiqua"/>
                <w:iCs/>
                <w:color w:val="000000"/>
                <w:szCs w:val="21"/>
              </w:rPr>
            </w:pPr>
            <w:r w:rsidRPr="00A6750E">
              <w:rPr>
                <w:rFonts w:ascii="Book Antiqua" w:hAnsi="Book Antiqua"/>
                <w:iCs/>
                <w:color w:val="000000"/>
                <w:sz w:val="21"/>
                <w:szCs w:val="21"/>
              </w:rPr>
              <w:t>0.642</w:t>
            </w:r>
            <w:r>
              <w:rPr>
                <w:rFonts w:ascii="Book Antiqua" w:hAnsi="Book Antiqua"/>
                <w:b/>
                <w:bCs/>
                <w:iCs/>
                <w:sz w:val="21"/>
                <w:szCs w:val="21"/>
                <w:vertAlign w:val="superscript"/>
              </w:rPr>
              <w:t>2</w:t>
            </w:r>
          </w:p>
        </w:tc>
      </w:tr>
      <w:tr w:rsidR="00225EB4" w:rsidRPr="00A6750E" w:rsidTr="007766F3">
        <w:trPr>
          <w:trHeight w:val="360"/>
        </w:trPr>
        <w:tc>
          <w:tcPr>
            <w:tcW w:w="2088" w:type="dxa"/>
            <w:tcBorders>
              <w:bottom w:val="single" w:sz="4" w:space="0" w:color="auto"/>
            </w:tcBorders>
          </w:tcPr>
          <w:p w:rsidR="00225EB4" w:rsidRPr="00A6750E" w:rsidRDefault="00225EB4" w:rsidP="00FE70C5">
            <w:pPr>
              <w:autoSpaceDE w:val="0"/>
              <w:autoSpaceDN w:val="0"/>
              <w:adjustRightInd w:val="0"/>
              <w:spacing w:line="360" w:lineRule="auto"/>
              <w:ind w:left="720"/>
              <w:jc w:val="both"/>
              <w:rPr>
                <w:rFonts w:ascii="Book Antiqua" w:hAnsi="Book Antiqua"/>
                <w:color w:val="000000"/>
                <w:sz w:val="15"/>
                <w:szCs w:val="15"/>
              </w:rPr>
            </w:pPr>
          </w:p>
        </w:tc>
        <w:tc>
          <w:tcPr>
            <w:tcW w:w="81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Yes</w:t>
            </w:r>
          </w:p>
        </w:tc>
        <w:tc>
          <w:tcPr>
            <w:tcW w:w="135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11 (0.9)</w:t>
            </w:r>
          </w:p>
        </w:tc>
        <w:tc>
          <w:tcPr>
            <w:tcW w:w="126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7 (1.1)</w:t>
            </w:r>
          </w:p>
        </w:tc>
        <w:tc>
          <w:tcPr>
            <w:tcW w:w="1260" w:type="dxa"/>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szCs w:val="21"/>
              </w:rPr>
            </w:pPr>
            <w:r w:rsidRPr="00A6750E">
              <w:rPr>
                <w:rFonts w:ascii="Book Antiqua" w:hAnsi="Book Antiqua"/>
                <w:color w:val="000000"/>
                <w:sz w:val="21"/>
                <w:szCs w:val="21"/>
              </w:rPr>
              <w:t xml:space="preserve">   4 (0.7)</w:t>
            </w:r>
          </w:p>
        </w:tc>
        <w:tc>
          <w:tcPr>
            <w:tcW w:w="1080" w:type="dxa"/>
            <w:vMerge/>
            <w:tcBorders>
              <w:bottom w:val="single" w:sz="4" w:space="0" w:color="auto"/>
            </w:tcBorders>
          </w:tcPr>
          <w:p w:rsidR="00225EB4" w:rsidRPr="00A6750E" w:rsidRDefault="00225EB4" w:rsidP="00FE70C5">
            <w:pPr>
              <w:autoSpaceDE w:val="0"/>
              <w:autoSpaceDN w:val="0"/>
              <w:adjustRightInd w:val="0"/>
              <w:spacing w:line="360" w:lineRule="auto"/>
              <w:jc w:val="both"/>
              <w:rPr>
                <w:rFonts w:ascii="Book Antiqua" w:hAnsi="Book Antiqua"/>
                <w:color w:val="000000"/>
                <w:sz w:val="15"/>
                <w:szCs w:val="15"/>
              </w:rPr>
            </w:pPr>
          </w:p>
        </w:tc>
      </w:tr>
    </w:tbl>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15"/>
          <w:szCs w:val="15"/>
        </w:rPr>
      </w:pPr>
    </w:p>
    <w:p w:rsidR="00225EB4" w:rsidRPr="00ED2CB8" w:rsidRDefault="00225EB4" w:rsidP="00FE70C5">
      <w:pPr>
        <w:spacing w:line="360" w:lineRule="auto"/>
        <w:jc w:val="both"/>
        <w:rPr>
          <w:rFonts w:ascii="Book Antiqua" w:hAnsi="Book Antiqua"/>
          <w:color w:val="000000"/>
          <w:sz w:val="21"/>
          <w:szCs w:val="21"/>
        </w:rPr>
      </w:pPr>
    </w:p>
    <w:p w:rsidR="00225EB4" w:rsidRPr="00ED2CB8" w:rsidRDefault="00225EB4" w:rsidP="00FE70C5">
      <w:pPr>
        <w:spacing w:line="360" w:lineRule="auto"/>
        <w:jc w:val="both"/>
        <w:rPr>
          <w:rFonts w:ascii="Book Antiqua" w:hAnsi="Book Antiqua"/>
          <w:color w:val="000000"/>
          <w:sz w:val="21"/>
          <w:szCs w:val="21"/>
        </w:rPr>
      </w:pPr>
    </w:p>
    <w:p w:rsidR="00225EB4" w:rsidRPr="00ED2CB8" w:rsidRDefault="00225EB4" w:rsidP="00FE70C5">
      <w:pPr>
        <w:spacing w:line="360" w:lineRule="auto"/>
        <w:jc w:val="both"/>
        <w:rPr>
          <w:rFonts w:ascii="Book Antiqua" w:hAnsi="Book Antiqua"/>
          <w:color w:val="000000"/>
          <w:sz w:val="21"/>
          <w:szCs w:val="21"/>
        </w:rPr>
      </w:pPr>
    </w:p>
    <w:p w:rsidR="00225EB4" w:rsidRPr="009B3D1A" w:rsidRDefault="00225EB4" w:rsidP="00FE70C5">
      <w:pPr>
        <w:spacing w:line="360" w:lineRule="auto"/>
        <w:jc w:val="both"/>
        <w:rPr>
          <w:rFonts w:ascii="Book Antiqua" w:hAnsi="Book Antiqua"/>
          <w:color w:val="000000"/>
        </w:rPr>
      </w:pPr>
    </w:p>
    <w:p w:rsidR="00225EB4" w:rsidRPr="009B3D1A" w:rsidRDefault="00225EB4" w:rsidP="00FE70C5">
      <w:pPr>
        <w:spacing w:line="360" w:lineRule="auto"/>
        <w:jc w:val="both"/>
        <w:rPr>
          <w:rFonts w:ascii="Book Antiqua" w:hAnsi="Book Antiqua"/>
          <w:color w:val="000000"/>
        </w:rPr>
      </w:pPr>
    </w:p>
    <w:p w:rsidR="00225EB4" w:rsidRPr="009B3D1A" w:rsidRDefault="00225EB4" w:rsidP="00FE70C5">
      <w:pPr>
        <w:spacing w:line="360" w:lineRule="auto"/>
        <w:jc w:val="both"/>
        <w:rPr>
          <w:rFonts w:ascii="Book Antiqua" w:hAnsi="Book Antiqua"/>
          <w:color w:val="000000"/>
        </w:rPr>
      </w:pPr>
    </w:p>
    <w:p w:rsidR="00225EB4" w:rsidRPr="009B3D1A" w:rsidRDefault="00225EB4" w:rsidP="00FE70C5">
      <w:pPr>
        <w:spacing w:line="360" w:lineRule="auto"/>
        <w:jc w:val="both"/>
        <w:rPr>
          <w:rFonts w:ascii="Book Antiqua" w:hAnsi="Book Antiqua"/>
          <w:color w:val="000000"/>
        </w:rPr>
      </w:pPr>
    </w:p>
    <w:p w:rsidR="00225EB4" w:rsidRDefault="00225EB4" w:rsidP="00FE70C5">
      <w:pPr>
        <w:spacing w:line="360" w:lineRule="auto"/>
        <w:jc w:val="both"/>
        <w:rPr>
          <w:rFonts w:ascii="Book Antiqua" w:hAnsi="Book Antiqua"/>
          <w:color w:val="000000"/>
          <w:sz w:val="21"/>
          <w:szCs w:val="21"/>
        </w:rPr>
      </w:pPr>
    </w:p>
    <w:p w:rsidR="00225EB4" w:rsidRDefault="00225EB4" w:rsidP="00FE70C5">
      <w:pPr>
        <w:spacing w:line="360" w:lineRule="auto"/>
        <w:jc w:val="both"/>
        <w:rPr>
          <w:rFonts w:ascii="Book Antiqua" w:hAnsi="Book Antiqua"/>
          <w:color w:val="000000"/>
          <w:sz w:val="21"/>
          <w:szCs w:val="21"/>
          <w:highlight w:val="yellow"/>
        </w:rPr>
      </w:pPr>
    </w:p>
    <w:p w:rsidR="00225EB4" w:rsidRDefault="00225EB4" w:rsidP="00FE70C5">
      <w:pPr>
        <w:spacing w:line="360" w:lineRule="auto"/>
        <w:jc w:val="both"/>
        <w:rPr>
          <w:rFonts w:ascii="Book Antiqua" w:hAnsi="Book Antiqua"/>
          <w:color w:val="000000"/>
          <w:sz w:val="21"/>
          <w:szCs w:val="21"/>
          <w:highlight w:val="yellow"/>
        </w:rPr>
      </w:pPr>
    </w:p>
    <w:p w:rsidR="00225EB4" w:rsidRDefault="00225EB4" w:rsidP="00FE70C5">
      <w:pPr>
        <w:spacing w:line="360" w:lineRule="auto"/>
        <w:jc w:val="both"/>
        <w:rPr>
          <w:rFonts w:ascii="Book Antiqua" w:hAnsi="Book Antiqua"/>
          <w:color w:val="000000"/>
          <w:sz w:val="21"/>
          <w:szCs w:val="21"/>
        </w:rPr>
      </w:pPr>
    </w:p>
    <w:p w:rsidR="00225EB4" w:rsidRDefault="00225EB4" w:rsidP="00FE70C5">
      <w:pPr>
        <w:spacing w:line="360" w:lineRule="auto"/>
        <w:jc w:val="both"/>
        <w:rPr>
          <w:rFonts w:ascii="Book Antiqua" w:hAnsi="Book Antiqua"/>
          <w:color w:val="000000"/>
          <w:sz w:val="21"/>
          <w:szCs w:val="21"/>
        </w:rPr>
      </w:pPr>
    </w:p>
    <w:p w:rsidR="00225EB4" w:rsidRDefault="00225EB4" w:rsidP="00FE70C5">
      <w:pPr>
        <w:spacing w:line="360" w:lineRule="auto"/>
        <w:jc w:val="both"/>
        <w:rPr>
          <w:rFonts w:ascii="Book Antiqua" w:hAnsi="Book Antiqua"/>
          <w:color w:val="000000"/>
          <w:sz w:val="21"/>
          <w:szCs w:val="21"/>
        </w:rPr>
      </w:pPr>
    </w:p>
    <w:p w:rsidR="00225EB4" w:rsidRDefault="00225EB4" w:rsidP="00FE70C5">
      <w:pPr>
        <w:spacing w:line="360" w:lineRule="auto"/>
        <w:jc w:val="both"/>
        <w:rPr>
          <w:rFonts w:ascii="Book Antiqua" w:hAnsi="Book Antiqua"/>
          <w:color w:val="000000"/>
          <w:sz w:val="21"/>
          <w:szCs w:val="21"/>
        </w:rPr>
      </w:pPr>
    </w:p>
    <w:p w:rsidR="00225EB4" w:rsidRDefault="00225EB4" w:rsidP="00FE70C5">
      <w:pPr>
        <w:spacing w:line="360" w:lineRule="auto"/>
        <w:jc w:val="both"/>
        <w:rPr>
          <w:rFonts w:ascii="Book Antiqua" w:hAnsi="Book Antiqua"/>
          <w:color w:val="000000"/>
          <w:sz w:val="21"/>
          <w:szCs w:val="21"/>
        </w:rPr>
      </w:pPr>
    </w:p>
    <w:p w:rsidR="00225EB4" w:rsidRPr="00ED2CB8" w:rsidRDefault="00225EB4" w:rsidP="00FE70C5">
      <w:pPr>
        <w:spacing w:line="360" w:lineRule="auto"/>
        <w:jc w:val="both"/>
        <w:rPr>
          <w:rFonts w:ascii="Book Antiqua" w:hAnsi="Book Antiqua"/>
          <w:sz w:val="21"/>
          <w:szCs w:val="21"/>
          <w:lang w:eastAsia="zh-CN"/>
        </w:rPr>
      </w:pPr>
      <w:r w:rsidRPr="009C2ED1">
        <w:rPr>
          <w:rFonts w:ascii="Book Antiqua" w:hAnsi="Book Antiqua"/>
          <w:color w:val="000000"/>
          <w:sz w:val="21"/>
          <w:szCs w:val="21"/>
          <w:vertAlign w:val="superscript"/>
        </w:rPr>
        <w:t>1</w:t>
      </w:r>
      <w:r w:rsidRPr="00ED2CB8">
        <w:rPr>
          <w:rFonts w:ascii="Book Antiqua" w:hAnsi="Book Antiqua"/>
          <w:color w:val="000000"/>
          <w:sz w:val="21"/>
          <w:szCs w:val="21"/>
        </w:rPr>
        <w:t>Fisher's Exact Test</w:t>
      </w:r>
      <w:r w:rsidRPr="00ED2CB8">
        <w:rPr>
          <w:rFonts w:ascii="Book Antiqua" w:hAnsi="Book Antiqua"/>
          <w:color w:val="000000"/>
          <w:sz w:val="21"/>
          <w:szCs w:val="21"/>
          <w:lang w:eastAsia="zh-CN"/>
        </w:rPr>
        <w:t xml:space="preserve">; </w:t>
      </w:r>
      <w:r>
        <w:rPr>
          <w:rFonts w:ascii="Book Antiqua" w:hAnsi="Book Antiqua"/>
          <w:b/>
          <w:bCs/>
          <w:sz w:val="21"/>
          <w:szCs w:val="21"/>
          <w:vertAlign w:val="superscript"/>
        </w:rPr>
        <w:t>2</w:t>
      </w:r>
      <w:r w:rsidRPr="000357D6">
        <w:rPr>
          <w:rFonts w:ascii="Book Antiqua" w:hAnsi="Book Antiqua"/>
          <w:bCs/>
          <w:sz w:val="21"/>
          <w:szCs w:val="21"/>
        </w:rPr>
        <w:t>χ</w:t>
      </w:r>
      <w:r w:rsidRPr="000357D6">
        <w:rPr>
          <w:rFonts w:ascii="Book Antiqua" w:hAnsi="Book Antiqua"/>
          <w:bCs/>
          <w:sz w:val="21"/>
          <w:szCs w:val="21"/>
          <w:vertAlign w:val="superscript"/>
        </w:rPr>
        <w:t>2</w:t>
      </w:r>
      <w:r w:rsidRPr="00ED2CB8">
        <w:rPr>
          <w:rFonts w:ascii="Book Antiqua" w:hAnsi="Book Antiqua"/>
          <w:sz w:val="21"/>
          <w:szCs w:val="21"/>
        </w:rPr>
        <w:t xml:space="preserve"> with continuity correction</w:t>
      </w:r>
      <w:r w:rsidRPr="00ED2CB8">
        <w:rPr>
          <w:rFonts w:ascii="Book Antiqua" w:hAnsi="Book Antiqua"/>
          <w:sz w:val="21"/>
          <w:szCs w:val="21"/>
          <w:lang w:eastAsia="zh-CN"/>
        </w:rPr>
        <w:t>.</w:t>
      </w:r>
      <w:r>
        <w:rPr>
          <w:rFonts w:ascii="Book Antiqua" w:hAnsi="Book Antiqua"/>
          <w:sz w:val="21"/>
          <w:szCs w:val="21"/>
          <w:lang w:eastAsia="zh-CN"/>
        </w:rPr>
        <w:t xml:space="preserve"> </w:t>
      </w:r>
      <w:r w:rsidRPr="00ED2CB8">
        <w:rPr>
          <w:rFonts w:ascii="Book Antiqua" w:hAnsi="Book Antiqua"/>
          <w:sz w:val="21"/>
          <w:szCs w:val="21"/>
          <w:lang w:eastAsia="zh-CN"/>
        </w:rPr>
        <w:t>CD: Celiac disease</w:t>
      </w:r>
      <w:r>
        <w:rPr>
          <w:rFonts w:ascii="Book Antiqua" w:hAnsi="Book Antiqua"/>
          <w:sz w:val="21"/>
          <w:szCs w:val="21"/>
          <w:lang w:eastAsia="zh-CN"/>
        </w:rPr>
        <w:t>.</w:t>
      </w:r>
    </w:p>
    <w:p w:rsidR="00225EB4" w:rsidRPr="009B3D1A" w:rsidRDefault="00225EB4" w:rsidP="00FE70C5">
      <w:pPr>
        <w:autoSpaceDE w:val="0"/>
        <w:autoSpaceDN w:val="0"/>
        <w:adjustRightInd w:val="0"/>
        <w:spacing w:line="360" w:lineRule="auto"/>
        <w:jc w:val="both"/>
        <w:rPr>
          <w:rFonts w:ascii="Book Antiqua" w:hAnsi="Book Antiqua"/>
        </w:rPr>
      </w:pPr>
    </w:p>
    <w:p w:rsidR="00225EB4" w:rsidRPr="009B3D1A" w:rsidRDefault="00225EB4" w:rsidP="00FE70C5">
      <w:pPr>
        <w:autoSpaceDE w:val="0"/>
        <w:autoSpaceDN w:val="0"/>
        <w:adjustRightInd w:val="0"/>
        <w:spacing w:line="360" w:lineRule="auto"/>
        <w:jc w:val="both"/>
        <w:rPr>
          <w:rFonts w:ascii="Book Antiqua" w:hAnsi="Book Antiqua"/>
        </w:rPr>
      </w:pPr>
    </w:p>
    <w:sectPr w:rsidR="00225EB4" w:rsidRPr="009B3D1A" w:rsidSect="003D7F1C">
      <w:footerReference w:type="even" r:id="rId9"/>
      <w:footerReference w:type="default" r:id="rId10"/>
      <w:footerReference w:type="first" r:id="rId11"/>
      <w:pgSz w:w="11909" w:h="16834"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F5" w:rsidRDefault="007A3FF5">
      <w:r>
        <w:separator/>
      </w:r>
    </w:p>
  </w:endnote>
  <w:endnote w:type="continuationSeparator" w:id="0">
    <w:p w:rsidR="007A3FF5" w:rsidRDefault="007A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SimSun"/>
    <w:panose1 w:val="02010600030101010101"/>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onotypeCorsiv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B4" w:rsidRDefault="00225EB4" w:rsidP="00786F90">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25EB4" w:rsidRDefault="00225EB4" w:rsidP="00D374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B4" w:rsidRDefault="007A3FF5">
    <w:pPr>
      <w:pStyle w:val="a4"/>
      <w:jc w:val="center"/>
    </w:pPr>
    <w:r>
      <w:fldChar w:fldCharType="begin"/>
    </w:r>
    <w:r>
      <w:instrText xml:space="preserve"> PAGE   \* MERGEFORMAT </w:instrText>
    </w:r>
    <w:r>
      <w:fldChar w:fldCharType="separate"/>
    </w:r>
    <w:r w:rsidR="00CE3757">
      <w:rPr>
        <w:noProof/>
      </w:rPr>
      <w:t>23</w:t>
    </w:r>
    <w:r>
      <w:rPr>
        <w:noProof/>
      </w:rPr>
      <w:fldChar w:fldCharType="end"/>
    </w:r>
  </w:p>
  <w:p w:rsidR="00225EB4" w:rsidRDefault="00225EB4" w:rsidP="0036050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EB4" w:rsidRDefault="007A3FF5">
    <w:pPr>
      <w:pStyle w:val="a4"/>
      <w:jc w:val="center"/>
    </w:pPr>
    <w:r>
      <w:fldChar w:fldCharType="begin"/>
    </w:r>
    <w:r>
      <w:instrText xml:space="preserve"> PAGE   \* MERGEFORMAT </w:instrText>
    </w:r>
    <w:r>
      <w:fldChar w:fldCharType="separate"/>
    </w:r>
    <w:r w:rsidR="00CE3757">
      <w:rPr>
        <w:noProof/>
      </w:rPr>
      <w:t>1</w:t>
    </w:r>
    <w:r>
      <w:rPr>
        <w:noProof/>
      </w:rPr>
      <w:fldChar w:fldCharType="end"/>
    </w:r>
  </w:p>
  <w:p w:rsidR="00225EB4" w:rsidRDefault="00225E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F5" w:rsidRDefault="007A3FF5">
      <w:r>
        <w:separator/>
      </w:r>
    </w:p>
  </w:footnote>
  <w:footnote w:type="continuationSeparator" w:id="0">
    <w:p w:rsidR="007A3FF5" w:rsidRDefault="007A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4E24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00F73"/>
    <w:multiLevelType w:val="hybridMultilevel"/>
    <w:tmpl w:val="D4487230"/>
    <w:lvl w:ilvl="0" w:tplc="7A5E039E">
      <w:start w:val="31"/>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494AF9"/>
    <w:multiLevelType w:val="hybridMultilevel"/>
    <w:tmpl w:val="3168EA6A"/>
    <w:lvl w:ilvl="0" w:tplc="3C948AD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5E6A8B"/>
    <w:multiLevelType w:val="hybridMultilevel"/>
    <w:tmpl w:val="B57E4174"/>
    <w:lvl w:ilvl="0" w:tplc="0332E672">
      <w:start w:val="1"/>
      <w:numFmt w:val="decimal"/>
      <w:lvlText w:val="%1."/>
      <w:lvlJc w:val="left"/>
      <w:pPr>
        <w:tabs>
          <w:tab w:val="num" w:pos="288"/>
        </w:tabs>
        <w:ind w:left="720" w:hanging="72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2D6B04"/>
    <w:multiLevelType w:val="hybridMultilevel"/>
    <w:tmpl w:val="A99C4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15DB0"/>
    <w:multiLevelType w:val="hybridMultilevel"/>
    <w:tmpl w:val="E9D2BADE"/>
    <w:lvl w:ilvl="0" w:tplc="18700350">
      <w:numFmt w:val="bullet"/>
      <w:lvlText w:val="-"/>
      <w:lvlJc w:val="left"/>
      <w:pPr>
        <w:tabs>
          <w:tab w:val="num" w:pos="720"/>
        </w:tabs>
        <w:ind w:left="720" w:hanging="360"/>
      </w:pPr>
      <w:rPr>
        <w:rFonts w:ascii="Times New Roman" w:eastAsia="Times New Roman" w:hAnsi="Times New Roman" w:hint="default"/>
      </w:rPr>
    </w:lvl>
    <w:lvl w:ilvl="1" w:tplc="58AC383A">
      <w:start w:val="1"/>
      <w:numFmt w:val="upperRoman"/>
      <w:lvlText w:val="%2."/>
      <w:lvlJc w:val="left"/>
      <w:pPr>
        <w:tabs>
          <w:tab w:val="num" w:pos="1440"/>
        </w:tabs>
        <w:ind w:left="1440" w:hanging="360"/>
      </w:pPr>
      <w:rPr>
        <w:rFonts w:cs="Times New Roman" w:hint="default"/>
        <w:b/>
        <w:bCs/>
      </w:rPr>
    </w:lvl>
    <w:lvl w:ilvl="2" w:tplc="557602F0">
      <w:start w:val="1"/>
      <w:numFmt w:val="decimal"/>
      <w:lvlText w:val="%3."/>
      <w:lvlJc w:val="left"/>
      <w:pPr>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F3709A"/>
    <w:multiLevelType w:val="multilevel"/>
    <w:tmpl w:val="486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01E9B"/>
    <w:multiLevelType w:val="hybridMultilevel"/>
    <w:tmpl w:val="9CD04C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7CE3D68"/>
    <w:multiLevelType w:val="hybridMultilevel"/>
    <w:tmpl w:val="6E541738"/>
    <w:lvl w:ilvl="0" w:tplc="3398AB3E">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CE2C3E"/>
    <w:multiLevelType w:val="hybridMultilevel"/>
    <w:tmpl w:val="DF08B342"/>
    <w:lvl w:ilvl="0" w:tplc="A476D2F4">
      <w:start w:val="28"/>
      <w:numFmt w:val="decimal"/>
      <w:lvlText w:val="%1."/>
      <w:lvlJc w:val="left"/>
      <w:pPr>
        <w:tabs>
          <w:tab w:val="num" w:pos="288"/>
        </w:tabs>
        <w:ind w:left="720" w:hanging="72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DA25E93"/>
    <w:multiLevelType w:val="hybridMultilevel"/>
    <w:tmpl w:val="89C2565E"/>
    <w:lvl w:ilvl="0" w:tplc="C12C69F8">
      <w:start w:val="1"/>
      <w:numFmt w:val="decimal"/>
      <w:lvlText w:val="%1."/>
      <w:lvlJc w:val="left"/>
      <w:pPr>
        <w:tabs>
          <w:tab w:val="num" w:pos="720"/>
        </w:tabs>
        <w:ind w:left="720" w:hanging="360"/>
      </w:pPr>
      <w:rPr>
        <w:rFonts w:cs="Times New Roman"/>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E89033B"/>
    <w:multiLevelType w:val="hybridMultilevel"/>
    <w:tmpl w:val="47A4C836"/>
    <w:lvl w:ilvl="0" w:tplc="0E0C44A2">
      <w:start w:val="1"/>
      <w:numFmt w:val="decimal"/>
      <w:lvlText w:val="%1."/>
      <w:lvlJc w:val="left"/>
      <w:pPr>
        <w:tabs>
          <w:tab w:val="num" w:pos="288"/>
        </w:tabs>
        <w:ind w:left="720" w:hanging="72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EDE24F8"/>
    <w:multiLevelType w:val="hybridMultilevel"/>
    <w:tmpl w:val="EE76C2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2CD3070"/>
    <w:multiLevelType w:val="hybridMultilevel"/>
    <w:tmpl w:val="E4BC9C6E"/>
    <w:lvl w:ilvl="0" w:tplc="BDB8F54E">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385B44A1"/>
    <w:multiLevelType w:val="multilevel"/>
    <w:tmpl w:val="43D6FC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8DC1220"/>
    <w:multiLevelType w:val="hybridMultilevel"/>
    <w:tmpl w:val="3DA42F7A"/>
    <w:lvl w:ilvl="0" w:tplc="0409000F">
      <w:start w:val="1"/>
      <w:numFmt w:val="decimal"/>
      <w:lvlText w:val="%1."/>
      <w:lvlJc w:val="left"/>
      <w:pPr>
        <w:ind w:left="1494" w:hanging="360"/>
      </w:pPr>
      <w:rPr>
        <w:rFonts w:cs="Times New Roman"/>
      </w:rPr>
    </w:lvl>
    <w:lvl w:ilvl="1" w:tplc="04090019">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6">
    <w:nsid w:val="3AD0738D"/>
    <w:multiLevelType w:val="hybridMultilevel"/>
    <w:tmpl w:val="F6ACAF60"/>
    <w:lvl w:ilvl="0" w:tplc="A240055A">
      <w:start w:val="1"/>
      <w:numFmt w:val="decimal"/>
      <w:lvlText w:val="%1."/>
      <w:lvlJc w:val="left"/>
      <w:pPr>
        <w:ind w:left="360" w:hanging="360"/>
      </w:pPr>
      <w:rPr>
        <w:rFonts w:cs="Times New Roman"/>
        <w:b w:val="0"/>
        <w:bCs/>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EBA1827"/>
    <w:multiLevelType w:val="hybridMultilevel"/>
    <w:tmpl w:val="8D8EE68A"/>
    <w:lvl w:ilvl="0" w:tplc="B426A210">
      <w:start w:val="29"/>
      <w:numFmt w:val="decimal"/>
      <w:lvlText w:val="%1"/>
      <w:lvlJc w:val="left"/>
      <w:pPr>
        <w:ind w:left="720" w:hanging="360"/>
      </w:pPr>
      <w:rPr>
        <w:rFonts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073F20"/>
    <w:multiLevelType w:val="hybridMultilevel"/>
    <w:tmpl w:val="E648DF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2E34936"/>
    <w:multiLevelType w:val="hybridMultilevel"/>
    <w:tmpl w:val="5EBE3D82"/>
    <w:lvl w:ilvl="0" w:tplc="0409000F">
      <w:start w:val="1"/>
      <w:numFmt w:val="decimal"/>
      <w:lvlText w:val="%1."/>
      <w:lvlJc w:val="left"/>
      <w:pPr>
        <w:ind w:left="840" w:hanging="360"/>
      </w:pPr>
      <w:rPr>
        <w:rFonts w:cs="Times New Roman"/>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20">
    <w:nsid w:val="4436215F"/>
    <w:multiLevelType w:val="hybridMultilevel"/>
    <w:tmpl w:val="D31C94DC"/>
    <w:lvl w:ilvl="0" w:tplc="C60AF17C">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E21616"/>
    <w:multiLevelType w:val="hybridMultilevel"/>
    <w:tmpl w:val="04BAC022"/>
    <w:lvl w:ilvl="0" w:tplc="BC882432">
      <w:start w:val="1"/>
      <w:numFmt w:val="decimal"/>
      <w:lvlText w:val="%1."/>
      <w:lvlJc w:val="left"/>
      <w:pPr>
        <w:tabs>
          <w:tab w:val="num" w:pos="288"/>
        </w:tabs>
        <w:ind w:left="72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DD77079"/>
    <w:multiLevelType w:val="hybridMultilevel"/>
    <w:tmpl w:val="937A27D6"/>
    <w:lvl w:ilvl="0" w:tplc="0E0C44A2">
      <w:start w:val="1"/>
      <w:numFmt w:val="decimal"/>
      <w:lvlText w:val="%1."/>
      <w:lvlJc w:val="left"/>
      <w:pPr>
        <w:tabs>
          <w:tab w:val="num" w:pos="288"/>
        </w:tabs>
        <w:ind w:left="720" w:hanging="720"/>
      </w:pPr>
      <w:rPr>
        <w:rFonts w:cs="Times New Roman" w:hint="default"/>
        <w:b w:val="0"/>
        <w:b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F1A4DD4"/>
    <w:multiLevelType w:val="hybridMultilevel"/>
    <w:tmpl w:val="4FC22408"/>
    <w:lvl w:ilvl="0" w:tplc="92A67F5E">
      <w:start w:val="1"/>
      <w:numFmt w:val="decimal"/>
      <w:lvlText w:val="%1."/>
      <w:lvlJc w:val="left"/>
      <w:pPr>
        <w:ind w:left="780" w:hanging="360"/>
      </w:pPr>
      <w:rPr>
        <w:rFonts w:cs="Times New Roman" w:hint="default"/>
        <w:b/>
        <w:bCs/>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4">
    <w:nsid w:val="52B81DAE"/>
    <w:multiLevelType w:val="hybridMultilevel"/>
    <w:tmpl w:val="9880DF0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BFD32AD"/>
    <w:multiLevelType w:val="hybridMultilevel"/>
    <w:tmpl w:val="0D724A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707991"/>
    <w:multiLevelType w:val="hybridMultilevel"/>
    <w:tmpl w:val="476C53A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13AFF"/>
    <w:multiLevelType w:val="hybridMultilevel"/>
    <w:tmpl w:val="27D45390"/>
    <w:lvl w:ilvl="0" w:tplc="9BAA43CE">
      <w:start w:val="3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6FE7A88"/>
    <w:multiLevelType w:val="hybridMultilevel"/>
    <w:tmpl w:val="12ACD7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7F2E98"/>
    <w:multiLevelType w:val="hybridMultilevel"/>
    <w:tmpl w:val="7D327E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DC32104"/>
    <w:multiLevelType w:val="hybridMultilevel"/>
    <w:tmpl w:val="881864A4"/>
    <w:lvl w:ilvl="0" w:tplc="49A4948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155437"/>
    <w:multiLevelType w:val="hybridMultilevel"/>
    <w:tmpl w:val="A07C5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275934"/>
    <w:multiLevelType w:val="hybridMultilevel"/>
    <w:tmpl w:val="F00455BA"/>
    <w:lvl w:ilvl="0" w:tplc="D7103EF0">
      <w:start w:val="29"/>
      <w:numFmt w:val="decimal"/>
      <w:lvlText w:val="%1."/>
      <w:lvlJc w:val="left"/>
      <w:pPr>
        <w:tabs>
          <w:tab w:val="num" w:pos="288"/>
        </w:tabs>
        <w:ind w:left="720" w:hanging="72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5"/>
  </w:num>
  <w:num w:numId="4">
    <w:abstractNumId w:val="19"/>
  </w:num>
  <w:num w:numId="5">
    <w:abstractNumId w:val="8"/>
  </w:num>
  <w:num w:numId="6">
    <w:abstractNumId w:val="10"/>
  </w:num>
  <w:num w:numId="7">
    <w:abstractNumId w:val="22"/>
  </w:num>
  <w:num w:numId="8">
    <w:abstractNumId w:val="31"/>
  </w:num>
  <w:num w:numId="9">
    <w:abstractNumId w:val="23"/>
  </w:num>
  <w:num w:numId="10">
    <w:abstractNumId w:val="12"/>
  </w:num>
  <w:num w:numId="11">
    <w:abstractNumId w:val="7"/>
  </w:num>
  <w:num w:numId="12">
    <w:abstractNumId w:val="13"/>
  </w:num>
  <w:num w:numId="13">
    <w:abstractNumId w:val="28"/>
  </w:num>
  <w:num w:numId="14">
    <w:abstractNumId w:val="24"/>
  </w:num>
  <w:num w:numId="15">
    <w:abstractNumId w:val="30"/>
  </w:num>
  <w:num w:numId="16">
    <w:abstractNumId w:val="26"/>
  </w:num>
  <w:num w:numId="17">
    <w:abstractNumId w:val="2"/>
  </w:num>
  <w:num w:numId="18">
    <w:abstractNumId w:val="20"/>
  </w:num>
  <w:num w:numId="19">
    <w:abstractNumId w:val="0"/>
  </w:num>
  <w:num w:numId="20">
    <w:abstractNumId w:val="25"/>
  </w:num>
  <w:num w:numId="21">
    <w:abstractNumId w:val="29"/>
  </w:num>
  <w:num w:numId="22">
    <w:abstractNumId w:val="14"/>
  </w:num>
  <w:num w:numId="23">
    <w:abstractNumId w:val="21"/>
  </w:num>
  <w:num w:numId="24">
    <w:abstractNumId w:val="6"/>
  </w:num>
  <w:num w:numId="25">
    <w:abstractNumId w:val="18"/>
  </w:num>
  <w:num w:numId="26">
    <w:abstractNumId w:val="11"/>
  </w:num>
  <w:num w:numId="27">
    <w:abstractNumId w:val="3"/>
  </w:num>
  <w:num w:numId="28">
    <w:abstractNumId w:val="17"/>
  </w:num>
  <w:num w:numId="29">
    <w:abstractNumId w:val="32"/>
  </w:num>
  <w:num w:numId="30">
    <w:abstractNumId w:val="9"/>
  </w:num>
  <w:num w:numId="31">
    <w:abstractNumId w:val="16"/>
  </w:num>
  <w:num w:numId="32">
    <w:abstractNumId w:val="27"/>
  </w:num>
  <w:num w:numId="3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02"/>
    <w:rsid w:val="00001A17"/>
    <w:rsid w:val="00003B63"/>
    <w:rsid w:val="000050B8"/>
    <w:rsid w:val="00005BE0"/>
    <w:rsid w:val="00005E7E"/>
    <w:rsid w:val="00005EA4"/>
    <w:rsid w:val="000073A6"/>
    <w:rsid w:val="00010A4B"/>
    <w:rsid w:val="000117C2"/>
    <w:rsid w:val="000125F8"/>
    <w:rsid w:val="00012E9F"/>
    <w:rsid w:val="000143E2"/>
    <w:rsid w:val="00017601"/>
    <w:rsid w:val="000205BF"/>
    <w:rsid w:val="00025E5E"/>
    <w:rsid w:val="00025FE8"/>
    <w:rsid w:val="00026385"/>
    <w:rsid w:val="000265F0"/>
    <w:rsid w:val="0003065D"/>
    <w:rsid w:val="000339DC"/>
    <w:rsid w:val="00033F79"/>
    <w:rsid w:val="000357D6"/>
    <w:rsid w:val="00041146"/>
    <w:rsid w:val="00041555"/>
    <w:rsid w:val="00041764"/>
    <w:rsid w:val="00042E46"/>
    <w:rsid w:val="00044015"/>
    <w:rsid w:val="00044A9D"/>
    <w:rsid w:val="000472BE"/>
    <w:rsid w:val="00047490"/>
    <w:rsid w:val="0005289B"/>
    <w:rsid w:val="0006145F"/>
    <w:rsid w:val="00065594"/>
    <w:rsid w:val="00067CDD"/>
    <w:rsid w:val="000704BA"/>
    <w:rsid w:val="00076CDB"/>
    <w:rsid w:val="000845E5"/>
    <w:rsid w:val="00084E37"/>
    <w:rsid w:val="0008513B"/>
    <w:rsid w:val="0008551D"/>
    <w:rsid w:val="00085D05"/>
    <w:rsid w:val="000867A4"/>
    <w:rsid w:val="000A04BD"/>
    <w:rsid w:val="000A17F9"/>
    <w:rsid w:val="000A237F"/>
    <w:rsid w:val="000A4C48"/>
    <w:rsid w:val="000A76EC"/>
    <w:rsid w:val="000B0162"/>
    <w:rsid w:val="000B1373"/>
    <w:rsid w:val="000B2E3C"/>
    <w:rsid w:val="000B3EB3"/>
    <w:rsid w:val="000B4A21"/>
    <w:rsid w:val="000B6ACD"/>
    <w:rsid w:val="000B7344"/>
    <w:rsid w:val="000C068E"/>
    <w:rsid w:val="000C1E63"/>
    <w:rsid w:val="000C24EC"/>
    <w:rsid w:val="000C2B3C"/>
    <w:rsid w:val="000D03B7"/>
    <w:rsid w:val="000D5B14"/>
    <w:rsid w:val="000D6DF1"/>
    <w:rsid w:val="000E0B45"/>
    <w:rsid w:val="000E1596"/>
    <w:rsid w:val="000E2B42"/>
    <w:rsid w:val="000E40FE"/>
    <w:rsid w:val="000E4D0B"/>
    <w:rsid w:val="000E506E"/>
    <w:rsid w:val="000E6151"/>
    <w:rsid w:val="000E6D1E"/>
    <w:rsid w:val="000E7F60"/>
    <w:rsid w:val="000F2747"/>
    <w:rsid w:val="000F2A4F"/>
    <w:rsid w:val="000F3EC4"/>
    <w:rsid w:val="000F688E"/>
    <w:rsid w:val="000F73B7"/>
    <w:rsid w:val="00100B5A"/>
    <w:rsid w:val="00113CA5"/>
    <w:rsid w:val="00121A53"/>
    <w:rsid w:val="001227CD"/>
    <w:rsid w:val="00127AC7"/>
    <w:rsid w:val="001311EB"/>
    <w:rsid w:val="00133976"/>
    <w:rsid w:val="00134110"/>
    <w:rsid w:val="0013784C"/>
    <w:rsid w:val="00140BC3"/>
    <w:rsid w:val="001431F7"/>
    <w:rsid w:val="00150DB3"/>
    <w:rsid w:val="001515BA"/>
    <w:rsid w:val="00151B21"/>
    <w:rsid w:val="001546A0"/>
    <w:rsid w:val="00155DAD"/>
    <w:rsid w:val="001656D1"/>
    <w:rsid w:val="00166532"/>
    <w:rsid w:val="00166BA3"/>
    <w:rsid w:val="0016701C"/>
    <w:rsid w:val="00170CDF"/>
    <w:rsid w:val="00172A2D"/>
    <w:rsid w:val="00173DCF"/>
    <w:rsid w:val="00175ADC"/>
    <w:rsid w:val="00176AD4"/>
    <w:rsid w:val="00186FC8"/>
    <w:rsid w:val="00187829"/>
    <w:rsid w:val="001902D7"/>
    <w:rsid w:val="00193D5B"/>
    <w:rsid w:val="001A0808"/>
    <w:rsid w:val="001A4CE1"/>
    <w:rsid w:val="001A5057"/>
    <w:rsid w:val="001A6670"/>
    <w:rsid w:val="001B385E"/>
    <w:rsid w:val="001B580E"/>
    <w:rsid w:val="001B63FC"/>
    <w:rsid w:val="001B6BC4"/>
    <w:rsid w:val="001B7D25"/>
    <w:rsid w:val="001C1C0D"/>
    <w:rsid w:val="001C1CFA"/>
    <w:rsid w:val="001C2DFC"/>
    <w:rsid w:val="001C30CB"/>
    <w:rsid w:val="001C4D51"/>
    <w:rsid w:val="001C6A74"/>
    <w:rsid w:val="001C7145"/>
    <w:rsid w:val="001C7B1A"/>
    <w:rsid w:val="001D0697"/>
    <w:rsid w:val="001D06AC"/>
    <w:rsid w:val="001D14D2"/>
    <w:rsid w:val="001D73CE"/>
    <w:rsid w:val="001E0EFE"/>
    <w:rsid w:val="001E127B"/>
    <w:rsid w:val="001E24E1"/>
    <w:rsid w:val="001E34D3"/>
    <w:rsid w:val="001E3B0F"/>
    <w:rsid w:val="001E3E15"/>
    <w:rsid w:val="001E3E70"/>
    <w:rsid w:val="001E72FB"/>
    <w:rsid w:val="001F0595"/>
    <w:rsid w:val="001F6A30"/>
    <w:rsid w:val="001F755B"/>
    <w:rsid w:val="00200983"/>
    <w:rsid w:val="00200B66"/>
    <w:rsid w:val="00200BE2"/>
    <w:rsid w:val="00200CD6"/>
    <w:rsid w:val="00203048"/>
    <w:rsid w:val="00204001"/>
    <w:rsid w:val="00204B57"/>
    <w:rsid w:val="002054DA"/>
    <w:rsid w:val="00211731"/>
    <w:rsid w:val="00212827"/>
    <w:rsid w:val="0021456C"/>
    <w:rsid w:val="0021494B"/>
    <w:rsid w:val="00221654"/>
    <w:rsid w:val="002235A8"/>
    <w:rsid w:val="00223AA1"/>
    <w:rsid w:val="00225EB4"/>
    <w:rsid w:val="00230B92"/>
    <w:rsid w:val="002310F4"/>
    <w:rsid w:val="00232946"/>
    <w:rsid w:val="00232BC7"/>
    <w:rsid w:val="002339B6"/>
    <w:rsid w:val="00233B87"/>
    <w:rsid w:val="00233F40"/>
    <w:rsid w:val="00234DE0"/>
    <w:rsid w:val="002423B4"/>
    <w:rsid w:val="00244A9E"/>
    <w:rsid w:val="0024535C"/>
    <w:rsid w:val="00245660"/>
    <w:rsid w:val="00245BD5"/>
    <w:rsid w:val="00247535"/>
    <w:rsid w:val="00247C4E"/>
    <w:rsid w:val="00252862"/>
    <w:rsid w:val="002531A5"/>
    <w:rsid w:val="002550F7"/>
    <w:rsid w:val="0025530B"/>
    <w:rsid w:val="0025549B"/>
    <w:rsid w:val="00261BC3"/>
    <w:rsid w:val="00262BF2"/>
    <w:rsid w:val="002632E4"/>
    <w:rsid w:val="00265FBF"/>
    <w:rsid w:val="0027388F"/>
    <w:rsid w:val="00277438"/>
    <w:rsid w:val="002777C1"/>
    <w:rsid w:val="00277E27"/>
    <w:rsid w:val="00280B85"/>
    <w:rsid w:val="00281710"/>
    <w:rsid w:val="002A148D"/>
    <w:rsid w:val="002A194F"/>
    <w:rsid w:val="002A2A11"/>
    <w:rsid w:val="002A7286"/>
    <w:rsid w:val="002B13F4"/>
    <w:rsid w:val="002B3398"/>
    <w:rsid w:val="002B3A76"/>
    <w:rsid w:val="002B4892"/>
    <w:rsid w:val="002B7480"/>
    <w:rsid w:val="002C1689"/>
    <w:rsid w:val="002C4039"/>
    <w:rsid w:val="002D0743"/>
    <w:rsid w:val="002D13B1"/>
    <w:rsid w:val="002D17EE"/>
    <w:rsid w:val="002D1966"/>
    <w:rsid w:val="002D218B"/>
    <w:rsid w:val="002D31D0"/>
    <w:rsid w:val="002D4829"/>
    <w:rsid w:val="002E1B9D"/>
    <w:rsid w:val="002E7E79"/>
    <w:rsid w:val="002F45B4"/>
    <w:rsid w:val="002F4FE7"/>
    <w:rsid w:val="002F506A"/>
    <w:rsid w:val="002F50CC"/>
    <w:rsid w:val="002F5785"/>
    <w:rsid w:val="003032F6"/>
    <w:rsid w:val="00304353"/>
    <w:rsid w:val="00304CB3"/>
    <w:rsid w:val="003058A5"/>
    <w:rsid w:val="00305C6C"/>
    <w:rsid w:val="00306861"/>
    <w:rsid w:val="00306AFE"/>
    <w:rsid w:val="0031178C"/>
    <w:rsid w:val="00312E62"/>
    <w:rsid w:val="00314C6E"/>
    <w:rsid w:val="003171F8"/>
    <w:rsid w:val="00317929"/>
    <w:rsid w:val="00320558"/>
    <w:rsid w:val="00323024"/>
    <w:rsid w:val="003234AF"/>
    <w:rsid w:val="00324583"/>
    <w:rsid w:val="00324D6F"/>
    <w:rsid w:val="00326C86"/>
    <w:rsid w:val="00334287"/>
    <w:rsid w:val="003414DE"/>
    <w:rsid w:val="003420D6"/>
    <w:rsid w:val="00350F6D"/>
    <w:rsid w:val="00354318"/>
    <w:rsid w:val="00354DA8"/>
    <w:rsid w:val="0036050B"/>
    <w:rsid w:val="0037019B"/>
    <w:rsid w:val="00370BF7"/>
    <w:rsid w:val="00375AFC"/>
    <w:rsid w:val="00375DB2"/>
    <w:rsid w:val="00376FE9"/>
    <w:rsid w:val="00380200"/>
    <w:rsid w:val="00381487"/>
    <w:rsid w:val="0038323A"/>
    <w:rsid w:val="00383C98"/>
    <w:rsid w:val="00387F98"/>
    <w:rsid w:val="00391B7A"/>
    <w:rsid w:val="00392F87"/>
    <w:rsid w:val="0039318C"/>
    <w:rsid w:val="003A546D"/>
    <w:rsid w:val="003A611C"/>
    <w:rsid w:val="003B393A"/>
    <w:rsid w:val="003B3B0E"/>
    <w:rsid w:val="003B4C99"/>
    <w:rsid w:val="003C0AF7"/>
    <w:rsid w:val="003C116D"/>
    <w:rsid w:val="003C35D4"/>
    <w:rsid w:val="003C35FB"/>
    <w:rsid w:val="003D2A45"/>
    <w:rsid w:val="003D4E82"/>
    <w:rsid w:val="003D66BB"/>
    <w:rsid w:val="003D7E91"/>
    <w:rsid w:val="003D7F1C"/>
    <w:rsid w:val="003E03FC"/>
    <w:rsid w:val="003E0C22"/>
    <w:rsid w:val="003E2F7E"/>
    <w:rsid w:val="003E3330"/>
    <w:rsid w:val="003E3E07"/>
    <w:rsid w:val="003F05E5"/>
    <w:rsid w:val="003F0FF1"/>
    <w:rsid w:val="003F5F73"/>
    <w:rsid w:val="0040086B"/>
    <w:rsid w:val="0040133E"/>
    <w:rsid w:val="00403EBF"/>
    <w:rsid w:val="00404EB3"/>
    <w:rsid w:val="0040591B"/>
    <w:rsid w:val="0041505F"/>
    <w:rsid w:val="00415276"/>
    <w:rsid w:val="004159AB"/>
    <w:rsid w:val="00416AF7"/>
    <w:rsid w:val="00425486"/>
    <w:rsid w:val="00430E20"/>
    <w:rsid w:val="00431F0D"/>
    <w:rsid w:val="004343A3"/>
    <w:rsid w:val="004353E1"/>
    <w:rsid w:val="00436418"/>
    <w:rsid w:val="00440EBD"/>
    <w:rsid w:val="0044100E"/>
    <w:rsid w:val="004430F0"/>
    <w:rsid w:val="00445778"/>
    <w:rsid w:val="00446740"/>
    <w:rsid w:val="004469B9"/>
    <w:rsid w:val="00451222"/>
    <w:rsid w:val="00452835"/>
    <w:rsid w:val="00453D96"/>
    <w:rsid w:val="00455360"/>
    <w:rsid w:val="0046032B"/>
    <w:rsid w:val="00460B08"/>
    <w:rsid w:val="004631B7"/>
    <w:rsid w:val="004649BE"/>
    <w:rsid w:val="00465555"/>
    <w:rsid w:val="00470BBF"/>
    <w:rsid w:val="00473F43"/>
    <w:rsid w:val="00474088"/>
    <w:rsid w:val="0047673A"/>
    <w:rsid w:val="00476778"/>
    <w:rsid w:val="0047761C"/>
    <w:rsid w:val="00477A54"/>
    <w:rsid w:val="00480D4D"/>
    <w:rsid w:val="0048526C"/>
    <w:rsid w:val="00494E82"/>
    <w:rsid w:val="004951EA"/>
    <w:rsid w:val="00497F57"/>
    <w:rsid w:val="004A46A7"/>
    <w:rsid w:val="004A6227"/>
    <w:rsid w:val="004A73F7"/>
    <w:rsid w:val="004A7DF6"/>
    <w:rsid w:val="004B29C6"/>
    <w:rsid w:val="004B334D"/>
    <w:rsid w:val="004B4D5D"/>
    <w:rsid w:val="004B7D9B"/>
    <w:rsid w:val="004C00F8"/>
    <w:rsid w:val="004C19A7"/>
    <w:rsid w:val="004C332B"/>
    <w:rsid w:val="004C356F"/>
    <w:rsid w:val="004C4668"/>
    <w:rsid w:val="004C7BDB"/>
    <w:rsid w:val="004C7C75"/>
    <w:rsid w:val="004D0EED"/>
    <w:rsid w:val="004D2FF5"/>
    <w:rsid w:val="004D56B6"/>
    <w:rsid w:val="004D7F4C"/>
    <w:rsid w:val="004E1D6E"/>
    <w:rsid w:val="004E6DC7"/>
    <w:rsid w:val="004F3E68"/>
    <w:rsid w:val="004F3EDC"/>
    <w:rsid w:val="00500C68"/>
    <w:rsid w:val="00500EA1"/>
    <w:rsid w:val="00504DA0"/>
    <w:rsid w:val="00507831"/>
    <w:rsid w:val="00521A39"/>
    <w:rsid w:val="00523D42"/>
    <w:rsid w:val="00523D8F"/>
    <w:rsid w:val="00523F42"/>
    <w:rsid w:val="005250D4"/>
    <w:rsid w:val="005266AA"/>
    <w:rsid w:val="00527B89"/>
    <w:rsid w:val="005336AA"/>
    <w:rsid w:val="005350B7"/>
    <w:rsid w:val="005359FB"/>
    <w:rsid w:val="00535C37"/>
    <w:rsid w:val="00540402"/>
    <w:rsid w:val="005448F9"/>
    <w:rsid w:val="0054677D"/>
    <w:rsid w:val="00554C8A"/>
    <w:rsid w:val="0055508B"/>
    <w:rsid w:val="00555782"/>
    <w:rsid w:val="00556977"/>
    <w:rsid w:val="005571A2"/>
    <w:rsid w:val="005571B6"/>
    <w:rsid w:val="00560DE5"/>
    <w:rsid w:val="00564255"/>
    <w:rsid w:val="00575D7F"/>
    <w:rsid w:val="0057700F"/>
    <w:rsid w:val="00577198"/>
    <w:rsid w:val="0058029D"/>
    <w:rsid w:val="005861BD"/>
    <w:rsid w:val="005872A7"/>
    <w:rsid w:val="005919DC"/>
    <w:rsid w:val="0059355F"/>
    <w:rsid w:val="00594683"/>
    <w:rsid w:val="005949D7"/>
    <w:rsid w:val="005955C9"/>
    <w:rsid w:val="00597100"/>
    <w:rsid w:val="005A0015"/>
    <w:rsid w:val="005A3BA0"/>
    <w:rsid w:val="005A3D31"/>
    <w:rsid w:val="005A3E57"/>
    <w:rsid w:val="005A3EE8"/>
    <w:rsid w:val="005A6A04"/>
    <w:rsid w:val="005A75C6"/>
    <w:rsid w:val="005B10C6"/>
    <w:rsid w:val="005B2902"/>
    <w:rsid w:val="005B379D"/>
    <w:rsid w:val="005B7143"/>
    <w:rsid w:val="005C054E"/>
    <w:rsid w:val="005C0EE1"/>
    <w:rsid w:val="005C10BB"/>
    <w:rsid w:val="005C3D6A"/>
    <w:rsid w:val="005C4D5E"/>
    <w:rsid w:val="005C7EE3"/>
    <w:rsid w:val="005D0093"/>
    <w:rsid w:val="005D0CB3"/>
    <w:rsid w:val="005D2402"/>
    <w:rsid w:val="005D422F"/>
    <w:rsid w:val="005D7351"/>
    <w:rsid w:val="005E1386"/>
    <w:rsid w:val="005E14E6"/>
    <w:rsid w:val="005E1DA2"/>
    <w:rsid w:val="005E246F"/>
    <w:rsid w:val="005E38C7"/>
    <w:rsid w:val="005E4DB6"/>
    <w:rsid w:val="005E5861"/>
    <w:rsid w:val="005E72A7"/>
    <w:rsid w:val="005F039C"/>
    <w:rsid w:val="005F07F0"/>
    <w:rsid w:val="005F1268"/>
    <w:rsid w:val="005F2092"/>
    <w:rsid w:val="005F5831"/>
    <w:rsid w:val="00600FC2"/>
    <w:rsid w:val="00605DA2"/>
    <w:rsid w:val="00606BDD"/>
    <w:rsid w:val="00610470"/>
    <w:rsid w:val="006120BB"/>
    <w:rsid w:val="006154DA"/>
    <w:rsid w:val="006169D7"/>
    <w:rsid w:val="00616A54"/>
    <w:rsid w:val="00625544"/>
    <w:rsid w:val="0063237F"/>
    <w:rsid w:val="0063583F"/>
    <w:rsid w:val="006365C7"/>
    <w:rsid w:val="006371F9"/>
    <w:rsid w:val="00637E47"/>
    <w:rsid w:val="00644D65"/>
    <w:rsid w:val="00646944"/>
    <w:rsid w:val="0064797B"/>
    <w:rsid w:val="00650066"/>
    <w:rsid w:val="006501D9"/>
    <w:rsid w:val="006521B8"/>
    <w:rsid w:val="00653FE5"/>
    <w:rsid w:val="00660976"/>
    <w:rsid w:val="006610BD"/>
    <w:rsid w:val="006627EF"/>
    <w:rsid w:val="00662B9C"/>
    <w:rsid w:val="00664DCE"/>
    <w:rsid w:val="00670F23"/>
    <w:rsid w:val="00671A66"/>
    <w:rsid w:val="0067358C"/>
    <w:rsid w:val="00673A62"/>
    <w:rsid w:val="00675B29"/>
    <w:rsid w:val="00676E8A"/>
    <w:rsid w:val="00681030"/>
    <w:rsid w:val="00690445"/>
    <w:rsid w:val="00692898"/>
    <w:rsid w:val="00694686"/>
    <w:rsid w:val="0069483A"/>
    <w:rsid w:val="006952C9"/>
    <w:rsid w:val="00695731"/>
    <w:rsid w:val="006A01BB"/>
    <w:rsid w:val="006A60CC"/>
    <w:rsid w:val="006B00C7"/>
    <w:rsid w:val="006B187F"/>
    <w:rsid w:val="006B2B7F"/>
    <w:rsid w:val="006B704D"/>
    <w:rsid w:val="006B7D4E"/>
    <w:rsid w:val="006C036F"/>
    <w:rsid w:val="006D0C78"/>
    <w:rsid w:val="006D394E"/>
    <w:rsid w:val="006D4CD3"/>
    <w:rsid w:val="006D6155"/>
    <w:rsid w:val="006D70AF"/>
    <w:rsid w:val="006D7480"/>
    <w:rsid w:val="006E0458"/>
    <w:rsid w:val="006E0FB9"/>
    <w:rsid w:val="006E6698"/>
    <w:rsid w:val="006F3401"/>
    <w:rsid w:val="006F34ED"/>
    <w:rsid w:val="006F58D5"/>
    <w:rsid w:val="006F72A9"/>
    <w:rsid w:val="00700954"/>
    <w:rsid w:val="00704467"/>
    <w:rsid w:val="007060A1"/>
    <w:rsid w:val="00706BBF"/>
    <w:rsid w:val="00707493"/>
    <w:rsid w:val="007157DA"/>
    <w:rsid w:val="00722CB5"/>
    <w:rsid w:val="007240E4"/>
    <w:rsid w:val="007308E6"/>
    <w:rsid w:val="00734A76"/>
    <w:rsid w:val="007350B2"/>
    <w:rsid w:val="00736504"/>
    <w:rsid w:val="00736E12"/>
    <w:rsid w:val="00737F6D"/>
    <w:rsid w:val="00745E95"/>
    <w:rsid w:val="00746306"/>
    <w:rsid w:val="00750732"/>
    <w:rsid w:val="00755A14"/>
    <w:rsid w:val="007569AB"/>
    <w:rsid w:val="007613D4"/>
    <w:rsid w:val="00761901"/>
    <w:rsid w:val="00764A04"/>
    <w:rsid w:val="007664A6"/>
    <w:rsid w:val="0077145D"/>
    <w:rsid w:val="00775721"/>
    <w:rsid w:val="0077645F"/>
    <w:rsid w:val="007766F3"/>
    <w:rsid w:val="00777117"/>
    <w:rsid w:val="007803D6"/>
    <w:rsid w:val="00780BA1"/>
    <w:rsid w:val="0078256B"/>
    <w:rsid w:val="0078276F"/>
    <w:rsid w:val="0078401C"/>
    <w:rsid w:val="0078520F"/>
    <w:rsid w:val="00786F90"/>
    <w:rsid w:val="007870FB"/>
    <w:rsid w:val="007911B1"/>
    <w:rsid w:val="0079141B"/>
    <w:rsid w:val="007921E8"/>
    <w:rsid w:val="00794FBC"/>
    <w:rsid w:val="00797578"/>
    <w:rsid w:val="007A0229"/>
    <w:rsid w:val="007A1511"/>
    <w:rsid w:val="007A1F2E"/>
    <w:rsid w:val="007A264B"/>
    <w:rsid w:val="007A2EBD"/>
    <w:rsid w:val="007A3FF5"/>
    <w:rsid w:val="007A66CB"/>
    <w:rsid w:val="007B48D1"/>
    <w:rsid w:val="007B5EC9"/>
    <w:rsid w:val="007B7222"/>
    <w:rsid w:val="007B7276"/>
    <w:rsid w:val="007C04DD"/>
    <w:rsid w:val="007C2C8F"/>
    <w:rsid w:val="007C3714"/>
    <w:rsid w:val="007C57A8"/>
    <w:rsid w:val="007D12A3"/>
    <w:rsid w:val="007E0340"/>
    <w:rsid w:val="007E2AD4"/>
    <w:rsid w:val="007E470C"/>
    <w:rsid w:val="007E6693"/>
    <w:rsid w:val="007E68F8"/>
    <w:rsid w:val="007F224F"/>
    <w:rsid w:val="007F3BAB"/>
    <w:rsid w:val="007F4272"/>
    <w:rsid w:val="007F4328"/>
    <w:rsid w:val="007F5405"/>
    <w:rsid w:val="007F6DDE"/>
    <w:rsid w:val="00804158"/>
    <w:rsid w:val="008071F6"/>
    <w:rsid w:val="00811B34"/>
    <w:rsid w:val="008124FE"/>
    <w:rsid w:val="00812511"/>
    <w:rsid w:val="00812AEE"/>
    <w:rsid w:val="00812F51"/>
    <w:rsid w:val="00813870"/>
    <w:rsid w:val="00813D69"/>
    <w:rsid w:val="00813DD6"/>
    <w:rsid w:val="008238AA"/>
    <w:rsid w:val="00825542"/>
    <w:rsid w:val="008273A0"/>
    <w:rsid w:val="00830337"/>
    <w:rsid w:val="00830A5D"/>
    <w:rsid w:val="00834112"/>
    <w:rsid w:val="00843229"/>
    <w:rsid w:val="0084391A"/>
    <w:rsid w:val="008473EA"/>
    <w:rsid w:val="00851786"/>
    <w:rsid w:val="00851C91"/>
    <w:rsid w:val="008554C6"/>
    <w:rsid w:val="00857730"/>
    <w:rsid w:val="00860870"/>
    <w:rsid w:val="0086146E"/>
    <w:rsid w:val="00862189"/>
    <w:rsid w:val="00862C19"/>
    <w:rsid w:val="00864FE8"/>
    <w:rsid w:val="00865AC0"/>
    <w:rsid w:val="00867473"/>
    <w:rsid w:val="00867DD9"/>
    <w:rsid w:val="00872146"/>
    <w:rsid w:val="00872EEB"/>
    <w:rsid w:val="00883369"/>
    <w:rsid w:val="008854F1"/>
    <w:rsid w:val="008858F2"/>
    <w:rsid w:val="008903A1"/>
    <w:rsid w:val="0089453A"/>
    <w:rsid w:val="00895349"/>
    <w:rsid w:val="00897BE7"/>
    <w:rsid w:val="008A328E"/>
    <w:rsid w:val="008A3331"/>
    <w:rsid w:val="008A435A"/>
    <w:rsid w:val="008A4A26"/>
    <w:rsid w:val="008A675A"/>
    <w:rsid w:val="008A75C3"/>
    <w:rsid w:val="008B3298"/>
    <w:rsid w:val="008B3B9D"/>
    <w:rsid w:val="008B4348"/>
    <w:rsid w:val="008B7199"/>
    <w:rsid w:val="008B7939"/>
    <w:rsid w:val="008C29D5"/>
    <w:rsid w:val="008C6C2F"/>
    <w:rsid w:val="008C742D"/>
    <w:rsid w:val="008D3296"/>
    <w:rsid w:val="008D7F90"/>
    <w:rsid w:val="008E65CF"/>
    <w:rsid w:val="008F070E"/>
    <w:rsid w:val="008F605B"/>
    <w:rsid w:val="008F7DAA"/>
    <w:rsid w:val="00902834"/>
    <w:rsid w:val="009034CF"/>
    <w:rsid w:val="00907CA2"/>
    <w:rsid w:val="00915CB6"/>
    <w:rsid w:val="00917C08"/>
    <w:rsid w:val="0092136B"/>
    <w:rsid w:val="009250AF"/>
    <w:rsid w:val="00931481"/>
    <w:rsid w:val="00932ED3"/>
    <w:rsid w:val="00934157"/>
    <w:rsid w:val="00941F07"/>
    <w:rsid w:val="009429B9"/>
    <w:rsid w:val="00944255"/>
    <w:rsid w:val="0094630F"/>
    <w:rsid w:val="00946455"/>
    <w:rsid w:val="00947D2D"/>
    <w:rsid w:val="009501E7"/>
    <w:rsid w:val="00950AA3"/>
    <w:rsid w:val="009514D8"/>
    <w:rsid w:val="0095237A"/>
    <w:rsid w:val="009530DD"/>
    <w:rsid w:val="0095487F"/>
    <w:rsid w:val="00956E5E"/>
    <w:rsid w:val="00957E6D"/>
    <w:rsid w:val="00962DFE"/>
    <w:rsid w:val="009631CD"/>
    <w:rsid w:val="00963924"/>
    <w:rsid w:val="00963E08"/>
    <w:rsid w:val="00963E32"/>
    <w:rsid w:val="00964D62"/>
    <w:rsid w:val="00965BCF"/>
    <w:rsid w:val="0097080C"/>
    <w:rsid w:val="009715CB"/>
    <w:rsid w:val="00971B7F"/>
    <w:rsid w:val="009757B0"/>
    <w:rsid w:val="0097775F"/>
    <w:rsid w:val="00977A67"/>
    <w:rsid w:val="00977BC8"/>
    <w:rsid w:val="0098290F"/>
    <w:rsid w:val="00982AE8"/>
    <w:rsid w:val="00984A5B"/>
    <w:rsid w:val="00986770"/>
    <w:rsid w:val="0098799B"/>
    <w:rsid w:val="00987B04"/>
    <w:rsid w:val="00987B94"/>
    <w:rsid w:val="0099066A"/>
    <w:rsid w:val="00990CE6"/>
    <w:rsid w:val="009914D2"/>
    <w:rsid w:val="00991DA9"/>
    <w:rsid w:val="00991FE9"/>
    <w:rsid w:val="00996860"/>
    <w:rsid w:val="009A190E"/>
    <w:rsid w:val="009A5FD6"/>
    <w:rsid w:val="009A6509"/>
    <w:rsid w:val="009B18F4"/>
    <w:rsid w:val="009B1CEC"/>
    <w:rsid w:val="009B3D1A"/>
    <w:rsid w:val="009B3F5D"/>
    <w:rsid w:val="009B6F81"/>
    <w:rsid w:val="009C011E"/>
    <w:rsid w:val="009C068F"/>
    <w:rsid w:val="009C2ED1"/>
    <w:rsid w:val="009D194E"/>
    <w:rsid w:val="009D2B02"/>
    <w:rsid w:val="009D5252"/>
    <w:rsid w:val="009E1D76"/>
    <w:rsid w:val="009E2155"/>
    <w:rsid w:val="009E6AC1"/>
    <w:rsid w:val="009F1780"/>
    <w:rsid w:val="009F2E49"/>
    <w:rsid w:val="009F334E"/>
    <w:rsid w:val="009F37E1"/>
    <w:rsid w:val="009F41E3"/>
    <w:rsid w:val="009F48B1"/>
    <w:rsid w:val="009F627D"/>
    <w:rsid w:val="00A0209A"/>
    <w:rsid w:val="00A029A2"/>
    <w:rsid w:val="00A0380B"/>
    <w:rsid w:val="00A05C80"/>
    <w:rsid w:val="00A072F1"/>
    <w:rsid w:val="00A0783A"/>
    <w:rsid w:val="00A104F1"/>
    <w:rsid w:val="00A1059A"/>
    <w:rsid w:val="00A1063F"/>
    <w:rsid w:val="00A111F7"/>
    <w:rsid w:val="00A112E7"/>
    <w:rsid w:val="00A134DD"/>
    <w:rsid w:val="00A15703"/>
    <w:rsid w:val="00A20643"/>
    <w:rsid w:val="00A27219"/>
    <w:rsid w:val="00A33B4E"/>
    <w:rsid w:val="00A3713C"/>
    <w:rsid w:val="00A41417"/>
    <w:rsid w:val="00A436A2"/>
    <w:rsid w:val="00A4558F"/>
    <w:rsid w:val="00A4738B"/>
    <w:rsid w:val="00A47BFC"/>
    <w:rsid w:val="00A5054E"/>
    <w:rsid w:val="00A505A6"/>
    <w:rsid w:val="00A56C15"/>
    <w:rsid w:val="00A6113E"/>
    <w:rsid w:val="00A6667A"/>
    <w:rsid w:val="00A6750E"/>
    <w:rsid w:val="00A67615"/>
    <w:rsid w:val="00A715FC"/>
    <w:rsid w:val="00A71BF3"/>
    <w:rsid w:val="00A72D8B"/>
    <w:rsid w:val="00A73237"/>
    <w:rsid w:val="00A7662E"/>
    <w:rsid w:val="00A76F05"/>
    <w:rsid w:val="00A80629"/>
    <w:rsid w:val="00A830DF"/>
    <w:rsid w:val="00A84993"/>
    <w:rsid w:val="00A84F9B"/>
    <w:rsid w:val="00A86BE9"/>
    <w:rsid w:val="00A91D18"/>
    <w:rsid w:val="00A91F84"/>
    <w:rsid w:val="00A91FDF"/>
    <w:rsid w:val="00A91FE4"/>
    <w:rsid w:val="00A93619"/>
    <w:rsid w:val="00A93983"/>
    <w:rsid w:val="00A96F3A"/>
    <w:rsid w:val="00A975F5"/>
    <w:rsid w:val="00A9774C"/>
    <w:rsid w:val="00AA2035"/>
    <w:rsid w:val="00AA33E8"/>
    <w:rsid w:val="00AA6899"/>
    <w:rsid w:val="00AA74C6"/>
    <w:rsid w:val="00AB0008"/>
    <w:rsid w:val="00AB2D5C"/>
    <w:rsid w:val="00AB4A8C"/>
    <w:rsid w:val="00AB4C38"/>
    <w:rsid w:val="00AC21C1"/>
    <w:rsid w:val="00AC35BA"/>
    <w:rsid w:val="00AC362E"/>
    <w:rsid w:val="00AC58B2"/>
    <w:rsid w:val="00AC689D"/>
    <w:rsid w:val="00AC6D80"/>
    <w:rsid w:val="00AD1ACC"/>
    <w:rsid w:val="00AD2A50"/>
    <w:rsid w:val="00AD3E49"/>
    <w:rsid w:val="00AD3E92"/>
    <w:rsid w:val="00AD7872"/>
    <w:rsid w:val="00AE1E3D"/>
    <w:rsid w:val="00AE28E9"/>
    <w:rsid w:val="00AE4F8E"/>
    <w:rsid w:val="00AE5273"/>
    <w:rsid w:val="00AF0079"/>
    <w:rsid w:val="00AF1DE5"/>
    <w:rsid w:val="00AF4EFD"/>
    <w:rsid w:val="00AF52FB"/>
    <w:rsid w:val="00AF5FD6"/>
    <w:rsid w:val="00AF6D50"/>
    <w:rsid w:val="00B00CBE"/>
    <w:rsid w:val="00B00DD9"/>
    <w:rsid w:val="00B03522"/>
    <w:rsid w:val="00B03552"/>
    <w:rsid w:val="00B04960"/>
    <w:rsid w:val="00B06489"/>
    <w:rsid w:val="00B067FE"/>
    <w:rsid w:val="00B06B67"/>
    <w:rsid w:val="00B06D1D"/>
    <w:rsid w:val="00B115F7"/>
    <w:rsid w:val="00B11C46"/>
    <w:rsid w:val="00B11C49"/>
    <w:rsid w:val="00B1395F"/>
    <w:rsid w:val="00B15B94"/>
    <w:rsid w:val="00B21770"/>
    <w:rsid w:val="00B234EC"/>
    <w:rsid w:val="00B2372E"/>
    <w:rsid w:val="00B26F41"/>
    <w:rsid w:val="00B27289"/>
    <w:rsid w:val="00B336AB"/>
    <w:rsid w:val="00B3682F"/>
    <w:rsid w:val="00B36BE3"/>
    <w:rsid w:val="00B37254"/>
    <w:rsid w:val="00B40757"/>
    <w:rsid w:val="00B4253A"/>
    <w:rsid w:val="00B4318C"/>
    <w:rsid w:val="00B444A7"/>
    <w:rsid w:val="00B464F4"/>
    <w:rsid w:val="00B46627"/>
    <w:rsid w:val="00B54170"/>
    <w:rsid w:val="00B57A16"/>
    <w:rsid w:val="00B644F1"/>
    <w:rsid w:val="00B64E5F"/>
    <w:rsid w:val="00B66591"/>
    <w:rsid w:val="00B707D4"/>
    <w:rsid w:val="00B70D88"/>
    <w:rsid w:val="00B7355E"/>
    <w:rsid w:val="00B81756"/>
    <w:rsid w:val="00B846F2"/>
    <w:rsid w:val="00B85233"/>
    <w:rsid w:val="00B87A98"/>
    <w:rsid w:val="00B92330"/>
    <w:rsid w:val="00B92D6B"/>
    <w:rsid w:val="00B942F9"/>
    <w:rsid w:val="00B94D00"/>
    <w:rsid w:val="00B95362"/>
    <w:rsid w:val="00BA0DE0"/>
    <w:rsid w:val="00BA20FC"/>
    <w:rsid w:val="00BA4433"/>
    <w:rsid w:val="00BB20AC"/>
    <w:rsid w:val="00BB2154"/>
    <w:rsid w:val="00BC1271"/>
    <w:rsid w:val="00BC4F01"/>
    <w:rsid w:val="00BD644E"/>
    <w:rsid w:val="00BD6AB8"/>
    <w:rsid w:val="00BD71F5"/>
    <w:rsid w:val="00BE0FD3"/>
    <w:rsid w:val="00BE2007"/>
    <w:rsid w:val="00BE3E14"/>
    <w:rsid w:val="00BE4263"/>
    <w:rsid w:val="00BE4B02"/>
    <w:rsid w:val="00BE55E8"/>
    <w:rsid w:val="00BF13A8"/>
    <w:rsid w:val="00BF1878"/>
    <w:rsid w:val="00BF2AEE"/>
    <w:rsid w:val="00BF47B2"/>
    <w:rsid w:val="00BF4AEA"/>
    <w:rsid w:val="00BF68B7"/>
    <w:rsid w:val="00BF6BE1"/>
    <w:rsid w:val="00C03804"/>
    <w:rsid w:val="00C10B65"/>
    <w:rsid w:val="00C12841"/>
    <w:rsid w:val="00C21FD2"/>
    <w:rsid w:val="00C2518A"/>
    <w:rsid w:val="00C26129"/>
    <w:rsid w:val="00C26676"/>
    <w:rsid w:val="00C266AC"/>
    <w:rsid w:val="00C355B2"/>
    <w:rsid w:val="00C365AC"/>
    <w:rsid w:val="00C37229"/>
    <w:rsid w:val="00C40FAA"/>
    <w:rsid w:val="00C4168B"/>
    <w:rsid w:val="00C4218E"/>
    <w:rsid w:val="00C441F7"/>
    <w:rsid w:val="00C44468"/>
    <w:rsid w:val="00C45CFC"/>
    <w:rsid w:val="00C50C0B"/>
    <w:rsid w:val="00C50C0F"/>
    <w:rsid w:val="00C51744"/>
    <w:rsid w:val="00C54E27"/>
    <w:rsid w:val="00C55432"/>
    <w:rsid w:val="00C56DC5"/>
    <w:rsid w:val="00C57E1F"/>
    <w:rsid w:val="00C61B50"/>
    <w:rsid w:val="00C64372"/>
    <w:rsid w:val="00C649C5"/>
    <w:rsid w:val="00C7293A"/>
    <w:rsid w:val="00C734BD"/>
    <w:rsid w:val="00C75C9D"/>
    <w:rsid w:val="00C823C7"/>
    <w:rsid w:val="00C82C3E"/>
    <w:rsid w:val="00C855F3"/>
    <w:rsid w:val="00C9284E"/>
    <w:rsid w:val="00C92BFF"/>
    <w:rsid w:val="00C93C2E"/>
    <w:rsid w:val="00C97DAE"/>
    <w:rsid w:val="00CA0305"/>
    <w:rsid w:val="00CA203C"/>
    <w:rsid w:val="00CA575E"/>
    <w:rsid w:val="00CA593C"/>
    <w:rsid w:val="00CA74C1"/>
    <w:rsid w:val="00CA753D"/>
    <w:rsid w:val="00CA7EE5"/>
    <w:rsid w:val="00CB2B48"/>
    <w:rsid w:val="00CB3819"/>
    <w:rsid w:val="00CB398A"/>
    <w:rsid w:val="00CB6999"/>
    <w:rsid w:val="00CB6D3B"/>
    <w:rsid w:val="00CB70D0"/>
    <w:rsid w:val="00CC23B6"/>
    <w:rsid w:val="00CC33D6"/>
    <w:rsid w:val="00CC357B"/>
    <w:rsid w:val="00CC4AB3"/>
    <w:rsid w:val="00CC4C46"/>
    <w:rsid w:val="00CD10A9"/>
    <w:rsid w:val="00CD13F6"/>
    <w:rsid w:val="00CD167C"/>
    <w:rsid w:val="00CD311B"/>
    <w:rsid w:val="00CE0A2F"/>
    <w:rsid w:val="00CE3757"/>
    <w:rsid w:val="00CE43D5"/>
    <w:rsid w:val="00CE6AF8"/>
    <w:rsid w:val="00CE7F50"/>
    <w:rsid w:val="00CF006E"/>
    <w:rsid w:val="00CF0425"/>
    <w:rsid w:val="00CF17EF"/>
    <w:rsid w:val="00CF1D4C"/>
    <w:rsid w:val="00CF1E90"/>
    <w:rsid w:val="00CF3D9C"/>
    <w:rsid w:val="00CF4FBA"/>
    <w:rsid w:val="00CF559A"/>
    <w:rsid w:val="00CF604B"/>
    <w:rsid w:val="00CF7B86"/>
    <w:rsid w:val="00CF7FC4"/>
    <w:rsid w:val="00D03C10"/>
    <w:rsid w:val="00D13FBB"/>
    <w:rsid w:val="00D1497F"/>
    <w:rsid w:val="00D17490"/>
    <w:rsid w:val="00D25EAC"/>
    <w:rsid w:val="00D26480"/>
    <w:rsid w:val="00D3034C"/>
    <w:rsid w:val="00D32E39"/>
    <w:rsid w:val="00D35282"/>
    <w:rsid w:val="00D36288"/>
    <w:rsid w:val="00D37481"/>
    <w:rsid w:val="00D41E59"/>
    <w:rsid w:val="00D429DC"/>
    <w:rsid w:val="00D46271"/>
    <w:rsid w:val="00D50877"/>
    <w:rsid w:val="00D55ADA"/>
    <w:rsid w:val="00D6026D"/>
    <w:rsid w:val="00D62966"/>
    <w:rsid w:val="00D62B2D"/>
    <w:rsid w:val="00D65867"/>
    <w:rsid w:val="00D66BF4"/>
    <w:rsid w:val="00D702B0"/>
    <w:rsid w:val="00D73E6E"/>
    <w:rsid w:val="00D875F0"/>
    <w:rsid w:val="00D94B98"/>
    <w:rsid w:val="00D95A1E"/>
    <w:rsid w:val="00DA3F0D"/>
    <w:rsid w:val="00DA495E"/>
    <w:rsid w:val="00DA619C"/>
    <w:rsid w:val="00DA621C"/>
    <w:rsid w:val="00DA6B27"/>
    <w:rsid w:val="00DB003F"/>
    <w:rsid w:val="00DB454B"/>
    <w:rsid w:val="00DB6374"/>
    <w:rsid w:val="00DC1E4A"/>
    <w:rsid w:val="00DC3654"/>
    <w:rsid w:val="00DC3F11"/>
    <w:rsid w:val="00DC442D"/>
    <w:rsid w:val="00DC456E"/>
    <w:rsid w:val="00DC4883"/>
    <w:rsid w:val="00DC57E7"/>
    <w:rsid w:val="00DC711F"/>
    <w:rsid w:val="00DC75FF"/>
    <w:rsid w:val="00DD096F"/>
    <w:rsid w:val="00DD1C73"/>
    <w:rsid w:val="00DD2526"/>
    <w:rsid w:val="00DD4F75"/>
    <w:rsid w:val="00DD5E0F"/>
    <w:rsid w:val="00DE56A0"/>
    <w:rsid w:val="00DE79BD"/>
    <w:rsid w:val="00DF0FCE"/>
    <w:rsid w:val="00DF13BB"/>
    <w:rsid w:val="00DF1910"/>
    <w:rsid w:val="00DF5D6D"/>
    <w:rsid w:val="00E01A43"/>
    <w:rsid w:val="00E054D7"/>
    <w:rsid w:val="00E10023"/>
    <w:rsid w:val="00E100B2"/>
    <w:rsid w:val="00E10CC4"/>
    <w:rsid w:val="00E15EBB"/>
    <w:rsid w:val="00E16214"/>
    <w:rsid w:val="00E17BB9"/>
    <w:rsid w:val="00E17C59"/>
    <w:rsid w:val="00E22504"/>
    <w:rsid w:val="00E2308C"/>
    <w:rsid w:val="00E24548"/>
    <w:rsid w:val="00E2601A"/>
    <w:rsid w:val="00E271D3"/>
    <w:rsid w:val="00E344C5"/>
    <w:rsid w:val="00E378BA"/>
    <w:rsid w:val="00E4248B"/>
    <w:rsid w:val="00E42E89"/>
    <w:rsid w:val="00E45398"/>
    <w:rsid w:val="00E551FE"/>
    <w:rsid w:val="00E5561B"/>
    <w:rsid w:val="00E55CCE"/>
    <w:rsid w:val="00E569A9"/>
    <w:rsid w:val="00E60F08"/>
    <w:rsid w:val="00E61E22"/>
    <w:rsid w:val="00E631F8"/>
    <w:rsid w:val="00E6671A"/>
    <w:rsid w:val="00E67849"/>
    <w:rsid w:val="00E708E5"/>
    <w:rsid w:val="00E72491"/>
    <w:rsid w:val="00E74AF8"/>
    <w:rsid w:val="00E74CC0"/>
    <w:rsid w:val="00E7762C"/>
    <w:rsid w:val="00E776CC"/>
    <w:rsid w:val="00E823BE"/>
    <w:rsid w:val="00E8289B"/>
    <w:rsid w:val="00E83F5A"/>
    <w:rsid w:val="00E901AE"/>
    <w:rsid w:val="00E90727"/>
    <w:rsid w:val="00E90A15"/>
    <w:rsid w:val="00EA06AC"/>
    <w:rsid w:val="00EA1C69"/>
    <w:rsid w:val="00EA36F9"/>
    <w:rsid w:val="00EA38C1"/>
    <w:rsid w:val="00EB16BB"/>
    <w:rsid w:val="00EB504F"/>
    <w:rsid w:val="00EB55EC"/>
    <w:rsid w:val="00EC038B"/>
    <w:rsid w:val="00EC346E"/>
    <w:rsid w:val="00EC3931"/>
    <w:rsid w:val="00ED0365"/>
    <w:rsid w:val="00ED2CB8"/>
    <w:rsid w:val="00ED2DD7"/>
    <w:rsid w:val="00EE1975"/>
    <w:rsid w:val="00EE6330"/>
    <w:rsid w:val="00EE6E6C"/>
    <w:rsid w:val="00EF11CA"/>
    <w:rsid w:val="00EF3140"/>
    <w:rsid w:val="00EF37A0"/>
    <w:rsid w:val="00EF4A5C"/>
    <w:rsid w:val="00EF4FD3"/>
    <w:rsid w:val="00EF55E4"/>
    <w:rsid w:val="00EF7B30"/>
    <w:rsid w:val="00F009B6"/>
    <w:rsid w:val="00F01001"/>
    <w:rsid w:val="00F0129F"/>
    <w:rsid w:val="00F03E47"/>
    <w:rsid w:val="00F0507F"/>
    <w:rsid w:val="00F05087"/>
    <w:rsid w:val="00F05638"/>
    <w:rsid w:val="00F0618B"/>
    <w:rsid w:val="00F11639"/>
    <w:rsid w:val="00F11EFA"/>
    <w:rsid w:val="00F13556"/>
    <w:rsid w:val="00F13C31"/>
    <w:rsid w:val="00F13CEE"/>
    <w:rsid w:val="00F146BA"/>
    <w:rsid w:val="00F1574B"/>
    <w:rsid w:val="00F15ADA"/>
    <w:rsid w:val="00F16067"/>
    <w:rsid w:val="00F2163A"/>
    <w:rsid w:val="00F26AF0"/>
    <w:rsid w:val="00F302A0"/>
    <w:rsid w:val="00F32418"/>
    <w:rsid w:val="00F32AB1"/>
    <w:rsid w:val="00F33A7F"/>
    <w:rsid w:val="00F3404B"/>
    <w:rsid w:val="00F42216"/>
    <w:rsid w:val="00F4337A"/>
    <w:rsid w:val="00F446E7"/>
    <w:rsid w:val="00F51B49"/>
    <w:rsid w:val="00F53EC1"/>
    <w:rsid w:val="00F61D6D"/>
    <w:rsid w:val="00F61E68"/>
    <w:rsid w:val="00F62244"/>
    <w:rsid w:val="00F64C5D"/>
    <w:rsid w:val="00F669A1"/>
    <w:rsid w:val="00F6757A"/>
    <w:rsid w:val="00F67BB6"/>
    <w:rsid w:val="00F710E4"/>
    <w:rsid w:val="00F71EF0"/>
    <w:rsid w:val="00F74A85"/>
    <w:rsid w:val="00F766B5"/>
    <w:rsid w:val="00F774FF"/>
    <w:rsid w:val="00F802FE"/>
    <w:rsid w:val="00F80A03"/>
    <w:rsid w:val="00F83B14"/>
    <w:rsid w:val="00F85BD3"/>
    <w:rsid w:val="00F87A32"/>
    <w:rsid w:val="00F90FF4"/>
    <w:rsid w:val="00F91C8E"/>
    <w:rsid w:val="00F91DA5"/>
    <w:rsid w:val="00F91F70"/>
    <w:rsid w:val="00F958AC"/>
    <w:rsid w:val="00FA1E73"/>
    <w:rsid w:val="00FA4B9F"/>
    <w:rsid w:val="00FA74C1"/>
    <w:rsid w:val="00FB166F"/>
    <w:rsid w:val="00FB1AB9"/>
    <w:rsid w:val="00FB33BD"/>
    <w:rsid w:val="00FB3EC4"/>
    <w:rsid w:val="00FB6E49"/>
    <w:rsid w:val="00FB7411"/>
    <w:rsid w:val="00FB77D0"/>
    <w:rsid w:val="00FC0377"/>
    <w:rsid w:val="00FC409C"/>
    <w:rsid w:val="00FC666D"/>
    <w:rsid w:val="00FD0408"/>
    <w:rsid w:val="00FD0509"/>
    <w:rsid w:val="00FD30AE"/>
    <w:rsid w:val="00FD3276"/>
    <w:rsid w:val="00FD3CE5"/>
    <w:rsid w:val="00FD5AF8"/>
    <w:rsid w:val="00FD6849"/>
    <w:rsid w:val="00FD6D83"/>
    <w:rsid w:val="00FD7F53"/>
    <w:rsid w:val="00FE0C7F"/>
    <w:rsid w:val="00FE29C3"/>
    <w:rsid w:val="00FE429E"/>
    <w:rsid w:val="00FE70C5"/>
    <w:rsid w:val="00FF19F0"/>
    <w:rsid w:val="00FF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90FF4"/>
    <w:rPr>
      <w:kern w:val="0"/>
      <w:sz w:val="24"/>
      <w:szCs w:val="24"/>
      <w:lang w:eastAsia="en-US"/>
    </w:rPr>
  </w:style>
  <w:style w:type="paragraph" w:styleId="1">
    <w:name w:val="heading 1"/>
    <w:basedOn w:val="a"/>
    <w:next w:val="a"/>
    <w:link w:val="1Char"/>
    <w:uiPriority w:val="99"/>
    <w:qFormat/>
    <w:rsid w:val="002B3A76"/>
    <w:pPr>
      <w:keepNext/>
      <w:spacing w:before="240" w:after="60"/>
      <w:outlineLvl w:val="0"/>
    </w:pPr>
    <w:rPr>
      <w:rFonts w:ascii="Cambria" w:hAnsi="Cambria"/>
      <w:b/>
      <w:bCs/>
      <w:kern w:val="32"/>
      <w:sz w:val="32"/>
      <w:szCs w:val="32"/>
      <w:lang w:eastAsia="zh-CN"/>
    </w:rPr>
  </w:style>
  <w:style w:type="paragraph" w:styleId="2">
    <w:name w:val="heading 2"/>
    <w:basedOn w:val="a"/>
    <w:next w:val="a"/>
    <w:link w:val="2Char"/>
    <w:uiPriority w:val="99"/>
    <w:qFormat/>
    <w:rsid w:val="00F83B14"/>
    <w:pPr>
      <w:keepNext/>
      <w:spacing w:before="240" w:after="60"/>
      <w:outlineLvl w:val="1"/>
    </w:pPr>
    <w:rPr>
      <w:rFonts w:ascii="Cambria" w:hAnsi="Cambria"/>
      <w:b/>
      <w:bCs/>
      <w:i/>
      <w:iCs/>
      <w:sz w:val="28"/>
      <w:szCs w:val="28"/>
      <w:lang w:eastAsia="zh-CN"/>
    </w:rPr>
  </w:style>
  <w:style w:type="paragraph" w:styleId="3">
    <w:name w:val="heading 3"/>
    <w:basedOn w:val="a"/>
    <w:next w:val="a"/>
    <w:link w:val="3Char"/>
    <w:uiPriority w:val="99"/>
    <w:qFormat/>
    <w:rsid w:val="007F4328"/>
    <w:pPr>
      <w:keepNext/>
      <w:pageBreakBefore/>
      <w:spacing w:line="360" w:lineRule="auto"/>
      <w:jc w:val="center"/>
      <w:outlineLvl w:val="2"/>
    </w:pPr>
    <w:rPr>
      <w:rFonts w:ascii="Cambria" w:hAnsi="Cambria"/>
      <w:b/>
      <w:bCs/>
      <w:sz w:val="26"/>
      <w:szCs w:val="26"/>
      <w:lang w:eastAsia="zh-CN"/>
    </w:rPr>
  </w:style>
  <w:style w:type="paragraph" w:styleId="4">
    <w:name w:val="heading 4"/>
    <w:basedOn w:val="a"/>
    <w:next w:val="a"/>
    <w:link w:val="4Char"/>
    <w:uiPriority w:val="99"/>
    <w:qFormat/>
    <w:rsid w:val="007F4328"/>
    <w:pPr>
      <w:keepNext/>
      <w:spacing w:line="360" w:lineRule="auto"/>
      <w:ind w:firstLine="567"/>
      <w:jc w:val="both"/>
      <w:outlineLvl w:val="3"/>
    </w:pPr>
    <w:rPr>
      <w:rFonts w:ascii="Calibri" w:hAnsi="Calibri"/>
      <w:b/>
      <w:bCs/>
      <w:sz w:val="28"/>
      <w:szCs w:val="28"/>
      <w:lang w:eastAsia="zh-CN"/>
    </w:rPr>
  </w:style>
  <w:style w:type="paragraph" w:styleId="5">
    <w:name w:val="heading 5"/>
    <w:basedOn w:val="a"/>
    <w:next w:val="a"/>
    <w:link w:val="5Char"/>
    <w:uiPriority w:val="99"/>
    <w:qFormat/>
    <w:rsid w:val="007F4328"/>
    <w:pPr>
      <w:keepNext/>
      <w:spacing w:line="360" w:lineRule="auto"/>
      <w:ind w:firstLine="1418"/>
      <w:jc w:val="both"/>
      <w:outlineLvl w:val="4"/>
    </w:pPr>
    <w:rPr>
      <w:rFonts w:ascii="Calibri" w:hAnsi="Calibri"/>
      <w:b/>
      <w:bCs/>
      <w:i/>
      <w:iCs/>
      <w:sz w:val="26"/>
      <w:szCs w:val="26"/>
      <w:lang w:eastAsia="zh-CN"/>
    </w:rPr>
  </w:style>
  <w:style w:type="paragraph" w:styleId="8">
    <w:name w:val="heading 8"/>
    <w:basedOn w:val="a"/>
    <w:next w:val="a"/>
    <w:link w:val="8Char"/>
    <w:uiPriority w:val="99"/>
    <w:qFormat/>
    <w:rsid w:val="007F4328"/>
    <w:pPr>
      <w:spacing w:before="240" w:after="60"/>
      <w:outlineLvl w:val="7"/>
    </w:pPr>
    <w:rPr>
      <w:rFonts w:ascii="Calibri" w:hAnsi="Calibri"/>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57E1F"/>
    <w:rPr>
      <w:rFonts w:ascii="Cambria" w:hAnsi="Cambria" w:cs="Times New Roman"/>
      <w:b/>
      <w:kern w:val="32"/>
      <w:sz w:val="32"/>
    </w:rPr>
  </w:style>
  <w:style w:type="character" w:customStyle="1" w:styleId="2Char">
    <w:name w:val="标题 2 Char"/>
    <w:basedOn w:val="a0"/>
    <w:link w:val="2"/>
    <w:uiPriority w:val="99"/>
    <w:semiHidden/>
    <w:locked/>
    <w:rsid w:val="00C57E1F"/>
    <w:rPr>
      <w:rFonts w:ascii="Cambria" w:hAnsi="Cambria" w:cs="Times New Roman"/>
      <w:b/>
      <w:i/>
      <w:sz w:val="28"/>
    </w:rPr>
  </w:style>
  <w:style w:type="character" w:customStyle="1" w:styleId="3Char">
    <w:name w:val="标题 3 Char"/>
    <w:basedOn w:val="a0"/>
    <w:link w:val="3"/>
    <w:uiPriority w:val="99"/>
    <w:semiHidden/>
    <w:locked/>
    <w:rsid w:val="00C57E1F"/>
    <w:rPr>
      <w:rFonts w:ascii="Cambria" w:hAnsi="Cambria" w:cs="Times New Roman"/>
      <w:b/>
      <w:sz w:val="26"/>
    </w:rPr>
  </w:style>
  <w:style w:type="character" w:customStyle="1" w:styleId="4Char">
    <w:name w:val="标题 4 Char"/>
    <w:basedOn w:val="a0"/>
    <w:link w:val="4"/>
    <w:uiPriority w:val="99"/>
    <w:semiHidden/>
    <w:locked/>
    <w:rsid w:val="00C57E1F"/>
    <w:rPr>
      <w:rFonts w:ascii="Calibri" w:hAnsi="Calibri" w:cs="Times New Roman"/>
      <w:b/>
      <w:sz w:val="28"/>
    </w:rPr>
  </w:style>
  <w:style w:type="character" w:customStyle="1" w:styleId="5Char">
    <w:name w:val="标题 5 Char"/>
    <w:basedOn w:val="a0"/>
    <w:link w:val="5"/>
    <w:uiPriority w:val="99"/>
    <w:semiHidden/>
    <w:locked/>
    <w:rsid w:val="00C57E1F"/>
    <w:rPr>
      <w:rFonts w:ascii="Calibri" w:hAnsi="Calibri" w:cs="Times New Roman"/>
      <w:b/>
      <w:i/>
      <w:sz w:val="26"/>
    </w:rPr>
  </w:style>
  <w:style w:type="character" w:customStyle="1" w:styleId="8Char">
    <w:name w:val="标题 8 Char"/>
    <w:basedOn w:val="a0"/>
    <w:link w:val="8"/>
    <w:uiPriority w:val="99"/>
    <w:semiHidden/>
    <w:locked/>
    <w:rsid w:val="00C57E1F"/>
    <w:rPr>
      <w:rFonts w:ascii="Calibri" w:hAnsi="Calibri" w:cs="Times New Roman"/>
      <w:i/>
      <w:sz w:val="24"/>
    </w:rPr>
  </w:style>
  <w:style w:type="paragraph" w:styleId="a3">
    <w:name w:val="header"/>
    <w:basedOn w:val="a"/>
    <w:link w:val="Char"/>
    <w:uiPriority w:val="99"/>
    <w:rsid w:val="000472BE"/>
    <w:pPr>
      <w:tabs>
        <w:tab w:val="center" w:pos="4320"/>
        <w:tab w:val="right" w:pos="8640"/>
      </w:tabs>
    </w:pPr>
    <w:rPr>
      <w:lang w:eastAsia="zh-CN"/>
    </w:rPr>
  </w:style>
  <w:style w:type="character" w:customStyle="1" w:styleId="Char">
    <w:name w:val="页眉 Char"/>
    <w:basedOn w:val="a0"/>
    <w:link w:val="a3"/>
    <w:uiPriority w:val="99"/>
    <w:semiHidden/>
    <w:locked/>
    <w:rsid w:val="00C57E1F"/>
    <w:rPr>
      <w:rFonts w:cs="Times New Roman"/>
      <w:sz w:val="24"/>
    </w:rPr>
  </w:style>
  <w:style w:type="paragraph" w:styleId="a4">
    <w:name w:val="footer"/>
    <w:basedOn w:val="a"/>
    <w:link w:val="Char0"/>
    <w:uiPriority w:val="99"/>
    <w:rsid w:val="000472BE"/>
    <w:pPr>
      <w:tabs>
        <w:tab w:val="center" w:pos="4320"/>
        <w:tab w:val="right" w:pos="8640"/>
      </w:tabs>
    </w:pPr>
    <w:rPr>
      <w:szCs w:val="20"/>
      <w:lang w:eastAsia="zh-CN"/>
    </w:rPr>
  </w:style>
  <w:style w:type="character" w:customStyle="1" w:styleId="Char0">
    <w:name w:val="页脚 Char"/>
    <w:basedOn w:val="a0"/>
    <w:link w:val="a4"/>
    <w:uiPriority w:val="99"/>
    <w:locked/>
    <w:rsid w:val="00813D69"/>
    <w:rPr>
      <w:rFonts w:cs="Times New Roman"/>
      <w:sz w:val="24"/>
    </w:rPr>
  </w:style>
  <w:style w:type="table" w:styleId="a5">
    <w:name w:val="Table Grid"/>
    <w:basedOn w:val="a1"/>
    <w:uiPriority w:val="99"/>
    <w:rsid w:val="00C734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7F4328"/>
    <w:rPr>
      <w:rFonts w:cs="Times New Roman"/>
      <w:color w:val="0000FF"/>
      <w:u w:val="single"/>
    </w:rPr>
  </w:style>
  <w:style w:type="paragraph" w:styleId="a7">
    <w:name w:val="Body Text"/>
    <w:basedOn w:val="a"/>
    <w:link w:val="Char1"/>
    <w:uiPriority w:val="99"/>
    <w:rsid w:val="007F4328"/>
    <w:pPr>
      <w:jc w:val="both"/>
    </w:pPr>
    <w:rPr>
      <w:lang w:eastAsia="zh-CN"/>
    </w:rPr>
  </w:style>
  <w:style w:type="character" w:customStyle="1" w:styleId="Char1">
    <w:name w:val="正文文本 Char"/>
    <w:basedOn w:val="a0"/>
    <w:link w:val="a7"/>
    <w:uiPriority w:val="99"/>
    <w:semiHidden/>
    <w:locked/>
    <w:rsid w:val="00C57E1F"/>
    <w:rPr>
      <w:rFonts w:cs="Times New Roman"/>
      <w:sz w:val="24"/>
    </w:rPr>
  </w:style>
  <w:style w:type="paragraph" w:styleId="a8">
    <w:name w:val="Body Text Indent"/>
    <w:basedOn w:val="a"/>
    <w:link w:val="Char2"/>
    <w:uiPriority w:val="99"/>
    <w:rsid w:val="00E61E22"/>
    <w:pPr>
      <w:spacing w:after="120"/>
      <w:ind w:left="360"/>
    </w:pPr>
    <w:rPr>
      <w:lang w:eastAsia="zh-CN"/>
    </w:rPr>
  </w:style>
  <w:style w:type="character" w:customStyle="1" w:styleId="Char2">
    <w:name w:val="正文文本缩进 Char"/>
    <w:basedOn w:val="a0"/>
    <w:link w:val="a8"/>
    <w:uiPriority w:val="99"/>
    <w:semiHidden/>
    <w:locked/>
    <w:rsid w:val="00C57E1F"/>
    <w:rPr>
      <w:rFonts w:cs="Times New Roman"/>
      <w:sz w:val="24"/>
    </w:rPr>
  </w:style>
  <w:style w:type="character" w:styleId="a9">
    <w:name w:val="FollowedHyperlink"/>
    <w:basedOn w:val="a0"/>
    <w:uiPriority w:val="99"/>
    <w:rsid w:val="00E61E22"/>
    <w:rPr>
      <w:rFonts w:cs="Times New Roman"/>
      <w:color w:val="800080"/>
      <w:u w:val="single"/>
    </w:rPr>
  </w:style>
  <w:style w:type="paragraph" w:styleId="aa">
    <w:name w:val="Normal (Web)"/>
    <w:basedOn w:val="a"/>
    <w:uiPriority w:val="99"/>
    <w:rsid w:val="001B7D25"/>
    <w:pPr>
      <w:spacing w:before="100" w:beforeAutospacing="1" w:after="100" w:afterAutospacing="1"/>
    </w:pPr>
    <w:rPr>
      <w:color w:val="000000"/>
    </w:rPr>
  </w:style>
  <w:style w:type="character" w:styleId="ab">
    <w:name w:val="Strong"/>
    <w:basedOn w:val="a0"/>
    <w:uiPriority w:val="99"/>
    <w:qFormat/>
    <w:rsid w:val="00F83B14"/>
    <w:rPr>
      <w:rFonts w:cs="Times New Roman"/>
      <w:b/>
    </w:rPr>
  </w:style>
  <w:style w:type="character" w:styleId="ac">
    <w:name w:val="page number"/>
    <w:basedOn w:val="a0"/>
    <w:uiPriority w:val="99"/>
    <w:rsid w:val="00D66BF4"/>
    <w:rPr>
      <w:rFonts w:cs="Times New Roman"/>
    </w:rPr>
  </w:style>
  <w:style w:type="character" w:customStyle="1" w:styleId="maintextbldleft">
    <w:name w:val="maintextbldleft"/>
    <w:uiPriority w:val="99"/>
    <w:rsid w:val="0099066A"/>
  </w:style>
  <w:style w:type="character" w:customStyle="1" w:styleId="maintextleft">
    <w:name w:val="maintextleft"/>
    <w:uiPriority w:val="99"/>
    <w:rsid w:val="0099066A"/>
  </w:style>
  <w:style w:type="paragraph" w:styleId="30">
    <w:name w:val="Body Text Indent 3"/>
    <w:basedOn w:val="a"/>
    <w:link w:val="3Char0"/>
    <w:uiPriority w:val="99"/>
    <w:rsid w:val="00B11C49"/>
    <w:pPr>
      <w:spacing w:after="120"/>
      <w:ind w:left="360"/>
    </w:pPr>
    <w:rPr>
      <w:sz w:val="16"/>
      <w:szCs w:val="20"/>
      <w:lang w:eastAsia="zh-CN"/>
    </w:rPr>
  </w:style>
  <w:style w:type="character" w:customStyle="1" w:styleId="3Char0">
    <w:name w:val="正文文本缩进 3 Char"/>
    <w:basedOn w:val="a0"/>
    <w:link w:val="30"/>
    <w:uiPriority w:val="99"/>
    <w:locked/>
    <w:rsid w:val="00B11C49"/>
    <w:rPr>
      <w:rFonts w:cs="Times New Roman"/>
      <w:sz w:val="16"/>
    </w:rPr>
  </w:style>
  <w:style w:type="character" w:customStyle="1" w:styleId="fntbody">
    <w:name w:val="fntbody"/>
    <w:uiPriority w:val="99"/>
    <w:rsid w:val="00500C68"/>
  </w:style>
  <w:style w:type="paragraph" w:styleId="ad">
    <w:name w:val="Document Map"/>
    <w:basedOn w:val="a"/>
    <w:link w:val="Char3"/>
    <w:uiPriority w:val="99"/>
    <w:rsid w:val="001C1CFA"/>
    <w:pPr>
      <w:shd w:val="clear" w:color="auto" w:fill="000080"/>
    </w:pPr>
    <w:rPr>
      <w:rFonts w:ascii="Tahoma" w:hAnsi="Tahoma"/>
      <w:sz w:val="20"/>
      <w:szCs w:val="20"/>
      <w:lang w:eastAsia="zh-CN"/>
    </w:rPr>
  </w:style>
  <w:style w:type="character" w:customStyle="1" w:styleId="Char3">
    <w:name w:val="文档结构图 Char"/>
    <w:basedOn w:val="a0"/>
    <w:link w:val="ad"/>
    <w:uiPriority w:val="99"/>
    <w:locked/>
    <w:rsid w:val="001C1CFA"/>
    <w:rPr>
      <w:rFonts w:ascii="Tahoma" w:hAnsi="Tahoma" w:cs="Times New Roman"/>
      <w:shd w:val="clear" w:color="auto" w:fill="000080"/>
    </w:rPr>
  </w:style>
  <w:style w:type="character" w:customStyle="1" w:styleId="assemblytext1">
    <w:name w:val="assemblytext1"/>
    <w:uiPriority w:val="99"/>
    <w:rsid w:val="001C1CFA"/>
    <w:rPr>
      <w:color w:val="333333"/>
      <w:sz w:val="18"/>
      <w:u w:val="none"/>
      <w:effect w:val="none"/>
    </w:rPr>
  </w:style>
  <w:style w:type="paragraph" w:styleId="ae">
    <w:name w:val="Balloon Text"/>
    <w:basedOn w:val="a"/>
    <w:link w:val="Char4"/>
    <w:uiPriority w:val="99"/>
    <w:rsid w:val="001C1CFA"/>
    <w:rPr>
      <w:rFonts w:ascii="Tahoma" w:hAnsi="Tahoma"/>
      <w:sz w:val="16"/>
      <w:szCs w:val="20"/>
      <w:lang w:eastAsia="zh-CN"/>
    </w:rPr>
  </w:style>
  <w:style w:type="character" w:customStyle="1" w:styleId="Char4">
    <w:name w:val="批注框文本 Char"/>
    <w:basedOn w:val="a0"/>
    <w:link w:val="ae"/>
    <w:uiPriority w:val="99"/>
    <w:locked/>
    <w:rsid w:val="001C1CFA"/>
    <w:rPr>
      <w:rFonts w:ascii="Tahoma" w:hAnsi="Tahoma" w:cs="Times New Roman"/>
      <w:sz w:val="16"/>
    </w:rPr>
  </w:style>
  <w:style w:type="character" w:customStyle="1" w:styleId="journalname">
    <w:name w:val="journalname"/>
    <w:uiPriority w:val="99"/>
    <w:rsid w:val="00497F57"/>
  </w:style>
  <w:style w:type="character" w:customStyle="1" w:styleId="mytitle">
    <w:name w:val="mytitle"/>
    <w:uiPriority w:val="99"/>
    <w:rsid w:val="00DA3F0D"/>
    <w:rPr>
      <w:rFonts w:ascii="Verdana" w:hAnsi="Verdana"/>
      <w:b/>
      <w:color w:val="0290DA"/>
      <w:sz w:val="13"/>
    </w:rPr>
  </w:style>
  <w:style w:type="character" w:customStyle="1" w:styleId="apple-converted-space">
    <w:name w:val="apple-converted-space"/>
    <w:uiPriority w:val="99"/>
    <w:rsid w:val="004C7BDB"/>
  </w:style>
  <w:style w:type="character" w:customStyle="1" w:styleId="highlight">
    <w:name w:val="highlight"/>
    <w:uiPriority w:val="99"/>
    <w:rsid w:val="004C7BDB"/>
  </w:style>
  <w:style w:type="character" w:customStyle="1" w:styleId="ref-journal">
    <w:name w:val="ref-journal"/>
    <w:uiPriority w:val="99"/>
    <w:rsid w:val="005C10BB"/>
  </w:style>
  <w:style w:type="character" w:customStyle="1" w:styleId="ref-vol">
    <w:name w:val="ref-vol"/>
    <w:uiPriority w:val="99"/>
    <w:rsid w:val="005C10BB"/>
  </w:style>
  <w:style w:type="paragraph" w:styleId="af">
    <w:name w:val="Revision"/>
    <w:hidden/>
    <w:uiPriority w:val="99"/>
    <w:rsid w:val="00350F6D"/>
    <w:rPr>
      <w:kern w:val="0"/>
      <w:sz w:val="24"/>
      <w:szCs w:val="24"/>
      <w:lang w:eastAsia="en-US"/>
    </w:rPr>
  </w:style>
  <w:style w:type="paragraph" w:customStyle="1" w:styleId="caff">
    <w:name w:val="caff"/>
    <w:basedOn w:val="a"/>
    <w:uiPriority w:val="99"/>
    <w:rsid w:val="00965BCF"/>
    <w:pPr>
      <w:spacing w:before="100" w:beforeAutospacing="1" w:after="100" w:afterAutospacing="1"/>
    </w:pPr>
  </w:style>
  <w:style w:type="paragraph" w:customStyle="1" w:styleId="prdates">
    <w:name w:val="prdates"/>
    <w:basedOn w:val="a"/>
    <w:uiPriority w:val="99"/>
    <w:rsid w:val="00965BCF"/>
    <w:pPr>
      <w:spacing w:before="100" w:beforeAutospacing="1" w:after="100" w:afterAutospacing="1"/>
    </w:pPr>
  </w:style>
  <w:style w:type="character" w:customStyle="1" w:styleId="hidden">
    <w:name w:val="hidden"/>
    <w:uiPriority w:val="99"/>
    <w:rsid w:val="00965BCF"/>
  </w:style>
  <w:style w:type="paragraph" w:customStyle="1" w:styleId="follows-h4">
    <w:name w:val="follows-h4"/>
    <w:basedOn w:val="a"/>
    <w:uiPriority w:val="99"/>
    <w:rsid w:val="00965BCF"/>
    <w:pPr>
      <w:spacing w:before="100" w:beforeAutospacing="1" w:after="100" w:afterAutospacing="1"/>
    </w:pPr>
  </w:style>
  <w:style w:type="paragraph" w:styleId="af0">
    <w:name w:val="List Paragraph"/>
    <w:basedOn w:val="a"/>
    <w:uiPriority w:val="99"/>
    <w:qFormat/>
    <w:rsid w:val="007A2EBD"/>
    <w:pPr>
      <w:ind w:left="720"/>
      <w:contextualSpacing/>
    </w:pPr>
  </w:style>
  <w:style w:type="character" w:customStyle="1" w:styleId="nlmxref-aff">
    <w:name w:val="nlm_xref-aff"/>
    <w:uiPriority w:val="99"/>
    <w:rsid w:val="0078256B"/>
  </w:style>
  <w:style w:type="paragraph" w:customStyle="1" w:styleId="last">
    <w:name w:val="last"/>
    <w:basedOn w:val="a"/>
    <w:uiPriority w:val="99"/>
    <w:rsid w:val="0078256B"/>
    <w:pPr>
      <w:spacing w:before="100" w:beforeAutospacing="1" w:after="100" w:afterAutospacing="1"/>
    </w:pPr>
  </w:style>
  <w:style w:type="character" w:customStyle="1" w:styleId="citation-abbreviation">
    <w:name w:val="citation-abbreviation"/>
    <w:uiPriority w:val="99"/>
    <w:rsid w:val="003B3B0E"/>
  </w:style>
  <w:style w:type="character" w:customStyle="1" w:styleId="citation-publication-date">
    <w:name w:val="citation-publication-date"/>
    <w:uiPriority w:val="99"/>
    <w:rsid w:val="003B3B0E"/>
  </w:style>
  <w:style w:type="character" w:customStyle="1" w:styleId="citation-volume">
    <w:name w:val="citation-volume"/>
    <w:uiPriority w:val="99"/>
    <w:rsid w:val="003B3B0E"/>
  </w:style>
  <w:style w:type="character" w:customStyle="1" w:styleId="citation-issue">
    <w:name w:val="citation-issue"/>
    <w:uiPriority w:val="99"/>
    <w:rsid w:val="003B3B0E"/>
  </w:style>
  <w:style w:type="character" w:customStyle="1" w:styleId="citation-flpages">
    <w:name w:val="citation-flpages"/>
    <w:uiPriority w:val="99"/>
    <w:rsid w:val="003B3B0E"/>
  </w:style>
  <w:style w:type="paragraph" w:customStyle="1" w:styleId="title1">
    <w:name w:val="title1"/>
    <w:basedOn w:val="a"/>
    <w:uiPriority w:val="99"/>
    <w:rsid w:val="009E6AC1"/>
    <w:rPr>
      <w:sz w:val="27"/>
      <w:szCs w:val="27"/>
    </w:rPr>
  </w:style>
  <w:style w:type="paragraph" w:customStyle="1" w:styleId="desc2">
    <w:name w:val="desc2"/>
    <w:basedOn w:val="a"/>
    <w:uiPriority w:val="99"/>
    <w:rsid w:val="009E6AC1"/>
    <w:rPr>
      <w:sz w:val="26"/>
      <w:szCs w:val="26"/>
    </w:rPr>
  </w:style>
  <w:style w:type="paragraph" w:customStyle="1" w:styleId="details1">
    <w:name w:val="details1"/>
    <w:basedOn w:val="a"/>
    <w:uiPriority w:val="99"/>
    <w:rsid w:val="009E6AC1"/>
    <w:rPr>
      <w:sz w:val="22"/>
      <w:szCs w:val="22"/>
    </w:rPr>
  </w:style>
  <w:style w:type="character" w:customStyle="1" w:styleId="jrnl">
    <w:name w:val="jrnl"/>
    <w:uiPriority w:val="99"/>
    <w:rsid w:val="009E6AC1"/>
  </w:style>
  <w:style w:type="character" w:customStyle="1" w:styleId="highlight1">
    <w:name w:val="highlight1"/>
    <w:uiPriority w:val="99"/>
    <w:rsid w:val="00DB454B"/>
    <w:rPr>
      <w:shd w:val="clear" w:color="auto" w:fill="F2F5F8"/>
    </w:rPr>
  </w:style>
  <w:style w:type="character" w:styleId="af1">
    <w:name w:val="annotation reference"/>
    <w:basedOn w:val="a0"/>
    <w:uiPriority w:val="99"/>
    <w:semiHidden/>
    <w:rsid w:val="007E6693"/>
    <w:rPr>
      <w:rFonts w:cs="Times New Roman"/>
      <w:sz w:val="16"/>
    </w:rPr>
  </w:style>
  <w:style w:type="paragraph" w:styleId="af2">
    <w:name w:val="annotation text"/>
    <w:basedOn w:val="a"/>
    <w:link w:val="Char5"/>
    <w:uiPriority w:val="99"/>
    <w:semiHidden/>
    <w:rsid w:val="007E6693"/>
    <w:rPr>
      <w:sz w:val="20"/>
      <w:szCs w:val="20"/>
      <w:lang w:eastAsia="zh-CN"/>
    </w:rPr>
  </w:style>
  <w:style w:type="character" w:customStyle="1" w:styleId="Char5">
    <w:name w:val="批注文字 Char"/>
    <w:basedOn w:val="a0"/>
    <w:link w:val="af2"/>
    <w:uiPriority w:val="99"/>
    <w:semiHidden/>
    <w:locked/>
    <w:rsid w:val="00C57E1F"/>
    <w:rPr>
      <w:rFonts w:cs="Times New Roman"/>
      <w:sz w:val="20"/>
    </w:rPr>
  </w:style>
  <w:style w:type="paragraph" w:styleId="af3">
    <w:name w:val="annotation subject"/>
    <w:basedOn w:val="af2"/>
    <w:next w:val="af2"/>
    <w:link w:val="Char6"/>
    <w:uiPriority w:val="99"/>
    <w:semiHidden/>
    <w:rsid w:val="007E6693"/>
    <w:rPr>
      <w:b/>
      <w:bCs/>
    </w:rPr>
  </w:style>
  <w:style w:type="character" w:customStyle="1" w:styleId="Char6">
    <w:name w:val="批注主题 Char"/>
    <w:basedOn w:val="Char5"/>
    <w:link w:val="af3"/>
    <w:uiPriority w:val="99"/>
    <w:semiHidden/>
    <w:locked/>
    <w:rsid w:val="00C57E1F"/>
    <w:rPr>
      <w:rFonts w:cs="Times New Roman"/>
      <w:b/>
      <w:sz w:val="20"/>
    </w:rPr>
  </w:style>
  <w:style w:type="paragraph" w:customStyle="1" w:styleId="p0">
    <w:name w:val="p0"/>
    <w:basedOn w:val="a"/>
    <w:uiPriority w:val="99"/>
    <w:rsid w:val="009B3D1A"/>
    <w:pPr>
      <w:spacing w:line="240" w:lineRule="atLeast"/>
    </w:pPr>
    <w:rPr>
      <w:rFonts w:ascii="Century" w:hAnsi="Century" w:cs="simsun"/>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90FF4"/>
    <w:rPr>
      <w:kern w:val="0"/>
      <w:sz w:val="24"/>
      <w:szCs w:val="24"/>
      <w:lang w:eastAsia="en-US"/>
    </w:rPr>
  </w:style>
  <w:style w:type="paragraph" w:styleId="1">
    <w:name w:val="heading 1"/>
    <w:basedOn w:val="a"/>
    <w:next w:val="a"/>
    <w:link w:val="1Char"/>
    <w:uiPriority w:val="99"/>
    <w:qFormat/>
    <w:rsid w:val="002B3A76"/>
    <w:pPr>
      <w:keepNext/>
      <w:spacing w:before="240" w:after="60"/>
      <w:outlineLvl w:val="0"/>
    </w:pPr>
    <w:rPr>
      <w:rFonts w:ascii="Cambria" w:hAnsi="Cambria"/>
      <w:b/>
      <w:bCs/>
      <w:kern w:val="32"/>
      <w:sz w:val="32"/>
      <w:szCs w:val="32"/>
      <w:lang w:eastAsia="zh-CN"/>
    </w:rPr>
  </w:style>
  <w:style w:type="paragraph" w:styleId="2">
    <w:name w:val="heading 2"/>
    <w:basedOn w:val="a"/>
    <w:next w:val="a"/>
    <w:link w:val="2Char"/>
    <w:uiPriority w:val="99"/>
    <w:qFormat/>
    <w:rsid w:val="00F83B14"/>
    <w:pPr>
      <w:keepNext/>
      <w:spacing w:before="240" w:after="60"/>
      <w:outlineLvl w:val="1"/>
    </w:pPr>
    <w:rPr>
      <w:rFonts w:ascii="Cambria" w:hAnsi="Cambria"/>
      <w:b/>
      <w:bCs/>
      <w:i/>
      <w:iCs/>
      <w:sz w:val="28"/>
      <w:szCs w:val="28"/>
      <w:lang w:eastAsia="zh-CN"/>
    </w:rPr>
  </w:style>
  <w:style w:type="paragraph" w:styleId="3">
    <w:name w:val="heading 3"/>
    <w:basedOn w:val="a"/>
    <w:next w:val="a"/>
    <w:link w:val="3Char"/>
    <w:uiPriority w:val="99"/>
    <w:qFormat/>
    <w:rsid w:val="007F4328"/>
    <w:pPr>
      <w:keepNext/>
      <w:pageBreakBefore/>
      <w:spacing w:line="360" w:lineRule="auto"/>
      <w:jc w:val="center"/>
      <w:outlineLvl w:val="2"/>
    </w:pPr>
    <w:rPr>
      <w:rFonts w:ascii="Cambria" w:hAnsi="Cambria"/>
      <w:b/>
      <w:bCs/>
      <w:sz w:val="26"/>
      <w:szCs w:val="26"/>
      <w:lang w:eastAsia="zh-CN"/>
    </w:rPr>
  </w:style>
  <w:style w:type="paragraph" w:styleId="4">
    <w:name w:val="heading 4"/>
    <w:basedOn w:val="a"/>
    <w:next w:val="a"/>
    <w:link w:val="4Char"/>
    <w:uiPriority w:val="99"/>
    <w:qFormat/>
    <w:rsid w:val="007F4328"/>
    <w:pPr>
      <w:keepNext/>
      <w:spacing w:line="360" w:lineRule="auto"/>
      <w:ind w:firstLine="567"/>
      <w:jc w:val="both"/>
      <w:outlineLvl w:val="3"/>
    </w:pPr>
    <w:rPr>
      <w:rFonts w:ascii="Calibri" w:hAnsi="Calibri"/>
      <w:b/>
      <w:bCs/>
      <w:sz w:val="28"/>
      <w:szCs w:val="28"/>
      <w:lang w:eastAsia="zh-CN"/>
    </w:rPr>
  </w:style>
  <w:style w:type="paragraph" w:styleId="5">
    <w:name w:val="heading 5"/>
    <w:basedOn w:val="a"/>
    <w:next w:val="a"/>
    <w:link w:val="5Char"/>
    <w:uiPriority w:val="99"/>
    <w:qFormat/>
    <w:rsid w:val="007F4328"/>
    <w:pPr>
      <w:keepNext/>
      <w:spacing w:line="360" w:lineRule="auto"/>
      <w:ind w:firstLine="1418"/>
      <w:jc w:val="both"/>
      <w:outlineLvl w:val="4"/>
    </w:pPr>
    <w:rPr>
      <w:rFonts w:ascii="Calibri" w:hAnsi="Calibri"/>
      <w:b/>
      <w:bCs/>
      <w:i/>
      <w:iCs/>
      <w:sz w:val="26"/>
      <w:szCs w:val="26"/>
      <w:lang w:eastAsia="zh-CN"/>
    </w:rPr>
  </w:style>
  <w:style w:type="paragraph" w:styleId="8">
    <w:name w:val="heading 8"/>
    <w:basedOn w:val="a"/>
    <w:next w:val="a"/>
    <w:link w:val="8Char"/>
    <w:uiPriority w:val="99"/>
    <w:qFormat/>
    <w:rsid w:val="007F4328"/>
    <w:pPr>
      <w:spacing w:before="240" w:after="60"/>
      <w:outlineLvl w:val="7"/>
    </w:pPr>
    <w:rPr>
      <w:rFonts w:ascii="Calibri" w:hAnsi="Calibri"/>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57E1F"/>
    <w:rPr>
      <w:rFonts w:ascii="Cambria" w:hAnsi="Cambria" w:cs="Times New Roman"/>
      <w:b/>
      <w:kern w:val="32"/>
      <w:sz w:val="32"/>
    </w:rPr>
  </w:style>
  <w:style w:type="character" w:customStyle="1" w:styleId="2Char">
    <w:name w:val="标题 2 Char"/>
    <w:basedOn w:val="a0"/>
    <w:link w:val="2"/>
    <w:uiPriority w:val="99"/>
    <w:semiHidden/>
    <w:locked/>
    <w:rsid w:val="00C57E1F"/>
    <w:rPr>
      <w:rFonts w:ascii="Cambria" w:hAnsi="Cambria" w:cs="Times New Roman"/>
      <w:b/>
      <w:i/>
      <w:sz w:val="28"/>
    </w:rPr>
  </w:style>
  <w:style w:type="character" w:customStyle="1" w:styleId="3Char">
    <w:name w:val="标题 3 Char"/>
    <w:basedOn w:val="a0"/>
    <w:link w:val="3"/>
    <w:uiPriority w:val="99"/>
    <w:semiHidden/>
    <w:locked/>
    <w:rsid w:val="00C57E1F"/>
    <w:rPr>
      <w:rFonts w:ascii="Cambria" w:hAnsi="Cambria" w:cs="Times New Roman"/>
      <w:b/>
      <w:sz w:val="26"/>
    </w:rPr>
  </w:style>
  <w:style w:type="character" w:customStyle="1" w:styleId="4Char">
    <w:name w:val="标题 4 Char"/>
    <w:basedOn w:val="a0"/>
    <w:link w:val="4"/>
    <w:uiPriority w:val="99"/>
    <w:semiHidden/>
    <w:locked/>
    <w:rsid w:val="00C57E1F"/>
    <w:rPr>
      <w:rFonts w:ascii="Calibri" w:hAnsi="Calibri" w:cs="Times New Roman"/>
      <w:b/>
      <w:sz w:val="28"/>
    </w:rPr>
  </w:style>
  <w:style w:type="character" w:customStyle="1" w:styleId="5Char">
    <w:name w:val="标题 5 Char"/>
    <w:basedOn w:val="a0"/>
    <w:link w:val="5"/>
    <w:uiPriority w:val="99"/>
    <w:semiHidden/>
    <w:locked/>
    <w:rsid w:val="00C57E1F"/>
    <w:rPr>
      <w:rFonts w:ascii="Calibri" w:hAnsi="Calibri" w:cs="Times New Roman"/>
      <w:b/>
      <w:i/>
      <w:sz w:val="26"/>
    </w:rPr>
  </w:style>
  <w:style w:type="character" w:customStyle="1" w:styleId="8Char">
    <w:name w:val="标题 8 Char"/>
    <w:basedOn w:val="a0"/>
    <w:link w:val="8"/>
    <w:uiPriority w:val="99"/>
    <w:semiHidden/>
    <w:locked/>
    <w:rsid w:val="00C57E1F"/>
    <w:rPr>
      <w:rFonts w:ascii="Calibri" w:hAnsi="Calibri" w:cs="Times New Roman"/>
      <w:i/>
      <w:sz w:val="24"/>
    </w:rPr>
  </w:style>
  <w:style w:type="paragraph" w:styleId="a3">
    <w:name w:val="header"/>
    <w:basedOn w:val="a"/>
    <w:link w:val="Char"/>
    <w:uiPriority w:val="99"/>
    <w:rsid w:val="000472BE"/>
    <w:pPr>
      <w:tabs>
        <w:tab w:val="center" w:pos="4320"/>
        <w:tab w:val="right" w:pos="8640"/>
      </w:tabs>
    </w:pPr>
    <w:rPr>
      <w:lang w:eastAsia="zh-CN"/>
    </w:rPr>
  </w:style>
  <w:style w:type="character" w:customStyle="1" w:styleId="Char">
    <w:name w:val="页眉 Char"/>
    <w:basedOn w:val="a0"/>
    <w:link w:val="a3"/>
    <w:uiPriority w:val="99"/>
    <w:semiHidden/>
    <w:locked/>
    <w:rsid w:val="00C57E1F"/>
    <w:rPr>
      <w:rFonts w:cs="Times New Roman"/>
      <w:sz w:val="24"/>
    </w:rPr>
  </w:style>
  <w:style w:type="paragraph" w:styleId="a4">
    <w:name w:val="footer"/>
    <w:basedOn w:val="a"/>
    <w:link w:val="Char0"/>
    <w:uiPriority w:val="99"/>
    <w:rsid w:val="000472BE"/>
    <w:pPr>
      <w:tabs>
        <w:tab w:val="center" w:pos="4320"/>
        <w:tab w:val="right" w:pos="8640"/>
      </w:tabs>
    </w:pPr>
    <w:rPr>
      <w:szCs w:val="20"/>
      <w:lang w:eastAsia="zh-CN"/>
    </w:rPr>
  </w:style>
  <w:style w:type="character" w:customStyle="1" w:styleId="Char0">
    <w:name w:val="页脚 Char"/>
    <w:basedOn w:val="a0"/>
    <w:link w:val="a4"/>
    <w:uiPriority w:val="99"/>
    <w:locked/>
    <w:rsid w:val="00813D69"/>
    <w:rPr>
      <w:rFonts w:cs="Times New Roman"/>
      <w:sz w:val="24"/>
    </w:rPr>
  </w:style>
  <w:style w:type="table" w:styleId="a5">
    <w:name w:val="Table Grid"/>
    <w:basedOn w:val="a1"/>
    <w:uiPriority w:val="99"/>
    <w:rsid w:val="00C734B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7F4328"/>
    <w:rPr>
      <w:rFonts w:cs="Times New Roman"/>
      <w:color w:val="0000FF"/>
      <w:u w:val="single"/>
    </w:rPr>
  </w:style>
  <w:style w:type="paragraph" w:styleId="a7">
    <w:name w:val="Body Text"/>
    <w:basedOn w:val="a"/>
    <w:link w:val="Char1"/>
    <w:uiPriority w:val="99"/>
    <w:rsid w:val="007F4328"/>
    <w:pPr>
      <w:jc w:val="both"/>
    </w:pPr>
    <w:rPr>
      <w:lang w:eastAsia="zh-CN"/>
    </w:rPr>
  </w:style>
  <w:style w:type="character" w:customStyle="1" w:styleId="Char1">
    <w:name w:val="正文文本 Char"/>
    <w:basedOn w:val="a0"/>
    <w:link w:val="a7"/>
    <w:uiPriority w:val="99"/>
    <w:semiHidden/>
    <w:locked/>
    <w:rsid w:val="00C57E1F"/>
    <w:rPr>
      <w:rFonts w:cs="Times New Roman"/>
      <w:sz w:val="24"/>
    </w:rPr>
  </w:style>
  <w:style w:type="paragraph" w:styleId="a8">
    <w:name w:val="Body Text Indent"/>
    <w:basedOn w:val="a"/>
    <w:link w:val="Char2"/>
    <w:uiPriority w:val="99"/>
    <w:rsid w:val="00E61E22"/>
    <w:pPr>
      <w:spacing w:after="120"/>
      <w:ind w:left="360"/>
    </w:pPr>
    <w:rPr>
      <w:lang w:eastAsia="zh-CN"/>
    </w:rPr>
  </w:style>
  <w:style w:type="character" w:customStyle="1" w:styleId="Char2">
    <w:name w:val="正文文本缩进 Char"/>
    <w:basedOn w:val="a0"/>
    <w:link w:val="a8"/>
    <w:uiPriority w:val="99"/>
    <w:semiHidden/>
    <w:locked/>
    <w:rsid w:val="00C57E1F"/>
    <w:rPr>
      <w:rFonts w:cs="Times New Roman"/>
      <w:sz w:val="24"/>
    </w:rPr>
  </w:style>
  <w:style w:type="character" w:styleId="a9">
    <w:name w:val="FollowedHyperlink"/>
    <w:basedOn w:val="a0"/>
    <w:uiPriority w:val="99"/>
    <w:rsid w:val="00E61E22"/>
    <w:rPr>
      <w:rFonts w:cs="Times New Roman"/>
      <w:color w:val="800080"/>
      <w:u w:val="single"/>
    </w:rPr>
  </w:style>
  <w:style w:type="paragraph" w:styleId="aa">
    <w:name w:val="Normal (Web)"/>
    <w:basedOn w:val="a"/>
    <w:uiPriority w:val="99"/>
    <w:rsid w:val="001B7D25"/>
    <w:pPr>
      <w:spacing w:before="100" w:beforeAutospacing="1" w:after="100" w:afterAutospacing="1"/>
    </w:pPr>
    <w:rPr>
      <w:color w:val="000000"/>
    </w:rPr>
  </w:style>
  <w:style w:type="character" w:styleId="ab">
    <w:name w:val="Strong"/>
    <w:basedOn w:val="a0"/>
    <w:uiPriority w:val="99"/>
    <w:qFormat/>
    <w:rsid w:val="00F83B14"/>
    <w:rPr>
      <w:rFonts w:cs="Times New Roman"/>
      <w:b/>
    </w:rPr>
  </w:style>
  <w:style w:type="character" w:styleId="ac">
    <w:name w:val="page number"/>
    <w:basedOn w:val="a0"/>
    <w:uiPriority w:val="99"/>
    <w:rsid w:val="00D66BF4"/>
    <w:rPr>
      <w:rFonts w:cs="Times New Roman"/>
    </w:rPr>
  </w:style>
  <w:style w:type="character" w:customStyle="1" w:styleId="maintextbldleft">
    <w:name w:val="maintextbldleft"/>
    <w:uiPriority w:val="99"/>
    <w:rsid w:val="0099066A"/>
  </w:style>
  <w:style w:type="character" w:customStyle="1" w:styleId="maintextleft">
    <w:name w:val="maintextleft"/>
    <w:uiPriority w:val="99"/>
    <w:rsid w:val="0099066A"/>
  </w:style>
  <w:style w:type="paragraph" w:styleId="30">
    <w:name w:val="Body Text Indent 3"/>
    <w:basedOn w:val="a"/>
    <w:link w:val="3Char0"/>
    <w:uiPriority w:val="99"/>
    <w:rsid w:val="00B11C49"/>
    <w:pPr>
      <w:spacing w:after="120"/>
      <w:ind w:left="360"/>
    </w:pPr>
    <w:rPr>
      <w:sz w:val="16"/>
      <w:szCs w:val="20"/>
      <w:lang w:eastAsia="zh-CN"/>
    </w:rPr>
  </w:style>
  <w:style w:type="character" w:customStyle="1" w:styleId="3Char0">
    <w:name w:val="正文文本缩进 3 Char"/>
    <w:basedOn w:val="a0"/>
    <w:link w:val="30"/>
    <w:uiPriority w:val="99"/>
    <w:locked/>
    <w:rsid w:val="00B11C49"/>
    <w:rPr>
      <w:rFonts w:cs="Times New Roman"/>
      <w:sz w:val="16"/>
    </w:rPr>
  </w:style>
  <w:style w:type="character" w:customStyle="1" w:styleId="fntbody">
    <w:name w:val="fntbody"/>
    <w:uiPriority w:val="99"/>
    <w:rsid w:val="00500C68"/>
  </w:style>
  <w:style w:type="paragraph" w:styleId="ad">
    <w:name w:val="Document Map"/>
    <w:basedOn w:val="a"/>
    <w:link w:val="Char3"/>
    <w:uiPriority w:val="99"/>
    <w:rsid w:val="001C1CFA"/>
    <w:pPr>
      <w:shd w:val="clear" w:color="auto" w:fill="000080"/>
    </w:pPr>
    <w:rPr>
      <w:rFonts w:ascii="Tahoma" w:hAnsi="Tahoma"/>
      <w:sz w:val="20"/>
      <w:szCs w:val="20"/>
      <w:lang w:eastAsia="zh-CN"/>
    </w:rPr>
  </w:style>
  <w:style w:type="character" w:customStyle="1" w:styleId="Char3">
    <w:name w:val="文档结构图 Char"/>
    <w:basedOn w:val="a0"/>
    <w:link w:val="ad"/>
    <w:uiPriority w:val="99"/>
    <w:locked/>
    <w:rsid w:val="001C1CFA"/>
    <w:rPr>
      <w:rFonts w:ascii="Tahoma" w:hAnsi="Tahoma" w:cs="Times New Roman"/>
      <w:shd w:val="clear" w:color="auto" w:fill="000080"/>
    </w:rPr>
  </w:style>
  <w:style w:type="character" w:customStyle="1" w:styleId="assemblytext1">
    <w:name w:val="assemblytext1"/>
    <w:uiPriority w:val="99"/>
    <w:rsid w:val="001C1CFA"/>
    <w:rPr>
      <w:color w:val="333333"/>
      <w:sz w:val="18"/>
      <w:u w:val="none"/>
      <w:effect w:val="none"/>
    </w:rPr>
  </w:style>
  <w:style w:type="paragraph" w:styleId="ae">
    <w:name w:val="Balloon Text"/>
    <w:basedOn w:val="a"/>
    <w:link w:val="Char4"/>
    <w:uiPriority w:val="99"/>
    <w:rsid w:val="001C1CFA"/>
    <w:rPr>
      <w:rFonts w:ascii="Tahoma" w:hAnsi="Tahoma"/>
      <w:sz w:val="16"/>
      <w:szCs w:val="20"/>
      <w:lang w:eastAsia="zh-CN"/>
    </w:rPr>
  </w:style>
  <w:style w:type="character" w:customStyle="1" w:styleId="Char4">
    <w:name w:val="批注框文本 Char"/>
    <w:basedOn w:val="a0"/>
    <w:link w:val="ae"/>
    <w:uiPriority w:val="99"/>
    <w:locked/>
    <w:rsid w:val="001C1CFA"/>
    <w:rPr>
      <w:rFonts w:ascii="Tahoma" w:hAnsi="Tahoma" w:cs="Times New Roman"/>
      <w:sz w:val="16"/>
    </w:rPr>
  </w:style>
  <w:style w:type="character" w:customStyle="1" w:styleId="journalname">
    <w:name w:val="journalname"/>
    <w:uiPriority w:val="99"/>
    <w:rsid w:val="00497F57"/>
  </w:style>
  <w:style w:type="character" w:customStyle="1" w:styleId="mytitle">
    <w:name w:val="mytitle"/>
    <w:uiPriority w:val="99"/>
    <w:rsid w:val="00DA3F0D"/>
    <w:rPr>
      <w:rFonts w:ascii="Verdana" w:hAnsi="Verdana"/>
      <w:b/>
      <w:color w:val="0290DA"/>
      <w:sz w:val="13"/>
    </w:rPr>
  </w:style>
  <w:style w:type="character" w:customStyle="1" w:styleId="apple-converted-space">
    <w:name w:val="apple-converted-space"/>
    <w:uiPriority w:val="99"/>
    <w:rsid w:val="004C7BDB"/>
  </w:style>
  <w:style w:type="character" w:customStyle="1" w:styleId="highlight">
    <w:name w:val="highlight"/>
    <w:uiPriority w:val="99"/>
    <w:rsid w:val="004C7BDB"/>
  </w:style>
  <w:style w:type="character" w:customStyle="1" w:styleId="ref-journal">
    <w:name w:val="ref-journal"/>
    <w:uiPriority w:val="99"/>
    <w:rsid w:val="005C10BB"/>
  </w:style>
  <w:style w:type="character" w:customStyle="1" w:styleId="ref-vol">
    <w:name w:val="ref-vol"/>
    <w:uiPriority w:val="99"/>
    <w:rsid w:val="005C10BB"/>
  </w:style>
  <w:style w:type="paragraph" w:styleId="af">
    <w:name w:val="Revision"/>
    <w:hidden/>
    <w:uiPriority w:val="99"/>
    <w:rsid w:val="00350F6D"/>
    <w:rPr>
      <w:kern w:val="0"/>
      <w:sz w:val="24"/>
      <w:szCs w:val="24"/>
      <w:lang w:eastAsia="en-US"/>
    </w:rPr>
  </w:style>
  <w:style w:type="paragraph" w:customStyle="1" w:styleId="caff">
    <w:name w:val="caff"/>
    <w:basedOn w:val="a"/>
    <w:uiPriority w:val="99"/>
    <w:rsid w:val="00965BCF"/>
    <w:pPr>
      <w:spacing w:before="100" w:beforeAutospacing="1" w:after="100" w:afterAutospacing="1"/>
    </w:pPr>
  </w:style>
  <w:style w:type="paragraph" w:customStyle="1" w:styleId="prdates">
    <w:name w:val="prdates"/>
    <w:basedOn w:val="a"/>
    <w:uiPriority w:val="99"/>
    <w:rsid w:val="00965BCF"/>
    <w:pPr>
      <w:spacing w:before="100" w:beforeAutospacing="1" w:after="100" w:afterAutospacing="1"/>
    </w:pPr>
  </w:style>
  <w:style w:type="character" w:customStyle="1" w:styleId="hidden">
    <w:name w:val="hidden"/>
    <w:uiPriority w:val="99"/>
    <w:rsid w:val="00965BCF"/>
  </w:style>
  <w:style w:type="paragraph" w:customStyle="1" w:styleId="follows-h4">
    <w:name w:val="follows-h4"/>
    <w:basedOn w:val="a"/>
    <w:uiPriority w:val="99"/>
    <w:rsid w:val="00965BCF"/>
    <w:pPr>
      <w:spacing w:before="100" w:beforeAutospacing="1" w:after="100" w:afterAutospacing="1"/>
    </w:pPr>
  </w:style>
  <w:style w:type="paragraph" w:styleId="af0">
    <w:name w:val="List Paragraph"/>
    <w:basedOn w:val="a"/>
    <w:uiPriority w:val="99"/>
    <w:qFormat/>
    <w:rsid w:val="007A2EBD"/>
    <w:pPr>
      <w:ind w:left="720"/>
      <w:contextualSpacing/>
    </w:pPr>
  </w:style>
  <w:style w:type="character" w:customStyle="1" w:styleId="nlmxref-aff">
    <w:name w:val="nlm_xref-aff"/>
    <w:uiPriority w:val="99"/>
    <w:rsid w:val="0078256B"/>
  </w:style>
  <w:style w:type="paragraph" w:customStyle="1" w:styleId="last">
    <w:name w:val="last"/>
    <w:basedOn w:val="a"/>
    <w:uiPriority w:val="99"/>
    <w:rsid w:val="0078256B"/>
    <w:pPr>
      <w:spacing w:before="100" w:beforeAutospacing="1" w:after="100" w:afterAutospacing="1"/>
    </w:pPr>
  </w:style>
  <w:style w:type="character" w:customStyle="1" w:styleId="citation-abbreviation">
    <w:name w:val="citation-abbreviation"/>
    <w:uiPriority w:val="99"/>
    <w:rsid w:val="003B3B0E"/>
  </w:style>
  <w:style w:type="character" w:customStyle="1" w:styleId="citation-publication-date">
    <w:name w:val="citation-publication-date"/>
    <w:uiPriority w:val="99"/>
    <w:rsid w:val="003B3B0E"/>
  </w:style>
  <w:style w:type="character" w:customStyle="1" w:styleId="citation-volume">
    <w:name w:val="citation-volume"/>
    <w:uiPriority w:val="99"/>
    <w:rsid w:val="003B3B0E"/>
  </w:style>
  <w:style w:type="character" w:customStyle="1" w:styleId="citation-issue">
    <w:name w:val="citation-issue"/>
    <w:uiPriority w:val="99"/>
    <w:rsid w:val="003B3B0E"/>
  </w:style>
  <w:style w:type="character" w:customStyle="1" w:styleId="citation-flpages">
    <w:name w:val="citation-flpages"/>
    <w:uiPriority w:val="99"/>
    <w:rsid w:val="003B3B0E"/>
  </w:style>
  <w:style w:type="paragraph" w:customStyle="1" w:styleId="title1">
    <w:name w:val="title1"/>
    <w:basedOn w:val="a"/>
    <w:uiPriority w:val="99"/>
    <w:rsid w:val="009E6AC1"/>
    <w:rPr>
      <w:sz w:val="27"/>
      <w:szCs w:val="27"/>
    </w:rPr>
  </w:style>
  <w:style w:type="paragraph" w:customStyle="1" w:styleId="desc2">
    <w:name w:val="desc2"/>
    <w:basedOn w:val="a"/>
    <w:uiPriority w:val="99"/>
    <w:rsid w:val="009E6AC1"/>
    <w:rPr>
      <w:sz w:val="26"/>
      <w:szCs w:val="26"/>
    </w:rPr>
  </w:style>
  <w:style w:type="paragraph" w:customStyle="1" w:styleId="details1">
    <w:name w:val="details1"/>
    <w:basedOn w:val="a"/>
    <w:uiPriority w:val="99"/>
    <w:rsid w:val="009E6AC1"/>
    <w:rPr>
      <w:sz w:val="22"/>
      <w:szCs w:val="22"/>
    </w:rPr>
  </w:style>
  <w:style w:type="character" w:customStyle="1" w:styleId="jrnl">
    <w:name w:val="jrnl"/>
    <w:uiPriority w:val="99"/>
    <w:rsid w:val="009E6AC1"/>
  </w:style>
  <w:style w:type="character" w:customStyle="1" w:styleId="highlight1">
    <w:name w:val="highlight1"/>
    <w:uiPriority w:val="99"/>
    <w:rsid w:val="00DB454B"/>
    <w:rPr>
      <w:shd w:val="clear" w:color="auto" w:fill="F2F5F8"/>
    </w:rPr>
  </w:style>
  <w:style w:type="character" w:styleId="af1">
    <w:name w:val="annotation reference"/>
    <w:basedOn w:val="a0"/>
    <w:uiPriority w:val="99"/>
    <w:semiHidden/>
    <w:rsid w:val="007E6693"/>
    <w:rPr>
      <w:rFonts w:cs="Times New Roman"/>
      <w:sz w:val="16"/>
    </w:rPr>
  </w:style>
  <w:style w:type="paragraph" w:styleId="af2">
    <w:name w:val="annotation text"/>
    <w:basedOn w:val="a"/>
    <w:link w:val="Char5"/>
    <w:uiPriority w:val="99"/>
    <w:semiHidden/>
    <w:rsid w:val="007E6693"/>
    <w:rPr>
      <w:sz w:val="20"/>
      <w:szCs w:val="20"/>
      <w:lang w:eastAsia="zh-CN"/>
    </w:rPr>
  </w:style>
  <w:style w:type="character" w:customStyle="1" w:styleId="Char5">
    <w:name w:val="批注文字 Char"/>
    <w:basedOn w:val="a0"/>
    <w:link w:val="af2"/>
    <w:uiPriority w:val="99"/>
    <w:semiHidden/>
    <w:locked/>
    <w:rsid w:val="00C57E1F"/>
    <w:rPr>
      <w:rFonts w:cs="Times New Roman"/>
      <w:sz w:val="20"/>
    </w:rPr>
  </w:style>
  <w:style w:type="paragraph" w:styleId="af3">
    <w:name w:val="annotation subject"/>
    <w:basedOn w:val="af2"/>
    <w:next w:val="af2"/>
    <w:link w:val="Char6"/>
    <w:uiPriority w:val="99"/>
    <w:semiHidden/>
    <w:rsid w:val="007E6693"/>
    <w:rPr>
      <w:b/>
      <w:bCs/>
    </w:rPr>
  </w:style>
  <w:style w:type="character" w:customStyle="1" w:styleId="Char6">
    <w:name w:val="批注主题 Char"/>
    <w:basedOn w:val="Char5"/>
    <w:link w:val="af3"/>
    <w:uiPriority w:val="99"/>
    <w:semiHidden/>
    <w:locked/>
    <w:rsid w:val="00C57E1F"/>
    <w:rPr>
      <w:rFonts w:cs="Times New Roman"/>
      <w:b/>
      <w:sz w:val="20"/>
    </w:rPr>
  </w:style>
  <w:style w:type="paragraph" w:customStyle="1" w:styleId="p0">
    <w:name w:val="p0"/>
    <w:basedOn w:val="a"/>
    <w:uiPriority w:val="99"/>
    <w:rsid w:val="009B3D1A"/>
    <w:pPr>
      <w:spacing w:line="240" w:lineRule="atLeast"/>
    </w:pPr>
    <w:rPr>
      <w:rFonts w:ascii="Century" w:hAnsi="Century" w:cs="simsun"/>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4814">
      <w:marLeft w:val="0"/>
      <w:marRight w:val="0"/>
      <w:marTop w:val="0"/>
      <w:marBottom w:val="0"/>
      <w:divBdr>
        <w:top w:val="none" w:sz="0" w:space="0" w:color="auto"/>
        <w:left w:val="none" w:sz="0" w:space="0" w:color="auto"/>
        <w:bottom w:val="none" w:sz="0" w:space="0" w:color="auto"/>
        <w:right w:val="none" w:sz="0" w:space="0" w:color="auto"/>
      </w:divBdr>
    </w:div>
    <w:div w:id="945384818">
      <w:marLeft w:val="0"/>
      <w:marRight w:val="0"/>
      <w:marTop w:val="0"/>
      <w:marBottom w:val="0"/>
      <w:divBdr>
        <w:top w:val="none" w:sz="0" w:space="0" w:color="auto"/>
        <w:left w:val="none" w:sz="0" w:space="0" w:color="auto"/>
        <w:bottom w:val="none" w:sz="0" w:space="0" w:color="auto"/>
        <w:right w:val="none" w:sz="0" w:space="0" w:color="auto"/>
      </w:divBdr>
    </w:div>
    <w:div w:id="945384819">
      <w:marLeft w:val="0"/>
      <w:marRight w:val="0"/>
      <w:marTop w:val="0"/>
      <w:marBottom w:val="0"/>
      <w:divBdr>
        <w:top w:val="none" w:sz="0" w:space="0" w:color="auto"/>
        <w:left w:val="none" w:sz="0" w:space="0" w:color="auto"/>
        <w:bottom w:val="none" w:sz="0" w:space="0" w:color="auto"/>
        <w:right w:val="none" w:sz="0" w:space="0" w:color="auto"/>
      </w:divBdr>
      <w:divsChild>
        <w:div w:id="945384857">
          <w:marLeft w:val="0"/>
          <w:marRight w:val="1"/>
          <w:marTop w:val="0"/>
          <w:marBottom w:val="0"/>
          <w:divBdr>
            <w:top w:val="none" w:sz="0" w:space="0" w:color="auto"/>
            <w:left w:val="none" w:sz="0" w:space="0" w:color="auto"/>
            <w:bottom w:val="none" w:sz="0" w:space="0" w:color="auto"/>
            <w:right w:val="none" w:sz="0" w:space="0" w:color="auto"/>
          </w:divBdr>
          <w:divsChild>
            <w:div w:id="945384816">
              <w:marLeft w:val="0"/>
              <w:marRight w:val="0"/>
              <w:marTop w:val="0"/>
              <w:marBottom w:val="0"/>
              <w:divBdr>
                <w:top w:val="none" w:sz="0" w:space="0" w:color="auto"/>
                <w:left w:val="none" w:sz="0" w:space="0" w:color="auto"/>
                <w:bottom w:val="none" w:sz="0" w:space="0" w:color="auto"/>
                <w:right w:val="none" w:sz="0" w:space="0" w:color="auto"/>
              </w:divBdr>
              <w:divsChild>
                <w:div w:id="945384843">
                  <w:marLeft w:val="0"/>
                  <w:marRight w:val="1"/>
                  <w:marTop w:val="0"/>
                  <w:marBottom w:val="0"/>
                  <w:divBdr>
                    <w:top w:val="none" w:sz="0" w:space="0" w:color="auto"/>
                    <w:left w:val="none" w:sz="0" w:space="0" w:color="auto"/>
                    <w:bottom w:val="none" w:sz="0" w:space="0" w:color="auto"/>
                    <w:right w:val="none" w:sz="0" w:space="0" w:color="auto"/>
                  </w:divBdr>
                  <w:divsChild>
                    <w:div w:id="945384846">
                      <w:marLeft w:val="0"/>
                      <w:marRight w:val="0"/>
                      <w:marTop w:val="0"/>
                      <w:marBottom w:val="0"/>
                      <w:divBdr>
                        <w:top w:val="none" w:sz="0" w:space="0" w:color="auto"/>
                        <w:left w:val="none" w:sz="0" w:space="0" w:color="auto"/>
                        <w:bottom w:val="none" w:sz="0" w:space="0" w:color="auto"/>
                        <w:right w:val="none" w:sz="0" w:space="0" w:color="auto"/>
                      </w:divBdr>
                      <w:divsChild>
                        <w:div w:id="945384862">
                          <w:marLeft w:val="0"/>
                          <w:marRight w:val="0"/>
                          <w:marTop w:val="0"/>
                          <w:marBottom w:val="0"/>
                          <w:divBdr>
                            <w:top w:val="none" w:sz="0" w:space="0" w:color="auto"/>
                            <w:left w:val="none" w:sz="0" w:space="0" w:color="auto"/>
                            <w:bottom w:val="none" w:sz="0" w:space="0" w:color="auto"/>
                            <w:right w:val="none" w:sz="0" w:space="0" w:color="auto"/>
                          </w:divBdr>
                          <w:divsChild>
                            <w:div w:id="945384902">
                              <w:marLeft w:val="0"/>
                              <w:marRight w:val="0"/>
                              <w:marTop w:val="120"/>
                              <w:marBottom w:val="360"/>
                              <w:divBdr>
                                <w:top w:val="none" w:sz="0" w:space="0" w:color="auto"/>
                                <w:left w:val="none" w:sz="0" w:space="0" w:color="auto"/>
                                <w:bottom w:val="none" w:sz="0" w:space="0" w:color="auto"/>
                                <w:right w:val="none" w:sz="0" w:space="0" w:color="auto"/>
                              </w:divBdr>
                              <w:divsChild>
                                <w:div w:id="945384866">
                                  <w:marLeft w:val="0"/>
                                  <w:marRight w:val="0"/>
                                  <w:marTop w:val="0"/>
                                  <w:marBottom w:val="0"/>
                                  <w:divBdr>
                                    <w:top w:val="none" w:sz="0" w:space="0" w:color="auto"/>
                                    <w:left w:val="none" w:sz="0" w:space="0" w:color="auto"/>
                                    <w:bottom w:val="none" w:sz="0" w:space="0" w:color="auto"/>
                                    <w:right w:val="none" w:sz="0" w:space="0" w:color="auto"/>
                                  </w:divBdr>
                                  <w:divsChild>
                                    <w:div w:id="945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84821">
      <w:marLeft w:val="0"/>
      <w:marRight w:val="0"/>
      <w:marTop w:val="0"/>
      <w:marBottom w:val="0"/>
      <w:divBdr>
        <w:top w:val="none" w:sz="0" w:space="0" w:color="auto"/>
        <w:left w:val="none" w:sz="0" w:space="0" w:color="auto"/>
        <w:bottom w:val="none" w:sz="0" w:space="0" w:color="auto"/>
        <w:right w:val="none" w:sz="0" w:space="0" w:color="auto"/>
      </w:divBdr>
    </w:div>
    <w:div w:id="945384822">
      <w:marLeft w:val="0"/>
      <w:marRight w:val="0"/>
      <w:marTop w:val="0"/>
      <w:marBottom w:val="0"/>
      <w:divBdr>
        <w:top w:val="none" w:sz="0" w:space="0" w:color="auto"/>
        <w:left w:val="none" w:sz="0" w:space="0" w:color="auto"/>
        <w:bottom w:val="none" w:sz="0" w:space="0" w:color="auto"/>
        <w:right w:val="none" w:sz="0" w:space="0" w:color="auto"/>
      </w:divBdr>
    </w:div>
    <w:div w:id="945384824">
      <w:marLeft w:val="0"/>
      <w:marRight w:val="0"/>
      <w:marTop w:val="0"/>
      <w:marBottom w:val="0"/>
      <w:divBdr>
        <w:top w:val="none" w:sz="0" w:space="0" w:color="auto"/>
        <w:left w:val="none" w:sz="0" w:space="0" w:color="auto"/>
        <w:bottom w:val="none" w:sz="0" w:space="0" w:color="auto"/>
        <w:right w:val="none" w:sz="0" w:space="0" w:color="auto"/>
      </w:divBdr>
    </w:div>
    <w:div w:id="945384825">
      <w:marLeft w:val="0"/>
      <w:marRight w:val="0"/>
      <w:marTop w:val="0"/>
      <w:marBottom w:val="0"/>
      <w:divBdr>
        <w:top w:val="none" w:sz="0" w:space="0" w:color="auto"/>
        <w:left w:val="none" w:sz="0" w:space="0" w:color="auto"/>
        <w:bottom w:val="none" w:sz="0" w:space="0" w:color="auto"/>
        <w:right w:val="none" w:sz="0" w:space="0" w:color="auto"/>
      </w:divBdr>
    </w:div>
    <w:div w:id="945384826">
      <w:marLeft w:val="0"/>
      <w:marRight w:val="0"/>
      <w:marTop w:val="0"/>
      <w:marBottom w:val="0"/>
      <w:divBdr>
        <w:top w:val="none" w:sz="0" w:space="0" w:color="auto"/>
        <w:left w:val="none" w:sz="0" w:space="0" w:color="auto"/>
        <w:bottom w:val="none" w:sz="0" w:space="0" w:color="auto"/>
        <w:right w:val="none" w:sz="0" w:space="0" w:color="auto"/>
      </w:divBdr>
    </w:div>
    <w:div w:id="945384827">
      <w:marLeft w:val="0"/>
      <w:marRight w:val="0"/>
      <w:marTop w:val="0"/>
      <w:marBottom w:val="0"/>
      <w:divBdr>
        <w:top w:val="none" w:sz="0" w:space="0" w:color="auto"/>
        <w:left w:val="none" w:sz="0" w:space="0" w:color="auto"/>
        <w:bottom w:val="none" w:sz="0" w:space="0" w:color="auto"/>
        <w:right w:val="none" w:sz="0" w:space="0" w:color="auto"/>
      </w:divBdr>
    </w:div>
    <w:div w:id="945384829">
      <w:marLeft w:val="0"/>
      <w:marRight w:val="0"/>
      <w:marTop w:val="0"/>
      <w:marBottom w:val="0"/>
      <w:divBdr>
        <w:top w:val="none" w:sz="0" w:space="0" w:color="auto"/>
        <w:left w:val="none" w:sz="0" w:space="0" w:color="auto"/>
        <w:bottom w:val="none" w:sz="0" w:space="0" w:color="auto"/>
        <w:right w:val="none" w:sz="0" w:space="0" w:color="auto"/>
      </w:divBdr>
    </w:div>
    <w:div w:id="945384833">
      <w:marLeft w:val="0"/>
      <w:marRight w:val="0"/>
      <w:marTop w:val="0"/>
      <w:marBottom w:val="0"/>
      <w:divBdr>
        <w:top w:val="none" w:sz="0" w:space="0" w:color="auto"/>
        <w:left w:val="none" w:sz="0" w:space="0" w:color="auto"/>
        <w:bottom w:val="none" w:sz="0" w:space="0" w:color="auto"/>
        <w:right w:val="none" w:sz="0" w:space="0" w:color="auto"/>
      </w:divBdr>
    </w:div>
    <w:div w:id="945384836">
      <w:marLeft w:val="0"/>
      <w:marRight w:val="0"/>
      <w:marTop w:val="0"/>
      <w:marBottom w:val="0"/>
      <w:divBdr>
        <w:top w:val="none" w:sz="0" w:space="0" w:color="auto"/>
        <w:left w:val="none" w:sz="0" w:space="0" w:color="auto"/>
        <w:bottom w:val="none" w:sz="0" w:space="0" w:color="auto"/>
        <w:right w:val="none" w:sz="0" w:space="0" w:color="auto"/>
      </w:divBdr>
      <w:divsChild>
        <w:div w:id="945384847">
          <w:marLeft w:val="0"/>
          <w:marRight w:val="1"/>
          <w:marTop w:val="0"/>
          <w:marBottom w:val="0"/>
          <w:divBdr>
            <w:top w:val="none" w:sz="0" w:space="0" w:color="auto"/>
            <w:left w:val="none" w:sz="0" w:space="0" w:color="auto"/>
            <w:bottom w:val="none" w:sz="0" w:space="0" w:color="auto"/>
            <w:right w:val="none" w:sz="0" w:space="0" w:color="auto"/>
          </w:divBdr>
          <w:divsChild>
            <w:div w:id="945384865">
              <w:marLeft w:val="0"/>
              <w:marRight w:val="0"/>
              <w:marTop w:val="0"/>
              <w:marBottom w:val="0"/>
              <w:divBdr>
                <w:top w:val="none" w:sz="0" w:space="0" w:color="auto"/>
                <w:left w:val="none" w:sz="0" w:space="0" w:color="auto"/>
                <w:bottom w:val="none" w:sz="0" w:space="0" w:color="auto"/>
                <w:right w:val="none" w:sz="0" w:space="0" w:color="auto"/>
              </w:divBdr>
              <w:divsChild>
                <w:div w:id="945384905">
                  <w:marLeft w:val="0"/>
                  <w:marRight w:val="1"/>
                  <w:marTop w:val="0"/>
                  <w:marBottom w:val="0"/>
                  <w:divBdr>
                    <w:top w:val="none" w:sz="0" w:space="0" w:color="auto"/>
                    <w:left w:val="none" w:sz="0" w:space="0" w:color="auto"/>
                    <w:bottom w:val="none" w:sz="0" w:space="0" w:color="auto"/>
                    <w:right w:val="none" w:sz="0" w:space="0" w:color="auto"/>
                  </w:divBdr>
                  <w:divsChild>
                    <w:div w:id="945384834">
                      <w:marLeft w:val="0"/>
                      <w:marRight w:val="0"/>
                      <w:marTop w:val="0"/>
                      <w:marBottom w:val="0"/>
                      <w:divBdr>
                        <w:top w:val="none" w:sz="0" w:space="0" w:color="auto"/>
                        <w:left w:val="none" w:sz="0" w:space="0" w:color="auto"/>
                        <w:bottom w:val="none" w:sz="0" w:space="0" w:color="auto"/>
                        <w:right w:val="none" w:sz="0" w:space="0" w:color="auto"/>
                      </w:divBdr>
                      <w:divsChild>
                        <w:div w:id="945384841">
                          <w:marLeft w:val="0"/>
                          <w:marRight w:val="0"/>
                          <w:marTop w:val="0"/>
                          <w:marBottom w:val="0"/>
                          <w:divBdr>
                            <w:top w:val="none" w:sz="0" w:space="0" w:color="auto"/>
                            <w:left w:val="none" w:sz="0" w:space="0" w:color="auto"/>
                            <w:bottom w:val="none" w:sz="0" w:space="0" w:color="auto"/>
                            <w:right w:val="none" w:sz="0" w:space="0" w:color="auto"/>
                          </w:divBdr>
                          <w:divsChild>
                            <w:div w:id="945384851">
                              <w:marLeft w:val="0"/>
                              <w:marRight w:val="0"/>
                              <w:marTop w:val="120"/>
                              <w:marBottom w:val="360"/>
                              <w:divBdr>
                                <w:top w:val="none" w:sz="0" w:space="0" w:color="auto"/>
                                <w:left w:val="none" w:sz="0" w:space="0" w:color="auto"/>
                                <w:bottom w:val="none" w:sz="0" w:space="0" w:color="auto"/>
                                <w:right w:val="none" w:sz="0" w:space="0" w:color="auto"/>
                              </w:divBdr>
                              <w:divsChild>
                                <w:div w:id="945384893">
                                  <w:marLeft w:val="0"/>
                                  <w:marRight w:val="0"/>
                                  <w:marTop w:val="0"/>
                                  <w:marBottom w:val="0"/>
                                  <w:divBdr>
                                    <w:top w:val="none" w:sz="0" w:space="0" w:color="auto"/>
                                    <w:left w:val="none" w:sz="0" w:space="0" w:color="auto"/>
                                    <w:bottom w:val="none" w:sz="0" w:space="0" w:color="auto"/>
                                    <w:right w:val="none" w:sz="0" w:space="0" w:color="auto"/>
                                  </w:divBdr>
                                  <w:divsChild>
                                    <w:div w:id="9453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84849">
      <w:marLeft w:val="0"/>
      <w:marRight w:val="0"/>
      <w:marTop w:val="0"/>
      <w:marBottom w:val="0"/>
      <w:divBdr>
        <w:top w:val="none" w:sz="0" w:space="0" w:color="auto"/>
        <w:left w:val="none" w:sz="0" w:space="0" w:color="auto"/>
        <w:bottom w:val="none" w:sz="0" w:space="0" w:color="auto"/>
        <w:right w:val="none" w:sz="0" w:space="0" w:color="auto"/>
      </w:divBdr>
    </w:div>
    <w:div w:id="945384850">
      <w:marLeft w:val="0"/>
      <w:marRight w:val="0"/>
      <w:marTop w:val="0"/>
      <w:marBottom w:val="0"/>
      <w:divBdr>
        <w:top w:val="none" w:sz="0" w:space="0" w:color="auto"/>
        <w:left w:val="none" w:sz="0" w:space="0" w:color="auto"/>
        <w:bottom w:val="none" w:sz="0" w:space="0" w:color="auto"/>
        <w:right w:val="none" w:sz="0" w:space="0" w:color="auto"/>
      </w:divBdr>
    </w:div>
    <w:div w:id="945384853">
      <w:marLeft w:val="0"/>
      <w:marRight w:val="0"/>
      <w:marTop w:val="0"/>
      <w:marBottom w:val="0"/>
      <w:divBdr>
        <w:top w:val="none" w:sz="0" w:space="0" w:color="auto"/>
        <w:left w:val="none" w:sz="0" w:space="0" w:color="auto"/>
        <w:bottom w:val="none" w:sz="0" w:space="0" w:color="auto"/>
        <w:right w:val="none" w:sz="0" w:space="0" w:color="auto"/>
      </w:divBdr>
    </w:div>
    <w:div w:id="945384854">
      <w:marLeft w:val="0"/>
      <w:marRight w:val="0"/>
      <w:marTop w:val="0"/>
      <w:marBottom w:val="0"/>
      <w:divBdr>
        <w:top w:val="none" w:sz="0" w:space="0" w:color="auto"/>
        <w:left w:val="none" w:sz="0" w:space="0" w:color="auto"/>
        <w:bottom w:val="none" w:sz="0" w:space="0" w:color="auto"/>
        <w:right w:val="none" w:sz="0" w:space="0" w:color="auto"/>
      </w:divBdr>
      <w:divsChild>
        <w:div w:id="945384823">
          <w:marLeft w:val="0"/>
          <w:marRight w:val="0"/>
          <w:marTop w:val="0"/>
          <w:marBottom w:val="0"/>
          <w:divBdr>
            <w:top w:val="none" w:sz="0" w:space="0" w:color="auto"/>
            <w:left w:val="none" w:sz="0" w:space="0" w:color="auto"/>
            <w:bottom w:val="none" w:sz="0" w:space="0" w:color="auto"/>
            <w:right w:val="none" w:sz="0" w:space="0" w:color="auto"/>
          </w:divBdr>
          <w:divsChild>
            <w:div w:id="945384890">
              <w:marLeft w:val="0"/>
              <w:marRight w:val="0"/>
              <w:marTop w:val="0"/>
              <w:marBottom w:val="0"/>
              <w:divBdr>
                <w:top w:val="none" w:sz="0" w:space="0" w:color="auto"/>
                <w:left w:val="none" w:sz="0" w:space="0" w:color="auto"/>
                <w:bottom w:val="none" w:sz="0" w:space="0" w:color="auto"/>
                <w:right w:val="none" w:sz="0" w:space="0" w:color="auto"/>
              </w:divBdr>
            </w:div>
          </w:divsChild>
        </w:div>
        <w:div w:id="945384842">
          <w:marLeft w:val="0"/>
          <w:marRight w:val="0"/>
          <w:marTop w:val="0"/>
          <w:marBottom w:val="0"/>
          <w:divBdr>
            <w:top w:val="none" w:sz="0" w:space="0" w:color="auto"/>
            <w:left w:val="none" w:sz="0" w:space="0" w:color="auto"/>
            <w:bottom w:val="none" w:sz="0" w:space="0" w:color="auto"/>
            <w:right w:val="none" w:sz="0" w:space="0" w:color="auto"/>
          </w:divBdr>
          <w:divsChild>
            <w:div w:id="945384820">
              <w:marLeft w:val="0"/>
              <w:marRight w:val="0"/>
              <w:marTop w:val="0"/>
              <w:marBottom w:val="0"/>
              <w:divBdr>
                <w:top w:val="none" w:sz="0" w:space="0" w:color="auto"/>
                <w:left w:val="none" w:sz="0" w:space="0" w:color="auto"/>
                <w:bottom w:val="none" w:sz="0" w:space="0" w:color="auto"/>
                <w:right w:val="none" w:sz="0" w:space="0" w:color="auto"/>
              </w:divBdr>
            </w:div>
            <w:div w:id="945384844">
              <w:marLeft w:val="0"/>
              <w:marRight w:val="0"/>
              <w:marTop w:val="0"/>
              <w:marBottom w:val="0"/>
              <w:divBdr>
                <w:top w:val="none" w:sz="0" w:space="0" w:color="auto"/>
                <w:left w:val="none" w:sz="0" w:space="0" w:color="auto"/>
                <w:bottom w:val="none" w:sz="0" w:space="0" w:color="auto"/>
                <w:right w:val="none" w:sz="0" w:space="0" w:color="auto"/>
              </w:divBdr>
            </w:div>
            <w:div w:id="945384874">
              <w:marLeft w:val="0"/>
              <w:marRight w:val="0"/>
              <w:marTop w:val="0"/>
              <w:marBottom w:val="0"/>
              <w:divBdr>
                <w:top w:val="none" w:sz="0" w:space="0" w:color="auto"/>
                <w:left w:val="none" w:sz="0" w:space="0" w:color="auto"/>
                <w:bottom w:val="none" w:sz="0" w:space="0" w:color="auto"/>
                <w:right w:val="none" w:sz="0" w:space="0" w:color="auto"/>
              </w:divBdr>
            </w:div>
          </w:divsChild>
        </w:div>
        <w:div w:id="945384852">
          <w:marLeft w:val="0"/>
          <w:marRight w:val="0"/>
          <w:marTop w:val="0"/>
          <w:marBottom w:val="0"/>
          <w:divBdr>
            <w:top w:val="none" w:sz="0" w:space="0" w:color="auto"/>
            <w:left w:val="none" w:sz="0" w:space="0" w:color="auto"/>
            <w:bottom w:val="none" w:sz="0" w:space="0" w:color="auto"/>
            <w:right w:val="none" w:sz="0" w:space="0" w:color="auto"/>
          </w:divBdr>
        </w:div>
        <w:div w:id="945384859">
          <w:marLeft w:val="0"/>
          <w:marRight w:val="0"/>
          <w:marTop w:val="0"/>
          <w:marBottom w:val="0"/>
          <w:divBdr>
            <w:top w:val="none" w:sz="0" w:space="0" w:color="auto"/>
            <w:left w:val="none" w:sz="0" w:space="0" w:color="auto"/>
            <w:bottom w:val="none" w:sz="0" w:space="0" w:color="auto"/>
            <w:right w:val="none" w:sz="0" w:space="0" w:color="auto"/>
          </w:divBdr>
        </w:div>
        <w:div w:id="945384891">
          <w:marLeft w:val="0"/>
          <w:marRight w:val="0"/>
          <w:marTop w:val="0"/>
          <w:marBottom w:val="0"/>
          <w:divBdr>
            <w:top w:val="none" w:sz="0" w:space="0" w:color="auto"/>
            <w:left w:val="none" w:sz="0" w:space="0" w:color="auto"/>
            <w:bottom w:val="none" w:sz="0" w:space="0" w:color="auto"/>
            <w:right w:val="none" w:sz="0" w:space="0" w:color="auto"/>
          </w:divBdr>
        </w:div>
        <w:div w:id="945384892">
          <w:marLeft w:val="0"/>
          <w:marRight w:val="0"/>
          <w:marTop w:val="0"/>
          <w:marBottom w:val="0"/>
          <w:divBdr>
            <w:top w:val="none" w:sz="0" w:space="0" w:color="auto"/>
            <w:left w:val="none" w:sz="0" w:space="0" w:color="auto"/>
            <w:bottom w:val="none" w:sz="0" w:space="0" w:color="auto"/>
            <w:right w:val="none" w:sz="0" w:space="0" w:color="auto"/>
          </w:divBdr>
        </w:div>
        <w:div w:id="945384897">
          <w:marLeft w:val="0"/>
          <w:marRight w:val="0"/>
          <w:marTop w:val="0"/>
          <w:marBottom w:val="0"/>
          <w:divBdr>
            <w:top w:val="none" w:sz="0" w:space="0" w:color="auto"/>
            <w:left w:val="none" w:sz="0" w:space="0" w:color="auto"/>
            <w:bottom w:val="none" w:sz="0" w:space="0" w:color="auto"/>
            <w:right w:val="none" w:sz="0" w:space="0" w:color="auto"/>
          </w:divBdr>
        </w:div>
      </w:divsChild>
    </w:div>
    <w:div w:id="945384856">
      <w:marLeft w:val="0"/>
      <w:marRight w:val="0"/>
      <w:marTop w:val="0"/>
      <w:marBottom w:val="0"/>
      <w:divBdr>
        <w:top w:val="none" w:sz="0" w:space="0" w:color="auto"/>
        <w:left w:val="none" w:sz="0" w:space="0" w:color="auto"/>
        <w:bottom w:val="none" w:sz="0" w:space="0" w:color="auto"/>
        <w:right w:val="none" w:sz="0" w:space="0" w:color="auto"/>
      </w:divBdr>
      <w:divsChild>
        <w:div w:id="945384901">
          <w:marLeft w:val="0"/>
          <w:marRight w:val="0"/>
          <w:marTop w:val="0"/>
          <w:marBottom w:val="0"/>
          <w:divBdr>
            <w:top w:val="none" w:sz="0" w:space="0" w:color="auto"/>
            <w:left w:val="none" w:sz="0" w:space="0" w:color="auto"/>
            <w:bottom w:val="none" w:sz="0" w:space="0" w:color="auto"/>
            <w:right w:val="none" w:sz="0" w:space="0" w:color="auto"/>
          </w:divBdr>
        </w:div>
      </w:divsChild>
    </w:div>
    <w:div w:id="945384858">
      <w:marLeft w:val="0"/>
      <w:marRight w:val="0"/>
      <w:marTop w:val="0"/>
      <w:marBottom w:val="0"/>
      <w:divBdr>
        <w:top w:val="none" w:sz="0" w:space="0" w:color="auto"/>
        <w:left w:val="none" w:sz="0" w:space="0" w:color="auto"/>
        <w:bottom w:val="none" w:sz="0" w:space="0" w:color="auto"/>
        <w:right w:val="none" w:sz="0" w:space="0" w:color="auto"/>
      </w:divBdr>
    </w:div>
    <w:div w:id="945384860">
      <w:marLeft w:val="0"/>
      <w:marRight w:val="0"/>
      <w:marTop w:val="0"/>
      <w:marBottom w:val="0"/>
      <w:divBdr>
        <w:top w:val="none" w:sz="0" w:space="0" w:color="auto"/>
        <w:left w:val="none" w:sz="0" w:space="0" w:color="auto"/>
        <w:bottom w:val="none" w:sz="0" w:space="0" w:color="auto"/>
        <w:right w:val="none" w:sz="0" w:space="0" w:color="auto"/>
      </w:divBdr>
    </w:div>
    <w:div w:id="945384871">
      <w:marLeft w:val="0"/>
      <w:marRight w:val="0"/>
      <w:marTop w:val="0"/>
      <w:marBottom w:val="0"/>
      <w:divBdr>
        <w:top w:val="none" w:sz="0" w:space="0" w:color="auto"/>
        <w:left w:val="none" w:sz="0" w:space="0" w:color="auto"/>
        <w:bottom w:val="none" w:sz="0" w:space="0" w:color="auto"/>
        <w:right w:val="none" w:sz="0" w:space="0" w:color="auto"/>
      </w:divBdr>
    </w:div>
    <w:div w:id="945384875">
      <w:marLeft w:val="0"/>
      <w:marRight w:val="0"/>
      <w:marTop w:val="0"/>
      <w:marBottom w:val="0"/>
      <w:divBdr>
        <w:top w:val="none" w:sz="0" w:space="0" w:color="auto"/>
        <w:left w:val="none" w:sz="0" w:space="0" w:color="auto"/>
        <w:bottom w:val="none" w:sz="0" w:space="0" w:color="auto"/>
        <w:right w:val="none" w:sz="0" w:space="0" w:color="auto"/>
      </w:divBdr>
    </w:div>
    <w:div w:id="945384876">
      <w:marLeft w:val="0"/>
      <w:marRight w:val="0"/>
      <w:marTop w:val="0"/>
      <w:marBottom w:val="0"/>
      <w:divBdr>
        <w:top w:val="none" w:sz="0" w:space="0" w:color="auto"/>
        <w:left w:val="none" w:sz="0" w:space="0" w:color="auto"/>
        <w:bottom w:val="none" w:sz="0" w:space="0" w:color="auto"/>
        <w:right w:val="none" w:sz="0" w:space="0" w:color="auto"/>
      </w:divBdr>
    </w:div>
    <w:div w:id="945384878">
      <w:marLeft w:val="0"/>
      <w:marRight w:val="0"/>
      <w:marTop w:val="0"/>
      <w:marBottom w:val="0"/>
      <w:divBdr>
        <w:top w:val="none" w:sz="0" w:space="0" w:color="auto"/>
        <w:left w:val="none" w:sz="0" w:space="0" w:color="auto"/>
        <w:bottom w:val="none" w:sz="0" w:space="0" w:color="auto"/>
        <w:right w:val="none" w:sz="0" w:space="0" w:color="auto"/>
      </w:divBdr>
      <w:divsChild>
        <w:div w:id="945384884">
          <w:marLeft w:val="0"/>
          <w:marRight w:val="1"/>
          <w:marTop w:val="0"/>
          <w:marBottom w:val="0"/>
          <w:divBdr>
            <w:top w:val="none" w:sz="0" w:space="0" w:color="auto"/>
            <w:left w:val="none" w:sz="0" w:space="0" w:color="auto"/>
            <w:bottom w:val="none" w:sz="0" w:space="0" w:color="auto"/>
            <w:right w:val="none" w:sz="0" w:space="0" w:color="auto"/>
          </w:divBdr>
          <w:divsChild>
            <w:div w:id="945384845">
              <w:marLeft w:val="0"/>
              <w:marRight w:val="0"/>
              <w:marTop w:val="0"/>
              <w:marBottom w:val="0"/>
              <w:divBdr>
                <w:top w:val="none" w:sz="0" w:space="0" w:color="auto"/>
                <w:left w:val="none" w:sz="0" w:space="0" w:color="auto"/>
                <w:bottom w:val="none" w:sz="0" w:space="0" w:color="auto"/>
                <w:right w:val="none" w:sz="0" w:space="0" w:color="auto"/>
              </w:divBdr>
              <w:divsChild>
                <w:div w:id="945384877">
                  <w:marLeft w:val="0"/>
                  <w:marRight w:val="1"/>
                  <w:marTop w:val="0"/>
                  <w:marBottom w:val="0"/>
                  <w:divBdr>
                    <w:top w:val="none" w:sz="0" w:space="0" w:color="auto"/>
                    <w:left w:val="none" w:sz="0" w:space="0" w:color="auto"/>
                    <w:bottom w:val="none" w:sz="0" w:space="0" w:color="auto"/>
                    <w:right w:val="none" w:sz="0" w:space="0" w:color="auto"/>
                  </w:divBdr>
                  <w:divsChild>
                    <w:div w:id="945384895">
                      <w:marLeft w:val="0"/>
                      <w:marRight w:val="0"/>
                      <w:marTop w:val="0"/>
                      <w:marBottom w:val="0"/>
                      <w:divBdr>
                        <w:top w:val="none" w:sz="0" w:space="0" w:color="auto"/>
                        <w:left w:val="none" w:sz="0" w:space="0" w:color="auto"/>
                        <w:bottom w:val="none" w:sz="0" w:space="0" w:color="auto"/>
                        <w:right w:val="none" w:sz="0" w:space="0" w:color="auto"/>
                      </w:divBdr>
                      <w:divsChild>
                        <w:div w:id="945384840">
                          <w:marLeft w:val="0"/>
                          <w:marRight w:val="0"/>
                          <w:marTop w:val="0"/>
                          <w:marBottom w:val="0"/>
                          <w:divBdr>
                            <w:top w:val="none" w:sz="0" w:space="0" w:color="auto"/>
                            <w:left w:val="none" w:sz="0" w:space="0" w:color="auto"/>
                            <w:bottom w:val="none" w:sz="0" w:space="0" w:color="auto"/>
                            <w:right w:val="none" w:sz="0" w:space="0" w:color="auto"/>
                          </w:divBdr>
                          <w:divsChild>
                            <w:div w:id="945384900">
                              <w:marLeft w:val="0"/>
                              <w:marRight w:val="0"/>
                              <w:marTop w:val="120"/>
                              <w:marBottom w:val="360"/>
                              <w:divBdr>
                                <w:top w:val="none" w:sz="0" w:space="0" w:color="auto"/>
                                <w:left w:val="none" w:sz="0" w:space="0" w:color="auto"/>
                                <w:bottom w:val="none" w:sz="0" w:space="0" w:color="auto"/>
                                <w:right w:val="none" w:sz="0" w:space="0" w:color="auto"/>
                              </w:divBdr>
                              <w:divsChild>
                                <w:div w:id="945384896">
                                  <w:marLeft w:val="0"/>
                                  <w:marRight w:val="0"/>
                                  <w:marTop w:val="0"/>
                                  <w:marBottom w:val="0"/>
                                  <w:divBdr>
                                    <w:top w:val="none" w:sz="0" w:space="0" w:color="auto"/>
                                    <w:left w:val="none" w:sz="0" w:space="0" w:color="auto"/>
                                    <w:bottom w:val="none" w:sz="0" w:space="0" w:color="auto"/>
                                    <w:right w:val="none" w:sz="0" w:space="0" w:color="auto"/>
                                  </w:divBdr>
                                  <w:divsChild>
                                    <w:div w:id="9453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84879">
      <w:marLeft w:val="0"/>
      <w:marRight w:val="0"/>
      <w:marTop w:val="0"/>
      <w:marBottom w:val="0"/>
      <w:divBdr>
        <w:top w:val="none" w:sz="0" w:space="0" w:color="auto"/>
        <w:left w:val="none" w:sz="0" w:space="0" w:color="auto"/>
        <w:bottom w:val="none" w:sz="0" w:space="0" w:color="auto"/>
        <w:right w:val="none" w:sz="0" w:space="0" w:color="auto"/>
      </w:divBdr>
    </w:div>
    <w:div w:id="945384882">
      <w:marLeft w:val="0"/>
      <w:marRight w:val="0"/>
      <w:marTop w:val="0"/>
      <w:marBottom w:val="0"/>
      <w:divBdr>
        <w:top w:val="none" w:sz="0" w:space="0" w:color="auto"/>
        <w:left w:val="none" w:sz="0" w:space="0" w:color="auto"/>
        <w:bottom w:val="none" w:sz="0" w:space="0" w:color="auto"/>
        <w:right w:val="none" w:sz="0" w:space="0" w:color="auto"/>
      </w:divBdr>
      <w:divsChild>
        <w:div w:id="945384867">
          <w:marLeft w:val="0"/>
          <w:marRight w:val="1"/>
          <w:marTop w:val="0"/>
          <w:marBottom w:val="0"/>
          <w:divBdr>
            <w:top w:val="none" w:sz="0" w:space="0" w:color="auto"/>
            <w:left w:val="none" w:sz="0" w:space="0" w:color="auto"/>
            <w:bottom w:val="none" w:sz="0" w:space="0" w:color="auto"/>
            <w:right w:val="none" w:sz="0" w:space="0" w:color="auto"/>
          </w:divBdr>
          <w:divsChild>
            <w:div w:id="945384873">
              <w:marLeft w:val="0"/>
              <w:marRight w:val="0"/>
              <w:marTop w:val="0"/>
              <w:marBottom w:val="0"/>
              <w:divBdr>
                <w:top w:val="none" w:sz="0" w:space="0" w:color="auto"/>
                <w:left w:val="none" w:sz="0" w:space="0" w:color="auto"/>
                <w:bottom w:val="none" w:sz="0" w:space="0" w:color="auto"/>
                <w:right w:val="none" w:sz="0" w:space="0" w:color="auto"/>
              </w:divBdr>
              <w:divsChild>
                <w:div w:id="945384830">
                  <w:marLeft w:val="0"/>
                  <w:marRight w:val="1"/>
                  <w:marTop w:val="0"/>
                  <w:marBottom w:val="0"/>
                  <w:divBdr>
                    <w:top w:val="none" w:sz="0" w:space="0" w:color="auto"/>
                    <w:left w:val="none" w:sz="0" w:space="0" w:color="auto"/>
                    <w:bottom w:val="none" w:sz="0" w:space="0" w:color="auto"/>
                    <w:right w:val="none" w:sz="0" w:space="0" w:color="auto"/>
                  </w:divBdr>
                  <w:divsChild>
                    <w:div w:id="945384903">
                      <w:marLeft w:val="0"/>
                      <w:marRight w:val="0"/>
                      <w:marTop w:val="0"/>
                      <w:marBottom w:val="0"/>
                      <w:divBdr>
                        <w:top w:val="none" w:sz="0" w:space="0" w:color="auto"/>
                        <w:left w:val="none" w:sz="0" w:space="0" w:color="auto"/>
                        <w:bottom w:val="none" w:sz="0" w:space="0" w:color="auto"/>
                        <w:right w:val="none" w:sz="0" w:space="0" w:color="auto"/>
                      </w:divBdr>
                      <w:divsChild>
                        <w:div w:id="945384869">
                          <w:marLeft w:val="0"/>
                          <w:marRight w:val="0"/>
                          <w:marTop w:val="0"/>
                          <w:marBottom w:val="0"/>
                          <w:divBdr>
                            <w:top w:val="none" w:sz="0" w:space="0" w:color="auto"/>
                            <w:left w:val="none" w:sz="0" w:space="0" w:color="auto"/>
                            <w:bottom w:val="none" w:sz="0" w:space="0" w:color="auto"/>
                            <w:right w:val="none" w:sz="0" w:space="0" w:color="auto"/>
                          </w:divBdr>
                          <w:divsChild>
                            <w:div w:id="945384855">
                              <w:marLeft w:val="0"/>
                              <w:marRight w:val="0"/>
                              <w:marTop w:val="120"/>
                              <w:marBottom w:val="360"/>
                              <w:divBdr>
                                <w:top w:val="none" w:sz="0" w:space="0" w:color="auto"/>
                                <w:left w:val="none" w:sz="0" w:space="0" w:color="auto"/>
                                <w:bottom w:val="none" w:sz="0" w:space="0" w:color="auto"/>
                                <w:right w:val="none" w:sz="0" w:space="0" w:color="auto"/>
                              </w:divBdr>
                              <w:divsChild>
                                <w:div w:id="945384817">
                                  <w:marLeft w:val="420"/>
                                  <w:marRight w:val="0"/>
                                  <w:marTop w:val="0"/>
                                  <w:marBottom w:val="0"/>
                                  <w:divBdr>
                                    <w:top w:val="none" w:sz="0" w:space="0" w:color="auto"/>
                                    <w:left w:val="none" w:sz="0" w:space="0" w:color="auto"/>
                                    <w:bottom w:val="none" w:sz="0" w:space="0" w:color="auto"/>
                                    <w:right w:val="none" w:sz="0" w:space="0" w:color="auto"/>
                                  </w:divBdr>
                                  <w:divsChild>
                                    <w:div w:id="945384815">
                                      <w:marLeft w:val="0"/>
                                      <w:marRight w:val="0"/>
                                      <w:marTop w:val="0"/>
                                      <w:marBottom w:val="0"/>
                                      <w:divBdr>
                                        <w:top w:val="none" w:sz="0" w:space="0" w:color="auto"/>
                                        <w:left w:val="none" w:sz="0" w:space="0" w:color="auto"/>
                                        <w:bottom w:val="none" w:sz="0" w:space="0" w:color="auto"/>
                                        <w:right w:val="none" w:sz="0" w:space="0" w:color="auto"/>
                                      </w:divBdr>
                                      <w:divsChild>
                                        <w:div w:id="9453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84883">
      <w:marLeft w:val="0"/>
      <w:marRight w:val="0"/>
      <w:marTop w:val="0"/>
      <w:marBottom w:val="0"/>
      <w:divBdr>
        <w:top w:val="none" w:sz="0" w:space="0" w:color="auto"/>
        <w:left w:val="none" w:sz="0" w:space="0" w:color="auto"/>
        <w:bottom w:val="none" w:sz="0" w:space="0" w:color="auto"/>
        <w:right w:val="none" w:sz="0" w:space="0" w:color="auto"/>
      </w:divBdr>
    </w:div>
    <w:div w:id="945384885">
      <w:marLeft w:val="0"/>
      <w:marRight w:val="0"/>
      <w:marTop w:val="0"/>
      <w:marBottom w:val="0"/>
      <w:divBdr>
        <w:top w:val="none" w:sz="0" w:space="0" w:color="auto"/>
        <w:left w:val="none" w:sz="0" w:space="0" w:color="auto"/>
        <w:bottom w:val="none" w:sz="0" w:space="0" w:color="auto"/>
        <w:right w:val="none" w:sz="0" w:space="0" w:color="auto"/>
      </w:divBdr>
      <w:divsChild>
        <w:div w:id="945384880">
          <w:marLeft w:val="0"/>
          <w:marRight w:val="1"/>
          <w:marTop w:val="0"/>
          <w:marBottom w:val="0"/>
          <w:divBdr>
            <w:top w:val="none" w:sz="0" w:space="0" w:color="auto"/>
            <w:left w:val="none" w:sz="0" w:space="0" w:color="auto"/>
            <w:bottom w:val="none" w:sz="0" w:space="0" w:color="auto"/>
            <w:right w:val="none" w:sz="0" w:space="0" w:color="auto"/>
          </w:divBdr>
          <w:divsChild>
            <w:div w:id="945384863">
              <w:marLeft w:val="0"/>
              <w:marRight w:val="0"/>
              <w:marTop w:val="0"/>
              <w:marBottom w:val="0"/>
              <w:divBdr>
                <w:top w:val="none" w:sz="0" w:space="0" w:color="auto"/>
                <w:left w:val="none" w:sz="0" w:space="0" w:color="auto"/>
                <w:bottom w:val="none" w:sz="0" w:space="0" w:color="auto"/>
                <w:right w:val="none" w:sz="0" w:space="0" w:color="auto"/>
              </w:divBdr>
              <w:divsChild>
                <w:div w:id="945384832">
                  <w:marLeft w:val="0"/>
                  <w:marRight w:val="1"/>
                  <w:marTop w:val="0"/>
                  <w:marBottom w:val="0"/>
                  <w:divBdr>
                    <w:top w:val="none" w:sz="0" w:space="0" w:color="auto"/>
                    <w:left w:val="none" w:sz="0" w:space="0" w:color="auto"/>
                    <w:bottom w:val="none" w:sz="0" w:space="0" w:color="auto"/>
                    <w:right w:val="none" w:sz="0" w:space="0" w:color="auto"/>
                  </w:divBdr>
                  <w:divsChild>
                    <w:div w:id="945384868">
                      <w:marLeft w:val="0"/>
                      <w:marRight w:val="0"/>
                      <w:marTop w:val="0"/>
                      <w:marBottom w:val="0"/>
                      <w:divBdr>
                        <w:top w:val="none" w:sz="0" w:space="0" w:color="auto"/>
                        <w:left w:val="none" w:sz="0" w:space="0" w:color="auto"/>
                        <w:bottom w:val="none" w:sz="0" w:space="0" w:color="auto"/>
                        <w:right w:val="none" w:sz="0" w:space="0" w:color="auto"/>
                      </w:divBdr>
                      <w:divsChild>
                        <w:div w:id="945384899">
                          <w:marLeft w:val="0"/>
                          <w:marRight w:val="0"/>
                          <w:marTop w:val="0"/>
                          <w:marBottom w:val="0"/>
                          <w:divBdr>
                            <w:top w:val="none" w:sz="0" w:space="0" w:color="auto"/>
                            <w:left w:val="none" w:sz="0" w:space="0" w:color="auto"/>
                            <w:bottom w:val="none" w:sz="0" w:space="0" w:color="auto"/>
                            <w:right w:val="none" w:sz="0" w:space="0" w:color="auto"/>
                          </w:divBdr>
                          <w:divsChild>
                            <w:div w:id="945384839">
                              <w:marLeft w:val="0"/>
                              <w:marRight w:val="0"/>
                              <w:marTop w:val="120"/>
                              <w:marBottom w:val="360"/>
                              <w:divBdr>
                                <w:top w:val="none" w:sz="0" w:space="0" w:color="auto"/>
                                <w:left w:val="none" w:sz="0" w:space="0" w:color="auto"/>
                                <w:bottom w:val="none" w:sz="0" w:space="0" w:color="auto"/>
                                <w:right w:val="none" w:sz="0" w:space="0" w:color="auto"/>
                              </w:divBdr>
                              <w:divsChild>
                                <w:div w:id="945384831">
                                  <w:marLeft w:val="420"/>
                                  <w:marRight w:val="0"/>
                                  <w:marTop w:val="0"/>
                                  <w:marBottom w:val="0"/>
                                  <w:divBdr>
                                    <w:top w:val="none" w:sz="0" w:space="0" w:color="auto"/>
                                    <w:left w:val="none" w:sz="0" w:space="0" w:color="auto"/>
                                    <w:bottom w:val="none" w:sz="0" w:space="0" w:color="auto"/>
                                    <w:right w:val="none" w:sz="0" w:space="0" w:color="auto"/>
                                  </w:divBdr>
                                  <w:divsChild>
                                    <w:div w:id="945384861">
                                      <w:marLeft w:val="0"/>
                                      <w:marRight w:val="0"/>
                                      <w:marTop w:val="0"/>
                                      <w:marBottom w:val="0"/>
                                      <w:divBdr>
                                        <w:top w:val="none" w:sz="0" w:space="0" w:color="auto"/>
                                        <w:left w:val="none" w:sz="0" w:space="0" w:color="auto"/>
                                        <w:bottom w:val="none" w:sz="0" w:space="0" w:color="auto"/>
                                        <w:right w:val="none" w:sz="0" w:space="0" w:color="auto"/>
                                      </w:divBdr>
                                      <w:divsChild>
                                        <w:div w:id="945384835">
                                          <w:marLeft w:val="0"/>
                                          <w:marRight w:val="0"/>
                                          <w:marTop w:val="0"/>
                                          <w:marBottom w:val="0"/>
                                          <w:divBdr>
                                            <w:top w:val="none" w:sz="0" w:space="0" w:color="auto"/>
                                            <w:left w:val="none" w:sz="0" w:space="0" w:color="auto"/>
                                            <w:bottom w:val="none" w:sz="0" w:space="0" w:color="auto"/>
                                            <w:right w:val="none" w:sz="0" w:space="0" w:color="auto"/>
                                          </w:divBdr>
                                        </w:div>
                                      </w:divsChild>
                                    </w:div>
                                    <w:div w:id="9453848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384886">
      <w:marLeft w:val="0"/>
      <w:marRight w:val="0"/>
      <w:marTop w:val="0"/>
      <w:marBottom w:val="0"/>
      <w:divBdr>
        <w:top w:val="none" w:sz="0" w:space="0" w:color="auto"/>
        <w:left w:val="none" w:sz="0" w:space="0" w:color="auto"/>
        <w:bottom w:val="none" w:sz="0" w:space="0" w:color="auto"/>
        <w:right w:val="none" w:sz="0" w:space="0" w:color="auto"/>
      </w:divBdr>
    </w:div>
    <w:div w:id="945384888">
      <w:marLeft w:val="0"/>
      <w:marRight w:val="0"/>
      <w:marTop w:val="0"/>
      <w:marBottom w:val="0"/>
      <w:divBdr>
        <w:top w:val="none" w:sz="0" w:space="0" w:color="auto"/>
        <w:left w:val="none" w:sz="0" w:space="0" w:color="auto"/>
        <w:bottom w:val="none" w:sz="0" w:space="0" w:color="auto"/>
        <w:right w:val="none" w:sz="0" w:space="0" w:color="auto"/>
      </w:divBdr>
    </w:div>
    <w:div w:id="945384889">
      <w:marLeft w:val="0"/>
      <w:marRight w:val="0"/>
      <w:marTop w:val="0"/>
      <w:marBottom w:val="0"/>
      <w:divBdr>
        <w:top w:val="none" w:sz="0" w:space="0" w:color="auto"/>
        <w:left w:val="none" w:sz="0" w:space="0" w:color="auto"/>
        <w:bottom w:val="none" w:sz="0" w:space="0" w:color="auto"/>
        <w:right w:val="none" w:sz="0" w:space="0" w:color="auto"/>
      </w:divBdr>
      <w:divsChild>
        <w:div w:id="945384828">
          <w:marLeft w:val="0"/>
          <w:marRight w:val="0"/>
          <w:marTop w:val="240"/>
          <w:marBottom w:val="0"/>
          <w:divBdr>
            <w:top w:val="none" w:sz="0" w:space="0" w:color="auto"/>
            <w:left w:val="none" w:sz="0" w:space="0" w:color="auto"/>
            <w:bottom w:val="none" w:sz="0" w:space="0" w:color="auto"/>
            <w:right w:val="none" w:sz="0" w:space="0" w:color="auto"/>
          </w:divBdr>
        </w:div>
        <w:div w:id="945384870">
          <w:marLeft w:val="0"/>
          <w:marRight w:val="0"/>
          <w:marTop w:val="240"/>
          <w:marBottom w:val="0"/>
          <w:divBdr>
            <w:top w:val="none" w:sz="0" w:space="0" w:color="auto"/>
            <w:left w:val="none" w:sz="0" w:space="0" w:color="auto"/>
            <w:bottom w:val="none" w:sz="0" w:space="0" w:color="auto"/>
            <w:right w:val="none" w:sz="0" w:space="0" w:color="auto"/>
          </w:divBdr>
        </w:div>
        <w:div w:id="945384881">
          <w:marLeft w:val="0"/>
          <w:marRight w:val="0"/>
          <w:marTop w:val="240"/>
          <w:marBottom w:val="0"/>
          <w:divBdr>
            <w:top w:val="none" w:sz="0" w:space="0" w:color="auto"/>
            <w:left w:val="none" w:sz="0" w:space="0" w:color="auto"/>
            <w:bottom w:val="none" w:sz="0" w:space="0" w:color="auto"/>
            <w:right w:val="none" w:sz="0" w:space="0" w:color="auto"/>
          </w:divBdr>
        </w:div>
        <w:div w:id="945384887">
          <w:marLeft w:val="0"/>
          <w:marRight w:val="0"/>
          <w:marTop w:val="240"/>
          <w:marBottom w:val="0"/>
          <w:divBdr>
            <w:top w:val="none" w:sz="0" w:space="0" w:color="auto"/>
            <w:left w:val="none" w:sz="0" w:space="0" w:color="auto"/>
            <w:bottom w:val="none" w:sz="0" w:space="0" w:color="auto"/>
            <w:right w:val="none" w:sz="0" w:space="0" w:color="auto"/>
          </w:divBdr>
        </w:div>
      </w:divsChild>
    </w:div>
    <w:div w:id="945384894">
      <w:marLeft w:val="0"/>
      <w:marRight w:val="0"/>
      <w:marTop w:val="0"/>
      <w:marBottom w:val="0"/>
      <w:divBdr>
        <w:top w:val="none" w:sz="0" w:space="0" w:color="auto"/>
        <w:left w:val="none" w:sz="0" w:space="0" w:color="auto"/>
        <w:bottom w:val="none" w:sz="0" w:space="0" w:color="auto"/>
        <w:right w:val="none" w:sz="0" w:space="0" w:color="auto"/>
      </w:divBdr>
    </w:div>
    <w:div w:id="945384898">
      <w:marLeft w:val="0"/>
      <w:marRight w:val="0"/>
      <w:marTop w:val="0"/>
      <w:marBottom w:val="0"/>
      <w:divBdr>
        <w:top w:val="none" w:sz="0" w:space="0" w:color="auto"/>
        <w:left w:val="none" w:sz="0" w:space="0" w:color="auto"/>
        <w:bottom w:val="none" w:sz="0" w:space="0" w:color="auto"/>
        <w:right w:val="none" w:sz="0" w:space="0" w:color="auto"/>
      </w:divBdr>
    </w:div>
    <w:div w:id="945384904">
      <w:marLeft w:val="0"/>
      <w:marRight w:val="0"/>
      <w:marTop w:val="0"/>
      <w:marBottom w:val="0"/>
      <w:divBdr>
        <w:top w:val="none" w:sz="0" w:space="0" w:color="auto"/>
        <w:left w:val="none" w:sz="0" w:space="0" w:color="auto"/>
        <w:bottom w:val="none" w:sz="0" w:space="0" w:color="auto"/>
        <w:right w:val="none" w:sz="0" w:space="0" w:color="auto"/>
      </w:divBdr>
    </w:div>
    <w:div w:id="945384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ssefa@uaeu.ac.a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5462</Words>
  <Characters>31139</Characters>
  <Application>Microsoft Office Word</Application>
  <DocSecurity>0</DocSecurity>
  <Lines>259</Lines>
  <Paragraphs>73</Paragraphs>
  <ScaleCrop>false</ScaleCrop>
  <Company>RA</Company>
  <LinksUpToDate>false</LinksUpToDate>
  <CharactersWithSpaces>36528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Bold Times New Roman size 18</dc:title>
  <dc:creator>Raa Said</dc:creator>
  <cp:lastModifiedBy>LS Ma</cp:lastModifiedBy>
  <cp:revision>2</cp:revision>
  <cp:lastPrinted>2014-02-11T11:50:00Z</cp:lastPrinted>
  <dcterms:created xsi:type="dcterms:W3CDTF">2014-05-25T05:04:00Z</dcterms:created>
  <dcterms:modified xsi:type="dcterms:W3CDTF">2014-05-25T05:04:00Z</dcterms:modified>
</cp:coreProperties>
</file>