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79" w:rsidRPr="009803CF" w:rsidRDefault="009803CF">
      <w:pPr>
        <w:spacing w:after="0" w:line="360" w:lineRule="auto"/>
        <w:rPr>
          <w:rFonts w:ascii="Book Antiqua" w:hAnsi="Book Antiqua"/>
          <w:b/>
          <w:sz w:val="24"/>
        </w:rPr>
      </w:pPr>
      <w:r w:rsidRPr="009803CF">
        <w:rPr>
          <w:rFonts w:ascii="Book Antiqua" w:hAnsi="Book Antiqua"/>
          <w:b/>
          <w:sz w:val="24"/>
        </w:rPr>
        <w:t>Name of journal:</w:t>
      </w:r>
      <w:r w:rsidRPr="009803CF">
        <w:rPr>
          <w:rFonts w:ascii="Book Antiqua" w:hAnsi="Book Antiqua"/>
          <w:b/>
          <w:i/>
          <w:sz w:val="24"/>
        </w:rPr>
        <w:t xml:space="preserve"> World Journal of </w:t>
      </w:r>
      <w:r w:rsidRPr="009803CF">
        <w:rPr>
          <w:rFonts w:ascii="Book Antiqua" w:hAnsi="Book Antiqua"/>
          <w:b/>
          <w:i/>
          <w:color w:val="000000"/>
          <w:sz w:val="24"/>
        </w:rPr>
        <w:t>Gastrointestinal Oncology</w:t>
      </w:r>
    </w:p>
    <w:p w:rsidR="00C02679" w:rsidRPr="009803CF" w:rsidRDefault="009803CF">
      <w:pPr>
        <w:spacing w:after="0" w:line="360" w:lineRule="auto"/>
        <w:rPr>
          <w:rFonts w:ascii="Book Antiqua" w:hAnsi="Book Antiqua"/>
          <w:b/>
          <w:sz w:val="24"/>
        </w:rPr>
      </w:pPr>
      <w:r w:rsidRPr="009803CF">
        <w:rPr>
          <w:rFonts w:ascii="Book Antiqua" w:hAnsi="Book Antiqua"/>
          <w:b/>
          <w:sz w:val="24"/>
        </w:rPr>
        <w:t>ESPS Manuscript NO: 9917</w:t>
      </w:r>
    </w:p>
    <w:p w:rsidR="00C02679" w:rsidRPr="009803CF" w:rsidRDefault="009803CF">
      <w:pPr>
        <w:spacing w:after="0" w:line="360" w:lineRule="auto"/>
        <w:rPr>
          <w:rFonts w:ascii="Book Antiqua" w:hAnsi="Book Antiqua"/>
          <w:b/>
          <w:sz w:val="24"/>
        </w:rPr>
      </w:pPr>
      <w:r w:rsidRPr="009803CF">
        <w:rPr>
          <w:rFonts w:ascii="Book Antiqua" w:hAnsi="Book Antiqua"/>
          <w:b/>
          <w:sz w:val="24"/>
        </w:rPr>
        <w:t>Columns:</w:t>
      </w:r>
      <w:r w:rsidRPr="009803CF">
        <w:rPr>
          <w:rFonts w:ascii="Book Antiqua" w:hAnsi="Book Antiqua"/>
          <w:b/>
          <w:color w:val="000000"/>
          <w:sz w:val="24"/>
        </w:rPr>
        <w:t xml:space="preserve"> Observational Study</w:t>
      </w:r>
    </w:p>
    <w:p w:rsidR="00C02679" w:rsidRDefault="009803CF">
      <w:pPr>
        <w:autoSpaceDN w:val="0"/>
        <w:spacing w:after="0" w:line="360" w:lineRule="auto"/>
        <w:rPr>
          <w:rFonts w:ascii="Book Antiqua" w:hAnsi="Book Antiqua"/>
          <w:color w:val="000000"/>
          <w:sz w:val="24"/>
        </w:rPr>
      </w:pPr>
      <w:r>
        <w:rPr>
          <w:rFonts w:ascii="Book Antiqua" w:hAnsi="Book Antiqua"/>
          <w:color w:val="000000"/>
          <w:sz w:val="24"/>
        </w:rPr>
        <w:t xml:space="preserve"> </w:t>
      </w:r>
    </w:p>
    <w:p w:rsidR="00C02679" w:rsidRDefault="009803CF">
      <w:pPr>
        <w:spacing w:after="0" w:line="360" w:lineRule="auto"/>
        <w:rPr>
          <w:rFonts w:ascii="Book Antiqua" w:hAnsi="Book Antiqua"/>
          <w:b/>
          <w:sz w:val="24"/>
        </w:rPr>
      </w:pPr>
      <w:r>
        <w:rPr>
          <w:rFonts w:ascii="Book Antiqua" w:hAnsi="Book Antiqua"/>
          <w:b/>
          <w:sz w:val="24"/>
        </w:rPr>
        <w:t xml:space="preserve">Single nucleotide polymorphisms of </w:t>
      </w:r>
      <w:r>
        <w:rPr>
          <w:rFonts w:ascii="Book Antiqua" w:hAnsi="Book Antiqua"/>
          <w:b/>
          <w:i/>
          <w:sz w:val="24"/>
        </w:rPr>
        <w:t>GNAS1 T393C TT</w:t>
      </w:r>
      <w:r>
        <w:rPr>
          <w:rFonts w:ascii="Book Antiqua" w:hAnsi="Book Antiqua"/>
          <w:b/>
          <w:sz w:val="24"/>
        </w:rPr>
        <w:t xml:space="preserve"> predicts better outcome of advanced non-small cell lung cancer patients</w:t>
      </w:r>
    </w:p>
    <w:p w:rsidR="00C02679" w:rsidRDefault="00C02679">
      <w:pPr>
        <w:spacing w:after="0" w:line="360" w:lineRule="auto"/>
        <w:rPr>
          <w:rFonts w:ascii="Book Antiqua" w:hAnsi="Book Antiqua"/>
          <w:b/>
          <w:sz w:val="24"/>
        </w:rPr>
      </w:pPr>
    </w:p>
    <w:p w:rsidR="00C02679" w:rsidRDefault="009803CF">
      <w:pPr>
        <w:spacing w:after="0" w:line="360" w:lineRule="auto"/>
        <w:rPr>
          <w:rFonts w:ascii="Book Antiqua" w:hAnsi="Book Antiqua"/>
          <w:i/>
          <w:sz w:val="24"/>
        </w:rPr>
      </w:pPr>
      <w:r>
        <w:rPr>
          <w:rFonts w:ascii="Book Antiqua" w:hAnsi="Book Antiqua"/>
          <w:bCs/>
          <w:sz w:val="24"/>
        </w:rPr>
        <w:t xml:space="preserve">Gong HY </w:t>
      </w:r>
      <w:r>
        <w:rPr>
          <w:rFonts w:ascii="Book Antiqua" w:hAnsi="Book Antiqua"/>
          <w:bCs/>
          <w:i/>
          <w:sz w:val="24"/>
        </w:rPr>
        <w:t>et al.</w:t>
      </w:r>
      <w:r>
        <w:rPr>
          <w:rFonts w:ascii="Book Antiqua" w:hAnsi="Book Antiqua"/>
          <w:sz w:val="24"/>
        </w:rPr>
        <w:t xml:space="preserve"> Single nucleotide polymorphisms of </w:t>
      </w:r>
      <w:r>
        <w:rPr>
          <w:rFonts w:ascii="Book Antiqua" w:hAnsi="Book Antiqua"/>
          <w:i/>
          <w:sz w:val="24"/>
        </w:rPr>
        <w:t>GNAS1 T393C TT</w:t>
      </w:r>
    </w:p>
    <w:p w:rsidR="00C02679" w:rsidRDefault="00C02679">
      <w:pPr>
        <w:spacing w:after="0" w:line="360" w:lineRule="auto"/>
        <w:rPr>
          <w:rFonts w:ascii="Book Antiqua" w:hAnsi="Book Antiqua"/>
          <w:b/>
          <w:sz w:val="24"/>
        </w:rPr>
      </w:pPr>
    </w:p>
    <w:p w:rsidR="00C02679" w:rsidRDefault="009803CF">
      <w:pPr>
        <w:spacing w:after="0" w:line="360" w:lineRule="auto"/>
        <w:rPr>
          <w:rFonts w:ascii="Book Antiqua" w:hAnsi="Book Antiqua"/>
          <w:bCs/>
          <w:sz w:val="24"/>
          <w:vertAlign w:val="superscript"/>
        </w:rPr>
      </w:pPr>
      <w:r>
        <w:rPr>
          <w:rFonts w:ascii="Book Antiqua" w:hAnsi="Book Antiqua"/>
          <w:bCs/>
          <w:sz w:val="24"/>
        </w:rPr>
        <w:t>Hong-Yun Gong, Wei-Guo Hu, Xiu-Ling Wang, Fan Zhu, Qin-Bin Song</w:t>
      </w:r>
    </w:p>
    <w:p w:rsidR="00C02679" w:rsidRDefault="00C02679">
      <w:pPr>
        <w:spacing w:after="0" w:line="360" w:lineRule="auto"/>
        <w:rPr>
          <w:rFonts w:ascii="Book Antiqua" w:hAnsi="Book Antiqua"/>
          <w:bCs/>
          <w:sz w:val="24"/>
        </w:rPr>
      </w:pPr>
    </w:p>
    <w:p w:rsidR="00C02679" w:rsidRDefault="009803CF">
      <w:pPr>
        <w:spacing w:after="0" w:line="360" w:lineRule="auto"/>
        <w:rPr>
          <w:rFonts w:ascii="Book Antiqua" w:hAnsi="Book Antiqua"/>
          <w:bCs/>
          <w:sz w:val="24"/>
        </w:rPr>
      </w:pPr>
      <w:r>
        <w:rPr>
          <w:rFonts w:ascii="Book Antiqua" w:hAnsi="Book Antiqua"/>
          <w:b/>
          <w:bCs/>
          <w:sz w:val="24"/>
        </w:rPr>
        <w:t xml:space="preserve">Hong-Yun Gong, Wei-Guo Hu, Qin-Bin Song, </w:t>
      </w:r>
      <w:r>
        <w:rPr>
          <w:rFonts w:ascii="Book Antiqua" w:hAnsi="Book Antiqua"/>
          <w:bCs/>
          <w:sz w:val="24"/>
        </w:rPr>
        <w:t xml:space="preserve">Department of Oncology, Renmin Hospital of Wuhan University, Wuhan 430060, </w:t>
      </w:r>
      <w:r>
        <w:rPr>
          <w:rFonts w:ascii="Book Antiqua" w:hAnsi="Book Antiqua" w:hint="eastAsia"/>
          <w:bCs/>
          <w:sz w:val="24"/>
        </w:rPr>
        <w:t xml:space="preserve">Hebei Province, </w:t>
      </w:r>
      <w:r>
        <w:rPr>
          <w:rFonts w:ascii="Book Antiqua" w:hAnsi="Book Antiqua"/>
          <w:bCs/>
          <w:sz w:val="24"/>
        </w:rPr>
        <w:t>China</w:t>
      </w:r>
    </w:p>
    <w:p w:rsidR="00C02679" w:rsidRPr="009803CF" w:rsidRDefault="00C02679">
      <w:pPr>
        <w:spacing w:after="0" w:line="360" w:lineRule="auto"/>
        <w:rPr>
          <w:rFonts w:ascii="Book Antiqua" w:hAnsi="Book Antiqua"/>
          <w:bCs/>
          <w:sz w:val="24"/>
        </w:rPr>
      </w:pPr>
    </w:p>
    <w:p w:rsidR="00C02679" w:rsidRDefault="009803CF">
      <w:pPr>
        <w:spacing w:after="0" w:line="360" w:lineRule="auto"/>
        <w:rPr>
          <w:rFonts w:ascii="Book Antiqua" w:hAnsi="Book Antiqua"/>
          <w:bCs/>
          <w:sz w:val="24"/>
        </w:rPr>
      </w:pPr>
      <w:r>
        <w:rPr>
          <w:rFonts w:ascii="Book Antiqua" w:hAnsi="Book Antiqua"/>
          <w:b/>
          <w:bCs/>
          <w:sz w:val="24"/>
        </w:rPr>
        <w:t xml:space="preserve">Xiu-Ling Wang, Fan Zhu, </w:t>
      </w:r>
      <w:r>
        <w:rPr>
          <w:rFonts w:ascii="Book Antiqua" w:hAnsi="Book Antiqua"/>
          <w:bCs/>
          <w:sz w:val="24"/>
        </w:rPr>
        <w:t xml:space="preserve">Department of Medical Microbiology, School of Medicine, Wuhan University, Wuhan 430060, </w:t>
      </w:r>
      <w:r>
        <w:rPr>
          <w:rFonts w:ascii="Book Antiqua" w:hAnsi="Book Antiqua" w:hint="eastAsia"/>
          <w:bCs/>
          <w:sz w:val="24"/>
        </w:rPr>
        <w:t xml:space="preserve">Hebei Province, </w:t>
      </w:r>
      <w:r>
        <w:rPr>
          <w:rFonts w:ascii="Book Antiqua" w:hAnsi="Book Antiqua"/>
          <w:bCs/>
          <w:sz w:val="24"/>
        </w:rPr>
        <w:t>China</w:t>
      </w:r>
    </w:p>
    <w:p w:rsidR="00C02679" w:rsidRDefault="00C02679">
      <w:pPr>
        <w:spacing w:after="0" w:line="360" w:lineRule="auto"/>
        <w:rPr>
          <w:rFonts w:ascii="Book Antiqua" w:hAnsi="Book Antiqua"/>
          <w:bCs/>
          <w:sz w:val="24"/>
        </w:rPr>
      </w:pPr>
    </w:p>
    <w:p w:rsidR="00C02679" w:rsidRDefault="009803CF">
      <w:pPr>
        <w:spacing w:after="0" w:line="360" w:lineRule="auto"/>
        <w:rPr>
          <w:rFonts w:ascii="Book Antiqua" w:hAnsi="Book Antiqua"/>
          <w:sz w:val="24"/>
        </w:rPr>
      </w:pPr>
      <w:r>
        <w:rPr>
          <w:rFonts w:ascii="Book Antiqua" w:hAnsi="Book Antiqua"/>
          <w:b/>
          <w:sz w:val="24"/>
        </w:rPr>
        <w:t xml:space="preserve">Author contributions: </w:t>
      </w:r>
      <w:r>
        <w:rPr>
          <w:rFonts w:ascii="Book Antiqua" w:hAnsi="Book Antiqua"/>
          <w:bCs/>
          <w:sz w:val="24"/>
        </w:rPr>
        <w:t xml:space="preserve">Gong HY searched out the GNAS1 T393C polymorphism from a large number of literature and isolated genomic DNA from peripheral blood leucocytes; Hu WG collected blood samples of patients; Wang XL finished the genotyping of gemomic DNA; Zhu F gave suggtions in writing introdution and discussion of this article; Song QB directed and coordinated the accomplish of this reseach; all authors were involved in organizing and refining the article. </w:t>
      </w:r>
    </w:p>
    <w:p w:rsidR="00C02679" w:rsidRDefault="00C02679">
      <w:pPr>
        <w:spacing w:after="0" w:line="360" w:lineRule="auto"/>
        <w:rPr>
          <w:rFonts w:ascii="Book Antiqua" w:hAnsi="Book Antiqua"/>
          <w:bCs/>
          <w:sz w:val="24"/>
        </w:rPr>
      </w:pPr>
    </w:p>
    <w:p w:rsidR="00C02679" w:rsidRDefault="009803CF">
      <w:pPr>
        <w:spacing w:after="0" w:line="360" w:lineRule="auto"/>
        <w:rPr>
          <w:rFonts w:ascii="Book Antiqua" w:hAnsi="Book Antiqua"/>
          <w:bCs/>
          <w:sz w:val="24"/>
        </w:rPr>
      </w:pPr>
      <w:r>
        <w:rPr>
          <w:rFonts w:ascii="Book Antiqua" w:hAnsi="Book Antiqua"/>
          <w:b/>
          <w:sz w:val="24"/>
        </w:rPr>
        <w:t xml:space="preserve">Correspondence to: Dr. </w:t>
      </w:r>
      <w:r>
        <w:rPr>
          <w:rFonts w:ascii="Book Antiqua" w:hAnsi="Book Antiqua"/>
          <w:b/>
          <w:bCs/>
          <w:sz w:val="24"/>
        </w:rPr>
        <w:t>Qin-Bin Song,</w:t>
      </w:r>
      <w:r>
        <w:rPr>
          <w:rFonts w:ascii="Book Antiqua" w:hAnsi="Book Antiqua"/>
          <w:bCs/>
          <w:sz w:val="24"/>
        </w:rPr>
        <w:t xml:space="preserve"> Department of Oncology, Renmin Hospital of Wuhan University, No.238 JieFang Road, Wuhan 430060, </w:t>
      </w:r>
      <w:r>
        <w:rPr>
          <w:rFonts w:ascii="Book Antiqua" w:hAnsi="Book Antiqua" w:hint="eastAsia"/>
          <w:bCs/>
          <w:sz w:val="24"/>
        </w:rPr>
        <w:t xml:space="preserve">Hebei Province, </w:t>
      </w:r>
      <w:r>
        <w:rPr>
          <w:rFonts w:ascii="Book Antiqua" w:hAnsi="Book Antiqua"/>
          <w:bCs/>
          <w:sz w:val="24"/>
        </w:rPr>
        <w:t xml:space="preserve">China. </w:t>
      </w:r>
      <w:hyperlink r:id="rId8" w:history="1">
        <w:r>
          <w:rPr>
            <w:rStyle w:val="Hyperlink"/>
            <w:rFonts w:ascii="Book Antiqua" w:hAnsi="Book Antiqua"/>
            <w:bCs/>
            <w:sz w:val="24"/>
          </w:rPr>
          <w:t>baxinfangkaihao@sina.com</w:t>
        </w:r>
      </w:hyperlink>
    </w:p>
    <w:p w:rsidR="00C02679" w:rsidRDefault="00C02679">
      <w:pPr>
        <w:spacing w:after="0" w:line="360" w:lineRule="auto"/>
        <w:rPr>
          <w:rFonts w:ascii="Book Antiqua" w:hAnsi="Book Antiqua"/>
          <w:bCs/>
          <w:sz w:val="24"/>
        </w:rPr>
      </w:pPr>
    </w:p>
    <w:p w:rsidR="00C02679" w:rsidRDefault="009803CF">
      <w:pPr>
        <w:spacing w:after="0" w:line="360" w:lineRule="auto"/>
        <w:rPr>
          <w:rFonts w:ascii="Book Antiqua" w:hAnsi="Book Antiqua"/>
          <w:sz w:val="24"/>
        </w:rPr>
      </w:pPr>
      <w:r>
        <w:rPr>
          <w:rFonts w:ascii="Book Antiqua" w:hAnsi="Book Antiqua"/>
          <w:b/>
          <w:sz w:val="24"/>
        </w:rPr>
        <w:lastRenderedPageBreak/>
        <w:t>Telephone:</w:t>
      </w:r>
      <w:r>
        <w:rPr>
          <w:rFonts w:ascii="Book Antiqua" w:hAnsi="Book Antiqua"/>
          <w:sz w:val="24"/>
        </w:rPr>
        <w:t xml:space="preserve"> +86-131-63347213 </w:t>
      </w:r>
      <w:r>
        <w:rPr>
          <w:rFonts w:ascii="Book Antiqua" w:hAnsi="Book Antiqua"/>
          <w:b/>
          <w:sz w:val="24"/>
        </w:rPr>
        <w:t xml:space="preserve">Fax: </w:t>
      </w:r>
      <w:r>
        <w:rPr>
          <w:rFonts w:ascii="Book Antiqua" w:hAnsi="Book Antiqua"/>
          <w:sz w:val="24"/>
        </w:rPr>
        <w:t>+86-131-63347213</w:t>
      </w:r>
    </w:p>
    <w:p w:rsidR="00C02679" w:rsidRDefault="00C02679">
      <w:pPr>
        <w:spacing w:after="0" w:line="360" w:lineRule="auto"/>
        <w:rPr>
          <w:rFonts w:ascii="Book Antiqua" w:hAnsi="Book Antiqua"/>
          <w:sz w:val="24"/>
        </w:rPr>
      </w:pPr>
    </w:p>
    <w:p w:rsidR="00C02679" w:rsidRDefault="009803CF">
      <w:pPr>
        <w:spacing w:after="0" w:line="360" w:lineRule="auto"/>
        <w:rPr>
          <w:rFonts w:ascii="Book Antiqua" w:hAnsi="Book Antiqua"/>
          <w:b/>
          <w:sz w:val="24"/>
        </w:rPr>
      </w:pPr>
      <w:r>
        <w:rPr>
          <w:rFonts w:ascii="Book Antiqua" w:hAnsi="Book Antiqua"/>
          <w:b/>
          <w:sz w:val="24"/>
        </w:rPr>
        <w:t xml:space="preserve">Received: </w:t>
      </w:r>
      <w:r>
        <w:rPr>
          <w:rFonts w:ascii="Book Antiqua" w:hAnsi="Book Antiqua"/>
          <w:sz w:val="24"/>
        </w:rPr>
        <w:t>March 3, 2014</w:t>
      </w:r>
      <w:r>
        <w:rPr>
          <w:rFonts w:ascii="Book Antiqua" w:hAnsi="Book Antiqua"/>
          <w:b/>
          <w:sz w:val="24"/>
        </w:rPr>
        <w:t xml:space="preserve"> Revised:</w:t>
      </w:r>
      <w:r>
        <w:rPr>
          <w:rFonts w:ascii="Book Antiqua" w:hAnsi="Book Antiqua"/>
          <w:sz w:val="24"/>
        </w:rPr>
        <w:t xml:space="preserve"> </w:t>
      </w:r>
      <w:r w:rsidR="00705300">
        <w:rPr>
          <w:rFonts w:ascii="Book Antiqua" w:hAnsi="Book Antiqua" w:hint="eastAsia"/>
          <w:sz w:val="24"/>
        </w:rPr>
        <w:t>October 28</w:t>
      </w:r>
      <w:r>
        <w:rPr>
          <w:rFonts w:ascii="Book Antiqua" w:hAnsi="Book Antiqua"/>
          <w:sz w:val="24"/>
        </w:rPr>
        <w:t xml:space="preserve">, 2014  </w:t>
      </w:r>
    </w:p>
    <w:p w:rsidR="00A62FDF" w:rsidRDefault="009803CF" w:rsidP="00A62FDF">
      <w:pPr>
        <w:rPr>
          <w:rFonts w:ascii="Book Antiqua" w:hAnsi="Book Antiqua"/>
          <w:color w:val="000000"/>
          <w:sz w:val="24"/>
        </w:rPr>
      </w:pPr>
      <w:r>
        <w:rPr>
          <w:rFonts w:ascii="Book Antiqua" w:hAnsi="Book Antiqua"/>
          <w:b/>
          <w:sz w:val="24"/>
        </w:rPr>
        <w:t xml:space="preserve">Accepted: </w:t>
      </w:r>
      <w:bookmarkStart w:id="0" w:name="OLE_LINK3"/>
      <w:bookmarkStart w:id="1" w:name="OLE_LINK4"/>
      <w:bookmarkStart w:id="2" w:name="OLE_LINK7"/>
      <w:bookmarkStart w:id="3" w:name="OLE_LINK22"/>
      <w:bookmarkStart w:id="4" w:name="OLE_LINK24"/>
      <w:bookmarkStart w:id="5" w:name="OLE_LINK25"/>
      <w:bookmarkStart w:id="6" w:name="OLE_LINK26"/>
      <w:bookmarkStart w:id="7" w:name="OLE_LINK27"/>
      <w:bookmarkStart w:id="8" w:name="OLE_LINK28"/>
      <w:bookmarkStart w:id="9" w:name="OLE_LINK29"/>
      <w:bookmarkStart w:id="10" w:name="OLE_LINK30"/>
      <w:bookmarkStart w:id="11" w:name="OLE_LINK31"/>
      <w:bookmarkStart w:id="12" w:name="OLE_LINK32"/>
      <w:bookmarkStart w:id="13" w:name="OLE_LINK34"/>
      <w:bookmarkStart w:id="14" w:name="OLE_LINK36"/>
      <w:bookmarkStart w:id="15" w:name="OLE_LINK37"/>
      <w:bookmarkStart w:id="16" w:name="OLE_LINK38"/>
      <w:bookmarkStart w:id="17" w:name="OLE_LINK41"/>
      <w:bookmarkStart w:id="18" w:name="OLE_LINK42"/>
      <w:bookmarkStart w:id="19" w:name="OLE_LINK44"/>
      <w:bookmarkStart w:id="20" w:name="OLE_LINK45"/>
      <w:bookmarkStart w:id="21" w:name="OLE_LINK46"/>
      <w:bookmarkStart w:id="22" w:name="OLE_LINK47"/>
      <w:bookmarkStart w:id="23" w:name="OLE_LINK52"/>
      <w:bookmarkStart w:id="24" w:name="OLE_LINK43"/>
      <w:bookmarkStart w:id="25" w:name="OLE_LINK57"/>
      <w:bookmarkStart w:id="26" w:name="OLE_LINK58"/>
      <w:bookmarkStart w:id="27" w:name="OLE_LINK8"/>
      <w:bookmarkStart w:id="28" w:name="OLE_LINK62"/>
      <w:bookmarkStart w:id="29" w:name="OLE_LINK66"/>
      <w:bookmarkStart w:id="30" w:name="OLE_LINK68"/>
      <w:bookmarkStart w:id="31" w:name="OLE_LINK69"/>
      <w:bookmarkStart w:id="32" w:name="OLE_LINK71"/>
      <w:bookmarkStart w:id="33" w:name="OLE_LINK74"/>
      <w:bookmarkStart w:id="34" w:name="OLE_LINK77"/>
      <w:bookmarkStart w:id="35" w:name="OLE_LINK78"/>
      <w:bookmarkStart w:id="36" w:name="OLE_LINK72"/>
      <w:bookmarkStart w:id="37" w:name="OLE_LINK73"/>
      <w:bookmarkStart w:id="38" w:name="OLE_LINK79"/>
      <w:bookmarkStart w:id="39" w:name="OLE_LINK81"/>
      <w:bookmarkStart w:id="40" w:name="OLE_LINK86"/>
      <w:bookmarkStart w:id="41" w:name="OLE_LINK87"/>
      <w:bookmarkStart w:id="42" w:name="OLE_LINK88"/>
      <w:bookmarkStart w:id="43" w:name="OLE_LINK89"/>
      <w:bookmarkStart w:id="44" w:name="OLE_LINK92"/>
      <w:bookmarkStart w:id="45" w:name="OLE_LINK94"/>
      <w:bookmarkStart w:id="46" w:name="OLE_LINK95"/>
      <w:r w:rsidR="00A62FDF">
        <w:rPr>
          <w:rFonts w:ascii="Book Antiqua" w:hAnsi="Book Antiqua"/>
          <w:color w:val="000000"/>
          <w:sz w:val="24"/>
        </w:rPr>
        <w:t>October 31</w:t>
      </w:r>
      <w:r w:rsidR="00A62FDF">
        <w:rPr>
          <w:rFonts w:ascii="Book Antiqua" w:hAnsi="Book Antiqua" w:hint="eastAsia"/>
          <w:color w:val="000000"/>
          <w:sz w:val="24"/>
        </w:rPr>
        <w:t>,</w:t>
      </w:r>
      <w:r w:rsidR="00A62FDF">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C02679" w:rsidRDefault="00C02679">
      <w:pPr>
        <w:spacing w:after="0" w:line="360" w:lineRule="auto"/>
        <w:rPr>
          <w:rFonts w:ascii="Book Antiqua" w:hAnsi="Book Antiqua"/>
          <w:b/>
          <w:sz w:val="24"/>
        </w:rPr>
      </w:pPr>
      <w:bookmarkStart w:id="47" w:name="_GoBack"/>
      <w:bookmarkEnd w:id="47"/>
    </w:p>
    <w:p w:rsidR="00C02679" w:rsidRDefault="009803CF">
      <w:pPr>
        <w:spacing w:after="0" w:line="360" w:lineRule="auto"/>
        <w:rPr>
          <w:rFonts w:ascii="Book Antiqua" w:hAnsi="Book Antiqua" w:cs="宋体"/>
          <w:bCs/>
          <w:color w:val="000000"/>
          <w:kern w:val="0"/>
          <w:sz w:val="24"/>
        </w:rPr>
      </w:pPr>
      <w:r>
        <w:rPr>
          <w:rFonts w:ascii="Book Antiqua" w:hAnsi="Book Antiqua"/>
          <w:b/>
          <w:sz w:val="24"/>
        </w:rPr>
        <w:t>Published online:</w:t>
      </w:r>
    </w:p>
    <w:p w:rsidR="00C02679" w:rsidRDefault="00C02679">
      <w:pPr>
        <w:spacing w:after="0" w:line="360" w:lineRule="auto"/>
        <w:rPr>
          <w:rFonts w:ascii="Book Antiqua" w:hAnsi="Book Antiqua"/>
          <w:bCs/>
          <w:sz w:val="24"/>
        </w:rPr>
      </w:pPr>
    </w:p>
    <w:p w:rsidR="00C02679" w:rsidRDefault="009803CF">
      <w:pPr>
        <w:spacing w:after="0" w:line="360" w:lineRule="auto"/>
        <w:rPr>
          <w:rFonts w:ascii="Book Antiqua" w:hAnsi="Book Antiqua"/>
          <w:b/>
          <w:sz w:val="24"/>
        </w:rPr>
      </w:pPr>
      <w:r>
        <w:rPr>
          <w:rFonts w:ascii="Book Antiqua" w:hAnsi="Book Antiqua"/>
          <w:b/>
          <w:sz w:val="24"/>
        </w:rPr>
        <w:t>Abstract</w:t>
      </w:r>
    </w:p>
    <w:p w:rsidR="00C02679" w:rsidRDefault="009803CF">
      <w:pPr>
        <w:spacing w:after="0" w:line="360" w:lineRule="auto"/>
        <w:rPr>
          <w:rFonts w:ascii="Book Antiqua" w:hAnsi="Book Antiqua"/>
          <w:color w:val="000000"/>
          <w:sz w:val="24"/>
        </w:rPr>
      </w:pPr>
      <w:r>
        <w:rPr>
          <w:rFonts w:ascii="Book Antiqua" w:hAnsi="Book Antiqua"/>
          <w:b/>
          <w:sz w:val="24"/>
        </w:rPr>
        <w:t xml:space="preserve">AIM: </w:t>
      </w:r>
      <w:r>
        <w:rPr>
          <w:rFonts w:ascii="Book Antiqua" w:hAnsi="Book Antiqua"/>
          <w:color w:val="000000"/>
          <w:sz w:val="24"/>
        </w:rPr>
        <w:t xml:space="preserve">To evaluate the potential prognostic value of </w:t>
      </w:r>
      <w:r>
        <w:rPr>
          <w:rFonts w:ascii="Book Antiqua" w:hAnsi="Book Antiqua"/>
          <w:i/>
          <w:color w:val="000000"/>
          <w:sz w:val="24"/>
        </w:rPr>
        <w:t>GNAS1</w:t>
      </w:r>
      <w:r>
        <w:rPr>
          <w:rFonts w:ascii="Book Antiqua" w:hAnsi="Book Antiqua"/>
          <w:color w:val="000000"/>
          <w:sz w:val="24"/>
        </w:rPr>
        <w:t xml:space="preserve"> </w:t>
      </w:r>
      <w:r>
        <w:rPr>
          <w:rFonts w:ascii="Book Antiqua" w:hAnsi="Book Antiqua"/>
          <w:i/>
          <w:color w:val="000000"/>
          <w:sz w:val="24"/>
        </w:rPr>
        <w:t>T393C</w:t>
      </w:r>
      <w:r>
        <w:rPr>
          <w:rFonts w:ascii="Book Antiqua" w:hAnsi="Book Antiqua"/>
          <w:color w:val="000000"/>
          <w:sz w:val="24"/>
        </w:rPr>
        <w:t xml:space="preserve"> polymorphism in advanced non-small cell lung cancer.</w:t>
      </w:r>
    </w:p>
    <w:p w:rsidR="00C02679" w:rsidRDefault="00C02679">
      <w:pPr>
        <w:spacing w:after="0" w:line="360" w:lineRule="auto"/>
        <w:rPr>
          <w:rFonts w:ascii="Book Antiqua" w:hAnsi="Book Antiqua"/>
          <w:sz w:val="24"/>
        </w:rPr>
      </w:pPr>
    </w:p>
    <w:p w:rsidR="00C02679" w:rsidRDefault="009803CF">
      <w:pPr>
        <w:spacing w:after="0" w:line="360" w:lineRule="auto"/>
        <w:rPr>
          <w:rFonts w:ascii="Book Antiqua" w:hAnsi="Book Antiqua"/>
          <w:sz w:val="24"/>
        </w:rPr>
      </w:pPr>
      <w:r>
        <w:rPr>
          <w:rFonts w:ascii="Book Antiqua" w:hAnsi="Book Antiqua"/>
          <w:b/>
          <w:sz w:val="24"/>
        </w:rPr>
        <w:t>METHODS</w:t>
      </w:r>
      <w:r>
        <w:rPr>
          <w:rFonts w:ascii="Book Antiqua" w:hAnsi="Book Antiqua"/>
          <w:sz w:val="24"/>
        </w:rPr>
        <w:t>: We extracted genomic DNA from the peripheral blood leucocytes of 94 patients with advanced non-small cell lung cancer. Quantitative real-time polymerase chain reaction was used to determine the allelic discrimination. The correlation between genotype and overall survival was evaluated according to the multivariate analysis</w:t>
      </w:r>
      <w:r>
        <w:rPr>
          <w:rFonts w:ascii="Book Antiqua" w:hAnsi="Book Antiqua" w:hint="eastAsia"/>
          <w:sz w:val="24"/>
        </w:rPr>
        <w:t xml:space="preserve"> </w:t>
      </w:r>
      <w:r>
        <w:rPr>
          <w:rFonts w:ascii="Book Antiqua" w:hAnsi="Book Antiqua"/>
          <w:sz w:val="24"/>
        </w:rPr>
        <w:t>and Kaplan-Meier approach.</w:t>
      </w:r>
    </w:p>
    <w:p w:rsidR="00C02679" w:rsidRDefault="00C02679">
      <w:pPr>
        <w:spacing w:after="0" w:line="360" w:lineRule="auto"/>
        <w:rPr>
          <w:rFonts w:ascii="Book Antiqua" w:hAnsi="Book Antiqua"/>
          <w:sz w:val="24"/>
        </w:rPr>
      </w:pPr>
    </w:p>
    <w:p w:rsidR="00C02679" w:rsidRDefault="009803CF">
      <w:pPr>
        <w:spacing w:after="0" w:line="360" w:lineRule="auto"/>
        <w:rPr>
          <w:rFonts w:ascii="Book Antiqua" w:hAnsi="Book Antiqua"/>
          <w:sz w:val="24"/>
        </w:rPr>
      </w:pPr>
      <w:r>
        <w:rPr>
          <w:rFonts w:ascii="Book Antiqua" w:hAnsi="Book Antiqua"/>
          <w:b/>
          <w:sz w:val="24"/>
        </w:rPr>
        <w:t xml:space="preserve">RESULTS: </w:t>
      </w:r>
      <w:r>
        <w:rPr>
          <w:rFonts w:ascii="Book Antiqua" w:hAnsi="Book Antiqua"/>
          <w:sz w:val="24"/>
        </w:rPr>
        <w:t xml:space="preserve"> Thirty-eight out of 94 (40%) patients displayed a TT genotype, 29 out of 94 (31%) a CT genotype and 27 out of 94 (29%) a CC genotype. The median survival of TT (25 mo) genotype was longer than CT (12 mo) or CC (8 mo) genotype. The favorable TT genotype </w:t>
      </w:r>
      <w:r>
        <w:rPr>
          <w:rFonts w:ascii="Book Antiqua" w:hAnsi="Book Antiqua" w:hint="eastAsia"/>
          <w:sz w:val="24"/>
        </w:rPr>
        <w:t>predict</w:t>
      </w:r>
      <w:r>
        <w:rPr>
          <w:rFonts w:ascii="Book Antiqua" w:hAnsi="Book Antiqua"/>
          <w:sz w:val="24"/>
        </w:rPr>
        <w:t xml:space="preserve"> better overall survival (OS) (2-year OS: 48%; </w:t>
      </w:r>
      <w:r>
        <w:rPr>
          <w:rFonts w:ascii="Book Antiqua" w:hAnsi="Book Antiqua"/>
          <w:i/>
          <w:sz w:val="24"/>
        </w:rPr>
        <w:t>P</w:t>
      </w:r>
      <w:r>
        <w:rPr>
          <w:rFonts w:ascii="Book Antiqua" w:hAnsi="Book Antiqua"/>
          <w:sz w:val="24"/>
        </w:rPr>
        <w:t xml:space="preserve"> =0.01) compared with CT (2-year OS: 18%) or CC (2-year OS: 15%) genotype. </w:t>
      </w:r>
      <w:bookmarkStart w:id="48" w:name="OLE_LINK17"/>
      <w:bookmarkStart w:id="49" w:name="OLE_LINK18"/>
      <w:r>
        <w:rPr>
          <w:rFonts w:ascii="Book Antiqua" w:hAnsi="Book Antiqua" w:hint="eastAsia"/>
          <w:sz w:val="24"/>
        </w:rPr>
        <w:t>H</w:t>
      </w:r>
      <w:r>
        <w:rPr>
          <w:rFonts w:ascii="Book Antiqua" w:hAnsi="Book Antiqua"/>
          <w:sz w:val="24"/>
        </w:rPr>
        <w:t xml:space="preserve">owever, </w:t>
      </w:r>
      <w:r>
        <w:rPr>
          <w:rFonts w:ascii="Book Antiqua" w:hAnsi="Book Antiqua" w:hint="eastAsia"/>
          <w:sz w:val="24"/>
        </w:rPr>
        <w:t>d</w:t>
      </w:r>
      <w:r>
        <w:rPr>
          <w:rFonts w:ascii="Book Antiqua" w:hAnsi="Book Antiqua"/>
          <w:sz w:val="24"/>
        </w:rPr>
        <w:t xml:space="preserve">ichotomization between C-genotypes (CC+CT) and T-genotypes (TT) revealed signiﬁcantly lower survival rates (2-year OS: 16%; </w:t>
      </w:r>
      <w:r>
        <w:rPr>
          <w:rFonts w:ascii="Book Antiqua" w:hAnsi="Book Antiqua"/>
          <w:i/>
          <w:sz w:val="24"/>
        </w:rPr>
        <w:t>P</w:t>
      </w:r>
      <w:r>
        <w:rPr>
          <w:rFonts w:ascii="Book Antiqua" w:hAnsi="Book Antiqua"/>
          <w:sz w:val="24"/>
        </w:rPr>
        <w:t xml:space="preserve"> = 0.01) for C allele carriers.</w:t>
      </w:r>
      <w:bookmarkEnd w:id="48"/>
      <w:bookmarkEnd w:id="49"/>
    </w:p>
    <w:p w:rsidR="00C02679" w:rsidRDefault="00C02679">
      <w:pPr>
        <w:spacing w:after="0" w:line="360" w:lineRule="auto"/>
        <w:rPr>
          <w:rFonts w:ascii="Book Antiqua" w:hAnsi="Book Antiqua"/>
          <w:sz w:val="24"/>
        </w:rPr>
      </w:pPr>
    </w:p>
    <w:p w:rsidR="00C02679" w:rsidRDefault="009803CF">
      <w:pPr>
        <w:spacing w:after="0" w:line="360" w:lineRule="auto"/>
        <w:rPr>
          <w:rFonts w:ascii="Book Antiqua" w:hAnsi="Book Antiqua"/>
          <w:sz w:val="24"/>
        </w:rPr>
      </w:pPr>
      <w:r>
        <w:rPr>
          <w:rFonts w:ascii="Book Antiqua" w:hAnsi="Book Antiqua"/>
          <w:b/>
          <w:sz w:val="24"/>
        </w:rPr>
        <w:t>CONCLUSION:</w:t>
      </w:r>
      <w:r>
        <w:rPr>
          <w:rFonts w:ascii="Book Antiqua" w:hAnsi="Book Antiqua"/>
          <w:i/>
          <w:sz w:val="24"/>
        </w:rPr>
        <w:t xml:space="preserve"> </w:t>
      </w:r>
      <w:r>
        <w:rPr>
          <w:rFonts w:ascii="Book Antiqua" w:hAnsi="Book Antiqua"/>
          <w:sz w:val="24"/>
        </w:rPr>
        <w:t>Our data provide</w:t>
      </w:r>
      <w:r>
        <w:rPr>
          <w:rFonts w:ascii="Book Antiqua" w:hAnsi="Book Antiqua" w:hint="eastAsia"/>
          <w:sz w:val="24"/>
        </w:rPr>
        <w:t>d</w:t>
      </w:r>
      <w:r>
        <w:rPr>
          <w:rFonts w:ascii="Book Antiqua" w:hAnsi="Book Antiqua"/>
          <w:sz w:val="24"/>
        </w:rPr>
        <w:t xml:space="preserve"> strong evidence that genetic polymorphism in the </w:t>
      </w:r>
      <w:r>
        <w:rPr>
          <w:rFonts w:ascii="Book Antiqua" w:hAnsi="Book Antiqua"/>
          <w:i/>
          <w:sz w:val="24"/>
        </w:rPr>
        <w:t>GNAS1 T393C</w:t>
      </w:r>
      <w:r>
        <w:rPr>
          <w:rFonts w:ascii="Book Antiqua" w:hAnsi="Book Antiqua"/>
          <w:sz w:val="24"/>
        </w:rPr>
        <w:t xml:space="preserve"> inﬂuenced the </w:t>
      </w:r>
      <w:r>
        <w:rPr>
          <w:rFonts w:ascii="Book Antiqua" w:hAnsi="Book Antiqua" w:hint="eastAsia"/>
          <w:sz w:val="24"/>
        </w:rPr>
        <w:t xml:space="preserve">prognosis </w:t>
      </w:r>
      <w:r>
        <w:rPr>
          <w:rFonts w:ascii="Book Antiqua" w:hAnsi="Book Antiqua"/>
          <w:sz w:val="24"/>
        </w:rPr>
        <w:t xml:space="preserve">in advanced </w:t>
      </w:r>
      <w:r>
        <w:rPr>
          <w:rFonts w:ascii="Book Antiqua" w:hAnsi="Book Antiqua"/>
          <w:sz w:val="24"/>
        </w:rPr>
        <w:lastRenderedPageBreak/>
        <w:t xml:space="preserve">non-small lung cancer with a worse outcome for C allele carriers. </w:t>
      </w:r>
    </w:p>
    <w:p w:rsidR="00C02679" w:rsidRDefault="00C02679">
      <w:pPr>
        <w:spacing w:after="0" w:line="360" w:lineRule="auto"/>
        <w:rPr>
          <w:rFonts w:ascii="Book Antiqua" w:hAnsi="Book Antiqua"/>
          <w:b/>
          <w:sz w:val="24"/>
        </w:rPr>
      </w:pPr>
    </w:p>
    <w:p w:rsidR="00C02679" w:rsidRDefault="009803CF">
      <w:pPr>
        <w:spacing w:after="0" w:line="360" w:lineRule="auto"/>
        <w:rPr>
          <w:rFonts w:ascii="Book Antiqua" w:hAnsi="Book Antiqua"/>
          <w:sz w:val="24"/>
        </w:rPr>
      </w:pPr>
      <w:r>
        <w:rPr>
          <w:rFonts w:ascii="Book Antiqua" w:hAnsi="Book Antiqua"/>
          <w:sz w:val="24"/>
        </w:rPr>
        <w:t>© 2014 Baishideng Publishing Group Inc. All rights reserved.</w:t>
      </w:r>
    </w:p>
    <w:p w:rsidR="00C02679" w:rsidRDefault="00C02679">
      <w:pPr>
        <w:spacing w:after="0" w:line="360" w:lineRule="auto"/>
        <w:rPr>
          <w:rFonts w:ascii="Book Antiqua" w:hAnsi="Book Antiqua"/>
          <w:b/>
          <w:sz w:val="24"/>
        </w:rPr>
      </w:pPr>
    </w:p>
    <w:p w:rsidR="00C02679" w:rsidRDefault="009803CF">
      <w:pPr>
        <w:spacing w:after="0" w:line="360" w:lineRule="auto"/>
        <w:rPr>
          <w:rFonts w:ascii="Book Antiqua" w:hAnsi="Book Antiqua"/>
          <w:sz w:val="24"/>
        </w:rPr>
      </w:pPr>
      <w:r>
        <w:rPr>
          <w:rFonts w:ascii="Book Antiqua" w:hAnsi="Book Antiqua"/>
          <w:b/>
          <w:sz w:val="24"/>
        </w:rPr>
        <w:t>Key words:</w:t>
      </w:r>
      <w:r>
        <w:rPr>
          <w:rFonts w:ascii="Book Antiqua" w:hAnsi="Book Antiqua"/>
          <w:sz w:val="24"/>
        </w:rPr>
        <w:t xml:space="preserve"> </w:t>
      </w:r>
      <w:r>
        <w:rPr>
          <w:rFonts w:ascii="Book Antiqua" w:hAnsi="Book Antiqua"/>
          <w:i/>
          <w:sz w:val="24"/>
        </w:rPr>
        <w:t>GNAS1</w:t>
      </w:r>
      <w:r>
        <w:rPr>
          <w:rFonts w:ascii="Book Antiqua" w:hAnsi="Book Antiqua"/>
          <w:sz w:val="24"/>
        </w:rPr>
        <w:t xml:space="preserve">; Polymorphism; Advanced </w:t>
      </w:r>
      <w:r>
        <w:rPr>
          <w:rFonts w:ascii="Book Antiqua" w:hAnsi="Book Antiqua"/>
          <w:color w:val="000000"/>
          <w:sz w:val="24"/>
        </w:rPr>
        <w:t>non-small cell lung cancer</w:t>
      </w:r>
      <w:r>
        <w:rPr>
          <w:rFonts w:ascii="Book Antiqua" w:hAnsi="Book Antiqua"/>
          <w:sz w:val="24"/>
        </w:rPr>
        <w:t>; Prognosis</w:t>
      </w:r>
    </w:p>
    <w:p w:rsidR="00C02679" w:rsidRDefault="00C02679">
      <w:pPr>
        <w:spacing w:after="0" w:line="360" w:lineRule="auto"/>
        <w:rPr>
          <w:rFonts w:ascii="Book Antiqua" w:hAnsi="Book Antiqua"/>
          <w:sz w:val="24"/>
        </w:rPr>
      </w:pPr>
    </w:p>
    <w:p w:rsidR="00C02679" w:rsidRDefault="009803CF">
      <w:pPr>
        <w:spacing w:after="0" w:line="360" w:lineRule="auto"/>
        <w:rPr>
          <w:rFonts w:ascii="Book Antiqua" w:eastAsia="Arial Unicode MS" w:hAnsi="Book Antiqua" w:cs="Arial Unicode MS"/>
          <w:b/>
          <w:sz w:val="24"/>
        </w:rPr>
      </w:pPr>
      <w:r>
        <w:rPr>
          <w:rFonts w:ascii="Book Antiqua" w:eastAsia="Arial Unicode MS" w:hAnsi="Book Antiqua" w:cs="Arial Unicode MS"/>
          <w:b/>
          <w:sz w:val="24"/>
        </w:rPr>
        <w:t xml:space="preserve">Core tip: </w:t>
      </w:r>
      <w:r>
        <w:rPr>
          <w:rFonts w:ascii="Book Antiqua" w:hAnsi="Book Antiqua"/>
          <w:sz w:val="24"/>
        </w:rPr>
        <w:t xml:space="preserve">We evaluated T393C-SNP in a homogenous (Han) study population of patients to </w:t>
      </w:r>
      <w:r>
        <w:rPr>
          <w:rFonts w:ascii="Book Antiqua" w:hAnsi="Book Antiqua" w:hint="eastAsia"/>
          <w:sz w:val="24"/>
        </w:rPr>
        <w:t>evaluate</w:t>
      </w:r>
      <w:r>
        <w:rPr>
          <w:rFonts w:ascii="Book Antiqua" w:hAnsi="Book Antiqua"/>
          <w:sz w:val="24"/>
        </w:rPr>
        <w:t xml:space="preserve"> the effect of this polymorphism on </w:t>
      </w:r>
      <w:r>
        <w:rPr>
          <w:rFonts w:ascii="Book Antiqua" w:hAnsi="Book Antiqua" w:hint="eastAsia"/>
          <w:sz w:val="24"/>
        </w:rPr>
        <w:t>survival</w:t>
      </w:r>
      <w:r>
        <w:rPr>
          <w:rFonts w:ascii="Book Antiqua" w:hAnsi="Book Antiqua"/>
          <w:sz w:val="24"/>
        </w:rPr>
        <w:t xml:space="preserve"> in non-small-cell lung cancer (NSCLC). Our study indicated that genetic polymorphism in the </w:t>
      </w:r>
      <w:r>
        <w:rPr>
          <w:rFonts w:ascii="Book Antiqua" w:hAnsi="Book Antiqua"/>
          <w:i/>
          <w:sz w:val="24"/>
        </w:rPr>
        <w:t>GNAS1 T393C</w:t>
      </w:r>
      <w:r>
        <w:rPr>
          <w:rFonts w:ascii="Book Antiqua" w:hAnsi="Book Antiqua"/>
          <w:sz w:val="24"/>
        </w:rPr>
        <w:t xml:space="preserve"> affected the overall survival in advanced NSCLC with a worse outcome for C allele carriers. </w:t>
      </w:r>
    </w:p>
    <w:p w:rsidR="00C02679" w:rsidRDefault="00C02679">
      <w:pPr>
        <w:spacing w:after="0" w:line="360" w:lineRule="auto"/>
        <w:rPr>
          <w:rFonts w:ascii="Book Antiqua" w:hAnsi="Book Antiqua"/>
          <w:b/>
          <w:sz w:val="24"/>
        </w:rPr>
      </w:pPr>
    </w:p>
    <w:p w:rsidR="00C02679" w:rsidRDefault="009803CF">
      <w:pPr>
        <w:spacing w:after="0" w:line="360" w:lineRule="auto"/>
        <w:rPr>
          <w:rFonts w:ascii="Book Antiqua" w:hAnsi="Book Antiqua"/>
          <w:sz w:val="24"/>
        </w:rPr>
      </w:pPr>
      <w:r>
        <w:rPr>
          <w:rFonts w:ascii="Book Antiqua" w:hAnsi="Book Antiqua"/>
          <w:bCs/>
          <w:sz w:val="24"/>
        </w:rPr>
        <w:t>Gong HY, Hu WG, Wang XL, Zhu F, Song QB.</w:t>
      </w:r>
      <w:r>
        <w:rPr>
          <w:rFonts w:ascii="Book Antiqua" w:hAnsi="Book Antiqua"/>
          <w:sz w:val="24"/>
        </w:rPr>
        <w:t xml:space="preserve"> Single nucleotide polymorphisms of </w:t>
      </w:r>
      <w:r>
        <w:rPr>
          <w:rFonts w:ascii="Book Antiqua" w:hAnsi="Book Antiqua"/>
          <w:i/>
          <w:sz w:val="24"/>
        </w:rPr>
        <w:t>GNAS1 T393C TT</w:t>
      </w:r>
      <w:r>
        <w:rPr>
          <w:rFonts w:ascii="Book Antiqua" w:hAnsi="Book Antiqua"/>
          <w:sz w:val="24"/>
        </w:rPr>
        <w:t xml:space="preserve"> predicts better outcome of advanced non-small cell lung cancer patients.</w:t>
      </w:r>
      <w:r>
        <w:rPr>
          <w:rFonts w:ascii="Book Antiqua" w:hAnsi="Book Antiqua"/>
          <w:i/>
          <w:iCs/>
          <w:sz w:val="24"/>
        </w:rPr>
        <w:t xml:space="preserve"> World J Gastrointest Oncol </w:t>
      </w:r>
      <w:r>
        <w:rPr>
          <w:rFonts w:ascii="Book Antiqua" w:hAnsi="Book Antiqua"/>
          <w:iCs/>
          <w:sz w:val="24"/>
        </w:rPr>
        <w:t>2014; In press</w:t>
      </w:r>
    </w:p>
    <w:p w:rsidR="00C02679" w:rsidRDefault="00C02679">
      <w:pPr>
        <w:spacing w:after="0" w:line="360" w:lineRule="auto"/>
        <w:rPr>
          <w:rFonts w:ascii="Book Antiqua" w:hAnsi="Book Antiqua"/>
          <w:bCs/>
          <w:sz w:val="24"/>
          <w:vertAlign w:val="superscript"/>
        </w:rPr>
      </w:pPr>
    </w:p>
    <w:p w:rsidR="00C02679" w:rsidRDefault="009803CF">
      <w:pPr>
        <w:spacing w:after="0" w:line="360" w:lineRule="auto"/>
        <w:rPr>
          <w:rFonts w:ascii="Book Antiqua" w:hAnsi="Book Antiqua"/>
          <w:b/>
          <w:sz w:val="24"/>
        </w:rPr>
      </w:pPr>
      <w:r>
        <w:rPr>
          <w:rFonts w:ascii="Book Antiqua" w:hAnsi="Book Antiqua"/>
          <w:b/>
          <w:sz w:val="24"/>
        </w:rPr>
        <w:t>INTRODUCTION</w:t>
      </w:r>
    </w:p>
    <w:p w:rsidR="00C02679" w:rsidRDefault="009803CF">
      <w:pPr>
        <w:spacing w:after="0" w:line="360" w:lineRule="auto"/>
        <w:rPr>
          <w:rFonts w:ascii="Book Antiqua" w:hAnsi="Book Antiqua"/>
          <w:sz w:val="24"/>
        </w:rPr>
      </w:pPr>
      <w:r>
        <w:rPr>
          <w:rFonts w:ascii="Book Antiqua" w:hAnsi="Book Antiqua"/>
          <w:sz w:val="24"/>
        </w:rPr>
        <w:t>Lung cancer has increased</w:t>
      </w:r>
      <w:r>
        <w:rPr>
          <w:rFonts w:ascii="Book Antiqua" w:hAnsi="Book Antiqua" w:hint="eastAsia"/>
          <w:sz w:val="24"/>
        </w:rPr>
        <w:t xml:space="preserve"> </w:t>
      </w:r>
      <w:r>
        <w:rPr>
          <w:rFonts w:ascii="Book Antiqua" w:hAnsi="Book Antiqua"/>
          <w:sz w:val="24"/>
        </w:rPr>
        <w:t>substantially</w:t>
      </w:r>
      <w:r>
        <w:rPr>
          <w:rFonts w:ascii="Book Antiqua" w:hAnsi="Book Antiqua" w:hint="eastAsia"/>
          <w:sz w:val="24"/>
        </w:rPr>
        <w:t xml:space="preserve"> </w:t>
      </w:r>
      <w:r>
        <w:rPr>
          <w:rFonts w:ascii="Book Antiqua" w:hAnsi="Book Antiqua"/>
          <w:sz w:val="24"/>
        </w:rPr>
        <w:t>over the past ten years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&lt;EndNote&gt;&lt;Cite&gt;&lt;Author&gt;Jemal&lt;/Author&gt;&lt;Year&gt;2011&lt;/Year&gt;&lt;RecNum&gt;1&lt;/RecNum&gt;&lt;DisplayText&gt;[1]&lt;/DisplayText&gt;&lt;record&gt;&lt;rec-number&gt;1&lt;/rec-number&gt;&lt;foreign-keys&gt;&lt;key app="EN" db-id="0w20z22s4ttasoesw9dpz208xtwpadrxreds"&gt;1&lt;/key&gt;&lt;/foreign-keys&gt;&lt;ref-type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(Linking)&lt;/isbn&gt;&lt;accession-num&gt;21296855&lt;/accession-num&gt;&lt;urls&gt;&lt;related-urls&gt;&lt;url&gt;http://www.ncbi.nlm.nih.gov/pubmed/21296855&lt;/url&gt;&lt;/related-urls&gt;&lt;/urls&gt;&lt;electronic-resource-num&gt;caac.20107 [pii]&amp;#xD;10.3322/caac.20107&lt;/electronic-resource-num&gt;&lt;language&gt;eng&lt;/language&gt;&lt;/record&gt;&lt;/Cite&gt;&lt;/EndNote&gt;</w:instrText>
      </w:r>
      <w:r>
        <w:rPr>
          <w:rFonts w:ascii="Book Antiqua" w:hAnsi="Book Antiqua"/>
          <w:sz w:val="24"/>
          <w:vertAlign w:val="superscript"/>
        </w:rPr>
        <w:fldChar w:fldCharType="separate"/>
      </w:r>
      <w:r>
        <w:rPr>
          <w:rFonts w:ascii="Book Antiqua" w:hAnsi="Book Antiqua"/>
          <w:sz w:val="24"/>
          <w:vertAlign w:val="superscript"/>
        </w:rPr>
        <w:t>[</w:t>
      </w:r>
      <w:hyperlink w:anchor="_ENREF_1" w:tooltip="Jemal, 2011 #1" w:history="1">
        <w:r>
          <w:rPr>
            <w:rFonts w:ascii="Book Antiqua" w:hAnsi="Book Antiqua"/>
            <w:sz w:val="24"/>
            <w:vertAlign w:val="superscript"/>
          </w:rPr>
          <w:t>1</w:t>
        </w:r>
      </w:hyperlink>
      <w:r>
        <w:rPr>
          <w:rFonts w:ascii="Book Antiqua" w:hAnsi="Book Antiqua"/>
          <w:sz w:val="24"/>
          <w:vertAlign w:val="superscript"/>
        </w:rPr>
        <w:t>]</w:t>
      </w:r>
      <w:r>
        <w:rPr>
          <w:rFonts w:ascii="Book Antiqua" w:hAnsi="Book Antiqua"/>
          <w:sz w:val="24"/>
          <w:vertAlign w:val="superscript"/>
        </w:rPr>
        <w:fldChar w:fldCharType="end"/>
      </w:r>
      <w:r>
        <w:rPr>
          <w:rFonts w:ascii="Book Antiqua" w:hAnsi="Book Antiqua"/>
          <w:sz w:val="24"/>
        </w:rPr>
        <w:t>. Non-small-cell lung cancer (NSCLC) constitutes about 85% of all lung cancer patients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w:t>
      </w:r>
      <w:hyperlink w:anchor="_ENREF_2" w:tooltip=", !!! INVALID CITATION !!!" w:history="1">
        <w:r>
          <w:rPr>
            <w:rFonts w:ascii="Book Antiqua" w:hAnsi="Book Antiqua"/>
            <w:sz w:val="24"/>
            <w:vertAlign w:val="superscript"/>
          </w:rPr>
          <w:t>2</w:t>
        </w:r>
      </w:hyperlink>
      <w:r>
        <w:rPr>
          <w:rFonts w:ascii="Book Antiqua" w:hAnsi="Book Antiqua"/>
          <w:sz w:val="24"/>
          <w:vertAlign w:val="superscript"/>
        </w:rPr>
        <w:t>]</w:t>
      </w:r>
      <w:r>
        <w:rPr>
          <w:rFonts w:ascii="Book Antiqua" w:hAnsi="Book Antiqua"/>
          <w:sz w:val="24"/>
          <w:vertAlign w:val="superscript"/>
        </w:rPr>
        <w:fldChar w:fldCharType="end"/>
      </w:r>
      <w:r>
        <w:rPr>
          <w:rFonts w:ascii="Book Antiqua" w:hAnsi="Book Antiqua"/>
          <w:sz w:val="24"/>
        </w:rPr>
        <w:t xml:space="preserve"> with only 16.6% can live 5 years or more after diagnosis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&lt;EndNote&gt;&lt;Cite&gt;&lt;Author&gt;Lababede&lt;/Author&gt;&lt;Year&gt;2011&lt;/Year&gt;&lt;RecNum&gt;15&lt;/RecNum&gt;&lt;DisplayText&gt;[3]&lt;/DisplayText&gt;&lt;record&gt;&lt;rec-number&gt;15&lt;/rec-number&gt;&lt;foreign-keys&gt;&lt;key app="EN" db-id="0w20z22s4ttasoesw9dpz208xtwpadrxreds"&gt;15&lt;/key&gt;&lt;/foreign-keys&gt;&lt;ref-type name="Journal Article"&gt;17&lt;/ref-type&gt;&lt;contributors&gt;&lt;authors&gt;&lt;author&gt;Lababede, O.&lt;/author&gt;&lt;author&gt;Meziane, M.&lt;/author&gt;&lt;author&gt;Rice, T.&lt;/author&gt;&lt;/authors&gt;&lt;/contributors&gt;&lt;auth-address&gt;Imaging Institute, Cleveland Clinic, 9500 Euclid Ave, Cleveland, OH 44195, USA. lababeo@ccf.org&lt;/auth-address&gt;&lt;titles&gt;&lt;title&gt;Seventh edition of the cancer staging manual and stage grouping of lung cancer: quick reference chart and diagrams&lt;/title&gt;&lt;secondary-title&gt;Chest&lt;/secondary-title&gt;&lt;/titles&gt;&lt;periodical&gt;&lt;full-title&gt;Chest&lt;/full-title&gt;&lt;/periodical&gt;&lt;pages&gt;183-9&lt;/pages&gt;&lt;volume&gt;139&lt;/volume&gt;&lt;number&gt;1&lt;/number&gt;&lt;edition&gt;2011/01/07&lt;/edition&gt;&lt;keywords&gt;&lt;keyword&gt;Humans&lt;/keyword&gt;&lt;keyword&gt;Lung Neoplasms/classification/*pathology&lt;/keyword&gt;&lt;keyword&gt;*Manuals as Topic&lt;/keyword&gt;&lt;keyword&gt;Neoplasm Staging/*methods&lt;/keyword&gt;&lt;/keywords&gt;&lt;dates&gt;&lt;year&gt;2011&lt;/year&gt;&lt;pub-dates&gt;&lt;date&gt;Jan&lt;/date&gt;&lt;/pub-dates&gt;&lt;/dates&gt;&lt;isbn&gt;1931-3543 (Electronic)&amp;#xD;0012-3692 (Linking)&lt;/isbn&gt;&lt;accession-num&gt;21208878&lt;/accession-num&gt;&lt;urls&gt;&lt;related-urls&gt;&lt;url&gt;http://www.ncbi.nlm.nih.gov/pubmed/21208878&lt;/url&gt;&lt;/related-urls&gt;&lt;/urls&gt;&lt;electronic-resource-num&gt;139/1/183 [pii]&amp;#xD;10.1378/chest.10-1099&lt;/electronic-resource-num&gt;&lt;language&gt;eng&lt;/language&gt;&lt;/record&gt;&lt;/Cite&gt;&lt;/EndNote&gt;</w:instrText>
      </w:r>
      <w:r>
        <w:rPr>
          <w:rFonts w:ascii="Book Antiqua" w:hAnsi="Book Antiqua"/>
          <w:sz w:val="24"/>
          <w:vertAlign w:val="superscript"/>
        </w:rPr>
        <w:fldChar w:fldCharType="separate"/>
      </w:r>
      <w:r>
        <w:rPr>
          <w:rFonts w:ascii="Book Antiqua" w:hAnsi="Book Antiqua"/>
          <w:sz w:val="24"/>
          <w:vertAlign w:val="superscript"/>
        </w:rPr>
        <w:t>[</w:t>
      </w:r>
      <w:hyperlink w:anchor="_ENREF_3" w:tooltip="Lababede, 2011 #15" w:history="1">
        <w:r>
          <w:rPr>
            <w:rFonts w:ascii="Book Antiqua" w:hAnsi="Book Antiqua"/>
            <w:sz w:val="24"/>
            <w:vertAlign w:val="superscript"/>
          </w:rPr>
          <w:t>3</w:t>
        </w:r>
      </w:hyperlink>
      <w:r>
        <w:rPr>
          <w:rFonts w:ascii="Book Antiqua" w:hAnsi="Book Antiqua"/>
          <w:sz w:val="24"/>
          <w:vertAlign w:val="superscript"/>
        </w:rPr>
        <w:t>]</w:t>
      </w:r>
      <w:r>
        <w:rPr>
          <w:rFonts w:ascii="Book Antiqua" w:hAnsi="Book Antiqua"/>
          <w:sz w:val="24"/>
          <w:vertAlign w:val="superscript"/>
        </w:rPr>
        <w:fldChar w:fldCharType="end"/>
      </w:r>
      <w:r>
        <w:rPr>
          <w:rFonts w:ascii="Book Antiqua" w:hAnsi="Book Antiqua"/>
          <w:sz w:val="24"/>
        </w:rPr>
        <w:t xml:space="preserve">. </w:t>
      </w:r>
      <w:bookmarkStart w:id="50" w:name="OLE_LINK1"/>
      <w:bookmarkStart w:id="51" w:name="OLE_LINK2"/>
      <w:r>
        <w:rPr>
          <w:rFonts w:ascii="Book Antiqua" w:hAnsi="Book Antiqua"/>
          <w:sz w:val="24"/>
        </w:rPr>
        <w:t xml:space="preserve">To date, the most feasible treatment for advanced </w:t>
      </w:r>
      <w:r>
        <w:rPr>
          <w:rFonts w:ascii="Book Antiqua" w:hAnsi="Book Antiqua" w:hint="eastAsia"/>
          <w:sz w:val="24"/>
        </w:rPr>
        <w:t xml:space="preserve">NSCLC </w:t>
      </w:r>
      <w:r>
        <w:rPr>
          <w:rFonts w:ascii="Book Antiqua" w:hAnsi="Book Antiqua"/>
          <w:sz w:val="24"/>
        </w:rPr>
        <w:t xml:space="preserve">patients is the platinum-based combination </w:t>
      </w:r>
      <w:bookmarkStart w:id="52" w:name="OLE_LINK5"/>
      <w:bookmarkStart w:id="53" w:name="OLE_LINK6"/>
      <w:r>
        <w:rPr>
          <w:rFonts w:ascii="Book Antiqua" w:hAnsi="Book Antiqua"/>
          <w:sz w:val="24"/>
        </w:rPr>
        <w:t>chemotherapy</w:t>
      </w:r>
      <w:bookmarkEnd w:id="52"/>
      <w:bookmarkEnd w:id="53"/>
      <w:r>
        <w:rPr>
          <w:rFonts w:ascii="Book Antiqua" w:hAnsi="Book Antiqua"/>
          <w:sz w:val="24"/>
        </w:rPr>
        <w:t xml:space="preserve"> and it turns out to have better overall survival </w:t>
      </w:r>
      <w:bookmarkEnd w:id="50"/>
      <w:bookmarkEnd w:id="51"/>
      <w:r>
        <w:rPr>
          <w:rFonts w:ascii="Book Antiqua" w:hAnsi="Book Antiqua"/>
          <w:sz w:val="24"/>
        </w:rPr>
        <w:t>rates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[4]</w:t>
      </w:r>
      <w:r>
        <w:rPr>
          <w:rFonts w:ascii="Book Antiqua" w:hAnsi="Book Antiqua"/>
          <w:sz w:val="24"/>
          <w:vertAlign w:val="superscript"/>
        </w:rPr>
        <w:fldChar w:fldCharType="end"/>
      </w:r>
      <w:r>
        <w:rPr>
          <w:rFonts w:ascii="Book Antiqua" w:hAnsi="Book Antiqua"/>
          <w:sz w:val="24"/>
        </w:rPr>
        <w:t>. TNM stages normally correlate with the clinical outcome of a large population of patients, but patients with similar clinical characteristics have different outcomes, which may be affected by their individual genes. The identification of patients with high-risk lung cancer could thus help</w:t>
      </w:r>
      <w:r>
        <w:rPr>
          <w:rFonts w:ascii="Book Antiqua" w:hAnsi="Book Antiqua" w:hint="eastAsia"/>
          <w:sz w:val="24"/>
        </w:rPr>
        <w:t xml:space="preserve"> to</w:t>
      </w:r>
      <w:r>
        <w:rPr>
          <w:rFonts w:ascii="Book Antiqua" w:hAnsi="Book Antiqua"/>
          <w:sz w:val="24"/>
        </w:rPr>
        <w:t xml:space="preserve"> set up novel treatment strategies and could theoretically improve the outcome of anti-cancer therapy. Therefore, it is desirable to </w:t>
      </w:r>
      <w:r>
        <w:rPr>
          <w:rFonts w:ascii="Book Antiqua" w:hAnsi="Book Antiqua"/>
          <w:sz w:val="24"/>
        </w:rPr>
        <w:lastRenderedPageBreak/>
        <w:t xml:space="preserve">characterize more reliable and accurate molecular markers to identify more aggressive lung cancer phenotypes in order to individually tailor the therapy. </w:t>
      </w:r>
    </w:p>
    <w:p w:rsidR="00C02679" w:rsidRDefault="009803CF">
      <w:pPr>
        <w:spacing w:after="0" w:line="360" w:lineRule="auto"/>
        <w:ind w:firstLineChars="100" w:firstLine="240"/>
        <w:rPr>
          <w:rFonts w:ascii="Book Antiqua" w:hAnsi="Book Antiqua"/>
          <w:sz w:val="24"/>
        </w:rPr>
      </w:pPr>
      <w:r>
        <w:rPr>
          <w:rFonts w:ascii="Book Antiqua" w:hAnsi="Book Antiqua"/>
          <w:sz w:val="24"/>
        </w:rPr>
        <w:t xml:space="preserve">Actually, previous studies have implied that biomarkers could help define the subgroups of patients. However, there is no standard way to immunohistochemically detect these biomarkers, which prevents their application as prognostic factors.  Nowadays, people choose to study single nucleotide polymorphisms (SNPs) as prognostic markers because these SNPs can be easily evaluated from </w:t>
      </w:r>
      <w:bookmarkStart w:id="54" w:name="OLE_LINK13"/>
      <w:bookmarkStart w:id="55" w:name="OLE_LINK14"/>
      <w:bookmarkStart w:id="56" w:name="OLE_LINK9"/>
      <w:bookmarkStart w:id="57" w:name="OLE_LINK10"/>
      <w:bookmarkStart w:id="58" w:name="OLE_LINK11"/>
      <w:bookmarkStart w:id="59" w:name="OLE_LINK12"/>
      <w:r>
        <w:rPr>
          <w:rFonts w:ascii="Book Antiqua" w:hAnsi="Book Antiqua"/>
          <w:sz w:val="24"/>
        </w:rPr>
        <w:t>patients’ blood</w:t>
      </w:r>
      <w:bookmarkEnd w:id="54"/>
      <w:bookmarkEnd w:id="55"/>
      <w:bookmarkEnd w:id="56"/>
      <w:bookmarkEnd w:id="57"/>
      <w:bookmarkEnd w:id="58"/>
      <w:bookmarkEnd w:id="59"/>
      <w:r>
        <w:rPr>
          <w:rFonts w:ascii="Book Antiqua" w:hAnsi="Book Antiqua"/>
          <w:sz w:val="24"/>
        </w:rPr>
        <w:t xml:space="preserve">, which can avoid issues such as the availability and the quality of materials. One typical example is the gene </w:t>
      </w:r>
      <w:r>
        <w:rPr>
          <w:rFonts w:ascii="Book Antiqua" w:hAnsi="Book Antiqua"/>
          <w:i/>
          <w:sz w:val="24"/>
        </w:rPr>
        <w:t>GNAS1</w:t>
      </w:r>
      <w:r>
        <w:rPr>
          <w:rFonts w:ascii="Book Antiqua" w:hAnsi="Book Antiqua" w:hint="eastAsia"/>
          <w:i/>
          <w:sz w:val="24"/>
        </w:rPr>
        <w:t xml:space="preserve"> </w:t>
      </w:r>
      <w:r>
        <w:rPr>
          <w:rFonts w:ascii="Book Antiqua" w:hAnsi="Book Antiqua"/>
          <w:i/>
          <w:sz w:val="24"/>
        </w:rPr>
        <w:t>T393C</w:t>
      </w:r>
      <w:r>
        <w:rPr>
          <w:rFonts w:ascii="Book Antiqua" w:hAnsi="Book Antiqua"/>
          <w:sz w:val="24"/>
        </w:rPr>
        <w:t xml:space="preserve"> polymorphism. </w:t>
      </w:r>
    </w:p>
    <w:p w:rsidR="00C02679" w:rsidRDefault="009803CF">
      <w:pPr>
        <w:spacing w:after="0" w:line="360" w:lineRule="auto"/>
        <w:ind w:firstLineChars="100" w:firstLine="240"/>
        <w:rPr>
          <w:rFonts w:ascii="Book Antiqua" w:hAnsi="Book Antiqua"/>
          <w:sz w:val="24"/>
        </w:rPr>
      </w:pPr>
      <w:r>
        <w:rPr>
          <w:rFonts w:ascii="Book Antiqua" w:hAnsi="Book Antiqua"/>
          <w:sz w:val="24"/>
        </w:rPr>
        <w:t xml:space="preserve">The gene, </w:t>
      </w:r>
      <w:r>
        <w:rPr>
          <w:rFonts w:ascii="Book Antiqua" w:hAnsi="Book Antiqua"/>
          <w:i/>
          <w:sz w:val="24"/>
        </w:rPr>
        <w:t>GNAS1</w:t>
      </w:r>
      <w:r>
        <w:rPr>
          <w:rFonts w:ascii="Book Antiqua" w:hAnsi="Book Antiqua"/>
          <w:sz w:val="24"/>
        </w:rPr>
        <w:t xml:space="preserve">, has been mapped to chromosome 20q13 and has 13 exons located in exon 5, which encodes the α-subunit of the stimulatoryG protein, namely </w:t>
      </w:r>
      <w:r>
        <w:rPr>
          <w:rFonts w:ascii="Book Antiqua" w:hAnsi="Book Antiqua"/>
          <w:iCs/>
          <w:sz w:val="24"/>
        </w:rPr>
        <w:t>Gαs</w:t>
      </w:r>
      <w:r>
        <w:rPr>
          <w:rFonts w:ascii="Book Antiqua" w:hAnsi="Book Antiqua"/>
          <w:sz w:val="24"/>
        </w:rPr>
        <w:t xml:space="preserve">. Somatic mutations of </w:t>
      </w:r>
      <w:r>
        <w:rPr>
          <w:rFonts w:ascii="Book Antiqua" w:hAnsi="Book Antiqua"/>
          <w:i/>
          <w:sz w:val="24"/>
        </w:rPr>
        <w:t>GNAS1</w:t>
      </w:r>
      <w:r>
        <w:rPr>
          <w:rFonts w:ascii="Book Antiqua" w:hAnsi="Book Antiqua"/>
          <w:sz w:val="24"/>
        </w:rPr>
        <w:t xml:space="preserve"> has been reported to be involved in the etiology of McCune Albright Syndrome and sporadic, isolated endocrine tumors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[5-7]</w:t>
      </w:r>
      <w:r>
        <w:rPr>
          <w:rFonts w:ascii="Book Antiqua" w:hAnsi="Book Antiqua"/>
          <w:sz w:val="24"/>
          <w:vertAlign w:val="superscript"/>
        </w:rPr>
        <w:fldChar w:fldCharType="end"/>
      </w:r>
      <w:r>
        <w:rPr>
          <w:rFonts w:ascii="Book Antiqua" w:hAnsi="Book Antiqua"/>
          <w:sz w:val="24"/>
        </w:rPr>
        <w:t xml:space="preserve">, suggesting that </w:t>
      </w:r>
      <w:r>
        <w:rPr>
          <w:rFonts w:ascii="Book Antiqua" w:hAnsi="Book Antiqua"/>
          <w:i/>
          <w:sz w:val="24"/>
        </w:rPr>
        <w:t>GNAS1</w:t>
      </w:r>
      <w:r>
        <w:rPr>
          <w:rFonts w:ascii="Book Antiqua" w:hAnsi="Book Antiqua"/>
          <w:sz w:val="24"/>
        </w:rPr>
        <w:t xml:space="preserve"> could </w:t>
      </w:r>
      <w:r>
        <w:rPr>
          <w:rFonts w:ascii="Book Antiqua" w:hAnsi="Book Antiqua" w:hint="eastAsia"/>
          <w:sz w:val="24"/>
        </w:rPr>
        <w:t>participate</w:t>
      </w:r>
      <w:r>
        <w:rPr>
          <w:rFonts w:ascii="Book Antiqua" w:hAnsi="Book Antiqua"/>
          <w:sz w:val="24"/>
        </w:rPr>
        <w:t xml:space="preserve"> in cancer initiation and progression. </w:t>
      </w:r>
      <w:r>
        <w:rPr>
          <w:rFonts w:ascii="Book Antiqua" w:hAnsi="Book Antiqua" w:hint="eastAsia"/>
          <w:sz w:val="24"/>
        </w:rPr>
        <w:t>What</w:t>
      </w:r>
      <w:r>
        <w:rPr>
          <w:rFonts w:ascii="Book Antiqua" w:hAnsi="Book Antiqua"/>
          <w:sz w:val="24"/>
        </w:rPr>
        <w:t>’</w:t>
      </w:r>
      <w:r>
        <w:rPr>
          <w:rFonts w:ascii="Book Antiqua" w:hAnsi="Book Antiqua" w:hint="eastAsia"/>
          <w:sz w:val="24"/>
        </w:rPr>
        <w:t>s more, p</w:t>
      </w:r>
      <w:r>
        <w:rPr>
          <w:rFonts w:ascii="Book Antiqua" w:hAnsi="Book Antiqua"/>
          <w:sz w:val="24"/>
        </w:rPr>
        <w:t xml:space="preserve">revious studies have demonstrated that the </w:t>
      </w:r>
      <w:r>
        <w:rPr>
          <w:rFonts w:ascii="Book Antiqua" w:hAnsi="Book Antiqua"/>
          <w:i/>
          <w:sz w:val="24"/>
        </w:rPr>
        <w:t>T393C</w:t>
      </w:r>
      <w:r>
        <w:rPr>
          <w:rFonts w:ascii="Book Antiqua" w:hAnsi="Book Antiqua"/>
          <w:sz w:val="24"/>
        </w:rPr>
        <w:t xml:space="preserve"> polymorphism </w:t>
      </w:r>
      <w:r>
        <w:rPr>
          <w:rFonts w:ascii="Book Antiqua" w:hAnsi="Book Antiqua" w:hint="eastAsia"/>
          <w:sz w:val="24"/>
        </w:rPr>
        <w:t>was</w:t>
      </w:r>
      <w:r>
        <w:rPr>
          <w:rFonts w:ascii="Book Antiqua" w:hAnsi="Book Antiqua"/>
          <w:sz w:val="24"/>
        </w:rPr>
        <w:t xml:space="preserve"> significantly correlated with the </w:t>
      </w:r>
      <w:r>
        <w:rPr>
          <w:rFonts w:ascii="Book Antiqua" w:hAnsi="Book Antiqua" w:hint="eastAsia"/>
          <w:sz w:val="24"/>
        </w:rPr>
        <w:t>prognosis</w:t>
      </w:r>
      <w:r>
        <w:rPr>
          <w:rFonts w:ascii="Book Antiqua" w:hAnsi="Book Antiqua"/>
          <w:sz w:val="24"/>
        </w:rPr>
        <w:t xml:space="preserve"> of patients with various cancers, such as breast carcinoma, squamous cell carcinoma of the larynx, bladder cancer,</w:t>
      </w:r>
      <w:r>
        <w:rPr>
          <w:rFonts w:ascii="Book Antiqua" w:hAnsi="Book Antiqua" w:hint="eastAsia"/>
          <w:sz w:val="24"/>
        </w:rPr>
        <w:t xml:space="preserve"> </w:t>
      </w:r>
      <w:r>
        <w:rPr>
          <w:rFonts w:ascii="Book Antiqua" w:hAnsi="Book Antiqua"/>
          <w:sz w:val="24"/>
        </w:rPr>
        <w:t>cholangiocarcinoma, colorectal cancer,  clear cell renal carcinoma, oropharynx and hypopharynx</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[8-20]</w:t>
      </w:r>
      <w:r>
        <w:rPr>
          <w:rFonts w:ascii="Book Antiqua" w:hAnsi="Book Antiqua"/>
          <w:sz w:val="24"/>
          <w:vertAlign w:val="superscript"/>
        </w:rPr>
        <w:fldChar w:fldCharType="end"/>
      </w:r>
      <w:r>
        <w:rPr>
          <w:rFonts w:ascii="Book Antiqua" w:hAnsi="Book Antiqua"/>
          <w:sz w:val="24"/>
        </w:rPr>
        <w:t xml:space="preserve">. </w:t>
      </w:r>
    </w:p>
    <w:p w:rsidR="00C02679" w:rsidRDefault="009803CF">
      <w:pPr>
        <w:spacing w:after="0" w:line="360" w:lineRule="auto"/>
        <w:ind w:firstLineChars="100" w:firstLine="240"/>
        <w:rPr>
          <w:rFonts w:ascii="Book Antiqua" w:hAnsi="Book Antiqua"/>
          <w:sz w:val="24"/>
        </w:rPr>
      </w:pPr>
      <w:r>
        <w:rPr>
          <w:rFonts w:ascii="Book Antiqua" w:hAnsi="Book Antiqua"/>
          <w:sz w:val="24"/>
        </w:rPr>
        <w:t xml:space="preserve">In this study, we evaluated the </w:t>
      </w:r>
      <w:r>
        <w:rPr>
          <w:rFonts w:ascii="Book Antiqua" w:hAnsi="Book Antiqua"/>
          <w:i/>
          <w:sz w:val="24"/>
        </w:rPr>
        <w:t>T393C-SNP</w:t>
      </w:r>
      <w:r>
        <w:rPr>
          <w:rFonts w:ascii="Book Antiqua" w:hAnsi="Book Antiqua"/>
          <w:sz w:val="24"/>
        </w:rPr>
        <w:t xml:space="preserve"> polymorphism in Han population to evaluate the effect of this polymorphism on lung cancer prognosis. Our purpose was to determine whether the common </w:t>
      </w:r>
      <w:r>
        <w:rPr>
          <w:rFonts w:ascii="Book Antiqua" w:hAnsi="Book Antiqua"/>
          <w:i/>
          <w:sz w:val="24"/>
        </w:rPr>
        <w:t>GNAS1 T393C</w:t>
      </w:r>
      <w:r>
        <w:rPr>
          <w:rFonts w:ascii="Book Antiqua" w:hAnsi="Book Antiqua"/>
          <w:sz w:val="24"/>
        </w:rPr>
        <w:t xml:space="preserve"> polymorphismcan be used as a prediction factor for survival in NSCLC patients.</w:t>
      </w:r>
    </w:p>
    <w:p w:rsidR="00C02679" w:rsidRDefault="00C02679">
      <w:pPr>
        <w:spacing w:after="0" w:line="360" w:lineRule="auto"/>
        <w:rPr>
          <w:rFonts w:ascii="Book Antiqua" w:hAnsi="Book Antiqua"/>
          <w:sz w:val="24"/>
        </w:rPr>
      </w:pPr>
    </w:p>
    <w:p w:rsidR="00C02679" w:rsidRDefault="009803CF">
      <w:pPr>
        <w:spacing w:after="0" w:line="360" w:lineRule="auto"/>
        <w:rPr>
          <w:rFonts w:ascii="Book Antiqua" w:hAnsi="Book Antiqua"/>
          <w:b/>
          <w:sz w:val="24"/>
        </w:rPr>
      </w:pPr>
      <w:r>
        <w:rPr>
          <w:rFonts w:ascii="Book Antiqua" w:hAnsi="Book Antiqua"/>
          <w:b/>
          <w:sz w:val="24"/>
        </w:rPr>
        <w:t>MATERIALS AND METHODS</w:t>
      </w:r>
    </w:p>
    <w:p w:rsidR="00C02679" w:rsidRDefault="009803CF">
      <w:pPr>
        <w:spacing w:after="0" w:line="360" w:lineRule="auto"/>
        <w:rPr>
          <w:rFonts w:ascii="Book Antiqua" w:hAnsi="Book Antiqua"/>
          <w:b/>
          <w:i/>
          <w:sz w:val="24"/>
        </w:rPr>
      </w:pPr>
      <w:r>
        <w:rPr>
          <w:rFonts w:ascii="Book Antiqua" w:hAnsi="Book Antiqua"/>
          <w:b/>
          <w:i/>
          <w:sz w:val="24"/>
        </w:rPr>
        <w:t>Patients and clinical samples</w:t>
      </w:r>
    </w:p>
    <w:p w:rsidR="00C02679" w:rsidRDefault="009803CF">
      <w:pPr>
        <w:spacing w:after="0" w:line="360" w:lineRule="auto"/>
        <w:rPr>
          <w:rFonts w:ascii="Book Antiqua" w:hAnsi="Book Antiqua"/>
          <w:sz w:val="24"/>
        </w:rPr>
      </w:pPr>
      <w:r>
        <w:rPr>
          <w:rFonts w:ascii="Book Antiqua" w:hAnsi="Book Antiqua" w:hint="eastAsia"/>
          <w:sz w:val="24"/>
        </w:rPr>
        <w:t>Two</w:t>
      </w:r>
      <w:r>
        <w:rPr>
          <w:rFonts w:ascii="Book Antiqua" w:hAnsi="Book Antiqua"/>
          <w:sz w:val="24"/>
        </w:rPr>
        <w:t xml:space="preserve"> m</w:t>
      </w:r>
      <w:r>
        <w:rPr>
          <w:rFonts w:ascii="Book Antiqua" w:hAnsi="Book Antiqua" w:hint="eastAsia"/>
          <w:sz w:val="24"/>
        </w:rPr>
        <w:t>L</w:t>
      </w:r>
      <w:r>
        <w:rPr>
          <w:rFonts w:ascii="Book Antiqua" w:hAnsi="Book Antiqua"/>
          <w:sz w:val="24"/>
        </w:rPr>
        <w:t xml:space="preserve"> peripheral blood samples were collected from patients diagnosed </w:t>
      </w:r>
      <w:r>
        <w:rPr>
          <w:rFonts w:ascii="Book Antiqua" w:hAnsi="Book Antiqua"/>
          <w:sz w:val="24"/>
        </w:rPr>
        <w:lastRenderedPageBreak/>
        <w:t xml:space="preserve">with advanced NSCLC pathologically </w:t>
      </w:r>
      <w:r>
        <w:rPr>
          <w:rFonts w:ascii="Book Antiqua" w:hAnsi="Book Antiqua" w:hint="eastAsia"/>
          <w:sz w:val="24"/>
        </w:rPr>
        <w:t>before any antineoplastic treatment</w:t>
      </w:r>
      <w:r>
        <w:rPr>
          <w:rFonts w:ascii="Book Antiqua" w:hAnsi="Book Antiqua"/>
          <w:sz w:val="24"/>
        </w:rPr>
        <w:t xml:space="preserve"> at Renmin Hospital of Wuhan University (China) between March 2010 and March 2012. Patients were chosen based on the following criteria: (1) </w:t>
      </w:r>
      <w:r>
        <w:rPr>
          <w:rFonts w:ascii="Book Antiqua" w:hAnsi="Book Antiqua" w:hint="eastAsia"/>
          <w:sz w:val="24"/>
        </w:rPr>
        <w:t xml:space="preserve">UICC(2009) </w:t>
      </w:r>
      <w:r>
        <w:rPr>
          <w:rFonts w:ascii="Book Antiqua" w:hAnsi="Book Antiqua"/>
          <w:sz w:val="24"/>
        </w:rPr>
        <w:t>stage IIIB or IV histologically confirmed NSCLC;(</w:t>
      </w:r>
      <w:r>
        <w:rPr>
          <w:rFonts w:ascii="Book Antiqua" w:hAnsi="Book Antiqua" w:hint="eastAsia"/>
          <w:sz w:val="24"/>
        </w:rPr>
        <w:t>2</w:t>
      </w:r>
      <w:r>
        <w:rPr>
          <w:rFonts w:ascii="Book Antiqua" w:hAnsi="Book Antiqua"/>
          <w:sz w:val="24"/>
        </w:rPr>
        <w:t>) Eastern Cooperative Oncology Group PS of 2 or less; (</w:t>
      </w:r>
      <w:r>
        <w:rPr>
          <w:rFonts w:ascii="Book Antiqua" w:hAnsi="Book Antiqua" w:hint="eastAsia"/>
          <w:sz w:val="24"/>
        </w:rPr>
        <w:t>3</w:t>
      </w:r>
      <w:r>
        <w:rPr>
          <w:rFonts w:ascii="Book Antiqua" w:hAnsi="Book Antiqua"/>
          <w:sz w:val="24"/>
        </w:rPr>
        <w:t>) life expectancy of more than 3 mo</w:t>
      </w:r>
      <w:r>
        <w:rPr>
          <w:rFonts w:ascii="Book Antiqua" w:hAnsi="Book Antiqua" w:hint="eastAsia"/>
          <w:sz w:val="24"/>
        </w:rPr>
        <w:t>nths</w:t>
      </w:r>
      <w:r>
        <w:rPr>
          <w:rFonts w:ascii="Book Antiqua" w:hAnsi="Book Antiqua"/>
          <w:sz w:val="24"/>
        </w:rPr>
        <w:t xml:space="preserve">. Patients were not included if they had taken </w:t>
      </w:r>
      <w:r>
        <w:rPr>
          <w:rFonts w:ascii="Book Antiqua" w:hAnsi="Book Antiqua" w:hint="eastAsia"/>
          <w:sz w:val="24"/>
        </w:rPr>
        <w:t xml:space="preserve">any anti-tumor therapy </w:t>
      </w:r>
      <w:r>
        <w:rPr>
          <w:rFonts w:ascii="Book Antiqua" w:hAnsi="Book Antiqua"/>
          <w:sz w:val="24"/>
        </w:rPr>
        <w:t>previously. All patients were asked to sign the informed consent before including them in the database. The study cohort (94 patients; for clinicopathological data, Table 1) composed exclusively of patients with a meticulously complete follow-up record. This study was performed following the guidelines of the local Research Ethics Commission.</w:t>
      </w:r>
    </w:p>
    <w:p w:rsidR="00C02679" w:rsidRDefault="00C02679">
      <w:pPr>
        <w:spacing w:after="0" w:line="360" w:lineRule="auto"/>
        <w:rPr>
          <w:rFonts w:ascii="Book Antiqua" w:hAnsi="Book Antiqua"/>
          <w:b/>
          <w:sz w:val="24"/>
        </w:rPr>
      </w:pPr>
    </w:p>
    <w:p w:rsidR="00C02679" w:rsidRDefault="009803CF">
      <w:pPr>
        <w:spacing w:after="0" w:line="360" w:lineRule="auto"/>
        <w:rPr>
          <w:rFonts w:ascii="Book Antiqua" w:hAnsi="Book Antiqua"/>
          <w:b/>
          <w:i/>
          <w:sz w:val="24"/>
        </w:rPr>
      </w:pPr>
      <w:r>
        <w:rPr>
          <w:rFonts w:ascii="Book Antiqua" w:hAnsi="Book Antiqua"/>
          <w:b/>
          <w:i/>
          <w:sz w:val="24"/>
        </w:rPr>
        <w:t>DNA extraction and genotyping</w:t>
      </w:r>
    </w:p>
    <w:p w:rsidR="00C02679" w:rsidRDefault="009803CF">
      <w:pPr>
        <w:spacing w:after="0" w:line="360" w:lineRule="auto"/>
        <w:rPr>
          <w:rFonts w:ascii="Book Antiqua" w:hAnsi="Book Antiqua"/>
          <w:sz w:val="24"/>
        </w:rPr>
      </w:pPr>
      <w:r>
        <w:rPr>
          <w:rFonts w:ascii="Book Antiqua" w:hAnsi="Book Antiqua"/>
          <w:sz w:val="24"/>
        </w:rPr>
        <w:t xml:space="preserve">The patient DNA was isolated from whole blood samples using the QIAamp kit (Qiagen, Germany). T393C-SNP (dbSNP rs7121) amplified by PCR with the following primers: Forward primer 5’-CAGCCCACATTAGGGAGCATAT-3’ and Reverse primer 5’-TAATCCCTGCCTATGCTCACGA-3’. After denaturation at 95°C, </w:t>
      </w:r>
      <w:r>
        <w:rPr>
          <w:rFonts w:ascii="Book Antiqua" w:hAnsi="Book Antiqua" w:hint="eastAsia"/>
          <w:sz w:val="24"/>
        </w:rPr>
        <w:t>5</w:t>
      </w:r>
      <w:r>
        <w:rPr>
          <w:rFonts w:ascii="Book Antiqua" w:hAnsi="Book Antiqua"/>
          <w:sz w:val="24"/>
        </w:rPr>
        <w:t>0 cycles of DNA amplification were done using (NH4)</w:t>
      </w:r>
      <w:r>
        <w:rPr>
          <w:rFonts w:ascii="Book Antiqua" w:hAnsi="Book Antiqua"/>
          <w:sz w:val="24"/>
          <w:vertAlign w:val="subscript"/>
        </w:rPr>
        <w:t>2</w:t>
      </w:r>
      <w:r>
        <w:rPr>
          <w:rFonts w:ascii="Book Antiqua" w:hAnsi="Book Antiqua"/>
          <w:sz w:val="24"/>
        </w:rPr>
        <w:t>SO</w:t>
      </w:r>
      <w:r>
        <w:rPr>
          <w:rFonts w:ascii="Book Antiqua" w:hAnsi="Book Antiqua"/>
          <w:sz w:val="24"/>
          <w:vertAlign w:val="subscript"/>
        </w:rPr>
        <w:t>4</w:t>
      </w:r>
      <w:r>
        <w:rPr>
          <w:rFonts w:ascii="Book Antiqua" w:hAnsi="Book Antiqua"/>
          <w:sz w:val="24"/>
        </w:rPr>
        <w:t xml:space="preserve"> containing buffer (Bioron, Germany) at 95°C for 60 s, </w:t>
      </w:r>
      <w:r>
        <w:rPr>
          <w:rFonts w:ascii="Book Antiqua" w:hAnsi="Book Antiqua" w:hint="eastAsia"/>
          <w:sz w:val="24"/>
        </w:rPr>
        <w:t>60</w:t>
      </w:r>
      <w:r>
        <w:rPr>
          <w:rFonts w:ascii="Book Antiqua" w:hAnsi="Book Antiqua"/>
          <w:sz w:val="24"/>
        </w:rPr>
        <w:t>°C for 30 s, and 7</w:t>
      </w:r>
      <w:r>
        <w:rPr>
          <w:rFonts w:ascii="Book Antiqua" w:hAnsi="Book Antiqua" w:hint="eastAsia"/>
          <w:sz w:val="24"/>
        </w:rPr>
        <w:t>0</w:t>
      </w:r>
      <w:r>
        <w:rPr>
          <w:rFonts w:ascii="Book Antiqua" w:hAnsi="Book Antiqua"/>
          <w:sz w:val="24"/>
        </w:rPr>
        <w:t xml:space="preserve">°C for 60 s. The 807-bp PCR products were genotyped by their </w:t>
      </w:r>
      <w:r>
        <w:rPr>
          <w:rFonts w:ascii="Book Antiqua" w:hAnsi="Book Antiqua"/>
          <w:vanish/>
          <w:sz w:val="24"/>
        </w:rPr>
        <w:t xml:space="preserve">ed and genetyped by </w:t>
      </w:r>
      <w:r>
        <w:rPr>
          <w:rFonts w:ascii="Book Antiqua" w:hAnsi="Book Antiqua"/>
          <w:sz w:val="24"/>
        </w:rPr>
        <w:t>sequences.</w:t>
      </w:r>
    </w:p>
    <w:p w:rsidR="00C02679" w:rsidRDefault="00C02679">
      <w:pPr>
        <w:spacing w:after="0" w:line="360" w:lineRule="auto"/>
        <w:rPr>
          <w:rFonts w:ascii="Book Antiqua" w:hAnsi="Book Antiqua"/>
          <w:b/>
          <w:i/>
          <w:sz w:val="24"/>
        </w:rPr>
      </w:pPr>
    </w:p>
    <w:p w:rsidR="00C02679" w:rsidRDefault="009803CF">
      <w:pPr>
        <w:spacing w:after="0" w:line="360" w:lineRule="auto"/>
        <w:rPr>
          <w:rFonts w:ascii="Book Antiqua" w:hAnsi="Book Antiqua"/>
          <w:b/>
          <w:i/>
          <w:sz w:val="24"/>
        </w:rPr>
      </w:pPr>
      <w:r>
        <w:rPr>
          <w:rFonts w:ascii="Book Antiqua" w:hAnsi="Book Antiqua"/>
          <w:b/>
          <w:i/>
          <w:sz w:val="24"/>
        </w:rPr>
        <w:t>Statistical analysis</w:t>
      </w:r>
    </w:p>
    <w:p w:rsidR="00C02679" w:rsidRDefault="009803CF">
      <w:pPr>
        <w:spacing w:after="0" w:line="360" w:lineRule="auto"/>
        <w:rPr>
          <w:rFonts w:ascii="Book Antiqua" w:hAnsi="Book Antiqua"/>
          <w:sz w:val="24"/>
        </w:rPr>
      </w:pPr>
      <w:r>
        <w:rPr>
          <w:rFonts w:ascii="Book Antiqua" w:hAnsi="Book Antiqua"/>
          <w:sz w:val="24"/>
        </w:rPr>
        <w:t xml:space="preserve">The software SPSS 17.0 was used in the statistical analysis in this study. Descriptive statistics were applied to describe patient baseline characteristics. </w:t>
      </w:r>
      <w:r>
        <w:rPr>
          <w:rFonts w:ascii="Book Antiqua" w:hAnsi="Book Antiqua" w:hint="eastAsia"/>
          <w:sz w:val="24"/>
        </w:rPr>
        <w:t>T</w:t>
      </w:r>
      <w:r>
        <w:rPr>
          <w:rFonts w:ascii="Book Antiqua" w:hAnsi="Book Antiqua"/>
          <w:sz w:val="24"/>
        </w:rPr>
        <w:t xml:space="preserve">he correlation between </w:t>
      </w:r>
      <w:r>
        <w:rPr>
          <w:rFonts w:ascii="Book Antiqua" w:hAnsi="Book Antiqua"/>
          <w:i/>
          <w:sz w:val="24"/>
        </w:rPr>
        <w:t>T393C</w:t>
      </w:r>
      <w:r>
        <w:rPr>
          <w:rFonts w:ascii="Book Antiqua" w:hAnsi="Book Antiqua"/>
          <w:sz w:val="24"/>
        </w:rPr>
        <w:t xml:space="preserve"> genotypes and the clinical outcome</w:t>
      </w:r>
      <w:r>
        <w:rPr>
          <w:rFonts w:ascii="Book Antiqua" w:hAnsi="Book Antiqua" w:hint="eastAsia"/>
          <w:sz w:val="24"/>
        </w:rPr>
        <w:t xml:space="preserve"> were evaluated by </w:t>
      </w:r>
      <w:r>
        <w:rPr>
          <w:rFonts w:ascii="Book Antiqua" w:hAnsi="Book Antiqua"/>
          <w:sz w:val="24"/>
        </w:rPr>
        <w:t>Kaplan-Meier plots and the log-rank test</w:t>
      </w:r>
      <w:r>
        <w:rPr>
          <w:rFonts w:ascii="Book Antiqua" w:hAnsi="Book Antiqua" w:hint="eastAsia"/>
          <w:sz w:val="24"/>
        </w:rPr>
        <w:t>. The survival time were calculated</w:t>
      </w:r>
      <w:r>
        <w:rPr>
          <w:rFonts w:ascii="Book Antiqua" w:hAnsi="Book Antiqua"/>
          <w:sz w:val="24"/>
        </w:rPr>
        <w:t xml:space="preserve"> from the date of the primary diagnosis to the end of follow-up or date of death, whichever occurred first. </w:t>
      </w:r>
      <w:r>
        <w:rPr>
          <w:rFonts w:ascii="Book Antiqua" w:hAnsi="Book Antiqua" w:hint="eastAsia"/>
          <w:sz w:val="24"/>
        </w:rPr>
        <w:t>T</w:t>
      </w:r>
      <w:r>
        <w:rPr>
          <w:rFonts w:ascii="Book Antiqua" w:hAnsi="Book Antiqua"/>
          <w:sz w:val="24"/>
        </w:rPr>
        <w:t xml:space="preserve">he independent influence of </w:t>
      </w:r>
      <w:r>
        <w:rPr>
          <w:rFonts w:ascii="Book Antiqua" w:hAnsi="Book Antiqua"/>
          <w:i/>
          <w:sz w:val="24"/>
        </w:rPr>
        <w:lastRenderedPageBreak/>
        <w:t>T393C</w:t>
      </w:r>
      <w:r>
        <w:rPr>
          <w:rFonts w:ascii="Book Antiqua" w:hAnsi="Book Antiqua"/>
          <w:sz w:val="24"/>
        </w:rPr>
        <w:t>-SNP and other covariates on survival rates</w:t>
      </w:r>
      <w:r>
        <w:rPr>
          <w:rFonts w:ascii="Book Antiqua" w:hAnsi="Book Antiqua" w:hint="eastAsia"/>
          <w:sz w:val="24"/>
        </w:rPr>
        <w:t xml:space="preserve"> was assessed in multivariate analysis by c</w:t>
      </w:r>
      <w:r>
        <w:rPr>
          <w:rFonts w:ascii="Book Antiqua" w:hAnsi="Book Antiqua"/>
          <w:sz w:val="24"/>
        </w:rPr>
        <w:t>ox regression hazard model</w:t>
      </w:r>
      <w:r>
        <w:rPr>
          <w:rFonts w:ascii="Book Antiqua" w:hAnsi="Book Antiqua" w:hint="eastAsia"/>
          <w:sz w:val="24"/>
        </w:rPr>
        <w:t xml:space="preserve"> </w:t>
      </w:r>
      <w:r>
        <w:rPr>
          <w:rFonts w:ascii="Book Antiqua" w:hAnsi="Book Antiqua"/>
          <w:sz w:val="24"/>
        </w:rPr>
        <w:t>.Only when the P value is less than 0.05, it is considered as statistical significant</w:t>
      </w:r>
      <w:r>
        <w:rPr>
          <w:rFonts w:ascii="Book Antiqua" w:hAnsi="Book Antiqua" w:hint="eastAsia"/>
          <w:sz w:val="24"/>
        </w:rPr>
        <w:t xml:space="preserve"> in the presentation of results</w:t>
      </w:r>
      <w:r>
        <w:rPr>
          <w:rFonts w:ascii="Book Antiqua" w:hAnsi="Book Antiqua"/>
          <w:sz w:val="24"/>
        </w:rPr>
        <w:t>. The compatibility with the Hardy-Weinberg equilibrium was calculated with HWE (http:// linkage.rockefeller.edu/ott/linkutil.htm).</w:t>
      </w:r>
    </w:p>
    <w:p w:rsidR="00C02679" w:rsidRDefault="00C02679">
      <w:pPr>
        <w:spacing w:after="0" w:line="360" w:lineRule="auto"/>
        <w:rPr>
          <w:rFonts w:ascii="Book Antiqua" w:hAnsi="Book Antiqua"/>
          <w:sz w:val="24"/>
        </w:rPr>
      </w:pPr>
    </w:p>
    <w:p w:rsidR="00C02679" w:rsidRDefault="009803CF">
      <w:pPr>
        <w:spacing w:after="0" w:line="360" w:lineRule="auto"/>
        <w:rPr>
          <w:rFonts w:ascii="Book Antiqua" w:hAnsi="Book Antiqua"/>
          <w:b/>
          <w:sz w:val="24"/>
        </w:rPr>
      </w:pPr>
      <w:r>
        <w:rPr>
          <w:rFonts w:ascii="Book Antiqua" w:hAnsi="Book Antiqua"/>
          <w:b/>
          <w:sz w:val="24"/>
        </w:rPr>
        <w:t>RESULTS</w:t>
      </w:r>
    </w:p>
    <w:p w:rsidR="00C02679" w:rsidRDefault="009803CF">
      <w:pPr>
        <w:spacing w:after="0" w:line="360" w:lineRule="auto"/>
        <w:rPr>
          <w:rFonts w:ascii="Book Antiqua" w:hAnsi="Book Antiqua"/>
          <w:b/>
          <w:i/>
          <w:sz w:val="24"/>
        </w:rPr>
      </w:pPr>
      <w:r>
        <w:rPr>
          <w:rFonts w:ascii="Book Antiqua" w:hAnsi="Book Antiqua"/>
          <w:b/>
          <w:i/>
          <w:sz w:val="24"/>
        </w:rPr>
        <w:t xml:space="preserve">Analysis of GNAS1 T393C genotypes and associated clinicopathological </w:t>
      </w:r>
      <w:r>
        <w:rPr>
          <w:rFonts w:ascii="Book Antiqua" w:hAnsi="Book Antiqua" w:hint="eastAsia"/>
          <w:b/>
          <w:i/>
          <w:sz w:val="24"/>
        </w:rPr>
        <w:t>features</w:t>
      </w:r>
    </w:p>
    <w:p w:rsidR="00C02679" w:rsidRDefault="009803CF">
      <w:pPr>
        <w:spacing w:after="0" w:line="360" w:lineRule="auto"/>
        <w:rPr>
          <w:rFonts w:ascii="Book Antiqua" w:hAnsi="Book Antiqua"/>
          <w:sz w:val="24"/>
        </w:rPr>
      </w:pPr>
      <w:r>
        <w:rPr>
          <w:rFonts w:ascii="Book Antiqua" w:hAnsi="Book Antiqua"/>
          <w:sz w:val="24"/>
        </w:rPr>
        <w:t xml:space="preserve">The clinicopathological characteristics of patients with genotype distribution </w:t>
      </w:r>
      <w:r>
        <w:rPr>
          <w:rFonts w:ascii="Book Antiqua" w:hAnsi="Book Antiqua" w:hint="eastAsia"/>
          <w:sz w:val="24"/>
        </w:rPr>
        <w:t xml:space="preserve">were </w:t>
      </w:r>
      <w:r>
        <w:rPr>
          <w:rFonts w:ascii="Book Antiqua" w:hAnsi="Book Antiqua"/>
          <w:sz w:val="24"/>
        </w:rPr>
        <w:t xml:space="preserve">shown in Table 1. In sum, there </w:t>
      </w:r>
      <w:r>
        <w:rPr>
          <w:rFonts w:ascii="Book Antiqua" w:hAnsi="Book Antiqua" w:hint="eastAsia"/>
          <w:sz w:val="24"/>
        </w:rPr>
        <w:t>were</w:t>
      </w:r>
      <w:r>
        <w:rPr>
          <w:rFonts w:ascii="Book Antiqua" w:hAnsi="Book Antiqua"/>
          <w:sz w:val="24"/>
        </w:rPr>
        <w:t xml:space="preserve"> 94 advanced NSCLC patients</w:t>
      </w:r>
      <w:r>
        <w:rPr>
          <w:rFonts w:ascii="Book Antiqua" w:hAnsi="Book Antiqua" w:hint="eastAsia"/>
          <w:sz w:val="24"/>
        </w:rPr>
        <w:t xml:space="preserve"> </w:t>
      </w:r>
      <w:r>
        <w:rPr>
          <w:rFonts w:ascii="Book Antiqua" w:hAnsi="Book Antiqua"/>
          <w:sz w:val="24"/>
        </w:rPr>
        <w:t>participating in this study with 23 women and</w:t>
      </w:r>
      <w:r>
        <w:rPr>
          <w:rFonts w:ascii="Book Antiqua" w:hAnsi="Book Antiqua" w:hint="eastAsia"/>
          <w:sz w:val="24"/>
        </w:rPr>
        <w:t xml:space="preserve"> </w:t>
      </w:r>
      <w:r>
        <w:rPr>
          <w:rFonts w:ascii="Book Antiqua" w:hAnsi="Book Antiqua"/>
          <w:sz w:val="24"/>
        </w:rPr>
        <w:t xml:space="preserve">71 men . </w:t>
      </w:r>
      <w:bookmarkStart w:id="60" w:name="OLE_LINK15"/>
      <w:bookmarkStart w:id="61" w:name="OLE_LINK16"/>
      <w:r>
        <w:rPr>
          <w:rFonts w:ascii="Book Antiqua" w:hAnsi="Book Antiqua"/>
          <w:sz w:val="24"/>
        </w:rPr>
        <w:t>The average age of participants was 58.6 years old, which ranges from 31 to 80 years old</w:t>
      </w:r>
      <w:bookmarkEnd w:id="60"/>
      <w:bookmarkEnd w:id="61"/>
      <w:r>
        <w:rPr>
          <w:rFonts w:ascii="Book Antiqua" w:hAnsi="Book Antiqua"/>
          <w:sz w:val="24"/>
        </w:rPr>
        <w:t xml:space="preserve">. </w:t>
      </w:r>
    </w:p>
    <w:p w:rsidR="00C02679" w:rsidRDefault="009803CF">
      <w:pPr>
        <w:spacing w:after="0" w:line="360" w:lineRule="auto"/>
        <w:ind w:firstLineChars="100" w:firstLine="240"/>
        <w:rPr>
          <w:rFonts w:ascii="Book Antiqua" w:hAnsi="Book Antiqua"/>
          <w:sz w:val="24"/>
        </w:rPr>
      </w:pPr>
      <w:r>
        <w:rPr>
          <w:rFonts w:ascii="Book Antiqua" w:hAnsi="Book Antiqua"/>
          <w:sz w:val="24"/>
        </w:rPr>
        <w:t xml:space="preserve">Among 94 patients, 38 (40%) patients displayed a TT genotype, 29 (31%) with a CT genotype and 27 (29%) with a </w:t>
      </w:r>
      <w:r>
        <w:rPr>
          <w:rFonts w:ascii="Book Antiqua" w:hAnsi="Book Antiqua" w:hint="eastAsia"/>
          <w:sz w:val="24"/>
        </w:rPr>
        <w:t>CC</w:t>
      </w:r>
      <w:r>
        <w:rPr>
          <w:rFonts w:ascii="Book Antiqua" w:hAnsi="Book Antiqua"/>
          <w:sz w:val="24"/>
        </w:rPr>
        <w:t xml:space="preserve"> genotype. </w:t>
      </w:r>
      <w:r>
        <w:rPr>
          <w:rFonts w:ascii="Book Antiqua" w:hAnsi="Book Antiqua" w:hint="eastAsia"/>
          <w:sz w:val="24"/>
        </w:rPr>
        <w:t>I</w:t>
      </w:r>
      <w:r>
        <w:rPr>
          <w:rFonts w:ascii="Book Antiqua" w:hAnsi="Book Antiqua"/>
          <w:sz w:val="24"/>
        </w:rPr>
        <w:t>n the entire patient group</w:t>
      </w:r>
      <w:r>
        <w:rPr>
          <w:rFonts w:ascii="Book Antiqua" w:hAnsi="Book Antiqua" w:hint="eastAsia"/>
          <w:sz w:val="24"/>
        </w:rPr>
        <w:t>, t</w:t>
      </w:r>
      <w:r>
        <w:rPr>
          <w:rFonts w:ascii="Book Antiqua" w:hAnsi="Book Antiqua"/>
          <w:sz w:val="24"/>
        </w:rPr>
        <w:t xml:space="preserve">he frequency of the C allele (fC) was 0.55. The distribution </w:t>
      </w:r>
      <w:r>
        <w:rPr>
          <w:rFonts w:ascii="Book Antiqua" w:hAnsi="Book Antiqua" w:hint="eastAsia"/>
          <w:sz w:val="24"/>
        </w:rPr>
        <w:t>was</w:t>
      </w:r>
      <w:r>
        <w:rPr>
          <w:rFonts w:ascii="Book Antiqua" w:hAnsi="Book Antiqua"/>
          <w:sz w:val="24"/>
        </w:rPr>
        <w:t xml:space="preserve"> compatible with the Hardy-Weinberg equilibrium. There was no significant correlation between the </w:t>
      </w:r>
      <w:r>
        <w:rPr>
          <w:rFonts w:ascii="Book Antiqua" w:hAnsi="Book Antiqua"/>
          <w:i/>
          <w:sz w:val="24"/>
        </w:rPr>
        <w:t>GNAS1 T393C</w:t>
      </w:r>
      <w:r>
        <w:rPr>
          <w:rFonts w:ascii="Book Antiqua" w:hAnsi="Book Antiqua"/>
          <w:sz w:val="24"/>
        </w:rPr>
        <w:t xml:space="preserve"> genotypes and clinicopathological </w:t>
      </w:r>
      <w:r>
        <w:rPr>
          <w:rFonts w:ascii="Book Antiqua" w:hAnsi="Book Antiqua" w:hint="eastAsia"/>
          <w:sz w:val="24"/>
        </w:rPr>
        <w:t>parameters</w:t>
      </w:r>
      <w:r>
        <w:rPr>
          <w:rFonts w:ascii="Book Antiqua" w:hAnsi="Book Antiqua"/>
          <w:sz w:val="24"/>
        </w:rPr>
        <w:t>, such as age (</w:t>
      </w:r>
      <w:r>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0.48)</w:t>
      </w:r>
      <w:r>
        <w:rPr>
          <w:rFonts w:ascii="Book Antiqua" w:hAnsi="Book Antiqua" w:hint="eastAsia"/>
          <w:sz w:val="24"/>
        </w:rPr>
        <w:t xml:space="preserve">, </w:t>
      </w:r>
      <w:r>
        <w:rPr>
          <w:rFonts w:ascii="Book Antiqua" w:hAnsi="Book Antiqua"/>
          <w:sz w:val="24"/>
        </w:rPr>
        <w:t>gender (</w:t>
      </w:r>
      <w:r>
        <w:rPr>
          <w:rFonts w:ascii="Book Antiqua" w:hAnsi="Book Antiqua"/>
          <w:i/>
          <w:sz w:val="24"/>
        </w:rPr>
        <w:t>P</w:t>
      </w:r>
      <w:r>
        <w:rPr>
          <w:rFonts w:ascii="Book Antiqua" w:hAnsi="Book Antiqua"/>
          <w:sz w:val="24"/>
        </w:rPr>
        <w:t xml:space="preserve"> = 0.42), performance status (PS) (</w:t>
      </w:r>
      <w:r>
        <w:rPr>
          <w:rFonts w:ascii="Book Antiqua" w:hAnsi="Book Antiqua"/>
          <w:i/>
          <w:sz w:val="24"/>
        </w:rPr>
        <w:t>P</w:t>
      </w:r>
      <w:r>
        <w:rPr>
          <w:rFonts w:ascii="Book Antiqua" w:hAnsi="Book Antiqua" w:hint="eastAsia"/>
          <w:sz w:val="24"/>
        </w:rPr>
        <w:t xml:space="preserve"> </w:t>
      </w:r>
      <w:r>
        <w:rPr>
          <w:rFonts w:ascii="Book Antiqua" w:hAnsi="Book Antiqua"/>
          <w:sz w:val="24"/>
        </w:rPr>
        <w:t>=</w:t>
      </w:r>
      <w:r>
        <w:rPr>
          <w:rFonts w:ascii="Book Antiqua" w:hAnsi="Book Antiqua" w:hint="eastAsia"/>
          <w:sz w:val="24"/>
        </w:rPr>
        <w:t xml:space="preserve"> </w:t>
      </w:r>
      <w:r>
        <w:rPr>
          <w:rFonts w:ascii="Book Antiqua" w:hAnsi="Book Antiqua"/>
          <w:sz w:val="24"/>
        </w:rPr>
        <w:t>0.30), smoking status (</w:t>
      </w:r>
      <w:r>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0.44) or pathology (</w:t>
      </w:r>
      <w:r>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0.59)</w:t>
      </w:r>
      <w:r w:rsidR="00705300">
        <w:rPr>
          <w:rFonts w:ascii="Book Antiqua" w:hAnsi="Book Antiqua" w:hint="eastAsia"/>
          <w:sz w:val="24"/>
        </w:rPr>
        <w:t xml:space="preserve"> (Table 2)</w:t>
      </w:r>
      <w:r>
        <w:rPr>
          <w:rFonts w:ascii="Book Antiqua" w:hAnsi="Book Antiqua"/>
          <w:sz w:val="24"/>
        </w:rPr>
        <w:t>. Further analysis showed that there was no signiﬁcant correlation of overall survival (OS) with age (</w:t>
      </w:r>
      <w:r>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0.135),</w:t>
      </w:r>
      <w:r>
        <w:rPr>
          <w:rFonts w:ascii="Book Antiqua" w:hAnsi="Book Antiqua" w:hint="eastAsia"/>
          <w:sz w:val="24"/>
        </w:rPr>
        <w:t xml:space="preserve"> </w:t>
      </w:r>
      <w:r>
        <w:rPr>
          <w:rFonts w:ascii="Book Antiqua" w:hAnsi="Book Antiqua"/>
          <w:sz w:val="24"/>
        </w:rPr>
        <w:t>gender (</w:t>
      </w:r>
      <w:r>
        <w:rPr>
          <w:rFonts w:ascii="Book Antiqua" w:hAnsi="Book Antiqua"/>
          <w:i/>
          <w:sz w:val="24"/>
        </w:rPr>
        <w:t>P</w:t>
      </w:r>
      <w:r>
        <w:rPr>
          <w:rFonts w:ascii="Book Antiqua" w:hAnsi="Book Antiqua" w:hint="eastAsia"/>
          <w:sz w:val="24"/>
        </w:rPr>
        <w:t xml:space="preserve"> </w:t>
      </w:r>
      <w:r>
        <w:rPr>
          <w:rFonts w:ascii="Book Antiqua" w:hAnsi="Book Antiqua"/>
          <w:sz w:val="24"/>
        </w:rPr>
        <w:t>=</w:t>
      </w:r>
      <w:r>
        <w:rPr>
          <w:rFonts w:ascii="Book Antiqua" w:hAnsi="Book Antiqua" w:hint="eastAsia"/>
          <w:sz w:val="24"/>
        </w:rPr>
        <w:t xml:space="preserve"> </w:t>
      </w:r>
      <w:r>
        <w:rPr>
          <w:rFonts w:ascii="Book Antiqua" w:hAnsi="Book Antiqua"/>
          <w:sz w:val="24"/>
        </w:rPr>
        <w:t>0.0580), PS (</w:t>
      </w:r>
      <w:r>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0.658), smoking (</w:t>
      </w:r>
      <w:r>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0.473), pathology (</w:t>
      </w:r>
      <w:r>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0.559), or treatment mode (</w:t>
      </w:r>
      <w:r>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0.116).</w:t>
      </w:r>
    </w:p>
    <w:p w:rsidR="00C02679" w:rsidRDefault="00C02679">
      <w:pPr>
        <w:spacing w:after="0" w:line="360" w:lineRule="auto"/>
        <w:rPr>
          <w:rFonts w:ascii="Book Antiqua" w:hAnsi="Book Antiqua"/>
          <w:b/>
          <w:sz w:val="24"/>
        </w:rPr>
      </w:pPr>
    </w:p>
    <w:p w:rsidR="00C02679" w:rsidRDefault="009803CF">
      <w:pPr>
        <w:spacing w:after="0" w:line="360" w:lineRule="auto"/>
        <w:rPr>
          <w:rFonts w:ascii="Book Antiqua" w:hAnsi="Book Antiqua"/>
          <w:b/>
          <w:sz w:val="24"/>
        </w:rPr>
      </w:pPr>
      <w:r>
        <w:rPr>
          <w:rFonts w:ascii="Book Antiqua" w:hAnsi="Book Antiqua"/>
          <w:b/>
          <w:sz w:val="24"/>
        </w:rPr>
        <w:t>GNAS1 T393C TT type predicts favorable survival</w:t>
      </w:r>
    </w:p>
    <w:p w:rsidR="00C02679" w:rsidRDefault="009803CF">
      <w:pPr>
        <w:spacing w:after="0" w:line="360" w:lineRule="auto"/>
        <w:rPr>
          <w:rFonts w:ascii="Book Antiqua" w:hAnsi="Book Antiqua"/>
          <w:sz w:val="24"/>
        </w:rPr>
      </w:pPr>
      <w:r>
        <w:rPr>
          <w:rFonts w:ascii="Book Antiqua" w:hAnsi="Book Antiqua"/>
          <w:sz w:val="24"/>
        </w:rPr>
        <w:t xml:space="preserve">The median survival of TT, CT, and CC genotypes was 25, 12, and 8 mo, respectively. We analyzed the relationship between overall survival rate verall survival and </w:t>
      </w:r>
      <w:r>
        <w:rPr>
          <w:rFonts w:ascii="Book Antiqua" w:hAnsi="Book Antiqua"/>
          <w:i/>
          <w:sz w:val="24"/>
        </w:rPr>
        <w:t>T393C</w:t>
      </w:r>
      <w:r>
        <w:rPr>
          <w:rFonts w:ascii="Book Antiqua" w:hAnsi="Book Antiqua"/>
          <w:sz w:val="24"/>
        </w:rPr>
        <w:t xml:space="preserve"> genotypes by Kaplan-Meier survival curves. Our data showed that the favorable </w:t>
      </w:r>
      <w:r>
        <w:rPr>
          <w:rFonts w:ascii="Book Antiqua" w:hAnsi="Book Antiqua"/>
          <w:i/>
          <w:sz w:val="24"/>
        </w:rPr>
        <w:t>TT</w:t>
      </w:r>
      <w:r>
        <w:rPr>
          <w:rFonts w:ascii="Book Antiqua" w:hAnsi="Book Antiqua"/>
          <w:sz w:val="24"/>
        </w:rPr>
        <w:t xml:space="preserve"> genotype was significantly associated with </w:t>
      </w:r>
      <w:r>
        <w:rPr>
          <w:rFonts w:ascii="Book Antiqua" w:hAnsi="Book Antiqua"/>
          <w:sz w:val="24"/>
        </w:rPr>
        <w:lastRenderedPageBreak/>
        <w:t xml:space="preserve">better OS (2-year OS: 48%; </w:t>
      </w:r>
      <w:r>
        <w:rPr>
          <w:rFonts w:ascii="Book Antiqua" w:hAnsi="Book Antiqua"/>
          <w:i/>
          <w:sz w:val="24"/>
        </w:rPr>
        <w:t>P</w:t>
      </w:r>
      <w:r>
        <w:rPr>
          <w:rFonts w:ascii="Book Antiqua" w:hAnsi="Book Antiqua"/>
          <w:sz w:val="24"/>
        </w:rPr>
        <w:t xml:space="preserve"> =</w:t>
      </w:r>
      <w:r>
        <w:rPr>
          <w:rFonts w:ascii="Book Antiqua" w:hAnsi="Book Antiqua" w:hint="eastAsia"/>
          <w:sz w:val="24"/>
        </w:rPr>
        <w:t xml:space="preserve"> </w:t>
      </w:r>
      <w:r>
        <w:rPr>
          <w:rFonts w:ascii="Book Antiqua" w:hAnsi="Book Antiqua"/>
          <w:sz w:val="24"/>
        </w:rPr>
        <w:t xml:space="preserve">0.01) when compared with the other genotypes. For example, the 2-year OS for CT genotype is 18%and 15% for CC genotype (Figure 1). By applying the multivariate Cox proportional hazards model, we found that </w:t>
      </w:r>
      <w:r>
        <w:rPr>
          <w:rFonts w:ascii="Book Antiqua" w:hAnsi="Book Antiqua"/>
          <w:i/>
          <w:sz w:val="24"/>
        </w:rPr>
        <w:t>GNAS1 T393C</w:t>
      </w:r>
      <w:r>
        <w:rPr>
          <w:rFonts w:ascii="Book Antiqua" w:hAnsi="Book Antiqua"/>
          <w:sz w:val="24"/>
        </w:rPr>
        <w:t xml:space="preserve"> polymorphism was independently associated with OS after adjusting the clinicopathological factors (</w:t>
      </w:r>
      <w:r>
        <w:rPr>
          <w:rFonts w:ascii="Book Antiqua" w:hAnsi="Book Antiqua"/>
          <w:i/>
          <w:sz w:val="24"/>
        </w:rPr>
        <w:t>P</w:t>
      </w:r>
      <w:r>
        <w:rPr>
          <w:rFonts w:ascii="Book Antiqua" w:hAnsi="Book Antiqua"/>
          <w:sz w:val="24"/>
        </w:rPr>
        <w:t xml:space="preserve"> &lt;</w:t>
      </w:r>
      <w:r>
        <w:rPr>
          <w:rFonts w:ascii="Book Antiqua" w:hAnsi="Book Antiqua" w:hint="eastAsia"/>
          <w:sz w:val="24"/>
        </w:rPr>
        <w:t xml:space="preserve"> </w:t>
      </w:r>
      <w:r>
        <w:rPr>
          <w:rFonts w:ascii="Book Antiqua" w:hAnsi="Book Antiqua"/>
          <w:sz w:val="24"/>
        </w:rPr>
        <w:t>0.05). However, the dichotomization between C-genotypes (CC+CT) and T-genotypes (TT), indicates signiﬁcant lower survival rates for C allele patients (</w:t>
      </w:r>
      <w:r>
        <w:rPr>
          <w:rFonts w:ascii="Book Antiqua" w:hAnsi="Book Antiqua"/>
          <w:i/>
          <w:sz w:val="24"/>
        </w:rPr>
        <w:t>P</w:t>
      </w:r>
      <w:r>
        <w:rPr>
          <w:rFonts w:ascii="Book Antiqua" w:hAnsi="Book Antiqua"/>
          <w:sz w:val="24"/>
        </w:rPr>
        <w:t xml:space="preserve"> = 0.01), which have a 2-year OS of 16% (Figure 2). </w:t>
      </w:r>
    </w:p>
    <w:p w:rsidR="00C02679" w:rsidRDefault="00C02679">
      <w:pPr>
        <w:spacing w:after="0" w:line="360" w:lineRule="auto"/>
        <w:rPr>
          <w:rFonts w:ascii="Book Antiqua" w:hAnsi="Book Antiqua"/>
          <w:sz w:val="24"/>
        </w:rPr>
      </w:pPr>
    </w:p>
    <w:p w:rsidR="00C02679" w:rsidRDefault="009803CF">
      <w:pPr>
        <w:spacing w:after="0" w:line="360" w:lineRule="auto"/>
        <w:rPr>
          <w:rFonts w:ascii="Book Antiqua" w:hAnsi="Book Antiqua"/>
          <w:b/>
          <w:sz w:val="24"/>
        </w:rPr>
      </w:pPr>
      <w:r>
        <w:rPr>
          <w:rFonts w:ascii="Book Antiqua" w:hAnsi="Book Antiqua"/>
          <w:b/>
          <w:sz w:val="24"/>
        </w:rPr>
        <w:t>DISCUSSION</w:t>
      </w:r>
    </w:p>
    <w:p w:rsidR="00C02679" w:rsidRDefault="009803CF">
      <w:pPr>
        <w:spacing w:after="0" w:line="360" w:lineRule="auto"/>
        <w:rPr>
          <w:rFonts w:ascii="Book Antiqua" w:hAnsi="Book Antiqua"/>
          <w:sz w:val="24"/>
        </w:rPr>
      </w:pPr>
      <w:r>
        <w:rPr>
          <w:rFonts w:ascii="Book Antiqua" w:hAnsi="Book Antiqua"/>
          <w:sz w:val="24"/>
        </w:rPr>
        <w:t xml:space="preserve">Lung cancer is the major cause of cancer death in the world and there is an urgent need to accurately and individually treat patient with lung cancer. Although clinicopathological parameters such as UICC stages may serve as prognostic markers in lung cancer, it is still desirable to develop more reliable and accurate biomarkers to more precisely predict the clinical outcome of individual patients. Most prognostic biomarkers are developed according to the features of the tumor tissue itself. </w:t>
      </w:r>
      <w:r>
        <w:rPr>
          <w:rFonts w:ascii="Book Antiqua" w:hAnsi="Book Antiqua"/>
          <w:i/>
          <w:sz w:val="24"/>
        </w:rPr>
        <w:t>GNAS1</w:t>
      </w:r>
      <w:r>
        <w:rPr>
          <w:rFonts w:ascii="Book Antiqua" w:hAnsi="Book Antiqua"/>
          <w:sz w:val="24"/>
        </w:rPr>
        <w:t xml:space="preserve"> gene encodes the Gαs subunit of G proteins and it has been shown that the </w:t>
      </w:r>
      <w:r>
        <w:rPr>
          <w:rFonts w:ascii="Book Antiqua" w:hAnsi="Book Antiqua"/>
          <w:i/>
          <w:sz w:val="24"/>
        </w:rPr>
        <w:t>GNAS1 T393C</w:t>
      </w:r>
      <w:r>
        <w:rPr>
          <w:rFonts w:ascii="Book Antiqua" w:hAnsi="Book Antiqua"/>
          <w:sz w:val="24"/>
        </w:rPr>
        <w:t xml:space="preserve"> polymorphism correlates with lung cancer</w:t>
      </w:r>
      <w:r>
        <w:rPr>
          <w:rFonts w:ascii="Book Antiqua" w:hAnsi="Book Antiqua"/>
          <w:sz w:val="24"/>
          <w:vertAlign w:val="superscript"/>
        </w:rPr>
        <w:t>[20]</w:t>
      </w:r>
      <w:r>
        <w:rPr>
          <w:rFonts w:ascii="Book Antiqua" w:hAnsi="Book Antiqua"/>
          <w:sz w:val="24"/>
        </w:rPr>
        <w:t>.</w:t>
      </w:r>
      <w:r>
        <w:rPr>
          <w:rFonts w:ascii="Book Antiqua" w:hAnsi="Book Antiqua"/>
          <w:color w:val="000000"/>
          <w:sz w:val="24"/>
        </w:rPr>
        <w:t xml:space="preserve"> Hence, </w:t>
      </w:r>
      <w:r>
        <w:rPr>
          <w:rFonts w:ascii="Book Antiqua" w:hAnsi="Book Antiqua"/>
          <w:sz w:val="24"/>
        </w:rPr>
        <w:t xml:space="preserve">we investigated whether </w:t>
      </w:r>
      <w:r>
        <w:rPr>
          <w:rFonts w:ascii="Book Antiqua" w:hAnsi="Book Antiqua"/>
          <w:i/>
          <w:sz w:val="24"/>
        </w:rPr>
        <w:t>GNAS1</w:t>
      </w:r>
      <w:r>
        <w:rPr>
          <w:rFonts w:ascii="Book Antiqua" w:hAnsi="Book Antiqua"/>
          <w:sz w:val="24"/>
        </w:rPr>
        <w:t xml:space="preserve"> </w:t>
      </w:r>
      <w:r>
        <w:rPr>
          <w:rFonts w:ascii="Book Antiqua" w:hAnsi="Book Antiqua"/>
          <w:i/>
          <w:sz w:val="24"/>
        </w:rPr>
        <w:t>T393C</w:t>
      </w:r>
      <w:r>
        <w:rPr>
          <w:rFonts w:ascii="Book Antiqua" w:hAnsi="Book Antiqua"/>
          <w:sz w:val="24"/>
        </w:rPr>
        <w:t xml:space="preserve"> polymorphism can be used to predict the clinical outcome in patients with NSCLC. Our study clearly indicated that </w:t>
      </w:r>
      <w:r>
        <w:rPr>
          <w:rFonts w:ascii="Book Antiqua" w:hAnsi="Book Antiqua" w:hint="eastAsia"/>
          <w:sz w:val="24"/>
        </w:rPr>
        <w:t xml:space="preserve">the </w:t>
      </w:r>
      <w:r>
        <w:rPr>
          <w:rFonts w:ascii="Book Antiqua" w:hAnsi="Book Antiqua"/>
          <w:sz w:val="24"/>
        </w:rPr>
        <w:t>homozygous TT</w:t>
      </w:r>
      <w:r>
        <w:rPr>
          <w:rFonts w:ascii="Book Antiqua" w:hAnsi="Book Antiqua" w:hint="eastAsia"/>
          <w:sz w:val="24"/>
        </w:rPr>
        <w:t xml:space="preserve"> </w:t>
      </w:r>
      <w:r>
        <w:rPr>
          <w:rFonts w:ascii="Book Antiqua" w:hAnsi="Book Antiqua"/>
          <w:sz w:val="24"/>
        </w:rPr>
        <w:t>patients had a much longer survival rate than patients with either homozygous CC or heterozygous CT. If we c</w:t>
      </w:r>
      <w:r>
        <w:rPr>
          <w:rFonts w:ascii="Book Antiqua" w:hAnsi="Book Antiqua" w:hint="eastAsia"/>
          <w:sz w:val="24"/>
        </w:rPr>
        <w:t>ould</w:t>
      </w:r>
      <w:r>
        <w:rPr>
          <w:rFonts w:ascii="Book Antiqua" w:hAnsi="Book Antiqua"/>
          <w:sz w:val="24"/>
        </w:rPr>
        <w:t xml:space="preserve"> identify patients with poor clinical outcome, then we </w:t>
      </w:r>
      <w:r>
        <w:rPr>
          <w:rFonts w:ascii="Book Antiqua" w:hAnsi="Book Antiqua" w:hint="eastAsia"/>
          <w:sz w:val="24"/>
        </w:rPr>
        <w:t>might</w:t>
      </w:r>
      <w:r>
        <w:rPr>
          <w:rFonts w:ascii="Book Antiqua" w:hAnsi="Book Antiqua"/>
          <w:sz w:val="24"/>
        </w:rPr>
        <w:t xml:space="preserve"> develop novel treatment strategies accordingly at the initial stage of management, which could lead to improved individual therapy strategies with higher survival rates. Meanwhile, our results also indicate</w:t>
      </w:r>
      <w:r>
        <w:rPr>
          <w:rFonts w:ascii="Book Antiqua" w:hAnsi="Book Antiqua" w:hint="eastAsia"/>
          <w:sz w:val="24"/>
        </w:rPr>
        <w:t>d</w:t>
      </w:r>
      <w:r>
        <w:rPr>
          <w:rFonts w:ascii="Book Antiqua" w:hAnsi="Book Antiqua"/>
          <w:sz w:val="24"/>
        </w:rPr>
        <w:t xml:space="preserve"> the potential role of </w:t>
      </w:r>
      <w:r>
        <w:rPr>
          <w:rFonts w:ascii="Book Antiqua" w:hAnsi="Book Antiqua"/>
          <w:i/>
          <w:sz w:val="24"/>
        </w:rPr>
        <w:t>GNAS1</w:t>
      </w:r>
      <w:r>
        <w:rPr>
          <w:rFonts w:ascii="Book Antiqua" w:hAnsi="Book Antiqua"/>
          <w:sz w:val="24"/>
        </w:rPr>
        <w:t xml:space="preserve"> </w:t>
      </w:r>
      <w:r>
        <w:rPr>
          <w:rFonts w:ascii="Book Antiqua" w:hAnsi="Book Antiqua"/>
          <w:i/>
          <w:sz w:val="24"/>
        </w:rPr>
        <w:t>T393C</w:t>
      </w:r>
      <w:r>
        <w:rPr>
          <w:rFonts w:ascii="Book Antiqua" w:hAnsi="Book Antiqua"/>
          <w:sz w:val="24"/>
        </w:rPr>
        <w:t xml:space="preserve"> polymorphism as a possible general genetic marker for tumor progression and survival since T-allele carriers demonstrated better clinical outcome than C-allele carriers (TC and CC </w:t>
      </w:r>
      <w:r>
        <w:rPr>
          <w:rFonts w:ascii="Book Antiqua" w:hAnsi="Book Antiqua"/>
          <w:sz w:val="24"/>
        </w:rPr>
        <w:lastRenderedPageBreak/>
        <w:t xml:space="preserve">genotypes). However, it should be noted that the connection between </w:t>
      </w:r>
      <w:r>
        <w:rPr>
          <w:rFonts w:ascii="Book Antiqua" w:hAnsi="Book Antiqua"/>
          <w:i/>
          <w:sz w:val="24"/>
        </w:rPr>
        <w:t>GNAS1</w:t>
      </w:r>
      <w:r>
        <w:rPr>
          <w:rFonts w:ascii="Book Antiqua" w:hAnsi="Book Antiqua"/>
          <w:sz w:val="24"/>
        </w:rPr>
        <w:t xml:space="preserve"> </w:t>
      </w:r>
      <w:r>
        <w:rPr>
          <w:rFonts w:ascii="Book Antiqua" w:hAnsi="Book Antiqua"/>
          <w:i/>
          <w:sz w:val="24"/>
        </w:rPr>
        <w:t>T393C</w:t>
      </w:r>
      <w:r>
        <w:rPr>
          <w:rFonts w:ascii="Book Antiqua" w:hAnsi="Book Antiqua"/>
          <w:sz w:val="24"/>
        </w:rPr>
        <w:t xml:space="preserve"> polymorphism and </w:t>
      </w:r>
      <w:r>
        <w:rPr>
          <w:rFonts w:ascii="Book Antiqua" w:hAnsi="Book Antiqua" w:hint="eastAsia"/>
          <w:sz w:val="24"/>
        </w:rPr>
        <w:t>survival</w:t>
      </w:r>
      <w:r>
        <w:rPr>
          <w:rFonts w:ascii="Book Antiqua" w:hAnsi="Book Antiqua"/>
          <w:sz w:val="24"/>
        </w:rPr>
        <w:t xml:space="preserve"> </w:t>
      </w:r>
      <w:r>
        <w:rPr>
          <w:rFonts w:ascii="Book Antiqua" w:hAnsi="Book Antiqua" w:hint="eastAsia"/>
          <w:sz w:val="24"/>
        </w:rPr>
        <w:t>wa</w:t>
      </w:r>
      <w:r>
        <w:rPr>
          <w:rFonts w:ascii="Book Antiqua" w:hAnsi="Book Antiqua"/>
          <w:sz w:val="24"/>
        </w:rPr>
        <w:t xml:space="preserve">s different in different types of tumors. For some tumors, TT genotype was significantly correlated with better OS compared with CT or CC genotypes. For example, </w:t>
      </w:r>
      <w:r>
        <w:rPr>
          <w:rFonts w:ascii="Book Antiqua" w:hAnsi="Book Antiqua" w:hint="eastAsia"/>
          <w:sz w:val="24"/>
        </w:rPr>
        <w:t xml:space="preserve">In </w:t>
      </w:r>
      <w:r>
        <w:rPr>
          <w:rFonts w:ascii="Book Antiqua" w:hAnsi="Book Antiqua"/>
          <w:sz w:val="24"/>
        </w:rPr>
        <w:t>advanced squamous cell carcinoma of the larynx</w:t>
      </w:r>
      <w:r>
        <w:rPr>
          <w:rFonts w:ascii="Book Antiqua" w:hAnsi="Book Antiqua" w:hint="eastAsia"/>
          <w:sz w:val="24"/>
        </w:rPr>
        <w:t xml:space="preserve">, </w:t>
      </w:r>
      <w:r>
        <w:rPr>
          <w:rFonts w:ascii="Book Antiqua" w:hAnsi="Book Antiqua"/>
          <w:sz w:val="24"/>
        </w:rPr>
        <w:t>the five-year survival rate for TT genotype</w:t>
      </w:r>
      <w:r>
        <w:rPr>
          <w:rFonts w:ascii="Book Antiqua" w:hAnsi="Book Antiqua" w:hint="eastAsia"/>
          <w:sz w:val="24"/>
        </w:rPr>
        <w:t xml:space="preserve"> patients</w:t>
      </w:r>
      <w:r>
        <w:rPr>
          <w:rFonts w:ascii="Book Antiqua" w:hAnsi="Book Antiqua"/>
          <w:sz w:val="24"/>
        </w:rPr>
        <w:t xml:space="preserve"> </w:t>
      </w:r>
      <w:r>
        <w:rPr>
          <w:rFonts w:ascii="Book Antiqua" w:hAnsi="Book Antiqua" w:hint="eastAsia"/>
          <w:sz w:val="24"/>
        </w:rPr>
        <w:t xml:space="preserve">were </w:t>
      </w:r>
      <w:r>
        <w:rPr>
          <w:rFonts w:ascii="Book Antiqua" w:hAnsi="Book Antiqua"/>
          <w:sz w:val="24"/>
        </w:rPr>
        <w:t>76%, 49% for TC genotype, and 43.5% for CC genotype</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[10]</w:t>
      </w:r>
      <w:r>
        <w:rPr>
          <w:rFonts w:ascii="Book Antiqua" w:hAnsi="Book Antiqua"/>
          <w:sz w:val="24"/>
          <w:vertAlign w:val="superscript"/>
        </w:rPr>
        <w:fldChar w:fldCharType="end"/>
      </w:r>
      <w:r>
        <w:rPr>
          <w:rFonts w:ascii="Book Antiqua" w:hAnsi="Book Antiqua"/>
          <w:sz w:val="24"/>
        </w:rPr>
        <w:t>. Also, it ha</w:t>
      </w:r>
      <w:r>
        <w:rPr>
          <w:rFonts w:ascii="Book Antiqua" w:hAnsi="Book Antiqua" w:hint="eastAsia"/>
          <w:sz w:val="24"/>
        </w:rPr>
        <w:t xml:space="preserve">d </w:t>
      </w:r>
      <w:r>
        <w:rPr>
          <w:rFonts w:ascii="Book Antiqua" w:hAnsi="Book Antiqua"/>
          <w:sz w:val="24"/>
        </w:rPr>
        <w:t>been reported that the five-year survival rate of sporadic colorectal cancer patients with a TT genotype (87.8%) is much higher than patients with TC (71.0%) and CC genotypes (50.0%)</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[15]</w:t>
      </w:r>
      <w:r>
        <w:rPr>
          <w:rFonts w:ascii="Book Antiqua" w:hAnsi="Book Antiqua"/>
          <w:sz w:val="24"/>
          <w:vertAlign w:val="superscript"/>
        </w:rPr>
        <w:fldChar w:fldCharType="end"/>
      </w:r>
      <w:r>
        <w:rPr>
          <w:rFonts w:ascii="Book Antiqua" w:hAnsi="Book Antiqua"/>
          <w:sz w:val="24"/>
        </w:rPr>
        <w:t>. On the other hand, in intrahepatic cholangio-carcinoma</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[9]</w:t>
      </w:r>
      <w:r>
        <w:rPr>
          <w:rFonts w:ascii="Book Antiqua" w:hAnsi="Book Antiqua"/>
          <w:sz w:val="24"/>
          <w:vertAlign w:val="superscript"/>
        </w:rPr>
        <w:fldChar w:fldCharType="end"/>
      </w:r>
      <w:r>
        <w:rPr>
          <w:rFonts w:ascii="Book Antiqua" w:hAnsi="Book Antiqua"/>
          <w:sz w:val="24"/>
        </w:rPr>
        <w:t>, esophageal cancer</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[12]</w:t>
      </w:r>
      <w:r>
        <w:rPr>
          <w:rFonts w:ascii="Book Antiqua" w:hAnsi="Book Antiqua"/>
          <w:sz w:val="24"/>
          <w:vertAlign w:val="superscript"/>
        </w:rPr>
        <w:fldChar w:fldCharType="end"/>
      </w:r>
      <w:r>
        <w:rPr>
          <w:rFonts w:ascii="Book Antiqua" w:hAnsi="Book Antiqua"/>
          <w:sz w:val="24"/>
        </w:rPr>
        <w:t xml:space="preserve"> and breast cancer</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[16]</w:t>
      </w:r>
      <w:r>
        <w:rPr>
          <w:rFonts w:ascii="Book Antiqua" w:hAnsi="Book Antiqua"/>
          <w:sz w:val="24"/>
          <w:vertAlign w:val="superscript"/>
        </w:rPr>
        <w:fldChar w:fldCharType="end"/>
      </w:r>
      <w:r>
        <w:rPr>
          <w:rFonts w:ascii="Book Antiqua" w:hAnsi="Book Antiqua"/>
          <w:sz w:val="24"/>
        </w:rPr>
        <w:t xml:space="preserve">, the patients </w:t>
      </w:r>
      <w:r>
        <w:rPr>
          <w:rFonts w:ascii="Book Antiqua" w:hAnsi="Book Antiqua" w:hint="eastAsia"/>
          <w:sz w:val="24"/>
        </w:rPr>
        <w:t xml:space="preserve">of </w:t>
      </w:r>
      <w:r>
        <w:rPr>
          <w:rFonts w:ascii="Book Antiqua" w:hAnsi="Book Antiqua"/>
          <w:sz w:val="24"/>
        </w:rPr>
        <w:t xml:space="preserve">CC genotype had a more favorable clinical outcome (Table </w:t>
      </w:r>
      <w:r w:rsidR="00705300">
        <w:rPr>
          <w:rFonts w:ascii="Book Antiqua" w:hAnsi="Book Antiqua" w:hint="eastAsia"/>
          <w:sz w:val="24"/>
        </w:rPr>
        <w:t>3</w:t>
      </w:r>
      <w:r>
        <w:rPr>
          <w:rFonts w:ascii="Book Antiqua" w:hAnsi="Book Antiqua"/>
          <w:sz w:val="24"/>
        </w:rPr>
        <w:t xml:space="preserve">). Thus, it </w:t>
      </w:r>
      <w:r>
        <w:rPr>
          <w:rFonts w:ascii="Book Antiqua" w:hAnsi="Book Antiqua" w:hint="eastAsia"/>
          <w:sz w:val="24"/>
        </w:rPr>
        <w:t>wa</w:t>
      </w:r>
      <w:r>
        <w:rPr>
          <w:rFonts w:ascii="Book Antiqua" w:hAnsi="Book Antiqua"/>
          <w:sz w:val="24"/>
        </w:rPr>
        <w:t>s conceivable that the</w:t>
      </w:r>
      <w:r>
        <w:rPr>
          <w:rFonts w:ascii="Book Antiqua" w:hAnsi="Book Antiqua" w:hint="eastAsia"/>
          <w:sz w:val="24"/>
        </w:rPr>
        <w:t xml:space="preserve"> GNAS1 </w:t>
      </w:r>
      <w:r>
        <w:rPr>
          <w:rFonts w:ascii="Book Antiqua" w:hAnsi="Book Antiqua"/>
          <w:sz w:val="24"/>
        </w:rPr>
        <w:t>T393C polymorphism in various tumor type</w:t>
      </w:r>
      <w:r>
        <w:rPr>
          <w:rFonts w:ascii="Book Antiqua" w:hAnsi="Book Antiqua" w:hint="eastAsia"/>
          <w:sz w:val="24"/>
        </w:rPr>
        <w:t xml:space="preserve"> played different</w:t>
      </w:r>
      <w:r>
        <w:rPr>
          <w:rFonts w:ascii="Book Antiqua" w:hAnsi="Book Antiqua"/>
          <w:sz w:val="24"/>
        </w:rPr>
        <w:t xml:space="preserve"> biological effect</w:t>
      </w:r>
      <w:r>
        <w:rPr>
          <w:rFonts w:ascii="Book Antiqua" w:hAnsi="Book Antiqua" w:hint="eastAsia"/>
          <w:sz w:val="24"/>
        </w:rPr>
        <w:t>s</w:t>
      </w:r>
      <w:r>
        <w:rPr>
          <w:rFonts w:ascii="Book Antiqua" w:hAnsi="Book Antiqua"/>
          <w:sz w:val="24"/>
        </w:rPr>
        <w:t xml:space="preserve">. </w:t>
      </w:r>
      <w:r>
        <w:rPr>
          <w:rFonts w:ascii="Book Antiqua" w:hAnsi="Book Antiqua" w:hint="eastAsia"/>
          <w:sz w:val="24"/>
        </w:rPr>
        <w:t>In order to</w:t>
      </w:r>
      <w:r>
        <w:rPr>
          <w:rFonts w:ascii="Book Antiqua" w:hAnsi="Book Antiqua"/>
          <w:sz w:val="24"/>
        </w:rPr>
        <w:t xml:space="preserve"> underly</w:t>
      </w:r>
      <w:r>
        <w:rPr>
          <w:rFonts w:ascii="Book Antiqua" w:hAnsi="Book Antiqua" w:hint="eastAsia"/>
          <w:sz w:val="24"/>
        </w:rPr>
        <w:t xml:space="preserve"> </w:t>
      </w:r>
      <w:r>
        <w:rPr>
          <w:rFonts w:ascii="Book Antiqua" w:hAnsi="Book Antiqua"/>
          <w:sz w:val="24"/>
        </w:rPr>
        <w:t>the significance of the T393C genotypes in different tumor types</w:t>
      </w:r>
      <w:r>
        <w:rPr>
          <w:rFonts w:ascii="Book Antiqua" w:hAnsi="Book Antiqua" w:hint="eastAsia"/>
          <w:sz w:val="24"/>
        </w:rPr>
        <w:t>, f</w:t>
      </w:r>
      <w:r>
        <w:rPr>
          <w:rFonts w:ascii="Book Antiqua" w:hAnsi="Book Antiqua"/>
          <w:sz w:val="24"/>
        </w:rPr>
        <w:t xml:space="preserve">urther </w:t>
      </w:r>
      <w:r>
        <w:rPr>
          <w:rFonts w:ascii="Book Antiqua" w:hAnsi="Book Antiqua" w:hint="eastAsia"/>
          <w:sz w:val="24"/>
        </w:rPr>
        <w:t xml:space="preserve">more </w:t>
      </w:r>
      <w:r>
        <w:rPr>
          <w:rFonts w:ascii="Book Antiqua" w:hAnsi="Book Antiqua"/>
          <w:sz w:val="24"/>
        </w:rPr>
        <w:t xml:space="preserve">studies </w:t>
      </w:r>
      <w:r>
        <w:rPr>
          <w:rFonts w:ascii="Book Antiqua" w:hAnsi="Book Antiqua" w:hint="eastAsia"/>
          <w:sz w:val="24"/>
        </w:rPr>
        <w:t>were</w:t>
      </w:r>
      <w:r>
        <w:rPr>
          <w:rFonts w:ascii="Book Antiqua" w:hAnsi="Book Antiqua"/>
          <w:sz w:val="24"/>
        </w:rPr>
        <w:t xml:space="preserve"> needed to find out the molecular mechanisms.</w:t>
      </w:r>
    </w:p>
    <w:p w:rsidR="00C02679" w:rsidRDefault="009803CF">
      <w:pPr>
        <w:spacing w:after="0" w:line="360" w:lineRule="auto"/>
        <w:ind w:firstLineChars="100" w:firstLine="240"/>
        <w:rPr>
          <w:rFonts w:ascii="Book Antiqua" w:hAnsi="Book Antiqua"/>
          <w:sz w:val="24"/>
        </w:rPr>
      </w:pPr>
      <w:r>
        <w:rPr>
          <w:rFonts w:ascii="Book Antiqua" w:hAnsi="Book Antiqua"/>
          <w:sz w:val="24"/>
        </w:rPr>
        <w:t xml:space="preserve">The </w:t>
      </w:r>
      <w:r>
        <w:rPr>
          <w:rFonts w:ascii="Book Antiqua" w:hAnsi="Book Antiqua"/>
          <w:i/>
          <w:sz w:val="24"/>
        </w:rPr>
        <w:t xml:space="preserve">in vitro </w:t>
      </w:r>
      <w:r>
        <w:rPr>
          <w:rFonts w:ascii="Book Antiqua" w:hAnsi="Book Antiqua"/>
          <w:sz w:val="24"/>
        </w:rPr>
        <w:t>studies demonstrated that increased Gαs expression promotes apoptosis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w:t>
      </w:r>
      <w:hyperlink w:anchor="_ENREF_2" w:tooltip=", !!! INVALID CITATION !!!" w:history="1">
        <w:r>
          <w:rPr>
            <w:rFonts w:ascii="Book Antiqua" w:hAnsi="Book Antiqua"/>
            <w:sz w:val="24"/>
            <w:vertAlign w:val="superscript"/>
          </w:rPr>
          <w:t>2</w:t>
        </w:r>
      </w:hyperlink>
      <w:r>
        <w:rPr>
          <w:rFonts w:ascii="Book Antiqua" w:hAnsi="Book Antiqua"/>
          <w:sz w:val="24"/>
          <w:vertAlign w:val="superscript"/>
        </w:rPr>
        <w:t>1]</w:t>
      </w:r>
      <w:r>
        <w:rPr>
          <w:rFonts w:ascii="Book Antiqua" w:hAnsi="Book Antiqua"/>
          <w:sz w:val="24"/>
          <w:vertAlign w:val="superscript"/>
        </w:rPr>
        <w:fldChar w:fldCharType="end"/>
      </w:r>
      <w:r>
        <w:rPr>
          <w:rFonts w:ascii="Book Antiqua" w:hAnsi="Book Antiqua"/>
          <w:sz w:val="24"/>
        </w:rPr>
        <w:t xml:space="preserve">. Therefore, it is highly likely that increased Gαs expression and the subsequently increased apoptosis could be associated with better survival rate in patients with </w:t>
      </w:r>
      <w:r>
        <w:rPr>
          <w:rFonts w:ascii="Book Antiqua" w:hAnsi="Book Antiqua" w:hint="eastAsia"/>
          <w:sz w:val="24"/>
        </w:rPr>
        <w:t xml:space="preserve">GANS1 </w:t>
      </w:r>
      <w:r>
        <w:rPr>
          <w:rFonts w:ascii="Book Antiqua" w:hAnsi="Book Antiqua"/>
          <w:i/>
          <w:sz w:val="24"/>
        </w:rPr>
        <w:t>TT</w:t>
      </w:r>
      <w:r>
        <w:rPr>
          <w:rFonts w:ascii="Book Antiqua" w:hAnsi="Book Antiqua"/>
          <w:sz w:val="24"/>
        </w:rPr>
        <w:t xml:space="preserve"> genotype. The </w:t>
      </w:r>
      <w:r>
        <w:rPr>
          <w:rFonts w:ascii="Book Antiqua" w:hAnsi="Book Antiqua"/>
          <w:i/>
          <w:sz w:val="24"/>
        </w:rPr>
        <w:t xml:space="preserve">in vitro </w:t>
      </w:r>
      <w:r>
        <w:rPr>
          <w:rFonts w:ascii="Book Antiqua" w:hAnsi="Book Antiqua"/>
          <w:sz w:val="24"/>
        </w:rPr>
        <w:t>experiments also suggest that the product of Gαs,</w:t>
      </w:r>
      <w:r>
        <w:rPr>
          <w:rFonts w:ascii="Book Antiqua" w:hAnsi="Book Antiqua"/>
          <w:color w:val="000000"/>
          <w:sz w:val="24"/>
        </w:rPr>
        <w:t xml:space="preserve"> </w:t>
      </w:r>
      <w:r>
        <w:rPr>
          <w:rFonts w:ascii="Book Antiqua" w:hAnsi="Book Antiqua"/>
          <w:sz w:val="24"/>
        </w:rPr>
        <w:t>cyclic AMP, could play a crucial role in the proapoptotic process. It has been reported that increasing the intracellular concentration of cyclic AMP leads to enhanced apoptosis in several cell lines including  lymphoma cells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[5]</w:t>
      </w:r>
      <w:r>
        <w:rPr>
          <w:rFonts w:ascii="Book Antiqua" w:hAnsi="Book Antiqua"/>
          <w:sz w:val="24"/>
          <w:vertAlign w:val="superscript"/>
        </w:rPr>
        <w:fldChar w:fldCharType="end"/>
      </w:r>
      <w:r>
        <w:rPr>
          <w:rFonts w:ascii="Book Antiqua" w:hAnsi="Book Antiqua"/>
          <w:sz w:val="24"/>
        </w:rPr>
        <w:t>, leukemic</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[22]</w:t>
      </w:r>
      <w:r>
        <w:rPr>
          <w:rFonts w:ascii="Book Antiqua" w:hAnsi="Book Antiqua"/>
          <w:sz w:val="24"/>
          <w:vertAlign w:val="superscript"/>
        </w:rPr>
        <w:fldChar w:fldCharType="end"/>
      </w:r>
      <w:r>
        <w:rPr>
          <w:rFonts w:ascii="Book Antiqua" w:hAnsi="Book Antiqua"/>
          <w:sz w:val="24"/>
        </w:rPr>
        <w:t xml:space="preserve"> and ovarian cancer</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[23]</w:t>
      </w:r>
      <w:r>
        <w:rPr>
          <w:rFonts w:ascii="Book Antiqua" w:hAnsi="Book Antiqua"/>
          <w:sz w:val="24"/>
          <w:vertAlign w:val="superscript"/>
        </w:rPr>
        <w:fldChar w:fldCharType="end"/>
      </w:r>
      <w:r>
        <w:rPr>
          <w:rFonts w:ascii="Book Antiqua" w:hAnsi="Book Antiqua" w:hint="eastAsia"/>
          <w:sz w:val="24"/>
        </w:rPr>
        <w:t>. And</w:t>
      </w:r>
      <w:r>
        <w:rPr>
          <w:rFonts w:ascii="Book Antiqua" w:hAnsi="Book Antiqua"/>
          <w:sz w:val="24"/>
        </w:rPr>
        <w:t xml:space="preserve"> Gαs was </w:t>
      </w:r>
      <w:r>
        <w:rPr>
          <w:rFonts w:ascii="Book Antiqua" w:hAnsi="Book Antiqua" w:hint="eastAsia"/>
          <w:sz w:val="24"/>
        </w:rPr>
        <w:t xml:space="preserve">also </w:t>
      </w:r>
      <w:r>
        <w:rPr>
          <w:rFonts w:ascii="Book Antiqua" w:hAnsi="Book Antiqua"/>
          <w:sz w:val="24"/>
        </w:rPr>
        <w:t>found to differentially express between various</w:t>
      </w:r>
      <w:r>
        <w:rPr>
          <w:rFonts w:ascii="Book Antiqua" w:hAnsi="Book Antiqua" w:hint="eastAsia"/>
          <w:sz w:val="24"/>
        </w:rPr>
        <w:t xml:space="preserve"> GNAS1</w:t>
      </w:r>
      <w:r>
        <w:rPr>
          <w:rFonts w:ascii="Book Antiqua" w:hAnsi="Book Antiqua"/>
          <w:sz w:val="24"/>
        </w:rPr>
        <w:t xml:space="preserve"> T393C genotypes. Previous studies have suggested that the Gαs transcription level is increased in individuals with  </w:t>
      </w:r>
      <w:r>
        <w:rPr>
          <w:rFonts w:ascii="Book Antiqua" w:hAnsi="Book Antiqua"/>
          <w:i/>
          <w:sz w:val="24"/>
        </w:rPr>
        <w:t>GNAS1 393 TT</w:t>
      </w:r>
      <w:r>
        <w:rPr>
          <w:rFonts w:ascii="Book Antiqua" w:hAnsi="Book Antiqua"/>
          <w:sz w:val="24"/>
        </w:rPr>
        <w:t xml:space="preserve"> genotype</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&lt;EndNote&gt;&lt;Cite&gt;&lt;Author&gt;Frey&lt;/Author&gt;&lt;Year&gt;2005&lt;/Year&gt;&lt;RecNum&gt;19&lt;/RecNum&gt;&lt;DisplayText&gt;[4]&lt;/DisplayText&gt;&lt;record&gt;&lt;rec-number&gt;19&lt;/rec-number&gt;&lt;foreign-keys&gt;&lt;key app="EN" db-id="0w20z22s4ttasoesw9dpz208xtwpadrxreds"&gt;19&lt;/key&gt;&lt;/foreign-keys&gt;&lt;ref-type name="Journal Article"&gt;17&lt;/ref-type&gt;&lt;contributors&gt;&lt;authors&gt;&lt;author&gt;Frey, U. H.&lt;/author&gt;&lt;author&gt;Eisenhardt, A.&lt;/author&gt;&lt;author&gt;Lummen, G.&lt;/author&gt;&lt;author&gt;Rubben, H.&lt;/author&gt;&lt;author&gt;Jockel, K. H.&lt;/author&gt;&lt;author&gt;Schmid, K. W.&lt;/author&gt;&lt;author&gt;Siffert, W.&lt;/author&gt;&lt;/authors&gt;&lt;/contributors&gt;&lt;auth-address&gt;Institut fur Pharmakologie, Universitatsklinikum, Essen, Hufelandstrasse 55, D-45122 Essen, Germany. Ulrich.Frey@uni-essen.de&lt;/auth-address&gt;&lt;titles&gt;&lt;title&gt;The T393C polymorphism of the G alpha s gene (GNAS1) is a novel prognostic marker in bladder cancer&lt;/title&gt;&lt;secondary-title&gt;Cancer Epidemiol Biomarkers Prev&lt;/secondary-title&gt;&lt;/titles&gt;&lt;periodical&gt;&lt;full-title&gt;Cancer Epidemiol Biomarkers Prev&lt;/full-title&gt;&lt;/periodical&gt;&lt;pages&gt;871-7&lt;/pages&gt;&lt;volume&gt;14&lt;/volume&gt;&lt;number&gt;4&lt;/number&gt;&lt;edition&gt;2005/04/13&lt;/edition&gt;&lt;keywords&gt;&lt;keyword&gt;Carcinoma, Transitional Cell/etiology/*genetics/pathology&lt;/keyword&gt;&lt;keyword&gt;Disease-Free Survival&lt;/keyword&gt;&lt;keyword&gt;Female&lt;/keyword&gt;&lt;keyword&gt;GTP-Binding Protein alpha Subunits, Gs/*genetics&lt;/keyword&gt;&lt;keyword&gt;*Genotype&lt;/keyword&gt;&lt;keyword&gt;Humans&lt;/keyword&gt;&lt;keyword&gt;Male&lt;/keyword&gt;&lt;keyword&gt;Middle Aged&lt;/keyword&gt;&lt;keyword&gt;Polymerase Chain Reaction&lt;/keyword&gt;&lt;keyword&gt;Polymorphism, Genetic/*genetics&lt;/keyword&gt;&lt;keyword&gt;Prognosis&lt;/keyword&gt;&lt;keyword&gt;Smoking/*adverse effects&lt;/keyword&gt;&lt;keyword&gt;Urinary Bladder Neoplasms/etiology/*genetics/pathology&lt;/keyword&gt;&lt;/keywords&gt;&lt;dates&gt;&lt;year&gt;2005&lt;/year&gt;&lt;pub-dates&gt;&lt;date&gt;Apr&lt;/date&gt;&lt;/pub-dates&gt;&lt;/dates&gt;&lt;isbn&gt;1055-9965 (Print)&amp;#xD;1055-9965 (Linking)&lt;/isbn&gt;&lt;accession-num&gt;15824158&lt;/accession-num&gt;&lt;urls&gt;&lt;related-urls&gt;&lt;url&gt;http://www.ncbi.nlm.nih.gov/pubmed/15824158&lt;/url&gt;&lt;/related-urls&gt;&lt;/urls&gt;&lt;electronic-resource-num&gt;14/4/871 [pii]&amp;#xD;10.1158/1055-9965.EPI-04-0720&lt;/electronic-resource-num&gt;&lt;language&gt;eng&lt;/language&gt;&lt;/record&gt;&lt;/Cite&gt;&lt;/EndNote&gt;</w:instrText>
      </w:r>
      <w:r>
        <w:rPr>
          <w:rFonts w:ascii="Book Antiqua" w:hAnsi="Book Antiqua"/>
          <w:sz w:val="24"/>
          <w:vertAlign w:val="superscript"/>
        </w:rPr>
        <w:fldChar w:fldCharType="separate"/>
      </w:r>
      <w:r>
        <w:rPr>
          <w:rFonts w:ascii="Book Antiqua" w:hAnsi="Book Antiqua"/>
          <w:sz w:val="24"/>
          <w:vertAlign w:val="superscript"/>
        </w:rPr>
        <w:t>[13]</w:t>
      </w:r>
      <w:r>
        <w:rPr>
          <w:rFonts w:ascii="Book Antiqua" w:hAnsi="Book Antiqua"/>
          <w:sz w:val="24"/>
          <w:vertAlign w:val="superscript"/>
        </w:rPr>
        <w:fldChar w:fldCharType="end"/>
      </w:r>
      <w:r>
        <w:rPr>
          <w:rFonts w:ascii="Book Antiqua" w:hAnsi="Book Antiqua"/>
          <w:sz w:val="24"/>
        </w:rPr>
        <w:t>. Intriguingly, the mRNA stability has been shown to be determined by the coding region of some genes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 INVALID CITATION !!!&lt;/Author&gt;&lt;RecNum&gt;0&lt;/RecNum&gt;&lt;DisplayText&gt;[2]&lt;/DisplayText&gt;&lt;record&gt;&lt;dates&gt;&lt;year&gt;!!! INVALID CITATION !!!&lt;/year&gt;&lt;/dates&gt;&lt;/record&gt;&lt;/Cite&gt;&lt;/EndNote&gt;</w:instrText>
      </w:r>
      <w:r>
        <w:rPr>
          <w:rFonts w:ascii="Book Antiqua" w:hAnsi="Book Antiqua"/>
          <w:sz w:val="24"/>
          <w:vertAlign w:val="superscript"/>
        </w:rPr>
        <w:fldChar w:fldCharType="separate"/>
      </w:r>
      <w:r>
        <w:rPr>
          <w:rFonts w:ascii="Book Antiqua" w:hAnsi="Book Antiqua"/>
          <w:sz w:val="24"/>
          <w:vertAlign w:val="superscript"/>
        </w:rPr>
        <w:t>[24-26]</w:t>
      </w:r>
      <w:r>
        <w:rPr>
          <w:rFonts w:ascii="Book Antiqua" w:hAnsi="Book Antiqua"/>
          <w:sz w:val="24"/>
          <w:vertAlign w:val="superscript"/>
        </w:rPr>
        <w:fldChar w:fldCharType="end"/>
      </w:r>
      <w:r>
        <w:rPr>
          <w:rFonts w:ascii="Book Antiqua" w:hAnsi="Book Antiqua"/>
          <w:sz w:val="24"/>
        </w:rPr>
        <w:t xml:space="preserve">. Using the MFOLD (the </w:t>
      </w:r>
      <w:r>
        <w:rPr>
          <w:rFonts w:ascii="Book Antiqua" w:hAnsi="Book Antiqua"/>
          <w:color w:val="000000"/>
          <w:sz w:val="24"/>
        </w:rPr>
        <w:t>software for the prediction of the secondary structure of single stranded nucleic acids</w:t>
      </w:r>
      <w:r>
        <w:rPr>
          <w:rFonts w:ascii="Book Antiqua" w:hAnsi="Book Antiqua"/>
          <w:sz w:val="24"/>
        </w:rPr>
        <w:t xml:space="preserve">), Alakus et al has been </w:t>
      </w:r>
      <w:r>
        <w:rPr>
          <w:rFonts w:ascii="Book Antiqua" w:hAnsi="Book Antiqua"/>
          <w:sz w:val="24"/>
        </w:rPr>
        <w:lastRenderedPageBreak/>
        <w:t>reported that the substitution of T393 to C affects the structure of mRNA, most likely the mRNA folding</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&lt;EndNote&gt;&lt;Cite&gt;&lt;Author&gt;Frey&lt;/Author&gt;&lt;Year&gt;2005&lt;/Year&gt;&lt;RecNum&gt;18&lt;/RecNum&gt;&lt;DisplayText&gt;[5]&lt;/DisplayText&gt;&lt;record&gt;&lt;rec-number&gt;18&lt;/rec-number&gt;&lt;foreign-keys&gt;&lt;key app="EN" db-id="0w20z22s4ttasoesw9dpz208xtwpadrxreds"&gt;18&lt;/key&gt;&lt;/foreign-keys&gt;&lt;ref-type name="Journal Article"&gt;17&lt;/ref-type&gt;&lt;contributors&gt;&lt;authors&gt;&lt;author&gt;Frey, U. H.&lt;/author&gt;&lt;author&gt;Alakus, H.&lt;/author&gt;&lt;author&gt;Wohlschlaeger, J.&lt;/author&gt;&lt;author&gt;Schmitz, K. J.&lt;/author&gt;&lt;author&gt;Winde, G.&lt;/author&gt;&lt;author&gt;van Calker, H. G.&lt;/author&gt;&lt;author&gt;Jockel, K. H.&lt;/author&gt;&lt;author&gt;Siffert, W.&lt;/author&gt;&lt;author&gt;Schmid, K. W.&lt;/author&gt;&lt;/authors&gt;&lt;/contributors&gt;&lt;auth-address&gt;Institute of Pharmacology, University Hospital of Essen, Essen, Germany. Ulrich.Frey@uni-essen.de&lt;/auth-address&gt;&lt;titles&gt;&lt;title&gt;GNAS1 T393C polymorphism and survival in patients with sporadic colorectal cancer&lt;/title&gt;&lt;secondary-title&gt;Clin Cancer Res&lt;/secondary-title&gt;&lt;/titles&gt;&lt;periodical&gt;&lt;full-title&gt;Clin Cancer Res&lt;/full-title&gt;&lt;/periodical&gt;&lt;pages&gt;5071-7&lt;/pages&gt;&lt;volume&gt;11&lt;/volume&gt;&lt;number&gt;14&lt;/number&gt;&lt;edition&gt;2005/07/22&lt;/edition&gt;&lt;keywords&gt;&lt;keyword&gt;Aged&lt;/keyword&gt;&lt;keyword&gt;Apoptosis&lt;/keyword&gt;&lt;keyword&gt;Colorectal Neoplasms/*genetics/*pathology&lt;/keyword&gt;&lt;keyword&gt;Disease Progression&lt;/keyword&gt;&lt;keyword&gt;Female&lt;/keyword&gt;&lt;keyword&gt;GTP-Binding Protein alpha Subunits, Gs/*genetics&lt;/keyword&gt;&lt;keyword&gt;*Genetic Markers&lt;/keyword&gt;&lt;keyword&gt;Genotype&lt;/keyword&gt;&lt;keyword&gt;Humans&lt;/keyword&gt;&lt;keyword&gt;Male&lt;/keyword&gt;&lt;keyword&gt;Middle Aged&lt;/keyword&gt;&lt;keyword&gt;*Polymorphism, Genetic&lt;/keyword&gt;&lt;keyword&gt;Prognosis&lt;/keyword&gt;&lt;keyword&gt;Retrospective Studies&lt;/keyword&gt;&lt;keyword&gt;Survival Analysis&lt;/keyword&gt;&lt;/keywords&gt;&lt;dates&gt;&lt;year&gt;2005&lt;/year&gt;&lt;pub-dates&gt;&lt;date&gt;Jul 15&lt;/date&gt;&lt;/pub-dates&gt;&lt;/dates&gt;&lt;isbn&gt;1078-0432 (Print)&amp;#xD;1078-0432 (Linking)&lt;/isbn&gt;&lt;accession-num&gt;16033819&lt;/accession-num&gt;&lt;urls&gt;&lt;related-urls&gt;&lt;url&gt;http://www.ncbi.nlm.nih.gov/pubmed/16033819&lt;/url&gt;&lt;/related-urls&gt;&lt;/urls&gt;&lt;electronic-resource-num&gt;11/14/5071 [pii]&amp;#xD;10.1158/1078-0432.CCR-05-0472&lt;/electronic-resource-num&gt;&lt;language&gt;eng&lt;/language&gt;&lt;/record&gt;&lt;/Cite&gt;&lt;/EndNote&gt;</w:instrText>
      </w:r>
      <w:r>
        <w:rPr>
          <w:rFonts w:ascii="Book Antiqua" w:hAnsi="Book Antiqua"/>
          <w:sz w:val="24"/>
          <w:vertAlign w:val="superscript"/>
        </w:rPr>
        <w:fldChar w:fldCharType="separate"/>
      </w:r>
      <w:r>
        <w:rPr>
          <w:rFonts w:ascii="Book Antiqua" w:hAnsi="Book Antiqua"/>
          <w:sz w:val="24"/>
          <w:vertAlign w:val="superscript"/>
        </w:rPr>
        <w:t>[8]</w:t>
      </w:r>
      <w:r>
        <w:rPr>
          <w:rFonts w:ascii="Book Antiqua" w:hAnsi="Book Antiqua"/>
          <w:sz w:val="24"/>
          <w:vertAlign w:val="superscript"/>
        </w:rPr>
        <w:fldChar w:fldCharType="end"/>
      </w:r>
      <w:r>
        <w:rPr>
          <w:rFonts w:ascii="Book Antiqua" w:hAnsi="Book Antiqua"/>
          <w:sz w:val="24"/>
        </w:rPr>
        <w:t xml:space="preserve">. </w:t>
      </w:r>
    </w:p>
    <w:p w:rsidR="00C02679" w:rsidRDefault="009803CF" w:rsidP="00705300">
      <w:pPr>
        <w:adjustRightInd w:val="0"/>
        <w:spacing w:after="0" w:line="360" w:lineRule="auto"/>
        <w:ind w:firstLineChars="100" w:firstLine="240"/>
        <w:rPr>
          <w:rFonts w:ascii="Book Antiqua" w:hAnsi="Book Antiqua"/>
          <w:sz w:val="24"/>
        </w:rPr>
      </w:pPr>
      <w:r>
        <w:rPr>
          <w:rFonts w:ascii="Book Antiqua" w:hAnsi="Book Antiqua"/>
          <w:sz w:val="24"/>
        </w:rPr>
        <w:t xml:space="preserve">Several biomarkers have been used as predictive and prognostic markers for NSCLC patients. A prognostic biomarker is a molecule that can be used to indicate the patient survival independent of the treatment received. In other words, it is an indicator of the innate tumor aggressiveness. For example, KRAS mutations can be served as a good prognostic biomarker indicating the poor survival for NSCLC patients when compared with the patients without KRAS mutations, independent of therapy. Xie </w:t>
      </w:r>
      <w:r>
        <w:rPr>
          <w:rFonts w:ascii="Book Antiqua" w:hAnsi="Book Antiqua"/>
          <w:i/>
          <w:sz w:val="24"/>
        </w:rPr>
        <w:t>et al</w:t>
      </w:r>
      <w:r>
        <w:rPr>
          <w:rFonts w:ascii="Book Antiqua" w:hAnsi="Book Antiqua"/>
          <w:sz w:val="24"/>
          <w:vertAlign w:val="superscript"/>
        </w:rPr>
        <w:t>[20]</w:t>
      </w:r>
      <w:r>
        <w:rPr>
          <w:rFonts w:ascii="Book Antiqua" w:hAnsi="Book Antiqua"/>
          <w:sz w:val="24"/>
        </w:rPr>
        <w:t xml:space="preserve"> has reported that the </w:t>
      </w:r>
      <w:r>
        <w:rPr>
          <w:rFonts w:ascii="Book Antiqua" w:hAnsi="Book Antiqua"/>
          <w:i/>
          <w:sz w:val="24"/>
        </w:rPr>
        <w:t xml:space="preserve">GNAS1 </w:t>
      </w:r>
      <w:r>
        <w:rPr>
          <w:rFonts w:ascii="Book Antiqua" w:hAnsi="Book Antiqua"/>
          <w:sz w:val="24"/>
        </w:rPr>
        <w:t>T393C polymorphism can somehow predict the chemotherapy sensitivity and overall survival rate in advanced NSCLC patients treated with gemcitabine and platinum</w:t>
      </w:r>
      <w:r>
        <w:rPr>
          <w:rFonts w:ascii="Book Antiqua" w:hAnsi="Book Antiqua"/>
          <w:sz w:val="24"/>
          <w:vertAlign w:val="superscript"/>
        </w:rPr>
        <w:t>[20]</w:t>
      </w:r>
      <w:r>
        <w:rPr>
          <w:rFonts w:ascii="Book Antiqua" w:hAnsi="Book Antiqua"/>
          <w:sz w:val="24"/>
        </w:rPr>
        <w:t xml:space="preserve">. Here, our data clearly showed that the GNAS1 T393C TT genotype was prognostic of better overall survival for NSCLC patients, independent of therapy. </w:t>
      </w:r>
    </w:p>
    <w:p w:rsidR="00C02679" w:rsidRDefault="009803CF">
      <w:pPr>
        <w:spacing w:after="0" w:line="360" w:lineRule="auto"/>
        <w:ind w:firstLineChars="100" w:firstLine="240"/>
        <w:rPr>
          <w:rFonts w:ascii="Book Antiqua" w:hAnsi="Book Antiqua"/>
          <w:sz w:val="24"/>
        </w:rPr>
      </w:pPr>
      <w:r>
        <w:rPr>
          <w:rFonts w:ascii="Book Antiqua" w:hAnsi="Book Antiqua"/>
          <w:sz w:val="24"/>
        </w:rPr>
        <w:t>Nevertheless, it should be emphasized that in this study, we only investigated a small population of patients. Although our study indicate</w:t>
      </w:r>
      <w:r>
        <w:rPr>
          <w:rFonts w:ascii="Book Antiqua" w:hAnsi="Book Antiqua" w:hint="eastAsia"/>
          <w:sz w:val="24"/>
        </w:rPr>
        <w:t xml:space="preserve">d </w:t>
      </w:r>
      <w:r>
        <w:rPr>
          <w:rFonts w:ascii="Book Antiqua" w:hAnsi="Book Antiqua"/>
          <w:sz w:val="24"/>
        </w:rPr>
        <w:t>that genetic host factors play a role in tumor progression, which</w:t>
      </w:r>
      <w:r>
        <w:rPr>
          <w:rFonts w:ascii="Book Antiqua" w:hAnsi="Book Antiqua" w:hint="eastAsia"/>
          <w:sz w:val="24"/>
        </w:rPr>
        <w:t xml:space="preserve"> was</w:t>
      </w:r>
      <w:r>
        <w:rPr>
          <w:rFonts w:ascii="Book Antiqua" w:hAnsi="Book Antiqua"/>
          <w:sz w:val="24"/>
        </w:rPr>
        <w:t xml:space="preserve"> consistent with the previously published data</w:t>
      </w:r>
      <w:r>
        <w:rPr>
          <w:rFonts w:ascii="Book Antiqua" w:hAnsi="Book Antiqua"/>
          <w:sz w:val="24"/>
          <w:vertAlign w:val="superscript"/>
        </w:rPr>
        <w:t>[20]</w:t>
      </w:r>
      <w:r>
        <w:rPr>
          <w:rFonts w:ascii="Book Antiqua" w:hAnsi="Book Antiqua"/>
          <w:sz w:val="24"/>
        </w:rPr>
        <w:t xml:space="preserve">, further independent studies of large cohorts </w:t>
      </w:r>
      <w:r>
        <w:rPr>
          <w:rFonts w:ascii="Book Antiqua" w:hAnsi="Book Antiqua" w:hint="eastAsia"/>
          <w:sz w:val="24"/>
        </w:rPr>
        <w:t>were</w:t>
      </w:r>
      <w:r>
        <w:rPr>
          <w:rFonts w:ascii="Book Antiqua" w:hAnsi="Book Antiqua"/>
          <w:sz w:val="24"/>
        </w:rPr>
        <w:t xml:space="preserve"> necessary to confirm their validity. Furthermore, </w:t>
      </w:r>
      <w:bookmarkStart w:id="62" w:name="OLE_LINK19"/>
      <w:bookmarkStart w:id="63" w:name="OLE_LINK20"/>
      <w:r>
        <w:rPr>
          <w:rFonts w:ascii="Book Antiqua" w:hAnsi="Book Antiqua"/>
          <w:sz w:val="24"/>
        </w:rPr>
        <w:t>the molecular</w:t>
      </w:r>
      <w:r>
        <w:rPr>
          <w:rFonts w:ascii="Book Antiqua" w:hAnsi="Book Antiqua" w:hint="eastAsia"/>
          <w:sz w:val="24"/>
        </w:rPr>
        <w:t xml:space="preserve"> </w:t>
      </w:r>
      <w:r>
        <w:rPr>
          <w:rFonts w:ascii="Book Antiqua" w:hAnsi="Book Antiqua"/>
          <w:sz w:val="24"/>
        </w:rPr>
        <w:t xml:space="preserve">mechanisms underlying the significance of </w:t>
      </w:r>
      <w:bookmarkEnd w:id="62"/>
      <w:bookmarkEnd w:id="63"/>
      <w:r>
        <w:rPr>
          <w:rFonts w:ascii="Book Antiqua" w:hAnsi="Book Antiqua"/>
          <w:sz w:val="24"/>
        </w:rPr>
        <w:t xml:space="preserve">the </w:t>
      </w:r>
      <w:r>
        <w:rPr>
          <w:rFonts w:ascii="Book Antiqua" w:hAnsi="Book Antiqua" w:hint="eastAsia"/>
          <w:sz w:val="24"/>
        </w:rPr>
        <w:t xml:space="preserve">GNAS1 </w:t>
      </w:r>
      <w:r>
        <w:rPr>
          <w:rFonts w:ascii="Book Antiqua" w:hAnsi="Book Antiqua"/>
          <w:i/>
          <w:sz w:val="24"/>
        </w:rPr>
        <w:t>T393C</w:t>
      </w:r>
      <w:r>
        <w:rPr>
          <w:rFonts w:ascii="Book Antiqua" w:hAnsi="Book Antiqua"/>
          <w:sz w:val="24"/>
        </w:rPr>
        <w:t xml:space="preserve"> genotype associated with potentially surrogate SNPs remain</w:t>
      </w:r>
      <w:r>
        <w:rPr>
          <w:rFonts w:ascii="Book Antiqua" w:hAnsi="Book Antiqua" w:hint="eastAsia"/>
          <w:sz w:val="24"/>
        </w:rPr>
        <w:t>ed</w:t>
      </w:r>
      <w:r>
        <w:rPr>
          <w:rFonts w:ascii="Book Antiqua" w:hAnsi="Book Antiqua"/>
          <w:sz w:val="24"/>
        </w:rPr>
        <w:t xml:space="preserve"> to be explored.</w:t>
      </w:r>
    </w:p>
    <w:p w:rsidR="00C02679" w:rsidRDefault="00C02679">
      <w:pPr>
        <w:spacing w:after="0" w:line="360" w:lineRule="auto"/>
        <w:rPr>
          <w:rFonts w:ascii="Book Antiqua" w:hAnsi="Book Antiqua"/>
          <w:sz w:val="24"/>
        </w:rPr>
      </w:pPr>
    </w:p>
    <w:p w:rsidR="00C02679" w:rsidRDefault="009803CF">
      <w:pPr>
        <w:spacing w:after="0" w:line="360" w:lineRule="auto"/>
        <w:rPr>
          <w:rStyle w:val="CommentReference"/>
          <w:rFonts w:ascii="Book Antiqua" w:hAnsi="Book Antiqua"/>
          <w:sz w:val="24"/>
          <w:szCs w:val="24"/>
        </w:rPr>
      </w:pPr>
      <w:r>
        <w:rPr>
          <w:rFonts w:ascii="Book Antiqua" w:hAnsi="Book Antiqua"/>
          <w:b/>
          <w:sz w:val="24"/>
        </w:rPr>
        <w:t>COMMENTS</w:t>
      </w:r>
    </w:p>
    <w:p w:rsidR="009803CF" w:rsidRDefault="009803CF">
      <w:pPr>
        <w:spacing w:after="0" w:line="360" w:lineRule="auto"/>
        <w:rPr>
          <w:rFonts w:ascii="Book Antiqua" w:hAnsi="Book Antiqua"/>
          <w:b/>
          <w:bCs/>
          <w:i/>
          <w:sz w:val="24"/>
        </w:rPr>
      </w:pPr>
      <w:r>
        <w:rPr>
          <w:rFonts w:ascii="Book Antiqua" w:hAnsi="Book Antiqua"/>
          <w:b/>
          <w:bCs/>
          <w:i/>
          <w:sz w:val="24"/>
        </w:rPr>
        <w:t>Background</w:t>
      </w:r>
    </w:p>
    <w:p w:rsidR="00C02679" w:rsidRDefault="009803CF">
      <w:pPr>
        <w:spacing w:after="0" w:line="360" w:lineRule="auto"/>
        <w:rPr>
          <w:rFonts w:ascii="Book Antiqua" w:hAnsi="Book Antiqua"/>
          <w:sz w:val="24"/>
        </w:rPr>
      </w:pPr>
      <w:r>
        <w:rPr>
          <w:rFonts w:ascii="Book Antiqua" w:hAnsi="Book Antiqua"/>
          <w:sz w:val="24"/>
        </w:rPr>
        <w:t>Lung cancer is major cause of cancer death around the world. Although some clinicopathological parameters like UICC stages may be used as prognostic biomarkers in lung cancer, other reliable markers that can help precisely predict the clinical outcome of individual patients are still desirable. Most prognostic biomarkers are based on features of the tumor tissue itself.</w:t>
      </w:r>
    </w:p>
    <w:p w:rsidR="00C02679" w:rsidRDefault="00C02679">
      <w:pPr>
        <w:spacing w:after="0" w:line="360" w:lineRule="auto"/>
        <w:rPr>
          <w:rStyle w:val="CommentReference"/>
          <w:rFonts w:ascii="Book Antiqua" w:hAnsi="Book Antiqua"/>
          <w:sz w:val="24"/>
          <w:szCs w:val="24"/>
        </w:rPr>
      </w:pPr>
    </w:p>
    <w:p w:rsidR="009803CF" w:rsidRDefault="009803CF">
      <w:pPr>
        <w:spacing w:after="0" w:line="360" w:lineRule="auto"/>
        <w:rPr>
          <w:rFonts w:ascii="Book Antiqua" w:hAnsi="Book Antiqua"/>
          <w:b/>
          <w:bCs/>
          <w:i/>
          <w:sz w:val="24"/>
        </w:rPr>
      </w:pPr>
      <w:r>
        <w:rPr>
          <w:rFonts w:ascii="Book Antiqua" w:hAnsi="Book Antiqua"/>
          <w:b/>
          <w:bCs/>
          <w:i/>
          <w:sz w:val="24"/>
        </w:rPr>
        <w:t>Research frontiers</w:t>
      </w:r>
    </w:p>
    <w:p w:rsidR="00C02679" w:rsidRDefault="009803CF">
      <w:pPr>
        <w:spacing w:after="0" w:line="360" w:lineRule="auto"/>
        <w:rPr>
          <w:rFonts w:ascii="Book Antiqua" w:hAnsi="Book Antiqua"/>
          <w:sz w:val="24"/>
        </w:rPr>
      </w:pPr>
      <w:r>
        <w:rPr>
          <w:rFonts w:ascii="Book Antiqua" w:hAnsi="Book Antiqua"/>
          <w:sz w:val="24"/>
        </w:rPr>
        <w:t xml:space="preserve">Characterization of single nucleotide polymorphisms (SNPs) as a prognostic biomarker in cancer has become the hotspot of recent research. The </w:t>
      </w:r>
      <w:r>
        <w:rPr>
          <w:rFonts w:ascii="Book Antiqua" w:hAnsi="Book Antiqua"/>
          <w:i/>
          <w:sz w:val="24"/>
        </w:rPr>
        <w:t>T393C</w:t>
      </w:r>
      <w:r>
        <w:rPr>
          <w:rFonts w:ascii="Book Antiqua" w:hAnsi="Book Antiqua"/>
          <w:sz w:val="24"/>
        </w:rPr>
        <w:t xml:space="preserve"> polymorphism of the gene </w:t>
      </w:r>
      <w:r>
        <w:rPr>
          <w:rFonts w:ascii="Book Antiqua" w:hAnsi="Book Antiqua"/>
          <w:i/>
          <w:sz w:val="24"/>
        </w:rPr>
        <w:t>GNAS1</w:t>
      </w:r>
      <w:r>
        <w:rPr>
          <w:rFonts w:ascii="Book Antiqua" w:hAnsi="Book Antiqua"/>
          <w:sz w:val="24"/>
        </w:rPr>
        <w:t xml:space="preserve"> is one such polymorphism. </w:t>
      </w:r>
    </w:p>
    <w:p w:rsidR="009803CF" w:rsidRDefault="009803CF">
      <w:pPr>
        <w:spacing w:after="0" w:line="360" w:lineRule="auto"/>
        <w:rPr>
          <w:rFonts w:ascii="Book Antiqua" w:hAnsi="Book Antiqua"/>
          <w:b/>
          <w:bCs/>
          <w:i/>
          <w:sz w:val="24"/>
        </w:rPr>
      </w:pPr>
      <w:r>
        <w:rPr>
          <w:rFonts w:ascii="Book Antiqua" w:hAnsi="Book Antiqua" w:cs="Tahoma"/>
          <w:sz w:val="24"/>
        </w:rPr>
        <w:br/>
      </w:r>
      <w:r>
        <w:rPr>
          <w:rFonts w:ascii="Book Antiqua" w:hAnsi="Book Antiqua"/>
          <w:b/>
          <w:bCs/>
          <w:i/>
          <w:sz w:val="24"/>
        </w:rPr>
        <w:t>Innovations and breakthroughs</w:t>
      </w:r>
    </w:p>
    <w:p w:rsidR="00C02679" w:rsidRDefault="009803CF">
      <w:pPr>
        <w:spacing w:after="0" w:line="360" w:lineRule="auto"/>
        <w:rPr>
          <w:rFonts w:ascii="Book Antiqua" w:hAnsi="Book Antiqua"/>
          <w:sz w:val="24"/>
        </w:rPr>
      </w:pPr>
      <w:r>
        <w:rPr>
          <w:rFonts w:ascii="Book Antiqua" w:hAnsi="Book Antiqua"/>
          <w:sz w:val="24"/>
        </w:rPr>
        <w:t>Several molecular markers have been used as predictive and prognostic markers for non-small-cell lung cancer (NSCLC). A prognostic biomarker is a biomolecule that can be used to indicate the patient survival independent of the treatment received. It can also indicate for the innate tumor aggressiveness. For example, the</w:t>
      </w:r>
      <w:r>
        <w:rPr>
          <w:rFonts w:ascii="Book Antiqua" w:hAnsi="Book Antiqua" w:hint="eastAsia"/>
          <w:sz w:val="24"/>
        </w:rPr>
        <w:t xml:space="preserve"> </w:t>
      </w:r>
      <w:r>
        <w:rPr>
          <w:rFonts w:ascii="Book Antiqua" w:hAnsi="Book Antiqua"/>
          <w:sz w:val="24"/>
        </w:rPr>
        <w:t xml:space="preserve">KRAS mutations was prognostic of poor survival for NSCLC patients when compared to the absence of KRAS mutations, independent of therapy. Xie et al. reported that the </w:t>
      </w:r>
      <w:r>
        <w:rPr>
          <w:rFonts w:ascii="Book Antiqua" w:hAnsi="Book Antiqua"/>
          <w:i/>
          <w:sz w:val="24"/>
        </w:rPr>
        <w:t xml:space="preserve">GNAS1 </w:t>
      </w:r>
      <w:r>
        <w:rPr>
          <w:rFonts w:ascii="Book Antiqua" w:hAnsi="Book Antiqua"/>
          <w:sz w:val="24"/>
        </w:rPr>
        <w:t xml:space="preserve">T393C polymorphism can be used topredict the chemotherapy sensitivity as well as the survival rates in advanced NSCLC patients treated with gemcitabine and platinum. Here, our data clearly indicate that the GNAS1 T393C TT genotype was prognostic of better survival rates for NSCLC patients, independent of therapy. </w:t>
      </w:r>
    </w:p>
    <w:p w:rsidR="00C02679" w:rsidRDefault="009803CF">
      <w:pPr>
        <w:spacing w:after="0" w:line="360" w:lineRule="auto"/>
        <w:rPr>
          <w:rFonts w:ascii="Book Antiqua" w:hAnsi="Book Antiqua"/>
          <w:sz w:val="24"/>
        </w:rPr>
      </w:pPr>
      <w:r>
        <w:rPr>
          <w:rFonts w:ascii="Book Antiqua" w:hAnsi="Book Antiqua" w:cs="Tahoma"/>
          <w:sz w:val="24"/>
        </w:rPr>
        <w:br/>
      </w:r>
      <w:r>
        <w:rPr>
          <w:rFonts w:ascii="Book Antiqua" w:hAnsi="Book Antiqua"/>
          <w:b/>
          <w:bCs/>
          <w:i/>
          <w:sz w:val="24"/>
        </w:rPr>
        <w:t>Applications</w:t>
      </w:r>
      <w:r>
        <w:rPr>
          <w:rFonts w:ascii="Book Antiqua" w:hAnsi="Book Antiqua" w:cs="Tahoma"/>
          <w:sz w:val="24"/>
        </w:rPr>
        <w:br/>
      </w:r>
      <w:r>
        <w:rPr>
          <w:rFonts w:ascii="Book Antiqua" w:hAnsi="Book Antiqua"/>
          <w:sz w:val="24"/>
        </w:rPr>
        <w:t xml:space="preserve">The identification of patients with high-risk lung cancer could help develop novel and individual treatment strategies and could improve the clinical outcome. Our data clearly indicate that genetic polymorphism in the </w:t>
      </w:r>
      <w:r>
        <w:rPr>
          <w:rFonts w:ascii="Book Antiqua" w:hAnsi="Book Antiqua"/>
          <w:i/>
          <w:sz w:val="24"/>
        </w:rPr>
        <w:t>GNAS1 T393C</w:t>
      </w:r>
      <w:r>
        <w:rPr>
          <w:rFonts w:ascii="Book Antiqua" w:hAnsi="Book Antiqua"/>
          <w:sz w:val="24"/>
        </w:rPr>
        <w:t xml:space="preserve"> inﬂuenced survival in advanced non-small lung cancer with a worse clinical outcome for C allele patients. </w:t>
      </w:r>
    </w:p>
    <w:p w:rsidR="00C02679" w:rsidRDefault="009803CF">
      <w:pPr>
        <w:spacing w:after="0" w:line="360" w:lineRule="auto"/>
        <w:rPr>
          <w:rFonts w:ascii="Book Antiqua" w:hAnsi="Book Antiqua"/>
          <w:sz w:val="24"/>
        </w:rPr>
      </w:pPr>
      <w:r>
        <w:rPr>
          <w:rFonts w:ascii="Book Antiqua" w:hAnsi="Book Antiqua" w:cs="Tahoma"/>
          <w:sz w:val="24"/>
        </w:rPr>
        <w:br/>
      </w:r>
      <w:r>
        <w:rPr>
          <w:rFonts w:ascii="Book Antiqua" w:hAnsi="Book Antiqua" w:cs="Arial"/>
          <w:b/>
          <w:bCs/>
          <w:i/>
          <w:sz w:val="24"/>
        </w:rPr>
        <w:t>Terminology</w:t>
      </w:r>
      <w:r>
        <w:rPr>
          <w:rFonts w:ascii="Book Antiqua" w:hAnsi="Book Antiqua" w:cs="Tahoma"/>
          <w:sz w:val="24"/>
        </w:rPr>
        <w:br/>
        <w:t>S</w:t>
      </w:r>
      <w:r>
        <w:rPr>
          <w:rFonts w:ascii="Book Antiqua" w:hAnsi="Book Antiqua"/>
          <w:sz w:val="24"/>
        </w:rPr>
        <w:t>ingle nucleotide polymorphisms (SNPs): SNPs refer to a DNA sequence variation occurring commonly within a population (</w:t>
      </w:r>
      <w:r>
        <w:rPr>
          <w:rFonts w:ascii="Book Antiqua" w:hAnsi="Book Antiqua"/>
          <w:i/>
          <w:sz w:val="24"/>
        </w:rPr>
        <w:t>e.g.</w:t>
      </w:r>
      <w:r>
        <w:rPr>
          <w:rFonts w:ascii="Book Antiqua" w:hAnsi="Book Antiqua"/>
          <w:sz w:val="24"/>
        </w:rPr>
        <w:t xml:space="preserve">, 1%) in which a Single </w:t>
      </w:r>
      <w:r>
        <w:rPr>
          <w:rFonts w:ascii="Book Antiqua" w:hAnsi="Book Antiqua"/>
          <w:sz w:val="24"/>
        </w:rPr>
        <w:lastRenderedPageBreak/>
        <w:t xml:space="preserve">Nucleotide -A, T, C or G - in the genome (or other shared sequence) differs between members of a biological species or paired chromosomes. </w:t>
      </w:r>
    </w:p>
    <w:p w:rsidR="00C02679" w:rsidRDefault="009803CF">
      <w:pPr>
        <w:spacing w:after="0" w:line="360" w:lineRule="auto"/>
        <w:rPr>
          <w:rFonts w:ascii="Book Antiqua" w:hAnsi="Book Antiqua"/>
          <w:b/>
          <w:bCs/>
          <w:i/>
          <w:sz w:val="24"/>
        </w:rPr>
      </w:pPr>
      <w:r>
        <w:rPr>
          <w:rFonts w:ascii="Book Antiqua" w:hAnsi="Book Antiqua" w:cs="Tahoma"/>
          <w:sz w:val="24"/>
        </w:rPr>
        <w:br/>
      </w:r>
      <w:r>
        <w:rPr>
          <w:rFonts w:ascii="Book Antiqua" w:hAnsi="Book Antiqua"/>
          <w:b/>
          <w:bCs/>
          <w:i/>
          <w:sz w:val="24"/>
        </w:rPr>
        <w:t>Peer review</w:t>
      </w:r>
    </w:p>
    <w:p w:rsidR="00C02679" w:rsidRDefault="009803CF">
      <w:pPr>
        <w:spacing w:after="0" w:line="360" w:lineRule="auto"/>
        <w:rPr>
          <w:rFonts w:ascii="Book Antiqua" w:hAnsi="Book Antiqua"/>
          <w:sz w:val="24"/>
        </w:rPr>
      </w:pPr>
      <w:r>
        <w:rPr>
          <w:rFonts w:ascii="Book Antiqua" w:hAnsi="Book Antiqua"/>
          <w:sz w:val="24"/>
        </w:rPr>
        <w:t>The manuscript is comprehensive and important.</w:t>
      </w:r>
    </w:p>
    <w:p w:rsidR="00C02679" w:rsidRDefault="00C02679">
      <w:pPr>
        <w:spacing w:after="0" w:line="360" w:lineRule="auto"/>
        <w:rPr>
          <w:rStyle w:val="CommentReference"/>
          <w:rFonts w:ascii="Book Antiqua" w:hAnsi="Book Antiqua"/>
          <w:sz w:val="24"/>
          <w:szCs w:val="24"/>
        </w:rPr>
      </w:pPr>
    </w:p>
    <w:p w:rsidR="00C02679" w:rsidRDefault="009803CF">
      <w:pPr>
        <w:spacing w:after="0" w:line="360" w:lineRule="auto"/>
        <w:rPr>
          <w:rFonts w:ascii="Book Antiqua" w:hAnsi="Book Antiqua"/>
          <w:b/>
          <w:sz w:val="24"/>
        </w:rPr>
      </w:pPr>
      <w:r>
        <w:rPr>
          <w:rFonts w:ascii="Book Antiqua" w:hAnsi="Book Antiqua"/>
          <w:b/>
          <w:sz w:val="24"/>
        </w:rPr>
        <w:t>REFERENCES</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1 </w:t>
      </w:r>
      <w:r>
        <w:rPr>
          <w:rFonts w:ascii="Book Antiqua" w:hAnsi="Book Antiqua" w:cs="宋体"/>
          <w:b/>
          <w:bCs/>
          <w:kern w:val="0"/>
          <w:sz w:val="24"/>
        </w:rPr>
        <w:t>Jemal A</w:t>
      </w:r>
      <w:r>
        <w:rPr>
          <w:rFonts w:ascii="Book Antiqua" w:hAnsi="Book Antiqua" w:cs="宋体"/>
          <w:kern w:val="0"/>
          <w:sz w:val="24"/>
        </w:rPr>
        <w:t>, Bray F, Center MM, Ferlay J, Ward E, Forman D. Global cancer statistics. </w:t>
      </w:r>
      <w:r>
        <w:rPr>
          <w:rFonts w:ascii="Book Antiqua" w:hAnsi="Book Antiqua" w:cs="宋体"/>
          <w:i/>
          <w:iCs/>
          <w:kern w:val="0"/>
          <w:sz w:val="24"/>
        </w:rPr>
        <w:t>CA Cancer J Clin</w:t>
      </w:r>
      <w:r>
        <w:rPr>
          <w:rFonts w:ascii="Book Antiqua" w:hAnsi="Book Antiqua" w:cs="宋体"/>
          <w:kern w:val="0"/>
          <w:sz w:val="24"/>
        </w:rPr>
        <w:t> </w:t>
      </w:r>
      <w:r>
        <w:rPr>
          <w:rFonts w:ascii="Book Antiqua" w:hAnsi="Book Antiqua" w:cs="宋体" w:hint="eastAsia"/>
          <w:kern w:val="0"/>
          <w:sz w:val="24"/>
        </w:rPr>
        <w:t>2011</w:t>
      </w:r>
      <w:r>
        <w:rPr>
          <w:rFonts w:ascii="Book Antiqua" w:hAnsi="Book Antiqua" w:cs="宋体"/>
          <w:kern w:val="0"/>
          <w:sz w:val="24"/>
        </w:rPr>
        <w:t>; </w:t>
      </w:r>
      <w:r>
        <w:rPr>
          <w:rFonts w:ascii="Book Antiqua" w:hAnsi="Book Antiqua" w:cs="宋体"/>
          <w:b/>
          <w:bCs/>
          <w:kern w:val="0"/>
          <w:sz w:val="24"/>
        </w:rPr>
        <w:t>61</w:t>
      </w:r>
      <w:r>
        <w:rPr>
          <w:rFonts w:ascii="Book Antiqua" w:hAnsi="Book Antiqua" w:cs="宋体"/>
          <w:kern w:val="0"/>
          <w:sz w:val="24"/>
        </w:rPr>
        <w:t>: 69-90 [PMID: 21296855 DOI: 10.3322/caac.20107]</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2 </w:t>
      </w:r>
      <w:r>
        <w:rPr>
          <w:rFonts w:ascii="Book Antiqua" w:hAnsi="Book Antiqua" w:cs="宋体"/>
          <w:b/>
          <w:bCs/>
          <w:kern w:val="0"/>
          <w:sz w:val="24"/>
        </w:rPr>
        <w:t>Molina JR</w:t>
      </w:r>
      <w:r>
        <w:rPr>
          <w:rFonts w:ascii="Book Antiqua" w:hAnsi="Book Antiqua" w:cs="宋体"/>
          <w:kern w:val="0"/>
          <w:sz w:val="24"/>
        </w:rPr>
        <w:t>, Yang P, Cassivi SD, Schild SE, Adjei AA. Non-small cell lung cancer: epidemiology, risk factors, treatment, and survivorship. </w:t>
      </w:r>
      <w:r>
        <w:rPr>
          <w:rFonts w:ascii="Book Antiqua" w:hAnsi="Book Antiqua" w:cs="宋体"/>
          <w:i/>
          <w:iCs/>
          <w:kern w:val="0"/>
          <w:sz w:val="24"/>
        </w:rPr>
        <w:t>Mayo Clin Proc</w:t>
      </w:r>
      <w:r>
        <w:rPr>
          <w:rFonts w:ascii="Book Antiqua" w:hAnsi="Book Antiqua" w:cs="宋体"/>
          <w:kern w:val="0"/>
          <w:sz w:val="24"/>
        </w:rPr>
        <w:t> 2008; </w:t>
      </w:r>
      <w:r>
        <w:rPr>
          <w:rFonts w:ascii="Book Antiqua" w:hAnsi="Book Antiqua" w:cs="宋体"/>
          <w:b/>
          <w:bCs/>
          <w:kern w:val="0"/>
          <w:sz w:val="24"/>
        </w:rPr>
        <w:t>83</w:t>
      </w:r>
      <w:r>
        <w:rPr>
          <w:rFonts w:ascii="Book Antiqua" w:hAnsi="Book Antiqua" w:cs="宋体"/>
          <w:kern w:val="0"/>
          <w:sz w:val="24"/>
        </w:rPr>
        <w:t>: 584-594 [PMID: 18452692 DOI: 10.1016/S0025-6196(11)60735-0]</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3 </w:t>
      </w:r>
      <w:r>
        <w:rPr>
          <w:rFonts w:ascii="Book Antiqua" w:hAnsi="Book Antiqua" w:cs="宋体"/>
          <w:b/>
          <w:bCs/>
          <w:kern w:val="0"/>
          <w:sz w:val="24"/>
        </w:rPr>
        <w:t>Forde PM</w:t>
      </w:r>
      <w:r>
        <w:rPr>
          <w:rFonts w:ascii="Book Antiqua" w:hAnsi="Book Antiqua" w:cs="宋体"/>
          <w:kern w:val="0"/>
          <w:sz w:val="24"/>
        </w:rPr>
        <w:t>, Ettinger DS. Targeted therapy for non-small-cell lung cancer: past, present and future. </w:t>
      </w:r>
      <w:r>
        <w:rPr>
          <w:rFonts w:ascii="Book Antiqua" w:hAnsi="Book Antiqua" w:cs="宋体"/>
          <w:i/>
          <w:iCs/>
          <w:kern w:val="0"/>
          <w:sz w:val="24"/>
        </w:rPr>
        <w:t>Expert Rev Anticancer Ther</w:t>
      </w:r>
      <w:r>
        <w:rPr>
          <w:rFonts w:ascii="Book Antiqua" w:hAnsi="Book Antiqua" w:cs="宋体"/>
          <w:kern w:val="0"/>
          <w:sz w:val="24"/>
        </w:rPr>
        <w:t> 2013; </w:t>
      </w:r>
      <w:r>
        <w:rPr>
          <w:rFonts w:ascii="Book Antiqua" w:hAnsi="Book Antiqua" w:cs="宋体"/>
          <w:b/>
          <w:bCs/>
          <w:kern w:val="0"/>
          <w:sz w:val="24"/>
        </w:rPr>
        <w:t>13</w:t>
      </w:r>
      <w:r>
        <w:rPr>
          <w:rFonts w:ascii="Book Antiqua" w:hAnsi="Book Antiqua" w:cs="宋体"/>
          <w:kern w:val="0"/>
          <w:sz w:val="24"/>
        </w:rPr>
        <w:t>: 745-758 [PMID: 23773106 DOI: 10.1586/era.13.47]</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4 </w:t>
      </w:r>
      <w:r>
        <w:rPr>
          <w:rFonts w:ascii="Book Antiqua" w:hAnsi="Book Antiqua" w:cs="宋体"/>
          <w:b/>
          <w:bCs/>
          <w:kern w:val="0"/>
          <w:sz w:val="24"/>
        </w:rPr>
        <w:t>Schiller JH</w:t>
      </w:r>
      <w:r>
        <w:rPr>
          <w:rFonts w:ascii="Book Antiqua" w:hAnsi="Book Antiqua" w:cs="宋体"/>
          <w:kern w:val="0"/>
          <w:sz w:val="24"/>
        </w:rPr>
        <w:t>, Harrington D, Belani CP, Langer C, Sandler A, Krook J, Zhu J, Johnson DH. Comparison of four chemotherapy regimens for advanced non-small-cell lung cancer. </w:t>
      </w:r>
      <w:r>
        <w:rPr>
          <w:rFonts w:ascii="Book Antiqua" w:hAnsi="Book Antiqua" w:cs="宋体"/>
          <w:i/>
          <w:iCs/>
          <w:kern w:val="0"/>
          <w:sz w:val="24"/>
        </w:rPr>
        <w:t>N Engl J Med</w:t>
      </w:r>
      <w:r>
        <w:rPr>
          <w:rFonts w:ascii="Book Antiqua" w:hAnsi="Book Antiqua" w:cs="宋体"/>
          <w:kern w:val="0"/>
          <w:sz w:val="24"/>
        </w:rPr>
        <w:t> 2002; </w:t>
      </w:r>
      <w:r>
        <w:rPr>
          <w:rFonts w:ascii="Book Antiqua" w:hAnsi="Book Antiqua" w:cs="宋体"/>
          <w:b/>
          <w:bCs/>
          <w:kern w:val="0"/>
          <w:sz w:val="24"/>
        </w:rPr>
        <w:t>346</w:t>
      </w:r>
      <w:r>
        <w:rPr>
          <w:rFonts w:ascii="Book Antiqua" w:hAnsi="Book Antiqua" w:cs="宋体"/>
          <w:kern w:val="0"/>
          <w:sz w:val="24"/>
        </w:rPr>
        <w:t>: 92-98 [PMID: 11784875 DOI: 10.1056/NEJMoa011954]</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5 </w:t>
      </w:r>
      <w:r>
        <w:rPr>
          <w:rFonts w:ascii="Book Antiqua" w:hAnsi="Book Antiqua" w:cs="宋体"/>
          <w:b/>
          <w:bCs/>
          <w:kern w:val="0"/>
          <w:sz w:val="24"/>
        </w:rPr>
        <w:t>Yan L</w:t>
      </w:r>
      <w:r>
        <w:rPr>
          <w:rFonts w:ascii="Book Antiqua" w:hAnsi="Book Antiqua" w:cs="宋体"/>
          <w:kern w:val="0"/>
          <w:sz w:val="24"/>
        </w:rPr>
        <w:t>, Herrmann V, Hofer JK, Insel PA. beta-adrenergic receptor/cAMP-mediated signaling and apoptosis of S49 lymphoma cells. </w:t>
      </w:r>
      <w:r>
        <w:rPr>
          <w:rFonts w:ascii="Book Antiqua" w:hAnsi="Book Antiqua" w:cs="宋体"/>
          <w:i/>
          <w:iCs/>
          <w:kern w:val="0"/>
          <w:sz w:val="24"/>
        </w:rPr>
        <w:t>Am J Physiol Cell Physiol</w:t>
      </w:r>
      <w:r>
        <w:rPr>
          <w:rFonts w:ascii="Book Antiqua" w:hAnsi="Book Antiqua" w:cs="宋体"/>
          <w:kern w:val="0"/>
          <w:sz w:val="24"/>
        </w:rPr>
        <w:t> 2000; </w:t>
      </w:r>
      <w:r>
        <w:rPr>
          <w:rFonts w:ascii="Book Antiqua" w:hAnsi="Book Antiqua" w:cs="宋体"/>
          <w:b/>
          <w:bCs/>
          <w:kern w:val="0"/>
          <w:sz w:val="24"/>
        </w:rPr>
        <w:t>279</w:t>
      </w:r>
      <w:r>
        <w:rPr>
          <w:rFonts w:ascii="Book Antiqua" w:hAnsi="Book Antiqua" w:cs="宋体"/>
          <w:kern w:val="0"/>
          <w:sz w:val="24"/>
        </w:rPr>
        <w:t>: C1665-C1674 [PMID: 11029315]</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6 </w:t>
      </w:r>
      <w:r>
        <w:rPr>
          <w:rFonts w:ascii="Book Antiqua" w:hAnsi="Book Antiqua" w:cs="宋体"/>
          <w:b/>
          <w:bCs/>
          <w:kern w:val="0"/>
          <w:sz w:val="24"/>
        </w:rPr>
        <w:t>Collins MT</w:t>
      </w:r>
      <w:r>
        <w:rPr>
          <w:rFonts w:ascii="Book Antiqua" w:hAnsi="Book Antiqua" w:cs="宋体"/>
          <w:kern w:val="0"/>
          <w:sz w:val="24"/>
        </w:rPr>
        <w:t>, Sarlis NJ, Merino MJ, Monroe J, Crawford SE, Krakoff JA, Guthrie LC, Bonat S, Robey PG, Shenker A. Thyroid carcinoma in the McCune-Albright syndrome: contributory role of activating Gs alpha mutations. </w:t>
      </w:r>
      <w:r>
        <w:rPr>
          <w:rFonts w:ascii="Book Antiqua" w:hAnsi="Book Antiqua" w:cs="宋体"/>
          <w:i/>
          <w:iCs/>
          <w:kern w:val="0"/>
          <w:sz w:val="24"/>
        </w:rPr>
        <w:t>J Clin Endocrinol Metab</w:t>
      </w:r>
      <w:r>
        <w:rPr>
          <w:rFonts w:ascii="Book Antiqua" w:hAnsi="Book Antiqua" w:cs="宋体"/>
          <w:kern w:val="0"/>
          <w:sz w:val="24"/>
        </w:rPr>
        <w:t> 2003; </w:t>
      </w:r>
      <w:r>
        <w:rPr>
          <w:rFonts w:ascii="Book Antiqua" w:hAnsi="Book Antiqua" w:cs="宋体"/>
          <w:b/>
          <w:bCs/>
          <w:kern w:val="0"/>
          <w:sz w:val="24"/>
        </w:rPr>
        <w:t>88</w:t>
      </w:r>
      <w:r>
        <w:rPr>
          <w:rFonts w:ascii="Book Antiqua" w:hAnsi="Book Antiqua" w:cs="宋体"/>
          <w:kern w:val="0"/>
          <w:sz w:val="24"/>
        </w:rPr>
        <w:t>: 4413-4417 [PMID: 12970318 DOI: 10.1210/jc.2002-021642]</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lastRenderedPageBreak/>
        <w:t>7 </w:t>
      </w:r>
      <w:r>
        <w:rPr>
          <w:rFonts w:ascii="Book Antiqua" w:hAnsi="Book Antiqua" w:cs="宋体"/>
          <w:b/>
          <w:bCs/>
          <w:kern w:val="0"/>
          <w:sz w:val="24"/>
        </w:rPr>
        <w:t>Lyons J</w:t>
      </w:r>
      <w:r>
        <w:rPr>
          <w:rFonts w:ascii="Book Antiqua" w:hAnsi="Book Antiqua" w:cs="宋体"/>
          <w:kern w:val="0"/>
          <w:sz w:val="24"/>
        </w:rPr>
        <w:t>, Landis CA, Harsh G, Vallar L, Grünewald K, Feichtinger H, Duh QY, Clark OH, Kawasaki E, Bourne HR. Two G protein oncogenes in human endocrine tumors. </w:t>
      </w:r>
      <w:r>
        <w:rPr>
          <w:rFonts w:ascii="Book Antiqua" w:hAnsi="Book Antiqua" w:cs="宋体"/>
          <w:i/>
          <w:iCs/>
          <w:kern w:val="0"/>
          <w:sz w:val="24"/>
        </w:rPr>
        <w:t>Science</w:t>
      </w:r>
      <w:r>
        <w:rPr>
          <w:rFonts w:ascii="Book Antiqua" w:hAnsi="Book Antiqua" w:cs="宋体"/>
          <w:kern w:val="0"/>
          <w:sz w:val="24"/>
        </w:rPr>
        <w:t> 1990; </w:t>
      </w:r>
      <w:r>
        <w:rPr>
          <w:rFonts w:ascii="Book Antiqua" w:hAnsi="Book Antiqua" w:cs="宋体"/>
          <w:b/>
          <w:bCs/>
          <w:kern w:val="0"/>
          <w:sz w:val="24"/>
        </w:rPr>
        <w:t>249</w:t>
      </w:r>
      <w:r>
        <w:rPr>
          <w:rFonts w:ascii="Book Antiqua" w:hAnsi="Book Antiqua" w:cs="宋体"/>
          <w:kern w:val="0"/>
          <w:sz w:val="24"/>
        </w:rPr>
        <w:t>: 655-659 [PMID: 2116665 DOI: 10.1126/science.2116665]</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8 </w:t>
      </w:r>
      <w:r>
        <w:rPr>
          <w:rFonts w:ascii="Book Antiqua" w:hAnsi="Book Antiqua" w:cs="宋体"/>
          <w:b/>
          <w:bCs/>
          <w:kern w:val="0"/>
          <w:sz w:val="24"/>
        </w:rPr>
        <w:t>Alakus H</w:t>
      </w:r>
      <w:r>
        <w:rPr>
          <w:rFonts w:ascii="Book Antiqua" w:hAnsi="Book Antiqua" w:cs="宋体"/>
          <w:kern w:val="0"/>
          <w:sz w:val="24"/>
        </w:rPr>
        <w:t>, Mönig SP, Warnecke-Eberz U, Alakus G, Winde G, Drebber U, Schmitz KJ, Schmid KW, Riemann K, Siffert W, Bollschweiler E, Hölscher AH, Metzger R. Association of the GNAS1 T393C polymorphism with tumor stage and survival in gastric cancer. </w:t>
      </w:r>
      <w:r>
        <w:rPr>
          <w:rFonts w:ascii="Book Antiqua" w:hAnsi="Book Antiqua" w:cs="宋体"/>
          <w:i/>
          <w:iCs/>
          <w:kern w:val="0"/>
          <w:sz w:val="24"/>
        </w:rPr>
        <w:t>World J Gastroenterol</w:t>
      </w:r>
      <w:r>
        <w:rPr>
          <w:rFonts w:ascii="Book Antiqua" w:hAnsi="Book Antiqua" w:cs="宋体"/>
          <w:kern w:val="0"/>
          <w:sz w:val="24"/>
        </w:rPr>
        <w:t> 2009; </w:t>
      </w:r>
      <w:r>
        <w:rPr>
          <w:rFonts w:ascii="Book Antiqua" w:hAnsi="Book Antiqua" w:cs="宋体"/>
          <w:b/>
          <w:bCs/>
          <w:kern w:val="0"/>
          <w:sz w:val="24"/>
        </w:rPr>
        <w:t>15</w:t>
      </w:r>
      <w:r>
        <w:rPr>
          <w:rFonts w:ascii="Book Antiqua" w:hAnsi="Book Antiqua" w:cs="宋体"/>
          <w:kern w:val="0"/>
          <w:sz w:val="24"/>
        </w:rPr>
        <w:t>: 6061-6067 [PMID: 20027678 DOI: 10.3748/wjg.15.6061]</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9 </w:t>
      </w:r>
      <w:r>
        <w:rPr>
          <w:rFonts w:ascii="Book Antiqua" w:hAnsi="Book Antiqua" w:cs="宋体"/>
          <w:b/>
          <w:bCs/>
          <w:kern w:val="0"/>
          <w:sz w:val="24"/>
        </w:rPr>
        <w:t>Schmitz KJ</w:t>
      </w:r>
      <w:r>
        <w:rPr>
          <w:rFonts w:ascii="Book Antiqua" w:hAnsi="Book Antiqua" w:cs="宋体"/>
          <w:kern w:val="0"/>
          <w:sz w:val="24"/>
        </w:rPr>
        <w:t>, Lang H, Frey UH, Sotiropoulos GC, Wohlschlaeger J, Reis H, Takeda A, Siffert W, Schmid KW, Baba HA. GNAS1 T393C polymorphism is associated with clinical course in patients with intrahepatic cholangiocarcinoma. </w:t>
      </w:r>
      <w:r>
        <w:rPr>
          <w:rFonts w:ascii="Book Antiqua" w:hAnsi="Book Antiqua" w:cs="宋体"/>
          <w:i/>
          <w:iCs/>
          <w:kern w:val="0"/>
          <w:sz w:val="24"/>
        </w:rPr>
        <w:t>Neoplasia</w:t>
      </w:r>
      <w:r>
        <w:rPr>
          <w:rFonts w:ascii="Book Antiqua" w:hAnsi="Book Antiqua" w:cs="宋体"/>
          <w:kern w:val="0"/>
          <w:sz w:val="24"/>
        </w:rPr>
        <w:t> 2007; </w:t>
      </w:r>
      <w:r>
        <w:rPr>
          <w:rFonts w:ascii="Book Antiqua" w:hAnsi="Book Antiqua" w:cs="宋体"/>
          <w:b/>
          <w:bCs/>
          <w:kern w:val="0"/>
          <w:sz w:val="24"/>
        </w:rPr>
        <w:t>9</w:t>
      </w:r>
      <w:r>
        <w:rPr>
          <w:rFonts w:ascii="Book Antiqua" w:hAnsi="Book Antiqua" w:cs="宋体"/>
          <w:kern w:val="0"/>
          <w:sz w:val="24"/>
        </w:rPr>
        <w:t>: 159-165 [PMID: 17356712 DOI: 10.1593/neo.06796]</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10 </w:t>
      </w:r>
      <w:r>
        <w:rPr>
          <w:rFonts w:ascii="Book Antiqua" w:hAnsi="Book Antiqua" w:cs="宋体"/>
          <w:b/>
          <w:bCs/>
          <w:kern w:val="0"/>
          <w:sz w:val="24"/>
        </w:rPr>
        <w:t>Lehnerdt GF</w:t>
      </w:r>
      <w:r>
        <w:rPr>
          <w:rFonts w:ascii="Book Antiqua" w:hAnsi="Book Antiqua" w:cs="宋体"/>
          <w:kern w:val="0"/>
          <w:sz w:val="24"/>
        </w:rPr>
        <w:t>, Franz P, Winterhoff S, Bankfalvi A, Grehl S, Lang S, Schmid KW, Siffert W, Jahnke K, Frey UH. The GNAS1 T393C polymorphism predicts survival in patients with advanced squamous cell carcinoma of the larynx. </w:t>
      </w:r>
      <w:r>
        <w:rPr>
          <w:rFonts w:ascii="Book Antiqua" w:hAnsi="Book Antiqua" w:cs="宋体"/>
          <w:i/>
          <w:iCs/>
          <w:kern w:val="0"/>
          <w:sz w:val="24"/>
        </w:rPr>
        <w:t>Laryngoscope</w:t>
      </w:r>
      <w:r>
        <w:rPr>
          <w:rFonts w:ascii="Book Antiqua" w:hAnsi="Book Antiqua" w:cs="宋体"/>
          <w:kern w:val="0"/>
          <w:sz w:val="24"/>
        </w:rPr>
        <w:t> 2008; </w:t>
      </w:r>
      <w:r>
        <w:rPr>
          <w:rFonts w:ascii="Book Antiqua" w:hAnsi="Book Antiqua" w:cs="宋体"/>
          <w:b/>
          <w:bCs/>
          <w:kern w:val="0"/>
          <w:sz w:val="24"/>
        </w:rPr>
        <w:t>118</w:t>
      </w:r>
      <w:r>
        <w:rPr>
          <w:rFonts w:ascii="Book Antiqua" w:hAnsi="Book Antiqua" w:cs="宋体"/>
          <w:kern w:val="0"/>
          <w:sz w:val="24"/>
        </w:rPr>
        <w:t>: 2172-2176 [PMID: 19029852]</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11 </w:t>
      </w:r>
      <w:r>
        <w:rPr>
          <w:rFonts w:ascii="Book Antiqua" w:hAnsi="Book Antiqua" w:cs="宋体"/>
          <w:b/>
          <w:bCs/>
          <w:kern w:val="0"/>
          <w:sz w:val="24"/>
        </w:rPr>
        <w:t>Frey UH</w:t>
      </w:r>
      <w:r>
        <w:rPr>
          <w:rFonts w:ascii="Book Antiqua" w:hAnsi="Book Antiqua" w:cs="宋体"/>
          <w:kern w:val="0"/>
          <w:sz w:val="24"/>
        </w:rPr>
        <w:t>, Nückel H, Sellmann L, Siemer D, Küppers R, Dürig J, Dührsen U, Siffert W. The GNAS1 T393C polymorphism is associated with disease progression and survival in chronic lymphocytic leukemia. </w:t>
      </w:r>
      <w:r>
        <w:rPr>
          <w:rFonts w:ascii="Book Antiqua" w:hAnsi="Book Antiqua" w:cs="宋体"/>
          <w:i/>
          <w:iCs/>
          <w:kern w:val="0"/>
          <w:sz w:val="24"/>
        </w:rPr>
        <w:t>Clin Cancer Res</w:t>
      </w:r>
      <w:r>
        <w:rPr>
          <w:rFonts w:ascii="Book Antiqua" w:hAnsi="Book Antiqua" w:cs="宋体"/>
          <w:kern w:val="0"/>
          <w:sz w:val="24"/>
        </w:rPr>
        <w:t> 2006; </w:t>
      </w:r>
      <w:r>
        <w:rPr>
          <w:rFonts w:ascii="Book Antiqua" w:hAnsi="Book Antiqua" w:cs="宋体"/>
          <w:b/>
          <w:bCs/>
          <w:kern w:val="0"/>
          <w:sz w:val="24"/>
        </w:rPr>
        <w:t>12</w:t>
      </w:r>
      <w:r>
        <w:rPr>
          <w:rFonts w:ascii="Book Antiqua" w:hAnsi="Book Antiqua" w:cs="宋体"/>
          <w:kern w:val="0"/>
          <w:sz w:val="24"/>
        </w:rPr>
        <w:t>: 5686-5692 [PMID: 17020971 DOI: 10.1158/1078-0432.CCR-06-0288]</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12 </w:t>
      </w:r>
      <w:r>
        <w:rPr>
          <w:rFonts w:ascii="Book Antiqua" w:hAnsi="Book Antiqua" w:cs="宋体"/>
          <w:b/>
          <w:bCs/>
          <w:kern w:val="0"/>
          <w:sz w:val="24"/>
        </w:rPr>
        <w:t>Vashist YK</w:t>
      </w:r>
      <w:r>
        <w:rPr>
          <w:rFonts w:ascii="Book Antiqua" w:hAnsi="Book Antiqua" w:cs="宋体"/>
          <w:kern w:val="0"/>
          <w:sz w:val="24"/>
        </w:rPr>
        <w:t>, Kutup A, Musici S, Yekebas EF, Mina S, Uzunoglu G, Zehler O, Koenig A, Cataldegirmen G, Bockhorn M, Effenberger K, Kalinin V, Pantel K, Izbicki JR. The GNAS1 T393C single nucleotide polymorphism predicts the natural postoperative course of complete resected esophageal cancer. </w:t>
      </w:r>
      <w:r>
        <w:rPr>
          <w:rFonts w:ascii="Book Antiqua" w:hAnsi="Book Antiqua" w:cs="宋体"/>
          <w:i/>
          <w:iCs/>
          <w:kern w:val="0"/>
          <w:sz w:val="24"/>
        </w:rPr>
        <w:t>Cell Oncol (Dordr)</w:t>
      </w:r>
      <w:r>
        <w:rPr>
          <w:rFonts w:ascii="Book Antiqua" w:hAnsi="Book Antiqua" w:cs="宋体"/>
          <w:kern w:val="0"/>
          <w:sz w:val="24"/>
        </w:rPr>
        <w:t> 2011; </w:t>
      </w:r>
      <w:r>
        <w:rPr>
          <w:rFonts w:ascii="Book Antiqua" w:hAnsi="Book Antiqua" w:cs="宋体"/>
          <w:b/>
          <w:bCs/>
          <w:kern w:val="0"/>
          <w:sz w:val="24"/>
        </w:rPr>
        <w:t>34</w:t>
      </w:r>
      <w:r>
        <w:rPr>
          <w:rFonts w:ascii="Book Antiqua" w:hAnsi="Book Antiqua" w:cs="宋体"/>
          <w:kern w:val="0"/>
          <w:sz w:val="24"/>
        </w:rPr>
        <w:t>: 281-288 [PMID: 21340746 DOI: 10.1007/s13402-011-0016-x]</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lastRenderedPageBreak/>
        <w:t>13 </w:t>
      </w:r>
      <w:r>
        <w:rPr>
          <w:rFonts w:ascii="Book Antiqua" w:hAnsi="Book Antiqua" w:cs="宋体"/>
          <w:b/>
          <w:bCs/>
          <w:kern w:val="0"/>
          <w:sz w:val="24"/>
        </w:rPr>
        <w:t>Frey UH</w:t>
      </w:r>
      <w:r>
        <w:rPr>
          <w:rFonts w:ascii="Book Antiqua" w:hAnsi="Book Antiqua" w:cs="宋体"/>
          <w:kern w:val="0"/>
          <w:sz w:val="24"/>
        </w:rPr>
        <w:t>, Eisenhardt A, Lümmen G, Rübben H, Jöckel KH, Schmid KW, Siffert W. The T393C polymorphism of the G alpha s gene (GNAS1) is a novel prognostic marker in bladder cancer. </w:t>
      </w:r>
      <w:r>
        <w:rPr>
          <w:rFonts w:ascii="Book Antiqua" w:hAnsi="Book Antiqua" w:cs="宋体"/>
          <w:i/>
          <w:iCs/>
          <w:kern w:val="0"/>
          <w:sz w:val="24"/>
        </w:rPr>
        <w:t>Cancer Epidemiol Biomarkers Prev</w:t>
      </w:r>
      <w:r>
        <w:rPr>
          <w:rFonts w:ascii="Book Antiqua" w:hAnsi="Book Antiqua" w:cs="宋体"/>
          <w:kern w:val="0"/>
          <w:sz w:val="24"/>
        </w:rPr>
        <w:t> 2005; </w:t>
      </w:r>
      <w:r>
        <w:rPr>
          <w:rFonts w:ascii="Book Antiqua" w:hAnsi="Book Antiqua" w:cs="宋体"/>
          <w:b/>
          <w:bCs/>
          <w:kern w:val="0"/>
          <w:sz w:val="24"/>
        </w:rPr>
        <w:t>14</w:t>
      </w:r>
      <w:r>
        <w:rPr>
          <w:rFonts w:ascii="Book Antiqua" w:hAnsi="Book Antiqua" w:cs="宋体"/>
          <w:kern w:val="0"/>
          <w:sz w:val="24"/>
        </w:rPr>
        <w:t>: 871-877 [PMID: 15824158 DOI: 10.1158/1055-9965.EPI-04-0720]</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14 </w:t>
      </w:r>
      <w:r>
        <w:rPr>
          <w:rFonts w:ascii="Book Antiqua" w:hAnsi="Book Antiqua" w:cs="宋体"/>
          <w:b/>
          <w:bCs/>
          <w:kern w:val="0"/>
          <w:sz w:val="24"/>
        </w:rPr>
        <w:t>Frey UH</w:t>
      </w:r>
      <w:r>
        <w:rPr>
          <w:rFonts w:ascii="Book Antiqua" w:hAnsi="Book Antiqua" w:cs="宋体"/>
          <w:kern w:val="0"/>
          <w:sz w:val="24"/>
        </w:rPr>
        <w:t>, Lümmen G, Jäger T, Jöckel KH, Schmid KW, Rübben H, Müller N, Siffert W, Eisenhardt A. The GNAS1 T393C polymorphism predicts survival in patients with clear cell renal cell carcinoma. </w:t>
      </w:r>
      <w:r>
        <w:rPr>
          <w:rFonts w:ascii="Book Antiqua" w:hAnsi="Book Antiqua" w:cs="宋体"/>
          <w:i/>
          <w:iCs/>
          <w:kern w:val="0"/>
          <w:sz w:val="24"/>
        </w:rPr>
        <w:t>Clin Cancer Res</w:t>
      </w:r>
      <w:r>
        <w:rPr>
          <w:rFonts w:ascii="Book Antiqua" w:hAnsi="Book Antiqua" w:cs="宋体"/>
          <w:kern w:val="0"/>
          <w:sz w:val="24"/>
        </w:rPr>
        <w:t> 2006; </w:t>
      </w:r>
      <w:r>
        <w:rPr>
          <w:rFonts w:ascii="Book Antiqua" w:hAnsi="Book Antiqua" w:cs="宋体"/>
          <w:b/>
          <w:bCs/>
          <w:kern w:val="0"/>
          <w:sz w:val="24"/>
        </w:rPr>
        <w:t>12</w:t>
      </w:r>
      <w:r>
        <w:rPr>
          <w:rFonts w:ascii="Book Antiqua" w:hAnsi="Book Antiqua" w:cs="宋体"/>
          <w:kern w:val="0"/>
          <w:sz w:val="24"/>
        </w:rPr>
        <w:t>: 759-763 [PMID: 16467086 DOI: 10.1158/1078-0432.CCR-05-1722]</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15 </w:t>
      </w:r>
      <w:r>
        <w:rPr>
          <w:rFonts w:ascii="Book Antiqua" w:hAnsi="Book Antiqua" w:cs="宋体"/>
          <w:b/>
          <w:bCs/>
          <w:kern w:val="0"/>
          <w:sz w:val="24"/>
        </w:rPr>
        <w:t>Frey UH</w:t>
      </w:r>
      <w:r>
        <w:rPr>
          <w:rFonts w:ascii="Book Antiqua" w:hAnsi="Book Antiqua" w:cs="宋体"/>
          <w:kern w:val="0"/>
          <w:sz w:val="24"/>
        </w:rPr>
        <w:t>, Alakus H, Wohlschlaeger J, Schmitz KJ, Winde G, van Calker HG, Jöckel KH, Siffert W, Schmid KW. GNAS1 T393C polymorphism and survival in patients with sporadic colorectal cancer. </w:t>
      </w:r>
      <w:r>
        <w:rPr>
          <w:rFonts w:ascii="Book Antiqua" w:hAnsi="Book Antiqua" w:cs="宋体"/>
          <w:i/>
          <w:iCs/>
          <w:kern w:val="0"/>
          <w:sz w:val="24"/>
        </w:rPr>
        <w:t>Clin Cancer Res</w:t>
      </w:r>
      <w:r>
        <w:rPr>
          <w:rFonts w:ascii="Book Antiqua" w:hAnsi="Book Antiqua" w:cs="宋体"/>
          <w:kern w:val="0"/>
          <w:sz w:val="24"/>
        </w:rPr>
        <w:t> 2005; </w:t>
      </w:r>
      <w:r>
        <w:rPr>
          <w:rFonts w:ascii="Book Antiqua" w:hAnsi="Book Antiqua" w:cs="宋体"/>
          <w:b/>
          <w:bCs/>
          <w:kern w:val="0"/>
          <w:sz w:val="24"/>
        </w:rPr>
        <w:t>11</w:t>
      </w:r>
      <w:r>
        <w:rPr>
          <w:rFonts w:ascii="Book Antiqua" w:hAnsi="Book Antiqua" w:cs="宋体"/>
          <w:kern w:val="0"/>
          <w:sz w:val="24"/>
        </w:rPr>
        <w:t>: 5071-5077 [PMID: 16033819 DOI: 10.1158/1078-0432.CCR-05-0472]</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16 </w:t>
      </w:r>
      <w:r>
        <w:rPr>
          <w:rFonts w:ascii="Book Antiqua" w:hAnsi="Book Antiqua" w:cs="宋体"/>
          <w:b/>
          <w:bCs/>
          <w:kern w:val="0"/>
          <w:sz w:val="24"/>
        </w:rPr>
        <w:t>Otterbach F</w:t>
      </w:r>
      <w:r>
        <w:rPr>
          <w:rFonts w:ascii="Book Antiqua" w:hAnsi="Book Antiqua" w:cs="宋体"/>
          <w:kern w:val="0"/>
          <w:sz w:val="24"/>
        </w:rPr>
        <w:t>, Callies R, Frey UH, Schmitz KJ, Wreczycki C, Kimmig R, Siffert W, Schmid KW. The T393C polymorphism in the gene GNAS1 of G protein is associated with survival of patients with invasive breast carcinoma. </w:t>
      </w:r>
      <w:r>
        <w:rPr>
          <w:rFonts w:ascii="Book Antiqua" w:hAnsi="Book Antiqua" w:cs="宋体"/>
          <w:i/>
          <w:iCs/>
          <w:kern w:val="0"/>
          <w:sz w:val="24"/>
        </w:rPr>
        <w:t>Breast Cancer Res Treat</w:t>
      </w:r>
      <w:r>
        <w:rPr>
          <w:rFonts w:ascii="Book Antiqua" w:hAnsi="Book Antiqua" w:cs="宋体"/>
          <w:kern w:val="0"/>
          <w:sz w:val="24"/>
        </w:rPr>
        <w:t> 2007; </w:t>
      </w:r>
      <w:r>
        <w:rPr>
          <w:rFonts w:ascii="Book Antiqua" w:hAnsi="Book Antiqua" w:cs="宋体"/>
          <w:b/>
          <w:bCs/>
          <w:kern w:val="0"/>
          <w:sz w:val="24"/>
        </w:rPr>
        <w:t>105</w:t>
      </w:r>
      <w:r>
        <w:rPr>
          <w:rFonts w:ascii="Book Antiqua" w:hAnsi="Book Antiqua" w:cs="宋体"/>
          <w:kern w:val="0"/>
          <w:sz w:val="24"/>
        </w:rPr>
        <w:t>: 311-317 [PMID: 17186357 DOI: 10.1007/s10549-006-9462-y]</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17 </w:t>
      </w:r>
      <w:r>
        <w:rPr>
          <w:rFonts w:ascii="Book Antiqua" w:hAnsi="Book Antiqua" w:cs="宋体"/>
          <w:b/>
          <w:bCs/>
          <w:kern w:val="0"/>
          <w:sz w:val="24"/>
        </w:rPr>
        <w:t>Lehnerdt GF</w:t>
      </w:r>
      <w:r>
        <w:rPr>
          <w:rFonts w:ascii="Book Antiqua" w:hAnsi="Book Antiqua" w:cs="宋体"/>
          <w:kern w:val="0"/>
          <w:sz w:val="24"/>
        </w:rPr>
        <w:t>, Franz P, Zaqoul A, Schmitz KJ, Grehl S, Lang S, Schmid KW, Siffert W, Jahnke K, Frey UH. Overall and relapse-free survival in oropharyngeal and hypopharyngeal squamous cell carcinoma are associated with genotypes of T393C polymorphism of the GNAS1 gene. </w:t>
      </w:r>
      <w:r>
        <w:rPr>
          <w:rFonts w:ascii="Book Antiqua" w:hAnsi="Book Antiqua" w:cs="宋体"/>
          <w:i/>
          <w:iCs/>
          <w:kern w:val="0"/>
          <w:sz w:val="24"/>
        </w:rPr>
        <w:t>Clin Cancer Res</w:t>
      </w:r>
      <w:r>
        <w:rPr>
          <w:rFonts w:ascii="Book Antiqua" w:hAnsi="Book Antiqua" w:cs="宋体"/>
          <w:kern w:val="0"/>
          <w:sz w:val="24"/>
        </w:rPr>
        <w:t> 2008; </w:t>
      </w:r>
      <w:r>
        <w:rPr>
          <w:rFonts w:ascii="Book Antiqua" w:hAnsi="Book Antiqua" w:cs="宋体"/>
          <w:b/>
          <w:bCs/>
          <w:kern w:val="0"/>
          <w:sz w:val="24"/>
        </w:rPr>
        <w:t>14</w:t>
      </w:r>
      <w:r>
        <w:rPr>
          <w:rFonts w:ascii="Book Antiqua" w:hAnsi="Book Antiqua" w:cs="宋体"/>
          <w:kern w:val="0"/>
          <w:sz w:val="24"/>
        </w:rPr>
        <w:t>: 1753-1758 [PMID: 18347176 DOI: 10.1158/1078-0432.CCR-07-1605]</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18 </w:t>
      </w:r>
      <w:r>
        <w:rPr>
          <w:rFonts w:ascii="Book Antiqua" w:hAnsi="Book Antiqua" w:cs="宋体"/>
          <w:b/>
          <w:bCs/>
          <w:kern w:val="0"/>
          <w:sz w:val="24"/>
        </w:rPr>
        <w:t>Frey UH</w:t>
      </w:r>
      <w:r>
        <w:rPr>
          <w:rFonts w:ascii="Book Antiqua" w:hAnsi="Book Antiqua" w:cs="宋体"/>
          <w:kern w:val="0"/>
          <w:sz w:val="24"/>
        </w:rPr>
        <w:t>, Fritz A, Rotterdam S, Schmid KW, Potthoff A, Altmeyer P, Siffert W, Brockmeyer NH. GNAS1 T393C polymorphism and disease progression in patients with malignant melanoma. </w:t>
      </w:r>
      <w:r>
        <w:rPr>
          <w:rFonts w:ascii="Book Antiqua" w:hAnsi="Book Antiqua" w:cs="宋体"/>
          <w:i/>
          <w:iCs/>
          <w:kern w:val="0"/>
          <w:sz w:val="24"/>
        </w:rPr>
        <w:t>Eur J Med Res</w:t>
      </w:r>
      <w:r>
        <w:rPr>
          <w:rFonts w:ascii="Book Antiqua" w:hAnsi="Book Antiqua" w:cs="宋体"/>
          <w:kern w:val="0"/>
          <w:sz w:val="24"/>
        </w:rPr>
        <w:t> 2010; </w:t>
      </w:r>
      <w:r>
        <w:rPr>
          <w:rFonts w:ascii="Book Antiqua" w:hAnsi="Book Antiqua" w:cs="宋体"/>
          <w:b/>
          <w:bCs/>
          <w:kern w:val="0"/>
          <w:sz w:val="24"/>
        </w:rPr>
        <w:t>15</w:t>
      </w:r>
      <w:r>
        <w:rPr>
          <w:rFonts w:ascii="Book Antiqua" w:hAnsi="Book Antiqua" w:cs="宋体"/>
          <w:kern w:val="0"/>
          <w:sz w:val="24"/>
        </w:rPr>
        <w:t>: 422-427 [PMID: 21156401 DOI: 10.1186/2047-783X-15-10-422]</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19 </w:t>
      </w:r>
      <w:r>
        <w:rPr>
          <w:rFonts w:ascii="Book Antiqua" w:hAnsi="Book Antiqua" w:cs="宋体"/>
          <w:b/>
          <w:bCs/>
          <w:kern w:val="0"/>
          <w:sz w:val="24"/>
        </w:rPr>
        <w:t>Kaderi MA</w:t>
      </w:r>
      <w:r>
        <w:rPr>
          <w:rFonts w:ascii="Book Antiqua" w:hAnsi="Book Antiqua" w:cs="宋体"/>
          <w:kern w:val="0"/>
          <w:sz w:val="24"/>
        </w:rPr>
        <w:t xml:space="preserve">, Murray F, Jansson M, Merup M, Karlsson K, Roos G, Aleskog A, Tobin G. The GNAS1 T393C polymorphism and lack of clinical prognostic </w:t>
      </w:r>
      <w:r>
        <w:rPr>
          <w:rFonts w:ascii="Book Antiqua" w:hAnsi="Book Antiqua" w:cs="宋体"/>
          <w:kern w:val="0"/>
          <w:sz w:val="24"/>
        </w:rPr>
        <w:lastRenderedPageBreak/>
        <w:t>value in chronic lymphocytic leukemia. </w:t>
      </w:r>
      <w:r>
        <w:rPr>
          <w:rFonts w:ascii="Book Antiqua" w:hAnsi="Book Antiqua" w:cs="宋体"/>
          <w:i/>
          <w:iCs/>
          <w:kern w:val="0"/>
          <w:sz w:val="24"/>
        </w:rPr>
        <w:t>Leuk Res</w:t>
      </w:r>
      <w:r>
        <w:rPr>
          <w:rFonts w:ascii="Book Antiqua" w:hAnsi="Book Antiqua" w:cs="宋体"/>
          <w:kern w:val="0"/>
          <w:sz w:val="24"/>
        </w:rPr>
        <w:t> 2008; </w:t>
      </w:r>
      <w:r>
        <w:rPr>
          <w:rFonts w:ascii="Book Antiqua" w:hAnsi="Book Antiqua" w:cs="宋体"/>
          <w:b/>
          <w:bCs/>
          <w:kern w:val="0"/>
          <w:sz w:val="24"/>
        </w:rPr>
        <w:t>32</w:t>
      </w:r>
      <w:r>
        <w:rPr>
          <w:rFonts w:ascii="Book Antiqua" w:hAnsi="Book Antiqua" w:cs="宋体"/>
          <w:kern w:val="0"/>
          <w:sz w:val="24"/>
        </w:rPr>
        <w:t>: 984-987 [PMID: 18006055 DOI: 10.1016/j.leukres.2007.10.003]</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20 </w:t>
      </w:r>
      <w:r>
        <w:rPr>
          <w:rFonts w:ascii="Book Antiqua" w:hAnsi="Book Antiqua" w:cs="宋体"/>
          <w:b/>
          <w:bCs/>
          <w:kern w:val="0"/>
          <w:sz w:val="24"/>
        </w:rPr>
        <w:t>Xie FJ</w:t>
      </w:r>
      <w:r>
        <w:rPr>
          <w:rFonts w:ascii="Book Antiqua" w:hAnsi="Book Antiqua" w:cs="宋体"/>
          <w:kern w:val="0"/>
          <w:sz w:val="24"/>
        </w:rPr>
        <w:t>, Zhao P, Kou JY, Hong W, Fu L, Hu L, Hong D, Su D, Gao Y, Zhang YP. The T393C polymorphism of GNAS1 as a predictor for chemotherapy sensitivity and survival in advanced non-small-cell lung cancer patients treated with gemcitabine plus platinum. </w:t>
      </w:r>
      <w:r>
        <w:rPr>
          <w:rFonts w:ascii="Book Antiqua" w:hAnsi="Book Antiqua" w:cs="宋体"/>
          <w:i/>
          <w:iCs/>
          <w:kern w:val="0"/>
          <w:sz w:val="24"/>
        </w:rPr>
        <w:t>Cancer Chemother Pharmacol</w:t>
      </w:r>
      <w:r>
        <w:rPr>
          <w:rFonts w:ascii="Book Antiqua" w:hAnsi="Book Antiqua" w:cs="宋体"/>
          <w:kern w:val="0"/>
          <w:sz w:val="24"/>
        </w:rPr>
        <w:t> 2012; </w:t>
      </w:r>
      <w:r>
        <w:rPr>
          <w:rFonts w:ascii="Book Antiqua" w:hAnsi="Book Antiqua" w:cs="宋体"/>
          <w:b/>
          <w:bCs/>
          <w:kern w:val="0"/>
          <w:sz w:val="24"/>
        </w:rPr>
        <w:t>69</w:t>
      </w:r>
      <w:r>
        <w:rPr>
          <w:rFonts w:ascii="Book Antiqua" w:hAnsi="Book Antiqua" w:cs="宋体"/>
          <w:kern w:val="0"/>
          <w:sz w:val="24"/>
        </w:rPr>
        <w:t>: 1443-1448 [PMID: 22371153]</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21 </w:t>
      </w:r>
      <w:r>
        <w:rPr>
          <w:rFonts w:ascii="Book Antiqua" w:hAnsi="Book Antiqua" w:cs="宋体"/>
          <w:b/>
          <w:bCs/>
          <w:kern w:val="0"/>
          <w:sz w:val="24"/>
        </w:rPr>
        <w:t>Yang X</w:t>
      </w:r>
      <w:r>
        <w:rPr>
          <w:rFonts w:ascii="Book Antiqua" w:hAnsi="Book Antiqua" w:cs="宋体"/>
          <w:kern w:val="0"/>
          <w:sz w:val="24"/>
        </w:rPr>
        <w:t>, Lee FY, Wand GS. Increased expression of Gs(alpha) enhances activation of the adenylyl cyclase signal transduction cascade. </w:t>
      </w:r>
      <w:r>
        <w:rPr>
          <w:rFonts w:ascii="Book Antiqua" w:hAnsi="Book Antiqua" w:cs="宋体"/>
          <w:i/>
          <w:iCs/>
          <w:kern w:val="0"/>
          <w:sz w:val="24"/>
        </w:rPr>
        <w:t>Mol Endocrinol</w:t>
      </w:r>
      <w:r>
        <w:rPr>
          <w:rFonts w:ascii="Book Antiqua" w:hAnsi="Book Antiqua" w:cs="宋体"/>
          <w:kern w:val="0"/>
          <w:sz w:val="24"/>
        </w:rPr>
        <w:t> 1997; </w:t>
      </w:r>
      <w:r>
        <w:rPr>
          <w:rFonts w:ascii="Book Antiqua" w:hAnsi="Book Antiqua" w:cs="宋体"/>
          <w:b/>
          <w:bCs/>
          <w:kern w:val="0"/>
          <w:sz w:val="24"/>
        </w:rPr>
        <w:t>11</w:t>
      </w:r>
      <w:r>
        <w:rPr>
          <w:rFonts w:ascii="Book Antiqua" w:hAnsi="Book Antiqua" w:cs="宋体"/>
          <w:kern w:val="0"/>
          <w:sz w:val="24"/>
        </w:rPr>
        <w:t>: 1053-1061 [PMID: 9212053]</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22 </w:t>
      </w:r>
      <w:r>
        <w:rPr>
          <w:rFonts w:ascii="Book Antiqua" w:hAnsi="Book Antiqua" w:cs="宋体"/>
          <w:b/>
          <w:bCs/>
          <w:kern w:val="0"/>
          <w:sz w:val="24"/>
        </w:rPr>
        <w:t>Myklebust JH</w:t>
      </w:r>
      <w:r>
        <w:rPr>
          <w:rFonts w:ascii="Book Antiqua" w:hAnsi="Book Antiqua" w:cs="宋体"/>
          <w:kern w:val="0"/>
          <w:sz w:val="24"/>
        </w:rPr>
        <w:t>, Josefsen D, Blomhoff HK, Levy FO, Naderi S, Reed JC, Smeland EB. Activation of the cAMP signaling pathway increases apoptosis in human B-precursor cells and is associated with downregulation of Mcl-1 expression. </w:t>
      </w:r>
      <w:r>
        <w:rPr>
          <w:rFonts w:ascii="Book Antiqua" w:hAnsi="Book Antiqua" w:cs="宋体"/>
          <w:i/>
          <w:iCs/>
          <w:kern w:val="0"/>
          <w:sz w:val="24"/>
        </w:rPr>
        <w:t>J Cell Physiol</w:t>
      </w:r>
      <w:r>
        <w:rPr>
          <w:rFonts w:ascii="Book Antiqua" w:hAnsi="Book Antiqua" w:cs="宋体"/>
          <w:kern w:val="0"/>
          <w:sz w:val="24"/>
        </w:rPr>
        <w:t> 1999; </w:t>
      </w:r>
      <w:r>
        <w:rPr>
          <w:rFonts w:ascii="Book Antiqua" w:hAnsi="Book Antiqua" w:cs="宋体"/>
          <w:b/>
          <w:bCs/>
          <w:kern w:val="0"/>
          <w:sz w:val="24"/>
        </w:rPr>
        <w:t>180</w:t>
      </w:r>
      <w:r>
        <w:rPr>
          <w:rFonts w:ascii="Book Antiqua" w:hAnsi="Book Antiqua" w:cs="宋体"/>
          <w:kern w:val="0"/>
          <w:sz w:val="24"/>
        </w:rPr>
        <w:t>: 71-80 [PMID: 10362019 DOI: 10.1002/(SICI)1097-4652(199907)180: 1&lt;71: : AID-JCP8&gt;3.0.CO; 2-N]</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23 </w:t>
      </w:r>
      <w:r>
        <w:rPr>
          <w:rFonts w:ascii="Book Antiqua" w:hAnsi="Book Antiqua" w:cs="宋体"/>
          <w:b/>
          <w:bCs/>
          <w:kern w:val="0"/>
          <w:sz w:val="24"/>
        </w:rPr>
        <w:t>Srivastava RK</w:t>
      </w:r>
      <w:r>
        <w:rPr>
          <w:rFonts w:ascii="Book Antiqua" w:hAnsi="Book Antiqua" w:cs="宋体"/>
          <w:kern w:val="0"/>
          <w:sz w:val="24"/>
        </w:rPr>
        <w:t>, Srivastava AR, Cho-Chung YS, Longo DL. Synergistic effects of retinoic acid and 8-Cl-cAMP on apoptosis require caspase-3 activation in human ovarian cancer cells. </w:t>
      </w:r>
      <w:r>
        <w:rPr>
          <w:rFonts w:ascii="Book Antiqua" w:hAnsi="Book Antiqua" w:cs="宋体"/>
          <w:i/>
          <w:iCs/>
          <w:kern w:val="0"/>
          <w:sz w:val="24"/>
        </w:rPr>
        <w:t>Oncogene</w:t>
      </w:r>
      <w:r>
        <w:rPr>
          <w:rFonts w:ascii="Book Antiqua" w:hAnsi="Book Antiqua" w:cs="宋体"/>
          <w:kern w:val="0"/>
          <w:sz w:val="24"/>
        </w:rPr>
        <w:t> 1999; </w:t>
      </w:r>
      <w:r>
        <w:rPr>
          <w:rFonts w:ascii="Book Antiqua" w:hAnsi="Book Antiqua" w:cs="宋体"/>
          <w:b/>
          <w:bCs/>
          <w:kern w:val="0"/>
          <w:sz w:val="24"/>
        </w:rPr>
        <w:t>18</w:t>
      </w:r>
      <w:r>
        <w:rPr>
          <w:rFonts w:ascii="Book Antiqua" w:hAnsi="Book Antiqua" w:cs="宋体"/>
          <w:kern w:val="0"/>
          <w:sz w:val="24"/>
        </w:rPr>
        <w:t>: 1755-1763 [PMID: 10208436 DOI: 10.1038/sj.onc.1202464]</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24 </w:t>
      </w:r>
      <w:r>
        <w:rPr>
          <w:rFonts w:ascii="Book Antiqua" w:hAnsi="Book Antiqua" w:cs="宋体"/>
          <w:b/>
          <w:bCs/>
          <w:kern w:val="0"/>
          <w:sz w:val="24"/>
        </w:rPr>
        <w:t>Duan J</w:t>
      </w:r>
      <w:r>
        <w:rPr>
          <w:rFonts w:ascii="Book Antiqua" w:hAnsi="Book Antiqua" w:cs="宋体"/>
          <w:kern w:val="0"/>
          <w:sz w:val="24"/>
        </w:rPr>
        <w:t>, Wainwright MS, Comeron JM, Saitou N, Sanders AR, Gelernter J, Gejman PV. Synonymous mutations in the human dopamine receptor D2 (DRD2) affect mRNA stability and synthesis of the receptor. </w:t>
      </w:r>
      <w:r>
        <w:rPr>
          <w:rFonts w:ascii="Book Antiqua" w:hAnsi="Book Antiqua" w:cs="宋体"/>
          <w:i/>
          <w:iCs/>
          <w:kern w:val="0"/>
          <w:sz w:val="24"/>
        </w:rPr>
        <w:t>Hum Mol Genet</w:t>
      </w:r>
      <w:r>
        <w:rPr>
          <w:rFonts w:ascii="Book Antiqua" w:hAnsi="Book Antiqua" w:cs="宋体"/>
          <w:kern w:val="0"/>
          <w:sz w:val="24"/>
        </w:rPr>
        <w:t> 2003; </w:t>
      </w:r>
      <w:r>
        <w:rPr>
          <w:rFonts w:ascii="Book Antiqua" w:hAnsi="Book Antiqua" w:cs="宋体"/>
          <w:b/>
          <w:bCs/>
          <w:kern w:val="0"/>
          <w:sz w:val="24"/>
        </w:rPr>
        <w:t>12</w:t>
      </w:r>
      <w:r>
        <w:rPr>
          <w:rFonts w:ascii="Book Antiqua" w:hAnsi="Book Antiqua" w:cs="宋体"/>
          <w:kern w:val="0"/>
          <w:sz w:val="24"/>
        </w:rPr>
        <w:t>: 205-216 [PMID: 12554675 DOI: 10.1093/hmg/ddg055]</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t>25 </w:t>
      </w:r>
      <w:r>
        <w:rPr>
          <w:rFonts w:ascii="Book Antiqua" w:hAnsi="Book Antiqua" w:cs="宋体"/>
          <w:b/>
          <w:bCs/>
          <w:kern w:val="0"/>
          <w:sz w:val="24"/>
        </w:rPr>
        <w:t>Capon F</w:t>
      </w:r>
      <w:r>
        <w:rPr>
          <w:rFonts w:ascii="Book Antiqua" w:hAnsi="Book Antiqua" w:cs="宋体"/>
          <w:kern w:val="0"/>
          <w:sz w:val="24"/>
        </w:rPr>
        <w:t>, Allen MH, Ameen M, Burden AD, Tillman D, Barker JN, Trembath RC. A synonymous SNP of the corneodesmosin gene leads to increased mRNA stability and demonstrates association with psoriasis across diverse ethnic groups. </w:t>
      </w:r>
      <w:r>
        <w:rPr>
          <w:rFonts w:ascii="Book Antiqua" w:hAnsi="Book Antiqua" w:cs="宋体"/>
          <w:i/>
          <w:iCs/>
          <w:kern w:val="0"/>
          <w:sz w:val="24"/>
        </w:rPr>
        <w:t>Hum Mol Genet</w:t>
      </w:r>
      <w:r>
        <w:rPr>
          <w:rFonts w:ascii="Book Antiqua" w:hAnsi="Book Antiqua" w:cs="宋体"/>
          <w:kern w:val="0"/>
          <w:sz w:val="24"/>
        </w:rPr>
        <w:t> 2004; </w:t>
      </w:r>
      <w:r>
        <w:rPr>
          <w:rFonts w:ascii="Book Antiqua" w:hAnsi="Book Antiqua" w:cs="宋体"/>
          <w:b/>
          <w:bCs/>
          <w:kern w:val="0"/>
          <w:sz w:val="24"/>
        </w:rPr>
        <w:t>13</w:t>
      </w:r>
      <w:r>
        <w:rPr>
          <w:rFonts w:ascii="Book Antiqua" w:hAnsi="Book Antiqua" w:cs="宋体"/>
          <w:kern w:val="0"/>
          <w:sz w:val="24"/>
        </w:rPr>
        <w:t>: 2361-2368 [PMID: 15333584 DOI: 10.1093/hmg/ddh273]</w:t>
      </w:r>
    </w:p>
    <w:p w:rsidR="00C02679" w:rsidRDefault="009803CF">
      <w:pPr>
        <w:widowControl/>
        <w:spacing w:after="0" w:line="360" w:lineRule="auto"/>
        <w:rPr>
          <w:rFonts w:ascii="Book Antiqua" w:hAnsi="Book Antiqua" w:cs="宋体"/>
          <w:kern w:val="0"/>
          <w:sz w:val="24"/>
        </w:rPr>
      </w:pPr>
      <w:r>
        <w:rPr>
          <w:rFonts w:ascii="Book Antiqua" w:hAnsi="Book Antiqua" w:cs="宋体"/>
          <w:kern w:val="0"/>
          <w:sz w:val="24"/>
        </w:rPr>
        <w:lastRenderedPageBreak/>
        <w:t>26 </w:t>
      </w:r>
      <w:r>
        <w:rPr>
          <w:rFonts w:ascii="Book Antiqua" w:hAnsi="Book Antiqua" w:cs="宋体"/>
          <w:b/>
          <w:bCs/>
          <w:kern w:val="0"/>
          <w:sz w:val="24"/>
        </w:rPr>
        <w:t>Tierney MJ</w:t>
      </w:r>
      <w:r>
        <w:rPr>
          <w:rFonts w:ascii="Book Antiqua" w:hAnsi="Book Antiqua" w:cs="宋体"/>
          <w:kern w:val="0"/>
          <w:sz w:val="24"/>
        </w:rPr>
        <w:t>, Medcalf RL. Plasminogen activator inhibitor type 2 contains mRNA instability elements within exon 4 of the coding region. Sequence homology to coding region instability determinants in other mRNAs. </w:t>
      </w:r>
      <w:r>
        <w:rPr>
          <w:rFonts w:ascii="Book Antiqua" w:hAnsi="Book Antiqua" w:cs="宋体"/>
          <w:i/>
          <w:iCs/>
          <w:kern w:val="0"/>
          <w:sz w:val="24"/>
        </w:rPr>
        <w:t>J Biol Chem</w:t>
      </w:r>
      <w:r>
        <w:rPr>
          <w:rFonts w:ascii="Book Antiqua" w:hAnsi="Book Antiqua" w:cs="宋体"/>
          <w:kern w:val="0"/>
          <w:sz w:val="24"/>
        </w:rPr>
        <w:t> 2001; </w:t>
      </w:r>
      <w:r>
        <w:rPr>
          <w:rFonts w:ascii="Book Antiqua" w:hAnsi="Book Antiqua" w:cs="宋体"/>
          <w:b/>
          <w:bCs/>
          <w:kern w:val="0"/>
          <w:sz w:val="24"/>
        </w:rPr>
        <w:t>276</w:t>
      </w:r>
      <w:r>
        <w:rPr>
          <w:rFonts w:ascii="Book Antiqua" w:hAnsi="Book Antiqua" w:cs="宋体"/>
          <w:kern w:val="0"/>
          <w:sz w:val="24"/>
        </w:rPr>
        <w:t>: 13675-13684 [PMID: 11278713]</w:t>
      </w:r>
    </w:p>
    <w:p w:rsidR="00C02679" w:rsidRDefault="00C02679">
      <w:pPr>
        <w:spacing w:after="0" w:line="360" w:lineRule="auto"/>
        <w:rPr>
          <w:rFonts w:ascii="Book Antiqua" w:hAnsi="Book Antiqua"/>
          <w:b/>
          <w:sz w:val="24"/>
        </w:rPr>
      </w:pPr>
    </w:p>
    <w:p w:rsidR="00C02679" w:rsidRDefault="009803CF">
      <w:pPr>
        <w:pStyle w:val="PlainText"/>
        <w:spacing w:line="360" w:lineRule="auto"/>
        <w:jc w:val="right"/>
        <w:rPr>
          <w:rFonts w:ascii="Book Antiqua" w:hAnsi="Book Antiqua"/>
          <w:b/>
          <w:sz w:val="24"/>
          <w:szCs w:val="24"/>
        </w:rPr>
      </w:pPr>
      <w:r>
        <w:rPr>
          <w:rFonts w:ascii="Book Antiqua" w:hAnsi="Book Antiqua"/>
          <w:b/>
          <w:sz w:val="24"/>
          <w:szCs w:val="24"/>
        </w:rPr>
        <w:t xml:space="preserve">P-Reviewer: </w:t>
      </w:r>
      <w:r>
        <w:rPr>
          <w:rFonts w:ascii="Book Antiqua" w:hAnsi="Book Antiqua"/>
          <w:color w:val="000000"/>
          <w:sz w:val="24"/>
          <w:szCs w:val="24"/>
        </w:rPr>
        <w:t xml:space="preserve">Garfield D, Kermanizadeh A, Nacak M, Zhang YJ </w:t>
      </w:r>
      <w:r>
        <w:rPr>
          <w:rFonts w:ascii="Book Antiqua" w:hAnsi="Book Antiqua"/>
          <w:b/>
          <w:sz w:val="24"/>
          <w:szCs w:val="24"/>
        </w:rPr>
        <w:t xml:space="preserve">S-Editor: </w:t>
      </w:r>
      <w:r>
        <w:rPr>
          <w:rFonts w:ascii="Book Antiqua" w:hAnsi="Book Antiqua"/>
          <w:sz w:val="24"/>
          <w:szCs w:val="24"/>
        </w:rPr>
        <w:t>Ji FF</w:t>
      </w:r>
      <w:r>
        <w:rPr>
          <w:rFonts w:ascii="Book Antiqua" w:hAnsi="Book Antiqua"/>
          <w:b/>
          <w:sz w:val="24"/>
          <w:szCs w:val="24"/>
        </w:rPr>
        <w:t xml:space="preserve"> L-Editor:  E-Editor:</w:t>
      </w:r>
    </w:p>
    <w:p w:rsidR="00C02679" w:rsidRDefault="00A62FDF">
      <w:pPr>
        <w:spacing w:after="0" w:line="360" w:lineRule="auto"/>
        <w:rPr>
          <w:rFonts w:ascii="Book Antiqua" w:hAnsi="Book Antiqua"/>
          <w:sz w:val="24"/>
        </w:rPr>
      </w:pPr>
      <w:r>
        <w:rPr>
          <w:noProof/>
          <w:sz w:val="24"/>
          <w:lang w:eastAsia="en-US"/>
        </w:rPr>
        <w:drawing>
          <wp:inline distT="0" distB="0" distL="0" distR="0">
            <wp:extent cx="4528185" cy="3446780"/>
            <wp:effectExtent l="0" t="0" r="0" b="762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1"/>
                    <pic:cNvPicPr>
                      <a:picLocks noChangeAspect="1" noChangeArrowheads="1"/>
                    </pic:cNvPicPr>
                  </pic:nvPicPr>
                  <pic:blipFill>
                    <a:blip r:embed="rId9">
                      <a:extLst>
                        <a:ext uri="{28A0092B-C50C-407E-A947-70E740481C1C}">
                          <a14:useLocalDpi xmlns:a14="http://schemas.microsoft.com/office/drawing/2010/main" val="0"/>
                        </a:ext>
                      </a:extLst>
                    </a:blip>
                    <a:srcRect r="14217"/>
                    <a:stretch>
                      <a:fillRect/>
                    </a:stretch>
                  </pic:blipFill>
                  <pic:spPr bwMode="auto">
                    <a:xfrm>
                      <a:off x="0" y="0"/>
                      <a:ext cx="4528185" cy="3446780"/>
                    </a:xfrm>
                    <a:prstGeom prst="rect">
                      <a:avLst/>
                    </a:prstGeom>
                    <a:noFill/>
                    <a:ln>
                      <a:noFill/>
                    </a:ln>
                  </pic:spPr>
                </pic:pic>
              </a:graphicData>
            </a:graphic>
          </wp:inline>
        </w:drawing>
      </w:r>
    </w:p>
    <w:p w:rsidR="00C02679" w:rsidRDefault="009803CF">
      <w:pPr>
        <w:spacing w:after="0" w:line="360" w:lineRule="auto"/>
        <w:rPr>
          <w:rFonts w:ascii="Book Antiqua" w:hAnsi="Book Antiqua"/>
          <w:sz w:val="24"/>
        </w:rPr>
      </w:pPr>
      <w:r>
        <w:rPr>
          <w:rFonts w:ascii="Book Antiqua" w:hAnsi="Book Antiqua"/>
          <w:b/>
          <w:sz w:val="24"/>
        </w:rPr>
        <w:t xml:space="preserve">Figure 1 The overall survival of 94 lung cancer patients according to </w:t>
      </w:r>
      <w:r>
        <w:rPr>
          <w:rFonts w:ascii="Book Antiqua" w:hAnsi="Book Antiqua"/>
          <w:b/>
          <w:i/>
          <w:sz w:val="24"/>
        </w:rPr>
        <w:t>GNAS1 T393C</w:t>
      </w:r>
      <w:r>
        <w:rPr>
          <w:rFonts w:ascii="Book Antiqua" w:hAnsi="Book Antiqua"/>
          <w:b/>
          <w:sz w:val="24"/>
        </w:rPr>
        <w:t xml:space="preserve"> genotypes.</w:t>
      </w:r>
      <w:r>
        <w:rPr>
          <w:rFonts w:ascii="Book Antiqua" w:hAnsi="Book Antiqua"/>
          <w:sz w:val="24"/>
        </w:rPr>
        <w:t xml:space="preserve"> The data were analyzed by Kaplan-Meier analysis, </w:t>
      </w:r>
      <w:r>
        <w:rPr>
          <w:rFonts w:ascii="Book Antiqua" w:hAnsi="Book Antiqua"/>
          <w:i/>
          <w:sz w:val="24"/>
        </w:rPr>
        <w:t>P</w:t>
      </w:r>
      <w:r>
        <w:rPr>
          <w:rFonts w:ascii="Book Antiqua" w:hAnsi="Book Antiqua" w:hint="eastAsia"/>
          <w:sz w:val="24"/>
        </w:rPr>
        <w:t xml:space="preserve"> </w:t>
      </w:r>
      <w:r>
        <w:rPr>
          <w:rFonts w:ascii="Book Antiqua" w:hAnsi="Book Antiqua"/>
          <w:sz w:val="24"/>
        </w:rPr>
        <w:t>&lt;</w:t>
      </w:r>
      <w:r>
        <w:rPr>
          <w:rFonts w:ascii="Book Antiqua" w:hAnsi="Book Antiqua" w:hint="eastAsia"/>
          <w:sz w:val="24"/>
        </w:rPr>
        <w:t xml:space="preserve"> </w:t>
      </w:r>
      <w:r>
        <w:rPr>
          <w:rFonts w:ascii="Book Antiqua" w:hAnsi="Book Antiqua"/>
          <w:sz w:val="24"/>
        </w:rPr>
        <w:t>0.01</w:t>
      </w:r>
      <w:r>
        <w:rPr>
          <w:rFonts w:ascii="Book Antiqua" w:hAnsi="Book Antiqua" w:hint="eastAsia"/>
          <w:sz w:val="24"/>
        </w:rPr>
        <w:t xml:space="preserve">, </w:t>
      </w:r>
      <w:r>
        <w:rPr>
          <w:rFonts w:ascii="Book Antiqua" w:hAnsi="Book Antiqua"/>
          <w:i/>
          <w:sz w:val="24"/>
        </w:rPr>
        <w:t>TT</w:t>
      </w:r>
      <w:r>
        <w:rPr>
          <w:rFonts w:ascii="Book Antiqua" w:hAnsi="Book Antiqua"/>
          <w:sz w:val="24"/>
        </w:rPr>
        <w:t xml:space="preserve"> genotype </w:t>
      </w:r>
      <w:r>
        <w:rPr>
          <w:rFonts w:ascii="Book Antiqua" w:hAnsi="Book Antiqua" w:hint="eastAsia"/>
          <w:i/>
          <w:sz w:val="24"/>
        </w:rPr>
        <w:t>vs</w:t>
      </w:r>
      <w:r>
        <w:rPr>
          <w:rFonts w:ascii="Book Antiqua" w:hAnsi="Book Antiqua" w:hint="eastAsia"/>
          <w:sz w:val="24"/>
        </w:rPr>
        <w:t xml:space="preserve"> </w:t>
      </w:r>
      <w:r>
        <w:rPr>
          <w:rFonts w:ascii="Book Antiqua" w:hAnsi="Book Antiqua"/>
          <w:sz w:val="24"/>
        </w:rPr>
        <w:t xml:space="preserve">other genotypes.  </w:t>
      </w:r>
    </w:p>
    <w:p w:rsidR="00C02679" w:rsidRDefault="00A62FDF">
      <w:pPr>
        <w:spacing w:after="0" w:line="360" w:lineRule="auto"/>
        <w:rPr>
          <w:rFonts w:ascii="Book Antiqua" w:hAnsi="Book Antiqua"/>
          <w:sz w:val="24"/>
        </w:rPr>
      </w:pPr>
      <w:r>
        <w:rPr>
          <w:noProof/>
          <w:sz w:val="24"/>
          <w:lang w:eastAsia="en-US"/>
        </w:rPr>
        <w:lastRenderedPageBreak/>
        <w:drawing>
          <wp:inline distT="0" distB="0" distL="0" distR="0">
            <wp:extent cx="5275580" cy="3956685"/>
            <wp:effectExtent l="0" t="0" r="7620" b="5715"/>
            <wp:docPr id="2" name="Picture 2" descr="Figure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5580" cy="3956685"/>
                    </a:xfrm>
                    <a:prstGeom prst="rect">
                      <a:avLst/>
                    </a:prstGeom>
                    <a:noFill/>
                    <a:ln>
                      <a:noFill/>
                    </a:ln>
                  </pic:spPr>
                </pic:pic>
              </a:graphicData>
            </a:graphic>
          </wp:inline>
        </w:drawing>
      </w:r>
    </w:p>
    <w:p w:rsidR="00C02679" w:rsidRDefault="009803CF">
      <w:pPr>
        <w:spacing w:after="0" w:line="360" w:lineRule="auto"/>
        <w:rPr>
          <w:rFonts w:ascii="Book Antiqua" w:hAnsi="Book Antiqua"/>
          <w:b/>
          <w:sz w:val="24"/>
        </w:rPr>
      </w:pPr>
      <w:r>
        <w:rPr>
          <w:rFonts w:ascii="Book Antiqua" w:hAnsi="Book Antiqua"/>
          <w:b/>
          <w:sz w:val="24"/>
        </w:rPr>
        <w:t xml:space="preserve">Figure 2 The overall survival of 94 lung cancer patients according to </w:t>
      </w:r>
      <w:r>
        <w:rPr>
          <w:rFonts w:ascii="Book Antiqua" w:hAnsi="Book Antiqua"/>
          <w:b/>
          <w:i/>
          <w:sz w:val="24"/>
        </w:rPr>
        <w:t>GNAS1 T393C</w:t>
      </w:r>
      <w:r>
        <w:rPr>
          <w:rFonts w:ascii="Book Antiqua" w:hAnsi="Book Antiqua"/>
          <w:b/>
          <w:sz w:val="24"/>
        </w:rPr>
        <w:t xml:space="preserve"> genotype with dichotomization between C+ and C- genotypes, </w:t>
      </w:r>
      <w:r>
        <w:rPr>
          <w:rFonts w:ascii="Book Antiqua" w:hAnsi="Book Antiqua"/>
          <w:b/>
          <w:i/>
          <w:sz w:val="24"/>
        </w:rPr>
        <w:t>P</w:t>
      </w:r>
      <w:r>
        <w:rPr>
          <w:rFonts w:ascii="Book Antiqua" w:hAnsi="Book Antiqua"/>
          <w:b/>
          <w:sz w:val="24"/>
        </w:rPr>
        <w:t xml:space="preserve"> &lt; 0.01</w:t>
      </w:r>
      <w:r>
        <w:rPr>
          <w:rFonts w:ascii="Book Antiqua" w:hAnsi="Book Antiqua" w:hint="eastAsia"/>
          <w:b/>
          <w:sz w:val="24"/>
        </w:rPr>
        <w:t xml:space="preserve">. </w:t>
      </w:r>
    </w:p>
    <w:p w:rsidR="00C02679" w:rsidRDefault="00C02679">
      <w:pPr>
        <w:spacing w:after="0" w:line="360" w:lineRule="auto"/>
        <w:rPr>
          <w:rFonts w:ascii="Book Antiqua" w:hAnsi="Book Antiqua"/>
          <w:b/>
          <w:sz w:val="24"/>
        </w:rPr>
      </w:pPr>
    </w:p>
    <w:p w:rsidR="00C02679" w:rsidRPr="009803CF" w:rsidRDefault="009803CF" w:rsidP="009803CF">
      <w:pPr>
        <w:spacing w:after="0" w:line="360" w:lineRule="auto"/>
        <w:rPr>
          <w:rFonts w:ascii="Book Antiqua" w:hAnsi="Book Antiqua"/>
          <w:b/>
          <w:sz w:val="24"/>
        </w:rPr>
      </w:pPr>
      <w:r>
        <w:rPr>
          <w:rFonts w:ascii="Book Antiqua" w:hAnsi="Book Antiqua"/>
          <w:b/>
          <w:sz w:val="24"/>
        </w:rPr>
        <w:t>Table 1 Clinicopathological characteristics of 94 patients with non-small cell lung cancer</w:t>
      </w:r>
    </w:p>
    <w:tbl>
      <w:tblPr>
        <w:tblW w:w="8976" w:type="dxa"/>
        <w:jc w:val="center"/>
        <w:tblBorders>
          <w:top w:val="single" w:sz="4" w:space="0" w:color="auto"/>
          <w:bottom w:val="single" w:sz="4" w:space="0" w:color="auto"/>
        </w:tblBorders>
        <w:tblLayout w:type="fixed"/>
        <w:tblLook w:val="0000" w:firstRow="0" w:lastRow="0" w:firstColumn="0" w:lastColumn="0" w:noHBand="0" w:noVBand="0"/>
      </w:tblPr>
      <w:tblGrid>
        <w:gridCol w:w="1603"/>
        <w:gridCol w:w="2123"/>
        <w:gridCol w:w="603"/>
        <w:gridCol w:w="1544"/>
        <w:gridCol w:w="1167"/>
        <w:gridCol w:w="1167"/>
        <w:gridCol w:w="769"/>
      </w:tblGrid>
      <w:tr w:rsidR="00C02679">
        <w:trPr>
          <w:jc w:val="center"/>
        </w:trPr>
        <w:tc>
          <w:tcPr>
            <w:tcW w:w="1603" w:type="dxa"/>
            <w:tcBorders>
              <w:top w:val="single" w:sz="12" w:space="0" w:color="auto"/>
              <w:left w:val="nil"/>
              <w:bottom w:val="single" w:sz="4" w:space="0" w:color="auto"/>
              <w:right w:val="nil"/>
            </w:tcBorders>
            <w:vAlign w:val="center"/>
          </w:tcPr>
          <w:p w:rsidR="00C02679" w:rsidRDefault="00C02679">
            <w:pPr>
              <w:spacing w:line="300" w:lineRule="auto"/>
              <w:jc w:val="center"/>
              <w:rPr>
                <w:rFonts w:ascii="Book Antiqua" w:hAnsi="Book Antiqua"/>
                <w:b/>
                <w:sz w:val="24"/>
              </w:rPr>
            </w:pPr>
          </w:p>
        </w:tc>
        <w:tc>
          <w:tcPr>
            <w:tcW w:w="2123" w:type="dxa"/>
            <w:tcBorders>
              <w:top w:val="single" w:sz="12" w:space="0" w:color="auto"/>
              <w:left w:val="nil"/>
              <w:bottom w:val="single" w:sz="4" w:space="0" w:color="auto"/>
              <w:right w:val="nil"/>
            </w:tcBorders>
            <w:vAlign w:val="center"/>
          </w:tcPr>
          <w:p w:rsidR="00C02679" w:rsidRDefault="009803CF">
            <w:pPr>
              <w:spacing w:line="300" w:lineRule="auto"/>
              <w:rPr>
                <w:rFonts w:ascii="Book Antiqua" w:hAnsi="Book Antiqua"/>
                <w:b/>
                <w:sz w:val="24"/>
              </w:rPr>
            </w:pPr>
            <w:r>
              <w:rPr>
                <w:rFonts w:ascii="Book Antiqua" w:hAnsi="Book Antiqua"/>
                <w:b/>
                <w:sz w:val="24"/>
              </w:rPr>
              <w:t>Subgroup</w:t>
            </w:r>
          </w:p>
        </w:tc>
        <w:tc>
          <w:tcPr>
            <w:tcW w:w="603" w:type="dxa"/>
            <w:tcBorders>
              <w:top w:val="single" w:sz="12" w:space="0" w:color="auto"/>
              <w:left w:val="nil"/>
              <w:bottom w:val="single" w:sz="4" w:space="0" w:color="auto"/>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n</w:t>
            </w:r>
          </w:p>
        </w:tc>
        <w:tc>
          <w:tcPr>
            <w:tcW w:w="1544" w:type="dxa"/>
            <w:tcBorders>
              <w:top w:val="single" w:sz="12" w:space="0" w:color="auto"/>
              <w:left w:val="nil"/>
              <w:bottom w:val="single" w:sz="4" w:space="0" w:color="auto"/>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MST</w:t>
            </w:r>
          </w:p>
        </w:tc>
        <w:tc>
          <w:tcPr>
            <w:tcW w:w="1167" w:type="dxa"/>
            <w:tcBorders>
              <w:top w:val="single" w:sz="12" w:space="0" w:color="auto"/>
              <w:left w:val="nil"/>
              <w:bottom w:val="single" w:sz="4" w:space="0" w:color="auto"/>
              <w:right w:val="nil"/>
            </w:tcBorders>
            <w:vAlign w:val="center"/>
          </w:tcPr>
          <w:p w:rsidR="00C02679" w:rsidRDefault="009803CF">
            <w:pPr>
              <w:spacing w:line="300" w:lineRule="auto"/>
              <w:ind w:leftChars="-50" w:left="-105" w:rightChars="-50" w:right="-105"/>
              <w:jc w:val="center"/>
              <w:rPr>
                <w:rFonts w:ascii="Book Antiqua" w:hAnsi="Book Antiqua"/>
                <w:b/>
                <w:sz w:val="24"/>
              </w:rPr>
            </w:pPr>
            <w:r>
              <w:rPr>
                <w:rFonts w:ascii="Book Antiqua" w:hAnsi="Book Antiqua"/>
                <w:b/>
                <w:sz w:val="24"/>
              </w:rPr>
              <w:t>1-yr-OS (%)</w:t>
            </w:r>
          </w:p>
        </w:tc>
        <w:tc>
          <w:tcPr>
            <w:tcW w:w="1167" w:type="dxa"/>
            <w:tcBorders>
              <w:top w:val="single" w:sz="12" w:space="0" w:color="auto"/>
              <w:left w:val="nil"/>
              <w:bottom w:val="single" w:sz="4" w:space="0" w:color="auto"/>
              <w:right w:val="nil"/>
            </w:tcBorders>
            <w:vAlign w:val="center"/>
          </w:tcPr>
          <w:p w:rsidR="00C02679" w:rsidRDefault="009803CF">
            <w:pPr>
              <w:spacing w:line="300" w:lineRule="auto"/>
              <w:ind w:leftChars="-50" w:left="-105" w:rightChars="-50" w:right="-105"/>
              <w:jc w:val="center"/>
              <w:rPr>
                <w:rFonts w:ascii="Book Antiqua" w:hAnsi="Book Antiqua"/>
                <w:b/>
                <w:sz w:val="24"/>
              </w:rPr>
            </w:pPr>
            <w:r>
              <w:rPr>
                <w:rFonts w:ascii="Book Antiqua" w:hAnsi="Book Antiqua"/>
                <w:b/>
                <w:sz w:val="24"/>
              </w:rPr>
              <w:t>2-yr-OS (%)</w:t>
            </w:r>
          </w:p>
        </w:tc>
        <w:tc>
          <w:tcPr>
            <w:tcW w:w="769" w:type="dxa"/>
            <w:tcBorders>
              <w:top w:val="single" w:sz="12" w:space="0" w:color="auto"/>
              <w:left w:val="nil"/>
              <w:bottom w:val="single" w:sz="4" w:space="0" w:color="auto"/>
              <w:right w:val="nil"/>
            </w:tcBorders>
            <w:vAlign w:val="center"/>
          </w:tcPr>
          <w:p w:rsidR="00C02679" w:rsidRDefault="009803CF">
            <w:pPr>
              <w:spacing w:line="300" w:lineRule="auto"/>
              <w:jc w:val="center"/>
              <w:rPr>
                <w:rFonts w:ascii="Book Antiqua" w:hAnsi="Book Antiqua"/>
                <w:b/>
                <w:i/>
                <w:sz w:val="24"/>
              </w:rPr>
            </w:pPr>
            <w:r>
              <w:rPr>
                <w:rFonts w:ascii="Book Antiqua" w:hAnsi="Book Antiqua"/>
                <w:b/>
                <w:i/>
                <w:sz w:val="24"/>
              </w:rPr>
              <w:t>P</w:t>
            </w:r>
          </w:p>
        </w:tc>
      </w:tr>
      <w:tr w:rsidR="00C02679">
        <w:trPr>
          <w:jc w:val="center"/>
        </w:trPr>
        <w:tc>
          <w:tcPr>
            <w:tcW w:w="1603" w:type="dxa"/>
            <w:tcBorders>
              <w:top w:val="single" w:sz="4" w:space="0" w:color="auto"/>
              <w:left w:val="nil"/>
              <w:bottom w:val="nil"/>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Gender</w:t>
            </w:r>
          </w:p>
        </w:tc>
        <w:tc>
          <w:tcPr>
            <w:tcW w:w="2123" w:type="dxa"/>
            <w:tcBorders>
              <w:top w:val="single" w:sz="4" w:space="0" w:color="auto"/>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Male</w:t>
            </w:r>
          </w:p>
        </w:tc>
        <w:tc>
          <w:tcPr>
            <w:tcW w:w="603" w:type="dxa"/>
            <w:tcBorders>
              <w:top w:val="single" w:sz="4" w:space="0" w:color="auto"/>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71</w:t>
            </w:r>
          </w:p>
        </w:tc>
        <w:tc>
          <w:tcPr>
            <w:tcW w:w="1544" w:type="dxa"/>
            <w:tcBorders>
              <w:top w:val="single" w:sz="4" w:space="0" w:color="auto"/>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14</w:t>
            </w:r>
          </w:p>
        </w:tc>
        <w:tc>
          <w:tcPr>
            <w:tcW w:w="1167" w:type="dxa"/>
            <w:tcBorders>
              <w:top w:val="single" w:sz="4" w:space="0" w:color="auto"/>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59</w:t>
            </w:r>
          </w:p>
        </w:tc>
        <w:tc>
          <w:tcPr>
            <w:tcW w:w="1167" w:type="dxa"/>
            <w:tcBorders>
              <w:top w:val="single" w:sz="4" w:space="0" w:color="auto"/>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36</w:t>
            </w:r>
          </w:p>
        </w:tc>
        <w:tc>
          <w:tcPr>
            <w:tcW w:w="769" w:type="dxa"/>
            <w:tcBorders>
              <w:top w:val="single" w:sz="4" w:space="0" w:color="auto"/>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0.058</w:t>
            </w:r>
          </w:p>
        </w:tc>
      </w:tr>
      <w:tr w:rsidR="00C02679">
        <w:trPr>
          <w:jc w:val="center"/>
        </w:trPr>
        <w:tc>
          <w:tcPr>
            <w:tcW w:w="1603" w:type="dxa"/>
            <w:tcBorders>
              <w:top w:val="nil"/>
              <w:left w:val="nil"/>
              <w:bottom w:val="nil"/>
              <w:right w:val="nil"/>
            </w:tcBorders>
            <w:vAlign w:val="center"/>
          </w:tcPr>
          <w:p w:rsidR="00C02679" w:rsidRDefault="00C02679" w:rsidP="00A62FDF">
            <w:pPr>
              <w:spacing w:line="300" w:lineRule="auto"/>
              <w:ind w:firstLineChars="200" w:firstLine="519"/>
              <w:jc w:val="center"/>
              <w:rPr>
                <w:rFonts w:ascii="Book Antiqua" w:hAnsi="Book Antiqua"/>
                <w:b/>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Female</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23</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53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28</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nil"/>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Age</w:t>
            </w: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w:t>
            </w:r>
            <w:r>
              <w:rPr>
                <w:rFonts w:ascii="Book Antiqua" w:hAnsi="Book Antiqua" w:hint="eastAsia"/>
                <w:sz w:val="24"/>
              </w:rPr>
              <w:t xml:space="preserve"> </w:t>
            </w:r>
            <w:r>
              <w:rPr>
                <w:rFonts w:ascii="Book Antiqua" w:hAnsi="Book Antiqua"/>
                <w:sz w:val="24"/>
              </w:rPr>
              <w:t>60 yr</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51</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61</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26</w:t>
            </w:r>
          </w:p>
        </w:tc>
        <w:tc>
          <w:tcPr>
            <w:tcW w:w="769"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0.135</w:t>
            </w:r>
          </w:p>
        </w:tc>
      </w:tr>
      <w:tr w:rsidR="00C02679">
        <w:trPr>
          <w:jc w:val="center"/>
        </w:trPr>
        <w:tc>
          <w:tcPr>
            <w:tcW w:w="1603" w:type="dxa"/>
            <w:tcBorders>
              <w:top w:val="nil"/>
              <w:left w:val="nil"/>
              <w:bottom w:val="nil"/>
              <w:right w:val="nil"/>
            </w:tcBorders>
            <w:vAlign w:val="center"/>
          </w:tcPr>
          <w:p w:rsidR="00C02679" w:rsidRDefault="00C02679" w:rsidP="00A62FDF">
            <w:pPr>
              <w:spacing w:line="300" w:lineRule="auto"/>
              <w:ind w:firstLineChars="200" w:firstLine="519"/>
              <w:jc w:val="center"/>
              <w:rPr>
                <w:rFonts w:ascii="Book Antiqua" w:hAnsi="Book Antiqua"/>
                <w:b/>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w:t>
            </w:r>
            <w:r>
              <w:rPr>
                <w:rFonts w:ascii="Book Antiqua" w:hAnsi="Book Antiqua" w:hint="eastAsia"/>
                <w:sz w:val="24"/>
              </w:rPr>
              <w:t xml:space="preserve"> </w:t>
            </w:r>
            <w:r>
              <w:rPr>
                <w:rFonts w:ascii="Book Antiqua" w:hAnsi="Book Antiqua"/>
                <w:sz w:val="24"/>
              </w:rPr>
              <w:t>60 yr</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43</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16</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52</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36</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nil"/>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PS</w:t>
            </w: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w:t>
            </w:r>
            <w:r>
              <w:rPr>
                <w:rFonts w:ascii="Book Antiqua" w:hAnsi="Book Antiqua" w:hint="eastAsia"/>
                <w:sz w:val="24"/>
              </w:rPr>
              <w:t xml:space="preserve"> </w:t>
            </w:r>
            <w:r>
              <w:rPr>
                <w:rFonts w:ascii="Book Antiqua" w:hAnsi="Book Antiqua"/>
                <w:sz w:val="24"/>
              </w:rPr>
              <w:t>2</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25</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51</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25</w:t>
            </w:r>
          </w:p>
        </w:tc>
        <w:tc>
          <w:tcPr>
            <w:tcW w:w="769"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0.658</w:t>
            </w:r>
          </w:p>
        </w:tc>
      </w:tr>
      <w:tr w:rsidR="00C02679">
        <w:trPr>
          <w:jc w:val="center"/>
        </w:trPr>
        <w:tc>
          <w:tcPr>
            <w:tcW w:w="1603" w:type="dxa"/>
            <w:tcBorders>
              <w:top w:val="nil"/>
              <w:left w:val="nil"/>
              <w:bottom w:val="nil"/>
              <w:right w:val="nil"/>
            </w:tcBorders>
            <w:vAlign w:val="center"/>
          </w:tcPr>
          <w:p w:rsidR="00C02679" w:rsidRDefault="00C02679" w:rsidP="00A62FDF">
            <w:pPr>
              <w:spacing w:line="300" w:lineRule="auto"/>
              <w:ind w:firstLineChars="200" w:firstLine="519"/>
              <w:jc w:val="center"/>
              <w:rPr>
                <w:rFonts w:ascii="Book Antiqua" w:hAnsi="Book Antiqua"/>
                <w:b/>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w:t>
            </w:r>
            <w:r>
              <w:rPr>
                <w:rFonts w:ascii="Book Antiqua" w:hAnsi="Book Antiqua" w:hint="eastAsia"/>
                <w:sz w:val="24"/>
              </w:rPr>
              <w:t xml:space="preserve"> </w:t>
            </w:r>
            <w:r>
              <w:rPr>
                <w:rFonts w:ascii="Book Antiqua" w:hAnsi="Book Antiqua"/>
                <w:sz w:val="24"/>
              </w:rPr>
              <w:t>2</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69</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17</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64</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32</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nil"/>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lastRenderedPageBreak/>
              <w:t>Smoking</w:t>
            </w: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Yes</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23</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55</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29</w:t>
            </w:r>
          </w:p>
        </w:tc>
        <w:tc>
          <w:tcPr>
            <w:tcW w:w="769"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0.473</w:t>
            </w:r>
          </w:p>
        </w:tc>
      </w:tr>
      <w:tr w:rsidR="00C02679">
        <w:trPr>
          <w:jc w:val="center"/>
        </w:trPr>
        <w:tc>
          <w:tcPr>
            <w:tcW w:w="1603" w:type="dxa"/>
            <w:tcBorders>
              <w:top w:val="nil"/>
              <w:left w:val="nil"/>
              <w:bottom w:val="nil"/>
              <w:right w:val="nil"/>
            </w:tcBorders>
            <w:vAlign w:val="center"/>
          </w:tcPr>
          <w:p w:rsidR="00C02679" w:rsidRDefault="00C02679" w:rsidP="00A62FDF">
            <w:pPr>
              <w:spacing w:line="300" w:lineRule="auto"/>
              <w:ind w:firstLineChars="200" w:firstLine="519"/>
              <w:jc w:val="center"/>
              <w:rPr>
                <w:rFonts w:ascii="Book Antiqua" w:hAnsi="Book Antiqua"/>
                <w:b/>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No</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71</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14</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58</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32</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nil"/>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Pathology</w:t>
            </w: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Adeno-</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48</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54</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36</w:t>
            </w:r>
          </w:p>
        </w:tc>
        <w:tc>
          <w:tcPr>
            <w:tcW w:w="769"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0.559</w:t>
            </w:r>
          </w:p>
        </w:tc>
      </w:tr>
      <w:tr w:rsidR="00C02679">
        <w:trPr>
          <w:jc w:val="center"/>
        </w:trPr>
        <w:tc>
          <w:tcPr>
            <w:tcW w:w="1603" w:type="dxa"/>
            <w:tcBorders>
              <w:top w:val="nil"/>
              <w:left w:val="nil"/>
              <w:bottom w:val="nil"/>
              <w:right w:val="nil"/>
            </w:tcBorders>
            <w:vAlign w:val="center"/>
          </w:tcPr>
          <w:p w:rsidR="00C02679" w:rsidRDefault="00C02679" w:rsidP="00A62FDF">
            <w:pPr>
              <w:spacing w:line="300" w:lineRule="auto"/>
              <w:ind w:firstLineChars="200" w:firstLine="519"/>
              <w:jc w:val="center"/>
              <w:rPr>
                <w:rFonts w:ascii="Book Antiqua" w:hAnsi="Book Antiqua"/>
                <w:b/>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Squar-</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46</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14</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63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29</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nil"/>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Treatment</w:t>
            </w: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Supportive only</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12</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10</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49</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25</w:t>
            </w:r>
          </w:p>
        </w:tc>
        <w:tc>
          <w:tcPr>
            <w:tcW w:w="769"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0.116</w:t>
            </w:r>
          </w:p>
        </w:tc>
      </w:tr>
      <w:tr w:rsidR="00C02679">
        <w:trPr>
          <w:jc w:val="center"/>
        </w:trPr>
        <w:tc>
          <w:tcPr>
            <w:tcW w:w="1603" w:type="dxa"/>
            <w:tcBorders>
              <w:top w:val="nil"/>
              <w:left w:val="nil"/>
              <w:bottom w:val="nil"/>
              <w:right w:val="nil"/>
            </w:tcBorders>
            <w:vAlign w:val="center"/>
          </w:tcPr>
          <w:p w:rsidR="00C02679" w:rsidRDefault="00C02679" w:rsidP="00A62FDF">
            <w:pPr>
              <w:spacing w:line="300" w:lineRule="auto"/>
              <w:ind w:firstLineChars="200" w:firstLine="519"/>
              <w:jc w:val="center"/>
              <w:rPr>
                <w:rFonts w:ascii="Book Antiqua" w:hAnsi="Book Antiqua"/>
                <w:b/>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Chemotherapy</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14</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56</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32</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nil"/>
              <w:right w:val="nil"/>
            </w:tcBorders>
            <w:vAlign w:val="center"/>
          </w:tcPr>
          <w:p w:rsidR="00C02679" w:rsidRDefault="00C02679" w:rsidP="00A62FDF">
            <w:pPr>
              <w:spacing w:line="300" w:lineRule="auto"/>
              <w:ind w:firstLineChars="200" w:firstLine="519"/>
              <w:jc w:val="center"/>
              <w:rPr>
                <w:rFonts w:ascii="Book Antiqua" w:hAnsi="Book Antiqua"/>
                <w:b/>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Radiotherapy</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11</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60</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30</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nil"/>
              <w:right w:val="nil"/>
            </w:tcBorders>
            <w:vAlign w:val="center"/>
          </w:tcPr>
          <w:p w:rsidR="00C02679" w:rsidRDefault="00C02679" w:rsidP="00A62FDF">
            <w:pPr>
              <w:spacing w:line="300" w:lineRule="auto"/>
              <w:ind w:firstLineChars="200" w:firstLine="519"/>
              <w:jc w:val="center"/>
              <w:rPr>
                <w:rFonts w:ascii="Book Antiqua" w:hAnsi="Book Antiqua"/>
                <w:b/>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Chemoradiotherapy</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57</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16</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64</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35</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nil"/>
              <w:right w:val="nil"/>
            </w:tcBorders>
            <w:vAlign w:val="center"/>
          </w:tcPr>
          <w:p w:rsidR="00C02679" w:rsidRDefault="009803CF">
            <w:pPr>
              <w:spacing w:line="300" w:lineRule="auto"/>
              <w:jc w:val="center"/>
              <w:rPr>
                <w:rFonts w:ascii="Book Antiqua" w:hAnsi="Book Antiqua"/>
                <w:b/>
                <w:sz w:val="24"/>
              </w:rPr>
            </w:pPr>
            <w:r>
              <w:rPr>
                <w:rFonts w:ascii="Book Antiqua" w:hAnsi="Book Antiqua"/>
                <w:b/>
                <w:i/>
                <w:sz w:val="24"/>
              </w:rPr>
              <w:t>GNAS1</w:t>
            </w:r>
            <w:r>
              <w:rPr>
                <w:rFonts w:ascii="Book Antiqua" w:hAnsi="Book Antiqua"/>
                <w:b/>
                <w:sz w:val="24"/>
              </w:rPr>
              <w:t xml:space="preserve"> </w:t>
            </w:r>
            <w:r>
              <w:rPr>
                <w:rFonts w:ascii="Book Antiqua" w:hAnsi="Book Antiqua"/>
                <w:b/>
                <w:i/>
                <w:sz w:val="24"/>
              </w:rPr>
              <w:t>T393C</w:t>
            </w: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38</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25</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76</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48</w:t>
            </w:r>
          </w:p>
        </w:tc>
        <w:tc>
          <w:tcPr>
            <w:tcW w:w="769" w:type="dxa"/>
            <w:tcBorders>
              <w:top w:val="nil"/>
              <w:left w:val="nil"/>
              <w:bottom w:val="nil"/>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0.01</w:t>
            </w:r>
          </w:p>
        </w:tc>
      </w:tr>
      <w:tr w:rsidR="00C02679">
        <w:trPr>
          <w:jc w:val="center"/>
        </w:trPr>
        <w:tc>
          <w:tcPr>
            <w:tcW w:w="1603"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29</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12</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54</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18</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c>
          <w:tcPr>
            <w:tcW w:w="212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603" w:type="dxa"/>
            <w:tcBorders>
              <w:top w:val="nil"/>
              <w:left w:val="nil"/>
              <w:bottom w:val="nil"/>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27</w:t>
            </w:r>
          </w:p>
        </w:tc>
        <w:tc>
          <w:tcPr>
            <w:tcW w:w="1544"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8</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23</w:t>
            </w:r>
          </w:p>
        </w:tc>
        <w:tc>
          <w:tcPr>
            <w:tcW w:w="1167" w:type="dxa"/>
            <w:tcBorders>
              <w:top w:val="nil"/>
              <w:left w:val="nil"/>
              <w:bottom w:val="nil"/>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15</w:t>
            </w:r>
          </w:p>
        </w:tc>
        <w:tc>
          <w:tcPr>
            <w:tcW w:w="769" w:type="dxa"/>
            <w:tcBorders>
              <w:top w:val="nil"/>
              <w:left w:val="nil"/>
              <w:bottom w:val="nil"/>
              <w:right w:val="nil"/>
            </w:tcBorders>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603" w:type="dxa"/>
            <w:tcBorders>
              <w:top w:val="nil"/>
              <w:left w:val="nil"/>
              <w:bottom w:val="single" w:sz="12" w:space="0" w:color="auto"/>
              <w:right w:val="nil"/>
            </w:tcBorders>
            <w:vAlign w:val="center"/>
          </w:tcPr>
          <w:p w:rsidR="00C02679" w:rsidRDefault="00C02679">
            <w:pPr>
              <w:spacing w:line="300" w:lineRule="auto"/>
              <w:ind w:firstLineChars="200" w:firstLine="480"/>
              <w:jc w:val="center"/>
              <w:rPr>
                <w:rFonts w:ascii="Book Antiqua" w:hAnsi="Book Antiqua"/>
                <w:sz w:val="24"/>
              </w:rPr>
            </w:pPr>
          </w:p>
        </w:tc>
        <w:tc>
          <w:tcPr>
            <w:tcW w:w="2123" w:type="dxa"/>
            <w:tcBorders>
              <w:top w:val="nil"/>
              <w:left w:val="nil"/>
              <w:bottom w:val="single" w:sz="12" w:space="0" w:color="auto"/>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TC+ CC</w:t>
            </w:r>
          </w:p>
        </w:tc>
        <w:tc>
          <w:tcPr>
            <w:tcW w:w="603" w:type="dxa"/>
            <w:tcBorders>
              <w:top w:val="nil"/>
              <w:left w:val="nil"/>
              <w:bottom w:val="single" w:sz="12" w:space="0" w:color="auto"/>
              <w:right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56</w:t>
            </w:r>
          </w:p>
        </w:tc>
        <w:tc>
          <w:tcPr>
            <w:tcW w:w="1544" w:type="dxa"/>
            <w:tcBorders>
              <w:top w:val="nil"/>
              <w:left w:val="nil"/>
              <w:bottom w:val="single" w:sz="12" w:space="0" w:color="auto"/>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11.5</w:t>
            </w:r>
          </w:p>
        </w:tc>
        <w:tc>
          <w:tcPr>
            <w:tcW w:w="1167" w:type="dxa"/>
            <w:tcBorders>
              <w:top w:val="nil"/>
              <w:left w:val="nil"/>
              <w:bottom w:val="single" w:sz="12" w:space="0" w:color="auto"/>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25</w:t>
            </w:r>
          </w:p>
        </w:tc>
        <w:tc>
          <w:tcPr>
            <w:tcW w:w="1167" w:type="dxa"/>
            <w:tcBorders>
              <w:top w:val="nil"/>
              <w:left w:val="nil"/>
              <w:bottom w:val="single" w:sz="12" w:space="0" w:color="auto"/>
              <w:right w:val="nil"/>
            </w:tcBorders>
            <w:vAlign w:val="center"/>
          </w:tcPr>
          <w:p w:rsidR="00C02679" w:rsidRDefault="009803CF">
            <w:pPr>
              <w:spacing w:line="300" w:lineRule="auto"/>
              <w:ind w:firstLineChars="200" w:firstLine="480"/>
              <w:jc w:val="center"/>
              <w:rPr>
                <w:rFonts w:ascii="Book Antiqua" w:hAnsi="Book Antiqua"/>
                <w:sz w:val="24"/>
              </w:rPr>
            </w:pPr>
            <w:r>
              <w:rPr>
                <w:rFonts w:ascii="Book Antiqua" w:hAnsi="Book Antiqua"/>
                <w:sz w:val="24"/>
              </w:rPr>
              <w:t>16</w:t>
            </w:r>
          </w:p>
        </w:tc>
        <w:tc>
          <w:tcPr>
            <w:tcW w:w="769" w:type="dxa"/>
            <w:tcBorders>
              <w:top w:val="nil"/>
              <w:left w:val="nil"/>
              <w:bottom w:val="single" w:sz="12" w:space="0" w:color="auto"/>
              <w:right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0.01</w:t>
            </w:r>
          </w:p>
        </w:tc>
      </w:tr>
    </w:tbl>
    <w:p w:rsidR="00C02679" w:rsidRDefault="009803CF">
      <w:pPr>
        <w:spacing w:line="360" w:lineRule="auto"/>
        <w:rPr>
          <w:sz w:val="24"/>
        </w:rPr>
      </w:pPr>
      <w:r>
        <w:rPr>
          <w:rFonts w:ascii="Book Antiqua" w:hAnsi="Book Antiqua"/>
          <w:sz w:val="24"/>
        </w:rPr>
        <w:t>OS</w:t>
      </w:r>
      <w:r>
        <w:rPr>
          <w:rFonts w:ascii="Book Antiqua" w:hAnsi="Book Antiqua" w:hint="eastAsia"/>
          <w:sz w:val="24"/>
        </w:rPr>
        <w:t>:</w:t>
      </w:r>
      <w:r>
        <w:rPr>
          <w:rFonts w:ascii="Book Antiqua" w:hAnsi="Book Antiqua"/>
          <w:sz w:val="24"/>
        </w:rPr>
        <w:t xml:space="preserve"> Overall survival</w:t>
      </w:r>
      <w:r>
        <w:rPr>
          <w:rFonts w:ascii="Book Antiqua" w:hAnsi="Book Antiqua" w:hint="eastAsia"/>
          <w:sz w:val="24"/>
        </w:rPr>
        <w:t>.</w:t>
      </w:r>
    </w:p>
    <w:p w:rsidR="00C02679" w:rsidRDefault="009803CF">
      <w:pPr>
        <w:spacing w:after="0" w:line="360" w:lineRule="auto"/>
        <w:rPr>
          <w:rFonts w:ascii="Book Antiqua" w:hAnsi="Book Antiqua"/>
          <w:b/>
          <w:color w:val="2B2B2B"/>
          <w:sz w:val="24"/>
        </w:rPr>
      </w:pPr>
      <w:r>
        <w:rPr>
          <w:rFonts w:ascii="Book Antiqua" w:hAnsi="Book Antiqua"/>
          <w:b/>
          <w:sz w:val="24"/>
        </w:rPr>
        <w:t xml:space="preserve">Table 2 Association between </w:t>
      </w:r>
      <w:r>
        <w:rPr>
          <w:rFonts w:ascii="Book Antiqua" w:hAnsi="Book Antiqua"/>
          <w:b/>
          <w:i/>
          <w:sz w:val="24"/>
        </w:rPr>
        <w:t>GNAS1</w:t>
      </w:r>
      <w:r>
        <w:rPr>
          <w:rFonts w:ascii="Book Antiqua" w:hAnsi="Book Antiqua"/>
          <w:b/>
          <w:sz w:val="24"/>
        </w:rPr>
        <w:t xml:space="preserve"> single nucleotide polymorphism and clinical </w:t>
      </w:r>
      <w:r>
        <w:rPr>
          <w:rFonts w:ascii="Book Antiqua" w:hAnsi="Book Antiqua"/>
          <w:b/>
          <w:color w:val="2B2B2B"/>
          <w:sz w:val="24"/>
        </w:rPr>
        <w:t>parameter</w:t>
      </w:r>
    </w:p>
    <w:tbl>
      <w:tblPr>
        <w:tblW w:w="8522" w:type="dxa"/>
        <w:jc w:val="center"/>
        <w:tblBorders>
          <w:top w:val="single" w:sz="12" w:space="0" w:color="auto"/>
          <w:bottom w:val="single" w:sz="12" w:space="0" w:color="auto"/>
        </w:tblBorders>
        <w:tblLayout w:type="fixed"/>
        <w:tblLook w:val="0000" w:firstRow="0" w:lastRow="0" w:firstColumn="0" w:lastColumn="0" w:noHBand="0" w:noVBand="0"/>
      </w:tblPr>
      <w:tblGrid>
        <w:gridCol w:w="1309"/>
        <w:gridCol w:w="1296"/>
        <w:gridCol w:w="832"/>
        <w:gridCol w:w="1192"/>
        <w:gridCol w:w="1328"/>
        <w:gridCol w:w="1184"/>
        <w:gridCol w:w="1381"/>
      </w:tblGrid>
      <w:tr w:rsidR="00C02679">
        <w:trPr>
          <w:jc w:val="center"/>
        </w:trPr>
        <w:tc>
          <w:tcPr>
            <w:tcW w:w="1309" w:type="dxa"/>
            <w:tcBorders>
              <w:bottom w:val="single" w:sz="4" w:space="0" w:color="auto"/>
            </w:tcBorders>
            <w:vAlign w:val="center"/>
          </w:tcPr>
          <w:p w:rsidR="00C02679" w:rsidRDefault="00C02679">
            <w:pPr>
              <w:spacing w:line="300" w:lineRule="auto"/>
              <w:jc w:val="center"/>
              <w:rPr>
                <w:b/>
                <w:sz w:val="20"/>
                <w:szCs w:val="20"/>
              </w:rPr>
            </w:pPr>
          </w:p>
        </w:tc>
        <w:tc>
          <w:tcPr>
            <w:tcW w:w="1296" w:type="dxa"/>
            <w:tcBorders>
              <w:bottom w:val="single" w:sz="4" w:space="0" w:color="auto"/>
            </w:tcBorders>
            <w:vAlign w:val="center"/>
          </w:tcPr>
          <w:p w:rsidR="00C02679" w:rsidRDefault="009803CF">
            <w:pPr>
              <w:spacing w:line="300" w:lineRule="auto"/>
              <w:jc w:val="center"/>
              <w:rPr>
                <w:b/>
                <w:sz w:val="20"/>
                <w:szCs w:val="20"/>
              </w:rPr>
            </w:pPr>
            <w:r>
              <w:rPr>
                <w:b/>
                <w:sz w:val="20"/>
                <w:szCs w:val="20"/>
              </w:rPr>
              <w:t>Subgroup</w:t>
            </w:r>
          </w:p>
        </w:tc>
        <w:tc>
          <w:tcPr>
            <w:tcW w:w="832" w:type="dxa"/>
            <w:tcBorders>
              <w:bottom w:val="single" w:sz="4" w:space="0" w:color="auto"/>
            </w:tcBorders>
            <w:vAlign w:val="center"/>
          </w:tcPr>
          <w:p w:rsidR="00C02679" w:rsidRDefault="009803CF">
            <w:pPr>
              <w:spacing w:line="300" w:lineRule="auto"/>
              <w:jc w:val="center"/>
              <w:rPr>
                <w:b/>
                <w:sz w:val="20"/>
                <w:szCs w:val="20"/>
              </w:rPr>
            </w:pPr>
            <w:r>
              <w:rPr>
                <w:rFonts w:hint="eastAsia"/>
                <w:b/>
                <w:sz w:val="20"/>
                <w:szCs w:val="20"/>
              </w:rPr>
              <w:t>All</w:t>
            </w:r>
            <w:r>
              <w:rPr>
                <w:b/>
                <w:sz w:val="20"/>
                <w:szCs w:val="20"/>
              </w:rPr>
              <w:t xml:space="preserve"> </w:t>
            </w:r>
            <w:r>
              <w:rPr>
                <w:rFonts w:hint="eastAsia"/>
                <w:b/>
                <w:sz w:val="20"/>
                <w:szCs w:val="20"/>
              </w:rPr>
              <w:t>(</w:t>
            </w:r>
            <w:r>
              <w:rPr>
                <w:rFonts w:hint="eastAsia"/>
                <w:b/>
                <w:i/>
                <w:sz w:val="20"/>
                <w:szCs w:val="20"/>
              </w:rPr>
              <w:t xml:space="preserve">n </w:t>
            </w:r>
            <w:r>
              <w:rPr>
                <w:rFonts w:hint="eastAsia"/>
                <w:b/>
                <w:sz w:val="20"/>
                <w:szCs w:val="20"/>
              </w:rPr>
              <w:t>= 94)</w:t>
            </w:r>
          </w:p>
        </w:tc>
        <w:tc>
          <w:tcPr>
            <w:tcW w:w="1192" w:type="dxa"/>
            <w:tcBorders>
              <w:bottom w:val="single" w:sz="4" w:space="0" w:color="auto"/>
            </w:tcBorders>
            <w:vAlign w:val="center"/>
          </w:tcPr>
          <w:p w:rsidR="00C02679" w:rsidRDefault="009803CF">
            <w:pPr>
              <w:spacing w:line="300" w:lineRule="auto"/>
              <w:jc w:val="center"/>
              <w:rPr>
                <w:b/>
                <w:sz w:val="20"/>
                <w:szCs w:val="20"/>
              </w:rPr>
            </w:pPr>
            <w:r>
              <w:rPr>
                <w:rFonts w:hint="eastAsia"/>
                <w:b/>
                <w:sz w:val="20"/>
                <w:szCs w:val="20"/>
              </w:rPr>
              <w:t>TT</w:t>
            </w:r>
            <w:r>
              <w:rPr>
                <w:b/>
                <w:sz w:val="20"/>
                <w:szCs w:val="20"/>
              </w:rPr>
              <w:t xml:space="preserve"> </w:t>
            </w:r>
            <w:r>
              <w:rPr>
                <w:rFonts w:hint="eastAsia"/>
                <w:b/>
                <w:sz w:val="20"/>
                <w:szCs w:val="20"/>
              </w:rPr>
              <w:t>(</w:t>
            </w:r>
            <w:r>
              <w:rPr>
                <w:rFonts w:hint="eastAsia"/>
                <w:b/>
                <w:i/>
                <w:sz w:val="20"/>
                <w:szCs w:val="20"/>
              </w:rPr>
              <w:t>n</w:t>
            </w:r>
            <w:r>
              <w:rPr>
                <w:rFonts w:hint="eastAsia"/>
                <w:b/>
                <w:sz w:val="20"/>
                <w:szCs w:val="20"/>
              </w:rPr>
              <w:t xml:space="preserve"> = 38; 40%)</w:t>
            </w:r>
          </w:p>
        </w:tc>
        <w:tc>
          <w:tcPr>
            <w:tcW w:w="1328" w:type="dxa"/>
            <w:tcBorders>
              <w:bottom w:val="single" w:sz="4" w:space="0" w:color="auto"/>
            </w:tcBorders>
            <w:vAlign w:val="center"/>
          </w:tcPr>
          <w:p w:rsidR="00C02679" w:rsidRDefault="009803CF">
            <w:pPr>
              <w:spacing w:line="300" w:lineRule="auto"/>
              <w:ind w:leftChars="-50" w:left="-105" w:rightChars="-50" w:right="-105"/>
              <w:jc w:val="center"/>
              <w:rPr>
                <w:b/>
                <w:sz w:val="20"/>
                <w:szCs w:val="20"/>
              </w:rPr>
            </w:pPr>
            <w:r>
              <w:rPr>
                <w:rFonts w:hint="eastAsia"/>
                <w:b/>
                <w:sz w:val="20"/>
                <w:szCs w:val="20"/>
              </w:rPr>
              <w:t>TC</w:t>
            </w:r>
            <w:r>
              <w:rPr>
                <w:b/>
                <w:sz w:val="20"/>
                <w:szCs w:val="20"/>
              </w:rPr>
              <w:t xml:space="preserve"> </w:t>
            </w:r>
            <w:r>
              <w:rPr>
                <w:rFonts w:hint="eastAsia"/>
                <w:b/>
                <w:sz w:val="20"/>
                <w:szCs w:val="20"/>
              </w:rPr>
              <w:t>(</w:t>
            </w:r>
            <w:r>
              <w:rPr>
                <w:rFonts w:hint="eastAsia"/>
                <w:b/>
                <w:i/>
                <w:sz w:val="20"/>
                <w:szCs w:val="20"/>
              </w:rPr>
              <w:t>n</w:t>
            </w:r>
            <w:r>
              <w:rPr>
                <w:rFonts w:hint="eastAsia"/>
                <w:b/>
                <w:sz w:val="20"/>
                <w:szCs w:val="20"/>
              </w:rPr>
              <w:t xml:space="preserve"> = 29; 31%)</w:t>
            </w:r>
          </w:p>
        </w:tc>
        <w:tc>
          <w:tcPr>
            <w:tcW w:w="1184" w:type="dxa"/>
            <w:tcBorders>
              <w:bottom w:val="single" w:sz="4" w:space="0" w:color="auto"/>
            </w:tcBorders>
            <w:vAlign w:val="center"/>
          </w:tcPr>
          <w:p w:rsidR="00C02679" w:rsidRDefault="009803CF">
            <w:pPr>
              <w:spacing w:line="300" w:lineRule="auto"/>
              <w:ind w:leftChars="-50" w:left="-105" w:rightChars="-50" w:right="-105"/>
              <w:jc w:val="center"/>
              <w:rPr>
                <w:b/>
                <w:sz w:val="20"/>
                <w:szCs w:val="20"/>
              </w:rPr>
            </w:pPr>
            <w:r>
              <w:rPr>
                <w:rFonts w:hint="eastAsia"/>
                <w:b/>
                <w:sz w:val="20"/>
                <w:szCs w:val="20"/>
              </w:rPr>
              <w:t>CC</w:t>
            </w:r>
            <w:r>
              <w:rPr>
                <w:b/>
                <w:sz w:val="20"/>
                <w:szCs w:val="20"/>
              </w:rPr>
              <w:t xml:space="preserve"> </w:t>
            </w:r>
            <w:r>
              <w:rPr>
                <w:rFonts w:hint="eastAsia"/>
                <w:b/>
                <w:sz w:val="20"/>
                <w:szCs w:val="20"/>
              </w:rPr>
              <w:t>(</w:t>
            </w:r>
            <w:r>
              <w:rPr>
                <w:rFonts w:hint="eastAsia"/>
                <w:b/>
                <w:i/>
                <w:sz w:val="20"/>
                <w:szCs w:val="20"/>
              </w:rPr>
              <w:t>n</w:t>
            </w:r>
            <w:r>
              <w:rPr>
                <w:rFonts w:hint="eastAsia"/>
                <w:b/>
                <w:sz w:val="20"/>
                <w:szCs w:val="20"/>
              </w:rPr>
              <w:t xml:space="preserve"> =27; 29%)</w:t>
            </w:r>
          </w:p>
        </w:tc>
        <w:tc>
          <w:tcPr>
            <w:tcW w:w="1381" w:type="dxa"/>
            <w:tcBorders>
              <w:bottom w:val="single" w:sz="4" w:space="0" w:color="auto"/>
            </w:tcBorders>
            <w:vAlign w:val="center"/>
          </w:tcPr>
          <w:p w:rsidR="00C02679" w:rsidRDefault="009803CF">
            <w:pPr>
              <w:spacing w:line="300" w:lineRule="auto"/>
              <w:jc w:val="center"/>
              <w:rPr>
                <w:b/>
                <w:i/>
                <w:sz w:val="20"/>
                <w:szCs w:val="20"/>
              </w:rPr>
            </w:pPr>
            <w:r>
              <w:rPr>
                <w:b/>
                <w:i/>
                <w:sz w:val="20"/>
                <w:szCs w:val="20"/>
              </w:rPr>
              <w:t>P</w:t>
            </w:r>
          </w:p>
        </w:tc>
      </w:tr>
      <w:tr w:rsidR="00C02679">
        <w:trPr>
          <w:jc w:val="center"/>
        </w:trPr>
        <w:tc>
          <w:tcPr>
            <w:tcW w:w="1309" w:type="dxa"/>
            <w:tcBorders>
              <w:top w:val="single" w:sz="4" w:space="0" w:color="auto"/>
            </w:tcBorders>
            <w:vAlign w:val="center"/>
          </w:tcPr>
          <w:p w:rsidR="00C02679" w:rsidRDefault="009803CF">
            <w:pPr>
              <w:spacing w:line="300" w:lineRule="auto"/>
              <w:jc w:val="center"/>
              <w:rPr>
                <w:b/>
                <w:sz w:val="20"/>
                <w:szCs w:val="20"/>
              </w:rPr>
            </w:pPr>
            <w:r>
              <w:rPr>
                <w:b/>
                <w:sz w:val="20"/>
                <w:szCs w:val="20"/>
              </w:rPr>
              <w:t>Gender</w:t>
            </w:r>
          </w:p>
        </w:tc>
        <w:tc>
          <w:tcPr>
            <w:tcW w:w="1296" w:type="dxa"/>
            <w:tcBorders>
              <w:top w:val="single" w:sz="4" w:space="0" w:color="auto"/>
            </w:tcBorders>
            <w:vAlign w:val="center"/>
          </w:tcPr>
          <w:p w:rsidR="00C02679" w:rsidRDefault="009803CF">
            <w:pPr>
              <w:spacing w:line="300" w:lineRule="auto"/>
              <w:jc w:val="center"/>
              <w:rPr>
                <w:sz w:val="20"/>
                <w:szCs w:val="20"/>
              </w:rPr>
            </w:pPr>
            <w:r>
              <w:rPr>
                <w:sz w:val="20"/>
                <w:szCs w:val="20"/>
              </w:rPr>
              <w:t>Male</w:t>
            </w:r>
          </w:p>
        </w:tc>
        <w:tc>
          <w:tcPr>
            <w:tcW w:w="832" w:type="dxa"/>
            <w:tcBorders>
              <w:top w:val="single" w:sz="4" w:space="0" w:color="auto"/>
            </w:tcBorders>
            <w:vAlign w:val="center"/>
          </w:tcPr>
          <w:p w:rsidR="00C02679" w:rsidRDefault="009803CF">
            <w:pPr>
              <w:spacing w:line="300" w:lineRule="auto"/>
              <w:jc w:val="center"/>
              <w:rPr>
                <w:sz w:val="20"/>
                <w:szCs w:val="20"/>
              </w:rPr>
            </w:pPr>
            <w:r>
              <w:rPr>
                <w:sz w:val="20"/>
                <w:szCs w:val="20"/>
              </w:rPr>
              <w:t>71</w:t>
            </w:r>
          </w:p>
        </w:tc>
        <w:tc>
          <w:tcPr>
            <w:tcW w:w="1192" w:type="dxa"/>
            <w:tcBorders>
              <w:top w:val="single" w:sz="4" w:space="0" w:color="auto"/>
            </w:tcBorders>
            <w:vAlign w:val="center"/>
          </w:tcPr>
          <w:p w:rsidR="00C02679" w:rsidRDefault="009803CF">
            <w:pPr>
              <w:spacing w:line="300" w:lineRule="auto"/>
              <w:rPr>
                <w:sz w:val="20"/>
                <w:szCs w:val="20"/>
              </w:rPr>
            </w:pPr>
            <w:r>
              <w:rPr>
                <w:sz w:val="20"/>
                <w:szCs w:val="20"/>
              </w:rPr>
              <w:t>31</w:t>
            </w:r>
            <w:r>
              <w:rPr>
                <w:sz w:val="20"/>
                <w:szCs w:val="20"/>
              </w:rPr>
              <w:t>（</w:t>
            </w:r>
            <w:r>
              <w:rPr>
                <w:sz w:val="20"/>
                <w:szCs w:val="20"/>
              </w:rPr>
              <w:t>43.6</w:t>
            </w:r>
            <w:r>
              <w:rPr>
                <w:sz w:val="20"/>
                <w:szCs w:val="20"/>
              </w:rPr>
              <w:t>）</w:t>
            </w:r>
          </w:p>
        </w:tc>
        <w:tc>
          <w:tcPr>
            <w:tcW w:w="1328" w:type="dxa"/>
            <w:tcBorders>
              <w:top w:val="single" w:sz="4" w:space="0" w:color="auto"/>
            </w:tcBorders>
            <w:vAlign w:val="center"/>
          </w:tcPr>
          <w:p w:rsidR="00C02679" w:rsidRDefault="009803CF">
            <w:pPr>
              <w:spacing w:line="300" w:lineRule="auto"/>
              <w:rPr>
                <w:sz w:val="20"/>
                <w:szCs w:val="20"/>
              </w:rPr>
            </w:pPr>
            <w:r>
              <w:rPr>
                <w:sz w:val="20"/>
                <w:szCs w:val="20"/>
              </w:rPr>
              <w:t>22</w:t>
            </w:r>
            <w:r>
              <w:rPr>
                <w:sz w:val="20"/>
                <w:szCs w:val="20"/>
              </w:rPr>
              <w:t>（</w:t>
            </w:r>
            <w:r>
              <w:rPr>
                <w:sz w:val="20"/>
                <w:szCs w:val="20"/>
              </w:rPr>
              <w:t>30.9</w:t>
            </w:r>
            <w:r>
              <w:rPr>
                <w:sz w:val="20"/>
                <w:szCs w:val="20"/>
              </w:rPr>
              <w:t>）</w:t>
            </w:r>
          </w:p>
        </w:tc>
        <w:tc>
          <w:tcPr>
            <w:tcW w:w="1184" w:type="dxa"/>
            <w:tcBorders>
              <w:top w:val="single" w:sz="4" w:space="0" w:color="auto"/>
            </w:tcBorders>
            <w:vAlign w:val="center"/>
          </w:tcPr>
          <w:p w:rsidR="00C02679" w:rsidRDefault="009803CF">
            <w:pPr>
              <w:spacing w:line="300" w:lineRule="auto"/>
              <w:rPr>
                <w:sz w:val="20"/>
                <w:szCs w:val="20"/>
              </w:rPr>
            </w:pPr>
            <w:r>
              <w:rPr>
                <w:sz w:val="20"/>
                <w:szCs w:val="20"/>
              </w:rPr>
              <w:t>18</w:t>
            </w:r>
            <w:r>
              <w:rPr>
                <w:sz w:val="20"/>
                <w:szCs w:val="20"/>
              </w:rPr>
              <w:t>（</w:t>
            </w:r>
            <w:r>
              <w:rPr>
                <w:sz w:val="20"/>
                <w:szCs w:val="20"/>
              </w:rPr>
              <w:t>25.5</w:t>
            </w:r>
            <w:r>
              <w:rPr>
                <w:sz w:val="20"/>
                <w:szCs w:val="20"/>
              </w:rPr>
              <w:t>）</w:t>
            </w:r>
          </w:p>
        </w:tc>
        <w:tc>
          <w:tcPr>
            <w:tcW w:w="1381" w:type="dxa"/>
            <w:tcBorders>
              <w:top w:val="single" w:sz="4" w:space="0" w:color="auto"/>
            </w:tcBorders>
            <w:vAlign w:val="center"/>
          </w:tcPr>
          <w:p w:rsidR="00C02679" w:rsidRDefault="009803CF">
            <w:pPr>
              <w:spacing w:line="300" w:lineRule="auto"/>
              <w:jc w:val="center"/>
              <w:rPr>
                <w:sz w:val="20"/>
                <w:szCs w:val="20"/>
              </w:rPr>
            </w:pPr>
            <w:r>
              <w:rPr>
                <w:sz w:val="20"/>
                <w:szCs w:val="20"/>
              </w:rPr>
              <w:t>0.42</w:t>
            </w:r>
          </w:p>
        </w:tc>
      </w:tr>
      <w:tr w:rsidR="00C02679">
        <w:trPr>
          <w:jc w:val="center"/>
        </w:trPr>
        <w:tc>
          <w:tcPr>
            <w:tcW w:w="1309" w:type="dxa"/>
            <w:vAlign w:val="center"/>
          </w:tcPr>
          <w:p w:rsidR="00C02679" w:rsidRDefault="00C02679" w:rsidP="00A62FDF">
            <w:pPr>
              <w:spacing w:line="300" w:lineRule="auto"/>
              <w:ind w:firstLineChars="200" w:firstLine="433"/>
              <w:jc w:val="center"/>
              <w:rPr>
                <w:b/>
                <w:sz w:val="20"/>
                <w:szCs w:val="20"/>
              </w:rPr>
            </w:pPr>
          </w:p>
        </w:tc>
        <w:tc>
          <w:tcPr>
            <w:tcW w:w="1296" w:type="dxa"/>
            <w:vAlign w:val="center"/>
          </w:tcPr>
          <w:p w:rsidR="00C02679" w:rsidRDefault="009803CF">
            <w:pPr>
              <w:spacing w:line="300" w:lineRule="auto"/>
              <w:jc w:val="center"/>
              <w:rPr>
                <w:sz w:val="20"/>
                <w:szCs w:val="20"/>
              </w:rPr>
            </w:pPr>
            <w:r>
              <w:rPr>
                <w:sz w:val="20"/>
                <w:szCs w:val="20"/>
              </w:rPr>
              <w:t>Female</w:t>
            </w:r>
          </w:p>
        </w:tc>
        <w:tc>
          <w:tcPr>
            <w:tcW w:w="832" w:type="dxa"/>
            <w:vAlign w:val="center"/>
          </w:tcPr>
          <w:p w:rsidR="00C02679" w:rsidRDefault="009803CF">
            <w:pPr>
              <w:spacing w:line="300" w:lineRule="auto"/>
              <w:jc w:val="center"/>
              <w:rPr>
                <w:sz w:val="20"/>
                <w:szCs w:val="20"/>
              </w:rPr>
            </w:pPr>
            <w:r>
              <w:rPr>
                <w:sz w:val="20"/>
                <w:szCs w:val="20"/>
              </w:rPr>
              <w:t>23</w:t>
            </w:r>
          </w:p>
        </w:tc>
        <w:tc>
          <w:tcPr>
            <w:tcW w:w="1192" w:type="dxa"/>
            <w:vAlign w:val="center"/>
          </w:tcPr>
          <w:p w:rsidR="00C02679" w:rsidRDefault="009803CF">
            <w:pPr>
              <w:spacing w:line="300" w:lineRule="auto"/>
              <w:rPr>
                <w:sz w:val="20"/>
                <w:szCs w:val="20"/>
              </w:rPr>
            </w:pPr>
            <w:r>
              <w:rPr>
                <w:sz w:val="20"/>
                <w:szCs w:val="20"/>
              </w:rPr>
              <w:t>7</w:t>
            </w:r>
            <w:r>
              <w:rPr>
                <w:sz w:val="20"/>
                <w:szCs w:val="20"/>
              </w:rPr>
              <w:t>（</w:t>
            </w:r>
            <w:r>
              <w:rPr>
                <w:sz w:val="20"/>
                <w:szCs w:val="20"/>
              </w:rPr>
              <w:t>30.4</w:t>
            </w:r>
            <w:r>
              <w:rPr>
                <w:sz w:val="20"/>
                <w:szCs w:val="20"/>
              </w:rPr>
              <w:t>）</w:t>
            </w:r>
          </w:p>
        </w:tc>
        <w:tc>
          <w:tcPr>
            <w:tcW w:w="1328" w:type="dxa"/>
            <w:vAlign w:val="center"/>
          </w:tcPr>
          <w:p w:rsidR="00C02679" w:rsidRDefault="009803CF">
            <w:pPr>
              <w:spacing w:line="300" w:lineRule="auto"/>
              <w:rPr>
                <w:sz w:val="20"/>
                <w:szCs w:val="20"/>
              </w:rPr>
            </w:pPr>
            <w:r>
              <w:rPr>
                <w:sz w:val="20"/>
                <w:szCs w:val="20"/>
              </w:rPr>
              <w:t>7</w:t>
            </w:r>
            <w:r>
              <w:rPr>
                <w:sz w:val="20"/>
                <w:szCs w:val="20"/>
              </w:rPr>
              <w:t>（</w:t>
            </w:r>
            <w:r>
              <w:rPr>
                <w:sz w:val="20"/>
                <w:szCs w:val="20"/>
              </w:rPr>
              <w:t>30.4</w:t>
            </w:r>
            <w:r>
              <w:rPr>
                <w:sz w:val="20"/>
                <w:szCs w:val="20"/>
              </w:rPr>
              <w:t>）</w:t>
            </w:r>
          </w:p>
        </w:tc>
        <w:tc>
          <w:tcPr>
            <w:tcW w:w="1184" w:type="dxa"/>
            <w:vAlign w:val="center"/>
          </w:tcPr>
          <w:p w:rsidR="00C02679" w:rsidRDefault="009803CF">
            <w:pPr>
              <w:spacing w:line="300" w:lineRule="auto"/>
              <w:rPr>
                <w:sz w:val="20"/>
                <w:szCs w:val="20"/>
              </w:rPr>
            </w:pPr>
            <w:r>
              <w:rPr>
                <w:sz w:val="20"/>
                <w:szCs w:val="20"/>
              </w:rPr>
              <w:t>9</w:t>
            </w:r>
            <w:r>
              <w:rPr>
                <w:sz w:val="20"/>
                <w:szCs w:val="20"/>
              </w:rPr>
              <w:t>（</w:t>
            </w:r>
            <w:r>
              <w:rPr>
                <w:sz w:val="20"/>
                <w:szCs w:val="20"/>
              </w:rPr>
              <w:t>39.2</w:t>
            </w:r>
            <w:r>
              <w:rPr>
                <w:sz w:val="20"/>
                <w:szCs w:val="20"/>
              </w:rPr>
              <w:t>）</w:t>
            </w:r>
          </w:p>
        </w:tc>
        <w:tc>
          <w:tcPr>
            <w:tcW w:w="1381" w:type="dxa"/>
            <w:vAlign w:val="center"/>
          </w:tcPr>
          <w:p w:rsidR="00C02679" w:rsidRDefault="00C02679">
            <w:pPr>
              <w:spacing w:line="300" w:lineRule="auto"/>
              <w:ind w:firstLineChars="200" w:firstLine="400"/>
              <w:jc w:val="center"/>
              <w:rPr>
                <w:sz w:val="20"/>
                <w:szCs w:val="20"/>
              </w:rPr>
            </w:pPr>
          </w:p>
        </w:tc>
      </w:tr>
      <w:tr w:rsidR="00C02679">
        <w:trPr>
          <w:jc w:val="center"/>
        </w:trPr>
        <w:tc>
          <w:tcPr>
            <w:tcW w:w="1309" w:type="dxa"/>
            <w:vAlign w:val="center"/>
          </w:tcPr>
          <w:p w:rsidR="00C02679" w:rsidRDefault="009803CF">
            <w:pPr>
              <w:spacing w:line="300" w:lineRule="auto"/>
              <w:jc w:val="center"/>
              <w:rPr>
                <w:b/>
                <w:sz w:val="20"/>
                <w:szCs w:val="20"/>
              </w:rPr>
            </w:pPr>
            <w:r>
              <w:rPr>
                <w:b/>
                <w:sz w:val="20"/>
                <w:szCs w:val="20"/>
              </w:rPr>
              <w:t>Age</w:t>
            </w:r>
          </w:p>
        </w:tc>
        <w:tc>
          <w:tcPr>
            <w:tcW w:w="1296" w:type="dxa"/>
            <w:vAlign w:val="center"/>
          </w:tcPr>
          <w:p w:rsidR="00C02679" w:rsidRDefault="009803CF">
            <w:pPr>
              <w:spacing w:line="300" w:lineRule="auto"/>
              <w:jc w:val="center"/>
              <w:rPr>
                <w:sz w:val="20"/>
                <w:szCs w:val="20"/>
              </w:rPr>
            </w:pPr>
            <w:r>
              <w:rPr>
                <w:sz w:val="20"/>
                <w:szCs w:val="20"/>
              </w:rPr>
              <w:t>≥</w:t>
            </w:r>
            <w:r>
              <w:rPr>
                <w:rFonts w:hint="eastAsia"/>
                <w:sz w:val="20"/>
                <w:szCs w:val="20"/>
              </w:rPr>
              <w:t xml:space="preserve"> </w:t>
            </w:r>
            <w:r>
              <w:rPr>
                <w:sz w:val="20"/>
                <w:szCs w:val="20"/>
              </w:rPr>
              <w:t>60 yr</w:t>
            </w:r>
          </w:p>
        </w:tc>
        <w:tc>
          <w:tcPr>
            <w:tcW w:w="832" w:type="dxa"/>
            <w:vAlign w:val="center"/>
          </w:tcPr>
          <w:p w:rsidR="00C02679" w:rsidRDefault="009803CF">
            <w:pPr>
              <w:spacing w:line="300" w:lineRule="auto"/>
              <w:jc w:val="center"/>
              <w:rPr>
                <w:sz w:val="20"/>
                <w:szCs w:val="20"/>
              </w:rPr>
            </w:pPr>
            <w:r>
              <w:rPr>
                <w:sz w:val="20"/>
                <w:szCs w:val="20"/>
              </w:rPr>
              <w:t>51</w:t>
            </w:r>
          </w:p>
        </w:tc>
        <w:tc>
          <w:tcPr>
            <w:tcW w:w="1192" w:type="dxa"/>
            <w:vAlign w:val="center"/>
          </w:tcPr>
          <w:p w:rsidR="00C02679" w:rsidRDefault="009803CF">
            <w:pPr>
              <w:spacing w:line="300" w:lineRule="auto"/>
              <w:rPr>
                <w:sz w:val="20"/>
                <w:szCs w:val="20"/>
              </w:rPr>
            </w:pPr>
            <w:r>
              <w:rPr>
                <w:sz w:val="20"/>
                <w:szCs w:val="20"/>
              </w:rPr>
              <w:t>22</w:t>
            </w:r>
            <w:r>
              <w:rPr>
                <w:sz w:val="20"/>
                <w:szCs w:val="20"/>
              </w:rPr>
              <w:t>（</w:t>
            </w:r>
            <w:r>
              <w:rPr>
                <w:sz w:val="20"/>
                <w:szCs w:val="20"/>
              </w:rPr>
              <w:t>43.1</w:t>
            </w:r>
            <w:r>
              <w:rPr>
                <w:sz w:val="20"/>
                <w:szCs w:val="20"/>
              </w:rPr>
              <w:t>）</w:t>
            </w:r>
          </w:p>
        </w:tc>
        <w:tc>
          <w:tcPr>
            <w:tcW w:w="1328" w:type="dxa"/>
            <w:vAlign w:val="center"/>
          </w:tcPr>
          <w:p w:rsidR="00C02679" w:rsidRDefault="009803CF">
            <w:pPr>
              <w:spacing w:line="300" w:lineRule="auto"/>
              <w:rPr>
                <w:sz w:val="20"/>
                <w:szCs w:val="20"/>
              </w:rPr>
            </w:pPr>
            <w:r>
              <w:rPr>
                <w:sz w:val="20"/>
                <w:szCs w:val="20"/>
              </w:rPr>
              <w:t>13</w:t>
            </w:r>
            <w:r>
              <w:rPr>
                <w:sz w:val="20"/>
                <w:szCs w:val="20"/>
              </w:rPr>
              <w:t>（</w:t>
            </w:r>
            <w:r>
              <w:rPr>
                <w:sz w:val="20"/>
                <w:szCs w:val="20"/>
              </w:rPr>
              <w:t>25.5</w:t>
            </w:r>
            <w:r>
              <w:rPr>
                <w:sz w:val="20"/>
                <w:szCs w:val="20"/>
              </w:rPr>
              <w:t>）</w:t>
            </w:r>
          </w:p>
        </w:tc>
        <w:tc>
          <w:tcPr>
            <w:tcW w:w="1184" w:type="dxa"/>
            <w:vAlign w:val="center"/>
          </w:tcPr>
          <w:p w:rsidR="00C02679" w:rsidRDefault="009803CF">
            <w:pPr>
              <w:spacing w:line="300" w:lineRule="auto"/>
              <w:rPr>
                <w:sz w:val="20"/>
                <w:szCs w:val="20"/>
              </w:rPr>
            </w:pPr>
            <w:r>
              <w:rPr>
                <w:sz w:val="20"/>
                <w:szCs w:val="20"/>
              </w:rPr>
              <w:t>16</w:t>
            </w:r>
            <w:r>
              <w:rPr>
                <w:sz w:val="20"/>
                <w:szCs w:val="20"/>
              </w:rPr>
              <w:t>（</w:t>
            </w:r>
            <w:r>
              <w:rPr>
                <w:sz w:val="20"/>
                <w:szCs w:val="20"/>
              </w:rPr>
              <w:t>31.4</w:t>
            </w:r>
            <w:r>
              <w:rPr>
                <w:sz w:val="20"/>
                <w:szCs w:val="20"/>
              </w:rPr>
              <w:t>）</w:t>
            </w:r>
          </w:p>
        </w:tc>
        <w:tc>
          <w:tcPr>
            <w:tcW w:w="1381" w:type="dxa"/>
            <w:vAlign w:val="center"/>
          </w:tcPr>
          <w:p w:rsidR="00C02679" w:rsidRDefault="009803CF">
            <w:pPr>
              <w:spacing w:line="300" w:lineRule="auto"/>
              <w:jc w:val="center"/>
              <w:rPr>
                <w:sz w:val="20"/>
                <w:szCs w:val="20"/>
              </w:rPr>
            </w:pPr>
            <w:r>
              <w:rPr>
                <w:sz w:val="20"/>
                <w:szCs w:val="20"/>
              </w:rPr>
              <w:t>0.48</w:t>
            </w:r>
          </w:p>
        </w:tc>
      </w:tr>
      <w:tr w:rsidR="00C02679">
        <w:trPr>
          <w:jc w:val="center"/>
        </w:trPr>
        <w:tc>
          <w:tcPr>
            <w:tcW w:w="1309" w:type="dxa"/>
            <w:vAlign w:val="center"/>
          </w:tcPr>
          <w:p w:rsidR="00C02679" w:rsidRDefault="00C02679" w:rsidP="00A62FDF">
            <w:pPr>
              <w:spacing w:line="300" w:lineRule="auto"/>
              <w:ind w:firstLineChars="200" w:firstLine="433"/>
              <w:jc w:val="center"/>
              <w:rPr>
                <w:b/>
                <w:sz w:val="20"/>
                <w:szCs w:val="20"/>
              </w:rPr>
            </w:pPr>
          </w:p>
        </w:tc>
        <w:tc>
          <w:tcPr>
            <w:tcW w:w="1296" w:type="dxa"/>
            <w:vAlign w:val="center"/>
          </w:tcPr>
          <w:p w:rsidR="00C02679" w:rsidRDefault="009803CF">
            <w:pPr>
              <w:spacing w:line="300" w:lineRule="auto"/>
              <w:jc w:val="center"/>
              <w:rPr>
                <w:sz w:val="20"/>
                <w:szCs w:val="20"/>
              </w:rPr>
            </w:pPr>
            <w:r>
              <w:rPr>
                <w:sz w:val="20"/>
                <w:szCs w:val="20"/>
              </w:rPr>
              <w:t>＜</w:t>
            </w:r>
            <w:r>
              <w:rPr>
                <w:rFonts w:hint="eastAsia"/>
                <w:sz w:val="20"/>
                <w:szCs w:val="20"/>
              </w:rPr>
              <w:t xml:space="preserve"> </w:t>
            </w:r>
            <w:r>
              <w:rPr>
                <w:sz w:val="20"/>
                <w:szCs w:val="20"/>
              </w:rPr>
              <w:t>60 yr</w:t>
            </w:r>
          </w:p>
        </w:tc>
        <w:tc>
          <w:tcPr>
            <w:tcW w:w="832" w:type="dxa"/>
            <w:vAlign w:val="center"/>
          </w:tcPr>
          <w:p w:rsidR="00C02679" w:rsidRDefault="009803CF">
            <w:pPr>
              <w:spacing w:line="300" w:lineRule="auto"/>
              <w:jc w:val="center"/>
              <w:rPr>
                <w:sz w:val="20"/>
                <w:szCs w:val="20"/>
              </w:rPr>
            </w:pPr>
            <w:r>
              <w:rPr>
                <w:sz w:val="20"/>
                <w:szCs w:val="20"/>
              </w:rPr>
              <w:t>43</w:t>
            </w:r>
          </w:p>
        </w:tc>
        <w:tc>
          <w:tcPr>
            <w:tcW w:w="1192" w:type="dxa"/>
            <w:vAlign w:val="center"/>
          </w:tcPr>
          <w:p w:rsidR="00C02679" w:rsidRDefault="009803CF">
            <w:pPr>
              <w:spacing w:line="300" w:lineRule="auto"/>
              <w:rPr>
                <w:sz w:val="20"/>
                <w:szCs w:val="20"/>
              </w:rPr>
            </w:pPr>
            <w:r>
              <w:rPr>
                <w:sz w:val="20"/>
                <w:szCs w:val="20"/>
              </w:rPr>
              <w:t>16</w:t>
            </w:r>
            <w:r>
              <w:rPr>
                <w:sz w:val="20"/>
                <w:szCs w:val="20"/>
              </w:rPr>
              <w:t>（</w:t>
            </w:r>
            <w:r>
              <w:rPr>
                <w:sz w:val="20"/>
                <w:szCs w:val="20"/>
              </w:rPr>
              <w:t>37.2</w:t>
            </w:r>
            <w:r>
              <w:rPr>
                <w:sz w:val="20"/>
                <w:szCs w:val="20"/>
              </w:rPr>
              <w:t>）</w:t>
            </w:r>
          </w:p>
        </w:tc>
        <w:tc>
          <w:tcPr>
            <w:tcW w:w="1328" w:type="dxa"/>
            <w:vAlign w:val="center"/>
          </w:tcPr>
          <w:p w:rsidR="00C02679" w:rsidRDefault="009803CF">
            <w:pPr>
              <w:spacing w:line="300" w:lineRule="auto"/>
              <w:rPr>
                <w:sz w:val="20"/>
                <w:szCs w:val="20"/>
              </w:rPr>
            </w:pPr>
            <w:r>
              <w:rPr>
                <w:sz w:val="20"/>
                <w:szCs w:val="20"/>
              </w:rPr>
              <w:t>16</w:t>
            </w:r>
            <w:r>
              <w:rPr>
                <w:sz w:val="20"/>
                <w:szCs w:val="20"/>
              </w:rPr>
              <w:t>（</w:t>
            </w:r>
            <w:r>
              <w:rPr>
                <w:sz w:val="20"/>
                <w:szCs w:val="20"/>
              </w:rPr>
              <w:t>37.2</w:t>
            </w:r>
            <w:r>
              <w:rPr>
                <w:sz w:val="20"/>
                <w:szCs w:val="20"/>
              </w:rPr>
              <w:t>）</w:t>
            </w:r>
          </w:p>
        </w:tc>
        <w:tc>
          <w:tcPr>
            <w:tcW w:w="1184" w:type="dxa"/>
            <w:vAlign w:val="center"/>
          </w:tcPr>
          <w:p w:rsidR="00C02679" w:rsidRDefault="009803CF">
            <w:pPr>
              <w:spacing w:line="300" w:lineRule="auto"/>
              <w:rPr>
                <w:sz w:val="20"/>
                <w:szCs w:val="20"/>
              </w:rPr>
            </w:pPr>
            <w:r>
              <w:rPr>
                <w:sz w:val="20"/>
                <w:szCs w:val="20"/>
              </w:rPr>
              <w:t>11</w:t>
            </w:r>
            <w:r>
              <w:rPr>
                <w:sz w:val="20"/>
                <w:szCs w:val="20"/>
              </w:rPr>
              <w:t>（</w:t>
            </w:r>
            <w:r>
              <w:rPr>
                <w:sz w:val="20"/>
                <w:szCs w:val="20"/>
              </w:rPr>
              <w:t>25.6</w:t>
            </w:r>
            <w:r>
              <w:rPr>
                <w:sz w:val="20"/>
                <w:szCs w:val="20"/>
              </w:rPr>
              <w:t>）</w:t>
            </w:r>
          </w:p>
        </w:tc>
        <w:tc>
          <w:tcPr>
            <w:tcW w:w="1381" w:type="dxa"/>
            <w:vAlign w:val="center"/>
          </w:tcPr>
          <w:p w:rsidR="00C02679" w:rsidRDefault="00C02679">
            <w:pPr>
              <w:spacing w:line="300" w:lineRule="auto"/>
              <w:ind w:firstLineChars="200" w:firstLine="400"/>
              <w:jc w:val="center"/>
              <w:rPr>
                <w:sz w:val="20"/>
                <w:szCs w:val="20"/>
              </w:rPr>
            </w:pPr>
          </w:p>
        </w:tc>
      </w:tr>
      <w:tr w:rsidR="00C02679">
        <w:trPr>
          <w:jc w:val="center"/>
        </w:trPr>
        <w:tc>
          <w:tcPr>
            <w:tcW w:w="1309" w:type="dxa"/>
            <w:vAlign w:val="center"/>
          </w:tcPr>
          <w:p w:rsidR="00C02679" w:rsidRDefault="009803CF">
            <w:pPr>
              <w:spacing w:line="300" w:lineRule="auto"/>
              <w:jc w:val="center"/>
              <w:rPr>
                <w:rFonts w:ascii="Book Antiqua" w:hAnsi="Book Antiqua"/>
                <w:b/>
                <w:sz w:val="24"/>
              </w:rPr>
            </w:pPr>
            <w:r>
              <w:rPr>
                <w:rFonts w:ascii="Book Antiqua" w:hAnsi="Book Antiqua"/>
                <w:b/>
                <w:sz w:val="24"/>
              </w:rPr>
              <w:t>PS</w:t>
            </w:r>
          </w:p>
        </w:tc>
        <w:tc>
          <w:tcPr>
            <w:tcW w:w="1296" w:type="dxa"/>
            <w:vAlign w:val="center"/>
          </w:tcPr>
          <w:p w:rsidR="00C02679" w:rsidRDefault="009803CF">
            <w:pPr>
              <w:spacing w:line="300" w:lineRule="auto"/>
              <w:jc w:val="center"/>
              <w:rPr>
                <w:rFonts w:ascii="Book Antiqua" w:hAnsi="Book Antiqua"/>
                <w:sz w:val="24"/>
              </w:rPr>
            </w:pPr>
            <w:r>
              <w:rPr>
                <w:rFonts w:ascii="Book Antiqua" w:hAnsi="Book Antiqua"/>
                <w:sz w:val="24"/>
              </w:rPr>
              <w:t>≥</w:t>
            </w:r>
            <w:r>
              <w:rPr>
                <w:rFonts w:ascii="Book Antiqua" w:hAnsi="Book Antiqua" w:hint="eastAsia"/>
                <w:sz w:val="24"/>
              </w:rPr>
              <w:t xml:space="preserve"> </w:t>
            </w:r>
            <w:r>
              <w:rPr>
                <w:rFonts w:ascii="Book Antiqua" w:hAnsi="Book Antiqua"/>
                <w:sz w:val="24"/>
              </w:rPr>
              <w:t>2</w:t>
            </w:r>
          </w:p>
        </w:tc>
        <w:tc>
          <w:tcPr>
            <w:tcW w:w="832" w:type="dxa"/>
            <w:vAlign w:val="center"/>
          </w:tcPr>
          <w:p w:rsidR="00C02679" w:rsidRDefault="009803CF">
            <w:pPr>
              <w:spacing w:line="300" w:lineRule="auto"/>
              <w:jc w:val="center"/>
              <w:rPr>
                <w:rFonts w:ascii="Book Antiqua" w:hAnsi="Book Antiqua"/>
                <w:sz w:val="24"/>
              </w:rPr>
            </w:pPr>
            <w:r>
              <w:rPr>
                <w:rFonts w:ascii="Book Antiqua" w:hAnsi="Book Antiqua"/>
                <w:sz w:val="24"/>
              </w:rPr>
              <w:t>25</w:t>
            </w:r>
          </w:p>
        </w:tc>
        <w:tc>
          <w:tcPr>
            <w:tcW w:w="1192" w:type="dxa"/>
            <w:vAlign w:val="center"/>
          </w:tcPr>
          <w:p w:rsidR="00C02679" w:rsidRDefault="009803CF">
            <w:pPr>
              <w:spacing w:line="300" w:lineRule="auto"/>
              <w:rPr>
                <w:rFonts w:ascii="Book Antiqua" w:hAnsi="Book Antiqua"/>
                <w:sz w:val="24"/>
              </w:rPr>
            </w:pPr>
            <w:r>
              <w:rPr>
                <w:rFonts w:ascii="Book Antiqua" w:hAnsi="Book Antiqua"/>
                <w:sz w:val="24"/>
              </w:rPr>
              <w:t>13</w:t>
            </w:r>
            <w:r>
              <w:rPr>
                <w:rFonts w:ascii="Book Antiqua" w:hAnsi="Book Antiqua"/>
                <w:sz w:val="24"/>
              </w:rPr>
              <w:t>（</w:t>
            </w:r>
            <w:r>
              <w:rPr>
                <w:rFonts w:ascii="Book Antiqua" w:hAnsi="Book Antiqua"/>
                <w:sz w:val="24"/>
              </w:rPr>
              <w:t>52.0</w:t>
            </w:r>
            <w:r>
              <w:rPr>
                <w:rFonts w:ascii="Book Antiqua" w:hAnsi="Book Antiqua"/>
                <w:sz w:val="24"/>
              </w:rPr>
              <w:t>）</w:t>
            </w:r>
          </w:p>
        </w:tc>
        <w:tc>
          <w:tcPr>
            <w:tcW w:w="1328" w:type="dxa"/>
            <w:vAlign w:val="center"/>
          </w:tcPr>
          <w:p w:rsidR="00C02679" w:rsidRDefault="009803CF">
            <w:pPr>
              <w:spacing w:line="300" w:lineRule="auto"/>
              <w:rPr>
                <w:rFonts w:ascii="Book Antiqua" w:hAnsi="Book Antiqua"/>
                <w:sz w:val="24"/>
              </w:rPr>
            </w:pPr>
            <w:r>
              <w:rPr>
                <w:rFonts w:ascii="Book Antiqua" w:hAnsi="Book Antiqua"/>
                <w:sz w:val="24"/>
              </w:rPr>
              <w:t>5</w:t>
            </w:r>
            <w:r>
              <w:rPr>
                <w:rFonts w:ascii="Book Antiqua" w:hAnsi="Book Antiqua"/>
                <w:sz w:val="24"/>
              </w:rPr>
              <w:t>（</w:t>
            </w:r>
            <w:r>
              <w:rPr>
                <w:rFonts w:ascii="Book Antiqua" w:hAnsi="Book Antiqua"/>
                <w:sz w:val="24"/>
              </w:rPr>
              <w:t>20.0</w:t>
            </w:r>
            <w:r>
              <w:rPr>
                <w:rFonts w:ascii="Book Antiqua" w:hAnsi="Book Antiqua"/>
                <w:sz w:val="24"/>
              </w:rPr>
              <w:t>）</w:t>
            </w:r>
          </w:p>
        </w:tc>
        <w:tc>
          <w:tcPr>
            <w:tcW w:w="1184" w:type="dxa"/>
            <w:vAlign w:val="center"/>
          </w:tcPr>
          <w:p w:rsidR="00C02679" w:rsidRDefault="009803CF">
            <w:pPr>
              <w:spacing w:line="300" w:lineRule="auto"/>
              <w:rPr>
                <w:rFonts w:ascii="Book Antiqua" w:hAnsi="Book Antiqua"/>
                <w:sz w:val="24"/>
              </w:rPr>
            </w:pPr>
            <w:r>
              <w:rPr>
                <w:rFonts w:ascii="Book Antiqua" w:hAnsi="Book Antiqua"/>
                <w:sz w:val="24"/>
              </w:rPr>
              <w:t>7</w:t>
            </w:r>
            <w:r>
              <w:rPr>
                <w:rFonts w:ascii="Book Antiqua" w:hAnsi="Book Antiqua"/>
                <w:sz w:val="24"/>
              </w:rPr>
              <w:t>（</w:t>
            </w:r>
            <w:r>
              <w:rPr>
                <w:rFonts w:ascii="Book Antiqua" w:hAnsi="Book Antiqua"/>
                <w:sz w:val="24"/>
              </w:rPr>
              <w:t>28.0</w:t>
            </w:r>
            <w:r>
              <w:rPr>
                <w:rFonts w:ascii="Book Antiqua" w:hAnsi="Book Antiqua"/>
                <w:sz w:val="24"/>
              </w:rPr>
              <w:t>）</w:t>
            </w:r>
          </w:p>
        </w:tc>
        <w:tc>
          <w:tcPr>
            <w:tcW w:w="1381" w:type="dxa"/>
            <w:vAlign w:val="center"/>
          </w:tcPr>
          <w:p w:rsidR="00C02679" w:rsidRDefault="009803CF">
            <w:pPr>
              <w:spacing w:line="300" w:lineRule="auto"/>
              <w:jc w:val="center"/>
              <w:rPr>
                <w:rFonts w:ascii="Book Antiqua" w:hAnsi="Book Antiqua"/>
                <w:sz w:val="24"/>
              </w:rPr>
            </w:pPr>
            <w:r>
              <w:rPr>
                <w:rFonts w:ascii="Book Antiqua" w:hAnsi="Book Antiqua"/>
                <w:sz w:val="24"/>
              </w:rPr>
              <w:t>0.30</w:t>
            </w:r>
          </w:p>
        </w:tc>
      </w:tr>
      <w:tr w:rsidR="00C02679">
        <w:trPr>
          <w:jc w:val="center"/>
        </w:trPr>
        <w:tc>
          <w:tcPr>
            <w:tcW w:w="1309" w:type="dxa"/>
            <w:vAlign w:val="center"/>
          </w:tcPr>
          <w:p w:rsidR="00C02679" w:rsidRDefault="00C02679" w:rsidP="00A62FDF">
            <w:pPr>
              <w:spacing w:line="300" w:lineRule="auto"/>
              <w:ind w:firstLineChars="200" w:firstLine="519"/>
              <w:jc w:val="center"/>
              <w:rPr>
                <w:rFonts w:ascii="Book Antiqua" w:hAnsi="Book Antiqua"/>
                <w:b/>
                <w:sz w:val="24"/>
              </w:rPr>
            </w:pPr>
          </w:p>
        </w:tc>
        <w:tc>
          <w:tcPr>
            <w:tcW w:w="1296" w:type="dxa"/>
            <w:vAlign w:val="center"/>
          </w:tcPr>
          <w:p w:rsidR="00C02679" w:rsidRDefault="009803CF">
            <w:pPr>
              <w:spacing w:line="300" w:lineRule="auto"/>
              <w:jc w:val="center"/>
              <w:rPr>
                <w:rFonts w:ascii="Book Antiqua" w:hAnsi="Book Antiqua"/>
                <w:sz w:val="24"/>
              </w:rPr>
            </w:pPr>
            <w:r>
              <w:rPr>
                <w:rFonts w:ascii="Book Antiqua" w:hAnsi="Book Antiqua"/>
                <w:sz w:val="24"/>
              </w:rPr>
              <w:t>＜</w:t>
            </w:r>
            <w:r>
              <w:rPr>
                <w:rFonts w:ascii="Book Antiqua" w:hAnsi="Book Antiqua" w:hint="eastAsia"/>
                <w:sz w:val="24"/>
              </w:rPr>
              <w:t xml:space="preserve"> </w:t>
            </w:r>
            <w:r>
              <w:rPr>
                <w:rFonts w:ascii="Book Antiqua" w:hAnsi="Book Antiqua"/>
                <w:sz w:val="24"/>
              </w:rPr>
              <w:t>2</w:t>
            </w:r>
          </w:p>
        </w:tc>
        <w:tc>
          <w:tcPr>
            <w:tcW w:w="832" w:type="dxa"/>
            <w:vAlign w:val="center"/>
          </w:tcPr>
          <w:p w:rsidR="00C02679" w:rsidRDefault="009803CF">
            <w:pPr>
              <w:spacing w:line="300" w:lineRule="auto"/>
              <w:jc w:val="center"/>
              <w:rPr>
                <w:rFonts w:ascii="Book Antiqua" w:hAnsi="Book Antiqua"/>
                <w:sz w:val="24"/>
              </w:rPr>
            </w:pPr>
            <w:r>
              <w:rPr>
                <w:rFonts w:ascii="Book Antiqua" w:hAnsi="Book Antiqua"/>
                <w:sz w:val="24"/>
              </w:rPr>
              <w:t>69</w:t>
            </w:r>
          </w:p>
        </w:tc>
        <w:tc>
          <w:tcPr>
            <w:tcW w:w="1192" w:type="dxa"/>
            <w:vAlign w:val="center"/>
          </w:tcPr>
          <w:p w:rsidR="00C02679" w:rsidRDefault="009803CF">
            <w:pPr>
              <w:spacing w:line="300" w:lineRule="auto"/>
              <w:rPr>
                <w:rFonts w:ascii="Book Antiqua" w:hAnsi="Book Antiqua"/>
                <w:sz w:val="24"/>
              </w:rPr>
            </w:pPr>
            <w:r>
              <w:rPr>
                <w:rFonts w:ascii="Book Antiqua" w:hAnsi="Book Antiqua"/>
                <w:sz w:val="24"/>
              </w:rPr>
              <w:t>25</w:t>
            </w:r>
            <w:r>
              <w:rPr>
                <w:rFonts w:ascii="Book Antiqua" w:hAnsi="Book Antiqua"/>
                <w:sz w:val="24"/>
              </w:rPr>
              <w:t>（</w:t>
            </w:r>
            <w:r>
              <w:rPr>
                <w:rFonts w:ascii="Book Antiqua" w:hAnsi="Book Antiqua"/>
                <w:sz w:val="24"/>
              </w:rPr>
              <w:t>36.2</w:t>
            </w:r>
            <w:r>
              <w:rPr>
                <w:rFonts w:ascii="Book Antiqua" w:hAnsi="Book Antiqua"/>
                <w:sz w:val="24"/>
              </w:rPr>
              <w:t>）</w:t>
            </w:r>
          </w:p>
        </w:tc>
        <w:tc>
          <w:tcPr>
            <w:tcW w:w="1328" w:type="dxa"/>
            <w:vAlign w:val="center"/>
          </w:tcPr>
          <w:p w:rsidR="00C02679" w:rsidRDefault="009803CF">
            <w:pPr>
              <w:spacing w:line="300" w:lineRule="auto"/>
              <w:rPr>
                <w:rFonts w:ascii="Book Antiqua" w:hAnsi="Book Antiqua"/>
                <w:sz w:val="24"/>
              </w:rPr>
            </w:pPr>
            <w:r>
              <w:rPr>
                <w:rFonts w:ascii="Book Antiqua" w:hAnsi="Book Antiqua"/>
                <w:sz w:val="24"/>
              </w:rPr>
              <w:t>24</w:t>
            </w:r>
            <w:r>
              <w:rPr>
                <w:rFonts w:ascii="Book Antiqua" w:hAnsi="Book Antiqua"/>
                <w:sz w:val="24"/>
              </w:rPr>
              <w:t>（</w:t>
            </w:r>
            <w:r>
              <w:rPr>
                <w:rFonts w:ascii="Book Antiqua" w:hAnsi="Book Antiqua"/>
                <w:sz w:val="24"/>
              </w:rPr>
              <w:t>34.8</w:t>
            </w:r>
            <w:r>
              <w:rPr>
                <w:rFonts w:ascii="Book Antiqua" w:hAnsi="Book Antiqua"/>
                <w:sz w:val="24"/>
              </w:rPr>
              <w:t>）</w:t>
            </w:r>
          </w:p>
        </w:tc>
        <w:tc>
          <w:tcPr>
            <w:tcW w:w="1184" w:type="dxa"/>
            <w:vAlign w:val="center"/>
          </w:tcPr>
          <w:p w:rsidR="00C02679" w:rsidRDefault="009803CF">
            <w:pPr>
              <w:spacing w:line="300" w:lineRule="auto"/>
              <w:rPr>
                <w:rFonts w:ascii="Book Antiqua" w:hAnsi="Book Antiqua"/>
                <w:sz w:val="24"/>
              </w:rPr>
            </w:pPr>
            <w:r>
              <w:rPr>
                <w:rFonts w:ascii="Book Antiqua" w:hAnsi="Book Antiqua"/>
                <w:sz w:val="24"/>
              </w:rPr>
              <w:t>20</w:t>
            </w:r>
            <w:r>
              <w:rPr>
                <w:rFonts w:ascii="Book Antiqua" w:hAnsi="Book Antiqua"/>
                <w:sz w:val="24"/>
              </w:rPr>
              <w:t>（</w:t>
            </w:r>
            <w:r>
              <w:rPr>
                <w:rFonts w:ascii="Book Antiqua" w:hAnsi="Book Antiqua"/>
                <w:sz w:val="24"/>
              </w:rPr>
              <w:t>29.0</w:t>
            </w:r>
            <w:r>
              <w:rPr>
                <w:rFonts w:ascii="Book Antiqua" w:hAnsi="Book Antiqua"/>
                <w:sz w:val="24"/>
              </w:rPr>
              <w:t>）</w:t>
            </w:r>
          </w:p>
        </w:tc>
        <w:tc>
          <w:tcPr>
            <w:tcW w:w="1381" w:type="dxa"/>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309" w:type="dxa"/>
            <w:vAlign w:val="center"/>
          </w:tcPr>
          <w:p w:rsidR="00C02679" w:rsidRDefault="009803CF">
            <w:pPr>
              <w:spacing w:line="300" w:lineRule="auto"/>
              <w:jc w:val="center"/>
              <w:rPr>
                <w:rFonts w:ascii="Book Antiqua" w:hAnsi="Book Antiqua"/>
                <w:b/>
                <w:sz w:val="24"/>
              </w:rPr>
            </w:pPr>
            <w:r>
              <w:rPr>
                <w:rFonts w:ascii="Book Antiqua" w:hAnsi="Book Antiqua"/>
                <w:b/>
                <w:sz w:val="24"/>
              </w:rPr>
              <w:t>Smoking</w:t>
            </w:r>
          </w:p>
        </w:tc>
        <w:tc>
          <w:tcPr>
            <w:tcW w:w="1296" w:type="dxa"/>
            <w:vAlign w:val="center"/>
          </w:tcPr>
          <w:p w:rsidR="00C02679" w:rsidRDefault="009803CF">
            <w:pPr>
              <w:spacing w:line="300" w:lineRule="auto"/>
              <w:jc w:val="center"/>
              <w:rPr>
                <w:rFonts w:ascii="Book Antiqua" w:hAnsi="Book Antiqua"/>
                <w:sz w:val="24"/>
              </w:rPr>
            </w:pPr>
            <w:r>
              <w:rPr>
                <w:rFonts w:ascii="Book Antiqua" w:hAnsi="Book Antiqua"/>
                <w:sz w:val="24"/>
              </w:rPr>
              <w:t>Yes</w:t>
            </w:r>
          </w:p>
        </w:tc>
        <w:tc>
          <w:tcPr>
            <w:tcW w:w="832" w:type="dxa"/>
            <w:vAlign w:val="center"/>
          </w:tcPr>
          <w:p w:rsidR="00C02679" w:rsidRDefault="009803CF">
            <w:pPr>
              <w:spacing w:line="300" w:lineRule="auto"/>
              <w:jc w:val="center"/>
              <w:rPr>
                <w:rFonts w:ascii="Book Antiqua" w:hAnsi="Book Antiqua"/>
                <w:sz w:val="24"/>
              </w:rPr>
            </w:pPr>
            <w:r>
              <w:rPr>
                <w:rFonts w:ascii="Book Antiqua" w:hAnsi="Book Antiqua"/>
                <w:sz w:val="24"/>
              </w:rPr>
              <w:t>23</w:t>
            </w:r>
          </w:p>
        </w:tc>
        <w:tc>
          <w:tcPr>
            <w:tcW w:w="1192" w:type="dxa"/>
            <w:vAlign w:val="center"/>
          </w:tcPr>
          <w:p w:rsidR="00C02679" w:rsidRDefault="009803CF">
            <w:pPr>
              <w:spacing w:line="300" w:lineRule="auto"/>
              <w:rPr>
                <w:rFonts w:ascii="Book Antiqua" w:hAnsi="Book Antiqua"/>
                <w:sz w:val="24"/>
              </w:rPr>
            </w:pPr>
            <w:r>
              <w:rPr>
                <w:rFonts w:ascii="Book Antiqua" w:hAnsi="Book Antiqua"/>
                <w:sz w:val="24"/>
              </w:rPr>
              <w:t>12</w:t>
            </w:r>
            <w:r>
              <w:rPr>
                <w:rFonts w:ascii="Book Antiqua" w:hAnsi="Book Antiqua"/>
                <w:sz w:val="24"/>
              </w:rPr>
              <w:t>（</w:t>
            </w:r>
            <w:r>
              <w:rPr>
                <w:rFonts w:ascii="Book Antiqua" w:hAnsi="Book Antiqua"/>
                <w:sz w:val="24"/>
              </w:rPr>
              <w:t>52.2</w:t>
            </w:r>
            <w:r>
              <w:rPr>
                <w:rFonts w:ascii="Book Antiqua" w:hAnsi="Book Antiqua"/>
                <w:sz w:val="24"/>
              </w:rPr>
              <w:t>）</w:t>
            </w:r>
          </w:p>
        </w:tc>
        <w:tc>
          <w:tcPr>
            <w:tcW w:w="1328" w:type="dxa"/>
            <w:vAlign w:val="center"/>
          </w:tcPr>
          <w:p w:rsidR="00C02679" w:rsidRDefault="009803CF">
            <w:pPr>
              <w:spacing w:line="300" w:lineRule="auto"/>
              <w:rPr>
                <w:rFonts w:ascii="Book Antiqua" w:hAnsi="Book Antiqua"/>
                <w:sz w:val="24"/>
              </w:rPr>
            </w:pPr>
            <w:r>
              <w:rPr>
                <w:rFonts w:ascii="Book Antiqua" w:hAnsi="Book Antiqua"/>
                <w:sz w:val="24"/>
              </w:rPr>
              <w:t>6</w:t>
            </w:r>
            <w:r>
              <w:rPr>
                <w:rFonts w:ascii="Book Antiqua" w:hAnsi="Book Antiqua"/>
                <w:sz w:val="24"/>
              </w:rPr>
              <w:t>（</w:t>
            </w:r>
            <w:r>
              <w:rPr>
                <w:rFonts w:ascii="Book Antiqua" w:hAnsi="Book Antiqua"/>
                <w:sz w:val="24"/>
              </w:rPr>
              <w:t>26.1</w:t>
            </w:r>
            <w:r>
              <w:rPr>
                <w:rFonts w:ascii="Book Antiqua" w:hAnsi="Book Antiqua"/>
                <w:sz w:val="24"/>
              </w:rPr>
              <w:t>）</w:t>
            </w:r>
          </w:p>
        </w:tc>
        <w:tc>
          <w:tcPr>
            <w:tcW w:w="1184" w:type="dxa"/>
            <w:vAlign w:val="center"/>
          </w:tcPr>
          <w:p w:rsidR="00C02679" w:rsidRDefault="009803CF">
            <w:pPr>
              <w:spacing w:line="300" w:lineRule="auto"/>
              <w:rPr>
                <w:rFonts w:ascii="Book Antiqua" w:hAnsi="Book Antiqua"/>
                <w:sz w:val="24"/>
              </w:rPr>
            </w:pPr>
            <w:r>
              <w:rPr>
                <w:rFonts w:ascii="Book Antiqua" w:hAnsi="Book Antiqua"/>
                <w:sz w:val="24"/>
              </w:rPr>
              <w:t>5</w:t>
            </w:r>
            <w:r>
              <w:rPr>
                <w:rFonts w:ascii="Book Antiqua" w:hAnsi="Book Antiqua"/>
                <w:sz w:val="24"/>
              </w:rPr>
              <w:t>（</w:t>
            </w:r>
            <w:r>
              <w:rPr>
                <w:rFonts w:ascii="Book Antiqua" w:hAnsi="Book Antiqua"/>
                <w:sz w:val="24"/>
              </w:rPr>
              <w:t>21.7</w:t>
            </w:r>
            <w:r>
              <w:rPr>
                <w:rFonts w:ascii="Book Antiqua" w:hAnsi="Book Antiqua"/>
                <w:sz w:val="24"/>
              </w:rPr>
              <w:t>）</w:t>
            </w:r>
          </w:p>
        </w:tc>
        <w:tc>
          <w:tcPr>
            <w:tcW w:w="1381" w:type="dxa"/>
            <w:vAlign w:val="center"/>
          </w:tcPr>
          <w:p w:rsidR="00C02679" w:rsidRDefault="009803CF">
            <w:pPr>
              <w:spacing w:line="300" w:lineRule="auto"/>
              <w:jc w:val="center"/>
              <w:rPr>
                <w:rFonts w:ascii="Book Antiqua" w:hAnsi="Book Antiqua"/>
                <w:sz w:val="24"/>
              </w:rPr>
            </w:pPr>
            <w:r>
              <w:rPr>
                <w:rFonts w:ascii="Book Antiqua" w:hAnsi="Book Antiqua"/>
                <w:sz w:val="24"/>
              </w:rPr>
              <w:t>0.44</w:t>
            </w:r>
          </w:p>
        </w:tc>
      </w:tr>
      <w:tr w:rsidR="00C02679">
        <w:trPr>
          <w:jc w:val="center"/>
        </w:trPr>
        <w:tc>
          <w:tcPr>
            <w:tcW w:w="1309" w:type="dxa"/>
            <w:vAlign w:val="center"/>
          </w:tcPr>
          <w:p w:rsidR="00C02679" w:rsidRDefault="00C02679" w:rsidP="00A62FDF">
            <w:pPr>
              <w:spacing w:line="300" w:lineRule="auto"/>
              <w:ind w:firstLineChars="200" w:firstLine="519"/>
              <w:jc w:val="center"/>
              <w:rPr>
                <w:rFonts w:ascii="Book Antiqua" w:hAnsi="Book Antiqua"/>
                <w:b/>
                <w:sz w:val="24"/>
              </w:rPr>
            </w:pPr>
          </w:p>
        </w:tc>
        <w:tc>
          <w:tcPr>
            <w:tcW w:w="1296" w:type="dxa"/>
            <w:vAlign w:val="center"/>
          </w:tcPr>
          <w:p w:rsidR="00C02679" w:rsidRDefault="009803CF">
            <w:pPr>
              <w:spacing w:line="300" w:lineRule="auto"/>
              <w:jc w:val="center"/>
              <w:rPr>
                <w:rFonts w:ascii="Book Antiqua" w:hAnsi="Book Antiqua"/>
                <w:sz w:val="24"/>
              </w:rPr>
            </w:pPr>
            <w:r>
              <w:rPr>
                <w:rFonts w:ascii="Book Antiqua" w:hAnsi="Book Antiqua"/>
                <w:sz w:val="24"/>
              </w:rPr>
              <w:t>No</w:t>
            </w:r>
          </w:p>
        </w:tc>
        <w:tc>
          <w:tcPr>
            <w:tcW w:w="832" w:type="dxa"/>
            <w:vAlign w:val="center"/>
          </w:tcPr>
          <w:p w:rsidR="00C02679" w:rsidRDefault="009803CF">
            <w:pPr>
              <w:spacing w:line="300" w:lineRule="auto"/>
              <w:jc w:val="center"/>
              <w:rPr>
                <w:rFonts w:ascii="Book Antiqua" w:hAnsi="Book Antiqua"/>
                <w:sz w:val="24"/>
              </w:rPr>
            </w:pPr>
            <w:r>
              <w:rPr>
                <w:rFonts w:ascii="Book Antiqua" w:hAnsi="Book Antiqua"/>
                <w:sz w:val="24"/>
              </w:rPr>
              <w:t>71</w:t>
            </w:r>
          </w:p>
        </w:tc>
        <w:tc>
          <w:tcPr>
            <w:tcW w:w="1192" w:type="dxa"/>
            <w:vAlign w:val="center"/>
          </w:tcPr>
          <w:p w:rsidR="00C02679" w:rsidRDefault="009803CF">
            <w:pPr>
              <w:spacing w:line="300" w:lineRule="auto"/>
              <w:rPr>
                <w:rFonts w:ascii="Book Antiqua" w:hAnsi="Book Antiqua"/>
                <w:sz w:val="24"/>
              </w:rPr>
            </w:pPr>
            <w:r>
              <w:rPr>
                <w:rFonts w:ascii="Book Antiqua" w:hAnsi="Book Antiqua"/>
                <w:sz w:val="24"/>
              </w:rPr>
              <w:t>26</w:t>
            </w:r>
            <w:r>
              <w:rPr>
                <w:rFonts w:ascii="Book Antiqua" w:hAnsi="Book Antiqua"/>
                <w:sz w:val="24"/>
              </w:rPr>
              <w:t>（</w:t>
            </w:r>
            <w:r>
              <w:rPr>
                <w:rFonts w:ascii="Book Antiqua" w:hAnsi="Book Antiqua"/>
                <w:sz w:val="24"/>
              </w:rPr>
              <w:t>36.6</w:t>
            </w:r>
            <w:r>
              <w:rPr>
                <w:rFonts w:ascii="Book Antiqua" w:hAnsi="Book Antiqua"/>
                <w:sz w:val="24"/>
              </w:rPr>
              <w:t>）</w:t>
            </w:r>
          </w:p>
        </w:tc>
        <w:tc>
          <w:tcPr>
            <w:tcW w:w="1328" w:type="dxa"/>
            <w:vAlign w:val="center"/>
          </w:tcPr>
          <w:p w:rsidR="00C02679" w:rsidRDefault="009803CF">
            <w:pPr>
              <w:spacing w:line="300" w:lineRule="auto"/>
              <w:rPr>
                <w:rFonts w:ascii="Book Antiqua" w:hAnsi="Book Antiqua"/>
                <w:sz w:val="24"/>
              </w:rPr>
            </w:pPr>
            <w:r>
              <w:rPr>
                <w:rFonts w:ascii="Book Antiqua" w:hAnsi="Book Antiqua"/>
                <w:sz w:val="24"/>
              </w:rPr>
              <w:t>23</w:t>
            </w:r>
            <w:r>
              <w:rPr>
                <w:rFonts w:ascii="Book Antiqua" w:hAnsi="Book Antiqua"/>
                <w:sz w:val="24"/>
              </w:rPr>
              <w:t>（</w:t>
            </w:r>
            <w:r>
              <w:rPr>
                <w:rFonts w:ascii="Book Antiqua" w:hAnsi="Book Antiqua"/>
                <w:sz w:val="24"/>
              </w:rPr>
              <w:t>32.4</w:t>
            </w:r>
            <w:r>
              <w:rPr>
                <w:rFonts w:ascii="Book Antiqua" w:hAnsi="Book Antiqua"/>
                <w:sz w:val="24"/>
              </w:rPr>
              <w:t>）</w:t>
            </w:r>
          </w:p>
        </w:tc>
        <w:tc>
          <w:tcPr>
            <w:tcW w:w="1184" w:type="dxa"/>
            <w:vAlign w:val="center"/>
          </w:tcPr>
          <w:p w:rsidR="00C02679" w:rsidRDefault="009803CF">
            <w:pPr>
              <w:spacing w:line="300" w:lineRule="auto"/>
              <w:rPr>
                <w:rFonts w:ascii="Book Antiqua" w:hAnsi="Book Antiqua"/>
                <w:sz w:val="24"/>
              </w:rPr>
            </w:pPr>
            <w:r>
              <w:rPr>
                <w:rFonts w:ascii="Book Antiqua" w:hAnsi="Book Antiqua"/>
                <w:sz w:val="24"/>
              </w:rPr>
              <w:t>22</w:t>
            </w:r>
            <w:r>
              <w:rPr>
                <w:rFonts w:ascii="Book Antiqua" w:hAnsi="Book Antiqua"/>
                <w:sz w:val="24"/>
              </w:rPr>
              <w:t>（</w:t>
            </w:r>
            <w:r>
              <w:rPr>
                <w:rFonts w:ascii="Book Antiqua" w:hAnsi="Book Antiqua"/>
                <w:sz w:val="24"/>
              </w:rPr>
              <w:t>31.0</w:t>
            </w:r>
            <w:r>
              <w:rPr>
                <w:rFonts w:ascii="Book Antiqua" w:hAnsi="Book Antiqua"/>
                <w:sz w:val="24"/>
              </w:rPr>
              <w:t>）</w:t>
            </w:r>
          </w:p>
        </w:tc>
        <w:tc>
          <w:tcPr>
            <w:tcW w:w="1381" w:type="dxa"/>
            <w:vAlign w:val="center"/>
          </w:tcPr>
          <w:p w:rsidR="00C02679" w:rsidRDefault="00C02679">
            <w:pPr>
              <w:spacing w:line="300" w:lineRule="auto"/>
              <w:ind w:firstLineChars="200" w:firstLine="480"/>
              <w:jc w:val="center"/>
              <w:rPr>
                <w:rFonts w:ascii="Book Antiqua" w:hAnsi="Book Antiqua"/>
                <w:sz w:val="24"/>
              </w:rPr>
            </w:pPr>
          </w:p>
        </w:tc>
      </w:tr>
      <w:tr w:rsidR="00C02679">
        <w:trPr>
          <w:jc w:val="center"/>
        </w:trPr>
        <w:tc>
          <w:tcPr>
            <w:tcW w:w="1309" w:type="dxa"/>
            <w:vAlign w:val="center"/>
          </w:tcPr>
          <w:p w:rsidR="00C02679" w:rsidRDefault="009803CF">
            <w:pPr>
              <w:spacing w:line="300" w:lineRule="auto"/>
              <w:jc w:val="center"/>
              <w:rPr>
                <w:rFonts w:ascii="Book Antiqua" w:hAnsi="Book Antiqua"/>
                <w:b/>
                <w:sz w:val="24"/>
              </w:rPr>
            </w:pPr>
            <w:r>
              <w:rPr>
                <w:rFonts w:ascii="Book Antiqua" w:hAnsi="Book Antiqua"/>
                <w:b/>
                <w:sz w:val="24"/>
              </w:rPr>
              <w:t>Pathology</w:t>
            </w:r>
          </w:p>
        </w:tc>
        <w:tc>
          <w:tcPr>
            <w:tcW w:w="1296" w:type="dxa"/>
            <w:vAlign w:val="center"/>
          </w:tcPr>
          <w:p w:rsidR="00C02679" w:rsidRDefault="009803CF">
            <w:pPr>
              <w:spacing w:line="300" w:lineRule="auto"/>
              <w:jc w:val="center"/>
              <w:rPr>
                <w:rFonts w:ascii="Book Antiqua" w:hAnsi="Book Antiqua"/>
                <w:sz w:val="24"/>
              </w:rPr>
            </w:pPr>
            <w:r>
              <w:rPr>
                <w:rFonts w:ascii="Book Antiqua" w:hAnsi="Book Antiqua"/>
                <w:sz w:val="24"/>
              </w:rPr>
              <w:t>Adeno-</w:t>
            </w:r>
          </w:p>
        </w:tc>
        <w:tc>
          <w:tcPr>
            <w:tcW w:w="832" w:type="dxa"/>
            <w:vAlign w:val="center"/>
          </w:tcPr>
          <w:p w:rsidR="00C02679" w:rsidRDefault="009803CF">
            <w:pPr>
              <w:spacing w:line="300" w:lineRule="auto"/>
              <w:jc w:val="center"/>
              <w:rPr>
                <w:rFonts w:ascii="Book Antiqua" w:hAnsi="Book Antiqua"/>
                <w:sz w:val="24"/>
              </w:rPr>
            </w:pPr>
            <w:r>
              <w:rPr>
                <w:rFonts w:ascii="Book Antiqua" w:hAnsi="Book Antiqua"/>
                <w:sz w:val="24"/>
              </w:rPr>
              <w:t>48</w:t>
            </w:r>
          </w:p>
        </w:tc>
        <w:tc>
          <w:tcPr>
            <w:tcW w:w="1192" w:type="dxa"/>
            <w:vAlign w:val="center"/>
          </w:tcPr>
          <w:p w:rsidR="00C02679" w:rsidRDefault="009803CF">
            <w:pPr>
              <w:spacing w:line="300" w:lineRule="auto"/>
              <w:rPr>
                <w:rFonts w:ascii="Book Antiqua" w:hAnsi="Book Antiqua"/>
                <w:sz w:val="24"/>
              </w:rPr>
            </w:pPr>
            <w:r>
              <w:rPr>
                <w:rFonts w:ascii="Book Antiqua" w:hAnsi="Book Antiqua"/>
                <w:sz w:val="24"/>
              </w:rPr>
              <w:t>19</w:t>
            </w:r>
            <w:r>
              <w:rPr>
                <w:rFonts w:ascii="Book Antiqua" w:hAnsi="Book Antiqua"/>
                <w:sz w:val="24"/>
              </w:rPr>
              <w:t>（</w:t>
            </w:r>
            <w:r>
              <w:rPr>
                <w:rFonts w:ascii="Book Antiqua" w:hAnsi="Book Antiqua"/>
                <w:sz w:val="24"/>
              </w:rPr>
              <w:t>39.6</w:t>
            </w:r>
            <w:r>
              <w:rPr>
                <w:rFonts w:ascii="Book Antiqua" w:hAnsi="Book Antiqua"/>
                <w:sz w:val="24"/>
              </w:rPr>
              <w:t>）</w:t>
            </w:r>
          </w:p>
        </w:tc>
        <w:tc>
          <w:tcPr>
            <w:tcW w:w="1328" w:type="dxa"/>
            <w:vAlign w:val="center"/>
          </w:tcPr>
          <w:p w:rsidR="00C02679" w:rsidRDefault="009803CF">
            <w:pPr>
              <w:spacing w:line="300" w:lineRule="auto"/>
              <w:rPr>
                <w:rFonts w:ascii="Book Antiqua" w:hAnsi="Book Antiqua"/>
                <w:sz w:val="24"/>
              </w:rPr>
            </w:pPr>
            <w:r>
              <w:rPr>
                <w:rFonts w:ascii="Book Antiqua" w:hAnsi="Book Antiqua"/>
                <w:sz w:val="24"/>
              </w:rPr>
              <w:t>17</w:t>
            </w:r>
            <w:r>
              <w:rPr>
                <w:rFonts w:ascii="Book Antiqua" w:hAnsi="Book Antiqua"/>
                <w:sz w:val="24"/>
              </w:rPr>
              <w:t>（</w:t>
            </w:r>
            <w:r>
              <w:rPr>
                <w:rFonts w:ascii="Book Antiqua" w:hAnsi="Book Antiqua"/>
                <w:sz w:val="24"/>
              </w:rPr>
              <w:t>35.4</w:t>
            </w:r>
            <w:r>
              <w:rPr>
                <w:rFonts w:ascii="Book Antiqua" w:hAnsi="Book Antiqua"/>
                <w:sz w:val="24"/>
              </w:rPr>
              <w:t>）</w:t>
            </w:r>
          </w:p>
        </w:tc>
        <w:tc>
          <w:tcPr>
            <w:tcW w:w="1184" w:type="dxa"/>
            <w:vAlign w:val="center"/>
          </w:tcPr>
          <w:p w:rsidR="00C02679" w:rsidRDefault="009803CF">
            <w:pPr>
              <w:spacing w:line="300" w:lineRule="auto"/>
              <w:rPr>
                <w:rFonts w:ascii="Book Antiqua" w:hAnsi="Book Antiqua"/>
                <w:sz w:val="24"/>
              </w:rPr>
            </w:pPr>
            <w:r>
              <w:rPr>
                <w:rFonts w:ascii="Book Antiqua" w:hAnsi="Book Antiqua"/>
                <w:sz w:val="24"/>
              </w:rPr>
              <w:t>12</w:t>
            </w:r>
            <w:r>
              <w:rPr>
                <w:rFonts w:ascii="Book Antiqua" w:hAnsi="Book Antiqua"/>
                <w:sz w:val="24"/>
              </w:rPr>
              <w:t>（</w:t>
            </w:r>
            <w:r>
              <w:rPr>
                <w:rFonts w:ascii="Book Antiqua" w:hAnsi="Book Antiqua"/>
                <w:sz w:val="24"/>
              </w:rPr>
              <w:t>25.0</w:t>
            </w:r>
            <w:r>
              <w:rPr>
                <w:rFonts w:ascii="Book Antiqua" w:hAnsi="Book Antiqua"/>
                <w:sz w:val="24"/>
              </w:rPr>
              <w:t>）</w:t>
            </w:r>
          </w:p>
        </w:tc>
        <w:tc>
          <w:tcPr>
            <w:tcW w:w="1381" w:type="dxa"/>
            <w:vAlign w:val="center"/>
          </w:tcPr>
          <w:p w:rsidR="00C02679" w:rsidRDefault="009803CF">
            <w:pPr>
              <w:spacing w:line="300" w:lineRule="auto"/>
              <w:jc w:val="center"/>
              <w:rPr>
                <w:rFonts w:ascii="Book Antiqua" w:hAnsi="Book Antiqua"/>
                <w:sz w:val="24"/>
              </w:rPr>
            </w:pPr>
            <w:r>
              <w:rPr>
                <w:rFonts w:ascii="Book Antiqua" w:hAnsi="Book Antiqua"/>
                <w:sz w:val="24"/>
              </w:rPr>
              <w:t>0.59</w:t>
            </w:r>
          </w:p>
        </w:tc>
      </w:tr>
      <w:tr w:rsidR="00C02679">
        <w:trPr>
          <w:jc w:val="center"/>
        </w:trPr>
        <w:tc>
          <w:tcPr>
            <w:tcW w:w="1309" w:type="dxa"/>
            <w:vAlign w:val="center"/>
          </w:tcPr>
          <w:p w:rsidR="00C02679" w:rsidRDefault="00C02679" w:rsidP="00A62FDF">
            <w:pPr>
              <w:spacing w:line="300" w:lineRule="auto"/>
              <w:ind w:firstLineChars="200" w:firstLine="519"/>
              <w:jc w:val="center"/>
              <w:rPr>
                <w:rFonts w:ascii="Book Antiqua" w:hAnsi="Book Antiqua"/>
                <w:b/>
                <w:sz w:val="24"/>
              </w:rPr>
            </w:pPr>
          </w:p>
        </w:tc>
        <w:tc>
          <w:tcPr>
            <w:tcW w:w="1296" w:type="dxa"/>
            <w:vAlign w:val="center"/>
          </w:tcPr>
          <w:p w:rsidR="00C02679" w:rsidRDefault="009803CF">
            <w:pPr>
              <w:spacing w:line="300" w:lineRule="auto"/>
              <w:jc w:val="center"/>
              <w:rPr>
                <w:rFonts w:ascii="Book Antiqua" w:hAnsi="Book Antiqua"/>
                <w:sz w:val="24"/>
              </w:rPr>
            </w:pPr>
            <w:r>
              <w:rPr>
                <w:rFonts w:ascii="Book Antiqua" w:hAnsi="Book Antiqua"/>
                <w:sz w:val="24"/>
              </w:rPr>
              <w:t>Squar-</w:t>
            </w:r>
          </w:p>
        </w:tc>
        <w:tc>
          <w:tcPr>
            <w:tcW w:w="832" w:type="dxa"/>
            <w:vAlign w:val="center"/>
          </w:tcPr>
          <w:p w:rsidR="00C02679" w:rsidRDefault="009803CF">
            <w:pPr>
              <w:spacing w:line="300" w:lineRule="auto"/>
              <w:jc w:val="center"/>
              <w:rPr>
                <w:rFonts w:ascii="Book Antiqua" w:hAnsi="Book Antiqua"/>
                <w:sz w:val="24"/>
              </w:rPr>
            </w:pPr>
            <w:r>
              <w:rPr>
                <w:rFonts w:ascii="Book Antiqua" w:hAnsi="Book Antiqua"/>
                <w:sz w:val="24"/>
              </w:rPr>
              <w:t>46</w:t>
            </w:r>
          </w:p>
        </w:tc>
        <w:tc>
          <w:tcPr>
            <w:tcW w:w="1192" w:type="dxa"/>
            <w:vAlign w:val="center"/>
          </w:tcPr>
          <w:p w:rsidR="00C02679" w:rsidRDefault="009803CF">
            <w:pPr>
              <w:spacing w:line="300" w:lineRule="auto"/>
              <w:rPr>
                <w:rFonts w:ascii="Book Antiqua" w:hAnsi="Book Antiqua"/>
                <w:sz w:val="24"/>
              </w:rPr>
            </w:pPr>
            <w:r>
              <w:rPr>
                <w:rFonts w:ascii="Book Antiqua" w:hAnsi="Book Antiqua"/>
                <w:sz w:val="24"/>
              </w:rPr>
              <w:t>19</w:t>
            </w:r>
            <w:r>
              <w:rPr>
                <w:rFonts w:ascii="Book Antiqua" w:hAnsi="Book Antiqua"/>
                <w:sz w:val="24"/>
              </w:rPr>
              <w:t>（</w:t>
            </w:r>
            <w:r>
              <w:rPr>
                <w:rFonts w:ascii="Book Antiqua" w:hAnsi="Book Antiqua"/>
                <w:sz w:val="24"/>
              </w:rPr>
              <w:t>41.3</w:t>
            </w:r>
            <w:r>
              <w:rPr>
                <w:rFonts w:ascii="Book Antiqua" w:hAnsi="Book Antiqua"/>
                <w:sz w:val="24"/>
              </w:rPr>
              <w:t>）</w:t>
            </w:r>
          </w:p>
        </w:tc>
        <w:tc>
          <w:tcPr>
            <w:tcW w:w="1328" w:type="dxa"/>
            <w:vAlign w:val="center"/>
          </w:tcPr>
          <w:p w:rsidR="00C02679" w:rsidRDefault="009803CF">
            <w:pPr>
              <w:spacing w:line="300" w:lineRule="auto"/>
              <w:rPr>
                <w:rFonts w:ascii="Book Antiqua" w:hAnsi="Book Antiqua"/>
                <w:sz w:val="24"/>
              </w:rPr>
            </w:pPr>
            <w:r>
              <w:rPr>
                <w:rFonts w:ascii="Book Antiqua" w:hAnsi="Book Antiqua"/>
                <w:sz w:val="24"/>
              </w:rPr>
              <w:t>12</w:t>
            </w:r>
            <w:r>
              <w:rPr>
                <w:rFonts w:ascii="Book Antiqua" w:hAnsi="Book Antiqua"/>
                <w:sz w:val="24"/>
              </w:rPr>
              <w:t>（</w:t>
            </w:r>
            <w:r>
              <w:rPr>
                <w:rFonts w:ascii="Book Antiqua" w:hAnsi="Book Antiqua"/>
                <w:sz w:val="24"/>
              </w:rPr>
              <w:t>26.1</w:t>
            </w:r>
            <w:r>
              <w:rPr>
                <w:rFonts w:ascii="Book Antiqua" w:hAnsi="Book Antiqua"/>
                <w:sz w:val="24"/>
              </w:rPr>
              <w:t>）</w:t>
            </w:r>
          </w:p>
        </w:tc>
        <w:tc>
          <w:tcPr>
            <w:tcW w:w="1184" w:type="dxa"/>
            <w:vAlign w:val="center"/>
          </w:tcPr>
          <w:p w:rsidR="00C02679" w:rsidRDefault="009803CF">
            <w:pPr>
              <w:spacing w:line="300" w:lineRule="auto"/>
              <w:rPr>
                <w:rFonts w:ascii="Book Antiqua" w:hAnsi="Book Antiqua"/>
                <w:sz w:val="24"/>
              </w:rPr>
            </w:pPr>
            <w:r>
              <w:rPr>
                <w:rFonts w:ascii="Book Antiqua" w:hAnsi="Book Antiqua"/>
                <w:sz w:val="24"/>
              </w:rPr>
              <w:t>15</w:t>
            </w:r>
            <w:r>
              <w:rPr>
                <w:rFonts w:ascii="Book Antiqua" w:hAnsi="Book Antiqua"/>
                <w:sz w:val="24"/>
              </w:rPr>
              <w:t>（</w:t>
            </w:r>
            <w:r>
              <w:rPr>
                <w:rFonts w:ascii="Book Antiqua" w:hAnsi="Book Antiqua"/>
                <w:sz w:val="24"/>
              </w:rPr>
              <w:t>32.6</w:t>
            </w:r>
            <w:r>
              <w:rPr>
                <w:rFonts w:ascii="Book Antiqua" w:hAnsi="Book Antiqua"/>
                <w:sz w:val="24"/>
              </w:rPr>
              <w:t>）</w:t>
            </w:r>
          </w:p>
        </w:tc>
        <w:tc>
          <w:tcPr>
            <w:tcW w:w="1381" w:type="dxa"/>
            <w:vAlign w:val="center"/>
          </w:tcPr>
          <w:p w:rsidR="00C02679" w:rsidRDefault="00C02679">
            <w:pPr>
              <w:spacing w:line="300" w:lineRule="auto"/>
              <w:ind w:firstLineChars="200" w:firstLine="480"/>
              <w:jc w:val="center"/>
              <w:rPr>
                <w:rFonts w:ascii="Book Antiqua" w:hAnsi="Book Antiqua"/>
                <w:sz w:val="24"/>
              </w:rPr>
            </w:pPr>
          </w:p>
        </w:tc>
      </w:tr>
    </w:tbl>
    <w:p w:rsidR="00C02679" w:rsidRDefault="00C02679">
      <w:pPr>
        <w:spacing w:after="0" w:line="360" w:lineRule="auto"/>
        <w:rPr>
          <w:rFonts w:ascii="Book Antiqua" w:hAnsi="Book Antiqua"/>
          <w:b/>
          <w:sz w:val="24"/>
        </w:rPr>
      </w:pPr>
    </w:p>
    <w:p w:rsidR="00C02679" w:rsidRDefault="009803CF">
      <w:pPr>
        <w:spacing w:after="0" w:line="360" w:lineRule="auto"/>
        <w:rPr>
          <w:rFonts w:ascii="Book Antiqua" w:hAnsi="Book Antiqua"/>
          <w:b/>
          <w:sz w:val="24"/>
        </w:rPr>
      </w:pPr>
      <w:r>
        <w:rPr>
          <w:rFonts w:ascii="Book Antiqua" w:hAnsi="Book Antiqua"/>
          <w:b/>
          <w:sz w:val="24"/>
        </w:rPr>
        <w:t>Table 3</w:t>
      </w:r>
      <w:r>
        <w:rPr>
          <w:rFonts w:ascii="Book Antiqua" w:hAnsi="Book Antiqua" w:hint="eastAsia"/>
          <w:b/>
          <w:sz w:val="24"/>
        </w:rPr>
        <w:t xml:space="preserve"> </w:t>
      </w:r>
      <w:r>
        <w:rPr>
          <w:rFonts w:ascii="Book Antiqua" w:hAnsi="Book Antiqua"/>
          <w:b/>
          <w:sz w:val="24"/>
        </w:rPr>
        <w:t xml:space="preserve">The effect of </w:t>
      </w:r>
      <w:r>
        <w:rPr>
          <w:rFonts w:ascii="Book Antiqua" w:hAnsi="Book Antiqua"/>
          <w:b/>
          <w:i/>
          <w:sz w:val="24"/>
        </w:rPr>
        <w:t>GNAS1 T393C</w:t>
      </w:r>
      <w:r>
        <w:rPr>
          <w:rFonts w:ascii="Book Antiqua" w:hAnsi="Book Antiqua"/>
          <w:b/>
          <w:sz w:val="24"/>
        </w:rPr>
        <w:t xml:space="preserve"> on distinct carcinomas</w:t>
      </w:r>
    </w:p>
    <w:p w:rsidR="00C02679" w:rsidRDefault="00C02679">
      <w:pPr>
        <w:spacing w:after="0" w:line="360" w:lineRule="auto"/>
        <w:rPr>
          <w:rFonts w:ascii="Book Antiqua" w:hAnsi="Book Antiqua"/>
          <w:b/>
          <w:sz w:val="24"/>
        </w:rPr>
      </w:pPr>
    </w:p>
    <w:tbl>
      <w:tblPr>
        <w:tblW w:w="9025" w:type="dxa"/>
        <w:tblInd w:w="108" w:type="dxa"/>
        <w:tblBorders>
          <w:top w:val="single" w:sz="12" w:space="0" w:color="auto"/>
          <w:bottom w:val="single" w:sz="12" w:space="0" w:color="auto"/>
        </w:tblBorders>
        <w:tblLayout w:type="fixed"/>
        <w:tblLook w:val="0000" w:firstRow="0" w:lastRow="0" w:firstColumn="0" w:lastColumn="0" w:noHBand="0" w:noVBand="0"/>
      </w:tblPr>
      <w:tblGrid>
        <w:gridCol w:w="1270"/>
        <w:gridCol w:w="696"/>
        <w:gridCol w:w="2162"/>
        <w:gridCol w:w="576"/>
        <w:gridCol w:w="1203"/>
        <w:gridCol w:w="576"/>
        <w:gridCol w:w="836"/>
        <w:gridCol w:w="950"/>
        <w:gridCol w:w="756"/>
      </w:tblGrid>
      <w:tr w:rsidR="00C02679">
        <w:tc>
          <w:tcPr>
            <w:tcW w:w="1270" w:type="dxa"/>
            <w:tcBorders>
              <w:bottom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Author</w:t>
            </w:r>
          </w:p>
        </w:tc>
        <w:tc>
          <w:tcPr>
            <w:tcW w:w="696" w:type="dxa"/>
            <w:tcBorders>
              <w:bottom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Year</w:t>
            </w:r>
          </w:p>
        </w:tc>
        <w:tc>
          <w:tcPr>
            <w:tcW w:w="2162" w:type="dxa"/>
            <w:tcBorders>
              <w:bottom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Cancer type</w:t>
            </w:r>
          </w:p>
        </w:tc>
        <w:tc>
          <w:tcPr>
            <w:tcW w:w="576" w:type="dxa"/>
            <w:tcBorders>
              <w:bottom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All</w:t>
            </w:r>
          </w:p>
        </w:tc>
        <w:tc>
          <w:tcPr>
            <w:tcW w:w="1203" w:type="dxa"/>
            <w:tcBorders>
              <w:bottom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Genotype</w:t>
            </w:r>
          </w:p>
        </w:tc>
        <w:tc>
          <w:tcPr>
            <w:tcW w:w="576" w:type="dxa"/>
            <w:tcBorders>
              <w:bottom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n</w:t>
            </w:r>
          </w:p>
        </w:tc>
        <w:tc>
          <w:tcPr>
            <w:tcW w:w="836" w:type="dxa"/>
            <w:tcBorders>
              <w:bottom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OS</w:t>
            </w:r>
          </w:p>
        </w:tc>
        <w:tc>
          <w:tcPr>
            <w:tcW w:w="950" w:type="dxa"/>
            <w:tcBorders>
              <w:bottom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Benefit</w:t>
            </w:r>
          </w:p>
        </w:tc>
        <w:tc>
          <w:tcPr>
            <w:tcW w:w="756" w:type="dxa"/>
            <w:tcBorders>
              <w:bottom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 xml:space="preserve">P </w:t>
            </w:r>
          </w:p>
        </w:tc>
      </w:tr>
      <w:tr w:rsidR="00C02679">
        <w:tc>
          <w:tcPr>
            <w:tcW w:w="1270" w:type="dxa"/>
            <w:tcBorders>
              <w:top w:val="single" w:sz="12" w:space="0" w:color="auto"/>
            </w:tcBorders>
            <w:vAlign w:val="center"/>
          </w:tcPr>
          <w:p w:rsidR="00C02679" w:rsidRDefault="009803CF">
            <w:pPr>
              <w:spacing w:line="300" w:lineRule="auto"/>
              <w:jc w:val="center"/>
              <w:rPr>
                <w:rFonts w:ascii="Book Antiqua" w:hAnsi="Book Antiqua"/>
                <w:b/>
                <w:sz w:val="24"/>
              </w:rPr>
            </w:pPr>
            <w:r>
              <w:rPr>
                <w:rFonts w:ascii="Book Antiqua" w:hAnsi="Book Antiqua"/>
                <w:b/>
                <w:sz w:val="24"/>
              </w:rPr>
              <w:t>Alakus</w:t>
            </w:r>
          </w:p>
        </w:tc>
        <w:tc>
          <w:tcPr>
            <w:tcW w:w="696" w:type="dxa"/>
            <w:tcBorders>
              <w:top w:val="single" w:sz="12" w:space="0" w:color="auto"/>
            </w:tcBorders>
            <w:vAlign w:val="center"/>
          </w:tcPr>
          <w:p w:rsidR="00C02679" w:rsidRDefault="009803CF">
            <w:pPr>
              <w:spacing w:line="300" w:lineRule="auto"/>
              <w:jc w:val="center"/>
              <w:rPr>
                <w:rFonts w:ascii="Book Antiqua" w:hAnsi="Book Antiqua"/>
                <w:sz w:val="24"/>
              </w:rPr>
            </w:pPr>
            <w:r>
              <w:rPr>
                <w:rFonts w:ascii="Book Antiqua" w:hAnsi="Book Antiqua"/>
                <w:sz w:val="24"/>
              </w:rPr>
              <w:t>2009</w:t>
            </w:r>
          </w:p>
        </w:tc>
        <w:tc>
          <w:tcPr>
            <w:tcW w:w="2162" w:type="dxa"/>
            <w:tcBorders>
              <w:top w:val="single" w:sz="12" w:space="0" w:color="auto"/>
            </w:tcBorders>
            <w:vAlign w:val="center"/>
          </w:tcPr>
          <w:p w:rsidR="00C02679" w:rsidRDefault="009803CF">
            <w:pPr>
              <w:spacing w:line="300" w:lineRule="auto"/>
              <w:jc w:val="center"/>
              <w:rPr>
                <w:rFonts w:ascii="Book Antiqua" w:hAnsi="Book Antiqua"/>
                <w:sz w:val="24"/>
              </w:rPr>
            </w:pPr>
            <w:r>
              <w:rPr>
                <w:rFonts w:ascii="Book Antiqua" w:hAnsi="Book Antiqua"/>
                <w:sz w:val="24"/>
              </w:rPr>
              <w:t>Gastric cancer</w:t>
            </w:r>
          </w:p>
        </w:tc>
        <w:tc>
          <w:tcPr>
            <w:tcW w:w="576" w:type="dxa"/>
            <w:tcBorders>
              <w:top w:val="single" w:sz="12" w:space="0" w:color="auto"/>
            </w:tcBorders>
            <w:vAlign w:val="center"/>
          </w:tcPr>
          <w:p w:rsidR="00C02679" w:rsidRDefault="009803CF">
            <w:pPr>
              <w:spacing w:line="300" w:lineRule="auto"/>
              <w:jc w:val="center"/>
              <w:rPr>
                <w:rFonts w:ascii="Book Antiqua" w:hAnsi="Book Antiqua"/>
                <w:sz w:val="24"/>
              </w:rPr>
            </w:pPr>
            <w:r>
              <w:rPr>
                <w:rFonts w:ascii="Book Antiqua" w:hAnsi="Book Antiqua"/>
                <w:sz w:val="24"/>
              </w:rPr>
              <w:t>122</w:t>
            </w:r>
          </w:p>
        </w:tc>
        <w:tc>
          <w:tcPr>
            <w:tcW w:w="1203" w:type="dxa"/>
            <w:tcBorders>
              <w:top w:val="single" w:sz="12" w:space="0" w:color="auto"/>
            </w:tcBorders>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tcBorders>
              <w:top w:val="single" w:sz="12" w:space="0" w:color="auto"/>
            </w:tcBorders>
            <w:vAlign w:val="center"/>
          </w:tcPr>
          <w:p w:rsidR="00C02679" w:rsidRDefault="009803CF">
            <w:pPr>
              <w:spacing w:line="300" w:lineRule="auto"/>
              <w:jc w:val="center"/>
              <w:rPr>
                <w:rFonts w:ascii="Book Antiqua" w:hAnsi="Book Antiqua"/>
                <w:sz w:val="24"/>
              </w:rPr>
            </w:pPr>
            <w:r>
              <w:rPr>
                <w:rFonts w:ascii="Book Antiqua" w:hAnsi="Book Antiqua"/>
                <w:sz w:val="24"/>
              </w:rPr>
              <w:t>26</w:t>
            </w:r>
          </w:p>
        </w:tc>
        <w:tc>
          <w:tcPr>
            <w:tcW w:w="836" w:type="dxa"/>
            <w:tcBorders>
              <w:top w:val="single" w:sz="12" w:space="0" w:color="auto"/>
            </w:tcBorders>
            <w:vAlign w:val="center"/>
          </w:tcPr>
          <w:p w:rsidR="00C02679" w:rsidRDefault="009803CF">
            <w:pPr>
              <w:spacing w:line="300" w:lineRule="auto"/>
              <w:jc w:val="center"/>
              <w:rPr>
                <w:rFonts w:ascii="Book Antiqua" w:hAnsi="Book Antiqua"/>
                <w:sz w:val="24"/>
              </w:rPr>
            </w:pPr>
            <w:r>
              <w:rPr>
                <w:rFonts w:ascii="Book Antiqua" w:hAnsi="Book Antiqua"/>
                <w:sz w:val="24"/>
              </w:rPr>
              <w:t>56.9%</w:t>
            </w:r>
          </w:p>
        </w:tc>
        <w:tc>
          <w:tcPr>
            <w:tcW w:w="950" w:type="dxa"/>
            <w:tcBorders>
              <w:top w:val="single" w:sz="12" w:space="0" w:color="auto"/>
            </w:tcBorders>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756" w:type="dxa"/>
            <w:tcBorders>
              <w:top w:val="single" w:sz="12" w:space="0" w:color="auto"/>
            </w:tcBorders>
            <w:vAlign w:val="center"/>
          </w:tcPr>
          <w:p w:rsidR="00C02679" w:rsidRDefault="009803CF">
            <w:pPr>
              <w:spacing w:line="300" w:lineRule="auto"/>
              <w:jc w:val="center"/>
              <w:rPr>
                <w:rFonts w:ascii="Book Antiqua" w:hAnsi="Book Antiqua"/>
                <w:sz w:val="24"/>
              </w:rPr>
            </w:pPr>
            <w:r>
              <w:rPr>
                <w:rFonts w:ascii="Book Antiqua" w:hAnsi="Book Antiqua"/>
                <w:sz w:val="24"/>
              </w:rPr>
              <w:t>0.043</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57</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32.7%</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39</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42.6%</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Schmitz</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2007</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 xml:space="preserve"> Cholangiocarcinoma</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87</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15</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10%</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C+</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0.04</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41</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17%</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31</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18%</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Lehnerdt</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2008</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Laryngocarcinoma</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157</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40</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76%</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0.037</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75</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49%</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42</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43.5%</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lastRenderedPageBreak/>
              <w:t>Frey</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2006</w:t>
            </w:r>
          </w:p>
        </w:tc>
        <w:tc>
          <w:tcPr>
            <w:tcW w:w="2162" w:type="dxa"/>
            <w:vMerge w:val="restart"/>
            <w:vAlign w:val="center"/>
          </w:tcPr>
          <w:p w:rsidR="00C02679" w:rsidRDefault="009803CF">
            <w:pPr>
              <w:spacing w:line="300" w:lineRule="auto"/>
              <w:jc w:val="center"/>
              <w:rPr>
                <w:rFonts w:ascii="Book Antiqua" w:hAnsi="Book Antiqua"/>
                <w:sz w:val="24"/>
              </w:rPr>
            </w:pPr>
            <w:r>
              <w:rPr>
                <w:rFonts w:ascii="Book Antiqua" w:hAnsi="Book Antiqua"/>
                <w:sz w:val="24"/>
              </w:rPr>
              <w:t>Chronic lymphocytic leukemia</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144</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27</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73%</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T+</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0.013</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Merge/>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72</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63.3%</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45</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33.2%</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Vashist</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2011</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Esophageal cancer</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190</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38</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19%</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0.001</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96</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15%</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56</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51%</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Frey</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2005</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Bladder cancer</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254</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49</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82%</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0.015</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121</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60%</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84</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58%</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Frey</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2006</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Renal cancer</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150</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34</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91%</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0.01</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79</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81%</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37</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69%</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Frey</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2005</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 xml:space="preserve"> Colorectal cancer</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151</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36</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87.8%</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0.009</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72</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71%</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43</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50%</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Otterbach</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2007</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 xml:space="preserve"> Breast cancer</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279</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64</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23%</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0.01</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162</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40%</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53</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63%</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Lehnerdt</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2008</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Oral carcinoma</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202</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48</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51.3%</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0.015</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89</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44.7%</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65</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36.8%</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Kaderi</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2008</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Chronic lymphocytic leukemia</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279</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80</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65%</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NS</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0.802</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115</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70%</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84</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64%</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9803CF">
            <w:pPr>
              <w:spacing w:line="300" w:lineRule="auto"/>
              <w:jc w:val="center"/>
              <w:rPr>
                <w:rFonts w:ascii="Book Antiqua" w:hAnsi="Book Antiqua"/>
                <w:b/>
                <w:sz w:val="24"/>
              </w:rPr>
            </w:pPr>
            <w:r>
              <w:rPr>
                <w:rFonts w:ascii="Book Antiqua" w:hAnsi="Book Antiqua"/>
                <w:b/>
                <w:sz w:val="24"/>
              </w:rPr>
              <w:t>Frey</w:t>
            </w:r>
          </w:p>
        </w:tc>
        <w:tc>
          <w:tcPr>
            <w:tcW w:w="696" w:type="dxa"/>
            <w:vAlign w:val="center"/>
          </w:tcPr>
          <w:p w:rsidR="00C02679" w:rsidRDefault="009803CF">
            <w:pPr>
              <w:spacing w:line="300" w:lineRule="auto"/>
              <w:jc w:val="center"/>
              <w:rPr>
                <w:rFonts w:ascii="Book Antiqua" w:hAnsi="Book Antiqua"/>
                <w:sz w:val="24"/>
              </w:rPr>
            </w:pPr>
            <w:r>
              <w:rPr>
                <w:rFonts w:ascii="Book Antiqua" w:hAnsi="Book Antiqua"/>
                <w:sz w:val="24"/>
              </w:rPr>
              <w:t>2010</w:t>
            </w:r>
          </w:p>
        </w:tc>
        <w:tc>
          <w:tcPr>
            <w:tcW w:w="2162" w:type="dxa"/>
            <w:vAlign w:val="center"/>
          </w:tcPr>
          <w:p w:rsidR="00C02679" w:rsidRDefault="009803CF">
            <w:pPr>
              <w:spacing w:line="300" w:lineRule="auto"/>
              <w:jc w:val="center"/>
              <w:rPr>
                <w:rFonts w:ascii="Book Antiqua" w:hAnsi="Book Antiqua"/>
                <w:sz w:val="24"/>
              </w:rPr>
            </w:pPr>
            <w:r>
              <w:rPr>
                <w:rFonts w:ascii="Book Antiqua" w:hAnsi="Book Antiqua"/>
                <w:sz w:val="24"/>
              </w:rPr>
              <w:t>Malignant melanoma</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328</w:t>
            </w: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69</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87.1%</w:t>
            </w:r>
          </w:p>
        </w:tc>
        <w:tc>
          <w:tcPr>
            <w:tcW w:w="950" w:type="dxa"/>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756" w:type="dxa"/>
            <w:vAlign w:val="center"/>
          </w:tcPr>
          <w:p w:rsidR="00C02679" w:rsidRDefault="009803CF">
            <w:pPr>
              <w:spacing w:line="300" w:lineRule="auto"/>
              <w:jc w:val="center"/>
              <w:rPr>
                <w:rFonts w:ascii="Book Antiqua" w:hAnsi="Book Antiqua"/>
                <w:sz w:val="24"/>
              </w:rPr>
            </w:pPr>
            <w:r>
              <w:rPr>
                <w:rFonts w:ascii="Book Antiqua" w:hAnsi="Book Antiqua"/>
                <w:sz w:val="24"/>
              </w:rPr>
              <w:t>0.017</w:t>
            </w: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149</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NS</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r w:rsidR="00C02679">
        <w:tc>
          <w:tcPr>
            <w:tcW w:w="1270" w:type="dxa"/>
            <w:tcBorders>
              <w:bottom w:val="nil"/>
            </w:tcBorders>
            <w:vAlign w:val="center"/>
          </w:tcPr>
          <w:p w:rsidR="00C02679" w:rsidRDefault="00C02679">
            <w:pPr>
              <w:spacing w:line="300" w:lineRule="auto"/>
              <w:jc w:val="center"/>
              <w:rPr>
                <w:rFonts w:ascii="Book Antiqua" w:hAnsi="Book Antiqua"/>
                <w:b/>
                <w:sz w:val="24"/>
              </w:rPr>
            </w:pPr>
          </w:p>
        </w:tc>
        <w:tc>
          <w:tcPr>
            <w:tcW w:w="696" w:type="dxa"/>
            <w:tcBorders>
              <w:bottom w:val="nil"/>
            </w:tcBorders>
            <w:vAlign w:val="center"/>
          </w:tcPr>
          <w:p w:rsidR="00C02679" w:rsidRDefault="00C02679">
            <w:pPr>
              <w:spacing w:line="300" w:lineRule="auto"/>
              <w:jc w:val="center"/>
              <w:rPr>
                <w:rFonts w:ascii="Book Antiqua" w:hAnsi="Book Antiqua"/>
                <w:sz w:val="24"/>
              </w:rPr>
            </w:pPr>
          </w:p>
        </w:tc>
        <w:tc>
          <w:tcPr>
            <w:tcW w:w="2162" w:type="dxa"/>
            <w:tcBorders>
              <w:bottom w:val="nil"/>
            </w:tcBorders>
            <w:vAlign w:val="center"/>
          </w:tcPr>
          <w:p w:rsidR="00C02679" w:rsidRDefault="00C02679">
            <w:pPr>
              <w:spacing w:line="300" w:lineRule="auto"/>
              <w:jc w:val="center"/>
              <w:rPr>
                <w:rFonts w:ascii="Book Antiqua" w:hAnsi="Book Antiqua"/>
                <w:sz w:val="24"/>
              </w:rPr>
            </w:pPr>
          </w:p>
        </w:tc>
        <w:tc>
          <w:tcPr>
            <w:tcW w:w="576" w:type="dxa"/>
            <w:tcBorders>
              <w:bottom w:val="nil"/>
            </w:tcBorders>
            <w:vAlign w:val="center"/>
          </w:tcPr>
          <w:p w:rsidR="00C02679" w:rsidRDefault="00C02679">
            <w:pPr>
              <w:spacing w:line="300" w:lineRule="auto"/>
              <w:jc w:val="center"/>
              <w:rPr>
                <w:rFonts w:ascii="Book Antiqua" w:hAnsi="Book Antiqua"/>
                <w:sz w:val="24"/>
              </w:rPr>
            </w:pPr>
          </w:p>
        </w:tc>
        <w:tc>
          <w:tcPr>
            <w:tcW w:w="1203" w:type="dxa"/>
            <w:tcBorders>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tcBorders>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110</w:t>
            </w:r>
          </w:p>
        </w:tc>
        <w:tc>
          <w:tcPr>
            <w:tcW w:w="836" w:type="dxa"/>
            <w:tcBorders>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66%</w:t>
            </w:r>
          </w:p>
        </w:tc>
        <w:tc>
          <w:tcPr>
            <w:tcW w:w="950" w:type="dxa"/>
            <w:tcBorders>
              <w:bottom w:val="nil"/>
            </w:tcBorders>
            <w:vAlign w:val="center"/>
          </w:tcPr>
          <w:p w:rsidR="00C02679" w:rsidRDefault="00C02679">
            <w:pPr>
              <w:spacing w:line="300" w:lineRule="auto"/>
              <w:jc w:val="center"/>
              <w:rPr>
                <w:rFonts w:ascii="Book Antiqua" w:hAnsi="Book Antiqua"/>
                <w:sz w:val="24"/>
              </w:rPr>
            </w:pPr>
          </w:p>
        </w:tc>
        <w:tc>
          <w:tcPr>
            <w:tcW w:w="756" w:type="dxa"/>
            <w:tcBorders>
              <w:bottom w:val="nil"/>
            </w:tcBorders>
            <w:vAlign w:val="center"/>
          </w:tcPr>
          <w:p w:rsidR="00C02679" w:rsidRDefault="00C02679">
            <w:pPr>
              <w:spacing w:line="300" w:lineRule="auto"/>
              <w:jc w:val="center"/>
              <w:rPr>
                <w:rFonts w:ascii="Book Antiqua" w:hAnsi="Book Antiqua"/>
                <w:sz w:val="24"/>
              </w:rPr>
            </w:pPr>
          </w:p>
        </w:tc>
      </w:tr>
      <w:tr w:rsidR="00C02679">
        <w:tc>
          <w:tcPr>
            <w:tcW w:w="1270" w:type="dxa"/>
            <w:tcBorders>
              <w:top w:val="nil"/>
              <w:bottom w:val="nil"/>
            </w:tcBorders>
            <w:vAlign w:val="center"/>
          </w:tcPr>
          <w:p w:rsidR="00C02679" w:rsidRDefault="009803CF">
            <w:pPr>
              <w:spacing w:line="300" w:lineRule="auto"/>
              <w:jc w:val="center"/>
              <w:rPr>
                <w:rFonts w:ascii="Book Antiqua" w:hAnsi="Book Antiqua"/>
                <w:b/>
                <w:sz w:val="24"/>
              </w:rPr>
            </w:pPr>
            <w:r>
              <w:rPr>
                <w:rFonts w:ascii="Book Antiqua" w:hAnsi="Book Antiqua"/>
                <w:b/>
                <w:sz w:val="24"/>
              </w:rPr>
              <w:t>Xie</w:t>
            </w:r>
          </w:p>
        </w:tc>
        <w:tc>
          <w:tcPr>
            <w:tcW w:w="696" w:type="dxa"/>
            <w:tcBorders>
              <w:top w:val="nil"/>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2013</w:t>
            </w:r>
          </w:p>
        </w:tc>
        <w:tc>
          <w:tcPr>
            <w:tcW w:w="2162" w:type="dxa"/>
            <w:vMerge w:val="restart"/>
            <w:tcBorders>
              <w:top w:val="nil"/>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Non-small cell</w:t>
            </w:r>
          </w:p>
          <w:p w:rsidR="00C02679" w:rsidRDefault="009803CF">
            <w:pPr>
              <w:spacing w:line="300" w:lineRule="auto"/>
              <w:jc w:val="center"/>
              <w:rPr>
                <w:rFonts w:ascii="Book Antiqua" w:hAnsi="Book Antiqua"/>
                <w:sz w:val="24"/>
              </w:rPr>
            </w:pPr>
            <w:r>
              <w:rPr>
                <w:rFonts w:ascii="Book Antiqua" w:hAnsi="Book Antiqua"/>
                <w:sz w:val="24"/>
              </w:rPr>
              <w:t xml:space="preserve"> lung cancer</w:t>
            </w:r>
          </w:p>
        </w:tc>
        <w:tc>
          <w:tcPr>
            <w:tcW w:w="576" w:type="dxa"/>
            <w:tcBorders>
              <w:top w:val="nil"/>
              <w:bottom w:val="nil"/>
            </w:tcBorders>
            <w:vAlign w:val="center"/>
          </w:tcPr>
          <w:p w:rsidR="00C02679" w:rsidRDefault="00C02679">
            <w:pPr>
              <w:spacing w:line="300" w:lineRule="auto"/>
              <w:jc w:val="center"/>
              <w:rPr>
                <w:rFonts w:ascii="Book Antiqua" w:hAnsi="Book Antiqua"/>
                <w:sz w:val="24"/>
              </w:rPr>
            </w:pPr>
          </w:p>
        </w:tc>
        <w:tc>
          <w:tcPr>
            <w:tcW w:w="1203" w:type="dxa"/>
            <w:tcBorders>
              <w:top w:val="nil"/>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576" w:type="dxa"/>
            <w:tcBorders>
              <w:top w:val="nil"/>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33</w:t>
            </w:r>
          </w:p>
        </w:tc>
        <w:tc>
          <w:tcPr>
            <w:tcW w:w="836" w:type="dxa"/>
            <w:tcBorders>
              <w:top w:val="nil"/>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NS</w:t>
            </w:r>
          </w:p>
        </w:tc>
        <w:tc>
          <w:tcPr>
            <w:tcW w:w="950" w:type="dxa"/>
            <w:tcBorders>
              <w:top w:val="nil"/>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TT</w:t>
            </w:r>
          </w:p>
        </w:tc>
        <w:tc>
          <w:tcPr>
            <w:tcW w:w="756" w:type="dxa"/>
            <w:tcBorders>
              <w:top w:val="nil"/>
              <w:bottom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0.02</w:t>
            </w:r>
          </w:p>
        </w:tc>
      </w:tr>
      <w:tr w:rsidR="00C02679">
        <w:tc>
          <w:tcPr>
            <w:tcW w:w="1270" w:type="dxa"/>
            <w:tcBorders>
              <w:top w:val="nil"/>
            </w:tcBorders>
            <w:vAlign w:val="center"/>
          </w:tcPr>
          <w:p w:rsidR="00C02679" w:rsidRDefault="00C02679">
            <w:pPr>
              <w:spacing w:line="300" w:lineRule="auto"/>
              <w:jc w:val="center"/>
              <w:rPr>
                <w:rFonts w:ascii="Book Antiqua" w:hAnsi="Book Antiqua"/>
                <w:b/>
                <w:sz w:val="24"/>
              </w:rPr>
            </w:pPr>
          </w:p>
        </w:tc>
        <w:tc>
          <w:tcPr>
            <w:tcW w:w="696" w:type="dxa"/>
            <w:tcBorders>
              <w:top w:val="nil"/>
            </w:tcBorders>
            <w:vAlign w:val="center"/>
          </w:tcPr>
          <w:p w:rsidR="00C02679" w:rsidRDefault="00C02679">
            <w:pPr>
              <w:spacing w:line="300" w:lineRule="auto"/>
              <w:jc w:val="center"/>
              <w:rPr>
                <w:rFonts w:ascii="Book Antiqua" w:hAnsi="Book Antiqua"/>
                <w:sz w:val="24"/>
              </w:rPr>
            </w:pPr>
          </w:p>
        </w:tc>
        <w:tc>
          <w:tcPr>
            <w:tcW w:w="2162" w:type="dxa"/>
            <w:vMerge/>
            <w:tcBorders>
              <w:top w:val="nil"/>
            </w:tcBorders>
            <w:vAlign w:val="center"/>
          </w:tcPr>
          <w:p w:rsidR="00C02679" w:rsidRDefault="00C02679">
            <w:pPr>
              <w:spacing w:line="300" w:lineRule="auto"/>
              <w:jc w:val="center"/>
              <w:rPr>
                <w:rFonts w:ascii="Book Antiqua" w:hAnsi="Book Antiqua"/>
                <w:sz w:val="24"/>
              </w:rPr>
            </w:pPr>
          </w:p>
        </w:tc>
        <w:tc>
          <w:tcPr>
            <w:tcW w:w="576" w:type="dxa"/>
            <w:tcBorders>
              <w:top w:val="nil"/>
            </w:tcBorders>
            <w:vAlign w:val="center"/>
          </w:tcPr>
          <w:p w:rsidR="00C02679" w:rsidRDefault="00C02679">
            <w:pPr>
              <w:spacing w:line="300" w:lineRule="auto"/>
              <w:jc w:val="center"/>
              <w:rPr>
                <w:rFonts w:ascii="Book Antiqua" w:hAnsi="Book Antiqua"/>
                <w:sz w:val="24"/>
              </w:rPr>
            </w:pPr>
          </w:p>
        </w:tc>
        <w:tc>
          <w:tcPr>
            <w:tcW w:w="1203" w:type="dxa"/>
            <w:tcBorders>
              <w:top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TC</w:t>
            </w:r>
          </w:p>
        </w:tc>
        <w:tc>
          <w:tcPr>
            <w:tcW w:w="576" w:type="dxa"/>
            <w:tcBorders>
              <w:top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63</w:t>
            </w:r>
          </w:p>
        </w:tc>
        <w:tc>
          <w:tcPr>
            <w:tcW w:w="836" w:type="dxa"/>
            <w:tcBorders>
              <w:top w:val="nil"/>
            </w:tcBorders>
            <w:vAlign w:val="center"/>
          </w:tcPr>
          <w:p w:rsidR="00C02679" w:rsidRDefault="009803CF">
            <w:pPr>
              <w:spacing w:line="300" w:lineRule="auto"/>
              <w:jc w:val="center"/>
              <w:rPr>
                <w:rFonts w:ascii="Book Antiqua" w:hAnsi="Book Antiqua"/>
                <w:sz w:val="24"/>
              </w:rPr>
            </w:pPr>
            <w:r>
              <w:rPr>
                <w:rFonts w:ascii="Book Antiqua" w:hAnsi="Book Antiqua"/>
                <w:sz w:val="24"/>
              </w:rPr>
              <w:t>NS</w:t>
            </w:r>
          </w:p>
        </w:tc>
        <w:tc>
          <w:tcPr>
            <w:tcW w:w="950" w:type="dxa"/>
            <w:tcBorders>
              <w:top w:val="nil"/>
            </w:tcBorders>
            <w:vAlign w:val="center"/>
          </w:tcPr>
          <w:p w:rsidR="00C02679" w:rsidRDefault="00C02679">
            <w:pPr>
              <w:spacing w:line="300" w:lineRule="auto"/>
              <w:jc w:val="center"/>
              <w:rPr>
                <w:rFonts w:ascii="Book Antiqua" w:hAnsi="Book Antiqua"/>
                <w:sz w:val="24"/>
              </w:rPr>
            </w:pPr>
          </w:p>
        </w:tc>
        <w:tc>
          <w:tcPr>
            <w:tcW w:w="756" w:type="dxa"/>
            <w:tcBorders>
              <w:top w:val="nil"/>
            </w:tcBorders>
            <w:vAlign w:val="center"/>
          </w:tcPr>
          <w:p w:rsidR="00C02679" w:rsidRDefault="00C02679">
            <w:pPr>
              <w:spacing w:line="300" w:lineRule="auto"/>
              <w:jc w:val="center"/>
              <w:rPr>
                <w:rFonts w:ascii="Book Antiqua" w:hAnsi="Book Antiqua"/>
                <w:sz w:val="24"/>
              </w:rPr>
            </w:pPr>
          </w:p>
        </w:tc>
      </w:tr>
      <w:tr w:rsidR="00C02679">
        <w:tc>
          <w:tcPr>
            <w:tcW w:w="1270" w:type="dxa"/>
            <w:vAlign w:val="center"/>
          </w:tcPr>
          <w:p w:rsidR="00C02679" w:rsidRDefault="00C02679">
            <w:pPr>
              <w:spacing w:line="300" w:lineRule="auto"/>
              <w:jc w:val="center"/>
              <w:rPr>
                <w:rFonts w:ascii="Book Antiqua" w:hAnsi="Book Antiqua"/>
                <w:b/>
                <w:sz w:val="24"/>
              </w:rPr>
            </w:pPr>
          </w:p>
        </w:tc>
        <w:tc>
          <w:tcPr>
            <w:tcW w:w="696" w:type="dxa"/>
            <w:vAlign w:val="center"/>
          </w:tcPr>
          <w:p w:rsidR="00C02679" w:rsidRDefault="00C02679">
            <w:pPr>
              <w:spacing w:line="300" w:lineRule="auto"/>
              <w:jc w:val="center"/>
              <w:rPr>
                <w:rFonts w:ascii="Book Antiqua" w:hAnsi="Book Antiqua"/>
                <w:sz w:val="24"/>
              </w:rPr>
            </w:pPr>
          </w:p>
        </w:tc>
        <w:tc>
          <w:tcPr>
            <w:tcW w:w="2162" w:type="dxa"/>
            <w:vAlign w:val="center"/>
          </w:tcPr>
          <w:p w:rsidR="00C02679" w:rsidRDefault="00C02679">
            <w:pPr>
              <w:spacing w:line="300" w:lineRule="auto"/>
              <w:jc w:val="center"/>
              <w:rPr>
                <w:rFonts w:ascii="Book Antiqua" w:hAnsi="Book Antiqua"/>
                <w:sz w:val="24"/>
              </w:rPr>
            </w:pPr>
          </w:p>
        </w:tc>
        <w:tc>
          <w:tcPr>
            <w:tcW w:w="576" w:type="dxa"/>
            <w:vAlign w:val="center"/>
          </w:tcPr>
          <w:p w:rsidR="00C02679" w:rsidRDefault="00C02679">
            <w:pPr>
              <w:spacing w:line="300" w:lineRule="auto"/>
              <w:jc w:val="center"/>
              <w:rPr>
                <w:rFonts w:ascii="Book Antiqua" w:hAnsi="Book Antiqua"/>
                <w:sz w:val="24"/>
              </w:rPr>
            </w:pPr>
          </w:p>
        </w:tc>
        <w:tc>
          <w:tcPr>
            <w:tcW w:w="1203" w:type="dxa"/>
            <w:vAlign w:val="center"/>
          </w:tcPr>
          <w:p w:rsidR="00C02679" w:rsidRDefault="009803CF">
            <w:pPr>
              <w:spacing w:line="300" w:lineRule="auto"/>
              <w:jc w:val="center"/>
              <w:rPr>
                <w:rFonts w:ascii="Book Antiqua" w:hAnsi="Book Antiqua"/>
                <w:sz w:val="24"/>
              </w:rPr>
            </w:pPr>
            <w:r>
              <w:rPr>
                <w:rFonts w:ascii="Book Antiqua" w:hAnsi="Book Antiqua"/>
                <w:sz w:val="24"/>
              </w:rPr>
              <w:t>CC</w:t>
            </w:r>
          </w:p>
        </w:tc>
        <w:tc>
          <w:tcPr>
            <w:tcW w:w="576" w:type="dxa"/>
            <w:vAlign w:val="center"/>
          </w:tcPr>
          <w:p w:rsidR="00C02679" w:rsidRDefault="009803CF">
            <w:pPr>
              <w:spacing w:line="300" w:lineRule="auto"/>
              <w:jc w:val="center"/>
              <w:rPr>
                <w:rFonts w:ascii="Book Antiqua" w:hAnsi="Book Antiqua"/>
                <w:sz w:val="24"/>
              </w:rPr>
            </w:pPr>
            <w:r>
              <w:rPr>
                <w:rFonts w:ascii="Book Antiqua" w:hAnsi="Book Antiqua"/>
                <w:sz w:val="24"/>
              </w:rPr>
              <w:t>35</w:t>
            </w:r>
          </w:p>
        </w:tc>
        <w:tc>
          <w:tcPr>
            <w:tcW w:w="836" w:type="dxa"/>
            <w:vAlign w:val="center"/>
          </w:tcPr>
          <w:p w:rsidR="00C02679" w:rsidRDefault="009803CF">
            <w:pPr>
              <w:spacing w:line="300" w:lineRule="auto"/>
              <w:jc w:val="center"/>
              <w:rPr>
                <w:rFonts w:ascii="Book Antiqua" w:hAnsi="Book Antiqua"/>
                <w:sz w:val="24"/>
              </w:rPr>
            </w:pPr>
            <w:r>
              <w:rPr>
                <w:rFonts w:ascii="Book Antiqua" w:hAnsi="Book Antiqua"/>
                <w:sz w:val="24"/>
              </w:rPr>
              <w:t>NS</w:t>
            </w:r>
          </w:p>
        </w:tc>
        <w:tc>
          <w:tcPr>
            <w:tcW w:w="950" w:type="dxa"/>
            <w:vAlign w:val="center"/>
          </w:tcPr>
          <w:p w:rsidR="00C02679" w:rsidRDefault="00C02679">
            <w:pPr>
              <w:spacing w:line="300" w:lineRule="auto"/>
              <w:jc w:val="center"/>
              <w:rPr>
                <w:rFonts w:ascii="Book Antiqua" w:hAnsi="Book Antiqua"/>
                <w:sz w:val="24"/>
              </w:rPr>
            </w:pPr>
          </w:p>
        </w:tc>
        <w:tc>
          <w:tcPr>
            <w:tcW w:w="756" w:type="dxa"/>
            <w:vAlign w:val="center"/>
          </w:tcPr>
          <w:p w:rsidR="00C02679" w:rsidRDefault="00C02679">
            <w:pPr>
              <w:spacing w:line="300" w:lineRule="auto"/>
              <w:jc w:val="center"/>
              <w:rPr>
                <w:rFonts w:ascii="Book Antiqua" w:hAnsi="Book Antiqua"/>
                <w:sz w:val="24"/>
              </w:rPr>
            </w:pPr>
          </w:p>
        </w:tc>
      </w:tr>
    </w:tbl>
    <w:p w:rsidR="00C02679" w:rsidRDefault="009803CF">
      <w:pPr>
        <w:spacing w:line="360" w:lineRule="auto"/>
        <w:rPr>
          <w:sz w:val="24"/>
        </w:rPr>
      </w:pPr>
      <w:r>
        <w:rPr>
          <w:rFonts w:ascii="Book Antiqua" w:hAnsi="Book Antiqua"/>
          <w:sz w:val="24"/>
        </w:rPr>
        <w:t>OS</w:t>
      </w:r>
      <w:r>
        <w:rPr>
          <w:rFonts w:ascii="Book Antiqua" w:hAnsi="Book Antiqua" w:hint="eastAsia"/>
          <w:sz w:val="24"/>
        </w:rPr>
        <w:t>:</w:t>
      </w:r>
      <w:r>
        <w:rPr>
          <w:rFonts w:ascii="Book Antiqua" w:hAnsi="Book Antiqua"/>
          <w:sz w:val="24"/>
        </w:rPr>
        <w:t xml:space="preserve"> Overall survival</w:t>
      </w:r>
      <w:r>
        <w:rPr>
          <w:rFonts w:ascii="Book Antiqua" w:hAnsi="Book Antiqua" w:hint="eastAsia"/>
          <w:sz w:val="24"/>
        </w:rPr>
        <w:t>.</w:t>
      </w:r>
    </w:p>
    <w:p w:rsidR="00C02679" w:rsidRDefault="00C02679">
      <w:pPr>
        <w:spacing w:after="0" w:line="360" w:lineRule="auto"/>
        <w:rPr>
          <w:rFonts w:ascii="Book Antiqua" w:hAnsi="Book Antiqua"/>
          <w:b/>
          <w:sz w:val="24"/>
        </w:rPr>
      </w:pPr>
    </w:p>
    <w:sectPr w:rsidR="00C02679">
      <w:footerReference w:type="even" r:id="rId11"/>
      <w:footerReference w:type="default" r:id="rId12"/>
      <w:endnotePr>
        <w:numFmt w:val="decimal"/>
      </w:end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F5" w:rsidRDefault="009803CF">
      <w:pPr>
        <w:spacing w:after="0" w:line="240" w:lineRule="auto"/>
      </w:pPr>
      <w:r>
        <w:separator/>
      </w:r>
    </w:p>
  </w:endnote>
  <w:endnote w:type="continuationSeparator" w:id="0">
    <w:p w:rsidR="00117DF5" w:rsidRDefault="0098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79" w:rsidRDefault="009803CF">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C02679" w:rsidRDefault="00C026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79" w:rsidRDefault="009803CF">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A62FDF">
      <w:rPr>
        <w:rStyle w:val="PageNumber"/>
        <w:noProof/>
      </w:rPr>
      <w:t>20</w:t>
    </w:r>
    <w:r>
      <w:fldChar w:fldCharType="end"/>
    </w:r>
  </w:p>
  <w:p w:rsidR="00C02679" w:rsidRDefault="00C026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F5" w:rsidRDefault="009803CF">
      <w:pPr>
        <w:spacing w:after="0" w:line="240" w:lineRule="auto"/>
      </w:pPr>
      <w:r>
        <w:separator/>
      </w:r>
    </w:p>
  </w:footnote>
  <w:footnote w:type="continuationSeparator" w:id="0">
    <w:p w:rsidR="00117DF5" w:rsidRDefault="00980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defaultTabStop w:val="420"/>
  <w:drawingGridHorizontalSpacing w:val="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numFmt w:val="decimal"/>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79"/>
    <w:rsid w:val="00117DF5"/>
    <w:rsid w:val="00705300"/>
    <w:rsid w:val="009803CF"/>
    <w:rsid w:val="00A62FDF"/>
    <w:rsid w:val="00C02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200" w:line="276" w:lineRule="auto"/>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rPr>
      <w:sz w:val="20"/>
      <w:szCs w:val="20"/>
    </w:rPr>
  </w:style>
  <w:style w:type="paragraph" w:styleId="DocumentMap">
    <w:name w:val="Document Map"/>
    <w:basedOn w:val="Normal"/>
    <w:link w:val="DocumentMapChar"/>
    <w:rPr>
      <w:rFonts w:ascii="宋体"/>
      <w:sz w:val="18"/>
      <w:szCs w:val="18"/>
    </w:rPr>
  </w:style>
  <w:style w:type="paragraph" w:styleId="PlainText">
    <w:name w:val="Plain Text"/>
    <w:basedOn w:val="Normal"/>
    <w:link w:val="PlainTextChar"/>
    <w:pPr>
      <w:spacing w:after="0" w:line="240" w:lineRule="auto"/>
    </w:pPr>
    <w:rPr>
      <w:rFonts w:ascii="宋体" w:hAnsi="Courier New" w:cs="Courier New"/>
      <w:szCs w:val="21"/>
    </w:rPr>
  </w:style>
  <w:style w:type="paragraph" w:styleId="BalloonText">
    <w:name w:val="Balloon Text"/>
    <w:basedOn w:val="Normal"/>
    <w:rPr>
      <w:sz w:val="18"/>
      <w:szCs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link w:val="CommentText"/>
    <w:rPr>
      <w:kern w:val="2"/>
    </w:rPr>
  </w:style>
  <w:style w:type="character" w:customStyle="1" w:styleId="FooterChar">
    <w:name w:val="Footer Char"/>
    <w:link w:val="Footer"/>
    <w:rPr>
      <w:kern w:val="2"/>
      <w:sz w:val="21"/>
      <w:szCs w:val="24"/>
      <w:lang w:eastAsia="zh-CN"/>
    </w:rPr>
  </w:style>
  <w:style w:type="character" w:customStyle="1" w:styleId="CommentSubjectChar">
    <w:name w:val="Comment Subject Char"/>
    <w:link w:val="CommentSubject"/>
    <w:rPr>
      <w:b/>
      <w:bCs/>
      <w:kern w:val="2"/>
    </w:rPr>
  </w:style>
  <w:style w:type="character" w:customStyle="1" w:styleId="HeaderChar">
    <w:name w:val="Header Char"/>
    <w:link w:val="Header"/>
    <w:rPr>
      <w:kern w:val="2"/>
      <w:sz w:val="18"/>
      <w:szCs w:val="18"/>
    </w:rPr>
  </w:style>
  <w:style w:type="character" w:customStyle="1" w:styleId="DocumentMapChar">
    <w:name w:val="Document Map Char"/>
    <w:link w:val="DocumentMap"/>
    <w:rPr>
      <w:rFonts w:ascii="宋体"/>
      <w:kern w:val="2"/>
      <w:sz w:val="18"/>
      <w:szCs w:val="18"/>
    </w:rPr>
  </w:style>
  <w:style w:type="character" w:customStyle="1" w:styleId="skypec2ctextspanui1">
    <w:name w:val="skype_c2c_text_span_ui1"/>
  </w:style>
  <w:style w:type="character" w:customStyle="1" w:styleId="PlainTextChar">
    <w:name w:val="Plain Text Char"/>
    <w:link w:val="PlainText"/>
    <w:rPr>
      <w:rFonts w:ascii="宋体" w:hAnsi="Courier New" w:cs="Courier New"/>
      <w:kern w:val="2"/>
      <w:sz w:val="21"/>
      <w:szCs w:val="21"/>
    </w:rPr>
  </w:style>
  <w:style w:type="character" w:customStyle="1" w:styleId="apple-converted-space">
    <w:name w:val="apple-converted-spa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200" w:line="276" w:lineRule="auto"/>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rPr>
      <w:sz w:val="20"/>
      <w:szCs w:val="20"/>
    </w:rPr>
  </w:style>
  <w:style w:type="paragraph" w:styleId="DocumentMap">
    <w:name w:val="Document Map"/>
    <w:basedOn w:val="Normal"/>
    <w:link w:val="DocumentMapChar"/>
    <w:rPr>
      <w:rFonts w:ascii="宋体"/>
      <w:sz w:val="18"/>
      <w:szCs w:val="18"/>
    </w:rPr>
  </w:style>
  <w:style w:type="paragraph" w:styleId="PlainText">
    <w:name w:val="Plain Text"/>
    <w:basedOn w:val="Normal"/>
    <w:link w:val="PlainTextChar"/>
    <w:pPr>
      <w:spacing w:after="0" w:line="240" w:lineRule="auto"/>
    </w:pPr>
    <w:rPr>
      <w:rFonts w:ascii="宋体" w:hAnsi="Courier New" w:cs="Courier New"/>
      <w:szCs w:val="21"/>
    </w:rPr>
  </w:style>
  <w:style w:type="paragraph" w:styleId="BalloonText">
    <w:name w:val="Balloon Text"/>
    <w:basedOn w:val="Normal"/>
    <w:rPr>
      <w:sz w:val="18"/>
      <w:szCs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link w:val="CommentText"/>
    <w:rPr>
      <w:kern w:val="2"/>
    </w:rPr>
  </w:style>
  <w:style w:type="character" w:customStyle="1" w:styleId="FooterChar">
    <w:name w:val="Footer Char"/>
    <w:link w:val="Footer"/>
    <w:rPr>
      <w:kern w:val="2"/>
      <w:sz w:val="21"/>
      <w:szCs w:val="24"/>
      <w:lang w:eastAsia="zh-CN"/>
    </w:rPr>
  </w:style>
  <w:style w:type="character" w:customStyle="1" w:styleId="CommentSubjectChar">
    <w:name w:val="Comment Subject Char"/>
    <w:link w:val="CommentSubject"/>
    <w:rPr>
      <w:b/>
      <w:bCs/>
      <w:kern w:val="2"/>
    </w:rPr>
  </w:style>
  <w:style w:type="character" w:customStyle="1" w:styleId="HeaderChar">
    <w:name w:val="Header Char"/>
    <w:link w:val="Header"/>
    <w:rPr>
      <w:kern w:val="2"/>
      <w:sz w:val="18"/>
      <w:szCs w:val="18"/>
    </w:rPr>
  </w:style>
  <w:style w:type="character" w:customStyle="1" w:styleId="DocumentMapChar">
    <w:name w:val="Document Map Char"/>
    <w:link w:val="DocumentMap"/>
    <w:rPr>
      <w:rFonts w:ascii="宋体"/>
      <w:kern w:val="2"/>
      <w:sz w:val="18"/>
      <w:szCs w:val="18"/>
    </w:rPr>
  </w:style>
  <w:style w:type="character" w:customStyle="1" w:styleId="skypec2ctextspanui1">
    <w:name w:val="skype_c2c_text_span_ui1"/>
  </w:style>
  <w:style w:type="character" w:customStyle="1" w:styleId="PlainTextChar">
    <w:name w:val="Plain Text Char"/>
    <w:link w:val="PlainText"/>
    <w:rPr>
      <w:rFonts w:ascii="宋体" w:hAnsi="Courier New" w:cs="Courier New"/>
      <w:kern w:val="2"/>
      <w:sz w:val="21"/>
      <w:szCs w:val="21"/>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xinfangkaihao@sina.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5615</Words>
  <Characters>32010</Characters>
  <Application>Microsoft Macintosh Word</Application>
  <DocSecurity>0</DocSecurity>
  <Lines>266</Lines>
  <Paragraphs>75</Paragraphs>
  <ScaleCrop>false</ScaleCrop>
  <Company>Renmin Hospital</Company>
  <LinksUpToDate>false</LinksUpToDate>
  <CharactersWithSpaces>37550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effect of single nueleotide polymorphisms of GNAS1 T393C with outeome of advanced lung cancer patients</dc:title>
  <dc:creator>USER</dc:creator>
  <cp:lastModifiedBy>Na Ma</cp:lastModifiedBy>
  <cp:revision>2</cp:revision>
  <cp:lastPrinted>1901-01-01T05:00:00Z</cp:lastPrinted>
  <dcterms:created xsi:type="dcterms:W3CDTF">2014-10-31T22:38:00Z</dcterms:created>
  <dcterms:modified xsi:type="dcterms:W3CDTF">2014-10-31T22:38:00Z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