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Clinical Cases</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87640</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CASE REPORT</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color w:val="000000"/>
        </w:rPr>
        <w:t>Multiple sparganosis spinal infections mainly in the thoracic region: A case report</w:t>
      </w:r>
    </w:p>
    <w:p>
      <w:pPr>
        <w:spacing w:line="360" w:lineRule="auto"/>
        <w:jc w:val="both"/>
        <w:rPr>
          <w:rFonts w:ascii="Book Antiqua" w:hAnsi="Book Antiqua"/>
        </w:rPr>
      </w:pPr>
    </w:p>
    <w:p>
      <w:pPr>
        <w:spacing w:line="360" w:lineRule="auto"/>
        <w:jc w:val="both"/>
        <w:rPr>
          <w:rFonts w:ascii="Book Antiqua" w:hAnsi="Book Antiqua" w:eastAsia="宋体"/>
          <w:lang w:eastAsia="zh-CN"/>
        </w:rPr>
      </w:pPr>
      <w:r>
        <w:rPr>
          <w:rFonts w:ascii="Book Antiqua" w:hAnsi="Book Antiqua" w:eastAsia="Book Antiqua" w:cs="Book Antiqua"/>
          <w:color w:val="000000"/>
        </w:rPr>
        <w:t xml:space="preserve">Wen GJ </w:t>
      </w:r>
      <w:r>
        <w:rPr>
          <w:rFonts w:ascii="Book Antiqua" w:hAnsi="Book Antiqua" w:eastAsia="Book Antiqua" w:cs="Book Antiqua"/>
          <w:i/>
          <w:color w:val="000000"/>
        </w:rPr>
        <w:t>et al</w:t>
      </w:r>
      <w:r>
        <w:rPr>
          <w:rFonts w:ascii="Book Antiqua" w:hAnsi="Book Antiqua" w:eastAsia="Book Antiqua" w:cs="Book Antiqua"/>
          <w:color w:val="000000"/>
        </w:rPr>
        <w:t xml:space="preserve">. </w:t>
      </w:r>
      <w:r>
        <w:rPr>
          <w:rFonts w:hint="eastAsia" w:ascii="Book Antiqua" w:hAnsi="Book Antiqua" w:eastAsia="Book Antiqua" w:cs="Book Antiqua"/>
          <w:color w:val="000000"/>
        </w:rPr>
        <w:t>Multiple sparganosis spin</w:t>
      </w:r>
      <w:r>
        <w:rPr>
          <w:rFonts w:ascii="Book Antiqua" w:hAnsi="Book Antiqua" w:eastAsia="Book Antiqua" w:cs="Book Antiqua"/>
          <w:color w:val="000000"/>
        </w:rPr>
        <w:t>al</w:t>
      </w:r>
      <w:r>
        <w:rPr>
          <w:rFonts w:hint="eastAsia" w:ascii="Book Antiqua" w:hAnsi="Book Antiqua" w:eastAsia="Book Antiqua" w:cs="Book Antiqua"/>
          <w:color w:val="000000"/>
        </w:rPr>
        <w:t xml:space="preserve"> infection</w:t>
      </w:r>
      <w:r>
        <w:rPr>
          <w:rFonts w:ascii="Book Antiqua" w:hAnsi="Book Antiqua" w:eastAsia="Book Antiqua" w:cs="Book Antiqua"/>
          <w:color w:val="000000"/>
        </w:rPr>
        <w: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Gan-Jun Wen, Jian Chen, Shi-Fei Zhang, Zhi-Sen Zhou, Gen-Long Jiao</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Gan-Jun Wen, Jian Chen, Shi-Fei Zhang, Zhi-Sen Zhou, Gen-Long Jiao, </w:t>
      </w:r>
      <w:r>
        <w:rPr>
          <w:rFonts w:ascii="Book Antiqua" w:hAnsi="Book Antiqua" w:eastAsia="Book Antiqua" w:cs="Book Antiqua"/>
          <w:color w:val="000000"/>
        </w:rPr>
        <w:t>Department of Orthopaedics, The Sixth Affiliated Hospital of Jinan University, Dongguan 523573, Guangdong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Wen GJ, Chen J, Zhou ZS, Zhang SF, and Jiao GL contributed equally to this work; Wen GJ wrote the manuscript; all authors have read and approved the final manuscript.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Gen-Long Jiao, PhD, Doctor, Professor, </w:t>
      </w:r>
      <w:r>
        <w:rPr>
          <w:rFonts w:ascii="Book Antiqua" w:hAnsi="Book Antiqua" w:eastAsia="Book Antiqua" w:cs="Book Antiqua"/>
          <w:color w:val="000000"/>
        </w:rPr>
        <w:t>Department of Orthopaedics, The Sixth Affiliated Hospital of Jinan University, No. 88 Changdong Road, Changping Town, Dongguan 523573, Guangdong Province, China. jiaogenlong@163.com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August 20, 2023</w:t>
      </w:r>
    </w:p>
    <w:p>
      <w:pPr>
        <w:spacing w:line="360" w:lineRule="auto"/>
        <w:jc w:val="both"/>
        <w:rPr>
          <w:rFonts w:ascii="Book Antiqua" w:hAnsi="Book Antiqua"/>
          <w:lang w:eastAsia="zh-CN"/>
        </w:rPr>
      </w:pPr>
      <w:r>
        <w:rPr>
          <w:rFonts w:ascii="Book Antiqua" w:hAnsi="Book Antiqua" w:eastAsia="Book Antiqua" w:cs="Book Antiqua"/>
          <w:b/>
          <w:bCs/>
        </w:rPr>
        <w:t xml:space="preserve">Revised: </w:t>
      </w:r>
      <w:r>
        <w:rPr>
          <w:rFonts w:ascii="Book Antiqua" w:hAnsi="Book Antiqua" w:eastAsia="Book Antiqua" w:cs="Book Antiqua"/>
          <w:bCs/>
        </w:rPr>
        <w:t>November 14</w:t>
      </w:r>
      <w:r>
        <w:rPr>
          <w:rFonts w:ascii="Book Antiqua" w:hAnsi="Book Antiqua" w:eastAsia="宋体" w:cs="宋体"/>
          <w:bCs/>
          <w:lang w:eastAsia="zh-CN"/>
        </w:rPr>
        <w:t>,</w:t>
      </w:r>
      <w:r>
        <w:rPr>
          <w:rFonts w:ascii="Book Antiqua" w:hAnsi="Book Antiqua" w:cs="Book Antiqua"/>
          <w:bCs/>
          <w:lang w:eastAsia="zh-CN"/>
        </w:rPr>
        <w:t xml:space="preserve"> 2023</w:t>
      </w:r>
    </w:p>
    <w:p>
      <w:pPr>
        <w:spacing w:line="360" w:lineRule="auto"/>
        <w:rPr>
          <w:rFonts w:ascii="Book Antiqua" w:hAnsi="Book Antiqua"/>
        </w:rPr>
      </w:pPr>
      <w:r>
        <w:rPr>
          <w:rFonts w:ascii="Book Antiqua" w:hAnsi="Book Antiqua" w:eastAsia="Book Antiqua" w:cs="Book Antiqua"/>
          <w:b/>
          <w:bCs/>
        </w:rPr>
        <w:t xml:space="preserve">Accepted: </w:t>
      </w:r>
      <w:bookmarkStart w:id="0" w:name="OLE_LINK1231"/>
      <w:bookmarkStart w:id="1" w:name="OLE_LINK6830"/>
      <w:bookmarkStart w:id="2" w:name="OLE_LINK1227"/>
      <w:bookmarkStart w:id="3" w:name="OLE_LINK6812"/>
      <w:bookmarkStart w:id="4" w:name="OLE_LINK1223"/>
      <w:bookmarkStart w:id="5" w:name="OLE_LINK1199"/>
      <w:bookmarkStart w:id="6" w:name="OLE_LINK6803"/>
      <w:bookmarkStart w:id="7" w:name="OLE_LINK1224"/>
      <w:bookmarkStart w:id="8" w:name="OLE_LINK1198"/>
      <w:bookmarkStart w:id="9" w:name="OLE_LINK6834"/>
      <w:bookmarkStart w:id="10" w:name="OLE_LINK6816"/>
      <w:bookmarkStart w:id="11" w:name="OLE_LINK1222"/>
      <w:bookmarkStart w:id="12" w:name="OLE_LINK6798"/>
      <w:bookmarkStart w:id="13" w:name="OLE_LINK6827"/>
      <w:bookmarkStart w:id="14" w:name="OLE_LINK1246"/>
      <w:bookmarkStart w:id="15" w:name="OLE_LINK1218"/>
      <w:bookmarkStart w:id="16" w:name="OLE_LINK1242"/>
      <w:r>
        <w:rPr>
          <w:rFonts w:ascii="Book Antiqua" w:hAnsi="Book Antiqua"/>
        </w:rPr>
        <w:t>December 12, 2023</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pPr>
        <w:spacing w:line="360" w:lineRule="auto"/>
        <w:jc w:val="both"/>
        <w:rPr>
          <w:rFonts w:ascii="Book Antiqua" w:hAnsi="Book Antiqua"/>
        </w:rPr>
      </w:pPr>
      <w:r>
        <w:rPr>
          <w:rFonts w:ascii="Book Antiqua" w:hAnsi="Book Antiqua" w:eastAsia="Book Antiqua" w:cs="Book Antiqua"/>
          <w:b/>
          <w:bCs/>
        </w:rPr>
        <w:t>Published online:</w:t>
      </w:r>
      <w:r>
        <w:rPr>
          <w:rFonts w:hint="eastAsia" w:ascii="Book Antiqua" w:hAnsi="Book Antiqua" w:cs="Book Antiqua"/>
          <w:b/>
          <w:bCs/>
          <w:lang w:eastAsia="zh-CN"/>
        </w:rPr>
        <w:t xml:space="preserve"> </w:t>
      </w:r>
      <w:r>
        <w:rPr>
          <w:rFonts w:ascii="Book Antiqua" w:hAnsi="Book Antiqua" w:cs="Book Antiqua"/>
          <w:bCs/>
          <w:lang w:eastAsia="zh-CN"/>
        </w:rPr>
        <w:t>December 26, 2023</w:t>
      </w:r>
      <w:r>
        <w:rPr>
          <w:rFonts w:ascii="Book Antiqua" w:hAnsi="Book Antiqua" w:eastAsia="Book Antiqua" w:cs="Book Antiqua"/>
          <w:b/>
          <w:bCs/>
        </w:rPr>
        <w:t xml:space="preserve"> </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rPr>
        <w:t>Spinal infection with sparganosis is rarely seen, and multiple spinal infections with sparganosis in the thoracic spine have not been reported.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rPr>
        <w:t>In this case report, a 56-year old male patient suffered from back pain for 3 mo. Computed tomography examination of the thoracic spine showed bone destruction of the T4-5 vertebral body, as well as the right pedicle and lamina of T5. Magnetic resonance imaging showed high signals on T2W1 images and fat-suppressed images in the right vertebral body of T4-5 and the right pedicle and lamina of T5, a high signal in the vertebral canal, and similar high signals in the paravertebral and subcutaneous regions of the whole spine. Puncture biopsy showed sparganosis. Following definite diagnosis, the patient was treated with debridement of T4-5 infected lesions under a microscope, bone grafting and internal fixation. Postoperatively, the patient's back pain symptoms were significantly relieved; the incision healed after one-stage treatment, and albendazole antiparasitic treatment was administered.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rPr>
        <w:t xml:space="preserve">Puncture biopsy is the most reliable method to diagnose infection by sparganum. Removal of infected lesions under the microscope and albendazole for antiparasitic treatment are safe and effective. </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Sparganosis; Spine; Infection;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3</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rPr>
      </w:pPr>
      <w:r>
        <w:rPr>
          <w:rFonts w:hint="eastAsia" w:ascii="Book Antiqua" w:hAnsi="Book Antiqua"/>
          <w:b/>
          <w:bCs/>
          <w:lang w:val="en-US" w:eastAsia="zh-CN"/>
        </w:rPr>
        <w:t>Citation</w:t>
      </w:r>
      <w:r>
        <w:rPr>
          <w:rFonts w:hint="eastAsia" w:ascii="Book Antiqua" w:hAnsi="Book Antiqua"/>
          <w:lang w:val="en-US" w:eastAsia="zh-CN"/>
        </w:rPr>
        <w:t xml:space="preserve">: </w:t>
      </w:r>
      <w:r>
        <w:rPr>
          <w:rFonts w:ascii="Book Antiqua" w:hAnsi="Book Antiqua" w:eastAsia="Book Antiqua" w:cs="Book Antiqua"/>
          <w:color w:val="000000"/>
        </w:rPr>
        <w:t>Wen GJ, Chen J, Zhang SF, Zhou ZS, Jiao GL</w:t>
      </w:r>
      <w:r>
        <w:rPr>
          <w:rFonts w:ascii="Book Antiqua" w:hAnsi="Book Antiqua" w:eastAsia="Book Antiqua" w:cs="Book Antiqua"/>
        </w:rPr>
        <w:t xml:space="preserve">. Multiple sparganosis spinal infections mainly in the thoracic region: A case report. </w:t>
      </w:r>
      <w:r>
        <w:rPr>
          <w:rFonts w:ascii="Book Antiqua" w:hAnsi="Book Antiqua" w:eastAsia="Book Antiqua" w:cs="Book Antiqua"/>
          <w:i/>
          <w:iCs/>
        </w:rPr>
        <w:t>World J Clin Cases</w:t>
      </w:r>
      <w:r>
        <w:rPr>
          <w:rFonts w:ascii="Book Antiqua" w:hAnsi="Book Antiqua" w:eastAsia="Book Antiqua" w:cs="Book Antiqua"/>
        </w:rPr>
        <w:t xml:space="preserve"> </w:t>
      </w:r>
      <w:r>
        <w:rPr>
          <w:rFonts w:ascii="Book Antiqua" w:hAnsi="Book Antiqua" w:eastAsia="Book Antiqua" w:cs="Book Antiqua"/>
          <w:color w:val="000000"/>
        </w:rPr>
        <w:t xml:space="preserve">2023; </w:t>
      </w:r>
      <w:r>
        <w:rPr>
          <w:rFonts w:hint="eastAsia" w:ascii="Book Antiqua" w:hAnsi="Book Antiqua"/>
        </w:rPr>
        <w:t xml:space="preserve">11(36): </w:t>
      </w:r>
      <w:r>
        <w:rPr>
          <w:rStyle w:val="16"/>
          <w:rFonts w:hint="default" w:ascii="Book Antiqua" w:hAnsi="Book Antiqua" w:eastAsia="宋体" w:cs="Book Antiqua"/>
          <w:sz w:val="24"/>
          <w:szCs w:val="24"/>
          <w:lang w:val="en-US" w:eastAsia="zh-CN" w:bidi="ar"/>
        </w:rPr>
        <w:t>8507-8511</w:t>
      </w:r>
      <w:r>
        <w:rPr>
          <w:rFonts w:hint="eastAsia" w:ascii="Book Antiqua" w:hAnsi="Book Antiqua"/>
        </w:rPr>
        <w:t xml:space="preserve"> </w:t>
      </w:r>
    </w:p>
    <w:p>
      <w:pPr>
        <w:spacing w:line="360" w:lineRule="auto"/>
        <w:jc w:val="both"/>
        <w:rPr>
          <w:rFonts w:hint="eastAsia" w:ascii="Book Antiqua" w:hAnsi="Book Antiqua"/>
        </w:rPr>
      </w:pPr>
      <w:r>
        <w:rPr>
          <w:rFonts w:hint="eastAsia" w:ascii="Book Antiqua" w:hAnsi="Book Antiqua"/>
          <w:b/>
          <w:bCs/>
        </w:rPr>
        <w:t>URL</w:t>
      </w:r>
      <w:r>
        <w:rPr>
          <w:rFonts w:hint="eastAsia" w:ascii="Book Antiqua" w:hAnsi="Book Antiqua"/>
        </w:rPr>
        <w:t>: https://www.wjgnet.com/2307-8960/full/v11/i36/</w:t>
      </w:r>
      <w:r>
        <w:rPr>
          <w:rStyle w:val="16"/>
          <w:rFonts w:hint="default" w:ascii="Book Antiqua" w:hAnsi="Book Antiqua" w:eastAsia="宋体" w:cs="Book Antiqua"/>
          <w:sz w:val="24"/>
          <w:szCs w:val="24"/>
          <w:lang w:val="en-US" w:eastAsia="zh-CN" w:bidi="ar"/>
        </w:rPr>
        <w:t>8507</w:t>
      </w:r>
      <w:r>
        <w:rPr>
          <w:rFonts w:hint="eastAsia" w:ascii="Book Antiqua" w:hAnsi="Book Antiqua"/>
        </w:rPr>
        <w:t xml:space="preserve">.htm </w:t>
      </w:r>
    </w:p>
    <w:p>
      <w:pPr>
        <w:spacing w:line="360" w:lineRule="auto"/>
        <w:jc w:val="both"/>
        <w:rPr>
          <w:rFonts w:ascii="Book Antiqua" w:hAnsi="Book Antiqua" w:eastAsia="Book Antiqua" w:cs="Book Antiqua"/>
        </w:rPr>
      </w:pPr>
      <w:r>
        <w:rPr>
          <w:rFonts w:hint="eastAsia" w:ascii="Book Antiqua" w:hAnsi="Book Antiqua"/>
          <w:b/>
          <w:bCs/>
        </w:rPr>
        <w:t>DOI</w:t>
      </w:r>
      <w:r>
        <w:rPr>
          <w:rFonts w:hint="eastAsia" w:ascii="Book Antiqua" w:hAnsi="Book Antiqua"/>
        </w:rPr>
        <w:t>: https://dx.doi.org/10.12998/wjcc.v11.i36.</w:t>
      </w:r>
      <w:r>
        <w:rPr>
          <w:rStyle w:val="16"/>
          <w:rFonts w:hint="default" w:ascii="Book Antiqua" w:hAnsi="Book Antiqua" w:eastAsia="宋体" w:cs="Book Antiqua"/>
          <w:sz w:val="24"/>
          <w:szCs w:val="24"/>
          <w:lang w:val="en-US" w:eastAsia="zh-CN" w:bidi="ar"/>
        </w:rPr>
        <w:t>8507</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Spinal infection with sparganosis is rarely seen, and multiple spinal infections with sparganosis in the thoracic spine have not been reported.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Infection due to sparganum was first reported by Cobbola</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in 1883. Sparganum is a rare parasite, which can be found anywhere in the body, including the central nervous system. In spinal sparganosis, cervical vertebra, thoracic vertebra and lumbosacral vertebra have been reported</w:t>
      </w:r>
      <w:r>
        <w:rPr>
          <w:rFonts w:ascii="Book Antiqua" w:hAnsi="Book Antiqua" w:eastAsia="Book Antiqua" w:cs="Book Antiqua"/>
          <w:color w:val="000000"/>
          <w:vertAlign w:val="superscript"/>
        </w:rPr>
        <w:t>[2-7]</w:t>
      </w:r>
      <w:r>
        <w:rPr>
          <w:rFonts w:ascii="Book Antiqua" w:hAnsi="Book Antiqua" w:eastAsia="Book Antiqua" w:cs="Book Antiqua"/>
          <w:color w:val="000000"/>
        </w:rPr>
        <w:t>, and sparganosis in the spinal canal, epidural, subdural and intramedullary regions have also been reported</w:t>
      </w:r>
      <w:r>
        <w:rPr>
          <w:rFonts w:ascii="Book Antiqua" w:hAnsi="Book Antiqua" w:eastAsia="Book Antiqua" w:cs="Book Antiqua"/>
          <w:color w:val="000000"/>
          <w:vertAlign w:val="superscript"/>
        </w:rPr>
        <w:t>[8]</w:t>
      </w:r>
      <w:r>
        <w:rPr>
          <w:rFonts w:ascii="Book Antiqua" w:hAnsi="Book Antiqua" w:eastAsia="Book Antiqua" w:cs="Book Antiqua"/>
          <w:color w:val="000000"/>
        </w:rPr>
        <w:t>. However, multiple spinal infections with sparganosis in the thoracic spine, spinal canal, vertebral body and paravertebral region have not been reported.</w:t>
      </w:r>
    </w:p>
    <w:p>
      <w:pPr>
        <w:spacing w:line="360" w:lineRule="auto"/>
        <w:jc w:val="both"/>
        <w:rPr>
          <w:rFonts w:ascii="Book Antiqua" w:hAnsi="Book Antiqua" w:eastAsia="Book Antiqua" w:cs="Book Antiqua"/>
          <w:b/>
          <w:caps/>
          <w:color w:val="000000"/>
          <w:u w:val="single"/>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56-year-old male patient suffered from back pain for 3 mo.</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No special notes.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No special notes.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 patient had a habit of eating raw beef, raw mutton and raw snake meat in the past.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Physical examination showed no obvious neurological damage.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Laboratory examination results were as follows: Leukocytes and neutrophils were not significantly increased, and no obvious abnormalities in tumor markers were found.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Computed tomography examination showed that bone of the T4-5 vertebral body was damaged; the right pedicle and lamina of T5 were also damaged </w:t>
      </w:r>
      <w:r>
        <w:rPr>
          <w:rFonts w:hint="eastAsia" w:ascii="Book Antiqua" w:hAnsi="Book Antiqua" w:eastAsia="Book Antiqua" w:cs="Book Antiqua"/>
          <w:color w:val="000000"/>
        </w:rPr>
        <w:t>(Figure 1A</w:t>
      </w:r>
      <w:r>
        <w:rPr>
          <w:rFonts w:ascii="Book Antiqua" w:hAnsi="Book Antiqua" w:eastAsia="Book Antiqua" w:cs="Book Antiqua"/>
          <w:color w:val="000000"/>
        </w:rPr>
        <w:t xml:space="preserve"> and </w:t>
      </w:r>
      <w:r>
        <w:rPr>
          <w:rFonts w:hint="eastAsia" w:ascii="Book Antiqua" w:hAnsi="Book Antiqua" w:eastAsia="Book Antiqua" w:cs="Book Antiqua"/>
          <w:color w:val="000000"/>
        </w:rPr>
        <w:t>B)</w:t>
      </w:r>
      <w:r>
        <w:rPr>
          <w:rFonts w:ascii="Book Antiqua" w:hAnsi="Book Antiqua" w:eastAsia="Book Antiqua" w:cs="Book Antiqua"/>
          <w:color w:val="000000"/>
        </w:rPr>
        <w:t xml:space="preserve">. Cervical, thoracic and lumbar magnetic resonance imaging (MRI) showed high signals on T2W1 images and fat-suppressed images in the right vertebral body of T4-5 and the right pedicle and lamina of T5, high signals in the vertebral canal, with similar high signals in the paravertebral and subcutaneous regions of the whole spine </w:t>
      </w:r>
      <w:r>
        <w:rPr>
          <w:rFonts w:hint="eastAsia" w:ascii="Book Antiqua" w:hAnsi="Book Antiqua" w:eastAsia="Book Antiqua" w:cs="Book Antiqua"/>
          <w:color w:val="000000"/>
        </w:rPr>
        <w:t>(Figure</w:t>
      </w:r>
      <w:r>
        <w:rPr>
          <w:rFonts w:ascii="Book Antiqua" w:hAnsi="Book Antiqua" w:eastAsia="Book Antiqua" w:cs="Book Antiqua"/>
          <w:color w:val="000000"/>
        </w:rPr>
        <w:t xml:space="preserve"> </w:t>
      </w:r>
      <w:r>
        <w:rPr>
          <w:rFonts w:hint="eastAsia" w:ascii="Book Antiqua" w:hAnsi="Book Antiqua" w:eastAsia="Book Antiqua" w:cs="Book Antiqua"/>
          <w:color w:val="000000"/>
        </w:rPr>
        <w:t>1C-G)</w:t>
      </w:r>
      <w:r>
        <w:rPr>
          <w:rFonts w:ascii="Book Antiqua" w:hAnsi="Book Antiqua" w:eastAsia="Book Antiqua" w:cs="Book Antiqua"/>
          <w:color w:val="000000"/>
        </w:rPr>
        <w:t>.</w:t>
      </w:r>
    </w:p>
    <w:p>
      <w:pPr>
        <w:spacing w:line="360" w:lineRule="auto"/>
        <w:jc w:val="both"/>
        <w:rPr>
          <w:rFonts w:ascii="Book Antiqua" w:hAnsi="Book Antiqua" w:eastAsia="Book Antiqua" w:cs="Book Antiqua"/>
          <w:b/>
          <w:caps/>
          <w:color w:val="000000"/>
          <w:u w:val="single"/>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The biopsy results showed that parasites were found in the punctured lesions, which was consistent with sparganosis </w:t>
      </w:r>
      <w:r>
        <w:rPr>
          <w:rFonts w:hint="eastAsia" w:ascii="Book Antiqua" w:hAnsi="Book Antiqua" w:eastAsia="Book Antiqua" w:cs="Book Antiqua"/>
          <w:color w:val="000000"/>
        </w:rPr>
        <w:t>(Figure</w:t>
      </w:r>
      <w:r>
        <w:rPr>
          <w:rFonts w:ascii="Book Antiqua" w:hAnsi="Book Antiqua" w:eastAsia="Book Antiqua" w:cs="Book Antiqua"/>
          <w:color w:val="000000"/>
        </w:rPr>
        <w:t xml:space="preserve"> </w:t>
      </w:r>
      <w:r>
        <w:rPr>
          <w:rFonts w:hint="eastAsia" w:ascii="Book Antiqua" w:hAnsi="Book Antiqua" w:eastAsia="Book Antiqua" w:cs="Book Antiqua"/>
          <w:color w:val="000000"/>
        </w:rPr>
        <w:t>2)</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The patient was treated with debridement of T4-5 infected lesions, bone grafting and internal fixation. Postoperatively, the patient was treated with albendazole for 3 mo</w:t>
      </w:r>
      <w:r>
        <w:rPr>
          <w:rFonts w:hint="eastAsia" w:ascii="Book Antiqua" w:hAnsi="Book Antiqua" w:eastAsia="宋体" w:cs="Book Antiqua"/>
          <w:color w:val="000000"/>
          <w:lang w:eastAsia="zh-CN"/>
        </w:rPr>
        <w:t xml:space="preserve"> </w:t>
      </w:r>
      <w:r>
        <w:rPr>
          <w:rFonts w:ascii="Book Antiqua" w:hAnsi="Book Antiqua" w:eastAsia="宋体" w:cs="Book Antiqua"/>
          <w:color w:val="000000"/>
          <w:lang w:eastAsia="zh-CN"/>
        </w:rPr>
        <w:t>(</w:t>
      </w:r>
      <w:r>
        <w:rPr>
          <w:rFonts w:hint="eastAsia" w:ascii="Book Antiqua" w:hAnsi="Book Antiqua" w:eastAsia="宋体" w:cs="Book Antiqua"/>
          <w:color w:val="000000"/>
          <w:lang w:eastAsia="zh-CN"/>
        </w:rPr>
        <w:t>Video)</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pPr>
      <w:r>
        <w:rPr>
          <w:rFonts w:ascii="Book Antiqua" w:hAnsi="Book Antiqua" w:eastAsia="Book Antiqua" w:cs="Book Antiqua"/>
          <w:color w:val="000000"/>
        </w:rPr>
        <w:t>Following surgery, the patient's back pain symptoms were significantly relieved, and there was no neurological damage. The incision healed after one-stage treatment. One week after surgery, the patient could walk normally with a brace. Nine months after surgery, the patient had no obvious back pain, MRI showed significant absorption of the lesions, and the anteroposterior and lateral radiographs suggested that local curvature and the screw positions were satisfactory</w:t>
      </w:r>
      <w:r>
        <w:rPr>
          <w:rFonts w:hint="eastAsia" w:ascii="Book Antiqua" w:hAnsi="Book Antiqua" w:eastAsia="宋体" w:cs="Book Antiqua"/>
          <w:color w:val="000000"/>
          <w:lang w:eastAsia="zh-CN"/>
        </w:rPr>
        <w:t xml:space="preserve"> </w:t>
      </w:r>
      <w:r>
        <w:rPr>
          <w:rFonts w:ascii="Book Antiqua" w:hAnsi="Book Antiqua" w:eastAsia="宋体" w:cs="Book Antiqua"/>
          <w:color w:val="000000"/>
          <w:lang w:eastAsia="zh-CN"/>
        </w:rPr>
        <w:t>(</w:t>
      </w:r>
      <w:r>
        <w:rPr>
          <w:rFonts w:hint="eastAsia" w:ascii="Book Antiqua" w:hAnsi="Book Antiqua" w:eastAsia="Book Antiqua" w:cs="Book Antiqua"/>
          <w:color w:val="000000"/>
        </w:rPr>
        <w:t>Figure 3</w:t>
      </w:r>
      <w:r>
        <w:rPr>
          <w:rFonts w:hint="eastAsia" w:ascii="Book Antiqua" w:hAnsi="Book Antiqua" w:eastAsia="宋体" w:cs="Book Antiqua"/>
          <w:color w:val="000000"/>
          <w:lang w:eastAsia="zh-CN"/>
        </w:rPr>
        <w:t>)</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Spinal sparganosis is a very rare disease. In particular, thoracic spine sparganosis with multiple infections in the spinal region has not been reported. For the diagnosis of sparganosis, anti-sparganum antibodies in serum or cerebrospinal fluid can be detected by enzyme-linked immunosorbent assay (ELISA). The sensitivity of this diagnostic technique can reach 85.7%-100%, and the specificity can reach 95.7%</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9</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In 2014, Yamasaki </w:t>
      </w:r>
      <w:r>
        <w:rPr>
          <w:rFonts w:ascii="Book Antiqua" w:hAnsi="Book Antiqua" w:eastAsia="Book Antiqua" w:cs="Book Antiqua"/>
          <w:i/>
          <w:color w:val="000000"/>
        </w:rPr>
        <w:t>et al</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10</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proposed a new detection technology for sparganosis, the iSpaICT kit, which is faster and easier than ELISA, with better sensitivity and specificity. Sparganosis is extremely rare, and laboratory testing is not routinely carried out in most Chinese hospitals. In the present patient, MRI of the spine showed a cystic lesion located in T4-5 compressing the spinal cord, many minor mass-like lesions were located in the paravertebral and subcutaneous regions of the spine, and the MRI features were very similar to literature reports</w:t>
      </w:r>
      <w:r>
        <w:rPr>
          <w:rFonts w:ascii="Book Antiqua" w:hAnsi="Book Antiqua" w:eastAsia="Book Antiqua" w:cs="Book Antiqua"/>
          <w:color w:val="000000"/>
          <w:vertAlign w:val="superscript"/>
        </w:rPr>
        <w:t>[</w:t>
      </w:r>
      <w:r>
        <w:rPr>
          <w:rFonts w:ascii="Book Antiqua" w:hAnsi="Book Antiqua" w:eastAsia="Book Antiqua" w:cs="Book Antiqua"/>
          <w:color w:val="000000"/>
          <w:vertAlign w:val="superscript"/>
          <w:lang w:eastAsia="zh-CN"/>
        </w:rPr>
        <w:t>3,</w:t>
      </w:r>
      <w:r>
        <w:rPr>
          <w:rFonts w:hint="eastAsia" w:ascii="Book Antiqua" w:hAnsi="Book Antiqua" w:eastAsia="宋体" w:cs="Book Antiqua"/>
          <w:color w:val="000000"/>
          <w:vertAlign w:val="superscript"/>
          <w:lang w:eastAsia="zh-CN"/>
        </w:rPr>
        <w:t>11</w:t>
      </w:r>
      <w:r>
        <w:rPr>
          <w:rFonts w:ascii="Book Antiqua" w:hAnsi="Book Antiqua" w:eastAsia="Book Antiqua" w:cs="Book Antiqua"/>
          <w:color w:val="000000"/>
          <w:vertAlign w:val="superscript"/>
        </w:rPr>
        <w:t>]</w:t>
      </w:r>
      <w:r>
        <w:rPr>
          <w:rFonts w:ascii="Book Antiqua" w:hAnsi="Book Antiqua" w:eastAsia="Book Antiqua" w:cs="Book Antiqua"/>
          <w:color w:val="000000"/>
        </w:rPr>
        <w:t>. Puncture biopsy is the most effective and reliable method for diagnosing sparganosis. However, for sparganosis in the vertebral canal, subdural region, spinal cord or brain, puncture biopsy is very risky, and sometimes cannot be performed. Accordingly, these cases require to be confirmed by laboratory examinations or after focal resection. Our patient underwent a puncture biopsy on the third day after admission, and the lesion was easily visualized under fluoroscopy. The biopsy sample was submitted for examination and culture, but no bacteria were cultured. Parasites were seen under the microscope, and a small quantity of calcareous corpuscles was seen below them, which conformed to the shape of sparganosis. Broken striated muscle tissue and dead bone tissue were also seen, in addition to an inflammatory reaction. When the pathological diagnosis was confirmed, the patient was asked about his past history. The patient had a habit of eating raw beef, raw mutton and raw snake meat.</w:t>
      </w:r>
    </w:p>
    <w:p>
      <w:pPr>
        <w:spacing w:line="360" w:lineRule="auto"/>
        <w:ind w:firstLine="420"/>
        <w:jc w:val="both"/>
        <w:rPr>
          <w:rFonts w:ascii="Book Antiqua" w:hAnsi="Book Antiqua"/>
        </w:rPr>
      </w:pPr>
      <w:r>
        <w:rPr>
          <w:rFonts w:ascii="Book Antiqua" w:hAnsi="Book Antiqua" w:eastAsia="Book Antiqua" w:cs="Book Antiqua"/>
          <w:color w:val="000000"/>
        </w:rPr>
        <w:t>Following the diagnosis of sparganosis, posterior thoracic 4-5 lesion removal, bone grafting and internal fixation were performed. Compared with tumor resection, the removal of sparganosis lesions is less difficult. There is no need to embolize the blood vessels before surgery, and bleeding during surgery is easily controlled. During surgery, neuroelectrophysiological monitoring was used and the infected lesion was removed under the microscope, which enhanced the safety of surgery and ensured the thoroughness of lesion removal. After thorough removal of the dead bone and the lesion in the vertebral body, bone grafting was performed using the posterior resected vertebral lamina and small articular processes as the bone graft materials. Due to instability in this region, we implanted the pedicle rod system for internal fixation. The pedicle in the right side of the T5 was damaged. The left sides of T4 and T5 were fixed, and the right sides of T3-6 were fixed.</w:t>
      </w:r>
    </w:p>
    <w:p>
      <w:pPr>
        <w:spacing w:line="360" w:lineRule="auto"/>
        <w:ind w:firstLine="420"/>
        <w:jc w:val="both"/>
        <w:rPr>
          <w:rFonts w:ascii="Book Antiqua" w:hAnsi="Book Antiqua"/>
        </w:rPr>
      </w:pPr>
      <w:r>
        <w:rPr>
          <w:rFonts w:ascii="Book Antiqua" w:hAnsi="Book Antiqua" w:eastAsia="Book Antiqua" w:cs="Book Antiqua"/>
          <w:color w:val="000000"/>
        </w:rPr>
        <w:t>Postoperatively, antiparasitic treatment was considered very important, and the drug of choice in the literature</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3</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12</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for sparganosis is praziquantel. However, the patient experienced dizziness, chest tightness, nausea and vomiting after taking praziquantel, and switched to albendazole for 3 mo. Nine months after surgery, the patient had no obvious back pain, and MRI showed significant absorption of the lesions. Thus, treatment was considered safe and effective.</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Spinal infection with sparganosis is a rare event. We report an uncommon case of thoracic spine sparganosis with multiple sites of infection. Puncture biopsy is the most effective and reliable method for diagnosing sparganosis. Removal of infected lesions under a microscope and albendazole antiparasitic treatment was safe and effective</w:t>
      </w:r>
      <w:r>
        <w:rPr>
          <w:rFonts w:hint="eastAsia" w:ascii="Book Antiqua" w:hAnsi="Book Antiqua" w:eastAsia="宋体" w:cs="Book Antiqua"/>
          <w:color w:val="000000"/>
          <w:lang w:eastAsia="zh-CN"/>
        </w:rPr>
        <w:t xml:space="preserve"> </w:t>
      </w:r>
      <w:r>
        <w:rPr>
          <w:rFonts w:ascii="Book Antiqua" w:hAnsi="Book Antiqua" w:eastAsia="宋体" w:cs="Book Antiqua"/>
          <w:color w:val="000000"/>
          <w:lang w:eastAsia="zh-CN"/>
        </w:rPr>
        <w:t>(Video</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17" w:name="OLE_LINK7117"/>
      <w:bookmarkStart w:id="18" w:name="OLE_LINK7118"/>
      <w:r>
        <w:rPr>
          <w:rFonts w:ascii="Book Antiqua" w:hAnsi="Book Antiqua"/>
        </w:rPr>
        <w:t xml:space="preserve">1 </w:t>
      </w:r>
      <w:r>
        <w:rPr>
          <w:rFonts w:ascii="Book Antiqua" w:hAnsi="Book Antiqua"/>
          <w:b/>
          <w:bCs/>
        </w:rPr>
        <w:t>Cobbola TS</w:t>
      </w:r>
      <w:r>
        <w:rPr>
          <w:rFonts w:ascii="Book Antiqua" w:hAnsi="Book Antiqua"/>
        </w:rPr>
        <w:t>.</w:t>
      </w:r>
      <w:r>
        <w:rPr>
          <w:rFonts w:ascii="Book Antiqua" w:hAnsi="Book Antiqua"/>
          <w:b/>
          <w:bCs/>
        </w:rPr>
        <w:t xml:space="preserve"> </w:t>
      </w:r>
      <w:r>
        <w:rPr>
          <w:rFonts w:ascii="Book Antiqua" w:hAnsi="Book Antiqua"/>
          <w:bCs/>
        </w:rPr>
        <w:t>Description of ligulamansoni,</w:t>
      </w:r>
      <w:r>
        <w:rPr>
          <w:rFonts w:ascii="Book Antiqua" w:hAnsi="Book Antiqua"/>
        </w:rPr>
        <w:t xml:space="preserve"> a new human cestode. </w:t>
      </w:r>
      <w:r>
        <w:rPr>
          <w:rFonts w:ascii="Book Antiqua" w:hAnsi="Book Antiqua"/>
          <w:i/>
        </w:rPr>
        <w:t>J Lin Soc Lond</w:t>
      </w:r>
      <w:r>
        <w:rPr>
          <w:rFonts w:ascii="Book Antiqua" w:hAnsi="Book Antiqua"/>
        </w:rPr>
        <w:t xml:space="preserve"> 1883; </w:t>
      </w:r>
      <w:r>
        <w:rPr>
          <w:rFonts w:ascii="Book Antiqua" w:hAnsi="Book Antiqua"/>
          <w:b/>
        </w:rPr>
        <w:t>17</w:t>
      </w:r>
      <w:r>
        <w:rPr>
          <w:rFonts w:ascii="Book Antiqua" w:hAnsi="Book Antiqua"/>
          <w:bCs/>
        </w:rPr>
        <w:t>:</w:t>
      </w:r>
      <w:r>
        <w:rPr>
          <w:rFonts w:ascii="Book Antiqua" w:hAnsi="Book Antiqua"/>
          <w:b/>
        </w:rPr>
        <w:t xml:space="preserve"> </w:t>
      </w:r>
      <w:r>
        <w:rPr>
          <w:rFonts w:ascii="Book Antiqua" w:hAnsi="Book Antiqua"/>
        </w:rPr>
        <w:t>78-83 [DOI: 10.1111/j.1096-3642.1883.tb00237.x]</w:t>
      </w:r>
    </w:p>
    <w:p>
      <w:pPr>
        <w:spacing w:line="360" w:lineRule="auto"/>
        <w:jc w:val="both"/>
        <w:rPr>
          <w:rFonts w:ascii="Book Antiqua" w:hAnsi="Book Antiqua"/>
        </w:rPr>
      </w:pPr>
      <w:r>
        <w:rPr>
          <w:rFonts w:ascii="Book Antiqua" w:hAnsi="Book Antiqua"/>
        </w:rPr>
        <w:t xml:space="preserve">2 </w:t>
      </w:r>
      <w:r>
        <w:rPr>
          <w:rFonts w:ascii="Book Antiqua" w:hAnsi="Book Antiqua"/>
          <w:b/>
          <w:bCs/>
        </w:rPr>
        <w:t>Jang SY</w:t>
      </w:r>
      <w:r>
        <w:rPr>
          <w:rFonts w:ascii="Book Antiqua" w:hAnsi="Book Antiqua"/>
        </w:rPr>
        <w:t xml:space="preserve">, Kim CH. Migration of sparganosis from the brain to the cervical spinal cord. </w:t>
      </w:r>
      <w:r>
        <w:rPr>
          <w:rFonts w:ascii="Book Antiqua" w:hAnsi="Book Antiqua"/>
          <w:i/>
          <w:iCs/>
        </w:rPr>
        <w:t>J Korean Neurosurg Soc</w:t>
      </w:r>
      <w:r>
        <w:rPr>
          <w:rFonts w:ascii="Book Antiqua" w:hAnsi="Book Antiqua"/>
        </w:rPr>
        <w:t xml:space="preserve"> 2012; </w:t>
      </w:r>
      <w:r>
        <w:rPr>
          <w:rFonts w:ascii="Book Antiqua" w:hAnsi="Book Antiqua"/>
          <w:b/>
          <w:bCs/>
        </w:rPr>
        <w:t>51</w:t>
      </w:r>
      <w:r>
        <w:rPr>
          <w:rFonts w:ascii="Book Antiqua" w:hAnsi="Book Antiqua"/>
        </w:rPr>
        <w:t>: 170-172 [PMID: 22639717 DOI: 10.3340/jkns.2012.51.3.170]</w:t>
      </w:r>
    </w:p>
    <w:p>
      <w:pPr>
        <w:spacing w:line="360" w:lineRule="auto"/>
        <w:jc w:val="both"/>
        <w:rPr>
          <w:rFonts w:ascii="Book Antiqua" w:hAnsi="Book Antiqua"/>
        </w:rPr>
      </w:pPr>
      <w:r>
        <w:rPr>
          <w:rFonts w:ascii="Book Antiqua" w:hAnsi="Book Antiqua"/>
        </w:rPr>
        <w:t xml:space="preserve">3 </w:t>
      </w:r>
      <w:r>
        <w:rPr>
          <w:rFonts w:ascii="Book Antiqua" w:hAnsi="Book Antiqua"/>
          <w:b/>
          <w:bCs/>
        </w:rPr>
        <w:t>Bao XY</w:t>
      </w:r>
      <w:r>
        <w:rPr>
          <w:rFonts w:ascii="Book Antiqua" w:hAnsi="Book Antiqua"/>
        </w:rPr>
        <w:t xml:space="preserve">, Ding XH, Lu YC. Sparganosis presenting as radiculalgia at the conus medullaris. </w:t>
      </w:r>
      <w:r>
        <w:rPr>
          <w:rFonts w:ascii="Book Antiqua" w:hAnsi="Book Antiqua"/>
          <w:i/>
          <w:iCs/>
        </w:rPr>
        <w:t>Clin Neurol Neurosurg</w:t>
      </w:r>
      <w:r>
        <w:rPr>
          <w:rFonts w:ascii="Book Antiqua" w:hAnsi="Book Antiqua"/>
        </w:rPr>
        <w:t xml:space="preserve"> 2008; </w:t>
      </w:r>
      <w:r>
        <w:rPr>
          <w:rFonts w:ascii="Book Antiqua" w:hAnsi="Book Antiqua"/>
          <w:b/>
          <w:bCs/>
        </w:rPr>
        <w:t>110</w:t>
      </w:r>
      <w:r>
        <w:rPr>
          <w:rFonts w:ascii="Book Antiqua" w:hAnsi="Book Antiqua"/>
        </w:rPr>
        <w:t>: 843-846 [PMID: 18617320 DOI: 10.1016/j.clineuro.2008.05.020]</w:t>
      </w:r>
    </w:p>
    <w:p>
      <w:pPr>
        <w:spacing w:line="360" w:lineRule="auto"/>
        <w:jc w:val="both"/>
        <w:rPr>
          <w:rFonts w:ascii="Book Antiqua" w:hAnsi="Book Antiqua"/>
        </w:rPr>
      </w:pPr>
      <w:r>
        <w:rPr>
          <w:rFonts w:ascii="Book Antiqua" w:hAnsi="Book Antiqua"/>
        </w:rPr>
        <w:t xml:space="preserve">4 </w:t>
      </w:r>
      <w:r>
        <w:rPr>
          <w:rFonts w:ascii="Book Antiqua" w:hAnsi="Book Antiqua"/>
          <w:b/>
          <w:bCs/>
        </w:rPr>
        <w:t>Park JH</w:t>
      </w:r>
      <w:r>
        <w:rPr>
          <w:rFonts w:ascii="Book Antiqua" w:hAnsi="Book Antiqua"/>
        </w:rPr>
        <w:t xml:space="preserve">, Park YS, Kim JS, Roh SW. Sparganosis in the lumbar spine: report of two cases and review of the literature. </w:t>
      </w:r>
      <w:r>
        <w:rPr>
          <w:rFonts w:ascii="Book Antiqua" w:hAnsi="Book Antiqua"/>
          <w:i/>
          <w:iCs/>
        </w:rPr>
        <w:t>J Korean Neurosurg Soc</w:t>
      </w:r>
      <w:r>
        <w:rPr>
          <w:rFonts w:ascii="Book Antiqua" w:hAnsi="Book Antiqua"/>
        </w:rPr>
        <w:t xml:space="preserve"> 2011; </w:t>
      </w:r>
      <w:r>
        <w:rPr>
          <w:rFonts w:ascii="Book Antiqua" w:hAnsi="Book Antiqua"/>
          <w:b/>
          <w:bCs/>
        </w:rPr>
        <w:t>49</w:t>
      </w:r>
      <w:r>
        <w:rPr>
          <w:rFonts w:ascii="Book Antiqua" w:hAnsi="Book Antiqua"/>
        </w:rPr>
        <w:t>: 241-244 [PMID: 21607186 DOI: 10.3340/jkns.2011.49.4.241]</w:t>
      </w:r>
    </w:p>
    <w:p>
      <w:pPr>
        <w:spacing w:line="360" w:lineRule="auto"/>
        <w:jc w:val="both"/>
        <w:rPr>
          <w:rFonts w:ascii="Book Antiqua" w:hAnsi="Book Antiqua"/>
        </w:rPr>
      </w:pPr>
      <w:r>
        <w:rPr>
          <w:rFonts w:ascii="Book Antiqua" w:hAnsi="Book Antiqua"/>
        </w:rPr>
        <w:t xml:space="preserve">5 </w:t>
      </w:r>
      <w:r>
        <w:rPr>
          <w:rFonts w:ascii="Book Antiqua" w:hAnsi="Book Antiqua"/>
          <w:b/>
          <w:bCs/>
        </w:rPr>
        <w:t>Chotmongkol V</w:t>
      </w:r>
      <w:r>
        <w:rPr>
          <w:rFonts w:ascii="Book Antiqua" w:hAnsi="Book Antiqua"/>
        </w:rPr>
        <w:t xml:space="preserve">, Phuttharak W, Jingjit K, Chaisuriya N, Sanpool O, Chaichan S, Khamsai S. Case Report: Sparganosis of the Cauda Equina. </w:t>
      </w:r>
      <w:r>
        <w:rPr>
          <w:rFonts w:ascii="Book Antiqua" w:hAnsi="Book Antiqua"/>
          <w:i/>
          <w:iCs/>
        </w:rPr>
        <w:t>Am J Trop Med Hyg</w:t>
      </w:r>
      <w:r>
        <w:rPr>
          <w:rFonts w:ascii="Book Antiqua" w:hAnsi="Book Antiqua"/>
        </w:rPr>
        <w:t xml:space="preserve"> 2021; </w:t>
      </w:r>
      <w:r>
        <w:rPr>
          <w:rFonts w:ascii="Book Antiqua" w:hAnsi="Book Antiqua"/>
          <w:b/>
          <w:bCs/>
        </w:rPr>
        <w:t>104</w:t>
      </w:r>
      <w:r>
        <w:rPr>
          <w:rFonts w:ascii="Book Antiqua" w:hAnsi="Book Antiqua"/>
        </w:rPr>
        <w:t>: 298-302 [PMID: 33124542 DOI: 10.4269/ajtmh.20-0712]</w:t>
      </w:r>
    </w:p>
    <w:p>
      <w:pPr>
        <w:spacing w:line="360" w:lineRule="auto"/>
        <w:jc w:val="both"/>
        <w:rPr>
          <w:rFonts w:ascii="Book Antiqua" w:hAnsi="Book Antiqua"/>
        </w:rPr>
      </w:pPr>
      <w:r>
        <w:rPr>
          <w:rFonts w:ascii="Book Antiqua" w:hAnsi="Book Antiqua"/>
        </w:rPr>
        <w:t xml:space="preserve">6 </w:t>
      </w:r>
      <w:r>
        <w:rPr>
          <w:rFonts w:ascii="Book Antiqua" w:hAnsi="Book Antiqua"/>
          <w:b/>
          <w:bCs/>
        </w:rPr>
        <w:t>Fan JF</w:t>
      </w:r>
      <w:r>
        <w:rPr>
          <w:rFonts w:ascii="Book Antiqua" w:hAnsi="Book Antiqua"/>
        </w:rPr>
        <w:t xml:space="preserve">, Huang S, Li J, Peng RJ, Huang H, Ding XP, Jiang LP, Xi J. A Human Case of Lumbosacral Canal Sparganosis in China. </w:t>
      </w:r>
      <w:r>
        <w:rPr>
          <w:rFonts w:ascii="Book Antiqua" w:hAnsi="Book Antiqua"/>
          <w:i/>
          <w:iCs/>
        </w:rPr>
        <w:t>Korean J Parasitol</w:t>
      </w:r>
      <w:r>
        <w:rPr>
          <w:rFonts w:ascii="Book Antiqua" w:hAnsi="Book Antiqua"/>
        </w:rPr>
        <w:t xml:space="preserve"> 2021; </w:t>
      </w:r>
      <w:r>
        <w:rPr>
          <w:rFonts w:ascii="Book Antiqua" w:hAnsi="Book Antiqua"/>
          <w:b/>
          <w:bCs/>
        </w:rPr>
        <w:t>59</w:t>
      </w:r>
      <w:r>
        <w:rPr>
          <w:rFonts w:ascii="Book Antiqua" w:hAnsi="Book Antiqua"/>
        </w:rPr>
        <w:t>: 635-638 [PMID: 34974670 DOI: 10.3347/kjp.2021.59.6.635]</w:t>
      </w:r>
    </w:p>
    <w:p>
      <w:pPr>
        <w:spacing w:line="360" w:lineRule="auto"/>
        <w:jc w:val="both"/>
        <w:rPr>
          <w:rFonts w:ascii="Book Antiqua" w:hAnsi="Book Antiqua"/>
        </w:rPr>
      </w:pPr>
      <w:r>
        <w:rPr>
          <w:rFonts w:ascii="Book Antiqua" w:hAnsi="Book Antiqua"/>
        </w:rPr>
        <w:t xml:space="preserve">7 </w:t>
      </w:r>
      <w:r>
        <w:rPr>
          <w:rFonts w:ascii="Book Antiqua" w:hAnsi="Book Antiqua"/>
          <w:b/>
          <w:bCs/>
        </w:rPr>
        <w:t>Boonyasiri A</w:t>
      </w:r>
      <w:r>
        <w:rPr>
          <w:rFonts w:ascii="Book Antiqua" w:hAnsi="Book Antiqua"/>
        </w:rPr>
        <w:t xml:space="preserve">, Cheunsuchon P, Srirabheebhat P, Yamasaki H, Maleewong W, Intapan PM. Sparganosis presenting as cauda equina syndrome with molecular identification of the parasite in tissue sections. </w:t>
      </w:r>
      <w:r>
        <w:rPr>
          <w:rFonts w:ascii="Book Antiqua" w:hAnsi="Book Antiqua"/>
          <w:i/>
          <w:iCs/>
        </w:rPr>
        <w:t>Korean J Parasitol</w:t>
      </w:r>
      <w:r>
        <w:rPr>
          <w:rFonts w:ascii="Book Antiqua" w:hAnsi="Book Antiqua"/>
        </w:rPr>
        <w:t xml:space="preserve"> 2013; </w:t>
      </w:r>
      <w:r>
        <w:rPr>
          <w:rFonts w:ascii="Book Antiqua" w:hAnsi="Book Antiqua"/>
          <w:b/>
          <w:bCs/>
        </w:rPr>
        <w:t>51</w:t>
      </w:r>
      <w:r>
        <w:rPr>
          <w:rFonts w:ascii="Book Antiqua" w:hAnsi="Book Antiqua"/>
        </w:rPr>
        <w:t>: 739-742 [PMID: 24516282 DOI: 10.3347/kjp.2013.51.6.739]</w:t>
      </w:r>
    </w:p>
    <w:p>
      <w:pPr>
        <w:spacing w:line="360" w:lineRule="auto"/>
        <w:jc w:val="both"/>
        <w:rPr>
          <w:rFonts w:ascii="Book Antiqua" w:hAnsi="Book Antiqua"/>
        </w:rPr>
      </w:pPr>
      <w:r>
        <w:rPr>
          <w:rFonts w:ascii="Book Antiqua" w:hAnsi="Book Antiqua"/>
        </w:rPr>
        <w:t xml:space="preserve">8 </w:t>
      </w:r>
      <w:r>
        <w:rPr>
          <w:rFonts w:ascii="Book Antiqua" w:hAnsi="Book Antiqua"/>
          <w:b/>
          <w:bCs/>
        </w:rPr>
        <w:t>Cho YD</w:t>
      </w:r>
      <w:r>
        <w:rPr>
          <w:rFonts w:ascii="Book Antiqua" w:hAnsi="Book Antiqua"/>
        </w:rPr>
        <w:t xml:space="preserve">, Huh JD, Hwang YS, Kim HK. Sparganosis in the spinal canal with partial block: an uncommon infection. </w:t>
      </w:r>
      <w:r>
        <w:rPr>
          <w:rFonts w:ascii="Book Antiqua" w:hAnsi="Book Antiqua"/>
          <w:i/>
          <w:iCs/>
        </w:rPr>
        <w:t>Neuroradiology</w:t>
      </w:r>
      <w:r>
        <w:rPr>
          <w:rFonts w:ascii="Book Antiqua" w:hAnsi="Book Antiqua"/>
        </w:rPr>
        <w:t xml:space="preserve"> 1992; </w:t>
      </w:r>
      <w:r>
        <w:rPr>
          <w:rFonts w:ascii="Book Antiqua" w:hAnsi="Book Antiqua"/>
          <w:b/>
          <w:bCs/>
        </w:rPr>
        <w:t>34</w:t>
      </w:r>
      <w:r>
        <w:rPr>
          <w:rFonts w:ascii="Book Antiqua" w:hAnsi="Book Antiqua"/>
        </w:rPr>
        <w:t>: 241-244 [PMID: 1630620 DOI: 10.1007/BF00596346]</w:t>
      </w:r>
    </w:p>
    <w:p>
      <w:pPr>
        <w:spacing w:line="360" w:lineRule="auto"/>
        <w:jc w:val="both"/>
        <w:rPr>
          <w:rFonts w:ascii="Book Antiqua" w:hAnsi="Book Antiqua"/>
        </w:rPr>
      </w:pPr>
      <w:r>
        <w:rPr>
          <w:rFonts w:ascii="Book Antiqua" w:hAnsi="Book Antiqua"/>
        </w:rPr>
        <w:t xml:space="preserve">9 </w:t>
      </w:r>
      <w:r>
        <w:rPr>
          <w:rFonts w:ascii="Book Antiqua" w:hAnsi="Book Antiqua"/>
          <w:b/>
          <w:bCs/>
        </w:rPr>
        <w:t>Kim H</w:t>
      </w:r>
      <w:r>
        <w:rPr>
          <w:rFonts w:ascii="Book Antiqua" w:hAnsi="Book Antiqua"/>
        </w:rPr>
        <w:t xml:space="preserve">, Kim SI, Cho SY. Serological Diagnosis Of Human Sparganosis By Means Of Micro-ELISA. </w:t>
      </w:r>
      <w:r>
        <w:rPr>
          <w:rFonts w:ascii="Book Antiqua" w:hAnsi="Book Antiqua"/>
          <w:i/>
          <w:iCs/>
        </w:rPr>
        <w:t>Kisaengchunghak Chapchi</w:t>
      </w:r>
      <w:r>
        <w:rPr>
          <w:rFonts w:ascii="Book Antiqua" w:hAnsi="Book Antiqua"/>
        </w:rPr>
        <w:t xml:space="preserve"> 1984; </w:t>
      </w:r>
      <w:r>
        <w:rPr>
          <w:rFonts w:ascii="Book Antiqua" w:hAnsi="Book Antiqua"/>
          <w:b/>
          <w:bCs/>
        </w:rPr>
        <w:t>22</w:t>
      </w:r>
      <w:r>
        <w:rPr>
          <w:rFonts w:ascii="Book Antiqua" w:hAnsi="Book Antiqua"/>
        </w:rPr>
        <w:t>: 222-228 [PMID: 12891016 DOI: 10.3347/kjp.1984.22.2.222]</w:t>
      </w:r>
    </w:p>
    <w:p>
      <w:pPr>
        <w:spacing w:line="360" w:lineRule="auto"/>
        <w:jc w:val="both"/>
        <w:rPr>
          <w:rFonts w:ascii="Book Antiqua" w:hAnsi="Book Antiqua"/>
        </w:rPr>
      </w:pPr>
      <w:r>
        <w:rPr>
          <w:rFonts w:ascii="Book Antiqua" w:hAnsi="Book Antiqua"/>
        </w:rPr>
        <w:t xml:space="preserve">10 </w:t>
      </w:r>
      <w:r>
        <w:rPr>
          <w:rFonts w:ascii="Book Antiqua" w:hAnsi="Book Antiqua"/>
          <w:b/>
          <w:bCs/>
        </w:rPr>
        <w:t>Yamasaki H</w:t>
      </w:r>
      <w:r>
        <w:rPr>
          <w:rFonts w:ascii="Book Antiqua" w:hAnsi="Book Antiqua"/>
        </w:rPr>
        <w:t xml:space="preserve">, Nakamura T, Intapan PM, Maleewong W, Morishima Y, Sugiyama H, Matsuoka H, Kobayashi K, Takayama K, Kobayashi Y. Development of a rapid diagnostic kit that uses an immunochromatographic device to detect antibodies in human sparganosis. </w:t>
      </w:r>
      <w:r>
        <w:rPr>
          <w:rFonts w:ascii="Book Antiqua" w:hAnsi="Book Antiqua"/>
          <w:i/>
          <w:iCs/>
        </w:rPr>
        <w:t>Clin Vaccine Immunol</w:t>
      </w:r>
      <w:r>
        <w:rPr>
          <w:rFonts w:ascii="Book Antiqua" w:hAnsi="Book Antiqua"/>
        </w:rPr>
        <w:t xml:space="preserve"> 2014; </w:t>
      </w:r>
      <w:r>
        <w:rPr>
          <w:rFonts w:ascii="Book Antiqua" w:hAnsi="Book Antiqua"/>
          <w:b/>
          <w:bCs/>
        </w:rPr>
        <w:t>21</w:t>
      </w:r>
      <w:r>
        <w:rPr>
          <w:rFonts w:ascii="Book Antiqua" w:hAnsi="Book Antiqua"/>
        </w:rPr>
        <w:t>: 1360-1363 [PMID: 24990912 DOI: 10.1128/CVI.00149-14]</w:t>
      </w:r>
    </w:p>
    <w:p>
      <w:pPr>
        <w:spacing w:line="360" w:lineRule="auto"/>
        <w:jc w:val="both"/>
        <w:rPr>
          <w:rFonts w:ascii="Book Antiqua" w:hAnsi="Book Antiqua"/>
        </w:rPr>
      </w:pPr>
      <w:r>
        <w:rPr>
          <w:rFonts w:ascii="Book Antiqua" w:hAnsi="Book Antiqua"/>
        </w:rPr>
        <w:t xml:space="preserve">11 </w:t>
      </w:r>
      <w:r>
        <w:rPr>
          <w:rFonts w:ascii="Book Antiqua" w:hAnsi="Book Antiqua"/>
          <w:b/>
          <w:bCs/>
        </w:rPr>
        <w:t>Huang X</w:t>
      </w:r>
      <w:r>
        <w:rPr>
          <w:rFonts w:ascii="Book Antiqua" w:hAnsi="Book Antiqua"/>
        </w:rPr>
        <w:t xml:space="preserve">, Jia C, Zhan Y, Fu S, Zhang H. Subcutaneous sparganosis: a case report and literature review. </w:t>
      </w:r>
      <w:r>
        <w:rPr>
          <w:rFonts w:ascii="Book Antiqua" w:hAnsi="Book Antiqua"/>
          <w:i/>
          <w:iCs/>
        </w:rPr>
        <w:t>Int J Dermatol</w:t>
      </w:r>
      <w:r>
        <w:rPr>
          <w:rFonts w:ascii="Book Antiqua" w:hAnsi="Book Antiqua"/>
        </w:rPr>
        <w:t xml:space="preserve"> 2023; </w:t>
      </w:r>
      <w:r>
        <w:rPr>
          <w:rFonts w:ascii="Book Antiqua" w:hAnsi="Book Antiqua"/>
          <w:b/>
          <w:bCs/>
        </w:rPr>
        <w:t>62</w:t>
      </w:r>
      <w:r>
        <w:rPr>
          <w:rFonts w:ascii="Book Antiqua" w:hAnsi="Book Antiqua"/>
        </w:rPr>
        <w:t>: 1067-1069 [PMID: 36786284 DOI: 10.1111/ijd.16617]</w:t>
      </w:r>
    </w:p>
    <w:p>
      <w:pPr>
        <w:spacing w:line="360" w:lineRule="auto"/>
        <w:jc w:val="both"/>
        <w:rPr>
          <w:rFonts w:ascii="Book Antiqua" w:hAnsi="Book Antiqua"/>
        </w:rPr>
      </w:pPr>
      <w:r>
        <w:rPr>
          <w:rFonts w:ascii="Book Antiqua" w:hAnsi="Book Antiqua"/>
        </w:rPr>
        <w:t xml:space="preserve">12 </w:t>
      </w:r>
      <w:r>
        <w:rPr>
          <w:rFonts w:ascii="Book Antiqua" w:hAnsi="Book Antiqua"/>
          <w:b/>
          <w:bCs/>
        </w:rPr>
        <w:t>Meng Y</w:t>
      </w:r>
      <w:r>
        <w:rPr>
          <w:rFonts w:ascii="Book Antiqua" w:hAnsi="Book Antiqua"/>
        </w:rPr>
        <w:t xml:space="preserve">, Wan W, Xiong ZC, Wu P, Zhang N, Yu YQ, Huang SH, Liu ZL, Liu JM. Sparganosis of a thoracic vertebra misdiagnosed as bone metastasis from lung cancer. </w:t>
      </w:r>
      <w:r>
        <w:rPr>
          <w:rFonts w:ascii="Book Antiqua" w:hAnsi="Book Antiqua"/>
          <w:i/>
          <w:iCs/>
        </w:rPr>
        <w:t>Int J Infect Dis</w:t>
      </w:r>
      <w:r>
        <w:rPr>
          <w:rFonts w:ascii="Book Antiqua" w:hAnsi="Book Antiqua"/>
        </w:rPr>
        <w:t xml:space="preserve"> 2023; </w:t>
      </w:r>
      <w:r>
        <w:rPr>
          <w:rFonts w:ascii="Book Antiqua" w:hAnsi="Book Antiqua"/>
          <w:b/>
          <w:bCs/>
        </w:rPr>
        <w:t>135</w:t>
      </w:r>
      <w:r>
        <w:rPr>
          <w:rFonts w:ascii="Book Antiqua" w:hAnsi="Book Antiqua"/>
        </w:rPr>
        <w:t>: 67-69 [PMID: 37567555 DOI: 10.1016/j.ijid.2023.07.032]</w:t>
      </w:r>
    </w:p>
    <w:bookmarkEnd w:id="17"/>
    <w:bookmarkEnd w:id="18"/>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rPr>
        <w:t xml:space="preserve">Informed consent statement: </w:t>
      </w:r>
      <w:r>
        <w:rPr>
          <w:rFonts w:ascii="Book Antiqua" w:hAnsi="Book Antiqua" w:eastAsia="Book Antiqua" w:cs="Book Antiqua"/>
        </w:rPr>
        <w:t>Written informed consent was obtained from the patient for the publication of this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rPr>
        <w:t>All the authors report no relevant conflicts of interest for this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CARE Checklist (2016) statement: </w:t>
      </w:r>
      <w:r>
        <w:rPr>
          <w:rFonts w:ascii="Book Antiqua" w:hAnsi="Book Antiqua" w:eastAsia="Book Antiqua" w:cs="Book Antiqua"/>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August 20,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November 1, 2023</w:t>
      </w:r>
    </w:p>
    <w:p>
      <w:pPr>
        <w:spacing w:line="360" w:lineRule="auto"/>
        <w:jc w:val="both"/>
        <w:rPr>
          <w:rFonts w:ascii="Book Antiqua" w:hAnsi="Book Antiqua"/>
        </w:rPr>
      </w:pPr>
      <w:r>
        <w:rPr>
          <w:rFonts w:ascii="Book Antiqua" w:hAnsi="Book Antiqua" w:eastAsia="Book Antiqua" w:cs="Book Antiqua"/>
          <w:b/>
          <w:color w:val="000000"/>
        </w:rPr>
        <w:t>Article in press:</w:t>
      </w:r>
      <w:r>
        <w:rPr>
          <w:rFonts w:hint="eastAsia" w:ascii="Book Antiqua" w:hAnsi="Book Antiqua" w:cs="Book Antiqua"/>
          <w:b/>
          <w:color w:val="000000"/>
          <w:lang w:eastAsia="zh-CN"/>
        </w:rPr>
        <w:t xml:space="preserve"> </w:t>
      </w:r>
      <w:r>
        <w:rPr>
          <w:rFonts w:ascii="Book Antiqua" w:hAnsi="Book Antiqua"/>
        </w:rPr>
        <w:t>December 12, 2023</w:t>
      </w:r>
      <w:r>
        <w:rPr>
          <w:rFonts w:ascii="Book Antiqua" w:hAnsi="Book Antiqua" w:eastAsia="Book Antiqua" w:cs="Book Antiqua"/>
          <w:b/>
          <w:color w:val="000000"/>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rPr>
        <w:t xml:space="preserve">Infectious </w:t>
      </w:r>
      <w:r>
        <w:rPr>
          <w:rFonts w:hint="eastAsia" w:ascii="Book Antiqua" w:hAnsi="Book Antiqua" w:eastAsia="Book Antiqua" w:cs="Book Antiqua"/>
          <w:lang w:eastAsia="zh-CN"/>
        </w:rPr>
        <w:t>d</w:t>
      </w:r>
      <w:r>
        <w:rPr>
          <w:rFonts w:ascii="Book Antiqua" w:hAnsi="Book Antiqua" w:eastAsia="Book Antiqua" w:cs="Book Antiqua"/>
        </w:rPr>
        <w:t>iseases</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0</w:t>
      </w:r>
    </w:p>
    <w:p>
      <w:pPr>
        <w:spacing w:line="360" w:lineRule="auto"/>
        <w:jc w:val="both"/>
        <w:rPr>
          <w:rFonts w:ascii="Book Antiqua" w:hAnsi="Book Antiqua"/>
        </w:rPr>
      </w:pPr>
      <w:r>
        <w:rPr>
          <w:rFonts w:ascii="Book Antiqua" w:hAnsi="Book Antiqua" w:eastAsia="Book Antiqua" w:cs="Book Antiqua"/>
        </w:rPr>
        <w:t>Grade C (Good): C</w:t>
      </w:r>
    </w:p>
    <w:p>
      <w:pPr>
        <w:spacing w:line="360" w:lineRule="auto"/>
        <w:jc w:val="both"/>
        <w:rPr>
          <w:rFonts w:ascii="Book Antiqua" w:hAnsi="Book Antiqua"/>
        </w:rPr>
      </w:pPr>
      <w:r>
        <w:rPr>
          <w:rFonts w:ascii="Book Antiqua" w:hAnsi="Book Antiqua" w:eastAsia="Book Antiqua" w:cs="Book Antiqua"/>
        </w:rPr>
        <w:t>Grade D (Fair): D</w:t>
      </w:r>
    </w:p>
    <w:p>
      <w:pPr>
        <w:spacing w:line="360" w:lineRule="auto"/>
        <w:jc w:val="both"/>
        <w:rPr>
          <w:rFonts w:ascii="Book Antiqua" w:hAnsi="Book Antiqua"/>
        </w:rPr>
      </w:pPr>
      <w:r>
        <w:rPr>
          <w:rFonts w:ascii="Book Antiqua" w:hAnsi="Book Antiqua" w:eastAsia="Book Antiqua" w:cs="Book Antiqua"/>
        </w:rPr>
        <w:t>Grade E (Poor): E</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rPr>
        <w:t>Chhabra HS, India; Viswanathan VK, United States</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 </w:t>
      </w:r>
      <w:r>
        <w:rPr>
          <w:rFonts w:ascii="Book Antiqua" w:hAnsi="Book Antiqua" w:eastAsia="Book Antiqua" w:cs="Book Antiqua"/>
          <w:color w:val="000000"/>
        </w:rPr>
        <w:t xml:space="preserve">Webster JR </w:t>
      </w:r>
      <w:r>
        <w:rPr>
          <w:rFonts w:ascii="Book Antiqua" w:hAnsi="Book Antiqua" w:eastAsia="Book Antiqua" w:cs="Book Antiqua"/>
          <w:b/>
          <w:color w:val="000000"/>
        </w:rPr>
        <w:t>P-Editor:</w:t>
      </w:r>
      <w:r>
        <w:rPr>
          <w:rFonts w:hint="eastAsia" w:ascii="Book Antiqua" w:hAnsi="Book Antiqua" w:cs="Book Antiqua"/>
          <w:b/>
          <w:color w:val="000000"/>
          <w:lang w:eastAsia="zh-CN"/>
        </w:rPr>
        <w:t xml:space="preserve"> </w:t>
      </w:r>
      <w:r>
        <w:rPr>
          <w:rFonts w:hint="eastAsia" w:ascii="Book Antiqua" w:hAnsi="Book Antiqua" w:cs="Book Antiqua"/>
          <w:color w:val="000000"/>
          <w:lang w:eastAsia="zh-CN"/>
        </w:rPr>
        <w:t>Zhang YL</w:t>
      </w:r>
      <w:r>
        <w:rPr>
          <w:rFonts w:ascii="Book Antiqua" w:hAnsi="Book Antiqua" w:eastAsia="Book Antiqua" w:cs="Book Antiqua"/>
          <w:b/>
          <w:color w:val="000000"/>
        </w:rPr>
        <w:t xml:space="preserve"> </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br w:type="page"/>
      </w:r>
      <w:r>
        <w:rPr>
          <w:rFonts w:ascii="Book Antiqua" w:hAnsi="Book Antiqua" w:eastAsia="Book Antiqua" w:cs="Book Antiqua"/>
          <w:b/>
          <w:color w:val="000000"/>
        </w:rPr>
        <w:t>Figure Legends</w:t>
      </w:r>
    </w:p>
    <w:p>
      <w:pPr>
        <w:spacing w:line="360" w:lineRule="auto"/>
        <w:jc w:val="both"/>
      </w:pPr>
      <w:r>
        <w:drawing>
          <wp:inline distT="0" distB="0" distL="114300" distR="114300">
            <wp:extent cx="5941060" cy="4805045"/>
            <wp:effectExtent l="0" t="0" r="2540" b="5080"/>
            <wp:docPr id="2" name="图片 2" descr="WJCC-11-8507-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1-8507-g001"/>
                    <pic:cNvPicPr>
                      <a:picLocks noChangeAspect="1"/>
                    </pic:cNvPicPr>
                  </pic:nvPicPr>
                  <pic:blipFill>
                    <a:blip r:embed="rId5"/>
                    <a:stretch>
                      <a:fillRect/>
                    </a:stretch>
                  </pic:blipFill>
                  <pic:spPr>
                    <a:xfrm>
                      <a:off x="0" y="0"/>
                      <a:ext cx="5941060" cy="4805045"/>
                    </a:xfrm>
                    <a:prstGeom prst="rect">
                      <a:avLst/>
                    </a:prstGeom>
                  </pic:spPr>
                </pic:pic>
              </a:graphicData>
            </a:graphic>
          </wp:inline>
        </w:drawing>
      </w:r>
    </w:p>
    <w:p>
      <w:pPr>
        <w:spacing w:line="360" w:lineRule="auto"/>
        <w:jc w:val="both"/>
        <w:rPr>
          <w:rFonts w:ascii="Book Antiqua" w:hAnsi="Book Antiqua"/>
        </w:rPr>
      </w:pPr>
      <w:r>
        <w:rPr>
          <w:rFonts w:hint="eastAsia" w:ascii="Book Antiqua" w:hAnsi="Book Antiqua"/>
          <w:b/>
        </w:rPr>
        <w:t>Figure 1</w:t>
      </w:r>
      <w:r>
        <w:rPr>
          <w:rFonts w:ascii="Book Antiqua" w:hAnsi="Book Antiqua"/>
          <w:b/>
        </w:rPr>
        <w:t xml:space="preserve"> Computed tomography. </w:t>
      </w:r>
      <w:r>
        <w:rPr>
          <w:rFonts w:hint="eastAsia" w:ascii="Book Antiqua" w:hAnsi="Book Antiqua"/>
        </w:rPr>
        <w:t>A</w:t>
      </w:r>
      <w:r>
        <w:rPr>
          <w:rFonts w:ascii="Book Antiqua" w:hAnsi="Book Antiqua"/>
        </w:rPr>
        <w:t xml:space="preserve"> and </w:t>
      </w:r>
      <w:r>
        <w:rPr>
          <w:rFonts w:hint="eastAsia" w:ascii="Book Antiqua" w:hAnsi="Book Antiqua"/>
        </w:rPr>
        <w:t>B</w:t>
      </w:r>
      <w:r>
        <w:rPr>
          <w:rFonts w:ascii="Book Antiqua" w:hAnsi="Book Antiqua"/>
        </w:rPr>
        <w:t>:</w:t>
      </w:r>
      <w:r>
        <w:rPr>
          <w:rFonts w:hint="eastAsia" w:ascii="Book Antiqua" w:hAnsi="Book Antiqua"/>
        </w:rPr>
        <w:t xml:space="preserve"> </w:t>
      </w:r>
      <w:r>
        <w:rPr>
          <w:rFonts w:ascii="Book Antiqua" w:hAnsi="Book Antiqua"/>
        </w:rPr>
        <w:t>Computed tomography</w:t>
      </w:r>
      <w:r>
        <w:rPr>
          <w:rFonts w:hint="eastAsia" w:ascii="Book Antiqua" w:hAnsi="Book Antiqua"/>
        </w:rPr>
        <w:t xml:space="preserve"> examination of the thoracic spine showed bone destruction of the T4-5 vertebral body,</w:t>
      </w:r>
      <w:r>
        <w:rPr>
          <w:rFonts w:ascii="Book Antiqua" w:hAnsi="Book Antiqua"/>
        </w:rPr>
        <w:t xml:space="preserve"> </w:t>
      </w:r>
      <w:r>
        <w:rPr>
          <w:rFonts w:hint="eastAsia" w:ascii="Book Antiqua" w:hAnsi="Book Antiqua"/>
        </w:rPr>
        <w:t>the right pedicle and lamina of T5</w:t>
      </w:r>
      <w:r>
        <w:rPr>
          <w:rFonts w:ascii="Book Antiqua" w:hAnsi="Book Antiqua"/>
        </w:rPr>
        <w:t>; C-E: C</w:t>
      </w:r>
      <w:r>
        <w:rPr>
          <w:rFonts w:hint="eastAsia" w:ascii="Book Antiqua" w:hAnsi="Book Antiqua"/>
        </w:rPr>
        <w:t>ervical,</w:t>
      </w:r>
      <w:r>
        <w:rPr>
          <w:rFonts w:ascii="Book Antiqua" w:hAnsi="Book Antiqua"/>
        </w:rPr>
        <w:t xml:space="preserve"> </w:t>
      </w:r>
      <w:r>
        <w:rPr>
          <w:rFonts w:hint="eastAsia" w:ascii="Book Antiqua" w:hAnsi="Book Antiqua"/>
        </w:rPr>
        <w:t xml:space="preserve">thoracic and lumbar </w:t>
      </w:r>
      <w:r>
        <w:rPr>
          <w:rFonts w:ascii="Book Antiqua" w:hAnsi="Book Antiqua"/>
        </w:rPr>
        <w:t xml:space="preserve">magnetic resonance imaging </w:t>
      </w:r>
      <w:r>
        <w:rPr>
          <w:rFonts w:hint="eastAsia" w:ascii="Book Antiqua" w:hAnsi="Book Antiqua"/>
        </w:rPr>
        <w:t>showed multiple nodules with high signal</w:t>
      </w:r>
      <w:r>
        <w:rPr>
          <w:rFonts w:ascii="Book Antiqua" w:hAnsi="Book Antiqua"/>
        </w:rPr>
        <w:t>s</w:t>
      </w:r>
      <w:r>
        <w:rPr>
          <w:rFonts w:hint="eastAsia" w:ascii="Book Antiqua" w:hAnsi="Book Antiqua"/>
        </w:rPr>
        <w:t xml:space="preserve"> on </w:t>
      </w:r>
      <w:r>
        <w:rPr>
          <w:rFonts w:ascii="Book Antiqua" w:hAnsi="Book Antiqua"/>
        </w:rPr>
        <w:t xml:space="preserve">fat-suppressed </w:t>
      </w:r>
      <w:r>
        <w:rPr>
          <w:rFonts w:hint="eastAsia" w:ascii="Book Antiqua" w:hAnsi="Book Antiqua"/>
        </w:rPr>
        <w:t xml:space="preserve">images in </w:t>
      </w:r>
      <w:r>
        <w:rPr>
          <w:rFonts w:ascii="Book Antiqua" w:hAnsi="Book Antiqua"/>
        </w:rPr>
        <w:t xml:space="preserve">the </w:t>
      </w:r>
      <w:r>
        <w:rPr>
          <w:rFonts w:hint="eastAsia" w:ascii="Book Antiqua" w:hAnsi="Book Antiqua"/>
        </w:rPr>
        <w:t>paravertebral and subcutaneous region</w:t>
      </w:r>
      <w:r>
        <w:rPr>
          <w:rFonts w:ascii="Book Antiqua" w:hAnsi="Book Antiqua"/>
        </w:rPr>
        <w:t xml:space="preserve">s; </w:t>
      </w:r>
      <w:r>
        <w:rPr>
          <w:rFonts w:hint="eastAsia" w:ascii="Book Antiqua" w:hAnsi="Book Antiqua"/>
        </w:rPr>
        <w:t>F</w:t>
      </w:r>
      <w:r>
        <w:rPr>
          <w:rFonts w:ascii="Book Antiqua" w:hAnsi="Book Antiqua"/>
        </w:rPr>
        <w:t xml:space="preserve"> and </w:t>
      </w:r>
      <w:r>
        <w:rPr>
          <w:rFonts w:hint="eastAsia" w:ascii="Book Antiqua" w:hAnsi="Book Antiqua"/>
        </w:rPr>
        <w:t>G</w:t>
      </w:r>
      <w:r>
        <w:rPr>
          <w:rFonts w:ascii="Book Antiqua" w:hAnsi="Book Antiqua"/>
        </w:rPr>
        <w:t>:</w:t>
      </w:r>
      <w:r>
        <w:rPr>
          <w:rFonts w:hint="eastAsia" w:ascii="Book Antiqua" w:hAnsi="Book Antiqua"/>
        </w:rPr>
        <w:t xml:space="preserve"> </w:t>
      </w:r>
      <w:r>
        <w:rPr>
          <w:rFonts w:ascii="Book Antiqua" w:hAnsi="Book Antiqua"/>
        </w:rPr>
        <w:t>H</w:t>
      </w:r>
      <w:r>
        <w:rPr>
          <w:rFonts w:hint="eastAsia" w:ascii="Book Antiqua" w:hAnsi="Book Antiqua"/>
        </w:rPr>
        <w:t>igh signal</w:t>
      </w:r>
      <w:r>
        <w:rPr>
          <w:rFonts w:ascii="Book Antiqua" w:hAnsi="Book Antiqua"/>
        </w:rPr>
        <w:t>s</w:t>
      </w:r>
      <w:r>
        <w:rPr>
          <w:rFonts w:hint="eastAsia" w:ascii="Book Antiqua" w:hAnsi="Book Antiqua"/>
        </w:rPr>
        <w:t xml:space="preserve"> </w:t>
      </w:r>
      <w:r>
        <w:rPr>
          <w:rFonts w:ascii="Book Antiqua" w:hAnsi="Book Antiqua"/>
        </w:rPr>
        <w:t>i</w:t>
      </w:r>
      <w:r>
        <w:rPr>
          <w:rFonts w:hint="eastAsia" w:ascii="Book Antiqua" w:hAnsi="Book Antiqua"/>
        </w:rPr>
        <w:t>n the right vertebral body of T4-5,</w:t>
      </w:r>
      <w:r>
        <w:rPr>
          <w:rFonts w:ascii="Book Antiqua" w:hAnsi="Book Antiqua"/>
        </w:rPr>
        <w:t xml:space="preserve"> </w:t>
      </w:r>
      <w:r>
        <w:rPr>
          <w:rFonts w:hint="eastAsia" w:ascii="Book Antiqua" w:hAnsi="Book Antiqua"/>
        </w:rPr>
        <w:t>the right pedicle and lamina of T5 and high signal</w:t>
      </w:r>
      <w:r>
        <w:rPr>
          <w:rFonts w:ascii="Book Antiqua" w:hAnsi="Book Antiqua"/>
        </w:rPr>
        <w:t>s</w:t>
      </w:r>
      <w:r>
        <w:rPr>
          <w:rFonts w:hint="eastAsia" w:ascii="Book Antiqua" w:hAnsi="Book Antiqua"/>
        </w:rPr>
        <w:t xml:space="preserve"> in </w:t>
      </w:r>
      <w:r>
        <w:rPr>
          <w:rFonts w:ascii="Book Antiqua" w:hAnsi="Book Antiqua"/>
        </w:rPr>
        <w:t xml:space="preserve">the </w:t>
      </w:r>
      <w:r>
        <w:rPr>
          <w:rFonts w:hint="eastAsia" w:ascii="Book Antiqua" w:hAnsi="Book Antiqua"/>
        </w:rPr>
        <w:t>vertebral canal.</w:t>
      </w:r>
    </w:p>
    <w:p>
      <w:pPr>
        <w:spacing w:line="360" w:lineRule="auto"/>
        <w:jc w:val="both"/>
      </w:pPr>
      <w:r>
        <w:rPr>
          <w:rFonts w:ascii="Book Antiqua" w:hAnsi="Book Antiqua" w:eastAsia="Book Antiqua" w:cs="Book Antiqua"/>
          <w:b/>
          <w:color w:val="000000"/>
        </w:rPr>
        <w:br w:type="page"/>
      </w:r>
    </w:p>
    <w:p>
      <w:pPr>
        <w:spacing w:line="360" w:lineRule="auto"/>
        <w:jc w:val="both"/>
        <w:rPr>
          <w:rFonts w:ascii="Book Antiqua" w:hAnsi="Book Antiqua"/>
          <w:b/>
        </w:rPr>
      </w:pPr>
      <w:r>
        <w:rPr>
          <w:rFonts w:ascii="Book Antiqua" w:hAnsi="Book Antiqua"/>
          <w:b/>
        </w:rPr>
        <w:drawing>
          <wp:inline distT="0" distB="0" distL="114300" distR="114300">
            <wp:extent cx="5040630" cy="2027555"/>
            <wp:effectExtent l="0" t="0" r="7620" b="1270"/>
            <wp:docPr id="3" name="图片 3" descr="WJCC-11-8507-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1-8507-g002"/>
                    <pic:cNvPicPr>
                      <a:picLocks noChangeAspect="1"/>
                    </pic:cNvPicPr>
                  </pic:nvPicPr>
                  <pic:blipFill>
                    <a:blip r:embed="rId6"/>
                    <a:stretch>
                      <a:fillRect/>
                    </a:stretch>
                  </pic:blipFill>
                  <pic:spPr>
                    <a:xfrm>
                      <a:off x="0" y="0"/>
                      <a:ext cx="5040630" cy="2027555"/>
                    </a:xfrm>
                    <a:prstGeom prst="rect">
                      <a:avLst/>
                    </a:prstGeom>
                  </pic:spPr>
                </pic:pic>
              </a:graphicData>
            </a:graphic>
          </wp:inline>
        </w:drawing>
      </w:r>
    </w:p>
    <w:p>
      <w:pPr>
        <w:spacing w:line="360" w:lineRule="auto"/>
        <w:jc w:val="both"/>
        <w:rPr>
          <w:rFonts w:ascii="Book Antiqua" w:hAnsi="Book Antiqua"/>
          <w:b/>
        </w:rPr>
      </w:pPr>
    </w:p>
    <w:p>
      <w:pPr>
        <w:spacing w:line="360" w:lineRule="auto"/>
        <w:jc w:val="both"/>
        <w:rPr>
          <w:rFonts w:ascii="Book Antiqua" w:hAnsi="Book Antiqua"/>
        </w:rPr>
      </w:pPr>
      <w:r>
        <w:rPr>
          <w:rFonts w:hint="eastAsia" w:ascii="Book Antiqua" w:hAnsi="Book Antiqua"/>
          <w:b/>
        </w:rPr>
        <w:t>Figure 2</w:t>
      </w:r>
      <w:r>
        <w:rPr>
          <w:rFonts w:ascii="Book Antiqua" w:hAnsi="Book Antiqua"/>
          <w:b/>
        </w:rPr>
        <w:t xml:space="preserve"> H</w:t>
      </w:r>
      <w:r>
        <w:rPr>
          <w:rFonts w:hint="eastAsia" w:ascii="Book Antiqua" w:hAnsi="Book Antiqua"/>
          <w:b/>
        </w:rPr>
        <w:t>igh power microscopic view of the parasite</w:t>
      </w:r>
      <w:r>
        <w:rPr>
          <w:rFonts w:ascii="Book Antiqua" w:hAnsi="Book Antiqua"/>
          <w:b/>
        </w:rPr>
        <w:t xml:space="preserve">. </w:t>
      </w:r>
      <w:r>
        <w:rPr>
          <w:rFonts w:ascii="Book Antiqua" w:hAnsi="Book Antiqua"/>
        </w:rPr>
        <w:t xml:space="preserve">The body of the parasite has degenerated and calcareous bodies are not readily discerned, but the outer layer of the tegument was preserved. </w:t>
      </w:r>
    </w:p>
    <w:p>
      <w:pPr>
        <w:spacing w:line="360" w:lineRule="auto"/>
        <w:jc w:val="both"/>
        <w:rPr>
          <w:rFonts w:ascii="Book Antiqua" w:hAnsi="Book Antiqua" w:eastAsia="Book Antiqua" w:cs="Book Antiqua"/>
          <w:b/>
          <w:color w:val="000000"/>
        </w:rPr>
      </w:pPr>
    </w:p>
    <w:p>
      <w:pPr>
        <w:spacing w:line="360" w:lineRule="auto"/>
        <w:jc w:val="both"/>
        <w:rPr>
          <w:rFonts w:hint="eastAsia" w:eastAsiaTheme="minorEastAsia"/>
          <w:lang w:eastAsia="zh-CN"/>
        </w:rPr>
      </w:pPr>
      <w:r>
        <w:rPr>
          <w:rFonts w:ascii="Book Antiqua" w:hAnsi="Book Antiqua"/>
        </w:rPr>
        <w:br w:type="page"/>
      </w:r>
      <w:r>
        <w:rPr>
          <w:rFonts w:hint="eastAsia" w:eastAsiaTheme="minorEastAsia"/>
          <w:lang w:eastAsia="zh-CN"/>
        </w:rPr>
        <w:drawing>
          <wp:inline distT="0" distB="0" distL="114300" distR="114300">
            <wp:extent cx="5941060" cy="2657475"/>
            <wp:effectExtent l="0" t="0" r="2540" b="0"/>
            <wp:docPr id="4" name="图片 4" descr="WJCC-11-8507-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1-8507-g003"/>
                    <pic:cNvPicPr>
                      <a:picLocks noChangeAspect="1"/>
                    </pic:cNvPicPr>
                  </pic:nvPicPr>
                  <pic:blipFill>
                    <a:blip r:embed="rId7"/>
                    <a:stretch>
                      <a:fillRect/>
                    </a:stretch>
                  </pic:blipFill>
                  <pic:spPr>
                    <a:xfrm>
                      <a:off x="0" y="0"/>
                      <a:ext cx="5941060" cy="2657475"/>
                    </a:xfrm>
                    <a:prstGeom prst="rect">
                      <a:avLst/>
                    </a:prstGeom>
                  </pic:spPr>
                </pic:pic>
              </a:graphicData>
            </a:graphic>
          </wp:inline>
        </w:drawing>
      </w:r>
      <w:bookmarkStart w:id="19" w:name="_GoBack"/>
      <w:bookmarkEnd w:id="19"/>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 xml:space="preserve">Figure </w:t>
      </w:r>
      <w:r>
        <w:rPr>
          <w:rFonts w:ascii="Book Antiqua" w:hAnsi="Book Antiqua" w:eastAsia="Book Antiqua" w:cs="Book Antiqua"/>
          <w:b/>
          <w:color w:val="000000"/>
          <w:lang w:eastAsia="zh-CN"/>
        </w:rPr>
        <w:t>3</w:t>
      </w:r>
      <w:r>
        <w:rPr>
          <w:rFonts w:ascii="Book Antiqua" w:hAnsi="Book Antiqua" w:eastAsia="Book Antiqua" w:cs="Book Antiqua"/>
          <w:b/>
          <w:color w:val="000000"/>
        </w:rPr>
        <w:t xml:space="preserve"> Magnetic resonance imaging.</w:t>
      </w:r>
      <w:r>
        <w:rPr>
          <w:rFonts w:ascii="Book Antiqua" w:hAnsi="Book Antiqua" w:eastAsia="Book Antiqua" w:cs="Book Antiqua"/>
          <w:color w:val="000000"/>
        </w:rPr>
        <w:t xml:space="preserve"> </w:t>
      </w:r>
      <w:r>
        <w:rPr>
          <w:rFonts w:ascii="Book Antiqua" w:hAnsi="Book Antiqua" w:eastAsia="Book Antiqua" w:cs="Book Antiqua"/>
          <w:color w:val="000000"/>
          <w:lang w:eastAsia="zh-CN"/>
        </w:rPr>
        <w:t>A and B: At nine months after surgery, magnetic resonance imaging showed significant absorption of the lesion</w:t>
      </w:r>
      <w:r>
        <w:rPr>
          <w:rFonts w:ascii="Book Antiqua" w:hAnsi="Book Antiqua" w:eastAsia="Book Antiqua" w:cs="Book Antiqua"/>
          <w:color w:val="000000"/>
        </w:rPr>
        <w:t xml:space="preserve">; </w:t>
      </w:r>
      <w:r>
        <w:rPr>
          <w:rFonts w:ascii="Book Antiqua" w:hAnsi="Book Antiqua" w:eastAsia="Book Antiqua" w:cs="Book Antiqua"/>
          <w:color w:val="000000"/>
          <w:lang w:eastAsia="zh-CN"/>
        </w:rPr>
        <w:t>C and D</w:t>
      </w:r>
      <w:r>
        <w:rPr>
          <w:rFonts w:ascii="Book Antiqua" w:hAnsi="Book Antiqua" w:eastAsia="Book Antiqua" w:cs="Book Antiqua"/>
          <w:color w:val="000000"/>
        </w:rPr>
        <w:t>: Anteroposterior and lateral radiographs suggest</w:t>
      </w:r>
      <w:r>
        <w:rPr>
          <w:rFonts w:ascii="Book Antiqua" w:hAnsi="Book Antiqua" w:eastAsia="Book Antiqua" w:cs="Book Antiqua"/>
          <w:color w:val="000000"/>
          <w:lang w:eastAsia="zh-CN"/>
        </w:rPr>
        <w:t>ed</w:t>
      </w:r>
      <w:r>
        <w:rPr>
          <w:rFonts w:ascii="Book Antiqua" w:hAnsi="Book Antiqua" w:eastAsia="Book Antiqua" w:cs="Book Antiqua"/>
          <w:color w:val="000000"/>
        </w:rPr>
        <w:t xml:space="preserve"> that </w:t>
      </w:r>
      <w:r>
        <w:rPr>
          <w:rFonts w:ascii="Book Antiqua" w:hAnsi="Book Antiqua" w:eastAsia="Book Antiqua" w:cs="Book Antiqua"/>
          <w:color w:val="000000"/>
          <w:lang w:eastAsia="zh-CN"/>
        </w:rPr>
        <w:t>l</w:t>
      </w:r>
      <w:r>
        <w:rPr>
          <w:rFonts w:ascii="Book Antiqua" w:hAnsi="Book Antiqua" w:eastAsia="Book Antiqua" w:cs="Book Antiqua"/>
          <w:color w:val="000000"/>
        </w:rPr>
        <w:t>ocal curvature</w:t>
      </w:r>
      <w:r>
        <w:rPr>
          <w:rFonts w:ascii="Book Antiqua" w:hAnsi="Book Antiqua" w:eastAsia="Book Antiqua" w:cs="Book Antiqua"/>
          <w:color w:val="000000"/>
          <w:lang w:eastAsia="zh-CN"/>
        </w:rPr>
        <w:t xml:space="preserve"> and </w:t>
      </w:r>
      <w:r>
        <w:rPr>
          <w:rFonts w:ascii="Book Antiqua" w:hAnsi="Book Antiqua" w:eastAsia="Book Antiqua" w:cs="Book Antiqua"/>
          <w:color w:val="000000"/>
        </w:rPr>
        <w:t>the screw positions were satisfactory.</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3</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82652068"/>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13</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4"/>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FmY2M5ZTlmZDY0NjQzZDFiMTRmMDdmYTM1YjkzZTgifQ=="/>
  </w:docVars>
  <w:rsids>
    <w:rsidRoot w:val="00A77B3E"/>
    <w:rsid w:val="00015132"/>
    <w:rsid w:val="00024068"/>
    <w:rsid w:val="00042E60"/>
    <w:rsid w:val="000533FA"/>
    <w:rsid w:val="000533FF"/>
    <w:rsid w:val="00057D3E"/>
    <w:rsid w:val="00066E3B"/>
    <w:rsid w:val="00075522"/>
    <w:rsid w:val="0008413E"/>
    <w:rsid w:val="000923AE"/>
    <w:rsid w:val="0009371D"/>
    <w:rsid w:val="00095CE6"/>
    <w:rsid w:val="000A2185"/>
    <w:rsid w:val="00106A35"/>
    <w:rsid w:val="00110835"/>
    <w:rsid w:val="0013610F"/>
    <w:rsid w:val="00136C54"/>
    <w:rsid w:val="001476F5"/>
    <w:rsid w:val="00152F9A"/>
    <w:rsid w:val="0015541B"/>
    <w:rsid w:val="00170B2C"/>
    <w:rsid w:val="00180118"/>
    <w:rsid w:val="00185ED8"/>
    <w:rsid w:val="00190D0D"/>
    <w:rsid w:val="001948EE"/>
    <w:rsid w:val="00197568"/>
    <w:rsid w:val="001E77AE"/>
    <w:rsid w:val="001F24B9"/>
    <w:rsid w:val="00226786"/>
    <w:rsid w:val="002633E3"/>
    <w:rsid w:val="00265C0F"/>
    <w:rsid w:val="00282B06"/>
    <w:rsid w:val="00291F29"/>
    <w:rsid w:val="002956E1"/>
    <w:rsid w:val="002A1E83"/>
    <w:rsid w:val="002A26EA"/>
    <w:rsid w:val="002B68D1"/>
    <w:rsid w:val="002C2D48"/>
    <w:rsid w:val="002C508F"/>
    <w:rsid w:val="002E0207"/>
    <w:rsid w:val="002E4142"/>
    <w:rsid w:val="002F2CDB"/>
    <w:rsid w:val="002F328D"/>
    <w:rsid w:val="003007CA"/>
    <w:rsid w:val="00304F91"/>
    <w:rsid w:val="00305E4D"/>
    <w:rsid w:val="0030601A"/>
    <w:rsid w:val="00306CF8"/>
    <w:rsid w:val="003137A5"/>
    <w:rsid w:val="003240CB"/>
    <w:rsid w:val="00326ACC"/>
    <w:rsid w:val="00347E5B"/>
    <w:rsid w:val="00375B06"/>
    <w:rsid w:val="00386892"/>
    <w:rsid w:val="003A7E03"/>
    <w:rsid w:val="003B691A"/>
    <w:rsid w:val="003C4EFA"/>
    <w:rsid w:val="003C5374"/>
    <w:rsid w:val="003E236D"/>
    <w:rsid w:val="003F1315"/>
    <w:rsid w:val="0040223F"/>
    <w:rsid w:val="00403C2C"/>
    <w:rsid w:val="00403D85"/>
    <w:rsid w:val="00423F12"/>
    <w:rsid w:val="00424AF0"/>
    <w:rsid w:val="004259CB"/>
    <w:rsid w:val="00426A93"/>
    <w:rsid w:val="00451A41"/>
    <w:rsid w:val="00455F78"/>
    <w:rsid w:val="00456AB1"/>
    <w:rsid w:val="004573F6"/>
    <w:rsid w:val="004679B0"/>
    <w:rsid w:val="0048027D"/>
    <w:rsid w:val="00485E87"/>
    <w:rsid w:val="004D31E7"/>
    <w:rsid w:val="004E2E3F"/>
    <w:rsid w:val="004E4166"/>
    <w:rsid w:val="004F69E5"/>
    <w:rsid w:val="00500E02"/>
    <w:rsid w:val="00507B3F"/>
    <w:rsid w:val="0051380D"/>
    <w:rsid w:val="00513944"/>
    <w:rsid w:val="005162D1"/>
    <w:rsid w:val="00520C09"/>
    <w:rsid w:val="00556F95"/>
    <w:rsid w:val="00561C90"/>
    <w:rsid w:val="00573A53"/>
    <w:rsid w:val="0058451F"/>
    <w:rsid w:val="005C4E3C"/>
    <w:rsid w:val="005C6916"/>
    <w:rsid w:val="005D039C"/>
    <w:rsid w:val="005D2225"/>
    <w:rsid w:val="005D2CC2"/>
    <w:rsid w:val="005E6C77"/>
    <w:rsid w:val="00601E39"/>
    <w:rsid w:val="006502C3"/>
    <w:rsid w:val="00690699"/>
    <w:rsid w:val="006924B4"/>
    <w:rsid w:val="006C388F"/>
    <w:rsid w:val="006C46C5"/>
    <w:rsid w:val="006C5269"/>
    <w:rsid w:val="006D116B"/>
    <w:rsid w:val="006F08B8"/>
    <w:rsid w:val="006F7269"/>
    <w:rsid w:val="0071332E"/>
    <w:rsid w:val="00723A18"/>
    <w:rsid w:val="007462B9"/>
    <w:rsid w:val="007564F5"/>
    <w:rsid w:val="00765EF9"/>
    <w:rsid w:val="00775DE6"/>
    <w:rsid w:val="00786C52"/>
    <w:rsid w:val="00797B94"/>
    <w:rsid w:val="007A2F2C"/>
    <w:rsid w:val="007A5CA3"/>
    <w:rsid w:val="007A7A51"/>
    <w:rsid w:val="007D0611"/>
    <w:rsid w:val="007D3EC6"/>
    <w:rsid w:val="007D74FE"/>
    <w:rsid w:val="007E23DA"/>
    <w:rsid w:val="007F72AB"/>
    <w:rsid w:val="00801FAD"/>
    <w:rsid w:val="00812FF8"/>
    <w:rsid w:val="0081460B"/>
    <w:rsid w:val="0082784F"/>
    <w:rsid w:val="00833D57"/>
    <w:rsid w:val="00837625"/>
    <w:rsid w:val="008448D4"/>
    <w:rsid w:val="0084497C"/>
    <w:rsid w:val="008765A2"/>
    <w:rsid w:val="00881E6A"/>
    <w:rsid w:val="008A1FC7"/>
    <w:rsid w:val="008C220C"/>
    <w:rsid w:val="008C5889"/>
    <w:rsid w:val="008C685B"/>
    <w:rsid w:val="008E79E5"/>
    <w:rsid w:val="008F7AC9"/>
    <w:rsid w:val="00915651"/>
    <w:rsid w:val="00953C55"/>
    <w:rsid w:val="0095719D"/>
    <w:rsid w:val="0097102D"/>
    <w:rsid w:val="00976F4F"/>
    <w:rsid w:val="00986B3A"/>
    <w:rsid w:val="00997715"/>
    <w:rsid w:val="009A5095"/>
    <w:rsid w:val="009B7F56"/>
    <w:rsid w:val="009D5BB0"/>
    <w:rsid w:val="009D7FC4"/>
    <w:rsid w:val="00A133CF"/>
    <w:rsid w:val="00A22585"/>
    <w:rsid w:val="00A22FD0"/>
    <w:rsid w:val="00A236CF"/>
    <w:rsid w:val="00A41107"/>
    <w:rsid w:val="00A433D2"/>
    <w:rsid w:val="00A531BD"/>
    <w:rsid w:val="00A624B3"/>
    <w:rsid w:val="00A7667C"/>
    <w:rsid w:val="00A77B3E"/>
    <w:rsid w:val="00AB369F"/>
    <w:rsid w:val="00AB3F4F"/>
    <w:rsid w:val="00AB41C2"/>
    <w:rsid w:val="00AD0BB6"/>
    <w:rsid w:val="00AD48B7"/>
    <w:rsid w:val="00AD6275"/>
    <w:rsid w:val="00AF43B2"/>
    <w:rsid w:val="00B1188A"/>
    <w:rsid w:val="00B455C8"/>
    <w:rsid w:val="00B52B38"/>
    <w:rsid w:val="00B67A09"/>
    <w:rsid w:val="00B7097B"/>
    <w:rsid w:val="00B74DA1"/>
    <w:rsid w:val="00B91E23"/>
    <w:rsid w:val="00BA42FE"/>
    <w:rsid w:val="00BC473D"/>
    <w:rsid w:val="00BC4FB8"/>
    <w:rsid w:val="00BD7CD4"/>
    <w:rsid w:val="00BF61A1"/>
    <w:rsid w:val="00C01AE1"/>
    <w:rsid w:val="00C454EE"/>
    <w:rsid w:val="00C52EDB"/>
    <w:rsid w:val="00C70BD9"/>
    <w:rsid w:val="00C72BE0"/>
    <w:rsid w:val="00C7533D"/>
    <w:rsid w:val="00C803E8"/>
    <w:rsid w:val="00C81889"/>
    <w:rsid w:val="00C82185"/>
    <w:rsid w:val="00CA2A55"/>
    <w:rsid w:val="00CB151F"/>
    <w:rsid w:val="00CB7E8C"/>
    <w:rsid w:val="00CE2FFF"/>
    <w:rsid w:val="00CE6C25"/>
    <w:rsid w:val="00D05DB7"/>
    <w:rsid w:val="00D079C8"/>
    <w:rsid w:val="00D20964"/>
    <w:rsid w:val="00D20E0D"/>
    <w:rsid w:val="00D41130"/>
    <w:rsid w:val="00D72967"/>
    <w:rsid w:val="00D7388B"/>
    <w:rsid w:val="00D77D41"/>
    <w:rsid w:val="00D84698"/>
    <w:rsid w:val="00DB1065"/>
    <w:rsid w:val="00DB7810"/>
    <w:rsid w:val="00DC020F"/>
    <w:rsid w:val="00DC0765"/>
    <w:rsid w:val="00DC346B"/>
    <w:rsid w:val="00DD10AC"/>
    <w:rsid w:val="00DD300E"/>
    <w:rsid w:val="00DE2F86"/>
    <w:rsid w:val="00DE59F6"/>
    <w:rsid w:val="00DF70E8"/>
    <w:rsid w:val="00E0168E"/>
    <w:rsid w:val="00E028D9"/>
    <w:rsid w:val="00E07F52"/>
    <w:rsid w:val="00E4230B"/>
    <w:rsid w:val="00E43C56"/>
    <w:rsid w:val="00E502D2"/>
    <w:rsid w:val="00E53419"/>
    <w:rsid w:val="00E65C96"/>
    <w:rsid w:val="00E95E3D"/>
    <w:rsid w:val="00EA3889"/>
    <w:rsid w:val="00EB03D4"/>
    <w:rsid w:val="00EB5B79"/>
    <w:rsid w:val="00EB6BD6"/>
    <w:rsid w:val="00EE25A3"/>
    <w:rsid w:val="00EE46FC"/>
    <w:rsid w:val="00EE5621"/>
    <w:rsid w:val="00EF6C63"/>
    <w:rsid w:val="00F13C0C"/>
    <w:rsid w:val="00F16DCA"/>
    <w:rsid w:val="00F26C3E"/>
    <w:rsid w:val="00F33955"/>
    <w:rsid w:val="00F47FC0"/>
    <w:rsid w:val="00F50AE8"/>
    <w:rsid w:val="00F71560"/>
    <w:rsid w:val="00F87DD4"/>
    <w:rsid w:val="00F91CCC"/>
    <w:rsid w:val="00F92E20"/>
    <w:rsid w:val="00FC3854"/>
    <w:rsid w:val="00FD4FE6"/>
    <w:rsid w:val="00FD5701"/>
    <w:rsid w:val="00FE7D46"/>
    <w:rsid w:val="1C3A4761"/>
    <w:rsid w:val="3BFA4E20"/>
    <w:rsid w:val="6DD53F13"/>
    <w:rsid w:val="701E65D8"/>
    <w:rsid w:val="77242776"/>
    <w:rsid w:val="7C9C49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99" w:semiHidden="0" w:name="annotation text"/>
    <w:lsdException w:uiPriority="0" w:semiHidden="0" w:name="header"/>
    <w:lsdException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2"/>
    <w:unhideWhenUsed/>
    <w:qFormat/>
    <w:uiPriority w:val="99"/>
  </w:style>
  <w:style w:type="paragraph" w:styleId="3">
    <w:name w:val="Balloon Text"/>
    <w:basedOn w:val="1"/>
    <w:link w:val="14"/>
    <w:semiHidden/>
    <w:unhideWhenUsed/>
    <w:qFormat/>
    <w:uiPriority w:val="0"/>
    <w:rPr>
      <w:sz w:val="18"/>
      <w:szCs w:val="18"/>
    </w:rPr>
  </w:style>
  <w:style w:type="paragraph" w:styleId="4">
    <w:name w:val="footer"/>
    <w:basedOn w:val="1"/>
    <w:link w:val="11"/>
    <w:unhideWhenUsed/>
    <w:uiPriority w:val="99"/>
    <w:pPr>
      <w:tabs>
        <w:tab w:val="center" w:pos="4153"/>
        <w:tab w:val="right" w:pos="8306"/>
      </w:tabs>
      <w:snapToGrid w:val="0"/>
    </w:pPr>
    <w:rPr>
      <w:sz w:val="18"/>
      <w:szCs w:val="18"/>
    </w:rPr>
  </w:style>
  <w:style w:type="paragraph" w:styleId="5">
    <w:name w:val="header"/>
    <w:basedOn w:val="1"/>
    <w:link w:val="10"/>
    <w:unhideWhenUsed/>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3"/>
    <w:semiHidden/>
    <w:unhideWhenUsed/>
    <w:qFormat/>
    <w:uiPriority w:val="0"/>
    <w:rPr>
      <w:b/>
      <w:bCs/>
    </w:rPr>
  </w:style>
  <w:style w:type="character" w:styleId="9">
    <w:name w:val="annotation reference"/>
    <w:basedOn w:val="8"/>
    <w:semiHidden/>
    <w:unhideWhenUsed/>
    <w:uiPriority w:val="0"/>
    <w:rPr>
      <w:sz w:val="21"/>
      <w:szCs w:val="21"/>
    </w:rPr>
  </w:style>
  <w:style w:type="character" w:customStyle="1" w:styleId="10">
    <w:name w:val="页眉 Char"/>
    <w:basedOn w:val="8"/>
    <w:link w:val="5"/>
    <w:uiPriority w:val="0"/>
    <w:rPr>
      <w:sz w:val="18"/>
      <w:szCs w:val="18"/>
    </w:rPr>
  </w:style>
  <w:style w:type="character" w:customStyle="1" w:styleId="11">
    <w:name w:val="页脚 Char"/>
    <w:basedOn w:val="8"/>
    <w:link w:val="4"/>
    <w:uiPriority w:val="99"/>
    <w:rPr>
      <w:sz w:val="18"/>
      <w:szCs w:val="18"/>
    </w:rPr>
  </w:style>
  <w:style w:type="character" w:customStyle="1" w:styleId="12">
    <w:name w:val="批注文字 Char"/>
    <w:basedOn w:val="8"/>
    <w:link w:val="2"/>
    <w:qFormat/>
    <w:uiPriority w:val="99"/>
    <w:rPr>
      <w:sz w:val="24"/>
      <w:szCs w:val="24"/>
    </w:rPr>
  </w:style>
  <w:style w:type="character" w:customStyle="1" w:styleId="13">
    <w:name w:val="批注主题 Char"/>
    <w:basedOn w:val="12"/>
    <w:link w:val="6"/>
    <w:semiHidden/>
    <w:qFormat/>
    <w:uiPriority w:val="0"/>
    <w:rPr>
      <w:b/>
      <w:bCs/>
      <w:sz w:val="24"/>
      <w:szCs w:val="24"/>
    </w:rPr>
  </w:style>
  <w:style w:type="character" w:customStyle="1" w:styleId="14">
    <w:name w:val="批注框文本 Char"/>
    <w:basedOn w:val="8"/>
    <w:link w:val="3"/>
    <w:semiHidden/>
    <w:qFormat/>
    <w:uiPriority w:val="0"/>
    <w:rPr>
      <w:sz w:val="18"/>
      <w:szCs w:val="18"/>
    </w:rPr>
  </w:style>
  <w:style w:type="paragraph" w:customStyle="1" w:styleId="15">
    <w:name w:val="Revision"/>
    <w:hidden/>
    <w:semiHidden/>
    <w:uiPriority w:val="99"/>
    <w:rPr>
      <w:rFonts w:ascii="Times New Roman" w:hAnsi="Times New Roman" w:cs="Times New Roman" w:eastAsiaTheme="minorEastAsia"/>
      <w:sz w:val="24"/>
      <w:szCs w:val="24"/>
      <w:lang w:val="en-US" w:eastAsia="en-US" w:bidi="ar-SA"/>
    </w:rPr>
  </w:style>
  <w:style w:type="character" w:customStyle="1" w:styleId="16">
    <w:name w:val="font31"/>
    <w:basedOn w:val="8"/>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HP</Company>
  <Pages>13</Pages>
  <Words>2115</Words>
  <Characters>12059</Characters>
  <Lines>100</Lines>
  <Paragraphs>28</Paragraphs>
  <TotalTime>0</TotalTime>
  <ScaleCrop>false</ScaleCrop>
  <LinksUpToDate>false</LinksUpToDate>
  <CharactersWithSpaces>14146</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2023-12-05T11:35:00Z</dcterms:created>
  <dc:creator>温干军</dc:creator>
  <cp:lastModifiedBy>xzh</cp:lastModifiedBy>
  <dcterms:modified xsi:type="dcterms:W3CDTF">2023-12-22T04:17:09Z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C4924C99A8A94737A044F6755D412364_12</vt:lpwstr>
  </property>
</Properties>
</file>