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0922" w:rsidRPr="008179CE" w:rsidRDefault="00B50922" w:rsidP="00F94797">
      <w:pPr>
        <w:snapToGrid w:val="0"/>
        <w:spacing w:after="0" w:line="360" w:lineRule="auto"/>
        <w:jc w:val="both"/>
        <w:rPr>
          <w:rFonts w:ascii="Book Antiqua" w:hAnsi="Book Antiqua" w:cs="宋体"/>
          <w:i/>
          <w:color w:val="000000"/>
          <w:sz w:val="24"/>
          <w:szCs w:val="24"/>
        </w:rPr>
      </w:pPr>
      <w:bookmarkStart w:id="0" w:name="OLE_LINK350"/>
      <w:bookmarkStart w:id="1" w:name="OLE_LINK378"/>
      <w:bookmarkStart w:id="2" w:name="OLE_LINK388"/>
      <w:bookmarkStart w:id="3" w:name="OLE_LINK392"/>
      <w:bookmarkStart w:id="4" w:name="OLE_LINK370"/>
      <w:bookmarkStart w:id="5" w:name="OLE_LINK372"/>
      <w:bookmarkStart w:id="6" w:name="OLE_LINK139"/>
      <w:bookmarkStart w:id="7" w:name="OLE_LINK408"/>
      <w:bookmarkStart w:id="8" w:name="OLE_LINK409"/>
      <w:bookmarkStart w:id="9" w:name="OLE_LINK410"/>
      <w:bookmarkStart w:id="10" w:name="OLE_LINK411"/>
      <w:bookmarkStart w:id="11" w:name="OLE_LINK670"/>
      <w:bookmarkStart w:id="12" w:name="OLE_LINK458"/>
      <w:bookmarkStart w:id="13" w:name="OLE_LINK439"/>
      <w:bookmarkStart w:id="14" w:name="OLE_LINK967"/>
      <w:bookmarkStart w:id="15" w:name="OLE_LINK968"/>
      <w:bookmarkStart w:id="16" w:name="OLE_LINK991"/>
      <w:bookmarkStart w:id="17" w:name="OLE_LINK1040"/>
      <w:bookmarkStart w:id="18" w:name="OLE_LINK1041"/>
      <w:bookmarkStart w:id="19" w:name="OLE_LINK1042"/>
      <w:r w:rsidRPr="008179CE">
        <w:rPr>
          <w:rFonts w:ascii="Book Antiqua" w:hAnsi="Book Antiqua" w:cs="宋体"/>
          <w:b/>
          <w:color w:val="0033CC"/>
          <w:sz w:val="24"/>
          <w:szCs w:val="24"/>
        </w:rPr>
        <w:t>Name of journal:</w:t>
      </w:r>
      <w:r w:rsidRPr="008179CE">
        <w:rPr>
          <w:rFonts w:ascii="Book Antiqua" w:hAnsi="Book Antiqua" w:cs="宋体"/>
          <w:b/>
          <w:color w:val="000000"/>
          <w:sz w:val="24"/>
          <w:szCs w:val="24"/>
        </w:rPr>
        <w:t xml:space="preserve"> </w:t>
      </w:r>
      <w:bookmarkStart w:id="20" w:name="OLE_LINK718"/>
      <w:bookmarkStart w:id="21" w:name="OLE_LINK719"/>
      <w:r w:rsidRPr="008179CE">
        <w:rPr>
          <w:rFonts w:ascii="Book Antiqua" w:hAnsi="Book Antiqua" w:cs="宋体"/>
          <w:i/>
          <w:color w:val="000000"/>
          <w:sz w:val="24"/>
          <w:szCs w:val="24"/>
        </w:rPr>
        <w:t>World Journal of Gastroenterology</w:t>
      </w:r>
      <w:bookmarkEnd w:id="20"/>
      <w:bookmarkEnd w:id="21"/>
    </w:p>
    <w:p w:rsidR="00B50922" w:rsidRPr="008179CE" w:rsidRDefault="00B50922" w:rsidP="00F94797">
      <w:pPr>
        <w:snapToGrid w:val="0"/>
        <w:spacing w:after="0" w:line="360" w:lineRule="auto"/>
        <w:jc w:val="both"/>
        <w:rPr>
          <w:rFonts w:ascii="Book Antiqua" w:hAnsi="Book Antiqua" w:cs="宋体"/>
          <w:b/>
          <w:i/>
          <w:color w:val="000000"/>
          <w:sz w:val="24"/>
          <w:szCs w:val="24"/>
          <w:lang w:eastAsia="zh-CN"/>
        </w:rPr>
      </w:pPr>
      <w:r w:rsidRPr="008179CE">
        <w:rPr>
          <w:rFonts w:ascii="Book Antiqua" w:hAnsi="Book Antiqua" w:cs="Arial"/>
          <w:b/>
          <w:color w:val="0033CC"/>
          <w:sz w:val="24"/>
          <w:szCs w:val="24"/>
        </w:rPr>
        <w:t>ESPS Manuscript NO:</w:t>
      </w:r>
      <w:r w:rsidRPr="008179CE">
        <w:rPr>
          <w:rFonts w:ascii="Book Antiqua" w:hAnsi="Book Antiqua" w:cs="Arial"/>
          <w:b/>
          <w:color w:val="222222"/>
          <w:sz w:val="24"/>
          <w:szCs w:val="24"/>
        </w:rPr>
        <w:t xml:space="preserve"> </w:t>
      </w:r>
      <w:r>
        <w:rPr>
          <w:rFonts w:ascii="Book Antiqua" w:hAnsi="Book Antiqua" w:cs="Arial"/>
          <w:b/>
          <w:color w:val="222222"/>
          <w:sz w:val="24"/>
          <w:szCs w:val="24"/>
          <w:lang w:eastAsia="zh-CN"/>
        </w:rPr>
        <w:t>1801</w:t>
      </w:r>
    </w:p>
    <w:p w:rsidR="00B50922" w:rsidRPr="008179CE" w:rsidRDefault="00B50922" w:rsidP="00F94797">
      <w:pPr>
        <w:suppressAutoHyphens/>
        <w:autoSpaceDE w:val="0"/>
        <w:autoSpaceDN w:val="0"/>
        <w:adjustRightInd w:val="0"/>
        <w:snapToGrid w:val="0"/>
        <w:spacing w:after="0" w:line="360" w:lineRule="auto"/>
        <w:jc w:val="both"/>
        <w:rPr>
          <w:rFonts w:ascii="Book Antiqua" w:hAnsi="Book Antiqua"/>
          <w:b/>
          <w:color w:val="000000"/>
          <w:sz w:val="24"/>
          <w:szCs w:val="24"/>
          <w:lang w:eastAsia="zh-CN"/>
        </w:rPr>
      </w:pPr>
      <w:r>
        <w:rPr>
          <w:rFonts w:ascii="Book Antiqua" w:hAnsi="Book Antiqua"/>
          <w:b/>
          <w:color w:val="0033CC"/>
          <w:sz w:val="24"/>
          <w:szCs w:val="24"/>
        </w:rPr>
        <w:t>Columns:</w:t>
      </w:r>
      <w:r>
        <w:rPr>
          <w:rFonts w:ascii="Book Antiqua" w:hAnsi="Book Antiqua"/>
          <w:b/>
          <w:color w:val="000000"/>
          <w:sz w:val="24"/>
          <w:szCs w:val="24"/>
        </w:rPr>
        <w:t xml:space="preserve"> </w:t>
      </w:r>
      <w:r>
        <w:rPr>
          <w:rFonts w:ascii="Book Antiqua" w:hAnsi="Book Antiqua"/>
          <w:b/>
          <w:color w:val="000000"/>
          <w:sz w:val="24"/>
          <w:szCs w:val="24"/>
          <w:lang w:eastAsia="zh-CN"/>
        </w:rPr>
        <w:t>CASE REPORT</w:t>
      </w:r>
    </w:p>
    <w:p w:rsidR="00B50922" w:rsidRPr="008179CE" w:rsidRDefault="00B50922" w:rsidP="00F94797">
      <w:pPr>
        <w:suppressAutoHyphens/>
        <w:autoSpaceDE w:val="0"/>
        <w:autoSpaceDN w:val="0"/>
        <w:adjustRightInd w:val="0"/>
        <w:snapToGrid w:val="0"/>
        <w:spacing w:after="0" w:line="360" w:lineRule="auto"/>
        <w:jc w:val="both"/>
        <w:rPr>
          <w:rFonts w:ascii="Book Antiqua" w:hAnsi="Book Antiqua"/>
          <w:b/>
          <w:color w:val="000000"/>
          <w:sz w:val="24"/>
          <w:szCs w:val="24"/>
          <w:lang w:eastAsia="zh-CN"/>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rsidR="00B50922" w:rsidRPr="008179CE" w:rsidRDefault="00B50922" w:rsidP="00F94797">
      <w:pPr>
        <w:snapToGrid w:val="0"/>
        <w:spacing w:after="0" w:line="360" w:lineRule="auto"/>
        <w:jc w:val="both"/>
        <w:rPr>
          <w:rFonts w:ascii="Book Antiqua" w:hAnsi="Book Antiqua"/>
          <w:b/>
          <w:sz w:val="24"/>
          <w:szCs w:val="24"/>
          <w:lang w:eastAsia="zh-CN"/>
        </w:rPr>
      </w:pPr>
      <w:r>
        <w:rPr>
          <w:rFonts w:ascii="Book Antiqua" w:hAnsi="Book Antiqua"/>
          <w:b/>
          <w:sz w:val="24"/>
          <w:szCs w:val="24"/>
        </w:rPr>
        <w:t>Late post liver transplant protein losing enteropathy</w:t>
      </w:r>
      <w:r>
        <w:rPr>
          <w:rFonts w:ascii="Book Antiqua" w:hAnsi="Book Antiqua"/>
          <w:b/>
          <w:sz w:val="24"/>
          <w:szCs w:val="24"/>
          <w:lang w:eastAsia="zh-CN"/>
        </w:rPr>
        <w:t>:</w:t>
      </w:r>
      <w:r>
        <w:rPr>
          <w:rFonts w:ascii="Book Antiqua" w:hAnsi="Book Antiqua"/>
          <w:b/>
          <w:sz w:val="24"/>
          <w:szCs w:val="24"/>
        </w:rPr>
        <w:t xml:space="preserve"> Rare complication of incisional hernia </w:t>
      </w:r>
    </w:p>
    <w:p w:rsidR="00B50922" w:rsidRPr="008179CE" w:rsidRDefault="00B50922" w:rsidP="00F94797">
      <w:pPr>
        <w:snapToGrid w:val="0"/>
        <w:spacing w:after="0" w:line="360" w:lineRule="auto"/>
        <w:jc w:val="both"/>
        <w:rPr>
          <w:rFonts w:ascii="Book Antiqua" w:hAnsi="Book Antiqua"/>
          <w:b/>
          <w:sz w:val="24"/>
          <w:szCs w:val="24"/>
          <w:lang w:eastAsia="zh-CN"/>
        </w:rPr>
      </w:pPr>
    </w:p>
    <w:p w:rsidR="00B50922" w:rsidRPr="00F814D1" w:rsidRDefault="00B50922" w:rsidP="00F94797">
      <w:pPr>
        <w:snapToGrid w:val="0"/>
        <w:spacing w:after="0" w:line="360" w:lineRule="auto"/>
        <w:jc w:val="both"/>
        <w:rPr>
          <w:rFonts w:ascii="Book Antiqua" w:hAnsi="Book Antiqua"/>
          <w:sz w:val="24"/>
          <w:szCs w:val="24"/>
        </w:rPr>
      </w:pPr>
      <w:r w:rsidRPr="00F814D1">
        <w:rPr>
          <w:rFonts w:ascii="Book Antiqua" w:hAnsi="Book Antiqua"/>
          <w:sz w:val="24"/>
          <w:szCs w:val="24"/>
        </w:rPr>
        <w:t xml:space="preserve">Evans </w:t>
      </w:r>
      <w:r w:rsidRPr="00F814D1">
        <w:rPr>
          <w:rFonts w:ascii="Book Antiqua" w:hAnsi="Book Antiqua"/>
          <w:sz w:val="24"/>
          <w:szCs w:val="24"/>
          <w:lang w:eastAsia="zh-CN"/>
        </w:rPr>
        <w:t xml:space="preserve">JD </w:t>
      </w:r>
      <w:r w:rsidRPr="00F814D1">
        <w:rPr>
          <w:rFonts w:ascii="Book Antiqua" w:hAnsi="Book Antiqua"/>
          <w:i/>
          <w:sz w:val="24"/>
          <w:szCs w:val="24"/>
          <w:lang w:eastAsia="zh-CN"/>
        </w:rPr>
        <w:t>et al</w:t>
      </w:r>
      <w:r w:rsidRPr="00F814D1">
        <w:rPr>
          <w:rFonts w:ascii="Book Antiqua" w:hAnsi="Book Antiqua"/>
          <w:sz w:val="24"/>
          <w:szCs w:val="24"/>
          <w:lang w:eastAsia="zh-CN"/>
        </w:rPr>
        <w:t xml:space="preserve">. </w:t>
      </w:r>
      <w:r w:rsidRPr="00F814D1">
        <w:rPr>
          <w:rFonts w:ascii="Book Antiqua" w:hAnsi="Book Antiqua"/>
          <w:sz w:val="24"/>
          <w:szCs w:val="24"/>
        </w:rPr>
        <w:t xml:space="preserve">Protein losing enteropathy and incisional hernia </w:t>
      </w:r>
    </w:p>
    <w:p w:rsidR="00B50922" w:rsidRPr="008179CE" w:rsidRDefault="00B50922" w:rsidP="00F94797">
      <w:pPr>
        <w:snapToGrid w:val="0"/>
        <w:spacing w:after="0" w:line="360" w:lineRule="auto"/>
        <w:jc w:val="both"/>
        <w:rPr>
          <w:rFonts w:ascii="Book Antiqua" w:hAnsi="Book Antiqua"/>
          <w:b/>
          <w:sz w:val="24"/>
          <w:szCs w:val="24"/>
          <w:lang w:eastAsia="zh-CN"/>
        </w:rPr>
      </w:pPr>
    </w:p>
    <w:p w:rsidR="00B50922" w:rsidRPr="008179CE" w:rsidRDefault="00B50922" w:rsidP="00F94797">
      <w:pPr>
        <w:snapToGrid w:val="0"/>
        <w:spacing w:after="0" w:line="360" w:lineRule="auto"/>
        <w:jc w:val="both"/>
        <w:rPr>
          <w:rFonts w:ascii="Book Antiqua" w:hAnsi="Book Antiqua"/>
          <w:sz w:val="24"/>
          <w:szCs w:val="24"/>
          <w:lang w:eastAsia="zh-CN"/>
        </w:rPr>
      </w:pPr>
      <w:r>
        <w:rPr>
          <w:rFonts w:ascii="Book Antiqua" w:hAnsi="Book Antiqua"/>
          <w:sz w:val="24"/>
          <w:szCs w:val="24"/>
        </w:rPr>
        <w:t xml:space="preserve">Jonathan D </w:t>
      </w:r>
      <w:bookmarkStart w:id="22" w:name="OLE_LINK499"/>
      <w:bookmarkStart w:id="23" w:name="OLE_LINK500"/>
      <w:r>
        <w:rPr>
          <w:rFonts w:ascii="Book Antiqua" w:hAnsi="Book Antiqua"/>
          <w:sz w:val="24"/>
          <w:szCs w:val="24"/>
        </w:rPr>
        <w:t>Evans</w:t>
      </w:r>
      <w:bookmarkEnd w:id="22"/>
      <w:bookmarkEnd w:id="23"/>
      <w:r>
        <w:rPr>
          <w:rFonts w:ascii="Book Antiqua" w:hAnsi="Book Antiqua"/>
          <w:sz w:val="24"/>
          <w:szCs w:val="24"/>
        </w:rPr>
        <w:t>, M Thamara PR Perera, CY Pal, James Neuberger, Darius F Mirza</w:t>
      </w:r>
    </w:p>
    <w:p w:rsidR="00B50922" w:rsidRPr="008179CE" w:rsidRDefault="00BF6678" w:rsidP="00F94797">
      <w:pPr>
        <w:snapToGrid w:val="0"/>
        <w:spacing w:after="0" w:line="360" w:lineRule="auto"/>
        <w:jc w:val="both"/>
        <w:rPr>
          <w:rFonts w:ascii="Book Antiqua" w:hAnsi="Book Antiqua"/>
          <w:sz w:val="24"/>
          <w:szCs w:val="24"/>
          <w:lang w:eastAsia="zh-CN"/>
        </w:rPr>
      </w:pPr>
      <w:r>
        <w:rPr>
          <w:noProof/>
          <w:lang w:val="en-US" w:eastAsia="zh-CN"/>
        </w:rPr>
        <mc:AlternateContent>
          <mc:Choice Requires="wps">
            <w:drawing>
              <wp:anchor distT="0" distB="0" distL="114300" distR="114300" simplePos="0" relativeHeight="251658240" behindDoc="0" locked="0" layoutInCell="1" allowOverlap="1">
                <wp:simplePos x="0" y="0"/>
                <wp:positionH relativeFrom="column">
                  <wp:posOffset>-38100</wp:posOffset>
                </wp:positionH>
                <wp:positionV relativeFrom="paragraph">
                  <wp:posOffset>97790</wp:posOffset>
                </wp:positionV>
                <wp:extent cx="5760720" cy="0"/>
                <wp:effectExtent l="19050" t="21590" r="20955" b="2603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straightConnector1">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3pt;margin-top:7.7pt;width:453.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" strokecolor="gray" strokeweight="3pt"/>
            </w:pict>
          </mc:Fallback>
        </mc:AlternateContent>
      </w:r>
    </w:p>
    <w:p w:rsidR="00B50922" w:rsidRPr="008179CE" w:rsidRDefault="00B50922" w:rsidP="00F94797">
      <w:pPr>
        <w:snapToGrid w:val="0"/>
        <w:spacing w:after="0" w:line="360" w:lineRule="auto"/>
        <w:jc w:val="both"/>
        <w:rPr>
          <w:rFonts w:ascii="Book Antiqua" w:hAnsi="Book Antiqua"/>
          <w:sz w:val="24"/>
          <w:szCs w:val="24"/>
          <w:lang w:eastAsia="zh-CN"/>
        </w:rPr>
      </w:pPr>
      <w:r>
        <w:rPr>
          <w:rFonts w:ascii="Book Antiqua" w:hAnsi="Book Antiqua"/>
          <w:b/>
          <w:sz w:val="24"/>
          <w:szCs w:val="24"/>
        </w:rPr>
        <w:t>Jonathan D Evans, M Thamara PR Perera, CY Pal, James Neuberger, Darius F Mirza</w:t>
      </w:r>
      <w:r>
        <w:rPr>
          <w:rFonts w:ascii="Book Antiqua" w:hAnsi="Book Antiqua"/>
          <w:b/>
          <w:sz w:val="24"/>
          <w:szCs w:val="24"/>
          <w:lang w:eastAsia="zh-CN"/>
        </w:rPr>
        <w:t>,</w:t>
      </w:r>
      <w:r>
        <w:rPr>
          <w:rFonts w:ascii="Book Antiqua" w:hAnsi="Book Antiqua"/>
          <w:sz w:val="24"/>
          <w:szCs w:val="24"/>
          <w:lang w:val="en-US"/>
        </w:rPr>
        <w:t xml:space="preserve"> </w:t>
      </w:r>
      <w:r>
        <w:rPr>
          <w:rFonts w:ascii="Book Antiqua" w:hAnsi="Book Antiqua"/>
          <w:sz w:val="24"/>
          <w:szCs w:val="24"/>
        </w:rPr>
        <w:t>The Liver Unit, The Queen Elizabeth Hospital, Edgbaston, Birmingham</w:t>
      </w:r>
      <w:r>
        <w:rPr>
          <w:rFonts w:ascii="Book Antiqua" w:hAnsi="Book Antiqua"/>
          <w:sz w:val="24"/>
          <w:szCs w:val="24"/>
          <w:lang w:eastAsia="zh-CN"/>
        </w:rPr>
        <w:t xml:space="preserve"> </w:t>
      </w:r>
      <w:r>
        <w:rPr>
          <w:rFonts w:ascii="Book Antiqua" w:hAnsi="Book Antiqua"/>
          <w:sz w:val="24"/>
          <w:szCs w:val="24"/>
        </w:rPr>
        <w:t>B15 2TH, United Kingdom</w:t>
      </w:r>
    </w:p>
    <w:p w:rsidR="00B50922" w:rsidRDefault="00B50922">
      <w:pPr>
        <w:snapToGrid w:val="0"/>
        <w:spacing w:after="0" w:line="360" w:lineRule="auto"/>
        <w:jc w:val="both"/>
        <w:rPr>
          <w:rFonts w:ascii="Book Antiqua" w:hAnsi="Book Antiqua"/>
          <w:b/>
          <w:sz w:val="24"/>
          <w:szCs w:val="24"/>
        </w:rPr>
      </w:pPr>
      <w:r>
        <w:rPr>
          <w:rFonts w:ascii="Book Antiqua" w:hAnsi="Book Antiqua"/>
          <w:sz w:val="24"/>
          <w:szCs w:val="24"/>
        </w:rPr>
        <w:t xml:space="preserve"> </w:t>
      </w:r>
    </w:p>
    <w:p w:rsidR="00B50922" w:rsidRDefault="00B50922">
      <w:pPr>
        <w:snapToGrid w:val="0"/>
        <w:spacing w:after="0" w:line="360" w:lineRule="auto"/>
        <w:jc w:val="both"/>
        <w:rPr>
          <w:rFonts w:ascii="Book Antiqua" w:hAnsi="Book Antiqua"/>
          <w:sz w:val="24"/>
          <w:szCs w:val="24"/>
          <w:lang w:eastAsia="zh-CN"/>
        </w:rPr>
      </w:pPr>
      <w:r>
        <w:rPr>
          <w:rFonts w:ascii="Book Antiqua" w:hAnsi="Book Antiqua"/>
          <w:b/>
          <w:sz w:val="24"/>
          <w:szCs w:val="24"/>
        </w:rPr>
        <w:t>Author contributions:</w:t>
      </w:r>
      <w:r>
        <w:rPr>
          <w:rFonts w:ascii="Book Antiqua" w:hAnsi="Book Antiqua"/>
          <w:b/>
          <w:sz w:val="24"/>
          <w:szCs w:val="24"/>
          <w:lang w:eastAsia="zh-CN"/>
        </w:rPr>
        <w:t xml:space="preserve"> </w:t>
      </w:r>
      <w:r>
        <w:rPr>
          <w:rFonts w:ascii="Book Antiqua" w:hAnsi="Book Antiqua"/>
          <w:sz w:val="24"/>
          <w:szCs w:val="24"/>
        </w:rPr>
        <w:t>Evans JD performed a literature review and wrote the manuscript</w:t>
      </w:r>
      <w:r>
        <w:rPr>
          <w:rFonts w:ascii="Book Antiqua" w:hAnsi="Book Antiqua"/>
          <w:sz w:val="24"/>
          <w:szCs w:val="24"/>
          <w:lang w:eastAsia="zh-CN"/>
        </w:rPr>
        <w:t>;</w:t>
      </w:r>
      <w:r>
        <w:rPr>
          <w:rFonts w:ascii="Book Antiqua" w:hAnsi="Book Antiqua"/>
          <w:sz w:val="24"/>
          <w:szCs w:val="24"/>
        </w:rPr>
        <w:t xml:space="preserve"> Perera MTPR, Pal CY, Neuberger J, Mirza DF provided the </w:t>
      </w:r>
      <w:r>
        <w:rPr>
          <w:rFonts w:ascii="Book Antiqua" w:hAnsi="Book Antiqua"/>
          <w:sz w:val="24"/>
          <w:szCs w:val="24"/>
          <w:shd w:val="clear" w:color="auto" w:fill="FFFFFF"/>
          <w:lang w:val="en-US"/>
        </w:rPr>
        <w:t>intellectual content, undertook revisions and approved the final manuscript.</w:t>
      </w:r>
      <w:r>
        <w:rPr>
          <w:rFonts w:ascii="Book Antiqua" w:hAnsi="Book Antiqua"/>
          <w:sz w:val="24"/>
          <w:szCs w:val="24"/>
        </w:rPr>
        <w:t xml:space="preserve"> </w:t>
      </w:r>
    </w:p>
    <w:p w:rsidR="00B50922" w:rsidRDefault="00B50922">
      <w:pPr>
        <w:snapToGrid w:val="0"/>
        <w:spacing w:after="0" w:line="360" w:lineRule="auto"/>
        <w:jc w:val="both"/>
        <w:rPr>
          <w:rFonts w:ascii="Book Antiqua" w:hAnsi="Book Antiqua"/>
          <w:b/>
          <w:sz w:val="24"/>
          <w:szCs w:val="24"/>
          <w:lang w:eastAsia="zh-CN"/>
        </w:rPr>
      </w:pPr>
    </w:p>
    <w:p w:rsidR="00B50922" w:rsidRDefault="00B50922">
      <w:pPr>
        <w:snapToGrid w:val="0"/>
        <w:spacing w:after="0" w:line="360" w:lineRule="auto"/>
        <w:jc w:val="both"/>
        <w:rPr>
          <w:rFonts w:ascii="Book Antiqua" w:hAnsi="Book Antiqua"/>
          <w:sz w:val="24"/>
          <w:szCs w:val="24"/>
          <w:lang w:eastAsia="zh-CN"/>
        </w:rPr>
      </w:pPr>
      <w:r>
        <w:rPr>
          <w:rFonts w:ascii="Book Antiqua" w:hAnsi="Book Antiqua"/>
          <w:b/>
          <w:sz w:val="24"/>
          <w:szCs w:val="24"/>
        </w:rPr>
        <w:t>Correspondence to:</w:t>
      </w:r>
      <w:r>
        <w:rPr>
          <w:rFonts w:ascii="Book Antiqua" w:hAnsi="Book Antiqua"/>
          <w:b/>
          <w:sz w:val="24"/>
          <w:szCs w:val="24"/>
          <w:lang w:eastAsia="zh-CN"/>
        </w:rPr>
        <w:t xml:space="preserve"> </w:t>
      </w:r>
      <w:r>
        <w:rPr>
          <w:rFonts w:ascii="Book Antiqua" w:hAnsi="Book Antiqua"/>
          <w:b/>
          <w:sz w:val="24"/>
          <w:szCs w:val="24"/>
        </w:rPr>
        <w:t>Mr. Darius F Mirza</w:t>
      </w:r>
      <w:r>
        <w:rPr>
          <w:rFonts w:ascii="Book Antiqua" w:hAnsi="Book Antiqua"/>
          <w:b/>
          <w:sz w:val="24"/>
          <w:szCs w:val="24"/>
          <w:lang w:eastAsia="zh-CN"/>
        </w:rPr>
        <w:t>,</w:t>
      </w:r>
      <w:r>
        <w:rPr>
          <w:rFonts w:ascii="Book Antiqua" w:hAnsi="Book Antiqua"/>
          <w:b/>
          <w:sz w:val="24"/>
          <w:szCs w:val="24"/>
        </w:rPr>
        <w:t xml:space="preserve"> FRCS,</w:t>
      </w:r>
      <w:r>
        <w:rPr>
          <w:rFonts w:ascii="Book Antiqua" w:hAnsi="Book Antiqua"/>
          <w:sz w:val="24"/>
          <w:szCs w:val="24"/>
        </w:rPr>
        <w:t xml:space="preserve"> </w:t>
      </w:r>
      <w:r w:rsidRPr="007E33F3">
        <w:rPr>
          <w:rFonts w:ascii="Book Antiqua" w:hAnsi="Book Antiqua"/>
          <w:b/>
          <w:sz w:val="24"/>
          <w:szCs w:val="24"/>
        </w:rPr>
        <w:t xml:space="preserve">Consultant Transplant Surgeon, </w:t>
      </w:r>
      <w:r>
        <w:rPr>
          <w:rFonts w:ascii="Book Antiqua" w:hAnsi="Book Antiqua"/>
          <w:sz w:val="24"/>
          <w:szCs w:val="24"/>
        </w:rPr>
        <w:t xml:space="preserve">The Liver Unit, </w:t>
      </w:r>
      <w:bookmarkStart w:id="24" w:name="OLE_LINK1651"/>
      <w:smartTag w:uri="urn:schemas-microsoft-com:office:smarttags" w:element="PlaceName">
        <w:r>
          <w:rPr>
            <w:rFonts w:ascii="Book Antiqua" w:hAnsi="Book Antiqua"/>
            <w:sz w:val="24"/>
            <w:szCs w:val="24"/>
          </w:rPr>
          <w:t>Queen</w:t>
        </w:r>
      </w:smartTag>
      <w:r>
        <w:rPr>
          <w:rFonts w:ascii="Book Antiqua" w:hAnsi="Book Antiqua"/>
          <w:sz w:val="24"/>
          <w:szCs w:val="24"/>
        </w:rPr>
        <w:t xml:space="preserve"> </w:t>
      </w:r>
      <w:smartTag w:uri="urn:schemas-microsoft-com:office:smarttags" w:element="PlaceName">
        <w:r>
          <w:rPr>
            <w:rFonts w:ascii="Book Antiqua" w:hAnsi="Book Antiqua"/>
            <w:sz w:val="24"/>
            <w:szCs w:val="24"/>
          </w:rPr>
          <w:t>Elizabeth</w:t>
        </w:r>
      </w:smartTag>
      <w:r>
        <w:rPr>
          <w:rFonts w:ascii="Book Antiqua" w:hAnsi="Book Antiqua"/>
          <w:sz w:val="24"/>
          <w:szCs w:val="24"/>
        </w:rPr>
        <w:t xml:space="preserve"> </w:t>
      </w:r>
      <w:smartTag w:uri="urn:schemas-microsoft-com:office:smarttags" w:element="PlaceName">
        <w:r>
          <w:rPr>
            <w:rFonts w:ascii="Book Antiqua" w:hAnsi="Book Antiqua"/>
            <w:sz w:val="24"/>
            <w:szCs w:val="24"/>
          </w:rPr>
          <w:t>Hospital</w:t>
        </w:r>
      </w:smartTag>
      <w:r>
        <w:rPr>
          <w:rFonts w:ascii="Book Antiqua" w:hAnsi="Book Antiqua"/>
          <w:sz w:val="24"/>
          <w:szCs w:val="24"/>
        </w:rPr>
        <w:t xml:space="preserve"> </w:t>
      </w:r>
      <w:smartTag w:uri="urn:schemas-microsoft-com:office:smarttags" w:element="City">
        <w:r>
          <w:rPr>
            <w:rFonts w:ascii="Book Antiqua" w:hAnsi="Book Antiqua"/>
            <w:sz w:val="24"/>
            <w:szCs w:val="24"/>
          </w:rPr>
          <w:t>Birmingham</w:t>
        </w:r>
      </w:smartTag>
      <w:r>
        <w:rPr>
          <w:rFonts w:ascii="Book Antiqua" w:hAnsi="Book Antiqua"/>
          <w:sz w:val="24"/>
          <w:szCs w:val="24"/>
        </w:rPr>
        <w:t>,</w:t>
      </w:r>
      <w:r w:rsidRPr="007E33F3">
        <w:rPr>
          <w:rFonts w:ascii="Book Antiqua" w:hAnsi="Book Antiqua"/>
        </w:rPr>
        <w:t xml:space="preserve"> </w:t>
      </w:r>
      <w:r>
        <w:rPr>
          <w:rFonts w:ascii="Book Antiqua" w:hAnsi="Book Antiqua"/>
          <w:sz w:val="24"/>
          <w:szCs w:val="24"/>
        </w:rPr>
        <w:t xml:space="preserve">Queen Elizabeth Medical Centre, </w:t>
      </w:r>
      <w:bookmarkEnd w:id="24"/>
      <w:r>
        <w:rPr>
          <w:rFonts w:ascii="Book Antiqua" w:hAnsi="Book Antiqua"/>
          <w:sz w:val="24"/>
          <w:szCs w:val="24"/>
        </w:rPr>
        <w:t xml:space="preserve">Edgbaston, </w:t>
      </w:r>
      <w:smartTag w:uri="urn:schemas-microsoft-com:office:smarttags" w:element="place">
        <w:smartTag w:uri="urn:schemas-microsoft-com:office:smarttags" w:element="City">
          <w:r>
            <w:rPr>
              <w:rFonts w:ascii="Book Antiqua" w:hAnsi="Book Antiqua"/>
              <w:sz w:val="24"/>
              <w:szCs w:val="24"/>
            </w:rPr>
            <w:t>Birmingham</w:t>
          </w:r>
        </w:smartTag>
        <w:r>
          <w:rPr>
            <w:rFonts w:ascii="Book Antiqua" w:hAnsi="Book Antiqua"/>
            <w:sz w:val="24"/>
            <w:szCs w:val="24"/>
            <w:lang w:eastAsia="zh-CN"/>
          </w:rPr>
          <w:t xml:space="preserve"> </w:t>
        </w:r>
        <w:smartTag w:uri="urn:schemas-microsoft-com:office:smarttags" w:element="PostalCode">
          <w:r>
            <w:rPr>
              <w:rFonts w:ascii="Book Antiqua" w:hAnsi="Book Antiqua"/>
              <w:sz w:val="24"/>
              <w:szCs w:val="24"/>
            </w:rPr>
            <w:t>B15 2TH</w:t>
          </w:r>
        </w:smartTag>
        <w:r>
          <w:rPr>
            <w:rFonts w:ascii="Book Antiqua" w:hAnsi="Book Antiqua"/>
            <w:sz w:val="24"/>
            <w:szCs w:val="24"/>
          </w:rPr>
          <w:t xml:space="preserve">, </w:t>
        </w:r>
        <w:smartTag w:uri="urn:schemas-microsoft-com:office:smarttags" w:element="country-region">
          <w:r>
            <w:rPr>
              <w:rFonts w:ascii="Book Antiqua" w:hAnsi="Book Antiqua"/>
              <w:sz w:val="24"/>
              <w:szCs w:val="24"/>
            </w:rPr>
            <w:t>United Kingdom</w:t>
          </w:r>
        </w:smartTag>
      </w:smartTag>
      <w:r>
        <w:rPr>
          <w:rFonts w:ascii="Book Antiqua" w:hAnsi="Book Antiqua"/>
          <w:sz w:val="24"/>
          <w:szCs w:val="24"/>
        </w:rPr>
        <w:t xml:space="preserve">. </w:t>
      </w:r>
    </w:p>
    <w:p w:rsidR="00B50922" w:rsidRDefault="0057661C">
      <w:pPr>
        <w:snapToGrid w:val="0"/>
        <w:spacing w:after="0" w:line="360" w:lineRule="auto"/>
        <w:jc w:val="both"/>
        <w:rPr>
          <w:rFonts w:ascii="Book Antiqua" w:hAnsi="Book Antiqua" w:cs="Tahoma"/>
          <w:sz w:val="24"/>
          <w:szCs w:val="24"/>
          <w:lang w:eastAsia="zh-CN"/>
        </w:rPr>
      </w:pPr>
      <w:hyperlink r:id="rId7" w:history="1">
        <w:r w:rsidR="00B50922">
          <w:rPr>
            <w:rStyle w:val="a6"/>
            <w:rFonts w:ascii="Book Antiqua" w:hAnsi="Book Antiqua" w:cs="Tahoma"/>
            <w:color w:val="auto"/>
            <w:sz w:val="24"/>
            <w:szCs w:val="24"/>
            <w:u w:val="none"/>
          </w:rPr>
          <w:t>darius.mirza@uhb.nhs.uk</w:t>
        </w:r>
      </w:hyperlink>
      <w:r w:rsidR="00B50922" w:rsidRPr="007E33F3">
        <w:rPr>
          <w:rFonts w:ascii="Book Antiqua" w:hAnsi="Book Antiqua" w:cs="Tahoma"/>
          <w:sz w:val="24"/>
          <w:szCs w:val="24"/>
        </w:rPr>
        <w:t xml:space="preserve">. </w:t>
      </w:r>
    </w:p>
    <w:p w:rsidR="00B50922" w:rsidRDefault="00B50922">
      <w:pPr>
        <w:snapToGrid w:val="0"/>
        <w:spacing w:after="0" w:line="360" w:lineRule="auto"/>
        <w:jc w:val="both"/>
        <w:rPr>
          <w:rFonts w:ascii="Book Antiqua" w:hAnsi="Book Antiqua" w:cs="Tahoma"/>
          <w:sz w:val="24"/>
          <w:szCs w:val="24"/>
          <w:lang w:eastAsia="zh-CN"/>
        </w:rPr>
      </w:pPr>
    </w:p>
    <w:p w:rsidR="00B50922" w:rsidRDefault="00B50922">
      <w:pPr>
        <w:autoSpaceDE w:val="0"/>
        <w:autoSpaceDN w:val="0"/>
        <w:adjustRightInd w:val="0"/>
        <w:snapToGrid w:val="0"/>
        <w:spacing w:after="0" w:line="360" w:lineRule="auto"/>
        <w:jc w:val="both"/>
        <w:rPr>
          <w:rFonts w:ascii="Book Antiqua" w:hAnsi="Book Antiqua"/>
          <w:color w:val="000000"/>
          <w:sz w:val="24"/>
          <w:szCs w:val="24"/>
        </w:rPr>
      </w:pPr>
      <w:bookmarkStart w:id="25" w:name="OLE_LINK65"/>
      <w:bookmarkStart w:id="26" w:name="OLE_LINK106"/>
      <w:bookmarkStart w:id="27" w:name="OLE_LINK331"/>
      <w:bookmarkStart w:id="28" w:name="OLE_LINK207"/>
      <w:bookmarkStart w:id="29" w:name="OLE_LINK208"/>
      <w:bookmarkStart w:id="30" w:name="OLE_LINK143"/>
      <w:bookmarkStart w:id="31" w:name="OLE_LINK429"/>
      <w:bookmarkStart w:id="32" w:name="OLE_LINK724"/>
      <w:bookmarkStart w:id="33" w:name="OLE_LINK601"/>
      <w:bookmarkStart w:id="34" w:name="OLE_LINK570"/>
      <w:bookmarkStart w:id="35" w:name="OLE_LINK788"/>
      <w:bookmarkStart w:id="36" w:name="OLE_LINK978"/>
      <w:r w:rsidRPr="007E33F3">
        <w:rPr>
          <w:rFonts w:ascii="Book Antiqua" w:hAnsi="Book Antiqua"/>
          <w:b/>
          <w:bCs/>
          <w:color w:val="000000"/>
          <w:sz w:val="24"/>
          <w:szCs w:val="24"/>
        </w:rPr>
        <w:t xml:space="preserve">Telephone: </w:t>
      </w:r>
      <w:r w:rsidRPr="007E33F3">
        <w:rPr>
          <w:rFonts w:ascii="Book Antiqua" w:hAnsi="Book Antiqua"/>
          <w:color w:val="000000"/>
          <w:sz w:val="24"/>
          <w:szCs w:val="24"/>
        </w:rPr>
        <w:t>+</w:t>
      </w:r>
      <w:r w:rsidRPr="007E33F3">
        <w:rPr>
          <w:rFonts w:ascii="Book Antiqua" w:hAnsi="Book Antiqua"/>
          <w:sz w:val="24"/>
          <w:szCs w:val="24"/>
          <w:shd w:val="clear" w:color="auto" w:fill="FFFFFF"/>
          <w:lang w:val="en-US"/>
        </w:rPr>
        <w:t>44</w:t>
      </w:r>
      <w:r w:rsidRPr="007E33F3">
        <w:rPr>
          <w:rFonts w:ascii="Book Antiqua" w:hAnsi="Book Antiqua"/>
          <w:sz w:val="24"/>
          <w:szCs w:val="24"/>
          <w:shd w:val="clear" w:color="auto" w:fill="FFFFFF"/>
          <w:lang w:val="en-US" w:eastAsia="zh-CN"/>
        </w:rPr>
        <w:t>-</w:t>
      </w:r>
      <w:r w:rsidRPr="007E33F3">
        <w:rPr>
          <w:rFonts w:ascii="Book Antiqua" w:hAnsi="Book Antiqua"/>
          <w:sz w:val="24"/>
          <w:szCs w:val="24"/>
          <w:shd w:val="clear" w:color="auto" w:fill="FFFFFF"/>
          <w:lang w:val="en-US"/>
        </w:rPr>
        <w:t>121</w:t>
      </w:r>
      <w:r w:rsidRPr="007E33F3">
        <w:rPr>
          <w:rFonts w:ascii="Book Antiqua" w:hAnsi="Book Antiqua"/>
          <w:sz w:val="24"/>
          <w:szCs w:val="24"/>
          <w:shd w:val="clear" w:color="auto" w:fill="FFFFFF"/>
          <w:lang w:val="en-US" w:eastAsia="zh-CN"/>
        </w:rPr>
        <w:t>-</w:t>
      </w:r>
      <w:r w:rsidRPr="007E33F3">
        <w:rPr>
          <w:rFonts w:ascii="Book Antiqua" w:hAnsi="Book Antiqua"/>
          <w:sz w:val="24"/>
          <w:szCs w:val="24"/>
          <w:shd w:val="clear" w:color="auto" w:fill="FFFFFF"/>
          <w:lang w:val="en-US"/>
        </w:rPr>
        <w:t>4141833</w:t>
      </w:r>
      <w:r w:rsidRPr="007E33F3">
        <w:rPr>
          <w:rFonts w:ascii="Book Antiqua" w:hAnsi="Book Antiqua"/>
          <w:color w:val="000000"/>
          <w:sz w:val="24"/>
          <w:szCs w:val="24"/>
        </w:rPr>
        <w:t xml:space="preserve">     </w:t>
      </w:r>
      <w:bookmarkStart w:id="37" w:name="OLE_LINK42"/>
      <w:bookmarkStart w:id="38" w:name="OLE_LINK128"/>
      <w:bookmarkStart w:id="39" w:name="OLE_LINK440"/>
      <w:r w:rsidRPr="007E33F3">
        <w:rPr>
          <w:rFonts w:ascii="Book Antiqua" w:hAnsi="Book Antiqua"/>
          <w:color w:val="000000"/>
          <w:sz w:val="24"/>
          <w:szCs w:val="24"/>
          <w:lang w:eastAsia="zh-CN"/>
        </w:rPr>
        <w:t xml:space="preserve">   </w:t>
      </w:r>
      <w:r w:rsidRPr="007E33F3">
        <w:rPr>
          <w:rFonts w:ascii="Book Antiqua" w:hAnsi="Book Antiqua"/>
          <w:b/>
          <w:bCs/>
          <w:color w:val="000000"/>
          <w:sz w:val="24"/>
          <w:szCs w:val="24"/>
        </w:rPr>
        <w:t>Fax:</w:t>
      </w:r>
      <w:r w:rsidRPr="007E33F3">
        <w:rPr>
          <w:rFonts w:ascii="Book Antiqua" w:hAnsi="Book Antiqua"/>
          <w:color w:val="000000"/>
          <w:sz w:val="24"/>
          <w:szCs w:val="24"/>
        </w:rPr>
        <w:t xml:space="preserve"> +</w:t>
      </w:r>
      <w:bookmarkEnd w:id="25"/>
      <w:bookmarkEnd w:id="26"/>
      <w:bookmarkEnd w:id="37"/>
      <w:bookmarkEnd w:id="38"/>
      <w:bookmarkEnd w:id="39"/>
      <w:r w:rsidRPr="007E33F3">
        <w:rPr>
          <w:rFonts w:ascii="Book Antiqua" w:hAnsi="Book Antiqua"/>
          <w:sz w:val="24"/>
          <w:szCs w:val="24"/>
          <w:shd w:val="clear" w:color="auto" w:fill="FFFFFF"/>
          <w:lang w:val="en-US"/>
        </w:rPr>
        <w:t>44</w:t>
      </w:r>
      <w:r w:rsidRPr="007E33F3">
        <w:rPr>
          <w:rFonts w:ascii="Book Antiqua" w:hAnsi="Book Antiqua"/>
          <w:sz w:val="24"/>
          <w:szCs w:val="24"/>
          <w:shd w:val="clear" w:color="auto" w:fill="FFFFFF"/>
          <w:lang w:val="en-US" w:eastAsia="zh-CN"/>
        </w:rPr>
        <w:t>-</w:t>
      </w:r>
      <w:r w:rsidRPr="007E33F3">
        <w:rPr>
          <w:rFonts w:ascii="Book Antiqua" w:hAnsi="Book Antiqua"/>
          <w:sz w:val="24"/>
          <w:szCs w:val="24"/>
          <w:shd w:val="clear" w:color="auto" w:fill="FFFFFF"/>
          <w:lang w:val="en-US"/>
        </w:rPr>
        <w:t>121</w:t>
      </w:r>
      <w:r w:rsidRPr="007E33F3">
        <w:rPr>
          <w:rFonts w:ascii="Book Antiqua" w:hAnsi="Book Antiqua"/>
          <w:sz w:val="24"/>
          <w:szCs w:val="24"/>
          <w:shd w:val="clear" w:color="auto" w:fill="FFFFFF"/>
          <w:lang w:val="en-US" w:eastAsia="zh-CN"/>
        </w:rPr>
        <w:t>-</w:t>
      </w:r>
      <w:r w:rsidRPr="007E33F3">
        <w:rPr>
          <w:rFonts w:ascii="Book Antiqua" w:hAnsi="Book Antiqua"/>
          <w:sz w:val="24"/>
          <w:szCs w:val="24"/>
          <w:shd w:val="clear" w:color="auto" w:fill="FFFFFF"/>
          <w:lang w:val="en-US"/>
        </w:rPr>
        <w:t>3716188</w:t>
      </w:r>
    </w:p>
    <w:p w:rsidR="00B50922" w:rsidRDefault="00B50922">
      <w:pPr>
        <w:snapToGrid w:val="0"/>
        <w:spacing w:after="0" w:line="360" w:lineRule="auto"/>
        <w:jc w:val="both"/>
        <w:rPr>
          <w:rFonts w:ascii="Book Antiqua" w:hAnsi="Book Antiqua"/>
          <w:b/>
          <w:sz w:val="24"/>
          <w:szCs w:val="24"/>
        </w:rPr>
      </w:pPr>
      <w:bookmarkStart w:id="40" w:name="OLE_LINK25"/>
      <w:bookmarkStart w:id="41" w:name="OLE_LINK26"/>
      <w:bookmarkStart w:id="42" w:name="OLE_LINK145"/>
      <w:bookmarkStart w:id="43" w:name="OLE_LINK215"/>
      <w:bookmarkStart w:id="44" w:name="OLE_LINK352"/>
      <w:bookmarkStart w:id="45" w:name="OLE_LINK364"/>
      <w:bookmarkStart w:id="46" w:name="OLE_LINK383"/>
      <w:bookmarkStart w:id="47" w:name="OLE_LINK361"/>
      <w:bookmarkStart w:id="48" w:name="OLE_LINK444"/>
      <w:bookmarkStart w:id="49" w:name="OLE_LINK501"/>
      <w:bookmarkEnd w:id="27"/>
      <w:r w:rsidRPr="007E33F3">
        <w:rPr>
          <w:rFonts w:ascii="Book Antiqua" w:hAnsi="Book Antiqua"/>
          <w:b/>
          <w:sz w:val="24"/>
          <w:szCs w:val="24"/>
        </w:rPr>
        <w:t>Received:</w:t>
      </w:r>
      <w:r w:rsidRPr="007E33F3">
        <w:rPr>
          <w:rFonts w:ascii="Book Antiqua" w:hAnsi="Book Antiqua"/>
          <w:b/>
          <w:sz w:val="24"/>
          <w:szCs w:val="24"/>
          <w:lang w:eastAsia="zh-CN"/>
        </w:rPr>
        <w:t xml:space="preserve"> </w:t>
      </w:r>
      <w:r w:rsidRPr="007E33F3">
        <w:rPr>
          <w:rFonts w:ascii="Book Antiqua" w:hAnsi="Book Antiqua"/>
          <w:sz w:val="24"/>
          <w:szCs w:val="24"/>
          <w:lang w:eastAsia="zh-CN"/>
        </w:rPr>
        <w:t xml:space="preserve">January 7, 2013  </w:t>
      </w:r>
      <w:r w:rsidRPr="007E33F3">
        <w:rPr>
          <w:rFonts w:ascii="Book Antiqua" w:hAnsi="Book Antiqua"/>
          <w:sz w:val="24"/>
          <w:szCs w:val="24"/>
        </w:rPr>
        <w:t xml:space="preserve"> </w:t>
      </w:r>
      <w:r w:rsidRPr="007E33F3">
        <w:rPr>
          <w:rFonts w:ascii="Book Antiqua" w:hAnsi="Book Antiqua"/>
          <w:b/>
          <w:sz w:val="24"/>
          <w:szCs w:val="24"/>
          <w:lang w:eastAsia="zh-CN"/>
        </w:rPr>
        <w:t xml:space="preserve">  </w:t>
      </w:r>
      <w:r w:rsidRPr="007E33F3">
        <w:rPr>
          <w:rFonts w:ascii="Book Antiqua" w:hAnsi="Book Antiqua"/>
          <w:b/>
          <w:sz w:val="24"/>
          <w:szCs w:val="24"/>
        </w:rPr>
        <w:t xml:space="preserve"> Revised:</w:t>
      </w:r>
      <w:bookmarkEnd w:id="40"/>
      <w:bookmarkEnd w:id="41"/>
      <w:r w:rsidRPr="007E33F3">
        <w:rPr>
          <w:rFonts w:ascii="Book Antiqua" w:hAnsi="Book Antiqua"/>
          <w:b/>
          <w:sz w:val="24"/>
          <w:szCs w:val="24"/>
          <w:lang w:eastAsia="zh-CN"/>
        </w:rPr>
        <w:t xml:space="preserve"> </w:t>
      </w:r>
      <w:bookmarkStart w:id="50" w:name="OLE_LINK1670"/>
      <w:bookmarkStart w:id="51" w:name="OLE_LINK1671"/>
      <w:r w:rsidRPr="007E33F3">
        <w:rPr>
          <w:rFonts w:ascii="Book Antiqua" w:hAnsi="Book Antiqua"/>
          <w:sz w:val="24"/>
          <w:szCs w:val="24"/>
          <w:lang w:eastAsia="zh-CN"/>
        </w:rPr>
        <w:t>March 15, 2013</w:t>
      </w:r>
      <w:bookmarkEnd w:id="50"/>
      <w:bookmarkEnd w:id="51"/>
      <w:r w:rsidRPr="007E33F3">
        <w:rPr>
          <w:rFonts w:ascii="Book Antiqua" w:hAnsi="Book Antiqua"/>
          <w:sz w:val="24"/>
          <w:szCs w:val="24"/>
        </w:rPr>
        <w:t xml:space="preserve"> </w:t>
      </w:r>
      <w:bookmarkStart w:id="52" w:name="OLE_LINK103"/>
      <w:bookmarkStart w:id="53" w:name="OLE_LINK104"/>
      <w:bookmarkStart w:id="54" w:name="OLE_LINK69"/>
      <w:bookmarkStart w:id="55" w:name="OLE_LINK70"/>
    </w:p>
    <w:p w:rsidR="00DE1F8D" w:rsidRDefault="00B50922" w:rsidP="00DE1F8D">
      <w:bookmarkStart w:id="56" w:name="OLE_LINK303"/>
      <w:bookmarkStart w:id="57" w:name="OLE_LINK304"/>
      <w:r w:rsidRPr="007E33F3">
        <w:rPr>
          <w:rFonts w:ascii="Book Antiqua" w:hAnsi="Book Antiqua"/>
          <w:b/>
          <w:sz w:val="24"/>
          <w:szCs w:val="24"/>
        </w:rPr>
        <w:t xml:space="preserve">Accepted: </w:t>
      </w:r>
      <w:bookmarkStart w:id="58" w:name="OLE_LINK1"/>
      <w:bookmarkStart w:id="59" w:name="OLE_LINK2"/>
      <w:bookmarkStart w:id="60" w:name="OLE_LINK3"/>
      <w:r w:rsidR="00DE1F8D">
        <w:t>April 10, 2013</w:t>
      </w:r>
      <w:bookmarkEnd w:id="58"/>
      <w:bookmarkEnd w:id="59"/>
      <w:bookmarkEnd w:id="60"/>
    </w:p>
    <w:p w:rsidR="00B50922" w:rsidRDefault="00B50922">
      <w:pPr>
        <w:snapToGrid w:val="0"/>
        <w:spacing w:after="0" w:line="360" w:lineRule="auto"/>
        <w:jc w:val="both"/>
        <w:rPr>
          <w:rFonts w:ascii="Book Antiqua" w:hAnsi="Book Antiqua"/>
          <w:b/>
          <w:sz w:val="24"/>
          <w:szCs w:val="24"/>
          <w:lang w:eastAsia="zh-CN"/>
        </w:rPr>
      </w:pPr>
      <w:bookmarkStart w:id="61" w:name="_GoBack"/>
      <w:bookmarkEnd w:id="61"/>
    </w:p>
    <w:p w:rsidR="00B50922" w:rsidRDefault="00B50922">
      <w:pPr>
        <w:snapToGrid w:val="0"/>
        <w:spacing w:after="0" w:line="360" w:lineRule="auto"/>
        <w:jc w:val="both"/>
        <w:rPr>
          <w:rFonts w:ascii="Book Antiqua" w:hAnsi="Book Antiqua"/>
          <w:b/>
          <w:sz w:val="24"/>
          <w:szCs w:val="24"/>
        </w:rPr>
      </w:pPr>
      <w:r w:rsidRPr="007E33F3">
        <w:rPr>
          <w:rFonts w:ascii="Book Antiqua" w:hAnsi="Book Antiqua"/>
          <w:b/>
          <w:sz w:val="24"/>
          <w:szCs w:val="24"/>
        </w:rPr>
        <w:t xml:space="preserve">Published online: </w:t>
      </w:r>
      <w:bookmarkEnd w:id="52"/>
      <w:bookmarkEnd w:id="53"/>
    </w:p>
    <w:bookmarkEnd w:id="28"/>
    <w:bookmarkEnd w:id="29"/>
    <w:bookmarkEnd w:id="30"/>
    <w:bookmarkEnd w:id="31"/>
    <w:bookmarkEnd w:id="32"/>
    <w:bookmarkEnd w:id="33"/>
    <w:bookmarkEnd w:id="34"/>
    <w:bookmarkEnd w:id="35"/>
    <w:bookmarkEnd w:id="36"/>
    <w:bookmarkEnd w:id="42"/>
    <w:bookmarkEnd w:id="43"/>
    <w:bookmarkEnd w:id="44"/>
    <w:bookmarkEnd w:id="45"/>
    <w:bookmarkEnd w:id="46"/>
    <w:bookmarkEnd w:id="47"/>
    <w:bookmarkEnd w:id="48"/>
    <w:bookmarkEnd w:id="49"/>
    <w:bookmarkEnd w:id="54"/>
    <w:bookmarkEnd w:id="55"/>
    <w:bookmarkEnd w:id="56"/>
    <w:bookmarkEnd w:id="57"/>
    <w:p w:rsidR="00B50922" w:rsidRDefault="00B50922">
      <w:pPr>
        <w:snapToGrid w:val="0"/>
        <w:spacing w:after="0" w:line="360" w:lineRule="auto"/>
        <w:jc w:val="both"/>
        <w:rPr>
          <w:rFonts w:ascii="Book Antiqua" w:hAnsi="Book Antiqua" w:cs="Tahoma"/>
          <w:sz w:val="24"/>
          <w:szCs w:val="24"/>
          <w:lang w:eastAsia="zh-CN"/>
        </w:rPr>
      </w:pPr>
    </w:p>
    <w:p w:rsidR="00B50922" w:rsidRDefault="00B50922">
      <w:pPr>
        <w:snapToGrid w:val="0"/>
        <w:spacing w:after="0" w:line="360" w:lineRule="auto"/>
        <w:jc w:val="both"/>
        <w:rPr>
          <w:rFonts w:ascii="Book Antiqua" w:hAnsi="Book Antiqua"/>
          <w:sz w:val="24"/>
          <w:szCs w:val="24"/>
          <w:shd w:val="clear" w:color="auto" w:fill="FFFFFF"/>
          <w:lang w:val="en-US" w:eastAsia="zh-CN"/>
        </w:rPr>
      </w:pPr>
    </w:p>
    <w:p w:rsidR="00B50922" w:rsidRDefault="00B50922">
      <w:pPr>
        <w:snapToGrid w:val="0"/>
        <w:spacing w:after="0" w:line="360" w:lineRule="auto"/>
        <w:jc w:val="both"/>
        <w:rPr>
          <w:rFonts w:ascii="Book Antiqua" w:hAnsi="Book Antiqua"/>
          <w:sz w:val="24"/>
          <w:szCs w:val="24"/>
          <w:shd w:val="clear" w:color="auto" w:fill="FFFFFF"/>
          <w:lang w:val="en-US" w:eastAsia="zh-CN"/>
        </w:rPr>
      </w:pPr>
    </w:p>
    <w:p w:rsidR="00B50922" w:rsidRDefault="00B50922">
      <w:pPr>
        <w:snapToGrid w:val="0"/>
        <w:spacing w:after="0" w:line="360" w:lineRule="auto"/>
        <w:jc w:val="both"/>
        <w:rPr>
          <w:rFonts w:ascii="Book Antiqua" w:hAnsi="Book Antiqua"/>
          <w:b/>
          <w:sz w:val="24"/>
          <w:szCs w:val="24"/>
          <w:lang w:eastAsia="zh-CN"/>
        </w:rPr>
      </w:pPr>
    </w:p>
    <w:p w:rsidR="00B50922" w:rsidRDefault="00B50922">
      <w:pPr>
        <w:snapToGrid w:val="0"/>
        <w:spacing w:after="0" w:line="360" w:lineRule="auto"/>
        <w:jc w:val="both"/>
        <w:rPr>
          <w:rFonts w:ascii="Book Antiqua" w:hAnsi="Book Antiqua"/>
          <w:sz w:val="24"/>
          <w:szCs w:val="24"/>
        </w:rPr>
      </w:pPr>
      <w:r w:rsidRPr="007E33F3">
        <w:rPr>
          <w:rFonts w:ascii="Book Antiqua" w:hAnsi="Book Antiqua"/>
          <w:b/>
          <w:sz w:val="24"/>
          <w:szCs w:val="24"/>
        </w:rPr>
        <w:t>Abstract</w:t>
      </w:r>
    </w:p>
    <w:p w:rsidR="00B50922" w:rsidRDefault="00B50922">
      <w:pPr>
        <w:snapToGrid w:val="0"/>
        <w:spacing w:after="0" w:line="360" w:lineRule="auto"/>
        <w:jc w:val="both"/>
        <w:rPr>
          <w:rFonts w:ascii="Book Antiqua" w:hAnsi="Book Antiqua"/>
          <w:sz w:val="24"/>
          <w:szCs w:val="24"/>
          <w:lang w:eastAsia="zh-CN"/>
        </w:rPr>
      </w:pPr>
      <w:r w:rsidRPr="007E33F3">
        <w:rPr>
          <w:rFonts w:ascii="Book Antiqua" w:hAnsi="Book Antiqua"/>
          <w:sz w:val="24"/>
          <w:szCs w:val="24"/>
        </w:rPr>
        <w:t xml:space="preserve">Development of oedema and hypoproteinaemia in a liver transplant recipient may be the first signs of graft dysfunction and should prompt a full assessment. We report the novel case of a patient who, years after liver transplantation developed a functional blind loop in an incisional hernia, which manifested as oedema and hypoproteinaemia secondary to protein losing enteropathy. After numerous investigations, the diagnosis was made by </w:t>
      </w:r>
      <w:bookmarkStart w:id="62" w:name="OLE_LINK1660"/>
      <w:bookmarkStart w:id="63" w:name="OLE_LINK1661"/>
      <w:r w:rsidRPr="007E33F3">
        <w:rPr>
          <w:rFonts w:ascii="Book Antiqua" w:hAnsi="Book Antiqua"/>
          <w:sz w:val="24"/>
          <w:szCs w:val="24"/>
        </w:rPr>
        <w:t>flurodeoxyglucose positron emmision tomography</w:t>
      </w:r>
      <w:bookmarkEnd w:id="62"/>
      <w:bookmarkEnd w:id="63"/>
      <w:r w:rsidRPr="007E33F3">
        <w:rPr>
          <w:rFonts w:ascii="Book Antiqua" w:hAnsi="Book Antiqua"/>
          <w:sz w:val="24"/>
          <w:szCs w:val="24"/>
        </w:rPr>
        <w:t xml:space="preserve"> (FDG</w:t>
      </w:r>
      <w:r w:rsidRPr="007E33F3">
        <w:rPr>
          <w:rFonts w:ascii="Book Antiqua" w:hAnsi="Book Antiqua"/>
          <w:sz w:val="24"/>
          <w:szCs w:val="24"/>
          <w:lang w:eastAsia="zh-CN"/>
        </w:rPr>
        <w:t>-</w:t>
      </w:r>
      <w:r w:rsidRPr="007E33F3">
        <w:rPr>
          <w:rFonts w:ascii="Book Antiqua" w:hAnsi="Book Antiqua"/>
          <w:sz w:val="24"/>
          <w:szCs w:val="24"/>
        </w:rPr>
        <w:t>PET) imaging. Surgical repair of the incisional hernia was followed several months later by resolution of the protein loss, and confirmed at a post operative FDG</w:t>
      </w:r>
      <w:r w:rsidRPr="007E33F3">
        <w:rPr>
          <w:rFonts w:ascii="Book Antiqua" w:hAnsi="Book Antiqua"/>
          <w:sz w:val="24"/>
          <w:szCs w:val="24"/>
          <w:lang w:eastAsia="zh-CN"/>
        </w:rPr>
        <w:t>-</w:t>
      </w:r>
      <w:r w:rsidRPr="007E33F3">
        <w:rPr>
          <w:rFonts w:ascii="Book Antiqua" w:hAnsi="Book Antiqua"/>
          <w:sz w:val="24"/>
          <w:szCs w:val="24"/>
        </w:rPr>
        <w:t>PET scan at one year.</w:t>
      </w:r>
    </w:p>
    <w:p w:rsidR="00B50922" w:rsidRDefault="00B50922">
      <w:pPr>
        <w:snapToGrid w:val="0"/>
        <w:spacing w:after="0" w:line="360" w:lineRule="auto"/>
        <w:jc w:val="both"/>
        <w:rPr>
          <w:rFonts w:ascii="Book Antiqua" w:hAnsi="Book Antiqua"/>
          <w:sz w:val="24"/>
          <w:szCs w:val="24"/>
        </w:rPr>
      </w:pPr>
      <w:r w:rsidRPr="007E33F3">
        <w:rPr>
          <w:rFonts w:ascii="Book Antiqua" w:hAnsi="Book Antiqua"/>
          <w:sz w:val="24"/>
          <w:szCs w:val="24"/>
        </w:rPr>
        <w:t xml:space="preserve"> </w:t>
      </w:r>
    </w:p>
    <w:p w:rsidR="00B50922" w:rsidRDefault="00B50922">
      <w:pPr>
        <w:snapToGrid w:val="0"/>
        <w:spacing w:after="0" w:line="360" w:lineRule="auto"/>
        <w:jc w:val="both"/>
        <w:rPr>
          <w:rFonts w:ascii="Book Antiqua" w:hAnsi="Book Antiqua"/>
          <w:sz w:val="24"/>
          <w:szCs w:val="24"/>
        </w:rPr>
      </w:pPr>
      <w:bookmarkStart w:id="64" w:name="OLE_LINK98"/>
      <w:bookmarkStart w:id="65" w:name="OLE_LINK156"/>
      <w:bookmarkStart w:id="66" w:name="OLE_LINK196"/>
      <w:bookmarkStart w:id="67" w:name="OLE_LINK217"/>
      <w:bookmarkStart w:id="68" w:name="OLE_LINK242"/>
      <w:bookmarkStart w:id="69" w:name="OLE_LINK247"/>
      <w:bookmarkStart w:id="70" w:name="OLE_LINK311"/>
      <w:bookmarkStart w:id="71" w:name="OLE_LINK312"/>
      <w:bookmarkStart w:id="72" w:name="OLE_LINK325"/>
      <w:bookmarkStart w:id="73" w:name="OLE_LINK330"/>
      <w:bookmarkStart w:id="74" w:name="OLE_LINK513"/>
      <w:bookmarkStart w:id="75" w:name="OLE_LINK514"/>
      <w:bookmarkStart w:id="76" w:name="OLE_LINK464"/>
      <w:bookmarkStart w:id="77" w:name="OLE_LINK465"/>
      <w:bookmarkStart w:id="78" w:name="OLE_LINK466"/>
      <w:bookmarkStart w:id="79" w:name="OLE_LINK470"/>
      <w:bookmarkStart w:id="80" w:name="OLE_LINK471"/>
      <w:bookmarkStart w:id="81" w:name="OLE_LINK472"/>
      <w:bookmarkStart w:id="82" w:name="OLE_LINK474"/>
      <w:bookmarkStart w:id="83" w:name="OLE_LINK512"/>
      <w:bookmarkStart w:id="84" w:name="OLE_LINK800"/>
      <w:bookmarkStart w:id="85" w:name="OLE_LINK982"/>
      <w:bookmarkStart w:id="86" w:name="OLE_LINK1027"/>
      <w:r w:rsidRPr="007E33F3">
        <w:rPr>
          <w:rFonts w:ascii="Book Antiqua" w:hAnsi="Book Antiqua"/>
          <w:sz w:val="24"/>
          <w:szCs w:val="24"/>
        </w:rPr>
        <w:t xml:space="preserve">© 2013 Baishideng. All rights reserved. </w:t>
      </w:r>
    </w:p>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rsidR="00B50922" w:rsidRDefault="00B50922">
      <w:pPr>
        <w:snapToGrid w:val="0"/>
        <w:spacing w:after="0" w:line="360" w:lineRule="auto"/>
        <w:jc w:val="both"/>
        <w:rPr>
          <w:rFonts w:ascii="Book Antiqua" w:hAnsi="Book Antiqua"/>
          <w:b/>
          <w:sz w:val="24"/>
          <w:szCs w:val="24"/>
        </w:rPr>
      </w:pPr>
    </w:p>
    <w:p w:rsidR="00B50922" w:rsidRDefault="00B50922">
      <w:pPr>
        <w:snapToGrid w:val="0"/>
        <w:spacing w:after="0" w:line="360" w:lineRule="auto"/>
        <w:jc w:val="both"/>
        <w:rPr>
          <w:rFonts w:ascii="Book Antiqua" w:hAnsi="Book Antiqua"/>
          <w:b/>
          <w:sz w:val="24"/>
          <w:szCs w:val="24"/>
        </w:rPr>
      </w:pPr>
      <w:r w:rsidRPr="007E33F3">
        <w:rPr>
          <w:rFonts w:ascii="Book Antiqua" w:hAnsi="Book Antiqua"/>
          <w:b/>
          <w:sz w:val="24"/>
          <w:szCs w:val="24"/>
        </w:rPr>
        <w:t>Key words</w:t>
      </w:r>
      <w:r w:rsidRPr="007E33F3">
        <w:rPr>
          <w:rFonts w:ascii="Book Antiqua" w:hAnsi="Book Antiqua"/>
          <w:b/>
          <w:sz w:val="24"/>
          <w:szCs w:val="24"/>
          <w:lang w:eastAsia="zh-CN"/>
        </w:rPr>
        <w:t xml:space="preserve">: </w:t>
      </w:r>
      <w:r w:rsidRPr="007E33F3">
        <w:rPr>
          <w:rFonts w:ascii="Book Antiqua" w:hAnsi="Book Antiqua"/>
          <w:sz w:val="24"/>
          <w:szCs w:val="24"/>
          <w:lang w:val="en-US" w:eastAsia="zh-CN"/>
        </w:rPr>
        <w:t>Protein losing</w:t>
      </w:r>
      <w:r w:rsidRPr="007E33F3">
        <w:rPr>
          <w:rFonts w:ascii="Book Antiqua" w:hAnsi="Book Antiqua"/>
          <w:b/>
          <w:sz w:val="24"/>
          <w:szCs w:val="24"/>
          <w:lang w:val="en-US" w:eastAsia="zh-CN"/>
        </w:rPr>
        <w:t xml:space="preserve"> </w:t>
      </w:r>
      <w:r w:rsidRPr="007E33F3">
        <w:rPr>
          <w:rFonts w:ascii="Book Antiqua" w:hAnsi="Book Antiqua"/>
          <w:sz w:val="24"/>
          <w:szCs w:val="24"/>
        </w:rPr>
        <w:t>enteropathies</w:t>
      </w:r>
      <w:r w:rsidRPr="007E33F3">
        <w:rPr>
          <w:rFonts w:ascii="Book Antiqua" w:hAnsi="Book Antiqua"/>
          <w:sz w:val="24"/>
          <w:szCs w:val="24"/>
          <w:lang w:val="en-US" w:eastAsia="zh-CN"/>
        </w:rPr>
        <w:t>;</w:t>
      </w:r>
      <w:r w:rsidRPr="007E33F3">
        <w:rPr>
          <w:rFonts w:ascii="Book Antiqua" w:hAnsi="Book Antiqua"/>
          <w:sz w:val="24"/>
          <w:szCs w:val="24"/>
        </w:rPr>
        <w:t xml:space="preserve"> Bacterial overgrowth</w:t>
      </w:r>
      <w:r w:rsidRPr="007E33F3">
        <w:rPr>
          <w:rFonts w:ascii="Book Antiqua" w:hAnsi="Book Antiqua"/>
          <w:sz w:val="24"/>
          <w:szCs w:val="24"/>
          <w:lang w:eastAsia="zh-CN"/>
        </w:rPr>
        <w:t xml:space="preserve">; </w:t>
      </w:r>
      <w:r w:rsidRPr="007E33F3">
        <w:rPr>
          <w:rFonts w:ascii="Book Antiqua" w:hAnsi="Book Antiqua"/>
          <w:sz w:val="24"/>
          <w:szCs w:val="24"/>
        </w:rPr>
        <w:t>Hypoproteinaemia</w:t>
      </w:r>
      <w:r w:rsidRPr="007E33F3">
        <w:rPr>
          <w:rFonts w:ascii="Book Antiqua" w:hAnsi="Book Antiqua"/>
          <w:sz w:val="24"/>
          <w:szCs w:val="24"/>
          <w:lang w:eastAsia="zh-CN"/>
        </w:rPr>
        <w:t>;</w:t>
      </w:r>
      <w:r w:rsidRPr="007E33F3">
        <w:rPr>
          <w:rFonts w:ascii="Book Antiqua" w:hAnsi="Book Antiqua"/>
          <w:sz w:val="24"/>
          <w:szCs w:val="24"/>
        </w:rPr>
        <w:t xml:space="preserve"> Incarcerated hernia; Liver transplantation.</w:t>
      </w:r>
    </w:p>
    <w:p w:rsidR="00B50922" w:rsidRDefault="00B50922">
      <w:pPr>
        <w:snapToGrid w:val="0"/>
        <w:spacing w:after="0" w:line="360" w:lineRule="auto"/>
        <w:jc w:val="both"/>
        <w:rPr>
          <w:rFonts w:ascii="Book Antiqua" w:hAnsi="Book Antiqua"/>
          <w:b/>
          <w:sz w:val="24"/>
          <w:szCs w:val="24"/>
        </w:rPr>
      </w:pPr>
    </w:p>
    <w:p w:rsidR="00B50922" w:rsidRDefault="00B50922">
      <w:pPr>
        <w:snapToGrid w:val="0"/>
        <w:spacing w:after="0" w:line="360" w:lineRule="auto"/>
        <w:jc w:val="both"/>
        <w:rPr>
          <w:rFonts w:ascii="Book Antiqua" w:hAnsi="Book Antiqua" w:cs="Arial"/>
          <w:bCs/>
          <w:color w:val="000000"/>
          <w:sz w:val="24"/>
          <w:szCs w:val="24"/>
          <w:lang w:eastAsia="zh-CN"/>
        </w:rPr>
      </w:pPr>
      <w:bookmarkStart w:id="87" w:name="OLE_LINK576"/>
      <w:bookmarkStart w:id="88" w:name="OLE_LINK579"/>
      <w:bookmarkStart w:id="89" w:name="OLE_LINK580"/>
      <w:bookmarkStart w:id="90" w:name="OLE_LINK521"/>
      <w:bookmarkStart w:id="91" w:name="OLE_LINK389"/>
      <w:bookmarkStart w:id="92" w:name="OLE_LINK391"/>
      <w:bookmarkStart w:id="93" w:name="OLE_LINK432"/>
      <w:bookmarkStart w:id="94" w:name="OLE_LINK335"/>
      <w:bookmarkStart w:id="95" w:name="OLE_LINK336"/>
      <w:bookmarkStart w:id="96" w:name="OLE_LINK404"/>
      <w:bookmarkStart w:id="97" w:name="OLE_LINK405"/>
      <w:bookmarkStart w:id="98" w:name="OLE_LINK406"/>
      <w:bookmarkStart w:id="99" w:name="OLE_LINK407"/>
      <w:bookmarkStart w:id="100" w:name="OLE_LINK629"/>
      <w:bookmarkStart w:id="101" w:name="OLE_LINK630"/>
      <w:bookmarkStart w:id="102" w:name="OLE_LINK401"/>
      <w:bookmarkStart w:id="103" w:name="OLE_LINK402"/>
      <w:bookmarkStart w:id="104" w:name="OLE_LINK99"/>
      <w:bookmarkStart w:id="105" w:name="OLE_LINK100"/>
      <w:bookmarkStart w:id="106" w:name="OLE_LINK271"/>
      <w:bookmarkStart w:id="107" w:name="OLE_LINK272"/>
      <w:bookmarkStart w:id="108" w:name="OLE_LINK300"/>
      <w:bookmarkStart w:id="109" w:name="OLE_LINK302"/>
      <w:bookmarkStart w:id="110" w:name="OLE_LINK449"/>
      <w:bookmarkStart w:id="111" w:name="OLE_LINK450"/>
      <w:bookmarkStart w:id="112" w:name="OLE_LINK456"/>
      <w:bookmarkStart w:id="113" w:name="OLE_LINK705"/>
      <w:bookmarkStart w:id="114" w:name="OLE_LINK522"/>
      <w:bookmarkStart w:id="115" w:name="OLE_LINK621"/>
      <w:r w:rsidRPr="007E33F3">
        <w:rPr>
          <w:rFonts w:ascii="Book Antiqua" w:hAnsi="Book Antiqua" w:cs="宋体"/>
          <w:b/>
          <w:sz w:val="24"/>
          <w:szCs w:val="24"/>
        </w:rPr>
        <w:t>Core tip:</w:t>
      </w:r>
      <w:r w:rsidRPr="007E33F3">
        <w:rPr>
          <w:rFonts w:ascii="Book Antiqua" w:hAnsi="Book Antiqua" w:cs="宋体"/>
          <w:sz w:val="24"/>
          <w:szCs w:val="24"/>
        </w:rPr>
        <w:t xml:space="preserve"> </w:t>
      </w:r>
      <w:bookmarkEnd w:id="87"/>
      <w:bookmarkEnd w:id="88"/>
      <w:bookmarkEnd w:id="89"/>
      <w:bookmarkEnd w:id="90"/>
      <w:r w:rsidRPr="007E33F3">
        <w:rPr>
          <w:rFonts w:ascii="Book Antiqua" w:hAnsi="Book Antiqua" w:cs="Arial"/>
          <w:bCs/>
          <w:color w:val="000000"/>
          <w:sz w:val="24"/>
          <w:szCs w:val="24"/>
        </w:rPr>
        <w:t xml:space="preserve">This report presents a rare case of protein losing enteropathy as a result of bacterial overgrowth in the blind loop of an incisional hernia following liver transplantation. Surgical repair of the incisional hernia in this case brought about resolution of protein loss. </w:t>
      </w:r>
    </w:p>
    <w:p w:rsidR="00B50922" w:rsidRDefault="00B50922">
      <w:pPr>
        <w:snapToGrid w:val="0"/>
        <w:spacing w:after="0" w:line="360" w:lineRule="auto"/>
        <w:jc w:val="both"/>
        <w:rPr>
          <w:rFonts w:ascii="Book Antiqua" w:hAnsi="Book Antiqua" w:cs="宋体"/>
          <w:color w:val="000000"/>
          <w:sz w:val="24"/>
          <w:szCs w:val="24"/>
          <w:lang w:eastAsia="zh-CN"/>
        </w:rPr>
      </w:pPr>
    </w:p>
    <w:p w:rsidR="00B50922" w:rsidRDefault="00B50922">
      <w:pPr>
        <w:snapToGrid w:val="0"/>
        <w:spacing w:after="0" w:line="360" w:lineRule="auto"/>
        <w:jc w:val="both"/>
        <w:rPr>
          <w:rFonts w:ascii="Book Antiqua" w:hAnsi="Book Antiqua" w:cs="Tahoma"/>
          <w:sz w:val="24"/>
          <w:szCs w:val="24"/>
        </w:rPr>
      </w:pPr>
      <w:r w:rsidRPr="007E33F3">
        <w:rPr>
          <w:rFonts w:ascii="Book Antiqua" w:hAnsi="Book Antiqua" w:cs="Tahoma"/>
          <w:sz w:val="24"/>
          <w:szCs w:val="24"/>
        </w:rPr>
        <w:t>Evans JD, Perera MTPR, Pal CY, Neuberger J, Mirza DF. Late post liver transplant protein losing enteropathy: rare complication of incisional hernia</w:t>
      </w:r>
    </w:p>
    <w:bookmarkEnd w:id="91"/>
    <w:bookmarkEnd w:id="92"/>
    <w:bookmarkEnd w:id="93"/>
    <w:p w:rsidR="00B50922" w:rsidRDefault="00B50922">
      <w:pPr>
        <w:snapToGrid w:val="0"/>
        <w:spacing w:after="0" w:line="360" w:lineRule="auto"/>
        <w:ind w:rightChars="-506" w:right="-1113"/>
        <w:jc w:val="both"/>
        <w:rPr>
          <w:rFonts w:ascii="Book Antiqua" w:hAnsi="Book Antiqua"/>
          <w:sz w:val="24"/>
          <w:szCs w:val="24"/>
        </w:rPr>
      </w:pPr>
      <w:r w:rsidRPr="007E33F3">
        <w:rPr>
          <w:rFonts w:ascii="Book Antiqua" w:hAnsi="Book Antiqua"/>
          <w:i/>
          <w:sz w:val="24"/>
          <w:szCs w:val="24"/>
        </w:rPr>
        <w:t>World J Gastroenterol</w:t>
      </w:r>
      <w:r w:rsidRPr="007E33F3">
        <w:rPr>
          <w:rFonts w:ascii="Book Antiqua" w:hAnsi="Book Antiqua"/>
          <w:sz w:val="24"/>
          <w:szCs w:val="24"/>
        </w:rPr>
        <w:t xml:space="preserve"> </w:t>
      </w:r>
      <w:bookmarkEnd w:id="94"/>
      <w:bookmarkEnd w:id="95"/>
      <w:r w:rsidRPr="007E33F3">
        <w:rPr>
          <w:rFonts w:ascii="Book Antiqua" w:hAnsi="Book Antiqua"/>
          <w:sz w:val="24"/>
          <w:szCs w:val="24"/>
        </w:rPr>
        <w:t xml:space="preserve">2013; </w:t>
      </w:r>
    </w:p>
    <w:p w:rsidR="00B50922" w:rsidRDefault="00B50922">
      <w:pPr>
        <w:pStyle w:val="p0"/>
        <w:snapToGrid w:val="0"/>
        <w:spacing w:line="360" w:lineRule="auto"/>
        <w:jc w:val="both"/>
        <w:rPr>
          <w:rFonts w:ascii="Book Antiqua" w:hAnsi="Book Antiqua"/>
          <w:sz w:val="24"/>
          <w:szCs w:val="24"/>
        </w:rPr>
      </w:pPr>
      <w:r w:rsidRPr="007E33F3">
        <w:rPr>
          <w:rFonts w:ascii="Book Antiqua" w:hAnsi="Book Antiqua"/>
          <w:b/>
          <w:bCs/>
          <w:sz w:val="24"/>
          <w:szCs w:val="24"/>
        </w:rPr>
        <w:t>Available from:</w:t>
      </w:r>
      <w:r w:rsidRPr="007E33F3">
        <w:rPr>
          <w:rFonts w:ascii="Book Antiqua" w:hAnsi="Book Antiqua"/>
          <w:sz w:val="24"/>
          <w:szCs w:val="24"/>
        </w:rPr>
        <w:t xml:space="preserve"> </w:t>
      </w:r>
      <w:bookmarkEnd w:id="96"/>
      <w:bookmarkEnd w:id="97"/>
      <w:r w:rsidRPr="007E33F3">
        <w:rPr>
          <w:rFonts w:ascii="Book Antiqua" w:hAnsi="Book Antiqua"/>
          <w:color w:val="000000"/>
          <w:sz w:val="24"/>
          <w:szCs w:val="24"/>
        </w:rPr>
        <w:t>URL:</w:t>
      </w:r>
      <w:bookmarkEnd w:id="98"/>
      <w:bookmarkEnd w:id="99"/>
      <w:bookmarkEnd w:id="100"/>
      <w:bookmarkEnd w:id="101"/>
      <w:r w:rsidRPr="007E33F3">
        <w:rPr>
          <w:rFonts w:ascii="Book Antiqua" w:hAnsi="Book Antiqua"/>
          <w:color w:val="000000"/>
          <w:sz w:val="24"/>
          <w:szCs w:val="24"/>
        </w:rPr>
        <w:t xml:space="preserve"> http://</w:t>
      </w:r>
      <w:bookmarkEnd w:id="102"/>
      <w:bookmarkEnd w:id="103"/>
      <w:r w:rsidRPr="007E33F3">
        <w:rPr>
          <w:rFonts w:ascii="Book Antiqua" w:hAnsi="Book Antiqua"/>
          <w:color w:val="000000"/>
          <w:sz w:val="24"/>
          <w:szCs w:val="24"/>
        </w:rPr>
        <w:t xml:space="preserve">www.wjgnet.com/esps/ </w:t>
      </w:r>
    </w:p>
    <w:p w:rsidR="00B50922" w:rsidRDefault="00B50922">
      <w:pPr>
        <w:pStyle w:val="p0"/>
        <w:snapToGrid w:val="0"/>
        <w:spacing w:line="360" w:lineRule="auto"/>
        <w:jc w:val="both"/>
        <w:rPr>
          <w:rFonts w:ascii="Book Antiqua" w:hAnsi="Book Antiqua"/>
          <w:bCs/>
          <w:sz w:val="24"/>
          <w:szCs w:val="24"/>
        </w:rPr>
      </w:pPr>
      <w:bookmarkStart w:id="116" w:name="OLE_LINK399"/>
      <w:bookmarkStart w:id="117" w:name="OLE_LINK400"/>
      <w:bookmarkStart w:id="118" w:name="OLE_LINK494"/>
      <w:bookmarkStart w:id="119" w:name="OLE_LINK495"/>
      <w:bookmarkStart w:id="120" w:name="OLE_LINK607"/>
      <w:bookmarkStart w:id="121" w:name="OLE_LINK608"/>
      <w:bookmarkStart w:id="122" w:name="OLE_LINK609"/>
      <w:bookmarkStart w:id="123" w:name="OLE_LINK727"/>
      <w:bookmarkStart w:id="124" w:name="OLE_LINK853"/>
      <w:bookmarkStart w:id="125" w:name="OLE_LINK585"/>
      <w:bookmarkStart w:id="126" w:name="OLE_LINK689"/>
      <w:bookmarkStart w:id="127" w:name="OLE_LINK539"/>
      <w:bookmarkEnd w:id="104"/>
      <w:bookmarkEnd w:id="105"/>
      <w:bookmarkEnd w:id="106"/>
      <w:bookmarkEnd w:id="107"/>
      <w:bookmarkEnd w:id="108"/>
      <w:bookmarkEnd w:id="109"/>
      <w:r w:rsidRPr="007E33F3">
        <w:rPr>
          <w:rFonts w:ascii="Book Antiqua" w:hAnsi="Book Antiqua" w:cs="Times New Roman"/>
          <w:b/>
          <w:bCs/>
          <w:kern w:val="2"/>
          <w:sz w:val="24"/>
          <w:szCs w:val="24"/>
        </w:rPr>
        <w:t xml:space="preserve">DOI: </w:t>
      </w:r>
      <w:r w:rsidRPr="007E33F3">
        <w:rPr>
          <w:rFonts w:ascii="Book Antiqua" w:hAnsi="Book Antiqua" w:cs="Times New Roman"/>
          <w:bCs/>
          <w:kern w:val="2"/>
          <w:sz w:val="24"/>
          <w:szCs w:val="24"/>
        </w:rPr>
        <w:t>http://dx.doi.org/10.3748/wjg.v19.i0.0000</w:t>
      </w:r>
    </w:p>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rsidR="00B50922" w:rsidRDefault="00B50922">
      <w:pPr>
        <w:snapToGrid w:val="0"/>
        <w:spacing w:after="0" w:line="360" w:lineRule="auto"/>
        <w:jc w:val="both"/>
        <w:rPr>
          <w:rFonts w:ascii="Book Antiqua" w:hAnsi="Book Antiqua"/>
          <w:b/>
          <w:sz w:val="24"/>
          <w:szCs w:val="24"/>
        </w:rPr>
      </w:pPr>
    </w:p>
    <w:p w:rsidR="00B50922" w:rsidRDefault="00B50922">
      <w:pPr>
        <w:snapToGrid w:val="0"/>
        <w:spacing w:after="0" w:line="360" w:lineRule="auto"/>
        <w:jc w:val="both"/>
        <w:rPr>
          <w:rFonts w:ascii="Book Antiqua" w:hAnsi="Book Antiqua"/>
          <w:b/>
          <w:sz w:val="24"/>
          <w:szCs w:val="24"/>
        </w:rPr>
      </w:pPr>
    </w:p>
    <w:p w:rsidR="00B50922" w:rsidRDefault="00B50922">
      <w:pPr>
        <w:snapToGrid w:val="0"/>
        <w:spacing w:after="0" w:line="360" w:lineRule="auto"/>
        <w:jc w:val="both"/>
        <w:rPr>
          <w:rFonts w:ascii="Book Antiqua" w:hAnsi="Book Antiqua"/>
          <w:b/>
          <w:sz w:val="24"/>
          <w:szCs w:val="24"/>
        </w:rPr>
      </w:pPr>
    </w:p>
    <w:p w:rsidR="00B50922" w:rsidRDefault="00B50922">
      <w:pPr>
        <w:snapToGrid w:val="0"/>
        <w:spacing w:after="0" w:line="360" w:lineRule="auto"/>
        <w:jc w:val="both"/>
        <w:rPr>
          <w:rFonts w:ascii="Book Antiqua" w:hAnsi="Book Antiqua"/>
          <w:b/>
          <w:sz w:val="24"/>
          <w:szCs w:val="24"/>
        </w:rPr>
      </w:pPr>
    </w:p>
    <w:p w:rsidR="00B50922" w:rsidRDefault="00B50922">
      <w:pPr>
        <w:snapToGrid w:val="0"/>
        <w:spacing w:after="0" w:line="360" w:lineRule="auto"/>
        <w:jc w:val="both"/>
        <w:rPr>
          <w:rFonts w:ascii="Book Antiqua" w:hAnsi="Book Antiqua"/>
          <w:b/>
          <w:sz w:val="24"/>
          <w:szCs w:val="24"/>
        </w:rPr>
      </w:pPr>
    </w:p>
    <w:p w:rsidR="00B50922" w:rsidRDefault="00B50922">
      <w:pPr>
        <w:snapToGrid w:val="0"/>
        <w:spacing w:after="0" w:line="360" w:lineRule="auto"/>
        <w:jc w:val="both"/>
        <w:rPr>
          <w:rFonts w:ascii="Book Antiqua" w:hAnsi="Book Antiqua"/>
          <w:b/>
          <w:sz w:val="24"/>
          <w:szCs w:val="24"/>
        </w:rPr>
      </w:pPr>
      <w:r w:rsidRPr="007E33F3">
        <w:rPr>
          <w:rFonts w:ascii="Book Antiqua" w:hAnsi="Book Antiqua"/>
          <w:b/>
          <w:sz w:val="24"/>
          <w:szCs w:val="24"/>
        </w:rPr>
        <w:t>INTRODUCTION</w:t>
      </w:r>
    </w:p>
    <w:p w:rsidR="00B50922" w:rsidRDefault="00B50922">
      <w:pPr>
        <w:snapToGrid w:val="0"/>
        <w:spacing w:after="0" w:line="360" w:lineRule="auto"/>
        <w:jc w:val="both"/>
        <w:rPr>
          <w:rFonts w:ascii="Book Antiqua" w:hAnsi="Book Antiqua"/>
          <w:sz w:val="24"/>
          <w:szCs w:val="24"/>
        </w:rPr>
      </w:pPr>
      <w:r w:rsidRPr="007E33F3">
        <w:rPr>
          <w:rFonts w:ascii="Book Antiqua" w:hAnsi="Book Antiqua"/>
          <w:sz w:val="24"/>
          <w:szCs w:val="24"/>
        </w:rPr>
        <w:t>Hypoproteinaemia and peripheral oedema are common manifestations of advanced liver disease. In most patients oedema resolves after transplantation with the return of synthetic function of the graft to full capacity, the timing of which may vary from days to several months in extreme cases. Reappearance of oedema in a transplant patient is a cause for concern and may be the first indication of graft failure, which could be the result of recurrent disease or chronic rejection. Chronic graft failure culminates in synthetic failure and in some cases ensuing portal hypertension, which may lead to enteropathy. With the long standing portal hypertension, oedema of the gastric or intestinal mucosa leads to impaired lymphatic circulation and absorption of proteins further augmenting hypoalbuminaemia</w:t>
      </w:r>
      <w:r w:rsidRPr="007E33F3">
        <w:rPr>
          <w:rFonts w:ascii="Book Antiqua" w:hAnsi="Book Antiqua"/>
          <w:sz w:val="24"/>
          <w:szCs w:val="24"/>
          <w:vertAlign w:val="superscript"/>
        </w:rPr>
        <w:fldChar w:fldCharType="begin"/>
      </w:r>
      <w:r w:rsidRPr="007E33F3">
        <w:rPr>
          <w:rFonts w:ascii="Book Antiqua" w:hAnsi="Book Antiqua"/>
          <w:sz w:val="24"/>
          <w:szCs w:val="24"/>
          <w:vertAlign w:val="superscript"/>
        </w:rPr>
        <w:instrText xml:space="preserve"> ADDIN EN.CITE &lt;EndNote&gt;&lt;Cite&gt;&lt;Author&gt;Umar&lt;/Author&gt;&lt;Year&gt;2010&lt;/Year&gt;&lt;RecNum&gt;696&lt;/RecNum&gt;&lt;record&gt;&lt;rec-number&gt;696&lt;/rec-number&gt;&lt;foreign-keys&gt;&lt;key app="EN" db-id="ax9xptpsx0f0pre5xxpvt2dg00afwta9fd0t"&gt;696&lt;/key&gt;&lt;/foreign-keys&gt;&lt;ref-type name="Journal Article"&gt;17&lt;/ref-type&gt;&lt;contributors&gt;&lt;authors&gt;&lt;author&gt;Umar, S. B.&lt;/author&gt;&lt;author&gt;DiBaise, J. K.&lt;/author&gt;&lt;/authors&gt;&lt;/contributors&gt;&lt;auth-address&gt;Mayo Clinic, Scottsdale, Arizona 85259, USA.&lt;/auth-address&gt;&lt;titles&gt;&lt;title&gt;Protein-losing enteropathy: case illustrations and clinical review&lt;/title&gt;&lt;secondary-title&gt;Am J Gastroenterol&lt;/secondary-title&gt;&lt;/titles&gt;&lt;periodical&gt;&lt;full-title&gt;Am J Gastroenterol&lt;/full-title&gt;&lt;/periodical&gt;&lt;pages&gt;43-9; quiz 50&lt;/pages&gt;&lt;volume&gt;105&lt;/volume&gt;&lt;number&gt;1&lt;/number&gt;&lt;edition&gt;2009/10/01&lt;/edition&gt;&lt;keywords&gt;&lt;keyword&gt;Adult&lt;/keyword&gt;&lt;keyword&gt;Aged&lt;/keyword&gt;&lt;keyword&gt;Comorbidity&lt;/keyword&gt;&lt;keyword&gt;Diagnosis, Differential&lt;/keyword&gt;&lt;keyword&gt;Feces/chemistry&lt;/keyword&gt;&lt;keyword&gt;Humans&lt;/keyword&gt;&lt;keyword&gt;Male&lt;/keyword&gt;&lt;keyword&gt;Middle Aged&lt;/keyword&gt;&lt;keyword&gt;Nutrition Therapy&lt;/keyword&gt;&lt;keyword&gt;*Protein-Losing Enteropathies/diagnosis/etiology/therapy&lt;/keyword&gt;&lt;keyword&gt;alpha 1-Antitrypsin/diagnostic use&lt;/keyword&gt;&lt;/keywords&gt;&lt;dates&gt;&lt;year&gt;2010&lt;/year&gt;&lt;pub-dates&gt;&lt;date&gt;Jan&lt;/date&gt;&lt;/pub-dates&gt;&lt;/dates&gt;&lt;isbn&gt;1572-0241 (Electronic)&amp;#xD;0002-9270 (Linking)&lt;/isbn&gt;&lt;accession-num&gt;19789526&lt;/accession-num&gt;&lt;urls&gt;&lt;related-urls&gt;&lt;url&gt;http://www.ncbi.nlm.nih.gov/entrez/query.fcgi?cmd=Retrieve&amp;amp;db=PubMed&amp;amp;dopt=Citation&amp;amp;list_uids=19789526&lt;/url&gt;&lt;/related-urls&gt;&lt;/urls&gt;&lt;electronic-resource-num&gt;ajg2009561 [pii]&amp;#xD;10.1038/ajg.2009.561&lt;/electronic-resource-num&gt;&lt;language&gt;eng&lt;/language&gt;&lt;/record&gt;&lt;/Cite&gt;&lt;/EndNote&gt;</w:instrText>
      </w:r>
      <w:r w:rsidRPr="007E33F3">
        <w:rPr>
          <w:rFonts w:ascii="Book Antiqua" w:hAnsi="Book Antiqua"/>
          <w:sz w:val="24"/>
          <w:szCs w:val="24"/>
          <w:vertAlign w:val="superscript"/>
        </w:rPr>
        <w:fldChar w:fldCharType="separate"/>
      </w:r>
      <w:r w:rsidRPr="007E33F3">
        <w:rPr>
          <w:rFonts w:ascii="Book Antiqua" w:hAnsi="Book Antiqua"/>
          <w:noProof/>
          <w:sz w:val="24"/>
          <w:szCs w:val="24"/>
          <w:vertAlign w:val="superscript"/>
        </w:rPr>
        <w:t>[1]</w:t>
      </w:r>
      <w:r w:rsidRPr="007E33F3">
        <w:rPr>
          <w:rFonts w:ascii="Book Antiqua" w:hAnsi="Book Antiqua"/>
          <w:sz w:val="24"/>
          <w:szCs w:val="24"/>
          <w:vertAlign w:val="superscript"/>
        </w:rPr>
        <w:fldChar w:fldCharType="end"/>
      </w:r>
      <w:r w:rsidRPr="007E33F3">
        <w:rPr>
          <w:rFonts w:ascii="Book Antiqua" w:hAnsi="Book Antiqua"/>
          <w:sz w:val="24"/>
          <w:szCs w:val="24"/>
        </w:rPr>
        <w:t xml:space="preserve">. Therefore in those presenting with low albumin and peripheral oedema graft failure is considered the first differential diagnosis, and in this light some of the simple but rare aetiological conditions may be overlooked. </w:t>
      </w:r>
    </w:p>
    <w:p w:rsidR="00B50922" w:rsidRDefault="00B50922">
      <w:pPr>
        <w:snapToGrid w:val="0"/>
        <w:spacing w:after="0" w:line="360" w:lineRule="auto"/>
        <w:ind w:firstLineChars="100" w:firstLine="240"/>
        <w:jc w:val="both"/>
        <w:rPr>
          <w:rFonts w:ascii="Book Antiqua" w:hAnsi="Book Antiqua"/>
          <w:sz w:val="24"/>
          <w:szCs w:val="24"/>
        </w:rPr>
      </w:pPr>
      <w:r w:rsidRPr="007E33F3">
        <w:rPr>
          <w:rFonts w:ascii="Book Antiqua" w:hAnsi="Book Antiqua"/>
          <w:sz w:val="24"/>
          <w:szCs w:val="24"/>
        </w:rPr>
        <w:t>Apart from advanced liver disease, aetiology of hypoalbuminaemia ranges from malnutrition and poor protein intake to increased protein loss from body due to various reasons. The renal and gastrointestinal tracts are common sites of protein loss. So called “blind loop syndrome” refers to a segment of bowel that is by-passed in normal gastrointestinal functions, allowing overgrowth of pathogenic bacteria</w:t>
      </w:r>
      <w:r w:rsidRPr="007E33F3">
        <w:rPr>
          <w:rFonts w:ascii="Book Antiqua" w:hAnsi="Book Antiqua"/>
          <w:sz w:val="24"/>
          <w:szCs w:val="24"/>
          <w:vertAlign w:val="superscript"/>
        </w:rPr>
        <w:fldChar w:fldCharType="begin"/>
      </w:r>
      <w:r w:rsidRPr="007E33F3">
        <w:rPr>
          <w:rFonts w:ascii="Book Antiqua" w:hAnsi="Book Antiqua"/>
          <w:sz w:val="24"/>
          <w:szCs w:val="24"/>
          <w:vertAlign w:val="superscript"/>
        </w:rPr>
        <w:instrText xml:space="preserve"> ADDIN EN.CITE &lt;EndNote&gt;&lt;Cite&gt;&lt;Author&gt;Stewart&lt;/Author&gt;&lt;Year&gt;1990&lt;/Year&gt;&lt;RecNum&gt;697&lt;/RecNum&gt;&lt;record&gt;&lt;rec-number&gt;697&lt;/rec-number&gt;&lt;foreign-keys&gt;&lt;key app="EN" db-id="ax9xptpsx0f0pre5xxpvt2dg00afwta9fd0t"&gt;697&lt;/key&gt;&lt;/foreign-keys&gt;&lt;ref-type name="Journal Article"&gt;17&lt;/ref-type&gt;&lt;contributors&gt;&lt;authors&gt;&lt;author&gt;Stewart, B. A.&lt;/author&gt;&lt;author&gt;Karrer, F. M.&lt;/author&gt;&lt;author&gt;Hall, R. J.&lt;/author&gt;&lt;author&gt;Lilly, J. R.&lt;/author&gt;&lt;/authors&gt;&lt;/contributors&gt;&lt;auth-address&gt;Department of Surgery, University of Colorado School of Medicine, Denver.&lt;/auth-address&gt;&lt;titles&gt;&lt;title&gt;The blind loop syndrome in children&lt;/title&gt;&lt;secondary-title&gt;J Pediatr Surg&lt;/secondary-title&gt;&lt;/titles&gt;&lt;periodical&gt;&lt;full-title&gt;J Pediatr Surg&lt;/full-title&gt;&lt;/periodical&gt;&lt;pages&gt;905-8&lt;/pages&gt;&lt;volume&gt;25&lt;/volume&gt;&lt;number&gt;8&lt;/number&gt;&lt;edition&gt;1990/08/01&lt;/edition&gt;&lt;keywords&gt;&lt;keyword&gt;Bacterial Infections/complications/therapy&lt;/keyword&gt;&lt;keyword&gt;Biliary Atresia/complications&lt;/keyword&gt;&lt;keyword&gt;*Blind Loop Syndrome/complications/diagnosis/etiology/physiopathology/surgery&lt;/keyword&gt;&lt;keyword&gt;Child, Preschool&lt;/keyword&gt;&lt;keyword&gt;Female&lt;/keyword&gt;&lt;keyword&gt;Gastrointestinal Motility&lt;/keyword&gt;&lt;keyword&gt;Humans&lt;/keyword&gt;&lt;keyword&gt;Infant&lt;/keyword&gt;&lt;keyword&gt;Infant, Newborn&lt;/keyword&gt;&lt;keyword&gt;Male&lt;/keyword&gt;&lt;keyword&gt;Reoperation&lt;/keyword&gt;&lt;/keywords&gt;&lt;dates&gt;&lt;year&gt;1990&lt;/year&gt;&lt;pub-dates&gt;&lt;date&gt;Aug&lt;/date&gt;&lt;/pub-dates&gt;&lt;/dates&gt;&lt;isbn&gt;0022-3468 (Print)&amp;#xD;0022-3468 (Linking)&lt;/isbn&gt;&lt;accession-num&gt;2401946&lt;/accession-num&gt;&lt;urls&gt;&lt;related-urls&gt;&lt;url&gt;http://www.ncbi.nlm.nih.gov/entrez/query.fcgi?cmd=Retrieve&amp;amp;db=PubMed&amp;amp;dopt=Citation&amp;amp;list_uids=2401946&lt;/url&gt;&lt;/related-urls&gt;&lt;/urls&gt;&lt;electronic-resource-num&gt;0022-3468(90)90201-J [pii]&lt;/electronic-resource-num&gt;&lt;language&gt;eng&lt;/language&gt;&lt;/record&gt;&lt;/Cite&gt;&lt;/EndNote&gt;</w:instrText>
      </w:r>
      <w:r w:rsidRPr="007E33F3">
        <w:rPr>
          <w:rFonts w:ascii="Book Antiqua" w:hAnsi="Book Antiqua"/>
          <w:sz w:val="24"/>
          <w:szCs w:val="24"/>
          <w:vertAlign w:val="superscript"/>
        </w:rPr>
        <w:fldChar w:fldCharType="separate"/>
      </w:r>
      <w:r w:rsidRPr="007E33F3">
        <w:rPr>
          <w:rFonts w:ascii="Book Antiqua" w:hAnsi="Book Antiqua"/>
          <w:noProof/>
          <w:sz w:val="24"/>
          <w:szCs w:val="24"/>
          <w:vertAlign w:val="superscript"/>
        </w:rPr>
        <w:t>[2]</w:t>
      </w:r>
      <w:r w:rsidRPr="007E33F3">
        <w:rPr>
          <w:rFonts w:ascii="Book Antiqua" w:hAnsi="Book Antiqua"/>
          <w:sz w:val="24"/>
          <w:szCs w:val="24"/>
          <w:vertAlign w:val="superscript"/>
        </w:rPr>
        <w:fldChar w:fldCharType="end"/>
      </w:r>
      <w:r w:rsidRPr="007E33F3">
        <w:rPr>
          <w:rFonts w:ascii="Book Antiqua" w:hAnsi="Book Antiqua"/>
          <w:sz w:val="24"/>
          <w:szCs w:val="24"/>
        </w:rPr>
        <w:t xml:space="preserve">. The case reported here illustrates a patient who presented many years after liver transplant with peripheral oedema and hypoalbuminaemia, the aetiology of which was traced to a “blind loop” located in an incisional hernia at the site of the transplant incision. </w:t>
      </w:r>
    </w:p>
    <w:p w:rsidR="00B50922" w:rsidRDefault="00B50922">
      <w:pPr>
        <w:snapToGrid w:val="0"/>
        <w:spacing w:after="0" w:line="360" w:lineRule="auto"/>
        <w:jc w:val="both"/>
        <w:rPr>
          <w:rFonts w:ascii="Book Antiqua" w:hAnsi="Book Antiqua"/>
          <w:b/>
          <w:sz w:val="24"/>
          <w:szCs w:val="24"/>
          <w:lang w:eastAsia="zh-CN"/>
        </w:rPr>
      </w:pPr>
    </w:p>
    <w:p w:rsidR="00B50922" w:rsidRDefault="00B50922">
      <w:pPr>
        <w:snapToGrid w:val="0"/>
        <w:spacing w:after="0" w:line="360" w:lineRule="auto"/>
        <w:jc w:val="both"/>
        <w:rPr>
          <w:rFonts w:ascii="Book Antiqua" w:hAnsi="Book Antiqua"/>
          <w:b/>
          <w:sz w:val="24"/>
          <w:szCs w:val="24"/>
          <w:lang w:eastAsia="zh-CN"/>
        </w:rPr>
      </w:pPr>
      <w:r w:rsidRPr="007E33F3">
        <w:rPr>
          <w:rFonts w:ascii="Book Antiqua" w:hAnsi="Book Antiqua"/>
          <w:b/>
          <w:sz w:val="24"/>
          <w:szCs w:val="24"/>
        </w:rPr>
        <w:t xml:space="preserve">CASE </w:t>
      </w:r>
      <w:r w:rsidRPr="007E33F3">
        <w:rPr>
          <w:rFonts w:ascii="Book Antiqua" w:hAnsi="Book Antiqua"/>
          <w:b/>
          <w:sz w:val="24"/>
          <w:szCs w:val="24"/>
          <w:lang w:eastAsia="zh-CN"/>
        </w:rPr>
        <w:t>REPORT</w:t>
      </w:r>
    </w:p>
    <w:p w:rsidR="00B50922" w:rsidRDefault="00B50922">
      <w:pPr>
        <w:snapToGrid w:val="0"/>
        <w:spacing w:after="0" w:line="360" w:lineRule="auto"/>
        <w:jc w:val="both"/>
        <w:rPr>
          <w:rFonts w:ascii="Book Antiqua" w:hAnsi="Book Antiqua"/>
          <w:sz w:val="24"/>
          <w:szCs w:val="24"/>
        </w:rPr>
      </w:pPr>
      <w:r w:rsidRPr="007E33F3">
        <w:rPr>
          <w:rFonts w:ascii="Book Antiqua" w:hAnsi="Book Antiqua"/>
          <w:sz w:val="24"/>
          <w:szCs w:val="24"/>
        </w:rPr>
        <w:t xml:space="preserve">A 52 year old female with hypertension and type II diabetes underwent orthotopic liver transplantation for hepatitis C cirrhosis. This was followed two weeks later by early re-transplantation for hepatic artery thrombosis. Over the following ten years, she suffered a number of episodes of cholangitis and required percutaneous </w:t>
      </w:r>
      <w:r w:rsidRPr="007E33F3">
        <w:rPr>
          <w:rFonts w:ascii="Book Antiqua" w:hAnsi="Book Antiqua"/>
          <w:sz w:val="24"/>
          <w:szCs w:val="24"/>
        </w:rPr>
        <w:lastRenderedPageBreak/>
        <w:t>transhepatic cholangiography and balloon dilatation of a biliary stricture on two occasions. She also developed an incisional hernia adjacent to her liver transplant scar five years after her transplants, which was managed conservatively. She had stable liver graft function throughout, and was maintained on cyclosporine based immunosuppression regime. She had mild degree of renal impairment attributed to calcineurin inhibitors and her serum creatinine was 106</w:t>
      </w:r>
      <w:r w:rsidRPr="007E33F3">
        <w:rPr>
          <w:rFonts w:ascii="Book Antiqua" w:hAnsi="Book Antiqua"/>
          <w:sz w:val="24"/>
          <w:szCs w:val="24"/>
          <w:lang w:eastAsia="zh-CN"/>
        </w:rPr>
        <w:t xml:space="preserve"> </w:t>
      </w:r>
      <w:r w:rsidRPr="007E33F3">
        <w:rPr>
          <w:rFonts w:ascii="Book Antiqua" w:hAnsi="Book Antiqua"/>
          <w:sz w:val="24"/>
          <w:szCs w:val="24"/>
        </w:rPr>
        <w:t>mmol/</w:t>
      </w:r>
      <w:r w:rsidRPr="007E33F3">
        <w:rPr>
          <w:rFonts w:ascii="Book Antiqua" w:hAnsi="Book Antiqua"/>
          <w:sz w:val="24"/>
          <w:szCs w:val="24"/>
          <w:lang w:eastAsia="zh-CN"/>
        </w:rPr>
        <w:t>L</w:t>
      </w:r>
      <w:r w:rsidRPr="007E33F3">
        <w:rPr>
          <w:rFonts w:ascii="Book Antiqua" w:hAnsi="Book Antiqua"/>
          <w:sz w:val="24"/>
          <w:szCs w:val="24"/>
        </w:rPr>
        <w:t xml:space="preserve">. </w:t>
      </w:r>
    </w:p>
    <w:p w:rsidR="00B50922" w:rsidRDefault="00B50922">
      <w:pPr>
        <w:snapToGrid w:val="0"/>
        <w:spacing w:after="0" w:line="360" w:lineRule="auto"/>
        <w:ind w:firstLineChars="100" w:firstLine="240"/>
        <w:jc w:val="both"/>
        <w:rPr>
          <w:rFonts w:ascii="Book Antiqua" w:hAnsi="Book Antiqua"/>
          <w:sz w:val="24"/>
          <w:szCs w:val="24"/>
        </w:rPr>
      </w:pPr>
      <w:r w:rsidRPr="007E33F3">
        <w:rPr>
          <w:rFonts w:ascii="Book Antiqua" w:hAnsi="Book Antiqua"/>
          <w:sz w:val="24"/>
          <w:szCs w:val="24"/>
        </w:rPr>
        <w:t xml:space="preserve">Twelve years following her transplant and aged 64 </w:t>
      </w:r>
      <w:r w:rsidRPr="007E33F3">
        <w:rPr>
          <w:rFonts w:ascii="Book Antiqua" w:hAnsi="Book Antiqua"/>
          <w:sz w:val="24"/>
          <w:szCs w:val="24"/>
          <w:lang w:eastAsia="zh-CN"/>
        </w:rPr>
        <w:t xml:space="preserve">years </w:t>
      </w:r>
      <w:r w:rsidRPr="007E33F3">
        <w:rPr>
          <w:rFonts w:ascii="Book Antiqua" w:hAnsi="Book Antiqua"/>
          <w:sz w:val="24"/>
          <w:szCs w:val="24"/>
        </w:rPr>
        <w:t>she developed abdominal bloating and peripheral oedema. Her serum albumin fell to 21</w:t>
      </w:r>
      <w:r w:rsidRPr="007E33F3">
        <w:rPr>
          <w:rFonts w:ascii="Book Antiqua" w:hAnsi="Book Antiqua"/>
          <w:sz w:val="24"/>
          <w:szCs w:val="24"/>
          <w:lang w:eastAsia="zh-CN"/>
        </w:rPr>
        <w:t xml:space="preserve"> </w:t>
      </w:r>
      <w:r w:rsidRPr="007E33F3">
        <w:rPr>
          <w:rFonts w:ascii="Book Antiqua" w:hAnsi="Book Antiqua"/>
          <w:sz w:val="24"/>
          <w:szCs w:val="24"/>
        </w:rPr>
        <w:t>g/dL and total serum protein to 50</w:t>
      </w:r>
      <w:r w:rsidRPr="007E33F3">
        <w:rPr>
          <w:rFonts w:ascii="Book Antiqua" w:hAnsi="Book Antiqua"/>
          <w:sz w:val="24"/>
          <w:szCs w:val="24"/>
          <w:lang w:eastAsia="zh-CN"/>
        </w:rPr>
        <w:t xml:space="preserve"> </w:t>
      </w:r>
      <w:r w:rsidRPr="007E33F3">
        <w:rPr>
          <w:rFonts w:ascii="Book Antiqua" w:hAnsi="Book Antiqua"/>
          <w:sz w:val="24"/>
          <w:szCs w:val="24"/>
        </w:rPr>
        <w:t>g/d</w:t>
      </w:r>
      <w:r w:rsidRPr="007E33F3">
        <w:rPr>
          <w:rFonts w:ascii="Book Antiqua" w:hAnsi="Book Antiqua"/>
          <w:sz w:val="24"/>
          <w:szCs w:val="24"/>
          <w:lang w:eastAsia="zh-CN"/>
        </w:rPr>
        <w:t xml:space="preserve">L </w:t>
      </w:r>
      <w:r w:rsidRPr="007E33F3">
        <w:rPr>
          <w:rFonts w:ascii="Book Antiqua" w:hAnsi="Book Antiqua"/>
          <w:sz w:val="24"/>
          <w:szCs w:val="24"/>
        </w:rPr>
        <w:t>but her other liver function tests were unremarkable. Liver biopsy demonstrated a mild degree of inflammation and fibrosis. Oesophagastroduodenoscopy (</w:t>
      </w:r>
      <w:bookmarkStart w:id="128" w:name="OLE_LINK510"/>
      <w:bookmarkStart w:id="129" w:name="OLE_LINK511"/>
      <w:bookmarkStart w:id="130" w:name="OLE_LINK515"/>
      <w:bookmarkStart w:id="131" w:name="OLE_LINK516"/>
      <w:r w:rsidRPr="007E33F3">
        <w:rPr>
          <w:rFonts w:ascii="Book Antiqua" w:hAnsi="Book Antiqua"/>
          <w:sz w:val="24"/>
          <w:szCs w:val="24"/>
        </w:rPr>
        <w:t>OGD</w:t>
      </w:r>
      <w:bookmarkEnd w:id="128"/>
      <w:bookmarkEnd w:id="129"/>
      <w:bookmarkEnd w:id="130"/>
      <w:bookmarkEnd w:id="131"/>
      <w:r w:rsidRPr="007E33F3">
        <w:rPr>
          <w:rFonts w:ascii="Book Antiqua" w:hAnsi="Book Antiqua"/>
          <w:sz w:val="24"/>
          <w:szCs w:val="24"/>
        </w:rPr>
        <w:t>) revealed mild hypertensive gastropathy but in the absence of splenomegaly or thrombocytopenia portal hypertension was deemed an unlikely cause for her hypoproteinaemia. She had no evidence of excessive renal protein loss with a negative urine dipstick for protein, an albumin creatinine ratio of 2 and 24-h urinary protein of 126</w:t>
      </w:r>
      <w:r w:rsidRPr="007E33F3">
        <w:rPr>
          <w:rFonts w:ascii="Book Antiqua" w:hAnsi="Book Antiqua"/>
          <w:sz w:val="24"/>
          <w:szCs w:val="24"/>
          <w:lang w:eastAsia="zh-CN"/>
        </w:rPr>
        <w:t xml:space="preserve"> </w:t>
      </w:r>
      <w:r w:rsidRPr="007E33F3">
        <w:rPr>
          <w:rFonts w:ascii="Book Antiqua" w:hAnsi="Book Antiqua"/>
          <w:sz w:val="24"/>
          <w:szCs w:val="24"/>
        </w:rPr>
        <w:t>mg. She had no diarrhoea or other symptoms or signs of inflammatory bowel disease. Duodenal biopsy demonstrated normal duodenal mucosa whilst on capsule endoscopy no significant pathology was found apart from scattered angioectasia throughout the jejunum and ileum and a suggested small polypoidal mass in caecum.</w:t>
      </w:r>
    </w:p>
    <w:p w:rsidR="00B50922" w:rsidRDefault="00B50922">
      <w:pPr>
        <w:snapToGrid w:val="0"/>
        <w:spacing w:after="0" w:line="360" w:lineRule="auto"/>
        <w:ind w:firstLineChars="100" w:firstLine="240"/>
        <w:jc w:val="both"/>
        <w:rPr>
          <w:rFonts w:ascii="Book Antiqua" w:hAnsi="Book Antiqua"/>
          <w:sz w:val="24"/>
          <w:szCs w:val="24"/>
        </w:rPr>
      </w:pPr>
      <w:r w:rsidRPr="007E33F3">
        <w:rPr>
          <w:rFonts w:ascii="Book Antiqua" w:hAnsi="Book Antiqua"/>
          <w:sz w:val="24"/>
          <w:szCs w:val="24"/>
        </w:rPr>
        <w:t>Over the two years that followed, she suffered repeated episodes of oedema, bloatedness and a drop in serum albumin to levels around 20</w:t>
      </w:r>
      <w:r w:rsidRPr="007E33F3">
        <w:rPr>
          <w:rFonts w:ascii="Book Antiqua" w:hAnsi="Book Antiqua"/>
          <w:sz w:val="24"/>
          <w:szCs w:val="24"/>
          <w:lang w:eastAsia="zh-CN"/>
        </w:rPr>
        <w:t xml:space="preserve"> </w:t>
      </w:r>
      <w:r w:rsidRPr="007E33F3">
        <w:rPr>
          <w:rFonts w:ascii="Book Antiqua" w:hAnsi="Book Antiqua"/>
          <w:sz w:val="24"/>
          <w:szCs w:val="24"/>
        </w:rPr>
        <w:t>g/dL requiring multiple albumin infusions. These increased in frequency when she required 27 units of albumin (100</w:t>
      </w:r>
      <w:r w:rsidRPr="007E33F3">
        <w:rPr>
          <w:rFonts w:ascii="Book Antiqua" w:hAnsi="Book Antiqua"/>
          <w:sz w:val="24"/>
          <w:szCs w:val="24"/>
          <w:lang w:eastAsia="zh-CN"/>
        </w:rPr>
        <w:t xml:space="preserve"> </w:t>
      </w:r>
      <w:r w:rsidRPr="007E33F3">
        <w:rPr>
          <w:rFonts w:ascii="Book Antiqua" w:hAnsi="Book Antiqua"/>
          <w:sz w:val="24"/>
          <w:szCs w:val="24"/>
        </w:rPr>
        <w:t>m</w:t>
      </w:r>
      <w:r w:rsidRPr="007E33F3">
        <w:rPr>
          <w:rFonts w:ascii="Book Antiqua" w:hAnsi="Book Antiqua"/>
          <w:sz w:val="24"/>
          <w:szCs w:val="24"/>
          <w:lang w:eastAsia="zh-CN"/>
        </w:rPr>
        <w:t>L</w:t>
      </w:r>
      <w:r w:rsidRPr="007E33F3">
        <w:rPr>
          <w:rFonts w:ascii="Book Antiqua" w:hAnsi="Book Antiqua"/>
          <w:sz w:val="24"/>
          <w:szCs w:val="24"/>
        </w:rPr>
        <w:t xml:space="preserve"> 20% HAS) over 2 mo, and was admitted for further evaluation of the cause of her protein losing enteropathy. All biochemical investigations including serum caeruloplasmin, faecal elastase, faecal alpha-1 antitrypsin and celiac screen was normal. Colonoscopy did not identify the possible polypoid lesion showed on capsule endoscopy. </w:t>
      </w:r>
      <w:bookmarkStart w:id="132" w:name="OLE_LINK1652"/>
      <w:bookmarkStart w:id="133" w:name="OLE_LINK1653"/>
      <w:r w:rsidRPr="007E33F3">
        <w:rPr>
          <w:rFonts w:ascii="Book Antiqua" w:hAnsi="Book Antiqua"/>
          <w:sz w:val="24"/>
          <w:szCs w:val="24"/>
        </w:rPr>
        <w:t xml:space="preserve">Repeat </w:t>
      </w:r>
      <w:bookmarkStart w:id="134" w:name="OLE_LINK1654"/>
      <w:r w:rsidRPr="007E33F3">
        <w:rPr>
          <w:rFonts w:ascii="Book Antiqua" w:hAnsi="Book Antiqua"/>
          <w:sz w:val="24"/>
          <w:szCs w:val="24"/>
        </w:rPr>
        <w:t>OGD</w:t>
      </w:r>
      <w:bookmarkEnd w:id="134"/>
      <w:r w:rsidRPr="007E33F3">
        <w:rPr>
          <w:rFonts w:ascii="Book Antiqua" w:hAnsi="Book Antiqua"/>
          <w:sz w:val="24"/>
          <w:szCs w:val="24"/>
        </w:rPr>
        <w:t xml:space="preserve"> revealed</w:t>
      </w:r>
      <w:bookmarkEnd w:id="132"/>
      <w:bookmarkEnd w:id="133"/>
      <w:r w:rsidRPr="007E33F3">
        <w:rPr>
          <w:rFonts w:ascii="Book Antiqua" w:hAnsi="Book Antiqua"/>
          <w:sz w:val="24"/>
          <w:szCs w:val="24"/>
        </w:rPr>
        <w:t xml:space="preserve"> normal villi but a few scattered pearly white spots thought to represent lymphangiectasia. Pathological analysis of duodenal biopsies revealed normal villous architecture, no intraepithelial lymphocytes but a few distended lymphatic spaces. </w:t>
      </w:r>
    </w:p>
    <w:p w:rsidR="00B50922" w:rsidRDefault="00B50922">
      <w:pPr>
        <w:snapToGrid w:val="0"/>
        <w:spacing w:after="0" w:line="360" w:lineRule="auto"/>
        <w:ind w:firstLineChars="100" w:firstLine="240"/>
        <w:jc w:val="both"/>
        <w:rPr>
          <w:rFonts w:ascii="Book Antiqua" w:hAnsi="Book Antiqua"/>
          <w:sz w:val="24"/>
          <w:szCs w:val="24"/>
        </w:rPr>
      </w:pPr>
      <w:r w:rsidRPr="007E33F3">
        <w:rPr>
          <w:rFonts w:ascii="Book Antiqua" w:hAnsi="Book Antiqua"/>
          <w:sz w:val="24"/>
          <w:szCs w:val="24"/>
        </w:rPr>
        <w:lastRenderedPageBreak/>
        <w:t xml:space="preserve">It was suggested that she was likely to have a degree of bacterial overgrowth in loop of hernia but in absence of watery diarrhoea and vitamin deficiency, the chances of her symptoms being due to protein losing enteropathy was deemed unlikely. In the absence of any other definitive aetiology for continued protein loss she was subjected to a fluorodeoxyglucose </w:t>
      </w:r>
      <w:bookmarkStart w:id="135" w:name="OLE_LINK1662"/>
      <w:bookmarkStart w:id="136" w:name="OLE_LINK1663"/>
      <w:r w:rsidRPr="007E33F3">
        <w:rPr>
          <w:rFonts w:ascii="Book Antiqua" w:hAnsi="Book Antiqua"/>
          <w:sz w:val="24"/>
          <w:szCs w:val="24"/>
        </w:rPr>
        <w:t>computed tomography positron emission tomography</w:t>
      </w:r>
      <w:bookmarkEnd w:id="135"/>
      <w:bookmarkEnd w:id="136"/>
      <w:r w:rsidRPr="007E33F3">
        <w:rPr>
          <w:rFonts w:ascii="Book Antiqua" w:hAnsi="Book Antiqua"/>
          <w:sz w:val="24"/>
          <w:szCs w:val="24"/>
        </w:rPr>
        <w:t xml:space="preserve"> (FDG CT-PET) scan which demonstrated increased uptake in the bowel in the region of her incisional hernia indicating increased metabolic activity or infection in the blind loop of the hernia (Fig</w:t>
      </w:r>
      <w:r w:rsidRPr="007E33F3">
        <w:rPr>
          <w:rFonts w:ascii="Book Antiqua" w:hAnsi="Book Antiqua"/>
          <w:sz w:val="24"/>
          <w:szCs w:val="24"/>
          <w:lang w:eastAsia="zh-CN"/>
        </w:rPr>
        <w:t>ure</w:t>
      </w:r>
      <w:r w:rsidRPr="007E33F3">
        <w:rPr>
          <w:rFonts w:ascii="Book Antiqua" w:hAnsi="Book Antiqua"/>
          <w:sz w:val="24"/>
          <w:szCs w:val="24"/>
        </w:rPr>
        <w:t xml:space="preserve"> 1). A month later she underwent uncomplicated repair of her incisional hernia. Her requirement for albumin infusions decreased over the following 9 mo and at present she has been 3 months</w:t>
      </w:r>
      <w:r w:rsidRPr="007E33F3">
        <w:rPr>
          <w:rFonts w:ascii="Book Antiqua" w:hAnsi="Book Antiqua"/>
          <w:sz w:val="24"/>
          <w:szCs w:val="24"/>
          <w:lang w:eastAsia="zh-CN"/>
        </w:rPr>
        <w:t xml:space="preserve"> </w:t>
      </w:r>
      <w:r w:rsidRPr="007E33F3">
        <w:rPr>
          <w:rFonts w:ascii="Book Antiqua" w:hAnsi="Book Antiqua"/>
          <w:sz w:val="24"/>
          <w:szCs w:val="24"/>
        </w:rPr>
        <w:t>without an albumin infusion and is maintaining a steady serum albumin level of 34</w:t>
      </w:r>
      <w:r w:rsidRPr="007E33F3">
        <w:rPr>
          <w:rFonts w:ascii="Book Antiqua" w:hAnsi="Book Antiqua"/>
          <w:sz w:val="24"/>
          <w:szCs w:val="24"/>
          <w:lang w:eastAsia="zh-CN"/>
        </w:rPr>
        <w:t xml:space="preserve"> </w:t>
      </w:r>
      <w:r w:rsidRPr="007E33F3">
        <w:rPr>
          <w:rFonts w:ascii="Book Antiqua" w:hAnsi="Book Antiqua"/>
          <w:sz w:val="24"/>
          <w:szCs w:val="24"/>
        </w:rPr>
        <w:t>g/dL and total protein of 60</w:t>
      </w:r>
      <w:r w:rsidRPr="007E33F3">
        <w:rPr>
          <w:rFonts w:ascii="Book Antiqua" w:hAnsi="Book Antiqua"/>
          <w:sz w:val="24"/>
          <w:szCs w:val="24"/>
          <w:lang w:eastAsia="zh-CN"/>
        </w:rPr>
        <w:t xml:space="preserve"> </w:t>
      </w:r>
      <w:r w:rsidRPr="007E33F3">
        <w:rPr>
          <w:rFonts w:ascii="Book Antiqua" w:hAnsi="Book Antiqua"/>
          <w:sz w:val="24"/>
          <w:szCs w:val="24"/>
        </w:rPr>
        <w:t>g/dL with no symptoms. A repeat CT-PET scan one year post hernia repair has demonstrated no increased uptake in the bowel around the site of her previous incisional hernia (Fig</w:t>
      </w:r>
      <w:r w:rsidRPr="007E33F3">
        <w:rPr>
          <w:rFonts w:ascii="Book Antiqua" w:hAnsi="Book Antiqua"/>
          <w:sz w:val="24"/>
          <w:szCs w:val="24"/>
          <w:lang w:eastAsia="zh-CN"/>
        </w:rPr>
        <w:t>ure</w:t>
      </w:r>
      <w:r w:rsidRPr="007E33F3">
        <w:rPr>
          <w:rFonts w:ascii="Book Antiqua" w:hAnsi="Book Antiqua"/>
          <w:sz w:val="24"/>
          <w:szCs w:val="24"/>
        </w:rPr>
        <w:t xml:space="preserve"> 2).</w:t>
      </w:r>
    </w:p>
    <w:p w:rsidR="00B50922" w:rsidRDefault="00B50922">
      <w:pPr>
        <w:snapToGrid w:val="0"/>
        <w:spacing w:after="0" w:line="360" w:lineRule="auto"/>
        <w:jc w:val="both"/>
        <w:rPr>
          <w:rFonts w:ascii="Book Antiqua" w:hAnsi="Book Antiqua"/>
          <w:b/>
          <w:sz w:val="24"/>
          <w:szCs w:val="24"/>
          <w:lang w:eastAsia="zh-CN"/>
        </w:rPr>
      </w:pPr>
    </w:p>
    <w:p w:rsidR="00B50922" w:rsidRDefault="00B50922">
      <w:pPr>
        <w:snapToGrid w:val="0"/>
        <w:spacing w:after="0" w:line="360" w:lineRule="auto"/>
        <w:jc w:val="both"/>
        <w:rPr>
          <w:rFonts w:ascii="Book Antiqua" w:hAnsi="Book Antiqua"/>
          <w:b/>
          <w:sz w:val="24"/>
          <w:szCs w:val="24"/>
        </w:rPr>
      </w:pPr>
      <w:r w:rsidRPr="007E33F3">
        <w:rPr>
          <w:rFonts w:ascii="Book Antiqua" w:hAnsi="Book Antiqua"/>
          <w:b/>
          <w:sz w:val="24"/>
          <w:szCs w:val="24"/>
        </w:rPr>
        <w:t>DISCUSSION</w:t>
      </w:r>
    </w:p>
    <w:p w:rsidR="00B50922" w:rsidRDefault="00B50922">
      <w:pPr>
        <w:snapToGrid w:val="0"/>
        <w:spacing w:after="0" w:line="360" w:lineRule="auto"/>
        <w:jc w:val="both"/>
        <w:rPr>
          <w:rFonts w:ascii="Book Antiqua" w:hAnsi="Book Antiqua"/>
          <w:sz w:val="24"/>
          <w:szCs w:val="24"/>
        </w:rPr>
      </w:pPr>
      <w:r w:rsidRPr="007E33F3">
        <w:rPr>
          <w:rFonts w:ascii="Book Antiqua" w:hAnsi="Book Antiqua"/>
          <w:sz w:val="24"/>
          <w:szCs w:val="24"/>
        </w:rPr>
        <w:t>Protein losing enteropathy (PLE) is a rare condition in which protein loss into the gastrointestinal tract results in hypoproteinaemia which is manifested as peripheral oedema, ascites and sometimes pleural or pericardial effusions. The causes of PLE are numerous but can be divided broadly into mucosal injury, either erosive or non-erosive, increased central venous pressure, mesenteric lymphatic obstruction or small intestinal bacterial overgrowth (SIBO), which was the cause in this case</w:t>
      </w:r>
      <w:r w:rsidRPr="007E33F3">
        <w:rPr>
          <w:rFonts w:ascii="Book Antiqua" w:hAnsi="Book Antiqua"/>
          <w:sz w:val="24"/>
          <w:szCs w:val="24"/>
        </w:rPr>
        <w:fldChar w:fldCharType="begin"/>
      </w:r>
      <w:r w:rsidRPr="007E33F3">
        <w:rPr>
          <w:rFonts w:ascii="Book Antiqua" w:hAnsi="Book Antiqua"/>
          <w:sz w:val="24"/>
          <w:szCs w:val="24"/>
        </w:rPr>
        <w:instrText xml:space="preserve"> ADDIN EN.CITE &lt;EndNote&gt;&lt;Cite&gt;&lt;Author&gt;Umar&lt;/Author&gt;&lt;Year&gt;2010&lt;/Year&gt;&lt;RecNum&gt;696&lt;/RecNum&gt;&lt;record&gt;&lt;rec-number&gt;696&lt;/rec-number&gt;&lt;foreign-keys&gt;&lt;key app="EN" db-id="ax9xptpsx0f0pre5xxpvt2dg00afwta9fd0t"&gt;696&lt;/key&gt;&lt;/foreign-keys&gt;&lt;ref-type name="Journal Article"&gt;17&lt;/ref-type&gt;&lt;contributors&gt;&lt;authors&gt;&lt;author&gt;Umar, S. B.&lt;/author&gt;&lt;author&gt;DiBaise, J. K.&lt;/author&gt;&lt;/authors&gt;&lt;/contributors&gt;&lt;auth-address&gt;Mayo Clinic, Scottsdale, Arizona 85259, USA.&lt;/auth-address&gt;&lt;titles&gt;&lt;title&gt;Protein-losing enteropathy: case illustrations and clinical review&lt;/title&gt;&lt;secondary-title&gt;Am J Gastroenterol&lt;/secondary-title&gt;&lt;/titles&gt;&lt;periodical&gt;&lt;full-title&gt;Am J Gastroenterol&lt;/full-title&gt;&lt;/periodical&gt;&lt;pages&gt;43-9; quiz 50&lt;/pages&gt;&lt;volume&gt;105&lt;/volume&gt;&lt;number&gt;1&lt;/number&gt;&lt;edition&gt;2009/10/01&lt;/edition&gt;&lt;keywords&gt;&lt;keyword&gt;Adult&lt;/keyword&gt;&lt;keyword&gt;Aged&lt;/keyword&gt;&lt;keyword&gt;Comorbidity&lt;/keyword&gt;&lt;keyword&gt;Diagnosis, Differential&lt;/keyword&gt;&lt;keyword&gt;Feces/chemistry&lt;/keyword&gt;&lt;keyword&gt;Humans&lt;/keyword&gt;&lt;keyword&gt;Male&lt;/keyword&gt;&lt;keyword&gt;Middle Aged&lt;/keyword&gt;&lt;keyword&gt;Nutrition Therapy&lt;/keyword&gt;&lt;keyword&gt;*Protein-Losing Enteropathies/diagnosis/etiology/therapy&lt;/keyword&gt;&lt;keyword&gt;alpha 1-Antitrypsin/diagnostic use&lt;/keyword&gt;&lt;/keywords&gt;&lt;dates&gt;&lt;year&gt;2010&lt;/year&gt;&lt;pub-dates&gt;&lt;date&gt;Jan&lt;/date&gt;&lt;/pub-dates&gt;&lt;/dates&gt;&lt;isbn&gt;1572-0241 (Electronic)&amp;#xD;0002-9270 (Linking)&lt;/isbn&gt;&lt;accession-num&gt;19789526&lt;/accession-num&gt;&lt;urls&gt;&lt;related-urls&gt;&lt;url&gt;http://www.ncbi.nlm.nih.gov/entrez/query.fcgi?cmd=Retrieve&amp;amp;db=PubMed&amp;amp;dopt=Citation&amp;amp;list_uids=19789526&lt;/url&gt;&lt;/related-urls&gt;&lt;/urls&gt;&lt;electronic-resource-num&gt;ajg2009561 [pii]&amp;#xD;10.1038/ajg.2009.561&lt;/electronic-resource-num&gt;&lt;language&gt;eng&lt;/language&gt;&lt;/record&gt;&lt;/Cite&gt;&lt;/EndNote&gt;</w:instrText>
      </w:r>
      <w:r w:rsidRPr="007E33F3">
        <w:rPr>
          <w:rFonts w:ascii="Book Antiqua" w:hAnsi="Book Antiqua"/>
          <w:sz w:val="24"/>
          <w:szCs w:val="24"/>
        </w:rPr>
        <w:fldChar w:fldCharType="separate"/>
      </w:r>
      <w:r w:rsidRPr="007E33F3">
        <w:rPr>
          <w:rFonts w:ascii="Book Antiqua" w:hAnsi="Book Antiqua"/>
          <w:noProof/>
          <w:sz w:val="24"/>
          <w:szCs w:val="24"/>
          <w:vertAlign w:val="superscript"/>
        </w:rPr>
        <w:t>[1]</w:t>
      </w:r>
      <w:r w:rsidRPr="007E33F3">
        <w:rPr>
          <w:rFonts w:ascii="Book Antiqua" w:hAnsi="Book Antiqua"/>
          <w:noProof/>
          <w:sz w:val="24"/>
          <w:szCs w:val="24"/>
        </w:rPr>
        <w:t xml:space="preserve">. </w:t>
      </w:r>
      <w:r w:rsidRPr="007E33F3">
        <w:rPr>
          <w:rFonts w:ascii="Book Antiqua" w:hAnsi="Book Antiqua"/>
          <w:sz w:val="24"/>
          <w:szCs w:val="24"/>
        </w:rPr>
        <w:fldChar w:fldCharType="end"/>
      </w:r>
      <w:r w:rsidRPr="007E33F3">
        <w:rPr>
          <w:rFonts w:ascii="Book Antiqua" w:hAnsi="Book Antiqua"/>
          <w:sz w:val="24"/>
          <w:szCs w:val="24"/>
        </w:rPr>
        <w:t>Abdominal hernia, internal or external, have been implicated in SIBO and PLE but only a very limited number of cases are reported in the literature</w:t>
      </w:r>
      <w:r w:rsidRPr="007E33F3">
        <w:rPr>
          <w:rFonts w:ascii="Book Antiqua" w:hAnsi="Book Antiqua"/>
          <w:sz w:val="24"/>
          <w:szCs w:val="24"/>
          <w:vertAlign w:val="superscript"/>
        </w:rPr>
        <w:fldChar w:fldCharType="begin">
          <w:fldData xml:space="preserve">PEVuZE5vdGU+PENpdGU+PEF1dGhvcj5UYWluYWthPC9BdXRob3I+PFllYXI+MjAwNTwvWWVhcj48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</w:fldData>
        </w:fldChar>
      </w:r>
      <w:r w:rsidRPr="007E33F3">
        <w:rPr>
          <w:rFonts w:ascii="Book Antiqua" w:hAnsi="Book Antiqua"/>
          <w:sz w:val="24"/>
          <w:szCs w:val="24"/>
          <w:vertAlign w:val="superscript"/>
        </w:rPr>
        <w:instrText xml:space="preserve"> ADDIN EN.CITE </w:instrText>
      </w:r>
      <w:r w:rsidRPr="007E33F3">
        <w:rPr>
          <w:rFonts w:ascii="Book Antiqua" w:hAnsi="Book Antiqua"/>
          <w:sz w:val="24"/>
          <w:szCs w:val="24"/>
          <w:vertAlign w:val="superscript"/>
        </w:rPr>
        <w:fldChar w:fldCharType="begin">
          <w:fldData xml:space="preserve">PEVuZE5vdGU+PENpdGU+PEF1dGhvcj5UYWluYWthPC9BdXRob3I+PFllYXI+MjAwNTwvWWVhcj48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</w:fldData>
        </w:fldChar>
      </w:r>
      <w:r w:rsidRPr="007E33F3">
        <w:rPr>
          <w:rFonts w:ascii="Book Antiqua" w:hAnsi="Book Antiqua"/>
          <w:sz w:val="24"/>
          <w:szCs w:val="24"/>
          <w:vertAlign w:val="superscript"/>
        </w:rPr>
        <w:instrText xml:space="preserve"> ADDIN EN.CITE.DATA </w:instrText>
      </w:r>
      <w:r w:rsidRPr="007E33F3">
        <w:rPr>
          <w:rFonts w:ascii="Book Antiqua" w:hAnsi="Book Antiqua"/>
          <w:sz w:val="24"/>
          <w:szCs w:val="24"/>
          <w:vertAlign w:val="superscript"/>
        </w:rPr>
      </w:r>
      <w:r w:rsidRPr="007E33F3">
        <w:rPr>
          <w:rFonts w:ascii="Book Antiqua" w:hAnsi="Book Antiqua"/>
          <w:sz w:val="24"/>
          <w:szCs w:val="24"/>
          <w:vertAlign w:val="superscript"/>
        </w:rPr>
        <w:fldChar w:fldCharType="end"/>
      </w:r>
      <w:r w:rsidRPr="007E33F3">
        <w:rPr>
          <w:rFonts w:ascii="Book Antiqua" w:hAnsi="Book Antiqua"/>
          <w:sz w:val="24"/>
          <w:szCs w:val="24"/>
          <w:vertAlign w:val="superscript"/>
        </w:rPr>
      </w:r>
      <w:r w:rsidRPr="007E33F3">
        <w:rPr>
          <w:rFonts w:ascii="Book Antiqua" w:hAnsi="Book Antiqua"/>
          <w:sz w:val="24"/>
          <w:szCs w:val="24"/>
          <w:vertAlign w:val="superscript"/>
        </w:rPr>
        <w:fldChar w:fldCharType="separate"/>
      </w:r>
      <w:r w:rsidRPr="007E33F3">
        <w:rPr>
          <w:rFonts w:ascii="Book Antiqua" w:hAnsi="Book Antiqua"/>
          <w:noProof/>
          <w:sz w:val="24"/>
          <w:szCs w:val="24"/>
          <w:vertAlign w:val="superscript"/>
        </w:rPr>
        <w:t>[3,4]</w:t>
      </w:r>
      <w:r w:rsidRPr="007E33F3">
        <w:rPr>
          <w:rFonts w:ascii="Book Antiqua" w:hAnsi="Book Antiqua"/>
          <w:sz w:val="24"/>
          <w:szCs w:val="24"/>
          <w:vertAlign w:val="superscript"/>
        </w:rPr>
        <w:fldChar w:fldCharType="end"/>
      </w:r>
      <w:r w:rsidRPr="007E33F3">
        <w:rPr>
          <w:rFonts w:ascii="Book Antiqua" w:hAnsi="Book Antiqua"/>
          <w:sz w:val="24"/>
          <w:szCs w:val="24"/>
        </w:rPr>
        <w:t>. The present case is the first reported of its kind, and the learning point lies on the diagnostic dilemma. Nevertheless systematic investigations helped localise the problem and FDG-PET scan was an invaluable diagnostic tool.</w:t>
      </w:r>
    </w:p>
    <w:p w:rsidR="00B50922" w:rsidRDefault="00B50922">
      <w:pPr>
        <w:snapToGrid w:val="0"/>
        <w:spacing w:after="0" w:line="360" w:lineRule="auto"/>
        <w:ind w:firstLineChars="100" w:firstLine="240"/>
        <w:jc w:val="both"/>
        <w:rPr>
          <w:rFonts w:ascii="Book Antiqua" w:hAnsi="Book Antiqua"/>
          <w:sz w:val="24"/>
          <w:szCs w:val="24"/>
        </w:rPr>
      </w:pPr>
      <w:r w:rsidRPr="007E33F3">
        <w:rPr>
          <w:rFonts w:ascii="Book Antiqua" w:hAnsi="Book Antiqua"/>
          <w:sz w:val="24"/>
          <w:szCs w:val="24"/>
        </w:rPr>
        <w:t>SIBO can result from a number of processes and may be considered as either functional or anatomical, and in some cases a combination of both. Functional causes include hypochlorhydria, dysmotility and some immunodeficiency syndromes</w:t>
      </w:r>
      <w:r w:rsidRPr="007E33F3">
        <w:rPr>
          <w:rFonts w:ascii="Book Antiqua" w:hAnsi="Book Antiqua"/>
          <w:sz w:val="24"/>
          <w:szCs w:val="24"/>
          <w:vertAlign w:val="superscript"/>
        </w:rPr>
        <w:fldChar w:fldCharType="begin"/>
      </w:r>
      <w:r w:rsidRPr="007E33F3">
        <w:rPr>
          <w:rFonts w:ascii="Book Antiqua" w:hAnsi="Book Antiqua"/>
          <w:sz w:val="24"/>
          <w:szCs w:val="24"/>
          <w:vertAlign w:val="superscript"/>
        </w:rPr>
        <w:instrText xml:space="preserve"> ADDIN EN.CITE &lt;EndNote&gt;&lt;Cite&gt;&lt;Author&gt;Singh&lt;/Author&gt;&lt;Year&gt;2003&lt;/Year&gt;&lt;RecNum&gt;700&lt;/RecNum&gt;&lt;record&gt;&lt;rec-number&gt;700&lt;/rec-number&gt;&lt;foreign-keys&gt;&lt;key app="EN" db-id="ax9xptpsx0f0pre5xxpvt2dg00afwta9fd0t"&gt;700&lt;/key&gt;&lt;/foreign-keys&gt;&lt;ref-type name="Journal Article"&gt;17&lt;/ref-type&gt;&lt;contributors&gt;&lt;authors&gt;&lt;author&gt;Singh, V. V.&lt;/author&gt;&lt;author&gt;Toskes, P. P.&lt;/author&gt;&lt;/authors&gt;&lt;/contributors&gt;&lt;auth-address&gt;Department of Medicine, Division of Gastroenterology, Hepatology and Nutrition, University of Florida, PO Box 100214, Gainesville, FL 32610-0214, USA. toskepp@medicine.ufl.edu&lt;/auth-address&gt;&lt;titles&gt;&lt;title&gt;Small bowel bacterial overgrowth: presentation, diagnosis, and treatment&lt;/title&gt;&lt;secondary-title&gt;Curr Gastroenterol Rep&lt;/secondary-title&gt;&lt;/titles&gt;&lt;periodical&gt;&lt;full-title&gt;Curr Gastroenterol Rep&lt;/full-title&gt;&lt;/periodical&gt;&lt;pages&gt;365-72&lt;/pages&gt;&lt;volume&gt;5&lt;/volume&gt;&lt;number&gt;5&lt;/number&gt;&lt;edition&gt;2003/09/10&lt;/edition&gt;&lt;keywords&gt;&lt;keyword&gt;Animals&lt;/keyword&gt;&lt;keyword&gt;Anti-Bacterial Agents/therapeutic use&lt;/keyword&gt;&lt;keyword&gt;Bacterial Infections/*diagnosis/*therapy&lt;/keyword&gt;&lt;keyword&gt;Homeostasis&lt;/keyword&gt;&lt;keyword&gt;Humans&lt;/keyword&gt;&lt;keyword&gt;Intestine, Small/*microbiology&lt;/keyword&gt;&lt;keyword&gt;Malabsorption Syndromes/*diagnosis/*microbiology/*therapy&lt;/keyword&gt;&lt;keyword&gt;Nutritional Support&lt;/keyword&gt;&lt;keyword&gt;Probiotics/therapeutic use&lt;/keyword&gt;&lt;keyword&gt;Syndrome&lt;/keyword&gt;&lt;/keywords&gt;&lt;dates&gt;&lt;year&gt;2003&lt;/year&gt;&lt;pub-dates&gt;&lt;date&gt;Oct&lt;/date&gt;&lt;/pub-dates&gt;&lt;/dates&gt;&lt;isbn&gt;1522-8037 (Print)&amp;#xD;1522-8037 (Linking)&lt;/isbn&gt;&lt;accession-num&gt;12959716&lt;/accession-num&gt;&lt;urls&gt;&lt;related-urls&gt;&lt;url&gt;http://www.ncbi.nlm.nih.gov/entrez/query.fcgi?cmd=Retrieve&amp;amp;db=PubMed&amp;amp;dopt=Citation&amp;amp;list_uids=12959716&lt;/url&gt;&lt;/related-urls&gt;&lt;/urls&gt;&lt;language&gt;eng&lt;/language&gt;&lt;/record&gt;&lt;/Cite&gt;&lt;/EndNote&gt;</w:instrText>
      </w:r>
      <w:r w:rsidRPr="007E33F3">
        <w:rPr>
          <w:rFonts w:ascii="Book Antiqua" w:hAnsi="Book Antiqua"/>
          <w:sz w:val="24"/>
          <w:szCs w:val="24"/>
          <w:vertAlign w:val="superscript"/>
        </w:rPr>
        <w:fldChar w:fldCharType="separate"/>
      </w:r>
      <w:r w:rsidRPr="007E33F3">
        <w:rPr>
          <w:rFonts w:ascii="Book Antiqua" w:hAnsi="Book Antiqua"/>
          <w:noProof/>
          <w:sz w:val="24"/>
          <w:szCs w:val="24"/>
          <w:vertAlign w:val="superscript"/>
        </w:rPr>
        <w:t>[5]</w:t>
      </w:r>
      <w:r w:rsidRPr="007E33F3">
        <w:rPr>
          <w:rFonts w:ascii="Book Antiqua" w:hAnsi="Book Antiqua"/>
          <w:sz w:val="24"/>
          <w:szCs w:val="24"/>
          <w:vertAlign w:val="superscript"/>
        </w:rPr>
        <w:fldChar w:fldCharType="end"/>
      </w:r>
      <w:r w:rsidRPr="007E33F3">
        <w:rPr>
          <w:rFonts w:ascii="Book Antiqua" w:hAnsi="Book Antiqua"/>
          <w:sz w:val="24"/>
          <w:szCs w:val="24"/>
        </w:rPr>
        <w:t xml:space="preserve">. Anatomical situations predisposing to SIBO include resection of the ileo-caecal valve </w:t>
      </w:r>
      <w:r w:rsidRPr="007E33F3">
        <w:rPr>
          <w:rFonts w:ascii="Book Antiqua" w:hAnsi="Book Antiqua"/>
          <w:sz w:val="24"/>
          <w:szCs w:val="24"/>
        </w:rPr>
        <w:lastRenderedPageBreak/>
        <w:t>or gastro-colic and jejuno-colic fistulae in which colonic bacteria can translocate to the small bowel, or in situations where a surgical ‘blind loop’ is created by an end to side or roux-en-y anastomosis or as part of a Billroth II gastrectomy</w:t>
      </w:r>
      <w:r w:rsidRPr="007E33F3">
        <w:rPr>
          <w:rFonts w:ascii="Book Antiqua" w:hAnsi="Book Antiqua"/>
          <w:sz w:val="24"/>
          <w:szCs w:val="24"/>
          <w:vertAlign w:val="superscript"/>
          <w:lang w:eastAsia="zh-CN"/>
        </w:rPr>
        <w:t>[5,6]</w:t>
      </w:r>
      <w:r w:rsidRPr="007E33F3">
        <w:rPr>
          <w:rFonts w:ascii="Book Antiqua" w:hAnsi="Book Antiqua"/>
          <w:sz w:val="24"/>
          <w:szCs w:val="24"/>
        </w:rPr>
        <w:t>.</w:t>
      </w:r>
      <w:r w:rsidRPr="007E33F3">
        <w:rPr>
          <w:rFonts w:ascii="Book Antiqua" w:hAnsi="Book Antiqua"/>
          <w:sz w:val="24"/>
          <w:szCs w:val="24"/>
          <w:lang w:eastAsia="zh-CN"/>
        </w:rPr>
        <w:t xml:space="preserve"> </w:t>
      </w:r>
      <w:r w:rsidRPr="007E33F3">
        <w:rPr>
          <w:rFonts w:ascii="Book Antiqua" w:hAnsi="Book Antiqua"/>
          <w:sz w:val="24"/>
          <w:szCs w:val="24"/>
        </w:rPr>
        <w:t>A small bowel loop in an incarcerated hernia is similar to a functional blind loop in that patients often do not present with features of mechanical bowel obstruction and the classic features of intestinal obstruction are not usually present. Decreased motility of the incarcerated segment however provides the home for bacterial overgrowth due to the loss of normal mechanical clearing action usually present in the bowel. Initially an overgrowth of intestinal type bacteria occurs but with longstanding functional obstruction colonic bacteria also may translocate to the site of the obstructed bowel</w:t>
      </w:r>
      <w:r w:rsidRPr="007E33F3">
        <w:rPr>
          <w:rFonts w:ascii="Book Antiqua" w:hAnsi="Book Antiqua"/>
          <w:sz w:val="24"/>
          <w:szCs w:val="24"/>
        </w:rPr>
        <w:fldChar w:fldCharType="begin"/>
      </w:r>
      <w:r w:rsidRPr="007E33F3">
        <w:rPr>
          <w:rFonts w:ascii="Book Antiqua" w:hAnsi="Book Antiqua"/>
          <w:sz w:val="24"/>
          <w:szCs w:val="24"/>
        </w:rPr>
        <w:instrText xml:space="preserve"> ADDIN EN.CITE &lt;EndNote&gt;&lt;Cite&gt;&lt;Author&gt;Bures&lt;/Author&gt;&lt;Year&gt;2010&lt;/Year&gt;&lt;RecNum&gt;707&lt;/RecNum&gt;&lt;record&gt;&lt;rec-number&gt;707&lt;/rec-number&gt;&lt;foreign-keys&gt;&lt;key app="EN" db-id="ax9xptpsx0f0pre5xxpvt2dg00afwta9fd0t"&gt;707&lt;/key&gt;&lt;/foreign-keys&gt;&lt;ref-type name="Journal Article"&gt;17&lt;/ref-type&gt;&lt;contributors&gt;&lt;authors&gt;&lt;author&gt;Bures, J.&lt;/author&gt;&lt;author&gt;Cyrany, J.&lt;/author&gt;&lt;author&gt;Kohoutova, D.&lt;/author&gt;&lt;author&gt;Forstl, M.&lt;/author&gt;&lt;author&gt;Rejchrt, S.&lt;/author&gt;&lt;author&gt;Kvetina, J.&lt;/author&gt;&lt;author&gt;Vorisek, V.&lt;/author&gt;&lt;author&gt;Kopacova, M.&lt;/author&gt;&lt;/authors&gt;&lt;/contributors&gt;&lt;auth-address&gt;2nd Department of Medicine, Charles University in Praha, Faculty of Medicine at Hradec Kralove, University Teaching Hospital, Sokolska 581, 500 05 Hradec Kralove, Czech Republic. bures@lfhk.cuni.cz&lt;/auth-address&gt;&lt;titles&gt;&lt;title&gt;Small intestinal bacterial overgrowth syndrome&lt;/title&gt;&lt;secondary-title&gt;World J Gastroenterol&lt;/secondary-title&gt;&lt;/titles&gt;&lt;periodical&gt;&lt;full-title&gt;World J Gastroenterol&lt;/full-title&gt;&lt;/periodical&gt;&lt;pages&gt;2978-90&lt;/pages&gt;&lt;volume&gt;16&lt;/volume&gt;&lt;number&gt;24&lt;/number&gt;&lt;edition&gt;2010/06/24&lt;/edition&gt;&lt;keywords&gt;&lt;keyword&gt;Blind Loop Syndrome/epidemiology/*etiology/*physiopathology/therapy&lt;/keyword&gt;&lt;keyword&gt;Breath Tests&lt;/keyword&gt;&lt;keyword&gt;Diagnosis, Differential&lt;/keyword&gt;&lt;keyword&gt;Humans&lt;/keyword&gt;&lt;keyword&gt;Intestine, Small/*microbiology/pathology&lt;/keyword&gt;&lt;keyword&gt;Prognosis&lt;/keyword&gt;&lt;/keywords&gt;&lt;dates&gt;&lt;year&gt;2010&lt;/year&gt;&lt;pub-dates&gt;&lt;date&gt;Jun 28&lt;/date&gt;&lt;/pub-dates&gt;&lt;/dates&gt;&lt;isbn&gt;1007-9327 (Print)&amp;#xD;1007-9327 (Linking)&lt;/isbn&gt;&lt;accession-num&gt;20572300&lt;/accession-num&gt;&lt;urls&gt;&lt;related-urls&gt;&lt;url&gt;http://www.ncbi.nlm.nih.gov/entrez/query.fcgi?cmd=Retrieve&amp;amp;db=PubMed&amp;amp;dopt=Citation&amp;amp;list_uids=20572300&lt;/url&gt;&lt;/related-urls&gt;&lt;/urls&gt;&lt;custom2&gt;2890937&lt;/custom2&gt;&lt;language&gt;eng&lt;/language&gt;&lt;/record&gt;&lt;/Cite&gt;&lt;/EndNote&gt;</w:instrText>
      </w:r>
      <w:r w:rsidRPr="007E33F3">
        <w:rPr>
          <w:rFonts w:ascii="Book Antiqua" w:hAnsi="Book Antiqua"/>
          <w:sz w:val="24"/>
          <w:szCs w:val="24"/>
        </w:rPr>
        <w:fldChar w:fldCharType="separate"/>
      </w:r>
      <w:r w:rsidRPr="007E33F3">
        <w:rPr>
          <w:rFonts w:ascii="Book Antiqua" w:hAnsi="Book Antiqua"/>
          <w:noProof/>
          <w:sz w:val="24"/>
          <w:szCs w:val="24"/>
          <w:vertAlign w:val="superscript"/>
        </w:rPr>
        <w:t>[7]</w:t>
      </w:r>
      <w:r w:rsidRPr="007E33F3">
        <w:rPr>
          <w:rFonts w:ascii="Book Antiqua" w:hAnsi="Book Antiqua"/>
          <w:sz w:val="24"/>
          <w:szCs w:val="24"/>
        </w:rPr>
        <w:fldChar w:fldCharType="end"/>
      </w:r>
      <w:r w:rsidRPr="007E33F3">
        <w:rPr>
          <w:rFonts w:ascii="Book Antiqua" w:hAnsi="Book Antiqua"/>
          <w:sz w:val="24"/>
          <w:szCs w:val="24"/>
        </w:rPr>
        <w:t>. The exact mechanism of protein loss in SIBO is by way of a combination of mechanisms including impaired digestion and absorption of proteins and increased secretion of protein rich fluid into the intestinal loop as a result of chronic ongoing mucosal inflammation</w:t>
      </w:r>
      <w:r w:rsidRPr="007E33F3">
        <w:rPr>
          <w:rFonts w:ascii="Book Antiqua" w:hAnsi="Book Antiqua"/>
          <w:sz w:val="24"/>
          <w:szCs w:val="24"/>
          <w:vertAlign w:val="superscript"/>
        </w:rPr>
        <w:fldChar w:fldCharType="begin"/>
      </w:r>
      <w:r w:rsidRPr="007E33F3">
        <w:rPr>
          <w:rFonts w:ascii="Book Antiqua" w:hAnsi="Book Antiqua"/>
          <w:sz w:val="24"/>
          <w:szCs w:val="24"/>
          <w:vertAlign w:val="superscript"/>
        </w:rPr>
        <w:instrText xml:space="preserve"> ADDIN EN.CITE &lt;EndNote&gt;&lt;Cite&gt;&lt;Author&gt;King&lt;/Author&gt;&lt;Year&gt;1981&lt;/Year&gt;&lt;RecNum&gt;702&lt;/RecNum&gt;&lt;record&gt;&lt;rec-number&gt;702&lt;/rec-number&gt;&lt;foreign-keys&gt;&lt;key app="EN" db-id="ax9xptpsx0f0pre5xxpvt2dg00afwta9fd0t"&gt;702&lt;/key&gt;&lt;/foreign-keys&gt;&lt;ref-type name="Journal Article"&gt;17&lt;/ref-type&gt;&lt;contributors&gt;&lt;authors&gt;&lt;author&gt;King, C. E.&lt;/author&gt;&lt;author&gt;Toskes, P. P.&lt;/author&gt;&lt;/authors&gt;&lt;/contributors&gt;&lt;titles&gt;&lt;title&gt;Protein-losing enteropathy in the human and experimental rat blind-loop syndrome&lt;/title&gt;&lt;secondary-title&gt;Gastroenterology&lt;/secondary-title&gt;&lt;/titles&gt;&lt;periodical&gt;&lt;full-title&gt;Gastroenterology&lt;/full-title&gt;&lt;/periodical&gt;&lt;pages&gt;504-9&lt;/pages&gt;&lt;volume&gt;80&lt;/volume&gt;&lt;number&gt;3&lt;/number&gt;&lt;edition&gt;1981/03/01&lt;/edition&gt;&lt;keywords&gt;&lt;keyword&gt;Animals&lt;/keyword&gt;&lt;keyword&gt;Anti-Bacterial Agents/therapeutic use&lt;/keyword&gt;&lt;keyword&gt;Blind Loop Syndrome/*complications/therapy&lt;/keyword&gt;&lt;keyword&gt;Humans&lt;/keyword&gt;&lt;keyword&gt;Jejunum/surgery&lt;/keyword&gt;&lt;keyword&gt;Male&lt;/keyword&gt;&lt;keyword&gt;Protein-Losing Enteropathies/*etiology/therapy&lt;/keyword&gt;&lt;keyword&gt;Rats&lt;/keyword&gt;&lt;/keywords&gt;&lt;dates&gt;&lt;year&gt;1981&lt;/year&gt;&lt;pub-dates&gt;&lt;date&gt;Mar&lt;/date&gt;&lt;/pub-dates&gt;&lt;/dates&gt;&lt;isbn&gt;0016-5085 (Print)&amp;#xD;0016-5085 (Linking)&lt;/isbn&gt;&lt;accession-num&gt;7450442&lt;/accession-num&gt;&lt;urls&gt;&lt;related-urls&gt;&lt;url&gt;http://www.ncbi.nlm.nih.gov/entrez/query.fcgi?cmd=Retrieve&amp;amp;db=PubMed&amp;amp;dopt=Citation&amp;amp;list_uids=7450442&lt;/url&gt;&lt;/related-urls&gt;&lt;/urls&gt;&lt;electronic-resource-num&gt;S0016508581000644 [pii]&lt;/electronic-resource-num&gt;&lt;language&gt;eng&lt;/language&gt;&lt;/record&gt;&lt;/Cite&gt;&lt;/EndNote&gt;</w:instrText>
      </w:r>
      <w:r w:rsidRPr="007E33F3">
        <w:rPr>
          <w:rFonts w:ascii="Book Antiqua" w:hAnsi="Book Antiqua"/>
          <w:sz w:val="24"/>
          <w:szCs w:val="24"/>
          <w:vertAlign w:val="superscript"/>
        </w:rPr>
        <w:fldChar w:fldCharType="separate"/>
      </w:r>
      <w:r w:rsidRPr="007E33F3">
        <w:rPr>
          <w:rFonts w:ascii="Book Antiqua" w:hAnsi="Book Antiqua"/>
          <w:noProof/>
          <w:sz w:val="24"/>
          <w:szCs w:val="24"/>
          <w:vertAlign w:val="superscript"/>
        </w:rPr>
        <w:t>[8]</w:t>
      </w:r>
      <w:r w:rsidRPr="007E33F3">
        <w:rPr>
          <w:rFonts w:ascii="Book Antiqua" w:hAnsi="Book Antiqua"/>
          <w:sz w:val="24"/>
          <w:szCs w:val="24"/>
          <w:vertAlign w:val="superscript"/>
        </w:rPr>
        <w:fldChar w:fldCharType="end"/>
      </w:r>
      <w:r w:rsidRPr="007E33F3">
        <w:rPr>
          <w:rFonts w:ascii="Book Antiqua" w:hAnsi="Book Antiqua"/>
          <w:sz w:val="24"/>
          <w:szCs w:val="24"/>
        </w:rPr>
        <w:t>. It has been proposed that the immune system plays a role in the regulation of intestinal flora</w:t>
      </w:r>
      <w:r w:rsidRPr="007E33F3">
        <w:rPr>
          <w:rFonts w:ascii="Book Antiqua" w:hAnsi="Book Antiqua"/>
          <w:sz w:val="24"/>
          <w:szCs w:val="24"/>
          <w:vertAlign w:val="superscript"/>
        </w:rPr>
        <w:t>[</w:t>
      </w:r>
      <w:r w:rsidRPr="007E33F3">
        <w:rPr>
          <w:rFonts w:ascii="Book Antiqua" w:hAnsi="Book Antiqua"/>
          <w:sz w:val="24"/>
          <w:szCs w:val="24"/>
          <w:vertAlign w:val="superscript"/>
        </w:rPr>
        <w:fldChar w:fldCharType="begin">
          <w:fldData xml:space="preserve">PEVuZE5vdGU+PENpdGU+PEF1dGhvcj5LZXR0PC9BdXRob3I+PFllYXI+MTk5NTwvWWVhcj48UmVj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</w:fldData>
        </w:fldChar>
      </w:r>
      <w:r w:rsidRPr="007E33F3">
        <w:rPr>
          <w:rFonts w:ascii="Book Antiqua" w:hAnsi="Book Antiqua"/>
          <w:sz w:val="24"/>
          <w:szCs w:val="24"/>
          <w:vertAlign w:val="superscript"/>
        </w:rPr>
        <w:instrText xml:space="preserve"> ADDIN EN.CITE </w:instrText>
      </w:r>
      <w:r w:rsidRPr="007E33F3">
        <w:rPr>
          <w:rFonts w:ascii="Book Antiqua" w:hAnsi="Book Antiqua"/>
          <w:sz w:val="24"/>
          <w:szCs w:val="24"/>
          <w:vertAlign w:val="superscript"/>
        </w:rPr>
        <w:fldChar w:fldCharType="begin">
          <w:fldData xml:space="preserve">PEVuZE5vdGU+PENpdGU+PEF1dGhvcj5LZXR0PC9BdXRob3I+PFllYXI+MTk5NTwvWWVhcj48UmVj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</w:fldData>
        </w:fldChar>
      </w:r>
      <w:r w:rsidRPr="007E33F3">
        <w:rPr>
          <w:rFonts w:ascii="Book Antiqua" w:hAnsi="Book Antiqua"/>
          <w:sz w:val="24"/>
          <w:szCs w:val="24"/>
          <w:vertAlign w:val="superscript"/>
        </w:rPr>
        <w:instrText xml:space="preserve"> ADDIN EN.CITE.DATA </w:instrText>
      </w:r>
      <w:r w:rsidRPr="007E33F3">
        <w:rPr>
          <w:rFonts w:ascii="Book Antiqua" w:hAnsi="Book Antiqua"/>
          <w:sz w:val="24"/>
          <w:szCs w:val="24"/>
          <w:vertAlign w:val="superscript"/>
        </w:rPr>
      </w:r>
      <w:r w:rsidRPr="007E33F3">
        <w:rPr>
          <w:rFonts w:ascii="Book Antiqua" w:hAnsi="Book Antiqua"/>
          <w:sz w:val="24"/>
          <w:szCs w:val="24"/>
          <w:vertAlign w:val="superscript"/>
        </w:rPr>
        <w:fldChar w:fldCharType="end"/>
      </w:r>
      <w:r w:rsidRPr="007E33F3">
        <w:rPr>
          <w:rFonts w:ascii="Book Antiqua" w:hAnsi="Book Antiqua"/>
          <w:sz w:val="24"/>
          <w:szCs w:val="24"/>
          <w:vertAlign w:val="superscript"/>
        </w:rPr>
      </w:r>
      <w:r w:rsidRPr="007E33F3">
        <w:rPr>
          <w:rFonts w:ascii="Book Antiqua" w:hAnsi="Book Antiqua"/>
          <w:sz w:val="24"/>
          <w:szCs w:val="24"/>
          <w:vertAlign w:val="superscript"/>
        </w:rPr>
        <w:fldChar w:fldCharType="separate"/>
      </w:r>
      <w:r w:rsidRPr="007E33F3">
        <w:rPr>
          <w:rFonts w:ascii="Book Antiqua" w:hAnsi="Book Antiqua"/>
          <w:noProof/>
          <w:sz w:val="24"/>
          <w:szCs w:val="24"/>
          <w:vertAlign w:val="superscript"/>
        </w:rPr>
        <w:t>9]</w:t>
      </w:r>
      <w:r w:rsidRPr="007E33F3">
        <w:rPr>
          <w:rFonts w:ascii="Book Antiqua" w:hAnsi="Book Antiqua"/>
          <w:sz w:val="24"/>
          <w:szCs w:val="24"/>
          <w:vertAlign w:val="superscript"/>
        </w:rPr>
        <w:fldChar w:fldCharType="end"/>
      </w:r>
      <w:r w:rsidRPr="007E33F3">
        <w:rPr>
          <w:rFonts w:ascii="Book Antiqua" w:hAnsi="Book Antiqua"/>
          <w:sz w:val="24"/>
          <w:szCs w:val="24"/>
        </w:rPr>
        <w:t xml:space="preserve">, and the induced immunosuppressed state in this patient may have been contributory however there is no documented evidence to prove this theory in circumstances such as these. </w:t>
      </w:r>
    </w:p>
    <w:p w:rsidR="00B50922" w:rsidRDefault="00B50922">
      <w:pPr>
        <w:snapToGrid w:val="0"/>
        <w:spacing w:after="0" w:line="360" w:lineRule="auto"/>
        <w:ind w:firstLineChars="100" w:firstLine="240"/>
        <w:jc w:val="both"/>
        <w:rPr>
          <w:rFonts w:ascii="Book Antiqua" w:hAnsi="Book Antiqua"/>
          <w:sz w:val="24"/>
          <w:szCs w:val="24"/>
        </w:rPr>
      </w:pPr>
      <w:r w:rsidRPr="007E33F3">
        <w:rPr>
          <w:rFonts w:ascii="Book Antiqua" w:hAnsi="Book Antiqua"/>
          <w:sz w:val="24"/>
          <w:szCs w:val="24"/>
        </w:rPr>
        <w:t>In summary, this is an extremely rare presentation of protein-losing enteropathy as a result of an incisional hernia following liver transplantation. Incisional hernia is a  common surgical complication following liver transplantation, the incidence of which increases further with re-transplantation</w:t>
      </w:r>
      <w:r w:rsidRPr="007E33F3">
        <w:rPr>
          <w:rFonts w:ascii="Book Antiqua" w:hAnsi="Book Antiqua"/>
          <w:sz w:val="24"/>
          <w:szCs w:val="24"/>
          <w:vertAlign w:val="superscript"/>
        </w:rPr>
        <w:fldChar w:fldCharType="begin"/>
      </w:r>
      <w:r w:rsidRPr="007E33F3">
        <w:rPr>
          <w:rFonts w:ascii="Book Antiqua" w:hAnsi="Book Antiqua"/>
          <w:sz w:val="24"/>
          <w:szCs w:val="24"/>
          <w:vertAlign w:val="superscript"/>
        </w:rPr>
        <w:instrText xml:space="preserve"> ADDIN EN.CITE &lt;EndNote&gt;&lt;Cite&gt;&lt;Author&gt;Vardanian&lt;/Author&gt;&lt;Year&gt;2006&lt;/Year&gt;&lt;RecNum&gt;704&lt;/RecNum&gt;&lt;record&gt;&lt;rec-number&gt;704&lt;/rec-number&gt;&lt;foreign-keys&gt;&lt;key app="EN" db-id="ax9xptpsx0f0pre5xxpvt2dg00afwta9fd0t"&gt;704&lt;/key&gt;&lt;/foreign-keys&gt;&lt;ref-type name="Journal Article"&gt;17&lt;/ref-type&gt;&lt;contributors&gt;&lt;authors&gt;&lt;author&gt;Vardanian, A. J.&lt;/author&gt;&lt;author&gt;Farmer, D. G.&lt;/author&gt;&lt;author&gt;Ghobrial, R. M.&lt;/author&gt;&lt;author&gt;Busuttil, R. W.&lt;/author&gt;&lt;author&gt;Hiatt, J. R.&lt;/author&gt;&lt;/authors&gt;&lt;/contributors&gt;&lt;auth-address&gt;Division of Liver and Pancreas Transplantation, Department of Surgery, Dumont-UCLA Transplant Center, David Geffen School of Medicine at UCLA, 650 C.E. Young Drive South, Los Angeles, CA 90095, USA.&lt;/auth-address&gt;&lt;titles&gt;&lt;title&gt;Incisional hernia after liver transplantation&lt;/title&gt;&lt;secondary-title&gt;J Am Coll Surg&lt;/secondary-title&gt;&lt;/titles&gt;&lt;periodical&gt;&lt;full-title&gt;J Am Coll Surg&lt;/full-title&gt;&lt;/periodical&gt;&lt;pages&gt;421-5&lt;/pages&gt;&lt;volume&gt;203&lt;/volume&gt;&lt;number&gt;4&lt;/number&gt;&lt;edition&gt;2006/09/27&lt;/edition&gt;&lt;keywords&gt;&lt;keyword&gt;Adult&lt;/keyword&gt;&lt;keyword&gt;Aged&lt;/keyword&gt;&lt;keyword&gt;Cohort Studies&lt;/keyword&gt;&lt;keyword&gt;Female&lt;/keyword&gt;&lt;keyword&gt;Hernia, Abdominal/diagnosis/*etiology/*surgery&lt;/keyword&gt;&lt;keyword&gt;Humans&lt;/keyword&gt;&lt;keyword&gt;Liver Transplantation/*adverse effects&lt;/keyword&gt;&lt;keyword&gt;Male&lt;/keyword&gt;&lt;keyword&gt;Middle Aged&lt;/keyword&gt;&lt;keyword&gt;Retrospective Studies&lt;/keyword&gt;&lt;keyword&gt;Risk Factors&lt;/keyword&gt;&lt;keyword&gt;Suction&lt;/keyword&gt;&lt;keyword&gt;*Surgical Flaps&lt;/keyword&gt;&lt;keyword&gt;*Suture Techniques&lt;/keyword&gt;&lt;keyword&gt;Sutures&lt;/keyword&gt;&lt;keyword&gt;Treatment Outcome&lt;/keyword&gt;&lt;/keywords&gt;&lt;dates&gt;&lt;year&gt;2006&lt;/year&gt;&lt;pub-dates&gt;&lt;date&gt;Oct&lt;/date&gt;&lt;/pub-dates&gt;&lt;/dates&gt;&lt;isbn&gt;1072-7515 (Print)&amp;#xD;1072-7515 (Linking)&lt;/isbn&gt;&lt;accession-num&gt;17000384&lt;/accession-num&gt;&lt;urls&gt;&lt;related-urls&gt;&lt;url&gt;http://www.ncbi.nlm.nih.gov/entrez/query.fcgi?cmd=Retrieve&amp;amp;db=PubMed&amp;amp;dopt=Citation&amp;amp;list_uids=17000384&lt;/url&gt;&lt;/related-urls&gt;&lt;/urls&gt;&lt;electronic-resource-num&gt;S1072-7515(06)00941-0 [pii]&amp;#xD;10.1016/j.jamcollsurg.2006.06.017&lt;/electronic-resource-num&gt;&lt;language&gt;eng&lt;/language&gt;&lt;/record&gt;&lt;/Cite&gt;&lt;/EndNote&gt;</w:instrText>
      </w:r>
      <w:r w:rsidRPr="007E33F3">
        <w:rPr>
          <w:rFonts w:ascii="Book Antiqua" w:hAnsi="Book Antiqua"/>
          <w:sz w:val="24"/>
          <w:szCs w:val="24"/>
          <w:vertAlign w:val="superscript"/>
        </w:rPr>
        <w:fldChar w:fldCharType="separate"/>
      </w:r>
      <w:r w:rsidRPr="007E33F3">
        <w:rPr>
          <w:rFonts w:ascii="Book Antiqua" w:hAnsi="Book Antiqua"/>
          <w:noProof/>
          <w:sz w:val="24"/>
          <w:szCs w:val="24"/>
          <w:vertAlign w:val="superscript"/>
        </w:rPr>
        <w:t>[10]</w:t>
      </w:r>
      <w:r w:rsidRPr="007E33F3">
        <w:rPr>
          <w:rFonts w:ascii="Book Antiqua" w:hAnsi="Book Antiqua"/>
          <w:sz w:val="24"/>
          <w:szCs w:val="24"/>
          <w:vertAlign w:val="superscript"/>
        </w:rPr>
        <w:fldChar w:fldCharType="end"/>
      </w:r>
      <w:r w:rsidRPr="007E33F3">
        <w:rPr>
          <w:rFonts w:ascii="Book Antiqua" w:hAnsi="Book Antiqua"/>
          <w:sz w:val="24"/>
          <w:szCs w:val="24"/>
        </w:rPr>
        <w:t>. Impaired wound healing and loss of muscle mass in the immunosuppressed patient transplanted for end stage liver disease account for this higher incidence of incisional herniae, and the majority of these are managed conservatively if they remain asymptomatic or further surgery is contraindicated</w:t>
      </w:r>
      <w:r w:rsidRPr="007E33F3">
        <w:rPr>
          <w:rFonts w:ascii="Book Antiqua" w:hAnsi="Book Antiqua"/>
          <w:sz w:val="24"/>
          <w:szCs w:val="24"/>
          <w:vertAlign w:val="superscript"/>
        </w:rPr>
        <w:t>[</w:t>
      </w:r>
      <w:r w:rsidRPr="007E33F3">
        <w:rPr>
          <w:rFonts w:ascii="Book Antiqua" w:hAnsi="Book Antiqua"/>
          <w:sz w:val="24"/>
          <w:szCs w:val="24"/>
          <w:vertAlign w:val="superscript"/>
        </w:rPr>
        <w:fldChar w:fldCharType="begin">
          <w:fldData xml:space="preserve">PEVuZE5vdGU+PENpdGU+PEF1dGhvcj5LYWhuPC9BdXRob3I+PFllYXI+MjAwNzwvWWVhcj48UmVj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</w:fldData>
        </w:fldChar>
      </w:r>
      <w:r w:rsidRPr="007E33F3">
        <w:rPr>
          <w:rFonts w:ascii="Book Antiqua" w:hAnsi="Book Antiqua"/>
          <w:sz w:val="24"/>
          <w:szCs w:val="24"/>
          <w:vertAlign w:val="superscript"/>
        </w:rPr>
        <w:instrText xml:space="preserve"> ADDIN EN.CITE </w:instrText>
      </w:r>
      <w:r w:rsidRPr="007E33F3">
        <w:rPr>
          <w:rFonts w:ascii="Book Antiqua" w:hAnsi="Book Antiqua"/>
          <w:sz w:val="24"/>
          <w:szCs w:val="24"/>
          <w:vertAlign w:val="superscript"/>
        </w:rPr>
        <w:fldChar w:fldCharType="begin">
          <w:fldData xml:space="preserve">PEVuZE5vdGU+PENpdGU+PEF1dGhvcj5LYWhuPC9BdXRob3I+PFllYXI+MjAwNzwvWWVhcj48UmVj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</w:fldData>
        </w:fldChar>
      </w:r>
      <w:r w:rsidRPr="007E33F3">
        <w:rPr>
          <w:rFonts w:ascii="Book Antiqua" w:hAnsi="Book Antiqua"/>
          <w:sz w:val="24"/>
          <w:szCs w:val="24"/>
          <w:vertAlign w:val="superscript"/>
        </w:rPr>
        <w:instrText xml:space="preserve"> ADDIN EN.CITE.DATA </w:instrText>
      </w:r>
      <w:r w:rsidRPr="007E33F3">
        <w:rPr>
          <w:rFonts w:ascii="Book Antiqua" w:hAnsi="Book Antiqua"/>
          <w:sz w:val="24"/>
          <w:szCs w:val="24"/>
          <w:vertAlign w:val="superscript"/>
        </w:rPr>
      </w:r>
      <w:r w:rsidRPr="007E33F3">
        <w:rPr>
          <w:rFonts w:ascii="Book Antiqua" w:hAnsi="Book Antiqua"/>
          <w:sz w:val="24"/>
          <w:szCs w:val="24"/>
          <w:vertAlign w:val="superscript"/>
        </w:rPr>
        <w:fldChar w:fldCharType="end"/>
      </w:r>
      <w:r w:rsidRPr="007E33F3">
        <w:rPr>
          <w:rFonts w:ascii="Book Antiqua" w:hAnsi="Book Antiqua"/>
          <w:sz w:val="24"/>
          <w:szCs w:val="24"/>
          <w:vertAlign w:val="superscript"/>
        </w:rPr>
      </w:r>
      <w:r w:rsidRPr="007E33F3">
        <w:rPr>
          <w:rFonts w:ascii="Book Antiqua" w:hAnsi="Book Antiqua"/>
          <w:sz w:val="24"/>
          <w:szCs w:val="24"/>
          <w:vertAlign w:val="superscript"/>
        </w:rPr>
        <w:fldChar w:fldCharType="separate"/>
      </w:r>
      <w:r w:rsidRPr="007E33F3">
        <w:rPr>
          <w:rFonts w:ascii="Book Antiqua" w:hAnsi="Book Antiqua"/>
          <w:noProof/>
          <w:sz w:val="24"/>
          <w:szCs w:val="24"/>
          <w:vertAlign w:val="superscript"/>
        </w:rPr>
        <w:t>11,12]</w:t>
      </w:r>
      <w:r w:rsidRPr="007E33F3">
        <w:rPr>
          <w:rFonts w:ascii="Book Antiqua" w:hAnsi="Book Antiqua"/>
          <w:sz w:val="24"/>
          <w:szCs w:val="24"/>
          <w:vertAlign w:val="superscript"/>
        </w:rPr>
        <w:fldChar w:fldCharType="end"/>
      </w:r>
      <w:r w:rsidRPr="007E33F3">
        <w:rPr>
          <w:rFonts w:ascii="Book Antiqua" w:hAnsi="Book Antiqua"/>
          <w:sz w:val="24"/>
          <w:szCs w:val="24"/>
        </w:rPr>
        <w:t xml:space="preserve">. Bacterial overgrowth in an incarcerated segment of bowel leading to blind loop syndrome and hypoalbuminaemia may mimic some features of late liver graft failure and should be considered in such situations. </w:t>
      </w:r>
    </w:p>
    <w:p w:rsidR="00B50922" w:rsidRDefault="00B50922">
      <w:pPr>
        <w:snapToGrid w:val="0"/>
        <w:spacing w:after="0" w:line="360" w:lineRule="auto"/>
        <w:jc w:val="both"/>
        <w:rPr>
          <w:rFonts w:ascii="Book Antiqua" w:hAnsi="Book Antiqua"/>
          <w:b/>
          <w:sz w:val="24"/>
          <w:szCs w:val="24"/>
        </w:rPr>
      </w:pPr>
    </w:p>
    <w:p w:rsidR="00B50922" w:rsidRDefault="00B50922">
      <w:pPr>
        <w:snapToGrid w:val="0"/>
        <w:spacing w:after="0" w:line="360" w:lineRule="auto"/>
        <w:jc w:val="both"/>
        <w:rPr>
          <w:rFonts w:ascii="Book Antiqua" w:hAnsi="Book Antiqua"/>
          <w:b/>
          <w:sz w:val="24"/>
          <w:szCs w:val="24"/>
          <w:lang w:eastAsia="zh-CN"/>
        </w:rPr>
      </w:pPr>
      <w:r w:rsidRPr="007E33F3">
        <w:rPr>
          <w:rFonts w:ascii="Book Antiqua" w:hAnsi="Book Antiqua"/>
          <w:b/>
          <w:sz w:val="24"/>
          <w:szCs w:val="24"/>
        </w:rPr>
        <w:t>REFERENCES</w:t>
      </w:r>
      <w:bookmarkStart w:id="137" w:name="OLE_LINK1655"/>
      <w:bookmarkStart w:id="138" w:name="OLE_LINK1656"/>
    </w:p>
    <w:p w:rsidR="00B50922" w:rsidRPr="008179CE" w:rsidRDefault="00B50922" w:rsidP="008179CE">
      <w:pPr>
        <w:spacing w:after="0" w:line="240" w:lineRule="auto"/>
        <w:rPr>
          <w:rFonts w:ascii="Book Antiqua" w:hAnsi="Book Antiqua" w:cs="宋体"/>
          <w:sz w:val="24"/>
          <w:szCs w:val="24"/>
          <w:lang w:val="en-US" w:eastAsia="zh-CN"/>
        </w:rPr>
      </w:pPr>
      <w:r w:rsidRPr="007E33F3">
        <w:rPr>
          <w:rFonts w:ascii="Book Antiqua" w:hAnsi="Book Antiqua" w:cs="宋体"/>
          <w:sz w:val="24"/>
          <w:szCs w:val="24"/>
          <w:lang w:val="en-US" w:eastAsia="zh-CN"/>
        </w:rPr>
        <w:t xml:space="preserve">1 </w:t>
      </w:r>
      <w:r w:rsidRPr="007E33F3">
        <w:rPr>
          <w:rFonts w:ascii="Book Antiqua" w:hAnsi="Book Antiqua" w:cs="宋体"/>
          <w:b/>
          <w:bCs/>
          <w:sz w:val="24"/>
          <w:szCs w:val="24"/>
          <w:lang w:val="en-US" w:eastAsia="zh-CN"/>
        </w:rPr>
        <w:t>Umar SB</w:t>
      </w:r>
      <w:r w:rsidRPr="007E33F3">
        <w:rPr>
          <w:rFonts w:ascii="Book Antiqua" w:hAnsi="Book Antiqua" w:cs="宋体"/>
          <w:sz w:val="24"/>
          <w:szCs w:val="24"/>
          <w:lang w:val="en-US" w:eastAsia="zh-CN"/>
        </w:rPr>
        <w:t xml:space="preserve">, DiBaise JK. Protein-losing enteropathy: case illustrations and clinical review. </w:t>
      </w:r>
      <w:r w:rsidRPr="007E33F3">
        <w:rPr>
          <w:rFonts w:ascii="Book Antiqua" w:hAnsi="Book Antiqua" w:cs="宋体"/>
          <w:i/>
          <w:iCs/>
          <w:sz w:val="24"/>
          <w:szCs w:val="24"/>
          <w:lang w:val="en-US" w:eastAsia="zh-CN"/>
        </w:rPr>
        <w:t>Am J Gastroenterol</w:t>
      </w:r>
      <w:r w:rsidRPr="007E33F3">
        <w:rPr>
          <w:rFonts w:ascii="Book Antiqua" w:hAnsi="Book Antiqua" w:cs="宋体"/>
          <w:sz w:val="24"/>
          <w:szCs w:val="24"/>
          <w:lang w:val="en-US" w:eastAsia="zh-CN"/>
        </w:rPr>
        <w:t xml:space="preserve"> 2010; </w:t>
      </w:r>
      <w:r w:rsidRPr="007E33F3">
        <w:rPr>
          <w:rFonts w:ascii="Book Antiqua" w:hAnsi="Book Antiqua" w:cs="宋体"/>
          <w:b/>
          <w:bCs/>
          <w:sz w:val="24"/>
          <w:szCs w:val="24"/>
          <w:lang w:val="en-US" w:eastAsia="zh-CN"/>
        </w:rPr>
        <w:t>105</w:t>
      </w:r>
      <w:r w:rsidRPr="007E33F3">
        <w:rPr>
          <w:rFonts w:ascii="Book Antiqua" w:hAnsi="Book Antiqua" w:cs="宋体"/>
          <w:sz w:val="24"/>
          <w:szCs w:val="24"/>
          <w:lang w:val="en-US" w:eastAsia="zh-CN"/>
        </w:rPr>
        <w:t>: 43-9; quiz 50 [PMID: 19789526 DOI: 10.1038/ajg.2009.561]</w:t>
      </w:r>
    </w:p>
    <w:p w:rsidR="00B50922" w:rsidRPr="008179CE" w:rsidRDefault="00B50922" w:rsidP="008179CE">
      <w:pPr>
        <w:spacing w:after="0" w:line="240" w:lineRule="auto"/>
        <w:rPr>
          <w:rFonts w:ascii="Book Antiqua" w:hAnsi="Book Antiqua" w:cs="宋体"/>
          <w:sz w:val="24"/>
          <w:szCs w:val="24"/>
          <w:lang w:val="en-US" w:eastAsia="zh-CN"/>
        </w:rPr>
      </w:pPr>
      <w:r w:rsidRPr="007E33F3">
        <w:rPr>
          <w:rFonts w:ascii="Book Antiqua" w:hAnsi="Book Antiqua" w:cs="宋体"/>
          <w:sz w:val="24"/>
          <w:szCs w:val="24"/>
          <w:lang w:val="en-US" w:eastAsia="zh-CN"/>
        </w:rPr>
        <w:lastRenderedPageBreak/>
        <w:t xml:space="preserve">2 </w:t>
      </w:r>
      <w:r w:rsidRPr="007E33F3">
        <w:rPr>
          <w:rFonts w:ascii="Book Antiqua" w:hAnsi="Book Antiqua" w:cs="宋体"/>
          <w:b/>
          <w:bCs/>
          <w:sz w:val="24"/>
          <w:szCs w:val="24"/>
          <w:lang w:val="en-US" w:eastAsia="zh-CN"/>
        </w:rPr>
        <w:t>Stewart BA</w:t>
      </w:r>
      <w:r w:rsidRPr="007E33F3">
        <w:rPr>
          <w:rFonts w:ascii="Book Antiqua" w:hAnsi="Book Antiqua" w:cs="宋体"/>
          <w:sz w:val="24"/>
          <w:szCs w:val="24"/>
          <w:lang w:val="en-US" w:eastAsia="zh-CN"/>
        </w:rPr>
        <w:t xml:space="preserve">, Karrer FM, Hall RJ, Lilly JR. The blind loop syndrome in children. </w:t>
      </w:r>
      <w:r w:rsidRPr="007E33F3">
        <w:rPr>
          <w:rFonts w:ascii="Book Antiqua" w:hAnsi="Book Antiqua" w:cs="宋体"/>
          <w:i/>
          <w:iCs/>
          <w:sz w:val="24"/>
          <w:szCs w:val="24"/>
          <w:lang w:val="en-US" w:eastAsia="zh-CN"/>
        </w:rPr>
        <w:t>J Pediatr Surg</w:t>
      </w:r>
      <w:r w:rsidRPr="007E33F3">
        <w:rPr>
          <w:rFonts w:ascii="Book Antiqua" w:hAnsi="Book Antiqua" w:cs="宋体"/>
          <w:sz w:val="24"/>
          <w:szCs w:val="24"/>
          <w:lang w:val="en-US" w:eastAsia="zh-CN"/>
        </w:rPr>
        <w:t xml:space="preserve"> 1990; </w:t>
      </w:r>
      <w:r w:rsidRPr="007E33F3">
        <w:rPr>
          <w:rFonts w:ascii="Book Antiqua" w:hAnsi="Book Antiqua" w:cs="宋体"/>
          <w:b/>
          <w:bCs/>
          <w:sz w:val="24"/>
          <w:szCs w:val="24"/>
          <w:lang w:val="en-US" w:eastAsia="zh-CN"/>
        </w:rPr>
        <w:t>25</w:t>
      </w:r>
      <w:r w:rsidRPr="007E33F3">
        <w:rPr>
          <w:rFonts w:ascii="Book Antiqua" w:hAnsi="Book Antiqua" w:cs="宋体"/>
          <w:sz w:val="24"/>
          <w:szCs w:val="24"/>
          <w:lang w:val="en-US" w:eastAsia="zh-CN"/>
        </w:rPr>
        <w:t>: 905-908 [PMID: 2401946 DOI: 0022-3468(90)90201-J]</w:t>
      </w:r>
    </w:p>
    <w:p w:rsidR="00B50922" w:rsidRPr="008179CE" w:rsidRDefault="00B50922" w:rsidP="008179CE">
      <w:pPr>
        <w:spacing w:after="0" w:line="240" w:lineRule="auto"/>
        <w:rPr>
          <w:rFonts w:ascii="Book Antiqua" w:hAnsi="Book Antiqua" w:cs="宋体"/>
          <w:sz w:val="24"/>
          <w:szCs w:val="24"/>
          <w:lang w:val="en-US" w:eastAsia="zh-CN"/>
        </w:rPr>
      </w:pPr>
      <w:r w:rsidRPr="007E33F3">
        <w:rPr>
          <w:rFonts w:ascii="Book Antiqua" w:hAnsi="Book Antiqua" w:cs="宋体"/>
          <w:sz w:val="24"/>
          <w:szCs w:val="24"/>
          <w:lang w:val="en-US" w:eastAsia="zh-CN"/>
        </w:rPr>
        <w:t xml:space="preserve">3 </w:t>
      </w:r>
      <w:r w:rsidRPr="007E33F3">
        <w:rPr>
          <w:rFonts w:ascii="Book Antiqua" w:hAnsi="Book Antiqua" w:cs="宋体"/>
          <w:b/>
          <w:bCs/>
          <w:sz w:val="24"/>
          <w:szCs w:val="24"/>
          <w:lang w:val="en-US" w:eastAsia="zh-CN"/>
        </w:rPr>
        <w:t>Tainaka T</w:t>
      </w:r>
      <w:r w:rsidRPr="007E33F3">
        <w:rPr>
          <w:rFonts w:ascii="Book Antiqua" w:hAnsi="Book Antiqua" w:cs="宋体"/>
          <w:sz w:val="24"/>
          <w:szCs w:val="24"/>
          <w:lang w:val="en-US" w:eastAsia="zh-CN"/>
        </w:rPr>
        <w:t xml:space="preserve">, Ikegami R, Watanabe Y. Left paraduodenal hernia leading to protein-losing enteropathy in childhood. </w:t>
      </w:r>
      <w:r w:rsidRPr="007E33F3">
        <w:rPr>
          <w:rFonts w:ascii="Book Antiqua" w:hAnsi="Book Antiqua" w:cs="宋体"/>
          <w:i/>
          <w:iCs/>
          <w:sz w:val="24"/>
          <w:szCs w:val="24"/>
          <w:lang w:val="en-US" w:eastAsia="zh-CN"/>
        </w:rPr>
        <w:t>J Pediatr Surg</w:t>
      </w:r>
      <w:r w:rsidRPr="007E33F3">
        <w:rPr>
          <w:rFonts w:ascii="Book Antiqua" w:hAnsi="Book Antiqua" w:cs="宋体"/>
          <w:sz w:val="24"/>
          <w:szCs w:val="24"/>
          <w:lang w:val="en-US" w:eastAsia="zh-CN"/>
        </w:rPr>
        <w:t xml:space="preserve"> 2005; </w:t>
      </w:r>
      <w:r w:rsidRPr="007E33F3">
        <w:rPr>
          <w:rFonts w:ascii="Book Antiqua" w:hAnsi="Book Antiqua" w:cs="宋体"/>
          <w:b/>
          <w:bCs/>
          <w:sz w:val="24"/>
          <w:szCs w:val="24"/>
          <w:lang w:val="en-US" w:eastAsia="zh-CN"/>
        </w:rPr>
        <w:t>40</w:t>
      </w:r>
      <w:r w:rsidRPr="007E33F3">
        <w:rPr>
          <w:rFonts w:ascii="Book Antiqua" w:hAnsi="Book Antiqua" w:cs="宋体"/>
          <w:sz w:val="24"/>
          <w:szCs w:val="24"/>
          <w:lang w:val="en-US" w:eastAsia="zh-CN"/>
        </w:rPr>
        <w:t>: E21-E23 [PMID: 15750912 DOI: 10.1016/j.jpedsurg.2004.10.004]</w:t>
      </w:r>
    </w:p>
    <w:p w:rsidR="00B50922" w:rsidRPr="008179CE" w:rsidRDefault="00B50922" w:rsidP="008179CE">
      <w:pPr>
        <w:spacing w:after="0" w:line="240" w:lineRule="auto"/>
        <w:rPr>
          <w:rFonts w:ascii="Book Antiqua" w:hAnsi="Book Antiqua" w:cs="宋体"/>
          <w:sz w:val="24"/>
          <w:szCs w:val="24"/>
          <w:lang w:val="en-US" w:eastAsia="zh-CN"/>
        </w:rPr>
      </w:pPr>
      <w:r w:rsidRPr="007E33F3">
        <w:rPr>
          <w:rFonts w:ascii="Book Antiqua" w:hAnsi="Book Antiqua" w:cs="宋体"/>
          <w:sz w:val="24"/>
          <w:szCs w:val="24"/>
          <w:lang w:val="en-US" w:eastAsia="zh-CN"/>
        </w:rPr>
        <w:t xml:space="preserve">4 </w:t>
      </w:r>
      <w:r w:rsidRPr="007E33F3">
        <w:rPr>
          <w:rFonts w:ascii="Book Antiqua" w:hAnsi="Book Antiqua" w:cs="宋体"/>
          <w:b/>
          <w:bCs/>
          <w:sz w:val="24"/>
          <w:szCs w:val="24"/>
          <w:lang w:val="en-US" w:eastAsia="zh-CN"/>
        </w:rPr>
        <w:t>Cohen AM</w:t>
      </w:r>
      <w:r w:rsidRPr="007E33F3">
        <w:rPr>
          <w:rFonts w:ascii="Book Antiqua" w:hAnsi="Book Antiqua" w:cs="宋体"/>
          <w:sz w:val="24"/>
          <w:szCs w:val="24"/>
          <w:lang w:val="en-US" w:eastAsia="zh-CN"/>
        </w:rPr>
        <w:t xml:space="preserve">, Maran R, Gelvan A, Fireman Z, Lurie B. Malabsorption due to a ventral hernia. </w:t>
      </w:r>
      <w:r w:rsidRPr="007E33F3">
        <w:rPr>
          <w:rFonts w:ascii="Book Antiqua" w:hAnsi="Book Antiqua" w:cs="宋体"/>
          <w:i/>
          <w:iCs/>
          <w:sz w:val="24"/>
          <w:szCs w:val="24"/>
          <w:lang w:val="en-US" w:eastAsia="zh-CN"/>
        </w:rPr>
        <w:t>Neth J Med</w:t>
      </w:r>
      <w:r w:rsidRPr="007E33F3">
        <w:rPr>
          <w:rFonts w:ascii="Book Antiqua" w:hAnsi="Book Antiqua" w:cs="宋体"/>
          <w:sz w:val="24"/>
          <w:szCs w:val="24"/>
          <w:lang w:val="en-US" w:eastAsia="zh-CN"/>
        </w:rPr>
        <w:t xml:space="preserve"> 1992; </w:t>
      </w:r>
      <w:r w:rsidRPr="007E33F3">
        <w:rPr>
          <w:rFonts w:ascii="Book Antiqua" w:hAnsi="Book Antiqua" w:cs="宋体"/>
          <w:b/>
          <w:bCs/>
          <w:sz w:val="24"/>
          <w:szCs w:val="24"/>
          <w:lang w:val="en-US" w:eastAsia="zh-CN"/>
        </w:rPr>
        <w:t>41</w:t>
      </w:r>
      <w:r w:rsidRPr="007E33F3">
        <w:rPr>
          <w:rFonts w:ascii="Book Antiqua" w:hAnsi="Book Antiqua" w:cs="宋体"/>
          <w:sz w:val="24"/>
          <w:szCs w:val="24"/>
          <w:lang w:val="en-US" w:eastAsia="zh-CN"/>
        </w:rPr>
        <w:t>: 24-27 [PMID: 1407237]</w:t>
      </w:r>
    </w:p>
    <w:p w:rsidR="00B50922" w:rsidRPr="008179CE" w:rsidRDefault="00B50922" w:rsidP="008179CE">
      <w:pPr>
        <w:spacing w:after="0" w:line="240" w:lineRule="auto"/>
        <w:rPr>
          <w:rFonts w:ascii="Book Antiqua" w:hAnsi="Book Antiqua" w:cs="宋体"/>
          <w:sz w:val="24"/>
          <w:szCs w:val="24"/>
          <w:lang w:val="en-US" w:eastAsia="zh-CN"/>
        </w:rPr>
      </w:pPr>
      <w:r w:rsidRPr="007E33F3">
        <w:rPr>
          <w:rFonts w:ascii="Book Antiqua" w:hAnsi="Book Antiqua" w:cs="宋体"/>
          <w:sz w:val="24"/>
          <w:szCs w:val="24"/>
          <w:lang w:val="en-US" w:eastAsia="zh-CN"/>
        </w:rPr>
        <w:t xml:space="preserve">5 </w:t>
      </w:r>
      <w:r w:rsidRPr="007E33F3">
        <w:rPr>
          <w:rFonts w:ascii="Book Antiqua" w:hAnsi="Book Antiqua" w:cs="宋体"/>
          <w:b/>
          <w:bCs/>
          <w:sz w:val="24"/>
          <w:szCs w:val="24"/>
          <w:lang w:val="en-US" w:eastAsia="zh-CN"/>
        </w:rPr>
        <w:t>Singh VV</w:t>
      </w:r>
      <w:r w:rsidRPr="007E33F3">
        <w:rPr>
          <w:rFonts w:ascii="Book Antiqua" w:hAnsi="Book Antiqua" w:cs="宋体"/>
          <w:sz w:val="24"/>
          <w:szCs w:val="24"/>
          <w:lang w:val="en-US" w:eastAsia="zh-CN"/>
        </w:rPr>
        <w:t xml:space="preserve">, Toskes PP. Small bowel bacterial overgrowth: presentation, diagnosis, and treatment. </w:t>
      </w:r>
      <w:r w:rsidRPr="007E33F3">
        <w:rPr>
          <w:rFonts w:ascii="Book Antiqua" w:hAnsi="Book Antiqua" w:cs="宋体"/>
          <w:i/>
          <w:iCs/>
          <w:sz w:val="24"/>
          <w:szCs w:val="24"/>
          <w:lang w:val="en-US" w:eastAsia="zh-CN"/>
        </w:rPr>
        <w:t>Curr Gastroenterol Rep</w:t>
      </w:r>
      <w:r w:rsidRPr="007E33F3">
        <w:rPr>
          <w:rFonts w:ascii="Book Antiqua" w:hAnsi="Book Antiqua" w:cs="宋体"/>
          <w:sz w:val="24"/>
          <w:szCs w:val="24"/>
          <w:lang w:val="en-US" w:eastAsia="zh-CN"/>
        </w:rPr>
        <w:t xml:space="preserve"> 2003; </w:t>
      </w:r>
      <w:r w:rsidRPr="007E33F3">
        <w:rPr>
          <w:rFonts w:ascii="Book Antiqua" w:hAnsi="Book Antiqua" w:cs="宋体"/>
          <w:b/>
          <w:bCs/>
          <w:sz w:val="24"/>
          <w:szCs w:val="24"/>
          <w:lang w:val="en-US" w:eastAsia="zh-CN"/>
        </w:rPr>
        <w:t>5</w:t>
      </w:r>
      <w:r w:rsidRPr="007E33F3">
        <w:rPr>
          <w:rFonts w:ascii="Book Antiqua" w:hAnsi="Book Antiqua" w:cs="宋体"/>
          <w:sz w:val="24"/>
          <w:szCs w:val="24"/>
          <w:lang w:val="en-US" w:eastAsia="zh-CN"/>
        </w:rPr>
        <w:t>: 365-372 [PMID: 12959716]</w:t>
      </w:r>
    </w:p>
    <w:p w:rsidR="00B50922" w:rsidRPr="008179CE" w:rsidRDefault="00B50922" w:rsidP="008179CE">
      <w:pPr>
        <w:spacing w:after="0" w:line="240" w:lineRule="auto"/>
        <w:rPr>
          <w:rFonts w:ascii="Book Antiqua" w:hAnsi="Book Antiqua" w:cs="宋体"/>
          <w:sz w:val="24"/>
          <w:szCs w:val="24"/>
          <w:lang w:val="en-US" w:eastAsia="zh-CN"/>
        </w:rPr>
      </w:pPr>
      <w:r w:rsidRPr="007E33F3">
        <w:rPr>
          <w:rFonts w:ascii="Book Antiqua" w:hAnsi="Book Antiqua" w:cs="宋体"/>
          <w:sz w:val="24"/>
          <w:szCs w:val="24"/>
          <w:lang w:val="en-US" w:eastAsia="zh-CN"/>
        </w:rPr>
        <w:t xml:space="preserve">6 </w:t>
      </w:r>
      <w:r w:rsidRPr="007E33F3">
        <w:rPr>
          <w:rFonts w:ascii="Book Antiqua" w:hAnsi="Book Antiqua" w:cs="宋体"/>
          <w:b/>
          <w:bCs/>
          <w:sz w:val="24"/>
          <w:szCs w:val="24"/>
          <w:lang w:val="en-US" w:eastAsia="zh-CN"/>
        </w:rPr>
        <w:t>Machado JD</w:t>
      </w:r>
      <w:r w:rsidRPr="007E33F3">
        <w:rPr>
          <w:rFonts w:ascii="Book Antiqua" w:hAnsi="Book Antiqua" w:cs="宋体"/>
          <w:sz w:val="24"/>
          <w:szCs w:val="24"/>
          <w:lang w:val="en-US" w:eastAsia="zh-CN"/>
        </w:rPr>
        <w:t xml:space="preserve">, Campos CS, Lopes Dah Silva C, Marques Suen VM, Barbosa Nonino-Borges C, Dos Santos JE, Ceneviva R, Marchini JS. Intestinal bacterial overgrowth after Roux-en-Y gastric bypass. </w:t>
      </w:r>
      <w:r w:rsidRPr="007E33F3">
        <w:rPr>
          <w:rFonts w:ascii="Book Antiqua" w:hAnsi="Book Antiqua" w:cs="宋体"/>
          <w:i/>
          <w:iCs/>
          <w:sz w:val="24"/>
          <w:szCs w:val="24"/>
          <w:lang w:val="en-US" w:eastAsia="zh-CN"/>
        </w:rPr>
        <w:t>Obes Surg</w:t>
      </w:r>
      <w:r w:rsidRPr="007E33F3">
        <w:rPr>
          <w:rFonts w:ascii="Book Antiqua" w:hAnsi="Book Antiqua" w:cs="宋体"/>
          <w:sz w:val="24"/>
          <w:szCs w:val="24"/>
          <w:lang w:val="en-US" w:eastAsia="zh-CN"/>
        </w:rPr>
        <w:t xml:space="preserve"> 2008; </w:t>
      </w:r>
      <w:r w:rsidRPr="007E33F3">
        <w:rPr>
          <w:rFonts w:ascii="Book Antiqua" w:hAnsi="Book Antiqua" w:cs="宋体"/>
          <w:b/>
          <w:bCs/>
          <w:sz w:val="24"/>
          <w:szCs w:val="24"/>
          <w:lang w:val="en-US" w:eastAsia="zh-CN"/>
        </w:rPr>
        <w:t>18</w:t>
      </w:r>
      <w:r w:rsidRPr="007E33F3">
        <w:rPr>
          <w:rFonts w:ascii="Book Antiqua" w:hAnsi="Book Antiqua" w:cs="宋体"/>
          <w:sz w:val="24"/>
          <w:szCs w:val="24"/>
          <w:lang w:val="en-US" w:eastAsia="zh-CN"/>
        </w:rPr>
        <w:t>: 139-143 [PMID: 18080824 DOI: 10.1007/s11695-007-9365-y]</w:t>
      </w:r>
    </w:p>
    <w:p w:rsidR="00B50922" w:rsidRPr="008179CE" w:rsidRDefault="00B50922" w:rsidP="008179CE">
      <w:pPr>
        <w:spacing w:after="0" w:line="240" w:lineRule="auto"/>
        <w:rPr>
          <w:rFonts w:ascii="Book Antiqua" w:hAnsi="Book Antiqua" w:cs="宋体"/>
          <w:sz w:val="24"/>
          <w:szCs w:val="24"/>
          <w:lang w:val="en-US" w:eastAsia="zh-CN"/>
        </w:rPr>
      </w:pPr>
      <w:r w:rsidRPr="007E33F3">
        <w:rPr>
          <w:rFonts w:ascii="Book Antiqua" w:hAnsi="Book Antiqua" w:cs="宋体"/>
          <w:sz w:val="24"/>
          <w:szCs w:val="24"/>
          <w:lang w:val="en-US" w:eastAsia="zh-CN"/>
        </w:rPr>
        <w:t xml:space="preserve">7 </w:t>
      </w:r>
      <w:r w:rsidRPr="007E33F3">
        <w:rPr>
          <w:rFonts w:ascii="Book Antiqua" w:hAnsi="Book Antiqua" w:cs="宋体"/>
          <w:b/>
          <w:bCs/>
          <w:sz w:val="24"/>
          <w:szCs w:val="24"/>
          <w:lang w:val="en-US" w:eastAsia="zh-CN"/>
        </w:rPr>
        <w:t>Bures J</w:t>
      </w:r>
      <w:r w:rsidRPr="007E33F3">
        <w:rPr>
          <w:rFonts w:ascii="Book Antiqua" w:hAnsi="Book Antiqua" w:cs="宋体"/>
          <w:sz w:val="24"/>
          <w:szCs w:val="24"/>
          <w:lang w:val="en-US" w:eastAsia="zh-CN"/>
        </w:rPr>
        <w:t xml:space="preserve">, Cyrany J, Kohoutova D, Förstl M, Rejchrt S, Kvetina J, Vorisek V, Kopacova M. Small intestinal bacterial overgrowth syndrome. </w:t>
      </w:r>
      <w:r w:rsidRPr="007E33F3">
        <w:rPr>
          <w:rFonts w:ascii="Book Antiqua" w:hAnsi="Book Antiqua" w:cs="宋体"/>
          <w:i/>
          <w:iCs/>
          <w:sz w:val="24"/>
          <w:szCs w:val="24"/>
          <w:lang w:val="en-US" w:eastAsia="zh-CN"/>
        </w:rPr>
        <w:t>World J Gastroenterol</w:t>
      </w:r>
      <w:r w:rsidRPr="007E33F3">
        <w:rPr>
          <w:rFonts w:ascii="Book Antiqua" w:hAnsi="Book Antiqua" w:cs="宋体"/>
          <w:sz w:val="24"/>
          <w:szCs w:val="24"/>
          <w:lang w:val="en-US" w:eastAsia="zh-CN"/>
        </w:rPr>
        <w:t xml:space="preserve"> 2010; </w:t>
      </w:r>
      <w:r w:rsidRPr="007E33F3">
        <w:rPr>
          <w:rFonts w:ascii="Book Antiqua" w:hAnsi="Book Antiqua" w:cs="宋体"/>
          <w:b/>
          <w:bCs/>
          <w:sz w:val="24"/>
          <w:szCs w:val="24"/>
          <w:lang w:val="en-US" w:eastAsia="zh-CN"/>
        </w:rPr>
        <w:t>16</w:t>
      </w:r>
      <w:r w:rsidRPr="007E33F3">
        <w:rPr>
          <w:rFonts w:ascii="Book Antiqua" w:hAnsi="Book Antiqua" w:cs="宋体"/>
          <w:sz w:val="24"/>
          <w:szCs w:val="24"/>
          <w:lang w:val="en-US" w:eastAsia="zh-CN"/>
        </w:rPr>
        <w:t>: 2978-2990 [PMID: 20572300]</w:t>
      </w:r>
    </w:p>
    <w:p w:rsidR="00B50922" w:rsidRPr="008179CE" w:rsidRDefault="00B50922" w:rsidP="008179CE">
      <w:pPr>
        <w:spacing w:after="0" w:line="240" w:lineRule="auto"/>
        <w:rPr>
          <w:rFonts w:ascii="Book Antiqua" w:hAnsi="Book Antiqua" w:cs="宋体"/>
          <w:sz w:val="24"/>
          <w:szCs w:val="24"/>
          <w:lang w:val="en-US" w:eastAsia="zh-CN"/>
        </w:rPr>
      </w:pPr>
      <w:r w:rsidRPr="007E33F3">
        <w:rPr>
          <w:rFonts w:ascii="Book Antiqua" w:hAnsi="Book Antiqua" w:cs="宋体"/>
          <w:sz w:val="24"/>
          <w:szCs w:val="24"/>
          <w:lang w:val="en-US" w:eastAsia="zh-CN"/>
        </w:rPr>
        <w:t xml:space="preserve">8 </w:t>
      </w:r>
      <w:r w:rsidRPr="007E33F3">
        <w:rPr>
          <w:rFonts w:ascii="Book Antiqua" w:hAnsi="Book Antiqua" w:cs="宋体"/>
          <w:b/>
          <w:bCs/>
          <w:sz w:val="24"/>
          <w:szCs w:val="24"/>
          <w:lang w:val="en-US" w:eastAsia="zh-CN"/>
        </w:rPr>
        <w:t>King CE</w:t>
      </w:r>
      <w:r w:rsidRPr="007E33F3">
        <w:rPr>
          <w:rFonts w:ascii="Book Antiqua" w:hAnsi="Book Antiqua" w:cs="宋体"/>
          <w:sz w:val="24"/>
          <w:szCs w:val="24"/>
          <w:lang w:val="en-US" w:eastAsia="zh-CN"/>
        </w:rPr>
        <w:t xml:space="preserve">, Toskes PP. Protein-losing enteropathy in the human and experimental rat blind-loop syndrome. </w:t>
      </w:r>
      <w:r w:rsidRPr="007E33F3">
        <w:rPr>
          <w:rFonts w:ascii="Book Antiqua" w:hAnsi="Book Antiqua" w:cs="宋体"/>
          <w:i/>
          <w:iCs/>
          <w:sz w:val="24"/>
          <w:szCs w:val="24"/>
          <w:lang w:val="en-US" w:eastAsia="zh-CN"/>
        </w:rPr>
        <w:t>Gastroenterology</w:t>
      </w:r>
      <w:r w:rsidRPr="007E33F3">
        <w:rPr>
          <w:rFonts w:ascii="Book Antiqua" w:hAnsi="Book Antiqua" w:cs="宋体"/>
          <w:sz w:val="24"/>
          <w:szCs w:val="24"/>
          <w:lang w:val="en-US" w:eastAsia="zh-CN"/>
        </w:rPr>
        <w:t xml:space="preserve"> 1981; </w:t>
      </w:r>
      <w:r w:rsidRPr="007E33F3">
        <w:rPr>
          <w:rFonts w:ascii="Book Antiqua" w:hAnsi="Book Antiqua" w:cs="宋体"/>
          <w:b/>
          <w:bCs/>
          <w:sz w:val="24"/>
          <w:szCs w:val="24"/>
          <w:lang w:val="en-US" w:eastAsia="zh-CN"/>
        </w:rPr>
        <w:t>80</w:t>
      </w:r>
      <w:r w:rsidRPr="007E33F3">
        <w:rPr>
          <w:rFonts w:ascii="Book Antiqua" w:hAnsi="Book Antiqua" w:cs="宋体"/>
          <w:sz w:val="24"/>
          <w:szCs w:val="24"/>
          <w:lang w:val="en-US" w:eastAsia="zh-CN"/>
        </w:rPr>
        <w:t>: 504-509 [PMID: 7450442 DOI: S0016508581000644]</w:t>
      </w:r>
    </w:p>
    <w:p w:rsidR="00B50922" w:rsidRPr="008179CE" w:rsidRDefault="00B50922" w:rsidP="008179CE">
      <w:pPr>
        <w:spacing w:after="0" w:line="240" w:lineRule="auto"/>
        <w:rPr>
          <w:rFonts w:ascii="Book Antiqua" w:hAnsi="Book Antiqua" w:cs="宋体"/>
          <w:sz w:val="24"/>
          <w:szCs w:val="24"/>
          <w:lang w:val="en-US" w:eastAsia="zh-CN"/>
        </w:rPr>
      </w:pPr>
      <w:r w:rsidRPr="007E33F3">
        <w:rPr>
          <w:rFonts w:ascii="Book Antiqua" w:hAnsi="Book Antiqua" w:cs="宋体"/>
          <w:sz w:val="24"/>
          <w:szCs w:val="24"/>
          <w:lang w:val="en-US" w:eastAsia="zh-CN"/>
        </w:rPr>
        <w:t xml:space="preserve">9 </w:t>
      </w:r>
      <w:r w:rsidRPr="007E33F3">
        <w:rPr>
          <w:rFonts w:ascii="Book Antiqua" w:hAnsi="Book Antiqua" w:cs="宋体"/>
          <w:b/>
          <w:bCs/>
          <w:sz w:val="24"/>
          <w:szCs w:val="24"/>
          <w:lang w:val="en-US" w:eastAsia="zh-CN"/>
        </w:rPr>
        <w:t>Kett K</w:t>
      </w:r>
      <w:r w:rsidRPr="007E33F3">
        <w:rPr>
          <w:rFonts w:ascii="Book Antiqua" w:hAnsi="Book Antiqua" w:cs="宋体"/>
          <w:sz w:val="24"/>
          <w:szCs w:val="24"/>
          <w:lang w:val="en-US" w:eastAsia="zh-CN"/>
        </w:rPr>
        <w:t xml:space="preserve">, Baklien K, Bakken A, Kral JG, Fausa O, Brandtzaeg P. Intestinal B-cell isotype response in relation to local bacterial load: evidence for immunoglobulin A subclass adaptation. </w:t>
      </w:r>
      <w:r w:rsidRPr="007E33F3">
        <w:rPr>
          <w:rFonts w:ascii="Book Antiqua" w:hAnsi="Book Antiqua" w:cs="宋体"/>
          <w:i/>
          <w:iCs/>
          <w:sz w:val="24"/>
          <w:szCs w:val="24"/>
          <w:lang w:val="en-US" w:eastAsia="zh-CN"/>
        </w:rPr>
        <w:t>Gastroenterology</w:t>
      </w:r>
      <w:r w:rsidRPr="007E33F3">
        <w:rPr>
          <w:rFonts w:ascii="Book Antiqua" w:hAnsi="Book Antiqua" w:cs="宋体"/>
          <w:sz w:val="24"/>
          <w:szCs w:val="24"/>
          <w:lang w:val="en-US" w:eastAsia="zh-CN"/>
        </w:rPr>
        <w:t xml:space="preserve"> 1995; </w:t>
      </w:r>
      <w:r w:rsidRPr="007E33F3">
        <w:rPr>
          <w:rFonts w:ascii="Book Antiqua" w:hAnsi="Book Antiqua" w:cs="宋体"/>
          <w:b/>
          <w:bCs/>
          <w:sz w:val="24"/>
          <w:szCs w:val="24"/>
          <w:lang w:val="en-US" w:eastAsia="zh-CN"/>
        </w:rPr>
        <w:t>109</w:t>
      </w:r>
      <w:r w:rsidRPr="007E33F3">
        <w:rPr>
          <w:rFonts w:ascii="Book Antiqua" w:hAnsi="Book Antiqua" w:cs="宋体"/>
          <w:sz w:val="24"/>
          <w:szCs w:val="24"/>
          <w:lang w:val="en-US" w:eastAsia="zh-CN"/>
        </w:rPr>
        <w:t>: 819-825 [PMID: 7657110 DOI: 0016-5085(95)90389-5]</w:t>
      </w:r>
    </w:p>
    <w:p w:rsidR="00B50922" w:rsidRPr="008179CE" w:rsidRDefault="00B50922" w:rsidP="008179CE">
      <w:pPr>
        <w:spacing w:after="0" w:line="240" w:lineRule="auto"/>
        <w:rPr>
          <w:rFonts w:ascii="Book Antiqua" w:hAnsi="Book Antiqua" w:cs="宋体"/>
          <w:sz w:val="24"/>
          <w:szCs w:val="24"/>
          <w:lang w:val="en-US" w:eastAsia="zh-CN"/>
        </w:rPr>
      </w:pPr>
      <w:r w:rsidRPr="007E33F3">
        <w:rPr>
          <w:rFonts w:ascii="Book Antiqua" w:hAnsi="Book Antiqua" w:cs="宋体"/>
          <w:sz w:val="24"/>
          <w:szCs w:val="24"/>
          <w:lang w:val="en-US" w:eastAsia="zh-CN"/>
        </w:rPr>
        <w:t xml:space="preserve">10 </w:t>
      </w:r>
      <w:r w:rsidRPr="007E33F3">
        <w:rPr>
          <w:rFonts w:ascii="Book Antiqua" w:hAnsi="Book Antiqua" w:cs="宋体"/>
          <w:b/>
          <w:bCs/>
          <w:sz w:val="24"/>
          <w:szCs w:val="24"/>
          <w:lang w:val="en-US" w:eastAsia="zh-CN"/>
        </w:rPr>
        <w:t>Vardanian AJ</w:t>
      </w:r>
      <w:r w:rsidRPr="007E33F3">
        <w:rPr>
          <w:rFonts w:ascii="Book Antiqua" w:hAnsi="Book Antiqua" w:cs="宋体"/>
          <w:sz w:val="24"/>
          <w:szCs w:val="24"/>
          <w:lang w:val="en-US" w:eastAsia="zh-CN"/>
        </w:rPr>
        <w:t xml:space="preserve">, Farmer DG, Ghobrial RM, Busuttil RW, Hiatt JR. Incisional hernia after liver transplantation. </w:t>
      </w:r>
      <w:r w:rsidRPr="007E33F3">
        <w:rPr>
          <w:rFonts w:ascii="Book Antiqua" w:hAnsi="Book Antiqua" w:cs="宋体"/>
          <w:i/>
          <w:iCs/>
          <w:sz w:val="24"/>
          <w:szCs w:val="24"/>
          <w:lang w:val="en-US" w:eastAsia="zh-CN"/>
        </w:rPr>
        <w:t>J Am Coll Surg</w:t>
      </w:r>
      <w:r w:rsidRPr="007E33F3">
        <w:rPr>
          <w:rFonts w:ascii="Book Antiqua" w:hAnsi="Book Antiqua" w:cs="宋体"/>
          <w:sz w:val="24"/>
          <w:szCs w:val="24"/>
          <w:lang w:val="en-US" w:eastAsia="zh-CN"/>
        </w:rPr>
        <w:t xml:space="preserve"> 2006; </w:t>
      </w:r>
      <w:r w:rsidRPr="007E33F3">
        <w:rPr>
          <w:rFonts w:ascii="Book Antiqua" w:hAnsi="Book Antiqua" w:cs="宋体"/>
          <w:b/>
          <w:bCs/>
          <w:sz w:val="24"/>
          <w:szCs w:val="24"/>
          <w:lang w:val="en-US" w:eastAsia="zh-CN"/>
        </w:rPr>
        <w:t>203</w:t>
      </w:r>
      <w:r w:rsidRPr="007E33F3">
        <w:rPr>
          <w:rFonts w:ascii="Book Antiqua" w:hAnsi="Book Antiqua" w:cs="宋体"/>
          <w:sz w:val="24"/>
          <w:szCs w:val="24"/>
          <w:lang w:val="en-US" w:eastAsia="zh-CN"/>
        </w:rPr>
        <w:t>: 421-425 [PMID: 17000384 DOI: S1072-7515(06)00941-0]</w:t>
      </w:r>
    </w:p>
    <w:p w:rsidR="00B50922" w:rsidRPr="008179CE" w:rsidRDefault="00B50922" w:rsidP="008179CE">
      <w:pPr>
        <w:spacing w:after="0" w:line="240" w:lineRule="auto"/>
        <w:rPr>
          <w:rFonts w:ascii="Book Antiqua" w:hAnsi="Book Antiqua" w:cs="宋体"/>
          <w:sz w:val="24"/>
          <w:szCs w:val="24"/>
          <w:lang w:val="en-US" w:eastAsia="zh-CN"/>
        </w:rPr>
      </w:pPr>
      <w:r w:rsidRPr="007E33F3">
        <w:rPr>
          <w:rFonts w:ascii="Book Antiqua" w:hAnsi="Book Antiqua" w:cs="宋体"/>
          <w:sz w:val="24"/>
          <w:szCs w:val="24"/>
          <w:lang w:val="en-US" w:eastAsia="zh-CN"/>
        </w:rPr>
        <w:t xml:space="preserve">11 </w:t>
      </w:r>
      <w:r w:rsidRPr="007E33F3">
        <w:rPr>
          <w:rFonts w:ascii="Book Antiqua" w:hAnsi="Book Antiqua" w:cs="宋体"/>
          <w:b/>
          <w:bCs/>
          <w:sz w:val="24"/>
          <w:szCs w:val="24"/>
          <w:lang w:val="en-US" w:eastAsia="zh-CN"/>
        </w:rPr>
        <w:t>Kahn J</w:t>
      </w:r>
      <w:r w:rsidRPr="007E33F3">
        <w:rPr>
          <w:rFonts w:ascii="Book Antiqua" w:hAnsi="Book Antiqua" w:cs="宋体"/>
          <w:sz w:val="24"/>
          <w:szCs w:val="24"/>
          <w:lang w:val="en-US" w:eastAsia="zh-CN"/>
        </w:rPr>
        <w:t xml:space="preserve">, Müller H, Iberer F, Kniepeiss D, Duller D, Rehak P, Tscheliessnigg K. Incisional hernia following liver transplantation: incidence and predisposing factors. </w:t>
      </w:r>
      <w:r w:rsidRPr="007E33F3">
        <w:rPr>
          <w:rFonts w:ascii="Book Antiqua" w:hAnsi="Book Antiqua" w:cs="宋体"/>
          <w:i/>
          <w:iCs/>
          <w:sz w:val="24"/>
          <w:szCs w:val="24"/>
          <w:lang w:val="en-US" w:eastAsia="zh-CN"/>
        </w:rPr>
        <w:t>Clin Transplant</w:t>
      </w:r>
      <w:r w:rsidRPr="007E33F3">
        <w:rPr>
          <w:rFonts w:ascii="Book Antiqua" w:hAnsi="Book Antiqua" w:cs="宋体"/>
          <w:sz w:val="24"/>
          <w:szCs w:val="24"/>
          <w:lang w:val="en-US" w:eastAsia="zh-CN"/>
        </w:rPr>
        <w:t xml:space="preserve"> </w:t>
      </w:r>
      <w:r>
        <w:rPr>
          <w:rFonts w:ascii="Book Antiqua" w:hAnsi="Book Antiqua" w:cs="宋体"/>
          <w:sz w:val="24"/>
          <w:szCs w:val="24"/>
          <w:lang w:val="en-US" w:eastAsia="zh-CN"/>
        </w:rPr>
        <w:t>2007</w:t>
      </w:r>
      <w:r w:rsidRPr="007E33F3">
        <w:rPr>
          <w:rFonts w:ascii="Book Antiqua" w:hAnsi="Book Antiqua" w:cs="宋体"/>
          <w:sz w:val="24"/>
          <w:szCs w:val="24"/>
          <w:lang w:val="en-US" w:eastAsia="zh-CN"/>
        </w:rPr>
        <w:t xml:space="preserve">; </w:t>
      </w:r>
      <w:r w:rsidRPr="007E33F3">
        <w:rPr>
          <w:rFonts w:ascii="Book Antiqua" w:hAnsi="Book Antiqua" w:cs="宋体"/>
          <w:b/>
          <w:bCs/>
          <w:sz w:val="24"/>
          <w:szCs w:val="24"/>
          <w:lang w:val="en-US" w:eastAsia="zh-CN"/>
        </w:rPr>
        <w:t>21</w:t>
      </w:r>
      <w:r w:rsidRPr="007E33F3">
        <w:rPr>
          <w:rFonts w:ascii="Book Antiqua" w:hAnsi="Book Antiqua" w:cs="宋体"/>
          <w:sz w:val="24"/>
          <w:szCs w:val="24"/>
          <w:lang w:val="en-US" w:eastAsia="zh-CN"/>
        </w:rPr>
        <w:t>: 423-426 [PMID: 17488396 DOI: 10.1111/j.1399-0012.2007.00666.x]</w:t>
      </w:r>
    </w:p>
    <w:p w:rsidR="00B50922" w:rsidRPr="008179CE" w:rsidRDefault="00B50922" w:rsidP="008179CE">
      <w:pPr>
        <w:spacing w:after="0" w:line="240" w:lineRule="auto"/>
        <w:rPr>
          <w:rFonts w:ascii="Book Antiqua" w:hAnsi="Book Antiqua" w:cs="宋体"/>
          <w:sz w:val="24"/>
          <w:szCs w:val="24"/>
          <w:lang w:val="en-US" w:eastAsia="zh-CN"/>
        </w:rPr>
      </w:pPr>
      <w:r w:rsidRPr="007E33F3">
        <w:rPr>
          <w:rFonts w:ascii="Book Antiqua" w:hAnsi="Book Antiqua" w:cs="宋体"/>
          <w:sz w:val="24"/>
          <w:szCs w:val="24"/>
          <w:lang w:val="en-US" w:eastAsia="zh-CN"/>
        </w:rPr>
        <w:t xml:space="preserve">12 </w:t>
      </w:r>
      <w:r w:rsidRPr="007E33F3">
        <w:rPr>
          <w:rFonts w:ascii="Book Antiqua" w:hAnsi="Book Antiqua" w:cs="宋体"/>
          <w:b/>
          <w:bCs/>
          <w:sz w:val="24"/>
          <w:szCs w:val="24"/>
          <w:lang w:val="en-US" w:eastAsia="zh-CN"/>
        </w:rPr>
        <w:t>Janssen H</w:t>
      </w:r>
      <w:r w:rsidRPr="007E33F3">
        <w:rPr>
          <w:rFonts w:ascii="Book Antiqua" w:hAnsi="Book Antiqua" w:cs="宋体"/>
          <w:sz w:val="24"/>
          <w:szCs w:val="24"/>
          <w:lang w:val="en-US" w:eastAsia="zh-CN"/>
        </w:rPr>
        <w:t xml:space="preserve">, Lange R, Erhard J, Malagó M, Eigler FW, Broelsch CE. Causative factors, surgical treatment and outcome of incisional hernia after liver transplantation. </w:t>
      </w:r>
      <w:r w:rsidRPr="007E33F3">
        <w:rPr>
          <w:rFonts w:ascii="Book Antiqua" w:hAnsi="Book Antiqua" w:cs="宋体"/>
          <w:i/>
          <w:iCs/>
          <w:sz w:val="24"/>
          <w:szCs w:val="24"/>
          <w:lang w:val="en-US" w:eastAsia="zh-CN"/>
        </w:rPr>
        <w:t>Br J Surg</w:t>
      </w:r>
      <w:r w:rsidRPr="007E33F3">
        <w:rPr>
          <w:rFonts w:ascii="Book Antiqua" w:hAnsi="Book Antiqua" w:cs="宋体"/>
          <w:sz w:val="24"/>
          <w:szCs w:val="24"/>
          <w:lang w:val="en-US" w:eastAsia="zh-CN"/>
        </w:rPr>
        <w:t xml:space="preserve"> 2002; </w:t>
      </w:r>
      <w:r w:rsidRPr="007E33F3">
        <w:rPr>
          <w:rFonts w:ascii="Book Antiqua" w:hAnsi="Book Antiqua" w:cs="宋体"/>
          <w:b/>
          <w:bCs/>
          <w:sz w:val="24"/>
          <w:szCs w:val="24"/>
          <w:lang w:val="en-US" w:eastAsia="zh-CN"/>
        </w:rPr>
        <w:t>89</w:t>
      </w:r>
      <w:r w:rsidRPr="007E33F3">
        <w:rPr>
          <w:rFonts w:ascii="Book Antiqua" w:hAnsi="Book Antiqua" w:cs="宋体"/>
          <w:sz w:val="24"/>
          <w:szCs w:val="24"/>
          <w:lang w:val="en-US" w:eastAsia="zh-CN"/>
        </w:rPr>
        <w:t>: 1049-1054 [PMID: 12153634 DOI: 10.1046/j.1365-2168.2002.02165.x]</w:t>
      </w:r>
    </w:p>
    <w:p w:rsidR="00B50922" w:rsidRDefault="00B50922">
      <w:pPr>
        <w:snapToGrid w:val="0"/>
        <w:spacing w:after="0" w:line="360" w:lineRule="auto"/>
        <w:jc w:val="both"/>
        <w:rPr>
          <w:rFonts w:ascii="Book Antiqua" w:hAnsi="Book Antiqua"/>
          <w:b/>
          <w:sz w:val="24"/>
          <w:szCs w:val="24"/>
          <w:lang w:eastAsia="zh-CN"/>
        </w:rPr>
      </w:pPr>
    </w:p>
    <w:p w:rsidR="00B50922" w:rsidRDefault="00B50922">
      <w:pPr>
        <w:tabs>
          <w:tab w:val="left" w:pos="180"/>
          <w:tab w:val="left" w:pos="360"/>
        </w:tabs>
        <w:wordWrap w:val="0"/>
        <w:adjustRightInd w:val="0"/>
        <w:snapToGrid w:val="0"/>
        <w:spacing w:line="360" w:lineRule="auto"/>
        <w:jc w:val="right"/>
        <w:rPr>
          <w:rFonts w:ascii="Book Antiqua" w:hAnsi="Book Antiqua" w:cs="Tahoma"/>
          <w:b/>
          <w:color w:val="000000"/>
          <w:sz w:val="24"/>
        </w:rPr>
      </w:pPr>
      <w:bookmarkStart w:id="139" w:name="OLE_LINK874"/>
      <w:bookmarkStart w:id="140" w:name="OLE_LINK875"/>
      <w:bookmarkStart w:id="141" w:name="OLE_LINK347"/>
      <w:bookmarkStart w:id="142" w:name="OLE_LINK384"/>
      <w:bookmarkStart w:id="143" w:name="OLE_LINK557"/>
      <w:bookmarkStart w:id="144" w:name="OLE_LINK558"/>
      <w:bookmarkStart w:id="145" w:name="OLE_LINK631"/>
      <w:bookmarkStart w:id="146" w:name="OLE_LINK632"/>
      <w:bookmarkStart w:id="147" w:name="OLE_LINK386"/>
      <w:bookmarkStart w:id="148" w:name="OLE_LINK431"/>
      <w:bookmarkStart w:id="149" w:name="OLE_LINK564"/>
      <w:bookmarkStart w:id="150" w:name="OLE_LINK493"/>
      <w:bookmarkStart w:id="151" w:name="OLE_LINK442"/>
      <w:bookmarkStart w:id="152" w:name="OLE_LINK551"/>
      <w:bookmarkStart w:id="153" w:name="OLE_LINK668"/>
      <w:bookmarkStart w:id="154" w:name="OLE_LINK669"/>
      <w:bookmarkStart w:id="155" w:name="OLE_LINK725"/>
      <w:bookmarkStart w:id="156" w:name="OLE_LINK489"/>
      <w:bookmarkStart w:id="157" w:name="OLE_LINK602"/>
      <w:bookmarkStart w:id="158" w:name="OLE_LINK658"/>
      <w:bookmarkStart w:id="159" w:name="OLE_LINK747"/>
      <w:bookmarkStart w:id="160" w:name="OLE_LINK897"/>
      <w:bookmarkStart w:id="161" w:name="OLE_LINK1138"/>
      <w:bookmarkStart w:id="162" w:name="OLE_LINK1139"/>
      <w:bookmarkStart w:id="163" w:name="OLE_LINK882"/>
      <w:bookmarkStart w:id="164" w:name="OLE_LINK1095"/>
      <w:bookmarkStart w:id="165" w:name="OLE_LINK1305"/>
      <w:bookmarkStart w:id="166" w:name="OLE_LINK1390"/>
      <w:bookmarkStart w:id="167" w:name="OLE_LINK964"/>
      <w:bookmarkStart w:id="168" w:name="OLE_LINK1190"/>
      <w:bookmarkStart w:id="169" w:name="OLE_LINK1314"/>
      <w:bookmarkStart w:id="170" w:name="OLE_LINK1031"/>
      <w:bookmarkStart w:id="171" w:name="OLE_LINK1092"/>
      <w:bookmarkStart w:id="172" w:name="OLE_LINK1258"/>
      <w:bookmarkStart w:id="173" w:name="OLE_LINK1259"/>
      <w:bookmarkStart w:id="174" w:name="OLE_LINK1337"/>
      <w:bookmarkStart w:id="175" w:name="OLE_LINK1338"/>
      <w:bookmarkStart w:id="176" w:name="OLE_LINK1363"/>
      <w:bookmarkStart w:id="177" w:name="OLE_LINK1364"/>
      <w:bookmarkStart w:id="178" w:name="OLE_LINK86"/>
      <w:bookmarkStart w:id="179" w:name="OLE_LINK1490"/>
      <w:bookmarkStart w:id="180" w:name="OLE_LINK1622"/>
      <w:r w:rsidRPr="00904163">
        <w:rPr>
          <w:rFonts w:ascii="Book Antiqua" w:hAnsi="Book Antiqua" w:cs="Tahoma"/>
          <w:b/>
          <w:color w:val="000000"/>
          <w:sz w:val="24"/>
        </w:rPr>
        <w:t>P-Reviewer</w:t>
      </w:r>
      <w:r>
        <w:rPr>
          <w:rFonts w:ascii="Book Antiqua" w:hAnsi="Book Antiqua" w:cs="Tahoma"/>
          <w:b/>
          <w:color w:val="000000"/>
          <w:sz w:val="24"/>
          <w:lang w:eastAsia="zh-CN"/>
        </w:rPr>
        <w:t xml:space="preserve">s </w:t>
      </w:r>
      <w:r w:rsidRPr="007E33F3">
        <w:rPr>
          <w:rFonts w:ascii="Book Antiqua" w:hAnsi="Book Antiqua" w:cs="Tahoma"/>
          <w:color w:val="000000"/>
          <w:sz w:val="24"/>
          <w:lang w:eastAsia="zh-CN"/>
        </w:rPr>
        <w:t>Hudacko R, Rosenthal P</w:t>
      </w:r>
      <w:r w:rsidRPr="00904163">
        <w:rPr>
          <w:rFonts w:ascii="Book Antiqua" w:hAnsi="Book Antiqua" w:cs="Tahoma"/>
          <w:b/>
          <w:color w:val="000000"/>
          <w:sz w:val="24"/>
        </w:rPr>
        <w:t xml:space="preserve"> S-Editor </w:t>
      </w:r>
      <w:r w:rsidRPr="00904163">
        <w:rPr>
          <w:rFonts w:ascii="Book Antiqua" w:hAnsi="Book Antiqua" w:cs="Tahoma"/>
          <w:color w:val="000000"/>
          <w:sz w:val="24"/>
        </w:rPr>
        <w:t xml:space="preserve">Gou SX </w:t>
      </w:r>
      <w:r w:rsidRPr="00904163">
        <w:rPr>
          <w:rFonts w:ascii="Book Antiqua" w:hAnsi="Book Antiqua" w:cs="Tahoma"/>
          <w:b/>
          <w:color w:val="000000"/>
          <w:sz w:val="24"/>
        </w:rPr>
        <w:t xml:space="preserve">  L-Editor    E-Edito</w:t>
      </w:r>
      <w:bookmarkEnd w:id="139"/>
      <w:bookmarkEnd w:id="140"/>
      <w:r w:rsidRPr="00904163">
        <w:rPr>
          <w:rFonts w:ascii="Book Antiqua" w:hAnsi="Book Antiqua" w:cs="Tahoma"/>
          <w:b/>
          <w:color w:val="000000"/>
          <w:sz w:val="24"/>
        </w:rPr>
        <w:t>r</w:t>
      </w:r>
    </w:p>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rsidR="00B50922" w:rsidRDefault="00B50922">
      <w:pPr>
        <w:snapToGrid w:val="0"/>
        <w:spacing w:after="0" w:line="360" w:lineRule="auto"/>
        <w:jc w:val="both"/>
        <w:rPr>
          <w:rFonts w:ascii="Book Antiqua" w:hAnsi="Book Antiqua"/>
          <w:b/>
          <w:sz w:val="24"/>
          <w:szCs w:val="24"/>
          <w:lang w:eastAsia="zh-CN"/>
        </w:rPr>
      </w:pPr>
    </w:p>
    <w:bookmarkEnd w:id="137"/>
    <w:bookmarkEnd w:id="138"/>
    <w:p w:rsidR="00B50922" w:rsidRDefault="00B50922">
      <w:pPr>
        <w:snapToGrid w:val="0"/>
        <w:spacing w:after="0" w:line="360" w:lineRule="auto"/>
        <w:jc w:val="both"/>
        <w:rPr>
          <w:rFonts w:ascii="Book Antiqua" w:hAnsi="Book Antiqua"/>
          <w:b/>
          <w:sz w:val="24"/>
          <w:szCs w:val="24"/>
        </w:rPr>
      </w:pPr>
    </w:p>
    <w:p w:rsidR="00B50922" w:rsidRDefault="00B50922">
      <w:pPr>
        <w:snapToGrid w:val="0"/>
        <w:spacing w:after="0" w:line="360" w:lineRule="auto"/>
        <w:jc w:val="both"/>
        <w:rPr>
          <w:rFonts w:ascii="Book Antiqua" w:hAnsi="Book Antiqua"/>
          <w:b/>
          <w:sz w:val="24"/>
          <w:szCs w:val="24"/>
        </w:rPr>
      </w:pPr>
    </w:p>
    <w:p w:rsidR="00B50922" w:rsidRDefault="00B50922">
      <w:pPr>
        <w:snapToGrid w:val="0"/>
        <w:spacing w:after="0" w:line="360" w:lineRule="auto"/>
        <w:jc w:val="both"/>
        <w:rPr>
          <w:rFonts w:ascii="Book Antiqua" w:hAnsi="Book Antiqua"/>
          <w:b/>
          <w:sz w:val="24"/>
          <w:szCs w:val="24"/>
        </w:rPr>
      </w:pPr>
    </w:p>
    <w:p w:rsidR="00B50922" w:rsidRDefault="00B50922">
      <w:pPr>
        <w:snapToGrid w:val="0"/>
        <w:spacing w:after="0" w:line="360" w:lineRule="auto"/>
        <w:jc w:val="both"/>
        <w:rPr>
          <w:rFonts w:ascii="Book Antiqua" w:hAnsi="Book Antiqua"/>
          <w:b/>
          <w:sz w:val="24"/>
          <w:szCs w:val="24"/>
        </w:rPr>
      </w:pPr>
    </w:p>
    <w:p w:rsidR="00B50922" w:rsidRDefault="00B50922">
      <w:pPr>
        <w:snapToGrid w:val="0"/>
        <w:spacing w:after="0" w:line="360" w:lineRule="auto"/>
        <w:jc w:val="both"/>
        <w:rPr>
          <w:rFonts w:ascii="Book Antiqua" w:hAnsi="Book Antiqua"/>
          <w:b/>
          <w:sz w:val="24"/>
          <w:szCs w:val="24"/>
        </w:rPr>
      </w:pPr>
    </w:p>
    <w:p w:rsidR="00B50922" w:rsidRDefault="00B50922">
      <w:pPr>
        <w:snapToGrid w:val="0"/>
        <w:spacing w:after="0" w:line="360" w:lineRule="auto"/>
        <w:jc w:val="both"/>
        <w:rPr>
          <w:rFonts w:ascii="Book Antiqua" w:hAnsi="Book Antiqua"/>
          <w:b/>
          <w:sz w:val="24"/>
          <w:szCs w:val="24"/>
        </w:rPr>
      </w:pPr>
    </w:p>
    <w:p w:rsidR="00B50922" w:rsidRDefault="00B50922">
      <w:pPr>
        <w:snapToGrid w:val="0"/>
        <w:spacing w:after="0" w:line="360" w:lineRule="auto"/>
        <w:jc w:val="both"/>
        <w:rPr>
          <w:rFonts w:ascii="Book Antiqua" w:hAnsi="Book Antiqua"/>
          <w:b/>
          <w:sz w:val="24"/>
          <w:szCs w:val="24"/>
        </w:rPr>
      </w:pPr>
    </w:p>
    <w:p w:rsidR="00B50922" w:rsidRDefault="00BF6678">
      <w:pPr>
        <w:snapToGrid w:val="0"/>
        <w:spacing w:after="0" w:line="360" w:lineRule="auto"/>
        <w:jc w:val="both"/>
        <w:rPr>
          <w:rFonts w:ascii="Book Antiqua" w:hAnsi="Book Antiqua"/>
          <w:sz w:val="24"/>
          <w:szCs w:val="24"/>
        </w:rPr>
      </w:pPr>
      <w:r>
        <w:rPr>
          <w:rFonts w:ascii="Book Antiqua" w:hAnsi="Book Antiqua"/>
          <w:noProof/>
          <w:sz w:val="24"/>
          <w:szCs w:val="24"/>
          <w:lang w:val="en-US" w:eastAsia="zh-CN"/>
        </w:rPr>
        <w:drawing>
          <wp:inline distT="0" distB="0" distL="0" distR="0">
            <wp:extent cx="5732780" cy="198374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2780" cy="1983740"/>
                    </a:xfrm>
                    <a:prstGeom prst="rect">
                      <a:avLst/>
                    </a:prstGeom>
                    <a:noFill/>
                    <a:ln>
                      <a:noFill/>
                    </a:ln>
                  </pic:spPr>
                </pic:pic>
              </a:graphicData>
            </a:graphic>
          </wp:inline>
        </w:drawing>
      </w:r>
    </w:p>
    <w:p w:rsidR="00B50922" w:rsidRDefault="00B50922" w:rsidP="003C68EE">
      <w:pPr>
        <w:snapToGrid w:val="0"/>
        <w:spacing w:after="0" w:line="360" w:lineRule="auto"/>
        <w:jc w:val="both"/>
        <w:rPr>
          <w:rFonts w:ascii="Book Antiqua" w:hAnsi="Book Antiqua"/>
          <w:sz w:val="24"/>
          <w:szCs w:val="24"/>
          <w:lang w:eastAsia="zh-CN"/>
        </w:rPr>
      </w:pPr>
      <w:r w:rsidRPr="007E33F3">
        <w:rPr>
          <w:rFonts w:ascii="Book Antiqua" w:hAnsi="Book Antiqua"/>
          <w:b/>
          <w:sz w:val="24"/>
          <w:szCs w:val="24"/>
        </w:rPr>
        <w:t>Figure 1 C</w:t>
      </w:r>
      <w:r w:rsidRPr="007E33F3">
        <w:rPr>
          <w:rFonts w:ascii="Book Antiqua" w:hAnsi="Book Antiqua"/>
          <w:b/>
          <w:sz w:val="24"/>
          <w:szCs w:val="24"/>
          <w:lang w:eastAsia="zh-CN"/>
        </w:rPr>
        <w:t>omputed tomography</w:t>
      </w:r>
      <w:r w:rsidRPr="007E33F3">
        <w:rPr>
          <w:rFonts w:ascii="Book Antiqua" w:hAnsi="Book Antiqua"/>
          <w:b/>
          <w:sz w:val="24"/>
          <w:szCs w:val="24"/>
        </w:rPr>
        <w:t xml:space="preserve"> scan, </w:t>
      </w:r>
      <w:bookmarkStart w:id="181" w:name="OLE_LINK1664"/>
      <w:bookmarkStart w:id="182" w:name="OLE_LINK1665"/>
      <w:bookmarkStart w:id="183" w:name="OLE_LINK1666"/>
      <w:bookmarkStart w:id="184" w:name="OLE_LINK1658"/>
      <w:bookmarkStart w:id="185" w:name="OLE_LINK1659"/>
      <w:r w:rsidRPr="007E33F3">
        <w:rPr>
          <w:rFonts w:ascii="Book Antiqua" w:hAnsi="Book Antiqua"/>
          <w:b/>
          <w:sz w:val="24"/>
          <w:szCs w:val="24"/>
        </w:rPr>
        <w:t>flurodeoxyglucose</w:t>
      </w:r>
      <w:bookmarkEnd w:id="181"/>
      <w:bookmarkEnd w:id="182"/>
      <w:bookmarkEnd w:id="183"/>
      <w:r w:rsidRPr="007E33F3">
        <w:rPr>
          <w:rFonts w:ascii="Book Antiqua" w:hAnsi="Book Antiqua"/>
          <w:b/>
          <w:sz w:val="24"/>
          <w:szCs w:val="24"/>
        </w:rPr>
        <w:t xml:space="preserve"> positron emmision tomography</w:t>
      </w:r>
      <w:bookmarkEnd w:id="184"/>
      <w:bookmarkEnd w:id="185"/>
      <w:r w:rsidRPr="007E33F3">
        <w:rPr>
          <w:rFonts w:ascii="Book Antiqua" w:hAnsi="Book Antiqua"/>
          <w:b/>
          <w:sz w:val="24"/>
          <w:szCs w:val="24"/>
        </w:rPr>
        <w:t xml:space="preserve"> and combined </w:t>
      </w:r>
      <w:bookmarkStart w:id="186" w:name="OLE_LINK1667"/>
      <w:bookmarkStart w:id="187" w:name="OLE_LINK1668"/>
      <w:bookmarkStart w:id="188" w:name="OLE_LINK1669"/>
      <w:r w:rsidRPr="007E33F3">
        <w:rPr>
          <w:rFonts w:ascii="Book Antiqua" w:hAnsi="Book Antiqua"/>
          <w:b/>
          <w:sz w:val="24"/>
          <w:szCs w:val="24"/>
        </w:rPr>
        <w:t>computed tomography positron emission tomography</w:t>
      </w:r>
      <w:bookmarkEnd w:id="186"/>
      <w:bookmarkEnd w:id="187"/>
      <w:bookmarkEnd w:id="188"/>
      <w:r w:rsidRPr="007E33F3">
        <w:rPr>
          <w:rFonts w:ascii="Book Antiqua" w:hAnsi="Book Antiqua"/>
          <w:b/>
          <w:sz w:val="24"/>
          <w:szCs w:val="24"/>
        </w:rPr>
        <w:t xml:space="preserve"> image across the site of incisional hernia. </w:t>
      </w:r>
      <w:r w:rsidRPr="007E33F3">
        <w:rPr>
          <w:rFonts w:ascii="Book Antiqua" w:hAnsi="Book Antiqua"/>
          <w:sz w:val="24"/>
          <w:szCs w:val="24"/>
        </w:rPr>
        <w:t>The first image shows the incarcerated hernia with a loop of bowel, the middle image confirms “hot spot” with increased flurodeoxyglucose uptake which corresponds with the centre of the incarcerated bowel loop within the hernia with some activity along the efferent loop distal to the hernia.</w:t>
      </w:r>
    </w:p>
    <w:p w:rsidR="00B50922" w:rsidRDefault="00B50922" w:rsidP="003C68EE">
      <w:pPr>
        <w:snapToGrid w:val="0"/>
        <w:spacing w:after="0" w:line="360" w:lineRule="auto"/>
        <w:jc w:val="both"/>
        <w:rPr>
          <w:rFonts w:ascii="Book Antiqua" w:hAnsi="Book Antiqua"/>
          <w:sz w:val="24"/>
          <w:szCs w:val="24"/>
          <w:lang w:eastAsia="zh-CN"/>
        </w:rPr>
      </w:pPr>
    </w:p>
    <w:p w:rsidR="00B50922" w:rsidRDefault="00B50922" w:rsidP="003C68EE">
      <w:pPr>
        <w:snapToGrid w:val="0"/>
        <w:spacing w:after="0" w:line="360" w:lineRule="auto"/>
        <w:jc w:val="both"/>
        <w:rPr>
          <w:rFonts w:ascii="Book Antiqua" w:hAnsi="Book Antiqua"/>
          <w:b/>
          <w:sz w:val="24"/>
          <w:szCs w:val="24"/>
          <w:lang w:eastAsia="zh-CN"/>
        </w:rPr>
      </w:pPr>
    </w:p>
    <w:p w:rsidR="00B50922" w:rsidRDefault="00BF6678">
      <w:pPr>
        <w:snapToGrid w:val="0"/>
        <w:spacing w:after="0" w:line="360" w:lineRule="auto"/>
        <w:jc w:val="both"/>
        <w:rPr>
          <w:rFonts w:ascii="Book Antiqua" w:hAnsi="Book Antiqua"/>
          <w:sz w:val="24"/>
          <w:szCs w:val="24"/>
          <w:lang w:eastAsia="zh-CN"/>
        </w:rPr>
      </w:pPr>
      <w:r>
        <w:rPr>
          <w:rFonts w:ascii="Book Antiqua" w:hAnsi="Book Antiqua"/>
          <w:noProof/>
          <w:sz w:val="24"/>
          <w:szCs w:val="24"/>
          <w:lang w:val="en-US" w:eastAsia="zh-CN"/>
        </w:rPr>
        <w:lastRenderedPageBreak/>
        <w:drawing>
          <wp:inline distT="0" distB="0" distL="0" distR="0">
            <wp:extent cx="5324475" cy="4241165"/>
            <wp:effectExtent l="0" t="0" r="952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4475" cy="4241165"/>
                    </a:xfrm>
                    <a:prstGeom prst="rect">
                      <a:avLst/>
                    </a:prstGeom>
                    <a:noFill/>
                    <a:ln>
                      <a:noFill/>
                    </a:ln>
                  </pic:spPr>
                </pic:pic>
              </a:graphicData>
            </a:graphic>
          </wp:inline>
        </w:drawing>
      </w:r>
    </w:p>
    <w:p w:rsidR="00B50922" w:rsidRDefault="00B50922">
      <w:pPr>
        <w:snapToGrid w:val="0"/>
        <w:spacing w:after="0" w:line="360" w:lineRule="auto"/>
        <w:jc w:val="both"/>
        <w:rPr>
          <w:rFonts w:ascii="Book Antiqua" w:hAnsi="Book Antiqua"/>
          <w:b/>
          <w:sz w:val="24"/>
          <w:szCs w:val="24"/>
        </w:rPr>
      </w:pPr>
      <w:r w:rsidRPr="007E33F3">
        <w:rPr>
          <w:rFonts w:ascii="Book Antiqua" w:hAnsi="Book Antiqua"/>
          <w:b/>
          <w:sz w:val="24"/>
          <w:szCs w:val="24"/>
        </w:rPr>
        <w:t>Figure 2</w:t>
      </w:r>
      <w:r>
        <w:rPr>
          <w:rFonts w:ascii="Book Antiqua" w:hAnsi="Book Antiqua"/>
          <w:b/>
          <w:sz w:val="24"/>
          <w:szCs w:val="24"/>
          <w:lang w:eastAsia="zh-CN"/>
        </w:rPr>
        <w:t xml:space="preserve"> C</w:t>
      </w:r>
      <w:r w:rsidRPr="000C4DFD">
        <w:rPr>
          <w:rFonts w:ascii="Book Antiqua" w:hAnsi="Book Antiqua"/>
          <w:b/>
          <w:sz w:val="24"/>
          <w:szCs w:val="24"/>
        </w:rPr>
        <w:t>omputed tomography positron emission tomography</w:t>
      </w:r>
      <w:r w:rsidRPr="007E33F3">
        <w:rPr>
          <w:rFonts w:ascii="Book Antiqua" w:hAnsi="Book Antiqua"/>
          <w:sz w:val="24"/>
          <w:szCs w:val="24"/>
        </w:rPr>
        <w:t xml:space="preserve"> </w:t>
      </w:r>
      <w:r w:rsidRPr="007E33F3">
        <w:rPr>
          <w:rFonts w:ascii="Book Antiqua" w:hAnsi="Book Antiqua"/>
          <w:b/>
          <w:sz w:val="24"/>
          <w:szCs w:val="24"/>
        </w:rPr>
        <w:t xml:space="preserve">image 12 mo following the incisional hernia repair. </w:t>
      </w:r>
      <w:r w:rsidRPr="007E33F3">
        <w:rPr>
          <w:rFonts w:ascii="Book Antiqua" w:hAnsi="Book Antiqua"/>
          <w:sz w:val="24"/>
          <w:szCs w:val="24"/>
        </w:rPr>
        <w:t>The arrow heads points to the previous hernia site now repaired anatomically and the “hot spot” has now disappeared.</w:t>
      </w:r>
    </w:p>
    <w:sectPr w:rsidR="00B50922" w:rsidSect="000244BA">
      <w:footerReference w:type="even"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661C" w:rsidRDefault="0057661C" w:rsidP="002414E0">
      <w:pPr>
        <w:spacing w:after="0" w:line="240" w:lineRule="auto"/>
      </w:pPr>
      <w:r>
        <w:separator/>
      </w:r>
    </w:p>
  </w:endnote>
  <w:endnote w:type="continuationSeparator" w:id="0">
    <w:p w:rsidR="0057661C" w:rsidRDefault="0057661C" w:rsidP="00241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922" w:rsidRDefault="00B50922" w:rsidP="00EE2B81">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B50922" w:rsidRDefault="00B5092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922" w:rsidRDefault="00B50922" w:rsidP="00EE2B81">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DE1F8D">
      <w:rPr>
        <w:rStyle w:val="a8"/>
        <w:noProof/>
      </w:rPr>
      <w:t>9</w:t>
    </w:r>
    <w:r>
      <w:rPr>
        <w:rStyle w:val="a8"/>
      </w:rPr>
      <w:fldChar w:fldCharType="end"/>
    </w:r>
  </w:p>
  <w:p w:rsidR="00B50922" w:rsidRDefault="00B5092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661C" w:rsidRDefault="0057661C" w:rsidP="002414E0">
      <w:pPr>
        <w:spacing w:after="0" w:line="240" w:lineRule="auto"/>
      </w:pPr>
      <w:r>
        <w:separator/>
      </w:r>
    </w:p>
  </w:footnote>
  <w:footnote w:type="continuationSeparator" w:id="0">
    <w:p w:rsidR="0057661C" w:rsidRDefault="0057661C" w:rsidP="002414E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bordersDoNotSurroundHeader/>
  <w:bordersDoNotSurroundFooter/>
  <w:defaultTabStop w:val="720"/>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Jonathan Evans Library2.enl&lt;/item&gt;&lt;/Libraries&gt;&lt;/ENLibraries&gt;"/>
  </w:docVars>
  <w:rsids>
    <w:rsidRoot w:val="00A3562E"/>
    <w:rsid w:val="000112C8"/>
    <w:rsid w:val="0001172C"/>
    <w:rsid w:val="0002212C"/>
    <w:rsid w:val="00023FBB"/>
    <w:rsid w:val="000244BA"/>
    <w:rsid w:val="0005451B"/>
    <w:rsid w:val="000A78D9"/>
    <w:rsid w:val="000B5AE2"/>
    <w:rsid w:val="000B7F8A"/>
    <w:rsid w:val="000C4DFD"/>
    <w:rsid w:val="000F2449"/>
    <w:rsid w:val="000F3A34"/>
    <w:rsid w:val="00122FE1"/>
    <w:rsid w:val="00123C46"/>
    <w:rsid w:val="00133467"/>
    <w:rsid w:val="00152F01"/>
    <w:rsid w:val="00165352"/>
    <w:rsid w:val="001A3CA9"/>
    <w:rsid w:val="001A6B19"/>
    <w:rsid w:val="001B07D1"/>
    <w:rsid w:val="001C598C"/>
    <w:rsid w:val="001E0E8D"/>
    <w:rsid w:val="001E3111"/>
    <w:rsid w:val="001E7D27"/>
    <w:rsid w:val="001F0230"/>
    <w:rsid w:val="001F3918"/>
    <w:rsid w:val="00203C06"/>
    <w:rsid w:val="00205F4F"/>
    <w:rsid w:val="00226E5A"/>
    <w:rsid w:val="0023031F"/>
    <w:rsid w:val="002414E0"/>
    <w:rsid w:val="002441D1"/>
    <w:rsid w:val="002474FE"/>
    <w:rsid w:val="0026170A"/>
    <w:rsid w:val="002732A5"/>
    <w:rsid w:val="002843BD"/>
    <w:rsid w:val="00294F9D"/>
    <w:rsid w:val="002A78DB"/>
    <w:rsid w:val="002B6DDC"/>
    <w:rsid w:val="002E46AD"/>
    <w:rsid w:val="003033EC"/>
    <w:rsid w:val="00305594"/>
    <w:rsid w:val="00312306"/>
    <w:rsid w:val="00312970"/>
    <w:rsid w:val="003176C2"/>
    <w:rsid w:val="0032678D"/>
    <w:rsid w:val="0035717C"/>
    <w:rsid w:val="0037548D"/>
    <w:rsid w:val="00380384"/>
    <w:rsid w:val="00384C19"/>
    <w:rsid w:val="00390081"/>
    <w:rsid w:val="00392731"/>
    <w:rsid w:val="003A1A36"/>
    <w:rsid w:val="003A366E"/>
    <w:rsid w:val="003A6B3F"/>
    <w:rsid w:val="003C55E1"/>
    <w:rsid w:val="003C5D09"/>
    <w:rsid w:val="003C68EE"/>
    <w:rsid w:val="003D0DA2"/>
    <w:rsid w:val="003D1FE0"/>
    <w:rsid w:val="003E04F7"/>
    <w:rsid w:val="003E460C"/>
    <w:rsid w:val="003E50A0"/>
    <w:rsid w:val="003F4E20"/>
    <w:rsid w:val="003F63B5"/>
    <w:rsid w:val="0040794C"/>
    <w:rsid w:val="00410B59"/>
    <w:rsid w:val="00422738"/>
    <w:rsid w:val="0044478D"/>
    <w:rsid w:val="00470F41"/>
    <w:rsid w:val="004C5F60"/>
    <w:rsid w:val="004D550E"/>
    <w:rsid w:val="00500F46"/>
    <w:rsid w:val="00527EAF"/>
    <w:rsid w:val="005436A2"/>
    <w:rsid w:val="00546522"/>
    <w:rsid w:val="00551D22"/>
    <w:rsid w:val="00551FD6"/>
    <w:rsid w:val="0056446C"/>
    <w:rsid w:val="0057661C"/>
    <w:rsid w:val="005803A2"/>
    <w:rsid w:val="00581E4A"/>
    <w:rsid w:val="00595C80"/>
    <w:rsid w:val="005977E8"/>
    <w:rsid w:val="005B4901"/>
    <w:rsid w:val="005E18A8"/>
    <w:rsid w:val="005F1B3E"/>
    <w:rsid w:val="005F754F"/>
    <w:rsid w:val="006272DB"/>
    <w:rsid w:val="00645290"/>
    <w:rsid w:val="00651F9F"/>
    <w:rsid w:val="00651FC4"/>
    <w:rsid w:val="0067039C"/>
    <w:rsid w:val="0067747F"/>
    <w:rsid w:val="006869A8"/>
    <w:rsid w:val="00693CC3"/>
    <w:rsid w:val="00697489"/>
    <w:rsid w:val="006C461B"/>
    <w:rsid w:val="006E423F"/>
    <w:rsid w:val="006F4705"/>
    <w:rsid w:val="006F50CC"/>
    <w:rsid w:val="00736FCA"/>
    <w:rsid w:val="0074218B"/>
    <w:rsid w:val="00745D7A"/>
    <w:rsid w:val="00747A6B"/>
    <w:rsid w:val="00773660"/>
    <w:rsid w:val="00782E49"/>
    <w:rsid w:val="00782FCF"/>
    <w:rsid w:val="007C0A55"/>
    <w:rsid w:val="007C26B3"/>
    <w:rsid w:val="007C5C1B"/>
    <w:rsid w:val="007E33F3"/>
    <w:rsid w:val="008179CE"/>
    <w:rsid w:val="008310B1"/>
    <w:rsid w:val="008321C5"/>
    <w:rsid w:val="0086220F"/>
    <w:rsid w:val="0086487D"/>
    <w:rsid w:val="00866606"/>
    <w:rsid w:val="008B4835"/>
    <w:rsid w:val="008D659E"/>
    <w:rsid w:val="00904163"/>
    <w:rsid w:val="009374C6"/>
    <w:rsid w:val="00950360"/>
    <w:rsid w:val="009722AB"/>
    <w:rsid w:val="009A0224"/>
    <w:rsid w:val="009B02AD"/>
    <w:rsid w:val="009F7FF2"/>
    <w:rsid w:val="00A123D9"/>
    <w:rsid w:val="00A24875"/>
    <w:rsid w:val="00A27EAE"/>
    <w:rsid w:val="00A3562E"/>
    <w:rsid w:val="00A6403D"/>
    <w:rsid w:val="00A64FE3"/>
    <w:rsid w:val="00A92071"/>
    <w:rsid w:val="00AE6E67"/>
    <w:rsid w:val="00AF6DCD"/>
    <w:rsid w:val="00B066D8"/>
    <w:rsid w:val="00B16F2D"/>
    <w:rsid w:val="00B40DF4"/>
    <w:rsid w:val="00B42A01"/>
    <w:rsid w:val="00B50922"/>
    <w:rsid w:val="00B50AEA"/>
    <w:rsid w:val="00B51A16"/>
    <w:rsid w:val="00BA6583"/>
    <w:rsid w:val="00BC3D47"/>
    <w:rsid w:val="00BC4A5D"/>
    <w:rsid w:val="00BF3FDF"/>
    <w:rsid w:val="00BF6678"/>
    <w:rsid w:val="00C41028"/>
    <w:rsid w:val="00C471BD"/>
    <w:rsid w:val="00C5552A"/>
    <w:rsid w:val="00C678DB"/>
    <w:rsid w:val="00C7095C"/>
    <w:rsid w:val="00C70AFF"/>
    <w:rsid w:val="00C87AFC"/>
    <w:rsid w:val="00C90D0D"/>
    <w:rsid w:val="00CA6F7C"/>
    <w:rsid w:val="00CB19D1"/>
    <w:rsid w:val="00CF32B3"/>
    <w:rsid w:val="00D0401F"/>
    <w:rsid w:val="00D06BBB"/>
    <w:rsid w:val="00D22D76"/>
    <w:rsid w:val="00D27178"/>
    <w:rsid w:val="00D278EE"/>
    <w:rsid w:val="00D3531B"/>
    <w:rsid w:val="00D7023B"/>
    <w:rsid w:val="00D73E1A"/>
    <w:rsid w:val="00D74D94"/>
    <w:rsid w:val="00D8367D"/>
    <w:rsid w:val="00D95C4C"/>
    <w:rsid w:val="00D9607A"/>
    <w:rsid w:val="00DB39F5"/>
    <w:rsid w:val="00DD5788"/>
    <w:rsid w:val="00DE1F8D"/>
    <w:rsid w:val="00E14476"/>
    <w:rsid w:val="00E1504F"/>
    <w:rsid w:val="00E2045D"/>
    <w:rsid w:val="00E27598"/>
    <w:rsid w:val="00E3751B"/>
    <w:rsid w:val="00E46C67"/>
    <w:rsid w:val="00E619CC"/>
    <w:rsid w:val="00E671D0"/>
    <w:rsid w:val="00E7636E"/>
    <w:rsid w:val="00E83D45"/>
    <w:rsid w:val="00ED7072"/>
    <w:rsid w:val="00ED7880"/>
    <w:rsid w:val="00EE0D99"/>
    <w:rsid w:val="00EE2502"/>
    <w:rsid w:val="00EE2B81"/>
    <w:rsid w:val="00F10910"/>
    <w:rsid w:val="00F317D7"/>
    <w:rsid w:val="00F32787"/>
    <w:rsid w:val="00F364AE"/>
    <w:rsid w:val="00F367D6"/>
    <w:rsid w:val="00F37CE3"/>
    <w:rsid w:val="00F54FC5"/>
    <w:rsid w:val="00F649D3"/>
    <w:rsid w:val="00F67734"/>
    <w:rsid w:val="00F77818"/>
    <w:rsid w:val="00F814D1"/>
    <w:rsid w:val="00F84948"/>
    <w:rsid w:val="00F94797"/>
    <w:rsid w:val="00FD67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Place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44BA"/>
    <w:pPr>
      <w:spacing w:after="200" w:line="276" w:lineRule="auto"/>
    </w:pPr>
    <w:rPr>
      <w:kern w:val="0"/>
      <w:sz w:val="22"/>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9722AB"/>
    <w:pPr>
      <w:spacing w:after="0" w:line="240" w:lineRule="auto"/>
    </w:pPr>
    <w:rPr>
      <w:rFonts w:ascii="Tahoma" w:hAnsi="Tahoma" w:cs="Tahoma"/>
      <w:sz w:val="16"/>
      <w:szCs w:val="16"/>
    </w:rPr>
  </w:style>
  <w:style w:type="character" w:customStyle="1" w:styleId="Char">
    <w:name w:val="批注框文本 Char"/>
    <w:basedOn w:val="a0"/>
    <w:link w:val="a3"/>
    <w:uiPriority w:val="99"/>
    <w:semiHidden/>
    <w:locked/>
    <w:rsid w:val="009722AB"/>
    <w:rPr>
      <w:rFonts w:ascii="Tahoma" w:hAnsi="Tahoma" w:cs="Tahoma"/>
      <w:sz w:val="16"/>
      <w:szCs w:val="16"/>
    </w:rPr>
  </w:style>
  <w:style w:type="paragraph" w:styleId="a4">
    <w:name w:val="header"/>
    <w:basedOn w:val="a"/>
    <w:link w:val="Char0"/>
    <w:uiPriority w:val="99"/>
    <w:semiHidden/>
    <w:rsid w:val="003F63B5"/>
    <w:pPr>
      <w:tabs>
        <w:tab w:val="center" w:pos="4320"/>
        <w:tab w:val="right" w:pos="8640"/>
      </w:tabs>
      <w:spacing w:after="0" w:line="240" w:lineRule="auto"/>
    </w:pPr>
  </w:style>
  <w:style w:type="character" w:customStyle="1" w:styleId="Char0">
    <w:name w:val="页眉 Char"/>
    <w:basedOn w:val="a0"/>
    <w:link w:val="a4"/>
    <w:uiPriority w:val="99"/>
    <w:semiHidden/>
    <w:locked/>
    <w:rsid w:val="003F63B5"/>
    <w:rPr>
      <w:rFonts w:cs="Times New Roman"/>
    </w:rPr>
  </w:style>
  <w:style w:type="paragraph" w:styleId="a5">
    <w:name w:val="footer"/>
    <w:basedOn w:val="a"/>
    <w:link w:val="Char1"/>
    <w:uiPriority w:val="99"/>
    <w:semiHidden/>
    <w:rsid w:val="003F63B5"/>
    <w:pPr>
      <w:tabs>
        <w:tab w:val="center" w:pos="4320"/>
        <w:tab w:val="right" w:pos="8640"/>
      </w:tabs>
      <w:spacing w:after="0" w:line="240" w:lineRule="auto"/>
    </w:pPr>
  </w:style>
  <w:style w:type="character" w:customStyle="1" w:styleId="Char1">
    <w:name w:val="页脚 Char"/>
    <w:basedOn w:val="a0"/>
    <w:link w:val="a5"/>
    <w:uiPriority w:val="99"/>
    <w:semiHidden/>
    <w:locked/>
    <w:rsid w:val="003F63B5"/>
    <w:rPr>
      <w:rFonts w:cs="Times New Roman"/>
    </w:rPr>
  </w:style>
  <w:style w:type="character" w:styleId="a6">
    <w:name w:val="Hyperlink"/>
    <w:basedOn w:val="a0"/>
    <w:uiPriority w:val="99"/>
    <w:rsid w:val="007C5C1B"/>
    <w:rPr>
      <w:rFonts w:cs="Times New Roman"/>
      <w:color w:val="0000FF"/>
      <w:u w:val="single"/>
    </w:rPr>
  </w:style>
  <w:style w:type="character" w:styleId="a7">
    <w:name w:val="FollowedHyperlink"/>
    <w:basedOn w:val="a0"/>
    <w:uiPriority w:val="99"/>
    <w:semiHidden/>
    <w:rsid w:val="001A3CA9"/>
    <w:rPr>
      <w:rFonts w:cs="Times New Roman"/>
      <w:color w:val="800080"/>
      <w:u w:val="single"/>
    </w:rPr>
  </w:style>
  <w:style w:type="character" w:customStyle="1" w:styleId="apple-converted-space">
    <w:name w:val="apple-converted-space"/>
    <w:basedOn w:val="a0"/>
    <w:uiPriority w:val="99"/>
    <w:rsid w:val="007C26B3"/>
    <w:rPr>
      <w:rFonts w:cs="Times New Roman"/>
    </w:rPr>
  </w:style>
  <w:style w:type="character" w:styleId="a8">
    <w:name w:val="page number"/>
    <w:basedOn w:val="a0"/>
    <w:uiPriority w:val="99"/>
    <w:semiHidden/>
    <w:rsid w:val="003D1FE0"/>
    <w:rPr>
      <w:rFonts w:cs="Times New Roman"/>
    </w:rPr>
  </w:style>
  <w:style w:type="character" w:styleId="a9">
    <w:name w:val="annotation reference"/>
    <w:basedOn w:val="a0"/>
    <w:uiPriority w:val="99"/>
    <w:semiHidden/>
    <w:rsid w:val="006F4705"/>
    <w:rPr>
      <w:rFonts w:cs="Times New Roman"/>
      <w:sz w:val="21"/>
      <w:szCs w:val="21"/>
    </w:rPr>
  </w:style>
  <w:style w:type="paragraph" w:styleId="aa">
    <w:name w:val="annotation text"/>
    <w:basedOn w:val="a"/>
    <w:link w:val="Char2"/>
    <w:uiPriority w:val="99"/>
    <w:rsid w:val="006F4705"/>
  </w:style>
  <w:style w:type="character" w:customStyle="1" w:styleId="Char2">
    <w:name w:val="批注文字 Char"/>
    <w:basedOn w:val="a0"/>
    <w:link w:val="aa"/>
    <w:uiPriority w:val="99"/>
    <w:semiHidden/>
    <w:locked/>
    <w:rsid w:val="006F4705"/>
    <w:rPr>
      <w:rFonts w:cs="Times New Roman"/>
    </w:rPr>
  </w:style>
  <w:style w:type="paragraph" w:styleId="ab">
    <w:name w:val="annotation subject"/>
    <w:basedOn w:val="aa"/>
    <w:next w:val="aa"/>
    <w:link w:val="Char3"/>
    <w:uiPriority w:val="99"/>
    <w:semiHidden/>
    <w:rsid w:val="006F4705"/>
    <w:rPr>
      <w:b/>
      <w:bCs/>
    </w:rPr>
  </w:style>
  <w:style w:type="character" w:customStyle="1" w:styleId="Char3">
    <w:name w:val="批注主题 Char"/>
    <w:basedOn w:val="Char2"/>
    <w:link w:val="ab"/>
    <w:uiPriority w:val="99"/>
    <w:semiHidden/>
    <w:locked/>
    <w:rsid w:val="006F4705"/>
    <w:rPr>
      <w:rFonts w:cs="Times New Roman"/>
      <w:b/>
      <w:bCs/>
    </w:rPr>
  </w:style>
  <w:style w:type="paragraph" w:customStyle="1" w:styleId="p0">
    <w:name w:val="p0"/>
    <w:basedOn w:val="a"/>
    <w:uiPriority w:val="99"/>
    <w:rsid w:val="001F3918"/>
    <w:pPr>
      <w:spacing w:after="0" w:line="240" w:lineRule="atLeast"/>
    </w:pPr>
    <w:rPr>
      <w:rFonts w:ascii="Century" w:hAnsi="Century" w:cs="宋体"/>
      <w:sz w:val="21"/>
      <w:szCs w:val="21"/>
      <w:lang w:val="en-US" w:eastAsia="zh-CN"/>
    </w:rPr>
  </w:style>
  <w:style w:type="character" w:customStyle="1" w:styleId="Char10">
    <w:name w:val="批注文字 Char1"/>
    <w:basedOn w:val="a0"/>
    <w:uiPriority w:val="99"/>
    <w:semiHidden/>
    <w:rsid w:val="00FD674B"/>
    <w:rPr>
      <w:rFonts w:eastAsia="宋体" w:cs="Times New Roman"/>
      <w:kern w:val="2"/>
      <w:sz w:val="24"/>
      <w:szCs w:val="24"/>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44BA"/>
    <w:pPr>
      <w:spacing w:after="200" w:line="276" w:lineRule="auto"/>
    </w:pPr>
    <w:rPr>
      <w:kern w:val="0"/>
      <w:sz w:val="22"/>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9722AB"/>
    <w:pPr>
      <w:spacing w:after="0" w:line="240" w:lineRule="auto"/>
    </w:pPr>
    <w:rPr>
      <w:rFonts w:ascii="Tahoma" w:hAnsi="Tahoma" w:cs="Tahoma"/>
      <w:sz w:val="16"/>
      <w:szCs w:val="16"/>
    </w:rPr>
  </w:style>
  <w:style w:type="character" w:customStyle="1" w:styleId="Char">
    <w:name w:val="批注框文本 Char"/>
    <w:basedOn w:val="a0"/>
    <w:link w:val="a3"/>
    <w:uiPriority w:val="99"/>
    <w:semiHidden/>
    <w:locked/>
    <w:rsid w:val="009722AB"/>
    <w:rPr>
      <w:rFonts w:ascii="Tahoma" w:hAnsi="Tahoma" w:cs="Tahoma"/>
      <w:sz w:val="16"/>
      <w:szCs w:val="16"/>
    </w:rPr>
  </w:style>
  <w:style w:type="paragraph" w:styleId="a4">
    <w:name w:val="header"/>
    <w:basedOn w:val="a"/>
    <w:link w:val="Char0"/>
    <w:uiPriority w:val="99"/>
    <w:semiHidden/>
    <w:rsid w:val="003F63B5"/>
    <w:pPr>
      <w:tabs>
        <w:tab w:val="center" w:pos="4320"/>
        <w:tab w:val="right" w:pos="8640"/>
      </w:tabs>
      <w:spacing w:after="0" w:line="240" w:lineRule="auto"/>
    </w:pPr>
  </w:style>
  <w:style w:type="character" w:customStyle="1" w:styleId="Char0">
    <w:name w:val="页眉 Char"/>
    <w:basedOn w:val="a0"/>
    <w:link w:val="a4"/>
    <w:uiPriority w:val="99"/>
    <w:semiHidden/>
    <w:locked/>
    <w:rsid w:val="003F63B5"/>
    <w:rPr>
      <w:rFonts w:cs="Times New Roman"/>
    </w:rPr>
  </w:style>
  <w:style w:type="paragraph" w:styleId="a5">
    <w:name w:val="footer"/>
    <w:basedOn w:val="a"/>
    <w:link w:val="Char1"/>
    <w:uiPriority w:val="99"/>
    <w:semiHidden/>
    <w:rsid w:val="003F63B5"/>
    <w:pPr>
      <w:tabs>
        <w:tab w:val="center" w:pos="4320"/>
        <w:tab w:val="right" w:pos="8640"/>
      </w:tabs>
      <w:spacing w:after="0" w:line="240" w:lineRule="auto"/>
    </w:pPr>
  </w:style>
  <w:style w:type="character" w:customStyle="1" w:styleId="Char1">
    <w:name w:val="页脚 Char"/>
    <w:basedOn w:val="a0"/>
    <w:link w:val="a5"/>
    <w:uiPriority w:val="99"/>
    <w:semiHidden/>
    <w:locked/>
    <w:rsid w:val="003F63B5"/>
    <w:rPr>
      <w:rFonts w:cs="Times New Roman"/>
    </w:rPr>
  </w:style>
  <w:style w:type="character" w:styleId="a6">
    <w:name w:val="Hyperlink"/>
    <w:basedOn w:val="a0"/>
    <w:uiPriority w:val="99"/>
    <w:rsid w:val="007C5C1B"/>
    <w:rPr>
      <w:rFonts w:cs="Times New Roman"/>
      <w:color w:val="0000FF"/>
      <w:u w:val="single"/>
    </w:rPr>
  </w:style>
  <w:style w:type="character" w:styleId="a7">
    <w:name w:val="FollowedHyperlink"/>
    <w:basedOn w:val="a0"/>
    <w:uiPriority w:val="99"/>
    <w:semiHidden/>
    <w:rsid w:val="001A3CA9"/>
    <w:rPr>
      <w:rFonts w:cs="Times New Roman"/>
      <w:color w:val="800080"/>
      <w:u w:val="single"/>
    </w:rPr>
  </w:style>
  <w:style w:type="character" w:customStyle="1" w:styleId="apple-converted-space">
    <w:name w:val="apple-converted-space"/>
    <w:basedOn w:val="a0"/>
    <w:uiPriority w:val="99"/>
    <w:rsid w:val="007C26B3"/>
    <w:rPr>
      <w:rFonts w:cs="Times New Roman"/>
    </w:rPr>
  </w:style>
  <w:style w:type="character" w:styleId="a8">
    <w:name w:val="page number"/>
    <w:basedOn w:val="a0"/>
    <w:uiPriority w:val="99"/>
    <w:semiHidden/>
    <w:rsid w:val="003D1FE0"/>
    <w:rPr>
      <w:rFonts w:cs="Times New Roman"/>
    </w:rPr>
  </w:style>
  <w:style w:type="character" w:styleId="a9">
    <w:name w:val="annotation reference"/>
    <w:basedOn w:val="a0"/>
    <w:uiPriority w:val="99"/>
    <w:semiHidden/>
    <w:rsid w:val="006F4705"/>
    <w:rPr>
      <w:rFonts w:cs="Times New Roman"/>
      <w:sz w:val="21"/>
      <w:szCs w:val="21"/>
    </w:rPr>
  </w:style>
  <w:style w:type="paragraph" w:styleId="aa">
    <w:name w:val="annotation text"/>
    <w:basedOn w:val="a"/>
    <w:link w:val="Char2"/>
    <w:uiPriority w:val="99"/>
    <w:rsid w:val="006F4705"/>
  </w:style>
  <w:style w:type="character" w:customStyle="1" w:styleId="Char2">
    <w:name w:val="批注文字 Char"/>
    <w:basedOn w:val="a0"/>
    <w:link w:val="aa"/>
    <w:uiPriority w:val="99"/>
    <w:semiHidden/>
    <w:locked/>
    <w:rsid w:val="006F4705"/>
    <w:rPr>
      <w:rFonts w:cs="Times New Roman"/>
    </w:rPr>
  </w:style>
  <w:style w:type="paragraph" w:styleId="ab">
    <w:name w:val="annotation subject"/>
    <w:basedOn w:val="aa"/>
    <w:next w:val="aa"/>
    <w:link w:val="Char3"/>
    <w:uiPriority w:val="99"/>
    <w:semiHidden/>
    <w:rsid w:val="006F4705"/>
    <w:rPr>
      <w:b/>
      <w:bCs/>
    </w:rPr>
  </w:style>
  <w:style w:type="character" w:customStyle="1" w:styleId="Char3">
    <w:name w:val="批注主题 Char"/>
    <w:basedOn w:val="Char2"/>
    <w:link w:val="ab"/>
    <w:uiPriority w:val="99"/>
    <w:semiHidden/>
    <w:locked/>
    <w:rsid w:val="006F4705"/>
    <w:rPr>
      <w:rFonts w:cs="Times New Roman"/>
      <w:b/>
      <w:bCs/>
    </w:rPr>
  </w:style>
  <w:style w:type="paragraph" w:customStyle="1" w:styleId="p0">
    <w:name w:val="p0"/>
    <w:basedOn w:val="a"/>
    <w:uiPriority w:val="99"/>
    <w:rsid w:val="001F3918"/>
    <w:pPr>
      <w:spacing w:after="0" w:line="240" w:lineRule="atLeast"/>
    </w:pPr>
    <w:rPr>
      <w:rFonts w:ascii="Century" w:hAnsi="Century" w:cs="宋体"/>
      <w:sz w:val="21"/>
      <w:szCs w:val="21"/>
      <w:lang w:val="en-US" w:eastAsia="zh-CN"/>
    </w:rPr>
  </w:style>
  <w:style w:type="character" w:customStyle="1" w:styleId="Char10">
    <w:name w:val="批注文字 Char1"/>
    <w:basedOn w:val="a0"/>
    <w:uiPriority w:val="99"/>
    <w:semiHidden/>
    <w:rsid w:val="00FD674B"/>
    <w:rPr>
      <w:rFonts w:eastAsia="宋体" w:cs="Times New Roman"/>
      <w:kern w:val="2"/>
      <w:sz w:val="24"/>
      <w:szCs w:val="24"/>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320583">
      <w:marLeft w:val="0"/>
      <w:marRight w:val="0"/>
      <w:marTop w:val="0"/>
      <w:marBottom w:val="0"/>
      <w:divBdr>
        <w:top w:val="none" w:sz="0" w:space="0" w:color="auto"/>
        <w:left w:val="none" w:sz="0" w:space="0" w:color="auto"/>
        <w:bottom w:val="none" w:sz="0" w:space="0" w:color="auto"/>
        <w:right w:val="none" w:sz="0" w:space="0" w:color="auto"/>
      </w:divBdr>
      <w:divsChild>
        <w:div w:id="164320584">
          <w:marLeft w:val="0"/>
          <w:marRight w:val="0"/>
          <w:marTop w:val="0"/>
          <w:marBottom w:val="0"/>
          <w:divBdr>
            <w:top w:val="none" w:sz="0" w:space="0" w:color="auto"/>
            <w:left w:val="none" w:sz="0" w:space="0" w:color="auto"/>
            <w:bottom w:val="none" w:sz="0" w:space="0" w:color="auto"/>
            <w:right w:val="none" w:sz="0" w:space="0" w:color="auto"/>
          </w:divBdr>
        </w:div>
        <w:div w:id="164320585">
          <w:marLeft w:val="0"/>
          <w:marRight w:val="0"/>
          <w:marTop w:val="0"/>
          <w:marBottom w:val="0"/>
          <w:divBdr>
            <w:top w:val="none" w:sz="0" w:space="0" w:color="auto"/>
            <w:left w:val="none" w:sz="0" w:space="0" w:color="auto"/>
            <w:bottom w:val="none" w:sz="0" w:space="0" w:color="auto"/>
            <w:right w:val="none" w:sz="0" w:space="0" w:color="auto"/>
          </w:divBdr>
        </w:div>
        <w:div w:id="164320586">
          <w:marLeft w:val="0"/>
          <w:marRight w:val="0"/>
          <w:marTop w:val="0"/>
          <w:marBottom w:val="0"/>
          <w:divBdr>
            <w:top w:val="none" w:sz="0" w:space="0" w:color="auto"/>
            <w:left w:val="none" w:sz="0" w:space="0" w:color="auto"/>
            <w:bottom w:val="none" w:sz="0" w:space="0" w:color="auto"/>
            <w:right w:val="none" w:sz="0" w:space="0" w:color="auto"/>
          </w:divBdr>
        </w:div>
        <w:div w:id="164320591">
          <w:marLeft w:val="0"/>
          <w:marRight w:val="0"/>
          <w:marTop w:val="0"/>
          <w:marBottom w:val="0"/>
          <w:divBdr>
            <w:top w:val="none" w:sz="0" w:space="0" w:color="auto"/>
            <w:left w:val="none" w:sz="0" w:space="0" w:color="auto"/>
            <w:bottom w:val="none" w:sz="0" w:space="0" w:color="auto"/>
            <w:right w:val="none" w:sz="0" w:space="0" w:color="auto"/>
          </w:divBdr>
        </w:div>
        <w:div w:id="164320596">
          <w:marLeft w:val="0"/>
          <w:marRight w:val="0"/>
          <w:marTop w:val="0"/>
          <w:marBottom w:val="0"/>
          <w:divBdr>
            <w:top w:val="none" w:sz="0" w:space="0" w:color="auto"/>
            <w:left w:val="none" w:sz="0" w:space="0" w:color="auto"/>
            <w:bottom w:val="none" w:sz="0" w:space="0" w:color="auto"/>
            <w:right w:val="none" w:sz="0" w:space="0" w:color="auto"/>
          </w:divBdr>
        </w:div>
        <w:div w:id="164320597">
          <w:marLeft w:val="0"/>
          <w:marRight w:val="0"/>
          <w:marTop w:val="0"/>
          <w:marBottom w:val="0"/>
          <w:divBdr>
            <w:top w:val="none" w:sz="0" w:space="0" w:color="auto"/>
            <w:left w:val="none" w:sz="0" w:space="0" w:color="auto"/>
            <w:bottom w:val="none" w:sz="0" w:space="0" w:color="auto"/>
            <w:right w:val="none" w:sz="0" w:space="0" w:color="auto"/>
          </w:divBdr>
        </w:div>
        <w:div w:id="164320599">
          <w:marLeft w:val="0"/>
          <w:marRight w:val="0"/>
          <w:marTop w:val="0"/>
          <w:marBottom w:val="0"/>
          <w:divBdr>
            <w:top w:val="none" w:sz="0" w:space="0" w:color="auto"/>
            <w:left w:val="none" w:sz="0" w:space="0" w:color="auto"/>
            <w:bottom w:val="none" w:sz="0" w:space="0" w:color="auto"/>
            <w:right w:val="none" w:sz="0" w:space="0" w:color="auto"/>
          </w:divBdr>
        </w:div>
        <w:div w:id="164320600">
          <w:marLeft w:val="0"/>
          <w:marRight w:val="0"/>
          <w:marTop w:val="0"/>
          <w:marBottom w:val="0"/>
          <w:divBdr>
            <w:top w:val="none" w:sz="0" w:space="0" w:color="auto"/>
            <w:left w:val="none" w:sz="0" w:space="0" w:color="auto"/>
            <w:bottom w:val="none" w:sz="0" w:space="0" w:color="auto"/>
            <w:right w:val="none" w:sz="0" w:space="0" w:color="auto"/>
          </w:divBdr>
        </w:div>
        <w:div w:id="164320601">
          <w:marLeft w:val="0"/>
          <w:marRight w:val="0"/>
          <w:marTop w:val="0"/>
          <w:marBottom w:val="0"/>
          <w:divBdr>
            <w:top w:val="none" w:sz="0" w:space="0" w:color="auto"/>
            <w:left w:val="none" w:sz="0" w:space="0" w:color="auto"/>
            <w:bottom w:val="none" w:sz="0" w:space="0" w:color="auto"/>
            <w:right w:val="none" w:sz="0" w:space="0" w:color="auto"/>
          </w:divBdr>
        </w:div>
        <w:div w:id="164320603">
          <w:marLeft w:val="0"/>
          <w:marRight w:val="0"/>
          <w:marTop w:val="0"/>
          <w:marBottom w:val="0"/>
          <w:divBdr>
            <w:top w:val="none" w:sz="0" w:space="0" w:color="auto"/>
            <w:left w:val="none" w:sz="0" w:space="0" w:color="auto"/>
            <w:bottom w:val="none" w:sz="0" w:space="0" w:color="auto"/>
            <w:right w:val="none" w:sz="0" w:space="0" w:color="auto"/>
          </w:divBdr>
        </w:div>
        <w:div w:id="164320604">
          <w:marLeft w:val="0"/>
          <w:marRight w:val="0"/>
          <w:marTop w:val="0"/>
          <w:marBottom w:val="0"/>
          <w:divBdr>
            <w:top w:val="none" w:sz="0" w:space="0" w:color="auto"/>
            <w:left w:val="none" w:sz="0" w:space="0" w:color="auto"/>
            <w:bottom w:val="none" w:sz="0" w:space="0" w:color="auto"/>
            <w:right w:val="none" w:sz="0" w:space="0" w:color="auto"/>
          </w:divBdr>
        </w:div>
        <w:div w:id="164320607">
          <w:marLeft w:val="0"/>
          <w:marRight w:val="0"/>
          <w:marTop w:val="0"/>
          <w:marBottom w:val="0"/>
          <w:divBdr>
            <w:top w:val="none" w:sz="0" w:space="0" w:color="auto"/>
            <w:left w:val="none" w:sz="0" w:space="0" w:color="auto"/>
            <w:bottom w:val="none" w:sz="0" w:space="0" w:color="auto"/>
            <w:right w:val="none" w:sz="0" w:space="0" w:color="auto"/>
          </w:divBdr>
        </w:div>
      </w:divsChild>
    </w:div>
    <w:div w:id="164320587">
      <w:marLeft w:val="0"/>
      <w:marRight w:val="0"/>
      <w:marTop w:val="0"/>
      <w:marBottom w:val="0"/>
      <w:divBdr>
        <w:top w:val="none" w:sz="0" w:space="0" w:color="auto"/>
        <w:left w:val="none" w:sz="0" w:space="0" w:color="auto"/>
        <w:bottom w:val="none" w:sz="0" w:space="0" w:color="auto"/>
        <w:right w:val="none" w:sz="0" w:space="0" w:color="auto"/>
      </w:divBdr>
    </w:div>
    <w:div w:id="164320588">
      <w:marLeft w:val="0"/>
      <w:marRight w:val="0"/>
      <w:marTop w:val="0"/>
      <w:marBottom w:val="0"/>
      <w:divBdr>
        <w:top w:val="none" w:sz="0" w:space="0" w:color="auto"/>
        <w:left w:val="none" w:sz="0" w:space="0" w:color="auto"/>
        <w:bottom w:val="none" w:sz="0" w:space="0" w:color="auto"/>
        <w:right w:val="none" w:sz="0" w:space="0" w:color="auto"/>
      </w:divBdr>
    </w:div>
    <w:div w:id="164320589">
      <w:marLeft w:val="0"/>
      <w:marRight w:val="0"/>
      <w:marTop w:val="0"/>
      <w:marBottom w:val="0"/>
      <w:divBdr>
        <w:top w:val="none" w:sz="0" w:space="0" w:color="auto"/>
        <w:left w:val="none" w:sz="0" w:space="0" w:color="auto"/>
        <w:bottom w:val="none" w:sz="0" w:space="0" w:color="auto"/>
        <w:right w:val="none" w:sz="0" w:space="0" w:color="auto"/>
      </w:divBdr>
    </w:div>
    <w:div w:id="164320590">
      <w:marLeft w:val="0"/>
      <w:marRight w:val="0"/>
      <w:marTop w:val="0"/>
      <w:marBottom w:val="0"/>
      <w:divBdr>
        <w:top w:val="none" w:sz="0" w:space="0" w:color="auto"/>
        <w:left w:val="none" w:sz="0" w:space="0" w:color="auto"/>
        <w:bottom w:val="none" w:sz="0" w:space="0" w:color="auto"/>
        <w:right w:val="none" w:sz="0" w:space="0" w:color="auto"/>
      </w:divBdr>
    </w:div>
    <w:div w:id="164320592">
      <w:marLeft w:val="0"/>
      <w:marRight w:val="0"/>
      <w:marTop w:val="0"/>
      <w:marBottom w:val="0"/>
      <w:divBdr>
        <w:top w:val="none" w:sz="0" w:space="0" w:color="auto"/>
        <w:left w:val="none" w:sz="0" w:space="0" w:color="auto"/>
        <w:bottom w:val="none" w:sz="0" w:space="0" w:color="auto"/>
        <w:right w:val="none" w:sz="0" w:space="0" w:color="auto"/>
      </w:divBdr>
    </w:div>
    <w:div w:id="164320593">
      <w:marLeft w:val="0"/>
      <w:marRight w:val="0"/>
      <w:marTop w:val="0"/>
      <w:marBottom w:val="0"/>
      <w:divBdr>
        <w:top w:val="none" w:sz="0" w:space="0" w:color="auto"/>
        <w:left w:val="none" w:sz="0" w:space="0" w:color="auto"/>
        <w:bottom w:val="none" w:sz="0" w:space="0" w:color="auto"/>
        <w:right w:val="none" w:sz="0" w:space="0" w:color="auto"/>
      </w:divBdr>
    </w:div>
    <w:div w:id="164320594">
      <w:marLeft w:val="0"/>
      <w:marRight w:val="0"/>
      <w:marTop w:val="0"/>
      <w:marBottom w:val="0"/>
      <w:divBdr>
        <w:top w:val="none" w:sz="0" w:space="0" w:color="auto"/>
        <w:left w:val="none" w:sz="0" w:space="0" w:color="auto"/>
        <w:bottom w:val="none" w:sz="0" w:space="0" w:color="auto"/>
        <w:right w:val="none" w:sz="0" w:space="0" w:color="auto"/>
      </w:divBdr>
    </w:div>
    <w:div w:id="164320595">
      <w:marLeft w:val="0"/>
      <w:marRight w:val="0"/>
      <w:marTop w:val="0"/>
      <w:marBottom w:val="0"/>
      <w:divBdr>
        <w:top w:val="none" w:sz="0" w:space="0" w:color="auto"/>
        <w:left w:val="none" w:sz="0" w:space="0" w:color="auto"/>
        <w:bottom w:val="none" w:sz="0" w:space="0" w:color="auto"/>
        <w:right w:val="none" w:sz="0" w:space="0" w:color="auto"/>
      </w:divBdr>
    </w:div>
    <w:div w:id="164320598">
      <w:marLeft w:val="0"/>
      <w:marRight w:val="0"/>
      <w:marTop w:val="0"/>
      <w:marBottom w:val="0"/>
      <w:divBdr>
        <w:top w:val="none" w:sz="0" w:space="0" w:color="auto"/>
        <w:left w:val="none" w:sz="0" w:space="0" w:color="auto"/>
        <w:bottom w:val="none" w:sz="0" w:space="0" w:color="auto"/>
        <w:right w:val="none" w:sz="0" w:space="0" w:color="auto"/>
      </w:divBdr>
    </w:div>
    <w:div w:id="164320602">
      <w:marLeft w:val="0"/>
      <w:marRight w:val="0"/>
      <w:marTop w:val="0"/>
      <w:marBottom w:val="0"/>
      <w:divBdr>
        <w:top w:val="none" w:sz="0" w:space="0" w:color="auto"/>
        <w:left w:val="none" w:sz="0" w:space="0" w:color="auto"/>
        <w:bottom w:val="none" w:sz="0" w:space="0" w:color="auto"/>
        <w:right w:val="none" w:sz="0" w:space="0" w:color="auto"/>
      </w:divBdr>
    </w:div>
    <w:div w:id="164320605">
      <w:marLeft w:val="0"/>
      <w:marRight w:val="0"/>
      <w:marTop w:val="0"/>
      <w:marBottom w:val="0"/>
      <w:divBdr>
        <w:top w:val="none" w:sz="0" w:space="0" w:color="auto"/>
        <w:left w:val="none" w:sz="0" w:space="0" w:color="auto"/>
        <w:bottom w:val="none" w:sz="0" w:space="0" w:color="auto"/>
        <w:right w:val="none" w:sz="0" w:space="0" w:color="auto"/>
      </w:divBdr>
    </w:div>
    <w:div w:id="16432060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arius.Mirza@uhb.nhs.uk"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4012</Words>
  <Characters>22869</Characters>
  <Application>Microsoft Office Word</Application>
  <DocSecurity>0</DocSecurity>
  <Lines>190</Lines>
  <Paragraphs>53</Paragraphs>
  <ScaleCrop>false</ScaleCrop>
  <Company>UHB NHS Foundation Trust</Company>
  <LinksUpToDate>false</LinksUpToDate>
  <CharactersWithSpaces>26828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Evans</dc:creator>
  <cp:lastModifiedBy>LS Ma</cp:lastModifiedBy>
  <cp:revision>2</cp:revision>
  <cp:lastPrinted>2012-08-19T17:42:00Z</cp:lastPrinted>
  <dcterms:created xsi:type="dcterms:W3CDTF">2013-04-10T00:45:00Z</dcterms:created>
  <dcterms:modified xsi:type="dcterms:W3CDTF">2013-04-10T00:45:00Z</dcterms:modified>
</cp:coreProperties>
</file>