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BF0ED9" w:rsidRPr="00022CAA" w:rsidRDefault="00022CAA">
            <w:pPr>
              <w:spacing w:line="360" w:lineRule="auto"/>
              <w:rPr>
                <w:rFonts w:ascii="Book Antiqua" w:hAnsi="Book Antiqua"/>
                <w:bCs/>
                <w:color w:val="000000"/>
                <w:sz w:val="24"/>
                <w:szCs w:val="24"/>
              </w:rPr>
            </w:pPr>
            <w:r w:rsidRPr="00022CAA">
              <w:rPr>
                <w:rFonts w:ascii="Book Antiqua" w:hAnsi="Book Antiqua"/>
                <w:bCs/>
                <w:color w:val="000000"/>
                <w:sz w:val="24"/>
                <w:szCs w:val="24"/>
              </w:rPr>
              <w:t>Acid suppressive therapy improved symptoms due to circumferential cervical inlet patch with proton pumps (H</w:t>
            </w:r>
            <w:r w:rsidRPr="00022CAA">
              <w:rPr>
                <w:rFonts w:ascii="Book Antiqua" w:hAnsi="Book Antiqua"/>
                <w:bCs/>
                <w:color w:val="000000"/>
                <w:sz w:val="24"/>
                <w:szCs w:val="24"/>
                <w:vertAlign w:val="superscript"/>
              </w:rPr>
              <w:t>+</w:t>
            </w:r>
            <w:r w:rsidRPr="00022CAA">
              <w:rPr>
                <w:rFonts w:ascii="Book Antiqua" w:hAnsi="Book Antiqua"/>
                <w:bCs/>
                <w:color w:val="000000"/>
                <w:sz w:val="24"/>
                <w:szCs w:val="24"/>
              </w:rPr>
              <w:t>/K</w:t>
            </w:r>
            <w:r w:rsidRPr="00022CAA">
              <w:rPr>
                <w:rFonts w:ascii="Book Antiqua" w:hAnsi="Book Antiqua"/>
                <w:bCs/>
                <w:color w:val="000000"/>
                <w:sz w:val="24"/>
                <w:szCs w:val="24"/>
                <w:vertAlign w:val="superscript"/>
              </w:rPr>
              <w:t>+</w:t>
            </w:r>
            <w:r w:rsidRPr="00022CAA">
              <w:rPr>
                <w:rFonts w:ascii="Book Antiqua" w:hAnsi="Book Antiqua"/>
                <w:bCs/>
                <w:color w:val="000000"/>
                <w:sz w:val="24"/>
                <w:szCs w:val="24"/>
              </w:rPr>
              <w:t>-ATPase)</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BF0ED9" w:rsidRPr="00022CAA" w:rsidRDefault="00022CAA">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roofErr w:type="spellStart"/>
            <w:r w:rsidRPr="00022CAA">
              <w:rPr>
                <w:rFonts w:ascii="Book Antiqua" w:hAnsi="Book Antiqua" w:cs="Book Antiqua"/>
                <w:color w:val="000000"/>
                <w:sz w:val="24"/>
                <w:szCs w:val="24"/>
              </w:rPr>
              <w:t>Takanori</w:t>
            </w:r>
            <w:proofErr w:type="spellEnd"/>
            <w:r w:rsidRPr="00022CAA">
              <w:rPr>
                <w:rFonts w:ascii="Book Antiqua" w:hAnsi="Book Antiqua" w:cs="Book Antiqua"/>
                <w:color w:val="000000"/>
                <w:sz w:val="24"/>
                <w:szCs w:val="24"/>
              </w:rPr>
              <w:t xml:space="preserve"> Yamada, Atsushi Tsuji, </w:t>
            </w:r>
            <w:proofErr w:type="spellStart"/>
            <w:r w:rsidRPr="00022CAA">
              <w:rPr>
                <w:rFonts w:ascii="Book Antiqua" w:hAnsi="Book Antiqua" w:cs="Book Antiqua"/>
                <w:color w:val="000000"/>
                <w:sz w:val="24"/>
                <w:szCs w:val="24"/>
              </w:rPr>
              <w:t>Shunya</w:t>
            </w:r>
            <w:proofErr w:type="spellEnd"/>
            <w:r w:rsidRPr="00022CAA">
              <w:rPr>
                <w:rFonts w:ascii="Book Antiqua" w:hAnsi="Book Antiqua" w:cs="Book Antiqua"/>
                <w:color w:val="000000"/>
                <w:sz w:val="24"/>
                <w:szCs w:val="24"/>
              </w:rPr>
              <w:t xml:space="preserve"> </w:t>
            </w:r>
            <w:proofErr w:type="spellStart"/>
            <w:r w:rsidRPr="00022CAA">
              <w:rPr>
                <w:rFonts w:ascii="Book Antiqua" w:hAnsi="Book Antiqua" w:cs="Book Antiqua"/>
                <w:color w:val="000000"/>
                <w:sz w:val="24"/>
                <w:szCs w:val="24"/>
              </w:rPr>
              <w:t>Onoue</w:t>
            </w:r>
            <w:proofErr w:type="spellEnd"/>
            <w:r w:rsidRPr="00022CAA">
              <w:rPr>
                <w:rFonts w:ascii="Book Antiqua" w:hAnsi="Book Antiqua" w:cs="Book Antiqua"/>
                <w:color w:val="000000"/>
                <w:sz w:val="24"/>
                <w:szCs w:val="24"/>
              </w:rPr>
              <w:t xml:space="preserve">, Masanao Kaneko, </w:t>
            </w:r>
            <w:proofErr w:type="spellStart"/>
            <w:r w:rsidRPr="00022CAA">
              <w:rPr>
                <w:rFonts w:ascii="Book Antiqua" w:hAnsi="Book Antiqua" w:cs="Book Antiqua"/>
                <w:color w:val="000000"/>
                <w:sz w:val="24"/>
                <w:szCs w:val="24"/>
              </w:rPr>
              <w:t>Fumihiko</w:t>
            </w:r>
            <w:proofErr w:type="spellEnd"/>
            <w:r w:rsidRPr="00022CAA">
              <w:rPr>
                <w:rFonts w:ascii="Book Antiqua" w:hAnsi="Book Antiqua" w:cs="Book Antiqua"/>
                <w:color w:val="000000"/>
                <w:sz w:val="24"/>
                <w:szCs w:val="24"/>
              </w:rPr>
              <w:t xml:space="preserve"> </w:t>
            </w:r>
            <w:proofErr w:type="spellStart"/>
            <w:r w:rsidRPr="00022CAA">
              <w:rPr>
                <w:rFonts w:ascii="Book Antiqua" w:hAnsi="Book Antiqua" w:cs="Book Antiqua"/>
                <w:color w:val="000000"/>
                <w:sz w:val="24"/>
                <w:szCs w:val="24"/>
              </w:rPr>
              <w:t>Tanioka</w:t>
            </w:r>
            <w:proofErr w:type="spellEnd"/>
            <w:r w:rsidRPr="00022CAA">
              <w:rPr>
                <w:rFonts w:ascii="Book Antiqua" w:hAnsi="Book Antiqua" w:cs="Book Antiqua"/>
                <w:color w:val="000000"/>
                <w:sz w:val="24"/>
                <w:szCs w:val="24"/>
              </w:rPr>
              <w:t xml:space="preserve">, Satoshi </w:t>
            </w:r>
            <w:proofErr w:type="spellStart"/>
            <w:r w:rsidRPr="00022CAA">
              <w:rPr>
                <w:rFonts w:ascii="Book Antiqua" w:hAnsi="Book Antiqua" w:cs="Book Antiqua"/>
                <w:color w:val="000000"/>
                <w:sz w:val="24"/>
                <w:szCs w:val="24"/>
              </w:rPr>
              <w:t>Osawa</w:t>
            </w:r>
            <w:proofErr w:type="spellEnd"/>
            <w:r w:rsidRPr="00022CAA">
              <w:rPr>
                <w:rFonts w:ascii="Book Antiqua" w:hAnsi="Book Antiqua" w:cs="Book Antiqua"/>
                <w:color w:val="000000"/>
                <w:sz w:val="24"/>
                <w:szCs w:val="24"/>
              </w:rPr>
              <w:t xml:space="preserve">, Yasuhiko </w:t>
            </w:r>
            <w:proofErr w:type="spellStart"/>
            <w:r w:rsidRPr="00022CAA">
              <w:rPr>
                <w:rFonts w:ascii="Book Antiqua" w:hAnsi="Book Antiqua" w:cs="Book Antiqua"/>
                <w:color w:val="000000"/>
                <w:sz w:val="24"/>
                <w:szCs w:val="24"/>
              </w:rPr>
              <w:t>Saida</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BF0ED9" w:rsidRDefault="00022CAA">
            <w:pPr>
              <w:pStyle w:val="af4"/>
              <w:spacing w:line="360" w:lineRule="auto"/>
              <w:rPr>
                <w:rFonts w:ascii="Book Antiqua" w:hAnsi="Book Antiqua"/>
                <w:sz w:val="24"/>
                <w:szCs w:val="24"/>
                <w:lang w:val="zh-CN"/>
              </w:rPr>
            </w:pPr>
            <w:r w:rsidRPr="00022CAA">
              <w:rPr>
                <w:rFonts w:ascii="Book Antiqua" w:hAnsi="Book Antiqua"/>
                <w:sz w:val="24"/>
                <w:szCs w:val="24"/>
              </w:rPr>
              <w:t xml:space="preserve">Yamada T, Tsuji A, </w:t>
            </w:r>
            <w:proofErr w:type="spellStart"/>
            <w:r w:rsidRPr="00022CAA">
              <w:rPr>
                <w:rFonts w:ascii="Book Antiqua" w:hAnsi="Book Antiqua"/>
                <w:sz w:val="24"/>
                <w:szCs w:val="24"/>
              </w:rPr>
              <w:t>Onoue</w:t>
            </w:r>
            <w:proofErr w:type="spellEnd"/>
            <w:r w:rsidRPr="00022CAA">
              <w:rPr>
                <w:rFonts w:ascii="Book Antiqua" w:hAnsi="Book Antiqua"/>
                <w:sz w:val="24"/>
                <w:szCs w:val="24"/>
              </w:rPr>
              <w:t xml:space="preserve"> S, Kaneko M, </w:t>
            </w:r>
            <w:proofErr w:type="spellStart"/>
            <w:r w:rsidRPr="00022CAA">
              <w:rPr>
                <w:rFonts w:ascii="Book Antiqua" w:hAnsi="Book Antiqua"/>
                <w:sz w:val="24"/>
                <w:szCs w:val="24"/>
              </w:rPr>
              <w:t>Tanioka</w:t>
            </w:r>
            <w:proofErr w:type="spellEnd"/>
            <w:r w:rsidRPr="00022CAA">
              <w:rPr>
                <w:rFonts w:ascii="Book Antiqua" w:hAnsi="Book Antiqua"/>
                <w:sz w:val="24"/>
                <w:szCs w:val="24"/>
              </w:rPr>
              <w:t xml:space="preserve"> F, </w:t>
            </w:r>
            <w:proofErr w:type="spellStart"/>
            <w:r w:rsidRPr="00022CAA">
              <w:rPr>
                <w:rFonts w:ascii="Book Antiqua" w:hAnsi="Book Antiqua"/>
                <w:sz w:val="24"/>
                <w:szCs w:val="24"/>
              </w:rPr>
              <w:t>Osawa</w:t>
            </w:r>
            <w:proofErr w:type="spellEnd"/>
            <w:r w:rsidRPr="00022CAA">
              <w:rPr>
                <w:rFonts w:ascii="Book Antiqua" w:hAnsi="Book Antiqua"/>
                <w:sz w:val="24"/>
                <w:szCs w:val="24"/>
              </w:rPr>
              <w:t xml:space="preserve"> S, </w:t>
            </w:r>
            <w:proofErr w:type="spellStart"/>
            <w:r w:rsidRPr="00022CAA">
              <w:rPr>
                <w:rFonts w:ascii="Book Antiqua" w:hAnsi="Book Antiqua"/>
                <w:sz w:val="24"/>
                <w:szCs w:val="24"/>
              </w:rPr>
              <w:t>Saida</w:t>
            </w:r>
            <w:proofErr w:type="spellEnd"/>
            <w:r w:rsidRPr="00022CAA">
              <w:rPr>
                <w:rFonts w:ascii="Book Antiqua" w:hAnsi="Book Antiqua"/>
                <w:sz w:val="24"/>
                <w:szCs w:val="24"/>
              </w:rPr>
              <w:t xml:space="preserve"> Y. Acid suppressive therapy improved symptoms due to circumferential cervical inlet patch with proton pumps (H</w:t>
            </w:r>
            <w:r w:rsidRPr="00022CAA">
              <w:rPr>
                <w:rFonts w:ascii="Book Antiqua" w:hAnsi="Book Antiqua"/>
                <w:sz w:val="24"/>
                <w:szCs w:val="24"/>
                <w:vertAlign w:val="superscript"/>
              </w:rPr>
              <w:t>+</w:t>
            </w:r>
            <w:r w:rsidRPr="00022CAA">
              <w:rPr>
                <w:rFonts w:ascii="Book Antiqua" w:hAnsi="Book Antiqua"/>
                <w:sz w:val="24"/>
                <w:szCs w:val="24"/>
              </w:rPr>
              <w:t>/K</w:t>
            </w:r>
            <w:r w:rsidRPr="00022CAA">
              <w:rPr>
                <w:rFonts w:ascii="Book Antiqua" w:hAnsi="Book Antiqua"/>
                <w:sz w:val="24"/>
                <w:szCs w:val="24"/>
                <w:vertAlign w:val="superscript"/>
              </w:rPr>
              <w:t>+</w:t>
            </w:r>
            <w:r w:rsidRPr="00022CAA">
              <w:rPr>
                <w:rFonts w:ascii="Book Antiqua" w:hAnsi="Book Antiqua"/>
                <w:sz w:val="24"/>
                <w:szCs w:val="24"/>
              </w:rPr>
              <w:t xml:space="preserve">-ATPase). </w:t>
            </w:r>
            <w:r w:rsidRPr="00022CAA">
              <w:rPr>
                <w:rFonts w:ascii="Book Antiqua" w:hAnsi="Book Antiqua"/>
                <w:i/>
                <w:iCs/>
                <w:sz w:val="24"/>
                <w:szCs w:val="24"/>
              </w:rPr>
              <w:t xml:space="preserve">World J </w:t>
            </w:r>
            <w:proofErr w:type="spellStart"/>
            <w:r w:rsidRPr="00022CAA">
              <w:rPr>
                <w:rFonts w:ascii="Book Antiqua" w:hAnsi="Book Antiqua"/>
                <w:i/>
                <w:iCs/>
                <w:sz w:val="24"/>
                <w:szCs w:val="24"/>
              </w:rPr>
              <w:t>Clin</w:t>
            </w:r>
            <w:proofErr w:type="spellEnd"/>
            <w:r w:rsidRPr="00022CAA">
              <w:rPr>
                <w:rFonts w:ascii="Book Antiqua" w:hAnsi="Book Antiqua"/>
                <w:i/>
                <w:iCs/>
                <w:sz w:val="24"/>
                <w:szCs w:val="24"/>
              </w:rPr>
              <w:t xml:space="preserve"> Cases</w:t>
            </w:r>
            <w:r w:rsidRPr="00022CAA">
              <w:rPr>
                <w:rFonts w:ascii="Book Antiqua" w:hAnsi="Book Antiqua"/>
                <w:sz w:val="24"/>
                <w:szCs w:val="24"/>
              </w:rPr>
              <w:t xml:space="preserve"> 2017; 5(11): 403-406</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022CAA" w:rsidRDefault="00022CAA" w:rsidP="003B7833">
            <w:pPr>
              <w:pStyle w:val="af3"/>
              <w:spacing w:line="360" w:lineRule="auto"/>
              <w:rPr>
                <w:rFonts w:ascii="Book Antiqua" w:hAnsi="Book Antiqua"/>
                <w:b w:val="0"/>
                <w:bCs w:val="0"/>
                <w:sz w:val="24"/>
                <w:szCs w:val="24"/>
                <w:lang w:val="en-US"/>
              </w:rPr>
            </w:pPr>
            <w:r w:rsidRPr="00022CAA">
              <w:rPr>
                <w:rFonts w:ascii="Book Antiqua" w:hAnsi="Book Antiqua"/>
                <w:b w:val="0"/>
                <w:sz w:val="24"/>
                <w:szCs w:val="24"/>
                <w:lang w:val="en-US"/>
              </w:rPr>
              <w:t>http://www.wjgnet.com/2307-8960/full/v5/i11/403.htm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022CAA" w:rsidRDefault="00022CAA" w:rsidP="003B7833">
            <w:pPr>
              <w:pStyle w:val="af3"/>
              <w:spacing w:line="360" w:lineRule="auto"/>
              <w:rPr>
                <w:rFonts w:ascii="Book Antiqua" w:hAnsi="Book Antiqua"/>
                <w:b w:val="0"/>
                <w:bCs w:val="0"/>
                <w:sz w:val="24"/>
                <w:szCs w:val="24"/>
                <w:lang w:val="en-US"/>
              </w:rPr>
            </w:pPr>
            <w:r w:rsidRPr="00022CAA">
              <w:rPr>
                <w:rFonts w:ascii="Book Antiqua" w:hAnsi="Book Antiqua"/>
                <w:b w:val="0"/>
                <w:sz w:val="24"/>
                <w:szCs w:val="24"/>
                <w:lang w:val="en-US"/>
              </w:rPr>
              <w:t>http://dx.doi.org/10.12998/wjcc.v5.i11.403</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BF0ED9" w:rsidRPr="00B17FF4" w:rsidRDefault="00022CAA">
            <w:pPr>
              <w:pStyle w:val="ad"/>
              <w:spacing w:line="360" w:lineRule="auto"/>
              <w:rPr>
                <w:rFonts w:ascii="Book Antiqua" w:hAnsi="Book Antiqua"/>
                <w:color w:val="000000"/>
                <w:sz w:val="24"/>
                <w:szCs w:val="24"/>
                <w:lang w:val="it-IT"/>
              </w:rPr>
            </w:pPr>
            <w:r w:rsidRPr="00022CAA">
              <w:rPr>
                <w:rFonts w:ascii="Book Antiqua" w:hAnsi="Book Antiqua"/>
                <w:color w:val="000000"/>
                <w:sz w:val="24"/>
                <w:szCs w:val="24"/>
                <w:lang w:val="it-IT"/>
              </w:rPr>
              <w:t xml:space="preserve">Open-Access: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22CAA">
              <w:rPr>
                <w:rFonts w:ascii="Book Antiqua" w:hAnsi="Book Antiqua"/>
                <w:sz w:val="24"/>
                <w:szCs w:val="24"/>
                <w:lang w:val="it-IT"/>
              </w:rPr>
              <w:fldChar w:fldCharType="begin"/>
            </w:r>
            <w:r w:rsidRPr="00022CAA">
              <w:rPr>
                <w:rFonts w:ascii="Book Antiqua" w:hAnsi="Book Antiqua"/>
                <w:sz w:val="24"/>
                <w:szCs w:val="24"/>
                <w:lang w:val="it-IT"/>
              </w:rPr>
              <w:instrText xml:space="preserve"> HYPERLINK "http://creativecommons.org/licenses/by-nc/4.0/" </w:instrText>
            </w:r>
            <w:r w:rsidRPr="00022CAA">
              <w:rPr>
                <w:rFonts w:ascii="Book Antiqua" w:hAnsi="Book Antiqua"/>
                <w:sz w:val="24"/>
                <w:szCs w:val="24"/>
                <w:lang w:val="it-IT"/>
              </w:rPr>
              <w:fldChar w:fldCharType="separate"/>
            </w:r>
            <w:r w:rsidRPr="00022CAA">
              <w:rPr>
                <w:rStyle w:val="a6"/>
                <w:rFonts w:ascii="Book Antiqua" w:hAnsi="Book Antiqua"/>
                <w:color w:val="auto"/>
                <w:sz w:val="24"/>
                <w:szCs w:val="24"/>
                <w:u w:val="none"/>
                <w:lang w:val="it-IT"/>
              </w:rPr>
              <w:t>http://creativecommons.org/licenses/by-nc/4.0/</w:t>
            </w:r>
            <w:r w:rsidRPr="00022CAA">
              <w:rPr>
                <w:rFonts w:ascii="Book Antiqua" w:hAnsi="Book Antiqua"/>
                <w:sz w:val="24"/>
                <w:szCs w:val="24"/>
                <w:lang w:val="it-IT"/>
              </w:rPr>
              <w:fldChar w:fldCharType="end"/>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BF0ED9" w:rsidRDefault="00022CAA">
            <w:pPr>
              <w:pStyle w:val="E-1"/>
              <w:spacing w:line="360" w:lineRule="auto"/>
              <w:rPr>
                <w:rFonts w:ascii="Book Antiqua" w:hAnsi="Book Antiqua"/>
                <w:bCs/>
                <w:sz w:val="24"/>
                <w:szCs w:val="24"/>
              </w:rPr>
            </w:pPr>
            <w:r w:rsidRPr="00022CAA">
              <w:rPr>
                <w:rFonts w:ascii="Book Antiqua" w:hAnsi="Book Antiqua"/>
                <w:sz w:val="24"/>
                <w:szCs w:val="24"/>
              </w:rPr>
              <w:t xml:space="preserve">Cervical inlet patch (CIP) is the esophageal heterotopic gastric </w:t>
            </w:r>
            <w:r w:rsidRPr="00022CAA">
              <w:rPr>
                <w:rFonts w:ascii="Book Antiqua" w:hAnsi="Book Antiqua"/>
                <w:sz w:val="24"/>
                <w:szCs w:val="24"/>
              </w:rPr>
              <w:lastRenderedPageBreak/>
              <w:t xml:space="preserve">mucosa in the cervical esophagus. We present a 55-year-old man exhibiting circumferential CIP with </w:t>
            </w:r>
            <w:proofErr w:type="spellStart"/>
            <w:r w:rsidRPr="00022CAA">
              <w:rPr>
                <w:rFonts w:ascii="Book Antiqua" w:hAnsi="Book Antiqua"/>
                <w:sz w:val="24"/>
                <w:szCs w:val="24"/>
              </w:rPr>
              <w:t>globus</w:t>
            </w:r>
            <w:proofErr w:type="spellEnd"/>
            <w:r w:rsidRPr="00022CAA">
              <w:rPr>
                <w:rFonts w:ascii="Book Antiqua" w:hAnsi="Book Antiqua"/>
                <w:sz w:val="24"/>
                <w:szCs w:val="24"/>
              </w:rPr>
              <w:t xml:space="preserve"> and dysphagia. Proton pump inhibitors relived these throat symptoms. Immunohistochemistry revealed existence of proton pumps in the CIP lesion. The throat symptoms were suggested to be related with CIP and acid secretion.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BF0ED9" w:rsidRDefault="00037B72">
            <w:pPr>
              <w:pStyle w:val="E-1"/>
              <w:spacing w:line="360" w:lineRule="auto"/>
              <w:rPr>
                <w:rFonts w:ascii="Book Antiqua" w:hAnsi="Book Antiqua"/>
                <w:spacing w:val="-4"/>
                <w:sz w:val="24"/>
                <w:szCs w:val="24"/>
              </w:rPr>
            </w:pPr>
            <w:r>
              <w:rPr>
                <w:rFonts w:ascii="Book Antiqua" w:hAnsi="Book Antiqua"/>
                <w:sz w:val="24"/>
                <w:szCs w:val="24"/>
              </w:rPr>
              <w:t>Cervical inlet patch,  and Proton pump inhibitor</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BF0ED9" w:rsidRDefault="00037B72">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BF0ED9" w:rsidRDefault="00037B72">
            <w:pPr>
              <w:pStyle w:val="af3"/>
              <w:spacing w:line="360" w:lineRule="auto"/>
              <w:rPr>
                <w:rFonts w:ascii="Book Antiqua" w:hAnsi="Book Antiqua"/>
                <w:b w:val="0"/>
                <w:i/>
                <w:sz w:val="24"/>
                <w:szCs w:val="24"/>
                <w:lang w:val="en-US"/>
              </w:rPr>
            </w:pPr>
            <w:r w:rsidRPr="00B17FF4">
              <w:rPr>
                <w:rFonts w:ascii="Book Antiqua" w:hAnsi="Book Antiqua"/>
                <w:b w:val="0"/>
                <w:sz w:val="24"/>
                <w:szCs w:val="24"/>
                <w:lang w:val="en-US"/>
              </w:rPr>
              <w:t>World Journal of Clinical Cases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BF0ED9" w:rsidRDefault="00037B72">
            <w:pPr>
              <w:pStyle w:val="af3"/>
              <w:spacing w:line="360" w:lineRule="auto"/>
              <w:rPr>
                <w:rFonts w:ascii="Book Antiqua" w:hAnsi="Book Antiqua"/>
                <w:b w:val="0"/>
                <w:sz w:val="24"/>
                <w:szCs w:val="24"/>
                <w:lang w:val="en-US"/>
              </w:rPr>
            </w:pPr>
            <w:r>
              <w:rPr>
                <w:rFonts w:ascii="Book Antiqua" w:hAnsi="Book Antiqua"/>
                <w:b w:val="0"/>
                <w:sz w:val="24"/>
                <w:szCs w:val="24"/>
              </w:rPr>
              <w:t>2307-8960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BF0ED9" w:rsidRDefault="00037B72">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BF0ED9" w:rsidRDefault="00037B72">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022CAA" w:rsidRDefault="00022CAA" w:rsidP="00B657F9"/>
    <w:p w:rsidR="00022CAA" w:rsidRDefault="00022CAA" w:rsidP="00B657F9"/>
    <w:p w:rsidR="00022CAA" w:rsidRDefault="00022CAA" w:rsidP="00B657F9"/>
    <w:p w:rsidR="00022CAA" w:rsidRDefault="00022CAA" w:rsidP="00B657F9"/>
    <w:p w:rsidR="00022CAA" w:rsidRDefault="00022CAA" w:rsidP="00B657F9"/>
    <w:p w:rsidR="00022CAA" w:rsidRDefault="00022CAA" w:rsidP="00B657F9"/>
    <w:p w:rsidR="00022CAA" w:rsidRDefault="00022CAA" w:rsidP="00B657F9"/>
    <w:p w:rsidR="00022CAA" w:rsidRDefault="00022CAA" w:rsidP="00B657F9"/>
    <w:p w:rsidR="00022CAA" w:rsidRDefault="00022CAA" w:rsidP="00B657F9"/>
    <w:p w:rsidR="00022CAA" w:rsidRDefault="00022CAA" w:rsidP="00B657F9"/>
    <w:p w:rsidR="00022CAA" w:rsidRDefault="00022CAA" w:rsidP="00B657F9"/>
    <w:p w:rsidR="00022CAA" w:rsidRDefault="00022CAA" w:rsidP="00B657F9"/>
    <w:p w:rsidR="00022CAA" w:rsidRPr="00B8381F" w:rsidRDefault="00022CAA" w:rsidP="00022CAA">
      <w:r>
        <w:lastRenderedPageBreak/>
        <w:t xml:space="preserve">Ms. </w:t>
      </w:r>
      <w:proofErr w:type="spellStart"/>
      <w:r>
        <w:t>wjg</w:t>
      </w:r>
      <w:proofErr w:type="spellEnd"/>
      <w:r>
        <w:t xml:space="preserve">/20XX                                                    </w:t>
      </w:r>
      <w:r w:rsidRPr="00B8381F">
        <w:t>CASE REPORT</w:t>
      </w:r>
    </w:p>
    <w:p w:rsidR="00022CAA" w:rsidRDefault="00022CAA" w:rsidP="00022CAA"/>
    <w:p w:rsidR="00022CAA" w:rsidRPr="00B8381F" w:rsidRDefault="00022CAA" w:rsidP="00022CAA">
      <w:pPr>
        <w:pStyle w:val="af3"/>
        <w:rPr>
          <w:lang w:val="en-US"/>
        </w:rPr>
      </w:pPr>
      <w:r w:rsidRPr="00B8381F">
        <w:rPr>
          <w:lang w:val="en-US"/>
        </w:rPr>
        <w:t>Acid suppressive therapy improved symptoms due to circumferential cervical inlet patch with proton pumps (H</w:t>
      </w:r>
      <w:r w:rsidRPr="00B8381F">
        <w:rPr>
          <w:vertAlign w:val="superscript"/>
          <w:lang w:val="en-US"/>
        </w:rPr>
        <w:t>+</w:t>
      </w:r>
      <w:r w:rsidRPr="00B8381F">
        <w:rPr>
          <w:lang w:val="en-US"/>
        </w:rPr>
        <w:t>/K</w:t>
      </w:r>
      <w:r w:rsidRPr="00B8381F">
        <w:rPr>
          <w:vertAlign w:val="superscript"/>
          <w:lang w:val="en-US"/>
        </w:rPr>
        <w:t>+</w:t>
      </w:r>
      <w:r w:rsidRPr="00B8381F">
        <w:rPr>
          <w:lang w:val="en-US"/>
        </w:rPr>
        <w:t>-ATPase)</w:t>
      </w:r>
    </w:p>
    <w:p w:rsidR="00022CAA" w:rsidRDefault="00022CAA" w:rsidP="00022CAA"/>
    <w:p w:rsidR="00022CAA" w:rsidRPr="00B8381F" w:rsidRDefault="00022CAA" w:rsidP="00022CAA">
      <w:pPr>
        <w:pStyle w:val="af5"/>
        <w:rPr>
          <w:lang w:val="en-US"/>
        </w:rPr>
      </w:pPr>
      <w:proofErr w:type="spellStart"/>
      <w:r w:rsidRPr="00B8381F">
        <w:rPr>
          <w:lang w:val="en-US"/>
        </w:rPr>
        <w:t>Takanori</w:t>
      </w:r>
      <w:proofErr w:type="spellEnd"/>
      <w:r w:rsidRPr="00B8381F">
        <w:rPr>
          <w:lang w:val="en-US"/>
        </w:rPr>
        <w:t xml:space="preserve"> Yamada, Atsushi Tsuji, </w:t>
      </w:r>
      <w:proofErr w:type="spellStart"/>
      <w:r w:rsidRPr="00B8381F">
        <w:rPr>
          <w:lang w:val="en-US"/>
        </w:rPr>
        <w:t>Shunya</w:t>
      </w:r>
      <w:proofErr w:type="spellEnd"/>
      <w:r w:rsidRPr="00B8381F">
        <w:rPr>
          <w:lang w:val="en-US"/>
        </w:rPr>
        <w:t xml:space="preserve"> </w:t>
      </w:r>
      <w:proofErr w:type="spellStart"/>
      <w:r w:rsidRPr="00B8381F">
        <w:rPr>
          <w:lang w:val="en-US"/>
        </w:rPr>
        <w:t>Onoue</w:t>
      </w:r>
      <w:proofErr w:type="spellEnd"/>
      <w:r w:rsidRPr="00B8381F">
        <w:rPr>
          <w:lang w:val="en-US"/>
        </w:rPr>
        <w:t xml:space="preserve">, Masanao Kaneko, </w:t>
      </w:r>
      <w:proofErr w:type="spellStart"/>
      <w:r w:rsidRPr="00B8381F">
        <w:rPr>
          <w:lang w:val="en-US"/>
        </w:rPr>
        <w:t>Fumihiko</w:t>
      </w:r>
      <w:proofErr w:type="spellEnd"/>
      <w:r w:rsidRPr="00B8381F">
        <w:rPr>
          <w:lang w:val="en-US"/>
        </w:rPr>
        <w:t xml:space="preserve"> </w:t>
      </w:r>
      <w:proofErr w:type="spellStart"/>
      <w:r w:rsidRPr="00B8381F">
        <w:rPr>
          <w:lang w:val="en-US"/>
        </w:rPr>
        <w:t>Tanioka</w:t>
      </w:r>
      <w:proofErr w:type="spellEnd"/>
      <w:r w:rsidRPr="00B8381F">
        <w:rPr>
          <w:lang w:val="en-US"/>
        </w:rPr>
        <w:t xml:space="preserve">, Satoshi </w:t>
      </w:r>
      <w:proofErr w:type="spellStart"/>
      <w:r w:rsidRPr="00B8381F">
        <w:rPr>
          <w:lang w:val="en-US"/>
        </w:rPr>
        <w:t>Osawa</w:t>
      </w:r>
      <w:proofErr w:type="spellEnd"/>
      <w:r w:rsidRPr="00B8381F">
        <w:rPr>
          <w:lang w:val="en-US"/>
        </w:rPr>
        <w:t xml:space="preserve">, Yasuhiko </w:t>
      </w:r>
      <w:proofErr w:type="spellStart"/>
      <w:r w:rsidRPr="00B8381F">
        <w:rPr>
          <w:lang w:val="en-US"/>
        </w:rPr>
        <w:t>Saida</w:t>
      </w:r>
      <w:proofErr w:type="spellEnd"/>
    </w:p>
    <w:p w:rsidR="00022CAA" w:rsidRDefault="00022CAA" w:rsidP="00022CAA"/>
    <w:p w:rsidR="00022CAA" w:rsidRPr="00B8381F" w:rsidRDefault="00022CAA" w:rsidP="00022CAA">
      <w:pPr>
        <w:pStyle w:val="af6"/>
        <w:rPr>
          <w:b/>
          <w:bCs/>
        </w:rPr>
      </w:pPr>
      <w:proofErr w:type="spellStart"/>
      <w:r>
        <w:rPr>
          <w:rFonts w:ascii="Tahoma" w:hAnsi="Tahoma" w:cs="Tahoma"/>
        </w:rPr>
        <w:t>Takanori</w:t>
      </w:r>
      <w:proofErr w:type="spellEnd"/>
      <w:r>
        <w:rPr>
          <w:rFonts w:ascii="Tahoma" w:hAnsi="Tahoma" w:cs="Tahoma"/>
        </w:rPr>
        <w:t xml:space="preserve"> Yamada, Atsushi Tsuji, </w:t>
      </w:r>
      <w:proofErr w:type="spellStart"/>
      <w:r>
        <w:rPr>
          <w:rFonts w:ascii="Tahoma" w:hAnsi="Tahoma" w:cs="Tahoma"/>
        </w:rPr>
        <w:t>Shunya</w:t>
      </w:r>
      <w:proofErr w:type="spellEnd"/>
      <w:r>
        <w:rPr>
          <w:rFonts w:ascii="Tahoma" w:hAnsi="Tahoma" w:cs="Tahoma"/>
        </w:rPr>
        <w:t xml:space="preserve"> </w:t>
      </w:r>
      <w:proofErr w:type="spellStart"/>
      <w:r>
        <w:rPr>
          <w:rFonts w:ascii="Tahoma" w:hAnsi="Tahoma" w:cs="Tahoma"/>
        </w:rPr>
        <w:t>Onoue</w:t>
      </w:r>
      <w:proofErr w:type="spellEnd"/>
      <w:r>
        <w:rPr>
          <w:rFonts w:ascii="Tahoma" w:hAnsi="Tahoma" w:cs="Tahoma"/>
        </w:rPr>
        <w:t xml:space="preserve">, Masanao Kaneko, Yasuhiko </w:t>
      </w:r>
      <w:proofErr w:type="spellStart"/>
      <w:r>
        <w:rPr>
          <w:rFonts w:ascii="Tahoma" w:hAnsi="Tahoma" w:cs="Tahoma"/>
        </w:rPr>
        <w:t>Saida</w:t>
      </w:r>
      <w:proofErr w:type="spellEnd"/>
      <w:r>
        <w:rPr>
          <w:rFonts w:ascii="Tahoma" w:hAnsi="Tahoma" w:cs="Tahoma"/>
        </w:rPr>
        <w:t>,</w:t>
      </w:r>
      <w:r>
        <w:t xml:space="preserve"> Department of Gastroenterology, Iwata City Hospital, Iwata 438-8550, Japan</w:t>
      </w:r>
    </w:p>
    <w:p w:rsidR="00022CAA" w:rsidRPr="00B8381F" w:rsidRDefault="00022CAA" w:rsidP="00022CAA">
      <w:pPr>
        <w:pStyle w:val="af6"/>
      </w:pPr>
      <w:proofErr w:type="spellStart"/>
      <w:r>
        <w:rPr>
          <w:rFonts w:ascii="Tahoma" w:hAnsi="Tahoma" w:cs="Tahoma"/>
        </w:rPr>
        <w:t>Fumihiko</w:t>
      </w:r>
      <w:proofErr w:type="spellEnd"/>
      <w:r>
        <w:rPr>
          <w:rFonts w:ascii="Tahoma" w:hAnsi="Tahoma" w:cs="Tahoma"/>
        </w:rPr>
        <w:t xml:space="preserve"> </w:t>
      </w:r>
      <w:proofErr w:type="spellStart"/>
      <w:r>
        <w:rPr>
          <w:rFonts w:ascii="Tahoma" w:hAnsi="Tahoma" w:cs="Tahoma"/>
        </w:rPr>
        <w:t>Tanioka</w:t>
      </w:r>
      <w:proofErr w:type="spellEnd"/>
      <w:r>
        <w:rPr>
          <w:rFonts w:ascii="Tahoma" w:hAnsi="Tahoma" w:cs="Tahoma"/>
        </w:rPr>
        <w:t>,</w:t>
      </w:r>
      <w:r>
        <w:t xml:space="preserve"> Division of Pathology, Iwata City Hospital, Iwata 438-8550, Japan</w:t>
      </w:r>
    </w:p>
    <w:p w:rsidR="00022CAA" w:rsidRPr="00B8381F" w:rsidRDefault="00022CAA" w:rsidP="00022CAA">
      <w:pPr>
        <w:pStyle w:val="af6"/>
      </w:pPr>
      <w:r>
        <w:rPr>
          <w:rFonts w:ascii="Tahoma" w:hAnsi="Tahoma" w:cs="Tahoma"/>
        </w:rPr>
        <w:t xml:space="preserve">Satoshi </w:t>
      </w:r>
      <w:proofErr w:type="spellStart"/>
      <w:r>
        <w:rPr>
          <w:rFonts w:ascii="Tahoma" w:hAnsi="Tahoma" w:cs="Tahoma"/>
        </w:rPr>
        <w:t>Osawa</w:t>
      </w:r>
      <w:proofErr w:type="spellEnd"/>
      <w:r>
        <w:rPr>
          <w:rFonts w:ascii="Tahoma" w:hAnsi="Tahoma" w:cs="Tahoma"/>
        </w:rPr>
        <w:t>,</w:t>
      </w:r>
      <w:r>
        <w:rPr>
          <w:b/>
          <w:bCs/>
        </w:rPr>
        <w:t xml:space="preserve"> </w:t>
      </w:r>
      <w:r>
        <w:t xml:space="preserve">Department of Endoscopic and Photodynamic </w:t>
      </w:r>
      <w:r>
        <w:rPr>
          <w:spacing w:val="-4"/>
        </w:rPr>
        <w:t xml:space="preserve">Medicine, Hamamatsu University School of Medicine, </w:t>
      </w:r>
      <w:r>
        <w:t>Hamamatsu 431-3192, Japan</w:t>
      </w:r>
    </w:p>
    <w:p w:rsidR="00022CAA" w:rsidRPr="00B8381F" w:rsidRDefault="00022CAA" w:rsidP="00022CAA">
      <w:pPr>
        <w:pStyle w:val="af6"/>
      </w:pPr>
      <w:proofErr w:type="gramStart"/>
      <w:r w:rsidRPr="00B8381F">
        <w:rPr>
          <w:rFonts w:ascii="Tahoma" w:hAnsi="Tahoma" w:cs="Tahoma"/>
          <w:spacing w:val="0"/>
        </w:rPr>
        <w:t>Author contributions:</w:t>
      </w:r>
      <w:r>
        <w:rPr>
          <w:b/>
          <w:bCs/>
        </w:rPr>
        <w:t xml:space="preserve"> </w:t>
      </w:r>
      <w:r>
        <w:t xml:space="preserve">Yamada T wrote the paper; Tsuji A treated the patient and performed endoscopy; </w:t>
      </w:r>
      <w:proofErr w:type="spellStart"/>
      <w:r>
        <w:t>Onoue</w:t>
      </w:r>
      <w:proofErr w:type="spellEnd"/>
      <w:r>
        <w:t xml:space="preserve"> S, Kaneko M, </w:t>
      </w:r>
      <w:proofErr w:type="spellStart"/>
      <w:r>
        <w:t>Osawa</w:t>
      </w:r>
      <w:proofErr w:type="spellEnd"/>
      <w:r>
        <w:t xml:space="preserve"> S and </w:t>
      </w:r>
      <w:proofErr w:type="spellStart"/>
      <w:r>
        <w:t>Saida</w:t>
      </w:r>
      <w:proofErr w:type="spellEnd"/>
      <w:r>
        <w:t xml:space="preserve"> Y contributed to the paper design and coordination; </w:t>
      </w:r>
      <w:proofErr w:type="spellStart"/>
      <w:r>
        <w:t>Tanioka</w:t>
      </w:r>
      <w:proofErr w:type="spellEnd"/>
      <w:r>
        <w:t xml:space="preserve"> F contributed to the pathological examination.</w:t>
      </w:r>
      <w:proofErr w:type="gramEnd"/>
    </w:p>
    <w:p w:rsidR="00022CAA" w:rsidRDefault="00022CAA" w:rsidP="00022CAA">
      <w:pPr>
        <w:pStyle w:val="af6"/>
      </w:pPr>
      <w:r>
        <w:rPr>
          <w:rFonts w:ascii="Tahoma" w:hAnsi="Tahoma" w:cs="Tahoma"/>
        </w:rPr>
        <w:t xml:space="preserve">Correspondence to: </w:t>
      </w:r>
      <w:proofErr w:type="spellStart"/>
      <w:r>
        <w:rPr>
          <w:rFonts w:ascii="Tahoma" w:hAnsi="Tahoma" w:cs="Tahoma"/>
        </w:rPr>
        <w:t>Takanori</w:t>
      </w:r>
      <w:proofErr w:type="spellEnd"/>
      <w:r>
        <w:rPr>
          <w:rFonts w:ascii="Tahoma" w:hAnsi="Tahoma" w:cs="Tahoma"/>
        </w:rPr>
        <w:t xml:space="preserve"> Yamada</w:t>
      </w:r>
      <w:r w:rsidRPr="00B8381F">
        <w:rPr>
          <w:rFonts w:ascii="Tahoma" w:hAnsi="Tahoma" w:cs="Tahoma"/>
        </w:rPr>
        <w:t>,</w:t>
      </w:r>
      <w:r>
        <w:rPr>
          <w:rFonts w:ascii="Tahoma" w:hAnsi="Tahoma" w:cs="Tahoma"/>
        </w:rPr>
        <w:t xml:space="preserve"> MD, PhD,</w:t>
      </w:r>
      <w:r>
        <w:t xml:space="preserve"> Department of Gastroenterology, Iwata City Hospital, 512-3 Okubo, Iwata 438-8550, Japan. tky@hospital.iwata.shizuoka.jp</w:t>
      </w:r>
    </w:p>
    <w:p w:rsidR="00022CAA" w:rsidRPr="00B8381F" w:rsidRDefault="00022CAA" w:rsidP="00022CAA">
      <w:pPr>
        <w:pStyle w:val="af6"/>
        <w:rPr>
          <w:b/>
          <w:bCs/>
        </w:rPr>
      </w:pPr>
      <w:r>
        <w:rPr>
          <w:rFonts w:ascii="Tahoma" w:hAnsi="Tahoma" w:cs="Tahoma"/>
        </w:rPr>
        <w:t>Telephone:</w:t>
      </w:r>
      <w:r>
        <w:rPr>
          <w:b/>
          <w:bCs/>
        </w:rPr>
        <w:t xml:space="preserve"> </w:t>
      </w:r>
      <w:r>
        <w:t>+81-538-385000</w:t>
      </w:r>
      <w:r>
        <w:rPr>
          <w:rFonts w:hint="eastAsia"/>
          <w:b/>
          <w:bCs/>
        </w:rPr>
        <w:t xml:space="preserve">    </w:t>
      </w:r>
      <w:r>
        <w:rPr>
          <w:rFonts w:ascii="Tahoma" w:hAnsi="Tahoma" w:cs="Tahoma"/>
        </w:rPr>
        <w:t>Fax:</w:t>
      </w:r>
      <w:r>
        <w:rPr>
          <w:b/>
          <w:bCs/>
        </w:rPr>
        <w:t xml:space="preserve"> </w:t>
      </w:r>
      <w:r>
        <w:t>+81-538-385050</w:t>
      </w:r>
    </w:p>
    <w:p w:rsidR="00022CAA" w:rsidRDefault="00022CAA" w:rsidP="00022CAA">
      <w:pPr>
        <w:pStyle w:val="af6"/>
        <w:rPr>
          <w:b/>
          <w:bCs/>
        </w:rPr>
      </w:pPr>
      <w:r>
        <w:rPr>
          <w:rFonts w:ascii="Tahoma" w:hAnsi="Tahoma" w:cs="Tahoma"/>
        </w:rPr>
        <w:t>Received:</w:t>
      </w:r>
      <w:r>
        <w:rPr>
          <w:b/>
          <w:bCs/>
        </w:rPr>
        <w:t xml:space="preserve"> </w:t>
      </w:r>
      <w:r w:rsidRPr="00B8381F">
        <w:t xml:space="preserve">July 26, </w:t>
      </w:r>
      <w:r>
        <w:t>2017</w:t>
      </w:r>
      <w:r>
        <w:rPr>
          <w:rFonts w:hint="eastAsia"/>
          <w:b/>
          <w:bCs/>
        </w:rPr>
        <w:t xml:space="preserve">    </w:t>
      </w:r>
      <w:r>
        <w:rPr>
          <w:rFonts w:ascii="Tahoma" w:hAnsi="Tahoma" w:cs="Tahoma"/>
        </w:rPr>
        <w:t>Revised:</w:t>
      </w:r>
      <w:r w:rsidRPr="00B8381F">
        <w:t xml:space="preserve"> August 25, 2017</w:t>
      </w:r>
      <w:r>
        <w:rPr>
          <w:rFonts w:hint="eastAsia"/>
          <w:b/>
          <w:bCs/>
        </w:rPr>
        <w:t xml:space="preserve">    </w:t>
      </w:r>
      <w:r>
        <w:rPr>
          <w:rFonts w:ascii="Tahoma" w:hAnsi="Tahoma" w:cs="Tahoma"/>
        </w:rPr>
        <w:t>Accepted:</w:t>
      </w:r>
      <w:r>
        <w:rPr>
          <w:b/>
          <w:bCs/>
        </w:rPr>
        <w:t xml:space="preserve"> </w:t>
      </w:r>
      <w:r>
        <w:t>September 12, 2017</w:t>
      </w:r>
    </w:p>
    <w:p w:rsidR="00022CAA" w:rsidRDefault="00022CAA" w:rsidP="00022CAA">
      <w:pPr>
        <w:pStyle w:val="af6"/>
        <w:rPr>
          <w:b/>
          <w:bCs/>
        </w:rPr>
      </w:pPr>
      <w:r>
        <w:rPr>
          <w:rFonts w:ascii="Tahoma" w:hAnsi="Tahoma" w:cs="Tahoma"/>
        </w:rPr>
        <w:t xml:space="preserve">Published online: </w:t>
      </w:r>
      <w:r w:rsidRPr="00B8381F">
        <w:rPr>
          <w:spacing w:val="0"/>
        </w:rPr>
        <w:t>November</w:t>
      </w:r>
      <w:r>
        <w:t xml:space="preserve"> 16, 2017</w:t>
      </w:r>
    </w:p>
    <w:p w:rsidR="00022CAA" w:rsidRPr="00B8381F" w:rsidRDefault="00022CAA" w:rsidP="00022CAA">
      <w:pPr>
        <w:pStyle w:val="NormalParagraphStyle"/>
        <w:ind w:left="5250"/>
        <w:rPr>
          <w:rFonts w:ascii="Century Gothic" w:hAnsi="Century Gothic" w:cs="Century Gothic"/>
          <w:b/>
          <w:bCs/>
          <w:spacing w:val="12"/>
          <w:lang w:val="en-US"/>
        </w:rPr>
      </w:pPr>
    </w:p>
    <w:p w:rsidR="00022CAA" w:rsidRPr="00B8381F" w:rsidRDefault="00022CAA" w:rsidP="00022CAA">
      <w:pPr>
        <w:pStyle w:val="NormalParagraphStyle"/>
        <w:rPr>
          <w:rFonts w:ascii="Book Antiqua" w:hAnsi="Book Antiqua" w:cs="Book Antiqua"/>
          <w:b/>
          <w:bCs/>
          <w:lang w:val="en-US"/>
        </w:rPr>
      </w:pPr>
      <w:r w:rsidRPr="00B8381F">
        <w:rPr>
          <w:rFonts w:ascii="Century Gothic" w:hAnsi="Century Gothic" w:cs="Century Gothic"/>
          <w:b/>
          <w:bCs/>
          <w:spacing w:val="12"/>
          <w:lang w:val="en-US"/>
        </w:rPr>
        <w:t>Abstract</w:t>
      </w:r>
    </w:p>
    <w:p w:rsidR="00022CAA" w:rsidRDefault="00022CAA" w:rsidP="00022CAA">
      <w:pPr>
        <w:pStyle w:val="E-1"/>
        <w:rPr>
          <w:b/>
          <w:bCs/>
        </w:rPr>
      </w:pPr>
      <w:r>
        <w:rPr>
          <w:spacing w:val="-2"/>
        </w:rPr>
        <w:t xml:space="preserve">Cervical </w:t>
      </w:r>
      <w:proofErr w:type="gramStart"/>
      <w:r>
        <w:rPr>
          <w:spacing w:val="-2"/>
        </w:rPr>
        <w:t>inlet</w:t>
      </w:r>
      <w:r w:rsidRPr="00B8381F">
        <w:rPr>
          <w:spacing w:val="-2"/>
        </w:rPr>
        <w:t xml:space="preserve"> </w:t>
      </w:r>
      <w:r>
        <w:rPr>
          <w:spacing w:val="-2"/>
        </w:rPr>
        <w:t>patch</w:t>
      </w:r>
      <w:proofErr w:type="gramEnd"/>
      <w:r>
        <w:rPr>
          <w:spacing w:val="-2"/>
        </w:rPr>
        <w:t xml:space="preserve"> (CIP), also referred to as </w:t>
      </w:r>
      <w:r>
        <w:t xml:space="preserve">esophageal heterotopic gastric mucosa, is regarded as the residue of columnar epithelium of the embryonic esophagus. Narrow band imaging increases the </w:t>
      </w:r>
      <w:r>
        <w:rPr>
          <w:spacing w:val="-4"/>
        </w:rPr>
        <w:t>detection rate of CIP. Herein, we present a 55-year-old</w:t>
      </w:r>
      <w:r>
        <w:t xml:space="preserve"> man with symptomatic circumferential inlet patch. He exhibited </w:t>
      </w:r>
      <w:proofErr w:type="spellStart"/>
      <w:r>
        <w:t>globus</w:t>
      </w:r>
      <w:proofErr w:type="spellEnd"/>
      <w:r>
        <w:t xml:space="preserve"> and dysphagia, and esophagogastroduodenoscopy</w:t>
      </w:r>
      <w:r w:rsidRPr="00B8381F">
        <w:t xml:space="preserve"> </w:t>
      </w:r>
      <w:r>
        <w:t xml:space="preserve">found </w:t>
      </w:r>
      <w:proofErr w:type="spellStart"/>
      <w:r>
        <w:t>cir-cumferential</w:t>
      </w:r>
      <w:proofErr w:type="spellEnd"/>
      <w:r>
        <w:t xml:space="preserve"> CIP, where </w:t>
      </w:r>
      <w:proofErr w:type="spellStart"/>
      <w:r>
        <w:t>im-munohistochemistry</w:t>
      </w:r>
      <w:proofErr w:type="spellEnd"/>
      <w:r>
        <w:t xml:space="preserve"> </w:t>
      </w:r>
      <w:r>
        <w:rPr>
          <w:spacing w:val="-2"/>
        </w:rPr>
        <w:t>revealed the existence of pro-ton pumps (H</w:t>
      </w:r>
      <w:r>
        <w:rPr>
          <w:spacing w:val="-2"/>
          <w:vertAlign w:val="superscript"/>
        </w:rPr>
        <w:t>+</w:t>
      </w:r>
      <w:r>
        <w:rPr>
          <w:spacing w:val="-2"/>
        </w:rPr>
        <w:t>, K</w:t>
      </w:r>
      <w:r>
        <w:rPr>
          <w:spacing w:val="-2"/>
          <w:vertAlign w:val="superscript"/>
        </w:rPr>
        <w:t>+</w:t>
      </w:r>
      <w:r>
        <w:rPr>
          <w:spacing w:val="-2"/>
        </w:rPr>
        <w:t>-</w:t>
      </w:r>
      <w:r>
        <w:t xml:space="preserve">ATPase). His throat symptoms were relieved by acid suppressive therapy with pump inhibitors. This case indicated that CIP should be considered as a differential diagnosis for the cause of </w:t>
      </w:r>
      <w:proofErr w:type="spellStart"/>
      <w:r>
        <w:t>globus</w:t>
      </w:r>
      <w:proofErr w:type="spellEnd"/>
      <w:r>
        <w:t xml:space="preserve"> symptoms in rare cases.</w:t>
      </w:r>
    </w:p>
    <w:p w:rsidR="00022CAA" w:rsidRDefault="00022CAA" w:rsidP="00022CAA">
      <w:pPr>
        <w:pStyle w:val="E-1"/>
        <w:rPr>
          <w:rFonts w:ascii="Times New Roman" w:hAnsi="Times New Roman" w:cs="Times New Roman"/>
          <w:b/>
          <w:bCs/>
        </w:rPr>
      </w:pPr>
    </w:p>
    <w:p w:rsidR="00022CAA" w:rsidRDefault="00022CAA" w:rsidP="00022CAA">
      <w:pPr>
        <w:pStyle w:val="E-1"/>
      </w:pPr>
      <w:r>
        <w:rPr>
          <w:rFonts w:ascii="Times New Roman" w:hAnsi="Times New Roman" w:cs="Times New Roman"/>
          <w:b/>
          <w:bCs/>
        </w:rPr>
        <w:t>Key words:</w:t>
      </w:r>
      <w:r>
        <w:rPr>
          <w:b/>
          <w:bCs/>
        </w:rPr>
        <w:t xml:space="preserve"> </w:t>
      </w:r>
      <w:r>
        <w:t>Cervical inlet patch</w:t>
      </w:r>
      <w:r w:rsidRPr="00B8381F">
        <w:t>;</w:t>
      </w:r>
      <w:r>
        <w:t xml:space="preserve"> Proton pump inhibitor</w:t>
      </w:r>
    </w:p>
    <w:p w:rsidR="00022CAA" w:rsidRDefault="00022CAA" w:rsidP="00022CAA">
      <w:pPr>
        <w:pStyle w:val="af4"/>
      </w:pPr>
    </w:p>
    <w:p w:rsidR="00022CAA" w:rsidRDefault="00022CAA" w:rsidP="00022CAA">
      <w:pPr>
        <w:pStyle w:val="af4"/>
        <w:rPr>
          <w:rFonts w:ascii="Book Antiqua" w:hAnsi="Book Antiqua" w:cs="Book Antiqua"/>
          <w:b/>
          <w:bCs/>
          <w:spacing w:val="0"/>
          <w:sz w:val="21"/>
          <w:szCs w:val="21"/>
        </w:rPr>
      </w:pPr>
      <w:r>
        <w:t xml:space="preserve">Yamada T, Tsuji A, </w:t>
      </w:r>
      <w:proofErr w:type="spellStart"/>
      <w:r>
        <w:t>Onoue</w:t>
      </w:r>
      <w:proofErr w:type="spellEnd"/>
      <w:r>
        <w:t xml:space="preserve"> S, Kaneko M, </w:t>
      </w:r>
      <w:proofErr w:type="spellStart"/>
      <w:r>
        <w:t>Tanioka</w:t>
      </w:r>
      <w:proofErr w:type="spellEnd"/>
      <w:r>
        <w:t xml:space="preserve"> F, </w:t>
      </w:r>
      <w:proofErr w:type="spellStart"/>
      <w:r>
        <w:t>Osawa</w:t>
      </w:r>
      <w:proofErr w:type="spellEnd"/>
      <w:r>
        <w:t xml:space="preserve"> S, </w:t>
      </w:r>
      <w:proofErr w:type="spellStart"/>
      <w:r>
        <w:t>Saida</w:t>
      </w:r>
      <w:proofErr w:type="spellEnd"/>
      <w:r>
        <w:t xml:space="preserve"> Y. Acid suppressive therapy improved symptoms due to circumferential cervical inlet patch with proton pumps (H</w:t>
      </w:r>
      <w:r>
        <w:rPr>
          <w:vertAlign w:val="superscript"/>
        </w:rPr>
        <w:t>+</w:t>
      </w:r>
      <w:r>
        <w:t>/K</w:t>
      </w:r>
      <w:r>
        <w:rPr>
          <w:vertAlign w:val="superscript"/>
        </w:rPr>
        <w:t>+</w:t>
      </w:r>
      <w:r>
        <w:t xml:space="preserve">-ATPase). </w:t>
      </w:r>
      <w:r>
        <w:rPr>
          <w:i/>
          <w:iCs/>
          <w:spacing w:val="0"/>
        </w:rPr>
        <w:t xml:space="preserve">World J </w:t>
      </w:r>
      <w:proofErr w:type="spellStart"/>
      <w:r>
        <w:rPr>
          <w:i/>
          <w:iCs/>
          <w:spacing w:val="0"/>
        </w:rPr>
        <w:t>Clin</w:t>
      </w:r>
      <w:proofErr w:type="spellEnd"/>
      <w:r>
        <w:rPr>
          <w:i/>
          <w:iCs/>
          <w:spacing w:val="0"/>
        </w:rPr>
        <w:t xml:space="preserve"> Cases</w:t>
      </w:r>
      <w:r>
        <w:t xml:space="preserve"> 2017; 5(11): 403-</w:t>
      </w:r>
      <w:proofErr w:type="gramStart"/>
      <w:r>
        <w:t>406  Available</w:t>
      </w:r>
      <w:proofErr w:type="gramEnd"/>
      <w:r>
        <w:t xml:space="preserve"> from: </w:t>
      </w:r>
      <w:r>
        <w:lastRenderedPageBreak/>
        <w:t>URL: http://www.wjgnet.com/</w:t>
      </w:r>
      <w:r>
        <w:rPr>
          <w:spacing w:val="0"/>
        </w:rPr>
        <w:t>2307-8960</w:t>
      </w:r>
      <w:r>
        <w:t>/full/v5/i11/403.htm  DOI: http://dx.doi.org/</w:t>
      </w:r>
      <w:r>
        <w:rPr>
          <w:spacing w:val="0"/>
        </w:rPr>
        <w:t>10.12998</w:t>
      </w:r>
      <w:r>
        <w:t>/wjcc.v5.i11.403</w:t>
      </w:r>
    </w:p>
    <w:p w:rsidR="00022CAA" w:rsidRPr="00B8381F" w:rsidRDefault="00022CAA" w:rsidP="00022CAA">
      <w:pPr>
        <w:pStyle w:val="af7"/>
        <w:rPr>
          <w:lang w:val="en-US"/>
        </w:rPr>
      </w:pPr>
    </w:p>
    <w:p w:rsidR="00022CAA" w:rsidRDefault="00022CAA" w:rsidP="00022CAA">
      <w:pPr>
        <w:pStyle w:val="E-1"/>
        <w:rPr>
          <w:b/>
          <w:bCs/>
        </w:rPr>
      </w:pPr>
      <w:r>
        <w:rPr>
          <w:rFonts w:ascii="Times New Roman" w:hAnsi="Times New Roman" w:cs="Times New Roman"/>
          <w:b/>
          <w:bCs/>
          <w:spacing w:val="-3"/>
        </w:rPr>
        <w:t>Core tip:</w:t>
      </w:r>
      <w:r>
        <w:rPr>
          <w:b/>
          <w:bCs/>
        </w:rPr>
        <w:t xml:space="preserve"> </w:t>
      </w:r>
      <w:r>
        <w:t xml:space="preserve">Cervical inlet patch (CIP) is the esophageal heterotopic gastric mucosa in the cervical esophagus. We present a 55-year-old man exhibiting circumferential CIP with </w:t>
      </w:r>
      <w:proofErr w:type="spellStart"/>
      <w:r>
        <w:t>globus</w:t>
      </w:r>
      <w:proofErr w:type="spellEnd"/>
      <w:r>
        <w:t xml:space="preserve"> and dysphagia. Proton pump inhibitors relived these throat symptoms. Immunohistochemistry revealed existence of proton pumps in the CIP lesion. The throat symptoms were suggested to be related with CIP and acid secretion.</w:t>
      </w:r>
    </w:p>
    <w:p w:rsidR="00022CAA" w:rsidRPr="00B8381F" w:rsidRDefault="00022CAA" w:rsidP="00022CAA">
      <w:pPr>
        <w:pStyle w:val="af7"/>
        <w:rPr>
          <w:lang w:val="en-US"/>
        </w:rPr>
      </w:pPr>
    </w:p>
    <w:p w:rsidR="00022CAA" w:rsidRPr="00B8381F" w:rsidRDefault="00022CAA" w:rsidP="00022CAA">
      <w:pPr>
        <w:pStyle w:val="af7"/>
        <w:rPr>
          <w:u w:val="single"/>
          <w:lang w:val="en-US"/>
        </w:rPr>
      </w:pPr>
      <w:r w:rsidRPr="00B8381F">
        <w:rPr>
          <w:u w:val="single"/>
          <w:lang w:val="en-US"/>
        </w:rPr>
        <w:t>INTRODUCTION</w:t>
      </w:r>
    </w:p>
    <w:p w:rsidR="00022CAA" w:rsidRDefault="00022CAA" w:rsidP="00022CAA">
      <w:pPr>
        <w:pStyle w:val="af8"/>
      </w:pPr>
      <w:r>
        <w:t xml:space="preserve">Esophageal heterotopic gastric mucosa (HGM), also referred to as cervical inlet patch (CIP), is considered to be the residue of columnar epithelium of the embryonic </w:t>
      </w:r>
      <w:proofErr w:type="gramStart"/>
      <w:r>
        <w:t>esophagus</w:t>
      </w:r>
      <w:r>
        <w:rPr>
          <w:vertAlign w:val="superscript"/>
        </w:rPr>
        <w:t>[</w:t>
      </w:r>
      <w:proofErr w:type="gramEnd"/>
      <w:r>
        <w:rPr>
          <w:vertAlign w:val="superscript"/>
        </w:rPr>
        <w:t>1,2]</w:t>
      </w:r>
      <w:r>
        <w:t>. The diagnosis rate of CIP is increasing because of the recent development and spread of image-enhanced endoscopy, including narrow band imaging (NBI</w:t>
      </w:r>
      <w:proofErr w:type="gramStart"/>
      <w:r>
        <w:t>)</w:t>
      </w:r>
      <w:r>
        <w:rPr>
          <w:vertAlign w:val="superscript"/>
        </w:rPr>
        <w:t>[</w:t>
      </w:r>
      <w:proofErr w:type="gramEnd"/>
      <w:r>
        <w:rPr>
          <w:vertAlign w:val="superscript"/>
        </w:rPr>
        <w:t>3,4]</w:t>
      </w:r>
      <w:r>
        <w:t xml:space="preserve">. Patients with CIP rarely require treatment as most cases of CIP are asymptomatic. However, some reports indicated </w:t>
      </w:r>
      <w:r>
        <w:rPr>
          <w:spacing w:val="-11"/>
        </w:rPr>
        <w:t xml:space="preserve">complications associated with acid secretion </w:t>
      </w:r>
      <w:r>
        <w:t xml:space="preserve">from </w:t>
      </w:r>
      <w:proofErr w:type="gramStart"/>
      <w:r>
        <w:t>CIP</w:t>
      </w:r>
      <w:r>
        <w:rPr>
          <w:vertAlign w:val="superscript"/>
        </w:rPr>
        <w:t>[</w:t>
      </w:r>
      <w:proofErr w:type="gramEnd"/>
      <w:r>
        <w:rPr>
          <w:vertAlign w:val="superscript"/>
        </w:rPr>
        <w:t>5-7]</w:t>
      </w:r>
      <w:r>
        <w:t xml:space="preserve">. Herein, we present a patient with circumferential </w:t>
      </w:r>
      <w:r>
        <w:rPr>
          <w:spacing w:val="-11"/>
        </w:rPr>
        <w:t>CIP in whom proton pump in-</w:t>
      </w:r>
      <w:proofErr w:type="spellStart"/>
      <w:r>
        <w:rPr>
          <w:spacing w:val="-11"/>
        </w:rPr>
        <w:t>hibitors</w:t>
      </w:r>
      <w:proofErr w:type="spellEnd"/>
      <w:r>
        <w:rPr>
          <w:spacing w:val="-11"/>
        </w:rPr>
        <w:t xml:space="preserve"> (PPI) were </w:t>
      </w:r>
      <w:r>
        <w:t xml:space="preserve">effective </w:t>
      </w:r>
      <w:r>
        <w:rPr>
          <w:spacing w:val="-9"/>
        </w:rPr>
        <w:t xml:space="preserve">and proton pump existence was confirmed by </w:t>
      </w:r>
      <w:r>
        <w:t>immunohistochemistry.</w:t>
      </w:r>
    </w:p>
    <w:p w:rsidR="00022CAA" w:rsidRPr="00B8381F" w:rsidRDefault="00022CAA" w:rsidP="00022CAA">
      <w:pPr>
        <w:pStyle w:val="af7"/>
        <w:rPr>
          <w:lang w:val="en-US"/>
        </w:rPr>
      </w:pPr>
    </w:p>
    <w:p w:rsidR="00022CAA" w:rsidRPr="00B8381F" w:rsidRDefault="00022CAA" w:rsidP="00022CAA">
      <w:pPr>
        <w:pStyle w:val="af7"/>
        <w:rPr>
          <w:u w:val="single"/>
          <w:lang w:val="en-US"/>
        </w:rPr>
      </w:pPr>
      <w:r w:rsidRPr="00B8381F">
        <w:rPr>
          <w:u w:val="single"/>
          <w:lang w:val="en-US"/>
        </w:rPr>
        <w:t>CASE REPORT</w:t>
      </w:r>
    </w:p>
    <w:p w:rsidR="00022CAA" w:rsidRDefault="00022CAA" w:rsidP="00022CAA">
      <w:pPr>
        <w:pStyle w:val="af8"/>
        <w:rPr>
          <w:color w:val="FF0000"/>
        </w:rPr>
      </w:pPr>
      <w:r>
        <w:rPr>
          <w:spacing w:val="-14"/>
        </w:rPr>
        <w:t xml:space="preserve">A 55-year-old man visited the department of </w:t>
      </w:r>
      <w:r>
        <w:rPr>
          <w:spacing w:val="-13"/>
        </w:rPr>
        <w:t xml:space="preserve">otolaryngology exhibiting </w:t>
      </w:r>
      <w:proofErr w:type="spellStart"/>
      <w:r>
        <w:rPr>
          <w:spacing w:val="-13"/>
        </w:rPr>
        <w:t>globus</w:t>
      </w:r>
      <w:proofErr w:type="spellEnd"/>
      <w:r>
        <w:rPr>
          <w:spacing w:val="-13"/>
        </w:rPr>
        <w:t xml:space="preserve"> and dysphagia</w:t>
      </w:r>
      <w:r>
        <w:t xml:space="preserve"> without heartburn or epigastric pain. His past medical history only included an operation for appendicitis. Physical examination and laboratory findings were unremarkable. Laryngoscopy did not reveal the cause of the throat symptoms. He was then introduced to the department of gastroenterology and esophagogastroduodenoscopy (EGD) was performed to determine the cause. EGD revealed circular HGM in the cervical </w:t>
      </w:r>
      <w:proofErr w:type="gramStart"/>
      <w:r>
        <w:t>esophagus,</w:t>
      </w:r>
      <w:proofErr w:type="gramEnd"/>
      <w:r>
        <w:t xml:space="preserve"> the HGM was 19 to 21 cm from the incisor. The lesion appeared reddish by white light imaging (Figure 1A), whereas by NBI, it appeared as a dark brown lesion clearly distinguished from light green squamous epithelium (Figure 1B). There was only mild reflux esophagitis (Los Angeles grade A), but no esophageal hiatus hernia at the </w:t>
      </w:r>
      <w:proofErr w:type="spellStart"/>
      <w:r>
        <w:t>esophagogastric</w:t>
      </w:r>
      <w:proofErr w:type="spellEnd"/>
      <w:r>
        <w:t xml:space="preserve"> junction. His throat symptoms improved quickly by acid suppression therapy with PPI.</w:t>
      </w:r>
    </w:p>
    <w:p w:rsidR="00022CAA" w:rsidRDefault="00022CAA" w:rsidP="00022CAA">
      <w:pPr>
        <w:pStyle w:val="10"/>
      </w:pPr>
      <w:r>
        <w:t xml:space="preserve">Endoscopic biopsy from the circumferential CIP lesion demonstrated foveolar epithelium and </w:t>
      </w:r>
      <w:proofErr w:type="spellStart"/>
      <w:r>
        <w:t>fundic</w:t>
      </w:r>
      <w:proofErr w:type="spellEnd"/>
      <w:r>
        <w:t xml:space="preserve"> glands (Figure 2A). Furthermore, to confirm the relationship between the throat symptoms and acid secretion from the CIP, we performed immunohistochemistry and found proton pump, H</w:t>
      </w:r>
      <w:r>
        <w:rPr>
          <w:vertAlign w:val="superscript"/>
        </w:rPr>
        <w:t>+</w:t>
      </w:r>
      <w:r>
        <w:t>, K</w:t>
      </w:r>
      <w:r>
        <w:rPr>
          <w:vertAlign w:val="superscript"/>
        </w:rPr>
        <w:t>+</w:t>
      </w:r>
      <w:r>
        <w:t xml:space="preserve">-ATPase alpha subunits. </w:t>
      </w:r>
      <w:proofErr w:type="spellStart"/>
      <w:r>
        <w:t>Immunohistochemical</w:t>
      </w:r>
      <w:proofErr w:type="spellEnd"/>
      <w:r>
        <w:t xml:space="preserve"> staining was concentrated in the glands of CIP (Figure 2B).</w:t>
      </w:r>
    </w:p>
    <w:p w:rsidR="00022CAA" w:rsidRPr="00B8381F" w:rsidRDefault="00022CAA" w:rsidP="00022CAA">
      <w:pPr>
        <w:pStyle w:val="af7"/>
        <w:rPr>
          <w:lang w:val="en-US"/>
        </w:rPr>
      </w:pPr>
    </w:p>
    <w:p w:rsidR="00022CAA" w:rsidRPr="00B8381F" w:rsidRDefault="00022CAA" w:rsidP="00022CAA">
      <w:pPr>
        <w:pStyle w:val="af7"/>
        <w:rPr>
          <w:u w:val="single"/>
          <w:lang w:val="en-US"/>
        </w:rPr>
      </w:pPr>
      <w:r w:rsidRPr="00B8381F">
        <w:rPr>
          <w:u w:val="single"/>
          <w:lang w:val="en-US"/>
        </w:rPr>
        <w:t>DISCUSSION</w:t>
      </w:r>
    </w:p>
    <w:p w:rsidR="00022CAA" w:rsidRDefault="00022CAA" w:rsidP="00022CAA">
      <w:pPr>
        <w:pStyle w:val="af8"/>
      </w:pPr>
      <w:r>
        <w:t>CIP,</w:t>
      </w:r>
      <w:r>
        <w:rPr>
          <w:b/>
          <w:bCs/>
        </w:rPr>
        <w:t xml:space="preserve"> </w:t>
      </w:r>
      <w:r>
        <w:t>also referred to as</w:t>
      </w:r>
      <w:r>
        <w:rPr>
          <w:b/>
          <w:bCs/>
        </w:rPr>
        <w:t xml:space="preserve"> </w:t>
      </w:r>
      <w:r>
        <w:t xml:space="preserve">cervical esophageal HGM, is generally regarded as a congenital condition that results from </w:t>
      </w:r>
      <w:r>
        <w:lastRenderedPageBreak/>
        <w:t>an incomplete replacement by squamous epithelium, and the differentiation of persistent columnar-lined mucosa into cervical HGM</w:t>
      </w:r>
      <w:r>
        <w:rPr>
          <w:vertAlign w:val="superscript"/>
        </w:rPr>
        <w:t>[1,2]</w:t>
      </w:r>
      <w:r>
        <w:t>. The incidence of CIP was reported as 0.1</w:t>
      </w:r>
      <w:r w:rsidRPr="00B8381F">
        <w:t>%</w:t>
      </w:r>
      <w:r>
        <w:t xml:space="preserve"> to 13.8</w:t>
      </w:r>
      <w:proofErr w:type="gramStart"/>
      <w:r>
        <w:t>%</w:t>
      </w:r>
      <w:r>
        <w:rPr>
          <w:vertAlign w:val="superscript"/>
        </w:rPr>
        <w:t>[</w:t>
      </w:r>
      <w:proofErr w:type="gramEnd"/>
      <w:r>
        <w:rPr>
          <w:vertAlign w:val="superscript"/>
        </w:rPr>
        <w:t>3,8]</w:t>
      </w:r>
      <w:r>
        <w:t xml:space="preserve">. Using NBI endoscopy, there was increase in the detection of </w:t>
      </w:r>
      <w:proofErr w:type="gramStart"/>
      <w:r>
        <w:t>CIP</w:t>
      </w:r>
      <w:r>
        <w:rPr>
          <w:vertAlign w:val="superscript"/>
        </w:rPr>
        <w:t>[</w:t>
      </w:r>
      <w:proofErr w:type="gramEnd"/>
      <w:r>
        <w:rPr>
          <w:vertAlign w:val="superscript"/>
        </w:rPr>
        <w:t>4]</w:t>
      </w:r>
      <w:r>
        <w:t>.</w:t>
      </w:r>
    </w:p>
    <w:p w:rsidR="00022CAA" w:rsidRDefault="00022CAA" w:rsidP="00022CAA">
      <w:pPr>
        <w:pStyle w:val="10"/>
      </w:pPr>
      <w:r>
        <w:t xml:space="preserve">Some reports demonstrated acid secretion from CIP using pH </w:t>
      </w:r>
      <w:proofErr w:type="gramStart"/>
      <w:r>
        <w:t>monitoring</w:t>
      </w:r>
      <w:r>
        <w:rPr>
          <w:vertAlign w:val="superscript"/>
        </w:rPr>
        <w:t>[</w:t>
      </w:r>
      <w:proofErr w:type="gramEnd"/>
      <w:r>
        <w:rPr>
          <w:vertAlign w:val="superscript"/>
        </w:rPr>
        <w:t>5-7]</w:t>
      </w:r>
      <w:r>
        <w:t>. Here, we demonstrated the existence of proton pumps (H</w:t>
      </w:r>
      <w:r>
        <w:rPr>
          <w:vertAlign w:val="superscript"/>
        </w:rPr>
        <w:t>+</w:t>
      </w:r>
      <w:r>
        <w:t>, K</w:t>
      </w:r>
      <w:r>
        <w:rPr>
          <w:vertAlign w:val="superscript"/>
        </w:rPr>
        <w:t>+</w:t>
      </w:r>
      <w:r>
        <w:t xml:space="preserve">-ATPase) in CIP in a symptomatic patient by immunohistochemistry. The efficacy of PPI also supports the theory that acid secretion from proton pumps in CIP is the cause of throat symptoms. In the present case, the patient had mild esophagitis. Although there is a possibility that gastroesophageal reflux disease was one of the causes of the </w:t>
      </w:r>
      <w:proofErr w:type="spellStart"/>
      <w:r>
        <w:t>globus</w:t>
      </w:r>
      <w:proofErr w:type="spellEnd"/>
      <w:r>
        <w:t xml:space="preserve"> symptoms, we considered cervical CIP to be the main cause of his </w:t>
      </w:r>
      <w:proofErr w:type="spellStart"/>
      <w:r>
        <w:t>globus</w:t>
      </w:r>
      <w:proofErr w:type="spellEnd"/>
      <w:r>
        <w:t xml:space="preserve"> symptoms because of the existence of proton pumps in the large CIP and the previous reports of the relationship between throat symptoms and acid secretion from CIP. However, this case report did not directly show the relationship between existence of proton pumps and their acid secretion function in CIP. Further studies are needed to demonstrate the usefulness of immunohistochemistry for proton pump to predict PPI efficacy in patients with symptomatic CIP.</w:t>
      </w:r>
    </w:p>
    <w:p w:rsidR="00022CAA" w:rsidRDefault="00022CAA" w:rsidP="00022CAA">
      <w:pPr>
        <w:pStyle w:val="10"/>
      </w:pPr>
      <w:r>
        <w:rPr>
          <w:spacing w:val="-14"/>
        </w:rPr>
        <w:t>Recently, argon plasma coagulation and ra</w:t>
      </w:r>
      <w:r>
        <w:rPr>
          <w:spacing w:val="-9"/>
        </w:rPr>
        <w:t xml:space="preserve">dio-frequency </w:t>
      </w:r>
      <w:r>
        <w:t xml:space="preserve">ablation were reported to be effective for symptomatic </w:t>
      </w:r>
      <w:proofErr w:type="gramStart"/>
      <w:r>
        <w:rPr>
          <w:spacing w:val="-9"/>
        </w:rPr>
        <w:t>CIP</w:t>
      </w:r>
      <w:r>
        <w:rPr>
          <w:spacing w:val="-9"/>
          <w:vertAlign w:val="superscript"/>
        </w:rPr>
        <w:t>[</w:t>
      </w:r>
      <w:proofErr w:type="gramEnd"/>
      <w:r>
        <w:rPr>
          <w:spacing w:val="-9"/>
          <w:vertAlign w:val="superscript"/>
        </w:rPr>
        <w:t>9-11]</w:t>
      </w:r>
      <w:r>
        <w:rPr>
          <w:spacing w:val="-9"/>
        </w:rPr>
        <w:t xml:space="preserve">. However, these endoscopic ablation </w:t>
      </w:r>
      <w:r>
        <w:t>techniques are not available in all countries, including Japan. PPI treatment is more widely available than endoscopic ablation. PPI should be selected first in such situations. Furthermore, the detection of proton pumps by immunohistochemistry may predict the efficacy of PPI for throat symptoms in patients with CIP.</w:t>
      </w:r>
    </w:p>
    <w:p w:rsidR="00022CAA" w:rsidRDefault="00022CAA" w:rsidP="00022CAA">
      <w:pPr>
        <w:pStyle w:val="10"/>
      </w:pPr>
      <w:r>
        <w:t xml:space="preserve">In summary, we reported a 55-year-old man with circumferential CIP where immunohistochemistry revealed proton pump existence. His throat symptoms were relieved by acid suppressive therapy with PPI. This case indicated that CIP should be considered as a differential diagnosis for the cause of </w:t>
      </w:r>
      <w:proofErr w:type="spellStart"/>
      <w:r>
        <w:t>globus</w:t>
      </w:r>
      <w:proofErr w:type="spellEnd"/>
      <w:r>
        <w:t xml:space="preserve"> symptoms in rare cases.</w:t>
      </w:r>
    </w:p>
    <w:p w:rsidR="00022CAA" w:rsidRPr="00B8381F" w:rsidRDefault="00022CAA" w:rsidP="00022CAA">
      <w:pPr>
        <w:pStyle w:val="af7"/>
        <w:rPr>
          <w:lang w:val="en-US"/>
        </w:rPr>
      </w:pPr>
    </w:p>
    <w:p w:rsidR="00022CAA" w:rsidRPr="00B8381F" w:rsidRDefault="00022CAA" w:rsidP="00022CAA">
      <w:pPr>
        <w:pStyle w:val="af7"/>
        <w:rPr>
          <w:u w:val="single"/>
          <w:lang w:val="en-US"/>
        </w:rPr>
      </w:pPr>
      <w:r w:rsidRPr="00B8381F">
        <w:rPr>
          <w:u w:val="single"/>
          <w:lang w:val="en-US"/>
        </w:rPr>
        <w:t>COMMENTS</w:t>
      </w:r>
    </w:p>
    <w:p w:rsidR="00022CAA" w:rsidRPr="00B8381F" w:rsidRDefault="00022CAA" w:rsidP="00022CAA">
      <w:pPr>
        <w:pStyle w:val="af9"/>
        <w:rPr>
          <w:b w:val="0"/>
          <w:bCs w:val="0"/>
          <w:lang w:val="en-US"/>
        </w:rPr>
      </w:pPr>
      <w:r w:rsidRPr="00B8381F">
        <w:rPr>
          <w:lang w:val="en-US"/>
        </w:rPr>
        <w:t>Case characteristics</w:t>
      </w:r>
    </w:p>
    <w:p w:rsidR="00022CAA" w:rsidRPr="00B8381F" w:rsidRDefault="00022CAA" w:rsidP="00022CAA">
      <w:pPr>
        <w:pStyle w:val="8BF4"/>
      </w:pPr>
      <w:r>
        <w:t xml:space="preserve">A 55-year-old man visited to complaint </w:t>
      </w:r>
      <w:proofErr w:type="spellStart"/>
      <w:r>
        <w:t>globus</w:t>
      </w:r>
      <w:proofErr w:type="spellEnd"/>
      <w:r>
        <w:t xml:space="preserve"> and dysphagia without heartburn or epigastric pain.</w:t>
      </w:r>
    </w:p>
    <w:p w:rsidR="00022CAA" w:rsidRPr="00B8381F" w:rsidRDefault="00022CAA" w:rsidP="00022CAA">
      <w:pPr>
        <w:pStyle w:val="af9"/>
        <w:rPr>
          <w:lang w:val="en-US"/>
        </w:rPr>
      </w:pPr>
      <w:r w:rsidRPr="00B8381F">
        <w:rPr>
          <w:lang w:val="en-US"/>
        </w:rPr>
        <w:t>Clinical diagnosis</w:t>
      </w:r>
    </w:p>
    <w:p w:rsidR="00022CAA" w:rsidRPr="00B8381F" w:rsidRDefault="00022CAA" w:rsidP="00022CAA">
      <w:pPr>
        <w:pStyle w:val="8BF4"/>
      </w:pPr>
      <w:r>
        <w:t>Endoscopy revealed circumferential cervical inlet patch (CIP).</w:t>
      </w:r>
    </w:p>
    <w:p w:rsidR="00022CAA" w:rsidRPr="00B8381F" w:rsidRDefault="00022CAA" w:rsidP="00022CAA">
      <w:pPr>
        <w:pStyle w:val="af9"/>
        <w:rPr>
          <w:lang w:val="en-US"/>
        </w:rPr>
      </w:pPr>
      <w:r w:rsidRPr="00B8381F">
        <w:rPr>
          <w:lang w:val="en-US"/>
        </w:rPr>
        <w:t>Differential diagnosis</w:t>
      </w:r>
    </w:p>
    <w:p w:rsidR="00022CAA" w:rsidRPr="00B8381F" w:rsidRDefault="00022CAA" w:rsidP="00022CAA">
      <w:pPr>
        <w:pStyle w:val="8BF4"/>
      </w:pPr>
      <w:proofErr w:type="gramStart"/>
      <w:r>
        <w:t xml:space="preserve">Gastroesophageal reflux and </w:t>
      </w:r>
      <w:proofErr w:type="spellStart"/>
      <w:r>
        <w:t>globus</w:t>
      </w:r>
      <w:proofErr w:type="spellEnd"/>
      <w:r>
        <w:t xml:space="preserve"> </w:t>
      </w:r>
      <w:proofErr w:type="spellStart"/>
      <w:r>
        <w:t>hystericus</w:t>
      </w:r>
      <w:proofErr w:type="spellEnd"/>
      <w:r>
        <w:t>.</w:t>
      </w:r>
      <w:proofErr w:type="gramEnd"/>
    </w:p>
    <w:p w:rsidR="00022CAA" w:rsidRPr="00B8381F" w:rsidRDefault="00022CAA" w:rsidP="00022CAA">
      <w:pPr>
        <w:pStyle w:val="af9"/>
        <w:rPr>
          <w:lang w:val="en-US"/>
        </w:rPr>
      </w:pPr>
      <w:r w:rsidRPr="00B8381F">
        <w:rPr>
          <w:lang w:val="en-US"/>
        </w:rPr>
        <w:t>Imaging diagnosis</w:t>
      </w:r>
    </w:p>
    <w:p w:rsidR="00022CAA" w:rsidRPr="00B8381F" w:rsidRDefault="00022CAA" w:rsidP="00022CAA">
      <w:pPr>
        <w:pStyle w:val="8BF4"/>
      </w:pPr>
      <w:r>
        <w:t xml:space="preserve">Esophagogastroduodenoscopy revealed circumferential </w:t>
      </w:r>
      <w:proofErr w:type="gramStart"/>
      <w:r>
        <w:t>CIP,</w:t>
      </w:r>
      <w:proofErr w:type="gramEnd"/>
      <w:r>
        <w:t xml:space="preserve"> where appeared reddish by white light imaging and appeared as a dark brown clearly distinguished from light green squamous epithelium by narrow band imaging.</w:t>
      </w:r>
    </w:p>
    <w:p w:rsidR="00022CAA" w:rsidRPr="00B8381F" w:rsidRDefault="00022CAA" w:rsidP="00022CAA">
      <w:pPr>
        <w:pStyle w:val="af9"/>
        <w:rPr>
          <w:i w:val="0"/>
          <w:iCs w:val="0"/>
          <w:lang w:val="en-US"/>
        </w:rPr>
      </w:pPr>
      <w:r w:rsidRPr="00B8381F">
        <w:rPr>
          <w:lang w:val="en-US"/>
        </w:rPr>
        <w:t>Pathological diagnosis</w:t>
      </w:r>
    </w:p>
    <w:p w:rsidR="00022CAA" w:rsidRPr="00B8381F" w:rsidRDefault="00022CAA" w:rsidP="00022CAA">
      <w:pPr>
        <w:pStyle w:val="8BF4"/>
      </w:pPr>
      <w:r>
        <w:t>Immunohistochemistry for proton pump alpha subunit demonstrated concentration of staining in glands of CIP.</w:t>
      </w:r>
    </w:p>
    <w:p w:rsidR="00022CAA" w:rsidRPr="00B8381F" w:rsidRDefault="00022CAA" w:rsidP="00022CAA">
      <w:pPr>
        <w:pStyle w:val="af9"/>
        <w:rPr>
          <w:lang w:val="en-US"/>
        </w:rPr>
      </w:pPr>
      <w:r w:rsidRPr="00B8381F">
        <w:rPr>
          <w:lang w:val="en-US"/>
        </w:rPr>
        <w:lastRenderedPageBreak/>
        <w:t>Treatment</w:t>
      </w:r>
    </w:p>
    <w:p w:rsidR="00022CAA" w:rsidRPr="00B8381F" w:rsidRDefault="00022CAA" w:rsidP="00022CAA">
      <w:pPr>
        <w:pStyle w:val="8BF4"/>
      </w:pPr>
      <w:r>
        <w:t xml:space="preserve">Acid suppressive therapy with proton pump inhibitors (PPI) improved </w:t>
      </w:r>
      <w:proofErr w:type="spellStart"/>
      <w:r>
        <w:t>globus</w:t>
      </w:r>
      <w:proofErr w:type="spellEnd"/>
      <w:r>
        <w:t xml:space="preserve"> and dysphagia in a patient with CIP.</w:t>
      </w:r>
    </w:p>
    <w:p w:rsidR="00022CAA" w:rsidRPr="00B8381F" w:rsidRDefault="00022CAA" w:rsidP="00022CAA">
      <w:pPr>
        <w:pStyle w:val="af9"/>
        <w:rPr>
          <w:i w:val="0"/>
          <w:iCs w:val="0"/>
          <w:lang w:val="en-US"/>
        </w:rPr>
      </w:pPr>
      <w:r w:rsidRPr="00B8381F">
        <w:rPr>
          <w:lang w:val="en-US"/>
        </w:rPr>
        <w:t>Related reports</w:t>
      </w:r>
    </w:p>
    <w:p w:rsidR="00022CAA" w:rsidRPr="00B8381F" w:rsidRDefault="00022CAA" w:rsidP="00022CAA">
      <w:pPr>
        <w:pStyle w:val="8BF4"/>
        <w:rPr>
          <w:spacing w:val="-3"/>
        </w:rPr>
      </w:pPr>
      <w:r>
        <w:rPr>
          <w:spacing w:val="-3"/>
        </w:rPr>
        <w:t xml:space="preserve">Although </w:t>
      </w:r>
      <w:r w:rsidRPr="00B8381F">
        <w:rPr>
          <w:spacing w:val="-3"/>
        </w:rPr>
        <w:t>s</w:t>
      </w:r>
      <w:r>
        <w:rPr>
          <w:spacing w:val="-3"/>
        </w:rPr>
        <w:t>ome reports demonstrated acid secretion from CIP using pH monitoring, this is the first report that demonstrated the existence of proton pumps (H</w:t>
      </w:r>
      <w:r>
        <w:rPr>
          <w:spacing w:val="-3"/>
          <w:vertAlign w:val="superscript"/>
        </w:rPr>
        <w:t>+</w:t>
      </w:r>
      <w:r>
        <w:rPr>
          <w:spacing w:val="-3"/>
        </w:rPr>
        <w:t>, K</w:t>
      </w:r>
      <w:r>
        <w:rPr>
          <w:spacing w:val="-3"/>
          <w:vertAlign w:val="superscript"/>
        </w:rPr>
        <w:t>+</w:t>
      </w:r>
      <w:r>
        <w:rPr>
          <w:spacing w:val="-3"/>
        </w:rPr>
        <w:t>-ATPase) in CIP in a symptomatic patient by immunohistochemistry. The relationship should be elucidated between the existence of proton pump and acid secreting function in CIP.</w:t>
      </w:r>
    </w:p>
    <w:p w:rsidR="00022CAA" w:rsidRPr="00B8381F" w:rsidRDefault="00022CAA" w:rsidP="00022CAA">
      <w:pPr>
        <w:pStyle w:val="af9"/>
        <w:rPr>
          <w:i w:val="0"/>
          <w:iCs w:val="0"/>
          <w:lang w:val="en-US"/>
        </w:rPr>
      </w:pPr>
      <w:r w:rsidRPr="00B8381F">
        <w:rPr>
          <w:lang w:val="en-US"/>
        </w:rPr>
        <w:t>Term explanation</w:t>
      </w:r>
    </w:p>
    <w:p w:rsidR="00022CAA" w:rsidRPr="00B8381F" w:rsidRDefault="00022CAA" w:rsidP="00022CAA">
      <w:pPr>
        <w:pStyle w:val="8BF4"/>
      </w:pPr>
      <w:r>
        <w:t>CIP is esophageal heterotopic gastric mucosa, which is considered to be the residue of columnar epithelium of the embryonic esophagus.</w:t>
      </w:r>
    </w:p>
    <w:p w:rsidR="00022CAA" w:rsidRPr="00B8381F" w:rsidRDefault="00022CAA" w:rsidP="00022CAA">
      <w:pPr>
        <w:pStyle w:val="af9"/>
        <w:rPr>
          <w:lang w:val="en-US"/>
        </w:rPr>
      </w:pPr>
      <w:r w:rsidRPr="00B8381F">
        <w:rPr>
          <w:lang w:val="en-US"/>
        </w:rPr>
        <w:t>Experiences and lessons</w:t>
      </w:r>
    </w:p>
    <w:p w:rsidR="00022CAA" w:rsidRPr="00B8381F" w:rsidRDefault="00022CAA" w:rsidP="00022CAA">
      <w:pPr>
        <w:pStyle w:val="8BF4"/>
      </w:pPr>
      <w:r>
        <w:t xml:space="preserve">CIP should be considered as a differential diagnosis for the cause of </w:t>
      </w:r>
      <w:proofErr w:type="spellStart"/>
      <w:r>
        <w:t>globus</w:t>
      </w:r>
      <w:proofErr w:type="spellEnd"/>
      <w:r>
        <w:t xml:space="preserve"> symptoms in rare cases.</w:t>
      </w:r>
    </w:p>
    <w:p w:rsidR="00022CAA" w:rsidRPr="00B8381F" w:rsidRDefault="00022CAA" w:rsidP="00022CAA">
      <w:pPr>
        <w:pStyle w:val="af9"/>
        <w:rPr>
          <w:lang w:val="en-US"/>
        </w:rPr>
      </w:pPr>
      <w:r w:rsidRPr="00B8381F">
        <w:rPr>
          <w:lang w:val="en-US"/>
        </w:rPr>
        <w:t>Peer-review</w:t>
      </w:r>
    </w:p>
    <w:p w:rsidR="00022CAA" w:rsidRDefault="00022CAA" w:rsidP="00022CAA">
      <w:pPr>
        <w:pStyle w:val="8BF4"/>
      </w:pPr>
      <w:r>
        <w:t>This case report clearly presented a case of CIP which expressed the proton pump and was successfully treated by PPI.</w:t>
      </w:r>
    </w:p>
    <w:p w:rsidR="00022CAA" w:rsidRPr="00B8381F" w:rsidRDefault="00022CAA" w:rsidP="00022CAA">
      <w:pPr>
        <w:pStyle w:val="af7"/>
        <w:rPr>
          <w:lang w:val="en-US"/>
        </w:rPr>
      </w:pPr>
    </w:p>
    <w:p w:rsidR="00022CAA" w:rsidRPr="00B8381F" w:rsidRDefault="00022CAA" w:rsidP="00022CAA">
      <w:pPr>
        <w:pStyle w:val="af7"/>
        <w:rPr>
          <w:lang w:val="en-US"/>
        </w:rPr>
      </w:pPr>
      <w:r w:rsidRPr="00B8381F">
        <w:rPr>
          <w:lang w:val="en-US"/>
        </w:rPr>
        <w:t>REFERENCES</w:t>
      </w:r>
    </w:p>
    <w:p w:rsidR="00022CAA" w:rsidRDefault="00022CAA" w:rsidP="00022CAA">
      <w:pPr>
        <w:pStyle w:val="-1"/>
      </w:pPr>
      <w:r>
        <w:t>1</w:t>
      </w:r>
      <w:r>
        <w:rPr>
          <w:b/>
          <w:bCs/>
        </w:rPr>
        <w:tab/>
        <w:t xml:space="preserve">von </w:t>
      </w:r>
      <w:proofErr w:type="spellStart"/>
      <w:r>
        <w:rPr>
          <w:b/>
          <w:bCs/>
        </w:rPr>
        <w:t>Rahden</w:t>
      </w:r>
      <w:proofErr w:type="spellEnd"/>
      <w:r>
        <w:rPr>
          <w:b/>
          <w:bCs/>
        </w:rPr>
        <w:t xml:space="preserve"> BH</w:t>
      </w:r>
      <w:r>
        <w:t>, Stein HJ, Becker K, Liebermann-</w:t>
      </w:r>
      <w:proofErr w:type="spellStart"/>
      <w:r>
        <w:t>Meffert</w:t>
      </w:r>
      <w:proofErr w:type="spellEnd"/>
      <w:r>
        <w:t xml:space="preserve"> D, </w:t>
      </w:r>
      <w:proofErr w:type="spellStart"/>
      <w:r>
        <w:t>Siewert</w:t>
      </w:r>
      <w:proofErr w:type="spellEnd"/>
      <w:r>
        <w:t xml:space="preserve"> JR. Heterotopic gastric mucosa of the esophagus: literature-review and proposal of a </w:t>
      </w:r>
      <w:proofErr w:type="spellStart"/>
      <w:r>
        <w:t>clinicopathologic</w:t>
      </w:r>
      <w:proofErr w:type="spellEnd"/>
      <w:r>
        <w:t xml:space="preserve"> classification. </w:t>
      </w:r>
      <w:r>
        <w:rPr>
          <w:i/>
          <w:iCs/>
        </w:rPr>
        <w:t xml:space="preserve">Am J </w:t>
      </w:r>
      <w:proofErr w:type="spellStart"/>
      <w:r>
        <w:rPr>
          <w:i/>
          <w:iCs/>
        </w:rPr>
        <w:t>Gastroenterol</w:t>
      </w:r>
      <w:proofErr w:type="spellEnd"/>
      <w:r>
        <w:t xml:space="preserve"> 2004; </w:t>
      </w:r>
      <w:r>
        <w:rPr>
          <w:b/>
          <w:bCs/>
        </w:rPr>
        <w:t>99</w:t>
      </w:r>
      <w:r>
        <w:t>: 543-551 [PMID: 15056100 DOI: 10.1111/j.1572-0241.2004.04082.x]</w:t>
      </w:r>
    </w:p>
    <w:p w:rsidR="00022CAA" w:rsidRDefault="00022CAA" w:rsidP="00022CAA">
      <w:pPr>
        <w:pStyle w:val="-1"/>
      </w:pPr>
      <w:r>
        <w:t>2</w:t>
      </w:r>
      <w:r>
        <w:rPr>
          <w:b/>
          <w:bCs/>
        </w:rPr>
        <w:tab/>
        <w:t>Chong VH</w:t>
      </w:r>
      <w:r>
        <w:t xml:space="preserve">. </w:t>
      </w:r>
      <w:proofErr w:type="gramStart"/>
      <w:r>
        <w:t>Clinical significance of heterotopic gastric mucosal patch of the proximal esophagus.</w:t>
      </w:r>
      <w:proofErr w:type="gramEnd"/>
      <w:r>
        <w:t xml:space="preserve"> </w:t>
      </w:r>
      <w:r>
        <w:rPr>
          <w:i/>
          <w:iCs/>
        </w:rPr>
        <w:t xml:space="preserve">World J </w:t>
      </w:r>
      <w:proofErr w:type="spellStart"/>
      <w:r>
        <w:rPr>
          <w:i/>
          <w:iCs/>
        </w:rPr>
        <w:t>Gastroenterol</w:t>
      </w:r>
      <w:proofErr w:type="spellEnd"/>
      <w:r>
        <w:t xml:space="preserve"> 2013; </w:t>
      </w:r>
      <w:r>
        <w:rPr>
          <w:b/>
          <w:bCs/>
        </w:rPr>
        <w:t>19</w:t>
      </w:r>
      <w:r>
        <w:t>: 331-338 [PMID: 23372354 DOI: 10.3748/wjg.v19.i3.331]</w:t>
      </w:r>
    </w:p>
    <w:p w:rsidR="00022CAA" w:rsidRDefault="00022CAA" w:rsidP="00022CAA">
      <w:pPr>
        <w:pStyle w:val="-1"/>
      </w:pPr>
      <w:r>
        <w:t>3</w:t>
      </w:r>
      <w:r>
        <w:rPr>
          <w:b/>
          <w:bCs/>
        </w:rPr>
        <w:tab/>
        <w:t>Hori K</w:t>
      </w:r>
      <w:r>
        <w:t xml:space="preserve">, Kim Y, Sakurai J, </w:t>
      </w:r>
      <w:proofErr w:type="spellStart"/>
      <w:r>
        <w:t>Watari</w:t>
      </w:r>
      <w:proofErr w:type="spellEnd"/>
      <w:r>
        <w:t xml:space="preserve"> J, Tomita T, </w:t>
      </w:r>
      <w:proofErr w:type="spellStart"/>
      <w:r>
        <w:t>Oshima</w:t>
      </w:r>
      <w:proofErr w:type="spellEnd"/>
      <w:r>
        <w:t xml:space="preserve"> T, Kondo C, Matsumoto T, Miwa H. Non-erosive reflux disease rather than cervical inlet patch involves </w:t>
      </w:r>
      <w:proofErr w:type="spellStart"/>
      <w:r>
        <w:t>globus</w:t>
      </w:r>
      <w:proofErr w:type="spellEnd"/>
      <w:r>
        <w:t xml:space="preserve">. </w:t>
      </w:r>
      <w:r>
        <w:rPr>
          <w:i/>
          <w:iCs/>
        </w:rPr>
        <w:t xml:space="preserve">J </w:t>
      </w:r>
      <w:proofErr w:type="spellStart"/>
      <w:r>
        <w:rPr>
          <w:i/>
          <w:iCs/>
        </w:rPr>
        <w:t>Gastroenterol</w:t>
      </w:r>
      <w:proofErr w:type="spellEnd"/>
      <w:r>
        <w:t xml:space="preserve"> 2010; </w:t>
      </w:r>
      <w:r>
        <w:rPr>
          <w:b/>
          <w:bCs/>
        </w:rPr>
        <w:t>45</w:t>
      </w:r>
      <w:r>
        <w:t>: 1138-1145 [PMID: 20582442 DOI: 10.1007/s00535-010-0275-8]</w:t>
      </w:r>
    </w:p>
    <w:p w:rsidR="00022CAA" w:rsidRDefault="00022CAA" w:rsidP="00022CAA">
      <w:pPr>
        <w:pStyle w:val="-1"/>
      </w:pPr>
      <w:r>
        <w:t>4</w:t>
      </w:r>
      <w:r>
        <w:rPr>
          <w:b/>
          <w:bCs/>
        </w:rPr>
        <w:tab/>
        <w:t>Che</w:t>
      </w:r>
      <w:r>
        <w:rPr>
          <w:b/>
          <w:bCs/>
          <w:spacing w:val="-3"/>
        </w:rPr>
        <w:t>ng CL</w:t>
      </w:r>
      <w:r>
        <w:rPr>
          <w:spacing w:val="-3"/>
        </w:rPr>
        <w:t xml:space="preserve">, Lin CH, Liu NJ, Tang JH, </w:t>
      </w:r>
      <w:proofErr w:type="spellStart"/>
      <w:r>
        <w:rPr>
          <w:spacing w:val="-3"/>
        </w:rPr>
        <w:t>Kuo</w:t>
      </w:r>
      <w:proofErr w:type="spellEnd"/>
      <w:r>
        <w:rPr>
          <w:spacing w:val="-3"/>
        </w:rPr>
        <w:t xml:space="preserve"> YL, </w:t>
      </w:r>
      <w:proofErr w:type="spellStart"/>
      <w:r>
        <w:rPr>
          <w:spacing w:val="-3"/>
        </w:rPr>
        <w:t>Tsui</w:t>
      </w:r>
      <w:proofErr w:type="spellEnd"/>
      <w:r>
        <w:rPr>
          <w:spacing w:val="-3"/>
        </w:rPr>
        <w:t xml:space="preserve"> YN. </w:t>
      </w:r>
      <w:proofErr w:type="gramStart"/>
      <w:r>
        <w:rPr>
          <w:spacing w:val="-3"/>
        </w:rPr>
        <w:t>Endoscopic diagnosis of cervical esophageal heterotopic gastric mucosa with conventional and narrow-band images.</w:t>
      </w:r>
      <w:proofErr w:type="gramEnd"/>
      <w:r>
        <w:rPr>
          <w:spacing w:val="-3"/>
        </w:rPr>
        <w:t xml:space="preserve"> </w:t>
      </w:r>
      <w:r>
        <w:rPr>
          <w:i/>
          <w:iCs/>
          <w:spacing w:val="-3"/>
        </w:rPr>
        <w:t xml:space="preserve">World J </w:t>
      </w:r>
      <w:proofErr w:type="spellStart"/>
      <w:r>
        <w:rPr>
          <w:i/>
          <w:iCs/>
          <w:spacing w:val="-3"/>
        </w:rPr>
        <w:t>Gastroenterol</w:t>
      </w:r>
      <w:proofErr w:type="spellEnd"/>
      <w:r>
        <w:rPr>
          <w:spacing w:val="-3"/>
        </w:rPr>
        <w:t xml:space="preserve"> 2014; </w:t>
      </w:r>
      <w:r>
        <w:rPr>
          <w:b/>
          <w:bCs/>
          <w:spacing w:val="-3"/>
        </w:rPr>
        <w:t>20</w:t>
      </w:r>
      <w:r>
        <w:rPr>
          <w:spacing w:val="-3"/>
        </w:rPr>
        <w:t>: 242-249 [PMID: 24415878 DOI: 10.3748/wjg.v20.i1.242]</w:t>
      </w:r>
    </w:p>
    <w:p w:rsidR="00022CAA" w:rsidRDefault="00022CAA" w:rsidP="00022CAA">
      <w:pPr>
        <w:pStyle w:val="-1"/>
      </w:pPr>
      <w:r>
        <w:t>5</w:t>
      </w:r>
      <w:r>
        <w:rPr>
          <w:b/>
          <w:bCs/>
        </w:rPr>
        <w:tab/>
        <w:t>Galan AR</w:t>
      </w:r>
      <w:r>
        <w:t xml:space="preserve">, </w:t>
      </w:r>
      <w:proofErr w:type="spellStart"/>
      <w:r>
        <w:t>Katzka</w:t>
      </w:r>
      <w:proofErr w:type="spellEnd"/>
      <w:r>
        <w:t xml:space="preserve"> DA, Castell DO. </w:t>
      </w:r>
      <w:proofErr w:type="gramStart"/>
      <w:r>
        <w:t>Acid secretion from an esophageal inlet patch demonstrated by ambulatory pH monitoring.</w:t>
      </w:r>
      <w:proofErr w:type="gramEnd"/>
      <w:r>
        <w:t xml:space="preserve"> </w:t>
      </w:r>
      <w:r>
        <w:rPr>
          <w:i/>
          <w:iCs/>
        </w:rPr>
        <w:t>Gastroenterology</w:t>
      </w:r>
      <w:r>
        <w:t xml:space="preserve"> 1998; </w:t>
      </w:r>
      <w:r>
        <w:rPr>
          <w:b/>
          <w:bCs/>
        </w:rPr>
        <w:t>115</w:t>
      </w:r>
      <w:r>
        <w:t>: 1574-1576 [PMID: 9834287 DOI: 10.1016/S0016-5085(98)70038-1]</w:t>
      </w:r>
    </w:p>
    <w:p w:rsidR="00022CAA" w:rsidRDefault="00022CAA" w:rsidP="00022CAA">
      <w:pPr>
        <w:pStyle w:val="-1"/>
      </w:pPr>
      <w:r>
        <w:t>6</w:t>
      </w:r>
      <w:r>
        <w:rPr>
          <w:b/>
          <w:bCs/>
        </w:rPr>
        <w:tab/>
        <w:t>Kim EA</w:t>
      </w:r>
      <w:r>
        <w:t xml:space="preserve">, Kang DH, Cho HS, Park DK, Kim YK, Park HC, Kim JH. </w:t>
      </w:r>
      <w:proofErr w:type="gramStart"/>
      <w:r>
        <w:t>Acid secretion from a heterotopic gastric mucosa in the upper esophagus demonstrated by dual probe 24-hour ambulatory pH monitoring.</w:t>
      </w:r>
      <w:proofErr w:type="gramEnd"/>
      <w:r>
        <w:t xml:space="preserve"> </w:t>
      </w:r>
      <w:r>
        <w:rPr>
          <w:i/>
          <w:iCs/>
        </w:rPr>
        <w:t>Korean J Intern Med</w:t>
      </w:r>
      <w:r>
        <w:t xml:space="preserve"> 2001; </w:t>
      </w:r>
      <w:r>
        <w:rPr>
          <w:b/>
          <w:bCs/>
        </w:rPr>
        <w:t>16</w:t>
      </w:r>
      <w:r>
        <w:t>: 14-17 [PMID: 11417299 DOI: 10.3904/kjim.2001.16.1.14]</w:t>
      </w:r>
    </w:p>
    <w:p w:rsidR="00022CAA" w:rsidRDefault="00022CAA" w:rsidP="00022CAA">
      <w:pPr>
        <w:pStyle w:val="-1"/>
      </w:pPr>
      <w:r>
        <w:t>7</w:t>
      </w:r>
      <w:r>
        <w:rPr>
          <w:b/>
          <w:bCs/>
        </w:rPr>
        <w:tab/>
      </w:r>
      <w:proofErr w:type="spellStart"/>
      <w:r>
        <w:rPr>
          <w:b/>
          <w:bCs/>
        </w:rPr>
        <w:t>Korkut</w:t>
      </w:r>
      <w:proofErr w:type="spellEnd"/>
      <w:r>
        <w:rPr>
          <w:b/>
          <w:bCs/>
        </w:rPr>
        <w:t xml:space="preserve"> E</w:t>
      </w:r>
      <w:r>
        <w:t xml:space="preserve">, </w:t>
      </w:r>
      <w:proofErr w:type="spellStart"/>
      <w:r>
        <w:t>Bektaş</w:t>
      </w:r>
      <w:proofErr w:type="spellEnd"/>
      <w:r>
        <w:t xml:space="preserve"> M, </w:t>
      </w:r>
      <w:proofErr w:type="spellStart"/>
      <w:r>
        <w:t>Alkan</w:t>
      </w:r>
      <w:proofErr w:type="spellEnd"/>
      <w:r>
        <w:t xml:space="preserve"> M, </w:t>
      </w:r>
      <w:proofErr w:type="spellStart"/>
      <w:r>
        <w:t>Ustün</w:t>
      </w:r>
      <w:proofErr w:type="spellEnd"/>
      <w:r>
        <w:t xml:space="preserve"> Y, </w:t>
      </w:r>
      <w:proofErr w:type="spellStart"/>
      <w:r>
        <w:t>Meco</w:t>
      </w:r>
      <w:proofErr w:type="spellEnd"/>
      <w:r>
        <w:t xml:space="preserve"> C, </w:t>
      </w:r>
      <w:proofErr w:type="spellStart"/>
      <w:r>
        <w:t>Ozden</w:t>
      </w:r>
      <w:proofErr w:type="spellEnd"/>
      <w:r>
        <w:t xml:space="preserve"> A, </w:t>
      </w:r>
      <w:proofErr w:type="spellStart"/>
      <w:r>
        <w:t>Soykan</w:t>
      </w:r>
      <w:proofErr w:type="spellEnd"/>
      <w:r>
        <w:t xml:space="preserve"> I. Esophageal motility and 24-h pH profiles of patients with heterotopic gastric mucosa in the cervical esophagus. </w:t>
      </w:r>
      <w:proofErr w:type="spellStart"/>
      <w:r>
        <w:rPr>
          <w:i/>
          <w:iCs/>
        </w:rPr>
        <w:t>Eur</w:t>
      </w:r>
      <w:proofErr w:type="spellEnd"/>
      <w:r>
        <w:rPr>
          <w:i/>
          <w:iCs/>
        </w:rPr>
        <w:t xml:space="preserve"> J Intern Med</w:t>
      </w:r>
      <w:r>
        <w:t xml:space="preserve"> 2010; </w:t>
      </w:r>
      <w:r>
        <w:rPr>
          <w:b/>
          <w:bCs/>
        </w:rPr>
        <w:t>21</w:t>
      </w:r>
      <w:r>
        <w:t>: 21-24 [PMID: 20122608 DOI: 10.1016/j.ejim.2009.10.009]</w:t>
      </w:r>
    </w:p>
    <w:p w:rsidR="00022CAA" w:rsidRDefault="00022CAA" w:rsidP="00022CAA">
      <w:pPr>
        <w:pStyle w:val="-1"/>
      </w:pPr>
      <w:r>
        <w:t>8</w:t>
      </w:r>
      <w:r>
        <w:rPr>
          <w:b/>
          <w:bCs/>
        </w:rPr>
        <w:tab/>
      </w:r>
      <w:proofErr w:type="spellStart"/>
      <w:r>
        <w:rPr>
          <w:b/>
          <w:bCs/>
        </w:rPr>
        <w:t>Maconi</w:t>
      </w:r>
      <w:proofErr w:type="spellEnd"/>
      <w:r>
        <w:rPr>
          <w:b/>
          <w:bCs/>
        </w:rPr>
        <w:t xml:space="preserve"> G</w:t>
      </w:r>
      <w:r>
        <w:t xml:space="preserve">, Pace F, </w:t>
      </w:r>
      <w:proofErr w:type="spellStart"/>
      <w:r>
        <w:t>Vago</w:t>
      </w:r>
      <w:proofErr w:type="spellEnd"/>
      <w:r>
        <w:t xml:space="preserve"> L, </w:t>
      </w:r>
      <w:proofErr w:type="spellStart"/>
      <w:r>
        <w:t>Carsana</w:t>
      </w:r>
      <w:proofErr w:type="spellEnd"/>
      <w:r>
        <w:t xml:space="preserve"> L, </w:t>
      </w:r>
      <w:proofErr w:type="spellStart"/>
      <w:r>
        <w:t>Bargiggia</w:t>
      </w:r>
      <w:proofErr w:type="spellEnd"/>
      <w:r>
        <w:t xml:space="preserve"> S, Bianchi </w:t>
      </w:r>
      <w:proofErr w:type="spellStart"/>
      <w:r>
        <w:t>Porro</w:t>
      </w:r>
      <w:proofErr w:type="spellEnd"/>
      <w:r>
        <w:t xml:space="preserve"> G. Prevalence and clinical features of heterotopic gastric mucosa in the upper </w:t>
      </w:r>
      <w:proofErr w:type="spellStart"/>
      <w:r>
        <w:t>oesophagus</w:t>
      </w:r>
      <w:proofErr w:type="spellEnd"/>
      <w:r>
        <w:t xml:space="preserve"> (inlet patch). </w:t>
      </w:r>
      <w:proofErr w:type="spellStart"/>
      <w:r>
        <w:rPr>
          <w:i/>
          <w:iCs/>
        </w:rPr>
        <w:t>Eur</w:t>
      </w:r>
      <w:proofErr w:type="spellEnd"/>
      <w:r>
        <w:rPr>
          <w:i/>
          <w:iCs/>
        </w:rPr>
        <w:t xml:space="preserve"> J </w:t>
      </w:r>
      <w:proofErr w:type="spellStart"/>
      <w:r>
        <w:rPr>
          <w:i/>
          <w:iCs/>
        </w:rPr>
        <w:t>Gastroenterol</w:t>
      </w:r>
      <w:proofErr w:type="spellEnd"/>
      <w:r>
        <w:rPr>
          <w:i/>
          <w:iCs/>
        </w:rPr>
        <w:t xml:space="preserve"> </w:t>
      </w:r>
      <w:proofErr w:type="spellStart"/>
      <w:r>
        <w:rPr>
          <w:i/>
          <w:iCs/>
        </w:rPr>
        <w:t>Hepatol</w:t>
      </w:r>
      <w:proofErr w:type="spellEnd"/>
      <w:r>
        <w:t xml:space="preserve"> 2000; </w:t>
      </w:r>
      <w:r>
        <w:rPr>
          <w:b/>
          <w:bCs/>
        </w:rPr>
        <w:t>12</w:t>
      </w:r>
      <w:r>
        <w:t>: 745-749 [PMID: 10929900 DOI: 10.1097/00042737-200012070-00005]</w:t>
      </w:r>
    </w:p>
    <w:p w:rsidR="00022CAA" w:rsidRDefault="00022CAA" w:rsidP="00022CAA">
      <w:pPr>
        <w:pStyle w:val="-1"/>
      </w:pPr>
      <w:r>
        <w:t>9</w:t>
      </w:r>
      <w:r>
        <w:rPr>
          <w:b/>
          <w:bCs/>
        </w:rPr>
        <w:tab/>
      </w:r>
      <w:proofErr w:type="spellStart"/>
      <w:r>
        <w:rPr>
          <w:b/>
          <w:bCs/>
        </w:rPr>
        <w:t>Meining</w:t>
      </w:r>
      <w:proofErr w:type="spellEnd"/>
      <w:r>
        <w:rPr>
          <w:b/>
          <w:bCs/>
        </w:rPr>
        <w:t xml:space="preserve"> A</w:t>
      </w:r>
      <w:r>
        <w:t xml:space="preserve">, </w:t>
      </w:r>
      <w:proofErr w:type="spellStart"/>
      <w:r>
        <w:t>Bajbouj</w:t>
      </w:r>
      <w:proofErr w:type="spellEnd"/>
      <w:r>
        <w:t xml:space="preserve"> M, </w:t>
      </w:r>
      <w:proofErr w:type="spellStart"/>
      <w:r>
        <w:t>Preeg</w:t>
      </w:r>
      <w:proofErr w:type="spellEnd"/>
      <w:r>
        <w:t xml:space="preserve"> M, </w:t>
      </w:r>
      <w:proofErr w:type="spellStart"/>
      <w:r>
        <w:t>Reichenberger</w:t>
      </w:r>
      <w:proofErr w:type="spellEnd"/>
      <w:r>
        <w:t xml:space="preserve"> J, </w:t>
      </w:r>
      <w:proofErr w:type="spellStart"/>
      <w:r>
        <w:t>Kassem</w:t>
      </w:r>
      <w:proofErr w:type="spellEnd"/>
      <w:r>
        <w:t xml:space="preserve"> AM, Huber W, </w:t>
      </w:r>
      <w:proofErr w:type="spellStart"/>
      <w:r>
        <w:t>Brockmeyer</w:t>
      </w:r>
      <w:proofErr w:type="spellEnd"/>
      <w:r>
        <w:t xml:space="preserve"> SJ, </w:t>
      </w:r>
      <w:proofErr w:type="spellStart"/>
      <w:r>
        <w:t>Hannig</w:t>
      </w:r>
      <w:proofErr w:type="spellEnd"/>
      <w:r>
        <w:t xml:space="preserve"> C, </w:t>
      </w:r>
      <w:proofErr w:type="spellStart"/>
      <w:r>
        <w:t>Höfler</w:t>
      </w:r>
      <w:proofErr w:type="spellEnd"/>
      <w:r>
        <w:t xml:space="preserve"> H, </w:t>
      </w:r>
      <w:proofErr w:type="spellStart"/>
      <w:r>
        <w:t>Prinz</w:t>
      </w:r>
      <w:proofErr w:type="spellEnd"/>
      <w:r>
        <w:t xml:space="preserve"> C, </w:t>
      </w:r>
      <w:proofErr w:type="spellStart"/>
      <w:r>
        <w:t>Schmid</w:t>
      </w:r>
      <w:proofErr w:type="spellEnd"/>
      <w:r>
        <w:t xml:space="preserve"> RM. Argon plasma ablation of gastric inlet patches in the cervical esophagus may alleviate </w:t>
      </w:r>
      <w:proofErr w:type="spellStart"/>
      <w:r>
        <w:t>globus</w:t>
      </w:r>
      <w:proofErr w:type="spellEnd"/>
      <w:r>
        <w:t xml:space="preserve"> sensation: a pilot trial. </w:t>
      </w:r>
      <w:r>
        <w:rPr>
          <w:i/>
          <w:iCs/>
        </w:rPr>
        <w:t>Endoscopy</w:t>
      </w:r>
      <w:r>
        <w:t xml:space="preserve"> 2006; </w:t>
      </w:r>
      <w:r>
        <w:rPr>
          <w:b/>
          <w:bCs/>
        </w:rPr>
        <w:t>38</w:t>
      </w:r>
      <w:r>
        <w:t>: 566-570 [PMID: 16802267 DOI: 10.1055/s-2006-925362]</w:t>
      </w:r>
    </w:p>
    <w:p w:rsidR="00022CAA" w:rsidRDefault="00022CAA" w:rsidP="00022CAA">
      <w:pPr>
        <w:pStyle w:val="-1"/>
      </w:pPr>
      <w:r>
        <w:t>10</w:t>
      </w:r>
      <w:r>
        <w:rPr>
          <w:b/>
          <w:bCs/>
        </w:rPr>
        <w:tab/>
      </w:r>
      <w:proofErr w:type="spellStart"/>
      <w:r>
        <w:rPr>
          <w:b/>
          <w:bCs/>
        </w:rPr>
        <w:t>Bajbouj</w:t>
      </w:r>
      <w:proofErr w:type="spellEnd"/>
      <w:r>
        <w:rPr>
          <w:b/>
          <w:bCs/>
        </w:rPr>
        <w:t xml:space="preserve"> M</w:t>
      </w:r>
      <w:r>
        <w:t xml:space="preserve">, Becker V, </w:t>
      </w:r>
      <w:proofErr w:type="spellStart"/>
      <w:r>
        <w:t>Eckel</w:t>
      </w:r>
      <w:proofErr w:type="spellEnd"/>
      <w:r>
        <w:t xml:space="preserve"> F, </w:t>
      </w:r>
      <w:proofErr w:type="spellStart"/>
      <w:r>
        <w:t>Miehlke</w:t>
      </w:r>
      <w:proofErr w:type="spellEnd"/>
      <w:r>
        <w:t xml:space="preserve"> S, </w:t>
      </w:r>
      <w:proofErr w:type="spellStart"/>
      <w:r>
        <w:t>Pech</w:t>
      </w:r>
      <w:proofErr w:type="spellEnd"/>
      <w:r>
        <w:t xml:space="preserve"> O, </w:t>
      </w:r>
      <w:proofErr w:type="spellStart"/>
      <w:r>
        <w:t>Prinz</w:t>
      </w:r>
      <w:proofErr w:type="spellEnd"/>
      <w:r>
        <w:t xml:space="preserve"> C, </w:t>
      </w:r>
      <w:proofErr w:type="spellStart"/>
      <w:r>
        <w:t>Schmid</w:t>
      </w:r>
      <w:proofErr w:type="spellEnd"/>
      <w:r>
        <w:t xml:space="preserve"> RM, </w:t>
      </w:r>
      <w:proofErr w:type="spellStart"/>
      <w:r>
        <w:t>Meining</w:t>
      </w:r>
      <w:proofErr w:type="spellEnd"/>
      <w:r>
        <w:t xml:space="preserve"> A. Argon plasma coagulation of cervical heterotopic gastric mucosa as an alternative treatment for </w:t>
      </w:r>
      <w:proofErr w:type="spellStart"/>
      <w:r>
        <w:t>globus</w:t>
      </w:r>
      <w:proofErr w:type="spellEnd"/>
      <w:r>
        <w:t xml:space="preserve"> sensations. </w:t>
      </w:r>
      <w:r>
        <w:rPr>
          <w:i/>
          <w:iCs/>
        </w:rPr>
        <w:t>Gastroenterology</w:t>
      </w:r>
      <w:r>
        <w:t xml:space="preserve"> 2009; </w:t>
      </w:r>
      <w:r>
        <w:rPr>
          <w:b/>
          <w:bCs/>
        </w:rPr>
        <w:t>137</w:t>
      </w:r>
      <w:r>
        <w:t>: 440-444 [PMID: 19410576 DOI: 10.1053/j.gastro.2009.04.053]</w:t>
      </w:r>
    </w:p>
    <w:p w:rsidR="00022CAA" w:rsidRDefault="00022CAA" w:rsidP="00022CAA">
      <w:pPr>
        <w:pStyle w:val="-1"/>
      </w:pPr>
      <w:r>
        <w:lastRenderedPageBreak/>
        <w:t>11</w:t>
      </w:r>
      <w:r>
        <w:rPr>
          <w:b/>
          <w:bCs/>
        </w:rPr>
        <w:tab/>
        <w:t>Dunn JM</w:t>
      </w:r>
      <w:r>
        <w:t xml:space="preserve">, Sui G, </w:t>
      </w:r>
      <w:proofErr w:type="spellStart"/>
      <w:r>
        <w:t>Anggiansah</w:t>
      </w:r>
      <w:proofErr w:type="spellEnd"/>
      <w:r>
        <w:t xml:space="preserve"> A, Wong T. Radiofrequency ablation of symptomatic cervical inlet </w:t>
      </w:r>
      <w:proofErr w:type="gramStart"/>
      <w:r>
        <w:t>patch</w:t>
      </w:r>
      <w:proofErr w:type="gramEnd"/>
      <w:r>
        <w:t xml:space="preserve"> using a through-the-scope device: a pilot study. </w:t>
      </w:r>
      <w:proofErr w:type="spellStart"/>
      <w:r>
        <w:rPr>
          <w:i/>
          <w:iCs/>
        </w:rPr>
        <w:t>Gastrointest</w:t>
      </w:r>
      <w:proofErr w:type="spellEnd"/>
      <w:r>
        <w:rPr>
          <w:i/>
          <w:iCs/>
        </w:rPr>
        <w:t xml:space="preserve"> </w:t>
      </w:r>
      <w:proofErr w:type="spellStart"/>
      <w:r>
        <w:rPr>
          <w:i/>
          <w:iCs/>
        </w:rPr>
        <w:t>Endosc</w:t>
      </w:r>
      <w:proofErr w:type="spellEnd"/>
      <w:r>
        <w:t xml:space="preserve"> 2016; </w:t>
      </w:r>
      <w:r>
        <w:rPr>
          <w:b/>
          <w:bCs/>
        </w:rPr>
        <w:t>84</w:t>
      </w:r>
      <w:r>
        <w:t>: 1022-1026.e2 [PMID: 27373671 DOI: 10.1016/j.gie.2016.06.037]</w:t>
      </w:r>
    </w:p>
    <w:p w:rsidR="00022CAA" w:rsidRDefault="00022CAA" w:rsidP="00022CAA"/>
    <w:p w:rsidR="00022CAA" w:rsidRDefault="00022CAA" w:rsidP="00022CAA">
      <w:r>
        <w:t>Figure Legends</w:t>
      </w:r>
    </w:p>
    <w:p w:rsidR="00022CAA" w:rsidRDefault="00022CAA" w:rsidP="00022CAA">
      <w:r>
        <w:rPr>
          <w:noProof/>
        </w:rPr>
        <w:drawing>
          <wp:inline distT="0" distB="0" distL="0" distR="0">
            <wp:extent cx="4747249" cy="2035534"/>
            <wp:effectExtent l="0" t="0" r="0" b="3175"/>
            <wp:docPr id="3" name="图片 3" descr="E:\赵丽敏\新期刊排版、组版稿子\WJCCv5i11\pmc-11\fig\WJCC-5-403-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赵丽敏\新期刊排版、组版稿子\WJCCv5i11\pmc-11\fig\WJCC-5-403-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194" cy="2036368"/>
                    </a:xfrm>
                    <a:prstGeom prst="rect">
                      <a:avLst/>
                    </a:prstGeom>
                    <a:noFill/>
                    <a:ln>
                      <a:noFill/>
                    </a:ln>
                  </pic:spPr>
                </pic:pic>
              </a:graphicData>
            </a:graphic>
          </wp:inline>
        </w:drawing>
      </w:r>
    </w:p>
    <w:p w:rsidR="00022CAA" w:rsidRDefault="00022CAA" w:rsidP="00022CAA">
      <w:pPr>
        <w:pStyle w:val="8BF4"/>
      </w:pPr>
      <w:r>
        <w:rPr>
          <w:b/>
          <w:bCs/>
        </w:rPr>
        <w:t xml:space="preserve">Figure </w:t>
      </w:r>
      <w:proofErr w:type="gramStart"/>
      <w:r>
        <w:rPr>
          <w:b/>
          <w:bCs/>
        </w:rPr>
        <w:t>1  Endoscopic</w:t>
      </w:r>
      <w:proofErr w:type="gramEnd"/>
      <w:r>
        <w:rPr>
          <w:b/>
          <w:bCs/>
        </w:rPr>
        <w:t xml:space="preserve"> image of circumferential cervical inlet patch.</w:t>
      </w:r>
      <w:r>
        <w:t xml:space="preserve"> A: White light image showing circular reddish cervical inlet patch (CIP) mucosa; B: On narrow band imaging, CIP is the circular dark brown area and squamous mucosa is light green. This sharp contrast of color helps to detect CIP.</w:t>
      </w:r>
    </w:p>
    <w:p w:rsidR="00022CAA" w:rsidRDefault="00022CAA" w:rsidP="00022CAA">
      <w:pPr>
        <w:pStyle w:val="8BF4"/>
      </w:pPr>
      <w:r>
        <w:rPr>
          <w:noProof/>
        </w:rPr>
        <w:drawing>
          <wp:inline distT="0" distB="0" distL="0" distR="0">
            <wp:extent cx="5287030" cy="1995777"/>
            <wp:effectExtent l="0" t="0" r="0" b="5080"/>
            <wp:docPr id="4" name="图片 4" descr="E:\赵丽敏\新期刊排版、组版稿子\WJCCv5i11\pmc-11\fig\WJCC-5-403-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赵丽敏\新期刊排版、组版稿子\WJCCv5i11\pmc-11\fig\WJCC-5-403-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177" cy="1995832"/>
                    </a:xfrm>
                    <a:prstGeom prst="rect">
                      <a:avLst/>
                    </a:prstGeom>
                    <a:noFill/>
                    <a:ln>
                      <a:noFill/>
                    </a:ln>
                  </pic:spPr>
                </pic:pic>
              </a:graphicData>
            </a:graphic>
          </wp:inline>
        </w:drawing>
      </w:r>
    </w:p>
    <w:p w:rsidR="00022CAA" w:rsidRDefault="00022CAA" w:rsidP="00022CAA">
      <w:pPr>
        <w:pStyle w:val="8BF4"/>
      </w:pPr>
      <w:r>
        <w:rPr>
          <w:b/>
          <w:bCs/>
        </w:rPr>
        <w:t xml:space="preserve">Figure </w:t>
      </w:r>
      <w:proofErr w:type="gramStart"/>
      <w:r>
        <w:rPr>
          <w:b/>
          <w:bCs/>
        </w:rPr>
        <w:t>2  Histopathological</w:t>
      </w:r>
      <w:proofErr w:type="gramEnd"/>
      <w:r>
        <w:rPr>
          <w:b/>
          <w:bCs/>
        </w:rPr>
        <w:t xml:space="preserve"> findings of biopsy specimen.</w:t>
      </w:r>
      <w:r>
        <w:t xml:space="preserve"> A: Endoscopic biopsy of cervical inlet patch (CIP) showing foveolar epithelium and </w:t>
      </w:r>
      <w:proofErr w:type="spellStart"/>
      <w:r>
        <w:t>fundic</w:t>
      </w:r>
      <w:proofErr w:type="spellEnd"/>
      <w:r>
        <w:t xml:space="preserve"> gland (Hematoxylin and eosin staining); B: Immunohistochemistry for proton pump alpha subunit demonstrated concentration of staining in glands of CIP (X 400).</w:t>
      </w:r>
    </w:p>
    <w:p w:rsidR="00022CAA" w:rsidRPr="00B8381F" w:rsidRDefault="00022CAA" w:rsidP="00022CAA"/>
    <w:p w:rsidR="00022CAA" w:rsidRDefault="00022CAA" w:rsidP="00022CAA">
      <w:r>
        <w:t>Footnotes</w:t>
      </w:r>
    </w:p>
    <w:p w:rsidR="00022CAA" w:rsidRDefault="00022CAA" w:rsidP="00022CAA">
      <w:pPr>
        <w:pStyle w:val="af6"/>
      </w:pPr>
      <w:r>
        <w:rPr>
          <w:rFonts w:ascii="Tahoma" w:hAnsi="Tahoma" w:cs="Tahoma"/>
        </w:rPr>
        <w:t>Manuscript source:</w:t>
      </w:r>
      <w:r>
        <w:rPr>
          <w:b/>
          <w:bCs/>
        </w:rPr>
        <w:t xml:space="preserve"> </w:t>
      </w:r>
      <w:r>
        <w:t>Unsolicited manuscript</w:t>
      </w:r>
    </w:p>
    <w:p w:rsidR="00022CAA" w:rsidRPr="00B8381F" w:rsidRDefault="00022CAA" w:rsidP="00022CAA">
      <w:pPr>
        <w:rPr>
          <w:b/>
        </w:rPr>
      </w:pPr>
      <w:r w:rsidRPr="00B8381F">
        <w:rPr>
          <w:b/>
        </w:rPr>
        <w:t xml:space="preserve">Specialty type: </w:t>
      </w:r>
      <w:r w:rsidRPr="00B8381F">
        <w:t>Medicine, Research and Experimental</w:t>
      </w:r>
    </w:p>
    <w:p w:rsidR="00022CAA" w:rsidRPr="00B8381F" w:rsidRDefault="00022CAA" w:rsidP="00022CAA">
      <w:pPr>
        <w:rPr>
          <w:lang w:val="en-GB"/>
        </w:rPr>
      </w:pPr>
      <w:r w:rsidRPr="00B8381F">
        <w:rPr>
          <w:b/>
        </w:rPr>
        <w:t xml:space="preserve">Country of origin: </w:t>
      </w:r>
      <w:r w:rsidRPr="00B8381F">
        <w:rPr>
          <w:lang w:val="en-GB"/>
        </w:rPr>
        <w:t xml:space="preserve">Japan </w:t>
      </w:r>
    </w:p>
    <w:p w:rsidR="00022CAA" w:rsidRPr="00B8381F" w:rsidRDefault="00022CAA" w:rsidP="00022CAA">
      <w:pPr>
        <w:rPr>
          <w:b/>
          <w:lang w:val="pt-BR"/>
        </w:rPr>
      </w:pPr>
      <w:r w:rsidRPr="00B8381F">
        <w:rPr>
          <w:b/>
        </w:rPr>
        <w:t>Peer-review report classification</w:t>
      </w:r>
    </w:p>
    <w:p w:rsidR="00022CAA" w:rsidRPr="00B8381F" w:rsidRDefault="00022CAA" w:rsidP="00022CAA">
      <w:r w:rsidRPr="00B8381F">
        <w:t xml:space="preserve">Grade </w:t>
      </w:r>
      <w:proofErr w:type="gramStart"/>
      <w:r w:rsidRPr="00B8381F">
        <w:t>A</w:t>
      </w:r>
      <w:proofErr w:type="gramEnd"/>
      <w:r w:rsidRPr="00B8381F">
        <w:t xml:space="preserve"> (Excellent): A</w:t>
      </w:r>
    </w:p>
    <w:p w:rsidR="00022CAA" w:rsidRPr="00B8381F" w:rsidRDefault="00022CAA" w:rsidP="00022CAA">
      <w:r w:rsidRPr="00B8381F">
        <w:t xml:space="preserve">Grade B (Very good): </w:t>
      </w:r>
      <w:r w:rsidRPr="00B8381F">
        <w:rPr>
          <w:rFonts w:hint="eastAsia"/>
        </w:rPr>
        <w:t>0</w:t>
      </w:r>
    </w:p>
    <w:p w:rsidR="00022CAA" w:rsidRPr="00B8381F" w:rsidRDefault="00022CAA" w:rsidP="00022CAA">
      <w:r w:rsidRPr="00B8381F">
        <w:t xml:space="preserve">Grade C (Good): </w:t>
      </w:r>
      <w:r w:rsidRPr="00B8381F">
        <w:rPr>
          <w:rFonts w:hint="eastAsia"/>
        </w:rPr>
        <w:t>C</w:t>
      </w:r>
    </w:p>
    <w:p w:rsidR="00022CAA" w:rsidRPr="00B8381F" w:rsidRDefault="00022CAA" w:rsidP="00022CAA">
      <w:r w:rsidRPr="00B8381F">
        <w:lastRenderedPageBreak/>
        <w:t xml:space="preserve">Grade D (Fair): </w:t>
      </w:r>
      <w:r w:rsidRPr="00B8381F">
        <w:rPr>
          <w:rFonts w:hint="eastAsia"/>
        </w:rPr>
        <w:t>D</w:t>
      </w:r>
    </w:p>
    <w:p w:rsidR="00022CAA" w:rsidRDefault="00022CAA" w:rsidP="00022CAA">
      <w:r w:rsidRPr="00B8381F">
        <w:t>Grade E (Poor): 0</w:t>
      </w:r>
    </w:p>
    <w:p w:rsidR="00022CAA" w:rsidRPr="00B8381F" w:rsidRDefault="00022CAA" w:rsidP="00022CAA">
      <w:pPr>
        <w:pStyle w:val="af6"/>
        <w:rPr>
          <w:b/>
          <w:bCs/>
        </w:rPr>
      </w:pPr>
      <w:r>
        <w:rPr>
          <w:rFonts w:ascii="Tahoma" w:hAnsi="Tahoma" w:cs="Tahoma"/>
        </w:rPr>
        <w:t>Institutional review board statement:</w:t>
      </w:r>
      <w:r w:rsidRPr="00B8381F">
        <w:rPr>
          <w:b/>
          <w:bCs/>
        </w:rPr>
        <w:t xml:space="preserve"> </w:t>
      </w:r>
      <w:r>
        <w:t>This case report was exempt from the Institutional Review Board Standards at Iwata City Hospital, Iwata, Japan.</w:t>
      </w:r>
    </w:p>
    <w:p w:rsidR="00022CAA" w:rsidRPr="00B8381F" w:rsidRDefault="00022CAA" w:rsidP="00022CAA">
      <w:pPr>
        <w:pStyle w:val="af6"/>
      </w:pPr>
      <w:r>
        <w:rPr>
          <w:rFonts w:ascii="Tahoma" w:hAnsi="Tahoma" w:cs="Tahoma"/>
        </w:rPr>
        <w:t>Informed consent statement:</w:t>
      </w:r>
      <w:r>
        <w:rPr>
          <w:b/>
          <w:bCs/>
        </w:rPr>
        <w:t xml:space="preserve"> </w:t>
      </w:r>
      <w:r>
        <w:t>The patient has provided permission to publish this paper, and the identity of the patient has been protected.</w:t>
      </w:r>
    </w:p>
    <w:p w:rsidR="00022CAA" w:rsidRDefault="00022CAA" w:rsidP="00022CAA">
      <w:pPr>
        <w:rPr>
          <w:lang w:val="it-IT"/>
        </w:rPr>
      </w:pPr>
      <w:bookmarkStart w:id="0" w:name="_GoBack"/>
      <w:bookmarkEnd w:id="0"/>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022AC">
        <w:rPr>
          <w:lang w:val="it-IT"/>
        </w:rPr>
        <w:fldChar w:fldCharType="begin"/>
      </w:r>
      <w:r w:rsidRPr="00C022AC">
        <w:rPr>
          <w:lang w:val="it-IT"/>
        </w:rPr>
        <w:instrText xml:space="preserve"> HYPERLINK "http://creativecommons.org/licenses/by-nc/4.0/" </w:instrText>
      </w:r>
      <w:r w:rsidRPr="00C022AC">
        <w:rPr>
          <w:lang w:val="it-IT"/>
        </w:rPr>
        <w:fldChar w:fldCharType="separate"/>
      </w:r>
      <w:r w:rsidRPr="00C022AC">
        <w:rPr>
          <w:rStyle w:val="a6"/>
          <w:color w:val="auto"/>
          <w:u w:val="none"/>
          <w:lang w:val="it-IT"/>
        </w:rPr>
        <w:t>http://creativecommons.org/licenses/by-nc/4.0/</w:t>
      </w:r>
      <w:r w:rsidRPr="00C022AC">
        <w:rPr>
          <w:lang w:val="it-IT"/>
        </w:rPr>
        <w:fldChar w:fldCharType="end"/>
      </w:r>
    </w:p>
    <w:p w:rsidR="00022CAA" w:rsidRDefault="00022CAA" w:rsidP="00022CAA">
      <w:pPr>
        <w:pStyle w:val="af6"/>
        <w:rPr>
          <w:b/>
          <w:bCs/>
        </w:rPr>
      </w:pPr>
      <w:r>
        <w:rPr>
          <w:rFonts w:ascii="Tahoma" w:hAnsi="Tahoma" w:cs="Tahoma"/>
        </w:rPr>
        <w:t>Peer-review started:</w:t>
      </w:r>
      <w:r>
        <w:rPr>
          <w:b/>
          <w:bCs/>
        </w:rPr>
        <w:t xml:space="preserve"> </w:t>
      </w:r>
      <w:r w:rsidRPr="00B8381F">
        <w:t xml:space="preserve">July 26, </w:t>
      </w:r>
      <w:r>
        <w:t>2017</w:t>
      </w:r>
    </w:p>
    <w:p w:rsidR="00022CAA" w:rsidRDefault="00022CAA" w:rsidP="00022CAA">
      <w:r>
        <w:rPr>
          <w:rFonts w:ascii="Tahoma" w:hAnsi="Tahoma" w:cs="Tahoma"/>
        </w:rPr>
        <w:t>First decision:</w:t>
      </w:r>
      <w:r w:rsidRPr="00B8381F">
        <w:rPr>
          <w:b/>
          <w:bCs/>
        </w:rPr>
        <w:t xml:space="preserve"> </w:t>
      </w:r>
      <w:r w:rsidRPr="00B8381F">
        <w:t>August 16, 2017</w:t>
      </w:r>
    </w:p>
    <w:p w:rsidR="00022CAA" w:rsidRDefault="00022CAA" w:rsidP="00022CAA">
      <w:pPr>
        <w:pStyle w:val="af6"/>
      </w:pPr>
      <w:r>
        <w:rPr>
          <w:rFonts w:ascii="Tahoma" w:hAnsi="Tahoma" w:cs="Tahoma"/>
        </w:rPr>
        <w:t xml:space="preserve">Article in press: </w:t>
      </w:r>
      <w:r>
        <w:t>September 13, 2017</w:t>
      </w:r>
    </w:p>
    <w:p w:rsidR="00022CAA" w:rsidRPr="00B8381F" w:rsidRDefault="00022CAA" w:rsidP="00022CAA">
      <w:pPr>
        <w:pStyle w:val="af6"/>
        <w:rPr>
          <w:b/>
          <w:bCs/>
        </w:rPr>
      </w:pPr>
      <w:r>
        <w:rPr>
          <w:rStyle w:val="afa"/>
          <w:rFonts w:ascii="Book Antiqua" w:hAnsi="Book Antiqua" w:cs="Book Antiqua"/>
          <w:sz w:val="16"/>
          <w:szCs w:val="16"/>
        </w:rPr>
        <w:t xml:space="preserve">P-Reviewer: </w:t>
      </w:r>
      <w:r w:rsidRPr="00B8381F">
        <w:rPr>
          <w:rFonts w:ascii="Book Antiqua" w:hAnsi="Book Antiqua" w:cs="Book Antiqua"/>
          <w:sz w:val="16"/>
          <w:szCs w:val="16"/>
        </w:rPr>
        <w:t>Chen XX</w:t>
      </w:r>
      <w:r>
        <w:rPr>
          <w:rFonts w:ascii="Book Antiqua" w:hAnsi="Book Antiqua" w:cs="Book Antiqua"/>
          <w:sz w:val="16"/>
          <w:szCs w:val="16"/>
        </w:rPr>
        <w:t>,</w:t>
      </w:r>
      <w:r w:rsidRPr="00B8381F">
        <w:rPr>
          <w:rFonts w:ascii="Book Antiqua" w:hAnsi="Book Antiqua" w:cs="Book Antiqua"/>
          <w:sz w:val="16"/>
          <w:szCs w:val="16"/>
        </w:rPr>
        <w:t xml:space="preserve"> </w:t>
      </w:r>
      <w:proofErr w:type="spellStart"/>
      <w:r w:rsidRPr="00B8381F">
        <w:rPr>
          <w:rFonts w:ascii="Book Antiqua" w:hAnsi="Book Antiqua" w:cs="Book Antiqua"/>
          <w:sz w:val="16"/>
          <w:szCs w:val="16"/>
        </w:rPr>
        <w:t>Guo</w:t>
      </w:r>
      <w:proofErr w:type="spellEnd"/>
      <w:r w:rsidRPr="00B8381F">
        <w:rPr>
          <w:rFonts w:ascii="Book Antiqua" w:hAnsi="Book Antiqua" w:cs="Book Antiqua"/>
          <w:sz w:val="16"/>
          <w:szCs w:val="16"/>
        </w:rPr>
        <w:t xml:space="preserve"> YM, Watson DI</w:t>
      </w:r>
      <w:r>
        <w:rPr>
          <w:rFonts w:ascii="Book Antiqua" w:hAnsi="Book Antiqua" w:cs="Book Antiqua"/>
          <w:sz w:val="16"/>
          <w:szCs w:val="16"/>
        </w:rPr>
        <w:t xml:space="preserve">    </w:t>
      </w:r>
      <w:r>
        <w:rPr>
          <w:rFonts w:ascii="Book Antiqua" w:hAnsi="Book Antiqua" w:cs="Book Antiqua"/>
          <w:b/>
          <w:bCs/>
          <w:sz w:val="16"/>
          <w:szCs w:val="16"/>
        </w:rPr>
        <w:t>S-Editor:</w:t>
      </w:r>
      <w:r w:rsidRPr="00B8381F">
        <w:rPr>
          <w:rFonts w:ascii="Book Antiqua" w:hAnsi="Book Antiqua" w:cs="Book Antiqua"/>
          <w:b/>
          <w:bCs/>
          <w:sz w:val="16"/>
          <w:szCs w:val="16"/>
        </w:rPr>
        <w:t xml:space="preserve"> </w:t>
      </w:r>
      <w:r w:rsidRPr="00B8381F">
        <w:rPr>
          <w:rFonts w:ascii="Book Antiqua" w:hAnsi="Book Antiqua" w:cs="Book Antiqua"/>
          <w:sz w:val="16"/>
          <w:szCs w:val="16"/>
        </w:rPr>
        <w:t>Chen K</w:t>
      </w:r>
      <w:r>
        <w:rPr>
          <w:rFonts w:ascii="Book Antiqua" w:hAnsi="Book Antiqua" w:cs="Book Antiqua"/>
          <w:b/>
          <w:bCs/>
          <w:sz w:val="16"/>
          <w:szCs w:val="16"/>
        </w:rPr>
        <w:t xml:space="preserve"> L-Editor:</w:t>
      </w:r>
      <w:r w:rsidRPr="00B8381F">
        <w:rPr>
          <w:rFonts w:ascii="Book Antiqua" w:hAnsi="Book Antiqua" w:cs="Book Antiqua"/>
          <w:b/>
          <w:bCs/>
          <w:sz w:val="16"/>
          <w:szCs w:val="16"/>
        </w:rPr>
        <w:t xml:space="preserve"> A    </w:t>
      </w:r>
      <w:r>
        <w:rPr>
          <w:rFonts w:ascii="Book Antiqua" w:hAnsi="Book Antiqua" w:cs="Book Antiqua"/>
          <w:b/>
          <w:bCs/>
          <w:sz w:val="16"/>
          <w:szCs w:val="16"/>
        </w:rPr>
        <w:t xml:space="preserve">E-Editor: </w:t>
      </w:r>
      <w:r>
        <w:rPr>
          <w:rFonts w:ascii="Book Antiqua" w:hAnsi="Book Antiqua" w:cs="Book Antiqua"/>
          <w:sz w:val="16"/>
          <w:szCs w:val="16"/>
        </w:rPr>
        <w:t>Zhao LM</w:t>
      </w:r>
    </w:p>
    <w:p w:rsidR="00022CAA" w:rsidRPr="00B8381F" w:rsidRDefault="00022CAA" w:rsidP="00022CAA"/>
    <w:p w:rsidR="00022CAA" w:rsidRPr="00022CAA" w:rsidRDefault="00022CAA" w:rsidP="00B657F9"/>
    <w:sectPr w:rsidR="00022CAA" w:rsidRPr="00022CAA"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B0E" w:rsidRDefault="007B5B0E">
      <w:r>
        <w:separator/>
      </w:r>
    </w:p>
  </w:endnote>
  <w:endnote w:type="continuationSeparator" w:id="0">
    <w:p w:rsidR="007B5B0E" w:rsidRDefault="007B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8065B5">
          <w:rPr>
            <w:noProof/>
          </w:rPr>
          <w:t>4</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B0E" w:rsidRDefault="007B5B0E">
      <w:r>
        <w:separator/>
      </w:r>
    </w:p>
  </w:footnote>
  <w:footnote w:type="continuationSeparator" w:id="0">
    <w:p w:rsidR="007B5B0E" w:rsidRDefault="007B5B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2CAA"/>
    <w:rsid w:val="000241BD"/>
    <w:rsid w:val="00027581"/>
    <w:rsid w:val="00031C52"/>
    <w:rsid w:val="00037B72"/>
    <w:rsid w:val="00040400"/>
    <w:rsid w:val="00043213"/>
    <w:rsid w:val="000528EB"/>
    <w:rsid w:val="000557E7"/>
    <w:rsid w:val="0006353A"/>
    <w:rsid w:val="00065609"/>
    <w:rsid w:val="000718B5"/>
    <w:rsid w:val="00077F13"/>
    <w:rsid w:val="00092F16"/>
    <w:rsid w:val="00096D46"/>
    <w:rsid w:val="000A32C0"/>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B5B0E"/>
    <w:rsid w:val="007C45B2"/>
    <w:rsid w:val="007D4616"/>
    <w:rsid w:val="007E1460"/>
    <w:rsid w:val="007F109C"/>
    <w:rsid w:val="008013FF"/>
    <w:rsid w:val="00802C13"/>
    <w:rsid w:val="008065B5"/>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17FF4"/>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BF0ED9"/>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uiPriority w:val="99"/>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uiPriority w:val="99"/>
    <w:rsid w:val="00022CAA"/>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022CAA"/>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uiPriority w:val="99"/>
    <w:rsid w:val="00022CAA"/>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uiPriority w:val="99"/>
    <w:rsid w:val="00022CAA"/>
    <w:pPr>
      <w:spacing w:line="360" w:lineRule="atLeast"/>
      <w:jc w:val="left"/>
    </w:pPr>
    <w:rPr>
      <w:rFonts w:ascii="Univers" w:hAnsi="Univers" w:cs="Univers"/>
      <w:b/>
      <w:bCs/>
      <w:spacing w:val="-2"/>
    </w:rPr>
  </w:style>
  <w:style w:type="paragraph" w:customStyle="1" w:styleId="af8">
    <w:name w:val="惓暥暥_"/>
    <w:basedOn w:val="NormalParagraphStyle"/>
    <w:uiPriority w:val="99"/>
    <w:rsid w:val="00022CAA"/>
    <w:pPr>
      <w:suppressAutoHyphens/>
    </w:pPr>
    <w:rPr>
      <w:rFonts w:ascii="Verdana" w:hAnsi="Verdana" w:cs="Verdana"/>
      <w:spacing w:val="-7"/>
      <w:sz w:val="18"/>
      <w:szCs w:val="18"/>
      <w:lang w:val="en-US"/>
    </w:rPr>
  </w:style>
  <w:style w:type="paragraph" w:customStyle="1" w:styleId="10">
    <w:name w:val="惓暥暥_1"/>
    <w:basedOn w:val="NormalParagraphStyle"/>
    <w:uiPriority w:val="99"/>
    <w:rsid w:val="00022CAA"/>
    <w:pPr>
      <w:suppressAutoHyphens/>
      <w:ind w:firstLine="283"/>
    </w:pPr>
    <w:rPr>
      <w:rFonts w:ascii="Verdana" w:hAnsi="Verdana" w:cs="Verdana"/>
      <w:spacing w:val="-7"/>
      <w:sz w:val="18"/>
      <w:szCs w:val="18"/>
      <w:lang w:val="en-US"/>
    </w:rPr>
  </w:style>
  <w:style w:type="paragraph" w:customStyle="1" w:styleId="af9">
    <w:name w:val="二级标题"/>
    <w:basedOn w:val="a"/>
    <w:uiPriority w:val="99"/>
    <w:rsid w:val="00022CAA"/>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uiPriority w:val="99"/>
    <w:rsid w:val="00022CAA"/>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uiPriority w:val="99"/>
    <w:rsid w:val="00022CAA"/>
    <w:pPr>
      <w:suppressAutoHyphens/>
      <w:spacing w:line="200" w:lineRule="atLeast"/>
      <w:ind w:left="360" w:hanging="360"/>
    </w:pPr>
    <w:rPr>
      <w:rFonts w:ascii="Times New Roman" w:hAnsi="Times New Roman" w:cs="Times New Roman"/>
      <w:spacing w:val="-1"/>
      <w:sz w:val="16"/>
      <w:szCs w:val="16"/>
      <w:lang w:val="en-US"/>
    </w:rPr>
  </w:style>
  <w:style w:type="character" w:customStyle="1" w:styleId="afa">
    <w:name w:val="梫"/>
    <w:uiPriority w:val="99"/>
    <w:rsid w:val="00022CAA"/>
    <w:rPr>
      <w:b/>
      <w:bCs/>
      <w:w w:val="1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uiPriority w:val="99"/>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uiPriority w:val="99"/>
    <w:rsid w:val="00022CAA"/>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022CAA"/>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uiPriority w:val="99"/>
    <w:rsid w:val="00022CAA"/>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uiPriority w:val="99"/>
    <w:rsid w:val="00022CAA"/>
    <w:pPr>
      <w:spacing w:line="360" w:lineRule="atLeast"/>
      <w:jc w:val="left"/>
    </w:pPr>
    <w:rPr>
      <w:rFonts w:ascii="Univers" w:hAnsi="Univers" w:cs="Univers"/>
      <w:b/>
      <w:bCs/>
      <w:spacing w:val="-2"/>
    </w:rPr>
  </w:style>
  <w:style w:type="paragraph" w:customStyle="1" w:styleId="af8">
    <w:name w:val="惓暥暥_"/>
    <w:basedOn w:val="NormalParagraphStyle"/>
    <w:uiPriority w:val="99"/>
    <w:rsid w:val="00022CAA"/>
    <w:pPr>
      <w:suppressAutoHyphens/>
    </w:pPr>
    <w:rPr>
      <w:rFonts w:ascii="Verdana" w:hAnsi="Verdana" w:cs="Verdana"/>
      <w:spacing w:val="-7"/>
      <w:sz w:val="18"/>
      <w:szCs w:val="18"/>
      <w:lang w:val="en-US"/>
    </w:rPr>
  </w:style>
  <w:style w:type="paragraph" w:customStyle="1" w:styleId="10">
    <w:name w:val="惓暥暥_1"/>
    <w:basedOn w:val="NormalParagraphStyle"/>
    <w:uiPriority w:val="99"/>
    <w:rsid w:val="00022CAA"/>
    <w:pPr>
      <w:suppressAutoHyphens/>
      <w:ind w:firstLine="283"/>
    </w:pPr>
    <w:rPr>
      <w:rFonts w:ascii="Verdana" w:hAnsi="Verdana" w:cs="Verdana"/>
      <w:spacing w:val="-7"/>
      <w:sz w:val="18"/>
      <w:szCs w:val="18"/>
      <w:lang w:val="en-US"/>
    </w:rPr>
  </w:style>
  <w:style w:type="paragraph" w:customStyle="1" w:styleId="af9">
    <w:name w:val="二级标题"/>
    <w:basedOn w:val="a"/>
    <w:uiPriority w:val="99"/>
    <w:rsid w:val="00022CAA"/>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uiPriority w:val="99"/>
    <w:rsid w:val="00022CAA"/>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uiPriority w:val="99"/>
    <w:rsid w:val="00022CAA"/>
    <w:pPr>
      <w:suppressAutoHyphens/>
      <w:spacing w:line="200" w:lineRule="atLeast"/>
      <w:ind w:left="360" w:hanging="360"/>
    </w:pPr>
    <w:rPr>
      <w:rFonts w:ascii="Times New Roman" w:hAnsi="Times New Roman" w:cs="Times New Roman"/>
      <w:spacing w:val="-1"/>
      <w:sz w:val="16"/>
      <w:szCs w:val="16"/>
      <w:lang w:val="en-US"/>
    </w:rPr>
  </w:style>
  <w:style w:type="character" w:customStyle="1" w:styleId="afa">
    <w:name w:val="梫"/>
    <w:uiPriority w:val="99"/>
    <w:rsid w:val="00022CAA"/>
    <w:rPr>
      <w:b/>
      <w:bCs/>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DCBE0-DA8D-4E64-A79F-60088E7EE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8</Pages>
  <Words>2293</Words>
  <Characters>13075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15338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admin</cp:lastModifiedBy>
  <cp:revision>113</cp:revision>
  <cp:lastPrinted>2017-07-31T17:15:00Z</cp:lastPrinted>
  <dcterms:created xsi:type="dcterms:W3CDTF">2017-06-13T15:12:00Z</dcterms:created>
  <dcterms:modified xsi:type="dcterms:W3CDTF">2017-11-20T00:56:00Z</dcterms:modified>
</cp:coreProperties>
</file>