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E208" w14:textId="325F674E" w:rsidR="006E440C" w:rsidRPr="00242AA7" w:rsidRDefault="006E440C" w:rsidP="00242AA7">
      <w:pPr>
        <w:spacing w:line="360" w:lineRule="auto"/>
        <w:jc w:val="both"/>
        <w:rPr>
          <w:rFonts w:ascii="Book Antiqua" w:hAnsi="Book Antiqua"/>
          <w:b/>
        </w:rPr>
      </w:pPr>
      <w:r w:rsidRPr="00242AA7">
        <w:rPr>
          <w:rFonts w:ascii="Book Antiqua" w:hAnsi="Book Antiqua"/>
          <w:b/>
        </w:rPr>
        <w:t xml:space="preserve">Name of Journal: </w:t>
      </w:r>
      <w:r w:rsidRPr="00242AA7">
        <w:rPr>
          <w:rFonts w:ascii="Book Antiqua" w:hAnsi="Book Antiqua"/>
          <w:b/>
          <w:i/>
        </w:rPr>
        <w:t>World Journal of Clinical Oncology</w:t>
      </w:r>
    </w:p>
    <w:p w14:paraId="1B653249" w14:textId="44726C77" w:rsidR="006E440C" w:rsidRPr="00242AA7" w:rsidRDefault="006E440C" w:rsidP="00242AA7">
      <w:pPr>
        <w:spacing w:line="360" w:lineRule="auto"/>
        <w:jc w:val="both"/>
        <w:rPr>
          <w:rFonts w:ascii="Book Antiqua" w:hAnsi="Book Antiqua"/>
          <w:b/>
        </w:rPr>
      </w:pPr>
      <w:r w:rsidRPr="00242AA7">
        <w:rPr>
          <w:rFonts w:ascii="Book Antiqua" w:hAnsi="Book Antiqua"/>
          <w:b/>
        </w:rPr>
        <w:t xml:space="preserve">Manuscript NO: </w:t>
      </w:r>
      <w:r w:rsidRPr="00242AA7">
        <w:rPr>
          <w:rFonts w:ascii="Book Antiqua" w:eastAsia="SimSun" w:hAnsi="Book Antiqua"/>
          <w:b/>
          <w:lang w:eastAsia="zh-CN"/>
        </w:rPr>
        <w:t>41743</w:t>
      </w:r>
    </w:p>
    <w:p w14:paraId="4693DF9F" w14:textId="32775EA1" w:rsidR="006E440C" w:rsidRPr="00242AA7" w:rsidRDefault="006E440C" w:rsidP="00242AA7">
      <w:pPr>
        <w:spacing w:line="360" w:lineRule="auto"/>
        <w:jc w:val="both"/>
        <w:rPr>
          <w:rFonts w:ascii="Book Antiqua" w:eastAsia="SimSun" w:hAnsi="Book Antiqua"/>
          <w:b/>
          <w:lang w:eastAsia="zh-CN"/>
        </w:rPr>
      </w:pPr>
      <w:r w:rsidRPr="00242AA7">
        <w:rPr>
          <w:rFonts w:ascii="Book Antiqua" w:hAnsi="Book Antiqua"/>
          <w:b/>
        </w:rPr>
        <w:t xml:space="preserve">Manuscript Type: </w:t>
      </w:r>
      <w:r w:rsidR="00732D9D" w:rsidRPr="00242AA7">
        <w:rPr>
          <w:rFonts w:ascii="Book Antiqua" w:hAnsi="Book Antiqua"/>
          <w:b/>
        </w:rPr>
        <w:t>MINIREVIEWS</w:t>
      </w:r>
    </w:p>
    <w:p w14:paraId="32AF4264" w14:textId="77777777" w:rsidR="00D46665" w:rsidRPr="00242AA7" w:rsidRDefault="00D46665" w:rsidP="00242AA7">
      <w:pPr>
        <w:spacing w:line="360" w:lineRule="auto"/>
        <w:jc w:val="both"/>
        <w:rPr>
          <w:rFonts w:ascii="Book Antiqua" w:eastAsia="SimSun" w:hAnsi="Book Antiqua"/>
          <w:lang w:eastAsia="zh-CN"/>
        </w:rPr>
      </w:pPr>
    </w:p>
    <w:p w14:paraId="0892B2E0" w14:textId="05B452CC" w:rsidR="00D46665" w:rsidRPr="00242AA7" w:rsidRDefault="00D46665" w:rsidP="00242AA7">
      <w:pPr>
        <w:spacing w:line="360" w:lineRule="auto"/>
        <w:jc w:val="both"/>
        <w:rPr>
          <w:rFonts w:ascii="Book Antiqua" w:eastAsia="SimSun" w:hAnsi="Book Antiqua"/>
          <w:b/>
          <w:lang w:eastAsia="zh-CN"/>
        </w:rPr>
      </w:pPr>
      <w:r w:rsidRPr="00242AA7">
        <w:rPr>
          <w:rFonts w:ascii="Book Antiqua" w:hAnsi="Book Antiqua"/>
          <w:b/>
        </w:rPr>
        <w:t xml:space="preserve">Oligometastases in </w:t>
      </w:r>
      <w:r w:rsidR="00732D9D" w:rsidRPr="00242AA7">
        <w:rPr>
          <w:rFonts w:ascii="Book Antiqua" w:hAnsi="Book Antiqua"/>
          <w:b/>
        </w:rPr>
        <w:t>prostate ca</w:t>
      </w:r>
      <w:r w:rsidRPr="00242AA7">
        <w:rPr>
          <w:rFonts w:ascii="Book Antiqua" w:hAnsi="Book Antiqua"/>
          <w:b/>
        </w:rPr>
        <w:t xml:space="preserve">ncer: Ablative </w:t>
      </w:r>
      <w:r w:rsidR="00732D9D" w:rsidRPr="00242AA7">
        <w:rPr>
          <w:rFonts w:ascii="Book Antiqua" w:hAnsi="Book Antiqua"/>
          <w:b/>
        </w:rPr>
        <w:t>t</w:t>
      </w:r>
      <w:r w:rsidRPr="00242AA7">
        <w:rPr>
          <w:rFonts w:ascii="Book Antiqua" w:hAnsi="Book Antiqua"/>
          <w:b/>
        </w:rPr>
        <w:t>reatment</w:t>
      </w:r>
    </w:p>
    <w:p w14:paraId="5DE7B15F" w14:textId="77777777" w:rsidR="002E7781" w:rsidRPr="00E5211D" w:rsidRDefault="002E7781" w:rsidP="00242AA7">
      <w:pPr>
        <w:spacing w:line="360" w:lineRule="auto"/>
        <w:jc w:val="both"/>
        <w:rPr>
          <w:rFonts w:ascii="Book Antiqua" w:eastAsia="SimSun" w:hAnsi="Book Antiqua"/>
          <w:b/>
          <w:lang w:eastAsia="zh-CN"/>
        </w:rPr>
      </w:pPr>
    </w:p>
    <w:p w14:paraId="3F2FC9A4" w14:textId="27575F17" w:rsidR="002E7781" w:rsidRPr="00242AA7" w:rsidRDefault="002E7781" w:rsidP="00242AA7">
      <w:pPr>
        <w:spacing w:line="360" w:lineRule="auto"/>
        <w:jc w:val="both"/>
        <w:rPr>
          <w:rFonts w:ascii="Book Antiqua" w:hAnsi="Book Antiqua"/>
        </w:rPr>
      </w:pPr>
      <w:r w:rsidRPr="00242AA7">
        <w:rPr>
          <w:rFonts w:ascii="Book Antiqua" w:hAnsi="Book Antiqua"/>
          <w:lang w:val="pt-BR"/>
        </w:rPr>
        <w:t>Palacios-Eito</w:t>
      </w:r>
      <w:r w:rsidRPr="00242AA7">
        <w:rPr>
          <w:rFonts w:ascii="Book Antiqua" w:eastAsia="SimSun" w:hAnsi="Book Antiqua"/>
          <w:lang w:val="pt-BR" w:eastAsia="zh-CN"/>
        </w:rPr>
        <w:t xml:space="preserve"> A </w:t>
      </w:r>
      <w:r w:rsidRPr="00242AA7">
        <w:rPr>
          <w:rFonts w:ascii="Book Antiqua" w:eastAsia="SimSun" w:hAnsi="Book Antiqua"/>
          <w:i/>
          <w:lang w:val="pt-BR" w:eastAsia="zh-CN"/>
        </w:rPr>
        <w:t>et al.</w:t>
      </w:r>
      <w:r w:rsidRPr="00242AA7">
        <w:rPr>
          <w:rFonts w:ascii="Book Antiqua" w:hAnsi="Book Antiqua"/>
        </w:rPr>
        <w:t xml:space="preserve"> SBRT in oligometastatic prostate cancer</w:t>
      </w:r>
    </w:p>
    <w:p w14:paraId="403FD0D2" w14:textId="36020847" w:rsidR="00732D9D" w:rsidRPr="00242AA7" w:rsidRDefault="00732D9D" w:rsidP="00242AA7">
      <w:pPr>
        <w:spacing w:line="360" w:lineRule="auto"/>
        <w:jc w:val="both"/>
        <w:rPr>
          <w:rFonts w:ascii="Book Antiqua" w:eastAsia="SimSun" w:hAnsi="Book Antiqua"/>
          <w:i/>
          <w:lang w:eastAsia="zh-CN"/>
        </w:rPr>
      </w:pPr>
    </w:p>
    <w:p w14:paraId="3E5A3F4D" w14:textId="6CC2F37B" w:rsidR="00732D9D" w:rsidRPr="00242AA7" w:rsidRDefault="00732D9D" w:rsidP="00242AA7">
      <w:pPr>
        <w:spacing w:line="360" w:lineRule="auto"/>
        <w:jc w:val="both"/>
        <w:rPr>
          <w:rFonts w:ascii="Book Antiqua" w:hAnsi="Book Antiqua"/>
          <w:lang w:val="pt-BR"/>
        </w:rPr>
      </w:pPr>
      <w:r w:rsidRPr="00242AA7">
        <w:rPr>
          <w:rFonts w:ascii="Book Antiqua" w:hAnsi="Book Antiqua"/>
          <w:lang w:val="pt-BR"/>
        </w:rPr>
        <w:t>Amalia Palacios-Eito, Amelia Béjar-Luque</w:t>
      </w:r>
      <w:r w:rsidRPr="00242AA7">
        <w:rPr>
          <w:rFonts w:ascii="Book Antiqua" w:eastAsia="SimSun" w:hAnsi="Book Antiqua"/>
          <w:lang w:val="pt-BR" w:eastAsia="zh-CN"/>
        </w:rPr>
        <w:t xml:space="preserve">, </w:t>
      </w:r>
      <w:r w:rsidRPr="00242AA7">
        <w:rPr>
          <w:rFonts w:ascii="Book Antiqua" w:hAnsi="Book Antiqua"/>
          <w:lang w:val="pt-BR"/>
        </w:rPr>
        <w:t>Milagrosa Rodríguez-Liñán, Sonia García-Cabezas</w:t>
      </w:r>
    </w:p>
    <w:p w14:paraId="5FF4B418" w14:textId="77777777" w:rsidR="00D46665" w:rsidRPr="00242AA7" w:rsidRDefault="00D46665" w:rsidP="00242AA7">
      <w:pPr>
        <w:spacing w:line="360" w:lineRule="auto"/>
        <w:jc w:val="both"/>
        <w:rPr>
          <w:rFonts w:ascii="Book Antiqua" w:eastAsia="SimSun" w:hAnsi="Book Antiqua"/>
          <w:lang w:val="pt-BR" w:eastAsia="zh-CN"/>
        </w:rPr>
      </w:pPr>
    </w:p>
    <w:p w14:paraId="462B5DF6" w14:textId="0759BCEB" w:rsidR="00D46665" w:rsidRPr="00242AA7" w:rsidRDefault="002E7781" w:rsidP="00242AA7">
      <w:pPr>
        <w:spacing w:line="360" w:lineRule="auto"/>
        <w:jc w:val="both"/>
        <w:rPr>
          <w:rFonts w:ascii="Book Antiqua" w:eastAsia="SimSun" w:hAnsi="Book Antiqua"/>
          <w:b/>
          <w:lang w:val="pt-BR" w:eastAsia="zh-CN"/>
        </w:rPr>
      </w:pPr>
      <w:r w:rsidRPr="00242AA7">
        <w:rPr>
          <w:rFonts w:ascii="Book Antiqua" w:hAnsi="Book Antiqua"/>
          <w:b/>
          <w:lang w:val="pt-BR"/>
        </w:rPr>
        <w:t>Amalia Palacios-Eito, Amelia Béjar-Luque</w:t>
      </w:r>
      <w:r w:rsidRPr="00242AA7">
        <w:rPr>
          <w:rFonts w:ascii="Book Antiqua" w:eastAsia="SimSun" w:hAnsi="Book Antiqua"/>
          <w:b/>
          <w:lang w:val="pt-BR" w:eastAsia="zh-CN"/>
        </w:rPr>
        <w:t xml:space="preserve">, </w:t>
      </w:r>
      <w:r w:rsidRPr="00242AA7">
        <w:rPr>
          <w:rFonts w:ascii="Book Antiqua" w:hAnsi="Book Antiqua"/>
          <w:b/>
          <w:lang w:val="pt-BR"/>
        </w:rPr>
        <w:t>Milagrosa Rodríguez-Liñán, Sonia García-Cabezas</w:t>
      </w:r>
      <w:r w:rsidRPr="00242AA7">
        <w:rPr>
          <w:rFonts w:ascii="Book Antiqua" w:eastAsia="SimSun" w:hAnsi="Book Antiqua"/>
          <w:b/>
          <w:lang w:val="pt-BR" w:eastAsia="zh-CN"/>
        </w:rPr>
        <w:t xml:space="preserve">, </w:t>
      </w:r>
      <w:r w:rsidR="00B90718" w:rsidRPr="00242AA7">
        <w:rPr>
          <w:rFonts w:ascii="Book Antiqua" w:hAnsi="Book Antiqua"/>
          <w:lang w:val="pt-BR"/>
        </w:rPr>
        <w:t>Department of Radiation Oncology, Reina Sofia University Hospital, Cordoba 14004, Spain</w:t>
      </w:r>
    </w:p>
    <w:p w14:paraId="08C07917" w14:textId="77777777" w:rsidR="00D46665" w:rsidRPr="00242AA7" w:rsidRDefault="00D46665" w:rsidP="00242AA7">
      <w:pPr>
        <w:spacing w:line="360" w:lineRule="auto"/>
        <w:jc w:val="both"/>
        <w:rPr>
          <w:rFonts w:ascii="Book Antiqua" w:hAnsi="Book Antiqua"/>
          <w:lang w:val="pt-BR" w:bidi="fa-IR"/>
        </w:rPr>
      </w:pPr>
    </w:p>
    <w:p w14:paraId="5AF22F36" w14:textId="6F513C11" w:rsidR="00D46665" w:rsidRPr="00242AA7" w:rsidRDefault="00B90718" w:rsidP="00242AA7">
      <w:pPr>
        <w:spacing w:line="360" w:lineRule="auto"/>
        <w:jc w:val="both"/>
        <w:rPr>
          <w:rFonts w:ascii="Book Antiqua" w:eastAsia="Times New Roman" w:hAnsi="Book Antiqua" w:cs="Times New Roman"/>
          <w:lang w:val="es-ES"/>
        </w:rPr>
      </w:pPr>
      <w:r w:rsidRPr="00242AA7">
        <w:rPr>
          <w:rFonts w:ascii="Book Antiqua" w:hAnsi="Book Antiqua"/>
          <w:b/>
        </w:rPr>
        <w:t>ORCID number:</w:t>
      </w:r>
      <w:r w:rsidR="00D46665" w:rsidRPr="00242AA7">
        <w:rPr>
          <w:rFonts w:ascii="Book Antiqua" w:eastAsia="Times New Roman" w:hAnsi="Book Antiqua" w:cs="Times New Roman"/>
          <w:lang w:val="es-ES"/>
        </w:rPr>
        <w:t xml:space="preserve"> Amalia Palacios-Eito (0000-0002-7575-227X); Amelia Béjar-Luque (0000-0002-4133-3595); Milagrosa Rodríguez-Liñán (0000-0003-1687-6464); Sonia García-Cabezas (0000-0002-9373-9845).</w:t>
      </w:r>
    </w:p>
    <w:p w14:paraId="180A0BE0" w14:textId="77777777" w:rsidR="00D46665" w:rsidRPr="00242AA7" w:rsidRDefault="00D46665" w:rsidP="00242AA7">
      <w:pPr>
        <w:spacing w:line="360" w:lineRule="auto"/>
        <w:jc w:val="both"/>
        <w:rPr>
          <w:rFonts w:ascii="Book Antiqua" w:eastAsia="SimSun" w:hAnsi="Book Antiqua"/>
          <w:lang w:val="es-ES_tradnl" w:eastAsia="zh-CN"/>
        </w:rPr>
      </w:pPr>
    </w:p>
    <w:p w14:paraId="4E3BD6F6" w14:textId="54AF90F9" w:rsidR="00D46665" w:rsidRPr="00242AA7" w:rsidRDefault="00B90718" w:rsidP="00242AA7">
      <w:pPr>
        <w:spacing w:line="360" w:lineRule="auto"/>
        <w:jc w:val="both"/>
        <w:rPr>
          <w:rFonts w:ascii="Book Antiqua" w:eastAsia="SimSun" w:hAnsi="Book Antiqua" w:cs="Times New Roman"/>
          <w:lang w:val="en-US" w:eastAsia="zh-CN"/>
        </w:rPr>
      </w:pPr>
      <w:r w:rsidRPr="00242AA7">
        <w:rPr>
          <w:rFonts w:ascii="Book Antiqua" w:hAnsi="Book Antiqua"/>
          <w:b/>
        </w:rPr>
        <w:t>Author contributions:</w:t>
      </w:r>
      <w:r w:rsidRPr="00242AA7">
        <w:rPr>
          <w:rFonts w:ascii="Book Antiqua" w:eastAsia="SimSun" w:hAnsi="Book Antiqua"/>
          <w:b/>
          <w:lang w:eastAsia="zh-CN"/>
        </w:rPr>
        <w:t xml:space="preserve"> </w:t>
      </w:r>
      <w:r w:rsidRPr="00242AA7">
        <w:rPr>
          <w:rFonts w:ascii="Book Antiqua" w:hAnsi="Book Antiqua" w:cs="Times New Roman"/>
          <w:lang w:val="en-US"/>
        </w:rPr>
        <w:t>All authors contributed to this manuscript.</w:t>
      </w:r>
    </w:p>
    <w:p w14:paraId="5D2B07A5" w14:textId="77777777" w:rsidR="00B90718" w:rsidRPr="00242AA7" w:rsidRDefault="00B90718" w:rsidP="00242AA7">
      <w:pPr>
        <w:spacing w:line="360" w:lineRule="auto"/>
        <w:jc w:val="both"/>
        <w:rPr>
          <w:rFonts w:ascii="Book Antiqua" w:eastAsia="SimSun" w:hAnsi="Book Antiqua"/>
          <w:lang w:val="pt-BR" w:eastAsia="zh-CN"/>
        </w:rPr>
      </w:pPr>
    </w:p>
    <w:p w14:paraId="009131AA" w14:textId="77777777" w:rsidR="00B90718" w:rsidRPr="00242AA7" w:rsidRDefault="00B90718" w:rsidP="00242AA7">
      <w:pPr>
        <w:spacing w:line="360" w:lineRule="auto"/>
        <w:jc w:val="both"/>
        <w:rPr>
          <w:rFonts w:ascii="Book Antiqua" w:hAnsi="Book Antiqua"/>
        </w:rPr>
      </w:pPr>
      <w:r w:rsidRPr="00242AA7">
        <w:rPr>
          <w:rFonts w:ascii="Book Antiqua" w:hAnsi="Book Antiqua"/>
          <w:b/>
        </w:rPr>
        <w:t>Conflict-of-interest statement</w:t>
      </w:r>
      <w:r w:rsidRPr="00242AA7">
        <w:rPr>
          <w:rFonts w:ascii="Book Antiqua" w:hAnsi="Book Antiqua" w:cs="TimesNewRomanPS-BoldItalicMT"/>
          <w:b/>
          <w:iCs/>
        </w:rPr>
        <w:t xml:space="preserve">: </w:t>
      </w:r>
      <w:r w:rsidRPr="00242AA7">
        <w:rPr>
          <w:rFonts w:ascii="Book Antiqua" w:hAnsi="Book Antiqua"/>
        </w:rPr>
        <w:t>The authors have no conflict of interest related to the manuscript.</w:t>
      </w:r>
    </w:p>
    <w:p w14:paraId="609FAA93" w14:textId="77777777" w:rsidR="00B90718" w:rsidRPr="00242AA7" w:rsidRDefault="00B90718" w:rsidP="00242AA7">
      <w:pPr>
        <w:adjustRightInd w:val="0"/>
        <w:snapToGrid w:val="0"/>
        <w:spacing w:line="360" w:lineRule="auto"/>
        <w:jc w:val="both"/>
        <w:rPr>
          <w:rFonts w:ascii="Book Antiqua" w:hAnsi="Book Antiqua"/>
        </w:rPr>
      </w:pPr>
    </w:p>
    <w:p w14:paraId="685FBF43" w14:textId="77777777" w:rsidR="00B90718" w:rsidRPr="00242AA7" w:rsidRDefault="00B90718" w:rsidP="00242AA7">
      <w:pPr>
        <w:adjustRightInd w:val="0"/>
        <w:snapToGrid w:val="0"/>
        <w:spacing w:line="360" w:lineRule="auto"/>
        <w:jc w:val="both"/>
        <w:rPr>
          <w:rFonts w:ascii="Book Antiqua" w:hAnsi="Book Antiqua"/>
        </w:rPr>
      </w:pPr>
      <w:r w:rsidRPr="00242AA7">
        <w:rPr>
          <w:rFonts w:ascii="Book Antiqua" w:hAnsi="Book Antiqua"/>
          <w:b/>
        </w:rPr>
        <w:t xml:space="preserve">Open-Access: </w:t>
      </w:r>
      <w:r w:rsidRPr="00242AA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42AA7">
          <w:rPr>
            <w:rStyle w:val="Hyperlink"/>
            <w:rFonts w:ascii="Book Antiqua" w:hAnsi="Book Antiqua"/>
            <w:color w:val="auto"/>
            <w:u w:val="none"/>
          </w:rPr>
          <w:t>http://creativecommons.org/licenses/by-nc/4.0/</w:t>
        </w:r>
      </w:hyperlink>
    </w:p>
    <w:p w14:paraId="23B427FE" w14:textId="77777777" w:rsidR="00D46665" w:rsidRPr="00242AA7" w:rsidRDefault="00D46665" w:rsidP="00242AA7">
      <w:pPr>
        <w:spacing w:line="360" w:lineRule="auto"/>
        <w:jc w:val="both"/>
        <w:rPr>
          <w:rFonts w:ascii="Book Antiqua" w:eastAsia="SimSun" w:hAnsi="Book Antiqua"/>
          <w:lang w:val="pt-BR" w:eastAsia="zh-CN"/>
        </w:rPr>
      </w:pPr>
    </w:p>
    <w:p w14:paraId="56D12A52" w14:textId="1B0ADF48" w:rsidR="00B90718" w:rsidRPr="00242AA7" w:rsidRDefault="00B90718" w:rsidP="00242AA7">
      <w:pPr>
        <w:spacing w:line="360" w:lineRule="auto"/>
        <w:jc w:val="both"/>
        <w:rPr>
          <w:rFonts w:ascii="Book Antiqua" w:eastAsia="SimSun" w:hAnsi="Book Antiqua" w:cs="SimSun"/>
          <w:lang w:eastAsia="zh-CN"/>
        </w:rPr>
      </w:pPr>
      <w:r w:rsidRPr="00242AA7">
        <w:rPr>
          <w:rFonts w:ascii="Book Antiqua" w:eastAsia="SimSun" w:hAnsi="Book Antiqua" w:cs="SimSun"/>
          <w:b/>
        </w:rPr>
        <w:t>Manuscript source:</w:t>
      </w:r>
      <w:r w:rsidRPr="00242AA7">
        <w:rPr>
          <w:rFonts w:ascii="Book Antiqua" w:eastAsia="SimSun" w:hAnsi="Book Antiqua" w:cs="SimSun"/>
        </w:rPr>
        <w:t> Invited manuscript</w:t>
      </w:r>
    </w:p>
    <w:p w14:paraId="0B249E02" w14:textId="77777777" w:rsidR="00B90718" w:rsidRPr="00242AA7" w:rsidRDefault="00B90718" w:rsidP="00242AA7">
      <w:pPr>
        <w:spacing w:line="360" w:lineRule="auto"/>
        <w:jc w:val="both"/>
        <w:rPr>
          <w:rFonts w:ascii="Book Antiqua" w:eastAsia="SimSun" w:hAnsi="Book Antiqua"/>
          <w:lang w:val="pt-BR" w:eastAsia="zh-CN"/>
        </w:rPr>
      </w:pPr>
    </w:p>
    <w:p w14:paraId="1EB8696F" w14:textId="1F95AF67" w:rsidR="00D46665" w:rsidRPr="00242AA7" w:rsidRDefault="00B90718" w:rsidP="00242AA7">
      <w:pPr>
        <w:spacing w:line="360" w:lineRule="auto"/>
        <w:jc w:val="both"/>
        <w:rPr>
          <w:rFonts w:ascii="Book Antiqua" w:hAnsi="Book Antiqua"/>
          <w:lang w:val="es-ES_tradnl"/>
        </w:rPr>
      </w:pPr>
      <w:r w:rsidRPr="00242AA7">
        <w:rPr>
          <w:rFonts w:ascii="Book Antiqua" w:hAnsi="Book Antiqua"/>
          <w:b/>
        </w:rPr>
        <w:t>Corresponding author:</w:t>
      </w:r>
      <w:r w:rsidRPr="00242AA7">
        <w:rPr>
          <w:rFonts w:ascii="Book Antiqua" w:eastAsia="SimSun" w:hAnsi="Book Antiqua"/>
          <w:b/>
          <w:lang w:eastAsia="zh-CN"/>
        </w:rPr>
        <w:t xml:space="preserve"> </w:t>
      </w:r>
      <w:r w:rsidRPr="00242AA7">
        <w:rPr>
          <w:rFonts w:ascii="Book Antiqua" w:hAnsi="Book Antiqua"/>
          <w:b/>
          <w:lang w:val="pt-BR"/>
        </w:rPr>
        <w:t xml:space="preserve">Sonia García-Cabezas, MD, PhD, Associate Professor, </w:t>
      </w:r>
      <w:r w:rsidRPr="00242AA7">
        <w:rPr>
          <w:rFonts w:ascii="Book Antiqua" w:hAnsi="Book Antiqua"/>
          <w:lang w:val="pt-BR"/>
        </w:rPr>
        <w:t>Department of Radiation Oncology, Reina Sofia University Hospital, Avda. Menéndez Pidal, s/n, Cordoba 14004, Spain. songar1@gmail.com</w:t>
      </w:r>
      <w:r w:rsidR="00D46665" w:rsidRPr="00242AA7">
        <w:rPr>
          <w:rFonts w:ascii="Book Antiqua" w:hAnsi="Book Antiqua"/>
          <w:lang w:val="es-ES_tradnl"/>
        </w:rPr>
        <w:tab/>
      </w:r>
      <w:r w:rsidR="00D46665" w:rsidRPr="00242AA7">
        <w:rPr>
          <w:rFonts w:ascii="Book Antiqua" w:hAnsi="Book Antiqua"/>
          <w:lang w:val="es-ES_tradnl"/>
        </w:rPr>
        <w:tab/>
      </w:r>
      <w:r w:rsidR="00D46665" w:rsidRPr="00242AA7">
        <w:rPr>
          <w:rFonts w:ascii="Book Antiqua" w:hAnsi="Book Antiqua"/>
          <w:lang w:val="es-ES_tradnl"/>
        </w:rPr>
        <w:tab/>
      </w:r>
    </w:p>
    <w:p w14:paraId="1EA78D25" w14:textId="77777777" w:rsidR="008B1793" w:rsidRDefault="008B1793" w:rsidP="00242AA7">
      <w:pPr>
        <w:spacing w:line="360" w:lineRule="auto"/>
        <w:jc w:val="both"/>
        <w:rPr>
          <w:rFonts w:ascii="Book Antiqua" w:hAnsi="Book Antiqua"/>
          <w:b/>
          <w:lang w:val="es-ES_tradnl"/>
        </w:rPr>
      </w:pPr>
    </w:p>
    <w:p w14:paraId="6D5E9E02" w14:textId="2943873A" w:rsidR="00D46665" w:rsidRPr="00242AA7" w:rsidRDefault="00D46665" w:rsidP="00242AA7">
      <w:pPr>
        <w:spacing w:line="360" w:lineRule="auto"/>
        <w:jc w:val="both"/>
        <w:rPr>
          <w:rFonts w:ascii="Book Antiqua" w:hAnsi="Book Antiqua"/>
          <w:b/>
          <w:lang w:val="es-ES_tradnl"/>
        </w:rPr>
      </w:pPr>
      <w:r w:rsidRPr="00242AA7">
        <w:rPr>
          <w:rFonts w:ascii="Book Antiqua" w:hAnsi="Book Antiqua"/>
          <w:b/>
          <w:lang w:val="es-ES_tradnl"/>
        </w:rPr>
        <w:t xml:space="preserve">Telephone: </w:t>
      </w:r>
      <w:r w:rsidRPr="00242AA7">
        <w:rPr>
          <w:rFonts w:ascii="Book Antiqua" w:hAnsi="Book Antiqua"/>
          <w:lang w:val="es-ES_tradnl"/>
        </w:rPr>
        <w:t>+34</w:t>
      </w:r>
      <w:r w:rsidR="00B90718" w:rsidRPr="00242AA7">
        <w:rPr>
          <w:rFonts w:ascii="Book Antiqua" w:eastAsia="SimSun" w:hAnsi="Book Antiqua"/>
          <w:lang w:val="es-ES_tradnl" w:eastAsia="zh-CN"/>
        </w:rPr>
        <w:t>-</w:t>
      </w:r>
      <w:r w:rsidRPr="00242AA7">
        <w:rPr>
          <w:rFonts w:ascii="Book Antiqua" w:hAnsi="Book Antiqua"/>
          <w:lang w:val="es-ES_tradnl"/>
        </w:rPr>
        <w:t>95</w:t>
      </w:r>
      <w:r w:rsidR="00B90718" w:rsidRPr="00242AA7">
        <w:rPr>
          <w:rFonts w:ascii="Book Antiqua" w:eastAsia="SimSun" w:hAnsi="Book Antiqua"/>
          <w:lang w:val="es-ES_tradnl" w:eastAsia="zh-CN"/>
        </w:rPr>
        <w:t>-</w:t>
      </w:r>
      <w:r w:rsidR="00B90718" w:rsidRPr="00242AA7">
        <w:rPr>
          <w:rFonts w:ascii="Book Antiqua" w:hAnsi="Book Antiqua"/>
          <w:lang w:val="es-ES_tradnl"/>
        </w:rPr>
        <w:t>7011</w:t>
      </w:r>
      <w:r w:rsidRPr="00242AA7">
        <w:rPr>
          <w:rFonts w:ascii="Book Antiqua" w:hAnsi="Book Antiqua"/>
          <w:lang w:val="es-ES_tradnl"/>
        </w:rPr>
        <w:t>415</w:t>
      </w:r>
    </w:p>
    <w:p w14:paraId="61E0B15B" w14:textId="02205B95" w:rsidR="00D46665" w:rsidRPr="00242AA7" w:rsidRDefault="00D46665" w:rsidP="00242AA7">
      <w:pPr>
        <w:spacing w:line="360" w:lineRule="auto"/>
        <w:jc w:val="both"/>
        <w:rPr>
          <w:rFonts w:ascii="Book Antiqua" w:hAnsi="Book Antiqua"/>
          <w:b/>
        </w:rPr>
      </w:pPr>
      <w:r w:rsidRPr="00242AA7">
        <w:rPr>
          <w:rFonts w:ascii="Book Antiqua" w:hAnsi="Book Antiqua"/>
          <w:b/>
        </w:rPr>
        <w:t xml:space="preserve">Fax: </w:t>
      </w:r>
      <w:r w:rsidR="00B90718" w:rsidRPr="00242AA7">
        <w:rPr>
          <w:rFonts w:ascii="Book Antiqua" w:hAnsi="Book Antiqua"/>
          <w:lang w:val="en-US"/>
        </w:rPr>
        <w:t>+34</w:t>
      </w:r>
      <w:r w:rsidR="00B90718" w:rsidRPr="00242AA7">
        <w:rPr>
          <w:rFonts w:ascii="Book Antiqua" w:eastAsia="SimSun" w:hAnsi="Book Antiqua"/>
          <w:lang w:val="en-US" w:eastAsia="zh-CN"/>
        </w:rPr>
        <w:t>-</w:t>
      </w:r>
      <w:r w:rsidR="00B90718" w:rsidRPr="00242AA7">
        <w:rPr>
          <w:rFonts w:ascii="Book Antiqua" w:hAnsi="Book Antiqua"/>
          <w:lang w:val="en-US"/>
        </w:rPr>
        <w:t>95</w:t>
      </w:r>
      <w:r w:rsidR="00B90718" w:rsidRPr="00242AA7">
        <w:rPr>
          <w:rFonts w:ascii="Book Antiqua" w:eastAsia="SimSun" w:hAnsi="Book Antiqua"/>
          <w:lang w:val="en-US" w:eastAsia="zh-CN"/>
        </w:rPr>
        <w:t>-</w:t>
      </w:r>
      <w:r w:rsidR="00B90718" w:rsidRPr="00242AA7">
        <w:rPr>
          <w:rFonts w:ascii="Book Antiqua" w:hAnsi="Book Antiqua"/>
          <w:lang w:val="en-US"/>
        </w:rPr>
        <w:t>7</w:t>
      </w:r>
      <w:r w:rsidRPr="00242AA7">
        <w:rPr>
          <w:rFonts w:ascii="Book Antiqua" w:hAnsi="Book Antiqua"/>
          <w:lang w:val="en-US"/>
        </w:rPr>
        <w:t>011414</w:t>
      </w:r>
    </w:p>
    <w:p w14:paraId="0400C901" w14:textId="77777777" w:rsidR="00D46665" w:rsidRPr="00242AA7" w:rsidRDefault="00D46665" w:rsidP="00242AA7">
      <w:pPr>
        <w:spacing w:line="360" w:lineRule="auto"/>
        <w:jc w:val="both"/>
        <w:rPr>
          <w:rFonts w:ascii="Book Antiqua" w:hAnsi="Book Antiqua"/>
          <w:b/>
        </w:rPr>
      </w:pPr>
    </w:p>
    <w:p w14:paraId="46586E23" w14:textId="7749C027" w:rsidR="00B90718" w:rsidRPr="00242AA7" w:rsidRDefault="00B90718" w:rsidP="00242AA7">
      <w:pPr>
        <w:spacing w:line="360" w:lineRule="auto"/>
        <w:jc w:val="both"/>
        <w:rPr>
          <w:rFonts w:ascii="Book Antiqua" w:hAnsi="Book Antiqua"/>
          <w:b/>
        </w:rPr>
      </w:pPr>
      <w:r w:rsidRPr="00242AA7">
        <w:rPr>
          <w:rFonts w:ascii="Book Antiqua" w:hAnsi="Book Antiqua"/>
          <w:b/>
        </w:rPr>
        <w:t xml:space="preserve">Received: </w:t>
      </w:r>
      <w:r w:rsidR="00712FBD" w:rsidRPr="00242AA7">
        <w:rPr>
          <w:rFonts w:ascii="Book Antiqua" w:eastAsia="SimSun" w:hAnsi="Book Antiqua"/>
          <w:lang w:eastAsia="zh-CN"/>
        </w:rPr>
        <w:t>August 24, 2018</w:t>
      </w:r>
      <w:r w:rsidR="00242AA7">
        <w:rPr>
          <w:rFonts w:ascii="Book Antiqua" w:hAnsi="Book Antiqua"/>
        </w:rPr>
        <w:t xml:space="preserve"> </w:t>
      </w:r>
    </w:p>
    <w:p w14:paraId="49861DB0" w14:textId="18A86677" w:rsidR="00B90718" w:rsidRPr="00242AA7" w:rsidRDefault="00B90718" w:rsidP="00242AA7">
      <w:pPr>
        <w:spacing w:line="360" w:lineRule="auto"/>
        <w:jc w:val="both"/>
        <w:rPr>
          <w:rFonts w:ascii="Book Antiqua" w:hAnsi="Book Antiqua"/>
          <w:b/>
        </w:rPr>
      </w:pPr>
      <w:r w:rsidRPr="00242AA7">
        <w:rPr>
          <w:rFonts w:ascii="Book Antiqua" w:hAnsi="Book Antiqua"/>
          <w:b/>
        </w:rPr>
        <w:t>Peer-review started:</w:t>
      </w:r>
      <w:r w:rsidR="00712FBD" w:rsidRPr="00242AA7">
        <w:rPr>
          <w:rFonts w:ascii="Book Antiqua" w:eastAsia="SimSun" w:hAnsi="Book Antiqua"/>
          <w:lang w:eastAsia="zh-CN"/>
        </w:rPr>
        <w:t xml:space="preserve"> August 24, 2018</w:t>
      </w:r>
      <w:r w:rsidR="00242AA7">
        <w:rPr>
          <w:rFonts w:ascii="Book Antiqua" w:hAnsi="Book Antiqua"/>
        </w:rPr>
        <w:t xml:space="preserve"> </w:t>
      </w:r>
    </w:p>
    <w:p w14:paraId="392DD522" w14:textId="33616F81" w:rsidR="00B90718" w:rsidRPr="00242AA7" w:rsidRDefault="00B90718" w:rsidP="00242AA7">
      <w:pPr>
        <w:spacing w:line="360" w:lineRule="auto"/>
        <w:jc w:val="both"/>
        <w:rPr>
          <w:rFonts w:ascii="Book Antiqua" w:eastAsia="SimSun" w:hAnsi="Book Antiqua"/>
          <w:b/>
          <w:lang w:eastAsia="zh-CN"/>
        </w:rPr>
      </w:pPr>
      <w:r w:rsidRPr="00242AA7">
        <w:rPr>
          <w:rFonts w:ascii="Book Antiqua" w:hAnsi="Book Antiqua"/>
          <w:b/>
        </w:rPr>
        <w:t>First decision:</w:t>
      </w:r>
      <w:r w:rsidR="00712FBD" w:rsidRPr="00242AA7">
        <w:rPr>
          <w:rFonts w:ascii="Book Antiqua" w:eastAsia="SimSun" w:hAnsi="Book Antiqua"/>
          <w:b/>
          <w:lang w:eastAsia="zh-CN"/>
        </w:rPr>
        <w:t xml:space="preserve"> </w:t>
      </w:r>
      <w:r w:rsidR="00712FBD" w:rsidRPr="00242AA7">
        <w:rPr>
          <w:rFonts w:ascii="Book Antiqua" w:eastAsia="SimSun" w:hAnsi="Book Antiqua"/>
          <w:lang w:eastAsia="zh-CN"/>
        </w:rPr>
        <w:t>October 16, 2018</w:t>
      </w:r>
    </w:p>
    <w:p w14:paraId="2E565E48" w14:textId="4998F109" w:rsidR="00B90718" w:rsidRPr="00242AA7" w:rsidRDefault="00B90718" w:rsidP="00242AA7">
      <w:pPr>
        <w:spacing w:line="360" w:lineRule="auto"/>
        <w:jc w:val="both"/>
        <w:rPr>
          <w:rFonts w:ascii="Book Antiqua" w:hAnsi="Book Antiqua"/>
          <w:b/>
        </w:rPr>
      </w:pPr>
      <w:r w:rsidRPr="00242AA7">
        <w:rPr>
          <w:rFonts w:ascii="Book Antiqua" w:hAnsi="Book Antiqua"/>
          <w:b/>
        </w:rPr>
        <w:t>Revised:</w:t>
      </w:r>
      <w:r w:rsidR="00242AA7">
        <w:rPr>
          <w:rFonts w:ascii="Book Antiqua" w:hAnsi="Book Antiqua"/>
          <w:b/>
        </w:rPr>
        <w:t xml:space="preserve"> </w:t>
      </w:r>
      <w:r w:rsidR="00712FBD" w:rsidRPr="00242AA7">
        <w:rPr>
          <w:rFonts w:ascii="Book Antiqua" w:eastAsia="SimSun" w:hAnsi="Book Antiqua"/>
          <w:lang w:eastAsia="zh-CN"/>
        </w:rPr>
        <w:t>October 30, 2018</w:t>
      </w:r>
    </w:p>
    <w:p w14:paraId="426BBD55" w14:textId="1FF419E6" w:rsidR="00B90718" w:rsidRPr="00242AA7" w:rsidRDefault="00B90718" w:rsidP="00242AA7">
      <w:pPr>
        <w:spacing w:line="360" w:lineRule="auto"/>
        <w:jc w:val="both"/>
        <w:rPr>
          <w:rFonts w:ascii="Book Antiqua" w:hAnsi="Book Antiqua"/>
          <w:b/>
        </w:rPr>
      </w:pPr>
      <w:r w:rsidRPr="00242AA7">
        <w:rPr>
          <w:rFonts w:ascii="Book Antiqua" w:hAnsi="Book Antiqua"/>
          <w:b/>
        </w:rPr>
        <w:t>Accepted:</w:t>
      </w:r>
      <w:r w:rsidR="00242AA7">
        <w:rPr>
          <w:rFonts w:ascii="Book Antiqua" w:hAnsi="Book Antiqua"/>
          <w:b/>
        </w:rPr>
        <w:t xml:space="preserve"> </w:t>
      </w:r>
      <w:r w:rsidR="008B1793" w:rsidRPr="00FE1617">
        <w:rPr>
          <w:rFonts w:ascii="Book Antiqua" w:hAnsi="Book Antiqua"/>
        </w:rPr>
        <w:t>January 9, 2019</w:t>
      </w:r>
    </w:p>
    <w:p w14:paraId="3A4B432A" w14:textId="6115FA0E" w:rsidR="00B90718" w:rsidRPr="00242AA7" w:rsidRDefault="00B90718" w:rsidP="00242AA7">
      <w:pPr>
        <w:spacing w:line="360" w:lineRule="auto"/>
        <w:jc w:val="both"/>
        <w:rPr>
          <w:rFonts w:ascii="Book Antiqua" w:hAnsi="Book Antiqua"/>
        </w:rPr>
      </w:pPr>
      <w:r w:rsidRPr="00242AA7">
        <w:rPr>
          <w:rFonts w:ascii="Book Antiqua" w:hAnsi="Book Antiqua"/>
          <w:b/>
        </w:rPr>
        <w:t>Article in press:</w:t>
      </w:r>
      <w:r w:rsidR="00242AA7">
        <w:rPr>
          <w:rFonts w:ascii="Book Antiqua" w:hAnsi="Book Antiqua"/>
        </w:rPr>
        <w:t xml:space="preserve"> </w:t>
      </w:r>
    </w:p>
    <w:p w14:paraId="745C8190" w14:textId="77777777" w:rsidR="00B90718" w:rsidRPr="00242AA7" w:rsidRDefault="00B90718" w:rsidP="00242AA7">
      <w:pPr>
        <w:spacing w:line="360" w:lineRule="auto"/>
        <w:jc w:val="both"/>
        <w:rPr>
          <w:rFonts w:ascii="Book Antiqua" w:hAnsi="Book Antiqua"/>
          <w:b/>
        </w:rPr>
      </w:pPr>
      <w:r w:rsidRPr="00242AA7">
        <w:rPr>
          <w:rFonts w:ascii="Book Antiqua" w:hAnsi="Book Antiqua"/>
          <w:b/>
        </w:rPr>
        <w:t xml:space="preserve">Published online: </w:t>
      </w:r>
    </w:p>
    <w:p w14:paraId="0B8495F2" w14:textId="77777777" w:rsidR="00712FBD" w:rsidRPr="00242AA7" w:rsidRDefault="00712FBD" w:rsidP="00242AA7">
      <w:pPr>
        <w:spacing w:line="360" w:lineRule="auto"/>
        <w:jc w:val="both"/>
        <w:rPr>
          <w:rFonts w:ascii="Book Antiqua" w:eastAsia="SimSun" w:hAnsi="Book Antiqua"/>
        </w:rPr>
      </w:pPr>
      <w:r w:rsidRPr="00242AA7">
        <w:rPr>
          <w:rFonts w:ascii="Book Antiqua" w:eastAsia="SimSun" w:hAnsi="Book Antiqua"/>
        </w:rPr>
        <w:br w:type="page"/>
      </w:r>
    </w:p>
    <w:p w14:paraId="5AEB6C3B" w14:textId="05CC5925" w:rsidR="00CD13F9" w:rsidRPr="00242AA7" w:rsidRDefault="005F22C4" w:rsidP="00242AA7">
      <w:pPr>
        <w:keepNext/>
        <w:autoSpaceDE w:val="0"/>
        <w:autoSpaceDN w:val="0"/>
        <w:adjustRightInd w:val="0"/>
        <w:spacing w:line="360" w:lineRule="auto"/>
        <w:jc w:val="both"/>
        <w:rPr>
          <w:rFonts w:ascii="Book Antiqua" w:hAnsi="Book Antiqua" w:cs="Arial"/>
          <w:b/>
        </w:rPr>
      </w:pPr>
      <w:r w:rsidRPr="00242AA7">
        <w:rPr>
          <w:rFonts w:ascii="Book Antiqua" w:hAnsi="Book Antiqua"/>
          <w:b/>
        </w:rPr>
        <w:lastRenderedPageBreak/>
        <w:t>Abstract</w:t>
      </w:r>
    </w:p>
    <w:p w14:paraId="64560DD5" w14:textId="4F0B5101" w:rsidR="00012467" w:rsidRPr="00242AA7" w:rsidRDefault="000F0801" w:rsidP="00242AA7">
      <w:pPr>
        <w:autoSpaceDE w:val="0"/>
        <w:autoSpaceDN w:val="0"/>
        <w:adjustRightInd w:val="0"/>
        <w:spacing w:line="360" w:lineRule="auto"/>
        <w:contextualSpacing/>
        <w:jc w:val="both"/>
        <w:rPr>
          <w:rFonts w:ascii="Book Antiqua" w:hAnsi="Book Antiqua" w:cs="Arial"/>
        </w:rPr>
      </w:pPr>
      <w:r w:rsidRPr="00242AA7">
        <w:rPr>
          <w:rFonts w:ascii="Book Antiqua" w:hAnsi="Book Antiqua"/>
        </w:rPr>
        <w:t xml:space="preserve">Technological advances in radiotherapy have led to the introduction of techniques such as </w:t>
      </w:r>
      <w:r w:rsidR="00712FBD" w:rsidRPr="00242AA7">
        <w:rPr>
          <w:rFonts w:ascii="Book Antiqua" w:hAnsi="Book Antiqua"/>
        </w:rPr>
        <w:t>stereotactic body radiation therapy</w:t>
      </w:r>
      <w:r w:rsidRPr="00242AA7">
        <w:rPr>
          <w:rFonts w:ascii="Book Antiqua" w:hAnsi="Book Antiqua"/>
        </w:rPr>
        <w:t xml:space="preserve"> (SBRT), allowing the administration of ablative doses. The hypothesis that oligometastatic disease may be cured through local eradication therapies has led to the increasing use of SBRT in patients with this type of disease. At the same time, scientific advances are being made to allow the confirmation of clinically suspected oligometastatic status at molecular level.</w:t>
      </w:r>
      <w:r w:rsidR="00712FBD" w:rsidRPr="00242AA7">
        <w:rPr>
          <w:rFonts w:ascii="Book Antiqua" w:eastAsia="SimSun" w:hAnsi="Book Antiqua" w:cs="Arial"/>
          <w:lang w:eastAsia="zh-CN"/>
        </w:rPr>
        <w:t xml:space="preserve"> </w:t>
      </w:r>
      <w:r w:rsidR="00B805B0" w:rsidRPr="00242AA7">
        <w:rPr>
          <w:rFonts w:ascii="Book Antiqua" w:hAnsi="Book Antiqua"/>
        </w:rPr>
        <w:t xml:space="preserve">There is growing interest in identifying patients with oligometastatic prostate cancer (PCa) who may benefit from curative intent </w:t>
      </w:r>
      <w:r w:rsidR="00712FBD" w:rsidRPr="00242AA7">
        <w:rPr>
          <w:rFonts w:ascii="Book Antiqua" w:hAnsi="Book Antiqua"/>
        </w:rPr>
        <w:t>metastasis-directed therapy</w:t>
      </w:r>
      <w:r w:rsidR="00B805B0" w:rsidRPr="00242AA7">
        <w:rPr>
          <w:rFonts w:ascii="Book Antiqua" w:hAnsi="Book Antiqua"/>
        </w:rPr>
        <w:t>, including SBRT. The aim is to complement, replace or delay the introduction of hormone therapy or other systemic therapies.</w:t>
      </w:r>
      <w:r w:rsidR="00712FBD" w:rsidRPr="00242AA7">
        <w:rPr>
          <w:rFonts w:ascii="Book Antiqua" w:eastAsia="SimSun" w:hAnsi="Book Antiqua" w:cs="Arial"/>
          <w:lang w:eastAsia="zh-CN"/>
        </w:rPr>
        <w:t xml:space="preserve"> </w:t>
      </w:r>
      <w:r w:rsidR="00012467" w:rsidRPr="00242AA7">
        <w:rPr>
          <w:rFonts w:ascii="Book Antiqua" w:hAnsi="Book Antiqua"/>
        </w:rPr>
        <w:t>The present review aims to compile the evidence from the main ongoing studies and results on SBRT in relation to oligometastatic PCa; examine aspects where gaps in knowledge or a lack of consensus persist (</w:t>
      </w:r>
      <w:r w:rsidR="00012467" w:rsidRPr="00242AA7">
        <w:rPr>
          <w:rFonts w:ascii="Book Antiqua" w:hAnsi="Book Antiqua"/>
          <w:i/>
        </w:rPr>
        <w:t>e.g</w:t>
      </w:r>
      <w:r w:rsidR="00012467" w:rsidRPr="00242AA7">
        <w:rPr>
          <w:rFonts w:ascii="Book Antiqua" w:hAnsi="Book Antiqua"/>
        </w:rPr>
        <w:t>., optimum schemes, response assessment, identification and diagnosis of oligometastatic patients); and document the lack of first-level evidence supporting the use of such techniques.</w:t>
      </w:r>
    </w:p>
    <w:p w14:paraId="545D8110" w14:textId="77777777" w:rsidR="004B5521" w:rsidRPr="00242AA7" w:rsidRDefault="004B5521" w:rsidP="00242AA7">
      <w:pPr>
        <w:autoSpaceDE w:val="0"/>
        <w:autoSpaceDN w:val="0"/>
        <w:adjustRightInd w:val="0"/>
        <w:spacing w:line="360" w:lineRule="auto"/>
        <w:jc w:val="both"/>
        <w:rPr>
          <w:rFonts w:ascii="Book Antiqua" w:hAnsi="Book Antiqua" w:cs="Arial"/>
        </w:rPr>
      </w:pPr>
    </w:p>
    <w:p w14:paraId="2C185A67" w14:textId="32599B78" w:rsidR="00832326" w:rsidRPr="00242AA7" w:rsidRDefault="00832326" w:rsidP="00242AA7">
      <w:pPr>
        <w:keepNext/>
        <w:spacing w:line="360" w:lineRule="auto"/>
        <w:jc w:val="both"/>
        <w:rPr>
          <w:rFonts w:ascii="Book Antiqua" w:eastAsia="SimSun" w:hAnsi="Book Antiqua"/>
          <w:lang w:eastAsia="zh-CN"/>
        </w:rPr>
      </w:pPr>
      <w:r w:rsidRPr="00242AA7">
        <w:rPr>
          <w:rFonts w:ascii="Book Antiqua" w:hAnsi="Book Antiqua"/>
          <w:b/>
        </w:rPr>
        <w:t>Key words:</w:t>
      </w:r>
      <w:r w:rsidR="005F741D" w:rsidRPr="00242AA7">
        <w:rPr>
          <w:rFonts w:ascii="Book Antiqua" w:eastAsia="SimSun" w:hAnsi="Book Antiqua"/>
          <w:b/>
          <w:lang w:eastAsia="zh-CN"/>
        </w:rPr>
        <w:t xml:space="preserve"> </w:t>
      </w:r>
      <w:r w:rsidRPr="00242AA7">
        <w:rPr>
          <w:rFonts w:ascii="Book Antiqua" w:hAnsi="Book Antiqua"/>
        </w:rPr>
        <w:t xml:space="preserve">Oligometastases; Metastasis-directed therapy; </w:t>
      </w:r>
      <w:r w:rsidR="005F741D" w:rsidRPr="00242AA7">
        <w:rPr>
          <w:rFonts w:ascii="Book Antiqua" w:hAnsi="Book Antiqua"/>
        </w:rPr>
        <w:t xml:space="preserve">Stereotactic </w:t>
      </w:r>
      <w:r w:rsidRPr="00242AA7">
        <w:rPr>
          <w:rFonts w:ascii="Book Antiqua" w:hAnsi="Book Antiqua"/>
        </w:rPr>
        <w:t xml:space="preserve">body radiation therapy; </w:t>
      </w:r>
      <w:r w:rsidR="005F741D" w:rsidRPr="00242AA7">
        <w:rPr>
          <w:rFonts w:ascii="Book Antiqua" w:hAnsi="Book Antiqua"/>
        </w:rPr>
        <w:t>Stereotactic ablative radiotherapy; Prostate cancer</w:t>
      </w:r>
    </w:p>
    <w:p w14:paraId="32AE23FC" w14:textId="77777777" w:rsidR="005F741D" w:rsidRPr="00242AA7" w:rsidRDefault="005F741D" w:rsidP="00242AA7">
      <w:pPr>
        <w:keepNext/>
        <w:spacing w:line="360" w:lineRule="auto"/>
        <w:jc w:val="both"/>
        <w:rPr>
          <w:rFonts w:ascii="Book Antiqua" w:eastAsia="SimSun" w:hAnsi="Book Antiqua"/>
          <w:lang w:eastAsia="zh-CN"/>
        </w:rPr>
      </w:pPr>
    </w:p>
    <w:p w14:paraId="16C3AA42" w14:textId="3B8050A6" w:rsidR="005F741D" w:rsidRPr="00242AA7" w:rsidRDefault="005F741D" w:rsidP="00242AA7">
      <w:pPr>
        <w:spacing w:line="360" w:lineRule="auto"/>
        <w:jc w:val="both"/>
        <w:rPr>
          <w:rFonts w:ascii="Book Antiqua" w:hAnsi="Book Antiqua" w:cs="Arial"/>
        </w:rPr>
      </w:pPr>
      <w:r w:rsidRPr="00242AA7">
        <w:rPr>
          <w:rFonts w:ascii="Book Antiqua" w:hAnsi="Book Antiqua"/>
          <w:b/>
        </w:rPr>
        <w:t xml:space="preserve">© </w:t>
      </w:r>
      <w:r w:rsidRPr="00242AA7">
        <w:rPr>
          <w:rFonts w:ascii="Book Antiqua" w:hAnsi="Book Antiqua" w:cs="Arial"/>
          <w:b/>
        </w:rPr>
        <w:t>The Author(s) 201</w:t>
      </w:r>
      <w:r w:rsidR="00772419">
        <w:rPr>
          <w:rFonts w:ascii="Book Antiqua" w:hAnsi="Book Antiqua" w:cs="Arial"/>
          <w:b/>
        </w:rPr>
        <w:t>9</w:t>
      </w:r>
      <w:r w:rsidRPr="00242AA7">
        <w:rPr>
          <w:rFonts w:ascii="Book Antiqua" w:hAnsi="Book Antiqua" w:cs="Arial"/>
          <w:b/>
        </w:rPr>
        <w:t>.</w:t>
      </w:r>
      <w:r w:rsidRPr="00242AA7">
        <w:rPr>
          <w:rFonts w:ascii="Book Antiqua" w:hAnsi="Book Antiqua" w:cs="Arial"/>
        </w:rPr>
        <w:t xml:space="preserve"> Published by Baishideng Publishing Group Inc. All rights reserved.</w:t>
      </w:r>
    </w:p>
    <w:p w14:paraId="3D50DA70" w14:textId="77777777" w:rsidR="00FD2B00" w:rsidRPr="00242AA7" w:rsidRDefault="00FD2B00" w:rsidP="00242AA7">
      <w:pPr>
        <w:autoSpaceDE w:val="0"/>
        <w:autoSpaceDN w:val="0"/>
        <w:adjustRightInd w:val="0"/>
        <w:spacing w:line="360" w:lineRule="auto"/>
        <w:jc w:val="both"/>
        <w:rPr>
          <w:rFonts w:ascii="Book Antiqua" w:eastAsia="SimSun" w:hAnsi="Book Antiqua" w:cs="Arial"/>
          <w:lang w:eastAsia="zh-CN"/>
        </w:rPr>
      </w:pPr>
    </w:p>
    <w:p w14:paraId="57AE6195" w14:textId="71D36C57" w:rsidR="004B5521" w:rsidRPr="00242AA7" w:rsidRDefault="004B5521" w:rsidP="00242AA7">
      <w:pPr>
        <w:keepNext/>
        <w:autoSpaceDE w:val="0"/>
        <w:autoSpaceDN w:val="0"/>
        <w:adjustRightInd w:val="0"/>
        <w:spacing w:line="360" w:lineRule="auto"/>
        <w:jc w:val="both"/>
        <w:rPr>
          <w:rFonts w:ascii="Book Antiqua" w:hAnsi="Book Antiqua" w:cs="Arial"/>
          <w:b/>
        </w:rPr>
      </w:pPr>
      <w:r w:rsidRPr="00242AA7">
        <w:rPr>
          <w:rFonts w:ascii="Book Antiqua" w:hAnsi="Book Antiqua"/>
          <w:b/>
        </w:rPr>
        <w:t xml:space="preserve">Core </w:t>
      </w:r>
      <w:r w:rsidR="005F741D" w:rsidRPr="00242AA7">
        <w:rPr>
          <w:rFonts w:ascii="Book Antiqua" w:hAnsi="Book Antiqua"/>
          <w:b/>
        </w:rPr>
        <w:t>t</w:t>
      </w:r>
      <w:r w:rsidRPr="00242AA7">
        <w:rPr>
          <w:rFonts w:ascii="Book Antiqua" w:hAnsi="Book Antiqua"/>
          <w:b/>
        </w:rPr>
        <w:t>ip:</w:t>
      </w:r>
      <w:r w:rsidR="005F741D" w:rsidRPr="00242AA7">
        <w:rPr>
          <w:rFonts w:ascii="Book Antiqua" w:eastAsia="SimSun" w:hAnsi="Book Antiqua" w:cs="Arial"/>
          <w:b/>
          <w:lang w:eastAsia="zh-CN"/>
        </w:rPr>
        <w:t xml:space="preserve"> </w:t>
      </w:r>
      <w:r w:rsidRPr="00242AA7">
        <w:rPr>
          <w:rFonts w:ascii="Book Antiqua" w:hAnsi="Book Antiqua"/>
        </w:rPr>
        <w:t xml:space="preserve">The hypothesis that oligometastatic disease may be cured with local eradication therapies has led to the growing use in prostate cancer </w:t>
      </w:r>
      <w:r w:rsidR="00712FBD" w:rsidRPr="00242AA7">
        <w:rPr>
          <w:rFonts w:ascii="Book Antiqua" w:eastAsia="SimSun" w:hAnsi="Book Antiqua"/>
          <w:lang w:eastAsia="zh-CN"/>
        </w:rPr>
        <w:t>(</w:t>
      </w:r>
      <w:r w:rsidR="00712FBD" w:rsidRPr="00242AA7">
        <w:rPr>
          <w:rFonts w:ascii="Book Antiqua" w:hAnsi="Book Antiqua"/>
        </w:rPr>
        <w:t>PCa</w:t>
      </w:r>
      <w:r w:rsidR="00712FBD" w:rsidRPr="00242AA7">
        <w:rPr>
          <w:rFonts w:ascii="Book Antiqua" w:eastAsia="SimSun" w:hAnsi="Book Antiqua"/>
          <w:lang w:eastAsia="zh-CN"/>
        </w:rPr>
        <w:t xml:space="preserve">) </w:t>
      </w:r>
      <w:r w:rsidRPr="00242AA7">
        <w:rPr>
          <w:rFonts w:ascii="Book Antiqua" w:hAnsi="Book Antiqua"/>
        </w:rPr>
        <w:t xml:space="preserve">of treatments targeted to metastasis, including </w:t>
      </w:r>
      <w:r w:rsidR="0046568D" w:rsidRPr="00242AA7">
        <w:rPr>
          <w:rFonts w:ascii="Book Antiqua" w:hAnsi="Book Antiqua"/>
        </w:rPr>
        <w:t>stereotactic body radiation therapy (SBRT)</w:t>
      </w:r>
      <w:r w:rsidRPr="00242AA7">
        <w:rPr>
          <w:rFonts w:ascii="Book Antiqua" w:hAnsi="Book Antiqua"/>
        </w:rPr>
        <w:t xml:space="preserve">. Such therapy intends to complement, replace or delay the introduction of systemic therapy. The present review aims to compile the evidence from the main ongoing studies and results on SBRT in relation to oligometastatic </w:t>
      </w:r>
      <w:r w:rsidR="00712FBD" w:rsidRPr="00242AA7">
        <w:rPr>
          <w:rFonts w:ascii="Book Antiqua" w:hAnsi="Book Antiqua"/>
        </w:rPr>
        <w:t>PCa</w:t>
      </w:r>
      <w:r w:rsidRPr="00242AA7">
        <w:rPr>
          <w:rFonts w:ascii="Book Antiqua" w:hAnsi="Book Antiqua"/>
        </w:rPr>
        <w:t xml:space="preserve">, and examines aspects where gaps in knowledge persist, e.g., optimum schemes, </w:t>
      </w:r>
      <w:r w:rsidRPr="00242AA7">
        <w:rPr>
          <w:rFonts w:ascii="Book Antiqua" w:hAnsi="Book Antiqua"/>
        </w:rPr>
        <w:lastRenderedPageBreak/>
        <w:t>response assessment, and identification and diagnosis of oligometastatic patients.</w:t>
      </w:r>
    </w:p>
    <w:p w14:paraId="52045936" w14:textId="77777777" w:rsidR="0046568D" w:rsidRPr="00242AA7" w:rsidRDefault="0046568D" w:rsidP="00242AA7">
      <w:pPr>
        <w:spacing w:line="360" w:lineRule="auto"/>
        <w:jc w:val="both"/>
        <w:rPr>
          <w:rFonts w:ascii="Book Antiqua" w:eastAsia="SimSun" w:hAnsi="Book Antiqua"/>
          <w:i/>
          <w:lang w:eastAsia="zh-CN"/>
        </w:rPr>
      </w:pPr>
    </w:p>
    <w:p w14:paraId="26F80603" w14:textId="307D29CB" w:rsidR="0046568D" w:rsidRPr="00242AA7" w:rsidRDefault="0046568D" w:rsidP="00242AA7">
      <w:pPr>
        <w:spacing w:line="360" w:lineRule="auto"/>
        <w:jc w:val="both"/>
        <w:rPr>
          <w:rFonts w:ascii="Book Antiqua" w:eastAsia="SimSun" w:hAnsi="Book Antiqua"/>
          <w:lang w:eastAsia="zh-CN"/>
        </w:rPr>
      </w:pPr>
      <w:r w:rsidRPr="00242AA7">
        <w:rPr>
          <w:rFonts w:ascii="Book Antiqua" w:hAnsi="Book Antiqua"/>
          <w:lang w:val="pt-BR"/>
        </w:rPr>
        <w:t>Palacios-Eito</w:t>
      </w:r>
      <w:r w:rsidRPr="00242AA7">
        <w:rPr>
          <w:rFonts w:ascii="Book Antiqua" w:eastAsia="SimSun" w:hAnsi="Book Antiqua"/>
          <w:lang w:val="pt-BR" w:eastAsia="zh-CN"/>
        </w:rPr>
        <w:t xml:space="preserve"> A</w:t>
      </w:r>
      <w:r w:rsidRPr="00242AA7">
        <w:rPr>
          <w:rFonts w:ascii="Book Antiqua" w:hAnsi="Book Antiqua"/>
          <w:lang w:val="pt-BR"/>
        </w:rPr>
        <w:t>, Béjar-Luque</w:t>
      </w:r>
      <w:r w:rsidRPr="00242AA7">
        <w:rPr>
          <w:rFonts w:ascii="Book Antiqua" w:eastAsia="SimSun" w:hAnsi="Book Antiqua"/>
          <w:lang w:val="pt-BR" w:eastAsia="zh-CN"/>
        </w:rPr>
        <w:t xml:space="preserve"> A, </w:t>
      </w:r>
      <w:r w:rsidRPr="00242AA7">
        <w:rPr>
          <w:rFonts w:ascii="Book Antiqua" w:hAnsi="Book Antiqua"/>
          <w:lang w:val="pt-BR"/>
        </w:rPr>
        <w:t>Rodríguez-Liñán</w:t>
      </w:r>
      <w:r w:rsidRPr="00242AA7">
        <w:rPr>
          <w:rFonts w:ascii="Book Antiqua" w:eastAsia="SimSun" w:hAnsi="Book Antiqua"/>
          <w:lang w:val="pt-BR" w:eastAsia="zh-CN"/>
        </w:rPr>
        <w:t xml:space="preserve"> M</w:t>
      </w:r>
      <w:r w:rsidRPr="00242AA7">
        <w:rPr>
          <w:rFonts w:ascii="Book Antiqua" w:hAnsi="Book Antiqua"/>
          <w:lang w:val="pt-BR"/>
        </w:rPr>
        <w:t>, García-Cabezas</w:t>
      </w:r>
      <w:r w:rsidRPr="00242AA7">
        <w:rPr>
          <w:rFonts w:ascii="Book Antiqua" w:eastAsia="SimSun" w:hAnsi="Book Antiqua"/>
          <w:lang w:val="pt-BR" w:eastAsia="zh-CN"/>
        </w:rPr>
        <w:t xml:space="preserve"> S.</w:t>
      </w:r>
      <w:r w:rsidRPr="00242AA7">
        <w:rPr>
          <w:rFonts w:ascii="Book Antiqua" w:hAnsi="Book Antiqua"/>
        </w:rPr>
        <w:t xml:space="preserve"> Oligometastases in prostate cancer: Ablative treatment</w:t>
      </w:r>
      <w:r w:rsidRPr="00242AA7">
        <w:rPr>
          <w:rFonts w:ascii="Book Antiqua" w:eastAsia="SimSun" w:hAnsi="Book Antiqua"/>
          <w:lang w:eastAsia="zh-CN"/>
        </w:rPr>
        <w:t xml:space="preserve">. </w:t>
      </w:r>
      <w:r w:rsidRPr="00242AA7">
        <w:rPr>
          <w:rFonts w:ascii="Book Antiqua" w:hAnsi="Book Antiqua"/>
          <w:i/>
          <w:iCs/>
        </w:rPr>
        <w:t>World J Clin Oncol</w:t>
      </w:r>
      <w:r w:rsidRPr="00242AA7">
        <w:rPr>
          <w:rFonts w:ascii="Book Antiqua" w:eastAsia="SimSun" w:hAnsi="Book Antiqua"/>
          <w:i/>
          <w:iCs/>
          <w:lang w:eastAsia="zh-CN"/>
        </w:rPr>
        <w:t xml:space="preserve"> </w:t>
      </w:r>
      <w:r w:rsidRPr="00242AA7">
        <w:rPr>
          <w:rFonts w:ascii="Book Antiqua" w:eastAsia="SimSun" w:hAnsi="Book Antiqua"/>
          <w:iCs/>
          <w:lang w:eastAsia="zh-CN"/>
        </w:rPr>
        <w:t>201</w:t>
      </w:r>
      <w:r w:rsidR="00772419">
        <w:rPr>
          <w:rFonts w:ascii="Book Antiqua" w:eastAsia="SimSun" w:hAnsi="Book Antiqua"/>
          <w:iCs/>
          <w:lang w:eastAsia="zh-CN"/>
        </w:rPr>
        <w:t>9</w:t>
      </w:r>
      <w:bookmarkStart w:id="0" w:name="_GoBack"/>
      <w:bookmarkEnd w:id="0"/>
      <w:r w:rsidRPr="00242AA7">
        <w:rPr>
          <w:rFonts w:ascii="Book Antiqua" w:eastAsia="SimSun" w:hAnsi="Book Antiqua"/>
          <w:iCs/>
          <w:lang w:eastAsia="zh-CN"/>
        </w:rPr>
        <w:t>; In press</w:t>
      </w:r>
    </w:p>
    <w:p w14:paraId="74B5B910" w14:textId="77777777" w:rsidR="0046568D" w:rsidRPr="00242AA7" w:rsidRDefault="0046568D" w:rsidP="00242AA7">
      <w:pPr>
        <w:spacing w:line="360" w:lineRule="auto"/>
        <w:jc w:val="both"/>
        <w:rPr>
          <w:rFonts w:ascii="Book Antiqua" w:eastAsia="SimSun" w:hAnsi="Book Antiqua"/>
          <w:lang w:eastAsia="zh-CN"/>
        </w:rPr>
      </w:pPr>
      <w:r w:rsidRPr="00242AA7">
        <w:rPr>
          <w:rFonts w:ascii="Book Antiqua" w:eastAsia="SimSun" w:hAnsi="Book Antiqua"/>
          <w:lang w:eastAsia="zh-CN"/>
        </w:rPr>
        <w:br w:type="page"/>
      </w:r>
    </w:p>
    <w:p w14:paraId="269881F6" w14:textId="6E5958EF" w:rsidR="00663155" w:rsidRPr="00242AA7" w:rsidRDefault="00FD2B00" w:rsidP="00242AA7">
      <w:pPr>
        <w:keepNext/>
        <w:spacing w:line="360" w:lineRule="auto"/>
        <w:jc w:val="both"/>
        <w:rPr>
          <w:rFonts w:ascii="Book Antiqua" w:hAnsi="Book Antiqua"/>
          <w:b/>
        </w:rPr>
      </w:pPr>
      <w:r w:rsidRPr="00242AA7">
        <w:rPr>
          <w:rFonts w:ascii="Book Antiqua" w:hAnsi="Book Antiqua"/>
          <w:b/>
        </w:rPr>
        <w:lastRenderedPageBreak/>
        <w:t>INTRODUCTION</w:t>
      </w:r>
    </w:p>
    <w:p w14:paraId="254C4B81" w14:textId="569CE9AF" w:rsidR="00372F02" w:rsidRPr="00242AA7" w:rsidRDefault="00974995" w:rsidP="003A1F61">
      <w:pPr>
        <w:autoSpaceDE w:val="0"/>
        <w:autoSpaceDN w:val="0"/>
        <w:adjustRightInd w:val="0"/>
        <w:spacing w:line="360" w:lineRule="auto"/>
        <w:contextualSpacing/>
        <w:jc w:val="both"/>
        <w:rPr>
          <w:rFonts w:ascii="Book Antiqua" w:hAnsi="Book Antiqua"/>
        </w:rPr>
      </w:pPr>
      <w:r w:rsidRPr="00242AA7">
        <w:rPr>
          <w:rFonts w:ascii="Book Antiqua" w:hAnsi="Book Antiqua"/>
        </w:rPr>
        <w:t xml:space="preserve">The hypothesis that local therapies may cure metastatic disease arose from the description by Hellman and </w:t>
      </w:r>
      <w:proofErr w:type="gramStart"/>
      <w:r w:rsidRPr="00242AA7">
        <w:rPr>
          <w:rFonts w:ascii="Book Antiqua" w:hAnsi="Book Antiqua"/>
        </w:rPr>
        <w:t>Weichselbaum</w:t>
      </w:r>
      <w:r w:rsidR="003D2BB9" w:rsidRPr="00242AA7">
        <w:rPr>
          <w:rFonts w:ascii="Book Antiqua" w:hAnsi="Book Antiqua"/>
          <w:vertAlign w:val="superscript"/>
        </w:rPr>
        <w:t>[</w:t>
      </w:r>
      <w:proofErr w:type="gramEnd"/>
      <w:r w:rsidR="003D2BB9" w:rsidRPr="00242AA7">
        <w:rPr>
          <w:rFonts w:ascii="Book Antiqua" w:hAnsi="Book Antiqua"/>
          <w:vertAlign w:val="superscript"/>
        </w:rPr>
        <w:t>1]</w:t>
      </w:r>
      <w:r w:rsidRPr="00242AA7">
        <w:rPr>
          <w:rFonts w:ascii="Book Antiqua" w:hAnsi="Book Antiqua"/>
        </w:rPr>
        <w:t xml:space="preserve"> in 1995 of the so-called oligometastatic state. Based on their clinical experience, these authors described an intermediate state of distant spread, reflecting disease with a low, slow and late metastatic spreading capacity.</w:t>
      </w:r>
      <w:r w:rsidR="005059C2" w:rsidRPr="00242AA7">
        <w:rPr>
          <w:rFonts w:ascii="Book Antiqua" w:hAnsi="Book Antiqua"/>
        </w:rPr>
        <w:t xml:space="preserve"> </w:t>
      </w:r>
      <w:r w:rsidRPr="00242AA7">
        <w:rPr>
          <w:rFonts w:ascii="Book Antiqua" w:hAnsi="Book Antiqua"/>
        </w:rPr>
        <w:t xml:space="preserve">There is progressively increasing confirmation of the correlation between the clinical behavior and molecular characteristics of oligometastatic </w:t>
      </w:r>
      <w:proofErr w:type="gramStart"/>
      <w:r w:rsidRPr="00242AA7">
        <w:rPr>
          <w:rFonts w:ascii="Book Antiqua" w:hAnsi="Book Antiqua"/>
        </w:rPr>
        <w:t>patients</w:t>
      </w:r>
      <w:r w:rsidR="007722A3" w:rsidRPr="00242AA7">
        <w:rPr>
          <w:rFonts w:ascii="Book Antiqua" w:hAnsi="Book Antiqua"/>
          <w:vertAlign w:val="superscript"/>
        </w:rPr>
        <w:t>[</w:t>
      </w:r>
      <w:proofErr w:type="gramEnd"/>
      <w:r w:rsidR="007722A3" w:rsidRPr="00242AA7">
        <w:rPr>
          <w:rFonts w:ascii="Book Antiqua" w:hAnsi="Book Antiqua"/>
          <w:vertAlign w:val="superscript"/>
        </w:rPr>
        <w:t>2]</w:t>
      </w:r>
      <w:r w:rsidRPr="00242AA7">
        <w:rPr>
          <w:rFonts w:ascii="Book Antiqua" w:hAnsi="Book Antiqua"/>
        </w:rPr>
        <w:t>. The metastatic process is becoming increasingly well known. Based on the identification of cellular clones in metastatic tissue biopsies, it has been seen that dissemination to form new</w:t>
      </w:r>
      <w:r w:rsidR="003A1F61">
        <w:rPr>
          <w:rFonts w:ascii="Book Antiqua" w:eastAsia="SimSun" w:hAnsi="Book Antiqua" w:hint="eastAsia"/>
          <w:lang w:eastAsia="zh-CN"/>
        </w:rPr>
        <w:t xml:space="preserve"> </w:t>
      </w:r>
      <w:r w:rsidRPr="00242AA7">
        <w:rPr>
          <w:rFonts w:ascii="Book Antiqua" w:hAnsi="Book Antiqua"/>
        </w:rPr>
        <w:t xml:space="preserve">metastases is a frequent phenomenon, and that metastatic spread does not always originate from the primary </w:t>
      </w:r>
      <w:proofErr w:type="gramStart"/>
      <w:r w:rsidRPr="00242AA7">
        <w:rPr>
          <w:rFonts w:ascii="Book Antiqua" w:hAnsi="Book Antiqua"/>
        </w:rPr>
        <w:t>tumor</w:t>
      </w:r>
      <w:r w:rsidR="00D06BEA" w:rsidRPr="00242AA7">
        <w:rPr>
          <w:rFonts w:ascii="Book Antiqua" w:hAnsi="Book Antiqua"/>
          <w:vertAlign w:val="superscript"/>
        </w:rPr>
        <w:t>[</w:t>
      </w:r>
      <w:proofErr w:type="gramEnd"/>
      <w:r w:rsidR="00D06BEA" w:rsidRPr="00242AA7">
        <w:rPr>
          <w:rFonts w:ascii="Book Antiqua" w:hAnsi="Book Antiqua"/>
          <w:vertAlign w:val="superscript"/>
        </w:rPr>
        <w:t>3]</w:t>
      </w:r>
      <w:r w:rsidRPr="00242AA7">
        <w:rPr>
          <w:rFonts w:ascii="Book Antiqua" w:hAnsi="Book Antiqua"/>
        </w:rPr>
        <w:t xml:space="preserve">. This has given rise to the idea that the early elimination of metastases can avoid subsequent </w:t>
      </w:r>
      <w:proofErr w:type="gramStart"/>
      <w:r w:rsidRPr="00242AA7">
        <w:rPr>
          <w:rFonts w:ascii="Book Antiqua" w:hAnsi="Book Antiqua"/>
        </w:rPr>
        <w:t>disseminations</w:t>
      </w:r>
      <w:r w:rsidR="00177C20" w:rsidRPr="00242AA7">
        <w:rPr>
          <w:rFonts w:ascii="Book Antiqua" w:hAnsi="Book Antiqua"/>
          <w:vertAlign w:val="superscript"/>
        </w:rPr>
        <w:t>[</w:t>
      </w:r>
      <w:proofErr w:type="gramEnd"/>
      <w:r w:rsidR="00177C20" w:rsidRPr="00242AA7">
        <w:rPr>
          <w:rFonts w:ascii="Book Antiqua" w:hAnsi="Book Antiqua"/>
          <w:vertAlign w:val="superscript"/>
        </w:rPr>
        <w:t>4,5]</w:t>
      </w:r>
      <w:r w:rsidRPr="00242AA7">
        <w:rPr>
          <w:rFonts w:ascii="Book Antiqua" w:hAnsi="Book Antiqua"/>
        </w:rPr>
        <w:t>.</w:t>
      </w:r>
      <w:r w:rsidR="003A1F61">
        <w:rPr>
          <w:rFonts w:ascii="Book Antiqua" w:eastAsia="SimSun" w:hAnsi="Book Antiqua" w:hint="eastAsia"/>
          <w:lang w:eastAsia="zh-CN"/>
        </w:rPr>
        <w:t xml:space="preserve"> </w:t>
      </w:r>
      <w:r w:rsidR="00372F02" w:rsidRPr="00242AA7">
        <w:rPr>
          <w:rFonts w:ascii="Book Antiqua" w:hAnsi="Book Antiqua"/>
        </w:rPr>
        <w:t>Such knowledge of the metastatic cascade has contributed to the interest in performing ablative local therapies targeted to all the metastatic sites amenable to eradication.</w:t>
      </w:r>
    </w:p>
    <w:p w14:paraId="7AF94D7B" w14:textId="1D5E5690" w:rsidR="005059C2" w:rsidRPr="00242AA7" w:rsidRDefault="00372F02" w:rsidP="003A1F61">
      <w:pPr>
        <w:spacing w:line="360" w:lineRule="auto"/>
        <w:ind w:firstLineChars="100" w:firstLine="240"/>
        <w:contextualSpacing/>
        <w:jc w:val="both"/>
        <w:rPr>
          <w:rFonts w:ascii="Book Antiqua" w:hAnsi="Book Antiqua"/>
        </w:rPr>
      </w:pPr>
      <w:r w:rsidRPr="00242AA7">
        <w:rPr>
          <w:rFonts w:ascii="Book Antiqua" w:hAnsi="Book Antiqua"/>
        </w:rPr>
        <w:t xml:space="preserve">Prostate cancer (PCa) metastasizes mainly to bone and lymph nodes. Visceral involvement is infrequent. Eradication treatment of visceral metastases is mainly surgical. While that of lymph node metastases is variable and conditioned to many factors, use is indistinctly made of surgery as well as </w:t>
      </w:r>
      <w:r w:rsidR="00712FBD" w:rsidRPr="00242AA7">
        <w:rPr>
          <w:rFonts w:ascii="Book Antiqua" w:hAnsi="Book Antiqua"/>
        </w:rPr>
        <w:t>stereotactic body radiation therapy</w:t>
      </w:r>
      <w:r w:rsidRPr="00242AA7">
        <w:rPr>
          <w:rFonts w:ascii="Book Antiqua" w:hAnsi="Book Antiqua"/>
        </w:rPr>
        <w:t xml:space="preserve"> (SBRT) and conventional external beam radiation therapy (cEBRT), mainly for the elective irradiation of certain lymph node chains. This need to associate several local treatment options has led to emergence of the concept of </w:t>
      </w:r>
      <w:r w:rsidR="00712FBD" w:rsidRPr="00242AA7">
        <w:rPr>
          <w:rFonts w:ascii="Book Antiqua" w:hAnsi="Book Antiqua"/>
        </w:rPr>
        <w:t>metastasis-directed therapy</w:t>
      </w:r>
      <w:r w:rsidRPr="00242AA7">
        <w:rPr>
          <w:rFonts w:ascii="Book Antiqua" w:hAnsi="Book Antiqua"/>
        </w:rPr>
        <w:t xml:space="preserve"> (MDT) in oligometastatic patients.</w:t>
      </w:r>
    </w:p>
    <w:p w14:paraId="491E672D" w14:textId="5794D4E7" w:rsidR="005059C2" w:rsidRPr="00242AA7" w:rsidRDefault="00712FBD" w:rsidP="003A1F61">
      <w:pPr>
        <w:spacing w:line="360" w:lineRule="auto"/>
        <w:ind w:firstLineChars="100" w:firstLine="240"/>
        <w:jc w:val="both"/>
        <w:rPr>
          <w:rFonts w:ascii="Book Antiqua" w:hAnsi="Book Antiqua"/>
        </w:rPr>
      </w:pPr>
      <w:r w:rsidRPr="00242AA7">
        <w:rPr>
          <w:rFonts w:ascii="Book Antiqua" w:hAnsi="Book Antiqua"/>
        </w:rPr>
        <w:t>PCa</w:t>
      </w:r>
      <w:r w:rsidR="00656121" w:rsidRPr="00242AA7">
        <w:rPr>
          <w:rFonts w:ascii="Book Antiqua" w:hAnsi="Book Antiqua"/>
        </w:rPr>
        <w:t xml:space="preserve"> is characterized by a long natural course, and in most cases is initially hormone-sensitive. Thus, in oligometastatic patients there are at least three scenarios involving different therapeutic approaches: oligometastases synchronous to the primary tumor; oligorecurrences; and oligoprogression situations, which conceptually constitute castration-resistant patients.</w:t>
      </w:r>
    </w:p>
    <w:p w14:paraId="2E68F267" w14:textId="77777777" w:rsidR="005059C2" w:rsidRPr="00242AA7" w:rsidRDefault="00656121" w:rsidP="003A1F61">
      <w:pPr>
        <w:spacing w:line="360" w:lineRule="auto"/>
        <w:ind w:firstLineChars="100" w:firstLine="240"/>
        <w:jc w:val="both"/>
        <w:rPr>
          <w:rFonts w:ascii="Book Antiqua" w:hAnsi="Book Antiqua"/>
        </w:rPr>
      </w:pPr>
      <w:r w:rsidRPr="00242AA7">
        <w:rPr>
          <w:rFonts w:ascii="Book Antiqua" w:hAnsi="Book Antiqua"/>
        </w:rPr>
        <w:lastRenderedPageBreak/>
        <w:t>As a locally ablative tool, SBRT has been little studied in the first of the aforementioned scenario, though it plays a relevant role in oligorecurrences and oligoprogression.</w:t>
      </w:r>
    </w:p>
    <w:p w14:paraId="0B283715" w14:textId="77777777" w:rsidR="0043735D" w:rsidRPr="00242AA7" w:rsidRDefault="0043735D" w:rsidP="003A1F61">
      <w:pPr>
        <w:spacing w:line="360" w:lineRule="auto"/>
        <w:ind w:firstLineChars="100" w:firstLine="240"/>
        <w:jc w:val="both"/>
        <w:rPr>
          <w:rFonts w:ascii="Book Antiqua" w:hAnsi="Book Antiqua"/>
        </w:rPr>
      </w:pPr>
      <w:r w:rsidRPr="00242AA7">
        <w:rPr>
          <w:rFonts w:ascii="Book Antiqua" w:hAnsi="Book Antiqua"/>
        </w:rPr>
        <w:t>The treatment of these patients remains a challenge. Multiple systemic treatment options are available, and the introduction of an ablative local treatment option increases the complexity and controversy of optimum treatment timing.</w:t>
      </w:r>
    </w:p>
    <w:p w14:paraId="09AB7AEA" w14:textId="77777777" w:rsidR="009C2716" w:rsidRDefault="00656121" w:rsidP="003A1F61">
      <w:pPr>
        <w:spacing w:line="360" w:lineRule="auto"/>
        <w:ind w:firstLineChars="100" w:firstLine="240"/>
        <w:jc w:val="both"/>
        <w:rPr>
          <w:rFonts w:ascii="Book Antiqua" w:eastAsia="SimSun" w:hAnsi="Book Antiqua"/>
          <w:lang w:eastAsia="zh-CN"/>
        </w:rPr>
      </w:pPr>
      <w:r w:rsidRPr="00242AA7">
        <w:rPr>
          <w:rFonts w:ascii="Book Antiqua" w:hAnsi="Book Antiqua"/>
        </w:rPr>
        <w:t>The present review aims to compile the main results published in the literature and examines aspects where gaps in knowledge persist in the use of SBRT, e.g., the optimum schemes, response assessment, and the identification and diagnosis of oligometastatic patients.</w:t>
      </w:r>
    </w:p>
    <w:p w14:paraId="5CBDBD48" w14:textId="77777777" w:rsidR="003A1F61" w:rsidRPr="003A1F61" w:rsidRDefault="003A1F61" w:rsidP="003A1F61">
      <w:pPr>
        <w:spacing w:line="360" w:lineRule="auto"/>
        <w:ind w:firstLineChars="100" w:firstLine="240"/>
        <w:jc w:val="both"/>
        <w:rPr>
          <w:rFonts w:ascii="Book Antiqua" w:eastAsia="SimSun" w:hAnsi="Book Antiqua"/>
          <w:lang w:eastAsia="zh-CN"/>
        </w:rPr>
      </w:pPr>
    </w:p>
    <w:p w14:paraId="74109D66" w14:textId="12970F72" w:rsidR="004D2E06" w:rsidRPr="00242AA7" w:rsidRDefault="006C3010" w:rsidP="00242AA7">
      <w:pPr>
        <w:spacing w:line="360" w:lineRule="auto"/>
        <w:jc w:val="both"/>
        <w:rPr>
          <w:rFonts w:ascii="Book Antiqua" w:hAnsi="Book Antiqua"/>
        </w:rPr>
      </w:pPr>
      <w:r w:rsidRPr="00242AA7">
        <w:rPr>
          <w:rFonts w:ascii="Book Antiqua" w:hAnsi="Book Antiqua"/>
          <w:b/>
        </w:rPr>
        <w:t>OLIGOMETASTATIC DISEASE</w:t>
      </w:r>
    </w:p>
    <w:p w14:paraId="2AD7B163" w14:textId="77777777" w:rsidR="006C3010" w:rsidRPr="00242AA7" w:rsidRDefault="00785CB7" w:rsidP="00242AA7">
      <w:pPr>
        <w:spacing w:line="360" w:lineRule="auto"/>
        <w:jc w:val="both"/>
        <w:rPr>
          <w:rFonts w:ascii="Book Antiqua" w:hAnsi="Book Antiqua"/>
        </w:rPr>
      </w:pPr>
      <w:r w:rsidRPr="00242AA7">
        <w:rPr>
          <w:rFonts w:ascii="Book Antiqua" w:hAnsi="Book Antiqua"/>
        </w:rPr>
        <w:t>The definition of oligometastatic disease comprises at least three controversial points: the identification of oligometastatic behavior; which patients should be included under the concept of oligometastasis; and the optimum imaging techniques allowing its detection.</w:t>
      </w:r>
    </w:p>
    <w:p w14:paraId="2FBCE68D" w14:textId="77777777" w:rsidR="006C3010" w:rsidRPr="00242AA7" w:rsidRDefault="006C3010" w:rsidP="00242AA7">
      <w:pPr>
        <w:spacing w:line="360" w:lineRule="auto"/>
        <w:jc w:val="both"/>
        <w:rPr>
          <w:rFonts w:ascii="Book Antiqua" w:hAnsi="Book Antiqua"/>
        </w:rPr>
      </w:pPr>
    </w:p>
    <w:p w14:paraId="7CE582EA" w14:textId="77777777" w:rsidR="00FD4011" w:rsidRPr="00DA0EF6" w:rsidRDefault="004F522F" w:rsidP="00242AA7">
      <w:pPr>
        <w:spacing w:line="360" w:lineRule="auto"/>
        <w:jc w:val="both"/>
        <w:rPr>
          <w:rFonts w:ascii="Book Antiqua" w:hAnsi="Book Antiqua"/>
          <w:i/>
        </w:rPr>
      </w:pPr>
      <w:r w:rsidRPr="00DA0EF6">
        <w:rPr>
          <w:rFonts w:ascii="Book Antiqua" w:hAnsi="Book Antiqua"/>
          <w:b/>
          <w:i/>
        </w:rPr>
        <w:t>Identification of oligometastatic state and concept of oligometastasis</w:t>
      </w:r>
    </w:p>
    <w:p w14:paraId="0BDC4718" w14:textId="5A75D05C" w:rsidR="00B14390" w:rsidRPr="00242AA7" w:rsidRDefault="000E6D19" w:rsidP="00242AA7">
      <w:pPr>
        <w:spacing w:line="360" w:lineRule="auto"/>
        <w:jc w:val="both"/>
        <w:rPr>
          <w:rFonts w:ascii="Book Antiqua" w:hAnsi="Book Antiqua"/>
        </w:rPr>
      </w:pPr>
      <w:r w:rsidRPr="00242AA7">
        <w:rPr>
          <w:rFonts w:ascii="Book Antiqua" w:hAnsi="Book Antiqua"/>
        </w:rPr>
        <w:t xml:space="preserve">In the last consensus document on advanced </w:t>
      </w:r>
      <w:r w:rsidR="00712FBD" w:rsidRPr="00242AA7">
        <w:rPr>
          <w:rFonts w:ascii="Book Antiqua" w:hAnsi="Book Antiqua"/>
        </w:rPr>
        <w:t>PCa</w:t>
      </w:r>
      <w:r w:rsidRPr="00242AA7">
        <w:rPr>
          <w:rFonts w:ascii="Book Antiqua" w:hAnsi="Book Antiqua"/>
        </w:rPr>
        <w:t xml:space="preserve"> published in 2017, a total of 10% of those surveyed claimed not to believe in the existence of an oligometastatic state.</w:t>
      </w:r>
    </w:p>
    <w:p w14:paraId="1CA00F68" w14:textId="6C8B276B" w:rsidR="005059C2" w:rsidRPr="00242AA7" w:rsidRDefault="001C1CE5" w:rsidP="003A1F61">
      <w:pPr>
        <w:spacing w:line="360" w:lineRule="auto"/>
        <w:ind w:firstLineChars="100" w:firstLine="240"/>
        <w:jc w:val="both"/>
        <w:rPr>
          <w:rFonts w:ascii="Book Antiqua" w:hAnsi="Book Antiqua"/>
        </w:rPr>
      </w:pPr>
      <w:r w:rsidRPr="00242AA7">
        <w:rPr>
          <w:rFonts w:ascii="Book Antiqua" w:hAnsi="Book Antiqua"/>
        </w:rPr>
        <w:t xml:space="preserve">Identifying oligometastatic patients is crucial both in order to offer local treatment with curative intent and to optimize resource utilization and avoid needless iatrogenic </w:t>
      </w:r>
      <w:proofErr w:type="gramStart"/>
      <w:r w:rsidRPr="00242AA7">
        <w:rPr>
          <w:rFonts w:ascii="Book Antiqua" w:hAnsi="Book Antiqua"/>
        </w:rPr>
        <w:t>problems</w:t>
      </w:r>
      <w:r w:rsidR="00177C20" w:rsidRPr="00242AA7">
        <w:rPr>
          <w:rFonts w:ascii="Book Antiqua" w:hAnsi="Book Antiqua"/>
          <w:vertAlign w:val="superscript"/>
        </w:rPr>
        <w:t>[</w:t>
      </w:r>
      <w:proofErr w:type="gramEnd"/>
      <w:r w:rsidR="00177C20" w:rsidRPr="00242AA7">
        <w:rPr>
          <w:rFonts w:ascii="Book Antiqua" w:hAnsi="Book Antiqua"/>
          <w:vertAlign w:val="superscript"/>
        </w:rPr>
        <w:t>6]</w:t>
      </w:r>
      <w:r w:rsidRPr="00242AA7">
        <w:rPr>
          <w:rFonts w:ascii="Book Antiqua" w:hAnsi="Book Antiqua"/>
        </w:rPr>
        <w:t>. On the other hand, patients with a tendency towards polymetastatic disease will not benefit from MDT, and the intensification of systemic therapy should be contemplated in such cases.</w:t>
      </w:r>
    </w:p>
    <w:p w14:paraId="437BB849" w14:textId="198D7CF0" w:rsidR="008F2B3C" w:rsidRPr="00242AA7" w:rsidRDefault="00712FBD" w:rsidP="003A1F61">
      <w:pPr>
        <w:spacing w:line="360" w:lineRule="auto"/>
        <w:ind w:firstLineChars="100" w:firstLine="240"/>
        <w:jc w:val="both"/>
        <w:rPr>
          <w:rFonts w:ascii="Book Antiqua" w:hAnsi="Book Antiqua"/>
        </w:rPr>
      </w:pPr>
      <w:r w:rsidRPr="00242AA7">
        <w:rPr>
          <w:rFonts w:ascii="Book Antiqua" w:hAnsi="Book Antiqua"/>
        </w:rPr>
        <w:t>PCa</w:t>
      </w:r>
      <w:r w:rsidR="005C2BCB" w:rsidRPr="00242AA7">
        <w:rPr>
          <w:rFonts w:ascii="Book Antiqua" w:hAnsi="Book Antiqua"/>
        </w:rPr>
        <w:t xml:space="preserve"> is characterized by a broad spectrum of clinical aggressiveness. A number of biomarkers are under study, including plasma cell-free nucleic acids (</w:t>
      </w:r>
      <w:r w:rsidR="005C2BCB" w:rsidRPr="003A1F61">
        <w:rPr>
          <w:rFonts w:ascii="Book Antiqua" w:hAnsi="Book Antiqua"/>
          <w:i/>
        </w:rPr>
        <w:t>e.g.</w:t>
      </w:r>
      <w:r w:rsidR="005C2BCB" w:rsidRPr="00242AA7">
        <w:rPr>
          <w:rFonts w:ascii="Book Antiqua" w:hAnsi="Book Antiqua"/>
        </w:rPr>
        <w:t xml:space="preserve">, cell-free DNA and circulating tumor cells), with a view to establishing their usefulness in treatment monitoring and for establishing a prognosis. However, </w:t>
      </w:r>
      <w:r w:rsidR="005C2BCB" w:rsidRPr="00242AA7">
        <w:rPr>
          <w:rFonts w:ascii="Book Antiqua" w:hAnsi="Book Antiqua"/>
        </w:rPr>
        <w:lastRenderedPageBreak/>
        <w:t>none of them have been shown to be able to identify those patients that will exhibit oligometastatic behavior.</w:t>
      </w:r>
    </w:p>
    <w:p w14:paraId="7C59A880" w14:textId="4F1BCFF6" w:rsidR="00DC0315" w:rsidRPr="00242AA7" w:rsidRDefault="00F30B09" w:rsidP="003A1F61">
      <w:pPr>
        <w:spacing w:line="360" w:lineRule="auto"/>
        <w:ind w:firstLineChars="100" w:firstLine="240"/>
        <w:jc w:val="both"/>
        <w:rPr>
          <w:rFonts w:ascii="Book Antiqua" w:hAnsi="Book Antiqua"/>
        </w:rPr>
      </w:pPr>
      <w:r w:rsidRPr="00242AA7">
        <w:rPr>
          <w:rFonts w:ascii="Book Antiqua" w:hAnsi="Book Antiqua"/>
        </w:rPr>
        <w:t xml:space="preserve">In bone metastases of castration-resistant PCa (mCRPC), aberrations of DNA repair genes, BRCA1, BRCA2 and ATM have been identified more frequently than in primary </w:t>
      </w:r>
      <w:proofErr w:type="gramStart"/>
      <w:r w:rsidRPr="00242AA7">
        <w:rPr>
          <w:rFonts w:ascii="Book Antiqua" w:hAnsi="Book Antiqua"/>
        </w:rPr>
        <w:t>tumors</w:t>
      </w:r>
      <w:r w:rsidR="00177C20" w:rsidRPr="00242AA7">
        <w:rPr>
          <w:rFonts w:ascii="Book Antiqua" w:hAnsi="Book Antiqua"/>
          <w:vertAlign w:val="superscript"/>
        </w:rPr>
        <w:t>[</w:t>
      </w:r>
      <w:proofErr w:type="gramEnd"/>
      <w:r w:rsidR="00177C20" w:rsidRPr="00242AA7">
        <w:rPr>
          <w:rFonts w:ascii="Book Antiqua" w:hAnsi="Book Antiqua"/>
          <w:vertAlign w:val="superscript"/>
        </w:rPr>
        <w:t>7]</w:t>
      </w:r>
      <w:r w:rsidRPr="00242AA7">
        <w:rPr>
          <w:rFonts w:ascii="Book Antiqua" w:hAnsi="Book Antiqua"/>
        </w:rPr>
        <w:t xml:space="preserve">. Some studies suggest that oligometastatic progression may be regulated at least in part by epigenetic alterations and potentially by </w:t>
      </w:r>
      <w:proofErr w:type="gramStart"/>
      <w:r w:rsidRPr="00242AA7">
        <w:rPr>
          <w:rFonts w:ascii="Book Antiqua" w:hAnsi="Book Antiqua"/>
        </w:rPr>
        <w:t>microRNA</w:t>
      </w:r>
      <w:r w:rsidR="000C6B62" w:rsidRPr="00242AA7">
        <w:rPr>
          <w:rFonts w:ascii="Book Antiqua" w:hAnsi="Book Antiqua"/>
          <w:vertAlign w:val="superscript"/>
        </w:rPr>
        <w:t>[</w:t>
      </w:r>
      <w:proofErr w:type="gramEnd"/>
      <w:r w:rsidR="000C6B62" w:rsidRPr="00242AA7">
        <w:rPr>
          <w:rFonts w:ascii="Book Antiqua" w:hAnsi="Book Antiqua"/>
          <w:vertAlign w:val="superscript"/>
        </w:rPr>
        <w:t>2]</w:t>
      </w:r>
      <w:r w:rsidRPr="00242AA7">
        <w:rPr>
          <w:rFonts w:ascii="Book Antiqua" w:hAnsi="Book Antiqua"/>
        </w:rPr>
        <w:t>. MicroRNA is RNA composed of 19-22 nucleotides that regulates gene expression. A study of tumor samples from oligometastatic patients subjected to radiotherapy found that those individuals who did not develop polymetastases exhibited a different microRNA profile, including the microRNA-200 family.</w:t>
      </w:r>
    </w:p>
    <w:p w14:paraId="6644DE24" w14:textId="375A49BC" w:rsidR="005059C2" w:rsidRPr="00242AA7" w:rsidRDefault="002C2C8D" w:rsidP="00E5211D">
      <w:pPr>
        <w:spacing w:line="360" w:lineRule="auto"/>
        <w:ind w:firstLineChars="100" w:firstLine="240"/>
        <w:jc w:val="both"/>
        <w:rPr>
          <w:rFonts w:ascii="Book Antiqua" w:hAnsi="Book Antiqua"/>
        </w:rPr>
      </w:pPr>
      <w:r w:rsidRPr="00242AA7">
        <w:rPr>
          <w:rFonts w:ascii="Book Antiqua" w:hAnsi="Book Antiqua"/>
        </w:rPr>
        <w:t xml:space="preserve">A number of genic platforms have been marketed that are able to predict which PCa patients are likely to develop metastases after primary treatment. An oligometastatic molecular fingerprint therefore will probably soon become available. Until then, these platforms, together with clinical parameters such as advanced age, the Gleason score and a rapid prostate-specific antigen (PSA) doubling time are our only tools for predicting oligometastatic </w:t>
      </w:r>
      <w:proofErr w:type="gramStart"/>
      <w:r w:rsidRPr="00242AA7">
        <w:rPr>
          <w:rFonts w:ascii="Book Antiqua" w:hAnsi="Book Antiqua"/>
        </w:rPr>
        <w:t>behavior</w:t>
      </w:r>
      <w:r w:rsidR="000C6B62" w:rsidRPr="00242AA7">
        <w:rPr>
          <w:rFonts w:ascii="Book Antiqua" w:hAnsi="Book Antiqua"/>
          <w:vertAlign w:val="superscript"/>
        </w:rPr>
        <w:t>[</w:t>
      </w:r>
      <w:proofErr w:type="gramEnd"/>
      <w:r w:rsidR="000C6B62" w:rsidRPr="00242AA7">
        <w:rPr>
          <w:rFonts w:ascii="Book Antiqua" w:hAnsi="Book Antiqua"/>
          <w:vertAlign w:val="superscript"/>
        </w:rPr>
        <w:t>8]</w:t>
      </w:r>
      <w:r w:rsidRPr="00242AA7">
        <w:rPr>
          <w:rFonts w:ascii="Book Antiqua" w:hAnsi="Book Antiqua"/>
        </w:rPr>
        <w:t>.</w:t>
      </w:r>
      <w:r w:rsidR="00E5211D">
        <w:rPr>
          <w:rFonts w:ascii="Book Antiqua" w:eastAsia="SimSun" w:hAnsi="Book Antiqua" w:hint="eastAsia"/>
          <w:lang w:eastAsia="zh-CN"/>
        </w:rPr>
        <w:t xml:space="preserve"> </w:t>
      </w:r>
      <w:r w:rsidR="00E17953" w:rsidRPr="00242AA7">
        <w:rPr>
          <w:rFonts w:ascii="Book Antiqua" w:hAnsi="Book Antiqua"/>
        </w:rPr>
        <w:t xml:space="preserve">Another point of controversy is the number of metastases to be included under the term </w:t>
      </w:r>
      <w:r w:rsidR="005059C2" w:rsidRPr="00242AA7">
        <w:rPr>
          <w:rFonts w:ascii="Book Antiqua" w:hAnsi="Book Antiqua"/>
        </w:rPr>
        <w:t>“</w:t>
      </w:r>
      <w:r w:rsidR="00E17953" w:rsidRPr="00242AA7">
        <w:rPr>
          <w:rFonts w:ascii="Book Antiqua" w:hAnsi="Book Antiqua"/>
        </w:rPr>
        <w:t>oligometastasis</w:t>
      </w:r>
      <w:r w:rsidR="005059C2" w:rsidRPr="00242AA7">
        <w:rPr>
          <w:rFonts w:ascii="Book Antiqua" w:hAnsi="Book Antiqua"/>
        </w:rPr>
        <w:t>”</w:t>
      </w:r>
      <w:r w:rsidR="00E17953" w:rsidRPr="00242AA7">
        <w:rPr>
          <w:rFonts w:ascii="Book Antiqua" w:hAnsi="Book Antiqua"/>
        </w:rPr>
        <w:t xml:space="preserve">. Based on the published series, there is a tendency to include up to 5 metastases in one or several organs under the term </w:t>
      </w:r>
      <w:proofErr w:type="gramStart"/>
      <w:r w:rsidR="00E17953" w:rsidRPr="00242AA7">
        <w:rPr>
          <w:rFonts w:ascii="Book Antiqua" w:hAnsi="Book Antiqua"/>
        </w:rPr>
        <w:t>oligometastasis</w:t>
      </w:r>
      <w:r w:rsidR="000C6B62" w:rsidRPr="00242AA7">
        <w:rPr>
          <w:rFonts w:ascii="Book Antiqua" w:hAnsi="Book Antiqua"/>
          <w:vertAlign w:val="superscript"/>
        </w:rPr>
        <w:t>[</w:t>
      </w:r>
      <w:proofErr w:type="gramEnd"/>
      <w:r w:rsidR="000C6B62" w:rsidRPr="00242AA7">
        <w:rPr>
          <w:rFonts w:ascii="Book Antiqua" w:hAnsi="Book Antiqua"/>
          <w:vertAlign w:val="superscript"/>
        </w:rPr>
        <w:t>9]</w:t>
      </w:r>
      <w:r w:rsidR="00E17953" w:rsidRPr="00242AA7">
        <w:rPr>
          <w:rFonts w:ascii="Book Antiqua" w:hAnsi="Book Antiqua"/>
        </w:rPr>
        <w:t>.</w:t>
      </w:r>
    </w:p>
    <w:p w14:paraId="7B0AF805" w14:textId="08320DD7" w:rsidR="005059C2" w:rsidRPr="00242AA7" w:rsidRDefault="00EE5789" w:rsidP="003A1F61">
      <w:pPr>
        <w:tabs>
          <w:tab w:val="left" w:pos="220"/>
          <w:tab w:val="left" w:pos="720"/>
        </w:tabs>
        <w:autoSpaceDE w:val="0"/>
        <w:autoSpaceDN w:val="0"/>
        <w:adjustRightInd w:val="0"/>
        <w:spacing w:line="360" w:lineRule="auto"/>
        <w:ind w:firstLineChars="100" w:firstLine="240"/>
        <w:contextualSpacing/>
        <w:jc w:val="both"/>
        <w:rPr>
          <w:rFonts w:ascii="Book Antiqua" w:hAnsi="Book Antiqua"/>
        </w:rPr>
      </w:pPr>
      <w:r w:rsidRPr="00242AA7">
        <w:rPr>
          <w:rFonts w:ascii="Book Antiqua" w:hAnsi="Book Antiqua"/>
        </w:rPr>
        <w:t xml:space="preserve">The hypothesis of a differential behavior of PCa between patients with few metastases and those with generalized lymph node metastases was proposed by Singh </w:t>
      </w:r>
      <w:r w:rsidRPr="003A1F61">
        <w:rPr>
          <w:rFonts w:ascii="Book Antiqua" w:hAnsi="Book Antiqua"/>
          <w:i/>
        </w:rPr>
        <w:t xml:space="preserve">et </w:t>
      </w:r>
      <w:proofErr w:type="gramStart"/>
      <w:r w:rsidRPr="003A1F61">
        <w:rPr>
          <w:rFonts w:ascii="Book Antiqua" w:hAnsi="Book Antiqua"/>
          <w:i/>
        </w:rPr>
        <w:t>al</w:t>
      </w:r>
      <w:r w:rsidR="003A1F61" w:rsidRPr="00242AA7">
        <w:rPr>
          <w:rFonts w:ascii="Book Antiqua" w:hAnsi="Book Antiqua"/>
          <w:vertAlign w:val="superscript"/>
        </w:rPr>
        <w:t>[</w:t>
      </w:r>
      <w:proofErr w:type="gramEnd"/>
      <w:r w:rsidR="003A1F61" w:rsidRPr="00242AA7">
        <w:rPr>
          <w:rFonts w:ascii="Book Antiqua" w:hAnsi="Book Antiqua"/>
          <w:vertAlign w:val="superscript"/>
        </w:rPr>
        <w:t>10]</w:t>
      </w:r>
      <w:r w:rsidRPr="00242AA7">
        <w:rPr>
          <w:rFonts w:ascii="Book Antiqua" w:hAnsi="Book Antiqua"/>
        </w:rPr>
        <w:t xml:space="preserve"> in 2004. These authors found that patients with 5 or fewer metastatic lesions had longer overall survival (OS) than patients with more than 5 metastatic lesions (73% </w:t>
      </w:r>
      <w:r w:rsidRPr="003A1F61">
        <w:rPr>
          <w:rFonts w:ascii="Book Antiqua" w:hAnsi="Book Antiqua"/>
          <w:i/>
        </w:rPr>
        <w:t>vs</w:t>
      </w:r>
      <w:r w:rsidRPr="00242AA7">
        <w:rPr>
          <w:rFonts w:ascii="Book Antiqua" w:hAnsi="Book Antiqua"/>
        </w:rPr>
        <w:t xml:space="preserve"> 45% at 5 years and 36% </w:t>
      </w:r>
      <w:r w:rsidRPr="003A1F61">
        <w:rPr>
          <w:rFonts w:ascii="Book Antiqua" w:hAnsi="Book Antiqua"/>
          <w:i/>
        </w:rPr>
        <w:t xml:space="preserve">vs </w:t>
      </w:r>
      <w:r w:rsidRPr="00242AA7">
        <w:rPr>
          <w:rFonts w:ascii="Book Antiqua" w:hAnsi="Book Antiqua"/>
        </w:rPr>
        <w:t>18% at 10</w:t>
      </w:r>
      <w:r w:rsidR="005059C2" w:rsidRPr="00242AA7">
        <w:rPr>
          <w:rFonts w:ascii="Book Antiqua" w:hAnsi="Book Antiqua"/>
        </w:rPr>
        <w:t> </w:t>
      </w:r>
      <w:r w:rsidRPr="00242AA7">
        <w:rPr>
          <w:rFonts w:ascii="Book Antiqua" w:hAnsi="Book Antiqua"/>
        </w:rPr>
        <w:t>years), as well as longer metastasis-free survival.</w:t>
      </w:r>
    </w:p>
    <w:p w14:paraId="6ED9DC10" w14:textId="019CA525" w:rsidR="005059C2" w:rsidRPr="00242AA7" w:rsidRDefault="00EE5B11" w:rsidP="003A1F61">
      <w:pPr>
        <w:tabs>
          <w:tab w:val="left" w:pos="220"/>
          <w:tab w:val="left" w:pos="720"/>
        </w:tabs>
        <w:autoSpaceDE w:val="0"/>
        <w:autoSpaceDN w:val="0"/>
        <w:adjustRightInd w:val="0"/>
        <w:spacing w:line="360" w:lineRule="auto"/>
        <w:ind w:firstLineChars="100" w:firstLine="240"/>
        <w:contextualSpacing/>
        <w:jc w:val="both"/>
        <w:rPr>
          <w:rFonts w:ascii="Book Antiqua" w:hAnsi="Book Antiqua"/>
        </w:rPr>
      </w:pPr>
      <w:r w:rsidRPr="00242AA7">
        <w:rPr>
          <w:rFonts w:ascii="Book Antiqua" w:hAnsi="Book Antiqua"/>
        </w:rPr>
        <w:t xml:space="preserve">Another sometimes neglected term that needs to be used because it contextualizes the clinical situation is </w:t>
      </w:r>
      <w:r w:rsidR="005059C2" w:rsidRPr="00242AA7">
        <w:rPr>
          <w:rFonts w:ascii="Book Antiqua" w:hAnsi="Book Antiqua"/>
        </w:rPr>
        <w:t>“</w:t>
      </w:r>
      <w:r w:rsidRPr="00242AA7">
        <w:rPr>
          <w:rFonts w:ascii="Book Antiqua" w:hAnsi="Book Antiqua"/>
        </w:rPr>
        <w:t>oligorecurrence</w:t>
      </w:r>
      <w:r w:rsidR="005059C2" w:rsidRPr="00242AA7">
        <w:rPr>
          <w:rFonts w:ascii="Book Antiqua" w:hAnsi="Book Antiqua"/>
        </w:rPr>
        <w:t>”</w:t>
      </w:r>
      <w:r w:rsidRPr="00242AA7">
        <w:rPr>
          <w:rFonts w:ascii="Book Antiqua" w:hAnsi="Book Antiqua"/>
        </w:rPr>
        <w:t xml:space="preserve"> as defined by Niibe</w:t>
      </w:r>
      <w:r w:rsidR="00031CA1" w:rsidRPr="00031CA1">
        <w:rPr>
          <w:rFonts w:ascii="Book Antiqua" w:eastAsia="SimSun" w:hAnsi="Book Antiqua" w:hint="eastAsia"/>
          <w:i/>
          <w:lang w:eastAsia="zh-CN"/>
        </w:rPr>
        <w:t xml:space="preserve"> et </w:t>
      </w:r>
      <w:proofErr w:type="gramStart"/>
      <w:r w:rsidR="00031CA1" w:rsidRPr="00031CA1">
        <w:rPr>
          <w:rFonts w:ascii="Book Antiqua" w:eastAsia="SimSun" w:hAnsi="Book Antiqua" w:hint="eastAsia"/>
          <w:i/>
          <w:lang w:eastAsia="zh-CN"/>
        </w:rPr>
        <w:t>al</w:t>
      </w:r>
      <w:r w:rsidR="003A1F61" w:rsidRPr="00242AA7">
        <w:rPr>
          <w:rFonts w:ascii="Book Antiqua" w:hAnsi="Book Antiqua"/>
          <w:vertAlign w:val="superscript"/>
        </w:rPr>
        <w:t>[</w:t>
      </w:r>
      <w:proofErr w:type="gramEnd"/>
      <w:r w:rsidR="003A1F61" w:rsidRPr="00242AA7">
        <w:rPr>
          <w:rFonts w:ascii="Book Antiqua" w:hAnsi="Book Antiqua"/>
          <w:vertAlign w:val="superscript"/>
        </w:rPr>
        <w:t>11]</w:t>
      </w:r>
      <w:r w:rsidRPr="00242AA7">
        <w:rPr>
          <w:rFonts w:ascii="Book Antiqua" w:hAnsi="Book Antiqua"/>
        </w:rPr>
        <w:t xml:space="preserve"> in 2010</w:t>
      </w:r>
      <w:r w:rsidR="003A1F61">
        <w:rPr>
          <w:rFonts w:ascii="Book Antiqua" w:eastAsia="SimSun" w:hAnsi="Book Antiqua" w:hint="eastAsia"/>
          <w:lang w:eastAsia="zh-CN"/>
        </w:rPr>
        <w:t xml:space="preserve"> </w:t>
      </w:r>
      <w:r w:rsidRPr="00242AA7">
        <w:rPr>
          <w:rFonts w:ascii="Book Antiqua" w:hAnsi="Book Antiqua"/>
        </w:rPr>
        <w:t>to identify oligometastatic patients with a controlled primary tumor.</w:t>
      </w:r>
    </w:p>
    <w:p w14:paraId="36DC4295" w14:textId="77777777" w:rsidR="004B63B6" w:rsidRPr="00242AA7" w:rsidRDefault="00EE5B11" w:rsidP="003A1F61">
      <w:pPr>
        <w:spacing w:line="360" w:lineRule="auto"/>
        <w:ind w:firstLineChars="100" w:firstLine="240"/>
        <w:contextualSpacing/>
        <w:jc w:val="both"/>
        <w:rPr>
          <w:rFonts w:ascii="Book Antiqua" w:hAnsi="Book Antiqua"/>
        </w:rPr>
      </w:pPr>
      <w:r w:rsidRPr="00242AA7">
        <w:rPr>
          <w:rFonts w:ascii="Book Antiqua" w:hAnsi="Book Antiqua"/>
        </w:rPr>
        <w:lastRenderedPageBreak/>
        <w:t>The number of metastases to be included under the term oligometastasis is even more crucial in the case of lymph node metastatic spread, where the quantification of either isolated nodes or lymph node areas increases screening variability. The solution to this dilemma is to define an oligometastatic patient as an individual in which all the tumor locations are amenable to MDT with radical intent.</w:t>
      </w:r>
    </w:p>
    <w:p w14:paraId="3AF30FD7" w14:textId="77777777" w:rsidR="00F350D8" w:rsidRPr="00242AA7" w:rsidRDefault="00F350D8" w:rsidP="00242AA7">
      <w:pPr>
        <w:spacing w:line="360" w:lineRule="auto"/>
        <w:jc w:val="both"/>
        <w:rPr>
          <w:rFonts w:ascii="Book Antiqua" w:hAnsi="Book Antiqua"/>
        </w:rPr>
      </w:pPr>
    </w:p>
    <w:p w14:paraId="19B39069" w14:textId="6297A41D" w:rsidR="0058765E" w:rsidRPr="00DA0EF6" w:rsidRDefault="003A1F61" w:rsidP="00242AA7">
      <w:pPr>
        <w:keepNext/>
        <w:spacing w:line="360" w:lineRule="auto"/>
        <w:jc w:val="both"/>
        <w:rPr>
          <w:rFonts w:ascii="Book Antiqua" w:hAnsi="Book Antiqua"/>
          <w:b/>
          <w:i/>
        </w:rPr>
      </w:pPr>
      <w:r w:rsidRPr="00DA0EF6">
        <w:rPr>
          <w:rFonts w:ascii="Book Antiqua" w:hAnsi="Book Antiqua"/>
          <w:b/>
          <w:i/>
        </w:rPr>
        <w:t>D</w:t>
      </w:r>
      <w:r w:rsidR="00DA0EF6" w:rsidRPr="00DA0EF6">
        <w:rPr>
          <w:rFonts w:ascii="Book Antiqua" w:hAnsi="Book Antiqua"/>
          <w:b/>
          <w:i/>
        </w:rPr>
        <w:t>iagnosis of (oligo)metastatic disease</w:t>
      </w:r>
    </w:p>
    <w:p w14:paraId="5F91E227" w14:textId="01152E5B" w:rsidR="005059C2" w:rsidRPr="00242AA7" w:rsidRDefault="00437955" w:rsidP="00242AA7">
      <w:pPr>
        <w:spacing w:line="360" w:lineRule="auto"/>
        <w:jc w:val="both"/>
        <w:rPr>
          <w:rFonts w:ascii="Book Antiqua" w:hAnsi="Book Antiqua"/>
        </w:rPr>
      </w:pPr>
      <w:r w:rsidRPr="00242AA7">
        <w:rPr>
          <w:rFonts w:ascii="Book Antiqua" w:hAnsi="Book Antiqua"/>
        </w:rPr>
        <w:t xml:space="preserve">The number of metastases detected, and consequently classification as oligometastatic disease, depends on the method used for detection. The most recent European Association of Urology (EAU) guidelines recommend at least one cross-sectional abdominopelvic imaging study </w:t>
      </w:r>
      <w:r w:rsidR="003A1F61">
        <w:rPr>
          <w:rFonts w:ascii="Book Antiqua" w:eastAsia="SimSun" w:hAnsi="Book Antiqua" w:hint="eastAsia"/>
          <w:lang w:eastAsia="zh-CN"/>
        </w:rPr>
        <w:t>[</w:t>
      </w:r>
      <w:r w:rsidRPr="00242AA7">
        <w:rPr>
          <w:rFonts w:ascii="Book Antiqua" w:hAnsi="Book Antiqua"/>
        </w:rPr>
        <w:t xml:space="preserve">computed tomography </w:t>
      </w:r>
      <w:r w:rsidR="003A1F61">
        <w:rPr>
          <w:rFonts w:ascii="Book Antiqua" w:eastAsia="SimSun" w:hAnsi="Book Antiqua" w:hint="eastAsia"/>
          <w:lang w:eastAsia="zh-CN"/>
        </w:rPr>
        <w:t>(</w:t>
      </w:r>
      <w:r w:rsidRPr="00242AA7">
        <w:rPr>
          <w:rFonts w:ascii="Book Antiqua" w:hAnsi="Book Antiqua"/>
        </w:rPr>
        <w:t>CT</w:t>
      </w:r>
      <w:r w:rsidR="003A1F61">
        <w:rPr>
          <w:rFonts w:ascii="Book Antiqua" w:eastAsia="SimSun" w:hAnsi="Book Antiqua" w:hint="eastAsia"/>
          <w:lang w:eastAsia="zh-CN"/>
        </w:rPr>
        <w:t>)</w:t>
      </w:r>
      <w:r w:rsidRPr="00242AA7">
        <w:rPr>
          <w:rFonts w:ascii="Book Antiqua" w:hAnsi="Book Antiqua"/>
        </w:rPr>
        <w:t xml:space="preserve"> or magnetic resonance imaging </w:t>
      </w:r>
      <w:r w:rsidR="003A1F61">
        <w:rPr>
          <w:rFonts w:ascii="Book Antiqua" w:eastAsia="SimSun" w:hAnsi="Book Antiqua" w:hint="eastAsia"/>
          <w:lang w:eastAsia="zh-CN"/>
        </w:rPr>
        <w:t>(</w:t>
      </w:r>
      <w:r w:rsidR="003A1F61">
        <w:rPr>
          <w:rFonts w:ascii="Book Antiqua" w:hAnsi="Book Antiqua"/>
        </w:rPr>
        <w:t>MRI</w:t>
      </w:r>
      <w:r w:rsidRPr="00242AA7">
        <w:rPr>
          <w:rFonts w:ascii="Book Antiqua" w:hAnsi="Book Antiqua"/>
        </w:rPr>
        <w:t>)</w:t>
      </w:r>
      <w:r w:rsidR="003A1F61">
        <w:rPr>
          <w:rFonts w:ascii="Book Antiqua" w:eastAsia="SimSun" w:hAnsi="Book Antiqua" w:hint="eastAsia"/>
          <w:lang w:eastAsia="zh-CN"/>
        </w:rPr>
        <w:t>]</w:t>
      </w:r>
      <w:r w:rsidRPr="00242AA7">
        <w:rPr>
          <w:rFonts w:ascii="Book Antiqua" w:hAnsi="Book Antiqua"/>
        </w:rPr>
        <w:t xml:space="preserve"> in conjunction with a bone scan (BS) for the screening of metastases in intermediate- and high-risk primary </w:t>
      </w:r>
      <w:proofErr w:type="gramStart"/>
      <w:r w:rsidRPr="00242AA7">
        <w:rPr>
          <w:rFonts w:ascii="Book Antiqua" w:hAnsi="Book Antiqua"/>
        </w:rPr>
        <w:t>PCa</w:t>
      </w:r>
      <w:r w:rsidR="000C6B62" w:rsidRPr="00242AA7">
        <w:rPr>
          <w:rFonts w:ascii="Book Antiqua" w:hAnsi="Book Antiqua"/>
          <w:vertAlign w:val="superscript"/>
        </w:rPr>
        <w:t>[</w:t>
      </w:r>
      <w:proofErr w:type="gramEnd"/>
      <w:r w:rsidR="000C6B62" w:rsidRPr="00242AA7">
        <w:rPr>
          <w:rFonts w:ascii="Book Antiqua" w:hAnsi="Book Antiqua"/>
          <w:vertAlign w:val="superscript"/>
        </w:rPr>
        <w:t>12]</w:t>
      </w:r>
      <w:r w:rsidRPr="00242AA7">
        <w:rPr>
          <w:rFonts w:ascii="Book Antiqua" w:hAnsi="Book Antiqua"/>
        </w:rPr>
        <w:t xml:space="preserve">. After biochemical relapse (BCR), and given the low detection rate, BS and abdominopelvic CT are only recommended in patients with serum </w:t>
      </w:r>
      <w:r w:rsidR="0037328D" w:rsidRPr="00242AA7">
        <w:rPr>
          <w:rFonts w:ascii="Book Antiqua" w:hAnsi="Book Antiqua"/>
        </w:rPr>
        <w:t>PSA</w:t>
      </w:r>
      <w:r w:rsidRPr="00242AA7">
        <w:rPr>
          <w:rFonts w:ascii="Book Antiqua" w:hAnsi="Book Antiqua"/>
        </w:rPr>
        <w:t xml:space="preserve"> &gt;</w:t>
      </w:r>
      <w:r w:rsidR="005059C2" w:rsidRPr="00242AA7">
        <w:rPr>
          <w:rFonts w:ascii="Book Antiqua" w:hAnsi="Book Antiqua"/>
        </w:rPr>
        <w:t> </w:t>
      </w:r>
      <w:r w:rsidRPr="00242AA7">
        <w:rPr>
          <w:rFonts w:ascii="Book Antiqua" w:hAnsi="Book Antiqua"/>
        </w:rPr>
        <w:t>10</w:t>
      </w:r>
      <w:r w:rsidR="005059C2" w:rsidRPr="00242AA7">
        <w:rPr>
          <w:rFonts w:ascii="Book Antiqua" w:hAnsi="Book Antiqua"/>
        </w:rPr>
        <w:t> ng</w:t>
      </w:r>
      <w:r w:rsidRPr="00242AA7">
        <w:rPr>
          <w:rFonts w:ascii="Book Antiqua" w:hAnsi="Book Antiqua"/>
        </w:rPr>
        <w:t>/m</w:t>
      </w:r>
      <w:r w:rsidR="003A1F61" w:rsidRPr="00242AA7">
        <w:rPr>
          <w:rFonts w:ascii="Book Antiqua" w:hAnsi="Book Antiqua"/>
        </w:rPr>
        <w:t>L</w:t>
      </w:r>
      <w:r w:rsidRPr="00242AA7">
        <w:rPr>
          <w:rFonts w:ascii="Book Antiqua" w:hAnsi="Book Antiqua"/>
        </w:rPr>
        <w:t xml:space="preserve"> or a PSA doubling time </w:t>
      </w:r>
      <w:r w:rsidR="005059C2" w:rsidRPr="00242AA7">
        <w:rPr>
          <w:rFonts w:ascii="Book Antiqua" w:hAnsi="Book Antiqua"/>
        </w:rPr>
        <w:t>&lt; </w:t>
      </w:r>
      <w:r w:rsidRPr="00242AA7">
        <w:rPr>
          <w:rFonts w:ascii="Book Antiqua" w:hAnsi="Book Antiqua"/>
        </w:rPr>
        <w:t>6</w:t>
      </w:r>
      <w:r w:rsidR="005059C2" w:rsidRPr="00242AA7">
        <w:rPr>
          <w:rFonts w:ascii="Book Antiqua" w:hAnsi="Book Antiqua"/>
        </w:rPr>
        <w:t> </w:t>
      </w:r>
      <w:r w:rsidRPr="00242AA7">
        <w:rPr>
          <w:rFonts w:ascii="Book Antiqua" w:hAnsi="Book Antiqua"/>
        </w:rPr>
        <w:t xml:space="preserve">mo. In addition, multiparametric MRI may be useful in the event of BCR after prostate radiotherapy to assess local rescue </w:t>
      </w:r>
      <w:proofErr w:type="gramStart"/>
      <w:r w:rsidRPr="00242AA7">
        <w:rPr>
          <w:rFonts w:ascii="Book Antiqua" w:hAnsi="Book Antiqua"/>
        </w:rPr>
        <w:t>possibilities</w:t>
      </w:r>
      <w:r w:rsidR="000C6B62" w:rsidRPr="00242AA7">
        <w:rPr>
          <w:rFonts w:ascii="Book Antiqua" w:hAnsi="Book Antiqua"/>
          <w:vertAlign w:val="superscript"/>
        </w:rPr>
        <w:t>[</w:t>
      </w:r>
      <w:proofErr w:type="gramEnd"/>
      <w:r w:rsidR="000C6B62" w:rsidRPr="00242AA7">
        <w:rPr>
          <w:rFonts w:ascii="Book Antiqua" w:hAnsi="Book Antiqua"/>
          <w:vertAlign w:val="superscript"/>
        </w:rPr>
        <w:t>13]</w:t>
      </w:r>
      <w:r w:rsidRPr="00242AA7">
        <w:rPr>
          <w:rFonts w:ascii="Book Antiqua" w:hAnsi="Book Antiqua"/>
        </w:rPr>
        <w:t>. However, these conventional imaging modalities have low sensitivity in detecting small-volume disease and may underestimate the disease burden.</w:t>
      </w:r>
    </w:p>
    <w:p w14:paraId="7A9DD359" w14:textId="41CA4C6C" w:rsidR="001C6674" w:rsidRPr="00242AA7" w:rsidRDefault="00CE56AD" w:rsidP="003A1F61">
      <w:pPr>
        <w:spacing w:line="360" w:lineRule="auto"/>
        <w:ind w:firstLineChars="100" w:firstLine="240"/>
        <w:jc w:val="both"/>
        <w:rPr>
          <w:rFonts w:ascii="Book Antiqua" w:hAnsi="Book Antiqua"/>
        </w:rPr>
      </w:pPr>
      <w:r w:rsidRPr="00242AA7">
        <w:rPr>
          <w:rFonts w:ascii="Book Antiqua" w:hAnsi="Book Antiqua"/>
        </w:rPr>
        <w:t>Advances in molecular and biological imaging directly targeting tumor cells have resulted in greater efficacy in detecting PCa. In recurrent PCa, choline positron emission tomography</w:t>
      </w:r>
      <w:r w:rsidR="00581F1D" w:rsidRPr="00242AA7">
        <w:rPr>
          <w:rFonts w:ascii="Book Antiqua" w:hAnsi="Book Antiqua"/>
        </w:rPr>
        <w:t>-computed tomography</w:t>
      </w:r>
      <w:r w:rsidRPr="00242AA7">
        <w:rPr>
          <w:rFonts w:ascii="Book Antiqua" w:hAnsi="Book Antiqua"/>
        </w:rPr>
        <w:t xml:space="preserve"> (choline PET/CT) is the preferred restaging technique, with a pooled sensitivity and specificity of &gt;</w:t>
      </w:r>
      <w:r w:rsidR="005059C2" w:rsidRPr="00242AA7">
        <w:rPr>
          <w:rFonts w:ascii="Book Antiqua" w:hAnsi="Book Antiqua"/>
        </w:rPr>
        <w:t> </w:t>
      </w:r>
      <w:r w:rsidRPr="00242AA7">
        <w:rPr>
          <w:rFonts w:ascii="Book Antiqua" w:hAnsi="Book Antiqua"/>
        </w:rPr>
        <w:t>85</w:t>
      </w:r>
      <w:proofErr w:type="gramStart"/>
      <w:r w:rsidRPr="00242AA7">
        <w:rPr>
          <w:rFonts w:ascii="Book Antiqua" w:hAnsi="Book Antiqua"/>
        </w:rPr>
        <w:t>%</w:t>
      </w:r>
      <w:r w:rsidR="000C6B62" w:rsidRPr="00242AA7">
        <w:rPr>
          <w:rFonts w:ascii="Book Antiqua" w:hAnsi="Book Antiqua"/>
          <w:vertAlign w:val="superscript"/>
        </w:rPr>
        <w:t>[</w:t>
      </w:r>
      <w:proofErr w:type="gramEnd"/>
      <w:r w:rsidR="000C6B62" w:rsidRPr="00242AA7">
        <w:rPr>
          <w:rFonts w:ascii="Book Antiqua" w:hAnsi="Book Antiqua"/>
          <w:vertAlign w:val="superscript"/>
        </w:rPr>
        <w:t>14]</w:t>
      </w:r>
      <w:r w:rsidRPr="00242AA7">
        <w:rPr>
          <w:rFonts w:ascii="Book Antiqua" w:hAnsi="Book Antiqua"/>
        </w:rPr>
        <w:t xml:space="preserve">. Unfortunately, these figures probably decrease in the context of lymph node </w:t>
      </w:r>
      <w:proofErr w:type="gramStart"/>
      <w:r w:rsidRPr="00242AA7">
        <w:rPr>
          <w:rFonts w:ascii="Book Antiqua" w:hAnsi="Book Antiqua"/>
        </w:rPr>
        <w:t>metastases</w:t>
      </w:r>
      <w:r w:rsidR="00646C51" w:rsidRPr="00242AA7">
        <w:rPr>
          <w:rFonts w:ascii="Book Antiqua" w:hAnsi="Book Antiqua"/>
          <w:vertAlign w:val="superscript"/>
        </w:rPr>
        <w:t>[</w:t>
      </w:r>
      <w:proofErr w:type="gramEnd"/>
      <w:r w:rsidR="00646C51" w:rsidRPr="00242AA7">
        <w:rPr>
          <w:rFonts w:ascii="Book Antiqua" w:hAnsi="Book Antiqua"/>
          <w:vertAlign w:val="superscript"/>
        </w:rPr>
        <w:t>15]</w:t>
      </w:r>
      <w:r w:rsidRPr="00242AA7">
        <w:rPr>
          <w:rFonts w:ascii="Book Antiqua" w:hAnsi="Book Antiqua"/>
        </w:rPr>
        <w:t xml:space="preserve">, and sensitivity in application to micrometastatic disease is low. Choline PET/CT has demonstrated superiority in detecting local relapse and bone metastases versus whole-body MRI (including diffusion-weighted imaging), though with similar accuracy in detecting lymph node </w:t>
      </w:r>
      <w:proofErr w:type="gramStart"/>
      <w:r w:rsidRPr="00242AA7">
        <w:rPr>
          <w:rFonts w:ascii="Book Antiqua" w:hAnsi="Book Antiqua"/>
        </w:rPr>
        <w:t>metastases</w:t>
      </w:r>
      <w:r w:rsidR="00646C51" w:rsidRPr="00242AA7">
        <w:rPr>
          <w:rFonts w:ascii="Book Antiqua" w:hAnsi="Book Antiqua"/>
          <w:vertAlign w:val="superscript"/>
        </w:rPr>
        <w:t>[</w:t>
      </w:r>
      <w:proofErr w:type="gramEnd"/>
      <w:r w:rsidR="00646C51" w:rsidRPr="00242AA7">
        <w:rPr>
          <w:rFonts w:ascii="Book Antiqua" w:hAnsi="Book Antiqua"/>
          <w:vertAlign w:val="superscript"/>
        </w:rPr>
        <w:t>16]</w:t>
      </w:r>
      <w:r w:rsidRPr="00242AA7">
        <w:rPr>
          <w:rFonts w:ascii="Book Antiqua" w:hAnsi="Book Antiqua"/>
        </w:rPr>
        <w:t xml:space="preserve">. </w:t>
      </w:r>
      <w:r w:rsidRPr="00242AA7">
        <w:rPr>
          <w:rFonts w:ascii="Book Antiqua" w:hAnsi="Book Antiqua"/>
        </w:rPr>
        <w:lastRenderedPageBreak/>
        <w:t xml:space="preserve">The two techniques are presently regarded as complementary diagnostic options rather than </w:t>
      </w:r>
      <w:proofErr w:type="gramStart"/>
      <w:r w:rsidRPr="00242AA7">
        <w:rPr>
          <w:rFonts w:ascii="Book Antiqua" w:hAnsi="Book Antiqua"/>
        </w:rPr>
        <w:t>alternatives</w:t>
      </w:r>
      <w:r w:rsidR="005B72EA" w:rsidRPr="00242AA7">
        <w:rPr>
          <w:rFonts w:ascii="Book Antiqua" w:hAnsi="Book Antiqua"/>
          <w:vertAlign w:val="superscript"/>
        </w:rPr>
        <w:t>[</w:t>
      </w:r>
      <w:proofErr w:type="gramEnd"/>
      <w:r w:rsidR="005B72EA" w:rsidRPr="00242AA7">
        <w:rPr>
          <w:rFonts w:ascii="Book Antiqua" w:hAnsi="Book Antiqua"/>
          <w:vertAlign w:val="superscript"/>
        </w:rPr>
        <w:t>17]</w:t>
      </w:r>
      <w:r w:rsidRPr="00242AA7">
        <w:rPr>
          <w:rFonts w:ascii="Book Antiqua" w:hAnsi="Book Antiqua"/>
        </w:rPr>
        <w:t>.</w:t>
      </w:r>
    </w:p>
    <w:p w14:paraId="11C9BDBB" w14:textId="0EDEE48B" w:rsidR="00AF61EC" w:rsidRPr="00242AA7" w:rsidRDefault="00135D36" w:rsidP="003A1F61">
      <w:pPr>
        <w:spacing w:line="360" w:lineRule="auto"/>
        <w:ind w:firstLineChars="100" w:firstLine="240"/>
        <w:contextualSpacing/>
        <w:jc w:val="both"/>
        <w:rPr>
          <w:rFonts w:ascii="Book Antiqua" w:hAnsi="Book Antiqua"/>
        </w:rPr>
      </w:pPr>
      <w:r w:rsidRPr="00242AA7">
        <w:rPr>
          <w:rFonts w:ascii="Book Antiqua" w:hAnsi="Book Antiqua"/>
        </w:rPr>
        <w:t xml:space="preserve">A new radiotracer targeting prostate-specific membrane antigen (PSMA) has recently been developed and has demonstrated potentially higher detection rates than the conventional imaging modalities. </w:t>
      </w:r>
      <w:r w:rsidR="003A1F61" w:rsidRPr="00242AA7">
        <w:rPr>
          <w:rFonts w:ascii="Book Antiqua" w:hAnsi="Book Antiqua"/>
        </w:rPr>
        <w:t>PSMA</w:t>
      </w:r>
      <w:r w:rsidRPr="00242AA7">
        <w:rPr>
          <w:rFonts w:ascii="Book Antiqua" w:hAnsi="Book Antiqua"/>
        </w:rPr>
        <w:t xml:space="preserve"> is a protein expressed on dysplastic prostate cells, with expression levels 100-1000 times higher than in normal cells. These expression levels increase even further in higher disease stages and </w:t>
      </w:r>
      <w:proofErr w:type="gramStart"/>
      <w:r w:rsidRPr="00242AA7">
        <w:rPr>
          <w:rFonts w:ascii="Book Antiqua" w:hAnsi="Book Antiqua"/>
        </w:rPr>
        <w:t>grades</w:t>
      </w:r>
      <w:r w:rsidR="005B72EA" w:rsidRPr="00242AA7">
        <w:rPr>
          <w:rFonts w:ascii="Book Antiqua" w:hAnsi="Book Antiqua"/>
          <w:vertAlign w:val="superscript"/>
        </w:rPr>
        <w:t>[</w:t>
      </w:r>
      <w:proofErr w:type="gramEnd"/>
      <w:r w:rsidR="005B72EA" w:rsidRPr="00242AA7">
        <w:rPr>
          <w:rFonts w:ascii="Book Antiqua" w:hAnsi="Book Antiqua"/>
          <w:vertAlign w:val="superscript"/>
        </w:rPr>
        <w:t>18]</w:t>
      </w:r>
      <w:r w:rsidRPr="00242AA7">
        <w:rPr>
          <w:rFonts w:ascii="Book Antiqua" w:hAnsi="Book Antiqua"/>
        </w:rPr>
        <w:t xml:space="preserve">. Recent meta-analyses show 68Ga-PSMA PET to offer excellent diagnostic performance in primary and secondary staging, due to its ability to detect lesions even in the presence of very low serum PSA </w:t>
      </w:r>
      <w:proofErr w:type="gramStart"/>
      <w:r w:rsidRPr="00242AA7">
        <w:rPr>
          <w:rFonts w:ascii="Book Antiqua" w:hAnsi="Book Antiqua"/>
        </w:rPr>
        <w:t>levels</w:t>
      </w:r>
      <w:r w:rsidR="005B72EA" w:rsidRPr="00242AA7">
        <w:rPr>
          <w:rFonts w:ascii="Book Antiqua" w:hAnsi="Book Antiqua"/>
          <w:vertAlign w:val="superscript"/>
        </w:rPr>
        <w:t>[</w:t>
      </w:r>
      <w:proofErr w:type="gramEnd"/>
      <w:r w:rsidR="005B72EA" w:rsidRPr="00242AA7">
        <w:rPr>
          <w:rFonts w:ascii="Book Antiqua" w:hAnsi="Book Antiqua"/>
          <w:vertAlign w:val="superscript"/>
        </w:rPr>
        <w:t>19]</w:t>
      </w:r>
      <w:r w:rsidRPr="00242AA7">
        <w:rPr>
          <w:rFonts w:ascii="Book Antiqua" w:hAnsi="Book Antiqua"/>
        </w:rPr>
        <w:t>. As an example, in the meta-analys</w:t>
      </w:r>
      <w:r w:rsidR="003A1F61">
        <w:rPr>
          <w:rFonts w:ascii="Book Antiqua" w:hAnsi="Book Antiqua"/>
        </w:rPr>
        <w:t xml:space="preserve">is published by von Eyben </w:t>
      </w:r>
      <w:r w:rsidR="003A1F61" w:rsidRPr="003A1F61">
        <w:rPr>
          <w:rFonts w:ascii="Book Antiqua" w:hAnsi="Book Antiqua"/>
          <w:i/>
        </w:rPr>
        <w:t xml:space="preserve">et </w:t>
      </w:r>
      <w:proofErr w:type="gramStart"/>
      <w:r w:rsidR="003A1F61" w:rsidRPr="003A1F61">
        <w:rPr>
          <w:rFonts w:ascii="Book Antiqua" w:hAnsi="Book Antiqua"/>
          <w:i/>
        </w:rPr>
        <w:t>al</w:t>
      </w:r>
      <w:r w:rsidR="005B72EA" w:rsidRPr="00242AA7">
        <w:rPr>
          <w:rFonts w:ascii="Book Antiqua" w:hAnsi="Book Antiqua"/>
          <w:vertAlign w:val="superscript"/>
        </w:rPr>
        <w:t>[</w:t>
      </w:r>
      <w:proofErr w:type="gramEnd"/>
      <w:r w:rsidR="005B72EA" w:rsidRPr="00242AA7">
        <w:rPr>
          <w:rFonts w:ascii="Book Antiqua" w:hAnsi="Book Antiqua"/>
          <w:vertAlign w:val="superscript"/>
        </w:rPr>
        <w:t>19]</w:t>
      </w:r>
      <w:r w:rsidRPr="00242AA7">
        <w:rPr>
          <w:rFonts w:ascii="Book Antiqua" w:hAnsi="Book Antiqua"/>
        </w:rPr>
        <w:t>, the pooled detection rate was 50% even in a subgroup of studies evaluating patients who showed BCR with PSA levels of 0.2-0.49</w:t>
      </w:r>
      <w:r w:rsidR="005059C2" w:rsidRPr="00242AA7">
        <w:rPr>
          <w:rFonts w:ascii="Book Antiqua" w:hAnsi="Book Antiqua"/>
        </w:rPr>
        <w:t> ng</w:t>
      </w:r>
      <w:r w:rsidRPr="00242AA7">
        <w:rPr>
          <w:rFonts w:ascii="Book Antiqua" w:hAnsi="Book Antiqua"/>
        </w:rPr>
        <w:t>/m</w:t>
      </w:r>
      <w:r w:rsidR="003A1F61" w:rsidRPr="00242AA7">
        <w:rPr>
          <w:rFonts w:ascii="Book Antiqua" w:hAnsi="Book Antiqua"/>
        </w:rPr>
        <w:t>L</w:t>
      </w:r>
      <w:r w:rsidRPr="00242AA7">
        <w:rPr>
          <w:rFonts w:ascii="Book Antiqua" w:hAnsi="Book Antiqua"/>
        </w:rPr>
        <w:t>.</w:t>
      </w:r>
      <w:r w:rsidR="005059C2" w:rsidRPr="00242AA7">
        <w:rPr>
          <w:rFonts w:ascii="Book Antiqua" w:hAnsi="Book Antiqua"/>
        </w:rPr>
        <w:t xml:space="preserve"> </w:t>
      </w:r>
      <w:r w:rsidRPr="00242AA7">
        <w:rPr>
          <w:rFonts w:ascii="Book Antiqua" w:hAnsi="Book Antiqua"/>
        </w:rPr>
        <w:t xml:space="preserve">The technique has been shown to modify the treatment proposal in approximately one-half of the </w:t>
      </w:r>
      <w:proofErr w:type="gramStart"/>
      <w:r w:rsidRPr="00242AA7">
        <w:rPr>
          <w:rFonts w:ascii="Book Antiqua" w:hAnsi="Book Antiqua"/>
        </w:rPr>
        <w:t>patients</w:t>
      </w:r>
      <w:r w:rsidR="005B72EA" w:rsidRPr="00242AA7">
        <w:rPr>
          <w:rFonts w:ascii="Book Antiqua" w:hAnsi="Book Antiqua"/>
          <w:vertAlign w:val="superscript"/>
        </w:rPr>
        <w:t>[</w:t>
      </w:r>
      <w:proofErr w:type="gramEnd"/>
      <w:r w:rsidR="005B72EA" w:rsidRPr="00242AA7">
        <w:rPr>
          <w:rFonts w:ascii="Book Antiqua" w:hAnsi="Book Antiqua"/>
          <w:vertAlign w:val="superscript"/>
        </w:rPr>
        <w:t>20]</w:t>
      </w:r>
      <w:r w:rsidRPr="00242AA7">
        <w:rPr>
          <w:rFonts w:ascii="Book Antiqua" w:hAnsi="Book Antiqua"/>
        </w:rPr>
        <w:t>. The most recent EAU guidelines therefore recommend PET/CT using PSMA together with choline in patients with BCR and low serum PSA levels (</w:t>
      </w:r>
      <w:r w:rsidR="005059C2" w:rsidRPr="00242AA7">
        <w:rPr>
          <w:rFonts w:ascii="Book Antiqua" w:hAnsi="Book Antiqua"/>
        </w:rPr>
        <w:t>&lt; </w:t>
      </w:r>
      <w:r w:rsidRPr="00242AA7">
        <w:rPr>
          <w:rFonts w:ascii="Book Antiqua" w:hAnsi="Book Antiqua"/>
        </w:rPr>
        <w:t>1</w:t>
      </w:r>
      <w:r w:rsidR="005059C2" w:rsidRPr="00242AA7">
        <w:rPr>
          <w:rFonts w:ascii="Book Antiqua" w:hAnsi="Book Antiqua"/>
        </w:rPr>
        <w:t> ng</w:t>
      </w:r>
      <w:r w:rsidRPr="00242AA7">
        <w:rPr>
          <w:rFonts w:ascii="Book Antiqua" w:hAnsi="Book Antiqua"/>
        </w:rPr>
        <w:t>/m</w:t>
      </w:r>
      <w:r w:rsidR="003A1F61" w:rsidRPr="00242AA7">
        <w:rPr>
          <w:rFonts w:ascii="Book Antiqua" w:hAnsi="Book Antiqua"/>
        </w:rPr>
        <w:t>L</w:t>
      </w:r>
      <w:r w:rsidRPr="00242AA7">
        <w:rPr>
          <w:rFonts w:ascii="Book Antiqua" w:hAnsi="Book Antiqua"/>
        </w:rPr>
        <w:t>).</w:t>
      </w:r>
      <w:r w:rsidR="005059C2" w:rsidRPr="00242AA7">
        <w:rPr>
          <w:rFonts w:ascii="Book Antiqua" w:hAnsi="Book Antiqua"/>
        </w:rPr>
        <w:t xml:space="preserve"> </w:t>
      </w:r>
      <w:r w:rsidRPr="00242AA7">
        <w:rPr>
          <w:rFonts w:ascii="Book Antiqua" w:hAnsi="Book Antiqua"/>
        </w:rPr>
        <w:t>The use of androgen deprivation therapy (ADT) may affect interpretation of the PSMA-PET explorations, since the expression of PSMA on the part of prostate cells increases with androgen receptor inhibition and may result in increased sensitivity of PSMA-PET after the administration of ADT.</w:t>
      </w:r>
      <w:r w:rsidR="003A1F61">
        <w:rPr>
          <w:rFonts w:ascii="Book Antiqua" w:eastAsia="SimSun" w:hAnsi="Book Antiqua" w:hint="eastAsia"/>
          <w:lang w:eastAsia="zh-CN"/>
        </w:rPr>
        <w:t xml:space="preserve"> </w:t>
      </w:r>
      <w:r w:rsidR="00AF61EC" w:rsidRPr="00242AA7">
        <w:rPr>
          <w:rFonts w:ascii="Book Antiqua" w:hAnsi="Book Antiqua"/>
        </w:rPr>
        <w:t xml:space="preserve">The new imaging techniques, and in particular PSMA-PET scans, may play an important role in the diagnosis of limited metastatic disease. Such techniques should be used, when available, in patients considered candidates for SBRT, in order to better define the extent of the disease and screen patients suitable for </w:t>
      </w:r>
      <w:proofErr w:type="gramStart"/>
      <w:r w:rsidR="00AF61EC" w:rsidRPr="00242AA7">
        <w:rPr>
          <w:rFonts w:ascii="Book Antiqua" w:hAnsi="Book Antiqua"/>
        </w:rPr>
        <w:t>MDT</w:t>
      </w:r>
      <w:r w:rsidR="00063C95" w:rsidRPr="00242AA7">
        <w:rPr>
          <w:rFonts w:ascii="Book Antiqua" w:hAnsi="Book Antiqua"/>
          <w:vertAlign w:val="superscript"/>
        </w:rPr>
        <w:t>[</w:t>
      </w:r>
      <w:proofErr w:type="gramEnd"/>
      <w:r w:rsidR="00063C95" w:rsidRPr="00242AA7">
        <w:rPr>
          <w:rFonts w:ascii="Book Antiqua" w:hAnsi="Book Antiqua"/>
          <w:vertAlign w:val="superscript"/>
        </w:rPr>
        <w:t>21,22]</w:t>
      </w:r>
      <w:r w:rsidR="00AF61EC" w:rsidRPr="00242AA7">
        <w:rPr>
          <w:rFonts w:ascii="Book Antiqua" w:hAnsi="Book Antiqua"/>
        </w:rPr>
        <w:t>.</w:t>
      </w:r>
    </w:p>
    <w:p w14:paraId="03807B84" w14:textId="77777777" w:rsidR="0031409D" w:rsidRPr="00242AA7" w:rsidRDefault="0031409D" w:rsidP="00242AA7">
      <w:pPr>
        <w:spacing w:line="360" w:lineRule="auto"/>
        <w:jc w:val="both"/>
        <w:rPr>
          <w:rFonts w:ascii="Book Antiqua" w:hAnsi="Book Antiqua"/>
        </w:rPr>
      </w:pPr>
    </w:p>
    <w:p w14:paraId="730F1C7D" w14:textId="3D5C2D4F" w:rsidR="006D165D" w:rsidRPr="003A1F61" w:rsidRDefault="00010DE2" w:rsidP="00242AA7">
      <w:pPr>
        <w:keepNext/>
        <w:spacing w:line="360" w:lineRule="auto"/>
        <w:jc w:val="both"/>
        <w:rPr>
          <w:rFonts w:ascii="Book Antiqua" w:hAnsi="Book Antiqua"/>
          <w:b/>
        </w:rPr>
      </w:pPr>
      <w:r w:rsidRPr="003A1F61">
        <w:rPr>
          <w:rFonts w:ascii="Book Antiqua" w:hAnsi="Book Antiqua"/>
          <w:b/>
        </w:rPr>
        <w:t xml:space="preserve">SCENARIOS IN OLIGOMETASTATIC </w:t>
      </w:r>
      <w:r w:rsidR="00712FBD" w:rsidRPr="003A1F61">
        <w:rPr>
          <w:rFonts w:ascii="Book Antiqua" w:hAnsi="Book Antiqua"/>
          <w:b/>
        </w:rPr>
        <w:t>PCa</w:t>
      </w:r>
    </w:p>
    <w:p w14:paraId="0DF92395" w14:textId="11A6B28F" w:rsidR="00A85ABA" w:rsidRPr="00242AA7" w:rsidRDefault="006D165D" w:rsidP="00242AA7">
      <w:pPr>
        <w:spacing w:line="360" w:lineRule="auto"/>
        <w:jc w:val="both"/>
        <w:rPr>
          <w:rFonts w:ascii="Book Antiqua" w:hAnsi="Book Antiqua"/>
        </w:rPr>
      </w:pPr>
      <w:r w:rsidRPr="00242AA7">
        <w:rPr>
          <w:rFonts w:ascii="Book Antiqua" w:hAnsi="Book Antiqua"/>
        </w:rPr>
        <w:t>Three scenarios can be found in oligometastatic PCa: (</w:t>
      </w:r>
      <w:r w:rsidR="003A1F61">
        <w:rPr>
          <w:rFonts w:ascii="Book Antiqua" w:eastAsia="SimSun" w:hAnsi="Book Antiqua" w:hint="eastAsia"/>
          <w:lang w:eastAsia="zh-CN"/>
        </w:rPr>
        <w:t>1</w:t>
      </w:r>
      <w:r w:rsidRPr="00242AA7">
        <w:rPr>
          <w:rFonts w:ascii="Book Antiqua" w:hAnsi="Book Antiqua"/>
        </w:rPr>
        <w:t xml:space="preserve">) </w:t>
      </w:r>
      <w:r w:rsidRPr="00242AA7">
        <w:rPr>
          <w:rFonts w:ascii="Book Antiqua" w:hAnsi="Book Antiqua"/>
          <w:i/>
        </w:rPr>
        <w:t>De novo</w:t>
      </w:r>
      <w:r w:rsidRPr="00242AA7">
        <w:rPr>
          <w:rFonts w:ascii="Book Antiqua" w:hAnsi="Book Antiqua"/>
        </w:rPr>
        <w:t xml:space="preserve"> oligometastatic disease, corresponding to patients diagnosed with synchronous metastases; (</w:t>
      </w:r>
      <w:r w:rsidR="003A1F61">
        <w:rPr>
          <w:rFonts w:ascii="Book Antiqua" w:eastAsia="SimSun" w:hAnsi="Book Antiqua" w:hint="eastAsia"/>
          <w:lang w:eastAsia="zh-CN"/>
        </w:rPr>
        <w:t>2</w:t>
      </w:r>
      <w:r w:rsidRPr="00242AA7">
        <w:rPr>
          <w:rFonts w:ascii="Book Antiqua" w:hAnsi="Book Antiqua"/>
        </w:rPr>
        <w:t xml:space="preserve">) Oligorecurrent disease, corresponding to the appearance of metachronous metastases after local control of the primary tumor (with either surgery or </w:t>
      </w:r>
      <w:r w:rsidRPr="00242AA7">
        <w:rPr>
          <w:rFonts w:ascii="Book Antiqua" w:hAnsi="Book Antiqua"/>
        </w:rPr>
        <w:lastRenderedPageBreak/>
        <w:t xml:space="preserve">radiotherapy), in which the metastases are usually detected from images requested after the occurrence of BCR; </w:t>
      </w:r>
      <w:r w:rsidR="003A1F61">
        <w:rPr>
          <w:rFonts w:ascii="Book Antiqua" w:eastAsia="SimSun" w:hAnsi="Book Antiqua" w:hint="eastAsia"/>
          <w:lang w:eastAsia="zh-CN"/>
        </w:rPr>
        <w:t xml:space="preserve">and </w:t>
      </w:r>
      <w:r w:rsidRPr="00242AA7">
        <w:rPr>
          <w:rFonts w:ascii="Book Antiqua" w:hAnsi="Book Antiqua"/>
        </w:rPr>
        <w:t>(</w:t>
      </w:r>
      <w:r w:rsidR="003A1F61">
        <w:rPr>
          <w:rFonts w:ascii="Book Antiqua" w:eastAsia="SimSun" w:hAnsi="Book Antiqua" w:hint="eastAsia"/>
          <w:lang w:eastAsia="zh-CN"/>
        </w:rPr>
        <w:t>3</w:t>
      </w:r>
      <w:r w:rsidRPr="00242AA7">
        <w:rPr>
          <w:rFonts w:ascii="Book Antiqua" w:hAnsi="Book Antiqua"/>
        </w:rPr>
        <w:t>) Oligoprogressive disease, corresponding to metastatic patients with systemic treatment, who at some point show progression of a limited number of metastases. These patients are subjected to ADT, either alone or combined with other systemic drugs, and therefore may be classified as castration-resistant cases (Fig</w:t>
      </w:r>
      <w:r w:rsidR="003A1F61">
        <w:rPr>
          <w:rFonts w:ascii="Book Antiqua" w:eastAsia="SimSun" w:hAnsi="Book Antiqua" w:hint="eastAsia"/>
          <w:lang w:eastAsia="zh-CN"/>
        </w:rPr>
        <w:t>ure</w:t>
      </w:r>
      <w:r w:rsidRPr="00242AA7">
        <w:rPr>
          <w:rFonts w:ascii="Book Antiqua" w:hAnsi="Book Antiqua"/>
        </w:rPr>
        <w:t xml:space="preserve"> 1).</w:t>
      </w:r>
    </w:p>
    <w:p w14:paraId="29D6BA09" w14:textId="77777777" w:rsidR="00686598" w:rsidRPr="00242AA7" w:rsidRDefault="00686598" w:rsidP="00242AA7">
      <w:pPr>
        <w:spacing w:line="360" w:lineRule="auto"/>
        <w:jc w:val="both"/>
        <w:rPr>
          <w:rFonts w:ascii="Book Antiqua" w:hAnsi="Book Antiqua"/>
        </w:rPr>
      </w:pPr>
    </w:p>
    <w:p w14:paraId="2DABB9DF" w14:textId="78DE6A40" w:rsidR="006D165D" w:rsidRPr="00DA0EF6" w:rsidRDefault="003A1F61" w:rsidP="00242AA7">
      <w:pPr>
        <w:keepNext/>
        <w:spacing w:line="360" w:lineRule="auto"/>
        <w:jc w:val="both"/>
        <w:rPr>
          <w:rFonts w:ascii="Book Antiqua" w:hAnsi="Book Antiqua"/>
          <w:b/>
          <w:i/>
        </w:rPr>
      </w:pPr>
      <w:r w:rsidRPr="00DA0EF6">
        <w:rPr>
          <w:rFonts w:ascii="Book Antiqua" w:hAnsi="Book Antiqua"/>
          <w:b/>
          <w:i/>
        </w:rPr>
        <w:t>S</w:t>
      </w:r>
      <w:r w:rsidR="00DA0EF6" w:rsidRPr="00DA0EF6">
        <w:rPr>
          <w:rFonts w:ascii="Book Antiqua" w:hAnsi="Book Antiqua"/>
          <w:b/>
          <w:i/>
        </w:rPr>
        <w:t>ynchronous - de novo metastases</w:t>
      </w:r>
    </w:p>
    <w:p w14:paraId="3006683E" w14:textId="77777777" w:rsidR="005059C2" w:rsidRPr="00242AA7" w:rsidRDefault="004B3FE6" w:rsidP="00242AA7">
      <w:pPr>
        <w:tabs>
          <w:tab w:val="left" w:pos="220"/>
          <w:tab w:val="left" w:pos="720"/>
        </w:tabs>
        <w:autoSpaceDE w:val="0"/>
        <w:autoSpaceDN w:val="0"/>
        <w:adjustRightInd w:val="0"/>
        <w:spacing w:line="360" w:lineRule="auto"/>
        <w:contextualSpacing/>
        <w:jc w:val="both"/>
        <w:rPr>
          <w:rFonts w:ascii="Book Antiqua" w:hAnsi="Book Antiqua"/>
        </w:rPr>
      </w:pPr>
      <w:r w:rsidRPr="00242AA7">
        <w:rPr>
          <w:rFonts w:ascii="Book Antiqua" w:hAnsi="Book Antiqua"/>
        </w:rPr>
        <w:t>Local ablative treatment of oligometastatic disease with curative intent does not make sense if radical treatment of the primary tumor is not applied at the same time. Radical treatment of this group of patients includes a combination of surgery, cEBRT, SBRT and systemic therapy.</w:t>
      </w:r>
    </w:p>
    <w:p w14:paraId="00D9F043" w14:textId="77777777" w:rsidR="006D165D" w:rsidRPr="00242AA7" w:rsidRDefault="00C32BBC" w:rsidP="003A1F61">
      <w:pPr>
        <w:spacing w:line="360" w:lineRule="auto"/>
        <w:ind w:firstLineChars="100" w:firstLine="240"/>
        <w:contextualSpacing/>
        <w:jc w:val="both"/>
        <w:rPr>
          <w:rFonts w:ascii="Book Antiqua" w:hAnsi="Book Antiqua"/>
        </w:rPr>
      </w:pPr>
      <w:r w:rsidRPr="00242AA7">
        <w:rPr>
          <w:rFonts w:ascii="Book Antiqua" w:hAnsi="Book Antiqua"/>
        </w:rPr>
        <w:t>Retrospective studies suggest a survival benefit from prostatectomy or radical cEBRT in patients with metastatic PCa. Clinical trials evaluating MDT, including SBRT, in the metastatic disease setting are ongoing.</w:t>
      </w:r>
    </w:p>
    <w:p w14:paraId="43E2F6BB" w14:textId="77777777" w:rsidR="00C32BBC" w:rsidRPr="00242AA7" w:rsidRDefault="00C32BBC" w:rsidP="00242AA7">
      <w:pPr>
        <w:spacing w:line="360" w:lineRule="auto"/>
        <w:jc w:val="both"/>
        <w:rPr>
          <w:rFonts w:ascii="Book Antiqua" w:hAnsi="Book Antiqua"/>
        </w:rPr>
      </w:pPr>
    </w:p>
    <w:p w14:paraId="75204D35" w14:textId="7B27E556" w:rsidR="00C32BBC" w:rsidRPr="00DA0EF6" w:rsidRDefault="003A1F61" w:rsidP="00242AA7">
      <w:pPr>
        <w:keepNext/>
        <w:spacing w:line="360" w:lineRule="auto"/>
        <w:jc w:val="both"/>
        <w:rPr>
          <w:rFonts w:ascii="Book Antiqua" w:hAnsi="Book Antiqua"/>
          <w:i/>
        </w:rPr>
      </w:pPr>
      <w:r w:rsidRPr="00DA0EF6">
        <w:rPr>
          <w:rFonts w:ascii="Book Antiqua" w:hAnsi="Book Antiqua"/>
          <w:b/>
          <w:i/>
        </w:rPr>
        <w:t>O</w:t>
      </w:r>
      <w:r w:rsidR="00DA0EF6" w:rsidRPr="00DA0EF6">
        <w:rPr>
          <w:rFonts w:ascii="Book Antiqua" w:hAnsi="Book Antiqua"/>
          <w:b/>
          <w:i/>
        </w:rPr>
        <w:t>ligorecurrent or metachronic metastases</w:t>
      </w:r>
    </w:p>
    <w:p w14:paraId="733ED76C" w14:textId="1A8BD2A5" w:rsidR="005059C2" w:rsidRPr="00242AA7" w:rsidRDefault="006A1B43" w:rsidP="00242AA7">
      <w:pPr>
        <w:spacing w:line="360" w:lineRule="auto"/>
        <w:jc w:val="both"/>
        <w:rPr>
          <w:rFonts w:ascii="Book Antiqua" w:hAnsi="Book Antiqua"/>
        </w:rPr>
      </w:pPr>
      <w:r w:rsidRPr="00242AA7">
        <w:rPr>
          <w:rFonts w:ascii="Book Antiqua" w:hAnsi="Book Antiqua"/>
        </w:rPr>
        <w:t xml:space="preserve">The current basis for the treatment of metastatic hormone-sensitive PCa is systemic therapy, starting with </w:t>
      </w:r>
      <w:proofErr w:type="gramStart"/>
      <w:r w:rsidRPr="00242AA7">
        <w:rPr>
          <w:rFonts w:ascii="Book Antiqua" w:hAnsi="Book Antiqua"/>
        </w:rPr>
        <w:t>ADT</w:t>
      </w:r>
      <w:r w:rsidR="00063C95" w:rsidRPr="00242AA7">
        <w:rPr>
          <w:rFonts w:ascii="Book Antiqua" w:hAnsi="Book Antiqua"/>
          <w:vertAlign w:val="superscript"/>
        </w:rPr>
        <w:t>[</w:t>
      </w:r>
      <w:proofErr w:type="gramEnd"/>
      <w:r w:rsidR="00063C95" w:rsidRPr="00242AA7">
        <w:rPr>
          <w:rFonts w:ascii="Book Antiqua" w:hAnsi="Book Antiqua"/>
          <w:vertAlign w:val="superscript"/>
        </w:rPr>
        <w:t>23]</w:t>
      </w:r>
      <w:r w:rsidRPr="00242AA7">
        <w:rPr>
          <w:rFonts w:ascii="Book Antiqua" w:hAnsi="Book Antiqua"/>
        </w:rPr>
        <w:t xml:space="preserve"> with or without docetaxel</w:t>
      </w:r>
      <w:r w:rsidR="00063C95" w:rsidRPr="00242AA7">
        <w:rPr>
          <w:rFonts w:ascii="Book Antiqua" w:hAnsi="Book Antiqua"/>
          <w:vertAlign w:val="superscript"/>
        </w:rPr>
        <w:t>[24]</w:t>
      </w:r>
      <w:r w:rsidRPr="00242AA7">
        <w:rPr>
          <w:rFonts w:ascii="Book Antiqua" w:hAnsi="Book Antiqua"/>
        </w:rPr>
        <w:t>, and more recently abiraterone acetate</w:t>
      </w:r>
      <w:r w:rsidR="00063C95" w:rsidRPr="00242AA7">
        <w:rPr>
          <w:rFonts w:ascii="Book Antiqua" w:hAnsi="Book Antiqua"/>
          <w:vertAlign w:val="superscript"/>
        </w:rPr>
        <w:t>[25]</w:t>
      </w:r>
      <w:r w:rsidRPr="00242AA7">
        <w:rPr>
          <w:rFonts w:ascii="Book Antiqua" w:hAnsi="Book Antiqua"/>
        </w:rPr>
        <w:t>.</w:t>
      </w:r>
      <w:r w:rsidR="005059C2" w:rsidRPr="00242AA7">
        <w:rPr>
          <w:rFonts w:ascii="Book Antiqua" w:hAnsi="Book Antiqua"/>
        </w:rPr>
        <w:t xml:space="preserve"> </w:t>
      </w:r>
      <w:r w:rsidRPr="00242AA7">
        <w:rPr>
          <w:rFonts w:ascii="Book Antiqua" w:hAnsi="Book Antiqua"/>
        </w:rPr>
        <w:t xml:space="preserve">There is some controversy as to whether these aggressive drug combinations should be used for oligorecurrences, given their greater side effects compared with ADT in </w:t>
      </w:r>
      <w:proofErr w:type="gramStart"/>
      <w:r w:rsidRPr="00242AA7">
        <w:rPr>
          <w:rFonts w:ascii="Book Antiqua" w:hAnsi="Book Antiqua"/>
        </w:rPr>
        <w:t>monotherapy</w:t>
      </w:r>
      <w:r w:rsidR="00063C95" w:rsidRPr="00242AA7">
        <w:rPr>
          <w:rFonts w:ascii="Book Antiqua" w:hAnsi="Book Antiqua"/>
          <w:vertAlign w:val="superscript"/>
        </w:rPr>
        <w:t>[</w:t>
      </w:r>
      <w:proofErr w:type="gramEnd"/>
      <w:r w:rsidR="00063C95" w:rsidRPr="00242AA7">
        <w:rPr>
          <w:rFonts w:ascii="Book Antiqua" w:hAnsi="Book Antiqua"/>
          <w:vertAlign w:val="superscript"/>
        </w:rPr>
        <w:t>13]</w:t>
      </w:r>
      <w:r w:rsidRPr="00242AA7">
        <w:rPr>
          <w:rFonts w:ascii="Book Antiqua" w:hAnsi="Book Antiqua"/>
        </w:rPr>
        <w:t>. Both initial observation with delayed ADT and immediate ADT are even considered as standard of care (SOC).</w:t>
      </w:r>
    </w:p>
    <w:p w14:paraId="4CDB3D19" w14:textId="4BDA9C3D" w:rsidR="00E21AC1" w:rsidRPr="00242AA7" w:rsidRDefault="003A1F61" w:rsidP="003A1F61">
      <w:pPr>
        <w:spacing w:line="360" w:lineRule="auto"/>
        <w:ind w:firstLineChars="100" w:firstLine="240"/>
        <w:jc w:val="both"/>
        <w:rPr>
          <w:rFonts w:ascii="Book Antiqua" w:hAnsi="Book Antiqua"/>
        </w:rPr>
      </w:pPr>
      <w:r w:rsidRPr="00242AA7">
        <w:rPr>
          <w:rFonts w:ascii="Book Antiqua" w:hAnsi="Book Antiqua"/>
        </w:rPr>
        <w:t>ADT</w:t>
      </w:r>
      <w:r w:rsidR="006A1B43" w:rsidRPr="00242AA7">
        <w:rPr>
          <w:rFonts w:ascii="Book Antiqua" w:hAnsi="Book Antiqua"/>
        </w:rPr>
        <w:t xml:space="preserve"> has important side effects, and it is being evaluated whether SBRT in this group of oligorecurrent patients may serve to delay the start of hormone therapy. Two prospective </w:t>
      </w:r>
      <w:proofErr w:type="gramStart"/>
      <w:r w:rsidR="006A1B43" w:rsidRPr="00242AA7">
        <w:rPr>
          <w:rFonts w:ascii="Book Antiqua" w:hAnsi="Book Antiqua"/>
        </w:rPr>
        <w:t>studies</w:t>
      </w:r>
      <w:r w:rsidR="00E90652" w:rsidRPr="00242AA7">
        <w:rPr>
          <w:rFonts w:ascii="Book Antiqua" w:hAnsi="Book Antiqua"/>
          <w:vertAlign w:val="superscript"/>
        </w:rPr>
        <w:t>[</w:t>
      </w:r>
      <w:proofErr w:type="gramEnd"/>
      <w:r w:rsidR="00E90652" w:rsidRPr="00242AA7">
        <w:rPr>
          <w:rFonts w:ascii="Book Antiqua" w:hAnsi="Book Antiqua"/>
          <w:vertAlign w:val="superscript"/>
        </w:rPr>
        <w:t>20,26]</w:t>
      </w:r>
      <w:r w:rsidR="006A1B43" w:rsidRPr="00242AA7">
        <w:rPr>
          <w:rFonts w:ascii="Book Antiqua" w:hAnsi="Book Antiqua"/>
        </w:rPr>
        <w:t xml:space="preserve"> have shown SBRT as MDT to be able to prolong ADT-free survival (ADT-FS). However, we do not know whether the prolongation of this period will have an impact on OS.</w:t>
      </w:r>
    </w:p>
    <w:p w14:paraId="11C3D375" w14:textId="77777777" w:rsidR="005059C2" w:rsidRPr="00242AA7" w:rsidRDefault="006A1B43" w:rsidP="003A1F61">
      <w:pPr>
        <w:spacing w:line="360" w:lineRule="auto"/>
        <w:ind w:firstLineChars="100" w:firstLine="240"/>
        <w:jc w:val="both"/>
        <w:rPr>
          <w:rFonts w:ascii="Book Antiqua" w:hAnsi="Book Antiqua"/>
        </w:rPr>
      </w:pPr>
      <w:r w:rsidRPr="00242AA7">
        <w:rPr>
          <w:rFonts w:ascii="Book Antiqua" w:hAnsi="Book Antiqua"/>
        </w:rPr>
        <w:t xml:space="preserve">It is somewhat contradictory that currently the addition of SBRT in oligometastatic PCa allows a delay in ADT while on the other hand research is </w:t>
      </w:r>
      <w:r w:rsidRPr="00242AA7">
        <w:rPr>
          <w:rFonts w:ascii="Book Antiqua" w:hAnsi="Book Antiqua"/>
        </w:rPr>
        <w:lastRenderedPageBreak/>
        <w:t>being made or advocated to intensify therapy with the addition of drugs such as docetaxel and abiraterone to ADT - with the resulting increase in side effects. We need to identify prognostic factors with a view to screening patients who will benefit from such aggressive therapy, and to identify those in whom MDT with SBRT can postpone the introduction of ADT until disease progression.</w:t>
      </w:r>
      <w:r w:rsidR="005059C2" w:rsidRPr="00242AA7">
        <w:rPr>
          <w:rFonts w:ascii="Book Antiqua" w:hAnsi="Book Antiqua"/>
        </w:rPr>
        <w:t xml:space="preserve"> </w:t>
      </w:r>
      <w:r w:rsidRPr="00242AA7">
        <w:rPr>
          <w:rFonts w:ascii="Book Antiqua" w:hAnsi="Book Antiqua"/>
        </w:rPr>
        <w:t>Studies comparing these two regimens and their impact upon OS are needed, since the quality of life repercussions are obvious.</w:t>
      </w:r>
    </w:p>
    <w:p w14:paraId="2093EE25" w14:textId="77777777" w:rsidR="005059C2" w:rsidRPr="00242AA7" w:rsidRDefault="00E21AC1" w:rsidP="003A1F61">
      <w:pPr>
        <w:spacing w:line="360" w:lineRule="auto"/>
        <w:ind w:firstLineChars="100" w:firstLine="240"/>
        <w:jc w:val="both"/>
        <w:rPr>
          <w:rFonts w:ascii="Book Antiqua" w:hAnsi="Book Antiqua"/>
        </w:rPr>
      </w:pPr>
      <w:r w:rsidRPr="00242AA7">
        <w:rPr>
          <w:rFonts w:ascii="Book Antiqua" w:hAnsi="Book Antiqua"/>
        </w:rPr>
        <w:t>The detractors of delaying the introduction of ADT in oligorecurrent disease point to the persistent difficulty of detecting metastases, and underscore that untreated metastatic disease remains despite the introduction of MDT.</w:t>
      </w:r>
    </w:p>
    <w:p w14:paraId="6623D595" w14:textId="77777777" w:rsidR="006A1B43" w:rsidRPr="00242AA7" w:rsidRDefault="006A1B43" w:rsidP="00242AA7">
      <w:pPr>
        <w:spacing w:line="360" w:lineRule="auto"/>
        <w:jc w:val="both"/>
        <w:rPr>
          <w:rFonts w:ascii="Book Antiqua" w:hAnsi="Book Antiqua"/>
        </w:rPr>
      </w:pPr>
    </w:p>
    <w:p w14:paraId="07C5B4A9" w14:textId="2E7BE121" w:rsidR="006D165D" w:rsidRPr="00DA0EF6" w:rsidRDefault="003A1F61" w:rsidP="00242AA7">
      <w:pPr>
        <w:keepNext/>
        <w:spacing w:line="360" w:lineRule="auto"/>
        <w:jc w:val="both"/>
        <w:rPr>
          <w:rFonts w:ascii="Book Antiqua" w:hAnsi="Book Antiqua"/>
          <w:i/>
        </w:rPr>
      </w:pPr>
      <w:r w:rsidRPr="00DA0EF6">
        <w:rPr>
          <w:rFonts w:ascii="Book Antiqua" w:hAnsi="Book Antiqua"/>
          <w:b/>
          <w:i/>
        </w:rPr>
        <w:t>O</w:t>
      </w:r>
      <w:r w:rsidR="00DA0EF6" w:rsidRPr="00DA0EF6">
        <w:rPr>
          <w:rFonts w:ascii="Book Antiqua" w:hAnsi="Book Antiqua"/>
          <w:b/>
          <w:i/>
        </w:rPr>
        <w:t>ligoprogression (oligoprogressive disease</w:t>
      </w:r>
      <w:r w:rsidR="00DA0EF6" w:rsidRPr="00DA0EF6">
        <w:rPr>
          <w:rFonts w:ascii="Book Antiqua" w:hAnsi="Book Antiqua"/>
          <w:i/>
        </w:rPr>
        <w:t>)</w:t>
      </w:r>
    </w:p>
    <w:p w14:paraId="46B070B7" w14:textId="77777777" w:rsidR="005059C2" w:rsidRPr="00242AA7" w:rsidRDefault="00535DA4" w:rsidP="00242AA7">
      <w:pPr>
        <w:spacing w:line="360" w:lineRule="auto"/>
        <w:jc w:val="both"/>
        <w:rPr>
          <w:rFonts w:ascii="Book Antiqua" w:hAnsi="Book Antiqua"/>
        </w:rPr>
      </w:pPr>
      <w:r w:rsidRPr="00242AA7">
        <w:rPr>
          <w:rFonts w:ascii="Book Antiqua" w:hAnsi="Book Antiqua"/>
        </w:rPr>
        <w:t>Oligoprogressive disease includes patients with oligometastatic progression following systemic therapy. Although the latter constitutes the basis of treatment for metastatic cancers, the effect is usually temporary, with the subsequent development of resistant clones and disease progression.</w:t>
      </w:r>
    </w:p>
    <w:p w14:paraId="79E0F498" w14:textId="2F6BA8DB" w:rsidR="005059C2" w:rsidRPr="00242AA7" w:rsidRDefault="00535DA4" w:rsidP="003A1F61">
      <w:pPr>
        <w:spacing w:line="360" w:lineRule="auto"/>
        <w:ind w:firstLineChars="100" w:firstLine="240"/>
        <w:jc w:val="both"/>
        <w:rPr>
          <w:rFonts w:ascii="Book Antiqua" w:hAnsi="Book Antiqua"/>
        </w:rPr>
      </w:pPr>
      <w:r w:rsidRPr="00242AA7">
        <w:rPr>
          <w:rFonts w:ascii="Book Antiqua" w:hAnsi="Book Antiqua"/>
        </w:rPr>
        <w:t>In the event of mCRPC, multiple systemic therapies improve survival. These include the chemotherapeutic agents docetaxel and cabazitaxel, androgen-targeting agents such as abiraterone and enzalutamide, a vaccine (sipuleucel</w:t>
      </w:r>
      <w:r w:rsidR="001D4F86" w:rsidRPr="00242AA7">
        <w:rPr>
          <w:rFonts w:ascii="Book Antiqua" w:hAnsi="Book Antiqua"/>
        </w:rPr>
        <w:noBreakHyphen/>
      </w:r>
      <w:r w:rsidRPr="00242AA7">
        <w:rPr>
          <w:rFonts w:ascii="Book Antiqua" w:hAnsi="Book Antiqua"/>
        </w:rPr>
        <w:t>T), and a radio</w:t>
      </w:r>
      <w:r w:rsidR="003C5A79" w:rsidRPr="00242AA7">
        <w:rPr>
          <w:rFonts w:ascii="Book Antiqua" w:hAnsi="Book Antiqua"/>
        </w:rPr>
        <w:t>-</w:t>
      </w:r>
      <w:r w:rsidRPr="00242AA7">
        <w:rPr>
          <w:rFonts w:ascii="Book Antiqua" w:hAnsi="Book Antiqua"/>
        </w:rPr>
        <w:t>drug (radium-</w:t>
      </w:r>
      <w:proofErr w:type="gramStart"/>
      <w:r w:rsidRPr="00242AA7">
        <w:rPr>
          <w:rFonts w:ascii="Book Antiqua" w:hAnsi="Book Antiqua"/>
        </w:rPr>
        <w:t>223)</w:t>
      </w:r>
      <w:r w:rsidR="00870DA9" w:rsidRPr="00242AA7">
        <w:rPr>
          <w:rFonts w:ascii="Book Antiqua" w:hAnsi="Book Antiqua"/>
          <w:vertAlign w:val="superscript"/>
        </w:rPr>
        <w:t>[</w:t>
      </w:r>
      <w:proofErr w:type="gramEnd"/>
      <w:r w:rsidR="00870DA9" w:rsidRPr="00242AA7">
        <w:rPr>
          <w:rFonts w:ascii="Book Antiqua" w:hAnsi="Book Antiqua"/>
          <w:vertAlign w:val="superscript"/>
        </w:rPr>
        <w:t>13]</w:t>
      </w:r>
      <w:r w:rsidRPr="00242AA7">
        <w:rPr>
          <w:rFonts w:ascii="Book Antiqua" w:hAnsi="Book Antiqua"/>
        </w:rPr>
        <w:t>. However, mCRPC remains an incurable disease associated with a life expectancy of 2</w:t>
      </w:r>
      <w:r w:rsidR="001D4F86" w:rsidRPr="00242AA7">
        <w:rPr>
          <w:rFonts w:ascii="Book Antiqua" w:hAnsi="Book Antiqua"/>
        </w:rPr>
        <w:noBreakHyphen/>
      </w:r>
      <w:r w:rsidRPr="00242AA7">
        <w:rPr>
          <w:rFonts w:ascii="Book Antiqua" w:hAnsi="Book Antiqua"/>
        </w:rPr>
        <w:t>3</w:t>
      </w:r>
      <w:r w:rsidR="001D4F86" w:rsidRPr="00242AA7">
        <w:rPr>
          <w:rFonts w:ascii="Book Antiqua" w:hAnsi="Book Antiqua"/>
        </w:rPr>
        <w:t> </w:t>
      </w:r>
      <w:r w:rsidRPr="00242AA7">
        <w:rPr>
          <w:rFonts w:ascii="Book Antiqua" w:hAnsi="Book Antiqua"/>
        </w:rPr>
        <w:t>years.</w:t>
      </w:r>
    </w:p>
    <w:p w14:paraId="46145C6F" w14:textId="3075CA9A" w:rsidR="005059C2" w:rsidRPr="00242AA7" w:rsidRDefault="00535DA4" w:rsidP="003A1F61">
      <w:pPr>
        <w:spacing w:line="360" w:lineRule="auto"/>
        <w:ind w:firstLineChars="100" w:firstLine="240"/>
        <w:jc w:val="both"/>
        <w:rPr>
          <w:rFonts w:ascii="Book Antiqua" w:hAnsi="Book Antiqua"/>
        </w:rPr>
      </w:pPr>
      <w:r w:rsidRPr="00242AA7">
        <w:rPr>
          <w:rFonts w:ascii="Book Antiqua" w:hAnsi="Book Antiqua"/>
        </w:rPr>
        <w:t>In the event of oligoprogression, SBRT associated to systemic treatment has been shown to delay the start of a second hormonal line. Since each of these agents affords a mean increase in OS of 3-5 mo, it has been postulated that combining SBRT in the event of oligoprogression may prolong patient survival.</w:t>
      </w:r>
    </w:p>
    <w:p w14:paraId="162AF9D9" w14:textId="77777777" w:rsidR="00D95879" w:rsidRPr="00242AA7" w:rsidRDefault="00D95879" w:rsidP="00242AA7">
      <w:pPr>
        <w:spacing w:line="360" w:lineRule="auto"/>
        <w:jc w:val="both"/>
        <w:rPr>
          <w:rFonts w:ascii="Book Antiqua" w:hAnsi="Book Antiqua"/>
        </w:rPr>
      </w:pPr>
    </w:p>
    <w:p w14:paraId="1BC20BD6" w14:textId="77777777" w:rsidR="00712FBD" w:rsidRPr="00242AA7" w:rsidRDefault="00712FBD" w:rsidP="00242AA7">
      <w:pPr>
        <w:spacing w:line="360" w:lineRule="auto"/>
        <w:jc w:val="both"/>
        <w:rPr>
          <w:rFonts w:ascii="Book Antiqua" w:eastAsia="SimSun" w:hAnsi="Book Antiqua"/>
          <w:b/>
          <w:lang w:eastAsia="zh-CN"/>
        </w:rPr>
      </w:pPr>
      <w:r w:rsidRPr="00242AA7">
        <w:rPr>
          <w:rFonts w:ascii="Book Antiqua" w:hAnsi="Book Antiqua"/>
          <w:b/>
        </w:rPr>
        <w:t xml:space="preserve">MDT </w:t>
      </w:r>
    </w:p>
    <w:p w14:paraId="234B4A12" w14:textId="7E4CD7B2" w:rsidR="005059C2" w:rsidRPr="00242AA7" w:rsidRDefault="0062440D" w:rsidP="00242AA7">
      <w:pPr>
        <w:spacing w:line="360" w:lineRule="auto"/>
        <w:jc w:val="both"/>
        <w:rPr>
          <w:rFonts w:ascii="Book Antiqua" w:hAnsi="Book Antiqua"/>
        </w:rPr>
      </w:pPr>
      <w:r w:rsidRPr="00242AA7">
        <w:rPr>
          <w:rFonts w:ascii="Book Antiqua" w:hAnsi="Book Antiqua"/>
        </w:rPr>
        <w:t xml:space="preserve">According to the hypothesis of Hellman and </w:t>
      </w:r>
      <w:proofErr w:type="gramStart"/>
      <w:r w:rsidRPr="00242AA7">
        <w:rPr>
          <w:rFonts w:ascii="Book Antiqua" w:hAnsi="Book Antiqua"/>
        </w:rPr>
        <w:t>Weichselbaum</w:t>
      </w:r>
      <w:r w:rsidR="00870DA9" w:rsidRPr="00242AA7">
        <w:rPr>
          <w:rFonts w:ascii="Book Antiqua" w:hAnsi="Book Antiqua"/>
          <w:vertAlign w:val="superscript"/>
        </w:rPr>
        <w:t>[</w:t>
      </w:r>
      <w:proofErr w:type="gramEnd"/>
      <w:r w:rsidR="00870DA9" w:rsidRPr="00242AA7">
        <w:rPr>
          <w:rFonts w:ascii="Book Antiqua" w:hAnsi="Book Antiqua"/>
          <w:vertAlign w:val="superscript"/>
        </w:rPr>
        <w:t>1]</w:t>
      </w:r>
      <w:r w:rsidRPr="00242AA7">
        <w:rPr>
          <w:rFonts w:ascii="Book Antiqua" w:hAnsi="Book Antiqua"/>
        </w:rPr>
        <w:t>, the application of ablation treatments to all tumor sites in oligorecurrent patients could cure oligometastatic disease.</w:t>
      </w:r>
      <w:r w:rsidR="005059C2" w:rsidRPr="00242AA7">
        <w:rPr>
          <w:rFonts w:ascii="Book Antiqua" w:hAnsi="Book Antiqua"/>
        </w:rPr>
        <w:t xml:space="preserve"> </w:t>
      </w:r>
      <w:r w:rsidRPr="00242AA7">
        <w:rPr>
          <w:rFonts w:ascii="Book Antiqua" w:hAnsi="Book Antiqua"/>
        </w:rPr>
        <w:t xml:space="preserve">Based on cohort studies, the resection or ablation of </w:t>
      </w:r>
      <w:r w:rsidRPr="00242AA7">
        <w:rPr>
          <w:rFonts w:ascii="Book Antiqua" w:hAnsi="Book Antiqua"/>
        </w:rPr>
        <w:lastRenderedPageBreak/>
        <w:t xml:space="preserve">oligometastatic disease has become standard therapy for other tumors such as colorectal cancer and renal cell </w:t>
      </w:r>
      <w:proofErr w:type="gramStart"/>
      <w:r w:rsidRPr="00242AA7">
        <w:rPr>
          <w:rFonts w:ascii="Book Antiqua" w:hAnsi="Book Antiqua"/>
        </w:rPr>
        <w:t>carcinoma</w:t>
      </w:r>
      <w:r w:rsidR="00870DA9" w:rsidRPr="00242AA7">
        <w:rPr>
          <w:rFonts w:ascii="Book Antiqua" w:hAnsi="Book Antiqua"/>
          <w:vertAlign w:val="superscript"/>
        </w:rPr>
        <w:t>[</w:t>
      </w:r>
      <w:proofErr w:type="gramEnd"/>
      <w:r w:rsidR="00870DA9" w:rsidRPr="00242AA7">
        <w:rPr>
          <w:rFonts w:ascii="Book Antiqua" w:hAnsi="Book Antiqua"/>
          <w:vertAlign w:val="superscript"/>
        </w:rPr>
        <w:t>27]</w:t>
      </w:r>
      <w:r w:rsidRPr="00242AA7">
        <w:rPr>
          <w:rFonts w:ascii="Book Antiqua" w:hAnsi="Book Antiqua"/>
        </w:rPr>
        <w:t>.</w:t>
      </w:r>
    </w:p>
    <w:p w14:paraId="1A6569CF" w14:textId="2A438091" w:rsidR="005059C2" w:rsidRPr="00242AA7" w:rsidRDefault="00CD27E3" w:rsidP="003A1F61">
      <w:pPr>
        <w:spacing w:line="360" w:lineRule="auto"/>
        <w:ind w:firstLineChars="100" w:firstLine="240"/>
        <w:jc w:val="both"/>
        <w:rPr>
          <w:rFonts w:ascii="Book Antiqua" w:hAnsi="Book Antiqua"/>
        </w:rPr>
      </w:pPr>
      <w:r w:rsidRPr="00242AA7">
        <w:rPr>
          <w:rFonts w:ascii="Book Antiqua" w:hAnsi="Book Antiqua"/>
        </w:rPr>
        <w:t>Prostate cancer mainly spreads to bone and lymph nodes, with few visceral metastases.</w:t>
      </w:r>
      <w:r w:rsidR="005059C2" w:rsidRPr="00242AA7">
        <w:rPr>
          <w:rFonts w:ascii="Book Antiqua" w:hAnsi="Book Antiqua"/>
        </w:rPr>
        <w:t xml:space="preserve"> </w:t>
      </w:r>
      <w:r w:rsidRPr="00242AA7">
        <w:rPr>
          <w:rFonts w:ascii="Book Antiqua" w:hAnsi="Book Antiqua"/>
        </w:rPr>
        <w:t xml:space="preserve">The ablative treatment options for these locations are fundamentally surgery, cEBRT and SBRT. Most studies involve a combination of these treatment modalities. As a result, and in order to establish the contribution of local treatment considered globally, these therapies have been grouped under an emergent concept called </w:t>
      </w:r>
      <w:r w:rsidR="00712FBD" w:rsidRPr="00242AA7">
        <w:rPr>
          <w:rFonts w:ascii="Book Antiqua" w:hAnsi="Book Antiqua"/>
        </w:rPr>
        <w:t>MDT</w:t>
      </w:r>
      <w:r w:rsidRPr="00242AA7">
        <w:rPr>
          <w:rFonts w:ascii="Book Antiqua" w:hAnsi="Book Antiqua"/>
        </w:rPr>
        <w:t>.</w:t>
      </w:r>
    </w:p>
    <w:p w14:paraId="3F98F8CD" w14:textId="77777777" w:rsidR="000D18DD" w:rsidRPr="00242AA7" w:rsidRDefault="000D18DD" w:rsidP="00242AA7">
      <w:pPr>
        <w:spacing w:line="360" w:lineRule="auto"/>
        <w:jc w:val="both"/>
        <w:rPr>
          <w:rFonts w:ascii="Book Antiqua" w:hAnsi="Book Antiqua"/>
        </w:rPr>
      </w:pPr>
    </w:p>
    <w:p w14:paraId="6A8D98B4" w14:textId="67B8C39A" w:rsidR="000D18DD" w:rsidRPr="00DA0EF6" w:rsidRDefault="003A1F61" w:rsidP="00242AA7">
      <w:pPr>
        <w:keepNext/>
        <w:spacing w:line="360" w:lineRule="auto"/>
        <w:jc w:val="both"/>
        <w:rPr>
          <w:rFonts w:ascii="Book Antiqua" w:hAnsi="Book Antiqua"/>
          <w:b/>
          <w:i/>
        </w:rPr>
      </w:pPr>
      <w:r w:rsidRPr="00DA0EF6">
        <w:rPr>
          <w:rFonts w:ascii="Book Antiqua" w:hAnsi="Book Antiqua"/>
          <w:b/>
          <w:i/>
        </w:rPr>
        <w:t xml:space="preserve">SBRT </w:t>
      </w:r>
      <w:r w:rsidR="00DA0EF6" w:rsidRPr="00DA0EF6">
        <w:rPr>
          <w:rFonts w:ascii="Book Antiqua" w:hAnsi="Book Antiqua"/>
          <w:b/>
          <w:i/>
        </w:rPr>
        <w:t>as</w:t>
      </w:r>
      <w:r w:rsidRPr="00DA0EF6">
        <w:rPr>
          <w:rFonts w:ascii="Book Antiqua" w:hAnsi="Book Antiqua"/>
          <w:b/>
          <w:i/>
        </w:rPr>
        <w:t xml:space="preserve"> MDT</w:t>
      </w:r>
    </w:p>
    <w:p w14:paraId="55280F20" w14:textId="444E5CE2" w:rsidR="00065CCF" w:rsidRPr="00242AA7" w:rsidRDefault="00712FBD" w:rsidP="00242AA7">
      <w:pPr>
        <w:spacing w:line="360" w:lineRule="auto"/>
        <w:jc w:val="both"/>
        <w:rPr>
          <w:rFonts w:ascii="Book Antiqua" w:hAnsi="Book Antiqua"/>
        </w:rPr>
      </w:pPr>
      <w:r w:rsidRPr="00242AA7">
        <w:rPr>
          <w:rFonts w:ascii="Book Antiqua" w:hAnsi="Book Antiqua"/>
        </w:rPr>
        <w:t>SBRT</w:t>
      </w:r>
      <w:r w:rsidR="000D18DD" w:rsidRPr="00242AA7">
        <w:rPr>
          <w:rFonts w:ascii="Book Antiqua" w:hAnsi="Book Antiqua"/>
        </w:rPr>
        <w:t xml:space="preserve"> or </w:t>
      </w:r>
      <w:r w:rsidR="005F741D" w:rsidRPr="00242AA7">
        <w:rPr>
          <w:rFonts w:ascii="Book Antiqua" w:hAnsi="Book Antiqua"/>
        </w:rPr>
        <w:t xml:space="preserve">stereotactic ablative radiotherapy </w:t>
      </w:r>
      <w:r w:rsidR="000D18DD" w:rsidRPr="00242AA7">
        <w:rPr>
          <w:rFonts w:ascii="Book Antiqua" w:hAnsi="Book Antiqua"/>
        </w:rPr>
        <w:t>(</w:t>
      </w:r>
      <w:r w:rsidR="005F741D" w:rsidRPr="00242AA7">
        <w:rPr>
          <w:rFonts w:ascii="Book Antiqua" w:hAnsi="Book Antiqua"/>
        </w:rPr>
        <w:t>SABR</w:t>
      </w:r>
      <w:r w:rsidR="000D18DD" w:rsidRPr="00242AA7">
        <w:rPr>
          <w:rFonts w:ascii="Book Antiqua" w:hAnsi="Book Antiqua"/>
        </w:rPr>
        <w:t xml:space="preserve">) is an external radiotherapy technique that delivers ablative doses </w:t>
      </w:r>
      <w:r w:rsidR="003A1F61">
        <w:rPr>
          <w:rFonts w:ascii="Book Antiqua" w:eastAsia="SimSun" w:hAnsi="Book Antiqua" w:hint="eastAsia"/>
          <w:lang w:eastAsia="zh-CN"/>
        </w:rPr>
        <w:t>[</w:t>
      </w:r>
      <w:r w:rsidR="000D18DD" w:rsidRPr="00242AA7">
        <w:rPr>
          <w:rFonts w:ascii="Book Antiqua" w:hAnsi="Book Antiqua"/>
        </w:rPr>
        <w:t xml:space="preserve">biologically effective dose </w:t>
      </w:r>
      <w:r w:rsidR="003A1F61">
        <w:rPr>
          <w:rFonts w:ascii="Book Antiqua" w:eastAsia="SimSun" w:hAnsi="Book Antiqua" w:hint="eastAsia"/>
          <w:lang w:eastAsia="zh-CN"/>
        </w:rPr>
        <w:t>(</w:t>
      </w:r>
      <w:r w:rsidR="000D18DD" w:rsidRPr="00242AA7">
        <w:rPr>
          <w:rFonts w:ascii="Book Antiqua" w:hAnsi="Book Antiqua"/>
        </w:rPr>
        <w:t>BED</w:t>
      </w:r>
      <w:r w:rsidR="003A1F61">
        <w:rPr>
          <w:rFonts w:ascii="Book Antiqua" w:eastAsia="SimSun" w:hAnsi="Book Antiqua" w:hint="eastAsia"/>
          <w:lang w:eastAsia="zh-CN"/>
        </w:rPr>
        <w:t>)</w:t>
      </w:r>
      <w:r w:rsidR="000D18DD" w:rsidRPr="00242AA7">
        <w:rPr>
          <w:rFonts w:ascii="Book Antiqua" w:hAnsi="Book Antiqua"/>
        </w:rPr>
        <w:t xml:space="preserve"> &gt; 100</w:t>
      </w:r>
      <w:r w:rsidR="001D4F86" w:rsidRPr="00242AA7">
        <w:rPr>
          <w:rFonts w:ascii="Book Antiqua" w:hAnsi="Book Antiqua"/>
        </w:rPr>
        <w:t> Gy</w:t>
      </w:r>
      <w:r w:rsidR="003A1F61">
        <w:rPr>
          <w:rFonts w:ascii="Book Antiqua" w:eastAsia="SimSun" w:hAnsi="Book Antiqua" w:hint="eastAsia"/>
          <w:lang w:eastAsia="zh-CN"/>
        </w:rPr>
        <w:t>]</w:t>
      </w:r>
      <w:r w:rsidR="000D18DD" w:rsidRPr="00242AA7">
        <w:rPr>
          <w:rFonts w:ascii="Book Antiqua" w:hAnsi="Book Antiqua"/>
        </w:rPr>
        <w:t xml:space="preserve"> in a few fractions (1-8 fractions). A high dose is administered with each fraction, and there is a large dose gradient between the tumor and the healthy tissues. This is a high precision technique that requires guided imaging systems and strict immobilization in accordance with the treated site. The terms SBRT and SABR are firmly rooted in clinical nomenclature and are difficult to replace. They prove confusing, however, since they do not truly reflect the technique performed, which actually should be referred to as extreme imaging guided hypofractionation. The technique is performed on an outpatient basis and involves only a few sessions, with no acute toxicity. It is also convenient for the patient and has no impact upon quality of life.</w:t>
      </w:r>
    </w:p>
    <w:p w14:paraId="1FA9836E" w14:textId="77777777" w:rsidR="009C2716" w:rsidRPr="00242AA7" w:rsidRDefault="009C2716" w:rsidP="00242AA7">
      <w:pPr>
        <w:keepNext/>
        <w:spacing w:line="360" w:lineRule="auto"/>
        <w:jc w:val="both"/>
        <w:rPr>
          <w:rFonts w:ascii="Book Antiqua" w:hAnsi="Book Antiqua"/>
        </w:rPr>
      </w:pPr>
    </w:p>
    <w:p w14:paraId="30E26F84" w14:textId="6C540ED2" w:rsidR="00731519" w:rsidRPr="00DA0EF6" w:rsidRDefault="003A1F61" w:rsidP="00242AA7">
      <w:pPr>
        <w:keepNext/>
        <w:spacing w:line="360" w:lineRule="auto"/>
        <w:jc w:val="both"/>
        <w:rPr>
          <w:rFonts w:ascii="Book Antiqua" w:hAnsi="Book Antiqua"/>
          <w:b/>
          <w:i/>
        </w:rPr>
      </w:pPr>
      <w:r w:rsidRPr="00DA0EF6">
        <w:rPr>
          <w:rFonts w:ascii="Book Antiqua" w:hAnsi="Book Antiqua"/>
          <w:b/>
          <w:i/>
        </w:rPr>
        <w:t>R</w:t>
      </w:r>
      <w:r w:rsidR="00DA0EF6" w:rsidRPr="00DA0EF6">
        <w:rPr>
          <w:rFonts w:ascii="Book Antiqua" w:hAnsi="Book Antiqua"/>
          <w:b/>
          <w:i/>
        </w:rPr>
        <w:t>adiotherapy technique and SBRT schemes as MDT in oligometastatic</w:t>
      </w:r>
      <w:r w:rsidR="007176D9" w:rsidRPr="00DA0EF6">
        <w:rPr>
          <w:rFonts w:ascii="Book Antiqua" w:hAnsi="Book Antiqua"/>
          <w:b/>
          <w:i/>
        </w:rPr>
        <w:t xml:space="preserve"> </w:t>
      </w:r>
      <w:r w:rsidR="00712FBD" w:rsidRPr="00DA0EF6">
        <w:rPr>
          <w:rFonts w:ascii="Book Antiqua" w:hAnsi="Book Antiqua"/>
          <w:b/>
          <w:i/>
        </w:rPr>
        <w:t>PCa</w:t>
      </w:r>
    </w:p>
    <w:p w14:paraId="0AFCA345" w14:textId="7C011E2E" w:rsidR="009C2716" w:rsidRPr="00242AA7" w:rsidRDefault="00B843BC" w:rsidP="00242AA7">
      <w:pPr>
        <w:autoSpaceDE w:val="0"/>
        <w:autoSpaceDN w:val="0"/>
        <w:adjustRightInd w:val="0"/>
        <w:spacing w:line="360" w:lineRule="auto"/>
        <w:contextualSpacing/>
        <w:jc w:val="both"/>
        <w:rPr>
          <w:rFonts w:ascii="Book Antiqua" w:hAnsi="Book Antiqua"/>
        </w:rPr>
      </w:pPr>
      <w:r w:rsidRPr="003A1F61">
        <w:rPr>
          <w:rFonts w:ascii="Book Antiqua" w:hAnsi="Book Antiqua"/>
        </w:rPr>
        <w:t xml:space="preserve">There is no consensus on the definition of SBRT volumes in application to bone oligometastases. </w:t>
      </w:r>
      <w:r w:rsidRPr="00242AA7">
        <w:rPr>
          <w:rFonts w:ascii="Book Antiqua" w:hAnsi="Book Antiqua"/>
        </w:rPr>
        <w:t xml:space="preserve">The largest series published to </w:t>
      </w:r>
      <w:proofErr w:type="gramStart"/>
      <w:r w:rsidRPr="00242AA7">
        <w:rPr>
          <w:rFonts w:ascii="Book Antiqua" w:hAnsi="Book Antiqua"/>
        </w:rPr>
        <w:t>date</w:t>
      </w:r>
      <w:r w:rsidR="00870DA9" w:rsidRPr="00242AA7">
        <w:rPr>
          <w:rFonts w:ascii="Book Antiqua" w:hAnsi="Book Antiqua"/>
          <w:vertAlign w:val="superscript"/>
        </w:rPr>
        <w:t>[</w:t>
      </w:r>
      <w:proofErr w:type="gramEnd"/>
      <w:r w:rsidR="00870DA9" w:rsidRPr="00242AA7">
        <w:rPr>
          <w:rFonts w:ascii="Book Antiqua" w:hAnsi="Book Antiqua"/>
          <w:vertAlign w:val="superscript"/>
        </w:rPr>
        <w:t>28]</w:t>
      </w:r>
      <w:r w:rsidRPr="00242AA7">
        <w:rPr>
          <w:rFonts w:ascii="Book Antiqua" w:hAnsi="Book Antiqua"/>
        </w:rPr>
        <w:t xml:space="preserve"> included 106 metastases in 81 patients, of which 32% had PCa. The gross tumor volume was defined as the lesion evidenced on CT and/or MRI images. They added a clinical target volume of 5</w:t>
      </w:r>
      <w:r w:rsidR="001D4F86" w:rsidRPr="00242AA7">
        <w:rPr>
          <w:rFonts w:ascii="Book Antiqua" w:hAnsi="Book Antiqua"/>
        </w:rPr>
        <w:t> mm</w:t>
      </w:r>
      <w:r w:rsidRPr="00242AA7">
        <w:rPr>
          <w:rFonts w:ascii="Book Antiqua" w:hAnsi="Book Antiqua"/>
        </w:rPr>
        <w:t xml:space="preserve"> over the surrounding tissue and generated the planning target volume (PTV) with an expansion of 2-5</w:t>
      </w:r>
      <w:r w:rsidR="001D4F86" w:rsidRPr="00242AA7">
        <w:rPr>
          <w:rFonts w:ascii="Book Antiqua" w:hAnsi="Book Antiqua"/>
        </w:rPr>
        <w:t> mm</w:t>
      </w:r>
      <w:r w:rsidRPr="00242AA7">
        <w:rPr>
          <w:rFonts w:ascii="Book Antiqua" w:hAnsi="Book Antiqua"/>
        </w:rPr>
        <w:t>.</w:t>
      </w:r>
    </w:p>
    <w:p w14:paraId="3CDCDA89" w14:textId="0A3C7BF5" w:rsidR="009C2716" w:rsidRPr="00242AA7" w:rsidRDefault="00B23ACE" w:rsidP="003A1F61">
      <w:pPr>
        <w:autoSpaceDE w:val="0"/>
        <w:autoSpaceDN w:val="0"/>
        <w:adjustRightInd w:val="0"/>
        <w:spacing w:line="360" w:lineRule="auto"/>
        <w:ind w:firstLineChars="100" w:firstLine="240"/>
        <w:contextualSpacing/>
        <w:jc w:val="both"/>
        <w:rPr>
          <w:rFonts w:ascii="Book Antiqua" w:hAnsi="Book Antiqua"/>
        </w:rPr>
      </w:pPr>
      <w:r w:rsidRPr="00242AA7">
        <w:rPr>
          <w:rFonts w:ascii="Book Antiqua" w:hAnsi="Book Antiqua"/>
        </w:rPr>
        <w:lastRenderedPageBreak/>
        <w:t>Table 1 shows the schemes used in the main series published to date. The schemes are heterogeneous, with a predominance of those using one or three fractions, with a dosing range of 20</w:t>
      </w:r>
      <w:r w:rsidR="001D4F86" w:rsidRPr="00242AA7">
        <w:rPr>
          <w:rFonts w:ascii="Book Antiqua" w:hAnsi="Book Antiqua"/>
        </w:rPr>
        <w:t> Gy</w:t>
      </w:r>
      <w:r w:rsidRPr="00242AA7">
        <w:rPr>
          <w:rFonts w:ascii="Book Antiqua" w:hAnsi="Book Antiqua"/>
        </w:rPr>
        <w:t>/1</w:t>
      </w:r>
      <w:r w:rsidR="002157E9" w:rsidRPr="00242AA7">
        <w:rPr>
          <w:rFonts w:ascii="Book Antiqua" w:hAnsi="Book Antiqua"/>
        </w:rPr>
        <w:t xml:space="preserve"> </w:t>
      </w:r>
      <w:r w:rsidRPr="00242AA7">
        <w:rPr>
          <w:rFonts w:ascii="Book Antiqua" w:hAnsi="Book Antiqua"/>
        </w:rPr>
        <w:t>fr</w:t>
      </w:r>
      <w:r w:rsidR="001C4FFE" w:rsidRPr="00242AA7">
        <w:rPr>
          <w:rFonts w:ascii="Book Antiqua" w:hAnsi="Book Antiqua"/>
        </w:rPr>
        <w:t>action</w:t>
      </w:r>
      <w:r w:rsidRPr="00242AA7">
        <w:rPr>
          <w:rFonts w:ascii="Book Antiqua" w:hAnsi="Book Antiqua"/>
        </w:rPr>
        <w:t xml:space="preserve"> to 50</w:t>
      </w:r>
      <w:r w:rsidR="00757EFC" w:rsidRPr="00242AA7">
        <w:rPr>
          <w:rFonts w:ascii="Book Antiqua" w:hAnsi="Book Antiqua"/>
        </w:rPr>
        <w:t xml:space="preserve"> </w:t>
      </w:r>
      <w:r w:rsidRPr="00242AA7">
        <w:rPr>
          <w:rFonts w:ascii="Book Antiqua" w:hAnsi="Book Antiqua"/>
        </w:rPr>
        <w:t>Gy/5</w:t>
      </w:r>
      <w:r w:rsidR="002157E9" w:rsidRPr="00242AA7">
        <w:rPr>
          <w:rFonts w:ascii="Book Antiqua" w:hAnsi="Book Antiqua"/>
        </w:rPr>
        <w:t xml:space="preserve"> </w:t>
      </w:r>
      <w:r w:rsidRPr="00242AA7">
        <w:rPr>
          <w:rFonts w:ascii="Book Antiqua" w:hAnsi="Book Antiqua"/>
        </w:rPr>
        <w:t>fr</w:t>
      </w:r>
      <w:r w:rsidR="001C4FFE" w:rsidRPr="00242AA7">
        <w:rPr>
          <w:rFonts w:ascii="Book Antiqua" w:hAnsi="Book Antiqua"/>
        </w:rPr>
        <w:t>actions</w:t>
      </w:r>
      <w:r w:rsidRPr="00242AA7">
        <w:rPr>
          <w:rFonts w:ascii="Book Antiqua" w:hAnsi="Book Antiqua"/>
        </w:rPr>
        <w:t xml:space="preserve">. </w:t>
      </w:r>
      <w:r w:rsidR="003A1F61">
        <w:rPr>
          <w:rFonts w:ascii="Book Antiqua" w:hAnsi="Book Antiqua"/>
        </w:rPr>
        <w:t xml:space="preserve">Ost </w:t>
      </w:r>
      <w:r w:rsidR="003A1F61" w:rsidRPr="003A1F61">
        <w:rPr>
          <w:rFonts w:ascii="Book Antiqua" w:hAnsi="Book Antiqua"/>
          <w:i/>
        </w:rPr>
        <w:t xml:space="preserve">et </w:t>
      </w:r>
      <w:proofErr w:type="gramStart"/>
      <w:r w:rsidR="003A1F61" w:rsidRPr="003A1F61">
        <w:rPr>
          <w:rFonts w:ascii="Book Antiqua" w:hAnsi="Book Antiqua"/>
          <w:i/>
        </w:rPr>
        <w:t>al</w:t>
      </w:r>
      <w:r w:rsidR="000F5D59" w:rsidRPr="00242AA7">
        <w:rPr>
          <w:rFonts w:ascii="Book Antiqua" w:hAnsi="Book Antiqua"/>
          <w:vertAlign w:val="superscript"/>
        </w:rPr>
        <w:t>[</w:t>
      </w:r>
      <w:proofErr w:type="gramEnd"/>
      <w:r w:rsidR="000F5D59" w:rsidRPr="00242AA7">
        <w:rPr>
          <w:rFonts w:ascii="Book Antiqua" w:hAnsi="Book Antiqua"/>
          <w:vertAlign w:val="superscript"/>
        </w:rPr>
        <w:t>29]</w:t>
      </w:r>
      <w:r w:rsidRPr="00242AA7">
        <w:rPr>
          <w:rFonts w:ascii="Book Antiqua" w:hAnsi="Book Antiqua"/>
        </w:rPr>
        <w:t xml:space="preserve"> reported significantly higher local control rates with BED &gt;</w:t>
      </w:r>
      <w:r w:rsidR="001D4F86" w:rsidRPr="00242AA7">
        <w:rPr>
          <w:rFonts w:ascii="Book Antiqua" w:hAnsi="Book Antiqua"/>
        </w:rPr>
        <w:t> </w:t>
      </w:r>
      <w:r w:rsidRPr="00242AA7">
        <w:rPr>
          <w:rFonts w:ascii="Book Antiqua" w:hAnsi="Book Antiqua"/>
        </w:rPr>
        <w:t>100</w:t>
      </w:r>
      <w:r w:rsidR="001D4F86" w:rsidRPr="00242AA7">
        <w:rPr>
          <w:rFonts w:ascii="Book Antiqua" w:hAnsi="Book Antiqua"/>
        </w:rPr>
        <w:t> Gy</w:t>
      </w:r>
      <w:r w:rsidRPr="00242AA7">
        <w:rPr>
          <w:rFonts w:ascii="Book Antiqua" w:hAnsi="Book Antiqua"/>
        </w:rPr>
        <w:t>.</w:t>
      </w:r>
      <w:r w:rsidR="003A1F61">
        <w:rPr>
          <w:rFonts w:ascii="Book Antiqua" w:hAnsi="Book Antiqua"/>
        </w:rPr>
        <w:t xml:space="preserve"> Muldermans </w:t>
      </w:r>
      <w:r w:rsidR="003A1F61" w:rsidRPr="003A1F61">
        <w:rPr>
          <w:rFonts w:ascii="Book Antiqua" w:hAnsi="Book Antiqua"/>
          <w:i/>
        </w:rPr>
        <w:t xml:space="preserve">et </w:t>
      </w:r>
      <w:proofErr w:type="gramStart"/>
      <w:r w:rsidR="003A1F61" w:rsidRPr="003A1F61">
        <w:rPr>
          <w:rFonts w:ascii="Book Antiqua" w:hAnsi="Book Antiqua"/>
          <w:i/>
        </w:rPr>
        <w:t>al</w:t>
      </w:r>
      <w:r w:rsidR="000F5D59" w:rsidRPr="00242AA7">
        <w:rPr>
          <w:rFonts w:ascii="Book Antiqua" w:hAnsi="Book Antiqua"/>
          <w:vertAlign w:val="superscript"/>
        </w:rPr>
        <w:t>[</w:t>
      </w:r>
      <w:proofErr w:type="gramEnd"/>
      <w:r w:rsidR="000F5D59" w:rsidRPr="00242AA7">
        <w:rPr>
          <w:rFonts w:ascii="Book Antiqua" w:hAnsi="Book Antiqua"/>
          <w:vertAlign w:val="superscript"/>
        </w:rPr>
        <w:t>30]</w:t>
      </w:r>
      <w:r w:rsidRPr="00242AA7">
        <w:rPr>
          <w:rFonts w:ascii="Book Antiqua" w:hAnsi="Book Antiqua"/>
        </w:rPr>
        <w:t>, in their multivariate analysis, found only the SBRT dose to be significantly correlated to local control (LC). Lesions treated with 16</w:t>
      </w:r>
      <w:r w:rsidR="001D4F86" w:rsidRPr="00242AA7">
        <w:rPr>
          <w:rFonts w:ascii="Book Antiqua" w:hAnsi="Book Antiqua"/>
        </w:rPr>
        <w:t> Gy</w:t>
      </w:r>
      <w:r w:rsidRPr="00242AA7">
        <w:rPr>
          <w:rFonts w:ascii="Book Antiqua" w:hAnsi="Book Antiqua"/>
        </w:rPr>
        <w:t xml:space="preserve"> had a LC rate of 58%, while those receiving ≥</w:t>
      </w:r>
      <w:r w:rsidR="001D4F86" w:rsidRPr="00242AA7">
        <w:rPr>
          <w:rFonts w:ascii="Book Antiqua" w:hAnsi="Book Antiqua"/>
        </w:rPr>
        <w:t> </w:t>
      </w:r>
      <w:r w:rsidRPr="00242AA7">
        <w:rPr>
          <w:rFonts w:ascii="Book Antiqua" w:hAnsi="Book Antiqua"/>
        </w:rPr>
        <w:t>18</w:t>
      </w:r>
      <w:r w:rsidR="001D4F86" w:rsidRPr="00242AA7">
        <w:rPr>
          <w:rFonts w:ascii="Book Antiqua" w:hAnsi="Book Antiqua"/>
        </w:rPr>
        <w:t> Gy</w:t>
      </w:r>
      <w:r w:rsidRPr="00242AA7">
        <w:rPr>
          <w:rFonts w:ascii="Book Antiqua" w:hAnsi="Book Antiqua"/>
        </w:rPr>
        <w:t xml:space="preserve"> had LC rate of 95% at two years (</w:t>
      </w:r>
      <w:r w:rsidR="003A1F61" w:rsidRPr="003A1F61">
        <w:rPr>
          <w:rFonts w:ascii="Book Antiqua" w:hAnsi="Book Antiqua"/>
          <w:i/>
        </w:rPr>
        <w:t>P</w:t>
      </w:r>
      <w:r w:rsidR="003A1F61">
        <w:rPr>
          <w:rFonts w:ascii="Book Antiqua" w:eastAsia="SimSun" w:hAnsi="Book Antiqua" w:hint="eastAsia"/>
          <w:lang w:eastAsia="zh-CN"/>
        </w:rPr>
        <w:t xml:space="preserve"> </w:t>
      </w:r>
      <w:r w:rsidRPr="00242AA7">
        <w:rPr>
          <w:rFonts w:ascii="Book Antiqua" w:hAnsi="Book Antiqua"/>
        </w:rPr>
        <w:t>&lt;</w:t>
      </w:r>
      <w:r w:rsidR="003A1F61">
        <w:rPr>
          <w:rFonts w:ascii="Book Antiqua" w:eastAsia="SimSun" w:hAnsi="Book Antiqua" w:hint="eastAsia"/>
          <w:lang w:eastAsia="zh-CN"/>
        </w:rPr>
        <w:t xml:space="preserve"> </w:t>
      </w:r>
      <w:r w:rsidRPr="00242AA7">
        <w:rPr>
          <w:rFonts w:ascii="Book Antiqua" w:hAnsi="Book Antiqua"/>
        </w:rPr>
        <w:t>0.001). No patient treated with ≥</w:t>
      </w:r>
      <w:r w:rsidR="001D4F86" w:rsidRPr="00242AA7">
        <w:rPr>
          <w:rFonts w:ascii="Book Antiqua" w:hAnsi="Book Antiqua"/>
        </w:rPr>
        <w:t> </w:t>
      </w:r>
      <w:r w:rsidRPr="00242AA7">
        <w:rPr>
          <w:rFonts w:ascii="Book Antiqua" w:hAnsi="Book Antiqua"/>
        </w:rPr>
        <w:t>18</w:t>
      </w:r>
      <w:r w:rsidR="001D4F86" w:rsidRPr="00242AA7">
        <w:rPr>
          <w:rFonts w:ascii="Book Antiqua" w:hAnsi="Book Antiqua"/>
        </w:rPr>
        <w:t> Gy</w:t>
      </w:r>
      <w:r w:rsidRPr="00242AA7">
        <w:rPr>
          <w:rFonts w:ascii="Book Antiqua" w:hAnsi="Book Antiqua"/>
        </w:rPr>
        <w:t xml:space="preserve"> in a single fraction or with any fractionated scheme experienced local failure.</w:t>
      </w:r>
    </w:p>
    <w:p w14:paraId="5BD3AFA6" w14:textId="2B93B361" w:rsidR="00B843BC" w:rsidRPr="00242AA7" w:rsidRDefault="00714A6E" w:rsidP="003A1F61">
      <w:pPr>
        <w:autoSpaceDE w:val="0"/>
        <w:autoSpaceDN w:val="0"/>
        <w:adjustRightInd w:val="0"/>
        <w:spacing w:line="360" w:lineRule="auto"/>
        <w:ind w:firstLineChars="100" w:firstLine="240"/>
        <w:contextualSpacing/>
        <w:jc w:val="both"/>
        <w:rPr>
          <w:rFonts w:ascii="Book Antiqua" w:hAnsi="Book Antiqua"/>
        </w:rPr>
      </w:pPr>
      <w:r w:rsidRPr="00242AA7">
        <w:rPr>
          <w:rFonts w:ascii="Book Antiqua" w:hAnsi="Book Antiqua"/>
        </w:rPr>
        <w:t>Muacevic</w:t>
      </w:r>
      <w:r w:rsidR="00031CA1">
        <w:rPr>
          <w:rFonts w:ascii="Book Antiqua" w:eastAsia="SimSun" w:hAnsi="Book Antiqua" w:hint="eastAsia"/>
          <w:lang w:eastAsia="zh-CN"/>
        </w:rPr>
        <w:t xml:space="preserve"> </w:t>
      </w:r>
      <w:r w:rsidR="00031CA1">
        <w:rPr>
          <w:rFonts w:ascii="Book Antiqua" w:eastAsia="SimSun" w:hAnsi="Book Antiqua" w:hint="eastAsia"/>
          <w:i/>
          <w:lang w:eastAsia="zh-CN"/>
        </w:rPr>
        <w:t xml:space="preserve">et </w:t>
      </w:r>
      <w:proofErr w:type="gramStart"/>
      <w:r w:rsidR="00031CA1">
        <w:rPr>
          <w:rFonts w:ascii="Book Antiqua" w:eastAsia="SimSun" w:hAnsi="Book Antiqua" w:hint="eastAsia"/>
          <w:i/>
          <w:lang w:eastAsia="zh-CN"/>
        </w:rPr>
        <w:t>al</w:t>
      </w:r>
      <w:r w:rsidR="00B13D0F" w:rsidRPr="00242AA7">
        <w:rPr>
          <w:rFonts w:ascii="Book Antiqua" w:hAnsi="Book Antiqua"/>
          <w:vertAlign w:val="superscript"/>
        </w:rPr>
        <w:t>[</w:t>
      </w:r>
      <w:proofErr w:type="gramEnd"/>
      <w:r w:rsidR="00B13D0F" w:rsidRPr="00242AA7">
        <w:rPr>
          <w:rFonts w:ascii="Book Antiqua" w:hAnsi="Book Antiqua"/>
          <w:vertAlign w:val="superscript"/>
        </w:rPr>
        <w:t>31]</w:t>
      </w:r>
      <w:r w:rsidRPr="00242AA7">
        <w:rPr>
          <w:rFonts w:ascii="Book Antiqua" w:hAnsi="Book Antiqua"/>
        </w:rPr>
        <w:t>, in the same way as Siva</w:t>
      </w:r>
      <w:r w:rsidRPr="0087763E">
        <w:rPr>
          <w:rFonts w:ascii="Book Antiqua" w:hAnsi="Book Antiqua"/>
          <w:i/>
        </w:rPr>
        <w:t xml:space="preserve"> et al</w:t>
      </w:r>
      <w:r w:rsidR="0087763E" w:rsidRPr="00242AA7">
        <w:rPr>
          <w:rFonts w:ascii="Book Antiqua" w:hAnsi="Book Antiqua"/>
          <w:vertAlign w:val="superscript"/>
        </w:rPr>
        <w:t>[26]</w:t>
      </w:r>
      <w:r w:rsidRPr="00242AA7">
        <w:rPr>
          <w:rFonts w:ascii="Book Antiqua" w:hAnsi="Book Antiqua"/>
        </w:rPr>
        <w:t xml:space="preserve"> in the POPSTART study, concluded that a single fraction of 20</w:t>
      </w:r>
      <w:r w:rsidR="001D4F86" w:rsidRPr="00242AA7">
        <w:rPr>
          <w:rFonts w:ascii="Book Antiqua" w:hAnsi="Book Antiqua"/>
        </w:rPr>
        <w:t> Gy</w:t>
      </w:r>
      <w:r w:rsidRPr="00242AA7">
        <w:rPr>
          <w:rFonts w:ascii="Book Antiqua" w:hAnsi="Book Antiqua"/>
        </w:rPr>
        <w:t xml:space="preserve"> over the bone lesion or affected lymph node proves effective and safe.</w:t>
      </w:r>
    </w:p>
    <w:p w14:paraId="6306693D" w14:textId="3304580F" w:rsidR="005059C2" w:rsidRPr="00242AA7" w:rsidRDefault="004E4C89" w:rsidP="0087763E">
      <w:pPr>
        <w:spacing w:line="360" w:lineRule="auto"/>
        <w:ind w:firstLineChars="100" w:firstLine="240"/>
        <w:contextualSpacing/>
        <w:jc w:val="both"/>
        <w:rPr>
          <w:rFonts w:ascii="Book Antiqua" w:hAnsi="Book Antiqua"/>
        </w:rPr>
      </w:pPr>
      <w:r w:rsidRPr="00242AA7">
        <w:rPr>
          <w:rFonts w:ascii="Book Antiqua" w:hAnsi="Book Antiqua"/>
        </w:rPr>
        <w:t>Given the diversity of schemes, at the consensus meeting of the Spanish Society of Radiation Oncology (SEOR</w:t>
      </w:r>
      <w:proofErr w:type="gramStart"/>
      <w:r w:rsidRPr="00242AA7">
        <w:rPr>
          <w:rFonts w:ascii="Book Antiqua" w:hAnsi="Book Antiqua"/>
        </w:rPr>
        <w:t>)</w:t>
      </w:r>
      <w:r w:rsidR="00B13D0F" w:rsidRPr="00242AA7">
        <w:rPr>
          <w:rFonts w:ascii="Book Antiqua" w:hAnsi="Book Antiqua"/>
          <w:vertAlign w:val="superscript"/>
        </w:rPr>
        <w:t>[</w:t>
      </w:r>
      <w:proofErr w:type="gramEnd"/>
      <w:r w:rsidR="00B13D0F" w:rsidRPr="00242AA7">
        <w:rPr>
          <w:rFonts w:ascii="Book Antiqua" w:hAnsi="Book Antiqua"/>
          <w:vertAlign w:val="superscript"/>
        </w:rPr>
        <w:t>32]</w:t>
      </w:r>
      <w:r w:rsidRPr="00242AA7">
        <w:rPr>
          <w:rFonts w:ascii="Book Antiqua" w:hAnsi="Book Antiqua"/>
        </w:rPr>
        <w:t xml:space="preserve"> it was agreed to use either 6 fractions of 7.5</w:t>
      </w:r>
      <w:r w:rsidR="001D4F86" w:rsidRPr="00242AA7">
        <w:rPr>
          <w:rFonts w:ascii="Book Antiqua" w:hAnsi="Book Antiqua"/>
        </w:rPr>
        <w:t> Gy</w:t>
      </w:r>
      <w:r w:rsidRPr="00242AA7">
        <w:rPr>
          <w:rFonts w:ascii="Book Antiqua" w:hAnsi="Book Antiqua"/>
        </w:rPr>
        <w:t xml:space="preserve"> or three fractions of 10</w:t>
      </w:r>
      <w:r w:rsidR="001D4F86" w:rsidRPr="00242AA7">
        <w:rPr>
          <w:rFonts w:ascii="Book Antiqua" w:hAnsi="Book Antiqua"/>
        </w:rPr>
        <w:t> Gy</w:t>
      </w:r>
      <w:r w:rsidRPr="00242AA7">
        <w:rPr>
          <w:rFonts w:ascii="Book Antiqua" w:hAnsi="Book Antiqua"/>
        </w:rPr>
        <w:t xml:space="preserve"> for lymph node SBRT, according to medical criterion and depending on the tolerance of the surrounding structures.</w:t>
      </w:r>
    </w:p>
    <w:p w14:paraId="0D7B8CED" w14:textId="0C692FE2" w:rsidR="005059C2" w:rsidRPr="00242AA7" w:rsidRDefault="00503711" w:rsidP="0087763E">
      <w:pPr>
        <w:spacing w:line="360" w:lineRule="auto"/>
        <w:ind w:firstLineChars="100" w:firstLine="240"/>
        <w:jc w:val="both"/>
        <w:rPr>
          <w:rFonts w:ascii="Book Antiqua" w:hAnsi="Book Antiqua"/>
        </w:rPr>
      </w:pPr>
      <w:r w:rsidRPr="0087763E">
        <w:rPr>
          <w:rFonts w:ascii="Book Antiqua" w:hAnsi="Book Antiqua"/>
        </w:rPr>
        <w:t>In lymph node oligometastases,</w:t>
      </w:r>
      <w:r w:rsidRPr="0087763E">
        <w:rPr>
          <w:rFonts w:ascii="Book Antiqua" w:hAnsi="Book Antiqua"/>
          <w:b/>
        </w:rPr>
        <w:t xml:space="preserve"> </w:t>
      </w:r>
      <w:r w:rsidRPr="00242AA7">
        <w:rPr>
          <w:rFonts w:ascii="Book Antiqua" w:hAnsi="Book Antiqua"/>
        </w:rPr>
        <w:t xml:space="preserve">the irradiation technique, as well as the treatment volumes used, range from SBRT only at macroscopic disease </w:t>
      </w:r>
      <w:proofErr w:type="gramStart"/>
      <w:r w:rsidRPr="00242AA7">
        <w:rPr>
          <w:rFonts w:ascii="Book Antiqua" w:hAnsi="Book Antiqua"/>
        </w:rPr>
        <w:t>relapse</w:t>
      </w:r>
      <w:r w:rsidR="00B13D0F" w:rsidRPr="00242AA7">
        <w:rPr>
          <w:rFonts w:ascii="Book Antiqua" w:hAnsi="Book Antiqua"/>
          <w:vertAlign w:val="superscript"/>
        </w:rPr>
        <w:t>[</w:t>
      </w:r>
      <w:proofErr w:type="gramEnd"/>
      <w:r w:rsidR="00A60807" w:rsidRPr="00242AA7">
        <w:rPr>
          <w:rFonts w:ascii="Book Antiqua" w:hAnsi="Book Antiqua"/>
          <w:vertAlign w:val="superscript"/>
        </w:rPr>
        <w:t>20,33-</w:t>
      </w:r>
      <w:r w:rsidR="00346A25" w:rsidRPr="00242AA7">
        <w:rPr>
          <w:rFonts w:ascii="Book Antiqua" w:hAnsi="Book Antiqua"/>
          <w:vertAlign w:val="superscript"/>
        </w:rPr>
        <w:t>36</w:t>
      </w:r>
      <w:r w:rsidR="00A60807" w:rsidRPr="00242AA7">
        <w:rPr>
          <w:rFonts w:ascii="Book Antiqua" w:hAnsi="Book Antiqua"/>
          <w:vertAlign w:val="superscript"/>
        </w:rPr>
        <w:t>]</w:t>
      </w:r>
      <w:r w:rsidRPr="00242AA7">
        <w:rPr>
          <w:rFonts w:ascii="Book Antiqua" w:hAnsi="Book Antiqua"/>
        </w:rPr>
        <w:t xml:space="preserve"> to irradiation of the entire chain in which the affected lymph node is located, or even irradiation of all the pelvic chains with boost targeted to the affected lymph nodes</w:t>
      </w:r>
      <w:r w:rsidR="004D0F52" w:rsidRPr="00242AA7">
        <w:rPr>
          <w:rFonts w:ascii="Book Antiqua" w:hAnsi="Book Antiqua"/>
          <w:vertAlign w:val="superscript"/>
        </w:rPr>
        <w:t>[37]</w:t>
      </w:r>
      <w:r w:rsidRPr="00242AA7">
        <w:rPr>
          <w:rFonts w:ascii="Book Antiqua" w:hAnsi="Book Antiqua"/>
        </w:rPr>
        <w:t xml:space="preserve">. The optimum irradiation volume is not clear. Because of the high risk of subclinical disease in pelvic lymph nodes beyond what PET is able to </w:t>
      </w:r>
      <w:proofErr w:type="gramStart"/>
      <w:r w:rsidRPr="00242AA7">
        <w:rPr>
          <w:rFonts w:ascii="Book Antiqua" w:hAnsi="Book Antiqua"/>
        </w:rPr>
        <w:t>detect</w:t>
      </w:r>
      <w:r w:rsidR="004D0F52" w:rsidRPr="00242AA7">
        <w:rPr>
          <w:rFonts w:ascii="Book Antiqua" w:hAnsi="Book Antiqua"/>
          <w:vertAlign w:val="superscript"/>
        </w:rPr>
        <w:t>[</w:t>
      </w:r>
      <w:proofErr w:type="gramEnd"/>
      <w:r w:rsidR="004D0F52" w:rsidRPr="00242AA7">
        <w:rPr>
          <w:rFonts w:ascii="Book Antiqua" w:hAnsi="Book Antiqua"/>
          <w:vertAlign w:val="superscript"/>
        </w:rPr>
        <w:t>38]</w:t>
      </w:r>
      <w:r w:rsidRPr="00242AA7">
        <w:rPr>
          <w:rFonts w:ascii="Book Antiqua" w:hAnsi="Book Antiqua"/>
        </w:rPr>
        <w:t xml:space="preserve"> and the consequent risk of relapse in the adjacent lymph nodes</w:t>
      </w:r>
      <w:r w:rsidR="00CD2EAE" w:rsidRPr="00242AA7">
        <w:rPr>
          <w:rFonts w:ascii="Book Antiqua" w:hAnsi="Book Antiqua"/>
          <w:vertAlign w:val="superscript"/>
        </w:rPr>
        <w:t>[34]</w:t>
      </w:r>
      <w:r w:rsidRPr="00242AA7">
        <w:rPr>
          <w:rFonts w:ascii="Book Antiqua" w:hAnsi="Book Antiqua"/>
        </w:rPr>
        <w:t>, the recommendations of the Australian and New Zealand Radiation Oncology Genito-Urinary group of 2018 advocated irradiation of all the pelvic lymph nodes at risk</w:t>
      </w:r>
      <w:r w:rsidR="00CD2EAE" w:rsidRPr="00242AA7">
        <w:rPr>
          <w:rFonts w:ascii="Book Antiqua" w:hAnsi="Book Antiqua"/>
          <w:vertAlign w:val="superscript"/>
        </w:rPr>
        <w:t>[21]</w:t>
      </w:r>
      <w:r w:rsidRPr="00242AA7">
        <w:rPr>
          <w:rFonts w:ascii="Book Antiqua" w:hAnsi="Book Antiqua"/>
        </w:rPr>
        <w:t>.</w:t>
      </w:r>
    </w:p>
    <w:p w14:paraId="4B89C046" w14:textId="77777777" w:rsidR="009C2716" w:rsidRPr="00242AA7" w:rsidRDefault="00DD4289" w:rsidP="004E5E0E">
      <w:pPr>
        <w:spacing w:line="360" w:lineRule="auto"/>
        <w:ind w:firstLineChars="100" w:firstLine="240"/>
        <w:jc w:val="both"/>
        <w:rPr>
          <w:rFonts w:ascii="Book Antiqua" w:hAnsi="Book Antiqua"/>
        </w:rPr>
      </w:pPr>
      <w:r w:rsidRPr="00242AA7">
        <w:rPr>
          <w:rFonts w:ascii="Book Antiqua" w:hAnsi="Book Antiqua"/>
        </w:rPr>
        <w:t xml:space="preserve">It should be remembered that surgical resection is the SOC for lymph node relapse in patients with a controlled primary tumor, provided the disease is amenable to complete resection, with or without </w:t>
      </w:r>
      <w:proofErr w:type="gramStart"/>
      <w:r w:rsidRPr="00242AA7">
        <w:rPr>
          <w:rFonts w:ascii="Book Antiqua" w:hAnsi="Book Antiqua"/>
        </w:rPr>
        <w:t>ADT</w:t>
      </w:r>
      <w:r w:rsidR="00CD2EAE" w:rsidRPr="00242AA7">
        <w:rPr>
          <w:rFonts w:ascii="Book Antiqua" w:hAnsi="Book Antiqua"/>
          <w:vertAlign w:val="superscript"/>
        </w:rPr>
        <w:t>[</w:t>
      </w:r>
      <w:proofErr w:type="gramEnd"/>
      <w:r w:rsidR="00CD2EAE" w:rsidRPr="00242AA7">
        <w:rPr>
          <w:rFonts w:ascii="Book Antiqua" w:hAnsi="Book Antiqua"/>
          <w:vertAlign w:val="superscript"/>
        </w:rPr>
        <w:t>21]</w:t>
      </w:r>
      <w:r w:rsidRPr="00242AA7">
        <w:rPr>
          <w:rFonts w:ascii="Book Antiqua" w:hAnsi="Book Antiqua"/>
        </w:rPr>
        <w:t>.</w:t>
      </w:r>
    </w:p>
    <w:p w14:paraId="2A3E50EE" w14:textId="77777777" w:rsidR="009C2716" w:rsidRPr="00242AA7" w:rsidRDefault="009C2716" w:rsidP="00242AA7">
      <w:pPr>
        <w:spacing w:line="360" w:lineRule="auto"/>
        <w:jc w:val="both"/>
        <w:rPr>
          <w:rFonts w:ascii="Book Antiqua" w:hAnsi="Book Antiqua"/>
        </w:rPr>
      </w:pPr>
    </w:p>
    <w:p w14:paraId="51BD1AC8" w14:textId="69A5A09F" w:rsidR="001C2F13" w:rsidRPr="00DA0EF6" w:rsidRDefault="004E5E0E" w:rsidP="00242AA7">
      <w:pPr>
        <w:spacing w:line="360" w:lineRule="auto"/>
        <w:jc w:val="both"/>
        <w:rPr>
          <w:rFonts w:ascii="Book Antiqua" w:hAnsi="Book Antiqua"/>
          <w:i/>
        </w:rPr>
      </w:pPr>
      <w:r w:rsidRPr="00DA0EF6">
        <w:rPr>
          <w:rFonts w:ascii="Book Antiqua" w:hAnsi="Book Antiqua"/>
          <w:b/>
          <w:i/>
        </w:rPr>
        <w:t>R</w:t>
      </w:r>
      <w:r w:rsidR="00DA0EF6">
        <w:rPr>
          <w:rFonts w:ascii="Book Antiqua" w:hAnsi="Book Antiqua"/>
          <w:b/>
          <w:i/>
        </w:rPr>
        <w:t>esponse assessment /</w:t>
      </w:r>
      <w:r w:rsidR="00DA0EF6" w:rsidRPr="00DA0EF6">
        <w:rPr>
          <w:rFonts w:ascii="Book Antiqua" w:hAnsi="Book Antiqua"/>
          <w:b/>
          <w:i/>
        </w:rPr>
        <w:t>definition of local control</w:t>
      </w:r>
    </w:p>
    <w:p w14:paraId="5EB93A9A" w14:textId="65831E0A" w:rsidR="000F7E10" w:rsidRPr="00242AA7" w:rsidRDefault="00180210" w:rsidP="00242AA7">
      <w:pPr>
        <w:spacing w:line="360" w:lineRule="auto"/>
        <w:jc w:val="both"/>
        <w:rPr>
          <w:rFonts w:ascii="Book Antiqua" w:eastAsia="Times New Roman" w:hAnsi="Book Antiqua" w:cs="Times New Roman"/>
        </w:rPr>
      </w:pPr>
      <w:r w:rsidRPr="00242AA7">
        <w:rPr>
          <w:rFonts w:ascii="Book Antiqua" w:hAnsi="Book Antiqua"/>
        </w:rPr>
        <w:lastRenderedPageBreak/>
        <w:t>Most metastases treated with SBRT in PCa are bone metastases. A limiting factor in all SBRT studies involving bone metastases is the lack of a standard and objective method for measuring treatment response or failure. Such evaluation remains a challenge and should be based on a combination of the changes in the images referred to the location of the PTV, the PSA kinetics, and the variations in associated symptoms. Various radiological changes in CT images have been described after SBRT, including remineralization of lytic bone metastases, demineralization of sclerotic bone metastases, progression and response in different lesions. Studies relating the radiological changes to clinical outcomes are not available. Except in situations with measurable tumor spread to soft tissues, the Response Evaluation Criteria In Solid Tumors</w:t>
      </w:r>
      <w:r w:rsidR="005059C2" w:rsidRPr="00242AA7">
        <w:rPr>
          <w:rFonts w:ascii="Book Antiqua" w:hAnsi="Book Antiqua"/>
        </w:rPr>
        <w:t xml:space="preserve"> </w:t>
      </w:r>
      <w:r w:rsidRPr="00242AA7">
        <w:rPr>
          <w:rFonts w:ascii="Book Antiqua" w:hAnsi="Book Antiqua"/>
        </w:rPr>
        <w:t>(RECIST 1.1)</w:t>
      </w:r>
      <w:r w:rsidR="00CD2EAE" w:rsidRPr="00242AA7">
        <w:rPr>
          <w:rFonts w:ascii="Book Antiqua" w:hAnsi="Book Antiqua"/>
          <w:vertAlign w:val="superscript"/>
        </w:rPr>
        <w:t>[39]</w:t>
      </w:r>
      <w:r w:rsidRPr="00242AA7">
        <w:rPr>
          <w:rFonts w:ascii="Book Antiqua" w:hAnsi="Book Antiqua"/>
        </w:rPr>
        <w:t xml:space="preserve"> do not offer consistent response criteria and are therefore of little value.</w:t>
      </w:r>
      <w:r w:rsidR="005059C2" w:rsidRPr="00242AA7">
        <w:rPr>
          <w:rFonts w:ascii="Book Antiqua" w:hAnsi="Book Antiqua"/>
        </w:rPr>
        <w:t xml:space="preserve"> </w:t>
      </w:r>
      <w:r w:rsidRPr="00242AA7">
        <w:rPr>
          <w:rFonts w:ascii="Book Antiqua" w:hAnsi="Book Antiqua"/>
        </w:rPr>
        <w:t>Functional imaging and the PERCIST (Positron Emission tomography</w:t>
      </w:r>
      <w:r w:rsidR="001D4F86" w:rsidRPr="00242AA7">
        <w:rPr>
          <w:rFonts w:ascii="Book Antiqua" w:hAnsi="Book Antiqua"/>
        </w:rPr>
        <w:t xml:space="preserve"> </w:t>
      </w:r>
      <w:r w:rsidR="00FC5C59" w:rsidRPr="00242AA7">
        <w:rPr>
          <w:rFonts w:ascii="Book Antiqua" w:hAnsi="Book Antiqua"/>
        </w:rPr>
        <w:t xml:space="preserve">Response Criteria </w:t>
      </w:r>
      <w:proofErr w:type="gramStart"/>
      <w:r w:rsidR="00FC5C59" w:rsidRPr="00242AA7">
        <w:rPr>
          <w:rFonts w:ascii="Book Antiqua" w:hAnsi="Book Antiqua"/>
        </w:rPr>
        <w:t>In</w:t>
      </w:r>
      <w:proofErr w:type="gramEnd"/>
      <w:r w:rsidR="00FC5C59" w:rsidRPr="00242AA7">
        <w:rPr>
          <w:rFonts w:ascii="Book Antiqua" w:hAnsi="Book Antiqua"/>
        </w:rPr>
        <w:t xml:space="preserve"> Solid Tumors) have also been used, defining LC as no increase in uptake (11 choline PET, PSMA) or the absence of lesion growth as determined by MRI.</w:t>
      </w:r>
      <w:r w:rsidR="005059C2" w:rsidRPr="00242AA7">
        <w:rPr>
          <w:rFonts w:ascii="Book Antiqua" w:hAnsi="Book Antiqua"/>
        </w:rPr>
        <w:t xml:space="preserve"> </w:t>
      </w:r>
      <w:r w:rsidR="00FC5C59" w:rsidRPr="00242AA7">
        <w:rPr>
          <w:rFonts w:ascii="Book Antiqua" w:hAnsi="Book Antiqua"/>
        </w:rPr>
        <w:t>The response in the case of bone metastases is usually investigator-dependent, which makes it difficult to compare the different therapeutic schemes and thus the efficacy of treatment.</w:t>
      </w:r>
      <w:r w:rsidR="005059C2" w:rsidRPr="00242AA7">
        <w:rPr>
          <w:rFonts w:ascii="Book Antiqua" w:hAnsi="Book Antiqua"/>
        </w:rPr>
        <w:t xml:space="preserve"> </w:t>
      </w:r>
      <w:r w:rsidR="00FC5C59" w:rsidRPr="00242AA7">
        <w:rPr>
          <w:rFonts w:ascii="Book Antiqua" w:hAnsi="Book Antiqua"/>
        </w:rPr>
        <w:t xml:space="preserve">In the case of vertebral SBRT, such uncertainty has led to the development of a consensus sponsored by the SPINO </w:t>
      </w:r>
      <w:proofErr w:type="gramStart"/>
      <w:r w:rsidR="00FC5C59" w:rsidRPr="00242AA7">
        <w:rPr>
          <w:rFonts w:ascii="Book Antiqua" w:hAnsi="Book Antiqua"/>
        </w:rPr>
        <w:t>group</w:t>
      </w:r>
      <w:r w:rsidR="00CD2EAE" w:rsidRPr="00242AA7">
        <w:rPr>
          <w:rFonts w:ascii="Book Antiqua" w:hAnsi="Book Antiqua"/>
          <w:vertAlign w:val="superscript"/>
        </w:rPr>
        <w:t>[</w:t>
      </w:r>
      <w:proofErr w:type="gramEnd"/>
      <w:r w:rsidR="00CD2EAE" w:rsidRPr="00242AA7">
        <w:rPr>
          <w:rFonts w:ascii="Book Antiqua" w:hAnsi="Book Antiqua"/>
          <w:vertAlign w:val="superscript"/>
        </w:rPr>
        <w:t>40]</w:t>
      </w:r>
      <w:r w:rsidR="00FC5C59" w:rsidRPr="00242AA7">
        <w:rPr>
          <w:rFonts w:ascii="Book Antiqua" w:hAnsi="Book Antiqua"/>
        </w:rPr>
        <w:t>, where among other conclusions MRI has been classified as the optimum imaging test for assessing response to SBRT in the spine, and response has been defined as the absence of progression.</w:t>
      </w:r>
    </w:p>
    <w:p w14:paraId="1E54F9CB" w14:textId="63C0EB98" w:rsidR="009C2716" w:rsidRPr="00242AA7" w:rsidRDefault="00F73CBC" w:rsidP="004E5E0E">
      <w:pPr>
        <w:spacing w:line="360" w:lineRule="auto"/>
        <w:ind w:firstLineChars="100" w:firstLine="240"/>
        <w:contextualSpacing/>
        <w:jc w:val="both"/>
        <w:rPr>
          <w:rFonts w:ascii="Book Antiqua" w:hAnsi="Book Antiqua"/>
        </w:rPr>
      </w:pPr>
      <w:r w:rsidRPr="00242AA7">
        <w:rPr>
          <w:rFonts w:ascii="Book Antiqua" w:hAnsi="Book Antiqua"/>
        </w:rPr>
        <w:t>Most of the published series included LC among their endpoints. The concept of LC comprised lesions classified as stable disease, and partial response or complete response,</w:t>
      </w:r>
      <w:r w:rsidRPr="00976A13">
        <w:rPr>
          <w:rFonts w:ascii="Book Antiqua" w:hAnsi="Book Antiqua"/>
          <w:i/>
        </w:rPr>
        <w:t xml:space="preserve"> i.e.</w:t>
      </w:r>
      <w:r w:rsidRPr="00242AA7">
        <w:rPr>
          <w:rFonts w:ascii="Book Antiqua" w:hAnsi="Book Antiqua"/>
        </w:rPr>
        <w:t>, the absence of progression.</w:t>
      </w:r>
      <w:r w:rsidR="004E5E0E">
        <w:rPr>
          <w:rFonts w:ascii="Book Antiqua" w:eastAsia="SimSun" w:hAnsi="Book Antiqua" w:hint="eastAsia"/>
          <w:lang w:eastAsia="zh-CN"/>
        </w:rPr>
        <w:t xml:space="preserve"> </w:t>
      </w:r>
      <w:r w:rsidR="00FA080E" w:rsidRPr="00242AA7">
        <w:rPr>
          <w:rFonts w:ascii="Book Antiqua" w:hAnsi="Book Antiqua"/>
        </w:rPr>
        <w:t>Consistent response criteria need to be developed to compare the results and evaluate the efficacy of new treatment approaches such as SBRT, similar to those established by the Neuro-Oncology group (SPINO) for the evaluation of response in spinal metastases</w:t>
      </w:r>
      <w:r w:rsidR="00CD2EAE" w:rsidRPr="00242AA7">
        <w:rPr>
          <w:rFonts w:ascii="Book Antiqua" w:hAnsi="Book Antiqua"/>
          <w:vertAlign w:val="superscript"/>
        </w:rPr>
        <w:t>[40]</w:t>
      </w:r>
      <w:r w:rsidR="00FA080E" w:rsidRPr="00242AA7">
        <w:rPr>
          <w:rFonts w:ascii="Book Antiqua" w:hAnsi="Book Antiqua"/>
        </w:rPr>
        <w:t>.</w:t>
      </w:r>
    </w:p>
    <w:p w14:paraId="65712B73" w14:textId="77777777" w:rsidR="009C2716" w:rsidRPr="00242AA7" w:rsidRDefault="009C2716" w:rsidP="00242AA7">
      <w:pPr>
        <w:spacing w:line="360" w:lineRule="auto"/>
        <w:jc w:val="both"/>
        <w:rPr>
          <w:rFonts w:ascii="Book Antiqua" w:hAnsi="Book Antiqua"/>
          <w:b/>
          <w:i/>
        </w:rPr>
      </w:pPr>
    </w:p>
    <w:p w14:paraId="19379B3A" w14:textId="3CFF9CB0" w:rsidR="005059C2" w:rsidRPr="004E5E0E" w:rsidRDefault="00B90DB9" w:rsidP="00242AA7">
      <w:pPr>
        <w:spacing w:line="360" w:lineRule="auto"/>
        <w:jc w:val="both"/>
        <w:rPr>
          <w:rFonts w:ascii="Book Antiqua" w:hAnsi="Book Antiqua"/>
        </w:rPr>
      </w:pPr>
      <w:r w:rsidRPr="004E5E0E">
        <w:rPr>
          <w:rFonts w:ascii="Book Antiqua" w:hAnsi="Book Antiqua"/>
          <w:b/>
        </w:rPr>
        <w:t>SBRT RESULTS</w:t>
      </w:r>
    </w:p>
    <w:p w14:paraId="2235013A" w14:textId="56510BF2" w:rsidR="00184C1B" w:rsidRPr="00242AA7" w:rsidRDefault="00DB23DC" w:rsidP="00242AA7">
      <w:pPr>
        <w:spacing w:line="360" w:lineRule="auto"/>
        <w:jc w:val="both"/>
        <w:rPr>
          <w:rFonts w:ascii="Book Antiqua" w:hAnsi="Book Antiqua"/>
        </w:rPr>
      </w:pPr>
      <w:r w:rsidRPr="00242AA7">
        <w:rPr>
          <w:rFonts w:ascii="Book Antiqua" w:hAnsi="Book Antiqua"/>
        </w:rPr>
        <w:lastRenderedPageBreak/>
        <w:t>A summary of different published studies is presented in table format (Tables 1 and 2).</w:t>
      </w:r>
      <w:r w:rsidR="005059C2" w:rsidRPr="00242AA7">
        <w:rPr>
          <w:rFonts w:ascii="Book Antiqua" w:hAnsi="Book Antiqua"/>
        </w:rPr>
        <w:t xml:space="preserve"> </w:t>
      </w:r>
      <w:r w:rsidRPr="00242AA7">
        <w:rPr>
          <w:rFonts w:ascii="Book Antiqua" w:hAnsi="Book Antiqua"/>
        </w:rPr>
        <w:t>There is a predominance of retrospective studies that analyze SBRT jointly in bone and lymph node metastases. Few series analyze the two types of metastases separately.</w:t>
      </w:r>
      <w:r w:rsidR="004E5E0E">
        <w:rPr>
          <w:rFonts w:ascii="Book Antiqua" w:eastAsia="SimSun" w:hAnsi="Book Antiqua" w:hint="eastAsia"/>
          <w:lang w:eastAsia="zh-CN"/>
        </w:rPr>
        <w:t xml:space="preserve"> </w:t>
      </w:r>
      <w:r w:rsidR="002D7E13" w:rsidRPr="00242AA7">
        <w:rPr>
          <w:rFonts w:ascii="Book Antiqua" w:hAnsi="Book Antiqua"/>
        </w:rPr>
        <w:t>The primary endpoints assessed are LC, toxicity, the imaging method used for diagnosis, ADT-</w:t>
      </w:r>
      <w:r w:rsidR="003A1F61" w:rsidRPr="00242AA7">
        <w:rPr>
          <w:rFonts w:ascii="Book Antiqua" w:hAnsi="Book Antiqua"/>
        </w:rPr>
        <w:t>FS</w:t>
      </w:r>
      <w:r w:rsidR="002D7E13" w:rsidRPr="00242AA7">
        <w:rPr>
          <w:rFonts w:ascii="Book Antiqua" w:hAnsi="Book Antiqua"/>
        </w:rPr>
        <w:t>, progression-free survival (PFS), and OS on a point basis.</w:t>
      </w:r>
    </w:p>
    <w:p w14:paraId="667CC943" w14:textId="77777777" w:rsidR="00E72ED6" w:rsidRPr="00242AA7" w:rsidRDefault="00E72ED6" w:rsidP="00242AA7">
      <w:pPr>
        <w:spacing w:line="360" w:lineRule="auto"/>
        <w:jc w:val="both"/>
        <w:rPr>
          <w:rFonts w:ascii="Book Antiqua" w:hAnsi="Book Antiqua"/>
        </w:rPr>
      </w:pPr>
    </w:p>
    <w:p w14:paraId="5C41FC36" w14:textId="07A4ECB3" w:rsidR="00DA76ED" w:rsidRPr="00DA0EF6" w:rsidRDefault="004E5E0E" w:rsidP="00242AA7">
      <w:pPr>
        <w:keepNext/>
        <w:spacing w:line="360" w:lineRule="auto"/>
        <w:jc w:val="both"/>
        <w:rPr>
          <w:rFonts w:ascii="Book Antiqua" w:hAnsi="Book Antiqua"/>
          <w:b/>
          <w:i/>
        </w:rPr>
      </w:pPr>
      <w:r w:rsidRPr="00DA0EF6">
        <w:rPr>
          <w:rFonts w:ascii="Book Antiqua" w:hAnsi="Book Antiqua"/>
          <w:b/>
          <w:i/>
        </w:rPr>
        <w:t>L</w:t>
      </w:r>
      <w:r w:rsidR="00DA0EF6" w:rsidRPr="00DA0EF6">
        <w:rPr>
          <w:rFonts w:ascii="Book Antiqua" w:hAnsi="Book Antiqua"/>
          <w:b/>
          <w:i/>
        </w:rPr>
        <w:t>ocal control</w:t>
      </w:r>
    </w:p>
    <w:p w14:paraId="6A757A88" w14:textId="0045AA16" w:rsidR="00503711" w:rsidRPr="00242AA7" w:rsidRDefault="002235B0" w:rsidP="00242AA7">
      <w:pPr>
        <w:spacing w:line="360" w:lineRule="auto"/>
        <w:jc w:val="both"/>
        <w:rPr>
          <w:rFonts w:ascii="Book Antiqua" w:hAnsi="Book Antiqua"/>
        </w:rPr>
      </w:pPr>
      <w:r w:rsidRPr="00242AA7">
        <w:rPr>
          <w:rFonts w:ascii="Book Antiqua" w:hAnsi="Book Antiqua"/>
        </w:rPr>
        <w:t>Local control is commonly defined as the absence of progression in PTV based on serial images. Tables 1 and 2 show the re</w:t>
      </w:r>
      <w:r w:rsidR="0082365C" w:rsidRPr="00242AA7">
        <w:rPr>
          <w:rFonts w:ascii="Book Antiqua" w:hAnsi="Book Antiqua"/>
        </w:rPr>
        <w:t>ported LC rates to range from 82</w:t>
      </w:r>
      <w:r w:rsidR="004E5E0E">
        <w:rPr>
          <w:rFonts w:ascii="Book Antiqua" w:eastAsia="SimSun" w:hAnsi="Book Antiqua" w:hint="eastAsia"/>
          <w:lang w:eastAsia="zh-CN"/>
        </w:rPr>
        <w:t>%</w:t>
      </w:r>
      <w:r w:rsidR="001D4F86" w:rsidRPr="00242AA7">
        <w:rPr>
          <w:rFonts w:ascii="Book Antiqua" w:hAnsi="Book Antiqua"/>
        </w:rPr>
        <w:noBreakHyphen/>
      </w:r>
      <w:r w:rsidRPr="00242AA7">
        <w:rPr>
          <w:rFonts w:ascii="Book Antiqua" w:hAnsi="Book Antiqua"/>
        </w:rPr>
        <w:t>100%</w:t>
      </w:r>
      <w:r w:rsidR="0082365C" w:rsidRPr="00242AA7">
        <w:rPr>
          <w:rFonts w:ascii="Book Antiqua" w:hAnsi="Book Antiqua"/>
        </w:rPr>
        <w:t xml:space="preserve"> at two years</w:t>
      </w:r>
      <w:r w:rsidRPr="00242AA7">
        <w:rPr>
          <w:rFonts w:ascii="Book Antiqua" w:hAnsi="Book Antiqua"/>
        </w:rPr>
        <w:t>. This is consistent with a systematic review of SBRT in the treatment of oligometastatic PCa, which reported LC rates of &gt;</w:t>
      </w:r>
      <w:r w:rsidR="001D4F86" w:rsidRPr="00242AA7">
        <w:rPr>
          <w:rFonts w:ascii="Book Antiqua" w:hAnsi="Book Antiqua"/>
        </w:rPr>
        <w:t> </w:t>
      </w:r>
      <w:r w:rsidRPr="00242AA7">
        <w:rPr>
          <w:rFonts w:ascii="Book Antiqua" w:hAnsi="Book Antiqua"/>
        </w:rPr>
        <w:t xml:space="preserve">90% and isolated cases of severe </w:t>
      </w:r>
      <w:proofErr w:type="gramStart"/>
      <w:r w:rsidRPr="00242AA7">
        <w:rPr>
          <w:rFonts w:ascii="Book Antiqua" w:hAnsi="Book Antiqua"/>
        </w:rPr>
        <w:t>toxicity</w:t>
      </w:r>
      <w:r w:rsidR="005F497D" w:rsidRPr="00242AA7">
        <w:rPr>
          <w:rFonts w:ascii="Book Antiqua" w:hAnsi="Book Antiqua"/>
          <w:vertAlign w:val="superscript"/>
        </w:rPr>
        <w:t>[</w:t>
      </w:r>
      <w:proofErr w:type="gramEnd"/>
      <w:r w:rsidR="005F497D" w:rsidRPr="00242AA7">
        <w:rPr>
          <w:rFonts w:ascii="Book Antiqua" w:hAnsi="Book Antiqua"/>
          <w:vertAlign w:val="superscript"/>
        </w:rPr>
        <w:t>41]</w:t>
      </w:r>
      <w:r w:rsidRPr="00242AA7">
        <w:rPr>
          <w:rFonts w:ascii="Book Antiqua" w:hAnsi="Book Antiqua"/>
        </w:rPr>
        <w:t>.</w:t>
      </w:r>
      <w:r w:rsidR="005059C2" w:rsidRPr="00242AA7">
        <w:rPr>
          <w:rFonts w:ascii="Book Antiqua" w:hAnsi="Book Antiqua"/>
        </w:rPr>
        <w:t xml:space="preserve"> </w:t>
      </w:r>
      <w:r w:rsidRPr="00242AA7">
        <w:rPr>
          <w:rFonts w:ascii="Book Antiqua" w:hAnsi="Book Antiqua"/>
        </w:rPr>
        <w:t>These high LC rates have been described for both bone and lymph node metastases. A relevant proportion of patients (25</w:t>
      </w:r>
      <w:r w:rsidR="004E5E0E">
        <w:rPr>
          <w:rFonts w:ascii="Book Antiqua" w:eastAsia="SimSun" w:hAnsi="Book Antiqua" w:hint="eastAsia"/>
          <w:lang w:eastAsia="zh-CN"/>
        </w:rPr>
        <w:t>%</w:t>
      </w:r>
      <w:r w:rsidRPr="00242AA7">
        <w:rPr>
          <w:rFonts w:ascii="Book Antiqua" w:hAnsi="Book Antiqua"/>
        </w:rPr>
        <w:t>-38</w:t>
      </w:r>
      <w:proofErr w:type="gramStart"/>
      <w:r w:rsidRPr="00242AA7">
        <w:rPr>
          <w:rFonts w:ascii="Book Antiqua" w:hAnsi="Book Antiqua"/>
        </w:rPr>
        <w:t>%)</w:t>
      </w:r>
      <w:r w:rsidR="003F50EE" w:rsidRPr="00242AA7">
        <w:rPr>
          <w:rFonts w:ascii="Book Antiqua" w:hAnsi="Book Antiqua"/>
          <w:vertAlign w:val="superscript"/>
        </w:rPr>
        <w:t>[</w:t>
      </w:r>
      <w:proofErr w:type="gramEnd"/>
      <w:r w:rsidR="003F50EE" w:rsidRPr="00242AA7">
        <w:rPr>
          <w:rFonts w:ascii="Book Antiqua" w:hAnsi="Book Antiqua"/>
          <w:vertAlign w:val="superscript"/>
        </w:rPr>
        <w:t>26,34]</w:t>
      </w:r>
      <w:r w:rsidRPr="00242AA7">
        <w:rPr>
          <w:rFonts w:ascii="Book Antiqua" w:hAnsi="Book Antiqua"/>
        </w:rPr>
        <w:t xml:space="preserve"> progress and remain amenable to ablative SBRT. However, after lymph node SBRT, new lymph node relapses frequently occur outside the treated field, accounting for 67% of all relapse cases over a median follow-up of two </w:t>
      </w:r>
      <w:proofErr w:type="gramStart"/>
      <w:r w:rsidRPr="00242AA7">
        <w:rPr>
          <w:rFonts w:ascii="Book Antiqua" w:hAnsi="Book Antiqua"/>
        </w:rPr>
        <w:t>years</w:t>
      </w:r>
      <w:r w:rsidR="003F50EE" w:rsidRPr="00242AA7">
        <w:rPr>
          <w:rFonts w:ascii="Book Antiqua" w:hAnsi="Book Antiqua"/>
          <w:vertAlign w:val="superscript"/>
        </w:rPr>
        <w:t>[</w:t>
      </w:r>
      <w:proofErr w:type="gramEnd"/>
      <w:r w:rsidR="003F50EE" w:rsidRPr="00242AA7">
        <w:rPr>
          <w:rFonts w:ascii="Book Antiqua" w:hAnsi="Book Antiqua"/>
          <w:vertAlign w:val="superscript"/>
        </w:rPr>
        <w:t>34]</w:t>
      </w:r>
      <w:r w:rsidRPr="00242AA7">
        <w:rPr>
          <w:rFonts w:ascii="Book Antiqua" w:hAnsi="Book Antiqua"/>
        </w:rPr>
        <w:t xml:space="preserve">. </w:t>
      </w:r>
      <w:r w:rsidR="00712FBD" w:rsidRPr="00242AA7">
        <w:rPr>
          <w:rFonts w:ascii="Book Antiqua" w:hAnsi="Book Antiqua"/>
        </w:rPr>
        <w:t>SBRT</w:t>
      </w:r>
      <w:r w:rsidRPr="00242AA7">
        <w:rPr>
          <w:rFonts w:ascii="Book Antiqua" w:hAnsi="Book Antiqua"/>
        </w:rPr>
        <w:t xml:space="preserve"> may be used in selected patients, though they should be informed of the high risk of recurrence, which may prove more difficult to treat through re-irradiation with curative intent.</w:t>
      </w:r>
    </w:p>
    <w:p w14:paraId="37EAA838" w14:textId="77777777" w:rsidR="00BB7CC0" w:rsidRPr="00242AA7" w:rsidRDefault="00BB7CC0" w:rsidP="00242AA7">
      <w:pPr>
        <w:spacing w:line="360" w:lineRule="auto"/>
        <w:jc w:val="both"/>
        <w:rPr>
          <w:rFonts w:ascii="Book Antiqua" w:hAnsi="Book Antiqua"/>
        </w:rPr>
      </w:pPr>
    </w:p>
    <w:p w14:paraId="40444D00" w14:textId="301B7DE1" w:rsidR="00FA65A9" w:rsidRPr="00DA0EF6" w:rsidRDefault="004E5E0E" w:rsidP="00242AA7">
      <w:pPr>
        <w:keepNext/>
        <w:spacing w:line="360" w:lineRule="auto"/>
        <w:jc w:val="both"/>
        <w:rPr>
          <w:rFonts w:ascii="Book Antiqua" w:hAnsi="Book Antiqua"/>
          <w:i/>
        </w:rPr>
      </w:pPr>
      <w:r w:rsidRPr="00DA0EF6">
        <w:rPr>
          <w:rFonts w:ascii="Book Antiqua" w:hAnsi="Book Antiqua"/>
          <w:b/>
          <w:i/>
        </w:rPr>
        <w:t>T</w:t>
      </w:r>
      <w:r w:rsidR="00DA0EF6" w:rsidRPr="00DA0EF6">
        <w:rPr>
          <w:rFonts w:ascii="Book Antiqua" w:hAnsi="Book Antiqua"/>
          <w:b/>
          <w:i/>
        </w:rPr>
        <w:t>oxicity</w:t>
      </w:r>
    </w:p>
    <w:p w14:paraId="174ADEFB" w14:textId="30AC766C" w:rsidR="005059C2" w:rsidRPr="00242AA7" w:rsidRDefault="00B02330" w:rsidP="00242AA7">
      <w:pPr>
        <w:spacing w:line="360" w:lineRule="auto"/>
        <w:jc w:val="both"/>
        <w:rPr>
          <w:rFonts w:ascii="Book Antiqua" w:hAnsi="Book Antiqua"/>
        </w:rPr>
      </w:pPr>
      <w:r w:rsidRPr="00242AA7">
        <w:rPr>
          <w:rFonts w:ascii="Book Antiqua" w:hAnsi="Book Antiqua"/>
        </w:rPr>
        <w:t xml:space="preserve">All the published series found toxicity to be low (Tables 1 and 2). The most relevant problem after SBRT of bone metastases is fracture - this being the cause underlying the only reported case of grade 3 </w:t>
      </w:r>
      <w:proofErr w:type="gramStart"/>
      <w:r w:rsidRPr="00242AA7">
        <w:rPr>
          <w:rFonts w:ascii="Book Antiqua" w:hAnsi="Book Antiqua"/>
        </w:rPr>
        <w:t>toxicity</w:t>
      </w:r>
      <w:r w:rsidR="00907890" w:rsidRPr="00242AA7">
        <w:rPr>
          <w:rFonts w:ascii="Book Antiqua" w:hAnsi="Book Antiqua"/>
          <w:vertAlign w:val="superscript"/>
        </w:rPr>
        <w:t>[</w:t>
      </w:r>
      <w:proofErr w:type="gramEnd"/>
      <w:r w:rsidR="00907890" w:rsidRPr="00242AA7">
        <w:rPr>
          <w:rFonts w:ascii="Book Antiqua" w:hAnsi="Book Antiqua"/>
          <w:vertAlign w:val="superscript"/>
        </w:rPr>
        <w:t>26]</w:t>
      </w:r>
      <w:r w:rsidRPr="00242AA7">
        <w:rPr>
          <w:rFonts w:ascii="Book Antiqua" w:hAnsi="Book Antiqua"/>
        </w:rPr>
        <w:t xml:space="preserve">. Low-grade toxicity was generally limited to gastrointestinal effects such as nausea, and was consistently observed in </w:t>
      </w:r>
      <w:r w:rsidR="005059C2" w:rsidRPr="00242AA7">
        <w:rPr>
          <w:rFonts w:ascii="Book Antiqua" w:hAnsi="Book Antiqua"/>
        </w:rPr>
        <w:t>&lt;</w:t>
      </w:r>
      <w:r w:rsidR="001D4F86" w:rsidRPr="00242AA7">
        <w:rPr>
          <w:rFonts w:ascii="Book Antiqua" w:hAnsi="Book Antiqua"/>
        </w:rPr>
        <w:t> </w:t>
      </w:r>
      <w:r w:rsidRPr="00242AA7">
        <w:rPr>
          <w:rFonts w:ascii="Book Antiqua" w:hAnsi="Book Antiqua"/>
        </w:rPr>
        <w:t>20% of the treated patients. The largest published series on SBRT applied to non-spinal bone metastases documented a fracture rate of approximately 8.5%, and concluded that SBRT is safe, since the risk of pathological fracture after cEBRT was estimated to be approximately 4</w:t>
      </w:r>
      <w:r w:rsidR="004E5E0E">
        <w:rPr>
          <w:rFonts w:ascii="Book Antiqua" w:eastAsia="SimSun" w:hAnsi="Book Antiqua" w:hint="eastAsia"/>
          <w:lang w:eastAsia="zh-CN"/>
        </w:rPr>
        <w:t>%</w:t>
      </w:r>
      <w:r w:rsidRPr="00242AA7">
        <w:rPr>
          <w:rFonts w:ascii="Book Antiqua" w:hAnsi="Book Antiqua"/>
        </w:rPr>
        <w:t>-5</w:t>
      </w:r>
      <w:proofErr w:type="gramStart"/>
      <w:r w:rsidRPr="00242AA7">
        <w:rPr>
          <w:rFonts w:ascii="Book Antiqua" w:hAnsi="Book Antiqua"/>
        </w:rPr>
        <w:t>%</w:t>
      </w:r>
      <w:r w:rsidR="005F497D" w:rsidRPr="00242AA7">
        <w:rPr>
          <w:rFonts w:ascii="Book Antiqua" w:hAnsi="Book Antiqua"/>
          <w:vertAlign w:val="superscript"/>
        </w:rPr>
        <w:t>[</w:t>
      </w:r>
      <w:proofErr w:type="gramEnd"/>
      <w:r w:rsidR="005F497D" w:rsidRPr="00242AA7">
        <w:rPr>
          <w:rFonts w:ascii="Book Antiqua" w:hAnsi="Book Antiqua"/>
          <w:vertAlign w:val="superscript"/>
        </w:rPr>
        <w:t>42]</w:t>
      </w:r>
      <w:r w:rsidRPr="00242AA7">
        <w:rPr>
          <w:rFonts w:ascii="Book Antiqua" w:hAnsi="Book Antiqua"/>
        </w:rPr>
        <w:t>.</w:t>
      </w:r>
    </w:p>
    <w:p w14:paraId="2E58FED4" w14:textId="6347CBA6" w:rsidR="000864D9" w:rsidRPr="00242AA7" w:rsidRDefault="000864D9" w:rsidP="004E5E0E">
      <w:pPr>
        <w:spacing w:line="360" w:lineRule="auto"/>
        <w:ind w:firstLineChars="100" w:firstLine="240"/>
        <w:jc w:val="both"/>
        <w:rPr>
          <w:rFonts w:ascii="Book Antiqua" w:hAnsi="Book Antiqua"/>
        </w:rPr>
      </w:pPr>
      <w:r w:rsidRPr="00242AA7">
        <w:rPr>
          <w:rFonts w:ascii="Book Antiqua" w:hAnsi="Book Antiqua"/>
        </w:rPr>
        <w:lastRenderedPageBreak/>
        <w:t>The Spinal Instability Neoplastic Score (SINS</w:t>
      </w:r>
      <w:proofErr w:type="gramStart"/>
      <w:r w:rsidRPr="00242AA7">
        <w:rPr>
          <w:rFonts w:ascii="Book Antiqua" w:hAnsi="Book Antiqua"/>
        </w:rPr>
        <w:t>)</w:t>
      </w:r>
      <w:r w:rsidR="005C5F8F" w:rsidRPr="00242AA7">
        <w:rPr>
          <w:rFonts w:ascii="Book Antiqua" w:hAnsi="Book Antiqua"/>
          <w:vertAlign w:val="superscript"/>
        </w:rPr>
        <w:t>[</w:t>
      </w:r>
      <w:proofErr w:type="gramEnd"/>
      <w:r w:rsidR="005C5F8F" w:rsidRPr="00242AA7">
        <w:rPr>
          <w:rFonts w:ascii="Book Antiqua" w:hAnsi="Book Antiqua"/>
          <w:vertAlign w:val="superscript"/>
        </w:rPr>
        <w:t>43]</w:t>
      </w:r>
      <w:r w:rsidRPr="00242AA7">
        <w:rPr>
          <w:rFonts w:ascii="Book Antiqua" w:hAnsi="Book Antiqua"/>
        </w:rPr>
        <w:t xml:space="preserve"> predicts fracture risk and should be assessed prior to vertebral SBRT in all cases. The criteria for assessing SINS include the level of the metastasis targeted for irradiation, the type of pain, spinal malalignment, the presence of baseline vertebral compression fractures, the type of lesion, and whether the tumor involves the posterior wall. The SINS classifies patients as stable (SINS 0-6), potentially unstable (SINS 7-12), or unstable (SINS 13-18). In the case of SINS ≥</w:t>
      </w:r>
      <w:r w:rsidR="001D4F86" w:rsidRPr="00242AA7">
        <w:rPr>
          <w:rFonts w:ascii="Book Antiqua" w:hAnsi="Book Antiqua"/>
        </w:rPr>
        <w:t> </w:t>
      </w:r>
      <w:r w:rsidRPr="00242AA7">
        <w:rPr>
          <w:rFonts w:ascii="Book Antiqua" w:hAnsi="Book Antiqua"/>
        </w:rPr>
        <w:t xml:space="preserve">7, the risk of fracture is increased and vertebroplasty or surgical stabilization prior to SBRT is </w:t>
      </w:r>
      <w:proofErr w:type="gramStart"/>
      <w:r w:rsidRPr="00242AA7">
        <w:rPr>
          <w:rFonts w:ascii="Book Antiqua" w:hAnsi="Book Antiqua"/>
        </w:rPr>
        <w:t>recommended</w:t>
      </w:r>
      <w:r w:rsidR="005C5F8F" w:rsidRPr="00242AA7">
        <w:rPr>
          <w:rFonts w:ascii="Book Antiqua" w:hAnsi="Book Antiqua"/>
          <w:vertAlign w:val="superscript"/>
        </w:rPr>
        <w:t>[</w:t>
      </w:r>
      <w:proofErr w:type="gramEnd"/>
      <w:r w:rsidR="005C5F8F" w:rsidRPr="00242AA7">
        <w:rPr>
          <w:rFonts w:ascii="Book Antiqua" w:hAnsi="Book Antiqua"/>
          <w:vertAlign w:val="superscript"/>
        </w:rPr>
        <w:t>44]</w:t>
      </w:r>
      <w:r w:rsidRPr="00242AA7">
        <w:rPr>
          <w:rFonts w:ascii="Book Antiqua" w:hAnsi="Book Antiqua"/>
        </w:rPr>
        <w:t>.</w:t>
      </w:r>
    </w:p>
    <w:p w14:paraId="2734D4F9" w14:textId="77777777" w:rsidR="00BB7CC0" w:rsidRPr="00242AA7" w:rsidRDefault="00BB7CC0" w:rsidP="00242AA7">
      <w:pPr>
        <w:spacing w:line="360" w:lineRule="auto"/>
        <w:jc w:val="both"/>
        <w:rPr>
          <w:rFonts w:ascii="Book Antiqua" w:hAnsi="Book Antiqua"/>
        </w:rPr>
      </w:pPr>
    </w:p>
    <w:p w14:paraId="30DB12A6" w14:textId="47045715" w:rsidR="008505E2" w:rsidRPr="00DA0EF6" w:rsidRDefault="003A1F61" w:rsidP="00242AA7">
      <w:pPr>
        <w:keepNext/>
        <w:spacing w:line="360" w:lineRule="auto"/>
        <w:jc w:val="both"/>
        <w:rPr>
          <w:rFonts w:ascii="Book Antiqua" w:eastAsia="SimSun" w:hAnsi="Book Antiqua"/>
          <w:i/>
          <w:lang w:eastAsia="zh-CN"/>
        </w:rPr>
      </w:pPr>
      <w:r w:rsidRPr="00DA0EF6">
        <w:rPr>
          <w:rFonts w:ascii="Book Antiqua" w:hAnsi="Book Antiqua"/>
          <w:b/>
          <w:i/>
        </w:rPr>
        <w:t>ADT-FS</w:t>
      </w:r>
    </w:p>
    <w:p w14:paraId="5F673B00" w14:textId="587F2447" w:rsidR="005059C2" w:rsidRPr="00242AA7" w:rsidRDefault="008505E2" w:rsidP="00242AA7">
      <w:pPr>
        <w:spacing w:line="360" w:lineRule="auto"/>
        <w:jc w:val="both"/>
        <w:rPr>
          <w:rFonts w:ascii="Book Antiqua" w:hAnsi="Book Antiqua"/>
        </w:rPr>
      </w:pPr>
      <w:r w:rsidRPr="00242AA7">
        <w:rPr>
          <w:rFonts w:ascii="Book Antiqua" w:hAnsi="Book Antiqua"/>
        </w:rPr>
        <w:t xml:space="preserve">Five studies in oligorecurrent </w:t>
      </w:r>
      <w:proofErr w:type="gramStart"/>
      <w:r w:rsidRPr="00242AA7">
        <w:rPr>
          <w:rFonts w:ascii="Book Antiqua" w:hAnsi="Book Antiqua"/>
        </w:rPr>
        <w:t>patients</w:t>
      </w:r>
      <w:r w:rsidR="00D714FD" w:rsidRPr="00242AA7">
        <w:rPr>
          <w:rFonts w:ascii="Book Antiqua" w:hAnsi="Book Antiqua"/>
          <w:vertAlign w:val="superscript"/>
        </w:rPr>
        <w:t>[</w:t>
      </w:r>
      <w:proofErr w:type="gramEnd"/>
      <w:r w:rsidR="00D714FD" w:rsidRPr="00242AA7">
        <w:rPr>
          <w:rFonts w:ascii="Book Antiqua" w:hAnsi="Book Antiqua"/>
          <w:vertAlign w:val="superscript"/>
        </w:rPr>
        <w:t>34,45-48]</w:t>
      </w:r>
      <w:r w:rsidR="00D714FD" w:rsidRPr="00242AA7">
        <w:rPr>
          <w:rFonts w:ascii="Book Antiqua" w:hAnsi="Book Antiqua"/>
        </w:rPr>
        <w:t xml:space="preserve"> </w:t>
      </w:r>
      <w:r w:rsidRPr="00242AA7">
        <w:rPr>
          <w:rFonts w:ascii="Book Antiqua" w:hAnsi="Book Antiqua"/>
        </w:rPr>
        <w:t xml:space="preserve">analyzed ADT-FS as primary endpoint - this parameter being defined as the time interval between the first day of SBRT and the start of ADT. The reported range in median ADT-FS was 15.6-39.7 mo. The studies included second and subsequent cycles of SBRT, delaying palliative treatment with ADT and its side </w:t>
      </w:r>
      <w:proofErr w:type="gramStart"/>
      <w:r w:rsidRPr="00242AA7">
        <w:rPr>
          <w:rFonts w:ascii="Book Antiqua" w:hAnsi="Book Antiqua"/>
        </w:rPr>
        <w:t>effects</w:t>
      </w:r>
      <w:r w:rsidR="00BE4498" w:rsidRPr="00242AA7">
        <w:rPr>
          <w:rFonts w:ascii="Book Antiqua" w:hAnsi="Book Antiqua"/>
          <w:vertAlign w:val="superscript"/>
        </w:rPr>
        <w:t>[</w:t>
      </w:r>
      <w:proofErr w:type="gramEnd"/>
      <w:r w:rsidR="00BE4498" w:rsidRPr="00242AA7">
        <w:rPr>
          <w:rFonts w:ascii="Book Antiqua" w:hAnsi="Book Antiqua"/>
          <w:vertAlign w:val="superscript"/>
        </w:rPr>
        <w:t>34,45]</w:t>
      </w:r>
      <w:r w:rsidR="00BE4498" w:rsidRPr="00242AA7">
        <w:rPr>
          <w:rFonts w:ascii="Book Antiqua" w:hAnsi="Book Antiqua"/>
        </w:rPr>
        <w:t xml:space="preserve">. </w:t>
      </w:r>
      <w:r w:rsidRPr="00242AA7">
        <w:rPr>
          <w:rFonts w:ascii="Book Antiqua" w:hAnsi="Book Antiqua"/>
        </w:rPr>
        <w:t>After a median follow-up of three years, the STOMP study</w:t>
      </w:r>
      <w:r w:rsidR="009F0A37" w:rsidRPr="00242AA7">
        <w:rPr>
          <w:rFonts w:ascii="Book Antiqua" w:hAnsi="Book Antiqua"/>
          <w:vertAlign w:val="superscript"/>
        </w:rPr>
        <w:t>[20]</w:t>
      </w:r>
      <w:r w:rsidRPr="00242AA7">
        <w:rPr>
          <w:rFonts w:ascii="Book Antiqua" w:hAnsi="Book Antiqua"/>
        </w:rPr>
        <w:t xml:space="preserve">, as the first prospective, randomized trial of MDT and delayed ADT in oligometastatic PCa versus observation, found the median ADT-FS to be 13 mo for the observation group and 21 mo for the MDT group. In the POPSTART </w:t>
      </w:r>
      <w:proofErr w:type="gramStart"/>
      <w:r w:rsidRPr="00242AA7">
        <w:rPr>
          <w:rFonts w:ascii="Book Antiqua" w:hAnsi="Book Antiqua"/>
        </w:rPr>
        <w:t>study</w:t>
      </w:r>
      <w:r w:rsidR="009F0A37" w:rsidRPr="00242AA7">
        <w:rPr>
          <w:rFonts w:ascii="Book Antiqua" w:hAnsi="Book Antiqua"/>
          <w:vertAlign w:val="superscript"/>
        </w:rPr>
        <w:t>[</w:t>
      </w:r>
      <w:proofErr w:type="gramEnd"/>
      <w:r w:rsidR="009F0A37" w:rsidRPr="00242AA7">
        <w:rPr>
          <w:rFonts w:ascii="Book Antiqua" w:hAnsi="Book Antiqua"/>
          <w:vertAlign w:val="superscript"/>
        </w:rPr>
        <w:t>26]</w:t>
      </w:r>
      <w:r w:rsidRPr="00242AA7">
        <w:rPr>
          <w:rFonts w:ascii="Book Antiqua" w:hAnsi="Book Antiqua"/>
        </w:rPr>
        <w:t xml:space="preserve"> the ADT-FS rate at two years was 48%.</w:t>
      </w:r>
    </w:p>
    <w:p w14:paraId="164F60E5" w14:textId="77777777" w:rsidR="00C30A12" w:rsidRPr="00242AA7" w:rsidRDefault="00C30A12" w:rsidP="00242AA7">
      <w:pPr>
        <w:spacing w:line="360" w:lineRule="auto"/>
        <w:jc w:val="both"/>
        <w:rPr>
          <w:rFonts w:ascii="Book Antiqua" w:hAnsi="Book Antiqua"/>
        </w:rPr>
      </w:pPr>
    </w:p>
    <w:p w14:paraId="4259C268" w14:textId="77777777" w:rsidR="004E5E0E" w:rsidRPr="00DA0EF6" w:rsidRDefault="004E5E0E" w:rsidP="00242AA7">
      <w:pPr>
        <w:spacing w:line="360" w:lineRule="auto"/>
        <w:jc w:val="both"/>
        <w:rPr>
          <w:rFonts w:ascii="Book Antiqua" w:eastAsia="SimSun" w:hAnsi="Book Antiqua"/>
          <w:b/>
          <w:i/>
          <w:lang w:eastAsia="zh-CN"/>
        </w:rPr>
      </w:pPr>
      <w:r w:rsidRPr="00DA0EF6">
        <w:rPr>
          <w:rFonts w:ascii="Book Antiqua" w:hAnsi="Book Antiqua"/>
          <w:b/>
          <w:i/>
        </w:rPr>
        <w:t xml:space="preserve">PFS </w:t>
      </w:r>
    </w:p>
    <w:p w14:paraId="348F3F96" w14:textId="3428F109" w:rsidR="005059C2" w:rsidRPr="00242AA7" w:rsidRDefault="00801F38" w:rsidP="00242AA7">
      <w:pPr>
        <w:spacing w:line="360" w:lineRule="auto"/>
        <w:jc w:val="both"/>
        <w:rPr>
          <w:rFonts w:ascii="Book Antiqua" w:hAnsi="Book Antiqua"/>
        </w:rPr>
      </w:pPr>
      <w:r w:rsidRPr="00242AA7">
        <w:rPr>
          <w:rFonts w:ascii="Book Antiqua" w:hAnsi="Book Antiqua"/>
        </w:rPr>
        <w:t>The PFS rates at 1-2 years are shown in Table 1, and range from 40</w:t>
      </w:r>
      <w:r w:rsidR="008A5728">
        <w:rPr>
          <w:rFonts w:ascii="Book Antiqua" w:eastAsia="SimSun" w:hAnsi="Book Antiqua" w:hint="eastAsia"/>
          <w:lang w:eastAsia="zh-CN"/>
        </w:rPr>
        <w:t>%</w:t>
      </w:r>
      <w:r w:rsidRPr="00242AA7">
        <w:rPr>
          <w:rFonts w:ascii="Book Antiqua" w:hAnsi="Book Antiqua"/>
        </w:rPr>
        <w:t>-72% at one year to 35</w:t>
      </w:r>
      <w:r w:rsidR="008A5728">
        <w:rPr>
          <w:rFonts w:ascii="Book Antiqua" w:eastAsia="SimSun" w:hAnsi="Book Antiqua" w:hint="eastAsia"/>
          <w:lang w:eastAsia="zh-CN"/>
        </w:rPr>
        <w:t>%</w:t>
      </w:r>
      <w:r w:rsidRPr="00242AA7">
        <w:rPr>
          <w:rFonts w:ascii="Book Antiqua" w:hAnsi="Book Antiqua"/>
        </w:rPr>
        <w:t>-45% at two years. The median PFS values range from 7.3</w:t>
      </w:r>
      <w:r w:rsidR="001D4F86" w:rsidRPr="00242AA7">
        <w:rPr>
          <w:rFonts w:ascii="Book Antiqua" w:hAnsi="Book Antiqua"/>
        </w:rPr>
        <w:noBreakHyphen/>
      </w:r>
      <w:r w:rsidRPr="00242AA7">
        <w:rPr>
          <w:rFonts w:ascii="Book Antiqua" w:hAnsi="Book Antiqua"/>
        </w:rPr>
        <w:t>31.6</w:t>
      </w:r>
      <w:r w:rsidR="001D4F86" w:rsidRPr="00242AA7">
        <w:rPr>
          <w:rFonts w:ascii="Book Antiqua" w:hAnsi="Book Antiqua"/>
        </w:rPr>
        <w:t> </w:t>
      </w:r>
      <w:r w:rsidRPr="00242AA7">
        <w:rPr>
          <w:rFonts w:ascii="Book Antiqua" w:hAnsi="Book Antiqua"/>
        </w:rPr>
        <w:t>mo. The use of hormone treatment is also highly variable. In contrast to cEBRT, the contribution of ADT used in combination with SBRT is not known, though it may improve tumor control by exerting a synergistic effect.</w:t>
      </w:r>
    </w:p>
    <w:p w14:paraId="76873109" w14:textId="49F893ED" w:rsidR="005059C2" w:rsidRPr="00242AA7" w:rsidRDefault="009071F6" w:rsidP="008A5728">
      <w:pPr>
        <w:spacing w:line="360" w:lineRule="auto"/>
        <w:ind w:firstLineChars="100" w:firstLine="240"/>
        <w:jc w:val="both"/>
        <w:rPr>
          <w:rFonts w:ascii="Book Antiqua" w:hAnsi="Book Antiqua"/>
        </w:rPr>
      </w:pPr>
      <w:r w:rsidRPr="00242AA7">
        <w:rPr>
          <w:rFonts w:ascii="Book Antiqua" w:hAnsi="Book Antiqua"/>
        </w:rPr>
        <w:t xml:space="preserve">The largest reported </w:t>
      </w:r>
      <w:proofErr w:type="gramStart"/>
      <w:r w:rsidRPr="00242AA7">
        <w:rPr>
          <w:rFonts w:ascii="Book Antiqua" w:hAnsi="Book Antiqua"/>
        </w:rPr>
        <w:t>series</w:t>
      </w:r>
      <w:r w:rsidR="00B14EC9" w:rsidRPr="00242AA7">
        <w:rPr>
          <w:rFonts w:ascii="Book Antiqua" w:hAnsi="Book Antiqua"/>
          <w:vertAlign w:val="superscript"/>
        </w:rPr>
        <w:t>[</w:t>
      </w:r>
      <w:proofErr w:type="gramEnd"/>
      <w:r w:rsidR="00B14EC9" w:rsidRPr="00242AA7">
        <w:rPr>
          <w:rFonts w:ascii="Book Antiqua" w:hAnsi="Book Antiqua"/>
          <w:vertAlign w:val="superscript"/>
        </w:rPr>
        <w:t>29]</w:t>
      </w:r>
      <w:r w:rsidRPr="00242AA7">
        <w:rPr>
          <w:rFonts w:ascii="Book Antiqua" w:hAnsi="Book Antiqua"/>
        </w:rPr>
        <w:t>, a multi-institutional study pool, used PFS (defined as the absence of new metastatic lesions) as the primary endpoint, with rates of 31% and 15% at 3 and 5 years, respectively, and with a median PFS of 21 mo.</w:t>
      </w:r>
    </w:p>
    <w:p w14:paraId="3B71146A" w14:textId="77777777" w:rsidR="008A48BC" w:rsidRPr="00242AA7" w:rsidRDefault="008A48BC" w:rsidP="00242AA7">
      <w:pPr>
        <w:spacing w:line="360" w:lineRule="auto"/>
        <w:jc w:val="both"/>
        <w:rPr>
          <w:rFonts w:ascii="Book Antiqua" w:hAnsi="Book Antiqua"/>
        </w:rPr>
      </w:pPr>
    </w:p>
    <w:p w14:paraId="4C1626F8" w14:textId="64B6F7E7" w:rsidR="00605EC0" w:rsidRPr="00DA0EF6" w:rsidRDefault="008A5728" w:rsidP="008A5728">
      <w:pPr>
        <w:spacing w:line="360" w:lineRule="auto"/>
        <w:jc w:val="both"/>
        <w:rPr>
          <w:rFonts w:ascii="Book Antiqua" w:eastAsia="SimSun" w:hAnsi="Book Antiqua"/>
          <w:b/>
          <w:lang w:eastAsia="zh-CN"/>
        </w:rPr>
      </w:pPr>
      <w:r w:rsidRPr="00DA0EF6">
        <w:rPr>
          <w:rFonts w:ascii="Book Antiqua" w:hAnsi="Book Antiqua"/>
          <w:b/>
        </w:rPr>
        <w:lastRenderedPageBreak/>
        <w:t>Oligoprogressive patients</w:t>
      </w:r>
      <w:r w:rsidR="00DA0EF6" w:rsidRPr="00DA0EF6">
        <w:rPr>
          <w:rFonts w:ascii="Book Antiqua" w:eastAsia="SimSun" w:hAnsi="Book Antiqua" w:hint="eastAsia"/>
          <w:b/>
          <w:lang w:eastAsia="zh-CN"/>
        </w:rPr>
        <w:t>:</w:t>
      </w:r>
      <w:r w:rsidR="00DA0EF6">
        <w:rPr>
          <w:rFonts w:ascii="Book Antiqua" w:eastAsia="SimSun" w:hAnsi="Book Antiqua" w:hint="eastAsia"/>
          <w:b/>
          <w:lang w:eastAsia="zh-CN"/>
        </w:rPr>
        <w:t xml:space="preserve"> </w:t>
      </w:r>
      <w:r w:rsidR="004122D9" w:rsidRPr="00242AA7">
        <w:rPr>
          <w:rFonts w:ascii="Book Antiqua" w:hAnsi="Book Antiqua"/>
        </w:rPr>
        <w:t xml:space="preserve">Special mention must be made of the assessment of SBRT in oligoprogressive patients. Five </w:t>
      </w:r>
      <w:proofErr w:type="gramStart"/>
      <w:r w:rsidR="004122D9" w:rsidRPr="00242AA7">
        <w:rPr>
          <w:rFonts w:ascii="Book Antiqua" w:hAnsi="Book Antiqua"/>
        </w:rPr>
        <w:t>series</w:t>
      </w:r>
      <w:r w:rsidR="0096123A" w:rsidRPr="00242AA7">
        <w:rPr>
          <w:rFonts w:ascii="Book Antiqua" w:hAnsi="Book Antiqua"/>
          <w:vertAlign w:val="superscript"/>
        </w:rPr>
        <w:t>[</w:t>
      </w:r>
      <w:proofErr w:type="gramEnd"/>
      <w:r w:rsidR="0096123A" w:rsidRPr="00242AA7">
        <w:rPr>
          <w:rFonts w:ascii="Book Antiqua" w:hAnsi="Book Antiqua"/>
          <w:vertAlign w:val="superscript"/>
        </w:rPr>
        <w:t>30,47,49,50]</w:t>
      </w:r>
      <w:r w:rsidR="004122D9" w:rsidRPr="00242AA7">
        <w:rPr>
          <w:rFonts w:ascii="Book Antiqua" w:hAnsi="Book Antiqua"/>
        </w:rPr>
        <w:t xml:space="preserve"> include oligorecurrent and oligoprogressive, castration-resistant patients. Stereotactic body radiation therapy appears to be useful also in this group of patients with a poorer prognosis. In the POPSTAR </w:t>
      </w:r>
      <w:proofErr w:type="gramStart"/>
      <w:r w:rsidR="004122D9" w:rsidRPr="00242AA7">
        <w:rPr>
          <w:rFonts w:ascii="Book Antiqua" w:hAnsi="Book Antiqua"/>
        </w:rPr>
        <w:t>trial</w:t>
      </w:r>
      <w:r w:rsidR="00672384" w:rsidRPr="00242AA7">
        <w:rPr>
          <w:rFonts w:ascii="Book Antiqua" w:hAnsi="Book Antiqua"/>
          <w:vertAlign w:val="superscript"/>
        </w:rPr>
        <w:t>[</w:t>
      </w:r>
      <w:proofErr w:type="gramEnd"/>
      <w:r w:rsidR="00672384" w:rsidRPr="00242AA7">
        <w:rPr>
          <w:rFonts w:ascii="Book Antiqua" w:hAnsi="Book Antiqua"/>
          <w:vertAlign w:val="superscript"/>
        </w:rPr>
        <w:t xml:space="preserve">26] </w:t>
      </w:r>
      <w:r w:rsidR="004122D9" w:rsidRPr="00242AA7">
        <w:rPr>
          <w:rFonts w:ascii="Book Antiqua" w:hAnsi="Book Antiqua"/>
        </w:rPr>
        <w:t>the PFS rate at one and two years was 58% and 39%, respectively.</w:t>
      </w:r>
      <w:r>
        <w:rPr>
          <w:rFonts w:ascii="Book Antiqua" w:eastAsia="SimSun" w:hAnsi="Book Antiqua" w:hint="eastAsia"/>
          <w:lang w:eastAsia="zh-CN"/>
        </w:rPr>
        <w:t xml:space="preserve"> </w:t>
      </w:r>
      <w:r w:rsidR="00605EC0" w:rsidRPr="00242AA7">
        <w:rPr>
          <w:rFonts w:ascii="Book Antiqua" w:hAnsi="Book Antiqua"/>
        </w:rPr>
        <w:t>In the p</w:t>
      </w:r>
      <w:r>
        <w:rPr>
          <w:rFonts w:ascii="Book Antiqua" w:hAnsi="Book Antiqua"/>
        </w:rPr>
        <w:t xml:space="preserve">rospective study by Ahmed </w:t>
      </w:r>
      <w:r w:rsidRPr="008A5728">
        <w:rPr>
          <w:rFonts w:ascii="Book Antiqua" w:hAnsi="Book Antiqua"/>
          <w:i/>
        </w:rPr>
        <w:t xml:space="preserve">et </w:t>
      </w:r>
      <w:proofErr w:type="gramStart"/>
      <w:r w:rsidRPr="008A5728">
        <w:rPr>
          <w:rFonts w:ascii="Book Antiqua" w:hAnsi="Book Antiqua"/>
          <w:i/>
        </w:rPr>
        <w:t>al</w:t>
      </w:r>
      <w:r w:rsidR="00B52486" w:rsidRPr="00242AA7">
        <w:rPr>
          <w:rFonts w:ascii="Book Antiqua" w:hAnsi="Book Antiqua"/>
          <w:vertAlign w:val="superscript"/>
        </w:rPr>
        <w:t>[</w:t>
      </w:r>
      <w:proofErr w:type="gramEnd"/>
      <w:r w:rsidR="00B52486" w:rsidRPr="00242AA7">
        <w:rPr>
          <w:rFonts w:ascii="Book Antiqua" w:hAnsi="Book Antiqua"/>
          <w:vertAlign w:val="superscript"/>
        </w:rPr>
        <w:t>49]</w:t>
      </w:r>
      <w:r w:rsidR="00605EC0" w:rsidRPr="00242AA7">
        <w:rPr>
          <w:rFonts w:ascii="Book Antiqua" w:hAnsi="Book Antiqua"/>
        </w:rPr>
        <w:t>, 6 of the 11 castration-resistant patients achieved undetectable or decreasing PSA levels with a median follow-up of 4.8 mo.</w:t>
      </w:r>
    </w:p>
    <w:p w14:paraId="08E1D708" w14:textId="21B3C608" w:rsidR="005059C2" w:rsidRPr="00242AA7" w:rsidRDefault="00605EC0" w:rsidP="008A5728">
      <w:pPr>
        <w:autoSpaceDE w:val="0"/>
        <w:autoSpaceDN w:val="0"/>
        <w:adjustRightInd w:val="0"/>
        <w:spacing w:line="360" w:lineRule="auto"/>
        <w:ind w:firstLineChars="100" w:firstLine="240"/>
        <w:jc w:val="both"/>
        <w:rPr>
          <w:rFonts w:ascii="Book Antiqua" w:hAnsi="Book Antiqua"/>
        </w:rPr>
      </w:pPr>
      <w:r w:rsidRPr="00242AA7">
        <w:rPr>
          <w:rFonts w:ascii="Book Antiqua" w:hAnsi="Book Antiqua"/>
        </w:rPr>
        <w:t xml:space="preserve">The third study is a multicenter </w:t>
      </w:r>
      <w:proofErr w:type="gramStart"/>
      <w:r w:rsidRPr="00242AA7">
        <w:rPr>
          <w:rFonts w:ascii="Book Antiqua" w:hAnsi="Book Antiqua"/>
        </w:rPr>
        <w:t>trial</w:t>
      </w:r>
      <w:r w:rsidR="00B52486" w:rsidRPr="00242AA7">
        <w:rPr>
          <w:rFonts w:ascii="Book Antiqua" w:hAnsi="Book Antiqua"/>
          <w:vertAlign w:val="superscript"/>
        </w:rPr>
        <w:t>[</w:t>
      </w:r>
      <w:proofErr w:type="gramEnd"/>
      <w:r w:rsidR="00B52486" w:rsidRPr="00242AA7">
        <w:rPr>
          <w:rFonts w:ascii="Book Antiqua" w:hAnsi="Book Antiqua"/>
          <w:vertAlign w:val="superscript"/>
        </w:rPr>
        <w:t>47]</w:t>
      </w:r>
      <w:r w:rsidRPr="00242AA7">
        <w:rPr>
          <w:rFonts w:ascii="Book Antiqua" w:hAnsi="Book Antiqua"/>
        </w:rPr>
        <w:t xml:space="preserve"> describing 41</w:t>
      </w:r>
      <w:r w:rsidR="001D4F86" w:rsidRPr="00242AA7">
        <w:rPr>
          <w:rFonts w:ascii="Book Antiqua" w:hAnsi="Book Antiqua"/>
        </w:rPr>
        <w:t> </w:t>
      </w:r>
      <w:r w:rsidRPr="00242AA7">
        <w:rPr>
          <w:rFonts w:ascii="Book Antiqua" w:hAnsi="Book Antiqua"/>
        </w:rPr>
        <w:t>oligoprogressive patients (70 lesions) - this being the largest number of patients reported to date. With a median follow-up of 23.4 mo, the PFS rate at two years was 22% in this subgroup versus 43% in oligorecurrent patients of the same series.</w:t>
      </w:r>
    </w:p>
    <w:p w14:paraId="5B0306B3" w14:textId="43472440" w:rsidR="00C53D3D" w:rsidRPr="00242AA7" w:rsidRDefault="00605EC0" w:rsidP="008A5728">
      <w:pPr>
        <w:spacing w:line="360" w:lineRule="auto"/>
        <w:ind w:firstLineChars="100" w:firstLine="240"/>
        <w:jc w:val="both"/>
        <w:rPr>
          <w:rFonts w:ascii="Book Antiqua" w:hAnsi="Book Antiqua"/>
        </w:rPr>
      </w:pPr>
      <w:r w:rsidRPr="00242AA7">
        <w:rPr>
          <w:rFonts w:ascii="Book Antiqua" w:hAnsi="Book Antiqua"/>
        </w:rPr>
        <w:t>In the Spanish phase II of the GICOR group</w:t>
      </w:r>
      <w:r w:rsidR="00F33A5B" w:rsidRPr="00242AA7">
        <w:rPr>
          <w:rFonts w:ascii="Book Antiqua" w:hAnsi="Book Antiqua"/>
          <w:vertAlign w:val="superscript"/>
        </w:rPr>
        <w:t>[50]</w:t>
      </w:r>
      <w:r w:rsidRPr="00242AA7">
        <w:rPr>
          <w:rFonts w:ascii="Book Antiqua" w:hAnsi="Book Antiqua"/>
        </w:rPr>
        <w:t>, all patients had at least two years of ADT prior to SBRT, and 12 cases of oligoprogression were included, of which 66% with a median follow-up of 9.8 mo remained progression-free without the need for a new line of systemic treatment (hormonal or chemotherapy).</w:t>
      </w:r>
    </w:p>
    <w:p w14:paraId="1E24F518" w14:textId="77777777" w:rsidR="00C53D3D" w:rsidRPr="00242AA7" w:rsidRDefault="00C53D3D" w:rsidP="00242AA7">
      <w:pPr>
        <w:spacing w:line="360" w:lineRule="auto"/>
        <w:jc w:val="both"/>
        <w:rPr>
          <w:rFonts w:ascii="Book Antiqua" w:hAnsi="Book Antiqua"/>
        </w:rPr>
      </w:pPr>
    </w:p>
    <w:p w14:paraId="0ADB5B0F" w14:textId="7CF6634E" w:rsidR="00E92139" w:rsidRPr="008A5728" w:rsidRDefault="008A5728" w:rsidP="00242AA7">
      <w:pPr>
        <w:keepNext/>
        <w:spacing w:line="360" w:lineRule="auto"/>
        <w:jc w:val="both"/>
        <w:rPr>
          <w:rFonts w:ascii="Book Antiqua" w:eastAsia="SimSun" w:hAnsi="Book Antiqua" w:cs="Arial"/>
          <w:b/>
          <w:lang w:eastAsia="zh-CN"/>
        </w:rPr>
      </w:pPr>
      <w:r>
        <w:rPr>
          <w:rFonts w:ascii="Book Antiqua" w:hAnsi="Book Antiqua"/>
          <w:b/>
        </w:rPr>
        <w:t>ONGOING STUDIES</w:t>
      </w:r>
    </w:p>
    <w:p w14:paraId="073298E8" w14:textId="77777777" w:rsidR="005059C2" w:rsidRPr="00242AA7" w:rsidRDefault="00E92139" w:rsidP="00242AA7">
      <w:pPr>
        <w:spacing w:line="360" w:lineRule="auto"/>
        <w:jc w:val="both"/>
        <w:rPr>
          <w:rFonts w:ascii="Book Antiqua" w:hAnsi="Book Antiqua"/>
        </w:rPr>
      </w:pPr>
      <w:r w:rsidRPr="00242AA7">
        <w:rPr>
          <w:rFonts w:ascii="Book Antiqua" w:hAnsi="Book Antiqua"/>
        </w:rPr>
        <w:t>Different ongoing studies assess the benefit of treatment of the primary tumor in the setting of oligometastatic disease, associated to SBRT of all the metastatic sites. However, we here focus on ongoing trials in oligorecurrent (hormone-sensitive) and oligoprogressive patients (castration-resistant). A summary of these trials is provided in Table 3. All of them are phase II trials, including mostly 1-5 bone and/or lymph node lesions, and their primary endpoints are fundamentally time to disease progression.</w:t>
      </w:r>
    </w:p>
    <w:p w14:paraId="3B20C317" w14:textId="3C9FF08D" w:rsidR="005059C2" w:rsidRPr="00242AA7" w:rsidRDefault="00E92139" w:rsidP="008A5728">
      <w:pPr>
        <w:spacing w:line="360" w:lineRule="auto"/>
        <w:ind w:firstLineChars="100" w:firstLine="240"/>
        <w:jc w:val="both"/>
        <w:rPr>
          <w:rFonts w:ascii="Book Antiqua" w:hAnsi="Book Antiqua"/>
        </w:rPr>
      </w:pPr>
      <w:r w:rsidRPr="00242AA7">
        <w:rPr>
          <w:rFonts w:ascii="Book Antiqua" w:hAnsi="Book Antiqua"/>
        </w:rPr>
        <w:t>Among these studies, mention should be made of the different randomized trials. The ORIOLE study (NCT</w:t>
      </w:r>
      <w:proofErr w:type="gramStart"/>
      <w:r w:rsidRPr="00242AA7">
        <w:rPr>
          <w:rFonts w:ascii="Book Antiqua" w:hAnsi="Book Antiqua"/>
        </w:rPr>
        <w:t>02680587)</w:t>
      </w:r>
      <w:r w:rsidR="00265760" w:rsidRPr="00242AA7">
        <w:rPr>
          <w:rFonts w:ascii="Book Antiqua" w:hAnsi="Book Antiqua"/>
          <w:vertAlign w:val="superscript"/>
        </w:rPr>
        <w:t>[</w:t>
      </w:r>
      <w:proofErr w:type="gramEnd"/>
      <w:r w:rsidR="00265760" w:rsidRPr="00242AA7">
        <w:rPr>
          <w:rFonts w:ascii="Book Antiqua" w:hAnsi="Book Antiqua"/>
          <w:vertAlign w:val="superscript"/>
        </w:rPr>
        <w:t>51]</w:t>
      </w:r>
      <w:r w:rsidRPr="00242AA7">
        <w:rPr>
          <w:rFonts w:ascii="Book Antiqua" w:hAnsi="Book Antiqua"/>
        </w:rPr>
        <w:t xml:space="preserve"> is the first randomized study to evaluate the efficacy of SBRT as measured by the quantification of circulating tumor cells in hormone-sensitive oligometastatic PCa. Its preliminary findings have been presented at the ESTRO 2018 </w:t>
      </w:r>
      <w:proofErr w:type="gramStart"/>
      <w:r w:rsidRPr="00242AA7">
        <w:rPr>
          <w:rFonts w:ascii="Book Antiqua" w:hAnsi="Book Antiqua"/>
        </w:rPr>
        <w:t>Congress</w:t>
      </w:r>
      <w:r w:rsidR="00417CE8" w:rsidRPr="00242AA7">
        <w:rPr>
          <w:rFonts w:ascii="Book Antiqua" w:hAnsi="Book Antiqua"/>
          <w:vertAlign w:val="superscript"/>
        </w:rPr>
        <w:t>[</w:t>
      </w:r>
      <w:proofErr w:type="gramEnd"/>
      <w:r w:rsidR="00417CE8" w:rsidRPr="00242AA7">
        <w:rPr>
          <w:rFonts w:ascii="Book Antiqua" w:hAnsi="Book Antiqua"/>
          <w:vertAlign w:val="superscript"/>
        </w:rPr>
        <w:t>52]</w:t>
      </w:r>
      <w:r w:rsidR="00417CE8" w:rsidRPr="00242AA7">
        <w:rPr>
          <w:rFonts w:ascii="Book Antiqua" w:hAnsi="Book Antiqua"/>
        </w:rPr>
        <w:t xml:space="preserve">. </w:t>
      </w:r>
      <w:r w:rsidRPr="00242AA7">
        <w:rPr>
          <w:rFonts w:ascii="Book Antiqua" w:hAnsi="Book Antiqua"/>
        </w:rPr>
        <w:t xml:space="preserve">The ongoing CORE study </w:t>
      </w:r>
      <w:r w:rsidRPr="00242AA7">
        <w:rPr>
          <w:rFonts w:ascii="Book Antiqua" w:hAnsi="Book Antiqua"/>
        </w:rPr>
        <w:lastRenderedPageBreak/>
        <w:t xml:space="preserve">compares the best available best </w:t>
      </w:r>
      <w:r w:rsidR="003A1F61">
        <w:rPr>
          <w:rFonts w:ascii="Book Antiqua" w:hAnsi="Book Antiqua"/>
        </w:rPr>
        <w:t>SOC</w:t>
      </w:r>
      <w:r w:rsidRPr="00242AA7">
        <w:rPr>
          <w:rFonts w:ascii="Book Antiqua" w:hAnsi="Book Antiqua"/>
        </w:rPr>
        <w:t xml:space="preserve"> with or without SBRT (NCT</w:t>
      </w:r>
      <w:proofErr w:type="gramStart"/>
      <w:r w:rsidRPr="00242AA7">
        <w:rPr>
          <w:rFonts w:ascii="Book Antiqua" w:hAnsi="Book Antiqua"/>
        </w:rPr>
        <w:t>02759783)</w:t>
      </w:r>
      <w:r w:rsidR="00794EF3" w:rsidRPr="00242AA7">
        <w:rPr>
          <w:rFonts w:ascii="Book Antiqua" w:hAnsi="Book Antiqua"/>
          <w:vertAlign w:val="superscript"/>
        </w:rPr>
        <w:t>[</w:t>
      </w:r>
      <w:proofErr w:type="gramEnd"/>
      <w:r w:rsidR="00794EF3" w:rsidRPr="00242AA7">
        <w:rPr>
          <w:rFonts w:ascii="Book Antiqua" w:hAnsi="Book Antiqua"/>
          <w:vertAlign w:val="superscript"/>
        </w:rPr>
        <w:t>53]</w:t>
      </w:r>
      <w:r w:rsidR="00EB7BFB" w:rsidRPr="00242AA7">
        <w:rPr>
          <w:rFonts w:ascii="Book Antiqua" w:hAnsi="Book Antiqua"/>
        </w:rPr>
        <w:t xml:space="preserve">, </w:t>
      </w:r>
      <w:r w:rsidR="00CC2102" w:rsidRPr="00242AA7">
        <w:rPr>
          <w:rFonts w:ascii="Book Antiqua" w:hAnsi="Book Antiqua"/>
        </w:rPr>
        <w:t>although it</w:t>
      </w:r>
      <w:r w:rsidRPr="00242AA7">
        <w:rPr>
          <w:rFonts w:ascii="Book Antiqua" w:hAnsi="Book Antiqua"/>
        </w:rPr>
        <w:t xml:space="preserve"> also includes patients with breast cancer and non-small cell lung cancer. The PEACE V study (STORM, NCT</w:t>
      </w:r>
      <w:proofErr w:type="gramStart"/>
      <w:r w:rsidRPr="00242AA7">
        <w:rPr>
          <w:rFonts w:ascii="Book Antiqua" w:hAnsi="Book Antiqua"/>
        </w:rPr>
        <w:t>03569241)</w:t>
      </w:r>
      <w:r w:rsidR="00794EF3" w:rsidRPr="00242AA7">
        <w:rPr>
          <w:rFonts w:ascii="Book Antiqua" w:hAnsi="Book Antiqua"/>
          <w:vertAlign w:val="superscript"/>
        </w:rPr>
        <w:t>[</w:t>
      </w:r>
      <w:proofErr w:type="gramEnd"/>
      <w:r w:rsidR="00794EF3" w:rsidRPr="00242AA7">
        <w:rPr>
          <w:rFonts w:ascii="Book Antiqua" w:hAnsi="Book Antiqua"/>
          <w:vertAlign w:val="superscript"/>
        </w:rPr>
        <w:t>54]</w:t>
      </w:r>
      <w:r w:rsidR="00624C07" w:rsidRPr="00242AA7">
        <w:rPr>
          <w:rFonts w:ascii="Book Antiqua" w:hAnsi="Book Antiqua"/>
        </w:rPr>
        <w:t xml:space="preserve"> </w:t>
      </w:r>
      <w:r w:rsidR="001D631D" w:rsidRPr="00242AA7">
        <w:rPr>
          <w:rFonts w:ascii="Book Antiqua" w:hAnsi="Book Antiqua"/>
        </w:rPr>
        <w:t>randomizes patients to MDT (lymphadenectomy or SBRT) versus MDT plus pelvic radiotherapy (45 Gy</w:t>
      </w:r>
      <w:r w:rsidR="00624C07" w:rsidRPr="00242AA7">
        <w:rPr>
          <w:rFonts w:ascii="Book Antiqua" w:hAnsi="Book Antiqua"/>
        </w:rPr>
        <w:t xml:space="preserve"> in 25 fractions).</w:t>
      </w:r>
      <w:r w:rsidR="00CC2102" w:rsidRPr="00242AA7">
        <w:rPr>
          <w:rFonts w:ascii="Book Antiqua" w:hAnsi="Book Antiqua"/>
        </w:rPr>
        <w:t xml:space="preserve"> It</w:t>
      </w:r>
      <w:r w:rsidR="001D631D" w:rsidRPr="00242AA7">
        <w:rPr>
          <w:rFonts w:ascii="Book Antiqua" w:hAnsi="Book Antiqua"/>
        </w:rPr>
        <w:t xml:space="preserve"> </w:t>
      </w:r>
      <w:r w:rsidRPr="00242AA7">
        <w:rPr>
          <w:rFonts w:ascii="Book Antiqua" w:hAnsi="Book Antiqua"/>
        </w:rPr>
        <w:t>will attempt to establish the standard treatment i</w:t>
      </w:r>
      <w:r w:rsidR="001D631D" w:rsidRPr="00242AA7">
        <w:rPr>
          <w:rFonts w:ascii="Book Antiqua" w:hAnsi="Book Antiqua"/>
        </w:rPr>
        <w:t>n lymph node oligorecurrent PCa</w:t>
      </w:r>
      <w:r w:rsidRPr="00242AA7">
        <w:rPr>
          <w:rFonts w:ascii="Book Antiqua" w:hAnsi="Book Antiqua"/>
        </w:rPr>
        <w:t>. Lastly, the PCS IX</w:t>
      </w:r>
      <w:r w:rsidR="005059C2" w:rsidRPr="00242AA7">
        <w:rPr>
          <w:rFonts w:ascii="Book Antiqua" w:hAnsi="Book Antiqua"/>
        </w:rPr>
        <w:t xml:space="preserve"> </w:t>
      </w:r>
      <w:r w:rsidRPr="00242AA7">
        <w:rPr>
          <w:rFonts w:ascii="Book Antiqua" w:hAnsi="Book Antiqua"/>
        </w:rPr>
        <w:t>(NCT</w:t>
      </w:r>
      <w:proofErr w:type="gramStart"/>
      <w:r w:rsidRPr="00242AA7">
        <w:rPr>
          <w:rFonts w:ascii="Book Antiqua" w:hAnsi="Book Antiqua"/>
        </w:rPr>
        <w:t>02685397)</w:t>
      </w:r>
      <w:r w:rsidR="00794EF3" w:rsidRPr="00242AA7">
        <w:rPr>
          <w:rFonts w:ascii="Book Antiqua" w:hAnsi="Book Antiqua"/>
          <w:vertAlign w:val="superscript"/>
        </w:rPr>
        <w:t>[</w:t>
      </w:r>
      <w:proofErr w:type="gramEnd"/>
      <w:r w:rsidR="00794EF3" w:rsidRPr="00242AA7">
        <w:rPr>
          <w:rFonts w:ascii="Book Antiqua" w:hAnsi="Book Antiqua"/>
          <w:vertAlign w:val="superscript"/>
        </w:rPr>
        <w:t>55]</w:t>
      </w:r>
      <w:r w:rsidRPr="00242AA7">
        <w:rPr>
          <w:rFonts w:ascii="Book Antiqua" w:hAnsi="Book Antiqua"/>
        </w:rPr>
        <w:t xml:space="preserve"> will analyze the role of enzalutamide associated to SBRT.</w:t>
      </w:r>
    </w:p>
    <w:p w14:paraId="72E915C8" w14:textId="77777777" w:rsidR="00E92139" w:rsidRPr="00242AA7" w:rsidRDefault="00E92139" w:rsidP="00242AA7">
      <w:pPr>
        <w:spacing w:line="360" w:lineRule="auto"/>
        <w:jc w:val="both"/>
        <w:rPr>
          <w:rFonts w:ascii="Book Antiqua" w:eastAsia="Times New Roman" w:hAnsi="Book Antiqua"/>
          <w:b/>
        </w:rPr>
      </w:pPr>
    </w:p>
    <w:p w14:paraId="4416C73A" w14:textId="0053B8FC" w:rsidR="005059C2" w:rsidRPr="008A5728" w:rsidRDefault="00B930C0" w:rsidP="00242AA7">
      <w:pPr>
        <w:keepNext/>
        <w:spacing w:line="360" w:lineRule="auto"/>
        <w:jc w:val="both"/>
        <w:rPr>
          <w:rFonts w:ascii="Book Antiqua" w:eastAsia="SimSun" w:hAnsi="Book Antiqua"/>
          <w:b/>
          <w:lang w:eastAsia="zh-CN"/>
        </w:rPr>
      </w:pPr>
      <w:r w:rsidRPr="00242AA7">
        <w:rPr>
          <w:rFonts w:ascii="Book Antiqua" w:hAnsi="Book Antiqua"/>
          <w:b/>
        </w:rPr>
        <w:t>CONCLUSIO</w:t>
      </w:r>
      <w:r w:rsidR="008A5728">
        <w:rPr>
          <w:rFonts w:ascii="Book Antiqua" w:hAnsi="Book Antiqua"/>
          <w:b/>
        </w:rPr>
        <w:t>N</w:t>
      </w:r>
    </w:p>
    <w:p w14:paraId="65183422" w14:textId="2BB30300" w:rsidR="005059C2" w:rsidRPr="00242AA7" w:rsidRDefault="00712FBD" w:rsidP="00242AA7">
      <w:pPr>
        <w:spacing w:line="360" w:lineRule="auto"/>
        <w:jc w:val="both"/>
        <w:rPr>
          <w:rFonts w:ascii="Book Antiqua" w:hAnsi="Book Antiqua"/>
        </w:rPr>
      </w:pPr>
      <w:r w:rsidRPr="00242AA7">
        <w:rPr>
          <w:rFonts w:ascii="Book Antiqua" w:hAnsi="Book Antiqua"/>
        </w:rPr>
        <w:t>SBRT</w:t>
      </w:r>
      <w:r w:rsidR="00625B8C" w:rsidRPr="00242AA7">
        <w:rPr>
          <w:rFonts w:ascii="Book Antiqua" w:hAnsi="Book Antiqua"/>
        </w:rPr>
        <w:t xml:space="preserve"> is safe and effective. It has been able to offer excellent LC rates, with minimal toxicity. It has also been shown to slow disease progression and therefore to delay the introduction of ADT and its associated side effects.</w:t>
      </w:r>
      <w:r w:rsidR="005059C2" w:rsidRPr="00242AA7">
        <w:rPr>
          <w:rFonts w:ascii="Book Antiqua" w:hAnsi="Book Antiqua"/>
        </w:rPr>
        <w:t xml:space="preserve"> </w:t>
      </w:r>
      <w:r w:rsidR="00625B8C" w:rsidRPr="00242AA7">
        <w:rPr>
          <w:rFonts w:ascii="Book Antiqua" w:hAnsi="Book Antiqua"/>
        </w:rPr>
        <w:t xml:space="preserve">The impact of these results upon </w:t>
      </w:r>
      <w:r w:rsidR="003A1F61">
        <w:rPr>
          <w:rFonts w:ascii="Book Antiqua" w:hAnsi="Book Antiqua"/>
        </w:rPr>
        <w:t>OS</w:t>
      </w:r>
      <w:r w:rsidR="00625B8C" w:rsidRPr="00242AA7">
        <w:rPr>
          <w:rFonts w:ascii="Book Antiqua" w:hAnsi="Book Antiqua"/>
        </w:rPr>
        <w:t xml:space="preserve"> in oligometastatic patients is not known. It is obvious that we need phase III trials to answer these questions, though on the basis of the ongoing trials such answers are not to be expected for several years.</w:t>
      </w:r>
    </w:p>
    <w:p w14:paraId="6C94E40D" w14:textId="77777777" w:rsidR="005C40E9" w:rsidRPr="00242AA7" w:rsidRDefault="00F97F28" w:rsidP="00242AA7">
      <w:pPr>
        <w:spacing w:line="360" w:lineRule="auto"/>
        <w:jc w:val="both"/>
        <w:rPr>
          <w:rFonts w:ascii="Book Antiqua" w:hAnsi="Book Antiqua"/>
        </w:rPr>
      </w:pPr>
      <w:r w:rsidRPr="00242AA7">
        <w:rPr>
          <w:rFonts w:ascii="Book Antiqua" w:hAnsi="Book Antiqua"/>
        </w:rPr>
        <w:t>However, due to the LC and symptoms control achieved, the convenience of administration, the delaying of side effects of ADT or the delaying of second systemic therapy lines, SBRT has become increasingly widely used in radiation oncology units and should be offered to well-informed patients who request such treatment. Knowing this situation, the European Organisation for the Research and Treatment of Cancer and the European Society for Radiotherapy and Oncology have launched the OligoCare Project, a broad registry of standard practice that will provide information on the contribution of SBRT to oligorecurrence and oligoprogression in PCa, among other tumor sites. In the absence of strong evidence, treatment should be personalized, established by agreement with well-informed patients, and the patient circumstances and preferences should be taken into account.</w:t>
      </w:r>
    </w:p>
    <w:p w14:paraId="26FDAF8D" w14:textId="3DCFD1D1" w:rsidR="0062590F" w:rsidRDefault="0062590F" w:rsidP="00242AA7">
      <w:pPr>
        <w:spacing w:line="360" w:lineRule="auto"/>
        <w:jc w:val="both"/>
        <w:rPr>
          <w:rFonts w:ascii="Book Antiqua" w:hAnsi="Book Antiqua"/>
        </w:rPr>
      </w:pPr>
    </w:p>
    <w:p w14:paraId="68B11A7C" w14:textId="6D5205E6" w:rsidR="00D93703" w:rsidRDefault="00D93703" w:rsidP="00242AA7">
      <w:pPr>
        <w:spacing w:line="360" w:lineRule="auto"/>
        <w:jc w:val="both"/>
        <w:rPr>
          <w:rFonts w:ascii="Book Antiqua" w:hAnsi="Book Antiqua"/>
        </w:rPr>
      </w:pPr>
    </w:p>
    <w:p w14:paraId="7EB9363F" w14:textId="77777777" w:rsidR="00D93703" w:rsidRPr="00242AA7" w:rsidRDefault="00D93703" w:rsidP="00242AA7">
      <w:pPr>
        <w:spacing w:line="360" w:lineRule="auto"/>
        <w:jc w:val="both"/>
        <w:rPr>
          <w:rFonts w:ascii="Book Antiqua" w:hAnsi="Book Antiqua"/>
        </w:rPr>
      </w:pPr>
    </w:p>
    <w:p w14:paraId="6ED360FD" w14:textId="47AC94EE" w:rsidR="0088085F" w:rsidRPr="0029369B" w:rsidRDefault="00B524C5" w:rsidP="0029369B">
      <w:pPr>
        <w:keepNext/>
        <w:spacing w:line="360" w:lineRule="auto"/>
        <w:jc w:val="both"/>
        <w:rPr>
          <w:rFonts w:ascii="Book Antiqua" w:eastAsia="SimSun" w:hAnsi="Book Antiqua"/>
          <w:b/>
          <w:lang w:eastAsia="zh-CN"/>
        </w:rPr>
      </w:pPr>
      <w:r w:rsidRPr="0029369B">
        <w:rPr>
          <w:rFonts w:ascii="Book Antiqua" w:hAnsi="Book Antiqua"/>
          <w:b/>
        </w:rPr>
        <w:lastRenderedPageBreak/>
        <w:t>REFERENCES</w:t>
      </w:r>
    </w:p>
    <w:p w14:paraId="181F250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 </w:t>
      </w:r>
      <w:r w:rsidRPr="0029369B">
        <w:rPr>
          <w:rFonts w:ascii="Book Antiqua" w:hAnsi="Book Antiqua"/>
          <w:b/>
        </w:rPr>
        <w:t>Hellman S</w:t>
      </w:r>
      <w:r w:rsidRPr="0029369B">
        <w:rPr>
          <w:rFonts w:ascii="Book Antiqua" w:hAnsi="Book Antiqua"/>
        </w:rPr>
        <w:t xml:space="preserve">, Weichselbaum RR. Oligometastases. </w:t>
      </w:r>
      <w:r w:rsidRPr="0029369B">
        <w:rPr>
          <w:rFonts w:ascii="Book Antiqua" w:hAnsi="Book Antiqua"/>
          <w:i/>
        </w:rPr>
        <w:t>J Clin Oncol</w:t>
      </w:r>
      <w:r w:rsidRPr="0029369B">
        <w:rPr>
          <w:rFonts w:ascii="Book Antiqua" w:hAnsi="Book Antiqua"/>
        </w:rPr>
        <w:t xml:space="preserve"> 1995; </w:t>
      </w:r>
      <w:r w:rsidRPr="0029369B">
        <w:rPr>
          <w:rFonts w:ascii="Book Antiqua" w:hAnsi="Book Antiqua"/>
          <w:b/>
        </w:rPr>
        <w:t>13</w:t>
      </w:r>
      <w:r w:rsidRPr="0029369B">
        <w:rPr>
          <w:rFonts w:ascii="Book Antiqua" w:hAnsi="Book Antiqua"/>
        </w:rPr>
        <w:t>: 8-10 [PMID: 7799047 DOI: 10.1200/JCO.1995.13.1.8]</w:t>
      </w:r>
    </w:p>
    <w:p w14:paraId="7DDD2D13"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 </w:t>
      </w:r>
      <w:r w:rsidRPr="0029369B">
        <w:rPr>
          <w:rFonts w:ascii="Book Antiqua" w:hAnsi="Book Antiqua"/>
          <w:b/>
        </w:rPr>
        <w:t>Uppal A</w:t>
      </w:r>
      <w:r w:rsidRPr="0029369B">
        <w:rPr>
          <w:rFonts w:ascii="Book Antiqua" w:hAnsi="Book Antiqua"/>
        </w:rPr>
        <w:t xml:space="preserve">, Ferguson MK, Posner MC, Hellman S, Khodarev NN, Weichselbaum RR. Towards a molecular basis of oligometastatic disease: potential role of micro-RNAs. </w:t>
      </w:r>
      <w:r w:rsidRPr="0029369B">
        <w:rPr>
          <w:rFonts w:ascii="Book Antiqua" w:hAnsi="Book Antiqua"/>
          <w:i/>
        </w:rPr>
        <w:t>Clin Exp Metastasis</w:t>
      </w:r>
      <w:r w:rsidRPr="0029369B">
        <w:rPr>
          <w:rFonts w:ascii="Book Antiqua" w:hAnsi="Book Antiqua"/>
        </w:rPr>
        <w:t xml:space="preserve"> 2014; </w:t>
      </w:r>
      <w:r w:rsidRPr="0029369B">
        <w:rPr>
          <w:rFonts w:ascii="Book Antiqua" w:hAnsi="Book Antiqua"/>
          <w:b/>
        </w:rPr>
        <w:t>31</w:t>
      </w:r>
      <w:r w:rsidRPr="0029369B">
        <w:rPr>
          <w:rFonts w:ascii="Book Antiqua" w:hAnsi="Book Antiqua"/>
        </w:rPr>
        <w:t>: 735-748 [PMID: 24968866 DOI: 10.1007/s10585-014-9664-3]</w:t>
      </w:r>
    </w:p>
    <w:p w14:paraId="29172B70"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 </w:t>
      </w:r>
      <w:r w:rsidRPr="0029369B">
        <w:rPr>
          <w:rFonts w:ascii="Book Antiqua" w:hAnsi="Book Antiqua"/>
          <w:b/>
        </w:rPr>
        <w:t>Gundem G</w:t>
      </w:r>
      <w:r w:rsidRPr="0029369B">
        <w:rPr>
          <w:rFonts w:ascii="Book Antiqua" w:hAnsi="Book Antiqua"/>
        </w:rPr>
        <w:t xml:space="preserve">, Van Loo P, Kremeyer B, Alexandrov LB, Tubio JMC, Papaemmanuil E, Brewer DS, Kallio HML, Högnäs G, Annala M, Kivinummi K, Goody V, Latimer C, O'Meara S, Dawson KJ, Isaacs W, Emmert-Buck MR, Nykter M, Foster C, Kote-Jarai Z, Easton D, Whitaker HC; ICGC Prostate Group, Neal DE, Cooper CS, Eeles RA, Visakorpi T, Campbell PJ, McDermott U, Wedge DC, Bova GS. The evolutionary history of lethal metastatic prostate cancer. </w:t>
      </w:r>
      <w:r w:rsidRPr="0029369B">
        <w:rPr>
          <w:rFonts w:ascii="Book Antiqua" w:hAnsi="Book Antiqua"/>
          <w:i/>
        </w:rPr>
        <w:t>Nature</w:t>
      </w:r>
      <w:r w:rsidRPr="0029369B">
        <w:rPr>
          <w:rFonts w:ascii="Book Antiqua" w:hAnsi="Book Antiqua"/>
        </w:rPr>
        <w:t xml:space="preserve"> 2015; </w:t>
      </w:r>
      <w:r w:rsidRPr="0029369B">
        <w:rPr>
          <w:rFonts w:ascii="Book Antiqua" w:hAnsi="Book Antiqua"/>
          <w:b/>
        </w:rPr>
        <w:t>520</w:t>
      </w:r>
      <w:r w:rsidRPr="0029369B">
        <w:rPr>
          <w:rFonts w:ascii="Book Antiqua" w:hAnsi="Book Antiqua"/>
        </w:rPr>
        <w:t>: 353-357 [PMID: 25830880 DOI: 10.1038/nature14347]</w:t>
      </w:r>
    </w:p>
    <w:p w14:paraId="78EA3323"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 </w:t>
      </w:r>
      <w:r w:rsidRPr="0029369B">
        <w:rPr>
          <w:rFonts w:ascii="Book Antiqua" w:hAnsi="Book Antiqua"/>
          <w:b/>
        </w:rPr>
        <w:t>Haffner MC</w:t>
      </w:r>
      <w:r w:rsidRPr="0029369B">
        <w:rPr>
          <w:rFonts w:ascii="Book Antiqua" w:hAnsi="Book Antiqua"/>
        </w:rPr>
        <w:t xml:space="preserve">, Mosbruger T, Esopi DM, Fedor H, Heaphy CM, Walker DA, Adejola N, Gürel M, Hicks J, Meeker AK, Halushka MK, Simons JW, Isaacs WB, De Marzo AM, Nelson WG, Yegnasubramanian S. Tracking the clonal origin of lethal prostate cancer. </w:t>
      </w:r>
      <w:r w:rsidRPr="0029369B">
        <w:rPr>
          <w:rFonts w:ascii="Book Antiqua" w:hAnsi="Book Antiqua"/>
          <w:i/>
        </w:rPr>
        <w:t>J Clin Invest</w:t>
      </w:r>
      <w:r w:rsidRPr="0029369B">
        <w:rPr>
          <w:rFonts w:ascii="Book Antiqua" w:hAnsi="Book Antiqua"/>
        </w:rPr>
        <w:t xml:space="preserve"> 2013; </w:t>
      </w:r>
      <w:r w:rsidRPr="0029369B">
        <w:rPr>
          <w:rFonts w:ascii="Book Antiqua" w:hAnsi="Book Antiqua"/>
          <w:b/>
        </w:rPr>
        <w:t>123</w:t>
      </w:r>
      <w:r w:rsidRPr="0029369B">
        <w:rPr>
          <w:rFonts w:ascii="Book Antiqua" w:hAnsi="Book Antiqua"/>
        </w:rPr>
        <w:t>: 4918-4922 [PMID: 24135135 DOI: 10.1172/JCI70354]</w:t>
      </w:r>
    </w:p>
    <w:p w14:paraId="4BB8C28C"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5 </w:t>
      </w:r>
      <w:r w:rsidRPr="0029369B">
        <w:rPr>
          <w:rFonts w:ascii="Book Antiqua" w:hAnsi="Book Antiqua"/>
          <w:b/>
        </w:rPr>
        <w:t>Passoni NM</w:t>
      </w:r>
      <w:r w:rsidRPr="0029369B">
        <w:rPr>
          <w:rFonts w:ascii="Book Antiqua" w:hAnsi="Book Antiqua"/>
        </w:rPr>
        <w:t xml:space="preserve">, Polascik TJ. Words of wisdom. Re: Tracking the clonal origin of lethal prostate cancer. </w:t>
      </w:r>
      <w:r w:rsidRPr="0029369B">
        <w:rPr>
          <w:rFonts w:ascii="Book Antiqua" w:hAnsi="Book Antiqua"/>
          <w:i/>
        </w:rPr>
        <w:t>Eur Urol</w:t>
      </w:r>
      <w:r w:rsidRPr="0029369B">
        <w:rPr>
          <w:rFonts w:ascii="Book Antiqua" w:hAnsi="Book Antiqua"/>
        </w:rPr>
        <w:t xml:space="preserve"> 2014; </w:t>
      </w:r>
      <w:r w:rsidRPr="0029369B">
        <w:rPr>
          <w:rFonts w:ascii="Book Antiqua" w:hAnsi="Book Antiqua"/>
          <w:b/>
        </w:rPr>
        <w:t>66</w:t>
      </w:r>
      <w:r w:rsidRPr="0029369B">
        <w:rPr>
          <w:rFonts w:ascii="Book Antiqua" w:hAnsi="Book Antiqua"/>
        </w:rPr>
        <w:t>: 390-391 [PMID: 25305788 DOI: 10.1016/j.eururo.2014.05.022]</w:t>
      </w:r>
    </w:p>
    <w:p w14:paraId="0A0C4004"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6 </w:t>
      </w:r>
      <w:r w:rsidRPr="0029369B">
        <w:rPr>
          <w:rFonts w:ascii="Book Antiqua" w:hAnsi="Book Antiqua"/>
          <w:b/>
        </w:rPr>
        <w:t>Palacios-Eito A</w:t>
      </w:r>
      <w:r w:rsidRPr="0029369B">
        <w:rPr>
          <w:rFonts w:ascii="Book Antiqua" w:hAnsi="Book Antiqua"/>
        </w:rPr>
        <w:t xml:space="preserve">, García-Cabezas S. Oligometastatic disease, the curative challenge in radiation oncology. </w:t>
      </w:r>
      <w:r w:rsidRPr="0029369B">
        <w:rPr>
          <w:rFonts w:ascii="Book Antiqua" w:hAnsi="Book Antiqua"/>
          <w:i/>
        </w:rPr>
        <w:t>World J Clin Oncol</w:t>
      </w:r>
      <w:r w:rsidRPr="0029369B">
        <w:rPr>
          <w:rFonts w:ascii="Book Antiqua" w:hAnsi="Book Antiqua"/>
        </w:rPr>
        <w:t xml:space="preserve"> 2015; </w:t>
      </w:r>
      <w:r w:rsidRPr="0029369B">
        <w:rPr>
          <w:rFonts w:ascii="Book Antiqua" w:hAnsi="Book Antiqua"/>
          <w:b/>
        </w:rPr>
        <w:t>6</w:t>
      </w:r>
      <w:r w:rsidRPr="0029369B">
        <w:rPr>
          <w:rFonts w:ascii="Book Antiqua" w:hAnsi="Book Antiqua"/>
        </w:rPr>
        <w:t>: 30-34 [PMID: 26266098 DOI: 10.5306/wjco.v6.i4.30]</w:t>
      </w:r>
    </w:p>
    <w:p w14:paraId="1300940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7 </w:t>
      </w:r>
      <w:r w:rsidRPr="0029369B">
        <w:rPr>
          <w:rFonts w:ascii="Book Antiqua" w:hAnsi="Book Antiqua"/>
          <w:b/>
        </w:rPr>
        <w:t>Robinson D</w:t>
      </w:r>
      <w:r w:rsidRPr="0029369B">
        <w:rPr>
          <w:rFonts w:ascii="Book Antiqua" w:hAnsi="Book Antiqua"/>
        </w:rPr>
        <w:t xml:space="preserve">, Van Allen EM, Wu YM, Schultz N, Lonigro RJ, Mosquera JM, Montgomery B, Taplin ME, Pritchard CC, Attard G, Beltran H, Abida W, Bradley RK, Vinson J, Cao X, Vats P, Kunju LP, Hussain M, Feng FY, Tomlins SA, Cooney KA, Smith DC, Brennan C, Siddiqui J, Mehra R, Chen Y, Rathkopf DE, Morris MJ, Solomon SB, Durack JC, Reuter VE, Gopalan A, Gao J, Loda M, Lis RT, Bowden M, Balk SP, Gaviola G, Sougnez C, Gupta M, Yu EY, Mostaghel EA, Cheng HH, </w:t>
      </w:r>
      <w:r w:rsidRPr="0029369B">
        <w:rPr>
          <w:rFonts w:ascii="Book Antiqua" w:hAnsi="Book Antiqua"/>
        </w:rPr>
        <w:lastRenderedPageBreak/>
        <w:t xml:space="preserve">Mulcahy H, True LD, Plymate SR, Dvinge H, Ferraldeschi R, Flohr P, Miranda S, Zafeiriou Z, Tunariu N, Mateo J, Perez-Lopez R, Demichelis F, Robinson BD, Schiffman M, Nanus DM, Tagawa ST, Sigaras A, Eng KW, Elemento O, Sboner A, Heath EI, Scher HI, Pienta KJ, Kantoff P, de Bono JS, Rubin MA, Nelson PS, Garraway LA, Sawyers CL, Chinnaiyan AM. Integrative clinical genomics of advanced prostate cancer. </w:t>
      </w:r>
      <w:r w:rsidRPr="0029369B">
        <w:rPr>
          <w:rFonts w:ascii="Book Antiqua" w:hAnsi="Book Antiqua"/>
          <w:i/>
        </w:rPr>
        <w:t>Cell</w:t>
      </w:r>
      <w:r w:rsidRPr="0029369B">
        <w:rPr>
          <w:rFonts w:ascii="Book Antiqua" w:hAnsi="Book Antiqua"/>
        </w:rPr>
        <w:t xml:space="preserve"> 2015; </w:t>
      </w:r>
      <w:r w:rsidRPr="0029369B">
        <w:rPr>
          <w:rFonts w:ascii="Book Antiqua" w:hAnsi="Book Antiqua"/>
          <w:b/>
        </w:rPr>
        <w:t>161</w:t>
      </w:r>
      <w:r w:rsidRPr="0029369B">
        <w:rPr>
          <w:rFonts w:ascii="Book Antiqua" w:hAnsi="Book Antiqua"/>
        </w:rPr>
        <w:t>: 1215-1228 [PMID: 26000489 DOI: 10.1016/j.cell.2015.05.001]</w:t>
      </w:r>
    </w:p>
    <w:p w14:paraId="183C6BD9"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8 </w:t>
      </w:r>
      <w:r w:rsidRPr="0029369B">
        <w:rPr>
          <w:rFonts w:ascii="Book Antiqua" w:hAnsi="Book Antiqua"/>
          <w:b/>
        </w:rPr>
        <w:t>Boorjian SA</w:t>
      </w:r>
      <w:r w:rsidRPr="0029369B">
        <w:rPr>
          <w:rFonts w:ascii="Book Antiqua" w:hAnsi="Book Antiqua"/>
        </w:rPr>
        <w:t xml:space="preserve">, Thompson RH, Tollefson MK, Rangel LJ, Bergstralh EJ, Blute ML, Karnes RJ. Long-term risk of clinical progression after biochemical recurrence following radical prostatectomy: the impact of time from surgery to recurrence. </w:t>
      </w:r>
      <w:r w:rsidRPr="0029369B">
        <w:rPr>
          <w:rFonts w:ascii="Book Antiqua" w:hAnsi="Book Antiqua"/>
          <w:i/>
        </w:rPr>
        <w:t>Eur Urol</w:t>
      </w:r>
      <w:r w:rsidRPr="0029369B">
        <w:rPr>
          <w:rFonts w:ascii="Book Antiqua" w:hAnsi="Book Antiqua"/>
        </w:rPr>
        <w:t xml:space="preserve"> 2011; </w:t>
      </w:r>
      <w:r w:rsidRPr="0029369B">
        <w:rPr>
          <w:rFonts w:ascii="Book Antiqua" w:hAnsi="Book Antiqua"/>
          <w:b/>
        </w:rPr>
        <w:t>59</w:t>
      </w:r>
      <w:r w:rsidRPr="0029369B">
        <w:rPr>
          <w:rFonts w:ascii="Book Antiqua" w:hAnsi="Book Antiqua"/>
        </w:rPr>
        <w:t>: 893-899 [PMID: 21388736 DOI: 10.1016/j.eururo.2011.02.026]</w:t>
      </w:r>
    </w:p>
    <w:p w14:paraId="6102355A"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9 </w:t>
      </w:r>
      <w:r w:rsidRPr="0029369B">
        <w:rPr>
          <w:rFonts w:ascii="Book Antiqua" w:hAnsi="Book Antiqua"/>
          <w:b/>
        </w:rPr>
        <w:t>Correa RJ</w:t>
      </w:r>
      <w:r w:rsidRPr="0029369B">
        <w:rPr>
          <w:rFonts w:ascii="Book Antiqua" w:hAnsi="Book Antiqua"/>
        </w:rPr>
        <w:t xml:space="preserve">, Salama JK, Milano MT, Palma DA. Stereotactic Body Radiotherapy for Oligometastasis: Opportunities for Biology to Guide Clinical Management. </w:t>
      </w:r>
      <w:r w:rsidRPr="0029369B">
        <w:rPr>
          <w:rFonts w:ascii="Book Antiqua" w:hAnsi="Book Antiqua"/>
          <w:i/>
        </w:rPr>
        <w:t>Cancer J</w:t>
      </w:r>
      <w:r w:rsidRPr="0029369B">
        <w:rPr>
          <w:rFonts w:ascii="Book Antiqua" w:hAnsi="Book Antiqua"/>
        </w:rPr>
        <w:t xml:space="preserve"> 2016; </w:t>
      </w:r>
      <w:r w:rsidRPr="0029369B">
        <w:rPr>
          <w:rFonts w:ascii="Book Antiqua" w:hAnsi="Book Antiqua"/>
          <w:b/>
        </w:rPr>
        <w:t>22</w:t>
      </w:r>
      <w:r w:rsidRPr="0029369B">
        <w:rPr>
          <w:rFonts w:ascii="Book Antiqua" w:hAnsi="Book Antiqua"/>
        </w:rPr>
        <w:t>: 247-256 [PMID: 27441744 DOI: 10.1097/PPO.0000000000000202]</w:t>
      </w:r>
    </w:p>
    <w:p w14:paraId="2CC5AF83"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10 </w:t>
      </w:r>
      <w:r w:rsidRPr="0029369B">
        <w:rPr>
          <w:rFonts w:ascii="Book Antiqua" w:hAnsi="Book Antiqua"/>
          <w:b/>
        </w:rPr>
        <w:t>Singh D</w:t>
      </w:r>
      <w:r w:rsidRPr="0029369B">
        <w:rPr>
          <w:rFonts w:ascii="Book Antiqua" w:hAnsi="Book Antiqua"/>
        </w:rPr>
        <w:t xml:space="preserve">, Yi WS, Brasacchio RA, Muhs AG, Smudzin T, Williams JP, Messing E, Okunieff P. Is there a favorable subset of patients with prostate cancer who develop oligometastases? </w:t>
      </w:r>
      <w:r w:rsidRPr="0029369B">
        <w:rPr>
          <w:rFonts w:ascii="Book Antiqua" w:hAnsi="Book Antiqua"/>
          <w:i/>
        </w:rPr>
        <w:t>Int J Radiat Oncol Biol Phys</w:t>
      </w:r>
      <w:r w:rsidRPr="0029369B">
        <w:rPr>
          <w:rFonts w:ascii="Book Antiqua" w:hAnsi="Book Antiqua"/>
        </w:rPr>
        <w:t xml:space="preserve"> 2004; </w:t>
      </w:r>
      <w:r w:rsidRPr="0029369B">
        <w:rPr>
          <w:rFonts w:ascii="Book Antiqua" w:hAnsi="Book Antiqua"/>
          <w:b/>
        </w:rPr>
        <w:t>58</w:t>
      </w:r>
      <w:r w:rsidRPr="0029369B">
        <w:rPr>
          <w:rFonts w:ascii="Book Antiqua" w:hAnsi="Book Antiqua"/>
        </w:rPr>
        <w:t>: 3-10 [PMID: 14697414 DOI: 10.1016/S0360-3016(03)01442-1]</w:t>
      </w:r>
    </w:p>
    <w:p w14:paraId="36EB0B0F"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11 </w:t>
      </w:r>
      <w:r w:rsidRPr="0029369B">
        <w:rPr>
          <w:rFonts w:ascii="Book Antiqua" w:hAnsi="Book Antiqua"/>
          <w:b/>
        </w:rPr>
        <w:t>Niibe Y</w:t>
      </w:r>
      <w:r w:rsidRPr="0029369B">
        <w:rPr>
          <w:rFonts w:ascii="Book Antiqua" w:hAnsi="Book Antiqua"/>
        </w:rPr>
        <w:t xml:space="preserve">, Hayakawa K. Oligometastases and oligo-recurrence: the new era of cancer therapy. </w:t>
      </w:r>
      <w:r w:rsidRPr="0029369B">
        <w:rPr>
          <w:rFonts w:ascii="Book Antiqua" w:hAnsi="Book Antiqua"/>
          <w:i/>
        </w:rPr>
        <w:t>Jpn J Clin Oncol</w:t>
      </w:r>
      <w:r w:rsidRPr="0029369B">
        <w:rPr>
          <w:rFonts w:ascii="Book Antiqua" w:hAnsi="Book Antiqua"/>
        </w:rPr>
        <w:t xml:space="preserve"> 2010; </w:t>
      </w:r>
      <w:r w:rsidRPr="0029369B">
        <w:rPr>
          <w:rFonts w:ascii="Book Antiqua" w:hAnsi="Book Antiqua"/>
          <w:b/>
        </w:rPr>
        <w:t>40</w:t>
      </w:r>
      <w:r w:rsidRPr="0029369B">
        <w:rPr>
          <w:rFonts w:ascii="Book Antiqua" w:hAnsi="Book Antiqua"/>
        </w:rPr>
        <w:t>: 107-111 [PMID: 20047860 DOI: 10.1093/jjco/hyp167]</w:t>
      </w:r>
    </w:p>
    <w:p w14:paraId="72140973"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12 </w:t>
      </w:r>
      <w:r w:rsidRPr="0029369B">
        <w:rPr>
          <w:rFonts w:ascii="Book Antiqua" w:hAnsi="Book Antiqua"/>
          <w:b/>
        </w:rPr>
        <w:t>Mottet N</w:t>
      </w:r>
      <w:r w:rsidRPr="0029369B">
        <w:rPr>
          <w:rFonts w:ascii="Book Antiqua" w:hAnsi="Book Antiqua"/>
        </w:rPr>
        <w:t xml:space="preserve">, Bellmunt J, Bolla M, Briers E, Cumberbatch MG, De Santis M, Fossati N, Gross T, Henry AM, Joniau S, Lam TB, Mason MD, Matveev VB, Moldovan PC, van den Bergh RCN, Van den Broeck T, van der Poel HG, van der Kwast TH, Rouvière O, Schoots IG, Wiegel T, Cornford P. EAU-ESTRO-SIOG Guidelines on Prostate Cancer. Part 1: Screening, Diagnosis, and Local Treatment with Curative Intent. </w:t>
      </w:r>
      <w:r w:rsidRPr="0029369B">
        <w:rPr>
          <w:rFonts w:ascii="Book Antiqua" w:hAnsi="Book Antiqua"/>
          <w:i/>
        </w:rPr>
        <w:t>Eur Urol</w:t>
      </w:r>
      <w:r w:rsidRPr="0029369B">
        <w:rPr>
          <w:rFonts w:ascii="Book Antiqua" w:hAnsi="Book Antiqua"/>
        </w:rPr>
        <w:t xml:space="preserve"> 2017; </w:t>
      </w:r>
      <w:r w:rsidRPr="0029369B">
        <w:rPr>
          <w:rFonts w:ascii="Book Antiqua" w:hAnsi="Book Antiqua"/>
          <w:b/>
        </w:rPr>
        <w:t>71</w:t>
      </w:r>
      <w:r w:rsidRPr="0029369B">
        <w:rPr>
          <w:rFonts w:ascii="Book Antiqua" w:hAnsi="Book Antiqua"/>
        </w:rPr>
        <w:t>: 618-629 [PMID: 27568654 DOI: 10.1016/j.eururo.2016.08.003]</w:t>
      </w:r>
    </w:p>
    <w:p w14:paraId="05BB7A2A"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13 </w:t>
      </w:r>
      <w:r w:rsidRPr="0029369B">
        <w:rPr>
          <w:rFonts w:ascii="Book Antiqua" w:hAnsi="Book Antiqua"/>
          <w:b/>
        </w:rPr>
        <w:t>Cornford P</w:t>
      </w:r>
      <w:r w:rsidRPr="0029369B">
        <w:rPr>
          <w:rFonts w:ascii="Book Antiqua" w:hAnsi="Book Antiqua"/>
        </w:rPr>
        <w:t xml:space="preserve">, Bellmunt J, Bolla M, Briers E, De Santis M, Gross T, Henry AM, Joniau S, Lam TB, Mason MD, van der Poel HG, van der Kwast TH, Rouvière O, Wiegel T, Mottet N. EAU-ESTRO-SIOG Guidelines on Prostate Cancer. Part II: </w:t>
      </w:r>
      <w:r w:rsidRPr="0029369B">
        <w:rPr>
          <w:rFonts w:ascii="Book Antiqua" w:hAnsi="Book Antiqua"/>
        </w:rPr>
        <w:lastRenderedPageBreak/>
        <w:t xml:space="preserve">Treatment of Relapsing, Metastatic, and Castration-Resistant Prostate Cancer. </w:t>
      </w:r>
      <w:r w:rsidRPr="0029369B">
        <w:rPr>
          <w:rFonts w:ascii="Book Antiqua" w:hAnsi="Book Antiqua"/>
          <w:i/>
        </w:rPr>
        <w:t>Eur Urol</w:t>
      </w:r>
      <w:r w:rsidRPr="0029369B">
        <w:rPr>
          <w:rFonts w:ascii="Book Antiqua" w:hAnsi="Book Antiqua"/>
        </w:rPr>
        <w:t xml:space="preserve"> 2017; </w:t>
      </w:r>
      <w:r w:rsidRPr="0029369B">
        <w:rPr>
          <w:rFonts w:ascii="Book Antiqua" w:hAnsi="Book Antiqua"/>
          <w:b/>
        </w:rPr>
        <w:t>71</w:t>
      </w:r>
      <w:r w:rsidRPr="0029369B">
        <w:rPr>
          <w:rFonts w:ascii="Book Antiqua" w:hAnsi="Book Antiqua"/>
        </w:rPr>
        <w:t>: 630-642 [PMID: 27591931 DOI: 10.1016/j.eururo.2016.08.002]</w:t>
      </w:r>
    </w:p>
    <w:p w14:paraId="044A5AA1"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14 </w:t>
      </w:r>
      <w:r w:rsidRPr="0029369B">
        <w:rPr>
          <w:rFonts w:ascii="Book Antiqua" w:hAnsi="Book Antiqua"/>
          <w:b/>
        </w:rPr>
        <w:t>Umbehr MH</w:t>
      </w:r>
      <w:r w:rsidRPr="0029369B">
        <w:rPr>
          <w:rFonts w:ascii="Book Antiqua" w:hAnsi="Book Antiqua"/>
        </w:rPr>
        <w:t xml:space="preserve">, Müntener M, Hany T, Sulser T, Bachmann LM. The role of 11C-choline and 18F-fluorocholine positron emission tomography (PET) and PET/CT in prostate cancer: a systematic review and meta-analysis. </w:t>
      </w:r>
      <w:r w:rsidRPr="0029369B">
        <w:rPr>
          <w:rFonts w:ascii="Book Antiqua" w:hAnsi="Book Antiqua"/>
          <w:i/>
        </w:rPr>
        <w:t>Eur Urol</w:t>
      </w:r>
      <w:r w:rsidRPr="0029369B">
        <w:rPr>
          <w:rFonts w:ascii="Book Antiqua" w:hAnsi="Book Antiqua"/>
        </w:rPr>
        <w:t xml:space="preserve"> 2013; </w:t>
      </w:r>
      <w:r w:rsidRPr="0029369B">
        <w:rPr>
          <w:rFonts w:ascii="Book Antiqua" w:hAnsi="Book Antiqua"/>
          <w:b/>
        </w:rPr>
        <w:t>64</w:t>
      </w:r>
      <w:r w:rsidRPr="0029369B">
        <w:rPr>
          <w:rFonts w:ascii="Book Antiqua" w:hAnsi="Book Antiqua"/>
        </w:rPr>
        <w:t>: 106-117 [PMID: 23628493 DOI: 10.1016/j.eururo.2013.04.019]</w:t>
      </w:r>
    </w:p>
    <w:p w14:paraId="33837CE6"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15 </w:t>
      </w:r>
      <w:r w:rsidRPr="0029369B">
        <w:rPr>
          <w:rFonts w:ascii="Book Antiqua" w:hAnsi="Book Antiqua"/>
          <w:b/>
        </w:rPr>
        <w:t>Passoni NM</w:t>
      </w:r>
      <w:r w:rsidRPr="0029369B">
        <w:rPr>
          <w:rFonts w:ascii="Book Antiqua" w:hAnsi="Book Antiqua"/>
        </w:rPr>
        <w:t xml:space="preserve">, Suardi N, Abdollah F, Picchio M, Giovacchini G, Messa C, Freschi M, Montorsi F, Briganti A. Utility of [11C]choline PET/CT in guiding lesion-targeted salvage therapies in patients with prostate cancer recurrence localized to a single lymph node at imaging: results from a pathologically validated series. </w:t>
      </w:r>
      <w:r w:rsidRPr="0029369B">
        <w:rPr>
          <w:rFonts w:ascii="Book Antiqua" w:hAnsi="Book Antiqua"/>
          <w:i/>
        </w:rPr>
        <w:t>Urol Oncol</w:t>
      </w:r>
      <w:r w:rsidRPr="0029369B">
        <w:rPr>
          <w:rFonts w:ascii="Book Antiqua" w:hAnsi="Book Antiqua"/>
        </w:rPr>
        <w:t xml:space="preserve"> 2014; </w:t>
      </w:r>
      <w:r w:rsidRPr="0029369B">
        <w:rPr>
          <w:rFonts w:ascii="Book Antiqua" w:hAnsi="Book Antiqua"/>
          <w:b/>
        </w:rPr>
        <w:t>32</w:t>
      </w:r>
      <w:r w:rsidRPr="0029369B">
        <w:rPr>
          <w:rFonts w:ascii="Book Antiqua" w:hAnsi="Book Antiqua"/>
        </w:rPr>
        <w:t>: 38.e9-38.16 [PMID: 23769269 DOI: 10.1016/j.urolonc.2013.03.006]</w:t>
      </w:r>
    </w:p>
    <w:p w14:paraId="565B560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16 </w:t>
      </w:r>
      <w:r w:rsidRPr="0029369B">
        <w:rPr>
          <w:rFonts w:ascii="Book Antiqua" w:hAnsi="Book Antiqua"/>
          <w:b/>
        </w:rPr>
        <w:t>Wieder H</w:t>
      </w:r>
      <w:r w:rsidRPr="0029369B">
        <w:rPr>
          <w:rFonts w:ascii="Book Antiqua" w:hAnsi="Book Antiqua"/>
        </w:rPr>
        <w:t xml:space="preserve">, Beer AJ, Holzapfel K, Henninger M, Maurer T, Schwarzenboeck S, Rummeny EJ, Eiber M, Stollfuss J. 11C-choline PET/CT and whole-body MRI including diffusion-weighted imaging for patients with recurrent prostate cancer. </w:t>
      </w:r>
      <w:r w:rsidRPr="0029369B">
        <w:rPr>
          <w:rFonts w:ascii="Book Antiqua" w:hAnsi="Book Antiqua"/>
          <w:i/>
        </w:rPr>
        <w:t>Oncotarget</w:t>
      </w:r>
      <w:r w:rsidRPr="0029369B">
        <w:rPr>
          <w:rFonts w:ascii="Book Antiqua" w:hAnsi="Book Antiqua"/>
        </w:rPr>
        <w:t xml:space="preserve"> 2017; </w:t>
      </w:r>
      <w:r w:rsidRPr="0029369B">
        <w:rPr>
          <w:rFonts w:ascii="Book Antiqua" w:hAnsi="Book Antiqua"/>
          <w:b/>
        </w:rPr>
        <w:t>8</w:t>
      </w:r>
      <w:r w:rsidRPr="0029369B">
        <w:rPr>
          <w:rFonts w:ascii="Book Antiqua" w:hAnsi="Book Antiqua"/>
        </w:rPr>
        <w:t>: 66516-66527 [PMID: 29029532 DOI: 10.18632/oncotarget.16227]</w:t>
      </w:r>
    </w:p>
    <w:p w14:paraId="09010A0A"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17 </w:t>
      </w:r>
      <w:r w:rsidRPr="0029369B">
        <w:rPr>
          <w:rFonts w:ascii="Book Antiqua" w:hAnsi="Book Antiqua"/>
          <w:b/>
        </w:rPr>
        <w:t>Conde-Moreno AJ</w:t>
      </w:r>
      <w:r w:rsidRPr="0029369B">
        <w:rPr>
          <w:rFonts w:ascii="Book Antiqua" w:hAnsi="Book Antiqua"/>
        </w:rPr>
        <w:t xml:space="preserve">, Herrando-Parreño G, Muelas-Soria R, Ferrer-Rebolleda J, Broseta-Torres R, Cozar-Santiago MP, García-Piñón F, Ferrer-Albiach C. Whole-body diffusion-weighted magnetic resonance imaging (WB-DW-MRI) vs choline-positron emission tomography-computed tomography (choline-PET/CT) for selecting treatments in recurrent prostate cancer. </w:t>
      </w:r>
      <w:r w:rsidRPr="0029369B">
        <w:rPr>
          <w:rFonts w:ascii="Book Antiqua" w:hAnsi="Book Antiqua"/>
          <w:i/>
        </w:rPr>
        <w:t>Clin Transl Oncol</w:t>
      </w:r>
      <w:r w:rsidRPr="0029369B">
        <w:rPr>
          <w:rFonts w:ascii="Book Antiqua" w:hAnsi="Book Antiqua"/>
        </w:rPr>
        <w:t xml:space="preserve"> 2017; </w:t>
      </w:r>
      <w:r w:rsidRPr="0029369B">
        <w:rPr>
          <w:rFonts w:ascii="Book Antiqua" w:hAnsi="Book Antiqua"/>
          <w:b/>
        </w:rPr>
        <w:t>19</w:t>
      </w:r>
      <w:r w:rsidRPr="0029369B">
        <w:rPr>
          <w:rFonts w:ascii="Book Antiqua" w:hAnsi="Book Antiqua"/>
        </w:rPr>
        <w:t>: 553-561 [PMID: 27796820 DOI: 10.1007/s12094-016-1563-4]</w:t>
      </w:r>
    </w:p>
    <w:p w14:paraId="07EAE8E5"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18 </w:t>
      </w:r>
      <w:r w:rsidRPr="0029369B">
        <w:rPr>
          <w:rFonts w:ascii="Book Antiqua" w:hAnsi="Book Antiqua"/>
          <w:b/>
        </w:rPr>
        <w:t>Silver DA</w:t>
      </w:r>
      <w:r w:rsidRPr="0029369B">
        <w:rPr>
          <w:rFonts w:ascii="Book Antiqua" w:hAnsi="Book Antiqua"/>
        </w:rPr>
        <w:t xml:space="preserve">, Pellicer I, Fair WR, Heston WD, Cordon-Cardo C. Prostate-specific membrane antigen expression in normal and malignant human tissues. </w:t>
      </w:r>
      <w:r w:rsidRPr="0029369B">
        <w:rPr>
          <w:rFonts w:ascii="Book Antiqua" w:hAnsi="Book Antiqua"/>
          <w:i/>
        </w:rPr>
        <w:t>Clin Cancer Res</w:t>
      </w:r>
      <w:r w:rsidRPr="0029369B">
        <w:rPr>
          <w:rFonts w:ascii="Book Antiqua" w:hAnsi="Book Antiqua"/>
        </w:rPr>
        <w:t xml:space="preserve"> 1997; </w:t>
      </w:r>
      <w:r w:rsidRPr="0029369B">
        <w:rPr>
          <w:rFonts w:ascii="Book Antiqua" w:hAnsi="Book Antiqua"/>
          <w:b/>
        </w:rPr>
        <w:t>3</w:t>
      </w:r>
      <w:r w:rsidRPr="0029369B">
        <w:rPr>
          <w:rFonts w:ascii="Book Antiqua" w:hAnsi="Book Antiqua"/>
        </w:rPr>
        <w:t>: 81-85 [PMID: 9815541]</w:t>
      </w:r>
    </w:p>
    <w:p w14:paraId="59F542B3" w14:textId="3E5943D1" w:rsidR="0029369B" w:rsidRPr="0029369B" w:rsidRDefault="0029369B" w:rsidP="0029369B">
      <w:pPr>
        <w:spacing w:line="360" w:lineRule="auto"/>
        <w:jc w:val="both"/>
        <w:rPr>
          <w:rFonts w:ascii="Book Antiqua" w:hAnsi="Book Antiqua"/>
        </w:rPr>
      </w:pPr>
      <w:r w:rsidRPr="0029369B">
        <w:rPr>
          <w:rFonts w:ascii="Book Antiqua" w:hAnsi="Book Antiqua"/>
        </w:rPr>
        <w:t xml:space="preserve">19 </w:t>
      </w:r>
      <w:r w:rsidRPr="0029369B">
        <w:rPr>
          <w:rFonts w:ascii="Book Antiqua" w:hAnsi="Book Antiqua"/>
          <w:b/>
        </w:rPr>
        <w:t>von Eyben FE</w:t>
      </w:r>
      <w:r w:rsidRPr="0029369B">
        <w:rPr>
          <w:rFonts w:ascii="Book Antiqua" w:hAnsi="Book Antiqua"/>
        </w:rPr>
        <w:t xml:space="preserve">, Picchio M, von Eyben R, Rhee H, Bauman G. 68Ga-Labeled Prostate-specific Membrane Antigen Ligand Positron Emission Tomography/Computed Tomography for Prostate Cancer: A Systematic Review and Meta-analysis. </w:t>
      </w:r>
      <w:r w:rsidRPr="0029369B">
        <w:rPr>
          <w:rFonts w:ascii="Book Antiqua" w:hAnsi="Book Antiqua"/>
          <w:i/>
        </w:rPr>
        <w:t>Eur Urol Focus</w:t>
      </w:r>
      <w:r w:rsidRPr="0029369B">
        <w:rPr>
          <w:rFonts w:ascii="Book Antiqua" w:hAnsi="Book Antiqua"/>
        </w:rPr>
        <w:t xml:space="preserve"> 2018; </w:t>
      </w:r>
      <w:r w:rsidRPr="0029369B">
        <w:rPr>
          <w:rFonts w:ascii="Book Antiqua" w:hAnsi="Book Antiqua"/>
          <w:b/>
        </w:rPr>
        <w:t>4</w:t>
      </w:r>
      <w:r w:rsidRPr="0029369B">
        <w:rPr>
          <w:rFonts w:ascii="Book Antiqua" w:hAnsi="Book Antiqua"/>
        </w:rPr>
        <w:t>: 686-693 [PMID: 28753806 DOI: 10.1016/j.euf.2016.11.002]</w:t>
      </w:r>
    </w:p>
    <w:p w14:paraId="310CBEFF" w14:textId="77777777" w:rsidR="0029369B" w:rsidRPr="0029369B" w:rsidRDefault="0029369B" w:rsidP="0029369B">
      <w:pPr>
        <w:spacing w:line="360" w:lineRule="auto"/>
        <w:jc w:val="both"/>
        <w:rPr>
          <w:rFonts w:ascii="Book Antiqua" w:hAnsi="Book Antiqua"/>
        </w:rPr>
      </w:pPr>
      <w:r w:rsidRPr="0029369B">
        <w:rPr>
          <w:rFonts w:ascii="Book Antiqua" w:hAnsi="Book Antiqua"/>
        </w:rPr>
        <w:lastRenderedPageBreak/>
        <w:t xml:space="preserve">20 </w:t>
      </w:r>
      <w:r w:rsidRPr="0029369B">
        <w:rPr>
          <w:rFonts w:ascii="Book Antiqua" w:hAnsi="Book Antiqua"/>
          <w:b/>
        </w:rPr>
        <w:t>Ost P</w:t>
      </w:r>
      <w:r w:rsidRPr="0029369B">
        <w:rPr>
          <w:rFonts w:ascii="Book Antiqua" w:hAnsi="Book Antiqua"/>
        </w:rPr>
        <w:t xml:space="preserve">, Reynders D, Decaestecker K, Fonteyne V, Lumen N, De Bruycker A, Lambert B, Delrue L, Bultijnck R, Claeys T, Goetghebeur E, Villeirs G, De Man K, Ameye F, Billiet I, Joniau S, Vanhaverbeke F, De Meerleer G. Surveillance or Metastasis-Directed Therapy for Oligometastatic Prostate Cancer Recurrence: A Prospective, Randomized, Multicenter Phase II Trial. </w:t>
      </w:r>
      <w:r w:rsidRPr="0029369B">
        <w:rPr>
          <w:rFonts w:ascii="Book Antiqua" w:hAnsi="Book Antiqua"/>
          <w:i/>
        </w:rPr>
        <w:t>J Clin Oncol</w:t>
      </w:r>
      <w:r w:rsidRPr="0029369B">
        <w:rPr>
          <w:rFonts w:ascii="Book Antiqua" w:hAnsi="Book Antiqua"/>
        </w:rPr>
        <w:t xml:space="preserve"> 2018; </w:t>
      </w:r>
      <w:r w:rsidRPr="0029369B">
        <w:rPr>
          <w:rFonts w:ascii="Book Antiqua" w:hAnsi="Book Antiqua"/>
          <w:b/>
        </w:rPr>
        <w:t>36</w:t>
      </w:r>
      <w:r w:rsidRPr="0029369B">
        <w:rPr>
          <w:rFonts w:ascii="Book Antiqua" w:hAnsi="Book Antiqua"/>
        </w:rPr>
        <w:t>: 446-453 [PMID: 29240541 DOI: 10.1200/JCO.2017.75.4853]</w:t>
      </w:r>
    </w:p>
    <w:p w14:paraId="5107FAA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21 </w:t>
      </w:r>
      <w:r w:rsidRPr="0029369B">
        <w:rPr>
          <w:rFonts w:ascii="Book Antiqua" w:hAnsi="Book Antiqua"/>
          <w:b/>
        </w:rPr>
        <w:t>Lieng H</w:t>
      </w:r>
      <w:r w:rsidRPr="0029369B">
        <w:rPr>
          <w:rFonts w:ascii="Book Antiqua" w:hAnsi="Book Antiqua"/>
        </w:rPr>
        <w:t xml:space="preserve">, Hayden AJ, Christie DRH, Davis BJ, Eade TN, Emmett L, Holt T, Hruby G, Pryor D, Shakespeare TP, Sidhom M, Skala M, Wiltshire K, Yaxley J, Kneebone A. Radiotherapy for recurrent prostate cancer: 2018 Recommendations of the Australian and New Zealand Radiation Oncology Genito-Urinary group. </w:t>
      </w:r>
      <w:r w:rsidRPr="0029369B">
        <w:rPr>
          <w:rFonts w:ascii="Book Antiqua" w:hAnsi="Book Antiqua"/>
          <w:i/>
        </w:rPr>
        <w:t>Radiother Oncol</w:t>
      </w:r>
      <w:r w:rsidRPr="0029369B">
        <w:rPr>
          <w:rFonts w:ascii="Book Antiqua" w:hAnsi="Book Antiqua"/>
        </w:rPr>
        <w:t xml:space="preserve"> 2018; </w:t>
      </w:r>
      <w:r w:rsidRPr="0029369B">
        <w:rPr>
          <w:rFonts w:ascii="Book Antiqua" w:hAnsi="Book Antiqua"/>
          <w:b/>
        </w:rPr>
        <w:t>129</w:t>
      </w:r>
      <w:r w:rsidRPr="0029369B">
        <w:rPr>
          <w:rFonts w:ascii="Book Antiqua" w:hAnsi="Book Antiqua"/>
        </w:rPr>
        <w:t>: 377-386 [PMID: 30037499 DOI: 10.1016/j.radonc.2018.06.027]</w:t>
      </w:r>
    </w:p>
    <w:p w14:paraId="3A28A7F9" w14:textId="60A8A4ED" w:rsidR="0029369B" w:rsidRPr="0029369B" w:rsidRDefault="0029369B" w:rsidP="0029369B">
      <w:pPr>
        <w:spacing w:line="360" w:lineRule="auto"/>
        <w:jc w:val="both"/>
        <w:rPr>
          <w:rFonts w:ascii="Book Antiqua" w:hAnsi="Book Antiqua"/>
        </w:rPr>
      </w:pPr>
      <w:r w:rsidRPr="0029369B">
        <w:rPr>
          <w:rFonts w:ascii="Book Antiqua" w:hAnsi="Book Antiqua"/>
        </w:rPr>
        <w:t xml:space="preserve">22 </w:t>
      </w:r>
      <w:r w:rsidRPr="0029369B">
        <w:rPr>
          <w:rFonts w:ascii="Book Antiqua" w:hAnsi="Book Antiqua"/>
          <w:b/>
        </w:rPr>
        <w:t>Roach PJ</w:t>
      </w:r>
      <w:r w:rsidRPr="0029369B">
        <w:rPr>
          <w:rFonts w:ascii="Book Antiqua" w:hAnsi="Book Antiqua"/>
        </w:rPr>
        <w:t xml:space="preserve">, Francis R, Emmett L, Hsiao E, Kneebone A, Hruby G, Eade T, Nguyen QA, Thompson BD, Cusick T, McCarthy M, Tang C, Ho B, Stricker PD, Scott AM. The Impact of 68Ga-PSMA PET/CT on Management Intent in Prostate Cancer: Results of an Australian Prospective Multicenter Study. </w:t>
      </w:r>
      <w:r w:rsidRPr="0029369B">
        <w:rPr>
          <w:rFonts w:ascii="Book Antiqua" w:hAnsi="Book Antiqua"/>
          <w:i/>
        </w:rPr>
        <w:t>J Nucl Med</w:t>
      </w:r>
      <w:r w:rsidRPr="0029369B">
        <w:rPr>
          <w:rFonts w:ascii="Book Antiqua" w:hAnsi="Book Antiqua"/>
        </w:rPr>
        <w:t xml:space="preserve"> 2018; </w:t>
      </w:r>
      <w:r w:rsidRPr="0029369B">
        <w:rPr>
          <w:rFonts w:ascii="Book Antiqua" w:hAnsi="Book Antiqua"/>
          <w:b/>
        </w:rPr>
        <w:t>59</w:t>
      </w:r>
      <w:r w:rsidRPr="0029369B">
        <w:rPr>
          <w:rFonts w:ascii="Book Antiqua" w:hAnsi="Book Antiqua"/>
        </w:rPr>
        <w:t>: 82-88 [PMID: 28646014 DOI: 10.2967/jnumed.117.197160]</w:t>
      </w:r>
    </w:p>
    <w:p w14:paraId="44C0CF3A"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23 </w:t>
      </w:r>
      <w:r w:rsidRPr="0029369B">
        <w:rPr>
          <w:rFonts w:ascii="Book Antiqua" w:hAnsi="Book Antiqua"/>
          <w:b/>
        </w:rPr>
        <w:t>Heidenreich A</w:t>
      </w:r>
      <w:r w:rsidRPr="0029369B">
        <w:rPr>
          <w:rFonts w:ascii="Book Antiqua" w:hAnsi="Book Antiqua"/>
        </w:rPr>
        <w:t xml:space="preserve">, Bastian PJ, Bellmunt J, Bolla M, Joniau S, van der Kwast T, Mason M, Matveev V, Wiegel T, Zattoni F, Mottet N; European Association of Urology. EAU guidelines on prostate cancer. part 1: screening, diagnosis, and local treatment with curative intent-update 2013. </w:t>
      </w:r>
      <w:r w:rsidRPr="0029369B">
        <w:rPr>
          <w:rFonts w:ascii="Book Antiqua" w:hAnsi="Book Antiqua"/>
          <w:i/>
        </w:rPr>
        <w:t>Eur Urol</w:t>
      </w:r>
      <w:r w:rsidRPr="0029369B">
        <w:rPr>
          <w:rFonts w:ascii="Book Antiqua" w:hAnsi="Book Antiqua"/>
        </w:rPr>
        <w:t xml:space="preserve"> 2014; </w:t>
      </w:r>
      <w:r w:rsidRPr="0029369B">
        <w:rPr>
          <w:rFonts w:ascii="Book Antiqua" w:hAnsi="Book Antiqua"/>
          <w:b/>
        </w:rPr>
        <w:t>65</w:t>
      </w:r>
      <w:r w:rsidRPr="0029369B">
        <w:rPr>
          <w:rFonts w:ascii="Book Antiqua" w:hAnsi="Book Antiqua"/>
        </w:rPr>
        <w:t>: 124-137 [PMID: 24207135 DOI: 10.1016/j.eururo.2013.09.046]</w:t>
      </w:r>
    </w:p>
    <w:p w14:paraId="33DAC0C2"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24 </w:t>
      </w:r>
      <w:r w:rsidRPr="0029369B">
        <w:rPr>
          <w:rFonts w:ascii="Book Antiqua" w:hAnsi="Book Antiqua"/>
          <w:b/>
        </w:rPr>
        <w:t>Vale CL</w:t>
      </w:r>
      <w:r w:rsidRPr="0029369B">
        <w:rPr>
          <w:rFonts w:ascii="Book Antiqua" w:hAnsi="Book Antiqua"/>
        </w:rPr>
        <w:t xml:space="preserve">, Burdett S, Rydzewska LHM, Albiges L, Clarke NW, Fisher D, Fizazi K, Gravis G, James ND, Mason MD, Parmar MKB, Sweeney CJ, Sydes MR, Tombal B, Tierney JF; STOpCaP Steering Group. Addition of docetaxel or bisphosphonates to standard of care in men with localised or metastatic, hormone-sensitive prostate cancer: a systematic review and meta-analyses of aggregate data. </w:t>
      </w:r>
      <w:r w:rsidRPr="0029369B">
        <w:rPr>
          <w:rFonts w:ascii="Book Antiqua" w:hAnsi="Book Antiqua"/>
          <w:i/>
        </w:rPr>
        <w:t>Lancet Oncol</w:t>
      </w:r>
      <w:r w:rsidRPr="0029369B">
        <w:rPr>
          <w:rFonts w:ascii="Book Antiqua" w:hAnsi="Book Antiqua"/>
        </w:rPr>
        <w:t xml:space="preserve"> 2016; </w:t>
      </w:r>
      <w:r w:rsidRPr="0029369B">
        <w:rPr>
          <w:rFonts w:ascii="Book Antiqua" w:hAnsi="Book Antiqua"/>
          <w:b/>
        </w:rPr>
        <w:t>17</w:t>
      </w:r>
      <w:r w:rsidRPr="0029369B">
        <w:rPr>
          <w:rFonts w:ascii="Book Antiqua" w:hAnsi="Book Antiqua"/>
        </w:rPr>
        <w:t>: 243-256 [PMID: 26718929 DOI: 10.1016/S1470-2045(15)00489-1]</w:t>
      </w:r>
    </w:p>
    <w:p w14:paraId="6A21A066"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25 </w:t>
      </w:r>
      <w:r w:rsidRPr="0029369B">
        <w:rPr>
          <w:rFonts w:ascii="Book Antiqua" w:hAnsi="Book Antiqua"/>
          <w:b/>
        </w:rPr>
        <w:t>Fizazi K</w:t>
      </w:r>
      <w:r w:rsidRPr="0029369B">
        <w:rPr>
          <w:rFonts w:ascii="Book Antiqua" w:hAnsi="Book Antiqua"/>
        </w:rPr>
        <w:t xml:space="preserve">, Tran N, Fein L, Matsubara N, Rodriguez-Antolin A, Alekseev BY, Özgüroğlu M, Ye D, Feyerabend S, Protheroe A, De Porre P, Kheoh T, Park YC, </w:t>
      </w:r>
      <w:r w:rsidRPr="0029369B">
        <w:rPr>
          <w:rFonts w:ascii="Book Antiqua" w:hAnsi="Book Antiqua"/>
        </w:rPr>
        <w:lastRenderedPageBreak/>
        <w:t xml:space="preserve">Todd MB, Chi KN; LATITUDE Investigators. Abiraterone plus Prednisone in Metastatic, Castration-Sensitive Prostate Cancer. </w:t>
      </w:r>
      <w:r w:rsidRPr="0029369B">
        <w:rPr>
          <w:rFonts w:ascii="Book Antiqua" w:hAnsi="Book Antiqua"/>
          <w:i/>
        </w:rPr>
        <w:t>N Engl J Med</w:t>
      </w:r>
      <w:r w:rsidRPr="0029369B">
        <w:rPr>
          <w:rFonts w:ascii="Book Antiqua" w:hAnsi="Book Antiqua"/>
        </w:rPr>
        <w:t xml:space="preserve"> 2017; </w:t>
      </w:r>
      <w:r w:rsidRPr="0029369B">
        <w:rPr>
          <w:rFonts w:ascii="Book Antiqua" w:hAnsi="Book Antiqua"/>
          <w:b/>
        </w:rPr>
        <w:t>377</w:t>
      </w:r>
      <w:r w:rsidRPr="0029369B">
        <w:rPr>
          <w:rFonts w:ascii="Book Antiqua" w:hAnsi="Book Antiqua"/>
        </w:rPr>
        <w:t>: 352-360 [PMID: 28578607 DOI: 10.1056/NEJMoa1704174]</w:t>
      </w:r>
    </w:p>
    <w:p w14:paraId="271365AA" w14:textId="6B525E38" w:rsidR="0029369B" w:rsidRPr="0029369B" w:rsidRDefault="0029369B" w:rsidP="0029369B">
      <w:pPr>
        <w:spacing w:line="360" w:lineRule="auto"/>
        <w:jc w:val="both"/>
        <w:rPr>
          <w:rFonts w:ascii="Book Antiqua" w:hAnsi="Book Antiqua"/>
        </w:rPr>
      </w:pPr>
      <w:r w:rsidRPr="0029369B">
        <w:rPr>
          <w:rFonts w:ascii="Book Antiqua" w:hAnsi="Book Antiqua"/>
        </w:rPr>
        <w:t xml:space="preserve">26 </w:t>
      </w:r>
      <w:r w:rsidRPr="0029369B">
        <w:rPr>
          <w:rFonts w:ascii="Book Antiqua" w:hAnsi="Book Antiqua"/>
          <w:b/>
        </w:rPr>
        <w:t>Siva S</w:t>
      </w:r>
      <w:r w:rsidRPr="00025104">
        <w:rPr>
          <w:rFonts w:ascii="Book Antiqua" w:hAnsi="Book Antiqua"/>
        </w:rPr>
        <w:t>,</w:t>
      </w:r>
      <w:r w:rsidR="00025104">
        <w:rPr>
          <w:rFonts w:ascii="Book Antiqua" w:hAnsi="Book Antiqua"/>
        </w:rPr>
        <w:t xml:space="preserve"> </w:t>
      </w:r>
      <w:r w:rsidRPr="0029369B">
        <w:rPr>
          <w:rFonts w:ascii="Book Antiqua" w:hAnsi="Book Antiqua"/>
        </w:rPr>
        <w:t xml:space="preserve">Bressel M, Murphy DG, Shaw M, Chander S, Violet J, Tai KH, Udovicich C, Lim A, Selbie L, Hofman MS, Kron T, Moon D, Goad J, Lawrentschuk N, Foroudi F. Stereotactic Abative Body Radiotherapy (SABR) for Oligometastatic Prostate Cancer: A Prospective Clinical Trial. </w:t>
      </w:r>
      <w:r w:rsidRPr="00025104">
        <w:rPr>
          <w:rFonts w:ascii="Book Antiqua" w:hAnsi="Book Antiqua"/>
          <w:i/>
        </w:rPr>
        <w:t>European Urology</w:t>
      </w:r>
      <w:r w:rsidRPr="0029369B">
        <w:rPr>
          <w:rFonts w:ascii="Book Antiqua" w:hAnsi="Book Antiqua"/>
        </w:rPr>
        <w:t xml:space="preserve"> 2018;</w:t>
      </w:r>
      <w:r w:rsidRPr="00025104">
        <w:rPr>
          <w:rFonts w:ascii="Book Antiqua" w:hAnsi="Book Antiqua"/>
          <w:b/>
        </w:rPr>
        <w:t xml:space="preserve"> 74</w:t>
      </w:r>
      <w:r w:rsidRPr="0029369B">
        <w:rPr>
          <w:rFonts w:ascii="Book Antiqua" w:hAnsi="Book Antiqua"/>
        </w:rPr>
        <w:t>: 463–464 [DOI: 10.1016/j.eururo.2018.06.004]</w:t>
      </w:r>
    </w:p>
    <w:p w14:paraId="2E2FE0DC"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27 </w:t>
      </w:r>
      <w:r w:rsidRPr="0029369B">
        <w:rPr>
          <w:rFonts w:ascii="Book Antiqua" w:hAnsi="Book Antiqua"/>
          <w:b/>
        </w:rPr>
        <w:t>de Jong MC</w:t>
      </w:r>
      <w:r w:rsidRPr="0029369B">
        <w:rPr>
          <w:rFonts w:ascii="Book Antiqua" w:hAnsi="Book Antiqua"/>
        </w:rPr>
        <w:t xml:space="preserve">, Mayo SC, Pulitano C, Lanella S, Ribero D, Strub J, Hubert C, Gigot JF, Schulick RD, Choti MA, Aldrighetti L, Mentha G, Capussotti L, Pawlik TM. Repeat curative intent liver surgery is safe and effective for recurrent colorectal liver metastasis: results from an international multi-institutional analysis. </w:t>
      </w:r>
      <w:r w:rsidRPr="0029369B">
        <w:rPr>
          <w:rFonts w:ascii="Book Antiqua" w:hAnsi="Book Antiqua"/>
          <w:i/>
        </w:rPr>
        <w:t>J Gastrointest Surg</w:t>
      </w:r>
      <w:r w:rsidRPr="0029369B">
        <w:rPr>
          <w:rFonts w:ascii="Book Antiqua" w:hAnsi="Book Antiqua"/>
        </w:rPr>
        <w:t xml:space="preserve"> 2009; </w:t>
      </w:r>
      <w:r w:rsidRPr="0029369B">
        <w:rPr>
          <w:rFonts w:ascii="Book Antiqua" w:hAnsi="Book Antiqua"/>
          <w:b/>
        </w:rPr>
        <w:t>13</w:t>
      </w:r>
      <w:r w:rsidRPr="0029369B">
        <w:rPr>
          <w:rFonts w:ascii="Book Antiqua" w:hAnsi="Book Antiqua"/>
        </w:rPr>
        <w:t>: 2141-2151 [PMID: 19795176 DOI: 10.1007/s11605-009-1050-0]</w:t>
      </w:r>
    </w:p>
    <w:p w14:paraId="7DD210F0"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28 </w:t>
      </w:r>
      <w:r w:rsidRPr="0029369B">
        <w:rPr>
          <w:rFonts w:ascii="Book Antiqua" w:hAnsi="Book Antiqua"/>
          <w:b/>
        </w:rPr>
        <w:t>Erler D</w:t>
      </w:r>
      <w:r w:rsidRPr="0029369B">
        <w:rPr>
          <w:rFonts w:ascii="Book Antiqua" w:hAnsi="Book Antiqua"/>
        </w:rPr>
        <w:t xml:space="preserve">, Brotherston D, Sahgal A, Cheung P, Loblaw A, Chu W, Soliman H, Chung H, Kiss A, Chow E, Poon I. Local control and fracture risk following stereotactic body radiation therapy for non-spine bone metastases. </w:t>
      </w:r>
      <w:r w:rsidRPr="0029369B">
        <w:rPr>
          <w:rFonts w:ascii="Book Antiqua" w:hAnsi="Book Antiqua"/>
          <w:i/>
        </w:rPr>
        <w:t>Radiother Oncol</w:t>
      </w:r>
      <w:r w:rsidRPr="0029369B">
        <w:rPr>
          <w:rFonts w:ascii="Book Antiqua" w:hAnsi="Book Antiqua"/>
        </w:rPr>
        <w:t xml:space="preserve"> 2018; </w:t>
      </w:r>
      <w:r w:rsidRPr="0029369B">
        <w:rPr>
          <w:rFonts w:ascii="Book Antiqua" w:hAnsi="Book Antiqua"/>
          <w:b/>
        </w:rPr>
        <w:t>127</w:t>
      </w:r>
      <w:r w:rsidRPr="0029369B">
        <w:rPr>
          <w:rFonts w:ascii="Book Antiqua" w:hAnsi="Book Antiqua"/>
        </w:rPr>
        <w:t>: 304-309 [PMID: 29706460 DOI: 10.1016/j.radonc.2018.03.030]</w:t>
      </w:r>
    </w:p>
    <w:p w14:paraId="7EE0D027"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29 </w:t>
      </w:r>
      <w:r w:rsidRPr="0029369B">
        <w:rPr>
          <w:rFonts w:ascii="Book Antiqua" w:hAnsi="Book Antiqua"/>
          <w:b/>
        </w:rPr>
        <w:t>Ost P</w:t>
      </w:r>
      <w:r w:rsidRPr="0029369B">
        <w:rPr>
          <w:rFonts w:ascii="Book Antiqua" w:hAnsi="Book Antiqua"/>
        </w:rPr>
        <w:t xml:space="preserve">, Jereczek-Fossa BA, As NV, Zilli T, Muacevic A, Olivier K, Henderson D, Casamassima F, Orecchia R, Surgo A, Brown L, Tree A, Miralbell R, De Meerleer G. Progression-free Survival Following Stereotactic Body Radiotherapy for Oligometastatic Prostate Cancer Treatment-naive Recurrence: A Multi-institutional Analysis. </w:t>
      </w:r>
      <w:r w:rsidRPr="0029369B">
        <w:rPr>
          <w:rFonts w:ascii="Book Antiqua" w:hAnsi="Book Antiqua"/>
          <w:i/>
        </w:rPr>
        <w:t>Eur Urol</w:t>
      </w:r>
      <w:r w:rsidRPr="0029369B">
        <w:rPr>
          <w:rFonts w:ascii="Book Antiqua" w:hAnsi="Book Antiqua"/>
        </w:rPr>
        <w:t xml:space="preserve"> 2016; </w:t>
      </w:r>
      <w:r w:rsidRPr="0029369B">
        <w:rPr>
          <w:rFonts w:ascii="Book Antiqua" w:hAnsi="Book Antiqua"/>
          <w:b/>
        </w:rPr>
        <w:t>69</w:t>
      </w:r>
      <w:r w:rsidRPr="0029369B">
        <w:rPr>
          <w:rFonts w:ascii="Book Antiqua" w:hAnsi="Book Antiqua"/>
        </w:rPr>
        <w:t>: 9-12 [PMID: 26189689 DOI: 10.1016/j.eururo.2015.07.004]</w:t>
      </w:r>
    </w:p>
    <w:p w14:paraId="119E69DF"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30 </w:t>
      </w:r>
      <w:r w:rsidRPr="0029369B">
        <w:rPr>
          <w:rFonts w:ascii="Book Antiqua" w:hAnsi="Book Antiqua"/>
          <w:b/>
        </w:rPr>
        <w:t>Muldermans JL</w:t>
      </w:r>
      <w:r w:rsidRPr="0029369B">
        <w:rPr>
          <w:rFonts w:ascii="Book Antiqua" w:hAnsi="Book Antiqua"/>
        </w:rPr>
        <w:t xml:space="preserve">, Romak LB, Kwon ED, Park SS, Olivier KR. Stereotactic Body Radiation Therapy for Oligometastatic Prostate Cancer. </w:t>
      </w:r>
      <w:r w:rsidRPr="0029369B">
        <w:rPr>
          <w:rFonts w:ascii="Book Antiqua" w:hAnsi="Book Antiqua"/>
          <w:i/>
        </w:rPr>
        <w:t>Int J Radiat Oncol Biol Phys</w:t>
      </w:r>
      <w:r w:rsidRPr="0029369B">
        <w:rPr>
          <w:rFonts w:ascii="Book Antiqua" w:hAnsi="Book Antiqua"/>
        </w:rPr>
        <w:t xml:space="preserve"> 2016; </w:t>
      </w:r>
      <w:r w:rsidRPr="0029369B">
        <w:rPr>
          <w:rFonts w:ascii="Book Antiqua" w:hAnsi="Book Antiqua"/>
          <w:b/>
        </w:rPr>
        <w:t>95</w:t>
      </w:r>
      <w:r w:rsidRPr="0029369B">
        <w:rPr>
          <w:rFonts w:ascii="Book Antiqua" w:hAnsi="Book Antiqua"/>
        </w:rPr>
        <w:t>: 696-702 [PMID: 27131082 DOI: 10.1016/j.ijrobp.2016.01.032]</w:t>
      </w:r>
    </w:p>
    <w:p w14:paraId="055053A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31 </w:t>
      </w:r>
      <w:r w:rsidRPr="0029369B">
        <w:rPr>
          <w:rFonts w:ascii="Book Antiqua" w:hAnsi="Book Antiqua"/>
          <w:b/>
        </w:rPr>
        <w:t>Muacevic A</w:t>
      </w:r>
      <w:r w:rsidRPr="0029369B">
        <w:rPr>
          <w:rFonts w:ascii="Book Antiqua" w:hAnsi="Book Antiqua"/>
        </w:rPr>
        <w:t xml:space="preserve">, Kufeld M, Rist C, Wowra B, Stief C, Staehler M. Safety and feasibility of image-guided robotic radiosurgery for patients with limited bone metastases of prostate cancer. </w:t>
      </w:r>
      <w:r w:rsidRPr="0029369B">
        <w:rPr>
          <w:rFonts w:ascii="Book Antiqua" w:hAnsi="Book Antiqua"/>
          <w:i/>
        </w:rPr>
        <w:t>Urol Oncol</w:t>
      </w:r>
      <w:r w:rsidRPr="0029369B">
        <w:rPr>
          <w:rFonts w:ascii="Book Antiqua" w:hAnsi="Book Antiqua"/>
        </w:rPr>
        <w:t xml:space="preserve"> 2013; </w:t>
      </w:r>
      <w:r w:rsidRPr="0029369B">
        <w:rPr>
          <w:rFonts w:ascii="Book Antiqua" w:hAnsi="Book Antiqua"/>
          <w:b/>
        </w:rPr>
        <w:t>31</w:t>
      </w:r>
      <w:r w:rsidRPr="0029369B">
        <w:rPr>
          <w:rFonts w:ascii="Book Antiqua" w:hAnsi="Book Antiqua"/>
        </w:rPr>
        <w:t>: 455-460 [PMID: 21481619 DOI: 10.1016/j.urolonc.2011.02.023]</w:t>
      </w:r>
    </w:p>
    <w:p w14:paraId="75A6C825" w14:textId="77777777" w:rsidR="0029369B" w:rsidRPr="0029369B" w:rsidRDefault="0029369B" w:rsidP="0029369B">
      <w:pPr>
        <w:spacing w:line="360" w:lineRule="auto"/>
        <w:jc w:val="both"/>
        <w:rPr>
          <w:rFonts w:ascii="Book Antiqua" w:hAnsi="Book Antiqua"/>
        </w:rPr>
      </w:pPr>
      <w:r w:rsidRPr="0029369B">
        <w:rPr>
          <w:rFonts w:ascii="Book Antiqua" w:hAnsi="Book Antiqua"/>
        </w:rPr>
        <w:lastRenderedPageBreak/>
        <w:t xml:space="preserve">32 </w:t>
      </w:r>
      <w:r w:rsidRPr="0029369B">
        <w:rPr>
          <w:rFonts w:ascii="Book Antiqua" w:hAnsi="Book Antiqua"/>
          <w:b/>
        </w:rPr>
        <w:t>Conde-Moreno AJ</w:t>
      </w:r>
      <w:r w:rsidRPr="0029369B">
        <w:rPr>
          <w:rFonts w:ascii="Book Antiqua" w:hAnsi="Book Antiqua"/>
        </w:rPr>
        <w:t xml:space="preserve">, Lopez-Guerra JL, Macias VA, Vázquez de la Torre ML, Samper Ots P, San José-Maderuelo S, Pastor Peidro J, López-Torrecilla J, Expósito-Hernández J. Spanish Society of Radiation Oncology clinical guidelines for stereotactic body radiation therapy in lymph node oligometastases. </w:t>
      </w:r>
      <w:r w:rsidRPr="0029369B">
        <w:rPr>
          <w:rFonts w:ascii="Book Antiqua" w:hAnsi="Book Antiqua"/>
          <w:i/>
        </w:rPr>
        <w:t>Clin Transl Oncol</w:t>
      </w:r>
      <w:r w:rsidRPr="0029369B">
        <w:rPr>
          <w:rFonts w:ascii="Book Antiqua" w:hAnsi="Book Antiqua"/>
        </w:rPr>
        <w:t xml:space="preserve"> 2016; </w:t>
      </w:r>
      <w:r w:rsidRPr="0029369B">
        <w:rPr>
          <w:rFonts w:ascii="Book Antiqua" w:hAnsi="Book Antiqua"/>
          <w:b/>
        </w:rPr>
        <w:t>18</w:t>
      </w:r>
      <w:r w:rsidRPr="0029369B">
        <w:rPr>
          <w:rFonts w:ascii="Book Antiqua" w:hAnsi="Book Antiqua"/>
        </w:rPr>
        <w:t>: 342-351 [PMID: 26329294 DOI: 10.1007/s12094-015-1383-y]</w:t>
      </w:r>
    </w:p>
    <w:p w14:paraId="1A592B67"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33 </w:t>
      </w:r>
      <w:r w:rsidRPr="0029369B">
        <w:rPr>
          <w:rFonts w:ascii="Book Antiqua" w:hAnsi="Book Antiqua"/>
          <w:b/>
        </w:rPr>
        <w:t>Casamassima F</w:t>
      </w:r>
      <w:r w:rsidRPr="0029369B">
        <w:rPr>
          <w:rFonts w:ascii="Book Antiqua" w:hAnsi="Book Antiqua"/>
        </w:rPr>
        <w:t xml:space="preserve">, Masi L, Menichelli C, Bonucci I, Casamassima E, Lazzeri M, Gulisano M, Aterini S. Efficacy of eradicative radiotherapy for limited nodal metastases detected with choline PET scan in prostate cancer patients. </w:t>
      </w:r>
      <w:r w:rsidRPr="0029369B">
        <w:rPr>
          <w:rFonts w:ascii="Book Antiqua" w:hAnsi="Book Antiqua"/>
          <w:i/>
        </w:rPr>
        <w:t>Tumori</w:t>
      </w:r>
      <w:r w:rsidRPr="0029369B">
        <w:rPr>
          <w:rFonts w:ascii="Book Antiqua" w:hAnsi="Book Antiqua"/>
        </w:rPr>
        <w:t xml:space="preserve"> 2011; </w:t>
      </w:r>
      <w:r w:rsidRPr="0029369B">
        <w:rPr>
          <w:rFonts w:ascii="Book Antiqua" w:hAnsi="Book Antiqua"/>
          <w:b/>
        </w:rPr>
        <w:t>97</w:t>
      </w:r>
      <w:r w:rsidRPr="0029369B">
        <w:rPr>
          <w:rFonts w:ascii="Book Antiqua" w:hAnsi="Book Antiqua"/>
        </w:rPr>
        <w:t>: 49-55 [PMID: 21528664 DOI: 10.1177/030089161109700110]</w:t>
      </w:r>
    </w:p>
    <w:p w14:paraId="69E2E0E9"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34 </w:t>
      </w:r>
      <w:r w:rsidRPr="0029369B">
        <w:rPr>
          <w:rFonts w:ascii="Book Antiqua" w:hAnsi="Book Antiqua"/>
          <w:b/>
        </w:rPr>
        <w:t>Decaestecker K</w:t>
      </w:r>
      <w:r w:rsidRPr="0029369B">
        <w:rPr>
          <w:rFonts w:ascii="Book Antiqua" w:hAnsi="Book Antiqua"/>
        </w:rPr>
        <w:t xml:space="preserve">, De Meerleer G, Lambert B, Delrue L, Fonteyne V, Claeys T, De Vos F, Huysse W, Hautekiet A, Maes G, Ost P. Repeated stereotactic body radiotherapy for oligometastatic prostate cancer recurrence. </w:t>
      </w:r>
      <w:r w:rsidRPr="0029369B">
        <w:rPr>
          <w:rFonts w:ascii="Book Antiqua" w:hAnsi="Book Antiqua"/>
          <w:i/>
        </w:rPr>
        <w:t>Radiat Oncol</w:t>
      </w:r>
      <w:r w:rsidRPr="0029369B">
        <w:rPr>
          <w:rFonts w:ascii="Book Antiqua" w:hAnsi="Book Antiqua"/>
        </w:rPr>
        <w:t xml:space="preserve"> 2014; </w:t>
      </w:r>
      <w:r w:rsidRPr="0029369B">
        <w:rPr>
          <w:rFonts w:ascii="Book Antiqua" w:hAnsi="Book Antiqua"/>
          <w:b/>
        </w:rPr>
        <w:t>9</w:t>
      </w:r>
      <w:r w:rsidRPr="0029369B">
        <w:rPr>
          <w:rFonts w:ascii="Book Antiqua" w:hAnsi="Book Antiqua"/>
        </w:rPr>
        <w:t>: 135 [PMID: 24920079 DOI: 10.1186/1748-717X-9-135]</w:t>
      </w:r>
    </w:p>
    <w:p w14:paraId="3FDB4A53"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35 </w:t>
      </w:r>
      <w:r w:rsidRPr="0029369B">
        <w:rPr>
          <w:rFonts w:ascii="Book Antiqua" w:hAnsi="Book Antiqua"/>
          <w:b/>
        </w:rPr>
        <w:t>Jereczek-Fossa BA</w:t>
      </w:r>
      <w:r w:rsidRPr="0029369B">
        <w:rPr>
          <w:rFonts w:ascii="Book Antiqua" w:hAnsi="Book Antiqua"/>
        </w:rPr>
        <w:t xml:space="preserve">, Zerini D, Fodor C, Santoro L, Cambria R, Garibaldi C, Tagaste B, Vavassori A, Cattani F, Alterio D, Gherardi F, Serafini F, Rocco B, Musi G, De Cobelli O, Orecchia R. Acute toxicity of image-guided hypofractionated radiotherapy for prostate cancer: nonrandomized comparison with conventional fractionation. </w:t>
      </w:r>
      <w:r w:rsidRPr="0029369B">
        <w:rPr>
          <w:rFonts w:ascii="Book Antiqua" w:hAnsi="Book Antiqua"/>
          <w:i/>
        </w:rPr>
        <w:t>Urol Oncol</w:t>
      </w:r>
      <w:r w:rsidRPr="0029369B">
        <w:rPr>
          <w:rFonts w:ascii="Book Antiqua" w:hAnsi="Book Antiqua"/>
        </w:rPr>
        <w:t xml:space="preserve"> 2011; </w:t>
      </w:r>
      <w:r w:rsidRPr="0029369B">
        <w:rPr>
          <w:rFonts w:ascii="Book Antiqua" w:hAnsi="Book Antiqua"/>
          <w:b/>
        </w:rPr>
        <w:t>29</w:t>
      </w:r>
      <w:r w:rsidRPr="0029369B">
        <w:rPr>
          <w:rFonts w:ascii="Book Antiqua" w:hAnsi="Book Antiqua"/>
        </w:rPr>
        <w:t>: 523-532 [PMID: 20005749 DOI: 10.1016/j.urolonc.2009.10.004]</w:t>
      </w:r>
    </w:p>
    <w:p w14:paraId="5ABF1968"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36 </w:t>
      </w:r>
      <w:r w:rsidRPr="0029369B">
        <w:rPr>
          <w:rFonts w:ascii="Book Antiqua" w:hAnsi="Book Antiqua"/>
          <w:b/>
        </w:rPr>
        <w:t>Detti B</w:t>
      </w:r>
      <w:r w:rsidRPr="0029369B">
        <w:rPr>
          <w:rFonts w:ascii="Book Antiqua" w:hAnsi="Book Antiqua"/>
        </w:rPr>
        <w:t xml:space="preserve">, Bonomo P, Masi L, Doro R, Cipressi S, Iermano C, Bonucci I, Franceschini D, Di Brina L, Baki M, Simontacchi G, Meattini I, Carini M, Serni S, Nicita G, Livi L. CyberKnife stereotactic radiotherapy for isolated recurrence in the prostatic bed. </w:t>
      </w:r>
      <w:r w:rsidRPr="0029369B">
        <w:rPr>
          <w:rFonts w:ascii="Book Antiqua" w:hAnsi="Book Antiqua"/>
          <w:i/>
        </w:rPr>
        <w:t>World J Urol</w:t>
      </w:r>
      <w:r w:rsidRPr="0029369B">
        <w:rPr>
          <w:rFonts w:ascii="Book Antiqua" w:hAnsi="Book Antiqua"/>
        </w:rPr>
        <w:t xml:space="preserve"> 2016; </w:t>
      </w:r>
      <w:r w:rsidRPr="0029369B">
        <w:rPr>
          <w:rFonts w:ascii="Book Antiqua" w:hAnsi="Book Antiqua"/>
          <w:b/>
        </w:rPr>
        <w:t>34</w:t>
      </w:r>
      <w:r w:rsidRPr="0029369B">
        <w:rPr>
          <w:rFonts w:ascii="Book Antiqua" w:hAnsi="Book Antiqua"/>
        </w:rPr>
        <w:t>: 311-317 [PMID: 26062525 DOI: 10.1007/s00345-015-1613-5]</w:t>
      </w:r>
    </w:p>
    <w:p w14:paraId="703EA104"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37 </w:t>
      </w:r>
      <w:r w:rsidRPr="0029369B">
        <w:rPr>
          <w:rFonts w:ascii="Book Antiqua" w:hAnsi="Book Antiqua"/>
          <w:b/>
        </w:rPr>
        <w:t>Picchio M</w:t>
      </w:r>
      <w:r w:rsidRPr="0029369B">
        <w:rPr>
          <w:rFonts w:ascii="Book Antiqua" w:hAnsi="Book Antiqua"/>
        </w:rPr>
        <w:t xml:space="preserve">, Berardi G, Fodor A, Busnardo E, Crivellaro C, Giovacchini G, Fiorino C, Kirienko M, Incerti E, Messa C, Gianolli L, Di Muzio N. (11)C-Choline PET/CT as a guide to radiation treatment planning of lymph-node relapses in prostate cancer patients. </w:t>
      </w:r>
      <w:r w:rsidRPr="0029369B">
        <w:rPr>
          <w:rFonts w:ascii="Book Antiqua" w:hAnsi="Book Antiqua"/>
          <w:i/>
        </w:rPr>
        <w:t>Eur J Nucl Med Mol Imaging</w:t>
      </w:r>
      <w:r w:rsidRPr="0029369B">
        <w:rPr>
          <w:rFonts w:ascii="Book Antiqua" w:hAnsi="Book Antiqua"/>
        </w:rPr>
        <w:t xml:space="preserve"> 2014; </w:t>
      </w:r>
      <w:r w:rsidRPr="0029369B">
        <w:rPr>
          <w:rFonts w:ascii="Book Antiqua" w:hAnsi="Book Antiqua"/>
          <w:b/>
        </w:rPr>
        <w:t>41</w:t>
      </w:r>
      <w:r w:rsidRPr="0029369B">
        <w:rPr>
          <w:rFonts w:ascii="Book Antiqua" w:hAnsi="Book Antiqua"/>
        </w:rPr>
        <w:t>: 1270-1279 [PMID: 24599378 DOI: 10.1007/s00259-014-2734-6]</w:t>
      </w:r>
    </w:p>
    <w:p w14:paraId="2DB4086C"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38 </w:t>
      </w:r>
      <w:r w:rsidRPr="0029369B">
        <w:rPr>
          <w:rFonts w:ascii="Book Antiqua" w:hAnsi="Book Antiqua"/>
          <w:b/>
        </w:rPr>
        <w:t>Jilg CA</w:t>
      </w:r>
      <w:r w:rsidRPr="0029369B">
        <w:rPr>
          <w:rFonts w:ascii="Book Antiqua" w:hAnsi="Book Antiqua"/>
        </w:rPr>
        <w:t>, Drendel V, Rischke HC, Beck T, Vach W, Schaal K, Wetterauer U, Schultze-Seemann W, Meyer PT. Diagnostic Accuracy of Ga-68-HBED-CC-</w:t>
      </w:r>
      <w:r w:rsidRPr="0029369B">
        <w:rPr>
          <w:rFonts w:ascii="Book Antiqua" w:hAnsi="Book Antiqua"/>
        </w:rPr>
        <w:lastRenderedPageBreak/>
        <w:t xml:space="preserve">PSMA-Ligand-PET/CT before Salvage Lymph Node Dissection for Recurrent Prostate Cancer. </w:t>
      </w:r>
      <w:r w:rsidRPr="0029369B">
        <w:rPr>
          <w:rFonts w:ascii="Book Antiqua" w:hAnsi="Book Antiqua"/>
          <w:i/>
        </w:rPr>
        <w:t>Theranostics</w:t>
      </w:r>
      <w:r w:rsidRPr="0029369B">
        <w:rPr>
          <w:rFonts w:ascii="Book Antiqua" w:hAnsi="Book Antiqua"/>
        </w:rPr>
        <w:t xml:space="preserve"> 2017; </w:t>
      </w:r>
      <w:r w:rsidRPr="0029369B">
        <w:rPr>
          <w:rFonts w:ascii="Book Antiqua" w:hAnsi="Book Antiqua"/>
          <w:b/>
        </w:rPr>
        <w:t>7</w:t>
      </w:r>
      <w:r w:rsidRPr="0029369B">
        <w:rPr>
          <w:rFonts w:ascii="Book Antiqua" w:hAnsi="Book Antiqua"/>
        </w:rPr>
        <w:t>: 1770-1780 [PMID: 28529650 DOI: 10.7150/thno.18421]</w:t>
      </w:r>
    </w:p>
    <w:p w14:paraId="6EB3D559"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39 </w:t>
      </w:r>
      <w:r w:rsidRPr="0029369B">
        <w:rPr>
          <w:rFonts w:ascii="Book Antiqua" w:hAnsi="Book Antiqua"/>
          <w:b/>
        </w:rPr>
        <w:t>Eisenhauer EA</w:t>
      </w:r>
      <w:r w:rsidRPr="0029369B">
        <w:rPr>
          <w:rFonts w:ascii="Book Antiqua" w:hAnsi="Book Antiqua"/>
        </w:rPr>
        <w:t xml:space="preserve">, Therasse P, Bogaerts J, Schwartz LH, Sargent D, Ford R, Dancey J, Arbuck S, Gwyther S, Mooney M, Rubinstein L, Shankar L, Dodd L, Kaplan R, Lacombe D, Verweij J. New response evaluation criteria in solid tumours: revised RECIST guideline (version 1.1). </w:t>
      </w:r>
      <w:r w:rsidRPr="0029369B">
        <w:rPr>
          <w:rFonts w:ascii="Book Antiqua" w:hAnsi="Book Antiqua"/>
          <w:i/>
        </w:rPr>
        <w:t>Eur J Cancer</w:t>
      </w:r>
      <w:r w:rsidRPr="0029369B">
        <w:rPr>
          <w:rFonts w:ascii="Book Antiqua" w:hAnsi="Book Antiqua"/>
        </w:rPr>
        <w:t xml:space="preserve"> 2009; </w:t>
      </w:r>
      <w:r w:rsidRPr="0029369B">
        <w:rPr>
          <w:rFonts w:ascii="Book Antiqua" w:hAnsi="Book Antiqua"/>
          <w:b/>
        </w:rPr>
        <w:t>45</w:t>
      </w:r>
      <w:r w:rsidRPr="0029369B">
        <w:rPr>
          <w:rFonts w:ascii="Book Antiqua" w:hAnsi="Book Antiqua"/>
        </w:rPr>
        <w:t>: 228-247 [PMID: 19097774 DOI: 10.1016/j.ejca.2008.10.026]</w:t>
      </w:r>
    </w:p>
    <w:p w14:paraId="040CA76E"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40 </w:t>
      </w:r>
      <w:r w:rsidRPr="0029369B">
        <w:rPr>
          <w:rFonts w:ascii="Book Antiqua" w:hAnsi="Book Antiqua"/>
          <w:b/>
        </w:rPr>
        <w:t>Thibault I</w:t>
      </w:r>
      <w:r w:rsidRPr="0029369B">
        <w:rPr>
          <w:rFonts w:ascii="Book Antiqua" w:hAnsi="Book Antiqua"/>
        </w:rPr>
        <w:t xml:space="preserve">, Chang EL, Sheehan J, Ahluwalia MS, Guckenberger M, Sohn MJ, Ryu S, Foote M, Lo SS, Muacevic A, Soltys SG, Chao S, Gerszten P, Lis E, Yu E, Bilsky M, Fisher C, Schiff D, Fehlings MG, Ma L, Chang S, Chow E, Parelukar WR, Vogelbaum MA, Sahgal A. Response assessment after stereotactic body radiotherapy for spinal metastasis: a report from the SPIne response assessment in Neuro-Oncology (SPINO) group. </w:t>
      </w:r>
      <w:r w:rsidRPr="0029369B">
        <w:rPr>
          <w:rFonts w:ascii="Book Antiqua" w:hAnsi="Book Antiqua"/>
          <w:i/>
        </w:rPr>
        <w:t>Lancet Oncol</w:t>
      </w:r>
      <w:r w:rsidRPr="0029369B">
        <w:rPr>
          <w:rFonts w:ascii="Book Antiqua" w:hAnsi="Book Antiqua"/>
        </w:rPr>
        <w:t xml:space="preserve"> 2015; </w:t>
      </w:r>
      <w:r w:rsidRPr="0029369B">
        <w:rPr>
          <w:rFonts w:ascii="Book Antiqua" w:hAnsi="Book Antiqua"/>
          <w:b/>
        </w:rPr>
        <w:t>16</w:t>
      </w:r>
      <w:r w:rsidRPr="0029369B">
        <w:rPr>
          <w:rFonts w:ascii="Book Antiqua" w:hAnsi="Book Antiqua"/>
        </w:rPr>
        <w:t>: e595-e603 [PMID: 26678212 DOI: 10.1016/S1470-2045(15)00166-7]</w:t>
      </w:r>
    </w:p>
    <w:p w14:paraId="747FD03E"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41 </w:t>
      </w:r>
      <w:r w:rsidRPr="0029369B">
        <w:rPr>
          <w:rFonts w:ascii="Book Antiqua" w:hAnsi="Book Antiqua"/>
          <w:b/>
        </w:rPr>
        <w:t>Ost P</w:t>
      </w:r>
      <w:r w:rsidRPr="0029369B">
        <w:rPr>
          <w:rFonts w:ascii="Book Antiqua" w:hAnsi="Book Antiqua"/>
        </w:rPr>
        <w:t xml:space="preserve">, Bossi A, Decaestecker K, De Meerleer G, Giannarini G, Karnes RJ, Roach M 3rd, Briganti A. Metastasis-directed therapy of regional and distant recurrences after curative treatment of prostate cancer: a systematic review of the literature. </w:t>
      </w:r>
      <w:r w:rsidRPr="0029369B">
        <w:rPr>
          <w:rFonts w:ascii="Book Antiqua" w:hAnsi="Book Antiqua"/>
          <w:i/>
        </w:rPr>
        <w:t>Eur Urol</w:t>
      </w:r>
      <w:r w:rsidRPr="0029369B">
        <w:rPr>
          <w:rFonts w:ascii="Book Antiqua" w:hAnsi="Book Antiqua"/>
        </w:rPr>
        <w:t xml:space="preserve"> 2015; </w:t>
      </w:r>
      <w:r w:rsidRPr="0029369B">
        <w:rPr>
          <w:rFonts w:ascii="Book Antiqua" w:hAnsi="Book Antiqua"/>
          <w:b/>
        </w:rPr>
        <w:t>67</w:t>
      </w:r>
      <w:r w:rsidRPr="0029369B">
        <w:rPr>
          <w:rFonts w:ascii="Book Antiqua" w:hAnsi="Book Antiqua"/>
        </w:rPr>
        <w:t>: 852-863 [PMID: 25240974 DOI: 10.1016/j.eururo.2014.09.004]</w:t>
      </w:r>
    </w:p>
    <w:p w14:paraId="6664DDF2"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42 </w:t>
      </w:r>
      <w:r w:rsidRPr="0029369B">
        <w:rPr>
          <w:rFonts w:ascii="Book Antiqua" w:hAnsi="Book Antiqua"/>
          <w:b/>
        </w:rPr>
        <w:t>Gomez DR</w:t>
      </w:r>
      <w:r w:rsidRPr="0029369B">
        <w:rPr>
          <w:rFonts w:ascii="Book Antiqua" w:hAnsi="Book Antiqua"/>
        </w:rPr>
        <w:t xml:space="preserve">, Blumenschein GR Jr, Lee JJ, Hernandez M, Ye R, Camidge DR, Doebele RC, Skoulidis F, Gaspar LE, Gibbons DL, Karam JA, Kavanagh BD, Tang C, Komaki R, Louie AV, Palma DA, Tsao AS, Sepesi B, William WN, Zhang J, Shi Q, Wang XS, Swisher SG, Heymach JV. Local consolidative therapy versus maintenance therapy or observation for patients with oligometastatic non-small-cell lung cancer without progression after first-line systemic therapy: a multicentre, randomised, controlled, phase 2 study. </w:t>
      </w:r>
      <w:r w:rsidRPr="0029369B">
        <w:rPr>
          <w:rFonts w:ascii="Book Antiqua" w:hAnsi="Book Antiqua"/>
          <w:i/>
        </w:rPr>
        <w:t>Lancet Oncol</w:t>
      </w:r>
      <w:r w:rsidRPr="0029369B">
        <w:rPr>
          <w:rFonts w:ascii="Book Antiqua" w:hAnsi="Book Antiqua"/>
        </w:rPr>
        <w:t xml:space="preserve"> 2016; </w:t>
      </w:r>
      <w:r w:rsidRPr="0029369B">
        <w:rPr>
          <w:rFonts w:ascii="Book Antiqua" w:hAnsi="Book Antiqua"/>
          <w:b/>
        </w:rPr>
        <w:t>17</w:t>
      </w:r>
      <w:r w:rsidRPr="0029369B">
        <w:rPr>
          <w:rFonts w:ascii="Book Antiqua" w:hAnsi="Book Antiqua"/>
        </w:rPr>
        <w:t>: 1672-1682 [PMID: 27789196 DOI: 10.1016/S1470-2045(16)30532-0]</w:t>
      </w:r>
    </w:p>
    <w:p w14:paraId="46A37DD5"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43 </w:t>
      </w:r>
      <w:r w:rsidRPr="0029369B">
        <w:rPr>
          <w:rFonts w:ascii="Book Antiqua" w:hAnsi="Book Antiqua"/>
          <w:b/>
        </w:rPr>
        <w:t>Fisher CG</w:t>
      </w:r>
      <w:r w:rsidRPr="0029369B">
        <w:rPr>
          <w:rFonts w:ascii="Book Antiqua" w:hAnsi="Book Antiqua"/>
        </w:rPr>
        <w:t xml:space="preserve">, Schouten R, Versteeg AL, Boriani S, Varga PP, Rhines LD, Kawahara N, Fourney D, Weir L, Reynolds JJ, Sahgal A, Fehlings MG, Gokaslan ZL. Reliability of the Spinal Instability Neoplastic Score (SINS) among radiation </w:t>
      </w:r>
      <w:r w:rsidRPr="0029369B">
        <w:rPr>
          <w:rFonts w:ascii="Book Antiqua" w:hAnsi="Book Antiqua"/>
        </w:rPr>
        <w:lastRenderedPageBreak/>
        <w:t xml:space="preserve">oncologists: an assessment of instability secondary to spinal metastases. </w:t>
      </w:r>
      <w:r w:rsidRPr="0029369B">
        <w:rPr>
          <w:rFonts w:ascii="Book Antiqua" w:hAnsi="Book Antiqua"/>
          <w:i/>
        </w:rPr>
        <w:t>Radiat Oncol</w:t>
      </w:r>
      <w:r w:rsidRPr="0029369B">
        <w:rPr>
          <w:rFonts w:ascii="Book Antiqua" w:hAnsi="Book Antiqua"/>
        </w:rPr>
        <w:t xml:space="preserve"> 2014; </w:t>
      </w:r>
      <w:r w:rsidRPr="0029369B">
        <w:rPr>
          <w:rFonts w:ascii="Book Antiqua" w:hAnsi="Book Antiqua"/>
          <w:b/>
        </w:rPr>
        <w:t>9</w:t>
      </w:r>
      <w:r w:rsidRPr="0029369B">
        <w:rPr>
          <w:rFonts w:ascii="Book Antiqua" w:hAnsi="Book Antiqua"/>
        </w:rPr>
        <w:t>: 69 [PMID: 24594004 DOI: 10.1186/1748-717X-9-69]</w:t>
      </w:r>
    </w:p>
    <w:p w14:paraId="091F23F5"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44 </w:t>
      </w:r>
      <w:r w:rsidRPr="0029369B">
        <w:rPr>
          <w:rFonts w:ascii="Book Antiqua" w:hAnsi="Book Antiqua"/>
          <w:b/>
        </w:rPr>
        <w:t>Lee SH</w:t>
      </w:r>
      <w:r w:rsidRPr="0029369B">
        <w:rPr>
          <w:rFonts w:ascii="Book Antiqua" w:hAnsi="Book Antiqua"/>
        </w:rPr>
        <w:t xml:space="preserve">, Tatsui CE, Ghia AJ, Amini B, Li J, Zavarella SM, Tannir NM, Brown PD, Rhines LD. Can the spinal instability neoplastic score prior to spinal radiosurgery predict compression fractures following stereotactic spinal radiosurgery for metastatic spinal </w:t>
      </w:r>
      <w:proofErr w:type="gramStart"/>
      <w:r w:rsidRPr="0029369B">
        <w:rPr>
          <w:rFonts w:ascii="Book Antiqua" w:hAnsi="Book Antiqua"/>
        </w:rPr>
        <w:t>tumor?:</w:t>
      </w:r>
      <w:proofErr w:type="gramEnd"/>
      <w:r w:rsidRPr="0029369B">
        <w:rPr>
          <w:rFonts w:ascii="Book Antiqua" w:hAnsi="Book Antiqua"/>
        </w:rPr>
        <w:t xml:space="preserve"> a post hoc analysis of prospective phase II single-institution trials. </w:t>
      </w:r>
      <w:r w:rsidRPr="0029369B">
        <w:rPr>
          <w:rFonts w:ascii="Book Antiqua" w:hAnsi="Book Antiqua"/>
          <w:i/>
        </w:rPr>
        <w:t>J Neurooncol</w:t>
      </w:r>
      <w:r w:rsidRPr="0029369B">
        <w:rPr>
          <w:rFonts w:ascii="Book Antiqua" w:hAnsi="Book Antiqua"/>
        </w:rPr>
        <w:t xml:space="preserve"> 2016; </w:t>
      </w:r>
      <w:r w:rsidRPr="0029369B">
        <w:rPr>
          <w:rFonts w:ascii="Book Antiqua" w:hAnsi="Book Antiqua"/>
          <w:b/>
        </w:rPr>
        <w:t>126</w:t>
      </w:r>
      <w:r w:rsidRPr="0029369B">
        <w:rPr>
          <w:rFonts w:ascii="Book Antiqua" w:hAnsi="Book Antiqua"/>
        </w:rPr>
        <w:t>: 509-517 [PMID: 26643804 DOI: 10.1007/s11060-015-1990-z]</w:t>
      </w:r>
    </w:p>
    <w:p w14:paraId="0AB31DB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45 </w:t>
      </w:r>
      <w:r w:rsidRPr="0029369B">
        <w:rPr>
          <w:rFonts w:ascii="Book Antiqua" w:hAnsi="Book Antiqua"/>
          <w:b/>
        </w:rPr>
        <w:t>Berkovic P</w:t>
      </w:r>
      <w:r w:rsidRPr="0029369B">
        <w:rPr>
          <w:rFonts w:ascii="Book Antiqua" w:hAnsi="Book Antiqua"/>
        </w:rPr>
        <w:t xml:space="preserve">, De Meerleer G, Delrue L, Lambert B, Fonteyne V, Lumen N, Decaestecker K, Villeirs G, Vuye P, Ost P. Salvage stereotactic body radiotherapy for patients with limited prostate cancer metastases: deferring androgen deprivation therapy. </w:t>
      </w:r>
      <w:r w:rsidRPr="0029369B">
        <w:rPr>
          <w:rFonts w:ascii="Book Antiqua" w:hAnsi="Book Antiqua"/>
          <w:i/>
        </w:rPr>
        <w:t>Clin Genitourin Cancer</w:t>
      </w:r>
      <w:r w:rsidRPr="0029369B">
        <w:rPr>
          <w:rFonts w:ascii="Book Antiqua" w:hAnsi="Book Antiqua"/>
        </w:rPr>
        <w:t xml:space="preserve"> 2013; </w:t>
      </w:r>
      <w:r w:rsidRPr="0029369B">
        <w:rPr>
          <w:rFonts w:ascii="Book Antiqua" w:hAnsi="Book Antiqua"/>
          <w:b/>
        </w:rPr>
        <w:t>11</w:t>
      </w:r>
      <w:r w:rsidRPr="0029369B">
        <w:rPr>
          <w:rFonts w:ascii="Book Antiqua" w:hAnsi="Book Antiqua"/>
        </w:rPr>
        <w:t>: 27-32 [PMID: 23010414 DOI: 10.1016/j.clgc.2012.08.003]</w:t>
      </w:r>
    </w:p>
    <w:p w14:paraId="148883D3"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46 </w:t>
      </w:r>
      <w:r w:rsidRPr="0029369B">
        <w:rPr>
          <w:rFonts w:ascii="Book Antiqua" w:hAnsi="Book Antiqua"/>
          <w:b/>
        </w:rPr>
        <w:t>Pasqualetti F</w:t>
      </w:r>
      <w:r w:rsidRPr="0029369B">
        <w:rPr>
          <w:rFonts w:ascii="Book Antiqua" w:hAnsi="Book Antiqua"/>
        </w:rPr>
        <w:t xml:space="preserve">, Panichi M, Sainato A, Baldaccini D, Cocuzza P, Gonnelli A, Montrone S, Molinari A, Barbiero S, Bruschi A, Notini E, Ursino S, Mazzotti V, Morganti R, Coraggio G, Cantarella M, Erba PA, Paiar F. Image-guided Stereotactic Body Radiotherapy in Metastatic Prostate Cancer. </w:t>
      </w:r>
      <w:r w:rsidRPr="0029369B">
        <w:rPr>
          <w:rFonts w:ascii="Book Antiqua" w:hAnsi="Book Antiqua"/>
          <w:i/>
        </w:rPr>
        <w:t>Anticancer Res</w:t>
      </w:r>
      <w:r w:rsidRPr="0029369B">
        <w:rPr>
          <w:rFonts w:ascii="Book Antiqua" w:hAnsi="Book Antiqua"/>
        </w:rPr>
        <w:t xml:space="preserve"> 2018; </w:t>
      </w:r>
      <w:r w:rsidRPr="0029369B">
        <w:rPr>
          <w:rFonts w:ascii="Book Antiqua" w:hAnsi="Book Antiqua"/>
          <w:b/>
        </w:rPr>
        <w:t>38</w:t>
      </w:r>
      <w:r w:rsidRPr="0029369B">
        <w:rPr>
          <w:rFonts w:ascii="Book Antiqua" w:hAnsi="Book Antiqua"/>
        </w:rPr>
        <w:t>: 3119-3122 [PMID: 29715150 DOI: 10.21873/anticanres.12572]</w:t>
      </w:r>
    </w:p>
    <w:p w14:paraId="5435F6EA"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47 </w:t>
      </w:r>
      <w:r w:rsidRPr="0029369B">
        <w:rPr>
          <w:rFonts w:ascii="Book Antiqua" w:hAnsi="Book Antiqua"/>
          <w:b/>
        </w:rPr>
        <w:t>Triggiani L</w:t>
      </w:r>
      <w:r w:rsidRPr="0029369B">
        <w:rPr>
          <w:rFonts w:ascii="Book Antiqua" w:hAnsi="Book Antiqua"/>
        </w:rPr>
        <w:t xml:space="preserve">, Alongi F, Buglione M, Detti B, Santoni R, Bruni A, Maranzano E, Lohr F, D'Angelillo R, Magli A, Bonetta A, Mazzola R, Pasinetti N, Francolini G, Ingrosso G, Trippa F, Fersino S, Borghetti P, Ghirardelli P, Magrini SM. Efficacy of stereotactic body radiotherapy in oligorecurrent and in oligoprogressive prostate cancer: new evidence from a multicentric study. </w:t>
      </w:r>
      <w:r w:rsidRPr="0029369B">
        <w:rPr>
          <w:rFonts w:ascii="Book Antiqua" w:hAnsi="Book Antiqua"/>
          <w:i/>
        </w:rPr>
        <w:t>Br J Cancer</w:t>
      </w:r>
      <w:r w:rsidRPr="0029369B">
        <w:rPr>
          <w:rFonts w:ascii="Book Antiqua" w:hAnsi="Book Antiqua"/>
        </w:rPr>
        <w:t xml:space="preserve"> 2017; </w:t>
      </w:r>
      <w:r w:rsidRPr="0029369B">
        <w:rPr>
          <w:rFonts w:ascii="Book Antiqua" w:hAnsi="Book Antiqua"/>
          <w:b/>
        </w:rPr>
        <w:t>116</w:t>
      </w:r>
      <w:r w:rsidRPr="0029369B">
        <w:rPr>
          <w:rFonts w:ascii="Book Antiqua" w:hAnsi="Book Antiqua"/>
        </w:rPr>
        <w:t>: 1520-1525 [PMID: 28449007 DOI: 10.1038/bjc.2017.103]</w:t>
      </w:r>
    </w:p>
    <w:p w14:paraId="354E50D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48 </w:t>
      </w:r>
      <w:r w:rsidRPr="0029369B">
        <w:rPr>
          <w:rFonts w:ascii="Book Antiqua" w:hAnsi="Book Antiqua"/>
          <w:b/>
        </w:rPr>
        <w:t>Bouman-Wammes EW</w:t>
      </w:r>
      <w:r w:rsidRPr="0029369B">
        <w:rPr>
          <w:rFonts w:ascii="Book Antiqua" w:hAnsi="Book Antiqua"/>
        </w:rPr>
        <w:t xml:space="preserve">, van Dodewaard-De Jong JM, Dahele M, Cysouw MCF, Hoekstra OS, van Moorselaar RJA, Piet MAH, Verberne HJ, Bins AD, Verheul HMW, Slotman BJ, Oprea-Lager DE, Van den Eertwegh AJM. Benefits of Using Stereotactic Body Radiotherapy in Patients With Metachronous Oligometastases of Hormone-Sensitive Prostate Cancer Detected by [18F]fluoromethylcholine PET/CT. </w:t>
      </w:r>
      <w:r w:rsidRPr="0029369B">
        <w:rPr>
          <w:rFonts w:ascii="Book Antiqua" w:hAnsi="Book Antiqua"/>
          <w:i/>
        </w:rPr>
        <w:t>Clin Genitourin Cancer</w:t>
      </w:r>
      <w:r w:rsidRPr="0029369B">
        <w:rPr>
          <w:rFonts w:ascii="Book Antiqua" w:hAnsi="Book Antiqua"/>
        </w:rPr>
        <w:t xml:space="preserve"> 2017; </w:t>
      </w:r>
      <w:r w:rsidRPr="0029369B">
        <w:rPr>
          <w:rFonts w:ascii="Book Antiqua" w:hAnsi="Book Antiqua"/>
          <w:b/>
        </w:rPr>
        <w:t>15</w:t>
      </w:r>
      <w:r w:rsidRPr="0029369B">
        <w:rPr>
          <w:rFonts w:ascii="Book Antiqua" w:hAnsi="Book Antiqua"/>
        </w:rPr>
        <w:t>: e773-e782 [PMID: 28462855 DOI: 10.1016/j.clgc.2017.03.009]</w:t>
      </w:r>
    </w:p>
    <w:p w14:paraId="188110AB" w14:textId="77777777" w:rsidR="0029369B" w:rsidRPr="0029369B" w:rsidRDefault="0029369B" w:rsidP="0029369B">
      <w:pPr>
        <w:spacing w:line="360" w:lineRule="auto"/>
        <w:jc w:val="both"/>
        <w:rPr>
          <w:rFonts w:ascii="Book Antiqua" w:hAnsi="Book Antiqua"/>
        </w:rPr>
      </w:pPr>
      <w:r w:rsidRPr="0029369B">
        <w:rPr>
          <w:rFonts w:ascii="Book Antiqua" w:hAnsi="Book Antiqua"/>
        </w:rPr>
        <w:lastRenderedPageBreak/>
        <w:t xml:space="preserve">49 </w:t>
      </w:r>
      <w:r w:rsidRPr="0029369B">
        <w:rPr>
          <w:rFonts w:ascii="Book Antiqua" w:hAnsi="Book Antiqua"/>
          <w:b/>
        </w:rPr>
        <w:t>Ahmed KA</w:t>
      </w:r>
      <w:r w:rsidRPr="0029369B">
        <w:rPr>
          <w:rFonts w:ascii="Book Antiqua" w:hAnsi="Book Antiqua"/>
        </w:rPr>
        <w:t xml:space="preserve">, Barney BM, Davis BJ, Park SS, Kwon ED, Olivier KR. Stereotactic body radiation therapy in the treatment of oligometastatic prostate cancer. </w:t>
      </w:r>
      <w:r w:rsidRPr="0029369B">
        <w:rPr>
          <w:rFonts w:ascii="Book Antiqua" w:hAnsi="Book Antiqua"/>
          <w:i/>
        </w:rPr>
        <w:t>Front Oncol</w:t>
      </w:r>
      <w:r w:rsidRPr="0029369B">
        <w:rPr>
          <w:rFonts w:ascii="Book Antiqua" w:hAnsi="Book Antiqua"/>
        </w:rPr>
        <w:t xml:space="preserve"> 2013; </w:t>
      </w:r>
      <w:r w:rsidRPr="0029369B">
        <w:rPr>
          <w:rFonts w:ascii="Book Antiqua" w:hAnsi="Book Antiqua"/>
          <w:b/>
        </w:rPr>
        <w:t>2</w:t>
      </w:r>
      <w:r w:rsidRPr="0029369B">
        <w:rPr>
          <w:rFonts w:ascii="Book Antiqua" w:hAnsi="Book Antiqua"/>
        </w:rPr>
        <w:t>: 215 [PMID: 23346551 DOI: 10.3389/fonc.2012.00215]</w:t>
      </w:r>
    </w:p>
    <w:p w14:paraId="2A69368E" w14:textId="6424B81C" w:rsidR="0029369B" w:rsidRPr="0029369B" w:rsidRDefault="0029369B" w:rsidP="0029369B">
      <w:pPr>
        <w:spacing w:line="360" w:lineRule="auto"/>
        <w:jc w:val="both"/>
        <w:rPr>
          <w:rFonts w:ascii="Book Antiqua" w:hAnsi="Book Antiqua"/>
        </w:rPr>
      </w:pPr>
      <w:r w:rsidRPr="0029369B">
        <w:rPr>
          <w:rFonts w:ascii="Book Antiqua" w:hAnsi="Book Antiqua"/>
        </w:rPr>
        <w:t xml:space="preserve">50 </w:t>
      </w:r>
      <w:r w:rsidRPr="0029369B">
        <w:rPr>
          <w:rFonts w:ascii="Book Antiqua" w:hAnsi="Book Antiqua"/>
          <w:b/>
        </w:rPr>
        <w:t>Conde Moreno A</w:t>
      </w:r>
      <w:r w:rsidRPr="00025104">
        <w:rPr>
          <w:rFonts w:ascii="Book Antiqua" w:hAnsi="Book Antiqua"/>
        </w:rPr>
        <w:t>,</w:t>
      </w:r>
      <w:r w:rsidR="00025104" w:rsidRPr="00025104">
        <w:rPr>
          <w:rFonts w:ascii="Book Antiqua" w:hAnsi="Book Antiqua"/>
        </w:rPr>
        <w:t xml:space="preserve"> </w:t>
      </w:r>
      <w:r w:rsidRPr="0029369B">
        <w:rPr>
          <w:rFonts w:ascii="Book Antiqua" w:hAnsi="Book Antiqua"/>
        </w:rPr>
        <w:t xml:space="preserve">López-Campos F, Hervás MA, Vallejo Oca-a C, Valero AJ, Mendez VA, Puertas Vali-o M, Gómez-Iturriaga A, Samper Ots P, Sola Galarza A, Rico Oses M, Iba-ez Villaoslada C, Pérez- Romasanta LA, Pastor Peidró J, López-Torrecilla J, Ferrer González F, Ortiz Rodil N, García Pi-on F, Rodríguez Pérez A, Ferrer Albiach C. OC- 0062: Phase II trial of SBRT and hormone therapy for oligometastases in prostate cancer (SBRT-SG 05). </w:t>
      </w:r>
      <w:r w:rsidRPr="00025104">
        <w:rPr>
          <w:rFonts w:ascii="Book Antiqua" w:hAnsi="Book Antiqua"/>
          <w:i/>
        </w:rPr>
        <w:t xml:space="preserve">Radiother Oncol </w:t>
      </w:r>
      <w:r w:rsidRPr="0029369B">
        <w:rPr>
          <w:rFonts w:ascii="Book Antiqua" w:hAnsi="Book Antiqua"/>
        </w:rPr>
        <w:t xml:space="preserve">2018; </w:t>
      </w:r>
      <w:r w:rsidRPr="00025104">
        <w:rPr>
          <w:rFonts w:ascii="Book Antiqua" w:hAnsi="Book Antiqua"/>
          <w:b/>
        </w:rPr>
        <w:t>127</w:t>
      </w:r>
      <w:r w:rsidRPr="0029369B">
        <w:rPr>
          <w:rFonts w:ascii="Book Antiqua" w:hAnsi="Book Antiqua"/>
        </w:rPr>
        <w:t>: S27-28 [DOI: 10.1016/S0167-8140(18)30372-4]</w:t>
      </w:r>
    </w:p>
    <w:p w14:paraId="215EB589"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51 </w:t>
      </w:r>
      <w:r w:rsidRPr="0029369B">
        <w:rPr>
          <w:rFonts w:ascii="Book Antiqua" w:hAnsi="Book Antiqua"/>
          <w:b/>
        </w:rPr>
        <w:t>Radwan N</w:t>
      </w:r>
      <w:r w:rsidRPr="0029369B">
        <w:rPr>
          <w:rFonts w:ascii="Book Antiqua" w:hAnsi="Book Antiqua"/>
        </w:rPr>
        <w:t xml:space="preserve">, Phillips R, Ross A, Rowe SP, Gorin MA, Antonarakis ES, Deville C, Greco S, Denmeade S, Paller C, Song DY, Diehn M, Wang H, Carducci M, Pienta KJ, Pomper MG, DeWeese TL, Dicker A, Eisenberger M, Tran PT. A phase II randomized trial of Observation versus stereotactic ablative RadiatIon for OLigometastatic prostate CancEr (ORIOLE). </w:t>
      </w:r>
      <w:r w:rsidRPr="0029369B">
        <w:rPr>
          <w:rFonts w:ascii="Book Antiqua" w:hAnsi="Book Antiqua"/>
          <w:i/>
        </w:rPr>
        <w:t>BMC Cancer</w:t>
      </w:r>
      <w:r w:rsidRPr="0029369B">
        <w:rPr>
          <w:rFonts w:ascii="Book Antiqua" w:hAnsi="Book Antiqua"/>
        </w:rPr>
        <w:t xml:space="preserve"> 2017; </w:t>
      </w:r>
      <w:r w:rsidRPr="0029369B">
        <w:rPr>
          <w:rFonts w:ascii="Book Antiqua" w:hAnsi="Book Antiqua"/>
          <w:b/>
        </w:rPr>
        <w:t>17</w:t>
      </w:r>
      <w:r w:rsidRPr="0029369B">
        <w:rPr>
          <w:rFonts w:ascii="Book Antiqua" w:hAnsi="Book Antiqua"/>
        </w:rPr>
        <w:t>: 453 [PMID: 28662647 DOI: 10.1186/s12885-017-3455-6]</w:t>
      </w:r>
    </w:p>
    <w:p w14:paraId="49671B57" w14:textId="3EDBA1FC" w:rsidR="0029369B" w:rsidRPr="0029369B" w:rsidRDefault="0029369B" w:rsidP="0029369B">
      <w:pPr>
        <w:spacing w:line="360" w:lineRule="auto"/>
        <w:jc w:val="both"/>
        <w:rPr>
          <w:rFonts w:ascii="Book Antiqua" w:hAnsi="Book Antiqua"/>
        </w:rPr>
      </w:pPr>
      <w:r w:rsidRPr="0029369B">
        <w:rPr>
          <w:rFonts w:ascii="Book Antiqua" w:hAnsi="Book Antiqua"/>
        </w:rPr>
        <w:t xml:space="preserve">52 </w:t>
      </w:r>
      <w:r w:rsidRPr="0029369B">
        <w:rPr>
          <w:rFonts w:ascii="Book Antiqua" w:hAnsi="Book Antiqua"/>
          <w:b/>
        </w:rPr>
        <w:t>Tran P</w:t>
      </w:r>
      <w:r w:rsidRPr="005763DE">
        <w:rPr>
          <w:rFonts w:ascii="Book Antiqua" w:hAnsi="Book Antiqua"/>
        </w:rPr>
        <w:t>,</w:t>
      </w:r>
      <w:r w:rsidR="005763DE">
        <w:rPr>
          <w:rFonts w:ascii="Book Antiqua" w:hAnsi="Book Antiqua"/>
        </w:rPr>
        <w:t xml:space="preserve"> </w:t>
      </w:r>
      <w:r w:rsidRPr="0029369B">
        <w:rPr>
          <w:rFonts w:ascii="Book Antiqua" w:hAnsi="Book Antiqua"/>
        </w:rPr>
        <w:t xml:space="preserve">Radwan N, Phillips R, Ross A, Rowe S, Gorin M, E. Antonarakis, C. DeVille, S. Greco, S. Denmeade, C. Paller, D. Song, M. Diehn, H. Wang, M. Carducci, K. Pienta, M. Pomper, T. DeWeese, A. Dicker, M. Eisenberger. OC-0505: Interim results of a randomized trial of observation versus SABR for oligometastatic prostate cancer. </w:t>
      </w:r>
      <w:r w:rsidRPr="005763DE">
        <w:rPr>
          <w:rFonts w:ascii="Book Antiqua" w:hAnsi="Book Antiqua"/>
          <w:i/>
        </w:rPr>
        <w:t>Radiother Oncol</w:t>
      </w:r>
      <w:r w:rsidRPr="0029369B">
        <w:rPr>
          <w:rFonts w:ascii="Book Antiqua" w:hAnsi="Book Antiqua"/>
        </w:rPr>
        <w:t xml:space="preserve"> 2018; </w:t>
      </w:r>
      <w:r w:rsidRPr="005763DE">
        <w:rPr>
          <w:rFonts w:ascii="Book Antiqua" w:hAnsi="Book Antiqua"/>
          <w:b/>
        </w:rPr>
        <w:t>127</w:t>
      </w:r>
      <w:r w:rsidRPr="0029369B">
        <w:rPr>
          <w:rFonts w:ascii="Book Antiqua" w:hAnsi="Book Antiqua"/>
        </w:rPr>
        <w:t>: S261 [DOI: 10.1016/S0167-8140(18)30815-6]</w:t>
      </w:r>
    </w:p>
    <w:p w14:paraId="1390B8E4" w14:textId="62E24341" w:rsidR="0029369B" w:rsidRPr="0029369B" w:rsidRDefault="0029369B" w:rsidP="0029369B">
      <w:pPr>
        <w:spacing w:line="360" w:lineRule="auto"/>
        <w:jc w:val="both"/>
        <w:rPr>
          <w:rFonts w:ascii="Book Antiqua" w:hAnsi="Book Antiqua"/>
        </w:rPr>
      </w:pPr>
      <w:r w:rsidRPr="0029369B">
        <w:rPr>
          <w:rFonts w:ascii="Book Antiqua" w:hAnsi="Book Antiqua"/>
        </w:rPr>
        <w:t xml:space="preserve">53 </w:t>
      </w:r>
      <w:r w:rsidRPr="0029369B">
        <w:rPr>
          <w:rFonts w:ascii="Book Antiqua" w:hAnsi="Book Antiqua"/>
          <w:b/>
        </w:rPr>
        <w:t>Khoo V</w:t>
      </w:r>
      <w:r w:rsidRPr="00025104">
        <w:rPr>
          <w:rFonts w:ascii="Book Antiqua" w:hAnsi="Book Antiqua"/>
        </w:rPr>
        <w:t>,</w:t>
      </w:r>
      <w:r w:rsidRPr="0029369B">
        <w:rPr>
          <w:rFonts w:ascii="Book Antiqua" w:hAnsi="Book Antiqua"/>
        </w:rPr>
        <w:t xml:space="preserve"> Ahmed M, McDonald F, Kirby A, van As N, Hawkins M, Syndikis I, Franks K, Jain S, Tree A, Eaton D, Patel R, Braidley MY,Kilburn L, Toms C, Hall E. 122: CORE: A randomised trial of COnventional care versus Radioablation (stereotactic body radiotherapy) for Extracranial oligometastases</w:t>
      </w:r>
      <w:r w:rsidR="00025104">
        <w:rPr>
          <w:rFonts w:ascii="Book Antiqua" w:hAnsi="Book Antiqua"/>
        </w:rPr>
        <w:t xml:space="preserve">. </w:t>
      </w:r>
      <w:r w:rsidR="00025104" w:rsidRPr="00025104">
        <w:rPr>
          <w:rFonts w:ascii="Book Antiqua" w:hAnsi="Book Antiqua"/>
          <w:i/>
        </w:rPr>
        <w:t xml:space="preserve">Lung Cancer </w:t>
      </w:r>
      <w:r w:rsidR="00025104">
        <w:rPr>
          <w:rFonts w:ascii="Book Antiqua" w:hAnsi="Book Antiqua"/>
        </w:rPr>
        <w:t xml:space="preserve">2017; </w:t>
      </w:r>
      <w:r w:rsidR="00025104" w:rsidRPr="00025104">
        <w:rPr>
          <w:rFonts w:ascii="Book Antiqua" w:hAnsi="Book Antiqua"/>
          <w:b/>
        </w:rPr>
        <w:t>103</w:t>
      </w:r>
      <w:r w:rsidR="00025104">
        <w:rPr>
          <w:rFonts w:ascii="Book Antiqua" w:hAnsi="Book Antiqua"/>
        </w:rPr>
        <w:t>: S55-56</w:t>
      </w:r>
      <w:r w:rsidRPr="0029369B">
        <w:rPr>
          <w:rFonts w:ascii="Book Antiqua" w:hAnsi="Book Antiqua"/>
        </w:rPr>
        <w:t xml:space="preserve"> [DOI: 10.1016/S0169-5002(17)30172-1]</w:t>
      </w:r>
    </w:p>
    <w:p w14:paraId="3211C5F7" w14:textId="1C654F35" w:rsidR="0029369B" w:rsidRPr="00025104" w:rsidRDefault="0029369B" w:rsidP="0029369B">
      <w:pPr>
        <w:spacing w:line="360" w:lineRule="auto"/>
        <w:jc w:val="both"/>
        <w:rPr>
          <w:rFonts w:ascii="Book Antiqua" w:eastAsia="SimSun" w:hAnsi="Book Antiqua"/>
          <w:lang w:eastAsia="zh-CN"/>
        </w:rPr>
      </w:pPr>
      <w:r w:rsidRPr="0029369B">
        <w:rPr>
          <w:rFonts w:ascii="Book Antiqua" w:hAnsi="Book Antiqua"/>
        </w:rPr>
        <w:t xml:space="preserve">54 </w:t>
      </w:r>
      <w:r w:rsidRPr="0029369B">
        <w:rPr>
          <w:rFonts w:ascii="Book Antiqua" w:hAnsi="Book Antiqua"/>
          <w:b/>
        </w:rPr>
        <w:t>Steuber T</w:t>
      </w:r>
      <w:r w:rsidRPr="00025104">
        <w:rPr>
          <w:rFonts w:ascii="Book Antiqua" w:hAnsi="Book Antiqua"/>
        </w:rPr>
        <w:t xml:space="preserve">, </w:t>
      </w:r>
      <w:r w:rsidRPr="0029369B">
        <w:rPr>
          <w:rFonts w:ascii="Book Antiqua" w:hAnsi="Book Antiqua"/>
        </w:rPr>
        <w:t xml:space="preserve">Sharma V, Ost P, Decaestecker K, Zilli T, Jereczek-Fossa BA, Jilg C, Karnes RJ. MP53-12 Standard of care versus metastasis- directed therapy for nodal oligorecurrent prostate cancer following multimodality treatment: a case-control study. </w:t>
      </w:r>
      <w:r w:rsidRPr="00025104">
        <w:rPr>
          <w:rFonts w:ascii="Book Antiqua" w:hAnsi="Book Antiqua"/>
          <w:i/>
        </w:rPr>
        <w:t>J Urol</w:t>
      </w:r>
      <w:r w:rsidRPr="0029369B">
        <w:rPr>
          <w:rFonts w:ascii="Book Antiqua" w:hAnsi="Book Antiqua"/>
        </w:rPr>
        <w:t xml:space="preserve"> 2017;</w:t>
      </w:r>
      <w:r w:rsidR="00025104">
        <w:rPr>
          <w:rFonts w:ascii="Book Antiqua" w:eastAsia="SimSun" w:hAnsi="Book Antiqua" w:hint="eastAsia"/>
          <w:lang w:eastAsia="zh-CN"/>
        </w:rPr>
        <w:t xml:space="preserve"> </w:t>
      </w:r>
      <w:r w:rsidRPr="00025104">
        <w:rPr>
          <w:rFonts w:ascii="Book Antiqua" w:hAnsi="Book Antiqua"/>
          <w:b/>
        </w:rPr>
        <w:t>197</w:t>
      </w:r>
      <w:r w:rsidRPr="0029369B">
        <w:rPr>
          <w:rFonts w:ascii="Book Antiqua" w:hAnsi="Book Antiqua"/>
        </w:rPr>
        <w:t>:</w:t>
      </w:r>
      <w:r w:rsidR="00025104">
        <w:rPr>
          <w:rFonts w:ascii="Book Antiqua" w:eastAsia="SimSun" w:hAnsi="Book Antiqua" w:hint="eastAsia"/>
          <w:lang w:eastAsia="zh-CN"/>
        </w:rPr>
        <w:t xml:space="preserve"> </w:t>
      </w:r>
      <w:r w:rsidRPr="0029369B">
        <w:rPr>
          <w:rFonts w:ascii="Book Antiqua" w:hAnsi="Book Antiqua"/>
        </w:rPr>
        <w:t>e717</w:t>
      </w:r>
      <w:r w:rsidR="00025104">
        <w:rPr>
          <w:rFonts w:ascii="Book Antiqua" w:eastAsia="SimSun" w:hAnsi="Book Antiqua" w:hint="eastAsia"/>
          <w:lang w:eastAsia="zh-CN"/>
        </w:rPr>
        <w:t>-</w:t>
      </w:r>
      <w:r w:rsidRPr="0029369B">
        <w:rPr>
          <w:rFonts w:ascii="Book Antiqua" w:hAnsi="Book Antiqua"/>
        </w:rPr>
        <w:t xml:space="preserve">718 </w:t>
      </w:r>
      <w:r w:rsidR="00025104">
        <w:rPr>
          <w:rFonts w:ascii="Book Antiqua" w:eastAsia="SimSun" w:hAnsi="Book Antiqua" w:hint="eastAsia"/>
          <w:lang w:eastAsia="zh-CN"/>
        </w:rPr>
        <w:t>[</w:t>
      </w:r>
      <w:r w:rsidRPr="0029369B">
        <w:rPr>
          <w:rFonts w:ascii="Book Antiqua" w:hAnsi="Book Antiqua"/>
        </w:rPr>
        <w:t>DOI: 10.1016/j.juro.2017.02.1663</w:t>
      </w:r>
      <w:r w:rsidR="00025104">
        <w:rPr>
          <w:rFonts w:ascii="Book Antiqua" w:eastAsia="SimSun" w:hAnsi="Book Antiqua" w:hint="eastAsia"/>
          <w:lang w:eastAsia="zh-CN"/>
        </w:rPr>
        <w:t>]</w:t>
      </w:r>
    </w:p>
    <w:p w14:paraId="6EE464FA" w14:textId="0C2E97F8" w:rsidR="0029369B" w:rsidRPr="0029369B" w:rsidRDefault="0029369B" w:rsidP="0029369B">
      <w:pPr>
        <w:spacing w:line="360" w:lineRule="auto"/>
        <w:jc w:val="both"/>
        <w:rPr>
          <w:rFonts w:ascii="Book Antiqua" w:hAnsi="Book Antiqua"/>
        </w:rPr>
      </w:pPr>
      <w:r w:rsidRPr="003B0868">
        <w:rPr>
          <w:rFonts w:ascii="Book Antiqua" w:hAnsi="Book Antiqua"/>
          <w:highlight w:val="yellow"/>
        </w:rPr>
        <w:lastRenderedPageBreak/>
        <w:t xml:space="preserve">55 </w:t>
      </w:r>
      <w:r w:rsidRPr="003B0868">
        <w:rPr>
          <w:rFonts w:ascii="Book Antiqua" w:hAnsi="Book Antiqua"/>
          <w:b/>
          <w:highlight w:val="yellow"/>
        </w:rPr>
        <w:t>Niazi T</w:t>
      </w:r>
      <w:r w:rsidRPr="003B0868">
        <w:rPr>
          <w:rFonts w:ascii="Book Antiqua" w:hAnsi="Book Antiqua"/>
          <w:highlight w:val="yellow"/>
        </w:rPr>
        <w:t>,</w:t>
      </w:r>
      <w:r w:rsidR="00025104" w:rsidRPr="003B0868">
        <w:rPr>
          <w:rFonts w:ascii="Book Antiqua" w:hAnsi="Book Antiqua"/>
          <w:highlight w:val="yellow"/>
        </w:rPr>
        <w:t xml:space="preserve"> </w:t>
      </w:r>
      <w:r w:rsidRPr="003B0868">
        <w:rPr>
          <w:rFonts w:ascii="Book Antiqua" w:hAnsi="Book Antiqua"/>
          <w:highlight w:val="yellow"/>
        </w:rPr>
        <w:t xml:space="preserve">Davis M. Management of Castration-Resistant Prostate Cancer </w:t>
      </w:r>
      <w:proofErr w:type="gramStart"/>
      <w:r w:rsidRPr="003B0868">
        <w:rPr>
          <w:rFonts w:ascii="Book Antiqua" w:hAnsi="Book Antiqua"/>
          <w:highlight w:val="yellow"/>
        </w:rPr>
        <w:t>With</w:t>
      </w:r>
      <w:proofErr w:type="gramEnd"/>
      <w:r w:rsidRPr="003B0868">
        <w:rPr>
          <w:rFonts w:ascii="Book Antiqua" w:hAnsi="Book Antiqua"/>
          <w:highlight w:val="yellow"/>
        </w:rPr>
        <w:t xml:space="preserve"> Oligometastases (PCS IX) [accessed 2018 Jul 2]. In: ClinicalTrials.gov [Internet]. Bethesda (MD): U.S. National Library of Medicine. Available from: http://clinicaltrials.gov/show/ NCT02685397 ClinicalTrials.gov Identifier: NCT02685397</w:t>
      </w:r>
    </w:p>
    <w:p w14:paraId="4B02B944"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56 </w:t>
      </w:r>
      <w:r w:rsidRPr="0029369B">
        <w:rPr>
          <w:rFonts w:ascii="Book Antiqua" w:hAnsi="Book Antiqua"/>
          <w:b/>
        </w:rPr>
        <w:t>Jereczek-Fossa BA</w:t>
      </w:r>
      <w:r w:rsidRPr="0029369B">
        <w:rPr>
          <w:rFonts w:ascii="Book Antiqua" w:hAnsi="Book Antiqua"/>
        </w:rPr>
        <w:t xml:space="preserve">, Beltramo G, Fariselli L, Fodor C, Santoro L, Vavassori A, Zerini D, Gherardi F, Ascione C, Bossi-Zanetti I, Mauro R, Bregantin A, Bianchi LC, De Cobelli O, Orecchia R. Robotic image-guided stereotactic radiotherapy, for isolated recurrent primary, lymph node or metastatic prostate cancer. </w:t>
      </w:r>
      <w:r w:rsidRPr="0029369B">
        <w:rPr>
          <w:rFonts w:ascii="Book Antiqua" w:hAnsi="Book Antiqua"/>
          <w:i/>
        </w:rPr>
        <w:t>Int J Radiat Oncol Biol Phys</w:t>
      </w:r>
      <w:r w:rsidRPr="0029369B">
        <w:rPr>
          <w:rFonts w:ascii="Book Antiqua" w:hAnsi="Book Antiqua"/>
        </w:rPr>
        <w:t xml:space="preserve"> 2012; </w:t>
      </w:r>
      <w:r w:rsidRPr="0029369B">
        <w:rPr>
          <w:rFonts w:ascii="Book Antiqua" w:hAnsi="Book Antiqua"/>
          <w:b/>
        </w:rPr>
        <w:t>82</w:t>
      </w:r>
      <w:r w:rsidRPr="0029369B">
        <w:rPr>
          <w:rFonts w:ascii="Book Antiqua" w:hAnsi="Book Antiqua"/>
        </w:rPr>
        <w:t>: 889-897 [PMID: 21277113 DOI: 10.1016/j.ijrobp.2010.11.031]</w:t>
      </w:r>
    </w:p>
    <w:p w14:paraId="428A35A7"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57 </w:t>
      </w:r>
      <w:r w:rsidRPr="0029369B">
        <w:rPr>
          <w:rFonts w:ascii="Book Antiqua" w:hAnsi="Book Antiqua"/>
          <w:b/>
        </w:rPr>
        <w:t>Pasqualetti F</w:t>
      </w:r>
      <w:r w:rsidRPr="0029369B">
        <w:rPr>
          <w:rFonts w:ascii="Book Antiqua" w:hAnsi="Book Antiqua"/>
        </w:rPr>
        <w:t>, Panichi M, Sainato A, Matteucci F, Galli L, Cocuzza P, Ferrazza P, Coraggio G, Pasqualetti G, Derosa L, Sollini M, Mannelli L, Ortori S, Monzani F, Ricci S, Greco C, Fabrini MG, Erba PA. [(18</w:t>
      </w:r>
      <w:proofErr w:type="gramStart"/>
      <w:r w:rsidRPr="0029369B">
        <w:rPr>
          <w:rFonts w:ascii="Book Antiqua" w:hAnsi="Book Antiqua"/>
        </w:rPr>
        <w:t>)F]Choline</w:t>
      </w:r>
      <w:proofErr w:type="gramEnd"/>
      <w:r w:rsidRPr="0029369B">
        <w:rPr>
          <w:rFonts w:ascii="Book Antiqua" w:hAnsi="Book Antiqua"/>
        </w:rPr>
        <w:t xml:space="preserve"> PET/CT and stereotactic body radiotherapy on treatment decision making of oligometastatic prostate cancer patients: preliminary results. </w:t>
      </w:r>
      <w:r w:rsidRPr="0029369B">
        <w:rPr>
          <w:rFonts w:ascii="Book Antiqua" w:hAnsi="Book Antiqua"/>
          <w:i/>
        </w:rPr>
        <w:t>Radiat Oncol</w:t>
      </w:r>
      <w:r w:rsidRPr="0029369B">
        <w:rPr>
          <w:rFonts w:ascii="Book Antiqua" w:hAnsi="Book Antiqua"/>
        </w:rPr>
        <w:t xml:space="preserve"> 2016; </w:t>
      </w:r>
      <w:r w:rsidRPr="0029369B">
        <w:rPr>
          <w:rFonts w:ascii="Book Antiqua" w:hAnsi="Book Antiqua"/>
          <w:b/>
        </w:rPr>
        <w:t>11</w:t>
      </w:r>
      <w:r w:rsidRPr="0029369B">
        <w:rPr>
          <w:rFonts w:ascii="Book Antiqua" w:hAnsi="Book Antiqua"/>
        </w:rPr>
        <w:t>: 9 [PMID: 26796633 DOI: 10.1186/s13014-016-0586-x]</w:t>
      </w:r>
    </w:p>
    <w:p w14:paraId="4B391A3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58 </w:t>
      </w:r>
      <w:r w:rsidRPr="0029369B">
        <w:rPr>
          <w:rFonts w:ascii="Book Antiqua" w:hAnsi="Book Antiqua"/>
          <w:b/>
        </w:rPr>
        <w:t>Habl G</w:t>
      </w:r>
      <w:r w:rsidRPr="0029369B">
        <w:rPr>
          <w:rFonts w:ascii="Book Antiqua" w:hAnsi="Book Antiqua"/>
        </w:rPr>
        <w:t xml:space="preserve">, Straube C, Schiller K, Duma MN, Oechsner M, Kessel KA, Eiber M, Schwaiger M, Kübler H, Gschwend JE, Combs SE. Oligometastases from prostate cancer: local treatment with stereotactic body radiotherapy (SBRT). </w:t>
      </w:r>
      <w:r w:rsidRPr="0029369B">
        <w:rPr>
          <w:rFonts w:ascii="Book Antiqua" w:hAnsi="Book Antiqua"/>
          <w:i/>
        </w:rPr>
        <w:t>BMC Cancer</w:t>
      </w:r>
      <w:r w:rsidRPr="0029369B">
        <w:rPr>
          <w:rFonts w:ascii="Book Antiqua" w:hAnsi="Book Antiqua"/>
        </w:rPr>
        <w:t xml:space="preserve"> 2017; </w:t>
      </w:r>
      <w:r w:rsidRPr="0029369B">
        <w:rPr>
          <w:rFonts w:ascii="Book Antiqua" w:hAnsi="Book Antiqua"/>
          <w:b/>
        </w:rPr>
        <w:t>17</w:t>
      </w:r>
      <w:r w:rsidRPr="0029369B">
        <w:rPr>
          <w:rFonts w:ascii="Book Antiqua" w:hAnsi="Book Antiqua"/>
        </w:rPr>
        <w:t>: 361 [PMID: 28532400 DOI: 10.1186/s12885-017-3341-2]</w:t>
      </w:r>
    </w:p>
    <w:p w14:paraId="68B07671"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59 </w:t>
      </w:r>
      <w:r w:rsidRPr="0029369B">
        <w:rPr>
          <w:rFonts w:ascii="Book Antiqua" w:hAnsi="Book Antiqua"/>
          <w:b/>
        </w:rPr>
        <w:t>Fanetti G</w:t>
      </w:r>
      <w:r w:rsidRPr="0029369B">
        <w:rPr>
          <w:rFonts w:ascii="Book Antiqua" w:hAnsi="Book Antiqua"/>
        </w:rPr>
        <w:t xml:space="preserve">, Marvaso G, Ciardo D, Rese A, Ricotti R, Rondi E, Comi S, Cattani F, Zerini D, Fodor C, de Cobelli O, Orecchia R, Jereczek-Fossa BA. Stereotactic body radiotherapy for castration-sensitive prostate cancer bone oligometastases. </w:t>
      </w:r>
      <w:r w:rsidRPr="0029369B">
        <w:rPr>
          <w:rFonts w:ascii="Book Antiqua" w:hAnsi="Book Antiqua"/>
          <w:i/>
        </w:rPr>
        <w:t>Med Oncol</w:t>
      </w:r>
      <w:r w:rsidRPr="0029369B">
        <w:rPr>
          <w:rFonts w:ascii="Book Antiqua" w:hAnsi="Book Antiqua"/>
        </w:rPr>
        <w:t xml:space="preserve"> 2018; </w:t>
      </w:r>
      <w:r w:rsidRPr="0029369B">
        <w:rPr>
          <w:rFonts w:ascii="Book Antiqua" w:hAnsi="Book Antiqua"/>
          <w:b/>
        </w:rPr>
        <w:t>35</w:t>
      </w:r>
      <w:r w:rsidRPr="0029369B">
        <w:rPr>
          <w:rFonts w:ascii="Book Antiqua" w:hAnsi="Book Antiqua"/>
        </w:rPr>
        <w:t>: 75 [PMID: 29671075 DOI: 10.1007/s12032-018-1137-0]</w:t>
      </w:r>
    </w:p>
    <w:p w14:paraId="54BCB68D"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60 </w:t>
      </w:r>
      <w:r w:rsidRPr="0029369B">
        <w:rPr>
          <w:rFonts w:ascii="Book Antiqua" w:hAnsi="Book Antiqua"/>
          <w:b/>
        </w:rPr>
        <w:t>Ponti E</w:t>
      </w:r>
      <w:r w:rsidRPr="0029369B">
        <w:rPr>
          <w:rFonts w:ascii="Book Antiqua" w:hAnsi="Book Antiqua"/>
        </w:rPr>
        <w:t xml:space="preserve">, Ingrosso G, Carosi A, Di Murro L, Lancia A, Pietrasanta F, Santoni R. Salvage Stereotactic Body Radiotherapy for Patients With Prostate Cancer With Isolated Lymph Node Metastasis: A Single-Center Experience. </w:t>
      </w:r>
      <w:r w:rsidRPr="0029369B">
        <w:rPr>
          <w:rFonts w:ascii="Book Antiqua" w:hAnsi="Book Antiqua"/>
          <w:i/>
        </w:rPr>
        <w:t>Clin Genitourin Cancer</w:t>
      </w:r>
      <w:r w:rsidRPr="0029369B">
        <w:rPr>
          <w:rFonts w:ascii="Book Antiqua" w:hAnsi="Book Antiqua"/>
        </w:rPr>
        <w:t xml:space="preserve"> 2015; </w:t>
      </w:r>
      <w:r w:rsidRPr="0029369B">
        <w:rPr>
          <w:rFonts w:ascii="Book Antiqua" w:hAnsi="Book Antiqua"/>
          <w:b/>
        </w:rPr>
        <w:t>13</w:t>
      </w:r>
      <w:r w:rsidRPr="0029369B">
        <w:rPr>
          <w:rFonts w:ascii="Book Antiqua" w:hAnsi="Book Antiqua"/>
        </w:rPr>
        <w:t>: e279-e284 [PMID: 25604915 DOI: 10.1016/j.clgc.2014.12.014]</w:t>
      </w:r>
    </w:p>
    <w:p w14:paraId="66B40F78"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61 </w:t>
      </w:r>
      <w:r w:rsidRPr="0029369B">
        <w:rPr>
          <w:rFonts w:ascii="Book Antiqua" w:hAnsi="Book Antiqua"/>
          <w:b/>
        </w:rPr>
        <w:t>Ingrosso G</w:t>
      </w:r>
      <w:r w:rsidRPr="0029369B">
        <w:rPr>
          <w:rFonts w:ascii="Book Antiqua" w:hAnsi="Book Antiqua"/>
        </w:rPr>
        <w:t xml:space="preserve">, Trippa F, Maranzano E, Carosi A, Ponti E, Arcidiacono F, Draghini L, Di Murro L, Lancia A, Santoni R. Stereotactic body radiotherapy in </w:t>
      </w:r>
      <w:r w:rsidRPr="0029369B">
        <w:rPr>
          <w:rFonts w:ascii="Book Antiqua" w:hAnsi="Book Antiqua"/>
        </w:rPr>
        <w:lastRenderedPageBreak/>
        <w:t xml:space="preserve">oligometastatic prostate cancer patients with isolated lymph nodes involvement: a two-institution experience. </w:t>
      </w:r>
      <w:r w:rsidRPr="0029369B">
        <w:rPr>
          <w:rFonts w:ascii="Book Antiqua" w:hAnsi="Book Antiqua"/>
          <w:i/>
        </w:rPr>
        <w:t>World J Urol</w:t>
      </w:r>
      <w:r w:rsidRPr="0029369B">
        <w:rPr>
          <w:rFonts w:ascii="Book Antiqua" w:hAnsi="Book Antiqua"/>
        </w:rPr>
        <w:t xml:space="preserve"> 2017; </w:t>
      </w:r>
      <w:r w:rsidRPr="0029369B">
        <w:rPr>
          <w:rFonts w:ascii="Book Antiqua" w:hAnsi="Book Antiqua"/>
          <w:b/>
        </w:rPr>
        <w:t>35</w:t>
      </w:r>
      <w:r w:rsidRPr="0029369B">
        <w:rPr>
          <w:rFonts w:ascii="Book Antiqua" w:hAnsi="Book Antiqua"/>
        </w:rPr>
        <w:t>: 45-49 [PMID: 27233779 DOI: 10.1007/s00345-016-1860-0]</w:t>
      </w:r>
    </w:p>
    <w:p w14:paraId="24C25D0A" w14:textId="77777777" w:rsidR="0029369B" w:rsidRPr="0029369B" w:rsidRDefault="0029369B" w:rsidP="0029369B">
      <w:pPr>
        <w:spacing w:line="360" w:lineRule="auto"/>
        <w:jc w:val="both"/>
        <w:rPr>
          <w:rFonts w:ascii="Book Antiqua" w:hAnsi="Book Antiqua"/>
        </w:rPr>
      </w:pPr>
      <w:r w:rsidRPr="0029369B">
        <w:rPr>
          <w:rFonts w:ascii="Book Antiqua" w:hAnsi="Book Antiqua"/>
        </w:rPr>
        <w:t xml:space="preserve">62 </w:t>
      </w:r>
      <w:r w:rsidRPr="0029369B">
        <w:rPr>
          <w:rFonts w:ascii="Book Antiqua" w:hAnsi="Book Antiqua"/>
          <w:b/>
        </w:rPr>
        <w:t>Jereczek-Fossa BA</w:t>
      </w:r>
      <w:r w:rsidRPr="0029369B">
        <w:rPr>
          <w:rFonts w:ascii="Book Antiqua" w:hAnsi="Book Antiqua"/>
        </w:rPr>
        <w:t xml:space="preserve">, Fanetti G, Fodor C, Ciardo D, Santoro L, Francia CM, Muto M, Surgo A, Zerini D, Marvaso G, Timon G, Romanelli P, Rondi E, Comi S, Cattani F, Golino F, Mazza S, Matei DV, Ferro M, Musi G, Nolè F, de Cobelli O, Ost P, Orecchia R. Salvage Stereotactic Body Radiotherapy for Isolated Lymph Node Recurrent Prostate Cancer: Single Institution Series of 94 Consecutive Patients and 124 Lymph Nodes. </w:t>
      </w:r>
      <w:r w:rsidRPr="0029369B">
        <w:rPr>
          <w:rFonts w:ascii="Book Antiqua" w:hAnsi="Book Antiqua"/>
          <w:i/>
        </w:rPr>
        <w:t>Clin Genitourin Cancer</w:t>
      </w:r>
      <w:r w:rsidRPr="0029369B">
        <w:rPr>
          <w:rFonts w:ascii="Book Antiqua" w:hAnsi="Book Antiqua"/>
        </w:rPr>
        <w:t xml:space="preserve"> 2017; </w:t>
      </w:r>
      <w:r w:rsidRPr="0029369B">
        <w:rPr>
          <w:rFonts w:ascii="Book Antiqua" w:hAnsi="Book Antiqua"/>
          <w:b/>
        </w:rPr>
        <w:t>15</w:t>
      </w:r>
      <w:r w:rsidRPr="0029369B">
        <w:rPr>
          <w:rFonts w:ascii="Book Antiqua" w:hAnsi="Book Antiqua"/>
        </w:rPr>
        <w:t>: e623-e632 [PMID: 28185875 DOI: 10.1016/j.clgc.2017.01.004]</w:t>
      </w:r>
    </w:p>
    <w:p w14:paraId="4F78186E" w14:textId="014E9407" w:rsidR="0029369B" w:rsidRPr="003B0868" w:rsidRDefault="0029369B" w:rsidP="0029369B">
      <w:pPr>
        <w:spacing w:line="360" w:lineRule="auto"/>
        <w:jc w:val="both"/>
        <w:rPr>
          <w:rFonts w:ascii="Book Antiqua" w:hAnsi="Book Antiqua"/>
          <w:highlight w:val="yellow"/>
        </w:rPr>
      </w:pPr>
      <w:r w:rsidRPr="003B0868">
        <w:rPr>
          <w:rFonts w:ascii="Book Antiqua" w:hAnsi="Book Antiqua"/>
          <w:highlight w:val="yellow"/>
        </w:rPr>
        <w:t>63 Radium Ra 223 Dichloride,</w:t>
      </w:r>
      <w:r w:rsidR="00025104" w:rsidRPr="003B0868">
        <w:rPr>
          <w:rFonts w:ascii="Book Antiqua" w:hAnsi="Book Antiqua"/>
          <w:highlight w:val="yellow"/>
        </w:rPr>
        <w:t xml:space="preserve"> </w:t>
      </w:r>
      <w:r w:rsidRPr="003B0868">
        <w:rPr>
          <w:rFonts w:ascii="Book Antiqua" w:hAnsi="Book Antiqua"/>
          <w:highlight w:val="yellow"/>
        </w:rPr>
        <w:t xml:space="preserve">Hormone Therapy and Stereotactic Body Radiation Therapy in Treating Patients </w:t>
      </w:r>
      <w:proofErr w:type="gramStart"/>
      <w:r w:rsidRPr="003B0868">
        <w:rPr>
          <w:rFonts w:ascii="Book Antiqua" w:hAnsi="Book Antiqua"/>
          <w:highlight w:val="yellow"/>
        </w:rPr>
        <w:t>With</w:t>
      </w:r>
      <w:proofErr w:type="gramEnd"/>
      <w:r w:rsidRPr="003B0868">
        <w:rPr>
          <w:rFonts w:ascii="Book Antiqua" w:hAnsi="Book Antiqua"/>
          <w:highlight w:val="yellow"/>
        </w:rPr>
        <w:t xml:space="preserve"> Metastatic Prostate Cancer. [accessed 2018 Jul 2]. In: ClinicalTrials.gov [Internet]. Bethesda (MD): U.S. National Library of Medicine. Available from: http://clinicaltrials.gov/show/ NCT03361735 ClinicalTrials.gov Identifier: NCT03361735</w:t>
      </w:r>
    </w:p>
    <w:p w14:paraId="4D4E1EF5" w14:textId="7E43A7AC" w:rsidR="0029369B" w:rsidRPr="003B0868" w:rsidRDefault="00025104" w:rsidP="0029369B">
      <w:pPr>
        <w:spacing w:line="360" w:lineRule="auto"/>
        <w:jc w:val="both"/>
        <w:rPr>
          <w:rFonts w:ascii="Book Antiqua" w:hAnsi="Book Antiqua"/>
          <w:highlight w:val="yellow"/>
        </w:rPr>
      </w:pPr>
      <w:r w:rsidRPr="003B0868">
        <w:rPr>
          <w:rFonts w:ascii="Book Antiqua" w:hAnsi="Book Antiqua"/>
          <w:highlight w:val="yellow"/>
        </w:rPr>
        <w:t xml:space="preserve">64 </w:t>
      </w:r>
      <w:r w:rsidR="0029369B" w:rsidRPr="003B0868">
        <w:rPr>
          <w:rFonts w:ascii="Book Antiqua" w:hAnsi="Book Antiqua"/>
          <w:highlight w:val="yellow"/>
        </w:rPr>
        <w:t>Sipuleucel-T and Stereotactic Ablative Body Radiation (SABR) for Metastatic Castrate-resistant Prostate Cancer (mCRPC). [accessed 2018 Jul 2]. In: ClinicalTrials.gov [Internet]. Bethesda (MD): U.S. National Library of Medicine. Available from: http://clinicaltrials.gov/show/ NCT01818986 ClinicalTrials.gov Identifier: NCT01818986</w:t>
      </w:r>
    </w:p>
    <w:p w14:paraId="49068587" w14:textId="55777AC9" w:rsidR="0029369B" w:rsidRPr="003B0868" w:rsidRDefault="00025104" w:rsidP="0029369B">
      <w:pPr>
        <w:spacing w:line="360" w:lineRule="auto"/>
        <w:jc w:val="both"/>
        <w:rPr>
          <w:rFonts w:ascii="Book Antiqua" w:hAnsi="Book Antiqua"/>
          <w:highlight w:val="yellow"/>
        </w:rPr>
      </w:pPr>
      <w:r w:rsidRPr="003B0868">
        <w:rPr>
          <w:rFonts w:ascii="Book Antiqua" w:hAnsi="Book Antiqua"/>
          <w:highlight w:val="yellow"/>
        </w:rPr>
        <w:t xml:space="preserve">65 </w:t>
      </w:r>
      <w:r w:rsidR="0029369B" w:rsidRPr="003B0868">
        <w:rPr>
          <w:rFonts w:ascii="Book Antiqua" w:hAnsi="Book Antiqua"/>
          <w:b/>
          <w:highlight w:val="yellow"/>
        </w:rPr>
        <w:t>Park S</w:t>
      </w:r>
      <w:r w:rsidR="0029369B" w:rsidRPr="003B0868">
        <w:rPr>
          <w:rFonts w:ascii="Book Antiqua" w:hAnsi="Book Antiqua"/>
          <w:highlight w:val="yellow"/>
        </w:rPr>
        <w:t>. SBRT for Oligometastatic Castration-Refractory Prostate Cancer. [accessed 2018 Jul 2]. In: ClinicalTrials.gov [Internet]. Bethesda (MD): U.S. National Library of Medicine. Available from: http://clinicaltrials.gov/show/ NCT02816983 ClinicalTrials.gov Identifier: NCT02816983</w:t>
      </w:r>
    </w:p>
    <w:p w14:paraId="1A3D74CC" w14:textId="549DFF4C" w:rsidR="0029369B" w:rsidRPr="0029369B" w:rsidRDefault="00025104" w:rsidP="0029369B">
      <w:pPr>
        <w:spacing w:line="360" w:lineRule="auto"/>
        <w:jc w:val="both"/>
        <w:rPr>
          <w:rFonts w:ascii="Book Antiqua" w:hAnsi="Book Antiqua"/>
        </w:rPr>
      </w:pPr>
      <w:r w:rsidRPr="003B0868">
        <w:rPr>
          <w:rFonts w:ascii="Book Antiqua" w:hAnsi="Book Antiqua"/>
          <w:highlight w:val="yellow"/>
        </w:rPr>
        <w:t xml:space="preserve">66 </w:t>
      </w:r>
      <w:r w:rsidR="0029369B" w:rsidRPr="003B0868">
        <w:rPr>
          <w:rFonts w:ascii="Book Antiqua" w:hAnsi="Book Antiqua"/>
          <w:b/>
          <w:highlight w:val="yellow"/>
        </w:rPr>
        <w:t>Conde A</w:t>
      </w:r>
      <w:r w:rsidR="0029369B" w:rsidRPr="003B0868">
        <w:rPr>
          <w:rFonts w:ascii="Book Antiqua" w:hAnsi="Book Antiqua"/>
          <w:highlight w:val="yellow"/>
        </w:rPr>
        <w:t>. Phase II Study of SBRT as Treatment for Oligometastases in Prostate Cancer. [accessed 2018 Jul 2]. In: ClinicalTrials.gov [Internet]. Bethesda (MD): U.S. National Library of Medicine. Available from: http://clinicaltrials.gov/show/ NCT02192788 ClinicalTrials.gov Identifier: NCT02192788</w:t>
      </w:r>
    </w:p>
    <w:p w14:paraId="305B5685" w14:textId="77777777" w:rsidR="00DA0EF6" w:rsidRPr="0029369B" w:rsidRDefault="00DA0EF6" w:rsidP="0029369B">
      <w:pPr>
        <w:keepNext/>
        <w:spacing w:line="360" w:lineRule="auto"/>
        <w:jc w:val="both"/>
        <w:rPr>
          <w:rFonts w:ascii="Book Antiqua" w:eastAsia="SimSun" w:hAnsi="Book Antiqua"/>
          <w:b/>
          <w:lang w:eastAsia="zh-CN"/>
        </w:rPr>
      </w:pPr>
    </w:p>
    <w:p w14:paraId="6161DAE9" w14:textId="37A1101E" w:rsidR="00DA0EF6" w:rsidRPr="00025104" w:rsidRDefault="00DA0EF6" w:rsidP="00025104">
      <w:pPr>
        <w:pStyle w:val="PlainText"/>
        <w:spacing w:line="360" w:lineRule="auto"/>
        <w:jc w:val="right"/>
        <w:rPr>
          <w:rFonts w:ascii="Book Antiqua" w:hAnsi="Book Antiqua"/>
          <w:b/>
          <w:sz w:val="24"/>
          <w:szCs w:val="24"/>
        </w:rPr>
      </w:pPr>
      <w:r w:rsidRPr="00025104">
        <w:rPr>
          <w:rFonts w:ascii="Book Antiqua" w:hAnsi="Book Antiqua"/>
          <w:b/>
          <w:sz w:val="24"/>
          <w:szCs w:val="24"/>
        </w:rPr>
        <w:t xml:space="preserve">P-Reviewer: </w:t>
      </w:r>
      <w:r w:rsidRPr="00025104">
        <w:rPr>
          <w:rFonts w:ascii="Book Antiqua" w:hAnsi="Book Antiqua"/>
          <w:color w:val="000000"/>
          <w:sz w:val="24"/>
          <w:szCs w:val="24"/>
        </w:rPr>
        <w:t xml:space="preserve">Kim HS, Kupeli S </w:t>
      </w:r>
      <w:r w:rsidRPr="00025104">
        <w:rPr>
          <w:rFonts w:ascii="Book Antiqua" w:hAnsi="Book Antiqua"/>
          <w:b/>
          <w:sz w:val="24"/>
          <w:szCs w:val="24"/>
        </w:rPr>
        <w:t xml:space="preserve">S-Editor: </w:t>
      </w:r>
      <w:r w:rsidRPr="00025104">
        <w:rPr>
          <w:rFonts w:ascii="Book Antiqua" w:hAnsi="Book Antiqua"/>
          <w:sz w:val="24"/>
          <w:szCs w:val="24"/>
        </w:rPr>
        <w:t>Ji FF</w:t>
      </w:r>
      <w:r w:rsidRPr="00025104">
        <w:rPr>
          <w:rFonts w:ascii="Book Antiqua" w:hAnsi="Book Antiqua"/>
          <w:b/>
          <w:sz w:val="24"/>
          <w:szCs w:val="24"/>
        </w:rPr>
        <w:t xml:space="preserve"> L-Editor: E-Editor: </w:t>
      </w:r>
    </w:p>
    <w:p w14:paraId="0218168F" w14:textId="77777777" w:rsidR="00DA0EF6" w:rsidRPr="0029369B" w:rsidRDefault="00DA0EF6" w:rsidP="0029369B">
      <w:pPr>
        <w:pStyle w:val="PlainText"/>
        <w:spacing w:line="360" w:lineRule="auto"/>
        <w:rPr>
          <w:rFonts w:ascii="Book Antiqua" w:hAnsi="Book Antiqua"/>
          <w:b/>
          <w:sz w:val="24"/>
          <w:szCs w:val="24"/>
        </w:rPr>
      </w:pPr>
      <w:r w:rsidRPr="0029369B">
        <w:rPr>
          <w:rFonts w:ascii="Book Antiqua" w:hAnsi="Book Antiqua"/>
          <w:b/>
          <w:sz w:val="24"/>
          <w:szCs w:val="24"/>
        </w:rPr>
        <w:lastRenderedPageBreak/>
        <w:t xml:space="preserve"> </w:t>
      </w:r>
    </w:p>
    <w:p w14:paraId="71260D5D" w14:textId="667BAA70" w:rsidR="00DA0EF6" w:rsidRPr="0029369B" w:rsidRDefault="00DA0EF6" w:rsidP="0029369B">
      <w:pPr>
        <w:snapToGrid w:val="0"/>
        <w:spacing w:line="360" w:lineRule="auto"/>
        <w:jc w:val="both"/>
        <w:rPr>
          <w:rFonts w:ascii="Book Antiqua" w:eastAsia="SimSun" w:hAnsi="Book Antiqua" w:cs="Helvetica"/>
          <w:b/>
        </w:rPr>
      </w:pPr>
      <w:r w:rsidRPr="0029369B">
        <w:rPr>
          <w:rFonts w:ascii="Book Antiqua" w:eastAsia="SimSun" w:hAnsi="Book Antiqua" w:cs="Helvetica"/>
          <w:b/>
        </w:rPr>
        <w:t xml:space="preserve">Specialty type: </w:t>
      </w:r>
      <w:r w:rsidRPr="0029369B">
        <w:rPr>
          <w:rFonts w:ascii="Book Antiqua" w:eastAsia="SimSun" w:hAnsi="Book Antiqua" w:cs="Helvetica"/>
        </w:rPr>
        <w:t>Oncology</w:t>
      </w:r>
    </w:p>
    <w:p w14:paraId="5BDBA970" w14:textId="36F6C86B" w:rsidR="00DA0EF6" w:rsidRPr="0029369B" w:rsidRDefault="00DA0EF6" w:rsidP="0029369B">
      <w:pPr>
        <w:snapToGrid w:val="0"/>
        <w:spacing w:line="360" w:lineRule="auto"/>
        <w:jc w:val="both"/>
        <w:rPr>
          <w:rFonts w:ascii="Book Antiqua" w:eastAsia="SimSun" w:hAnsi="Book Antiqua" w:cs="Helvetica"/>
          <w:b/>
        </w:rPr>
      </w:pPr>
      <w:r w:rsidRPr="0029369B">
        <w:rPr>
          <w:rFonts w:ascii="Book Antiqua" w:eastAsia="SimSun" w:hAnsi="Book Antiqua" w:cs="Helvetica"/>
          <w:b/>
        </w:rPr>
        <w:t xml:space="preserve">Country of origin: </w:t>
      </w:r>
      <w:r w:rsidRPr="0029369B">
        <w:rPr>
          <w:rFonts w:ascii="Book Antiqua" w:eastAsia="SimSun" w:hAnsi="Book Antiqua"/>
        </w:rPr>
        <w:t>Spain</w:t>
      </w:r>
    </w:p>
    <w:p w14:paraId="150019D0" w14:textId="77777777" w:rsidR="00DA0EF6" w:rsidRPr="0029369B" w:rsidRDefault="00DA0EF6" w:rsidP="0029369B">
      <w:pPr>
        <w:snapToGrid w:val="0"/>
        <w:spacing w:line="360" w:lineRule="auto"/>
        <w:jc w:val="both"/>
        <w:rPr>
          <w:rFonts w:ascii="Book Antiqua" w:eastAsia="SimSun" w:hAnsi="Book Antiqua" w:cs="Helvetica"/>
          <w:b/>
        </w:rPr>
      </w:pPr>
      <w:r w:rsidRPr="0029369B">
        <w:rPr>
          <w:rFonts w:ascii="Book Antiqua" w:eastAsia="SimSun" w:hAnsi="Book Antiqua" w:cs="Helvetica"/>
          <w:b/>
        </w:rPr>
        <w:t>Peer-review report classification</w:t>
      </w:r>
    </w:p>
    <w:p w14:paraId="3FEAF829" w14:textId="059B59A8" w:rsidR="00DA0EF6" w:rsidRPr="0029369B" w:rsidRDefault="00DA0EF6" w:rsidP="0029369B">
      <w:pPr>
        <w:snapToGrid w:val="0"/>
        <w:spacing w:line="360" w:lineRule="auto"/>
        <w:jc w:val="both"/>
        <w:rPr>
          <w:rFonts w:ascii="Book Antiqua" w:eastAsia="SimSun" w:hAnsi="Book Antiqua" w:cs="Helvetica"/>
          <w:lang w:eastAsia="zh-CN"/>
        </w:rPr>
      </w:pPr>
      <w:r w:rsidRPr="0029369B">
        <w:rPr>
          <w:rFonts w:ascii="Book Antiqua" w:eastAsia="SimSun" w:hAnsi="Book Antiqua" w:cs="Helvetica"/>
        </w:rPr>
        <w:t xml:space="preserve">Grade A (Excellent): </w:t>
      </w:r>
      <w:r w:rsidRPr="0029369B">
        <w:rPr>
          <w:rFonts w:ascii="Book Antiqua" w:eastAsia="SimSun" w:hAnsi="Book Antiqua" w:cs="Helvetica"/>
          <w:lang w:eastAsia="zh-CN"/>
        </w:rPr>
        <w:t>0</w:t>
      </w:r>
    </w:p>
    <w:p w14:paraId="343F0E31" w14:textId="3473779B" w:rsidR="00DA0EF6" w:rsidRPr="0029369B" w:rsidRDefault="00DA0EF6" w:rsidP="0029369B">
      <w:pPr>
        <w:snapToGrid w:val="0"/>
        <w:spacing w:line="360" w:lineRule="auto"/>
        <w:jc w:val="both"/>
        <w:rPr>
          <w:rFonts w:ascii="Book Antiqua" w:eastAsia="SimSun" w:hAnsi="Book Antiqua" w:cs="Helvetica"/>
          <w:lang w:eastAsia="zh-CN"/>
        </w:rPr>
      </w:pPr>
      <w:r w:rsidRPr="0029369B">
        <w:rPr>
          <w:rFonts w:ascii="Book Antiqua" w:eastAsia="SimSun" w:hAnsi="Book Antiqua" w:cs="Helvetica"/>
        </w:rPr>
        <w:t>Grade B (Very good): B</w:t>
      </w:r>
      <w:r w:rsidRPr="0029369B">
        <w:rPr>
          <w:rFonts w:ascii="Book Antiqua" w:eastAsia="SimSun" w:hAnsi="Book Antiqua" w:cs="Helvetica"/>
          <w:lang w:eastAsia="zh-CN"/>
        </w:rPr>
        <w:t>, B</w:t>
      </w:r>
    </w:p>
    <w:p w14:paraId="72104AB6" w14:textId="17014031" w:rsidR="00DA0EF6" w:rsidRPr="0029369B" w:rsidRDefault="00DA0EF6" w:rsidP="0029369B">
      <w:pPr>
        <w:snapToGrid w:val="0"/>
        <w:spacing w:line="360" w:lineRule="auto"/>
        <w:jc w:val="both"/>
        <w:rPr>
          <w:rFonts w:ascii="Book Antiqua" w:eastAsia="SimSun" w:hAnsi="Book Antiqua" w:cs="Helvetica"/>
          <w:lang w:eastAsia="zh-CN"/>
        </w:rPr>
      </w:pPr>
      <w:r w:rsidRPr="0029369B">
        <w:rPr>
          <w:rFonts w:ascii="Book Antiqua" w:eastAsia="SimSun" w:hAnsi="Book Antiqua" w:cs="Helvetica"/>
        </w:rPr>
        <w:t xml:space="preserve">Grade C (Good): </w:t>
      </w:r>
      <w:r w:rsidRPr="0029369B">
        <w:rPr>
          <w:rFonts w:ascii="Book Antiqua" w:eastAsia="SimSun" w:hAnsi="Book Antiqua" w:cs="Helvetica"/>
          <w:lang w:eastAsia="zh-CN"/>
        </w:rPr>
        <w:t>0</w:t>
      </w:r>
    </w:p>
    <w:p w14:paraId="769C48EA" w14:textId="77777777" w:rsidR="00DA0EF6" w:rsidRPr="0029369B" w:rsidRDefault="00DA0EF6" w:rsidP="0029369B">
      <w:pPr>
        <w:snapToGrid w:val="0"/>
        <w:spacing w:line="360" w:lineRule="auto"/>
        <w:jc w:val="both"/>
        <w:rPr>
          <w:rFonts w:ascii="Book Antiqua" w:eastAsia="SimSun" w:hAnsi="Book Antiqua" w:cs="Helvetica"/>
          <w:lang w:eastAsia="zh-CN"/>
        </w:rPr>
      </w:pPr>
      <w:r w:rsidRPr="0029369B">
        <w:rPr>
          <w:rFonts w:ascii="Book Antiqua" w:eastAsia="SimSun" w:hAnsi="Book Antiqua" w:cs="Helvetica"/>
        </w:rPr>
        <w:t xml:space="preserve">Grade D (Fair): 0 </w:t>
      </w:r>
    </w:p>
    <w:p w14:paraId="3B12F586" w14:textId="64A641C0" w:rsidR="00DA0EF6" w:rsidRPr="0029369B" w:rsidRDefault="00DA0EF6" w:rsidP="0029369B">
      <w:pPr>
        <w:snapToGrid w:val="0"/>
        <w:spacing w:line="360" w:lineRule="auto"/>
        <w:jc w:val="both"/>
        <w:rPr>
          <w:rFonts w:ascii="Book Antiqua" w:eastAsia="SimSun" w:hAnsi="Book Antiqua"/>
          <w:b/>
          <w:lang w:eastAsia="zh-CN"/>
        </w:rPr>
      </w:pPr>
      <w:r w:rsidRPr="0029369B">
        <w:rPr>
          <w:rFonts w:ascii="Book Antiqua" w:eastAsia="SimSun" w:hAnsi="Book Antiqua" w:cs="Helvetica"/>
        </w:rPr>
        <w:t>Grade E (Poor): 0</w:t>
      </w:r>
    </w:p>
    <w:p w14:paraId="26FB0940" w14:textId="004269FC" w:rsidR="0088085F" w:rsidRPr="00242AA7" w:rsidRDefault="00DD6300" w:rsidP="00242AA7">
      <w:pPr>
        <w:keepNext/>
        <w:spacing w:line="360" w:lineRule="auto"/>
        <w:jc w:val="both"/>
        <w:rPr>
          <w:rFonts w:ascii="Book Antiqua" w:hAnsi="Book Antiqua"/>
        </w:rPr>
      </w:pPr>
      <w:r w:rsidRPr="00242AA7">
        <w:rPr>
          <w:rFonts w:ascii="Book Antiqua" w:hAnsi="Book Antiqua"/>
          <w:noProof/>
          <w:lang w:val="en-US" w:eastAsia="zh-CN" w:bidi="ar-SA"/>
        </w:rPr>
        <w:lastRenderedPageBreak/>
        <w:drawing>
          <wp:inline distT="0" distB="0" distL="0" distR="0" wp14:anchorId="170E5DE3" wp14:editId="6C903848">
            <wp:extent cx="5396230" cy="34153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3415378"/>
                    </a:xfrm>
                    <a:prstGeom prst="rect">
                      <a:avLst/>
                    </a:prstGeom>
                    <a:noFill/>
                    <a:ln>
                      <a:noFill/>
                    </a:ln>
                  </pic:spPr>
                </pic:pic>
              </a:graphicData>
            </a:graphic>
          </wp:inline>
        </w:drawing>
      </w:r>
    </w:p>
    <w:p w14:paraId="2B2D4049" w14:textId="5582BD13" w:rsidR="009764D6" w:rsidRPr="00DA0EF6" w:rsidRDefault="009764D6" w:rsidP="00242AA7">
      <w:pPr>
        <w:keepNext/>
        <w:spacing w:line="360" w:lineRule="auto"/>
        <w:jc w:val="both"/>
        <w:rPr>
          <w:rFonts w:ascii="Book Antiqua" w:eastAsia="SimSun" w:hAnsi="Book Antiqua"/>
          <w:b/>
          <w:lang w:eastAsia="zh-CN"/>
        </w:rPr>
      </w:pPr>
      <w:r w:rsidRPr="00DA0EF6">
        <w:rPr>
          <w:rFonts w:ascii="Book Antiqua" w:hAnsi="Book Antiqua"/>
          <w:b/>
        </w:rPr>
        <w:t>Figure 1</w:t>
      </w:r>
      <w:r w:rsidR="00E43842" w:rsidRPr="00DA0EF6">
        <w:rPr>
          <w:rFonts w:ascii="Book Antiqua" w:hAnsi="Book Antiqua"/>
          <w:b/>
        </w:rPr>
        <w:t xml:space="preserve"> </w:t>
      </w:r>
      <w:r w:rsidR="007A069C" w:rsidRPr="00DA0EF6">
        <w:rPr>
          <w:rFonts w:ascii="Book Antiqua" w:hAnsi="Book Antiqua"/>
          <w:b/>
        </w:rPr>
        <w:t>Scenarios i</w:t>
      </w:r>
      <w:r w:rsidR="00DA0EF6" w:rsidRPr="00DA0EF6">
        <w:rPr>
          <w:rFonts w:ascii="Book Antiqua" w:hAnsi="Book Antiqua"/>
          <w:b/>
        </w:rPr>
        <w:t>n oligometastatic prostate canc</w:t>
      </w:r>
      <w:r w:rsidR="007A069C" w:rsidRPr="00DA0EF6">
        <w:rPr>
          <w:rFonts w:ascii="Book Antiqua" w:hAnsi="Book Antiqua"/>
          <w:b/>
        </w:rPr>
        <w:t>er</w:t>
      </w:r>
      <w:r w:rsidR="00DA0EF6" w:rsidRPr="00DA0EF6">
        <w:rPr>
          <w:rFonts w:ascii="Book Antiqua" w:eastAsia="SimSun" w:hAnsi="Book Antiqua" w:hint="eastAsia"/>
          <w:b/>
          <w:lang w:eastAsia="zh-CN"/>
        </w:rPr>
        <w:t>.</w:t>
      </w:r>
    </w:p>
    <w:p w14:paraId="5D3B8AA2" w14:textId="77777777" w:rsidR="006E4B9A" w:rsidRPr="00242AA7" w:rsidRDefault="006E4B9A" w:rsidP="00242AA7">
      <w:pPr>
        <w:keepNext/>
        <w:spacing w:line="360" w:lineRule="auto"/>
        <w:jc w:val="both"/>
        <w:rPr>
          <w:rFonts w:ascii="Book Antiqua" w:hAnsi="Book Antiqua"/>
        </w:rPr>
      </w:pPr>
    </w:p>
    <w:p w14:paraId="5042575F" w14:textId="77777777" w:rsidR="006E4B9A" w:rsidRPr="00242AA7" w:rsidRDefault="006E4B9A" w:rsidP="00242AA7">
      <w:pPr>
        <w:keepNext/>
        <w:spacing w:line="360" w:lineRule="auto"/>
        <w:jc w:val="both"/>
        <w:rPr>
          <w:rFonts w:ascii="Book Antiqua" w:hAnsi="Book Antiqua"/>
        </w:rPr>
      </w:pPr>
    </w:p>
    <w:p w14:paraId="1C1EAE48" w14:textId="77777777" w:rsidR="006E4B9A" w:rsidRPr="00242AA7" w:rsidRDefault="006E4B9A" w:rsidP="00242AA7">
      <w:pPr>
        <w:keepNext/>
        <w:spacing w:line="360" w:lineRule="auto"/>
        <w:jc w:val="both"/>
        <w:rPr>
          <w:rFonts w:ascii="Book Antiqua" w:hAnsi="Book Antiqua"/>
        </w:rPr>
      </w:pPr>
    </w:p>
    <w:p w14:paraId="6010C0AB" w14:textId="77777777" w:rsidR="006E4B9A" w:rsidRPr="00242AA7" w:rsidRDefault="006E4B9A" w:rsidP="00242AA7">
      <w:pPr>
        <w:keepNext/>
        <w:spacing w:line="360" w:lineRule="auto"/>
        <w:jc w:val="both"/>
        <w:rPr>
          <w:rFonts w:ascii="Book Antiqua" w:hAnsi="Book Antiqua"/>
        </w:rPr>
      </w:pPr>
    </w:p>
    <w:p w14:paraId="7DBC4904" w14:textId="77777777" w:rsidR="006E4B9A" w:rsidRPr="00242AA7" w:rsidRDefault="006E4B9A" w:rsidP="00242AA7">
      <w:pPr>
        <w:keepNext/>
        <w:spacing w:line="360" w:lineRule="auto"/>
        <w:jc w:val="both"/>
        <w:rPr>
          <w:rFonts w:ascii="Book Antiqua" w:hAnsi="Book Antiqua"/>
        </w:rPr>
      </w:pPr>
    </w:p>
    <w:p w14:paraId="3B4A2A0C" w14:textId="77777777" w:rsidR="006E4B9A" w:rsidRPr="00242AA7" w:rsidRDefault="006E4B9A" w:rsidP="00242AA7">
      <w:pPr>
        <w:keepNext/>
        <w:spacing w:line="360" w:lineRule="auto"/>
        <w:jc w:val="both"/>
        <w:rPr>
          <w:rFonts w:ascii="Book Antiqua" w:hAnsi="Book Antiqua"/>
        </w:rPr>
      </w:pPr>
    </w:p>
    <w:p w14:paraId="273BD11F" w14:textId="77777777" w:rsidR="006E4B9A" w:rsidRPr="00242AA7" w:rsidRDefault="006E4B9A" w:rsidP="00242AA7">
      <w:pPr>
        <w:keepNext/>
        <w:spacing w:line="360" w:lineRule="auto"/>
        <w:jc w:val="both"/>
        <w:rPr>
          <w:rFonts w:ascii="Book Antiqua" w:hAnsi="Book Antiqua"/>
        </w:rPr>
      </w:pPr>
    </w:p>
    <w:p w14:paraId="3CD26608" w14:textId="77777777" w:rsidR="006E4B9A" w:rsidRPr="00242AA7" w:rsidRDefault="006E4B9A" w:rsidP="00242AA7">
      <w:pPr>
        <w:keepNext/>
        <w:spacing w:line="360" w:lineRule="auto"/>
        <w:jc w:val="both"/>
        <w:rPr>
          <w:rFonts w:ascii="Book Antiqua" w:hAnsi="Book Antiqua"/>
        </w:rPr>
      </w:pPr>
    </w:p>
    <w:p w14:paraId="6EA11D97" w14:textId="77777777" w:rsidR="006E4B9A" w:rsidRPr="00242AA7" w:rsidRDefault="006E4B9A" w:rsidP="00242AA7">
      <w:pPr>
        <w:keepNext/>
        <w:spacing w:line="360" w:lineRule="auto"/>
        <w:jc w:val="both"/>
        <w:rPr>
          <w:rFonts w:ascii="Book Antiqua" w:hAnsi="Book Antiqua"/>
        </w:rPr>
      </w:pPr>
    </w:p>
    <w:p w14:paraId="35F91E25" w14:textId="77777777" w:rsidR="006E4B9A" w:rsidRPr="00242AA7" w:rsidRDefault="006E4B9A" w:rsidP="00242AA7">
      <w:pPr>
        <w:keepNext/>
        <w:spacing w:line="360" w:lineRule="auto"/>
        <w:jc w:val="both"/>
        <w:rPr>
          <w:rFonts w:ascii="Book Antiqua" w:hAnsi="Book Antiqua"/>
        </w:rPr>
      </w:pPr>
    </w:p>
    <w:p w14:paraId="310647AF" w14:textId="77777777" w:rsidR="006E4B9A" w:rsidRPr="00242AA7" w:rsidRDefault="006E4B9A" w:rsidP="00242AA7">
      <w:pPr>
        <w:keepNext/>
        <w:spacing w:line="360" w:lineRule="auto"/>
        <w:jc w:val="both"/>
        <w:rPr>
          <w:rFonts w:ascii="Book Antiqua" w:hAnsi="Book Antiqua"/>
        </w:rPr>
      </w:pPr>
    </w:p>
    <w:p w14:paraId="58F8E109" w14:textId="77777777" w:rsidR="006E4B9A" w:rsidRPr="00242AA7" w:rsidRDefault="006E4B9A" w:rsidP="00242AA7">
      <w:pPr>
        <w:keepNext/>
        <w:spacing w:line="360" w:lineRule="auto"/>
        <w:jc w:val="both"/>
        <w:rPr>
          <w:rFonts w:ascii="Book Antiqua" w:hAnsi="Book Antiqua"/>
        </w:rPr>
      </w:pPr>
    </w:p>
    <w:p w14:paraId="5EDDF5A7" w14:textId="77777777" w:rsidR="006E4B9A" w:rsidRPr="00242AA7" w:rsidRDefault="006E4B9A" w:rsidP="00242AA7">
      <w:pPr>
        <w:keepNext/>
        <w:spacing w:line="360" w:lineRule="auto"/>
        <w:jc w:val="both"/>
        <w:rPr>
          <w:rFonts w:ascii="Book Antiqua" w:hAnsi="Book Antiqua"/>
        </w:rPr>
      </w:pPr>
    </w:p>
    <w:p w14:paraId="0425EA47" w14:textId="77777777" w:rsidR="006E4B9A" w:rsidRPr="00242AA7" w:rsidRDefault="006E4B9A" w:rsidP="00242AA7">
      <w:pPr>
        <w:keepNext/>
        <w:spacing w:line="360" w:lineRule="auto"/>
        <w:jc w:val="both"/>
        <w:rPr>
          <w:rFonts w:ascii="Book Antiqua" w:hAnsi="Book Antiqua"/>
        </w:rPr>
      </w:pPr>
    </w:p>
    <w:p w14:paraId="3D995AC5" w14:textId="77777777" w:rsidR="006E4B9A" w:rsidRPr="00242AA7" w:rsidRDefault="006E4B9A" w:rsidP="00242AA7">
      <w:pPr>
        <w:keepNext/>
        <w:spacing w:line="360" w:lineRule="auto"/>
        <w:jc w:val="both"/>
        <w:rPr>
          <w:rFonts w:ascii="Book Antiqua" w:hAnsi="Book Antiqua"/>
        </w:rPr>
      </w:pPr>
    </w:p>
    <w:p w14:paraId="46CA4D87" w14:textId="77777777" w:rsidR="006E4B9A" w:rsidRPr="00242AA7" w:rsidRDefault="006E4B9A" w:rsidP="00242AA7">
      <w:pPr>
        <w:keepNext/>
        <w:spacing w:line="360" w:lineRule="auto"/>
        <w:jc w:val="both"/>
        <w:rPr>
          <w:rFonts w:ascii="Book Antiqua" w:hAnsi="Book Antiqua"/>
        </w:rPr>
        <w:sectPr w:rsidR="006E4B9A" w:rsidRPr="00242AA7" w:rsidSect="001F605E">
          <w:pgSz w:w="11900" w:h="16840"/>
          <w:pgMar w:top="1701" w:right="1701" w:bottom="1418" w:left="1701" w:header="1134" w:footer="720" w:gutter="0"/>
          <w:cols w:space="708"/>
        </w:sectPr>
      </w:pPr>
    </w:p>
    <w:p w14:paraId="69BF2600" w14:textId="7F53BB22" w:rsidR="006E4B9A" w:rsidRPr="00DA0EF6" w:rsidRDefault="00DA0EF6" w:rsidP="00242AA7">
      <w:pPr>
        <w:spacing w:line="360" w:lineRule="auto"/>
        <w:jc w:val="both"/>
        <w:rPr>
          <w:rFonts w:ascii="Book Antiqua" w:hAnsi="Book Antiqua"/>
          <w:b/>
        </w:rPr>
      </w:pPr>
      <w:r w:rsidRPr="00DA0EF6">
        <w:rPr>
          <w:rFonts w:ascii="Book Antiqua" w:hAnsi="Book Antiqua"/>
          <w:b/>
        </w:rPr>
        <w:lastRenderedPageBreak/>
        <w:t>Table 1</w:t>
      </w:r>
      <w:r w:rsidR="00E4181E" w:rsidRPr="00DA0EF6">
        <w:rPr>
          <w:rFonts w:ascii="Book Antiqua" w:hAnsi="Book Antiqua"/>
          <w:b/>
        </w:rPr>
        <w:t xml:space="preserve"> Summary of selected publications reporting </w:t>
      </w:r>
      <w:r w:rsidRPr="00DA0EF6">
        <w:rPr>
          <w:rFonts w:ascii="Book Antiqua" w:hAnsi="Book Antiqua"/>
          <w:b/>
        </w:rPr>
        <w:t>stereotactic body radiation therapy</w:t>
      </w:r>
      <w:r w:rsidR="00E4181E" w:rsidRPr="00DA0EF6">
        <w:rPr>
          <w:rFonts w:ascii="Book Antiqua" w:hAnsi="Book Antiqua"/>
          <w:b/>
        </w:rPr>
        <w:t xml:space="preserve"> for mixed and bones </w:t>
      </w:r>
      <w:r w:rsidR="009E1CA4" w:rsidRPr="00DA0EF6">
        <w:rPr>
          <w:rFonts w:ascii="Book Antiqua" w:hAnsi="Book Antiqua"/>
          <w:b/>
        </w:rPr>
        <w:t>oligometastatic prostate cancer</w:t>
      </w:r>
    </w:p>
    <w:p w14:paraId="710718CA" w14:textId="77777777" w:rsidR="009E1CA4" w:rsidRPr="00242AA7" w:rsidRDefault="009E1CA4" w:rsidP="00242AA7">
      <w:pPr>
        <w:spacing w:line="360" w:lineRule="auto"/>
        <w:jc w:val="both"/>
        <w:rPr>
          <w:rFonts w:ascii="Book Antiqua" w:hAnsi="Book Antiqua"/>
        </w:rPr>
      </w:pPr>
    </w:p>
    <w:tbl>
      <w:tblPr>
        <w:tblW w:w="11057" w:type="dxa"/>
        <w:tblInd w:w="7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291"/>
        <w:gridCol w:w="851"/>
        <w:gridCol w:w="1119"/>
        <w:gridCol w:w="1007"/>
        <w:gridCol w:w="1417"/>
        <w:gridCol w:w="1418"/>
        <w:gridCol w:w="1417"/>
        <w:gridCol w:w="1261"/>
        <w:gridCol w:w="1276"/>
      </w:tblGrid>
      <w:tr w:rsidR="00242AA7" w:rsidRPr="00242AA7" w14:paraId="71D5AD7F" w14:textId="77777777" w:rsidTr="00A744A6">
        <w:trPr>
          <w:trHeight w:val="440"/>
        </w:trPr>
        <w:tc>
          <w:tcPr>
            <w:tcW w:w="1291" w:type="dxa"/>
            <w:tcBorders>
              <w:top w:val="single" w:sz="4" w:space="0" w:color="auto"/>
              <w:bottom w:val="single" w:sz="4" w:space="0" w:color="auto"/>
            </w:tcBorders>
            <w:shd w:val="clear" w:color="auto" w:fill="auto"/>
            <w:vAlign w:val="center"/>
            <w:hideMark/>
          </w:tcPr>
          <w:p w14:paraId="0CDCD8B4" w14:textId="04B6E6F4" w:rsidR="00BE5E5A" w:rsidRPr="00DA0EF6" w:rsidRDefault="00DA0EF6" w:rsidP="00242AA7">
            <w:pPr>
              <w:spacing w:line="360" w:lineRule="auto"/>
              <w:jc w:val="both"/>
              <w:rPr>
                <w:rFonts w:ascii="Book Antiqua" w:eastAsia="SimSun" w:hAnsi="Book Antiqua" w:cs="Times New Roman"/>
                <w:lang w:val="es-ES" w:eastAsia="zh-CN"/>
              </w:rPr>
            </w:pPr>
            <w:r>
              <w:rPr>
                <w:rFonts w:ascii="Book Antiqua" w:eastAsia="SimSun" w:hAnsi="Book Antiqua" w:cs="Times New Roman" w:hint="eastAsia"/>
                <w:lang w:val="es-ES" w:eastAsia="zh-CN"/>
              </w:rPr>
              <w:t>R</w:t>
            </w:r>
            <w:r>
              <w:rPr>
                <w:rFonts w:ascii="Book Antiqua" w:eastAsia="SimSun" w:hAnsi="Book Antiqua" w:cs="Times New Roman"/>
                <w:lang w:val="es-ES" w:eastAsia="zh-CN"/>
              </w:rPr>
              <w:t>ef.</w:t>
            </w:r>
          </w:p>
        </w:tc>
        <w:tc>
          <w:tcPr>
            <w:tcW w:w="851" w:type="dxa"/>
            <w:tcBorders>
              <w:top w:val="single" w:sz="4" w:space="0" w:color="auto"/>
              <w:bottom w:val="single" w:sz="4" w:space="0" w:color="auto"/>
            </w:tcBorders>
            <w:shd w:val="clear" w:color="auto" w:fill="auto"/>
            <w:vAlign w:val="center"/>
            <w:hideMark/>
          </w:tcPr>
          <w:p w14:paraId="0F72379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Study type</w:t>
            </w:r>
          </w:p>
        </w:tc>
        <w:tc>
          <w:tcPr>
            <w:tcW w:w="1119" w:type="dxa"/>
            <w:tcBorders>
              <w:top w:val="single" w:sz="4" w:space="0" w:color="auto"/>
              <w:bottom w:val="single" w:sz="4" w:space="0" w:color="auto"/>
            </w:tcBorders>
            <w:shd w:val="clear" w:color="auto" w:fill="auto"/>
            <w:vAlign w:val="center"/>
            <w:hideMark/>
          </w:tcPr>
          <w:p w14:paraId="2BCBC9FE" w14:textId="57DB42E2" w:rsidR="00BE5E5A" w:rsidRPr="00242AA7" w:rsidRDefault="00DA0EF6" w:rsidP="00242AA7">
            <w:pPr>
              <w:spacing w:line="360" w:lineRule="auto"/>
              <w:jc w:val="both"/>
              <w:rPr>
                <w:rFonts w:ascii="Book Antiqua" w:eastAsia="Times New Roman" w:hAnsi="Book Antiqua" w:cs="Times New Roman"/>
                <w:lang w:val="es-ES"/>
              </w:rPr>
            </w:pPr>
            <w:r>
              <w:rPr>
                <w:rFonts w:ascii="Book Antiqua" w:eastAsia="Times New Roman" w:hAnsi="Book Antiqua" w:cs="Times New Roman"/>
                <w:lang w:val="es-ES"/>
              </w:rPr>
              <w:t>No. patients/</w:t>
            </w:r>
            <w:r w:rsidRPr="00242AA7">
              <w:rPr>
                <w:rFonts w:ascii="Book Antiqua" w:eastAsia="Times New Roman" w:hAnsi="Book Antiqua" w:cs="Times New Roman"/>
                <w:lang w:val="es-ES"/>
              </w:rPr>
              <w:t>l</w:t>
            </w:r>
            <w:r w:rsidR="00BE5E5A" w:rsidRPr="00242AA7">
              <w:rPr>
                <w:rFonts w:ascii="Book Antiqua" w:eastAsia="Times New Roman" w:hAnsi="Book Antiqua" w:cs="Times New Roman"/>
                <w:lang w:val="es-ES"/>
              </w:rPr>
              <w:t>esions</w:t>
            </w:r>
          </w:p>
        </w:tc>
        <w:tc>
          <w:tcPr>
            <w:tcW w:w="1007" w:type="dxa"/>
            <w:tcBorders>
              <w:top w:val="single" w:sz="4" w:space="0" w:color="auto"/>
              <w:bottom w:val="single" w:sz="4" w:space="0" w:color="auto"/>
            </w:tcBorders>
            <w:shd w:val="clear" w:color="auto" w:fill="auto"/>
            <w:vAlign w:val="center"/>
            <w:hideMark/>
          </w:tcPr>
          <w:p w14:paraId="4410CDD8"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No. of metastases</w:t>
            </w:r>
          </w:p>
        </w:tc>
        <w:tc>
          <w:tcPr>
            <w:tcW w:w="1417" w:type="dxa"/>
            <w:tcBorders>
              <w:top w:val="single" w:sz="4" w:space="0" w:color="auto"/>
              <w:bottom w:val="single" w:sz="4" w:space="0" w:color="auto"/>
            </w:tcBorders>
            <w:shd w:val="clear" w:color="auto" w:fill="auto"/>
            <w:vAlign w:val="center"/>
            <w:hideMark/>
          </w:tcPr>
          <w:p w14:paraId="53B5B6A0"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Imaging method</w:t>
            </w:r>
          </w:p>
        </w:tc>
        <w:tc>
          <w:tcPr>
            <w:tcW w:w="1418" w:type="dxa"/>
            <w:tcBorders>
              <w:top w:val="single" w:sz="4" w:space="0" w:color="auto"/>
              <w:bottom w:val="single" w:sz="4" w:space="0" w:color="auto"/>
            </w:tcBorders>
            <w:shd w:val="clear" w:color="auto" w:fill="auto"/>
            <w:vAlign w:val="center"/>
            <w:hideMark/>
          </w:tcPr>
          <w:p w14:paraId="7D2C0C2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Site of metastases</w:t>
            </w:r>
          </w:p>
        </w:tc>
        <w:tc>
          <w:tcPr>
            <w:tcW w:w="1417" w:type="dxa"/>
            <w:tcBorders>
              <w:top w:val="single" w:sz="4" w:space="0" w:color="auto"/>
              <w:bottom w:val="single" w:sz="4" w:space="0" w:color="auto"/>
            </w:tcBorders>
            <w:shd w:val="clear" w:color="auto" w:fill="auto"/>
            <w:vAlign w:val="center"/>
            <w:hideMark/>
          </w:tcPr>
          <w:p w14:paraId="1DDC7524" w14:textId="069E2060"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SBRT </w:t>
            </w:r>
            <w:r w:rsidR="00DA0EF6" w:rsidRPr="00242AA7">
              <w:rPr>
                <w:rFonts w:ascii="Book Antiqua" w:eastAsia="Times New Roman" w:hAnsi="Book Antiqua" w:cs="Times New Roman"/>
                <w:lang w:val="es-ES"/>
              </w:rPr>
              <w:t>s</w:t>
            </w:r>
            <w:r w:rsidRPr="00242AA7">
              <w:rPr>
                <w:rFonts w:ascii="Book Antiqua" w:eastAsia="Times New Roman" w:hAnsi="Book Antiqua" w:cs="Times New Roman"/>
                <w:lang w:val="es-ES"/>
              </w:rPr>
              <w:t>chedules</w:t>
            </w:r>
          </w:p>
        </w:tc>
        <w:tc>
          <w:tcPr>
            <w:tcW w:w="1261" w:type="dxa"/>
            <w:tcBorders>
              <w:top w:val="single" w:sz="4" w:space="0" w:color="auto"/>
              <w:bottom w:val="single" w:sz="4" w:space="0" w:color="auto"/>
            </w:tcBorders>
            <w:shd w:val="clear" w:color="auto" w:fill="auto"/>
            <w:vAlign w:val="center"/>
            <w:hideMark/>
          </w:tcPr>
          <w:p w14:paraId="2D86A88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LC</w:t>
            </w:r>
          </w:p>
        </w:tc>
        <w:tc>
          <w:tcPr>
            <w:tcW w:w="1276" w:type="dxa"/>
            <w:tcBorders>
              <w:top w:val="single" w:sz="4" w:space="0" w:color="auto"/>
              <w:bottom w:val="single" w:sz="4" w:space="0" w:color="auto"/>
            </w:tcBorders>
            <w:shd w:val="clear" w:color="auto" w:fill="auto"/>
            <w:vAlign w:val="center"/>
            <w:hideMark/>
          </w:tcPr>
          <w:p w14:paraId="21FC946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PFS</w:t>
            </w:r>
          </w:p>
        </w:tc>
      </w:tr>
      <w:tr w:rsidR="00242AA7" w:rsidRPr="00242AA7" w14:paraId="16DE0B10" w14:textId="77777777" w:rsidTr="00A744A6">
        <w:trPr>
          <w:trHeight w:val="300"/>
        </w:trPr>
        <w:tc>
          <w:tcPr>
            <w:tcW w:w="1291" w:type="dxa"/>
            <w:tcBorders>
              <w:top w:val="single" w:sz="4" w:space="0" w:color="auto"/>
            </w:tcBorders>
            <w:shd w:val="clear" w:color="000000" w:fill="F2F2F2"/>
            <w:vAlign w:val="center"/>
            <w:hideMark/>
          </w:tcPr>
          <w:p w14:paraId="2D6DD3EE"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Mixed</w:t>
            </w:r>
          </w:p>
        </w:tc>
        <w:tc>
          <w:tcPr>
            <w:tcW w:w="851" w:type="dxa"/>
            <w:tcBorders>
              <w:top w:val="single" w:sz="4" w:space="0" w:color="auto"/>
            </w:tcBorders>
            <w:shd w:val="clear" w:color="000000" w:fill="F2F2F2"/>
            <w:vAlign w:val="center"/>
            <w:hideMark/>
          </w:tcPr>
          <w:p w14:paraId="69680F6D"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119" w:type="dxa"/>
            <w:tcBorders>
              <w:top w:val="single" w:sz="4" w:space="0" w:color="auto"/>
            </w:tcBorders>
            <w:shd w:val="clear" w:color="000000" w:fill="F2F2F2"/>
            <w:vAlign w:val="center"/>
            <w:hideMark/>
          </w:tcPr>
          <w:p w14:paraId="5824AAC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007" w:type="dxa"/>
            <w:tcBorders>
              <w:top w:val="single" w:sz="4" w:space="0" w:color="auto"/>
            </w:tcBorders>
            <w:shd w:val="clear" w:color="000000" w:fill="F2F2F2"/>
            <w:vAlign w:val="center"/>
            <w:hideMark/>
          </w:tcPr>
          <w:p w14:paraId="11B78602"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417" w:type="dxa"/>
            <w:tcBorders>
              <w:top w:val="single" w:sz="4" w:space="0" w:color="auto"/>
            </w:tcBorders>
            <w:shd w:val="clear" w:color="000000" w:fill="F2F2F2"/>
            <w:vAlign w:val="center"/>
            <w:hideMark/>
          </w:tcPr>
          <w:p w14:paraId="489CB0AD"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418" w:type="dxa"/>
            <w:tcBorders>
              <w:top w:val="single" w:sz="4" w:space="0" w:color="auto"/>
            </w:tcBorders>
            <w:shd w:val="clear" w:color="000000" w:fill="F2F2F2"/>
            <w:vAlign w:val="center"/>
            <w:hideMark/>
          </w:tcPr>
          <w:p w14:paraId="3E32AE4C"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417" w:type="dxa"/>
            <w:tcBorders>
              <w:top w:val="single" w:sz="4" w:space="0" w:color="auto"/>
            </w:tcBorders>
            <w:shd w:val="clear" w:color="000000" w:fill="F2F2F2"/>
            <w:vAlign w:val="center"/>
            <w:hideMark/>
          </w:tcPr>
          <w:p w14:paraId="39555E18"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261" w:type="dxa"/>
            <w:tcBorders>
              <w:top w:val="single" w:sz="4" w:space="0" w:color="auto"/>
            </w:tcBorders>
            <w:shd w:val="clear" w:color="000000" w:fill="F2F2F2"/>
            <w:vAlign w:val="center"/>
            <w:hideMark/>
          </w:tcPr>
          <w:p w14:paraId="1B07994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276" w:type="dxa"/>
            <w:tcBorders>
              <w:top w:val="single" w:sz="4" w:space="0" w:color="auto"/>
            </w:tcBorders>
            <w:shd w:val="clear" w:color="000000" w:fill="F2F2F2"/>
            <w:vAlign w:val="center"/>
            <w:hideMark/>
          </w:tcPr>
          <w:p w14:paraId="0D91365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r>
      <w:tr w:rsidR="00242AA7" w:rsidRPr="00242AA7" w14:paraId="15CE5A05" w14:textId="77777777" w:rsidTr="00A744A6">
        <w:trPr>
          <w:trHeight w:val="560"/>
        </w:trPr>
        <w:tc>
          <w:tcPr>
            <w:tcW w:w="1291" w:type="dxa"/>
            <w:vMerge w:val="restart"/>
            <w:shd w:val="clear" w:color="auto" w:fill="auto"/>
            <w:vAlign w:val="center"/>
            <w:hideMark/>
          </w:tcPr>
          <w:p w14:paraId="5F5B106B" w14:textId="61012240" w:rsidR="00BE5E5A" w:rsidRPr="00C74C98" w:rsidRDefault="00BE5E5A" w:rsidP="00C74C98">
            <w:pPr>
              <w:spacing w:line="360" w:lineRule="auto"/>
              <w:jc w:val="both"/>
              <w:rPr>
                <w:rFonts w:ascii="Book Antiqua" w:eastAsia="SimSun" w:hAnsi="Book Antiqua" w:cs="Times New Roman"/>
                <w:lang w:val="es-ES" w:eastAsia="zh-CN"/>
              </w:rPr>
            </w:pPr>
            <w:r w:rsidRPr="00242AA7">
              <w:rPr>
                <w:rFonts w:ascii="Book Antiqua" w:eastAsia="Times New Roman" w:hAnsi="Book Antiqua" w:cs="Times New Roman"/>
                <w:lang w:val="es-ES"/>
              </w:rPr>
              <w:t xml:space="preserve">Jereczek-Fossa </w:t>
            </w:r>
            <w:r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[56]</w:t>
            </w:r>
            <w:r w:rsidR="00C74C98" w:rsidRPr="00242AA7">
              <w:rPr>
                <w:rFonts w:ascii="Book Antiqua" w:eastAsia="Times New Roman" w:hAnsi="Book Antiqua" w:cs="Times New Roman"/>
                <w:lang w:val="es-ES"/>
              </w:rPr>
              <w:t xml:space="preserve"> </w:t>
            </w:r>
          </w:p>
        </w:tc>
        <w:tc>
          <w:tcPr>
            <w:tcW w:w="851" w:type="dxa"/>
            <w:vMerge w:val="restart"/>
            <w:shd w:val="clear" w:color="auto" w:fill="auto"/>
            <w:vAlign w:val="center"/>
            <w:hideMark/>
          </w:tcPr>
          <w:p w14:paraId="4391CE22"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1119" w:type="dxa"/>
            <w:vMerge w:val="restart"/>
            <w:shd w:val="clear" w:color="auto" w:fill="auto"/>
            <w:vAlign w:val="center"/>
            <w:hideMark/>
          </w:tcPr>
          <w:p w14:paraId="4B9DD27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34/38</w:t>
            </w:r>
          </w:p>
        </w:tc>
        <w:tc>
          <w:tcPr>
            <w:tcW w:w="1007" w:type="dxa"/>
            <w:vMerge w:val="restart"/>
            <w:shd w:val="clear" w:color="auto" w:fill="auto"/>
            <w:vAlign w:val="center"/>
            <w:hideMark/>
          </w:tcPr>
          <w:p w14:paraId="009F9FC2" w14:textId="77777777"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Single pelvic LN and/or single distant lesion</w:t>
            </w:r>
          </w:p>
        </w:tc>
        <w:tc>
          <w:tcPr>
            <w:tcW w:w="1417" w:type="dxa"/>
            <w:vMerge w:val="restart"/>
            <w:shd w:val="clear" w:color="auto" w:fill="auto"/>
            <w:vAlign w:val="center"/>
            <w:hideMark/>
          </w:tcPr>
          <w:p w14:paraId="06C0935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CT, BS, Choline PET</w:t>
            </w:r>
          </w:p>
        </w:tc>
        <w:tc>
          <w:tcPr>
            <w:tcW w:w="1418" w:type="dxa"/>
            <w:vMerge w:val="restart"/>
            <w:shd w:val="clear" w:color="auto" w:fill="auto"/>
            <w:vAlign w:val="center"/>
            <w:hideMark/>
          </w:tcPr>
          <w:p w14:paraId="24E25857"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 local recurrence</w:t>
            </w:r>
          </w:p>
        </w:tc>
        <w:tc>
          <w:tcPr>
            <w:tcW w:w="1417" w:type="dxa"/>
            <w:vMerge w:val="restart"/>
            <w:shd w:val="clear" w:color="auto" w:fill="auto"/>
            <w:vAlign w:val="center"/>
            <w:hideMark/>
          </w:tcPr>
          <w:p w14:paraId="1A63C2C2" w14:textId="35B68D12"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30-36Gy/3-5fr</w:t>
            </w:r>
          </w:p>
        </w:tc>
        <w:tc>
          <w:tcPr>
            <w:tcW w:w="1261" w:type="dxa"/>
            <w:vMerge w:val="restart"/>
            <w:shd w:val="clear" w:color="auto" w:fill="auto"/>
            <w:vAlign w:val="center"/>
            <w:hideMark/>
          </w:tcPr>
          <w:p w14:paraId="003350B4"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88% (16.9 mo)</w:t>
            </w:r>
          </w:p>
        </w:tc>
        <w:tc>
          <w:tcPr>
            <w:tcW w:w="1276" w:type="dxa"/>
            <w:vMerge w:val="restart"/>
            <w:shd w:val="clear" w:color="auto" w:fill="auto"/>
            <w:vAlign w:val="center"/>
            <w:hideMark/>
          </w:tcPr>
          <w:p w14:paraId="4BABB868"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42.6% (30 mo)</w:t>
            </w:r>
          </w:p>
        </w:tc>
      </w:tr>
      <w:tr w:rsidR="00242AA7" w:rsidRPr="00242AA7" w14:paraId="7803B44F" w14:textId="77777777" w:rsidTr="00A744A6">
        <w:trPr>
          <w:trHeight w:val="447"/>
        </w:trPr>
        <w:tc>
          <w:tcPr>
            <w:tcW w:w="1291" w:type="dxa"/>
            <w:vMerge/>
            <w:vAlign w:val="center"/>
            <w:hideMark/>
          </w:tcPr>
          <w:p w14:paraId="28602F0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0CF92F1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4E90F98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2AC2486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A614BE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1A9894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00430A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1BCB319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D393DC6"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01DD92F7" w14:textId="77777777" w:rsidTr="00A744A6">
        <w:trPr>
          <w:trHeight w:val="447"/>
        </w:trPr>
        <w:tc>
          <w:tcPr>
            <w:tcW w:w="1291" w:type="dxa"/>
            <w:vMerge w:val="restart"/>
            <w:shd w:val="clear" w:color="auto" w:fill="auto"/>
            <w:vAlign w:val="center"/>
            <w:hideMark/>
          </w:tcPr>
          <w:p w14:paraId="412943AB" w14:textId="54F011EE"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Ahmed </w:t>
            </w:r>
            <w:r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[49]</w:t>
            </w:r>
            <w:r w:rsidR="00C74C98" w:rsidRP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 xml:space="preserve"> </w:t>
            </w:r>
          </w:p>
        </w:tc>
        <w:tc>
          <w:tcPr>
            <w:tcW w:w="851" w:type="dxa"/>
            <w:vMerge w:val="restart"/>
            <w:shd w:val="clear" w:color="auto" w:fill="auto"/>
            <w:vAlign w:val="center"/>
            <w:hideMark/>
          </w:tcPr>
          <w:p w14:paraId="6715D27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4B37BC74"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17/21</w:t>
            </w:r>
          </w:p>
        </w:tc>
        <w:tc>
          <w:tcPr>
            <w:tcW w:w="1007" w:type="dxa"/>
            <w:vMerge w:val="restart"/>
            <w:shd w:val="clear" w:color="auto" w:fill="auto"/>
            <w:vAlign w:val="center"/>
            <w:hideMark/>
          </w:tcPr>
          <w:p w14:paraId="344581D6" w14:textId="374EBB1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5</w:t>
            </w:r>
          </w:p>
        </w:tc>
        <w:tc>
          <w:tcPr>
            <w:tcW w:w="1417" w:type="dxa"/>
            <w:vMerge w:val="restart"/>
            <w:shd w:val="clear" w:color="auto" w:fill="auto"/>
            <w:noWrap/>
            <w:vAlign w:val="center"/>
            <w:hideMark/>
          </w:tcPr>
          <w:p w14:paraId="6992C475" w14:textId="77777777"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Choline PET/CT, MRI, CT</w:t>
            </w:r>
          </w:p>
        </w:tc>
        <w:tc>
          <w:tcPr>
            <w:tcW w:w="1418" w:type="dxa"/>
            <w:vMerge w:val="restart"/>
            <w:shd w:val="clear" w:color="auto" w:fill="auto"/>
            <w:vAlign w:val="center"/>
            <w:hideMark/>
          </w:tcPr>
          <w:p w14:paraId="3E87B4E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 Liver</w:t>
            </w:r>
          </w:p>
        </w:tc>
        <w:tc>
          <w:tcPr>
            <w:tcW w:w="1417" w:type="dxa"/>
            <w:vMerge w:val="restart"/>
            <w:shd w:val="clear" w:color="auto" w:fill="auto"/>
            <w:vAlign w:val="center"/>
            <w:hideMark/>
          </w:tcPr>
          <w:p w14:paraId="77344ADF" w14:textId="0F167804" w:rsidR="00BE5E5A" w:rsidRPr="00242AA7" w:rsidRDefault="00115939"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Median</w:t>
            </w:r>
            <w:r w:rsidR="00BE5E5A" w:rsidRPr="00242AA7">
              <w:rPr>
                <w:rFonts w:ascii="Book Antiqua" w:eastAsia="Times New Roman" w:hAnsi="Book Antiqua" w:cs="Times New Roman"/>
                <w:lang w:val="en-US"/>
              </w:rPr>
              <w:t xml:space="preserve"> dose 20Gy (8-</w:t>
            </w:r>
            <w:r w:rsidR="00C74C98">
              <w:rPr>
                <w:rFonts w:ascii="Book Antiqua" w:eastAsia="Times New Roman" w:hAnsi="Book Antiqua" w:cs="Times New Roman"/>
                <w:lang w:val="en-US"/>
              </w:rPr>
              <w:t>24Gy/1-3fr)</w:t>
            </w:r>
            <w:r w:rsidR="00C74C98">
              <w:rPr>
                <w:rFonts w:ascii="Book Antiqua" w:eastAsia="Times New Roman" w:hAnsi="Book Antiqua" w:cs="Times New Roman"/>
                <w:lang w:val="en-US"/>
              </w:rPr>
              <w:br/>
              <w:t>50Gy/5fr (LN)</w:t>
            </w:r>
            <w:r w:rsidR="00C74C98">
              <w:rPr>
                <w:rFonts w:ascii="Book Antiqua" w:eastAsia="Times New Roman" w:hAnsi="Book Antiqua" w:cs="Times New Roman"/>
                <w:lang w:val="en-US"/>
              </w:rPr>
              <w:br/>
              <w:t>60Gy/</w:t>
            </w:r>
            <w:r w:rsidR="00BE5E5A" w:rsidRPr="00242AA7">
              <w:rPr>
                <w:rFonts w:ascii="Book Antiqua" w:eastAsia="Times New Roman" w:hAnsi="Book Antiqua" w:cs="Times New Roman"/>
                <w:lang w:val="en-US"/>
              </w:rPr>
              <w:t>3fr (Liver)</w:t>
            </w:r>
          </w:p>
        </w:tc>
        <w:tc>
          <w:tcPr>
            <w:tcW w:w="1261" w:type="dxa"/>
            <w:vMerge w:val="restart"/>
            <w:shd w:val="clear" w:color="auto" w:fill="auto"/>
            <w:vAlign w:val="center"/>
            <w:hideMark/>
          </w:tcPr>
          <w:p w14:paraId="2C29535C"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100% (6 mo)</w:t>
            </w:r>
          </w:p>
        </w:tc>
        <w:tc>
          <w:tcPr>
            <w:tcW w:w="1276" w:type="dxa"/>
            <w:vMerge w:val="restart"/>
            <w:shd w:val="clear" w:color="auto" w:fill="auto"/>
            <w:vAlign w:val="center"/>
            <w:hideMark/>
          </w:tcPr>
          <w:p w14:paraId="486FBE1F" w14:textId="6C06F2B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74% (6 mo)</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40%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5B2E4207" w14:textId="77777777" w:rsidTr="00A744A6">
        <w:trPr>
          <w:trHeight w:val="447"/>
        </w:trPr>
        <w:tc>
          <w:tcPr>
            <w:tcW w:w="1291" w:type="dxa"/>
            <w:vMerge/>
            <w:vAlign w:val="center"/>
            <w:hideMark/>
          </w:tcPr>
          <w:p w14:paraId="2C5BD03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594EC61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3E1131A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4A98A7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7329C33"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B9F329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5655B9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5C77B6A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7A6F5BD"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2FAA44CD" w14:textId="77777777" w:rsidTr="00A744A6">
        <w:trPr>
          <w:trHeight w:val="447"/>
        </w:trPr>
        <w:tc>
          <w:tcPr>
            <w:tcW w:w="1291" w:type="dxa"/>
            <w:vMerge/>
            <w:vAlign w:val="center"/>
            <w:hideMark/>
          </w:tcPr>
          <w:p w14:paraId="18A7F5D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7E8DFC4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2814608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0C8C79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19D681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2EAFD0D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9EC8E3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317DAD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5328F24"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1C33F3F" w14:textId="77777777" w:rsidTr="00A744A6">
        <w:trPr>
          <w:trHeight w:val="447"/>
        </w:trPr>
        <w:tc>
          <w:tcPr>
            <w:tcW w:w="1291" w:type="dxa"/>
            <w:vMerge w:val="restart"/>
            <w:shd w:val="clear" w:color="auto" w:fill="auto"/>
            <w:vAlign w:val="center"/>
            <w:hideMark/>
          </w:tcPr>
          <w:p w14:paraId="321E3587" w14:textId="7673D6DF"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Berkovic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[4</w:t>
            </w:r>
            <w:r w:rsidR="00C74C98">
              <w:rPr>
                <w:rFonts w:ascii="Book Antiqua" w:eastAsia="SimSun" w:hAnsi="Book Antiqua" w:cs="Times New Roman" w:hint="eastAsia"/>
                <w:vertAlign w:val="superscript"/>
                <w:lang w:val="es-ES" w:eastAsia="zh-CN"/>
              </w:rPr>
              <w:t>5</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4BF859B4"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1119" w:type="dxa"/>
            <w:vMerge w:val="restart"/>
            <w:shd w:val="clear" w:color="auto" w:fill="auto"/>
            <w:vAlign w:val="center"/>
            <w:hideMark/>
          </w:tcPr>
          <w:p w14:paraId="11962A2E"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24/29</w:t>
            </w:r>
          </w:p>
        </w:tc>
        <w:tc>
          <w:tcPr>
            <w:tcW w:w="1007" w:type="dxa"/>
            <w:vMerge w:val="restart"/>
            <w:shd w:val="clear" w:color="auto" w:fill="auto"/>
            <w:vAlign w:val="center"/>
            <w:hideMark/>
          </w:tcPr>
          <w:p w14:paraId="48DCEDBE" w14:textId="07BF244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417" w:type="dxa"/>
            <w:vMerge w:val="restart"/>
            <w:shd w:val="clear" w:color="auto" w:fill="auto"/>
            <w:vAlign w:val="center"/>
            <w:hideMark/>
          </w:tcPr>
          <w:p w14:paraId="5E99735B" w14:textId="5D07A5CD"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BS, 18F-FDG PET/TC,</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Choline PET/TC</w:t>
            </w:r>
          </w:p>
        </w:tc>
        <w:tc>
          <w:tcPr>
            <w:tcW w:w="1418" w:type="dxa"/>
            <w:vMerge w:val="restart"/>
            <w:shd w:val="clear" w:color="auto" w:fill="auto"/>
            <w:vAlign w:val="center"/>
            <w:hideMark/>
          </w:tcPr>
          <w:p w14:paraId="3FEB4206"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w:t>
            </w:r>
          </w:p>
        </w:tc>
        <w:tc>
          <w:tcPr>
            <w:tcW w:w="1417" w:type="dxa"/>
            <w:vMerge w:val="restart"/>
            <w:shd w:val="clear" w:color="auto" w:fill="auto"/>
            <w:vAlign w:val="center"/>
            <w:hideMark/>
          </w:tcPr>
          <w:p w14:paraId="3F50C376" w14:textId="65003093" w:rsidR="00BE5E5A" w:rsidRPr="00242AA7" w:rsidRDefault="00994FA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Median dose </w:t>
            </w:r>
            <w:r w:rsidR="00683AB6" w:rsidRPr="00242AA7">
              <w:rPr>
                <w:rFonts w:ascii="Book Antiqua" w:eastAsia="Times New Roman" w:hAnsi="Book Antiqua" w:cs="Times New Roman"/>
                <w:lang w:val="es-ES"/>
              </w:rPr>
              <w:t>50Gy (40-50)/</w:t>
            </w:r>
            <w:r w:rsidR="00BE5E5A" w:rsidRPr="00242AA7">
              <w:rPr>
                <w:rFonts w:ascii="Book Antiqua" w:eastAsia="Times New Roman" w:hAnsi="Book Antiqua" w:cs="Times New Roman"/>
                <w:lang w:val="es-ES"/>
              </w:rPr>
              <w:t>8-10fr</w:t>
            </w:r>
          </w:p>
        </w:tc>
        <w:tc>
          <w:tcPr>
            <w:tcW w:w="1261" w:type="dxa"/>
            <w:vMerge w:val="restart"/>
            <w:shd w:val="clear" w:color="auto" w:fill="auto"/>
            <w:vAlign w:val="center"/>
            <w:hideMark/>
          </w:tcPr>
          <w:p w14:paraId="18675332" w14:textId="619A3856"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100%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4EEF6A06" w14:textId="0C33094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72%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 xml:space="preserve"> 42%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58F040A9" w14:textId="77777777" w:rsidTr="00A744A6">
        <w:trPr>
          <w:trHeight w:val="447"/>
        </w:trPr>
        <w:tc>
          <w:tcPr>
            <w:tcW w:w="1291" w:type="dxa"/>
            <w:vMerge/>
            <w:vAlign w:val="center"/>
            <w:hideMark/>
          </w:tcPr>
          <w:p w14:paraId="4A5E304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A6EC5D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26A8D633"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62E172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13A141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C21C50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69024A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2DB4B0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1DAFB87"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6C9FB1D9" w14:textId="77777777" w:rsidTr="00A744A6">
        <w:trPr>
          <w:trHeight w:val="447"/>
        </w:trPr>
        <w:tc>
          <w:tcPr>
            <w:tcW w:w="1291" w:type="dxa"/>
            <w:vMerge/>
            <w:vAlign w:val="center"/>
            <w:hideMark/>
          </w:tcPr>
          <w:p w14:paraId="13ED6C5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661EA0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455BA64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8077B5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213884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25F02A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1F6714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663A34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77AC9E1"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7DCC63AD" w14:textId="77777777" w:rsidTr="00A744A6">
        <w:trPr>
          <w:trHeight w:val="447"/>
        </w:trPr>
        <w:tc>
          <w:tcPr>
            <w:tcW w:w="1291" w:type="dxa"/>
            <w:vMerge w:val="restart"/>
            <w:shd w:val="clear" w:color="auto" w:fill="auto"/>
            <w:vAlign w:val="center"/>
            <w:hideMark/>
          </w:tcPr>
          <w:p w14:paraId="4576CE5D" w14:textId="34863613"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Decaestecker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34</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79D79B6D"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5F72960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50/70</w:t>
            </w:r>
          </w:p>
        </w:tc>
        <w:tc>
          <w:tcPr>
            <w:tcW w:w="1007" w:type="dxa"/>
            <w:vMerge w:val="restart"/>
            <w:shd w:val="clear" w:color="auto" w:fill="auto"/>
            <w:vAlign w:val="center"/>
            <w:hideMark/>
          </w:tcPr>
          <w:p w14:paraId="49F2D7C5" w14:textId="1CF896D5"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417" w:type="dxa"/>
            <w:vMerge w:val="restart"/>
            <w:shd w:val="clear" w:color="auto" w:fill="auto"/>
            <w:vAlign w:val="center"/>
            <w:hideMark/>
          </w:tcPr>
          <w:p w14:paraId="044C8E1E" w14:textId="62EC6D25"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18F-FDG PET/TC,</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Choline PET/TC</w:t>
            </w:r>
          </w:p>
        </w:tc>
        <w:tc>
          <w:tcPr>
            <w:tcW w:w="1418" w:type="dxa"/>
            <w:vMerge w:val="restart"/>
            <w:shd w:val="clear" w:color="auto" w:fill="auto"/>
            <w:vAlign w:val="center"/>
            <w:hideMark/>
          </w:tcPr>
          <w:p w14:paraId="07F4B772"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 Viscera</w:t>
            </w:r>
          </w:p>
        </w:tc>
        <w:tc>
          <w:tcPr>
            <w:tcW w:w="1417" w:type="dxa"/>
            <w:vMerge w:val="restart"/>
            <w:shd w:val="clear" w:color="auto" w:fill="auto"/>
            <w:vAlign w:val="center"/>
            <w:hideMark/>
          </w:tcPr>
          <w:p w14:paraId="522E39C6" w14:textId="52DB425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50Gy/10fr</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30Gy/3fr</w:t>
            </w:r>
          </w:p>
        </w:tc>
        <w:tc>
          <w:tcPr>
            <w:tcW w:w="1261" w:type="dxa"/>
            <w:vMerge w:val="restart"/>
            <w:shd w:val="clear" w:color="auto" w:fill="auto"/>
            <w:vAlign w:val="center"/>
            <w:hideMark/>
          </w:tcPr>
          <w:p w14:paraId="526B44F5" w14:textId="76CFD6FF"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100%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784157A6" w14:textId="790A4418"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64%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35%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5C5E7B7A" w14:textId="77777777" w:rsidTr="00A744A6">
        <w:trPr>
          <w:trHeight w:val="447"/>
        </w:trPr>
        <w:tc>
          <w:tcPr>
            <w:tcW w:w="1291" w:type="dxa"/>
            <w:vMerge/>
            <w:vAlign w:val="center"/>
            <w:hideMark/>
          </w:tcPr>
          <w:p w14:paraId="2518E51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719D6A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454CDE6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0FDA49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D9FCFAF"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6EF211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ED5A29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44CB1A8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3EC666B1"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44FE86B2" w14:textId="77777777" w:rsidTr="00A744A6">
        <w:trPr>
          <w:trHeight w:val="447"/>
        </w:trPr>
        <w:tc>
          <w:tcPr>
            <w:tcW w:w="1291" w:type="dxa"/>
            <w:vMerge w:val="restart"/>
            <w:shd w:val="clear" w:color="auto" w:fill="auto"/>
            <w:vAlign w:val="center"/>
            <w:hideMark/>
          </w:tcPr>
          <w:p w14:paraId="2FB3D5BB" w14:textId="5A55AE39"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Pasqualetti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57</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211B3BAE"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2CCD4666"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29/45</w:t>
            </w:r>
          </w:p>
        </w:tc>
        <w:tc>
          <w:tcPr>
            <w:tcW w:w="1007" w:type="dxa"/>
            <w:vMerge w:val="restart"/>
            <w:shd w:val="clear" w:color="auto" w:fill="auto"/>
            <w:vAlign w:val="center"/>
            <w:hideMark/>
          </w:tcPr>
          <w:p w14:paraId="5A1275C5" w14:textId="4ADF626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417" w:type="dxa"/>
            <w:vMerge w:val="restart"/>
            <w:shd w:val="clear" w:color="auto" w:fill="auto"/>
            <w:vAlign w:val="center"/>
            <w:hideMark/>
          </w:tcPr>
          <w:p w14:paraId="113CE1A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Choline PET/CT</w:t>
            </w:r>
          </w:p>
        </w:tc>
        <w:tc>
          <w:tcPr>
            <w:tcW w:w="1418" w:type="dxa"/>
            <w:vMerge w:val="restart"/>
            <w:shd w:val="clear" w:color="auto" w:fill="auto"/>
            <w:vAlign w:val="center"/>
            <w:hideMark/>
          </w:tcPr>
          <w:p w14:paraId="67AAA54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w:t>
            </w:r>
          </w:p>
        </w:tc>
        <w:tc>
          <w:tcPr>
            <w:tcW w:w="1417" w:type="dxa"/>
            <w:vMerge w:val="restart"/>
            <w:shd w:val="clear" w:color="auto" w:fill="auto"/>
            <w:vAlign w:val="center"/>
            <w:hideMark/>
          </w:tcPr>
          <w:p w14:paraId="18928EAD" w14:textId="7EEBAE80" w:rsidR="00BE5E5A" w:rsidRPr="00242AA7" w:rsidRDefault="00683AB6"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24Gy/1fr</w:t>
            </w:r>
            <w:r w:rsidRPr="00242AA7">
              <w:rPr>
                <w:rFonts w:ascii="Book Antiqua" w:eastAsia="Times New Roman" w:hAnsi="Book Antiqua" w:cs="Times New Roman"/>
                <w:lang w:val="es-ES"/>
              </w:rPr>
              <w:br/>
              <w:t>27Gy/</w:t>
            </w:r>
            <w:r w:rsidR="00BE5E5A" w:rsidRPr="00242AA7">
              <w:rPr>
                <w:rFonts w:ascii="Book Antiqua" w:eastAsia="Times New Roman" w:hAnsi="Book Antiqua" w:cs="Times New Roman"/>
                <w:lang w:val="es-ES"/>
              </w:rPr>
              <w:t>3fr</w:t>
            </w:r>
          </w:p>
        </w:tc>
        <w:tc>
          <w:tcPr>
            <w:tcW w:w="1261" w:type="dxa"/>
            <w:vMerge w:val="restart"/>
            <w:shd w:val="clear" w:color="auto" w:fill="auto"/>
            <w:vAlign w:val="center"/>
            <w:hideMark/>
          </w:tcPr>
          <w:p w14:paraId="49783114"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Median 11.5 mo</w:t>
            </w:r>
          </w:p>
        </w:tc>
        <w:tc>
          <w:tcPr>
            <w:tcW w:w="1276" w:type="dxa"/>
            <w:vMerge w:val="restart"/>
            <w:shd w:val="clear" w:color="auto" w:fill="auto"/>
            <w:vAlign w:val="center"/>
            <w:hideMark/>
          </w:tcPr>
          <w:p w14:paraId="22FFA8E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r>
      <w:tr w:rsidR="00242AA7" w:rsidRPr="00242AA7" w14:paraId="053BD3EB" w14:textId="77777777" w:rsidTr="00A744A6">
        <w:trPr>
          <w:trHeight w:val="447"/>
        </w:trPr>
        <w:tc>
          <w:tcPr>
            <w:tcW w:w="1291" w:type="dxa"/>
            <w:vMerge/>
            <w:vAlign w:val="center"/>
            <w:hideMark/>
          </w:tcPr>
          <w:p w14:paraId="7382350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653929A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5CFEE87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A291B6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60D607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5A3B70F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356A114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4126485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4B2AA4A"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2DD0A9C2" w14:textId="77777777" w:rsidTr="00A744A6">
        <w:trPr>
          <w:trHeight w:val="447"/>
        </w:trPr>
        <w:tc>
          <w:tcPr>
            <w:tcW w:w="1291" w:type="dxa"/>
            <w:vMerge w:val="restart"/>
            <w:shd w:val="clear" w:color="auto" w:fill="auto"/>
            <w:vAlign w:val="center"/>
            <w:hideMark/>
          </w:tcPr>
          <w:p w14:paraId="633D9BBC" w14:textId="24B29AAD"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Muldermans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30</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4D8C726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1119" w:type="dxa"/>
            <w:vMerge w:val="restart"/>
            <w:shd w:val="clear" w:color="auto" w:fill="auto"/>
            <w:vAlign w:val="center"/>
            <w:hideMark/>
          </w:tcPr>
          <w:p w14:paraId="200EDED3"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66/81</w:t>
            </w:r>
          </w:p>
        </w:tc>
        <w:tc>
          <w:tcPr>
            <w:tcW w:w="1007" w:type="dxa"/>
            <w:vMerge w:val="restart"/>
            <w:shd w:val="clear" w:color="auto" w:fill="auto"/>
            <w:vAlign w:val="center"/>
            <w:hideMark/>
          </w:tcPr>
          <w:p w14:paraId="7586F79A" w14:textId="19E33F5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5</w:t>
            </w:r>
          </w:p>
        </w:tc>
        <w:tc>
          <w:tcPr>
            <w:tcW w:w="1417" w:type="dxa"/>
            <w:vMerge w:val="restart"/>
            <w:shd w:val="clear" w:color="auto" w:fill="auto"/>
            <w:noWrap/>
            <w:vAlign w:val="center"/>
            <w:hideMark/>
          </w:tcPr>
          <w:p w14:paraId="55D5BC90" w14:textId="77777777"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Choline PET/CT, MRI, CT, BS</w:t>
            </w:r>
          </w:p>
        </w:tc>
        <w:tc>
          <w:tcPr>
            <w:tcW w:w="1418" w:type="dxa"/>
            <w:vMerge w:val="restart"/>
            <w:shd w:val="clear" w:color="auto" w:fill="auto"/>
            <w:vAlign w:val="center"/>
            <w:hideMark/>
          </w:tcPr>
          <w:p w14:paraId="03AFD6A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 Liver</w:t>
            </w:r>
          </w:p>
        </w:tc>
        <w:tc>
          <w:tcPr>
            <w:tcW w:w="1417" w:type="dxa"/>
            <w:vMerge w:val="restart"/>
            <w:shd w:val="clear" w:color="auto" w:fill="auto"/>
            <w:vAlign w:val="center"/>
            <w:hideMark/>
          </w:tcPr>
          <w:p w14:paraId="0BC98AB3" w14:textId="78DDA325" w:rsidR="00BE5E5A" w:rsidRPr="00242AA7" w:rsidRDefault="00BF60DB"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 xml:space="preserve">Median dose </w:t>
            </w:r>
            <w:r w:rsidR="00BE5E5A" w:rsidRPr="00242AA7">
              <w:rPr>
                <w:rFonts w:ascii="Book Antiqua" w:eastAsia="Times New Roman" w:hAnsi="Book Antiqua" w:cs="Times New Roman"/>
                <w:lang w:val="en-US"/>
              </w:rPr>
              <w:t>16Gy (16-24)/1fr</w:t>
            </w:r>
            <w:r w:rsidR="00BE5E5A" w:rsidRPr="00242AA7">
              <w:rPr>
                <w:rFonts w:ascii="Book Antiqua" w:eastAsia="Times New Roman" w:hAnsi="Book Antiqua" w:cs="Times New Roman"/>
                <w:lang w:val="en-US"/>
              </w:rPr>
              <w:br/>
              <w:t>30Gy/3fr</w:t>
            </w:r>
            <w:r w:rsidR="00BE5E5A" w:rsidRPr="00242AA7">
              <w:rPr>
                <w:rFonts w:ascii="Book Antiqua" w:eastAsia="Times New Roman" w:hAnsi="Book Antiqua" w:cs="Times New Roman"/>
                <w:lang w:val="en-US"/>
              </w:rPr>
              <w:br/>
              <w:t>50Gy/5fr</w:t>
            </w:r>
          </w:p>
        </w:tc>
        <w:tc>
          <w:tcPr>
            <w:tcW w:w="1261" w:type="dxa"/>
            <w:vMerge w:val="restart"/>
            <w:shd w:val="clear" w:color="auto" w:fill="auto"/>
            <w:vAlign w:val="center"/>
            <w:hideMark/>
          </w:tcPr>
          <w:p w14:paraId="4DDAAEF2" w14:textId="69D23B4A"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82%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59766369" w14:textId="01670FB5"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45%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43A5D48E" w14:textId="77777777" w:rsidTr="00A744A6">
        <w:trPr>
          <w:trHeight w:val="447"/>
        </w:trPr>
        <w:tc>
          <w:tcPr>
            <w:tcW w:w="1291" w:type="dxa"/>
            <w:vMerge/>
            <w:vAlign w:val="center"/>
            <w:hideMark/>
          </w:tcPr>
          <w:p w14:paraId="390D3F8F"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C4C20BF"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1F912A63"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1F13DA2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7A3E66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45C9C82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910E48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481CC14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122F8249"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C4422AE" w14:textId="77777777" w:rsidTr="00A744A6">
        <w:trPr>
          <w:trHeight w:val="447"/>
        </w:trPr>
        <w:tc>
          <w:tcPr>
            <w:tcW w:w="1291" w:type="dxa"/>
            <w:vMerge/>
            <w:vAlign w:val="center"/>
            <w:hideMark/>
          </w:tcPr>
          <w:p w14:paraId="4BD8219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3D8DFED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0B77500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7B46246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CEECFD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0A952B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AD5F80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D986F44"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BF189E6"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71AF5E44" w14:textId="77777777" w:rsidTr="00A744A6">
        <w:trPr>
          <w:trHeight w:val="447"/>
        </w:trPr>
        <w:tc>
          <w:tcPr>
            <w:tcW w:w="1291" w:type="dxa"/>
            <w:vMerge w:val="restart"/>
            <w:shd w:val="clear" w:color="auto" w:fill="auto"/>
            <w:vAlign w:val="center"/>
            <w:hideMark/>
          </w:tcPr>
          <w:p w14:paraId="3CF35D28" w14:textId="6B8D61D6"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Bouman-Wammes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[4</w:t>
            </w:r>
            <w:r w:rsidR="00C74C98">
              <w:rPr>
                <w:rFonts w:ascii="Book Antiqua" w:eastAsia="SimSun" w:hAnsi="Book Antiqua" w:cs="Times New Roman" w:hint="eastAsia"/>
                <w:vertAlign w:val="superscript"/>
                <w:lang w:val="es-ES" w:eastAsia="zh-CN"/>
              </w:rPr>
              <w:t>8</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5F49893E"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1119" w:type="dxa"/>
            <w:vMerge w:val="restart"/>
            <w:shd w:val="clear" w:color="auto" w:fill="auto"/>
            <w:vAlign w:val="center"/>
            <w:hideMark/>
          </w:tcPr>
          <w:p w14:paraId="2322F4D4"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43/54</w:t>
            </w:r>
          </w:p>
        </w:tc>
        <w:tc>
          <w:tcPr>
            <w:tcW w:w="1007" w:type="dxa"/>
            <w:vMerge w:val="restart"/>
            <w:shd w:val="clear" w:color="auto" w:fill="auto"/>
            <w:vAlign w:val="center"/>
            <w:hideMark/>
          </w:tcPr>
          <w:p w14:paraId="0F1732AC" w14:textId="3E0282F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4</w:t>
            </w:r>
          </w:p>
        </w:tc>
        <w:tc>
          <w:tcPr>
            <w:tcW w:w="1417" w:type="dxa"/>
            <w:vMerge w:val="restart"/>
            <w:shd w:val="clear" w:color="auto" w:fill="auto"/>
            <w:vAlign w:val="center"/>
            <w:hideMark/>
          </w:tcPr>
          <w:p w14:paraId="07FFB92B"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Choline PET/CT</w:t>
            </w:r>
          </w:p>
        </w:tc>
        <w:tc>
          <w:tcPr>
            <w:tcW w:w="1418" w:type="dxa"/>
            <w:vMerge w:val="restart"/>
            <w:shd w:val="clear" w:color="auto" w:fill="auto"/>
            <w:vAlign w:val="center"/>
            <w:hideMark/>
          </w:tcPr>
          <w:p w14:paraId="786F6170"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w:t>
            </w:r>
          </w:p>
        </w:tc>
        <w:tc>
          <w:tcPr>
            <w:tcW w:w="1417" w:type="dxa"/>
            <w:vMerge w:val="restart"/>
            <w:shd w:val="clear" w:color="auto" w:fill="auto"/>
            <w:vAlign w:val="center"/>
            <w:hideMark/>
          </w:tcPr>
          <w:p w14:paraId="63F9F614" w14:textId="4B201A5C"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3</w:t>
            </w:r>
            <w:r w:rsidR="0027741B" w:rsidRPr="00242AA7">
              <w:rPr>
                <w:rFonts w:ascii="Book Antiqua" w:eastAsia="Times New Roman" w:hAnsi="Book Antiqua" w:cs="Times New Roman"/>
                <w:lang w:val="en-US"/>
              </w:rPr>
              <w:t>0</w:t>
            </w:r>
            <w:r w:rsidRPr="00242AA7">
              <w:rPr>
                <w:rFonts w:ascii="Book Antiqua" w:eastAsia="Times New Roman" w:hAnsi="Book Antiqua" w:cs="Times New Roman"/>
                <w:lang w:val="en-US"/>
              </w:rPr>
              <w:t>Gy</w:t>
            </w:r>
            <w:r w:rsidR="0027741B" w:rsidRPr="00242AA7">
              <w:rPr>
                <w:rFonts w:ascii="Book Antiqua" w:eastAsia="Times New Roman" w:hAnsi="Book Antiqua" w:cs="Times New Roman"/>
                <w:lang w:val="en-US"/>
              </w:rPr>
              <w:t>/3fr</w:t>
            </w:r>
            <w:r w:rsidR="0027741B" w:rsidRPr="00242AA7">
              <w:rPr>
                <w:rFonts w:ascii="Book Antiqua" w:eastAsia="Times New Roman" w:hAnsi="Book Antiqua" w:cs="Times New Roman"/>
                <w:lang w:val="en-US"/>
              </w:rPr>
              <w:br/>
              <w:t>45</w:t>
            </w:r>
            <w:r w:rsidRPr="00242AA7">
              <w:rPr>
                <w:rFonts w:ascii="Book Antiqua" w:eastAsia="Times New Roman" w:hAnsi="Book Antiqua" w:cs="Times New Roman"/>
                <w:lang w:val="en-US"/>
              </w:rPr>
              <w:t>Gy</w:t>
            </w:r>
            <w:r w:rsidR="0027741B" w:rsidRPr="00242AA7">
              <w:rPr>
                <w:rFonts w:ascii="Book Antiqua" w:eastAsia="Times New Roman" w:hAnsi="Book Antiqua" w:cs="Times New Roman"/>
                <w:lang w:val="en-US"/>
              </w:rPr>
              <w:t>/3fr</w:t>
            </w:r>
            <w:r w:rsidR="0027741B" w:rsidRPr="00242AA7">
              <w:rPr>
                <w:rFonts w:ascii="Book Antiqua" w:eastAsia="Times New Roman" w:hAnsi="Book Antiqua" w:cs="Times New Roman"/>
                <w:lang w:val="en-US"/>
              </w:rPr>
              <w:br/>
              <w:t>35</w:t>
            </w:r>
            <w:r w:rsidRPr="00242AA7">
              <w:rPr>
                <w:rFonts w:ascii="Book Antiqua" w:eastAsia="Times New Roman" w:hAnsi="Book Antiqua" w:cs="Times New Roman"/>
                <w:lang w:val="en-US"/>
              </w:rPr>
              <w:t>Gy</w:t>
            </w:r>
            <w:r w:rsidR="0027741B" w:rsidRPr="00242AA7">
              <w:rPr>
                <w:rFonts w:ascii="Book Antiqua" w:eastAsia="Times New Roman" w:hAnsi="Book Antiqua" w:cs="Times New Roman"/>
                <w:lang w:val="en-US"/>
              </w:rPr>
              <w:t>/5fr</w:t>
            </w:r>
          </w:p>
        </w:tc>
        <w:tc>
          <w:tcPr>
            <w:tcW w:w="1261" w:type="dxa"/>
            <w:vMerge w:val="restart"/>
            <w:shd w:val="clear" w:color="auto" w:fill="auto"/>
            <w:vAlign w:val="center"/>
            <w:hideMark/>
          </w:tcPr>
          <w:p w14:paraId="076248CB" w14:textId="4D0D49E4" w:rsidR="00BE5E5A" w:rsidRPr="00242AA7" w:rsidRDefault="00F25D9B"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c>
          <w:tcPr>
            <w:tcW w:w="1276" w:type="dxa"/>
            <w:vMerge w:val="restart"/>
            <w:shd w:val="clear" w:color="auto" w:fill="auto"/>
            <w:vAlign w:val="center"/>
            <w:hideMark/>
          </w:tcPr>
          <w:p w14:paraId="608F39F5" w14:textId="2B118A3B" w:rsidR="00BE5E5A" w:rsidRPr="00242AA7" w:rsidRDefault="00677538"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Median 31.5 mo</w:t>
            </w:r>
          </w:p>
        </w:tc>
      </w:tr>
      <w:tr w:rsidR="00242AA7" w:rsidRPr="00242AA7" w14:paraId="7385FD5A" w14:textId="77777777" w:rsidTr="00A744A6">
        <w:trPr>
          <w:trHeight w:val="447"/>
        </w:trPr>
        <w:tc>
          <w:tcPr>
            <w:tcW w:w="1291" w:type="dxa"/>
            <w:vMerge/>
            <w:vAlign w:val="center"/>
            <w:hideMark/>
          </w:tcPr>
          <w:p w14:paraId="6FC056F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0D5B3D3"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1607AF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4D5B5E34"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539DB5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57A15CE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4759C6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0EFED64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16ED248"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03A5438" w14:textId="77777777" w:rsidTr="00A744A6">
        <w:trPr>
          <w:trHeight w:val="447"/>
        </w:trPr>
        <w:tc>
          <w:tcPr>
            <w:tcW w:w="1291" w:type="dxa"/>
            <w:vMerge/>
            <w:vAlign w:val="center"/>
            <w:hideMark/>
          </w:tcPr>
          <w:p w14:paraId="765566C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455578C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7B06331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37E2F54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18E8DC2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38523D2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5FFCB9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013341D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670CB77"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6C0C20F9" w14:textId="77777777" w:rsidTr="00A744A6">
        <w:trPr>
          <w:trHeight w:val="447"/>
        </w:trPr>
        <w:tc>
          <w:tcPr>
            <w:tcW w:w="1291" w:type="dxa"/>
            <w:vMerge w:val="restart"/>
            <w:shd w:val="clear" w:color="auto" w:fill="auto"/>
            <w:vAlign w:val="center"/>
            <w:hideMark/>
          </w:tcPr>
          <w:p w14:paraId="68BDD254" w14:textId="45D66D90"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Triggiani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[4</w:t>
            </w:r>
            <w:r w:rsidR="00C74C98">
              <w:rPr>
                <w:rFonts w:ascii="Book Antiqua" w:eastAsia="SimSun" w:hAnsi="Book Antiqua" w:cs="Times New Roman" w:hint="eastAsia"/>
                <w:vertAlign w:val="superscript"/>
                <w:lang w:val="es-ES" w:eastAsia="zh-CN"/>
              </w:rPr>
              <w:t>7</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553ACAE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1119" w:type="dxa"/>
            <w:vMerge w:val="restart"/>
            <w:shd w:val="clear" w:color="auto" w:fill="auto"/>
            <w:vAlign w:val="center"/>
            <w:hideMark/>
          </w:tcPr>
          <w:p w14:paraId="4B874A26" w14:textId="74F9C15C"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OR:</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100/139</w:t>
            </w:r>
            <w:r w:rsidRPr="00242AA7">
              <w:rPr>
                <w:rFonts w:ascii="Book Antiqua" w:eastAsia="Times New Roman" w:hAnsi="Book Antiqua" w:cs="Times New Roman"/>
                <w:lang w:val="es-ES"/>
              </w:rPr>
              <w:br/>
              <w:t>OP:</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41/70</w:t>
            </w:r>
          </w:p>
        </w:tc>
        <w:tc>
          <w:tcPr>
            <w:tcW w:w="1007" w:type="dxa"/>
            <w:vMerge w:val="restart"/>
            <w:shd w:val="clear" w:color="auto" w:fill="auto"/>
            <w:vAlign w:val="center"/>
            <w:hideMark/>
          </w:tcPr>
          <w:p w14:paraId="20347729" w14:textId="413969F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417" w:type="dxa"/>
            <w:vMerge w:val="restart"/>
            <w:shd w:val="clear" w:color="auto" w:fill="auto"/>
            <w:vAlign w:val="center"/>
            <w:hideMark/>
          </w:tcPr>
          <w:p w14:paraId="17CC3431" w14:textId="453684E3"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OR: Choline PET, CT and BS</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OP: Choline PET, CT/scintigraphy</w:t>
            </w:r>
          </w:p>
        </w:tc>
        <w:tc>
          <w:tcPr>
            <w:tcW w:w="1418" w:type="dxa"/>
            <w:vMerge w:val="restart"/>
            <w:shd w:val="clear" w:color="auto" w:fill="auto"/>
            <w:vAlign w:val="center"/>
            <w:hideMark/>
          </w:tcPr>
          <w:p w14:paraId="0FFAFC8B"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w:t>
            </w:r>
          </w:p>
        </w:tc>
        <w:tc>
          <w:tcPr>
            <w:tcW w:w="1417" w:type="dxa"/>
            <w:vMerge w:val="restart"/>
            <w:shd w:val="clear" w:color="auto" w:fill="auto"/>
            <w:vAlign w:val="center"/>
            <w:hideMark/>
          </w:tcPr>
          <w:p w14:paraId="2AB71193" w14:textId="2C7BD744"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BED 116 (80–216.6)</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Gy</w:t>
            </w:r>
          </w:p>
        </w:tc>
        <w:tc>
          <w:tcPr>
            <w:tcW w:w="1261" w:type="dxa"/>
            <w:vMerge w:val="restart"/>
            <w:shd w:val="clear" w:color="auto" w:fill="auto"/>
            <w:vAlign w:val="center"/>
            <w:hideMark/>
          </w:tcPr>
          <w:p w14:paraId="4C2A0D44" w14:textId="1F63B4A8"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OR: 92.8%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r w:rsidRPr="00242AA7">
              <w:rPr>
                <w:rFonts w:ascii="Book Antiqua" w:eastAsia="Times New Roman" w:hAnsi="Book Antiqua" w:cs="Times New Roman"/>
                <w:lang w:val="es-ES"/>
              </w:rPr>
              <w:br/>
              <w:t>OP: 90.2%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044BD3E1" w14:textId="019D3406"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OR:</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43%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OP:</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22%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7A4BA2AE" w14:textId="77777777" w:rsidTr="00A744A6">
        <w:trPr>
          <w:trHeight w:val="447"/>
        </w:trPr>
        <w:tc>
          <w:tcPr>
            <w:tcW w:w="1291" w:type="dxa"/>
            <w:vMerge/>
            <w:vAlign w:val="center"/>
            <w:hideMark/>
          </w:tcPr>
          <w:p w14:paraId="2859E02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AF9F19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01B6267F"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43EF742F"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44902B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FF94C6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9F571F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082233C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329165D"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BB03BAF" w14:textId="77777777" w:rsidTr="00A744A6">
        <w:trPr>
          <w:trHeight w:val="447"/>
        </w:trPr>
        <w:tc>
          <w:tcPr>
            <w:tcW w:w="1291" w:type="dxa"/>
            <w:vMerge w:val="restart"/>
            <w:shd w:val="clear" w:color="auto" w:fill="auto"/>
            <w:vAlign w:val="center"/>
            <w:hideMark/>
          </w:tcPr>
          <w:p w14:paraId="42ACF68E" w14:textId="63AD40B0"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Pasqualetti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[4</w:t>
            </w:r>
            <w:r w:rsidR="00C74C98">
              <w:rPr>
                <w:rFonts w:ascii="Book Antiqua" w:eastAsia="SimSun" w:hAnsi="Book Antiqua" w:cs="Times New Roman" w:hint="eastAsia"/>
                <w:vertAlign w:val="superscript"/>
                <w:lang w:val="es-ES" w:eastAsia="zh-CN"/>
              </w:rPr>
              <w:t>6</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07B7D7B"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1C898DA2"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51/78</w:t>
            </w:r>
          </w:p>
        </w:tc>
        <w:tc>
          <w:tcPr>
            <w:tcW w:w="1007" w:type="dxa"/>
            <w:vMerge w:val="restart"/>
            <w:shd w:val="clear" w:color="auto" w:fill="auto"/>
            <w:vAlign w:val="center"/>
            <w:hideMark/>
          </w:tcPr>
          <w:p w14:paraId="640B514C" w14:textId="06E17FC2"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5</w:t>
            </w:r>
          </w:p>
        </w:tc>
        <w:tc>
          <w:tcPr>
            <w:tcW w:w="1417" w:type="dxa"/>
            <w:vMerge w:val="restart"/>
            <w:shd w:val="clear" w:color="auto" w:fill="auto"/>
            <w:vAlign w:val="center"/>
            <w:hideMark/>
          </w:tcPr>
          <w:p w14:paraId="213AC6F6"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Choline PET/CT</w:t>
            </w:r>
          </w:p>
        </w:tc>
        <w:tc>
          <w:tcPr>
            <w:tcW w:w="1418" w:type="dxa"/>
            <w:vMerge w:val="restart"/>
            <w:shd w:val="clear" w:color="auto" w:fill="auto"/>
            <w:vAlign w:val="center"/>
            <w:hideMark/>
          </w:tcPr>
          <w:p w14:paraId="66EF8E34"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w:t>
            </w:r>
          </w:p>
        </w:tc>
        <w:tc>
          <w:tcPr>
            <w:tcW w:w="1417" w:type="dxa"/>
            <w:vMerge w:val="restart"/>
            <w:shd w:val="clear" w:color="auto" w:fill="auto"/>
            <w:vAlign w:val="center"/>
            <w:hideMark/>
          </w:tcPr>
          <w:p w14:paraId="0F2F3BA2"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24Gy/1fr</w:t>
            </w:r>
            <w:r w:rsidRPr="00242AA7">
              <w:rPr>
                <w:rFonts w:ascii="Book Antiqua" w:eastAsia="Times New Roman" w:hAnsi="Book Antiqua" w:cs="Times New Roman"/>
                <w:lang w:val="es-ES"/>
              </w:rPr>
              <w:br/>
              <w:t>27Gy/3fr</w:t>
            </w:r>
          </w:p>
        </w:tc>
        <w:tc>
          <w:tcPr>
            <w:tcW w:w="1261" w:type="dxa"/>
            <w:vMerge w:val="restart"/>
            <w:shd w:val="clear" w:color="auto" w:fill="auto"/>
            <w:vAlign w:val="center"/>
            <w:hideMark/>
          </w:tcPr>
          <w:p w14:paraId="220F680E" w14:textId="4EB0DE38"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98.7%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97.4%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4417AF63" w14:textId="52C5DE8D" w:rsidR="00BE5E5A" w:rsidRPr="00242AA7" w:rsidRDefault="00677538"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r>
      <w:tr w:rsidR="00242AA7" w:rsidRPr="00242AA7" w14:paraId="61DADAEF" w14:textId="77777777" w:rsidTr="00A744A6">
        <w:trPr>
          <w:trHeight w:val="447"/>
        </w:trPr>
        <w:tc>
          <w:tcPr>
            <w:tcW w:w="1291" w:type="dxa"/>
            <w:vMerge/>
            <w:vAlign w:val="center"/>
            <w:hideMark/>
          </w:tcPr>
          <w:p w14:paraId="12EE96C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661BCB0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5347B65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012BCED4"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8AA419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06A39FB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E321A1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3208D5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42DAE047"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22C07410" w14:textId="77777777" w:rsidTr="00A744A6">
        <w:trPr>
          <w:trHeight w:val="447"/>
        </w:trPr>
        <w:tc>
          <w:tcPr>
            <w:tcW w:w="1291" w:type="dxa"/>
            <w:vMerge w:val="restart"/>
            <w:shd w:val="clear" w:color="auto" w:fill="auto"/>
            <w:vAlign w:val="center"/>
            <w:hideMark/>
          </w:tcPr>
          <w:p w14:paraId="240DE62E" w14:textId="4A585CAC"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Ost </w:t>
            </w:r>
            <w:r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[20]</w:t>
            </w:r>
            <w:r w:rsidRPr="00242AA7">
              <w:rPr>
                <w:rFonts w:ascii="Book Antiqua" w:eastAsia="Times New Roman" w:hAnsi="Book Antiqua" w:cs="Times New Roman"/>
                <w:lang w:val="es-ES"/>
              </w:rPr>
              <w:t xml:space="preserve"> (STOMP)</w:t>
            </w:r>
          </w:p>
        </w:tc>
        <w:tc>
          <w:tcPr>
            <w:tcW w:w="851" w:type="dxa"/>
            <w:vMerge w:val="restart"/>
            <w:shd w:val="clear" w:color="auto" w:fill="auto"/>
            <w:vAlign w:val="center"/>
            <w:hideMark/>
          </w:tcPr>
          <w:p w14:paraId="4444470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0A64D878" w14:textId="0EE051D1"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Surveillance: 31/65</w:t>
            </w:r>
            <w:r w:rsidRPr="00242AA7">
              <w:rPr>
                <w:rFonts w:ascii="Book Antiqua" w:eastAsia="Times New Roman" w:hAnsi="Book Antiqua" w:cs="Times New Roman"/>
                <w:lang w:val="es-ES"/>
              </w:rPr>
              <w:br/>
              <w:t>MDT: 31/51</w:t>
            </w:r>
          </w:p>
        </w:tc>
        <w:tc>
          <w:tcPr>
            <w:tcW w:w="1007" w:type="dxa"/>
            <w:vMerge w:val="restart"/>
            <w:shd w:val="clear" w:color="auto" w:fill="auto"/>
            <w:vAlign w:val="center"/>
            <w:hideMark/>
          </w:tcPr>
          <w:p w14:paraId="59D124AC" w14:textId="7249F1B4"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417" w:type="dxa"/>
            <w:vMerge w:val="restart"/>
            <w:shd w:val="clear" w:color="auto" w:fill="auto"/>
            <w:vAlign w:val="center"/>
            <w:hideMark/>
          </w:tcPr>
          <w:p w14:paraId="4778B359" w14:textId="4F9A54D4"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Choline PET/CT</w:t>
            </w:r>
          </w:p>
        </w:tc>
        <w:tc>
          <w:tcPr>
            <w:tcW w:w="1418" w:type="dxa"/>
            <w:vMerge w:val="restart"/>
            <w:shd w:val="clear" w:color="auto" w:fill="auto"/>
            <w:vAlign w:val="center"/>
            <w:hideMark/>
          </w:tcPr>
          <w:p w14:paraId="7C85478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Extracranial</w:t>
            </w:r>
          </w:p>
        </w:tc>
        <w:tc>
          <w:tcPr>
            <w:tcW w:w="1417" w:type="dxa"/>
            <w:vMerge w:val="restart"/>
            <w:shd w:val="clear" w:color="auto" w:fill="auto"/>
            <w:vAlign w:val="center"/>
            <w:hideMark/>
          </w:tcPr>
          <w:p w14:paraId="20150877" w14:textId="19983413" w:rsidR="00BE5E5A" w:rsidRPr="00242AA7" w:rsidRDefault="00C74C98" w:rsidP="00242AA7">
            <w:pPr>
              <w:spacing w:line="360" w:lineRule="auto"/>
              <w:jc w:val="both"/>
              <w:rPr>
                <w:rFonts w:ascii="Book Antiqua" w:eastAsia="Times New Roman" w:hAnsi="Book Antiqua" w:cs="Times New Roman"/>
                <w:lang w:val="es-ES"/>
              </w:rPr>
            </w:pPr>
            <w:r w:rsidRPr="00C74C98">
              <w:rPr>
                <w:rFonts w:ascii="Book Antiqua" w:eastAsia="Times New Roman" w:hAnsi="Book Antiqua" w:cs="Times New Roman"/>
                <w:i/>
                <w:lang w:val="es-ES"/>
              </w:rPr>
              <w:t>N</w:t>
            </w:r>
            <w:r>
              <w:rPr>
                <w:rFonts w:ascii="Book Antiqua" w:eastAsia="SimSun" w:hAnsi="Book Antiqua" w:cs="Times New Roman" w:hint="eastAsia"/>
                <w:lang w:val="es-ES" w:eastAsia="zh-CN"/>
              </w:rPr>
              <w:t xml:space="preserve"> </w:t>
            </w:r>
            <w:r w:rsidR="00BE5E5A" w:rsidRPr="00242AA7">
              <w:rPr>
                <w:rFonts w:ascii="Book Antiqua" w:eastAsia="Times New Roman" w:hAnsi="Book Antiqua" w:cs="Times New Roman"/>
                <w:lang w:val="es-ES"/>
              </w:rPr>
              <w:t>=</w:t>
            </w:r>
            <w:r>
              <w:rPr>
                <w:rFonts w:ascii="Book Antiqua" w:eastAsia="SimSun" w:hAnsi="Book Antiqua" w:cs="Times New Roman" w:hint="eastAsia"/>
                <w:lang w:val="es-ES" w:eastAsia="zh-CN"/>
              </w:rPr>
              <w:t xml:space="preserve"> </w:t>
            </w:r>
            <w:r w:rsidR="00BE5E5A" w:rsidRPr="00242AA7">
              <w:rPr>
                <w:rFonts w:ascii="Book Antiqua" w:eastAsia="Times New Roman" w:hAnsi="Book Antiqua" w:cs="Times New Roman"/>
                <w:lang w:val="es-ES"/>
              </w:rPr>
              <w:t>25 SBRT 30Gy/3fr</w:t>
            </w:r>
          </w:p>
        </w:tc>
        <w:tc>
          <w:tcPr>
            <w:tcW w:w="1261" w:type="dxa"/>
            <w:vMerge w:val="restart"/>
            <w:shd w:val="clear" w:color="auto" w:fill="auto"/>
            <w:vAlign w:val="center"/>
            <w:hideMark/>
          </w:tcPr>
          <w:p w14:paraId="61F28695" w14:textId="0333DCB3" w:rsidR="00BE5E5A" w:rsidRPr="00C74C98"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Median FU (3</w:t>
            </w:r>
            <w:r w:rsidR="00C74C98">
              <w:rPr>
                <w:rFonts w:ascii="Book Antiqua" w:eastAsia="SimSun" w:hAnsi="Book Antiqua" w:cs="Times New Roman" w:hint="eastAsia"/>
                <w:lang w:val="en-US" w:eastAsia="zh-CN"/>
              </w:rPr>
              <w:t xml:space="preserve"> </w:t>
            </w:r>
            <w:r w:rsidRPr="00242AA7">
              <w:rPr>
                <w:rFonts w:ascii="Book Antiqua" w:eastAsia="Times New Roman" w:hAnsi="Book Antiqua" w:cs="Times New Roman"/>
                <w:lang w:val="en-US"/>
              </w:rPr>
              <w:t>y</w:t>
            </w:r>
            <w:r w:rsidR="0005098C" w:rsidRPr="00242AA7">
              <w:rPr>
                <w:rFonts w:ascii="Book Antiqua" w:eastAsia="Times New Roman" w:hAnsi="Book Antiqua" w:cs="Times New Roman"/>
                <w:lang w:val="en-US"/>
              </w:rPr>
              <w:t>r</w:t>
            </w:r>
            <w:r w:rsidRPr="00242AA7">
              <w:rPr>
                <w:rFonts w:ascii="Book Antiqua" w:eastAsia="Times New Roman" w:hAnsi="Book Antiqua" w:cs="Times New Roman"/>
                <w:lang w:val="en-US"/>
              </w:rPr>
              <w:t>)</w:t>
            </w:r>
            <w:r w:rsidRPr="00242AA7">
              <w:rPr>
                <w:rFonts w:ascii="Book Antiqua" w:eastAsia="Times New Roman" w:hAnsi="Book Antiqua" w:cs="Times New Roman"/>
                <w:lang w:val="en-US"/>
              </w:rPr>
              <w:br/>
              <w:t xml:space="preserve">MDT: 100% </w:t>
            </w:r>
            <w:r w:rsidRPr="00242AA7">
              <w:rPr>
                <w:rFonts w:ascii="Book Antiqua" w:eastAsia="Times New Roman" w:hAnsi="Book Antiqua" w:cs="Times New Roman"/>
                <w:lang w:val="en-US"/>
              </w:rPr>
              <w:br/>
              <w:t>Surveillance:</w:t>
            </w:r>
            <w:r w:rsidR="00C74C98">
              <w:rPr>
                <w:rFonts w:ascii="Book Antiqua" w:eastAsia="SimSun" w:hAnsi="Book Antiqua" w:cs="Times New Roman" w:hint="eastAsia"/>
                <w:lang w:val="en-US" w:eastAsia="zh-CN"/>
              </w:rPr>
              <w:t xml:space="preserve"> </w:t>
            </w:r>
            <w:r w:rsidRPr="00242AA7">
              <w:rPr>
                <w:rFonts w:ascii="Book Antiqua" w:eastAsia="Times New Roman" w:hAnsi="Book Antiqua" w:cs="Times New Roman"/>
                <w:lang w:val="es-ES"/>
              </w:rPr>
              <w:t>19.3%</w:t>
            </w:r>
          </w:p>
        </w:tc>
        <w:tc>
          <w:tcPr>
            <w:tcW w:w="1276" w:type="dxa"/>
            <w:vMerge w:val="restart"/>
            <w:shd w:val="clear" w:color="auto" w:fill="auto"/>
            <w:vAlign w:val="center"/>
            <w:hideMark/>
          </w:tcPr>
          <w:p w14:paraId="3021FBAA" w14:textId="099CC543" w:rsidR="00BE5E5A" w:rsidRPr="00242AA7" w:rsidRDefault="008B181B"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r>
      <w:tr w:rsidR="00242AA7" w:rsidRPr="00242AA7" w14:paraId="6B0B772E" w14:textId="77777777" w:rsidTr="00A744A6">
        <w:trPr>
          <w:trHeight w:val="447"/>
        </w:trPr>
        <w:tc>
          <w:tcPr>
            <w:tcW w:w="1291" w:type="dxa"/>
            <w:vMerge/>
            <w:vAlign w:val="center"/>
            <w:hideMark/>
          </w:tcPr>
          <w:p w14:paraId="4C31525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1B30CD3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3A3D894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5C7470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8FC84C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7A7F7B3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7A70FE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F18DA0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770BCE4"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97A6721" w14:textId="77777777" w:rsidTr="00A744A6">
        <w:trPr>
          <w:trHeight w:val="447"/>
        </w:trPr>
        <w:tc>
          <w:tcPr>
            <w:tcW w:w="1291" w:type="dxa"/>
            <w:vMerge/>
            <w:vAlign w:val="center"/>
            <w:hideMark/>
          </w:tcPr>
          <w:p w14:paraId="31E7FF5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C3ABDF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4956F2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53D662F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29F8D3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DF9A85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DBBC2E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7312C0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3473CC89"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7D8F95FA" w14:textId="77777777" w:rsidTr="00A744A6">
        <w:trPr>
          <w:trHeight w:val="447"/>
        </w:trPr>
        <w:tc>
          <w:tcPr>
            <w:tcW w:w="1291" w:type="dxa"/>
            <w:vMerge w:val="restart"/>
            <w:shd w:val="clear" w:color="auto" w:fill="auto"/>
            <w:vAlign w:val="center"/>
            <w:hideMark/>
          </w:tcPr>
          <w:p w14:paraId="47D34224" w14:textId="49C56643" w:rsidR="00BE5E5A" w:rsidRPr="00242AA7" w:rsidRDefault="006A2B56"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Si</w:t>
            </w:r>
            <w:r w:rsidR="005C2368" w:rsidRPr="00242AA7">
              <w:rPr>
                <w:rFonts w:ascii="Book Antiqua" w:eastAsia="Times New Roman" w:hAnsi="Book Antiqua" w:cs="Times New Roman"/>
                <w:lang w:val="es-ES"/>
              </w:rPr>
              <w:t xml:space="preserve">va </w:t>
            </w:r>
            <w:r w:rsidR="005C236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[26]</w:t>
            </w:r>
            <w:r w:rsidR="005C2368" w:rsidRPr="00242AA7">
              <w:rPr>
                <w:rFonts w:ascii="Book Antiqua" w:eastAsia="Times New Roman" w:hAnsi="Book Antiqua" w:cs="Times New Roman"/>
                <w:lang w:val="es-ES"/>
              </w:rPr>
              <w:t xml:space="preserve"> (POPSTART)</w:t>
            </w:r>
            <w:r w:rsidR="00BE5E5A" w:rsidRPr="00242AA7">
              <w:rPr>
                <w:rFonts w:ascii="Book Antiqua" w:eastAsia="Times New Roman" w:hAnsi="Book Antiqua" w:cs="Times New Roman"/>
                <w:lang w:val="es-ES"/>
              </w:rPr>
              <w:t xml:space="preserve"> </w:t>
            </w:r>
          </w:p>
        </w:tc>
        <w:tc>
          <w:tcPr>
            <w:tcW w:w="851" w:type="dxa"/>
            <w:vMerge w:val="restart"/>
            <w:shd w:val="clear" w:color="auto" w:fill="auto"/>
            <w:vAlign w:val="center"/>
            <w:hideMark/>
          </w:tcPr>
          <w:p w14:paraId="0E9D412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41D992D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33 /50</w:t>
            </w:r>
          </w:p>
        </w:tc>
        <w:tc>
          <w:tcPr>
            <w:tcW w:w="1007" w:type="dxa"/>
            <w:vMerge w:val="restart"/>
            <w:shd w:val="clear" w:color="auto" w:fill="auto"/>
            <w:vAlign w:val="center"/>
            <w:hideMark/>
          </w:tcPr>
          <w:p w14:paraId="52E23C5C" w14:textId="77A66E3B"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417" w:type="dxa"/>
            <w:vMerge w:val="restart"/>
            <w:shd w:val="clear" w:color="auto" w:fill="auto"/>
            <w:vAlign w:val="center"/>
            <w:hideMark/>
          </w:tcPr>
          <w:p w14:paraId="4C32667E" w14:textId="106AC6B1"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CT/BS /</w:t>
            </w:r>
            <w:r w:rsidR="00581433" w:rsidRPr="00242AA7">
              <w:rPr>
                <w:rFonts w:ascii="Book Antiqua" w:eastAsia="Times New Roman" w:hAnsi="Book Antiqua" w:cs="Times New Roman"/>
                <w:lang w:val="en-US"/>
              </w:rPr>
              <w:t>18F-</w:t>
            </w:r>
            <w:r w:rsidRPr="00242AA7">
              <w:rPr>
                <w:rFonts w:ascii="Book Antiqua" w:eastAsia="Times New Roman" w:hAnsi="Book Antiqua" w:cs="Times New Roman"/>
                <w:lang w:val="en-US"/>
              </w:rPr>
              <w:t>NaF PET</w:t>
            </w:r>
          </w:p>
        </w:tc>
        <w:tc>
          <w:tcPr>
            <w:tcW w:w="1418" w:type="dxa"/>
            <w:vMerge w:val="restart"/>
            <w:shd w:val="clear" w:color="auto" w:fill="auto"/>
            <w:vAlign w:val="center"/>
            <w:hideMark/>
          </w:tcPr>
          <w:p w14:paraId="4492DE2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w:t>
            </w:r>
          </w:p>
        </w:tc>
        <w:tc>
          <w:tcPr>
            <w:tcW w:w="1417" w:type="dxa"/>
            <w:vMerge w:val="restart"/>
            <w:shd w:val="clear" w:color="auto" w:fill="auto"/>
            <w:vAlign w:val="center"/>
            <w:hideMark/>
          </w:tcPr>
          <w:p w14:paraId="5160FA4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20Gy/1fr</w:t>
            </w:r>
          </w:p>
        </w:tc>
        <w:tc>
          <w:tcPr>
            <w:tcW w:w="1261" w:type="dxa"/>
            <w:vMerge w:val="restart"/>
            <w:shd w:val="clear" w:color="auto" w:fill="auto"/>
            <w:vAlign w:val="center"/>
            <w:hideMark/>
          </w:tcPr>
          <w:p w14:paraId="106E1830" w14:textId="131167D6"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97%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93%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05098C"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6AA2AB39" w14:textId="4A48C625"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58%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39%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70D5AAC4" w14:textId="77777777" w:rsidTr="00A744A6">
        <w:trPr>
          <w:trHeight w:val="447"/>
        </w:trPr>
        <w:tc>
          <w:tcPr>
            <w:tcW w:w="1291" w:type="dxa"/>
            <w:vMerge/>
            <w:vAlign w:val="center"/>
            <w:hideMark/>
          </w:tcPr>
          <w:p w14:paraId="087983B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38BEF2E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10793F3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167AFCC5"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73FD89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376546E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35E56F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153B71B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4872CFD"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327265AE" w14:textId="77777777" w:rsidTr="00A744A6">
        <w:trPr>
          <w:trHeight w:val="447"/>
        </w:trPr>
        <w:tc>
          <w:tcPr>
            <w:tcW w:w="1291" w:type="dxa"/>
            <w:vMerge w:val="restart"/>
            <w:shd w:val="clear" w:color="auto" w:fill="auto"/>
            <w:vAlign w:val="center"/>
            <w:hideMark/>
          </w:tcPr>
          <w:p w14:paraId="50051EA2" w14:textId="33A2E66F"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Conde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5</w:t>
            </w:r>
            <w:r w:rsidR="00C74C98" w:rsidRPr="00242AA7">
              <w:rPr>
                <w:rFonts w:ascii="Book Antiqua" w:eastAsia="Times New Roman" w:hAnsi="Book Antiqua" w:cs="Times New Roman"/>
                <w:vertAlign w:val="superscript"/>
                <w:lang w:val="es-ES"/>
              </w:rPr>
              <w:t>0]</w:t>
            </w:r>
          </w:p>
        </w:tc>
        <w:tc>
          <w:tcPr>
            <w:tcW w:w="851" w:type="dxa"/>
            <w:vMerge w:val="restart"/>
            <w:shd w:val="clear" w:color="auto" w:fill="auto"/>
            <w:vAlign w:val="center"/>
            <w:hideMark/>
          </w:tcPr>
          <w:p w14:paraId="6F750963"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77F60150"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67 (100)</w:t>
            </w:r>
          </w:p>
        </w:tc>
        <w:tc>
          <w:tcPr>
            <w:tcW w:w="1007" w:type="dxa"/>
            <w:vMerge w:val="restart"/>
            <w:shd w:val="clear" w:color="auto" w:fill="auto"/>
            <w:vAlign w:val="center"/>
            <w:hideMark/>
          </w:tcPr>
          <w:p w14:paraId="339D5F10" w14:textId="64E656F3"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4</w:t>
            </w:r>
          </w:p>
        </w:tc>
        <w:tc>
          <w:tcPr>
            <w:tcW w:w="1417" w:type="dxa"/>
            <w:vMerge w:val="restart"/>
            <w:shd w:val="clear" w:color="auto" w:fill="auto"/>
            <w:vAlign w:val="center"/>
            <w:hideMark/>
          </w:tcPr>
          <w:p w14:paraId="3754AC2D" w14:textId="77777777"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Choline PET/CT, NMR Diffusion</w:t>
            </w:r>
          </w:p>
        </w:tc>
        <w:tc>
          <w:tcPr>
            <w:tcW w:w="1418" w:type="dxa"/>
            <w:vMerge w:val="restart"/>
            <w:shd w:val="clear" w:color="auto" w:fill="auto"/>
            <w:vAlign w:val="center"/>
            <w:hideMark/>
          </w:tcPr>
          <w:p w14:paraId="465DF923"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LN</w:t>
            </w:r>
          </w:p>
        </w:tc>
        <w:tc>
          <w:tcPr>
            <w:tcW w:w="1417" w:type="dxa"/>
            <w:vMerge w:val="restart"/>
            <w:shd w:val="clear" w:color="auto" w:fill="auto"/>
            <w:vAlign w:val="center"/>
            <w:hideMark/>
          </w:tcPr>
          <w:p w14:paraId="1E2B95CC" w14:textId="13831382" w:rsidR="00BE5E5A" w:rsidRPr="00242AA7" w:rsidRDefault="005C393B"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45</w:t>
            </w:r>
            <w:r w:rsidR="00C37B59" w:rsidRPr="00242AA7">
              <w:rPr>
                <w:rFonts w:ascii="Book Antiqua" w:eastAsia="Times New Roman" w:hAnsi="Book Antiqua" w:cs="Times New Roman"/>
                <w:lang w:val="es-ES"/>
              </w:rPr>
              <w:t>Gy</w:t>
            </w:r>
            <w:r w:rsidRPr="00242AA7">
              <w:rPr>
                <w:rFonts w:ascii="Book Antiqua" w:eastAsia="Times New Roman" w:hAnsi="Book Antiqua" w:cs="Times New Roman"/>
                <w:lang w:val="es-ES"/>
              </w:rPr>
              <w:t>/6fr</w:t>
            </w:r>
            <w:r w:rsidR="00C37B59" w:rsidRPr="00242AA7">
              <w:rPr>
                <w:rFonts w:ascii="Book Antiqua" w:eastAsia="Times New Roman" w:hAnsi="Book Antiqua" w:cs="Times New Roman"/>
                <w:lang w:val="es-ES"/>
              </w:rPr>
              <w:br/>
              <w:t>30</w:t>
            </w:r>
            <w:r w:rsidR="00BE5E5A" w:rsidRPr="00242AA7">
              <w:rPr>
                <w:rFonts w:ascii="Book Antiqua" w:eastAsia="Times New Roman" w:hAnsi="Book Antiqua" w:cs="Times New Roman"/>
                <w:lang w:val="es-ES"/>
              </w:rPr>
              <w:t>Gy</w:t>
            </w:r>
            <w:r w:rsidR="00C37B59" w:rsidRPr="00242AA7">
              <w:rPr>
                <w:rFonts w:ascii="Book Antiqua" w:eastAsia="Times New Roman" w:hAnsi="Book Antiqua" w:cs="Times New Roman"/>
                <w:lang w:val="es-ES"/>
              </w:rPr>
              <w:t>/3fr</w:t>
            </w:r>
          </w:p>
        </w:tc>
        <w:tc>
          <w:tcPr>
            <w:tcW w:w="1261" w:type="dxa"/>
            <w:vMerge w:val="restart"/>
            <w:shd w:val="clear" w:color="auto" w:fill="auto"/>
            <w:vAlign w:val="center"/>
            <w:hideMark/>
          </w:tcPr>
          <w:p w14:paraId="091E8409"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100% (Median FU 9 mo)</w:t>
            </w:r>
          </w:p>
        </w:tc>
        <w:tc>
          <w:tcPr>
            <w:tcW w:w="1276" w:type="dxa"/>
            <w:vMerge w:val="restart"/>
            <w:shd w:val="clear" w:color="auto" w:fill="auto"/>
            <w:vAlign w:val="center"/>
            <w:hideMark/>
          </w:tcPr>
          <w:p w14:paraId="72BC0756"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Median 21 mo</w:t>
            </w:r>
            <w:r w:rsidRPr="00242AA7">
              <w:rPr>
                <w:rFonts w:ascii="Book Antiqua" w:eastAsia="Times New Roman" w:hAnsi="Book Antiqua" w:cs="Times New Roman"/>
                <w:lang w:val="es-ES"/>
              </w:rPr>
              <w:br/>
              <w:t>OR: 22.9 mo</w:t>
            </w:r>
            <w:r w:rsidRPr="00242AA7">
              <w:rPr>
                <w:rFonts w:ascii="Book Antiqua" w:eastAsia="Times New Roman" w:hAnsi="Book Antiqua" w:cs="Times New Roman"/>
                <w:lang w:val="es-ES"/>
              </w:rPr>
              <w:br/>
              <w:t>OP: 8.7 mo</w:t>
            </w:r>
          </w:p>
        </w:tc>
      </w:tr>
      <w:tr w:rsidR="00242AA7" w:rsidRPr="00242AA7" w14:paraId="1B58B8D4" w14:textId="77777777" w:rsidTr="00A744A6">
        <w:trPr>
          <w:trHeight w:val="447"/>
        </w:trPr>
        <w:tc>
          <w:tcPr>
            <w:tcW w:w="1291" w:type="dxa"/>
            <w:vMerge/>
            <w:vAlign w:val="center"/>
            <w:hideMark/>
          </w:tcPr>
          <w:p w14:paraId="69B38C5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81CC8E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73549FE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10868A0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1469073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C47251F"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067E310"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5C7EBD9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053D4A51"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0E7F0D94" w14:textId="77777777" w:rsidTr="00A744A6">
        <w:trPr>
          <w:trHeight w:val="447"/>
        </w:trPr>
        <w:tc>
          <w:tcPr>
            <w:tcW w:w="1291" w:type="dxa"/>
            <w:vMerge/>
            <w:vAlign w:val="center"/>
            <w:hideMark/>
          </w:tcPr>
          <w:p w14:paraId="35B767B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5812DB5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675FFE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57E75CE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61E483F4"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16A706A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0B6F46F"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5CC0FE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08AF8FF"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47A4E1AC" w14:textId="77777777" w:rsidTr="00A744A6">
        <w:trPr>
          <w:trHeight w:val="300"/>
        </w:trPr>
        <w:tc>
          <w:tcPr>
            <w:tcW w:w="1291" w:type="dxa"/>
            <w:shd w:val="clear" w:color="000000" w:fill="F2F2F2"/>
            <w:vAlign w:val="center"/>
            <w:hideMark/>
          </w:tcPr>
          <w:p w14:paraId="3B38B06C"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lastRenderedPageBreak/>
              <w:t xml:space="preserve"> Bone</w:t>
            </w:r>
          </w:p>
        </w:tc>
        <w:tc>
          <w:tcPr>
            <w:tcW w:w="851" w:type="dxa"/>
            <w:shd w:val="clear" w:color="000000" w:fill="F2F2F2"/>
            <w:vAlign w:val="center"/>
            <w:hideMark/>
          </w:tcPr>
          <w:p w14:paraId="08D4E7EB"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119" w:type="dxa"/>
            <w:shd w:val="clear" w:color="000000" w:fill="F2F2F2"/>
            <w:vAlign w:val="center"/>
            <w:hideMark/>
          </w:tcPr>
          <w:p w14:paraId="6AD1DD30"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007" w:type="dxa"/>
            <w:shd w:val="clear" w:color="000000" w:fill="F2F2F2"/>
            <w:vAlign w:val="center"/>
            <w:hideMark/>
          </w:tcPr>
          <w:p w14:paraId="101F6AD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417" w:type="dxa"/>
            <w:shd w:val="clear" w:color="000000" w:fill="F2F2F2"/>
            <w:vAlign w:val="center"/>
            <w:hideMark/>
          </w:tcPr>
          <w:p w14:paraId="2052328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418" w:type="dxa"/>
            <w:shd w:val="clear" w:color="000000" w:fill="F2F2F2"/>
            <w:vAlign w:val="center"/>
            <w:hideMark/>
          </w:tcPr>
          <w:p w14:paraId="0C69A4B7"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417" w:type="dxa"/>
            <w:shd w:val="clear" w:color="000000" w:fill="F2F2F2"/>
            <w:vAlign w:val="center"/>
            <w:hideMark/>
          </w:tcPr>
          <w:p w14:paraId="4BE0A605"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261" w:type="dxa"/>
            <w:shd w:val="clear" w:color="000000" w:fill="F2F2F2"/>
            <w:vAlign w:val="center"/>
            <w:hideMark/>
          </w:tcPr>
          <w:p w14:paraId="044DE7BC"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276" w:type="dxa"/>
            <w:shd w:val="clear" w:color="000000" w:fill="F2F2F2"/>
            <w:vAlign w:val="center"/>
            <w:hideMark/>
          </w:tcPr>
          <w:p w14:paraId="3BBFC993"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r>
      <w:tr w:rsidR="00242AA7" w:rsidRPr="00242AA7" w14:paraId="0632E4B5" w14:textId="77777777" w:rsidTr="00A744A6">
        <w:trPr>
          <w:trHeight w:val="447"/>
        </w:trPr>
        <w:tc>
          <w:tcPr>
            <w:tcW w:w="1291" w:type="dxa"/>
            <w:vMerge w:val="restart"/>
            <w:shd w:val="clear" w:color="auto" w:fill="auto"/>
            <w:vAlign w:val="center"/>
            <w:hideMark/>
          </w:tcPr>
          <w:p w14:paraId="1B725216" w14:textId="297E1F91"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Muacevic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31</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BC3DE3A"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w:t>
            </w:r>
          </w:p>
        </w:tc>
        <w:tc>
          <w:tcPr>
            <w:tcW w:w="1119" w:type="dxa"/>
            <w:vMerge w:val="restart"/>
            <w:shd w:val="clear" w:color="auto" w:fill="auto"/>
            <w:vAlign w:val="center"/>
            <w:hideMark/>
          </w:tcPr>
          <w:p w14:paraId="74310E7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40/64</w:t>
            </w:r>
          </w:p>
        </w:tc>
        <w:tc>
          <w:tcPr>
            <w:tcW w:w="1007" w:type="dxa"/>
            <w:vMerge w:val="restart"/>
            <w:shd w:val="clear" w:color="auto" w:fill="auto"/>
            <w:vAlign w:val="center"/>
            <w:hideMark/>
          </w:tcPr>
          <w:p w14:paraId="1903E7CF" w14:textId="73A29C7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2</w:t>
            </w:r>
          </w:p>
        </w:tc>
        <w:tc>
          <w:tcPr>
            <w:tcW w:w="1417" w:type="dxa"/>
            <w:vMerge w:val="restart"/>
            <w:shd w:val="clear" w:color="auto" w:fill="auto"/>
            <w:vAlign w:val="center"/>
            <w:hideMark/>
          </w:tcPr>
          <w:p w14:paraId="45E0B343"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Choline PET/CT</w:t>
            </w:r>
          </w:p>
        </w:tc>
        <w:tc>
          <w:tcPr>
            <w:tcW w:w="1418" w:type="dxa"/>
            <w:vMerge w:val="restart"/>
            <w:shd w:val="clear" w:color="auto" w:fill="auto"/>
            <w:vAlign w:val="center"/>
            <w:hideMark/>
          </w:tcPr>
          <w:p w14:paraId="5849DA9E"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w:t>
            </w:r>
          </w:p>
        </w:tc>
        <w:tc>
          <w:tcPr>
            <w:tcW w:w="1417" w:type="dxa"/>
            <w:vMerge w:val="restart"/>
            <w:shd w:val="clear" w:color="auto" w:fill="auto"/>
            <w:vAlign w:val="center"/>
            <w:hideMark/>
          </w:tcPr>
          <w:p w14:paraId="2454D1F7" w14:textId="77777777"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Mean dose 20.2Gy (16.5-22 Gy)/1fr</w:t>
            </w:r>
          </w:p>
        </w:tc>
        <w:tc>
          <w:tcPr>
            <w:tcW w:w="1261" w:type="dxa"/>
            <w:vMerge w:val="restart"/>
            <w:shd w:val="clear" w:color="auto" w:fill="auto"/>
            <w:vAlign w:val="center"/>
            <w:hideMark/>
          </w:tcPr>
          <w:p w14:paraId="6507C027" w14:textId="405A5D0C"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95.5%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756386A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r>
      <w:tr w:rsidR="00242AA7" w:rsidRPr="00242AA7" w14:paraId="1B1897A7" w14:textId="77777777" w:rsidTr="00A744A6">
        <w:trPr>
          <w:trHeight w:val="447"/>
        </w:trPr>
        <w:tc>
          <w:tcPr>
            <w:tcW w:w="1291" w:type="dxa"/>
            <w:vMerge/>
            <w:vAlign w:val="center"/>
            <w:hideMark/>
          </w:tcPr>
          <w:p w14:paraId="697CB46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70223D5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6C9835F4"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265ABB84"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01D883C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6A4363EB"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365D224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2DF93B4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4D644785"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9969BF5" w14:textId="77777777" w:rsidTr="00A744A6">
        <w:trPr>
          <w:trHeight w:val="447"/>
        </w:trPr>
        <w:tc>
          <w:tcPr>
            <w:tcW w:w="1291" w:type="dxa"/>
            <w:vMerge/>
            <w:vAlign w:val="center"/>
            <w:hideMark/>
          </w:tcPr>
          <w:p w14:paraId="197EAF7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C1D70B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007A278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94C047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24553F6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756EFBE1"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3DC1EB4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536C35C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958AA9F"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AA95D6B" w14:textId="77777777" w:rsidTr="00A744A6">
        <w:trPr>
          <w:trHeight w:val="447"/>
        </w:trPr>
        <w:tc>
          <w:tcPr>
            <w:tcW w:w="1291" w:type="dxa"/>
            <w:vMerge w:val="restart"/>
            <w:shd w:val="clear" w:color="auto" w:fill="auto"/>
            <w:vAlign w:val="center"/>
            <w:hideMark/>
          </w:tcPr>
          <w:p w14:paraId="01E9EC23" w14:textId="783392B0"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Habl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58</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6149DE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1119" w:type="dxa"/>
            <w:vMerge w:val="restart"/>
            <w:shd w:val="clear" w:color="auto" w:fill="auto"/>
            <w:vAlign w:val="center"/>
            <w:hideMark/>
          </w:tcPr>
          <w:p w14:paraId="5FFB9B89"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15/20</w:t>
            </w:r>
          </w:p>
        </w:tc>
        <w:tc>
          <w:tcPr>
            <w:tcW w:w="1007" w:type="dxa"/>
            <w:vMerge w:val="restart"/>
            <w:shd w:val="clear" w:color="auto" w:fill="auto"/>
            <w:vAlign w:val="center"/>
            <w:hideMark/>
          </w:tcPr>
          <w:p w14:paraId="528AD311" w14:textId="65B0761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5</w:t>
            </w:r>
          </w:p>
        </w:tc>
        <w:tc>
          <w:tcPr>
            <w:tcW w:w="1417" w:type="dxa"/>
            <w:vMerge w:val="restart"/>
            <w:shd w:val="clear" w:color="auto" w:fill="auto"/>
            <w:vAlign w:val="center"/>
            <w:hideMark/>
          </w:tcPr>
          <w:p w14:paraId="32D00AD8" w14:textId="77777777"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Choline PET/CT, 68Ga-PSMA-PET</w:t>
            </w:r>
          </w:p>
        </w:tc>
        <w:tc>
          <w:tcPr>
            <w:tcW w:w="1418" w:type="dxa"/>
            <w:vMerge w:val="restart"/>
            <w:shd w:val="clear" w:color="auto" w:fill="auto"/>
            <w:vAlign w:val="center"/>
            <w:hideMark/>
          </w:tcPr>
          <w:p w14:paraId="723CC7D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w:t>
            </w:r>
          </w:p>
        </w:tc>
        <w:tc>
          <w:tcPr>
            <w:tcW w:w="1417" w:type="dxa"/>
            <w:vMerge w:val="restart"/>
            <w:shd w:val="clear" w:color="auto" w:fill="auto"/>
            <w:vAlign w:val="center"/>
            <w:hideMark/>
          </w:tcPr>
          <w:p w14:paraId="20CCBA30" w14:textId="4AB43D44" w:rsidR="00BE5E5A" w:rsidRPr="00242AA7" w:rsidRDefault="00FA585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25-35</w:t>
            </w:r>
            <w:r w:rsidR="00BE5E5A" w:rsidRPr="00242AA7">
              <w:rPr>
                <w:rFonts w:ascii="Book Antiqua" w:eastAsia="Times New Roman" w:hAnsi="Book Antiqua" w:cs="Times New Roman"/>
                <w:lang w:val="es-ES"/>
              </w:rPr>
              <w:t>Gy</w:t>
            </w:r>
            <w:r w:rsidRPr="00242AA7">
              <w:rPr>
                <w:rFonts w:ascii="Book Antiqua" w:eastAsia="Times New Roman" w:hAnsi="Book Antiqua" w:cs="Times New Roman"/>
                <w:lang w:val="es-ES"/>
              </w:rPr>
              <w:t>/5fr</w:t>
            </w:r>
          </w:p>
        </w:tc>
        <w:tc>
          <w:tcPr>
            <w:tcW w:w="1261" w:type="dxa"/>
            <w:vMerge w:val="restart"/>
            <w:shd w:val="clear" w:color="auto" w:fill="auto"/>
            <w:vAlign w:val="center"/>
            <w:hideMark/>
          </w:tcPr>
          <w:p w14:paraId="690F86CC" w14:textId="3DAF3D4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100% (2</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13B32544"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Median 7.3 mo</w:t>
            </w:r>
          </w:p>
        </w:tc>
      </w:tr>
      <w:tr w:rsidR="00242AA7" w:rsidRPr="00242AA7" w14:paraId="15522362" w14:textId="77777777" w:rsidTr="00A744A6">
        <w:trPr>
          <w:trHeight w:val="447"/>
        </w:trPr>
        <w:tc>
          <w:tcPr>
            <w:tcW w:w="1291" w:type="dxa"/>
            <w:vMerge/>
            <w:vAlign w:val="center"/>
            <w:hideMark/>
          </w:tcPr>
          <w:p w14:paraId="2E71C92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5E3EE3F6"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2DBC4BC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2BB4E5D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5E2584C"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67624AB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40D9A9B9"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7950E41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F4C186F" w14:textId="77777777" w:rsidR="00BE5E5A" w:rsidRPr="00242AA7" w:rsidRDefault="00BE5E5A" w:rsidP="00242AA7">
            <w:pPr>
              <w:spacing w:line="360" w:lineRule="auto"/>
              <w:jc w:val="both"/>
              <w:rPr>
                <w:rFonts w:ascii="Book Antiqua" w:eastAsia="Times New Roman" w:hAnsi="Book Antiqua" w:cs="Times New Roman"/>
                <w:lang w:val="es-ES"/>
              </w:rPr>
            </w:pPr>
          </w:p>
        </w:tc>
      </w:tr>
      <w:tr w:rsidR="00242AA7" w:rsidRPr="00242AA7" w14:paraId="54E0ACB0" w14:textId="77777777" w:rsidTr="00A744A6">
        <w:trPr>
          <w:trHeight w:val="447"/>
        </w:trPr>
        <w:tc>
          <w:tcPr>
            <w:tcW w:w="1291" w:type="dxa"/>
            <w:vMerge w:val="restart"/>
            <w:shd w:val="clear" w:color="auto" w:fill="auto"/>
            <w:vAlign w:val="center"/>
            <w:hideMark/>
          </w:tcPr>
          <w:p w14:paraId="0B241DE7" w14:textId="3AD51AD4" w:rsidR="00BE5E5A" w:rsidRPr="00242AA7" w:rsidRDefault="00BE5E5A"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Fanetti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59</w:t>
            </w:r>
            <w:r w:rsidR="00C74C98" w:rsidRPr="00242AA7">
              <w:rPr>
                <w:rFonts w:ascii="Book Antiqua" w:eastAsia="Times New Roman" w:hAnsi="Book Antiqua" w:cs="Times New Roman"/>
                <w:vertAlign w:val="superscript"/>
                <w:lang w:val="es-ES"/>
              </w:rPr>
              <w:t>]</w:t>
            </w:r>
          </w:p>
        </w:tc>
        <w:tc>
          <w:tcPr>
            <w:tcW w:w="851" w:type="dxa"/>
            <w:vMerge w:val="restart"/>
            <w:shd w:val="clear" w:color="auto" w:fill="auto"/>
            <w:vAlign w:val="center"/>
            <w:hideMark/>
          </w:tcPr>
          <w:p w14:paraId="039BDC59"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1119" w:type="dxa"/>
            <w:vMerge w:val="restart"/>
            <w:shd w:val="clear" w:color="auto" w:fill="auto"/>
            <w:vAlign w:val="center"/>
            <w:hideMark/>
          </w:tcPr>
          <w:p w14:paraId="0D60E301"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55/77</w:t>
            </w:r>
          </w:p>
        </w:tc>
        <w:tc>
          <w:tcPr>
            <w:tcW w:w="1007" w:type="dxa"/>
            <w:vMerge w:val="restart"/>
            <w:shd w:val="clear" w:color="auto" w:fill="auto"/>
            <w:vAlign w:val="center"/>
            <w:hideMark/>
          </w:tcPr>
          <w:p w14:paraId="58F15855" w14:textId="06CF90DD"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5</w:t>
            </w:r>
          </w:p>
        </w:tc>
        <w:tc>
          <w:tcPr>
            <w:tcW w:w="1417" w:type="dxa"/>
            <w:vMerge w:val="restart"/>
            <w:shd w:val="clear" w:color="auto" w:fill="auto"/>
            <w:vAlign w:val="center"/>
            <w:hideMark/>
          </w:tcPr>
          <w:p w14:paraId="3DD68CD8" w14:textId="3AA30FCE" w:rsidR="00BE5E5A" w:rsidRPr="00242AA7" w:rsidRDefault="00BE5E5A"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Choline-PET/CT, MRI, CT,</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68Ga-PSMA-PET/CT</w:t>
            </w:r>
          </w:p>
        </w:tc>
        <w:tc>
          <w:tcPr>
            <w:tcW w:w="1418" w:type="dxa"/>
            <w:vMerge w:val="restart"/>
            <w:shd w:val="clear" w:color="auto" w:fill="auto"/>
            <w:vAlign w:val="center"/>
            <w:hideMark/>
          </w:tcPr>
          <w:p w14:paraId="6AE61DBF" w14:textId="77777777"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w:t>
            </w:r>
          </w:p>
        </w:tc>
        <w:tc>
          <w:tcPr>
            <w:tcW w:w="1417" w:type="dxa"/>
            <w:vMerge w:val="restart"/>
            <w:shd w:val="clear" w:color="auto" w:fill="auto"/>
            <w:vAlign w:val="center"/>
            <w:hideMark/>
          </w:tcPr>
          <w:p w14:paraId="19101C14" w14:textId="1CDF3A13" w:rsidR="00BE5E5A" w:rsidRPr="00242AA7" w:rsidRDefault="005C393B"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24</w:t>
            </w:r>
            <w:r w:rsidR="00BE5E5A" w:rsidRPr="00242AA7">
              <w:rPr>
                <w:rFonts w:ascii="Book Antiqua" w:eastAsia="Times New Roman" w:hAnsi="Book Antiqua" w:cs="Times New Roman"/>
                <w:lang w:val="es-ES"/>
              </w:rPr>
              <w:t>Gy</w:t>
            </w:r>
            <w:r w:rsidRPr="00242AA7">
              <w:rPr>
                <w:rFonts w:ascii="Book Antiqua" w:eastAsia="Times New Roman" w:hAnsi="Book Antiqua" w:cs="Times New Roman"/>
                <w:lang w:val="es-ES"/>
              </w:rPr>
              <w:t>/3fr</w:t>
            </w:r>
            <w:r w:rsidR="00BE5E5A" w:rsidRPr="00242AA7">
              <w:rPr>
                <w:rFonts w:ascii="Book Antiqua" w:eastAsia="Times New Roman" w:hAnsi="Book Antiqua" w:cs="Times New Roman"/>
                <w:lang w:val="es-ES"/>
              </w:rPr>
              <w:t xml:space="preserve"> (+ frequent)</w:t>
            </w:r>
          </w:p>
        </w:tc>
        <w:tc>
          <w:tcPr>
            <w:tcW w:w="1261" w:type="dxa"/>
            <w:vMerge w:val="restart"/>
            <w:shd w:val="clear" w:color="auto" w:fill="auto"/>
            <w:vAlign w:val="center"/>
            <w:hideMark/>
          </w:tcPr>
          <w:p w14:paraId="1A11F021" w14:textId="63F51240"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83%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276" w:type="dxa"/>
            <w:vMerge w:val="restart"/>
            <w:shd w:val="clear" w:color="auto" w:fill="auto"/>
            <w:vAlign w:val="center"/>
            <w:hideMark/>
          </w:tcPr>
          <w:p w14:paraId="3D35D2B1" w14:textId="4BCA0248" w:rsidR="00BE5E5A" w:rsidRPr="00242AA7" w:rsidRDefault="00BE5E5A"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56% (1</w:t>
            </w:r>
            <w:r w:rsidR="00C74C98">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8E20CE" w:rsidRPr="00242AA7">
              <w:rPr>
                <w:rFonts w:ascii="Book Antiqua" w:eastAsia="Times New Roman" w:hAnsi="Book Antiqua" w:cs="Times New Roman"/>
                <w:lang w:val="es-ES"/>
              </w:rPr>
              <w:t>r</w:t>
            </w:r>
            <w:r w:rsidR="00F16C9F" w:rsidRPr="00242AA7">
              <w:rPr>
                <w:rFonts w:ascii="Book Antiqua" w:eastAsia="Times New Roman" w:hAnsi="Book Antiqua" w:cs="Times New Roman"/>
                <w:lang w:val="es-ES"/>
              </w:rPr>
              <w:t xml:space="preserve">) </w:t>
            </w:r>
          </w:p>
        </w:tc>
      </w:tr>
      <w:tr w:rsidR="00242AA7" w:rsidRPr="00242AA7" w14:paraId="410AC577" w14:textId="77777777" w:rsidTr="00A744A6">
        <w:trPr>
          <w:trHeight w:val="447"/>
        </w:trPr>
        <w:tc>
          <w:tcPr>
            <w:tcW w:w="1291" w:type="dxa"/>
            <w:vMerge/>
            <w:vAlign w:val="center"/>
            <w:hideMark/>
          </w:tcPr>
          <w:p w14:paraId="4A4DB45A"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851" w:type="dxa"/>
            <w:vMerge/>
            <w:vAlign w:val="center"/>
            <w:hideMark/>
          </w:tcPr>
          <w:p w14:paraId="220CC76D"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119" w:type="dxa"/>
            <w:vMerge/>
            <w:vAlign w:val="center"/>
            <w:hideMark/>
          </w:tcPr>
          <w:p w14:paraId="5F4B553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007" w:type="dxa"/>
            <w:vMerge/>
            <w:vAlign w:val="center"/>
            <w:hideMark/>
          </w:tcPr>
          <w:p w14:paraId="68104CA2"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5458CB27"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8" w:type="dxa"/>
            <w:vMerge/>
            <w:vAlign w:val="center"/>
            <w:hideMark/>
          </w:tcPr>
          <w:p w14:paraId="6D766B03"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417" w:type="dxa"/>
            <w:vMerge/>
            <w:vAlign w:val="center"/>
            <w:hideMark/>
          </w:tcPr>
          <w:p w14:paraId="72F435BE"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61" w:type="dxa"/>
            <w:vMerge/>
            <w:vAlign w:val="center"/>
            <w:hideMark/>
          </w:tcPr>
          <w:p w14:paraId="1DBEAA58" w14:textId="77777777" w:rsidR="00BE5E5A" w:rsidRPr="00242AA7" w:rsidRDefault="00BE5E5A" w:rsidP="00242AA7">
            <w:pPr>
              <w:spacing w:line="360" w:lineRule="auto"/>
              <w:jc w:val="both"/>
              <w:rPr>
                <w:rFonts w:ascii="Book Antiqua" w:eastAsia="Times New Roman" w:hAnsi="Book Antiqua" w:cs="Times New Roman"/>
                <w:lang w:val="es-ES"/>
              </w:rPr>
            </w:pPr>
          </w:p>
        </w:tc>
        <w:tc>
          <w:tcPr>
            <w:tcW w:w="1276" w:type="dxa"/>
            <w:vMerge/>
            <w:vAlign w:val="center"/>
            <w:hideMark/>
          </w:tcPr>
          <w:p w14:paraId="3699B03C" w14:textId="77777777" w:rsidR="00BE5E5A" w:rsidRPr="00242AA7" w:rsidRDefault="00BE5E5A" w:rsidP="00242AA7">
            <w:pPr>
              <w:spacing w:line="360" w:lineRule="auto"/>
              <w:jc w:val="both"/>
              <w:rPr>
                <w:rFonts w:ascii="Book Antiqua" w:eastAsia="Times New Roman" w:hAnsi="Book Antiqua" w:cs="Times New Roman"/>
                <w:lang w:val="es-ES"/>
              </w:rPr>
            </w:pPr>
          </w:p>
        </w:tc>
      </w:tr>
    </w:tbl>
    <w:p w14:paraId="3E9D48FF" w14:textId="77777777" w:rsidR="00903C41" w:rsidRPr="00242AA7" w:rsidRDefault="00903C41" w:rsidP="00242AA7">
      <w:pPr>
        <w:spacing w:line="360" w:lineRule="auto"/>
        <w:jc w:val="both"/>
        <w:rPr>
          <w:rFonts w:ascii="Book Antiqua" w:hAnsi="Book Antiqua"/>
        </w:rPr>
      </w:pPr>
    </w:p>
    <w:p w14:paraId="15798E92" w14:textId="56F150E6" w:rsidR="000D5E1A" w:rsidRPr="00242AA7" w:rsidRDefault="00541DBB" w:rsidP="00242AA7">
      <w:pPr>
        <w:spacing w:line="360" w:lineRule="auto"/>
        <w:jc w:val="both"/>
        <w:rPr>
          <w:rFonts w:ascii="Book Antiqua" w:hAnsi="Book Antiqua"/>
        </w:rPr>
      </w:pPr>
      <w:r w:rsidRPr="00242AA7">
        <w:rPr>
          <w:rFonts w:ascii="Book Antiqua" w:hAnsi="Book Antiqua"/>
        </w:rPr>
        <w:t xml:space="preserve">BED: Biologically effective dose; </w:t>
      </w:r>
      <w:r w:rsidR="00220158" w:rsidRPr="00242AA7">
        <w:rPr>
          <w:rFonts w:ascii="Book Antiqua" w:hAnsi="Book Antiqua"/>
        </w:rPr>
        <w:t xml:space="preserve">BS: Bone scan; </w:t>
      </w:r>
      <w:r w:rsidRPr="00242AA7">
        <w:rPr>
          <w:rFonts w:ascii="Book Antiqua" w:hAnsi="Book Antiqua"/>
        </w:rPr>
        <w:t xml:space="preserve">CT: Computed tomography; </w:t>
      </w:r>
      <w:r w:rsidR="00D96F9D" w:rsidRPr="00242AA7">
        <w:rPr>
          <w:rFonts w:ascii="Book Antiqua" w:eastAsia="Times New Roman" w:hAnsi="Book Antiqua" w:cs="Times New Roman"/>
          <w:lang w:val="en-US"/>
        </w:rPr>
        <w:t xml:space="preserve">18F-FDG: </w:t>
      </w:r>
      <w:r w:rsidR="00D96F9D" w:rsidRPr="00242AA7">
        <w:rPr>
          <w:rFonts w:ascii="Book Antiqua" w:eastAsia="Times New Roman" w:hAnsi="Book Antiqua"/>
        </w:rPr>
        <w:t>[18F]-fluorodeoxyglucose</w:t>
      </w:r>
      <w:r w:rsidR="00D96F9D" w:rsidRPr="00242AA7">
        <w:rPr>
          <w:rFonts w:ascii="Book Antiqua" w:eastAsia="Times New Roman" w:hAnsi="Book Antiqua" w:cs="Times New Roman"/>
          <w:lang w:val="en-US"/>
        </w:rPr>
        <w:t>; 68Ga-PSMA</w:t>
      </w:r>
      <w:r w:rsidR="00D72B1F" w:rsidRPr="00242AA7">
        <w:rPr>
          <w:rFonts w:ascii="Book Antiqua" w:hAnsi="Book Antiqua"/>
        </w:rPr>
        <w:t>: 68-Ga</w:t>
      </w:r>
      <w:r w:rsidR="00D96F9D" w:rsidRPr="00242AA7">
        <w:rPr>
          <w:rFonts w:ascii="Book Antiqua" w:hAnsi="Book Antiqua"/>
        </w:rPr>
        <w:t>-</w:t>
      </w:r>
      <w:r w:rsidR="00D96F9D" w:rsidRPr="00242AA7">
        <w:rPr>
          <w:rStyle w:val="st"/>
          <w:rFonts w:ascii="Book Antiqua" w:eastAsia="Times New Roman" w:hAnsi="Book Antiqua"/>
        </w:rPr>
        <w:t xml:space="preserve">Prostate-Specific Membrane Antigen; </w:t>
      </w:r>
      <w:r w:rsidR="00D96F9D" w:rsidRPr="00242AA7">
        <w:rPr>
          <w:rFonts w:ascii="Book Antiqua" w:hAnsi="Book Antiqua"/>
        </w:rPr>
        <w:t xml:space="preserve">LC: Local control; LN: Lymph node; MDT: Metastasis-directed therapy; MRI: Magnetic resonance imaging; </w:t>
      </w:r>
      <w:r w:rsidR="00D96F9D" w:rsidRPr="00242AA7">
        <w:rPr>
          <w:rFonts w:ascii="Book Antiqua" w:eastAsia="Times New Roman" w:hAnsi="Book Antiqua" w:cs="Times New Roman"/>
          <w:lang w:val="en-US"/>
        </w:rPr>
        <w:t xml:space="preserve">18F-NaF: 18F Sodium Fluoride; NMR: </w:t>
      </w:r>
      <w:r w:rsidR="00D96F9D" w:rsidRPr="00242AA7">
        <w:rPr>
          <w:rStyle w:val="st"/>
          <w:rFonts w:ascii="Book Antiqua" w:eastAsia="Times New Roman" w:hAnsi="Book Antiqua"/>
        </w:rPr>
        <w:t xml:space="preserve">Nuclear </w:t>
      </w:r>
      <w:r w:rsidR="00C74C98" w:rsidRPr="00242AA7">
        <w:rPr>
          <w:rStyle w:val="st"/>
          <w:rFonts w:ascii="Book Antiqua" w:eastAsia="Times New Roman" w:hAnsi="Book Antiqua"/>
        </w:rPr>
        <w:t>magnetic re</w:t>
      </w:r>
      <w:r w:rsidR="00D96F9D" w:rsidRPr="00242AA7">
        <w:rPr>
          <w:rStyle w:val="st"/>
          <w:rFonts w:ascii="Book Antiqua" w:eastAsia="Times New Roman" w:hAnsi="Book Antiqua"/>
        </w:rPr>
        <w:t xml:space="preserve">sonance; </w:t>
      </w:r>
      <w:r w:rsidR="00D96F9D" w:rsidRPr="00242AA7">
        <w:rPr>
          <w:rFonts w:ascii="Book Antiqua" w:hAnsi="Book Antiqua"/>
        </w:rPr>
        <w:t xml:space="preserve">NR: Not reported; OP: Oligoprogressive; OR: Oligorrecurrent; </w:t>
      </w:r>
      <w:r w:rsidR="00D81630" w:rsidRPr="00242AA7">
        <w:rPr>
          <w:rFonts w:ascii="Book Antiqua" w:hAnsi="Book Antiqua"/>
        </w:rPr>
        <w:t>PET/CT: P</w:t>
      </w:r>
      <w:r w:rsidR="000D5E1A" w:rsidRPr="00242AA7">
        <w:rPr>
          <w:rFonts w:ascii="Book Antiqua" w:hAnsi="Book Antiqua"/>
        </w:rPr>
        <w:t>ositron emission tomography with coregis</w:t>
      </w:r>
      <w:r w:rsidR="00D81630" w:rsidRPr="00242AA7">
        <w:rPr>
          <w:rFonts w:ascii="Book Antiqua" w:hAnsi="Book Antiqua"/>
        </w:rPr>
        <w:t xml:space="preserve">tered computed tomography; </w:t>
      </w:r>
      <w:r w:rsidRPr="00242AA7">
        <w:rPr>
          <w:rFonts w:ascii="Book Antiqua" w:hAnsi="Book Antiqua"/>
        </w:rPr>
        <w:t xml:space="preserve">P: Prospective; </w:t>
      </w:r>
      <w:r w:rsidR="000D5E1A" w:rsidRPr="00242AA7">
        <w:rPr>
          <w:rFonts w:ascii="Book Antiqua" w:hAnsi="Book Antiqua"/>
        </w:rPr>
        <w:t xml:space="preserve">PFS: </w:t>
      </w:r>
      <w:r w:rsidR="00D81630" w:rsidRPr="00242AA7">
        <w:rPr>
          <w:rStyle w:val="Emphasis"/>
          <w:rFonts w:ascii="Book Antiqua" w:eastAsia="Times New Roman" w:hAnsi="Book Antiqua"/>
          <w:i w:val="0"/>
        </w:rPr>
        <w:t>P</w:t>
      </w:r>
      <w:r w:rsidR="0093196F" w:rsidRPr="00242AA7">
        <w:rPr>
          <w:rStyle w:val="Emphasis"/>
          <w:rFonts w:ascii="Book Antiqua" w:eastAsia="Times New Roman" w:hAnsi="Book Antiqua"/>
          <w:i w:val="0"/>
        </w:rPr>
        <w:t xml:space="preserve">rogression free survival; </w:t>
      </w:r>
      <w:r w:rsidR="00410534" w:rsidRPr="00242AA7">
        <w:rPr>
          <w:rFonts w:ascii="Book Antiqua" w:hAnsi="Book Antiqua"/>
        </w:rPr>
        <w:t>R: Retrospective.</w:t>
      </w:r>
    </w:p>
    <w:p w14:paraId="59737F8C" w14:textId="77777777" w:rsidR="00581433" w:rsidRPr="00242AA7" w:rsidRDefault="00581433" w:rsidP="00242AA7">
      <w:pPr>
        <w:spacing w:line="360" w:lineRule="auto"/>
        <w:jc w:val="both"/>
        <w:rPr>
          <w:rFonts w:ascii="Book Antiqua" w:hAnsi="Book Antiqua"/>
        </w:rPr>
      </w:pPr>
    </w:p>
    <w:p w14:paraId="008110BF" w14:textId="77777777" w:rsidR="00C74C98" w:rsidRDefault="00C74C98">
      <w:pPr>
        <w:rPr>
          <w:rFonts w:ascii="Book Antiqua" w:hAnsi="Book Antiqua" w:cs="Arial"/>
          <w:b/>
        </w:rPr>
      </w:pPr>
      <w:r>
        <w:rPr>
          <w:rFonts w:ascii="Book Antiqua" w:hAnsi="Book Antiqua" w:cs="Arial"/>
          <w:b/>
        </w:rPr>
        <w:br w:type="page"/>
      </w:r>
    </w:p>
    <w:p w14:paraId="6CC6F3CF" w14:textId="0D654126" w:rsidR="00907D95" w:rsidRPr="00C74C98" w:rsidRDefault="00C74C98" w:rsidP="00242AA7">
      <w:pPr>
        <w:spacing w:line="360" w:lineRule="auto"/>
        <w:jc w:val="both"/>
        <w:rPr>
          <w:rFonts w:ascii="Book Antiqua" w:hAnsi="Book Antiqua"/>
          <w:b/>
        </w:rPr>
      </w:pPr>
      <w:r w:rsidRPr="00C74C98">
        <w:rPr>
          <w:rFonts w:ascii="Book Antiqua" w:hAnsi="Book Antiqua" w:cs="Arial"/>
          <w:b/>
        </w:rPr>
        <w:lastRenderedPageBreak/>
        <w:t>Table 2</w:t>
      </w:r>
      <w:r w:rsidR="00907D95" w:rsidRPr="00C74C98">
        <w:rPr>
          <w:rFonts w:ascii="Book Antiqua" w:hAnsi="Book Antiqua" w:cs="Arial"/>
          <w:b/>
        </w:rPr>
        <w:t xml:space="preserve"> </w:t>
      </w:r>
      <w:r w:rsidR="00907D95" w:rsidRPr="00C74C98">
        <w:rPr>
          <w:rFonts w:ascii="Book Antiqua" w:hAnsi="Book Antiqua"/>
          <w:b/>
        </w:rPr>
        <w:t xml:space="preserve">Summary of selected publications reporting </w:t>
      </w:r>
      <w:r w:rsidRPr="00C74C98">
        <w:rPr>
          <w:rFonts w:ascii="Book Antiqua" w:hAnsi="Book Antiqua"/>
          <w:b/>
        </w:rPr>
        <w:t xml:space="preserve">stereotactic body radiation therapy </w:t>
      </w:r>
      <w:r w:rsidR="00907D95" w:rsidRPr="00C74C98">
        <w:rPr>
          <w:rFonts w:ascii="Book Antiqua" w:hAnsi="Book Antiqua"/>
          <w:b/>
        </w:rPr>
        <w:t>for lymph nodes oligometastatic prostate cancer</w:t>
      </w:r>
    </w:p>
    <w:p w14:paraId="5972ED24" w14:textId="77777777" w:rsidR="00227C72" w:rsidRPr="00242AA7" w:rsidRDefault="00227C72" w:rsidP="00242AA7">
      <w:pPr>
        <w:spacing w:line="360" w:lineRule="auto"/>
        <w:jc w:val="both"/>
        <w:rPr>
          <w:rFonts w:ascii="Book Antiqua" w:hAnsi="Book Antiqua"/>
        </w:rPr>
      </w:pPr>
    </w:p>
    <w:tbl>
      <w:tblPr>
        <w:tblW w:w="9877"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134"/>
        <w:gridCol w:w="567"/>
        <w:gridCol w:w="851"/>
        <w:gridCol w:w="946"/>
        <w:gridCol w:w="1180"/>
        <w:gridCol w:w="992"/>
        <w:gridCol w:w="1276"/>
        <w:gridCol w:w="992"/>
        <w:gridCol w:w="1939"/>
      </w:tblGrid>
      <w:tr w:rsidR="00242AA7" w:rsidRPr="00242AA7" w14:paraId="75532D7A" w14:textId="77777777" w:rsidTr="009E78DB">
        <w:trPr>
          <w:trHeight w:val="460"/>
          <w:jc w:val="center"/>
        </w:trPr>
        <w:tc>
          <w:tcPr>
            <w:tcW w:w="1134" w:type="dxa"/>
            <w:tcBorders>
              <w:top w:val="single" w:sz="4" w:space="0" w:color="auto"/>
              <w:bottom w:val="single" w:sz="4" w:space="0" w:color="auto"/>
            </w:tcBorders>
            <w:shd w:val="clear" w:color="auto" w:fill="auto"/>
            <w:vAlign w:val="center"/>
            <w:hideMark/>
          </w:tcPr>
          <w:p w14:paraId="5E4A166A" w14:textId="1F8F2DC8" w:rsidR="00EA7C70" w:rsidRPr="00C74C98" w:rsidRDefault="00C74C98" w:rsidP="00242AA7">
            <w:pPr>
              <w:spacing w:line="360" w:lineRule="auto"/>
              <w:jc w:val="both"/>
              <w:rPr>
                <w:rFonts w:ascii="Book Antiqua" w:eastAsia="SimSun" w:hAnsi="Book Antiqua" w:cs="Times New Roman"/>
                <w:lang w:val="es-ES" w:eastAsia="zh-CN"/>
              </w:rPr>
            </w:pPr>
            <w:r>
              <w:rPr>
                <w:rFonts w:ascii="Book Antiqua" w:eastAsia="SimSun" w:hAnsi="Book Antiqua" w:cs="Times New Roman" w:hint="eastAsia"/>
                <w:lang w:val="es-ES" w:eastAsia="zh-CN"/>
              </w:rPr>
              <w:t>R</w:t>
            </w:r>
            <w:r>
              <w:rPr>
                <w:rFonts w:ascii="Book Antiqua" w:eastAsia="SimSun" w:hAnsi="Book Antiqua" w:cs="Times New Roman"/>
                <w:lang w:val="es-ES" w:eastAsia="zh-CN"/>
              </w:rPr>
              <w:t>ef.</w:t>
            </w:r>
          </w:p>
        </w:tc>
        <w:tc>
          <w:tcPr>
            <w:tcW w:w="567" w:type="dxa"/>
            <w:tcBorders>
              <w:top w:val="single" w:sz="4" w:space="0" w:color="auto"/>
              <w:bottom w:val="single" w:sz="4" w:space="0" w:color="auto"/>
            </w:tcBorders>
            <w:shd w:val="clear" w:color="auto" w:fill="auto"/>
            <w:vAlign w:val="center"/>
            <w:hideMark/>
          </w:tcPr>
          <w:p w14:paraId="5B4AD326"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Study type</w:t>
            </w:r>
          </w:p>
        </w:tc>
        <w:tc>
          <w:tcPr>
            <w:tcW w:w="851" w:type="dxa"/>
            <w:tcBorders>
              <w:top w:val="single" w:sz="4" w:space="0" w:color="auto"/>
              <w:bottom w:val="single" w:sz="4" w:space="0" w:color="auto"/>
            </w:tcBorders>
            <w:shd w:val="clear" w:color="auto" w:fill="auto"/>
            <w:vAlign w:val="center"/>
            <w:hideMark/>
          </w:tcPr>
          <w:p w14:paraId="60932F32" w14:textId="603BDE50"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No. Patients / </w:t>
            </w:r>
            <w:r w:rsidR="00C74C98" w:rsidRPr="00242AA7">
              <w:rPr>
                <w:rFonts w:ascii="Book Antiqua" w:eastAsia="Times New Roman" w:hAnsi="Book Antiqua" w:cs="Times New Roman"/>
                <w:lang w:val="es-ES"/>
              </w:rPr>
              <w:t>l</w:t>
            </w:r>
            <w:r w:rsidRPr="00242AA7">
              <w:rPr>
                <w:rFonts w:ascii="Book Antiqua" w:eastAsia="Times New Roman" w:hAnsi="Book Antiqua" w:cs="Times New Roman"/>
                <w:lang w:val="es-ES"/>
              </w:rPr>
              <w:t>esions</w:t>
            </w:r>
          </w:p>
        </w:tc>
        <w:tc>
          <w:tcPr>
            <w:tcW w:w="946" w:type="dxa"/>
            <w:tcBorders>
              <w:top w:val="single" w:sz="4" w:space="0" w:color="auto"/>
              <w:bottom w:val="single" w:sz="4" w:space="0" w:color="auto"/>
            </w:tcBorders>
            <w:shd w:val="clear" w:color="auto" w:fill="auto"/>
            <w:vAlign w:val="center"/>
            <w:hideMark/>
          </w:tcPr>
          <w:p w14:paraId="09867B91"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No. of metastases</w:t>
            </w:r>
          </w:p>
        </w:tc>
        <w:tc>
          <w:tcPr>
            <w:tcW w:w="1180" w:type="dxa"/>
            <w:tcBorders>
              <w:top w:val="single" w:sz="4" w:space="0" w:color="auto"/>
              <w:bottom w:val="single" w:sz="4" w:space="0" w:color="auto"/>
            </w:tcBorders>
            <w:shd w:val="clear" w:color="auto" w:fill="auto"/>
            <w:vAlign w:val="center"/>
            <w:hideMark/>
          </w:tcPr>
          <w:p w14:paraId="073F1A75"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Imaging method</w:t>
            </w:r>
          </w:p>
        </w:tc>
        <w:tc>
          <w:tcPr>
            <w:tcW w:w="992" w:type="dxa"/>
            <w:tcBorders>
              <w:top w:val="single" w:sz="4" w:space="0" w:color="auto"/>
              <w:bottom w:val="single" w:sz="4" w:space="0" w:color="auto"/>
            </w:tcBorders>
            <w:shd w:val="clear" w:color="auto" w:fill="auto"/>
            <w:vAlign w:val="center"/>
            <w:hideMark/>
          </w:tcPr>
          <w:p w14:paraId="1AE6B78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Site of metastases</w:t>
            </w:r>
          </w:p>
        </w:tc>
        <w:tc>
          <w:tcPr>
            <w:tcW w:w="1276" w:type="dxa"/>
            <w:tcBorders>
              <w:top w:val="single" w:sz="4" w:space="0" w:color="auto"/>
              <w:bottom w:val="single" w:sz="4" w:space="0" w:color="auto"/>
            </w:tcBorders>
            <w:shd w:val="clear" w:color="auto" w:fill="auto"/>
            <w:vAlign w:val="center"/>
            <w:hideMark/>
          </w:tcPr>
          <w:p w14:paraId="201A576F" w14:textId="07AF7248"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SBRT </w:t>
            </w:r>
            <w:r w:rsidR="00C74C98" w:rsidRPr="00242AA7">
              <w:rPr>
                <w:rFonts w:ascii="Book Antiqua" w:eastAsia="Times New Roman" w:hAnsi="Book Antiqua" w:cs="Times New Roman"/>
                <w:lang w:val="es-ES"/>
              </w:rPr>
              <w:t>s</w:t>
            </w:r>
            <w:r w:rsidRPr="00242AA7">
              <w:rPr>
                <w:rFonts w:ascii="Book Antiqua" w:eastAsia="Times New Roman" w:hAnsi="Book Antiqua" w:cs="Times New Roman"/>
                <w:lang w:val="es-ES"/>
              </w:rPr>
              <w:t>chedules</w:t>
            </w:r>
          </w:p>
        </w:tc>
        <w:tc>
          <w:tcPr>
            <w:tcW w:w="992" w:type="dxa"/>
            <w:tcBorders>
              <w:top w:val="single" w:sz="4" w:space="0" w:color="auto"/>
              <w:bottom w:val="single" w:sz="4" w:space="0" w:color="auto"/>
            </w:tcBorders>
            <w:shd w:val="clear" w:color="auto" w:fill="auto"/>
            <w:vAlign w:val="center"/>
            <w:hideMark/>
          </w:tcPr>
          <w:p w14:paraId="2D98FE1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LC</w:t>
            </w:r>
          </w:p>
        </w:tc>
        <w:tc>
          <w:tcPr>
            <w:tcW w:w="1939" w:type="dxa"/>
            <w:tcBorders>
              <w:top w:val="single" w:sz="4" w:space="0" w:color="auto"/>
              <w:bottom w:val="single" w:sz="4" w:space="0" w:color="auto"/>
            </w:tcBorders>
            <w:shd w:val="clear" w:color="auto" w:fill="auto"/>
            <w:vAlign w:val="center"/>
            <w:hideMark/>
          </w:tcPr>
          <w:p w14:paraId="61578341"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PFS</w:t>
            </w:r>
          </w:p>
        </w:tc>
      </w:tr>
      <w:tr w:rsidR="00242AA7" w:rsidRPr="00242AA7" w14:paraId="0FC72557" w14:textId="77777777" w:rsidTr="009E78DB">
        <w:trPr>
          <w:trHeight w:val="320"/>
          <w:jc w:val="center"/>
        </w:trPr>
        <w:tc>
          <w:tcPr>
            <w:tcW w:w="1134" w:type="dxa"/>
            <w:tcBorders>
              <w:top w:val="single" w:sz="4" w:space="0" w:color="auto"/>
            </w:tcBorders>
            <w:shd w:val="clear" w:color="000000" w:fill="F2F2F2"/>
            <w:vAlign w:val="center"/>
            <w:hideMark/>
          </w:tcPr>
          <w:p w14:paraId="13048B7F"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Lymph node</w:t>
            </w:r>
          </w:p>
        </w:tc>
        <w:tc>
          <w:tcPr>
            <w:tcW w:w="567" w:type="dxa"/>
            <w:tcBorders>
              <w:top w:val="single" w:sz="4" w:space="0" w:color="auto"/>
            </w:tcBorders>
            <w:shd w:val="clear" w:color="000000" w:fill="F2F2F2"/>
            <w:vAlign w:val="center"/>
            <w:hideMark/>
          </w:tcPr>
          <w:p w14:paraId="30684973"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851" w:type="dxa"/>
            <w:tcBorders>
              <w:top w:val="single" w:sz="4" w:space="0" w:color="auto"/>
            </w:tcBorders>
            <w:shd w:val="clear" w:color="000000" w:fill="F2F2F2"/>
            <w:vAlign w:val="center"/>
            <w:hideMark/>
          </w:tcPr>
          <w:p w14:paraId="2BD6911A"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946" w:type="dxa"/>
            <w:tcBorders>
              <w:top w:val="single" w:sz="4" w:space="0" w:color="auto"/>
            </w:tcBorders>
            <w:shd w:val="clear" w:color="000000" w:fill="F2F2F2"/>
            <w:vAlign w:val="center"/>
            <w:hideMark/>
          </w:tcPr>
          <w:p w14:paraId="6189617E"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180" w:type="dxa"/>
            <w:tcBorders>
              <w:top w:val="single" w:sz="4" w:space="0" w:color="auto"/>
            </w:tcBorders>
            <w:shd w:val="clear" w:color="000000" w:fill="F2F2F2"/>
            <w:vAlign w:val="center"/>
            <w:hideMark/>
          </w:tcPr>
          <w:p w14:paraId="6E6E10D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992" w:type="dxa"/>
            <w:tcBorders>
              <w:top w:val="single" w:sz="4" w:space="0" w:color="auto"/>
            </w:tcBorders>
            <w:shd w:val="clear" w:color="000000" w:fill="F2F2F2"/>
            <w:vAlign w:val="center"/>
            <w:hideMark/>
          </w:tcPr>
          <w:p w14:paraId="0F87E6F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276" w:type="dxa"/>
            <w:tcBorders>
              <w:top w:val="single" w:sz="4" w:space="0" w:color="auto"/>
            </w:tcBorders>
            <w:shd w:val="clear" w:color="000000" w:fill="F2F2F2"/>
            <w:vAlign w:val="center"/>
            <w:hideMark/>
          </w:tcPr>
          <w:p w14:paraId="6BB343E6"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992" w:type="dxa"/>
            <w:tcBorders>
              <w:top w:val="single" w:sz="4" w:space="0" w:color="auto"/>
            </w:tcBorders>
            <w:shd w:val="clear" w:color="000000" w:fill="F2F2F2"/>
            <w:vAlign w:val="center"/>
            <w:hideMark/>
          </w:tcPr>
          <w:p w14:paraId="5740D008"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c>
          <w:tcPr>
            <w:tcW w:w="1939" w:type="dxa"/>
            <w:tcBorders>
              <w:top w:val="single" w:sz="4" w:space="0" w:color="auto"/>
            </w:tcBorders>
            <w:shd w:val="clear" w:color="000000" w:fill="F2F2F2"/>
            <w:vAlign w:val="center"/>
            <w:hideMark/>
          </w:tcPr>
          <w:p w14:paraId="6C7997F3"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w:t>
            </w:r>
          </w:p>
        </w:tc>
      </w:tr>
      <w:tr w:rsidR="00242AA7" w:rsidRPr="00242AA7" w14:paraId="479E9D02" w14:textId="77777777" w:rsidTr="009E78DB">
        <w:trPr>
          <w:trHeight w:val="447"/>
          <w:jc w:val="center"/>
        </w:trPr>
        <w:tc>
          <w:tcPr>
            <w:tcW w:w="1134" w:type="dxa"/>
            <w:vMerge w:val="restart"/>
            <w:shd w:val="clear" w:color="auto" w:fill="auto"/>
            <w:vAlign w:val="center"/>
            <w:hideMark/>
          </w:tcPr>
          <w:p w14:paraId="65F028FC" w14:textId="257202A5" w:rsidR="00EA7C70" w:rsidRPr="00242AA7" w:rsidRDefault="00EA7C70"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Casamassima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33</w:t>
            </w:r>
            <w:r w:rsidR="00C74C98" w:rsidRPr="00242AA7">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49613618"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851" w:type="dxa"/>
            <w:vMerge w:val="restart"/>
            <w:shd w:val="clear" w:color="auto" w:fill="auto"/>
            <w:vAlign w:val="center"/>
            <w:hideMark/>
          </w:tcPr>
          <w:p w14:paraId="31651BCC" w14:textId="4103CF1A"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25</w:t>
            </w:r>
            <w:r w:rsidR="002A5702" w:rsidRPr="00242AA7">
              <w:rPr>
                <w:rFonts w:ascii="Book Antiqua" w:eastAsia="Times New Roman" w:hAnsi="Book Antiqua" w:cs="Times New Roman"/>
                <w:lang w:val="es-ES"/>
              </w:rPr>
              <w:t>/25</w:t>
            </w:r>
          </w:p>
        </w:tc>
        <w:tc>
          <w:tcPr>
            <w:tcW w:w="946" w:type="dxa"/>
            <w:vMerge w:val="restart"/>
            <w:shd w:val="clear" w:color="auto" w:fill="auto"/>
            <w:vAlign w:val="center"/>
            <w:hideMark/>
          </w:tcPr>
          <w:p w14:paraId="0EE83C3A"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c>
          <w:tcPr>
            <w:tcW w:w="1180" w:type="dxa"/>
            <w:vMerge w:val="restart"/>
            <w:shd w:val="clear" w:color="auto" w:fill="auto"/>
            <w:vAlign w:val="center"/>
            <w:hideMark/>
          </w:tcPr>
          <w:p w14:paraId="7E5B2BBF"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Cholina PET/CT</w:t>
            </w:r>
          </w:p>
        </w:tc>
        <w:tc>
          <w:tcPr>
            <w:tcW w:w="992" w:type="dxa"/>
            <w:vMerge w:val="restart"/>
            <w:shd w:val="clear" w:color="auto" w:fill="auto"/>
            <w:vAlign w:val="center"/>
            <w:hideMark/>
          </w:tcPr>
          <w:p w14:paraId="0AAA44D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LN</w:t>
            </w:r>
          </w:p>
        </w:tc>
        <w:tc>
          <w:tcPr>
            <w:tcW w:w="1276" w:type="dxa"/>
            <w:vMerge w:val="restart"/>
            <w:shd w:val="clear" w:color="auto" w:fill="auto"/>
            <w:vAlign w:val="center"/>
            <w:hideMark/>
          </w:tcPr>
          <w:p w14:paraId="411E8DF2" w14:textId="70E2315D" w:rsidR="00EA7C70" w:rsidRPr="00242AA7" w:rsidRDefault="00C210FF" w:rsidP="00242AA7">
            <w:pPr>
              <w:spacing w:line="360" w:lineRule="auto"/>
              <w:jc w:val="both"/>
              <w:rPr>
                <w:rFonts w:ascii="Book Antiqua" w:eastAsia="Times New Roman" w:hAnsi="Book Antiqua" w:cs="Times New Roman"/>
                <w:lang w:val="es-ES"/>
              </w:rPr>
            </w:pPr>
            <w:r w:rsidRPr="00C210FF">
              <w:rPr>
                <w:rFonts w:ascii="Book Antiqua" w:eastAsia="Times New Roman" w:hAnsi="Book Antiqua" w:cs="Times New Roman"/>
                <w:i/>
                <w:lang w:val="es-ES"/>
              </w:rPr>
              <w:t>N</w:t>
            </w:r>
            <w:r>
              <w:rPr>
                <w:rFonts w:ascii="Book Antiqua" w:eastAsia="SimSun" w:hAnsi="Book Antiqua" w:cs="Times New Roman" w:hint="eastAsia"/>
                <w:lang w:val="es-ES" w:eastAsia="zh-CN"/>
              </w:rPr>
              <w:t xml:space="preserve"> </w:t>
            </w:r>
            <w:r w:rsidR="005F169F" w:rsidRPr="00242AA7">
              <w:rPr>
                <w:rFonts w:ascii="Book Antiqua" w:eastAsia="Times New Roman" w:hAnsi="Book Antiqua" w:cs="Times New Roman"/>
                <w:lang w:val="es-ES"/>
              </w:rPr>
              <w:t>=</w:t>
            </w:r>
            <w:r>
              <w:rPr>
                <w:rFonts w:ascii="Book Antiqua" w:eastAsia="SimSun" w:hAnsi="Book Antiqua" w:cs="Times New Roman" w:hint="eastAsia"/>
                <w:lang w:val="es-ES" w:eastAsia="zh-CN"/>
              </w:rPr>
              <w:t xml:space="preserve"> </w:t>
            </w:r>
            <w:r w:rsidR="005F169F" w:rsidRPr="00242AA7">
              <w:rPr>
                <w:rFonts w:ascii="Book Antiqua" w:eastAsia="Times New Roman" w:hAnsi="Book Antiqua" w:cs="Times New Roman"/>
                <w:lang w:val="es-ES"/>
              </w:rPr>
              <w:t>18: 30Gy/3f</w:t>
            </w:r>
            <w:r w:rsidR="00EA7C70" w:rsidRPr="00242AA7">
              <w:rPr>
                <w:rFonts w:ascii="Book Antiqua" w:eastAsia="Times New Roman" w:hAnsi="Book Antiqua" w:cs="Times New Roman"/>
                <w:lang w:val="es-ES"/>
              </w:rPr>
              <w:t>r</w:t>
            </w:r>
          </w:p>
        </w:tc>
        <w:tc>
          <w:tcPr>
            <w:tcW w:w="992" w:type="dxa"/>
            <w:vMerge w:val="restart"/>
            <w:shd w:val="clear" w:color="auto" w:fill="auto"/>
            <w:vAlign w:val="center"/>
            <w:hideMark/>
          </w:tcPr>
          <w:p w14:paraId="4C384119" w14:textId="308CB39F"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90% (3</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939" w:type="dxa"/>
            <w:vMerge w:val="restart"/>
            <w:shd w:val="clear" w:color="auto" w:fill="auto"/>
            <w:vAlign w:val="center"/>
            <w:hideMark/>
          </w:tcPr>
          <w:p w14:paraId="2526412A"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Median 24 mo</w:t>
            </w:r>
          </w:p>
        </w:tc>
      </w:tr>
      <w:tr w:rsidR="00242AA7" w:rsidRPr="00242AA7" w14:paraId="2ED3F1F1" w14:textId="77777777" w:rsidTr="009E78DB">
        <w:trPr>
          <w:trHeight w:val="447"/>
          <w:jc w:val="center"/>
        </w:trPr>
        <w:tc>
          <w:tcPr>
            <w:tcW w:w="1134" w:type="dxa"/>
            <w:vMerge/>
            <w:vAlign w:val="center"/>
            <w:hideMark/>
          </w:tcPr>
          <w:p w14:paraId="2AFA2AC6"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5A47A7A0"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09F679B9"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4FA86474"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0A22A377"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6DE5C03A"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220C7386"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52B8984C"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0EB7736E" w14:textId="77777777" w:rsidR="00EA7C70" w:rsidRPr="00242AA7" w:rsidRDefault="00EA7C70" w:rsidP="00242AA7">
            <w:pPr>
              <w:spacing w:line="360" w:lineRule="auto"/>
              <w:jc w:val="both"/>
              <w:rPr>
                <w:rFonts w:ascii="Book Antiqua" w:eastAsia="Times New Roman" w:hAnsi="Book Antiqua" w:cs="Times New Roman"/>
                <w:lang w:val="es-ES"/>
              </w:rPr>
            </w:pPr>
          </w:p>
        </w:tc>
      </w:tr>
      <w:tr w:rsidR="00242AA7" w:rsidRPr="00242AA7" w14:paraId="3F5D1550" w14:textId="77777777" w:rsidTr="009E78DB">
        <w:trPr>
          <w:trHeight w:val="447"/>
          <w:jc w:val="center"/>
        </w:trPr>
        <w:tc>
          <w:tcPr>
            <w:tcW w:w="1134" w:type="dxa"/>
            <w:vMerge w:val="restart"/>
            <w:shd w:val="clear" w:color="auto" w:fill="auto"/>
            <w:vAlign w:val="center"/>
            <w:hideMark/>
          </w:tcPr>
          <w:p w14:paraId="13F5801F" w14:textId="66294E38" w:rsidR="00EA7C70" w:rsidRPr="00242AA7" w:rsidRDefault="00EA7C70"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Detti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36</w:t>
            </w:r>
            <w:r w:rsidR="00C74C98" w:rsidRPr="00242AA7">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4C40E95F"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851" w:type="dxa"/>
            <w:vMerge w:val="restart"/>
            <w:shd w:val="clear" w:color="auto" w:fill="auto"/>
            <w:vAlign w:val="center"/>
            <w:hideMark/>
          </w:tcPr>
          <w:p w14:paraId="7145BF9E"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30/39</w:t>
            </w:r>
          </w:p>
        </w:tc>
        <w:tc>
          <w:tcPr>
            <w:tcW w:w="946" w:type="dxa"/>
            <w:vMerge w:val="restart"/>
            <w:shd w:val="clear" w:color="auto" w:fill="auto"/>
            <w:vAlign w:val="center"/>
            <w:hideMark/>
          </w:tcPr>
          <w:p w14:paraId="1BD5160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c>
          <w:tcPr>
            <w:tcW w:w="1180" w:type="dxa"/>
            <w:vMerge w:val="restart"/>
            <w:shd w:val="clear" w:color="auto" w:fill="auto"/>
            <w:vAlign w:val="center"/>
            <w:hideMark/>
          </w:tcPr>
          <w:p w14:paraId="58B9AC61"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Cholina PET/CT</w:t>
            </w:r>
          </w:p>
        </w:tc>
        <w:tc>
          <w:tcPr>
            <w:tcW w:w="992" w:type="dxa"/>
            <w:vMerge w:val="restart"/>
            <w:shd w:val="clear" w:color="auto" w:fill="auto"/>
            <w:vAlign w:val="center"/>
            <w:hideMark/>
          </w:tcPr>
          <w:p w14:paraId="6616EFC9"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LN</w:t>
            </w:r>
          </w:p>
        </w:tc>
        <w:tc>
          <w:tcPr>
            <w:tcW w:w="1276" w:type="dxa"/>
            <w:vMerge w:val="restart"/>
            <w:shd w:val="clear" w:color="auto" w:fill="auto"/>
            <w:vAlign w:val="center"/>
            <w:hideMark/>
          </w:tcPr>
          <w:p w14:paraId="18F9D71A" w14:textId="7F87A32F" w:rsidR="00EA7C70" w:rsidRPr="00242AA7" w:rsidRDefault="00B27EF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24-36Gy/1-5</w:t>
            </w:r>
            <w:r w:rsidR="00EA7C70" w:rsidRPr="00242AA7">
              <w:rPr>
                <w:rFonts w:ascii="Book Antiqua" w:eastAsia="Times New Roman" w:hAnsi="Book Antiqua" w:cs="Times New Roman"/>
                <w:lang w:val="es-ES"/>
              </w:rPr>
              <w:t xml:space="preserve">fr </w:t>
            </w:r>
          </w:p>
        </w:tc>
        <w:tc>
          <w:tcPr>
            <w:tcW w:w="992" w:type="dxa"/>
            <w:vMerge w:val="restart"/>
            <w:shd w:val="clear" w:color="auto" w:fill="auto"/>
            <w:vAlign w:val="center"/>
            <w:hideMark/>
          </w:tcPr>
          <w:p w14:paraId="43BDB532" w14:textId="1D633EFB"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100% (1</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939" w:type="dxa"/>
            <w:vMerge w:val="restart"/>
            <w:shd w:val="clear" w:color="auto" w:fill="auto"/>
            <w:vAlign w:val="center"/>
            <w:hideMark/>
          </w:tcPr>
          <w:p w14:paraId="5FDD1435" w14:textId="5495B798" w:rsidR="00EA7C70" w:rsidRPr="00242AA7" w:rsidRDefault="008D3F48"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r>
      <w:tr w:rsidR="00242AA7" w:rsidRPr="00242AA7" w14:paraId="030DDEEF" w14:textId="77777777" w:rsidTr="009E78DB">
        <w:trPr>
          <w:trHeight w:val="447"/>
          <w:jc w:val="center"/>
        </w:trPr>
        <w:tc>
          <w:tcPr>
            <w:tcW w:w="1134" w:type="dxa"/>
            <w:vMerge/>
            <w:vAlign w:val="center"/>
            <w:hideMark/>
          </w:tcPr>
          <w:p w14:paraId="710772A7"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45C673A5"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694F47E5"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21861CEC"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31103F76"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575F4E68"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E4FE2FD"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59C403BD"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4FD03F01" w14:textId="77777777" w:rsidR="00EA7C70" w:rsidRPr="00242AA7" w:rsidRDefault="00EA7C70" w:rsidP="00242AA7">
            <w:pPr>
              <w:spacing w:line="360" w:lineRule="auto"/>
              <w:jc w:val="both"/>
              <w:rPr>
                <w:rFonts w:ascii="Book Antiqua" w:eastAsia="Times New Roman" w:hAnsi="Book Antiqua" w:cs="Times New Roman"/>
                <w:lang w:val="es-ES"/>
              </w:rPr>
            </w:pPr>
          </w:p>
        </w:tc>
      </w:tr>
      <w:tr w:rsidR="00242AA7" w:rsidRPr="00242AA7" w14:paraId="1E66E585" w14:textId="77777777" w:rsidTr="009E78DB">
        <w:trPr>
          <w:trHeight w:val="447"/>
          <w:jc w:val="center"/>
        </w:trPr>
        <w:tc>
          <w:tcPr>
            <w:tcW w:w="1134" w:type="dxa"/>
            <w:vMerge w:val="restart"/>
            <w:shd w:val="clear" w:color="auto" w:fill="auto"/>
            <w:vAlign w:val="center"/>
            <w:hideMark/>
          </w:tcPr>
          <w:p w14:paraId="462E3AEF" w14:textId="51D3C1E2" w:rsidR="00EA7C70" w:rsidRPr="00242AA7" w:rsidRDefault="00EA7C70"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Ponti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6</w:t>
            </w:r>
            <w:r w:rsidR="00C74C98" w:rsidRPr="00242AA7">
              <w:rPr>
                <w:rFonts w:ascii="Book Antiqua" w:eastAsia="Times New Roman" w:hAnsi="Book Antiqua" w:cs="Times New Roman"/>
                <w:vertAlign w:val="superscript"/>
                <w:lang w:val="es-ES"/>
              </w:rPr>
              <w:t>0]</w:t>
            </w:r>
          </w:p>
        </w:tc>
        <w:tc>
          <w:tcPr>
            <w:tcW w:w="567" w:type="dxa"/>
            <w:vMerge w:val="restart"/>
            <w:shd w:val="clear" w:color="auto" w:fill="auto"/>
            <w:vAlign w:val="center"/>
            <w:hideMark/>
          </w:tcPr>
          <w:p w14:paraId="7697C0EF"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851" w:type="dxa"/>
            <w:vMerge w:val="restart"/>
            <w:shd w:val="clear" w:color="auto" w:fill="auto"/>
            <w:vAlign w:val="center"/>
            <w:hideMark/>
          </w:tcPr>
          <w:p w14:paraId="36D1871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16/18</w:t>
            </w:r>
          </w:p>
        </w:tc>
        <w:tc>
          <w:tcPr>
            <w:tcW w:w="946" w:type="dxa"/>
            <w:vMerge w:val="restart"/>
            <w:shd w:val="clear" w:color="auto" w:fill="auto"/>
            <w:vAlign w:val="center"/>
            <w:hideMark/>
          </w:tcPr>
          <w:p w14:paraId="1F373C91" w14:textId="20D3B7E6"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2</w:t>
            </w:r>
          </w:p>
        </w:tc>
        <w:tc>
          <w:tcPr>
            <w:tcW w:w="1180" w:type="dxa"/>
            <w:vMerge w:val="restart"/>
            <w:shd w:val="clear" w:color="auto" w:fill="auto"/>
            <w:vAlign w:val="center"/>
            <w:hideMark/>
          </w:tcPr>
          <w:p w14:paraId="251B52A8"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Cholina PET/CT</w:t>
            </w:r>
          </w:p>
        </w:tc>
        <w:tc>
          <w:tcPr>
            <w:tcW w:w="992" w:type="dxa"/>
            <w:vMerge w:val="restart"/>
            <w:shd w:val="clear" w:color="auto" w:fill="auto"/>
            <w:vAlign w:val="center"/>
            <w:hideMark/>
          </w:tcPr>
          <w:p w14:paraId="243EB18D"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LN</w:t>
            </w:r>
          </w:p>
        </w:tc>
        <w:tc>
          <w:tcPr>
            <w:tcW w:w="1276" w:type="dxa"/>
            <w:vMerge w:val="restart"/>
            <w:shd w:val="clear" w:color="auto" w:fill="auto"/>
            <w:vAlign w:val="center"/>
            <w:hideMark/>
          </w:tcPr>
          <w:p w14:paraId="142E42BF"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12-35Gy/1-5fr</w:t>
            </w:r>
          </w:p>
        </w:tc>
        <w:tc>
          <w:tcPr>
            <w:tcW w:w="992" w:type="dxa"/>
            <w:vMerge w:val="restart"/>
            <w:shd w:val="clear" w:color="auto" w:fill="auto"/>
            <w:vAlign w:val="center"/>
            <w:hideMark/>
          </w:tcPr>
          <w:p w14:paraId="4DC348AA" w14:textId="7542C3ED"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94% (2</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939" w:type="dxa"/>
            <w:vMerge w:val="restart"/>
            <w:shd w:val="clear" w:color="auto" w:fill="auto"/>
            <w:vAlign w:val="center"/>
            <w:hideMark/>
          </w:tcPr>
          <w:p w14:paraId="57C79333"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r>
      <w:tr w:rsidR="00242AA7" w:rsidRPr="00242AA7" w14:paraId="76ED976C" w14:textId="77777777" w:rsidTr="009E78DB">
        <w:trPr>
          <w:trHeight w:val="447"/>
          <w:jc w:val="center"/>
        </w:trPr>
        <w:tc>
          <w:tcPr>
            <w:tcW w:w="1134" w:type="dxa"/>
            <w:vMerge/>
            <w:vAlign w:val="center"/>
            <w:hideMark/>
          </w:tcPr>
          <w:p w14:paraId="6C7FD88F"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7FA3DD75"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4C73C6EB"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10A2F120"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5609249A"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37CE08D4"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76358188"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7DB73A69"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7948BFA8" w14:textId="77777777" w:rsidR="00EA7C70" w:rsidRPr="00242AA7" w:rsidRDefault="00EA7C70" w:rsidP="00242AA7">
            <w:pPr>
              <w:spacing w:line="360" w:lineRule="auto"/>
              <w:jc w:val="both"/>
              <w:rPr>
                <w:rFonts w:ascii="Book Antiqua" w:eastAsia="Times New Roman" w:hAnsi="Book Antiqua" w:cs="Times New Roman"/>
                <w:lang w:val="es-ES"/>
              </w:rPr>
            </w:pPr>
          </w:p>
        </w:tc>
      </w:tr>
      <w:tr w:rsidR="00242AA7" w:rsidRPr="00242AA7" w14:paraId="13B26969" w14:textId="77777777" w:rsidTr="009E78DB">
        <w:trPr>
          <w:trHeight w:val="447"/>
          <w:jc w:val="center"/>
        </w:trPr>
        <w:tc>
          <w:tcPr>
            <w:tcW w:w="1134" w:type="dxa"/>
            <w:vMerge w:val="restart"/>
            <w:shd w:val="clear" w:color="auto" w:fill="auto"/>
            <w:vAlign w:val="center"/>
            <w:hideMark/>
          </w:tcPr>
          <w:p w14:paraId="13D71322" w14:textId="4266DF17" w:rsidR="00EA7C70" w:rsidRPr="00242AA7" w:rsidRDefault="00EA7C70"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Ost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[2</w:t>
            </w:r>
            <w:r w:rsidR="00C74C98">
              <w:rPr>
                <w:rFonts w:ascii="Book Antiqua" w:eastAsia="SimSun" w:hAnsi="Book Antiqua" w:cs="Times New Roman" w:hint="eastAsia"/>
                <w:vertAlign w:val="superscript"/>
                <w:lang w:val="es-ES" w:eastAsia="zh-CN"/>
              </w:rPr>
              <w:t>9</w:t>
            </w:r>
            <w:r w:rsidR="00C74C98" w:rsidRPr="00242AA7">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3D05AD6F"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851" w:type="dxa"/>
            <w:vMerge w:val="restart"/>
            <w:shd w:val="clear" w:color="auto" w:fill="auto"/>
            <w:vAlign w:val="center"/>
            <w:hideMark/>
          </w:tcPr>
          <w:p w14:paraId="1DDB4A0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72/89</w:t>
            </w:r>
          </w:p>
        </w:tc>
        <w:tc>
          <w:tcPr>
            <w:tcW w:w="946" w:type="dxa"/>
            <w:vMerge w:val="restart"/>
            <w:shd w:val="clear" w:color="auto" w:fill="auto"/>
            <w:vAlign w:val="center"/>
            <w:hideMark/>
          </w:tcPr>
          <w:p w14:paraId="00B2B134" w14:textId="0373DB9C"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180" w:type="dxa"/>
            <w:vMerge w:val="restart"/>
            <w:shd w:val="clear" w:color="auto" w:fill="auto"/>
            <w:vAlign w:val="center"/>
            <w:hideMark/>
          </w:tcPr>
          <w:p w14:paraId="6244CB24" w14:textId="38ACA05D" w:rsidR="00EA7C70" w:rsidRPr="00242AA7" w:rsidRDefault="00885510"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18F-</w:t>
            </w:r>
            <w:r w:rsidR="00EA7C70" w:rsidRPr="00242AA7">
              <w:rPr>
                <w:rFonts w:ascii="Book Antiqua" w:eastAsia="Times New Roman" w:hAnsi="Book Antiqua" w:cs="Times New Roman"/>
                <w:lang w:val="en-US"/>
              </w:rPr>
              <w:t>FDG, Cholina PET/CT,MRI</w:t>
            </w:r>
          </w:p>
        </w:tc>
        <w:tc>
          <w:tcPr>
            <w:tcW w:w="992" w:type="dxa"/>
            <w:vMerge w:val="restart"/>
            <w:shd w:val="clear" w:color="auto" w:fill="auto"/>
            <w:vAlign w:val="center"/>
            <w:hideMark/>
          </w:tcPr>
          <w:p w14:paraId="04320737"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LN</w:t>
            </w:r>
          </w:p>
        </w:tc>
        <w:tc>
          <w:tcPr>
            <w:tcW w:w="1276" w:type="dxa"/>
            <w:vMerge w:val="restart"/>
            <w:shd w:val="clear" w:color="auto" w:fill="auto"/>
            <w:vAlign w:val="center"/>
            <w:hideMark/>
          </w:tcPr>
          <w:p w14:paraId="0E4B6D79" w14:textId="606C7A59" w:rsidR="00EA7C70" w:rsidRPr="00242AA7" w:rsidRDefault="00EA7C70"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At least 5Gy/fr with BED at least</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80Gy</w:t>
            </w:r>
          </w:p>
        </w:tc>
        <w:tc>
          <w:tcPr>
            <w:tcW w:w="992" w:type="dxa"/>
            <w:vMerge w:val="restart"/>
            <w:shd w:val="clear" w:color="auto" w:fill="auto"/>
            <w:vAlign w:val="center"/>
            <w:hideMark/>
          </w:tcPr>
          <w:p w14:paraId="7EB3800A" w14:textId="0EBC9A89"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95.8% (3</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939" w:type="dxa"/>
            <w:vMerge w:val="restart"/>
            <w:shd w:val="clear" w:color="auto" w:fill="auto"/>
            <w:vAlign w:val="center"/>
            <w:hideMark/>
          </w:tcPr>
          <w:p w14:paraId="4743EB9B" w14:textId="1A1C2249"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Median 21 mo</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34% (3</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 13% (5</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749E649F" w14:textId="77777777" w:rsidTr="009E78DB">
        <w:trPr>
          <w:trHeight w:val="447"/>
          <w:jc w:val="center"/>
        </w:trPr>
        <w:tc>
          <w:tcPr>
            <w:tcW w:w="1134" w:type="dxa"/>
            <w:vMerge/>
            <w:vAlign w:val="center"/>
            <w:hideMark/>
          </w:tcPr>
          <w:p w14:paraId="3E829B4A"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338C3DED"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263070FC"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2B6B3CC1"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4C067D59"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300392E1"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14268986"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25768D9B"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5023486D" w14:textId="77777777" w:rsidR="00EA7C70" w:rsidRPr="00242AA7" w:rsidRDefault="00EA7C70" w:rsidP="00242AA7">
            <w:pPr>
              <w:spacing w:line="360" w:lineRule="auto"/>
              <w:jc w:val="both"/>
              <w:rPr>
                <w:rFonts w:ascii="Book Antiqua" w:eastAsia="Times New Roman" w:hAnsi="Book Antiqua" w:cs="Times New Roman"/>
                <w:lang w:val="es-ES"/>
              </w:rPr>
            </w:pPr>
          </w:p>
        </w:tc>
      </w:tr>
      <w:tr w:rsidR="00242AA7" w:rsidRPr="00242AA7" w14:paraId="682B215F" w14:textId="77777777" w:rsidTr="009E78DB">
        <w:trPr>
          <w:trHeight w:val="447"/>
          <w:jc w:val="center"/>
        </w:trPr>
        <w:tc>
          <w:tcPr>
            <w:tcW w:w="1134" w:type="dxa"/>
            <w:vMerge w:val="restart"/>
            <w:shd w:val="clear" w:color="auto" w:fill="auto"/>
            <w:vAlign w:val="center"/>
            <w:hideMark/>
          </w:tcPr>
          <w:p w14:paraId="7B871E98" w14:textId="4D00E85A" w:rsidR="00EA7C70" w:rsidRPr="00242AA7" w:rsidRDefault="00EA7C70"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Ingrosso et al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61</w:t>
            </w:r>
            <w:r w:rsidR="00C74C98" w:rsidRPr="00242AA7">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09ADB0B9"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851" w:type="dxa"/>
            <w:vMerge w:val="restart"/>
            <w:shd w:val="clear" w:color="auto" w:fill="auto"/>
            <w:vAlign w:val="center"/>
            <w:hideMark/>
          </w:tcPr>
          <w:p w14:paraId="6761544A"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40/47</w:t>
            </w:r>
          </w:p>
        </w:tc>
        <w:tc>
          <w:tcPr>
            <w:tcW w:w="946" w:type="dxa"/>
            <w:vMerge w:val="restart"/>
            <w:shd w:val="clear" w:color="auto" w:fill="auto"/>
            <w:vAlign w:val="center"/>
            <w:hideMark/>
          </w:tcPr>
          <w:p w14:paraId="1BEB85BC"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p>
        </w:tc>
        <w:tc>
          <w:tcPr>
            <w:tcW w:w="1180" w:type="dxa"/>
            <w:vMerge w:val="restart"/>
            <w:shd w:val="clear" w:color="auto" w:fill="auto"/>
            <w:vAlign w:val="center"/>
            <w:hideMark/>
          </w:tcPr>
          <w:p w14:paraId="35763186" w14:textId="15873F2F" w:rsidR="00EA7C70" w:rsidRPr="00242AA7" w:rsidRDefault="00C1476E"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Cholina PET/</w:t>
            </w:r>
            <w:r w:rsidR="00EA7C70" w:rsidRPr="00242AA7">
              <w:rPr>
                <w:rFonts w:ascii="Book Antiqua" w:eastAsia="Times New Roman" w:hAnsi="Book Antiqua" w:cs="Times New Roman"/>
                <w:lang w:val="es-ES"/>
              </w:rPr>
              <w:t>C</w:t>
            </w:r>
            <w:r w:rsidRPr="00242AA7">
              <w:rPr>
                <w:rFonts w:ascii="Book Antiqua" w:eastAsia="Times New Roman" w:hAnsi="Book Antiqua" w:cs="Times New Roman"/>
                <w:lang w:val="es-ES"/>
              </w:rPr>
              <w:t>T</w:t>
            </w:r>
          </w:p>
        </w:tc>
        <w:tc>
          <w:tcPr>
            <w:tcW w:w="992" w:type="dxa"/>
            <w:vMerge w:val="restart"/>
            <w:shd w:val="clear" w:color="auto" w:fill="auto"/>
            <w:vAlign w:val="center"/>
            <w:hideMark/>
          </w:tcPr>
          <w:p w14:paraId="1256AC50"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LN</w:t>
            </w:r>
          </w:p>
        </w:tc>
        <w:tc>
          <w:tcPr>
            <w:tcW w:w="1276" w:type="dxa"/>
            <w:vMerge w:val="restart"/>
            <w:shd w:val="clear" w:color="auto" w:fill="auto"/>
            <w:vAlign w:val="center"/>
            <w:hideMark/>
          </w:tcPr>
          <w:p w14:paraId="221D293E" w14:textId="5EB76051" w:rsidR="00EA7C70" w:rsidRPr="00242AA7" w:rsidRDefault="00F814A9"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35-40Gy/5fr </w:t>
            </w:r>
            <w:r w:rsidR="00EA7C70" w:rsidRPr="00242AA7">
              <w:rPr>
                <w:rFonts w:ascii="Book Antiqua" w:eastAsia="Times New Roman" w:hAnsi="Book Antiqua" w:cs="Times New Roman"/>
                <w:lang w:val="es-ES"/>
              </w:rPr>
              <w:t>(+ frequent)</w:t>
            </w:r>
          </w:p>
        </w:tc>
        <w:tc>
          <w:tcPr>
            <w:tcW w:w="992" w:type="dxa"/>
            <w:vMerge w:val="restart"/>
            <w:shd w:val="clear" w:color="auto" w:fill="auto"/>
            <w:vAlign w:val="center"/>
            <w:hideMark/>
          </w:tcPr>
          <w:p w14:paraId="53C4017E" w14:textId="68DA8043" w:rsidR="00EA7C70" w:rsidRPr="00242AA7" w:rsidRDefault="00B0191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98% (mean</w:t>
            </w:r>
            <w:r w:rsidR="00EA7C70" w:rsidRPr="00242AA7">
              <w:rPr>
                <w:rFonts w:ascii="Book Antiqua" w:eastAsia="Times New Roman" w:hAnsi="Book Antiqua" w:cs="Times New Roman"/>
                <w:lang w:val="es-ES"/>
              </w:rPr>
              <w:t xml:space="preserve"> FU 30 mo)</w:t>
            </w:r>
          </w:p>
        </w:tc>
        <w:tc>
          <w:tcPr>
            <w:tcW w:w="1939" w:type="dxa"/>
            <w:vMerge w:val="restart"/>
            <w:shd w:val="clear" w:color="auto" w:fill="auto"/>
            <w:vAlign w:val="center"/>
            <w:hideMark/>
          </w:tcPr>
          <w:p w14:paraId="217A340A" w14:textId="192B9E1F" w:rsidR="00EA7C70" w:rsidRPr="00242AA7" w:rsidRDefault="008D3F48"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NR</w:t>
            </w:r>
            <w:r w:rsidR="00EA7C70" w:rsidRPr="00242AA7">
              <w:rPr>
                <w:rFonts w:ascii="Book Antiqua" w:eastAsia="Times New Roman" w:hAnsi="Book Antiqua" w:cs="Times New Roman"/>
                <w:lang w:val="es-ES"/>
              </w:rPr>
              <w:t xml:space="preserve"> </w:t>
            </w:r>
          </w:p>
        </w:tc>
      </w:tr>
      <w:tr w:rsidR="00242AA7" w:rsidRPr="00242AA7" w14:paraId="65011668" w14:textId="77777777" w:rsidTr="009E78DB">
        <w:trPr>
          <w:trHeight w:val="447"/>
          <w:jc w:val="center"/>
        </w:trPr>
        <w:tc>
          <w:tcPr>
            <w:tcW w:w="1134" w:type="dxa"/>
            <w:vMerge/>
            <w:vAlign w:val="center"/>
            <w:hideMark/>
          </w:tcPr>
          <w:p w14:paraId="59AC2D20"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3D4C08E1"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28FD7AEE"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1F61B21D"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01FAB81D"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0A75DF25"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66FE412B"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4316FE54"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6427C6C3" w14:textId="77777777" w:rsidR="00EA7C70" w:rsidRPr="00242AA7" w:rsidRDefault="00EA7C70" w:rsidP="00242AA7">
            <w:pPr>
              <w:spacing w:line="360" w:lineRule="auto"/>
              <w:jc w:val="both"/>
              <w:rPr>
                <w:rFonts w:ascii="Book Antiqua" w:eastAsia="Times New Roman" w:hAnsi="Book Antiqua" w:cs="Times New Roman"/>
                <w:lang w:val="es-ES"/>
              </w:rPr>
            </w:pPr>
          </w:p>
        </w:tc>
      </w:tr>
      <w:tr w:rsidR="00242AA7" w:rsidRPr="00242AA7" w14:paraId="3A3C3CFC" w14:textId="77777777" w:rsidTr="009E78DB">
        <w:trPr>
          <w:trHeight w:val="447"/>
          <w:jc w:val="center"/>
        </w:trPr>
        <w:tc>
          <w:tcPr>
            <w:tcW w:w="1134" w:type="dxa"/>
            <w:vMerge w:val="restart"/>
            <w:shd w:val="clear" w:color="auto" w:fill="auto"/>
            <w:vAlign w:val="center"/>
            <w:hideMark/>
          </w:tcPr>
          <w:p w14:paraId="75C57F60" w14:textId="7C955DDC" w:rsidR="00EA7C70" w:rsidRPr="00242AA7" w:rsidRDefault="00EA7C70" w:rsidP="00C74C98">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Jereczek-Fossa </w:t>
            </w:r>
            <w:r w:rsidR="00C74C98" w:rsidRPr="00C74C98">
              <w:rPr>
                <w:rFonts w:ascii="Book Antiqua" w:eastAsia="Times New Roman" w:hAnsi="Book Antiqua" w:cs="Times New Roman"/>
                <w:i/>
                <w:lang w:val="es-ES"/>
              </w:rPr>
              <w:t>et al</w:t>
            </w:r>
            <w:r w:rsidR="00C74C98" w:rsidRPr="00242AA7">
              <w:rPr>
                <w:rFonts w:ascii="Book Antiqua" w:eastAsia="Times New Roman" w:hAnsi="Book Antiqua" w:cs="Times New Roman"/>
                <w:vertAlign w:val="superscript"/>
                <w:lang w:val="es-ES"/>
              </w:rPr>
              <w:t>[</w:t>
            </w:r>
            <w:r w:rsidR="00C74C98">
              <w:rPr>
                <w:rFonts w:ascii="Book Antiqua" w:eastAsia="SimSun" w:hAnsi="Book Antiqua" w:cs="Times New Roman" w:hint="eastAsia"/>
                <w:vertAlign w:val="superscript"/>
                <w:lang w:val="es-ES" w:eastAsia="zh-CN"/>
              </w:rPr>
              <w:t>62</w:t>
            </w:r>
            <w:r w:rsidR="00C74C98" w:rsidRPr="00242AA7">
              <w:rPr>
                <w:rFonts w:ascii="Book Antiqua" w:eastAsia="Times New Roman" w:hAnsi="Book Antiqua" w:cs="Times New Roman"/>
                <w:vertAlign w:val="superscript"/>
                <w:lang w:val="es-ES"/>
              </w:rPr>
              <w:t>]</w:t>
            </w:r>
          </w:p>
        </w:tc>
        <w:tc>
          <w:tcPr>
            <w:tcW w:w="567" w:type="dxa"/>
            <w:vMerge w:val="restart"/>
            <w:shd w:val="clear" w:color="auto" w:fill="auto"/>
            <w:vAlign w:val="center"/>
            <w:hideMark/>
          </w:tcPr>
          <w:p w14:paraId="34B47FC9"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R</w:t>
            </w:r>
          </w:p>
        </w:tc>
        <w:tc>
          <w:tcPr>
            <w:tcW w:w="851" w:type="dxa"/>
            <w:vMerge w:val="restart"/>
            <w:shd w:val="clear" w:color="auto" w:fill="auto"/>
            <w:vAlign w:val="center"/>
            <w:hideMark/>
          </w:tcPr>
          <w:p w14:paraId="0B9709E1"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94/124</w:t>
            </w:r>
          </w:p>
        </w:tc>
        <w:tc>
          <w:tcPr>
            <w:tcW w:w="946" w:type="dxa"/>
            <w:vMerge w:val="restart"/>
            <w:shd w:val="clear" w:color="auto" w:fill="auto"/>
            <w:vAlign w:val="center"/>
            <w:hideMark/>
          </w:tcPr>
          <w:p w14:paraId="3C62B7A2" w14:textId="445C142D"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5</w:t>
            </w:r>
          </w:p>
        </w:tc>
        <w:tc>
          <w:tcPr>
            <w:tcW w:w="1180" w:type="dxa"/>
            <w:vMerge w:val="restart"/>
            <w:shd w:val="clear" w:color="auto" w:fill="auto"/>
            <w:vAlign w:val="center"/>
            <w:hideMark/>
          </w:tcPr>
          <w:p w14:paraId="322B92DA" w14:textId="77777777" w:rsidR="00EA7C70" w:rsidRPr="00242AA7" w:rsidRDefault="00EA7C70"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Cholina PET/CT/CT/MRI</w:t>
            </w:r>
          </w:p>
        </w:tc>
        <w:tc>
          <w:tcPr>
            <w:tcW w:w="992" w:type="dxa"/>
            <w:vMerge w:val="restart"/>
            <w:shd w:val="clear" w:color="auto" w:fill="auto"/>
            <w:vAlign w:val="center"/>
            <w:hideMark/>
          </w:tcPr>
          <w:p w14:paraId="4CAD763C" w14:textId="77777777"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LN</w:t>
            </w:r>
          </w:p>
        </w:tc>
        <w:tc>
          <w:tcPr>
            <w:tcW w:w="1276" w:type="dxa"/>
            <w:vMerge w:val="restart"/>
            <w:shd w:val="clear" w:color="auto" w:fill="auto"/>
            <w:vAlign w:val="center"/>
            <w:hideMark/>
          </w:tcPr>
          <w:p w14:paraId="359DA8C0" w14:textId="1B7ECB08"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24-30Gy/3fr (+</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frequent)</w:t>
            </w:r>
          </w:p>
        </w:tc>
        <w:tc>
          <w:tcPr>
            <w:tcW w:w="992" w:type="dxa"/>
            <w:vMerge w:val="restart"/>
            <w:shd w:val="clear" w:color="auto" w:fill="auto"/>
            <w:vAlign w:val="center"/>
            <w:hideMark/>
          </w:tcPr>
          <w:p w14:paraId="7C5F9621" w14:textId="6A3FACB9"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84% (2</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c>
          <w:tcPr>
            <w:tcW w:w="1939" w:type="dxa"/>
            <w:vMerge w:val="restart"/>
            <w:shd w:val="clear" w:color="auto" w:fill="auto"/>
            <w:vAlign w:val="center"/>
            <w:hideMark/>
          </w:tcPr>
          <w:p w14:paraId="7A0F5BA8" w14:textId="27D2259A" w:rsidR="00EA7C70" w:rsidRPr="00242AA7" w:rsidRDefault="00EA7C70"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30% (2</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y</w:t>
            </w:r>
            <w:r w:rsidR="00B978F7" w:rsidRPr="00242AA7">
              <w:rPr>
                <w:rFonts w:ascii="Book Antiqua" w:eastAsia="Times New Roman" w:hAnsi="Book Antiqua" w:cs="Times New Roman"/>
                <w:lang w:val="es-ES"/>
              </w:rPr>
              <w:t>r</w:t>
            </w:r>
            <w:r w:rsidRPr="00242AA7">
              <w:rPr>
                <w:rFonts w:ascii="Book Antiqua" w:eastAsia="Times New Roman" w:hAnsi="Book Antiqua" w:cs="Times New Roman"/>
                <w:lang w:val="es-ES"/>
              </w:rPr>
              <w:t>)</w:t>
            </w:r>
          </w:p>
        </w:tc>
      </w:tr>
      <w:tr w:rsidR="00242AA7" w:rsidRPr="00242AA7" w14:paraId="24E57CA9" w14:textId="77777777" w:rsidTr="009E78DB">
        <w:trPr>
          <w:trHeight w:val="447"/>
          <w:jc w:val="center"/>
        </w:trPr>
        <w:tc>
          <w:tcPr>
            <w:tcW w:w="1134" w:type="dxa"/>
            <w:vMerge/>
            <w:vAlign w:val="center"/>
            <w:hideMark/>
          </w:tcPr>
          <w:p w14:paraId="33FC5A40"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567" w:type="dxa"/>
            <w:vMerge/>
            <w:vAlign w:val="center"/>
            <w:hideMark/>
          </w:tcPr>
          <w:p w14:paraId="731F26C2"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851" w:type="dxa"/>
            <w:vMerge/>
            <w:vAlign w:val="center"/>
            <w:hideMark/>
          </w:tcPr>
          <w:p w14:paraId="0D1ED4B2"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46" w:type="dxa"/>
            <w:vMerge/>
            <w:vAlign w:val="center"/>
            <w:hideMark/>
          </w:tcPr>
          <w:p w14:paraId="72D259A6"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180" w:type="dxa"/>
            <w:vMerge/>
            <w:vAlign w:val="center"/>
            <w:hideMark/>
          </w:tcPr>
          <w:p w14:paraId="0AC61CDC"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6D4DD898"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276" w:type="dxa"/>
            <w:vMerge/>
            <w:vAlign w:val="center"/>
            <w:hideMark/>
          </w:tcPr>
          <w:p w14:paraId="5E7B33A8"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992" w:type="dxa"/>
            <w:vMerge/>
            <w:vAlign w:val="center"/>
            <w:hideMark/>
          </w:tcPr>
          <w:p w14:paraId="3779985C" w14:textId="77777777" w:rsidR="00EA7C70" w:rsidRPr="00242AA7" w:rsidRDefault="00EA7C70" w:rsidP="00242AA7">
            <w:pPr>
              <w:spacing w:line="360" w:lineRule="auto"/>
              <w:jc w:val="both"/>
              <w:rPr>
                <w:rFonts w:ascii="Book Antiqua" w:eastAsia="Times New Roman" w:hAnsi="Book Antiqua" w:cs="Times New Roman"/>
                <w:lang w:val="es-ES"/>
              </w:rPr>
            </w:pPr>
          </w:p>
        </w:tc>
        <w:tc>
          <w:tcPr>
            <w:tcW w:w="1939" w:type="dxa"/>
            <w:vMerge/>
            <w:vAlign w:val="center"/>
            <w:hideMark/>
          </w:tcPr>
          <w:p w14:paraId="4ED6E394" w14:textId="77777777" w:rsidR="00EA7C70" w:rsidRPr="00242AA7" w:rsidRDefault="00EA7C70" w:rsidP="00242AA7">
            <w:pPr>
              <w:spacing w:line="360" w:lineRule="auto"/>
              <w:jc w:val="both"/>
              <w:rPr>
                <w:rFonts w:ascii="Book Antiqua" w:eastAsia="Times New Roman" w:hAnsi="Book Antiqua" w:cs="Times New Roman"/>
                <w:lang w:val="es-ES"/>
              </w:rPr>
            </w:pPr>
          </w:p>
        </w:tc>
      </w:tr>
    </w:tbl>
    <w:p w14:paraId="572DA023" w14:textId="77777777" w:rsidR="005656C7" w:rsidRPr="00242AA7" w:rsidRDefault="005656C7" w:rsidP="00242AA7">
      <w:pPr>
        <w:spacing w:line="360" w:lineRule="auto"/>
        <w:jc w:val="both"/>
        <w:rPr>
          <w:rFonts w:ascii="Book Antiqua" w:hAnsi="Book Antiqua"/>
        </w:rPr>
      </w:pPr>
    </w:p>
    <w:p w14:paraId="60672E81" w14:textId="4D9CBA63" w:rsidR="0092122B" w:rsidRPr="00242AA7" w:rsidRDefault="005656C7" w:rsidP="00242AA7">
      <w:pPr>
        <w:spacing w:line="360" w:lineRule="auto"/>
        <w:jc w:val="both"/>
        <w:rPr>
          <w:rStyle w:val="st"/>
          <w:rFonts w:ascii="Book Antiqua" w:hAnsi="Book Antiqua"/>
        </w:rPr>
      </w:pPr>
      <w:r w:rsidRPr="00242AA7">
        <w:rPr>
          <w:rStyle w:val="Emphasis"/>
          <w:rFonts w:ascii="Book Antiqua" w:eastAsia="Times New Roman" w:hAnsi="Book Antiqua"/>
          <w:i w:val="0"/>
        </w:rPr>
        <w:lastRenderedPageBreak/>
        <w:t xml:space="preserve">BED: </w:t>
      </w:r>
      <w:r w:rsidRPr="00242AA7">
        <w:rPr>
          <w:rFonts w:ascii="Book Antiqua" w:hAnsi="Book Antiqua"/>
        </w:rPr>
        <w:t>Biologically effective dose; CT:</w:t>
      </w:r>
      <w:r w:rsidRPr="00242AA7">
        <w:rPr>
          <w:rStyle w:val="Emphasis"/>
          <w:rFonts w:ascii="Book Antiqua" w:eastAsia="Times New Roman" w:hAnsi="Book Antiqua"/>
        </w:rPr>
        <w:t xml:space="preserve"> </w:t>
      </w:r>
      <w:r w:rsidRPr="00242AA7">
        <w:rPr>
          <w:rFonts w:ascii="Book Antiqua" w:hAnsi="Book Antiqua"/>
        </w:rPr>
        <w:t xml:space="preserve">Computed tomography; </w:t>
      </w:r>
      <w:r w:rsidRPr="00242AA7">
        <w:rPr>
          <w:rFonts w:ascii="Book Antiqua" w:eastAsia="Times New Roman" w:hAnsi="Book Antiqua" w:cs="Times New Roman"/>
          <w:lang w:val="en-US"/>
        </w:rPr>
        <w:t>18F-FDG:</w:t>
      </w:r>
      <w:r w:rsidRPr="00242AA7">
        <w:rPr>
          <w:rFonts w:ascii="Book Antiqua" w:eastAsia="Times New Roman" w:hAnsi="Book Antiqua"/>
        </w:rPr>
        <w:t xml:space="preserve"> [18F]-fluorodeoxyglucose</w:t>
      </w:r>
      <w:r w:rsidRPr="00242AA7">
        <w:rPr>
          <w:rFonts w:ascii="Book Antiqua" w:eastAsia="Times New Roman" w:hAnsi="Book Antiqua" w:cs="Times New Roman"/>
          <w:lang w:val="en-US"/>
        </w:rPr>
        <w:t xml:space="preserve">; </w:t>
      </w:r>
      <w:r w:rsidRPr="00242AA7">
        <w:rPr>
          <w:rFonts w:ascii="Book Antiqua" w:hAnsi="Book Antiqua"/>
        </w:rPr>
        <w:t xml:space="preserve">LC: Local control; LN: Lymph node; MRI: Magnetic resonance imaging; </w:t>
      </w:r>
      <w:r w:rsidR="007778F1" w:rsidRPr="00242AA7">
        <w:rPr>
          <w:rFonts w:ascii="Book Antiqua" w:hAnsi="Book Antiqua"/>
        </w:rPr>
        <w:t>NR: Not reported</w:t>
      </w:r>
      <w:r w:rsidR="007778F1" w:rsidRPr="00242AA7">
        <w:rPr>
          <w:rStyle w:val="Emphasis"/>
          <w:rFonts w:ascii="Book Antiqua" w:eastAsia="Times New Roman" w:hAnsi="Book Antiqua"/>
        </w:rPr>
        <w:t xml:space="preserve">; </w:t>
      </w:r>
      <w:r w:rsidR="007778F1" w:rsidRPr="00242AA7">
        <w:rPr>
          <w:rFonts w:ascii="Book Antiqua" w:hAnsi="Book Antiqua"/>
        </w:rPr>
        <w:t xml:space="preserve">PET/CT: Positron emission tomography with coregistered computed tomography; </w:t>
      </w:r>
      <w:r w:rsidR="0092122B" w:rsidRPr="00242AA7">
        <w:rPr>
          <w:rStyle w:val="Emphasis"/>
          <w:rFonts w:ascii="Book Antiqua" w:eastAsia="Times New Roman" w:hAnsi="Book Antiqua"/>
          <w:i w:val="0"/>
        </w:rPr>
        <w:t xml:space="preserve">PFS: </w:t>
      </w:r>
      <w:r w:rsidR="00C210FF" w:rsidRPr="00242AA7">
        <w:rPr>
          <w:rStyle w:val="Emphasis"/>
          <w:rFonts w:ascii="Book Antiqua" w:eastAsia="Times New Roman" w:hAnsi="Book Antiqua"/>
          <w:i w:val="0"/>
        </w:rPr>
        <w:t xml:space="preserve">Progression </w:t>
      </w:r>
      <w:r w:rsidR="0092122B" w:rsidRPr="00242AA7">
        <w:rPr>
          <w:rStyle w:val="Emphasis"/>
          <w:rFonts w:ascii="Book Antiqua" w:eastAsia="Times New Roman" w:hAnsi="Book Antiqua"/>
          <w:i w:val="0"/>
        </w:rPr>
        <w:t>free survival</w:t>
      </w:r>
      <w:r w:rsidR="00A64DD3" w:rsidRPr="00242AA7">
        <w:rPr>
          <w:rStyle w:val="Emphasis"/>
          <w:rFonts w:ascii="Book Antiqua" w:eastAsia="Times New Roman" w:hAnsi="Book Antiqua"/>
          <w:i w:val="0"/>
        </w:rPr>
        <w:t>;</w:t>
      </w:r>
      <w:r w:rsidRPr="00242AA7">
        <w:rPr>
          <w:rStyle w:val="Emphasis"/>
          <w:rFonts w:ascii="Book Antiqua" w:eastAsia="Times New Roman" w:hAnsi="Book Antiqua"/>
          <w:i w:val="0"/>
        </w:rPr>
        <w:t xml:space="preserve"> </w:t>
      </w:r>
      <w:r w:rsidRPr="00242AA7">
        <w:rPr>
          <w:rFonts w:ascii="Book Antiqua" w:hAnsi="Book Antiqua"/>
        </w:rPr>
        <w:t>R: Retrospective; SBRT: Stereotactic body radiation therapy</w:t>
      </w:r>
      <w:r w:rsidRPr="00242AA7">
        <w:rPr>
          <w:rFonts w:ascii="Book Antiqua" w:hAnsi="Book Antiqua" w:cs="Arial"/>
          <w:lang w:val="en-US"/>
        </w:rPr>
        <w:t>.</w:t>
      </w:r>
    </w:p>
    <w:p w14:paraId="0A033AD3" w14:textId="77777777" w:rsidR="00F814A9" w:rsidRPr="00242AA7" w:rsidRDefault="00F814A9" w:rsidP="00242AA7">
      <w:pPr>
        <w:spacing w:line="360" w:lineRule="auto"/>
        <w:jc w:val="both"/>
        <w:rPr>
          <w:rStyle w:val="st"/>
          <w:rFonts w:ascii="Book Antiqua" w:eastAsia="Times New Roman" w:hAnsi="Book Antiqua"/>
          <w:i/>
        </w:rPr>
      </w:pPr>
    </w:p>
    <w:p w14:paraId="7CF36093" w14:textId="77777777" w:rsidR="00DA6F96" w:rsidRPr="00C210FF" w:rsidRDefault="00DA6F96" w:rsidP="00242AA7">
      <w:pPr>
        <w:keepNext/>
        <w:spacing w:line="360" w:lineRule="auto"/>
        <w:jc w:val="both"/>
        <w:rPr>
          <w:rFonts w:ascii="Book Antiqua" w:eastAsia="SimSun" w:hAnsi="Book Antiqua" w:cs="Arial"/>
          <w:lang w:val="en-US" w:eastAsia="zh-CN"/>
        </w:rPr>
      </w:pPr>
    </w:p>
    <w:p w14:paraId="6A047275" w14:textId="77777777" w:rsidR="00C210FF" w:rsidRDefault="00C210FF">
      <w:pPr>
        <w:rPr>
          <w:rFonts w:ascii="Book Antiqua" w:eastAsia="Times New Roman" w:hAnsi="Book Antiqua" w:cs="Arial"/>
          <w:b/>
          <w:lang w:val="en-US"/>
        </w:rPr>
      </w:pPr>
      <w:r>
        <w:rPr>
          <w:rFonts w:ascii="Book Antiqua" w:eastAsia="Times New Roman" w:hAnsi="Book Antiqua" w:cs="Arial"/>
          <w:b/>
          <w:lang w:val="en-US"/>
        </w:rPr>
        <w:br w:type="page"/>
      </w:r>
    </w:p>
    <w:p w14:paraId="7B15C2BD" w14:textId="696BDCD9" w:rsidR="00BE5E5A" w:rsidRPr="00C210FF" w:rsidRDefault="00C210FF" w:rsidP="00242AA7">
      <w:pPr>
        <w:keepNext/>
        <w:spacing w:line="360" w:lineRule="auto"/>
        <w:jc w:val="both"/>
        <w:rPr>
          <w:rFonts w:ascii="Book Antiqua" w:eastAsia="Times New Roman" w:hAnsi="Book Antiqua" w:cs="Arial"/>
          <w:b/>
          <w:lang w:val="en-US"/>
        </w:rPr>
      </w:pPr>
      <w:r w:rsidRPr="00C210FF">
        <w:rPr>
          <w:rFonts w:ascii="Book Antiqua" w:eastAsia="Times New Roman" w:hAnsi="Book Antiqua" w:cs="Arial"/>
          <w:b/>
          <w:lang w:val="en-US"/>
        </w:rPr>
        <w:lastRenderedPageBreak/>
        <w:t>Table 3</w:t>
      </w:r>
      <w:r w:rsidR="00FE1BF4" w:rsidRPr="00C210FF">
        <w:rPr>
          <w:rFonts w:ascii="Book Antiqua" w:eastAsia="Times New Roman" w:hAnsi="Book Antiqua" w:cs="Arial"/>
          <w:b/>
          <w:lang w:val="en-US"/>
        </w:rPr>
        <w:t xml:space="preserve"> Summary of </w:t>
      </w:r>
      <w:r w:rsidRPr="00C210FF">
        <w:rPr>
          <w:rFonts w:ascii="Book Antiqua" w:eastAsia="Times New Roman" w:hAnsi="Book Antiqua" w:cs="Arial"/>
          <w:b/>
          <w:lang w:val="en-US"/>
        </w:rPr>
        <w:t xml:space="preserve">clinical trials investigating treatment with </w:t>
      </w:r>
      <w:r w:rsidRPr="00C210FF">
        <w:rPr>
          <w:rFonts w:ascii="Book Antiqua" w:hAnsi="Book Antiqua"/>
          <w:b/>
        </w:rPr>
        <w:t>stereotactic body radiation therapy</w:t>
      </w:r>
      <w:r w:rsidRPr="00C210FF">
        <w:rPr>
          <w:rFonts w:ascii="Book Antiqua" w:eastAsia="Times New Roman" w:hAnsi="Book Antiqua" w:cs="Arial"/>
          <w:b/>
          <w:lang w:val="en-US"/>
        </w:rPr>
        <w:t xml:space="preserve"> in oligometastatic prostate cancer</w:t>
      </w:r>
    </w:p>
    <w:p w14:paraId="1FCCEB81" w14:textId="77777777" w:rsidR="00DA6F96" w:rsidRPr="00242AA7" w:rsidRDefault="00DA6F96" w:rsidP="00242AA7">
      <w:pPr>
        <w:keepNext/>
        <w:spacing w:line="360" w:lineRule="auto"/>
        <w:jc w:val="both"/>
        <w:rPr>
          <w:rFonts w:ascii="Book Antiqua" w:hAnsi="Book Antiqua"/>
        </w:rPr>
      </w:pPr>
    </w:p>
    <w:tbl>
      <w:tblPr>
        <w:tblW w:w="9320"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24"/>
        <w:gridCol w:w="770"/>
        <w:gridCol w:w="942"/>
        <w:gridCol w:w="1284"/>
        <w:gridCol w:w="1425"/>
        <w:gridCol w:w="1623"/>
        <w:gridCol w:w="2589"/>
      </w:tblGrid>
      <w:tr w:rsidR="00242AA7" w:rsidRPr="00242AA7" w14:paraId="3532337D" w14:textId="77777777" w:rsidTr="00227C72">
        <w:trPr>
          <w:trHeight w:val="440"/>
        </w:trPr>
        <w:tc>
          <w:tcPr>
            <w:tcW w:w="1283" w:type="dxa"/>
            <w:shd w:val="clear" w:color="auto" w:fill="auto"/>
            <w:vAlign w:val="center"/>
            <w:hideMark/>
          </w:tcPr>
          <w:p w14:paraId="74B7DCB6"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Study</w:t>
            </w:r>
          </w:p>
        </w:tc>
        <w:tc>
          <w:tcPr>
            <w:tcW w:w="1202" w:type="dxa"/>
            <w:shd w:val="clear" w:color="auto" w:fill="auto"/>
            <w:vAlign w:val="center"/>
            <w:hideMark/>
          </w:tcPr>
          <w:p w14:paraId="4C9B21FC"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Study type</w:t>
            </w:r>
          </w:p>
        </w:tc>
        <w:tc>
          <w:tcPr>
            <w:tcW w:w="1212" w:type="dxa"/>
            <w:shd w:val="clear" w:color="auto" w:fill="auto"/>
            <w:vAlign w:val="center"/>
            <w:hideMark/>
          </w:tcPr>
          <w:p w14:paraId="7673A1BA"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Type of patient</w:t>
            </w:r>
          </w:p>
        </w:tc>
        <w:tc>
          <w:tcPr>
            <w:tcW w:w="1246" w:type="dxa"/>
            <w:shd w:val="clear" w:color="auto" w:fill="auto"/>
            <w:vAlign w:val="center"/>
            <w:hideMark/>
          </w:tcPr>
          <w:p w14:paraId="4D104CF6"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No. of metastases</w:t>
            </w:r>
          </w:p>
        </w:tc>
        <w:tc>
          <w:tcPr>
            <w:tcW w:w="1266" w:type="dxa"/>
            <w:shd w:val="clear" w:color="auto" w:fill="auto"/>
            <w:vAlign w:val="center"/>
            <w:hideMark/>
          </w:tcPr>
          <w:p w14:paraId="056564E5"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Site of metastases</w:t>
            </w:r>
          </w:p>
        </w:tc>
        <w:tc>
          <w:tcPr>
            <w:tcW w:w="1485" w:type="dxa"/>
            <w:shd w:val="clear" w:color="auto" w:fill="auto"/>
            <w:vAlign w:val="center"/>
            <w:hideMark/>
          </w:tcPr>
          <w:p w14:paraId="1DDC4B68"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Intervention</w:t>
            </w:r>
          </w:p>
        </w:tc>
        <w:tc>
          <w:tcPr>
            <w:tcW w:w="1626" w:type="dxa"/>
            <w:shd w:val="clear" w:color="auto" w:fill="auto"/>
            <w:vAlign w:val="center"/>
            <w:hideMark/>
          </w:tcPr>
          <w:p w14:paraId="2745A0AF" w14:textId="0CB5CDDE"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Primary </w:t>
            </w:r>
            <w:r w:rsidR="00C210FF" w:rsidRPr="00242AA7">
              <w:rPr>
                <w:rFonts w:ascii="Book Antiqua" w:eastAsia="Times New Roman" w:hAnsi="Book Antiqua" w:cs="Times New Roman"/>
                <w:lang w:val="es-ES"/>
              </w:rPr>
              <w:t>e</w:t>
            </w:r>
            <w:r w:rsidRPr="00242AA7">
              <w:rPr>
                <w:rFonts w:ascii="Book Antiqua" w:eastAsia="Times New Roman" w:hAnsi="Book Antiqua" w:cs="Times New Roman"/>
                <w:lang w:val="es-ES"/>
              </w:rPr>
              <w:t>ndpoint</w:t>
            </w:r>
          </w:p>
        </w:tc>
      </w:tr>
      <w:tr w:rsidR="00242AA7" w:rsidRPr="00242AA7" w14:paraId="0C356FE4" w14:textId="77777777" w:rsidTr="00227C72">
        <w:trPr>
          <w:trHeight w:val="447"/>
        </w:trPr>
        <w:tc>
          <w:tcPr>
            <w:tcW w:w="1283" w:type="dxa"/>
            <w:vMerge w:val="restart"/>
            <w:shd w:val="clear" w:color="auto" w:fill="auto"/>
            <w:vAlign w:val="center"/>
            <w:hideMark/>
          </w:tcPr>
          <w:p w14:paraId="61EE1B0C" w14:textId="7961DF1E"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NCT02680587 Sidney, Kimmel Comprehensive Cancer Center (ORIOLE)</w:t>
            </w:r>
            <w:r w:rsidR="007A7BFC" w:rsidRPr="00242AA7">
              <w:rPr>
                <w:rFonts w:ascii="Book Antiqua" w:eastAsia="Times New Roman" w:hAnsi="Book Antiqua" w:cs="Times New Roman"/>
                <w:vertAlign w:val="superscript"/>
                <w:lang w:val="en-US"/>
              </w:rPr>
              <w:t>[51]</w:t>
            </w:r>
            <w:r w:rsidR="007A7BFC" w:rsidRPr="00242AA7">
              <w:rPr>
                <w:rFonts w:ascii="Book Antiqua" w:eastAsia="Times New Roman" w:hAnsi="Book Antiqua" w:cs="Times New Roman"/>
                <w:lang w:val="en-US"/>
              </w:rPr>
              <w:t xml:space="preserve"> </w:t>
            </w:r>
          </w:p>
        </w:tc>
        <w:tc>
          <w:tcPr>
            <w:tcW w:w="1202" w:type="dxa"/>
            <w:vMerge w:val="restart"/>
            <w:shd w:val="clear" w:color="auto" w:fill="auto"/>
            <w:vAlign w:val="center"/>
            <w:hideMark/>
          </w:tcPr>
          <w:p w14:paraId="069096FF"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Phase II</w:t>
            </w:r>
          </w:p>
        </w:tc>
        <w:tc>
          <w:tcPr>
            <w:tcW w:w="1212" w:type="dxa"/>
            <w:vMerge w:val="restart"/>
            <w:shd w:val="clear" w:color="auto" w:fill="auto"/>
            <w:vAlign w:val="center"/>
            <w:hideMark/>
          </w:tcPr>
          <w:p w14:paraId="73FD5CDF"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HS</w:t>
            </w:r>
          </w:p>
        </w:tc>
        <w:tc>
          <w:tcPr>
            <w:tcW w:w="1246" w:type="dxa"/>
            <w:vMerge w:val="restart"/>
            <w:shd w:val="clear" w:color="auto" w:fill="auto"/>
            <w:vAlign w:val="center"/>
            <w:hideMark/>
          </w:tcPr>
          <w:p w14:paraId="59E0C59B" w14:textId="35A76CA1"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266" w:type="dxa"/>
            <w:vMerge w:val="restart"/>
            <w:shd w:val="clear" w:color="auto" w:fill="auto"/>
            <w:vAlign w:val="center"/>
            <w:hideMark/>
          </w:tcPr>
          <w:p w14:paraId="1F09A90C"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or soft tissue</w:t>
            </w:r>
          </w:p>
        </w:tc>
        <w:tc>
          <w:tcPr>
            <w:tcW w:w="1485" w:type="dxa"/>
            <w:vMerge w:val="restart"/>
            <w:shd w:val="clear" w:color="auto" w:fill="auto"/>
            <w:vAlign w:val="center"/>
            <w:hideMark/>
          </w:tcPr>
          <w:p w14:paraId="50A6EDC0"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Observation </w:t>
            </w:r>
            <w:r w:rsidRPr="00C210FF">
              <w:rPr>
                <w:rFonts w:ascii="Book Antiqua" w:eastAsia="Times New Roman" w:hAnsi="Book Antiqua" w:cs="Times New Roman"/>
                <w:i/>
                <w:lang w:val="es-ES"/>
              </w:rPr>
              <w:t>vs</w:t>
            </w:r>
            <w:r w:rsidRPr="00242AA7">
              <w:rPr>
                <w:rFonts w:ascii="Book Antiqua" w:eastAsia="Times New Roman" w:hAnsi="Book Antiqua" w:cs="Times New Roman"/>
                <w:lang w:val="es-ES"/>
              </w:rPr>
              <w:t xml:space="preserve"> SBRT </w:t>
            </w:r>
          </w:p>
        </w:tc>
        <w:tc>
          <w:tcPr>
            <w:tcW w:w="1626" w:type="dxa"/>
            <w:vMerge w:val="restart"/>
            <w:shd w:val="clear" w:color="auto" w:fill="auto"/>
            <w:vAlign w:val="center"/>
            <w:hideMark/>
          </w:tcPr>
          <w:p w14:paraId="2EFBC807" w14:textId="153D7718" w:rsidR="00C20984" w:rsidRPr="00C210FF" w:rsidRDefault="00C20984" w:rsidP="00C210FF">
            <w:pPr>
              <w:spacing w:line="360" w:lineRule="auto"/>
              <w:jc w:val="both"/>
              <w:rPr>
                <w:rFonts w:ascii="Book Antiqua" w:eastAsia="SimSun" w:hAnsi="Book Antiqua" w:cs="Times New Roman"/>
                <w:lang w:val="en-US" w:eastAsia="zh-CN"/>
              </w:rPr>
            </w:pPr>
            <w:r w:rsidRPr="00242AA7">
              <w:rPr>
                <w:rFonts w:ascii="Book Antiqua" w:eastAsia="Times New Roman" w:hAnsi="Book Antiqua" w:cs="Times New Roman"/>
                <w:lang w:val="en-US"/>
              </w:rPr>
              <w:t xml:space="preserve">Time to progression </w:t>
            </w:r>
            <w:r w:rsidR="00C210FF">
              <w:rPr>
                <w:rFonts w:ascii="Book Antiqua" w:eastAsia="SimSun" w:hAnsi="Book Antiqua" w:cs="Times New Roman" w:hint="eastAsia"/>
                <w:lang w:val="en-US" w:eastAsia="zh-CN"/>
              </w:rPr>
              <w:t>(</w:t>
            </w:r>
            <w:r w:rsidRPr="00242AA7">
              <w:rPr>
                <w:rFonts w:ascii="Book Antiqua" w:eastAsia="Times New Roman" w:hAnsi="Book Antiqua" w:cs="Times New Roman"/>
                <w:lang w:val="en-US"/>
              </w:rPr>
              <w:t>Time Frame: 6 mo</w:t>
            </w:r>
            <w:r w:rsidR="00C210FF">
              <w:rPr>
                <w:rFonts w:ascii="Book Antiqua" w:eastAsia="SimSun" w:hAnsi="Book Antiqua" w:cs="Times New Roman" w:hint="eastAsia"/>
                <w:lang w:val="en-US" w:eastAsia="zh-CN"/>
              </w:rPr>
              <w:t>)</w:t>
            </w:r>
          </w:p>
        </w:tc>
      </w:tr>
      <w:tr w:rsidR="00242AA7" w:rsidRPr="00242AA7" w14:paraId="7F092E26" w14:textId="77777777" w:rsidTr="00227C72">
        <w:trPr>
          <w:trHeight w:val="447"/>
        </w:trPr>
        <w:tc>
          <w:tcPr>
            <w:tcW w:w="1283" w:type="dxa"/>
            <w:vMerge/>
            <w:vAlign w:val="center"/>
            <w:hideMark/>
          </w:tcPr>
          <w:p w14:paraId="79122BE8"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492B585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1EE81124"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47E65344"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A15329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4A42B15B"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7B9ADC7A"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0E1A89C2" w14:textId="77777777" w:rsidTr="00227C72">
        <w:trPr>
          <w:trHeight w:val="640"/>
        </w:trPr>
        <w:tc>
          <w:tcPr>
            <w:tcW w:w="1283" w:type="dxa"/>
            <w:vMerge/>
            <w:vAlign w:val="center"/>
            <w:hideMark/>
          </w:tcPr>
          <w:p w14:paraId="1E3C757F"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0744F33"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590F04A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3031A20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7B21C4F3"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98D996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28422F3A"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33AE9E3C" w14:textId="77777777" w:rsidTr="00227C72">
        <w:trPr>
          <w:trHeight w:val="447"/>
        </w:trPr>
        <w:tc>
          <w:tcPr>
            <w:tcW w:w="1283" w:type="dxa"/>
            <w:vMerge w:val="restart"/>
            <w:shd w:val="clear" w:color="auto" w:fill="auto"/>
            <w:vAlign w:val="center"/>
            <w:hideMark/>
          </w:tcPr>
          <w:p w14:paraId="2B23881B" w14:textId="150F21DC"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NCT02759783 Royal Marsden Hospital</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(CORE)</w:t>
            </w:r>
            <w:r w:rsidR="007A7BFC" w:rsidRPr="00242AA7">
              <w:rPr>
                <w:rFonts w:ascii="Book Antiqua" w:eastAsia="Times New Roman" w:hAnsi="Book Antiqua" w:cs="Times New Roman"/>
                <w:vertAlign w:val="superscript"/>
                <w:lang w:val="en-US"/>
              </w:rPr>
              <w:t>[53]</w:t>
            </w:r>
            <w:r w:rsidR="007A7BFC" w:rsidRPr="00242AA7">
              <w:rPr>
                <w:rFonts w:ascii="Book Antiqua" w:eastAsia="Times New Roman" w:hAnsi="Book Antiqua" w:cs="Times New Roman"/>
                <w:lang w:val="en-US"/>
              </w:rPr>
              <w:t xml:space="preserve"> </w:t>
            </w:r>
          </w:p>
        </w:tc>
        <w:tc>
          <w:tcPr>
            <w:tcW w:w="1202" w:type="dxa"/>
            <w:vMerge w:val="restart"/>
            <w:shd w:val="clear" w:color="auto" w:fill="auto"/>
            <w:vAlign w:val="center"/>
            <w:hideMark/>
          </w:tcPr>
          <w:p w14:paraId="0D29493B"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Phase II/III</w:t>
            </w:r>
          </w:p>
        </w:tc>
        <w:tc>
          <w:tcPr>
            <w:tcW w:w="1212" w:type="dxa"/>
            <w:vMerge w:val="restart"/>
            <w:shd w:val="clear" w:color="auto" w:fill="auto"/>
            <w:vAlign w:val="center"/>
            <w:hideMark/>
          </w:tcPr>
          <w:p w14:paraId="03EB129C"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HS/CR</w:t>
            </w:r>
          </w:p>
        </w:tc>
        <w:tc>
          <w:tcPr>
            <w:tcW w:w="1246" w:type="dxa"/>
            <w:vMerge w:val="restart"/>
            <w:shd w:val="clear" w:color="auto" w:fill="auto"/>
            <w:vAlign w:val="center"/>
            <w:hideMark/>
          </w:tcPr>
          <w:p w14:paraId="6C35AAA9" w14:textId="72FF320E"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266" w:type="dxa"/>
            <w:vMerge w:val="restart"/>
            <w:shd w:val="clear" w:color="auto" w:fill="auto"/>
            <w:vAlign w:val="center"/>
            <w:hideMark/>
          </w:tcPr>
          <w:p w14:paraId="61E0F3E1"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Extracranial</w:t>
            </w:r>
          </w:p>
        </w:tc>
        <w:tc>
          <w:tcPr>
            <w:tcW w:w="1485" w:type="dxa"/>
            <w:vMerge w:val="restart"/>
            <w:shd w:val="clear" w:color="auto" w:fill="auto"/>
            <w:vAlign w:val="center"/>
            <w:hideMark/>
          </w:tcPr>
          <w:p w14:paraId="0DF8DA87" w14:textId="77777777"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 xml:space="preserve">Standard of Care </w:t>
            </w:r>
            <w:r w:rsidRPr="00C210FF">
              <w:rPr>
                <w:rFonts w:ascii="Book Antiqua" w:eastAsia="Times New Roman" w:hAnsi="Book Antiqua" w:cs="Times New Roman"/>
                <w:i/>
                <w:lang w:val="en-US"/>
              </w:rPr>
              <w:t>vs</w:t>
            </w:r>
            <w:r w:rsidRPr="00242AA7">
              <w:rPr>
                <w:rFonts w:ascii="Book Antiqua" w:eastAsia="Times New Roman" w:hAnsi="Book Antiqua" w:cs="Times New Roman"/>
                <w:lang w:val="en-US"/>
              </w:rPr>
              <w:t xml:space="preserve"> SBRT</w:t>
            </w:r>
          </w:p>
        </w:tc>
        <w:tc>
          <w:tcPr>
            <w:tcW w:w="1626" w:type="dxa"/>
            <w:vMerge w:val="restart"/>
            <w:shd w:val="clear" w:color="auto" w:fill="auto"/>
            <w:vAlign w:val="center"/>
            <w:hideMark/>
          </w:tcPr>
          <w:p w14:paraId="1EE43414" w14:textId="64AACBBC" w:rsidR="00C20984" w:rsidRPr="00C210FF" w:rsidRDefault="00C20984" w:rsidP="00C210FF">
            <w:pPr>
              <w:spacing w:line="360" w:lineRule="auto"/>
              <w:jc w:val="both"/>
              <w:rPr>
                <w:rFonts w:ascii="Book Antiqua" w:eastAsia="SimSun" w:hAnsi="Book Antiqua" w:cs="Times New Roman"/>
                <w:lang w:val="en-US" w:eastAsia="zh-CN"/>
              </w:rPr>
            </w:pPr>
            <w:r w:rsidRPr="00242AA7">
              <w:rPr>
                <w:rFonts w:ascii="Book Antiqua" w:eastAsia="Times New Roman" w:hAnsi="Book Antiqua" w:cs="Times New Roman"/>
                <w:lang w:val="en-US"/>
              </w:rPr>
              <w:t xml:space="preserve">Progression Free Survival </w:t>
            </w:r>
            <w:r w:rsidR="00C210FF">
              <w:rPr>
                <w:rFonts w:ascii="Book Antiqua" w:eastAsia="SimSun" w:hAnsi="Book Antiqua" w:cs="Times New Roman" w:hint="eastAsia"/>
                <w:lang w:val="en-US" w:eastAsia="zh-CN"/>
              </w:rPr>
              <w:t>(</w:t>
            </w:r>
            <w:r w:rsidRPr="00242AA7">
              <w:rPr>
                <w:rFonts w:ascii="Book Antiqua" w:eastAsia="Times New Roman" w:hAnsi="Book Antiqua" w:cs="Times New Roman"/>
                <w:lang w:val="en-US"/>
              </w:rPr>
              <w:t>Time Frame: 60 mo post treatment</w:t>
            </w:r>
            <w:r w:rsidR="00C210FF">
              <w:rPr>
                <w:rFonts w:ascii="Book Antiqua" w:eastAsia="SimSun" w:hAnsi="Book Antiqua" w:cs="Times New Roman" w:hint="eastAsia"/>
                <w:lang w:val="en-US" w:eastAsia="zh-CN"/>
              </w:rPr>
              <w:t>)</w:t>
            </w:r>
          </w:p>
        </w:tc>
      </w:tr>
      <w:tr w:rsidR="00242AA7" w:rsidRPr="00242AA7" w14:paraId="2C5FA5B3" w14:textId="77777777" w:rsidTr="00227C72">
        <w:trPr>
          <w:trHeight w:val="447"/>
        </w:trPr>
        <w:tc>
          <w:tcPr>
            <w:tcW w:w="1283" w:type="dxa"/>
            <w:vMerge/>
            <w:vAlign w:val="center"/>
            <w:hideMark/>
          </w:tcPr>
          <w:p w14:paraId="4CF93BC3"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0768B20"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2EC3F19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2E17F2B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7C72D8C"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F2B303F"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6E6B94E"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73A596CF" w14:textId="77777777" w:rsidTr="00227C72">
        <w:trPr>
          <w:trHeight w:val="447"/>
        </w:trPr>
        <w:tc>
          <w:tcPr>
            <w:tcW w:w="1283" w:type="dxa"/>
            <w:vMerge w:val="restart"/>
            <w:shd w:val="clear" w:color="auto" w:fill="auto"/>
            <w:vAlign w:val="center"/>
            <w:hideMark/>
          </w:tcPr>
          <w:p w14:paraId="6C649EFD" w14:textId="77777777"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NCT03569241 PEACE V (STORM)</w:t>
            </w:r>
          </w:p>
          <w:p w14:paraId="6B343D61" w14:textId="7D98F7ED"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rPr>
              <w:t>Ghent</w:t>
            </w:r>
            <w:r w:rsidR="007A7BFC" w:rsidRPr="00242AA7">
              <w:rPr>
                <w:rFonts w:ascii="Book Antiqua" w:eastAsia="Times New Roman" w:hAnsi="Book Antiqua" w:cs="Times New Roman"/>
                <w:vertAlign w:val="superscript"/>
                <w:lang w:val="en-US"/>
              </w:rPr>
              <w:t>[54]</w:t>
            </w:r>
            <w:r w:rsidR="007A7BFC" w:rsidRPr="00242AA7">
              <w:rPr>
                <w:rFonts w:ascii="Book Antiqua" w:eastAsia="Times New Roman" w:hAnsi="Book Antiqua" w:cs="Times New Roman"/>
                <w:lang w:val="en-US"/>
              </w:rPr>
              <w:t xml:space="preserve"> </w:t>
            </w:r>
          </w:p>
        </w:tc>
        <w:tc>
          <w:tcPr>
            <w:tcW w:w="1202" w:type="dxa"/>
            <w:vMerge w:val="restart"/>
            <w:shd w:val="clear" w:color="auto" w:fill="auto"/>
            <w:vAlign w:val="center"/>
            <w:hideMark/>
          </w:tcPr>
          <w:p w14:paraId="4E239A9D"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Phase II</w:t>
            </w:r>
          </w:p>
        </w:tc>
        <w:tc>
          <w:tcPr>
            <w:tcW w:w="1212" w:type="dxa"/>
            <w:vMerge w:val="restart"/>
            <w:shd w:val="clear" w:color="auto" w:fill="auto"/>
            <w:vAlign w:val="center"/>
            <w:hideMark/>
          </w:tcPr>
          <w:p w14:paraId="46EF53EC"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HS</w:t>
            </w:r>
          </w:p>
        </w:tc>
        <w:tc>
          <w:tcPr>
            <w:tcW w:w="1246" w:type="dxa"/>
            <w:vMerge w:val="restart"/>
            <w:shd w:val="clear" w:color="auto" w:fill="auto"/>
            <w:vAlign w:val="center"/>
            <w:hideMark/>
          </w:tcPr>
          <w:p w14:paraId="66736B3C" w14:textId="43302D8F"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3 </w:t>
            </w:r>
          </w:p>
        </w:tc>
        <w:tc>
          <w:tcPr>
            <w:tcW w:w="1266" w:type="dxa"/>
            <w:vMerge w:val="restart"/>
            <w:shd w:val="clear" w:color="auto" w:fill="auto"/>
            <w:vAlign w:val="center"/>
            <w:hideMark/>
          </w:tcPr>
          <w:p w14:paraId="74E5C937"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Pelvic LN </w:t>
            </w:r>
          </w:p>
        </w:tc>
        <w:tc>
          <w:tcPr>
            <w:tcW w:w="1485" w:type="dxa"/>
            <w:vMerge w:val="restart"/>
            <w:shd w:val="clear" w:color="auto" w:fill="auto"/>
            <w:vAlign w:val="center"/>
            <w:hideMark/>
          </w:tcPr>
          <w:p w14:paraId="2E653CD1" w14:textId="367EE331" w:rsidR="00C20984" w:rsidRPr="00242AA7" w:rsidRDefault="00C20984" w:rsidP="00C210FF">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MDT (</w:t>
            </w:r>
            <w:r w:rsidRPr="00242AA7">
              <w:rPr>
                <w:rFonts w:ascii="Book Antiqua" w:eastAsia="Times New Roman" w:hAnsi="Book Antiqua"/>
              </w:rPr>
              <w:t>salvage lymph node dissection or</w:t>
            </w:r>
            <w:r w:rsidRPr="00242AA7">
              <w:rPr>
                <w:rFonts w:ascii="Book Antiqua" w:eastAsia="Times New Roman" w:hAnsi="Book Antiqua" w:cs="Times New Roman"/>
                <w:lang w:val="en-US"/>
              </w:rPr>
              <w:t xml:space="preserve"> SBRT) </w:t>
            </w:r>
            <w:r w:rsidRPr="00C210FF">
              <w:rPr>
                <w:rFonts w:ascii="Book Antiqua" w:eastAsia="Times New Roman" w:hAnsi="Book Antiqua" w:cs="Times New Roman"/>
                <w:i/>
                <w:lang w:val="en-US"/>
              </w:rPr>
              <w:t>vs</w:t>
            </w:r>
            <w:r w:rsidRPr="00242AA7">
              <w:rPr>
                <w:rFonts w:ascii="Book Antiqua" w:eastAsia="Times New Roman" w:hAnsi="Book Antiqua" w:cs="Times New Roman"/>
                <w:lang w:val="en-US"/>
              </w:rPr>
              <w:t xml:space="preserve"> MDT + </w:t>
            </w:r>
            <w:r w:rsidRPr="00242AA7">
              <w:rPr>
                <w:rFonts w:ascii="Book Antiqua" w:eastAsia="Times New Roman" w:hAnsi="Book Antiqua"/>
              </w:rPr>
              <w:t>WPRT. ADT (6 mo in the two arms)</w:t>
            </w:r>
          </w:p>
        </w:tc>
        <w:tc>
          <w:tcPr>
            <w:tcW w:w="1626" w:type="dxa"/>
            <w:vMerge w:val="restart"/>
            <w:shd w:val="clear" w:color="auto" w:fill="auto"/>
            <w:vAlign w:val="center"/>
            <w:hideMark/>
          </w:tcPr>
          <w:p w14:paraId="7CDADEE3" w14:textId="5355E8BF" w:rsidR="00C20984" w:rsidRPr="00C210FF" w:rsidRDefault="009E78DB" w:rsidP="00C210FF">
            <w:pPr>
              <w:spacing w:line="360" w:lineRule="auto"/>
              <w:jc w:val="both"/>
              <w:rPr>
                <w:rFonts w:ascii="Book Antiqua" w:eastAsia="SimSun" w:hAnsi="Book Antiqua" w:cs="Times New Roman"/>
                <w:lang w:val="en-US" w:eastAsia="zh-CN"/>
              </w:rPr>
            </w:pPr>
            <w:r w:rsidRPr="00242AA7">
              <w:rPr>
                <w:rFonts w:ascii="Book Antiqua" w:eastAsia="Times New Roman" w:hAnsi="Book Antiqua"/>
              </w:rPr>
              <w:t xml:space="preserve">Metastases-free survival </w:t>
            </w:r>
            <w:r w:rsidR="00C210FF">
              <w:rPr>
                <w:rFonts w:ascii="Book Antiqua" w:eastAsia="SimSun" w:hAnsi="Book Antiqua" w:hint="eastAsia"/>
                <w:lang w:eastAsia="zh-CN"/>
              </w:rPr>
              <w:t>(</w:t>
            </w:r>
            <w:r w:rsidR="00C210FF">
              <w:rPr>
                <w:rFonts w:ascii="Book Antiqua" w:eastAsia="Times New Roman" w:hAnsi="Book Antiqua"/>
              </w:rPr>
              <w:t>Time Frame: 2 y</w:t>
            </w:r>
            <w:r w:rsidR="00D60DD7" w:rsidRPr="00242AA7">
              <w:rPr>
                <w:rFonts w:ascii="Book Antiqua" w:eastAsia="Times New Roman" w:hAnsi="Book Antiqua"/>
              </w:rPr>
              <w:t>r</w:t>
            </w:r>
            <w:r w:rsidR="00C210FF">
              <w:rPr>
                <w:rFonts w:ascii="Book Antiqua" w:eastAsia="SimSun" w:hAnsi="Book Antiqua" w:hint="eastAsia"/>
                <w:lang w:eastAsia="zh-CN"/>
              </w:rPr>
              <w:t>)</w:t>
            </w:r>
          </w:p>
        </w:tc>
      </w:tr>
      <w:tr w:rsidR="00242AA7" w:rsidRPr="00242AA7" w14:paraId="3E871E10" w14:textId="77777777" w:rsidTr="00227C72">
        <w:trPr>
          <w:trHeight w:val="447"/>
        </w:trPr>
        <w:tc>
          <w:tcPr>
            <w:tcW w:w="1283" w:type="dxa"/>
            <w:vMerge/>
            <w:vAlign w:val="center"/>
            <w:hideMark/>
          </w:tcPr>
          <w:p w14:paraId="3297763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79EEEEC"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2740D6DC"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7D7F8AF6"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210305C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0C01EB2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40A6152C"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167DB1C8" w14:textId="77777777" w:rsidTr="00227C72">
        <w:trPr>
          <w:trHeight w:val="447"/>
        </w:trPr>
        <w:tc>
          <w:tcPr>
            <w:tcW w:w="1283" w:type="dxa"/>
            <w:vMerge/>
            <w:vAlign w:val="center"/>
            <w:hideMark/>
          </w:tcPr>
          <w:p w14:paraId="609926EC"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6E772724"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6C25702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734BC375"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3C964A2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6CA699BE"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4E651259"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55457376" w14:textId="77777777" w:rsidTr="00227C72">
        <w:trPr>
          <w:trHeight w:val="447"/>
        </w:trPr>
        <w:tc>
          <w:tcPr>
            <w:tcW w:w="1283" w:type="dxa"/>
            <w:vMerge/>
            <w:vAlign w:val="center"/>
            <w:hideMark/>
          </w:tcPr>
          <w:p w14:paraId="6F1A0A23"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5503E1A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10F527D4"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2805A72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7BEAC41B"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872357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50793725"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25D6DDF4" w14:textId="77777777" w:rsidTr="00227C72">
        <w:trPr>
          <w:trHeight w:val="447"/>
        </w:trPr>
        <w:tc>
          <w:tcPr>
            <w:tcW w:w="1283" w:type="dxa"/>
            <w:vMerge/>
            <w:vAlign w:val="center"/>
            <w:hideMark/>
          </w:tcPr>
          <w:p w14:paraId="646B5AB8"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0584316B"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3B6890E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358C3FF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07DDFB5"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7FC16D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7D0437A0"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29458A41" w14:textId="77777777" w:rsidTr="00227C72">
        <w:trPr>
          <w:trHeight w:val="780"/>
        </w:trPr>
        <w:tc>
          <w:tcPr>
            <w:tcW w:w="1283" w:type="dxa"/>
            <w:vMerge w:val="restart"/>
            <w:shd w:val="clear" w:color="auto" w:fill="auto"/>
            <w:vAlign w:val="center"/>
            <w:hideMark/>
          </w:tcPr>
          <w:p w14:paraId="3F0D919D" w14:textId="4C262226"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NCT02685397</w:t>
            </w:r>
            <w:r w:rsidR="00242AA7">
              <w:rPr>
                <w:rFonts w:ascii="Book Antiqua" w:eastAsia="Times New Roman" w:hAnsi="Book Antiqua" w:cs="Times New Roman"/>
                <w:lang w:val="es-ES"/>
              </w:rPr>
              <w:t xml:space="preserve"> </w:t>
            </w:r>
            <w:r w:rsidRPr="00242AA7">
              <w:rPr>
                <w:rFonts w:ascii="Book Antiqua" w:eastAsia="Times New Roman" w:hAnsi="Book Antiqua" w:cs="Times New Roman"/>
                <w:lang w:val="es-ES"/>
              </w:rPr>
              <w:t>PCS IX</w:t>
            </w:r>
            <w:r w:rsidR="007A7BFC" w:rsidRPr="00242AA7">
              <w:rPr>
                <w:rFonts w:ascii="Book Antiqua" w:eastAsia="Times New Roman" w:hAnsi="Book Antiqua" w:cs="Times New Roman"/>
                <w:vertAlign w:val="superscript"/>
                <w:lang w:val="es-ES"/>
              </w:rPr>
              <w:t>[55]</w:t>
            </w:r>
          </w:p>
        </w:tc>
        <w:tc>
          <w:tcPr>
            <w:tcW w:w="1202" w:type="dxa"/>
            <w:vMerge w:val="restart"/>
            <w:shd w:val="clear" w:color="auto" w:fill="auto"/>
            <w:vAlign w:val="center"/>
            <w:hideMark/>
          </w:tcPr>
          <w:p w14:paraId="069801D1"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Phase II/III</w:t>
            </w:r>
          </w:p>
        </w:tc>
        <w:tc>
          <w:tcPr>
            <w:tcW w:w="1212" w:type="dxa"/>
            <w:vMerge w:val="restart"/>
            <w:shd w:val="clear" w:color="auto" w:fill="auto"/>
            <w:vAlign w:val="center"/>
            <w:hideMark/>
          </w:tcPr>
          <w:p w14:paraId="108A50DF"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CR</w:t>
            </w:r>
          </w:p>
        </w:tc>
        <w:tc>
          <w:tcPr>
            <w:tcW w:w="1246" w:type="dxa"/>
            <w:vMerge w:val="restart"/>
            <w:shd w:val="clear" w:color="auto" w:fill="auto"/>
            <w:vAlign w:val="center"/>
            <w:hideMark/>
          </w:tcPr>
          <w:p w14:paraId="254D395B" w14:textId="2A50A523"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 xml:space="preserve">4 </w:t>
            </w:r>
          </w:p>
        </w:tc>
        <w:tc>
          <w:tcPr>
            <w:tcW w:w="1266" w:type="dxa"/>
            <w:vMerge w:val="restart"/>
            <w:shd w:val="clear" w:color="auto" w:fill="auto"/>
            <w:vAlign w:val="center"/>
            <w:hideMark/>
          </w:tcPr>
          <w:p w14:paraId="1E9E1055" w14:textId="77777777"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Any location excluding brain and liver metastasis</w:t>
            </w:r>
          </w:p>
        </w:tc>
        <w:tc>
          <w:tcPr>
            <w:tcW w:w="1485" w:type="dxa"/>
            <w:vMerge w:val="restart"/>
            <w:shd w:val="clear" w:color="auto" w:fill="auto"/>
            <w:vAlign w:val="center"/>
            <w:hideMark/>
          </w:tcPr>
          <w:p w14:paraId="30E5502A" w14:textId="379E652E"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LHRH agonist + Enzalutamide</w:t>
            </w:r>
            <w:r w:rsidR="00242AA7">
              <w:rPr>
                <w:rFonts w:ascii="Book Antiqua" w:eastAsia="Times New Roman" w:hAnsi="Book Antiqua" w:cs="Times New Roman"/>
                <w:lang w:val="es-ES"/>
              </w:rPr>
              <w:t xml:space="preserve"> </w:t>
            </w:r>
            <w:r w:rsidRPr="00C210FF">
              <w:rPr>
                <w:rFonts w:ascii="Book Antiqua" w:eastAsia="Times New Roman" w:hAnsi="Book Antiqua" w:cs="Times New Roman"/>
                <w:i/>
                <w:lang w:val="es-ES"/>
              </w:rPr>
              <w:t>vs</w:t>
            </w:r>
            <w:r w:rsidRPr="00242AA7">
              <w:rPr>
                <w:rFonts w:ascii="Book Antiqua" w:eastAsia="Times New Roman" w:hAnsi="Book Antiqua" w:cs="Times New Roman"/>
                <w:lang w:val="es-ES"/>
              </w:rPr>
              <w:t xml:space="preserve"> LHRH agonist + Enzalutamide + SBRT</w:t>
            </w:r>
          </w:p>
        </w:tc>
        <w:tc>
          <w:tcPr>
            <w:tcW w:w="1626" w:type="dxa"/>
            <w:vMerge w:val="restart"/>
            <w:shd w:val="clear" w:color="auto" w:fill="auto"/>
            <w:vAlign w:val="center"/>
            <w:hideMark/>
          </w:tcPr>
          <w:p w14:paraId="68413971" w14:textId="70A64A57" w:rsidR="00C20984" w:rsidRPr="00C210FF" w:rsidRDefault="00C20984" w:rsidP="00C210FF">
            <w:pPr>
              <w:spacing w:line="360" w:lineRule="auto"/>
              <w:jc w:val="both"/>
              <w:rPr>
                <w:rFonts w:ascii="Book Antiqua" w:eastAsia="SimSun" w:hAnsi="Book Antiqua" w:cs="Times New Roman"/>
                <w:lang w:val="en-US" w:eastAsia="zh-CN"/>
              </w:rPr>
            </w:pPr>
            <w:r w:rsidRPr="00242AA7">
              <w:rPr>
                <w:rFonts w:ascii="Book Antiqua" w:eastAsia="Times New Roman" w:hAnsi="Book Antiqua" w:cs="Times New Roman"/>
                <w:lang w:val="en-US"/>
              </w:rPr>
              <w:t xml:space="preserve">Radiographic Progression-free Survival </w:t>
            </w:r>
            <w:r w:rsidR="00C210FF">
              <w:rPr>
                <w:rFonts w:ascii="Book Antiqua" w:eastAsia="SimSun" w:hAnsi="Book Antiqua" w:cs="Times New Roman" w:hint="eastAsia"/>
                <w:lang w:val="en-US" w:eastAsia="zh-CN"/>
              </w:rPr>
              <w:t>(</w:t>
            </w:r>
            <w:r w:rsidR="00C210FF">
              <w:rPr>
                <w:rFonts w:ascii="Book Antiqua" w:eastAsia="Times New Roman" w:hAnsi="Book Antiqua" w:cs="Times New Roman"/>
                <w:lang w:val="en-US"/>
              </w:rPr>
              <w:t>Time Frame: 5 y</w:t>
            </w:r>
            <w:r w:rsidRPr="00242AA7">
              <w:rPr>
                <w:rFonts w:ascii="Book Antiqua" w:eastAsia="Times New Roman" w:hAnsi="Book Antiqua" w:cs="Times New Roman"/>
                <w:lang w:val="en-US"/>
              </w:rPr>
              <w:t>r</w:t>
            </w:r>
            <w:r w:rsidR="00C210FF">
              <w:rPr>
                <w:rFonts w:ascii="Book Antiqua" w:eastAsia="SimSun" w:hAnsi="Book Antiqua" w:cs="Times New Roman" w:hint="eastAsia"/>
                <w:lang w:val="en-US" w:eastAsia="zh-CN"/>
              </w:rPr>
              <w:t>)</w:t>
            </w:r>
          </w:p>
        </w:tc>
      </w:tr>
      <w:tr w:rsidR="00242AA7" w:rsidRPr="00242AA7" w14:paraId="6EF9C712" w14:textId="77777777" w:rsidTr="00227C72">
        <w:trPr>
          <w:trHeight w:val="447"/>
        </w:trPr>
        <w:tc>
          <w:tcPr>
            <w:tcW w:w="1283" w:type="dxa"/>
            <w:vMerge/>
            <w:vAlign w:val="center"/>
            <w:hideMark/>
          </w:tcPr>
          <w:p w14:paraId="6BD5B029"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FD3F8D8"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01FE82A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1BE7618B"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695C44D"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0A988E4D"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997C8A9"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31D5DA6E" w14:textId="77777777" w:rsidTr="00227C72">
        <w:trPr>
          <w:trHeight w:val="447"/>
        </w:trPr>
        <w:tc>
          <w:tcPr>
            <w:tcW w:w="1283" w:type="dxa"/>
            <w:vMerge w:val="restart"/>
            <w:shd w:val="clear" w:color="auto" w:fill="auto"/>
            <w:vAlign w:val="center"/>
            <w:hideMark/>
          </w:tcPr>
          <w:p w14:paraId="7F56E8E8" w14:textId="00F637F6"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NCT03361735</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City of Hope Medical Center</w:t>
            </w:r>
            <w:r w:rsidR="007A7BFC" w:rsidRPr="00242AA7">
              <w:rPr>
                <w:rFonts w:ascii="Book Antiqua" w:eastAsia="Times New Roman" w:hAnsi="Book Antiqua" w:cs="Times New Roman"/>
                <w:vertAlign w:val="superscript"/>
                <w:lang w:val="en-US"/>
              </w:rPr>
              <w:t>[63]</w:t>
            </w:r>
          </w:p>
        </w:tc>
        <w:tc>
          <w:tcPr>
            <w:tcW w:w="1202" w:type="dxa"/>
            <w:vMerge w:val="restart"/>
            <w:shd w:val="clear" w:color="auto" w:fill="auto"/>
            <w:vAlign w:val="center"/>
            <w:hideMark/>
          </w:tcPr>
          <w:p w14:paraId="443217B9"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Phase II</w:t>
            </w:r>
          </w:p>
        </w:tc>
        <w:tc>
          <w:tcPr>
            <w:tcW w:w="1212" w:type="dxa"/>
            <w:vMerge w:val="restart"/>
            <w:shd w:val="clear" w:color="auto" w:fill="auto"/>
            <w:vAlign w:val="center"/>
            <w:hideMark/>
          </w:tcPr>
          <w:p w14:paraId="50C4EF65"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HS</w:t>
            </w:r>
          </w:p>
        </w:tc>
        <w:tc>
          <w:tcPr>
            <w:tcW w:w="1246" w:type="dxa"/>
            <w:vMerge w:val="restart"/>
            <w:shd w:val="clear" w:color="auto" w:fill="auto"/>
            <w:vAlign w:val="center"/>
            <w:hideMark/>
          </w:tcPr>
          <w:p w14:paraId="2E20D1B4" w14:textId="72DBEF8D"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4</w:t>
            </w:r>
          </w:p>
        </w:tc>
        <w:tc>
          <w:tcPr>
            <w:tcW w:w="1266" w:type="dxa"/>
            <w:vMerge w:val="restart"/>
            <w:shd w:val="clear" w:color="auto" w:fill="auto"/>
            <w:vAlign w:val="center"/>
            <w:hideMark/>
          </w:tcPr>
          <w:p w14:paraId="3C19C254" w14:textId="19A7AEDE"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Bone. One lung lesion &lt;</w:t>
            </w:r>
            <w:r w:rsidR="00C210FF">
              <w:rPr>
                <w:rFonts w:ascii="Book Antiqua" w:eastAsia="SimSun" w:hAnsi="Book Antiqua" w:cs="Times New Roman" w:hint="eastAsia"/>
                <w:lang w:val="en-US" w:eastAsia="zh-CN"/>
              </w:rPr>
              <w:t xml:space="preserve"> </w:t>
            </w:r>
            <w:r w:rsidRPr="00242AA7">
              <w:rPr>
                <w:rFonts w:ascii="Book Antiqua" w:eastAsia="Times New Roman" w:hAnsi="Book Antiqua" w:cs="Times New Roman"/>
                <w:lang w:val="en-US"/>
              </w:rPr>
              <w:t>2 cm allowed</w:t>
            </w:r>
          </w:p>
        </w:tc>
        <w:tc>
          <w:tcPr>
            <w:tcW w:w="1485" w:type="dxa"/>
            <w:vMerge w:val="restart"/>
            <w:shd w:val="clear" w:color="auto" w:fill="auto"/>
            <w:vAlign w:val="center"/>
            <w:hideMark/>
          </w:tcPr>
          <w:p w14:paraId="4340E57C" w14:textId="77777777"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ADT + SBRT + Radium Ra223 dichloride</w:t>
            </w:r>
          </w:p>
        </w:tc>
        <w:tc>
          <w:tcPr>
            <w:tcW w:w="1626" w:type="dxa"/>
            <w:vMerge w:val="restart"/>
            <w:shd w:val="clear" w:color="auto" w:fill="auto"/>
            <w:vAlign w:val="center"/>
            <w:hideMark/>
          </w:tcPr>
          <w:p w14:paraId="2BB09F23" w14:textId="233DEC87" w:rsidR="00C20984" w:rsidRPr="00242AA7" w:rsidRDefault="00C20984" w:rsidP="00C210FF">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 xml:space="preserve">Time to treatment failure </w:t>
            </w:r>
            <w:r w:rsidR="00C210FF">
              <w:rPr>
                <w:rFonts w:ascii="Book Antiqua" w:eastAsia="SimSun" w:hAnsi="Book Antiqua" w:cs="Times New Roman" w:hint="eastAsia"/>
                <w:lang w:val="en-US" w:eastAsia="zh-CN"/>
              </w:rPr>
              <w:t>(</w:t>
            </w:r>
            <w:r w:rsidRPr="00242AA7">
              <w:rPr>
                <w:rFonts w:ascii="Book Antiqua" w:eastAsia="Times New Roman" w:hAnsi="Book Antiqua" w:cs="Times New Roman"/>
                <w:lang w:val="en-US"/>
              </w:rPr>
              <w:t>Ti</w:t>
            </w:r>
            <w:r w:rsidR="00C210FF">
              <w:rPr>
                <w:rFonts w:ascii="Book Antiqua" w:eastAsia="Times New Roman" w:hAnsi="Book Antiqua" w:cs="Times New Roman"/>
                <w:lang w:val="en-US"/>
              </w:rPr>
              <w:t>me Frame: Assessed up to 5 yr</w:t>
            </w:r>
            <w:r w:rsidR="00C210FF">
              <w:rPr>
                <w:rFonts w:ascii="Book Antiqua" w:eastAsia="SimSun" w:hAnsi="Book Antiqua" w:cs="Times New Roman" w:hint="eastAsia"/>
                <w:lang w:val="en-US" w:eastAsia="zh-CN"/>
              </w:rPr>
              <w:t>)</w:t>
            </w:r>
            <w:r w:rsidRPr="00242AA7">
              <w:rPr>
                <w:rFonts w:ascii="Book Antiqua" w:eastAsia="Times New Roman" w:hAnsi="Book Antiqua" w:cs="Times New Roman"/>
                <w:lang w:val="en-US"/>
              </w:rPr>
              <w:t xml:space="preserve"> </w:t>
            </w:r>
          </w:p>
        </w:tc>
      </w:tr>
      <w:tr w:rsidR="00242AA7" w:rsidRPr="00242AA7" w14:paraId="68E11AE5" w14:textId="77777777" w:rsidTr="00227C72">
        <w:trPr>
          <w:trHeight w:val="540"/>
        </w:trPr>
        <w:tc>
          <w:tcPr>
            <w:tcW w:w="1283" w:type="dxa"/>
            <w:vMerge/>
            <w:vAlign w:val="center"/>
            <w:hideMark/>
          </w:tcPr>
          <w:p w14:paraId="74298A3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8A7910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4F72C27B"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009BD0E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74AA4785"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4386A118"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EDEEAC4"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7F9AFE62" w14:textId="77777777" w:rsidTr="00227C72">
        <w:trPr>
          <w:trHeight w:val="447"/>
        </w:trPr>
        <w:tc>
          <w:tcPr>
            <w:tcW w:w="1283" w:type="dxa"/>
            <w:vMerge w:val="restart"/>
            <w:shd w:val="clear" w:color="auto" w:fill="auto"/>
            <w:vAlign w:val="center"/>
            <w:hideMark/>
          </w:tcPr>
          <w:p w14:paraId="1ED1BE27" w14:textId="68ED601A"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lastRenderedPageBreak/>
              <w:t>NCT01818986 Southwestern Medical Center Texas</w:t>
            </w:r>
            <w:r w:rsidR="007A7BFC" w:rsidRPr="00242AA7">
              <w:rPr>
                <w:rFonts w:ascii="Book Antiqua" w:eastAsia="Times New Roman" w:hAnsi="Book Antiqua" w:cs="Times New Roman"/>
                <w:vertAlign w:val="superscript"/>
                <w:lang w:val="en-US"/>
              </w:rPr>
              <w:t>[64]</w:t>
            </w:r>
          </w:p>
        </w:tc>
        <w:tc>
          <w:tcPr>
            <w:tcW w:w="1202" w:type="dxa"/>
            <w:vMerge w:val="restart"/>
            <w:shd w:val="clear" w:color="auto" w:fill="auto"/>
            <w:vAlign w:val="center"/>
            <w:hideMark/>
          </w:tcPr>
          <w:p w14:paraId="6F78946A"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Phase II </w:t>
            </w:r>
          </w:p>
        </w:tc>
        <w:tc>
          <w:tcPr>
            <w:tcW w:w="1212" w:type="dxa"/>
            <w:vMerge w:val="restart"/>
            <w:shd w:val="clear" w:color="auto" w:fill="auto"/>
            <w:vAlign w:val="center"/>
            <w:hideMark/>
          </w:tcPr>
          <w:p w14:paraId="7FE293D3"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CR</w:t>
            </w:r>
          </w:p>
        </w:tc>
        <w:tc>
          <w:tcPr>
            <w:tcW w:w="1246" w:type="dxa"/>
            <w:vMerge w:val="restart"/>
            <w:shd w:val="clear" w:color="auto" w:fill="auto"/>
            <w:vAlign w:val="center"/>
            <w:hideMark/>
          </w:tcPr>
          <w:p w14:paraId="324E0675" w14:textId="77777777"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rPr>
              <w:t xml:space="preserve">Any number of metastatic </w:t>
            </w:r>
            <w:proofErr w:type="gramStart"/>
            <w:r w:rsidRPr="00242AA7">
              <w:rPr>
                <w:rFonts w:ascii="Book Antiqua" w:eastAsia="Times New Roman" w:hAnsi="Book Antiqua"/>
              </w:rPr>
              <w:t>site</w:t>
            </w:r>
            <w:proofErr w:type="gramEnd"/>
            <w:r w:rsidRPr="00242AA7">
              <w:rPr>
                <w:rFonts w:ascii="Book Antiqua" w:eastAsia="Times New Roman" w:hAnsi="Book Antiqua"/>
              </w:rPr>
              <w:t xml:space="preserve"> are allowed. However, only up to six sites will be selected for SBRT </w:t>
            </w:r>
          </w:p>
        </w:tc>
        <w:tc>
          <w:tcPr>
            <w:tcW w:w="1266" w:type="dxa"/>
            <w:vMerge w:val="restart"/>
            <w:shd w:val="clear" w:color="auto" w:fill="auto"/>
            <w:vAlign w:val="center"/>
            <w:hideMark/>
          </w:tcPr>
          <w:p w14:paraId="765A7345" w14:textId="77777777" w:rsidR="00C20984" w:rsidRPr="00242AA7" w:rsidRDefault="00C20984" w:rsidP="00242AA7">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Any location except brain metastasis</w:t>
            </w:r>
          </w:p>
        </w:tc>
        <w:tc>
          <w:tcPr>
            <w:tcW w:w="1485" w:type="dxa"/>
            <w:vMerge w:val="restart"/>
            <w:shd w:val="clear" w:color="auto" w:fill="auto"/>
            <w:vAlign w:val="center"/>
            <w:hideMark/>
          </w:tcPr>
          <w:p w14:paraId="070503D3"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rPr>
              <w:t>Sipuleucel-T and SBRT</w:t>
            </w:r>
          </w:p>
        </w:tc>
        <w:tc>
          <w:tcPr>
            <w:tcW w:w="1626" w:type="dxa"/>
            <w:vMerge w:val="restart"/>
            <w:shd w:val="clear" w:color="auto" w:fill="auto"/>
            <w:vAlign w:val="center"/>
            <w:hideMark/>
          </w:tcPr>
          <w:p w14:paraId="66705C8A" w14:textId="2A3A9B96" w:rsidR="00C20984" w:rsidRPr="00C210FF" w:rsidRDefault="00C20984" w:rsidP="00C210FF">
            <w:pPr>
              <w:spacing w:line="360" w:lineRule="auto"/>
              <w:jc w:val="both"/>
              <w:rPr>
                <w:rFonts w:ascii="Book Antiqua" w:eastAsia="SimSun" w:hAnsi="Book Antiqua" w:cs="Times New Roman"/>
                <w:lang w:val="en-US" w:eastAsia="zh-CN"/>
              </w:rPr>
            </w:pPr>
            <w:r w:rsidRPr="00242AA7">
              <w:rPr>
                <w:rFonts w:ascii="Book Antiqua" w:eastAsia="Times New Roman" w:hAnsi="Book Antiqua"/>
              </w:rPr>
              <w:t xml:space="preserve">Time to progression </w:t>
            </w:r>
            <w:r w:rsidR="00C210FF">
              <w:rPr>
                <w:rFonts w:ascii="Book Antiqua" w:eastAsia="SimSun" w:hAnsi="Book Antiqua" w:hint="eastAsia"/>
                <w:lang w:eastAsia="zh-CN"/>
              </w:rPr>
              <w:t>(</w:t>
            </w:r>
            <w:r w:rsidR="00C210FF">
              <w:rPr>
                <w:rFonts w:ascii="Book Antiqua" w:eastAsia="Times New Roman" w:hAnsi="Book Antiqua"/>
              </w:rPr>
              <w:t>Time Frame: 4 yr</w:t>
            </w:r>
            <w:r w:rsidR="00C210FF">
              <w:rPr>
                <w:rFonts w:ascii="Book Antiqua" w:eastAsia="SimSun" w:hAnsi="Book Antiqua" w:hint="eastAsia"/>
                <w:lang w:eastAsia="zh-CN"/>
              </w:rPr>
              <w:t>)</w:t>
            </w:r>
          </w:p>
        </w:tc>
      </w:tr>
      <w:tr w:rsidR="00242AA7" w:rsidRPr="00242AA7" w14:paraId="648E5121" w14:textId="77777777" w:rsidTr="00227C72">
        <w:trPr>
          <w:trHeight w:val="447"/>
        </w:trPr>
        <w:tc>
          <w:tcPr>
            <w:tcW w:w="1283" w:type="dxa"/>
            <w:vMerge/>
            <w:vAlign w:val="center"/>
            <w:hideMark/>
          </w:tcPr>
          <w:p w14:paraId="781DF726"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309F6F4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6F7BF39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013CE60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851BC9E"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12BDA89C"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10FA11EC"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1FEE7C6B" w14:textId="77777777" w:rsidTr="00227C72">
        <w:trPr>
          <w:trHeight w:val="447"/>
        </w:trPr>
        <w:tc>
          <w:tcPr>
            <w:tcW w:w="1283" w:type="dxa"/>
            <w:vMerge/>
            <w:vAlign w:val="center"/>
            <w:hideMark/>
          </w:tcPr>
          <w:p w14:paraId="42CB3EA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0A2EB4B5"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3CD72DC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2604746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3F25AF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5398EE34"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2CF72260"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67C84C5D" w14:textId="77777777" w:rsidTr="00227C72">
        <w:trPr>
          <w:trHeight w:val="447"/>
        </w:trPr>
        <w:tc>
          <w:tcPr>
            <w:tcW w:w="1283" w:type="dxa"/>
            <w:vMerge w:val="restart"/>
            <w:shd w:val="clear" w:color="auto" w:fill="auto"/>
            <w:vAlign w:val="center"/>
            <w:hideMark/>
          </w:tcPr>
          <w:p w14:paraId="1B27C98C" w14:textId="3B55DAB9"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NCT02816983 Mayo Clinic Rochester</w:t>
            </w:r>
            <w:r w:rsidR="002C657C" w:rsidRPr="00242AA7">
              <w:rPr>
                <w:rFonts w:ascii="Book Antiqua" w:eastAsia="Times New Roman" w:hAnsi="Book Antiqua" w:cs="Times New Roman"/>
                <w:vertAlign w:val="superscript"/>
                <w:lang w:val="es-ES"/>
              </w:rPr>
              <w:t>[65]</w:t>
            </w:r>
            <w:r w:rsidR="002C657C" w:rsidRPr="00242AA7">
              <w:rPr>
                <w:rFonts w:ascii="Book Antiqua" w:eastAsia="Times New Roman" w:hAnsi="Book Antiqua" w:cs="Times New Roman"/>
                <w:lang w:val="es-ES"/>
              </w:rPr>
              <w:t xml:space="preserve"> </w:t>
            </w:r>
          </w:p>
        </w:tc>
        <w:tc>
          <w:tcPr>
            <w:tcW w:w="1202" w:type="dxa"/>
            <w:vMerge w:val="restart"/>
            <w:shd w:val="clear" w:color="auto" w:fill="auto"/>
            <w:vAlign w:val="center"/>
            <w:hideMark/>
          </w:tcPr>
          <w:p w14:paraId="606BCDEF"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Phase II</w:t>
            </w:r>
          </w:p>
        </w:tc>
        <w:tc>
          <w:tcPr>
            <w:tcW w:w="1212" w:type="dxa"/>
            <w:vMerge w:val="restart"/>
            <w:shd w:val="clear" w:color="auto" w:fill="auto"/>
            <w:vAlign w:val="center"/>
            <w:hideMark/>
          </w:tcPr>
          <w:p w14:paraId="22C82E01"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CR</w:t>
            </w:r>
          </w:p>
        </w:tc>
        <w:tc>
          <w:tcPr>
            <w:tcW w:w="1246" w:type="dxa"/>
            <w:vMerge w:val="restart"/>
            <w:shd w:val="clear" w:color="auto" w:fill="auto"/>
            <w:vAlign w:val="center"/>
            <w:hideMark/>
          </w:tcPr>
          <w:p w14:paraId="7499B094" w14:textId="7A81EB21"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3</w:t>
            </w:r>
          </w:p>
        </w:tc>
        <w:tc>
          <w:tcPr>
            <w:tcW w:w="1266" w:type="dxa"/>
            <w:vMerge w:val="restart"/>
            <w:shd w:val="clear" w:color="auto" w:fill="auto"/>
            <w:vAlign w:val="center"/>
            <w:hideMark/>
          </w:tcPr>
          <w:p w14:paraId="47182443"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Any location</w:t>
            </w:r>
          </w:p>
        </w:tc>
        <w:tc>
          <w:tcPr>
            <w:tcW w:w="1485" w:type="dxa"/>
            <w:vMerge w:val="restart"/>
            <w:shd w:val="clear" w:color="auto" w:fill="auto"/>
            <w:vAlign w:val="center"/>
            <w:hideMark/>
          </w:tcPr>
          <w:p w14:paraId="0433F9FB"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SBRT</w:t>
            </w:r>
          </w:p>
        </w:tc>
        <w:tc>
          <w:tcPr>
            <w:tcW w:w="1626" w:type="dxa"/>
            <w:vMerge w:val="restart"/>
            <w:shd w:val="clear" w:color="auto" w:fill="auto"/>
            <w:vAlign w:val="center"/>
            <w:hideMark/>
          </w:tcPr>
          <w:p w14:paraId="5909CB47" w14:textId="756D3499" w:rsidR="00C20984" w:rsidRPr="00242AA7" w:rsidRDefault="00C20984" w:rsidP="00C210FF">
            <w:pPr>
              <w:spacing w:line="360" w:lineRule="auto"/>
              <w:jc w:val="both"/>
              <w:rPr>
                <w:rFonts w:ascii="Book Antiqua" w:eastAsia="Times New Roman" w:hAnsi="Book Antiqua" w:cs="Times New Roman"/>
                <w:lang w:val="en-US"/>
              </w:rPr>
            </w:pPr>
            <w:r w:rsidRPr="00242AA7">
              <w:rPr>
                <w:rFonts w:ascii="Book Antiqua" w:eastAsia="Times New Roman" w:hAnsi="Book Antiqua" w:cs="Times New Roman"/>
                <w:lang w:val="en-US"/>
              </w:rPr>
              <w:t xml:space="preserve"> PSA-progression free survival </w:t>
            </w:r>
            <w:r w:rsidR="00C210FF">
              <w:rPr>
                <w:rFonts w:ascii="Book Antiqua" w:eastAsia="SimSun" w:hAnsi="Book Antiqua" w:cs="Times New Roman" w:hint="eastAsia"/>
                <w:lang w:val="en-US" w:eastAsia="zh-CN"/>
              </w:rPr>
              <w:t>(</w:t>
            </w:r>
            <w:r w:rsidR="00C210FF">
              <w:rPr>
                <w:rFonts w:ascii="Book Antiqua" w:eastAsia="Times New Roman" w:hAnsi="Book Antiqua" w:cs="Times New Roman"/>
                <w:lang w:val="en-US"/>
              </w:rPr>
              <w:t>Time Frame: 1 y</w:t>
            </w:r>
            <w:r w:rsidRPr="00242AA7">
              <w:rPr>
                <w:rFonts w:ascii="Book Antiqua" w:eastAsia="Times New Roman" w:hAnsi="Book Antiqua" w:cs="Times New Roman"/>
                <w:lang w:val="en-US"/>
              </w:rPr>
              <w:t>r</w:t>
            </w:r>
            <w:r w:rsidR="00C210FF">
              <w:rPr>
                <w:rFonts w:ascii="Book Antiqua" w:eastAsia="SimSun" w:hAnsi="Book Antiqua" w:cs="Times New Roman" w:hint="eastAsia"/>
                <w:lang w:val="en-US" w:eastAsia="zh-CN"/>
              </w:rPr>
              <w:t>)</w:t>
            </w:r>
            <w:r w:rsidR="00242AA7">
              <w:rPr>
                <w:rFonts w:ascii="Book Antiqua" w:eastAsia="Times New Roman" w:hAnsi="Book Antiqua" w:cs="Times New Roman"/>
                <w:lang w:val="en-US"/>
              </w:rPr>
              <w:t xml:space="preserve"> </w:t>
            </w:r>
            <w:r w:rsidRPr="00242AA7">
              <w:rPr>
                <w:rFonts w:ascii="Book Antiqua" w:eastAsia="Times New Roman" w:hAnsi="Book Antiqua" w:cs="Times New Roman"/>
                <w:lang w:val="en-US"/>
              </w:rPr>
              <w:t xml:space="preserve">Overall Survival </w:t>
            </w:r>
            <w:r w:rsidR="00C210FF">
              <w:rPr>
                <w:rFonts w:ascii="Book Antiqua" w:eastAsia="SimSun" w:hAnsi="Book Antiqua" w:cs="Times New Roman" w:hint="eastAsia"/>
                <w:lang w:val="en-US" w:eastAsia="zh-CN"/>
              </w:rPr>
              <w:t>(</w:t>
            </w:r>
            <w:r w:rsidR="00C210FF">
              <w:rPr>
                <w:rFonts w:ascii="Book Antiqua" w:eastAsia="Times New Roman" w:hAnsi="Book Antiqua" w:cs="Times New Roman"/>
                <w:lang w:val="en-US"/>
              </w:rPr>
              <w:t>Time Frame: 2 yr</w:t>
            </w:r>
            <w:r w:rsidR="00C210FF">
              <w:rPr>
                <w:rFonts w:ascii="Book Antiqua" w:eastAsia="SimSun" w:hAnsi="Book Antiqua" w:cs="Times New Roman" w:hint="eastAsia"/>
                <w:lang w:val="en-US" w:eastAsia="zh-CN"/>
              </w:rPr>
              <w:t>)</w:t>
            </w:r>
            <w:r w:rsidR="00242AA7">
              <w:rPr>
                <w:rFonts w:ascii="Book Antiqua" w:eastAsia="Times New Roman" w:hAnsi="Book Antiqua" w:cs="Times New Roman"/>
                <w:lang w:val="en-US"/>
              </w:rPr>
              <w:t xml:space="preserve"> </w:t>
            </w:r>
          </w:p>
        </w:tc>
      </w:tr>
      <w:tr w:rsidR="00242AA7" w:rsidRPr="00242AA7" w14:paraId="54A817DA" w14:textId="77777777" w:rsidTr="00227C72">
        <w:trPr>
          <w:trHeight w:val="460"/>
        </w:trPr>
        <w:tc>
          <w:tcPr>
            <w:tcW w:w="1283" w:type="dxa"/>
            <w:vMerge/>
            <w:vAlign w:val="center"/>
            <w:hideMark/>
          </w:tcPr>
          <w:p w14:paraId="0A26895E"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03709F1D"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1294C559"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7063A87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3A41F156"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0ED43481"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7DEEFE8B"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2B6BFEFA" w14:textId="77777777" w:rsidTr="00227C72">
        <w:trPr>
          <w:trHeight w:val="704"/>
        </w:trPr>
        <w:tc>
          <w:tcPr>
            <w:tcW w:w="1283" w:type="dxa"/>
            <w:vMerge/>
            <w:vAlign w:val="center"/>
            <w:hideMark/>
          </w:tcPr>
          <w:p w14:paraId="4FA7DBB0"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75A3D270"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28CD1B49"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5F9C781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10B7E985"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A863AA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0A85005F"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69F2B21A" w14:textId="77777777" w:rsidTr="00227C72">
        <w:trPr>
          <w:trHeight w:val="447"/>
        </w:trPr>
        <w:tc>
          <w:tcPr>
            <w:tcW w:w="1283" w:type="dxa"/>
            <w:vMerge w:val="restart"/>
            <w:shd w:val="clear" w:color="auto" w:fill="auto"/>
            <w:vAlign w:val="center"/>
            <w:hideMark/>
          </w:tcPr>
          <w:p w14:paraId="692174B7" w14:textId="1D5FDF03"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NCT02192788 GICOR Castellon</w:t>
            </w:r>
            <w:r w:rsidR="002C657C" w:rsidRPr="00242AA7">
              <w:rPr>
                <w:rFonts w:ascii="Book Antiqua" w:eastAsia="Times New Roman" w:hAnsi="Book Antiqua" w:cs="Times New Roman"/>
                <w:vertAlign w:val="superscript"/>
                <w:lang w:val="es-ES"/>
              </w:rPr>
              <w:t>[66]</w:t>
            </w:r>
          </w:p>
        </w:tc>
        <w:tc>
          <w:tcPr>
            <w:tcW w:w="1202" w:type="dxa"/>
            <w:vMerge w:val="restart"/>
            <w:shd w:val="clear" w:color="auto" w:fill="auto"/>
            <w:vAlign w:val="center"/>
            <w:hideMark/>
          </w:tcPr>
          <w:p w14:paraId="43877DA7"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Phase II</w:t>
            </w:r>
          </w:p>
        </w:tc>
        <w:tc>
          <w:tcPr>
            <w:tcW w:w="1212" w:type="dxa"/>
            <w:vMerge w:val="restart"/>
            <w:shd w:val="clear" w:color="auto" w:fill="auto"/>
            <w:vAlign w:val="center"/>
            <w:hideMark/>
          </w:tcPr>
          <w:p w14:paraId="3FEC3C18"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HS/CR</w:t>
            </w:r>
          </w:p>
        </w:tc>
        <w:tc>
          <w:tcPr>
            <w:tcW w:w="1246" w:type="dxa"/>
            <w:vMerge w:val="restart"/>
            <w:shd w:val="clear" w:color="auto" w:fill="auto"/>
            <w:vAlign w:val="center"/>
            <w:hideMark/>
          </w:tcPr>
          <w:p w14:paraId="64CA490C" w14:textId="65265B61"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w:t>
            </w:r>
            <w:r w:rsidR="00C210FF">
              <w:rPr>
                <w:rFonts w:ascii="Book Antiqua" w:eastAsia="SimSun" w:hAnsi="Book Antiqua" w:cs="Times New Roman" w:hint="eastAsia"/>
                <w:lang w:val="es-ES" w:eastAsia="zh-CN"/>
              </w:rPr>
              <w:t xml:space="preserve"> </w:t>
            </w:r>
            <w:r w:rsidRPr="00242AA7">
              <w:rPr>
                <w:rFonts w:ascii="Book Antiqua" w:eastAsia="Times New Roman" w:hAnsi="Book Antiqua" w:cs="Times New Roman"/>
                <w:lang w:val="es-ES"/>
              </w:rPr>
              <w:t>4</w:t>
            </w:r>
          </w:p>
        </w:tc>
        <w:tc>
          <w:tcPr>
            <w:tcW w:w="1266" w:type="dxa"/>
            <w:vMerge w:val="restart"/>
            <w:shd w:val="clear" w:color="auto" w:fill="auto"/>
            <w:vAlign w:val="center"/>
            <w:hideMark/>
          </w:tcPr>
          <w:p w14:paraId="3F613384"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Bone or LN</w:t>
            </w:r>
          </w:p>
        </w:tc>
        <w:tc>
          <w:tcPr>
            <w:tcW w:w="1485" w:type="dxa"/>
            <w:vMerge w:val="restart"/>
            <w:shd w:val="clear" w:color="auto" w:fill="auto"/>
            <w:vAlign w:val="center"/>
            <w:hideMark/>
          </w:tcPr>
          <w:p w14:paraId="0F0226D9" w14:textId="77777777" w:rsidR="00C20984" w:rsidRPr="00242AA7" w:rsidRDefault="00C20984" w:rsidP="00242AA7">
            <w:pPr>
              <w:spacing w:line="360" w:lineRule="auto"/>
              <w:jc w:val="both"/>
              <w:rPr>
                <w:rFonts w:ascii="Book Antiqua" w:eastAsia="Times New Roman" w:hAnsi="Book Antiqua" w:cs="Times New Roman"/>
                <w:lang w:val="es-ES"/>
              </w:rPr>
            </w:pPr>
            <w:r w:rsidRPr="00242AA7">
              <w:rPr>
                <w:rFonts w:ascii="Book Antiqua" w:eastAsia="Times New Roman" w:hAnsi="Book Antiqua" w:cs="Times New Roman"/>
                <w:lang w:val="es-ES"/>
              </w:rPr>
              <w:t xml:space="preserve">SBRT </w:t>
            </w:r>
          </w:p>
        </w:tc>
        <w:tc>
          <w:tcPr>
            <w:tcW w:w="1626" w:type="dxa"/>
            <w:vMerge w:val="restart"/>
            <w:shd w:val="clear" w:color="auto" w:fill="auto"/>
            <w:vAlign w:val="center"/>
            <w:hideMark/>
          </w:tcPr>
          <w:p w14:paraId="609908C7" w14:textId="7248079C" w:rsidR="00C20984" w:rsidRPr="00C210FF" w:rsidRDefault="00C20984" w:rsidP="00C210FF">
            <w:pPr>
              <w:spacing w:line="360" w:lineRule="auto"/>
              <w:jc w:val="both"/>
              <w:rPr>
                <w:rFonts w:ascii="Book Antiqua" w:eastAsia="SimSun" w:hAnsi="Book Antiqua" w:cs="Times New Roman"/>
                <w:lang w:val="en-US" w:eastAsia="zh-CN"/>
              </w:rPr>
            </w:pPr>
            <w:r w:rsidRPr="00242AA7">
              <w:rPr>
                <w:rFonts w:ascii="Book Antiqua" w:eastAsia="Times New Roman" w:hAnsi="Book Antiqua" w:cs="Times New Roman"/>
                <w:lang w:val="en-US"/>
              </w:rPr>
              <w:t xml:space="preserve">No. of patients without disease progression </w:t>
            </w:r>
            <w:r w:rsidR="00C210FF">
              <w:rPr>
                <w:rFonts w:ascii="Book Antiqua" w:eastAsia="SimSun" w:hAnsi="Book Antiqua" w:cs="Times New Roman" w:hint="eastAsia"/>
                <w:lang w:val="en-US" w:eastAsia="zh-CN"/>
              </w:rPr>
              <w:t>(</w:t>
            </w:r>
            <w:r w:rsidR="00C210FF">
              <w:rPr>
                <w:rFonts w:ascii="Book Antiqua" w:eastAsia="Times New Roman" w:hAnsi="Book Antiqua" w:cs="Times New Roman"/>
                <w:lang w:val="en-US"/>
              </w:rPr>
              <w:t>Time Frame: 5 yr</w:t>
            </w:r>
            <w:r w:rsidR="00C210FF">
              <w:rPr>
                <w:rFonts w:ascii="Book Antiqua" w:eastAsia="SimSun" w:hAnsi="Book Antiqua" w:cs="Times New Roman" w:hint="eastAsia"/>
                <w:lang w:val="en-US" w:eastAsia="zh-CN"/>
              </w:rPr>
              <w:t>)</w:t>
            </w:r>
          </w:p>
        </w:tc>
      </w:tr>
      <w:tr w:rsidR="00242AA7" w:rsidRPr="00242AA7" w14:paraId="6B8FACF0" w14:textId="77777777" w:rsidTr="00227C72">
        <w:trPr>
          <w:trHeight w:val="447"/>
        </w:trPr>
        <w:tc>
          <w:tcPr>
            <w:tcW w:w="1283" w:type="dxa"/>
            <w:vMerge/>
            <w:vAlign w:val="center"/>
            <w:hideMark/>
          </w:tcPr>
          <w:p w14:paraId="1EA77A4C"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A0B69D6"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42E8015F"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5989700D"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089C9B10"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AF55D58"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320B0370" w14:textId="77777777" w:rsidR="00C20984" w:rsidRPr="00242AA7" w:rsidRDefault="00C20984" w:rsidP="00242AA7">
            <w:pPr>
              <w:spacing w:line="360" w:lineRule="auto"/>
              <w:jc w:val="both"/>
              <w:rPr>
                <w:rFonts w:ascii="Book Antiqua" w:eastAsia="Times New Roman" w:hAnsi="Book Antiqua" w:cs="Times New Roman"/>
                <w:lang w:val="en-US"/>
              </w:rPr>
            </w:pPr>
          </w:p>
        </w:tc>
      </w:tr>
      <w:tr w:rsidR="00242AA7" w:rsidRPr="00242AA7" w14:paraId="1CFC52F6" w14:textId="77777777" w:rsidTr="00227C72">
        <w:trPr>
          <w:trHeight w:val="447"/>
        </w:trPr>
        <w:tc>
          <w:tcPr>
            <w:tcW w:w="1283" w:type="dxa"/>
            <w:vMerge/>
            <w:vAlign w:val="center"/>
            <w:hideMark/>
          </w:tcPr>
          <w:p w14:paraId="01EA5772"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02" w:type="dxa"/>
            <w:vMerge/>
            <w:vAlign w:val="center"/>
            <w:hideMark/>
          </w:tcPr>
          <w:p w14:paraId="16296564"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12" w:type="dxa"/>
            <w:vMerge/>
            <w:vAlign w:val="center"/>
            <w:hideMark/>
          </w:tcPr>
          <w:p w14:paraId="4D2370EA"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46" w:type="dxa"/>
            <w:vMerge/>
            <w:vAlign w:val="center"/>
            <w:hideMark/>
          </w:tcPr>
          <w:p w14:paraId="63AFABB4"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266" w:type="dxa"/>
            <w:vMerge/>
            <w:vAlign w:val="center"/>
            <w:hideMark/>
          </w:tcPr>
          <w:p w14:paraId="655B0B67"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485" w:type="dxa"/>
            <w:vMerge/>
            <w:vAlign w:val="center"/>
            <w:hideMark/>
          </w:tcPr>
          <w:p w14:paraId="70D167A6" w14:textId="77777777" w:rsidR="00C20984" w:rsidRPr="00242AA7" w:rsidRDefault="00C20984" w:rsidP="00242AA7">
            <w:pPr>
              <w:spacing w:line="360" w:lineRule="auto"/>
              <w:jc w:val="both"/>
              <w:rPr>
                <w:rFonts w:ascii="Book Antiqua" w:eastAsia="Times New Roman" w:hAnsi="Book Antiqua" w:cs="Times New Roman"/>
                <w:lang w:val="en-US"/>
              </w:rPr>
            </w:pPr>
          </w:p>
        </w:tc>
        <w:tc>
          <w:tcPr>
            <w:tcW w:w="1626" w:type="dxa"/>
            <w:vMerge/>
            <w:vAlign w:val="center"/>
            <w:hideMark/>
          </w:tcPr>
          <w:p w14:paraId="2C824776" w14:textId="77777777" w:rsidR="00C20984" w:rsidRPr="00242AA7" w:rsidRDefault="00C20984" w:rsidP="00242AA7">
            <w:pPr>
              <w:spacing w:line="360" w:lineRule="auto"/>
              <w:jc w:val="both"/>
              <w:rPr>
                <w:rFonts w:ascii="Book Antiqua" w:eastAsia="Times New Roman" w:hAnsi="Book Antiqua" w:cs="Times New Roman"/>
                <w:lang w:val="en-US"/>
              </w:rPr>
            </w:pPr>
          </w:p>
        </w:tc>
      </w:tr>
    </w:tbl>
    <w:p w14:paraId="7F06E495" w14:textId="77777777" w:rsidR="0093196F" w:rsidRPr="00242AA7" w:rsidRDefault="0093196F" w:rsidP="00242AA7">
      <w:pPr>
        <w:spacing w:line="360" w:lineRule="auto"/>
        <w:jc w:val="both"/>
        <w:rPr>
          <w:rFonts w:ascii="Book Antiqua" w:eastAsia="Times New Roman" w:hAnsi="Book Antiqua" w:cs="Arial"/>
          <w:lang w:val="en-US"/>
        </w:rPr>
      </w:pPr>
    </w:p>
    <w:p w14:paraId="60014491" w14:textId="33A74C5A" w:rsidR="00B356D9" w:rsidRPr="00242AA7" w:rsidRDefault="00A55D2C" w:rsidP="00242AA7">
      <w:pPr>
        <w:spacing w:line="360" w:lineRule="auto"/>
        <w:jc w:val="both"/>
        <w:rPr>
          <w:rFonts w:ascii="Book Antiqua" w:eastAsia="Times New Roman" w:hAnsi="Book Antiqua" w:cs="Arial"/>
          <w:lang w:val="en-US"/>
        </w:rPr>
      </w:pPr>
      <w:r w:rsidRPr="00242AA7">
        <w:rPr>
          <w:rFonts w:ascii="Book Antiqua" w:eastAsia="Times New Roman" w:hAnsi="Book Antiqua"/>
        </w:rPr>
        <w:t>ADT:</w:t>
      </w:r>
      <w:r w:rsidR="0042776B" w:rsidRPr="00242AA7">
        <w:rPr>
          <w:rFonts w:ascii="Book Antiqua" w:eastAsia="Times New Roman" w:hAnsi="Book Antiqua"/>
        </w:rPr>
        <w:t xml:space="preserve"> </w:t>
      </w:r>
      <w:r w:rsidRPr="00242AA7">
        <w:rPr>
          <w:rFonts w:ascii="Book Antiqua" w:hAnsi="Book Antiqua"/>
        </w:rPr>
        <w:t>Androgen deprivation therapy;</w:t>
      </w:r>
      <w:r w:rsidRPr="00242AA7">
        <w:rPr>
          <w:rFonts w:ascii="Book Antiqua" w:eastAsia="Times New Roman" w:hAnsi="Book Antiqua"/>
        </w:rPr>
        <w:t xml:space="preserve"> </w:t>
      </w:r>
      <w:r w:rsidR="00AA3FAE" w:rsidRPr="00242AA7">
        <w:rPr>
          <w:rFonts w:ascii="Book Antiqua" w:hAnsi="Book Antiqua" w:cs="Arial"/>
          <w:lang w:val="en-US"/>
        </w:rPr>
        <w:t>CR: Castration resistant</w:t>
      </w:r>
      <w:r w:rsidR="00B356D9" w:rsidRPr="00242AA7">
        <w:rPr>
          <w:rFonts w:ascii="Book Antiqua" w:hAnsi="Book Antiqua" w:cs="Arial"/>
          <w:lang w:val="en-US"/>
        </w:rPr>
        <w:t xml:space="preserve">; </w:t>
      </w:r>
      <w:r w:rsidRPr="00242AA7">
        <w:rPr>
          <w:rFonts w:ascii="Book Antiqua" w:hAnsi="Book Antiqua" w:cs="Arial"/>
          <w:lang w:val="en-US"/>
        </w:rPr>
        <w:t xml:space="preserve">HS: Hormone-sensitive; </w:t>
      </w:r>
      <w:r w:rsidRPr="00242AA7">
        <w:rPr>
          <w:rFonts w:ascii="Book Antiqua" w:eastAsia="Times New Roman" w:hAnsi="Book Antiqua"/>
        </w:rPr>
        <w:t xml:space="preserve">LHRH: </w:t>
      </w:r>
      <w:r w:rsidRPr="00242AA7">
        <w:rPr>
          <w:rStyle w:val="st"/>
          <w:rFonts w:ascii="Book Antiqua" w:eastAsia="Times New Roman" w:hAnsi="Book Antiqua"/>
        </w:rPr>
        <w:t xml:space="preserve">Luteinizing hormone-releasing hormone; </w:t>
      </w:r>
      <w:r w:rsidR="001B2B6A" w:rsidRPr="00242AA7">
        <w:rPr>
          <w:rFonts w:ascii="Book Antiqua" w:eastAsia="Times New Roman" w:hAnsi="Book Antiqua"/>
        </w:rPr>
        <w:t xml:space="preserve">LN: </w:t>
      </w:r>
      <w:r w:rsidR="001B2B6A" w:rsidRPr="00242AA7">
        <w:rPr>
          <w:rFonts w:ascii="Book Antiqua" w:hAnsi="Book Antiqua"/>
        </w:rPr>
        <w:t>Lymph node</w:t>
      </w:r>
      <w:r w:rsidR="001B2B6A" w:rsidRPr="00242AA7">
        <w:rPr>
          <w:rFonts w:ascii="Book Antiqua" w:eastAsia="Times New Roman" w:hAnsi="Book Antiqua"/>
        </w:rPr>
        <w:t>; MDT:</w:t>
      </w:r>
      <w:r w:rsidR="00215E70" w:rsidRPr="00242AA7">
        <w:rPr>
          <w:rFonts w:ascii="Book Antiqua" w:eastAsia="Times New Roman" w:hAnsi="Book Antiqua"/>
        </w:rPr>
        <w:t xml:space="preserve"> </w:t>
      </w:r>
      <w:r w:rsidR="00215E70" w:rsidRPr="00242AA7">
        <w:rPr>
          <w:rFonts w:ascii="Book Antiqua" w:hAnsi="Book Antiqua"/>
        </w:rPr>
        <w:t xml:space="preserve">Metastasis-directed therapy; </w:t>
      </w:r>
      <w:r w:rsidR="00D27B84" w:rsidRPr="00242AA7">
        <w:rPr>
          <w:rStyle w:val="st"/>
          <w:rFonts w:ascii="Book Antiqua" w:eastAsia="Times New Roman" w:hAnsi="Book Antiqua"/>
        </w:rPr>
        <w:t>PSA:</w:t>
      </w:r>
      <w:r w:rsidR="002024C5" w:rsidRPr="00242AA7">
        <w:rPr>
          <w:rStyle w:val="st"/>
          <w:rFonts w:ascii="Book Antiqua" w:eastAsia="Times New Roman" w:hAnsi="Book Antiqua"/>
        </w:rPr>
        <w:t xml:space="preserve"> </w:t>
      </w:r>
      <w:r w:rsidR="00C210FF" w:rsidRPr="00242AA7">
        <w:rPr>
          <w:rFonts w:ascii="Book Antiqua" w:hAnsi="Book Antiqua"/>
        </w:rPr>
        <w:t>Prostate</w:t>
      </w:r>
      <w:r w:rsidR="002024C5" w:rsidRPr="00242AA7">
        <w:rPr>
          <w:rFonts w:ascii="Book Antiqua" w:hAnsi="Book Antiqua"/>
        </w:rPr>
        <w:t>-specific antigen</w:t>
      </w:r>
      <w:r w:rsidRPr="00242AA7">
        <w:rPr>
          <w:rFonts w:ascii="Book Antiqua" w:hAnsi="Book Antiqua"/>
        </w:rPr>
        <w:t xml:space="preserve">; </w:t>
      </w:r>
      <w:r w:rsidRPr="00242AA7">
        <w:rPr>
          <w:rFonts w:ascii="Book Antiqua" w:hAnsi="Book Antiqua" w:cs="Arial"/>
          <w:lang w:val="en-US"/>
        </w:rPr>
        <w:t xml:space="preserve">SBRT: </w:t>
      </w:r>
      <w:r w:rsidRPr="00242AA7">
        <w:rPr>
          <w:rFonts w:ascii="Book Antiqua" w:hAnsi="Book Antiqua"/>
        </w:rPr>
        <w:t>Stereotactic body radiation therapy</w:t>
      </w:r>
      <w:r w:rsidRPr="00242AA7">
        <w:rPr>
          <w:rFonts w:ascii="Book Antiqua" w:hAnsi="Book Antiqua" w:cs="Arial"/>
          <w:lang w:val="en-US"/>
        </w:rPr>
        <w:t xml:space="preserve">; WPRT: </w:t>
      </w:r>
      <w:r w:rsidRPr="00242AA7">
        <w:rPr>
          <w:rFonts w:ascii="Book Antiqua" w:eastAsia="Times New Roman" w:hAnsi="Book Antiqua"/>
        </w:rPr>
        <w:t>Whole pelvic radiotherapy.</w:t>
      </w:r>
    </w:p>
    <w:p w14:paraId="65092907" w14:textId="77777777" w:rsidR="00215E70" w:rsidRPr="00242AA7" w:rsidRDefault="00215E70" w:rsidP="00242AA7">
      <w:pPr>
        <w:spacing w:line="360" w:lineRule="auto"/>
        <w:jc w:val="both"/>
        <w:rPr>
          <w:rFonts w:ascii="Book Antiqua" w:eastAsia="Times New Roman" w:hAnsi="Book Antiqua"/>
        </w:rPr>
      </w:pPr>
    </w:p>
    <w:p w14:paraId="2BB06969" w14:textId="77777777" w:rsidR="00B356D9" w:rsidRPr="00242AA7" w:rsidRDefault="00B356D9" w:rsidP="00242AA7">
      <w:pPr>
        <w:spacing w:line="360" w:lineRule="auto"/>
        <w:jc w:val="both"/>
        <w:rPr>
          <w:rFonts w:ascii="Book Antiqua" w:hAnsi="Book Antiqua" w:cs="Arial"/>
        </w:rPr>
      </w:pPr>
    </w:p>
    <w:p w14:paraId="20298AA0" w14:textId="77777777" w:rsidR="00C20984" w:rsidRPr="00242AA7" w:rsidRDefault="00C20984" w:rsidP="00242AA7">
      <w:pPr>
        <w:keepNext/>
        <w:spacing w:line="360" w:lineRule="auto"/>
        <w:jc w:val="both"/>
        <w:rPr>
          <w:rFonts w:ascii="Book Antiqua" w:hAnsi="Book Antiqua"/>
        </w:rPr>
      </w:pPr>
    </w:p>
    <w:p w14:paraId="7E0B0202" w14:textId="0BDF0FF3" w:rsidR="00E92139" w:rsidRPr="00242AA7" w:rsidRDefault="00E92139" w:rsidP="00242AA7">
      <w:pPr>
        <w:spacing w:line="360" w:lineRule="auto"/>
        <w:jc w:val="both"/>
        <w:rPr>
          <w:rFonts w:ascii="Book Antiqua" w:hAnsi="Book Antiqua"/>
          <w:vanish/>
        </w:rPr>
      </w:pPr>
    </w:p>
    <w:sectPr w:rsidR="00E92139" w:rsidRPr="00242AA7" w:rsidSect="00903C41">
      <w:pgSz w:w="11900" w:h="16840"/>
      <w:pgMar w:top="567" w:right="567" w:bottom="1418" w:left="567" w:header="1134"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89F2" w14:textId="77777777" w:rsidR="0072633F" w:rsidRDefault="0072633F" w:rsidP="00B66FF2">
      <w:r>
        <w:separator/>
      </w:r>
    </w:p>
  </w:endnote>
  <w:endnote w:type="continuationSeparator" w:id="0">
    <w:p w14:paraId="5B2ECB50" w14:textId="77777777" w:rsidR="0072633F" w:rsidRDefault="0072633F" w:rsidP="00B6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D7E73" w14:textId="77777777" w:rsidR="0072633F" w:rsidRDefault="0072633F" w:rsidP="00B66FF2">
      <w:r>
        <w:separator/>
      </w:r>
    </w:p>
  </w:footnote>
  <w:footnote w:type="continuationSeparator" w:id="0">
    <w:p w14:paraId="3AAA6B5B" w14:textId="77777777" w:rsidR="0072633F" w:rsidRDefault="0072633F" w:rsidP="00B66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95"/>
    <w:rsid w:val="00001B13"/>
    <w:rsid w:val="00004CE7"/>
    <w:rsid w:val="00005B5E"/>
    <w:rsid w:val="00010DE2"/>
    <w:rsid w:val="000113D9"/>
    <w:rsid w:val="000120C5"/>
    <w:rsid w:val="00012467"/>
    <w:rsid w:val="00012AEA"/>
    <w:rsid w:val="00015038"/>
    <w:rsid w:val="00016563"/>
    <w:rsid w:val="00017066"/>
    <w:rsid w:val="0001779E"/>
    <w:rsid w:val="00022D4A"/>
    <w:rsid w:val="000240E7"/>
    <w:rsid w:val="000247C0"/>
    <w:rsid w:val="00025104"/>
    <w:rsid w:val="00025469"/>
    <w:rsid w:val="00026DF0"/>
    <w:rsid w:val="00030B3F"/>
    <w:rsid w:val="00031CA1"/>
    <w:rsid w:val="00037CA1"/>
    <w:rsid w:val="000429F2"/>
    <w:rsid w:val="00044680"/>
    <w:rsid w:val="00046661"/>
    <w:rsid w:val="00047C05"/>
    <w:rsid w:val="0005098C"/>
    <w:rsid w:val="00051BFE"/>
    <w:rsid w:val="00055CE6"/>
    <w:rsid w:val="0005672B"/>
    <w:rsid w:val="000578CD"/>
    <w:rsid w:val="00063C95"/>
    <w:rsid w:val="00064576"/>
    <w:rsid w:val="00065CCF"/>
    <w:rsid w:val="0006679C"/>
    <w:rsid w:val="00067689"/>
    <w:rsid w:val="00067FBA"/>
    <w:rsid w:val="00071D8B"/>
    <w:rsid w:val="000720BC"/>
    <w:rsid w:val="00072AF6"/>
    <w:rsid w:val="00073418"/>
    <w:rsid w:val="00073DA0"/>
    <w:rsid w:val="0008024B"/>
    <w:rsid w:val="000864D9"/>
    <w:rsid w:val="00094E64"/>
    <w:rsid w:val="00095DB7"/>
    <w:rsid w:val="0009765D"/>
    <w:rsid w:val="000A1B2C"/>
    <w:rsid w:val="000A21FE"/>
    <w:rsid w:val="000A5CE1"/>
    <w:rsid w:val="000A78A9"/>
    <w:rsid w:val="000B14D4"/>
    <w:rsid w:val="000B186C"/>
    <w:rsid w:val="000B23D3"/>
    <w:rsid w:val="000B246C"/>
    <w:rsid w:val="000B70B7"/>
    <w:rsid w:val="000C1F08"/>
    <w:rsid w:val="000C6B62"/>
    <w:rsid w:val="000C7204"/>
    <w:rsid w:val="000C752A"/>
    <w:rsid w:val="000C7FA2"/>
    <w:rsid w:val="000D18DD"/>
    <w:rsid w:val="000D2E5D"/>
    <w:rsid w:val="000D352F"/>
    <w:rsid w:val="000D5BF2"/>
    <w:rsid w:val="000D5E1A"/>
    <w:rsid w:val="000D637F"/>
    <w:rsid w:val="000E450F"/>
    <w:rsid w:val="000E4CD0"/>
    <w:rsid w:val="000E684F"/>
    <w:rsid w:val="000E6A42"/>
    <w:rsid w:val="000E6D19"/>
    <w:rsid w:val="000F0801"/>
    <w:rsid w:val="000F1F4F"/>
    <w:rsid w:val="000F24F3"/>
    <w:rsid w:val="000F295C"/>
    <w:rsid w:val="000F397F"/>
    <w:rsid w:val="000F48C7"/>
    <w:rsid w:val="000F5D59"/>
    <w:rsid w:val="000F63F0"/>
    <w:rsid w:val="000F6D6F"/>
    <w:rsid w:val="000F7E10"/>
    <w:rsid w:val="001019AD"/>
    <w:rsid w:val="001109DD"/>
    <w:rsid w:val="00111B91"/>
    <w:rsid w:val="00111E1B"/>
    <w:rsid w:val="00113AF8"/>
    <w:rsid w:val="001140FB"/>
    <w:rsid w:val="001148A3"/>
    <w:rsid w:val="00114D5A"/>
    <w:rsid w:val="00115939"/>
    <w:rsid w:val="001163EE"/>
    <w:rsid w:val="00116EA9"/>
    <w:rsid w:val="001219EC"/>
    <w:rsid w:val="00125005"/>
    <w:rsid w:val="00127DE9"/>
    <w:rsid w:val="001319AB"/>
    <w:rsid w:val="00134420"/>
    <w:rsid w:val="00134ADD"/>
    <w:rsid w:val="00135D36"/>
    <w:rsid w:val="0014096A"/>
    <w:rsid w:val="00150C54"/>
    <w:rsid w:val="00153728"/>
    <w:rsid w:val="001552CD"/>
    <w:rsid w:val="00155379"/>
    <w:rsid w:val="00157E92"/>
    <w:rsid w:val="0016173F"/>
    <w:rsid w:val="0016192D"/>
    <w:rsid w:val="00163254"/>
    <w:rsid w:val="0016497E"/>
    <w:rsid w:val="001728C6"/>
    <w:rsid w:val="0017315B"/>
    <w:rsid w:val="00175597"/>
    <w:rsid w:val="001758F0"/>
    <w:rsid w:val="001771F3"/>
    <w:rsid w:val="00177C20"/>
    <w:rsid w:val="00177C6E"/>
    <w:rsid w:val="00177DEE"/>
    <w:rsid w:val="00177F0F"/>
    <w:rsid w:val="00180210"/>
    <w:rsid w:val="00181B4E"/>
    <w:rsid w:val="001840EA"/>
    <w:rsid w:val="00184C1B"/>
    <w:rsid w:val="00186C6E"/>
    <w:rsid w:val="00190C52"/>
    <w:rsid w:val="001912ED"/>
    <w:rsid w:val="001944FA"/>
    <w:rsid w:val="0019551F"/>
    <w:rsid w:val="0019737B"/>
    <w:rsid w:val="001A1F08"/>
    <w:rsid w:val="001A2BD4"/>
    <w:rsid w:val="001A3530"/>
    <w:rsid w:val="001A4DC2"/>
    <w:rsid w:val="001A708F"/>
    <w:rsid w:val="001A7AC3"/>
    <w:rsid w:val="001B0B08"/>
    <w:rsid w:val="001B1090"/>
    <w:rsid w:val="001B29F7"/>
    <w:rsid w:val="001B2B6A"/>
    <w:rsid w:val="001B5CCC"/>
    <w:rsid w:val="001C1CE5"/>
    <w:rsid w:val="001C257E"/>
    <w:rsid w:val="001C2F13"/>
    <w:rsid w:val="001C4FFE"/>
    <w:rsid w:val="001C5C2C"/>
    <w:rsid w:val="001C6674"/>
    <w:rsid w:val="001C754A"/>
    <w:rsid w:val="001C7F6A"/>
    <w:rsid w:val="001D140C"/>
    <w:rsid w:val="001D4F86"/>
    <w:rsid w:val="001D4FEB"/>
    <w:rsid w:val="001D58DB"/>
    <w:rsid w:val="001D631D"/>
    <w:rsid w:val="001D7A1D"/>
    <w:rsid w:val="001E45E0"/>
    <w:rsid w:val="001F211F"/>
    <w:rsid w:val="001F4C7C"/>
    <w:rsid w:val="001F5C45"/>
    <w:rsid w:val="001F5D90"/>
    <w:rsid w:val="001F605E"/>
    <w:rsid w:val="001F72D2"/>
    <w:rsid w:val="001F7526"/>
    <w:rsid w:val="002024C5"/>
    <w:rsid w:val="00202B3E"/>
    <w:rsid w:val="00204185"/>
    <w:rsid w:val="00206BDA"/>
    <w:rsid w:val="00210235"/>
    <w:rsid w:val="00215723"/>
    <w:rsid w:val="002157E9"/>
    <w:rsid w:val="00215E70"/>
    <w:rsid w:val="00217EDE"/>
    <w:rsid w:val="00220158"/>
    <w:rsid w:val="00220B83"/>
    <w:rsid w:val="002218D9"/>
    <w:rsid w:val="00221D63"/>
    <w:rsid w:val="002234F0"/>
    <w:rsid w:val="002235B0"/>
    <w:rsid w:val="002257F5"/>
    <w:rsid w:val="00226BDD"/>
    <w:rsid w:val="00226F70"/>
    <w:rsid w:val="00227C72"/>
    <w:rsid w:val="00230004"/>
    <w:rsid w:val="00232388"/>
    <w:rsid w:val="00232CDF"/>
    <w:rsid w:val="00234753"/>
    <w:rsid w:val="00234B5E"/>
    <w:rsid w:val="00242AA7"/>
    <w:rsid w:val="002471E2"/>
    <w:rsid w:val="002519D7"/>
    <w:rsid w:val="00253F35"/>
    <w:rsid w:val="00255FCE"/>
    <w:rsid w:val="00260AC9"/>
    <w:rsid w:val="002622AF"/>
    <w:rsid w:val="00262932"/>
    <w:rsid w:val="00265760"/>
    <w:rsid w:val="00265FB7"/>
    <w:rsid w:val="002678D8"/>
    <w:rsid w:val="00267D29"/>
    <w:rsid w:val="0027179B"/>
    <w:rsid w:val="00272D98"/>
    <w:rsid w:val="002766A2"/>
    <w:rsid w:val="00276A33"/>
    <w:rsid w:val="00276BA2"/>
    <w:rsid w:val="0027741B"/>
    <w:rsid w:val="002848D6"/>
    <w:rsid w:val="00284C8D"/>
    <w:rsid w:val="00290425"/>
    <w:rsid w:val="002911FE"/>
    <w:rsid w:val="00291440"/>
    <w:rsid w:val="0029369B"/>
    <w:rsid w:val="0029412A"/>
    <w:rsid w:val="002A5702"/>
    <w:rsid w:val="002A588B"/>
    <w:rsid w:val="002A5D24"/>
    <w:rsid w:val="002A7849"/>
    <w:rsid w:val="002A7991"/>
    <w:rsid w:val="002A7BC8"/>
    <w:rsid w:val="002B09D2"/>
    <w:rsid w:val="002B47B7"/>
    <w:rsid w:val="002B4DD6"/>
    <w:rsid w:val="002C1536"/>
    <w:rsid w:val="002C2C8D"/>
    <w:rsid w:val="002C2DDD"/>
    <w:rsid w:val="002C4365"/>
    <w:rsid w:val="002C43BD"/>
    <w:rsid w:val="002C657C"/>
    <w:rsid w:val="002D12F6"/>
    <w:rsid w:val="002D4AC9"/>
    <w:rsid w:val="002D4ACE"/>
    <w:rsid w:val="002D5665"/>
    <w:rsid w:val="002D59AF"/>
    <w:rsid w:val="002D6754"/>
    <w:rsid w:val="002D7693"/>
    <w:rsid w:val="002D7E13"/>
    <w:rsid w:val="002E1CA2"/>
    <w:rsid w:val="002E7781"/>
    <w:rsid w:val="002F42C0"/>
    <w:rsid w:val="002F56D3"/>
    <w:rsid w:val="002F65D8"/>
    <w:rsid w:val="00301E48"/>
    <w:rsid w:val="003035C7"/>
    <w:rsid w:val="00307756"/>
    <w:rsid w:val="00312BEB"/>
    <w:rsid w:val="003135C1"/>
    <w:rsid w:val="0031409D"/>
    <w:rsid w:val="003144C1"/>
    <w:rsid w:val="0031493E"/>
    <w:rsid w:val="0031525B"/>
    <w:rsid w:val="003237AA"/>
    <w:rsid w:val="003304B0"/>
    <w:rsid w:val="003306EB"/>
    <w:rsid w:val="00333C2A"/>
    <w:rsid w:val="00334BC9"/>
    <w:rsid w:val="00334CEB"/>
    <w:rsid w:val="00334FA5"/>
    <w:rsid w:val="00341021"/>
    <w:rsid w:val="003415B7"/>
    <w:rsid w:val="00346320"/>
    <w:rsid w:val="00346A25"/>
    <w:rsid w:val="00347421"/>
    <w:rsid w:val="00354ABE"/>
    <w:rsid w:val="00354F18"/>
    <w:rsid w:val="00355459"/>
    <w:rsid w:val="00357E3E"/>
    <w:rsid w:val="00360114"/>
    <w:rsid w:val="003628BC"/>
    <w:rsid w:val="00362C8F"/>
    <w:rsid w:val="00363B76"/>
    <w:rsid w:val="00363E08"/>
    <w:rsid w:val="0036483C"/>
    <w:rsid w:val="0037294D"/>
    <w:rsid w:val="00372A29"/>
    <w:rsid w:val="00372F02"/>
    <w:rsid w:val="0037328D"/>
    <w:rsid w:val="00373936"/>
    <w:rsid w:val="00376490"/>
    <w:rsid w:val="003843FF"/>
    <w:rsid w:val="00390705"/>
    <w:rsid w:val="00390790"/>
    <w:rsid w:val="003907A1"/>
    <w:rsid w:val="003933CB"/>
    <w:rsid w:val="00393C4D"/>
    <w:rsid w:val="00396C97"/>
    <w:rsid w:val="003A1F61"/>
    <w:rsid w:val="003A1FF5"/>
    <w:rsid w:val="003B0868"/>
    <w:rsid w:val="003B108A"/>
    <w:rsid w:val="003B2A9E"/>
    <w:rsid w:val="003B39C5"/>
    <w:rsid w:val="003B4595"/>
    <w:rsid w:val="003B7A87"/>
    <w:rsid w:val="003C269D"/>
    <w:rsid w:val="003C2932"/>
    <w:rsid w:val="003C5A79"/>
    <w:rsid w:val="003D0F8A"/>
    <w:rsid w:val="003D1BC1"/>
    <w:rsid w:val="003D2BB9"/>
    <w:rsid w:val="003D5C8E"/>
    <w:rsid w:val="003D5E76"/>
    <w:rsid w:val="003E35CC"/>
    <w:rsid w:val="003E40FF"/>
    <w:rsid w:val="003E4569"/>
    <w:rsid w:val="003E7F6E"/>
    <w:rsid w:val="003F324D"/>
    <w:rsid w:val="003F3D18"/>
    <w:rsid w:val="003F502D"/>
    <w:rsid w:val="003F50EE"/>
    <w:rsid w:val="004002AB"/>
    <w:rsid w:val="00402A5D"/>
    <w:rsid w:val="00407649"/>
    <w:rsid w:val="00410534"/>
    <w:rsid w:val="004122D9"/>
    <w:rsid w:val="00412845"/>
    <w:rsid w:val="00415A17"/>
    <w:rsid w:val="0041774C"/>
    <w:rsid w:val="00417949"/>
    <w:rsid w:val="00417CE8"/>
    <w:rsid w:val="0042073C"/>
    <w:rsid w:val="00421A1A"/>
    <w:rsid w:val="00425347"/>
    <w:rsid w:val="00425AC3"/>
    <w:rsid w:val="004264A8"/>
    <w:rsid w:val="0042776B"/>
    <w:rsid w:val="00430714"/>
    <w:rsid w:val="004319CC"/>
    <w:rsid w:val="00431D65"/>
    <w:rsid w:val="00432C8E"/>
    <w:rsid w:val="00433111"/>
    <w:rsid w:val="00433248"/>
    <w:rsid w:val="004334E7"/>
    <w:rsid w:val="0043524A"/>
    <w:rsid w:val="0043735D"/>
    <w:rsid w:val="00437955"/>
    <w:rsid w:val="00437A50"/>
    <w:rsid w:val="00437E44"/>
    <w:rsid w:val="00441EB6"/>
    <w:rsid w:val="004420F9"/>
    <w:rsid w:val="00442FB5"/>
    <w:rsid w:val="00443227"/>
    <w:rsid w:val="00445AAB"/>
    <w:rsid w:val="004524C2"/>
    <w:rsid w:val="00452C2F"/>
    <w:rsid w:val="00453280"/>
    <w:rsid w:val="00453316"/>
    <w:rsid w:val="00453BF1"/>
    <w:rsid w:val="00454717"/>
    <w:rsid w:val="004557E8"/>
    <w:rsid w:val="00455BCF"/>
    <w:rsid w:val="00456DFC"/>
    <w:rsid w:val="0046070A"/>
    <w:rsid w:val="004631B0"/>
    <w:rsid w:val="0046568D"/>
    <w:rsid w:val="004658D5"/>
    <w:rsid w:val="00466369"/>
    <w:rsid w:val="004715F1"/>
    <w:rsid w:val="00472320"/>
    <w:rsid w:val="00473757"/>
    <w:rsid w:val="00474E4B"/>
    <w:rsid w:val="00475E58"/>
    <w:rsid w:val="00477F4B"/>
    <w:rsid w:val="004820EA"/>
    <w:rsid w:val="004843FB"/>
    <w:rsid w:val="00485AA9"/>
    <w:rsid w:val="0048643B"/>
    <w:rsid w:val="00486AE0"/>
    <w:rsid w:val="004923A0"/>
    <w:rsid w:val="00494130"/>
    <w:rsid w:val="00494E24"/>
    <w:rsid w:val="004951B1"/>
    <w:rsid w:val="0049799B"/>
    <w:rsid w:val="004A16CE"/>
    <w:rsid w:val="004B2804"/>
    <w:rsid w:val="004B3FE6"/>
    <w:rsid w:val="004B45D5"/>
    <w:rsid w:val="004B5506"/>
    <w:rsid w:val="004B5521"/>
    <w:rsid w:val="004B63B6"/>
    <w:rsid w:val="004B6ECD"/>
    <w:rsid w:val="004B7708"/>
    <w:rsid w:val="004C103C"/>
    <w:rsid w:val="004C218B"/>
    <w:rsid w:val="004C5494"/>
    <w:rsid w:val="004C6969"/>
    <w:rsid w:val="004C7B51"/>
    <w:rsid w:val="004D0F52"/>
    <w:rsid w:val="004D2210"/>
    <w:rsid w:val="004D2E06"/>
    <w:rsid w:val="004E18FD"/>
    <w:rsid w:val="004E4C89"/>
    <w:rsid w:val="004E5E0E"/>
    <w:rsid w:val="004E7083"/>
    <w:rsid w:val="004F2375"/>
    <w:rsid w:val="004F3541"/>
    <w:rsid w:val="004F522F"/>
    <w:rsid w:val="004F7034"/>
    <w:rsid w:val="00501E6E"/>
    <w:rsid w:val="00502C9F"/>
    <w:rsid w:val="00503711"/>
    <w:rsid w:val="005059C2"/>
    <w:rsid w:val="00510482"/>
    <w:rsid w:val="005110C3"/>
    <w:rsid w:val="005118D7"/>
    <w:rsid w:val="00512102"/>
    <w:rsid w:val="005124D6"/>
    <w:rsid w:val="00513643"/>
    <w:rsid w:val="00517B2B"/>
    <w:rsid w:val="00525C5E"/>
    <w:rsid w:val="005277B7"/>
    <w:rsid w:val="0053097E"/>
    <w:rsid w:val="005309D2"/>
    <w:rsid w:val="00534143"/>
    <w:rsid w:val="00535245"/>
    <w:rsid w:val="00535DA4"/>
    <w:rsid w:val="00536D02"/>
    <w:rsid w:val="00540BCB"/>
    <w:rsid w:val="00541408"/>
    <w:rsid w:val="00541BD3"/>
    <w:rsid w:val="00541DBB"/>
    <w:rsid w:val="005421C6"/>
    <w:rsid w:val="00542227"/>
    <w:rsid w:val="00543634"/>
    <w:rsid w:val="0055526C"/>
    <w:rsid w:val="00556248"/>
    <w:rsid w:val="00557FD1"/>
    <w:rsid w:val="00562E6F"/>
    <w:rsid w:val="005639B7"/>
    <w:rsid w:val="005656C7"/>
    <w:rsid w:val="00571498"/>
    <w:rsid w:val="00572407"/>
    <w:rsid w:val="00572A2E"/>
    <w:rsid w:val="00574A07"/>
    <w:rsid w:val="005763DE"/>
    <w:rsid w:val="00577186"/>
    <w:rsid w:val="00581433"/>
    <w:rsid w:val="00581711"/>
    <w:rsid w:val="00581F1D"/>
    <w:rsid w:val="00585ED6"/>
    <w:rsid w:val="0058765E"/>
    <w:rsid w:val="005905D9"/>
    <w:rsid w:val="00590CA5"/>
    <w:rsid w:val="005A571F"/>
    <w:rsid w:val="005A735D"/>
    <w:rsid w:val="005B72EA"/>
    <w:rsid w:val="005B7E0D"/>
    <w:rsid w:val="005C1527"/>
    <w:rsid w:val="005C2368"/>
    <w:rsid w:val="005C2BCB"/>
    <w:rsid w:val="005C393B"/>
    <w:rsid w:val="005C3F2F"/>
    <w:rsid w:val="005C40E9"/>
    <w:rsid w:val="005C4DCB"/>
    <w:rsid w:val="005C5CFF"/>
    <w:rsid w:val="005C5F8F"/>
    <w:rsid w:val="005D3949"/>
    <w:rsid w:val="005D4FF4"/>
    <w:rsid w:val="005E3A5F"/>
    <w:rsid w:val="005E44CD"/>
    <w:rsid w:val="005E4E50"/>
    <w:rsid w:val="005E5B80"/>
    <w:rsid w:val="005F169F"/>
    <w:rsid w:val="005F22C4"/>
    <w:rsid w:val="005F497D"/>
    <w:rsid w:val="005F5A97"/>
    <w:rsid w:val="005F741D"/>
    <w:rsid w:val="00602408"/>
    <w:rsid w:val="0060342F"/>
    <w:rsid w:val="00603E05"/>
    <w:rsid w:val="006040C9"/>
    <w:rsid w:val="00604423"/>
    <w:rsid w:val="00605EC0"/>
    <w:rsid w:val="00605FD7"/>
    <w:rsid w:val="006072D3"/>
    <w:rsid w:val="0061573A"/>
    <w:rsid w:val="00615EBF"/>
    <w:rsid w:val="00616FEA"/>
    <w:rsid w:val="006177BC"/>
    <w:rsid w:val="00620868"/>
    <w:rsid w:val="00621296"/>
    <w:rsid w:val="00621D5B"/>
    <w:rsid w:val="006232EF"/>
    <w:rsid w:val="0062440D"/>
    <w:rsid w:val="00624C07"/>
    <w:rsid w:val="0062590F"/>
    <w:rsid w:val="00625B8C"/>
    <w:rsid w:val="00627442"/>
    <w:rsid w:val="00627A46"/>
    <w:rsid w:val="00631285"/>
    <w:rsid w:val="006334CC"/>
    <w:rsid w:val="00633B26"/>
    <w:rsid w:val="00634B7E"/>
    <w:rsid w:val="00636547"/>
    <w:rsid w:val="00636DE6"/>
    <w:rsid w:val="00637BF1"/>
    <w:rsid w:val="00640645"/>
    <w:rsid w:val="00640EA8"/>
    <w:rsid w:val="00642027"/>
    <w:rsid w:val="00646C51"/>
    <w:rsid w:val="006501E8"/>
    <w:rsid w:val="006529F0"/>
    <w:rsid w:val="00653502"/>
    <w:rsid w:val="00654823"/>
    <w:rsid w:val="00654C90"/>
    <w:rsid w:val="00656121"/>
    <w:rsid w:val="0065748F"/>
    <w:rsid w:val="00663155"/>
    <w:rsid w:val="006646C4"/>
    <w:rsid w:val="00664D6B"/>
    <w:rsid w:val="00664F6C"/>
    <w:rsid w:val="00665CDD"/>
    <w:rsid w:val="00667DD3"/>
    <w:rsid w:val="00670313"/>
    <w:rsid w:val="00670E8A"/>
    <w:rsid w:val="00671F2E"/>
    <w:rsid w:val="00672384"/>
    <w:rsid w:val="00673BCD"/>
    <w:rsid w:val="00676770"/>
    <w:rsid w:val="00677538"/>
    <w:rsid w:val="006804CA"/>
    <w:rsid w:val="006831F8"/>
    <w:rsid w:val="00683AB6"/>
    <w:rsid w:val="0068426A"/>
    <w:rsid w:val="00684920"/>
    <w:rsid w:val="00684D11"/>
    <w:rsid w:val="00684F01"/>
    <w:rsid w:val="00686598"/>
    <w:rsid w:val="00687778"/>
    <w:rsid w:val="006877D9"/>
    <w:rsid w:val="00692BAA"/>
    <w:rsid w:val="006930E7"/>
    <w:rsid w:val="00693DDA"/>
    <w:rsid w:val="0069576F"/>
    <w:rsid w:val="00696EEE"/>
    <w:rsid w:val="00697CDD"/>
    <w:rsid w:val="006A1B43"/>
    <w:rsid w:val="006A2B56"/>
    <w:rsid w:val="006A338A"/>
    <w:rsid w:val="006A3A00"/>
    <w:rsid w:val="006A539A"/>
    <w:rsid w:val="006A7F7C"/>
    <w:rsid w:val="006B58CF"/>
    <w:rsid w:val="006B6B42"/>
    <w:rsid w:val="006B6B79"/>
    <w:rsid w:val="006C01E3"/>
    <w:rsid w:val="006C1085"/>
    <w:rsid w:val="006C11A9"/>
    <w:rsid w:val="006C12C0"/>
    <w:rsid w:val="006C18A4"/>
    <w:rsid w:val="006C222D"/>
    <w:rsid w:val="006C3010"/>
    <w:rsid w:val="006C33AF"/>
    <w:rsid w:val="006C4865"/>
    <w:rsid w:val="006C492F"/>
    <w:rsid w:val="006C69B3"/>
    <w:rsid w:val="006C7E42"/>
    <w:rsid w:val="006D0AA8"/>
    <w:rsid w:val="006D127A"/>
    <w:rsid w:val="006D165D"/>
    <w:rsid w:val="006D2187"/>
    <w:rsid w:val="006D2E96"/>
    <w:rsid w:val="006D3CC1"/>
    <w:rsid w:val="006D3FEE"/>
    <w:rsid w:val="006D486F"/>
    <w:rsid w:val="006D63BB"/>
    <w:rsid w:val="006D7DD9"/>
    <w:rsid w:val="006E440C"/>
    <w:rsid w:val="006E4B9A"/>
    <w:rsid w:val="006E5D70"/>
    <w:rsid w:val="006E6126"/>
    <w:rsid w:val="006E7050"/>
    <w:rsid w:val="006E756A"/>
    <w:rsid w:val="006F69FF"/>
    <w:rsid w:val="00700B97"/>
    <w:rsid w:val="00701441"/>
    <w:rsid w:val="00706BC1"/>
    <w:rsid w:val="00707115"/>
    <w:rsid w:val="0071146A"/>
    <w:rsid w:val="00711728"/>
    <w:rsid w:val="00712FBD"/>
    <w:rsid w:val="00714A6E"/>
    <w:rsid w:val="007150F5"/>
    <w:rsid w:val="0071653C"/>
    <w:rsid w:val="00716B6C"/>
    <w:rsid w:val="007176D9"/>
    <w:rsid w:val="0072333C"/>
    <w:rsid w:val="00725994"/>
    <w:rsid w:val="0072633F"/>
    <w:rsid w:val="00730101"/>
    <w:rsid w:val="0073023D"/>
    <w:rsid w:val="007305BE"/>
    <w:rsid w:val="00731519"/>
    <w:rsid w:val="00732821"/>
    <w:rsid w:val="00732D9D"/>
    <w:rsid w:val="00734B3F"/>
    <w:rsid w:val="00735008"/>
    <w:rsid w:val="00736660"/>
    <w:rsid w:val="00740095"/>
    <w:rsid w:val="007408C9"/>
    <w:rsid w:val="00740B12"/>
    <w:rsid w:val="00741BB9"/>
    <w:rsid w:val="00742B3C"/>
    <w:rsid w:val="00743D61"/>
    <w:rsid w:val="0074419B"/>
    <w:rsid w:val="00752553"/>
    <w:rsid w:val="00753866"/>
    <w:rsid w:val="00754431"/>
    <w:rsid w:val="00754F91"/>
    <w:rsid w:val="00755435"/>
    <w:rsid w:val="007560C8"/>
    <w:rsid w:val="007568C6"/>
    <w:rsid w:val="00757E4C"/>
    <w:rsid w:val="00757EFC"/>
    <w:rsid w:val="00761123"/>
    <w:rsid w:val="00764568"/>
    <w:rsid w:val="0076465D"/>
    <w:rsid w:val="007672D4"/>
    <w:rsid w:val="007705DA"/>
    <w:rsid w:val="00771C67"/>
    <w:rsid w:val="007722A3"/>
    <w:rsid w:val="00772419"/>
    <w:rsid w:val="007733E9"/>
    <w:rsid w:val="00773869"/>
    <w:rsid w:val="00774EE7"/>
    <w:rsid w:val="00774EF8"/>
    <w:rsid w:val="00775C99"/>
    <w:rsid w:val="007778F1"/>
    <w:rsid w:val="00780512"/>
    <w:rsid w:val="00785602"/>
    <w:rsid w:val="00785CB7"/>
    <w:rsid w:val="00786233"/>
    <w:rsid w:val="00787E9A"/>
    <w:rsid w:val="007900D9"/>
    <w:rsid w:val="00793577"/>
    <w:rsid w:val="00793B1B"/>
    <w:rsid w:val="00794000"/>
    <w:rsid w:val="00794EF3"/>
    <w:rsid w:val="00797BA9"/>
    <w:rsid w:val="007A069C"/>
    <w:rsid w:val="007A280E"/>
    <w:rsid w:val="007A68C1"/>
    <w:rsid w:val="007A772A"/>
    <w:rsid w:val="007A7BFC"/>
    <w:rsid w:val="007B05C4"/>
    <w:rsid w:val="007B1DE8"/>
    <w:rsid w:val="007B3AD8"/>
    <w:rsid w:val="007B437A"/>
    <w:rsid w:val="007B44B7"/>
    <w:rsid w:val="007C0B21"/>
    <w:rsid w:val="007C15F9"/>
    <w:rsid w:val="007C2EFB"/>
    <w:rsid w:val="007C52E9"/>
    <w:rsid w:val="007C5FE9"/>
    <w:rsid w:val="007C694A"/>
    <w:rsid w:val="007C6CC5"/>
    <w:rsid w:val="007C72F5"/>
    <w:rsid w:val="007C7670"/>
    <w:rsid w:val="007D015D"/>
    <w:rsid w:val="007D200B"/>
    <w:rsid w:val="007D7870"/>
    <w:rsid w:val="007E1E27"/>
    <w:rsid w:val="007E3BF4"/>
    <w:rsid w:val="007E5A65"/>
    <w:rsid w:val="007E7EB0"/>
    <w:rsid w:val="007F04CC"/>
    <w:rsid w:val="007F07D9"/>
    <w:rsid w:val="007F2558"/>
    <w:rsid w:val="007F4DA7"/>
    <w:rsid w:val="007F51D0"/>
    <w:rsid w:val="007F62E0"/>
    <w:rsid w:val="007F70CB"/>
    <w:rsid w:val="007F74D9"/>
    <w:rsid w:val="00800217"/>
    <w:rsid w:val="00800F5F"/>
    <w:rsid w:val="00801F38"/>
    <w:rsid w:val="00804A9B"/>
    <w:rsid w:val="00804C20"/>
    <w:rsid w:val="00804DFA"/>
    <w:rsid w:val="00805D63"/>
    <w:rsid w:val="00812039"/>
    <w:rsid w:val="0081281F"/>
    <w:rsid w:val="00812A33"/>
    <w:rsid w:val="00814E2E"/>
    <w:rsid w:val="0081587C"/>
    <w:rsid w:val="008208E4"/>
    <w:rsid w:val="00821068"/>
    <w:rsid w:val="0082365C"/>
    <w:rsid w:val="00825C3F"/>
    <w:rsid w:val="0082635D"/>
    <w:rsid w:val="00826E99"/>
    <w:rsid w:val="00827334"/>
    <w:rsid w:val="0083081E"/>
    <w:rsid w:val="00830A59"/>
    <w:rsid w:val="00831722"/>
    <w:rsid w:val="00832040"/>
    <w:rsid w:val="00832326"/>
    <w:rsid w:val="00833747"/>
    <w:rsid w:val="0083459D"/>
    <w:rsid w:val="00834DC0"/>
    <w:rsid w:val="00840089"/>
    <w:rsid w:val="008430DD"/>
    <w:rsid w:val="00843A62"/>
    <w:rsid w:val="008505E2"/>
    <w:rsid w:val="00851365"/>
    <w:rsid w:val="00852226"/>
    <w:rsid w:val="00853640"/>
    <w:rsid w:val="00854996"/>
    <w:rsid w:val="008556B6"/>
    <w:rsid w:val="00857B4A"/>
    <w:rsid w:val="0086145F"/>
    <w:rsid w:val="00864353"/>
    <w:rsid w:val="00865FAD"/>
    <w:rsid w:val="008661A5"/>
    <w:rsid w:val="00866966"/>
    <w:rsid w:val="00870DA9"/>
    <w:rsid w:val="00873ADC"/>
    <w:rsid w:val="00874748"/>
    <w:rsid w:val="0087763E"/>
    <w:rsid w:val="0088085F"/>
    <w:rsid w:val="00880A78"/>
    <w:rsid w:val="00881745"/>
    <w:rsid w:val="008822E0"/>
    <w:rsid w:val="008839F6"/>
    <w:rsid w:val="00885510"/>
    <w:rsid w:val="00885F93"/>
    <w:rsid w:val="0088669E"/>
    <w:rsid w:val="00886FDC"/>
    <w:rsid w:val="00887EA2"/>
    <w:rsid w:val="008903CE"/>
    <w:rsid w:val="0089092F"/>
    <w:rsid w:val="00894BFF"/>
    <w:rsid w:val="0089544E"/>
    <w:rsid w:val="008974FC"/>
    <w:rsid w:val="008A107E"/>
    <w:rsid w:val="008A29B3"/>
    <w:rsid w:val="008A3449"/>
    <w:rsid w:val="008A3AF3"/>
    <w:rsid w:val="008A48BC"/>
    <w:rsid w:val="008A5728"/>
    <w:rsid w:val="008A62F1"/>
    <w:rsid w:val="008A6BC3"/>
    <w:rsid w:val="008B06D6"/>
    <w:rsid w:val="008B1793"/>
    <w:rsid w:val="008B181B"/>
    <w:rsid w:val="008B2069"/>
    <w:rsid w:val="008B3590"/>
    <w:rsid w:val="008B3E18"/>
    <w:rsid w:val="008B400C"/>
    <w:rsid w:val="008B440D"/>
    <w:rsid w:val="008B5430"/>
    <w:rsid w:val="008B5F88"/>
    <w:rsid w:val="008B6BE9"/>
    <w:rsid w:val="008B79BC"/>
    <w:rsid w:val="008C04B3"/>
    <w:rsid w:val="008C2057"/>
    <w:rsid w:val="008C4578"/>
    <w:rsid w:val="008C65E7"/>
    <w:rsid w:val="008C6F15"/>
    <w:rsid w:val="008D0963"/>
    <w:rsid w:val="008D3F48"/>
    <w:rsid w:val="008D66B9"/>
    <w:rsid w:val="008D7AEF"/>
    <w:rsid w:val="008E20CE"/>
    <w:rsid w:val="008E2D43"/>
    <w:rsid w:val="008E7737"/>
    <w:rsid w:val="008F17B6"/>
    <w:rsid w:val="008F2B3C"/>
    <w:rsid w:val="008F4BBB"/>
    <w:rsid w:val="0090219F"/>
    <w:rsid w:val="00903C41"/>
    <w:rsid w:val="00905C44"/>
    <w:rsid w:val="009071F6"/>
    <w:rsid w:val="009076AF"/>
    <w:rsid w:val="00907890"/>
    <w:rsid w:val="00907D95"/>
    <w:rsid w:val="009154C2"/>
    <w:rsid w:val="00916C69"/>
    <w:rsid w:val="00917A73"/>
    <w:rsid w:val="0092037F"/>
    <w:rsid w:val="0092122B"/>
    <w:rsid w:val="0092180E"/>
    <w:rsid w:val="0092694D"/>
    <w:rsid w:val="0092736A"/>
    <w:rsid w:val="00927DC0"/>
    <w:rsid w:val="0093065C"/>
    <w:rsid w:val="00930C9C"/>
    <w:rsid w:val="0093196F"/>
    <w:rsid w:val="00932239"/>
    <w:rsid w:val="00934563"/>
    <w:rsid w:val="009371D7"/>
    <w:rsid w:val="00937DBA"/>
    <w:rsid w:val="0094156B"/>
    <w:rsid w:val="00941A09"/>
    <w:rsid w:val="009460C6"/>
    <w:rsid w:val="00946FEB"/>
    <w:rsid w:val="00947E47"/>
    <w:rsid w:val="00953189"/>
    <w:rsid w:val="0095344E"/>
    <w:rsid w:val="00954785"/>
    <w:rsid w:val="0095655B"/>
    <w:rsid w:val="00961089"/>
    <w:rsid w:val="0096123A"/>
    <w:rsid w:val="00962979"/>
    <w:rsid w:val="00962A0F"/>
    <w:rsid w:val="00963758"/>
    <w:rsid w:val="00964942"/>
    <w:rsid w:val="00965B67"/>
    <w:rsid w:val="009664DE"/>
    <w:rsid w:val="00970DBB"/>
    <w:rsid w:val="00972575"/>
    <w:rsid w:val="009747FA"/>
    <w:rsid w:val="00974995"/>
    <w:rsid w:val="00975C34"/>
    <w:rsid w:val="009764D6"/>
    <w:rsid w:val="00976A13"/>
    <w:rsid w:val="009811BB"/>
    <w:rsid w:val="00981CB2"/>
    <w:rsid w:val="00981EE2"/>
    <w:rsid w:val="00982DC9"/>
    <w:rsid w:val="00985168"/>
    <w:rsid w:val="00986F42"/>
    <w:rsid w:val="00990D83"/>
    <w:rsid w:val="00990E56"/>
    <w:rsid w:val="00990F18"/>
    <w:rsid w:val="00991306"/>
    <w:rsid w:val="00992F8C"/>
    <w:rsid w:val="00993405"/>
    <w:rsid w:val="00993FE0"/>
    <w:rsid w:val="009942F3"/>
    <w:rsid w:val="009948D1"/>
    <w:rsid w:val="00994FAA"/>
    <w:rsid w:val="009A09C6"/>
    <w:rsid w:val="009A2847"/>
    <w:rsid w:val="009A3E35"/>
    <w:rsid w:val="009A69CA"/>
    <w:rsid w:val="009B5607"/>
    <w:rsid w:val="009B6FCC"/>
    <w:rsid w:val="009C16E8"/>
    <w:rsid w:val="009C2716"/>
    <w:rsid w:val="009C28CB"/>
    <w:rsid w:val="009C2A82"/>
    <w:rsid w:val="009C3EA1"/>
    <w:rsid w:val="009D0D23"/>
    <w:rsid w:val="009D28A9"/>
    <w:rsid w:val="009D7CDB"/>
    <w:rsid w:val="009D7DDB"/>
    <w:rsid w:val="009E1CA4"/>
    <w:rsid w:val="009E3FCA"/>
    <w:rsid w:val="009E481C"/>
    <w:rsid w:val="009E78DB"/>
    <w:rsid w:val="009E7911"/>
    <w:rsid w:val="009F0A37"/>
    <w:rsid w:val="009F1270"/>
    <w:rsid w:val="009F2150"/>
    <w:rsid w:val="009F22D3"/>
    <w:rsid w:val="009F3050"/>
    <w:rsid w:val="009F55CD"/>
    <w:rsid w:val="00A01354"/>
    <w:rsid w:val="00A01B2E"/>
    <w:rsid w:val="00A04074"/>
    <w:rsid w:val="00A04147"/>
    <w:rsid w:val="00A05F5A"/>
    <w:rsid w:val="00A075B7"/>
    <w:rsid w:val="00A113BE"/>
    <w:rsid w:val="00A12734"/>
    <w:rsid w:val="00A14B38"/>
    <w:rsid w:val="00A16453"/>
    <w:rsid w:val="00A174E9"/>
    <w:rsid w:val="00A22F34"/>
    <w:rsid w:val="00A23BA9"/>
    <w:rsid w:val="00A30E38"/>
    <w:rsid w:val="00A32FF4"/>
    <w:rsid w:val="00A34E1D"/>
    <w:rsid w:val="00A36B6A"/>
    <w:rsid w:val="00A40BD3"/>
    <w:rsid w:val="00A41C38"/>
    <w:rsid w:val="00A43B47"/>
    <w:rsid w:val="00A44B66"/>
    <w:rsid w:val="00A45591"/>
    <w:rsid w:val="00A52B1C"/>
    <w:rsid w:val="00A52CA4"/>
    <w:rsid w:val="00A53831"/>
    <w:rsid w:val="00A55D2C"/>
    <w:rsid w:val="00A56A8D"/>
    <w:rsid w:val="00A60807"/>
    <w:rsid w:val="00A63E0E"/>
    <w:rsid w:val="00A64DD3"/>
    <w:rsid w:val="00A66105"/>
    <w:rsid w:val="00A67641"/>
    <w:rsid w:val="00A679ED"/>
    <w:rsid w:val="00A7361D"/>
    <w:rsid w:val="00A7405A"/>
    <w:rsid w:val="00A7432B"/>
    <w:rsid w:val="00A744A6"/>
    <w:rsid w:val="00A74787"/>
    <w:rsid w:val="00A83ADC"/>
    <w:rsid w:val="00A84055"/>
    <w:rsid w:val="00A84766"/>
    <w:rsid w:val="00A852E9"/>
    <w:rsid w:val="00A85ABA"/>
    <w:rsid w:val="00A87101"/>
    <w:rsid w:val="00A87A80"/>
    <w:rsid w:val="00A905F4"/>
    <w:rsid w:val="00A91FB1"/>
    <w:rsid w:val="00A95FB2"/>
    <w:rsid w:val="00A96F6B"/>
    <w:rsid w:val="00AA18D5"/>
    <w:rsid w:val="00AA3FAE"/>
    <w:rsid w:val="00AA57D9"/>
    <w:rsid w:val="00AA7028"/>
    <w:rsid w:val="00AB007A"/>
    <w:rsid w:val="00AB22EB"/>
    <w:rsid w:val="00AB397D"/>
    <w:rsid w:val="00AB49C9"/>
    <w:rsid w:val="00AC2774"/>
    <w:rsid w:val="00AC5283"/>
    <w:rsid w:val="00AC59F4"/>
    <w:rsid w:val="00AC5BA1"/>
    <w:rsid w:val="00AD070D"/>
    <w:rsid w:val="00AD5777"/>
    <w:rsid w:val="00AE1A6B"/>
    <w:rsid w:val="00AE21BF"/>
    <w:rsid w:val="00AE4CC2"/>
    <w:rsid w:val="00AE549C"/>
    <w:rsid w:val="00AE6B24"/>
    <w:rsid w:val="00AF0F32"/>
    <w:rsid w:val="00AF1DCA"/>
    <w:rsid w:val="00AF2E98"/>
    <w:rsid w:val="00AF4385"/>
    <w:rsid w:val="00AF61EC"/>
    <w:rsid w:val="00AF75F1"/>
    <w:rsid w:val="00B01910"/>
    <w:rsid w:val="00B02273"/>
    <w:rsid w:val="00B02330"/>
    <w:rsid w:val="00B03480"/>
    <w:rsid w:val="00B11D35"/>
    <w:rsid w:val="00B13D0F"/>
    <w:rsid w:val="00B14390"/>
    <w:rsid w:val="00B14EC9"/>
    <w:rsid w:val="00B16263"/>
    <w:rsid w:val="00B16CFA"/>
    <w:rsid w:val="00B1787E"/>
    <w:rsid w:val="00B23ACE"/>
    <w:rsid w:val="00B260B4"/>
    <w:rsid w:val="00B26701"/>
    <w:rsid w:val="00B27EF4"/>
    <w:rsid w:val="00B30372"/>
    <w:rsid w:val="00B30393"/>
    <w:rsid w:val="00B30D19"/>
    <w:rsid w:val="00B34456"/>
    <w:rsid w:val="00B356D9"/>
    <w:rsid w:val="00B35B7D"/>
    <w:rsid w:val="00B46D36"/>
    <w:rsid w:val="00B50DB7"/>
    <w:rsid w:val="00B51B88"/>
    <w:rsid w:val="00B52486"/>
    <w:rsid w:val="00B524C5"/>
    <w:rsid w:val="00B54ACB"/>
    <w:rsid w:val="00B55FB3"/>
    <w:rsid w:val="00B62E8A"/>
    <w:rsid w:val="00B6326E"/>
    <w:rsid w:val="00B669F5"/>
    <w:rsid w:val="00B66FF2"/>
    <w:rsid w:val="00B67F2F"/>
    <w:rsid w:val="00B70963"/>
    <w:rsid w:val="00B72985"/>
    <w:rsid w:val="00B7390B"/>
    <w:rsid w:val="00B76358"/>
    <w:rsid w:val="00B77D1A"/>
    <w:rsid w:val="00B805B0"/>
    <w:rsid w:val="00B843BC"/>
    <w:rsid w:val="00B85C8B"/>
    <w:rsid w:val="00B87DF1"/>
    <w:rsid w:val="00B90718"/>
    <w:rsid w:val="00B90DB9"/>
    <w:rsid w:val="00B930C0"/>
    <w:rsid w:val="00B951B9"/>
    <w:rsid w:val="00B95B1B"/>
    <w:rsid w:val="00B96AF9"/>
    <w:rsid w:val="00B96F35"/>
    <w:rsid w:val="00B96F4D"/>
    <w:rsid w:val="00B97704"/>
    <w:rsid w:val="00B978F7"/>
    <w:rsid w:val="00BA0666"/>
    <w:rsid w:val="00BA16D1"/>
    <w:rsid w:val="00BA2AF4"/>
    <w:rsid w:val="00BA588C"/>
    <w:rsid w:val="00BA612B"/>
    <w:rsid w:val="00BA7E8E"/>
    <w:rsid w:val="00BB26A8"/>
    <w:rsid w:val="00BB300F"/>
    <w:rsid w:val="00BB3396"/>
    <w:rsid w:val="00BB6FE0"/>
    <w:rsid w:val="00BB7CC0"/>
    <w:rsid w:val="00BC31A3"/>
    <w:rsid w:val="00BC77A7"/>
    <w:rsid w:val="00BD3264"/>
    <w:rsid w:val="00BD3B2C"/>
    <w:rsid w:val="00BD405F"/>
    <w:rsid w:val="00BD539A"/>
    <w:rsid w:val="00BD56FE"/>
    <w:rsid w:val="00BD6121"/>
    <w:rsid w:val="00BD669C"/>
    <w:rsid w:val="00BD6BB2"/>
    <w:rsid w:val="00BE4498"/>
    <w:rsid w:val="00BE5E5A"/>
    <w:rsid w:val="00BE671C"/>
    <w:rsid w:val="00BF401C"/>
    <w:rsid w:val="00BF60DB"/>
    <w:rsid w:val="00BF7DF5"/>
    <w:rsid w:val="00C005A1"/>
    <w:rsid w:val="00C00956"/>
    <w:rsid w:val="00C01612"/>
    <w:rsid w:val="00C01C08"/>
    <w:rsid w:val="00C01C92"/>
    <w:rsid w:val="00C028F3"/>
    <w:rsid w:val="00C033E6"/>
    <w:rsid w:val="00C03BF9"/>
    <w:rsid w:val="00C05F61"/>
    <w:rsid w:val="00C06419"/>
    <w:rsid w:val="00C07AC6"/>
    <w:rsid w:val="00C1198A"/>
    <w:rsid w:val="00C12D1D"/>
    <w:rsid w:val="00C12DB7"/>
    <w:rsid w:val="00C1476E"/>
    <w:rsid w:val="00C161DA"/>
    <w:rsid w:val="00C172A7"/>
    <w:rsid w:val="00C17A5E"/>
    <w:rsid w:val="00C202A3"/>
    <w:rsid w:val="00C20984"/>
    <w:rsid w:val="00C210FF"/>
    <w:rsid w:val="00C212D7"/>
    <w:rsid w:val="00C21A5F"/>
    <w:rsid w:val="00C21F40"/>
    <w:rsid w:val="00C234F9"/>
    <w:rsid w:val="00C237F5"/>
    <w:rsid w:val="00C24B22"/>
    <w:rsid w:val="00C25FE0"/>
    <w:rsid w:val="00C30A12"/>
    <w:rsid w:val="00C30C0E"/>
    <w:rsid w:val="00C317F5"/>
    <w:rsid w:val="00C3261F"/>
    <w:rsid w:val="00C32BBC"/>
    <w:rsid w:val="00C32F73"/>
    <w:rsid w:val="00C33AFF"/>
    <w:rsid w:val="00C33BC4"/>
    <w:rsid w:val="00C33BDA"/>
    <w:rsid w:val="00C34850"/>
    <w:rsid w:val="00C34E71"/>
    <w:rsid w:val="00C37B59"/>
    <w:rsid w:val="00C4175A"/>
    <w:rsid w:val="00C421F0"/>
    <w:rsid w:val="00C434A1"/>
    <w:rsid w:val="00C43A02"/>
    <w:rsid w:val="00C4604B"/>
    <w:rsid w:val="00C5211E"/>
    <w:rsid w:val="00C527A1"/>
    <w:rsid w:val="00C53D3D"/>
    <w:rsid w:val="00C564C6"/>
    <w:rsid w:val="00C6094B"/>
    <w:rsid w:val="00C64386"/>
    <w:rsid w:val="00C70232"/>
    <w:rsid w:val="00C71595"/>
    <w:rsid w:val="00C731BE"/>
    <w:rsid w:val="00C73410"/>
    <w:rsid w:val="00C741E5"/>
    <w:rsid w:val="00C74C42"/>
    <w:rsid w:val="00C74C98"/>
    <w:rsid w:val="00C7659D"/>
    <w:rsid w:val="00C76AEF"/>
    <w:rsid w:val="00C76ED2"/>
    <w:rsid w:val="00C77B51"/>
    <w:rsid w:val="00C82521"/>
    <w:rsid w:val="00C87BE0"/>
    <w:rsid w:val="00C9037A"/>
    <w:rsid w:val="00C9142D"/>
    <w:rsid w:val="00C92804"/>
    <w:rsid w:val="00C950D4"/>
    <w:rsid w:val="00CA0F3F"/>
    <w:rsid w:val="00CA2425"/>
    <w:rsid w:val="00CA27FD"/>
    <w:rsid w:val="00CA7D2E"/>
    <w:rsid w:val="00CB0819"/>
    <w:rsid w:val="00CB216D"/>
    <w:rsid w:val="00CB21AB"/>
    <w:rsid w:val="00CB3137"/>
    <w:rsid w:val="00CB44C4"/>
    <w:rsid w:val="00CB4574"/>
    <w:rsid w:val="00CB620A"/>
    <w:rsid w:val="00CB7459"/>
    <w:rsid w:val="00CB7741"/>
    <w:rsid w:val="00CB7878"/>
    <w:rsid w:val="00CC05A4"/>
    <w:rsid w:val="00CC0EDC"/>
    <w:rsid w:val="00CC2102"/>
    <w:rsid w:val="00CC2BC9"/>
    <w:rsid w:val="00CC3357"/>
    <w:rsid w:val="00CC7A59"/>
    <w:rsid w:val="00CD0327"/>
    <w:rsid w:val="00CD0817"/>
    <w:rsid w:val="00CD13F9"/>
    <w:rsid w:val="00CD1F3A"/>
    <w:rsid w:val="00CD2456"/>
    <w:rsid w:val="00CD27E3"/>
    <w:rsid w:val="00CD2EAE"/>
    <w:rsid w:val="00CD46D8"/>
    <w:rsid w:val="00CD52C3"/>
    <w:rsid w:val="00CD69FD"/>
    <w:rsid w:val="00CD7A9B"/>
    <w:rsid w:val="00CD7C4F"/>
    <w:rsid w:val="00CE18C1"/>
    <w:rsid w:val="00CE56AD"/>
    <w:rsid w:val="00CE7C0B"/>
    <w:rsid w:val="00CF01C3"/>
    <w:rsid w:val="00CF392D"/>
    <w:rsid w:val="00CF4B3E"/>
    <w:rsid w:val="00CF56ED"/>
    <w:rsid w:val="00CF5748"/>
    <w:rsid w:val="00D0005D"/>
    <w:rsid w:val="00D017E9"/>
    <w:rsid w:val="00D024B7"/>
    <w:rsid w:val="00D05296"/>
    <w:rsid w:val="00D0624F"/>
    <w:rsid w:val="00D063AF"/>
    <w:rsid w:val="00D06BEA"/>
    <w:rsid w:val="00D1468D"/>
    <w:rsid w:val="00D20218"/>
    <w:rsid w:val="00D20E7E"/>
    <w:rsid w:val="00D23A9C"/>
    <w:rsid w:val="00D24755"/>
    <w:rsid w:val="00D24952"/>
    <w:rsid w:val="00D265AD"/>
    <w:rsid w:val="00D27826"/>
    <w:rsid w:val="00D27B84"/>
    <w:rsid w:val="00D27FD1"/>
    <w:rsid w:val="00D338F5"/>
    <w:rsid w:val="00D344C2"/>
    <w:rsid w:val="00D4318B"/>
    <w:rsid w:val="00D43CC3"/>
    <w:rsid w:val="00D4618A"/>
    <w:rsid w:val="00D46665"/>
    <w:rsid w:val="00D503F3"/>
    <w:rsid w:val="00D52BA3"/>
    <w:rsid w:val="00D565AF"/>
    <w:rsid w:val="00D57BE4"/>
    <w:rsid w:val="00D6080A"/>
    <w:rsid w:val="00D609AC"/>
    <w:rsid w:val="00D60DD7"/>
    <w:rsid w:val="00D61166"/>
    <w:rsid w:val="00D62BF8"/>
    <w:rsid w:val="00D63CEF"/>
    <w:rsid w:val="00D6732F"/>
    <w:rsid w:val="00D6786B"/>
    <w:rsid w:val="00D679CE"/>
    <w:rsid w:val="00D71320"/>
    <w:rsid w:val="00D714FD"/>
    <w:rsid w:val="00D72B1F"/>
    <w:rsid w:val="00D73581"/>
    <w:rsid w:val="00D75387"/>
    <w:rsid w:val="00D7599E"/>
    <w:rsid w:val="00D75A9C"/>
    <w:rsid w:val="00D8090C"/>
    <w:rsid w:val="00D81630"/>
    <w:rsid w:val="00D82052"/>
    <w:rsid w:val="00D84DA3"/>
    <w:rsid w:val="00D87F92"/>
    <w:rsid w:val="00D93703"/>
    <w:rsid w:val="00D94CAE"/>
    <w:rsid w:val="00D95879"/>
    <w:rsid w:val="00D96F9D"/>
    <w:rsid w:val="00D973BB"/>
    <w:rsid w:val="00DA0EF6"/>
    <w:rsid w:val="00DA6F96"/>
    <w:rsid w:val="00DA76ED"/>
    <w:rsid w:val="00DB23DC"/>
    <w:rsid w:val="00DB2724"/>
    <w:rsid w:val="00DB7F47"/>
    <w:rsid w:val="00DC0315"/>
    <w:rsid w:val="00DC1C87"/>
    <w:rsid w:val="00DC41B8"/>
    <w:rsid w:val="00DC65A6"/>
    <w:rsid w:val="00DD075E"/>
    <w:rsid w:val="00DD2012"/>
    <w:rsid w:val="00DD4289"/>
    <w:rsid w:val="00DD608C"/>
    <w:rsid w:val="00DD6300"/>
    <w:rsid w:val="00DD7429"/>
    <w:rsid w:val="00DE0601"/>
    <w:rsid w:val="00DE607D"/>
    <w:rsid w:val="00DF2414"/>
    <w:rsid w:val="00DF6AD0"/>
    <w:rsid w:val="00E008FD"/>
    <w:rsid w:val="00E038E2"/>
    <w:rsid w:val="00E15E47"/>
    <w:rsid w:val="00E16529"/>
    <w:rsid w:val="00E17953"/>
    <w:rsid w:val="00E21243"/>
    <w:rsid w:val="00E21AC1"/>
    <w:rsid w:val="00E238B6"/>
    <w:rsid w:val="00E23A76"/>
    <w:rsid w:val="00E2553B"/>
    <w:rsid w:val="00E2751C"/>
    <w:rsid w:val="00E27AA5"/>
    <w:rsid w:val="00E30B7C"/>
    <w:rsid w:val="00E31545"/>
    <w:rsid w:val="00E358D1"/>
    <w:rsid w:val="00E37E5E"/>
    <w:rsid w:val="00E410AA"/>
    <w:rsid w:val="00E4181E"/>
    <w:rsid w:val="00E43842"/>
    <w:rsid w:val="00E4416C"/>
    <w:rsid w:val="00E44911"/>
    <w:rsid w:val="00E5211D"/>
    <w:rsid w:val="00E54DB3"/>
    <w:rsid w:val="00E6000D"/>
    <w:rsid w:val="00E619FD"/>
    <w:rsid w:val="00E62585"/>
    <w:rsid w:val="00E63541"/>
    <w:rsid w:val="00E65E80"/>
    <w:rsid w:val="00E67D7F"/>
    <w:rsid w:val="00E71E34"/>
    <w:rsid w:val="00E72ED6"/>
    <w:rsid w:val="00E73FAD"/>
    <w:rsid w:val="00E762FE"/>
    <w:rsid w:val="00E815A1"/>
    <w:rsid w:val="00E85438"/>
    <w:rsid w:val="00E86EE0"/>
    <w:rsid w:val="00E90652"/>
    <w:rsid w:val="00E92139"/>
    <w:rsid w:val="00E94682"/>
    <w:rsid w:val="00E94901"/>
    <w:rsid w:val="00EA23F9"/>
    <w:rsid w:val="00EA31BF"/>
    <w:rsid w:val="00EA7807"/>
    <w:rsid w:val="00EA7C70"/>
    <w:rsid w:val="00EB0F9D"/>
    <w:rsid w:val="00EB2304"/>
    <w:rsid w:val="00EB31C8"/>
    <w:rsid w:val="00EB4AB2"/>
    <w:rsid w:val="00EB73A9"/>
    <w:rsid w:val="00EB7BFB"/>
    <w:rsid w:val="00EC7CC0"/>
    <w:rsid w:val="00ED1A46"/>
    <w:rsid w:val="00ED26F9"/>
    <w:rsid w:val="00ED29EA"/>
    <w:rsid w:val="00ED42EF"/>
    <w:rsid w:val="00ED474D"/>
    <w:rsid w:val="00ED4C1F"/>
    <w:rsid w:val="00ED4CA0"/>
    <w:rsid w:val="00ED529C"/>
    <w:rsid w:val="00ED59BD"/>
    <w:rsid w:val="00ED5C52"/>
    <w:rsid w:val="00ED5E6A"/>
    <w:rsid w:val="00EE022F"/>
    <w:rsid w:val="00EE0765"/>
    <w:rsid w:val="00EE0BD7"/>
    <w:rsid w:val="00EE19CC"/>
    <w:rsid w:val="00EE3AC5"/>
    <w:rsid w:val="00EE5488"/>
    <w:rsid w:val="00EE5789"/>
    <w:rsid w:val="00EE5B11"/>
    <w:rsid w:val="00EE64C8"/>
    <w:rsid w:val="00EF0160"/>
    <w:rsid w:val="00EF0231"/>
    <w:rsid w:val="00EF07FD"/>
    <w:rsid w:val="00EF4EB3"/>
    <w:rsid w:val="00EF60E8"/>
    <w:rsid w:val="00EF62C6"/>
    <w:rsid w:val="00EF7552"/>
    <w:rsid w:val="00F00482"/>
    <w:rsid w:val="00F01000"/>
    <w:rsid w:val="00F01A55"/>
    <w:rsid w:val="00F06EF7"/>
    <w:rsid w:val="00F119EA"/>
    <w:rsid w:val="00F15314"/>
    <w:rsid w:val="00F16C9F"/>
    <w:rsid w:val="00F17DB4"/>
    <w:rsid w:val="00F20774"/>
    <w:rsid w:val="00F20B80"/>
    <w:rsid w:val="00F216B6"/>
    <w:rsid w:val="00F242F6"/>
    <w:rsid w:val="00F25D9B"/>
    <w:rsid w:val="00F30B09"/>
    <w:rsid w:val="00F32C7D"/>
    <w:rsid w:val="00F33A5B"/>
    <w:rsid w:val="00F350D8"/>
    <w:rsid w:val="00F3562D"/>
    <w:rsid w:val="00F4010E"/>
    <w:rsid w:val="00F43D1A"/>
    <w:rsid w:val="00F47F22"/>
    <w:rsid w:val="00F47F5A"/>
    <w:rsid w:val="00F50155"/>
    <w:rsid w:val="00F511CD"/>
    <w:rsid w:val="00F53F60"/>
    <w:rsid w:val="00F54ED0"/>
    <w:rsid w:val="00F5523A"/>
    <w:rsid w:val="00F56C17"/>
    <w:rsid w:val="00F57C29"/>
    <w:rsid w:val="00F57C46"/>
    <w:rsid w:val="00F57E69"/>
    <w:rsid w:val="00F6336C"/>
    <w:rsid w:val="00F63E5D"/>
    <w:rsid w:val="00F658D4"/>
    <w:rsid w:val="00F65BBB"/>
    <w:rsid w:val="00F72CA8"/>
    <w:rsid w:val="00F73CBC"/>
    <w:rsid w:val="00F7448D"/>
    <w:rsid w:val="00F7639F"/>
    <w:rsid w:val="00F77E2E"/>
    <w:rsid w:val="00F814A9"/>
    <w:rsid w:val="00F82E31"/>
    <w:rsid w:val="00F86940"/>
    <w:rsid w:val="00F86FA4"/>
    <w:rsid w:val="00F920FD"/>
    <w:rsid w:val="00F97F28"/>
    <w:rsid w:val="00FA080E"/>
    <w:rsid w:val="00FA10A6"/>
    <w:rsid w:val="00FA5850"/>
    <w:rsid w:val="00FA65A9"/>
    <w:rsid w:val="00FA6B57"/>
    <w:rsid w:val="00FA77F0"/>
    <w:rsid w:val="00FB1611"/>
    <w:rsid w:val="00FB27B0"/>
    <w:rsid w:val="00FB45C0"/>
    <w:rsid w:val="00FC0A90"/>
    <w:rsid w:val="00FC2E2D"/>
    <w:rsid w:val="00FC4EF4"/>
    <w:rsid w:val="00FC5C59"/>
    <w:rsid w:val="00FC5E73"/>
    <w:rsid w:val="00FC6A7C"/>
    <w:rsid w:val="00FC714F"/>
    <w:rsid w:val="00FD02A3"/>
    <w:rsid w:val="00FD2749"/>
    <w:rsid w:val="00FD2B00"/>
    <w:rsid w:val="00FD2F14"/>
    <w:rsid w:val="00FD4011"/>
    <w:rsid w:val="00FD5444"/>
    <w:rsid w:val="00FD622B"/>
    <w:rsid w:val="00FE1617"/>
    <w:rsid w:val="00FE1BF4"/>
    <w:rsid w:val="00FE33CC"/>
    <w:rsid w:val="00FE3747"/>
    <w:rsid w:val="00FE3B40"/>
    <w:rsid w:val="00FF3E3E"/>
    <w:rsid w:val="00FF47AB"/>
    <w:rsid w:val="00FF589E"/>
    <w:rsid w:val="00FF72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298CB"/>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7D9"/>
  </w:style>
  <w:style w:type="paragraph" w:styleId="Heading1">
    <w:name w:val="heading 1"/>
    <w:basedOn w:val="Normal"/>
    <w:next w:val="Normal"/>
    <w:link w:val="Heading1Char"/>
    <w:uiPriority w:val="9"/>
    <w:qFormat/>
    <w:rsid w:val="000F08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88085F"/>
    <w:pPr>
      <w:spacing w:before="100" w:beforeAutospacing="1" w:after="100" w:afterAutospacing="1"/>
      <w:outlineLvl w:val="1"/>
    </w:pPr>
    <w:rPr>
      <w:rFonts w:ascii="Times New Roman" w:hAnsi="Times New Roman" w:cs="Times New Roman"/>
      <w:b/>
      <w:bCs/>
      <w:sz w:val="36"/>
      <w:szCs w:val="36"/>
      <w:lang w:val="es-ES" w:eastAsia="es-ES" w:bidi="ar-SA"/>
    </w:rPr>
  </w:style>
  <w:style w:type="paragraph" w:styleId="Heading3">
    <w:name w:val="heading 3"/>
    <w:basedOn w:val="Normal"/>
    <w:next w:val="Normal"/>
    <w:link w:val="Heading3Char"/>
    <w:uiPriority w:val="9"/>
    <w:semiHidden/>
    <w:unhideWhenUsed/>
    <w:qFormat/>
    <w:rsid w:val="005814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801"/>
    <w:rPr>
      <w:rFonts w:asciiTheme="majorHAnsi" w:eastAsiaTheme="majorEastAsia" w:hAnsiTheme="majorHAnsi" w:cstheme="majorBidi"/>
      <w:b/>
      <w:bCs/>
      <w:color w:val="345A8A" w:themeColor="accent1" w:themeShade="B5"/>
      <w:sz w:val="32"/>
      <w:szCs w:val="32"/>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sid w:val="00774EF8"/>
    <w:rPr>
      <w:lang w:val="en-GB"/>
    </w:rPr>
  </w:style>
  <w:style w:type="paragraph" w:styleId="CommentSubject">
    <w:name w:val="annotation subject"/>
    <w:basedOn w:val="CommentText"/>
    <w:next w:val="CommentText"/>
    <w:link w:val="CommentSubjectChar"/>
    <w:uiPriority w:val="99"/>
    <w:semiHidden/>
    <w:unhideWhenUsed/>
    <w:rsid w:val="00774EF8"/>
    <w:rPr>
      <w:b/>
      <w:bCs/>
    </w:rPr>
  </w:style>
  <w:style w:type="character" w:customStyle="1" w:styleId="CommentSubjectChar">
    <w:name w:val="Comment Subject Char"/>
    <w:basedOn w:val="CommentTextChar"/>
    <w:link w:val="CommentSubject"/>
    <w:uiPriority w:val="99"/>
    <w:semiHidden/>
    <w:rsid w:val="00774EF8"/>
    <w:rPr>
      <w:b/>
      <w:bCs/>
      <w:sz w:val="20"/>
      <w:szCs w:val="20"/>
      <w:lang w:val="en-GB"/>
    </w:rPr>
  </w:style>
  <w:style w:type="paragraph" w:styleId="BalloonText">
    <w:name w:val="Balloon Text"/>
    <w:basedOn w:val="Normal"/>
    <w:link w:val="BalloonTextChar"/>
    <w:uiPriority w:val="99"/>
    <w:semiHidden/>
    <w:unhideWhenUsed/>
    <w:rsid w:val="00774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EF8"/>
    <w:rPr>
      <w:rFonts w:ascii="Lucida Grande" w:hAnsi="Lucida Grande" w:cs="Lucida Grande"/>
      <w:sz w:val="18"/>
      <w:szCs w:val="18"/>
      <w:lang w:val="en-GB"/>
    </w:rPr>
  </w:style>
  <w:style w:type="paragraph" w:styleId="Revision">
    <w:name w:val="Revision"/>
    <w:hidden/>
    <w:uiPriority w:val="99"/>
    <w:semiHidden/>
    <w:rsid w:val="00F50155"/>
  </w:style>
  <w:style w:type="paragraph" w:styleId="ListParagraph">
    <w:name w:val="List Paragraph"/>
    <w:basedOn w:val="Normal"/>
    <w:uiPriority w:val="34"/>
    <w:qFormat/>
    <w:rsid w:val="001840EA"/>
    <w:pPr>
      <w:ind w:left="720"/>
      <w:contextualSpacing/>
    </w:pPr>
  </w:style>
  <w:style w:type="character" w:customStyle="1" w:styleId="shorttext">
    <w:name w:val="short_text"/>
    <w:basedOn w:val="DefaultParagraphFont"/>
    <w:rsid w:val="007705DA"/>
  </w:style>
  <w:style w:type="character" w:customStyle="1" w:styleId="Heading2Char">
    <w:name w:val="Heading 2 Char"/>
    <w:basedOn w:val="DefaultParagraphFont"/>
    <w:link w:val="Heading2"/>
    <w:uiPriority w:val="9"/>
    <w:rsid w:val="0088085F"/>
    <w:rPr>
      <w:rFonts w:ascii="Times New Roman" w:hAnsi="Times New Roman" w:cs="Times New Roman"/>
      <w:b/>
      <w:bCs/>
      <w:sz w:val="36"/>
      <w:szCs w:val="36"/>
      <w:lang w:val="es-ES" w:eastAsia="es-ES" w:bidi="ar-SA"/>
    </w:rPr>
  </w:style>
  <w:style w:type="character" w:styleId="Hyperlink">
    <w:name w:val="Hyperlink"/>
    <w:basedOn w:val="DefaultParagraphFont"/>
    <w:uiPriority w:val="99"/>
    <w:unhideWhenUsed/>
    <w:rsid w:val="0088085F"/>
    <w:rPr>
      <w:color w:val="0000FF"/>
      <w:u w:val="single"/>
    </w:rPr>
  </w:style>
  <w:style w:type="character" w:customStyle="1" w:styleId="highlight">
    <w:name w:val="highlight"/>
    <w:basedOn w:val="DefaultParagraphFont"/>
    <w:rsid w:val="0088085F"/>
  </w:style>
  <w:style w:type="character" w:styleId="FollowedHyperlink">
    <w:name w:val="FollowedHyperlink"/>
    <w:basedOn w:val="DefaultParagraphFont"/>
    <w:uiPriority w:val="99"/>
    <w:semiHidden/>
    <w:unhideWhenUsed/>
    <w:rsid w:val="00D46665"/>
    <w:rPr>
      <w:color w:val="800080" w:themeColor="followedHyperlink"/>
      <w:u w:val="single"/>
    </w:rPr>
  </w:style>
  <w:style w:type="character" w:customStyle="1" w:styleId="ref-journal">
    <w:name w:val="ref-journal"/>
    <w:basedOn w:val="DefaultParagraphFont"/>
    <w:rsid w:val="000A21FE"/>
  </w:style>
  <w:style w:type="character" w:customStyle="1" w:styleId="jrnl">
    <w:name w:val="jrnl"/>
    <w:basedOn w:val="DefaultParagraphFont"/>
    <w:rsid w:val="000E684F"/>
  </w:style>
  <w:style w:type="character" w:styleId="Emphasis">
    <w:name w:val="Emphasis"/>
    <w:basedOn w:val="DefaultParagraphFont"/>
    <w:uiPriority w:val="20"/>
    <w:qFormat/>
    <w:rsid w:val="0092122B"/>
    <w:rPr>
      <w:i/>
      <w:iCs/>
    </w:rPr>
  </w:style>
  <w:style w:type="character" w:customStyle="1" w:styleId="st">
    <w:name w:val="st"/>
    <w:basedOn w:val="DefaultParagraphFont"/>
    <w:rsid w:val="004E7083"/>
  </w:style>
  <w:style w:type="character" w:customStyle="1" w:styleId="Heading3Char">
    <w:name w:val="Heading 3 Char"/>
    <w:basedOn w:val="DefaultParagraphFont"/>
    <w:link w:val="Heading3"/>
    <w:uiPriority w:val="9"/>
    <w:semiHidden/>
    <w:rsid w:val="00581433"/>
    <w:rPr>
      <w:rFonts w:asciiTheme="majorHAnsi" w:eastAsiaTheme="majorEastAsia" w:hAnsiTheme="majorHAnsi" w:cstheme="majorBidi"/>
      <w:b/>
      <w:bCs/>
      <w:color w:val="4F81BD" w:themeColor="accent1"/>
    </w:rPr>
  </w:style>
  <w:style w:type="paragraph" w:styleId="PlainText">
    <w:name w:val="Plain Text"/>
    <w:basedOn w:val="Normal"/>
    <w:link w:val="PlainTextChar"/>
    <w:rsid w:val="00DA0EF6"/>
    <w:pPr>
      <w:widowControl w:val="0"/>
      <w:jc w:val="both"/>
    </w:pPr>
    <w:rPr>
      <w:rFonts w:ascii="SimSun" w:eastAsia="SimSun" w:hAnsi="Courier New" w:cs="Courier New"/>
      <w:kern w:val="2"/>
      <w:sz w:val="21"/>
      <w:szCs w:val="21"/>
      <w:lang w:val="en-US" w:eastAsia="zh-CN" w:bidi="ar-SA"/>
    </w:rPr>
  </w:style>
  <w:style w:type="character" w:customStyle="1" w:styleId="PlainTextChar">
    <w:name w:val="Plain Text Char"/>
    <w:basedOn w:val="DefaultParagraphFont"/>
    <w:link w:val="PlainText"/>
    <w:rsid w:val="00DA0EF6"/>
    <w:rPr>
      <w:rFonts w:ascii="SimSun" w:eastAsia="SimSun"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8073">
      <w:bodyDiv w:val="1"/>
      <w:marLeft w:val="0"/>
      <w:marRight w:val="0"/>
      <w:marTop w:val="0"/>
      <w:marBottom w:val="0"/>
      <w:divBdr>
        <w:top w:val="none" w:sz="0" w:space="0" w:color="auto"/>
        <w:left w:val="none" w:sz="0" w:space="0" w:color="auto"/>
        <w:bottom w:val="none" w:sz="0" w:space="0" w:color="auto"/>
        <w:right w:val="none" w:sz="0" w:space="0" w:color="auto"/>
      </w:divBdr>
    </w:div>
    <w:div w:id="528493439">
      <w:bodyDiv w:val="1"/>
      <w:marLeft w:val="0"/>
      <w:marRight w:val="0"/>
      <w:marTop w:val="0"/>
      <w:marBottom w:val="0"/>
      <w:divBdr>
        <w:top w:val="none" w:sz="0" w:space="0" w:color="auto"/>
        <w:left w:val="none" w:sz="0" w:space="0" w:color="auto"/>
        <w:bottom w:val="none" w:sz="0" w:space="0" w:color="auto"/>
        <w:right w:val="none" w:sz="0" w:space="0" w:color="auto"/>
      </w:divBdr>
      <w:divsChild>
        <w:div w:id="1472558961">
          <w:marLeft w:val="0"/>
          <w:marRight w:val="0"/>
          <w:marTop w:val="0"/>
          <w:marBottom w:val="0"/>
          <w:divBdr>
            <w:top w:val="none" w:sz="0" w:space="0" w:color="auto"/>
            <w:left w:val="none" w:sz="0" w:space="0" w:color="auto"/>
            <w:bottom w:val="none" w:sz="0" w:space="0" w:color="auto"/>
            <w:right w:val="none" w:sz="0" w:space="0" w:color="auto"/>
          </w:divBdr>
        </w:div>
        <w:div w:id="1703747213">
          <w:marLeft w:val="0"/>
          <w:marRight w:val="0"/>
          <w:marTop w:val="0"/>
          <w:marBottom w:val="0"/>
          <w:divBdr>
            <w:top w:val="none" w:sz="0" w:space="0" w:color="auto"/>
            <w:left w:val="none" w:sz="0" w:space="0" w:color="auto"/>
            <w:bottom w:val="none" w:sz="0" w:space="0" w:color="auto"/>
            <w:right w:val="none" w:sz="0" w:space="0" w:color="auto"/>
          </w:divBdr>
        </w:div>
      </w:divsChild>
    </w:div>
    <w:div w:id="737438718">
      <w:bodyDiv w:val="1"/>
      <w:marLeft w:val="0"/>
      <w:marRight w:val="0"/>
      <w:marTop w:val="0"/>
      <w:marBottom w:val="0"/>
      <w:divBdr>
        <w:top w:val="none" w:sz="0" w:space="0" w:color="auto"/>
        <w:left w:val="none" w:sz="0" w:space="0" w:color="auto"/>
        <w:bottom w:val="none" w:sz="0" w:space="0" w:color="auto"/>
        <w:right w:val="none" w:sz="0" w:space="0" w:color="auto"/>
      </w:divBdr>
    </w:div>
    <w:div w:id="747388294">
      <w:bodyDiv w:val="1"/>
      <w:marLeft w:val="0"/>
      <w:marRight w:val="0"/>
      <w:marTop w:val="0"/>
      <w:marBottom w:val="0"/>
      <w:divBdr>
        <w:top w:val="none" w:sz="0" w:space="0" w:color="auto"/>
        <w:left w:val="none" w:sz="0" w:space="0" w:color="auto"/>
        <w:bottom w:val="none" w:sz="0" w:space="0" w:color="auto"/>
        <w:right w:val="none" w:sz="0" w:space="0" w:color="auto"/>
      </w:divBdr>
      <w:divsChild>
        <w:div w:id="942345089">
          <w:marLeft w:val="0"/>
          <w:marRight w:val="0"/>
          <w:marTop w:val="0"/>
          <w:marBottom w:val="0"/>
          <w:divBdr>
            <w:top w:val="none" w:sz="0" w:space="0" w:color="auto"/>
            <w:left w:val="none" w:sz="0" w:space="0" w:color="auto"/>
            <w:bottom w:val="none" w:sz="0" w:space="0" w:color="auto"/>
            <w:right w:val="none" w:sz="0" w:space="0" w:color="auto"/>
          </w:divBdr>
        </w:div>
        <w:div w:id="1290697304">
          <w:marLeft w:val="0"/>
          <w:marRight w:val="0"/>
          <w:marTop w:val="0"/>
          <w:marBottom w:val="0"/>
          <w:divBdr>
            <w:top w:val="none" w:sz="0" w:space="0" w:color="auto"/>
            <w:left w:val="none" w:sz="0" w:space="0" w:color="auto"/>
            <w:bottom w:val="none" w:sz="0" w:space="0" w:color="auto"/>
            <w:right w:val="none" w:sz="0" w:space="0" w:color="auto"/>
          </w:divBdr>
        </w:div>
      </w:divsChild>
    </w:div>
    <w:div w:id="749619172">
      <w:bodyDiv w:val="1"/>
      <w:marLeft w:val="0"/>
      <w:marRight w:val="0"/>
      <w:marTop w:val="0"/>
      <w:marBottom w:val="0"/>
      <w:divBdr>
        <w:top w:val="none" w:sz="0" w:space="0" w:color="auto"/>
        <w:left w:val="none" w:sz="0" w:space="0" w:color="auto"/>
        <w:bottom w:val="none" w:sz="0" w:space="0" w:color="auto"/>
        <w:right w:val="none" w:sz="0" w:space="0" w:color="auto"/>
      </w:divBdr>
      <w:divsChild>
        <w:div w:id="150827624">
          <w:marLeft w:val="0"/>
          <w:marRight w:val="0"/>
          <w:marTop w:val="0"/>
          <w:marBottom w:val="0"/>
          <w:divBdr>
            <w:top w:val="none" w:sz="0" w:space="0" w:color="auto"/>
            <w:left w:val="none" w:sz="0" w:space="0" w:color="auto"/>
            <w:bottom w:val="none" w:sz="0" w:space="0" w:color="auto"/>
            <w:right w:val="none" w:sz="0" w:space="0" w:color="auto"/>
          </w:divBdr>
        </w:div>
      </w:divsChild>
    </w:div>
    <w:div w:id="1158615805">
      <w:bodyDiv w:val="1"/>
      <w:marLeft w:val="0"/>
      <w:marRight w:val="0"/>
      <w:marTop w:val="0"/>
      <w:marBottom w:val="0"/>
      <w:divBdr>
        <w:top w:val="none" w:sz="0" w:space="0" w:color="auto"/>
        <w:left w:val="none" w:sz="0" w:space="0" w:color="auto"/>
        <w:bottom w:val="none" w:sz="0" w:space="0" w:color="auto"/>
        <w:right w:val="none" w:sz="0" w:space="0" w:color="auto"/>
      </w:divBdr>
    </w:div>
    <w:div w:id="1392197312">
      <w:bodyDiv w:val="1"/>
      <w:marLeft w:val="0"/>
      <w:marRight w:val="0"/>
      <w:marTop w:val="0"/>
      <w:marBottom w:val="0"/>
      <w:divBdr>
        <w:top w:val="none" w:sz="0" w:space="0" w:color="auto"/>
        <w:left w:val="none" w:sz="0" w:space="0" w:color="auto"/>
        <w:bottom w:val="none" w:sz="0" w:space="0" w:color="auto"/>
        <w:right w:val="none" w:sz="0" w:space="0" w:color="auto"/>
      </w:divBdr>
      <w:divsChild>
        <w:div w:id="1006521102">
          <w:marLeft w:val="0"/>
          <w:marRight w:val="0"/>
          <w:marTop w:val="0"/>
          <w:marBottom w:val="0"/>
          <w:divBdr>
            <w:top w:val="none" w:sz="0" w:space="0" w:color="auto"/>
            <w:left w:val="none" w:sz="0" w:space="0" w:color="auto"/>
            <w:bottom w:val="none" w:sz="0" w:space="0" w:color="auto"/>
            <w:right w:val="none" w:sz="0" w:space="0" w:color="auto"/>
          </w:divBdr>
        </w:div>
        <w:div w:id="21371227">
          <w:marLeft w:val="0"/>
          <w:marRight w:val="0"/>
          <w:marTop w:val="0"/>
          <w:marBottom w:val="0"/>
          <w:divBdr>
            <w:top w:val="none" w:sz="0" w:space="0" w:color="auto"/>
            <w:left w:val="none" w:sz="0" w:space="0" w:color="auto"/>
            <w:bottom w:val="none" w:sz="0" w:space="0" w:color="auto"/>
            <w:right w:val="none" w:sz="0" w:space="0" w:color="auto"/>
          </w:divBdr>
        </w:div>
      </w:divsChild>
    </w:div>
    <w:div w:id="1975678444">
      <w:bodyDiv w:val="1"/>
      <w:marLeft w:val="0"/>
      <w:marRight w:val="0"/>
      <w:marTop w:val="0"/>
      <w:marBottom w:val="0"/>
      <w:divBdr>
        <w:top w:val="none" w:sz="0" w:space="0" w:color="auto"/>
        <w:left w:val="none" w:sz="0" w:space="0" w:color="auto"/>
        <w:bottom w:val="none" w:sz="0" w:space="0" w:color="auto"/>
        <w:right w:val="none" w:sz="0" w:space="0" w:color="auto"/>
      </w:divBdr>
    </w:div>
    <w:div w:id="1983848838">
      <w:bodyDiv w:val="1"/>
      <w:marLeft w:val="0"/>
      <w:marRight w:val="0"/>
      <w:marTop w:val="0"/>
      <w:marBottom w:val="0"/>
      <w:divBdr>
        <w:top w:val="none" w:sz="0" w:space="0" w:color="auto"/>
        <w:left w:val="none" w:sz="0" w:space="0" w:color="auto"/>
        <w:bottom w:val="none" w:sz="0" w:space="0" w:color="auto"/>
        <w:right w:val="none" w:sz="0" w:space="0" w:color="auto"/>
      </w:divBdr>
      <w:divsChild>
        <w:div w:id="2028209291">
          <w:marLeft w:val="0"/>
          <w:marRight w:val="0"/>
          <w:marTop w:val="0"/>
          <w:marBottom w:val="0"/>
          <w:divBdr>
            <w:top w:val="none" w:sz="0" w:space="0" w:color="auto"/>
            <w:left w:val="none" w:sz="0" w:space="0" w:color="auto"/>
            <w:bottom w:val="none" w:sz="0" w:space="0" w:color="auto"/>
            <w:right w:val="none" w:sz="0" w:space="0" w:color="auto"/>
          </w:divBdr>
        </w:div>
        <w:div w:id="16710630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9393</Words>
  <Characters>53545</Characters>
  <Application>Microsoft Office Word</Application>
  <DocSecurity>0</DocSecurity>
  <Lines>446</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Palacios Eito</dc:creator>
  <cp:keywords/>
  <dc:description/>
  <cp:lastModifiedBy>Li Ma</cp:lastModifiedBy>
  <cp:revision>4</cp:revision>
  <dcterms:created xsi:type="dcterms:W3CDTF">2019-01-10T03:28:00Z</dcterms:created>
  <dcterms:modified xsi:type="dcterms:W3CDTF">2019-01-10T03:43:00Z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citations="70" publications="53"/&gt;&lt;/info&gt;PAPERS2_INFO_END</vt:lpwstr>
  </property>
</Properties>
</file>