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1D46" w14:textId="77777777" w:rsidR="00B57E37" w:rsidRPr="00275D1E" w:rsidRDefault="007F0D36" w:rsidP="00233FF1">
      <w:pPr>
        <w:adjustRightInd w:val="0"/>
        <w:snapToGrid w:val="0"/>
        <w:spacing w:line="360" w:lineRule="auto"/>
        <w:outlineLvl w:val="0"/>
        <w:rPr>
          <w:rFonts w:ascii="Book Antiqua" w:hAnsi="Book Antiqua" w:cs="Arial"/>
          <w:b/>
          <w:i/>
        </w:rPr>
      </w:pPr>
      <w:r w:rsidRPr="00275D1E">
        <w:rPr>
          <w:rFonts w:ascii="Book Antiqua" w:hAnsi="Book Antiqua" w:cs="Arial"/>
          <w:b/>
        </w:rPr>
        <w:t xml:space="preserve">Name of Journal: </w:t>
      </w:r>
      <w:r w:rsidRPr="00275D1E">
        <w:rPr>
          <w:rFonts w:ascii="Book Antiqua" w:hAnsi="Book Antiqua" w:cs="Arial"/>
          <w:b/>
          <w:i/>
        </w:rPr>
        <w:t>World Journal of Gastroenterology</w:t>
      </w:r>
    </w:p>
    <w:p w14:paraId="5C51E5D0" w14:textId="22329C73" w:rsidR="00B57E37" w:rsidRPr="00275D1E" w:rsidRDefault="007F0D36" w:rsidP="00233FF1">
      <w:pPr>
        <w:adjustRightInd w:val="0"/>
        <w:snapToGrid w:val="0"/>
        <w:spacing w:line="360" w:lineRule="auto"/>
        <w:outlineLvl w:val="0"/>
        <w:rPr>
          <w:rFonts w:ascii="Book Antiqua" w:hAnsi="Book Antiqua" w:cs="Arial"/>
        </w:rPr>
      </w:pPr>
      <w:r w:rsidRPr="00275D1E">
        <w:rPr>
          <w:rFonts w:ascii="Book Antiqua" w:hAnsi="Book Antiqua" w:cs="Arial"/>
          <w:b/>
        </w:rPr>
        <w:t>Manuscript NO:</w:t>
      </w:r>
      <w:r w:rsidR="00275D1E" w:rsidRPr="00275D1E">
        <w:rPr>
          <w:rFonts w:ascii="Book Antiqua" w:hAnsi="Book Antiqua" w:cs="Arial"/>
          <w:b/>
        </w:rPr>
        <w:t xml:space="preserve"> </w:t>
      </w:r>
      <w:r w:rsidRPr="00275D1E">
        <w:rPr>
          <w:rFonts w:ascii="Book Antiqua" w:hAnsi="Book Antiqua" w:cs="Arial"/>
          <w:b/>
        </w:rPr>
        <w:t>42308</w:t>
      </w:r>
    </w:p>
    <w:p w14:paraId="4CEA3F2B" w14:textId="568C7F5D" w:rsidR="00B57E37" w:rsidRPr="00275D1E" w:rsidRDefault="007F0D36" w:rsidP="00233FF1">
      <w:pPr>
        <w:adjustRightInd w:val="0"/>
        <w:snapToGrid w:val="0"/>
        <w:spacing w:line="360" w:lineRule="auto"/>
        <w:outlineLvl w:val="0"/>
        <w:rPr>
          <w:rFonts w:ascii="Book Antiqua" w:hAnsi="Book Antiqua" w:cs="Arial"/>
        </w:rPr>
      </w:pPr>
      <w:r w:rsidRPr="00275D1E">
        <w:rPr>
          <w:rFonts w:ascii="Book Antiqua" w:hAnsi="Book Antiqua" w:cs="Arial"/>
          <w:b/>
        </w:rPr>
        <w:t xml:space="preserve">Manuscript Type: </w:t>
      </w:r>
      <w:r w:rsidR="00275D1E" w:rsidRPr="00275D1E">
        <w:rPr>
          <w:rFonts w:ascii="Book Antiqua" w:hAnsi="Book Antiqua" w:cs="Arial"/>
          <w:b/>
        </w:rPr>
        <w:t>ORIGINAL ARTICLE</w:t>
      </w:r>
    </w:p>
    <w:p w14:paraId="51862FF5" w14:textId="77777777" w:rsidR="00B57E37" w:rsidRPr="00275D1E" w:rsidRDefault="00B57E37" w:rsidP="00275D1E">
      <w:pPr>
        <w:adjustRightInd w:val="0"/>
        <w:snapToGrid w:val="0"/>
        <w:spacing w:line="360" w:lineRule="auto"/>
        <w:rPr>
          <w:rFonts w:ascii="Book Antiqua" w:hAnsi="Book Antiqua" w:cs="Arial"/>
          <w:b/>
        </w:rPr>
      </w:pPr>
    </w:p>
    <w:p w14:paraId="4AC55F62" w14:textId="10E905B4" w:rsidR="00275D1E" w:rsidRPr="00275D1E" w:rsidRDefault="00275D1E" w:rsidP="00233FF1">
      <w:pPr>
        <w:adjustRightInd w:val="0"/>
        <w:snapToGrid w:val="0"/>
        <w:spacing w:line="360" w:lineRule="auto"/>
        <w:outlineLvl w:val="0"/>
        <w:rPr>
          <w:rFonts w:ascii="Book Antiqua" w:hAnsi="Book Antiqua" w:cs="Arial"/>
          <w:b/>
          <w:i/>
        </w:rPr>
      </w:pPr>
      <w:r w:rsidRPr="00275D1E">
        <w:rPr>
          <w:rFonts w:ascii="Book Antiqua" w:hAnsi="Book Antiqua" w:cs="Arial"/>
          <w:b/>
          <w:i/>
        </w:rPr>
        <w:t>Clinical Trials Study</w:t>
      </w:r>
    </w:p>
    <w:p w14:paraId="23EAB3F4" w14:textId="5F328BFD" w:rsidR="00B57E37" w:rsidRPr="00275D1E" w:rsidRDefault="007F0D36" w:rsidP="00275D1E">
      <w:pPr>
        <w:adjustRightInd w:val="0"/>
        <w:snapToGrid w:val="0"/>
        <w:spacing w:line="360" w:lineRule="auto"/>
        <w:rPr>
          <w:rFonts w:ascii="Book Antiqua" w:hAnsi="Book Antiqua" w:cs="Arial"/>
          <w:b/>
        </w:rPr>
      </w:pPr>
      <w:bookmarkStart w:id="0" w:name="OLE_LINK107"/>
      <w:bookmarkStart w:id="1" w:name="OLE_LINK132"/>
      <w:bookmarkStart w:id="2" w:name="OLE_LINK108"/>
      <w:r w:rsidRPr="00275D1E">
        <w:rPr>
          <w:rFonts w:ascii="Book Antiqua" w:hAnsi="Book Antiqua" w:cs="Arial"/>
          <w:b/>
        </w:rPr>
        <w:t>Molecular</w:t>
      </w:r>
      <w:r w:rsidRPr="00275D1E">
        <w:rPr>
          <w:rStyle w:val="CommentReference"/>
          <w:rFonts w:ascii="Book Antiqua" w:hAnsi="Book Antiqua"/>
          <w:b/>
          <w:sz w:val="24"/>
          <w:szCs w:val="24"/>
        </w:rPr>
        <w:t xml:space="preserve"> </w:t>
      </w:r>
      <w:r w:rsidRPr="00275D1E">
        <w:rPr>
          <w:rFonts w:ascii="Book Antiqua" w:hAnsi="Book Antiqua" w:cs="Arial"/>
          <w:b/>
        </w:rPr>
        <w:t>detection of epithelial-mesenchymal transition markers in circulating tumor cells fr</w:t>
      </w:r>
      <w:r w:rsidR="00275D1E" w:rsidRPr="00275D1E">
        <w:rPr>
          <w:rFonts w:ascii="Book Antiqua" w:hAnsi="Book Antiqua" w:cs="Arial"/>
          <w:b/>
        </w:rPr>
        <w:t>om pancreatic cancer patients: P</w:t>
      </w:r>
      <w:r w:rsidRPr="00275D1E">
        <w:rPr>
          <w:rFonts w:ascii="Book Antiqua" w:hAnsi="Book Antiqua" w:cs="Arial"/>
          <w:b/>
        </w:rPr>
        <w:t>otential role in clinical practice</w:t>
      </w:r>
    </w:p>
    <w:bookmarkEnd w:id="0"/>
    <w:bookmarkEnd w:id="1"/>
    <w:bookmarkEnd w:id="2"/>
    <w:p w14:paraId="7E066B55" w14:textId="77777777" w:rsidR="00B57E37" w:rsidRPr="00275D1E" w:rsidRDefault="00B57E37" w:rsidP="00275D1E">
      <w:pPr>
        <w:adjustRightInd w:val="0"/>
        <w:snapToGrid w:val="0"/>
        <w:spacing w:line="360" w:lineRule="auto"/>
        <w:rPr>
          <w:rFonts w:ascii="Book Antiqua" w:hAnsi="Book Antiqua" w:cs="Arial"/>
        </w:rPr>
      </w:pPr>
    </w:p>
    <w:p w14:paraId="575097F6" w14:textId="60CA9738" w:rsidR="00B57E37" w:rsidRPr="00FD4C57" w:rsidRDefault="00FD4C57" w:rsidP="00233FF1">
      <w:pPr>
        <w:adjustRightInd w:val="0"/>
        <w:snapToGrid w:val="0"/>
        <w:spacing w:line="360" w:lineRule="auto"/>
        <w:outlineLvl w:val="0"/>
        <w:rPr>
          <w:rFonts w:ascii="Book Antiqua" w:hAnsi="Book Antiqua" w:cs="Arial"/>
        </w:rPr>
      </w:pPr>
      <w:r w:rsidRPr="00FD4C57">
        <w:rPr>
          <w:rFonts w:ascii="Book Antiqua" w:hAnsi="Book Antiqua" w:cs="Arial"/>
        </w:rPr>
        <w:t xml:space="preserve">Zhao XH </w:t>
      </w:r>
      <w:r w:rsidRPr="00FD4C57">
        <w:rPr>
          <w:rFonts w:ascii="Book Antiqua" w:hAnsi="Book Antiqua" w:cs="Arial"/>
          <w:i/>
        </w:rPr>
        <w:t>et al</w:t>
      </w:r>
      <w:r w:rsidRPr="00FD4C57">
        <w:rPr>
          <w:rFonts w:ascii="Book Antiqua" w:hAnsi="Book Antiqua" w:cs="Arial"/>
        </w:rPr>
        <w:t>.</w:t>
      </w:r>
      <w:r w:rsidR="007F0D36" w:rsidRPr="00FD4C57">
        <w:rPr>
          <w:rFonts w:ascii="Book Antiqua" w:hAnsi="Book Antiqua" w:cs="Arial"/>
        </w:rPr>
        <w:t xml:space="preserve"> EMT of CTCs in pancreatic cancer</w:t>
      </w:r>
    </w:p>
    <w:p w14:paraId="49E28A6A" w14:textId="77777777" w:rsidR="00B57E37" w:rsidRPr="00275D1E" w:rsidRDefault="00B57E37" w:rsidP="00275D1E">
      <w:pPr>
        <w:adjustRightInd w:val="0"/>
        <w:snapToGrid w:val="0"/>
        <w:spacing w:line="360" w:lineRule="auto"/>
        <w:rPr>
          <w:rFonts w:ascii="Book Antiqua" w:hAnsi="Book Antiqua" w:cs="Arial"/>
        </w:rPr>
      </w:pPr>
    </w:p>
    <w:p w14:paraId="12E4DA61" w14:textId="791B6542" w:rsidR="00B57E37" w:rsidRPr="00275D1E" w:rsidRDefault="00FD4C57" w:rsidP="00275D1E">
      <w:pPr>
        <w:adjustRightInd w:val="0"/>
        <w:snapToGrid w:val="0"/>
        <w:spacing w:line="360" w:lineRule="auto"/>
        <w:rPr>
          <w:rFonts w:ascii="Book Antiqua" w:hAnsi="Book Antiqua" w:cs="Arial"/>
        </w:rPr>
      </w:pPr>
      <w:r>
        <w:rPr>
          <w:rFonts w:ascii="Book Antiqua" w:hAnsi="Book Antiqua" w:cs="Arial"/>
        </w:rPr>
        <w:t xml:space="preserve">Xiao-Hui Zhao, </w:t>
      </w:r>
      <w:proofErr w:type="spellStart"/>
      <w:r>
        <w:rPr>
          <w:rFonts w:ascii="Book Antiqua" w:hAnsi="Book Antiqua" w:cs="Arial"/>
        </w:rPr>
        <w:t>Zai</w:t>
      </w:r>
      <w:proofErr w:type="spellEnd"/>
      <w:r>
        <w:rPr>
          <w:rFonts w:ascii="Book Antiqua" w:hAnsi="Book Antiqua" w:cs="Arial"/>
        </w:rPr>
        <w:t>-Rui Wang,</w:t>
      </w:r>
      <w:r w:rsidR="007F0D36" w:rsidRPr="00275D1E">
        <w:rPr>
          <w:rFonts w:ascii="Book Antiqua" w:hAnsi="Book Antiqua" w:cs="Arial"/>
        </w:rPr>
        <w:t xml:space="preserve"> </w:t>
      </w:r>
      <w:bookmarkStart w:id="3" w:name="OLE_LINK88"/>
      <w:r w:rsidR="007F0D36" w:rsidRPr="00275D1E">
        <w:rPr>
          <w:rFonts w:ascii="Book Antiqua" w:hAnsi="Book Antiqua" w:cs="Arial"/>
        </w:rPr>
        <w:t>Chang-Long Chen</w:t>
      </w:r>
      <w:bookmarkEnd w:id="3"/>
      <w:r>
        <w:rPr>
          <w:rFonts w:ascii="Book Antiqua" w:hAnsi="Book Antiqua" w:cs="Arial"/>
        </w:rPr>
        <w:t xml:space="preserve">, Ling Di, </w:t>
      </w:r>
      <w:proofErr w:type="spellStart"/>
      <w:r>
        <w:rPr>
          <w:rFonts w:ascii="Book Antiqua" w:hAnsi="Book Antiqua" w:cs="Arial"/>
        </w:rPr>
        <w:t>Zhuo</w:t>
      </w:r>
      <w:proofErr w:type="spellEnd"/>
      <w:r>
        <w:rPr>
          <w:rFonts w:ascii="Book Antiqua" w:hAnsi="Book Antiqua" w:cs="Arial"/>
        </w:rPr>
        <w:t xml:space="preserve">-Fei Bi, </w:t>
      </w:r>
      <w:proofErr w:type="spellStart"/>
      <w:r>
        <w:rPr>
          <w:rFonts w:ascii="Book Antiqua" w:hAnsi="Book Antiqua" w:cs="Arial"/>
        </w:rPr>
        <w:t>Zhi</w:t>
      </w:r>
      <w:proofErr w:type="spellEnd"/>
      <w:r>
        <w:rPr>
          <w:rFonts w:ascii="Book Antiqua" w:hAnsi="Book Antiqua" w:cs="Arial"/>
        </w:rPr>
        <w:t>-Hua Li, Yi-Min Liu</w:t>
      </w:r>
    </w:p>
    <w:p w14:paraId="709A74DB" w14:textId="77777777" w:rsidR="00B57E37" w:rsidRPr="00275D1E" w:rsidRDefault="00B57E37" w:rsidP="00275D1E">
      <w:pPr>
        <w:adjustRightInd w:val="0"/>
        <w:snapToGrid w:val="0"/>
        <w:spacing w:line="360" w:lineRule="auto"/>
        <w:rPr>
          <w:rFonts w:ascii="Book Antiqua" w:hAnsi="Book Antiqua" w:cs="Arial"/>
        </w:rPr>
      </w:pPr>
    </w:p>
    <w:p w14:paraId="1A3BA578" w14:textId="1F9DB24C" w:rsidR="00FD4C57" w:rsidRDefault="00FD4C57" w:rsidP="00275D1E">
      <w:pPr>
        <w:adjustRightInd w:val="0"/>
        <w:snapToGrid w:val="0"/>
        <w:spacing w:line="360" w:lineRule="auto"/>
        <w:rPr>
          <w:rFonts w:ascii="Book Antiqua" w:hAnsi="Book Antiqua" w:cs="Arial"/>
        </w:rPr>
      </w:pPr>
      <w:r>
        <w:rPr>
          <w:rFonts w:ascii="Book Antiqua" w:hAnsi="Book Antiqua" w:cs="Arial"/>
          <w:b/>
        </w:rPr>
        <w:t xml:space="preserve">Xiao-Hui Zhao, </w:t>
      </w:r>
      <w:proofErr w:type="spellStart"/>
      <w:r>
        <w:rPr>
          <w:rFonts w:ascii="Book Antiqua" w:hAnsi="Book Antiqua" w:cs="Arial"/>
          <w:b/>
        </w:rPr>
        <w:t>Zai</w:t>
      </w:r>
      <w:proofErr w:type="spellEnd"/>
      <w:r>
        <w:rPr>
          <w:rFonts w:ascii="Book Antiqua" w:hAnsi="Book Antiqua" w:cs="Arial"/>
          <w:b/>
        </w:rPr>
        <w:t>-Rui Wang, Chang-L</w:t>
      </w:r>
      <w:r w:rsidR="007F0D36" w:rsidRPr="00FD4C57">
        <w:rPr>
          <w:rFonts w:ascii="Book Antiqua" w:hAnsi="Book Antiqua" w:cs="Arial"/>
          <w:b/>
        </w:rPr>
        <w:t xml:space="preserve">ong Chen, Ling Di, </w:t>
      </w:r>
      <w:proofErr w:type="spellStart"/>
      <w:r w:rsidR="007F0D36" w:rsidRPr="00FD4C57">
        <w:rPr>
          <w:rFonts w:ascii="Book Antiqua" w:hAnsi="Book Antiqua" w:cs="Arial"/>
          <w:b/>
        </w:rPr>
        <w:t>Zhuo</w:t>
      </w:r>
      <w:proofErr w:type="spellEnd"/>
      <w:r w:rsidR="007F0D36" w:rsidRPr="00FD4C57">
        <w:rPr>
          <w:rFonts w:ascii="Book Antiqua" w:hAnsi="Book Antiqua" w:cs="Arial"/>
          <w:b/>
        </w:rPr>
        <w:t xml:space="preserve">-Fei Bi, </w:t>
      </w:r>
      <w:proofErr w:type="spellStart"/>
      <w:r w:rsidRPr="00FD4C57">
        <w:rPr>
          <w:rFonts w:ascii="Book Antiqua" w:hAnsi="Book Antiqua" w:cs="Arial"/>
          <w:b/>
        </w:rPr>
        <w:t>Zhi</w:t>
      </w:r>
      <w:proofErr w:type="spellEnd"/>
      <w:r w:rsidRPr="00FD4C57">
        <w:rPr>
          <w:rFonts w:ascii="Book Antiqua" w:hAnsi="Book Antiqua" w:cs="Arial"/>
          <w:b/>
        </w:rPr>
        <w:t>-Hua Li,</w:t>
      </w:r>
      <w:r>
        <w:rPr>
          <w:rFonts w:ascii="Book Antiqua" w:hAnsi="Book Antiqua" w:cs="Arial"/>
          <w:b/>
        </w:rPr>
        <w:t xml:space="preserve"> </w:t>
      </w:r>
      <w:r w:rsidR="007F0D36" w:rsidRPr="00FD4C57">
        <w:rPr>
          <w:rFonts w:ascii="Book Antiqua" w:hAnsi="Book Antiqua" w:cs="Arial"/>
          <w:b/>
        </w:rPr>
        <w:t xml:space="preserve">Yi-Min Liu, </w:t>
      </w:r>
      <w:r w:rsidR="007F0D36" w:rsidRPr="00275D1E">
        <w:rPr>
          <w:rFonts w:ascii="Book Antiqua" w:hAnsi="Book Antiqua" w:cs="Arial"/>
        </w:rPr>
        <w:t xml:space="preserve">Guangdong Provincial Key Laboratory of Malignant Tumor Epigenetics and Gene Regulation, Sun </w:t>
      </w:r>
      <w:proofErr w:type="spellStart"/>
      <w:r w:rsidR="007F0D36" w:rsidRPr="00275D1E">
        <w:rPr>
          <w:rFonts w:ascii="Book Antiqua" w:hAnsi="Book Antiqua" w:cs="Arial"/>
        </w:rPr>
        <w:t>Yat</w:t>
      </w:r>
      <w:proofErr w:type="spellEnd"/>
      <w:r w:rsidR="007F0D36" w:rsidRPr="00275D1E">
        <w:rPr>
          <w:rFonts w:ascii="Book Antiqua" w:hAnsi="Book Antiqua" w:cs="Arial"/>
        </w:rPr>
        <w:t xml:space="preserve">-Sen Memorial Hospital, Sun </w:t>
      </w:r>
      <w:proofErr w:type="spellStart"/>
      <w:r w:rsidR="007F0D36" w:rsidRPr="00275D1E">
        <w:rPr>
          <w:rFonts w:ascii="Book Antiqua" w:hAnsi="Book Antiqua" w:cs="Arial"/>
        </w:rPr>
        <w:t>Yat</w:t>
      </w:r>
      <w:proofErr w:type="spellEnd"/>
      <w:r w:rsidR="007F0D36" w:rsidRPr="00275D1E">
        <w:rPr>
          <w:rFonts w:ascii="Book Antiqua" w:hAnsi="Book Antiqua" w:cs="Arial"/>
        </w:rPr>
        <w:t>-Sen University,</w:t>
      </w:r>
      <w:r>
        <w:rPr>
          <w:rFonts w:ascii="Book Antiqua" w:hAnsi="Book Antiqua" w:cs="Arial"/>
        </w:rPr>
        <w:t xml:space="preserve"> Guangzhou </w:t>
      </w:r>
      <w:r w:rsidR="007F0D36" w:rsidRPr="00275D1E">
        <w:rPr>
          <w:rFonts w:ascii="Book Antiqua" w:hAnsi="Book Antiqua" w:cs="Arial"/>
        </w:rPr>
        <w:t xml:space="preserve">510120, </w:t>
      </w:r>
      <w:r>
        <w:rPr>
          <w:rFonts w:ascii="Book Antiqua" w:hAnsi="Book Antiqua" w:cs="Arial"/>
        </w:rPr>
        <w:t xml:space="preserve">Guangdong Province, </w:t>
      </w:r>
      <w:r w:rsidR="007F0D36" w:rsidRPr="00275D1E">
        <w:rPr>
          <w:rFonts w:ascii="Book Antiqua" w:hAnsi="Book Antiqua" w:cs="Arial"/>
        </w:rPr>
        <w:t>China</w:t>
      </w:r>
    </w:p>
    <w:p w14:paraId="43CE366E" w14:textId="77777777" w:rsidR="00FD4C57" w:rsidRDefault="00FD4C57" w:rsidP="00275D1E">
      <w:pPr>
        <w:adjustRightInd w:val="0"/>
        <w:snapToGrid w:val="0"/>
        <w:spacing w:line="360" w:lineRule="auto"/>
        <w:rPr>
          <w:rFonts w:ascii="Book Antiqua" w:hAnsi="Book Antiqua" w:cs="Arial"/>
        </w:rPr>
      </w:pPr>
    </w:p>
    <w:p w14:paraId="2ADC2F3B" w14:textId="67BF212A" w:rsidR="00B57E37" w:rsidRPr="00275D1E" w:rsidRDefault="00FD4C57" w:rsidP="00275D1E">
      <w:pPr>
        <w:adjustRightInd w:val="0"/>
        <w:snapToGrid w:val="0"/>
        <w:spacing w:line="360" w:lineRule="auto"/>
        <w:rPr>
          <w:rFonts w:ascii="Book Antiqua" w:hAnsi="Book Antiqua" w:cs="Arial"/>
        </w:rPr>
      </w:pPr>
      <w:r>
        <w:rPr>
          <w:rFonts w:ascii="Book Antiqua" w:hAnsi="Book Antiqua" w:cs="Arial"/>
          <w:b/>
        </w:rPr>
        <w:t xml:space="preserve">Xiao-Hui Zhao, </w:t>
      </w:r>
      <w:proofErr w:type="spellStart"/>
      <w:r>
        <w:rPr>
          <w:rFonts w:ascii="Book Antiqua" w:hAnsi="Book Antiqua" w:cs="Arial"/>
          <w:b/>
        </w:rPr>
        <w:t>Zai</w:t>
      </w:r>
      <w:proofErr w:type="spellEnd"/>
      <w:r>
        <w:rPr>
          <w:rFonts w:ascii="Book Antiqua" w:hAnsi="Book Antiqua" w:cs="Arial"/>
          <w:b/>
        </w:rPr>
        <w:t>-Rui Wang, Chang-L</w:t>
      </w:r>
      <w:r w:rsidRPr="00FD4C57">
        <w:rPr>
          <w:rFonts w:ascii="Book Antiqua" w:hAnsi="Book Antiqua" w:cs="Arial"/>
          <w:b/>
        </w:rPr>
        <w:t xml:space="preserve">ong Chen, Ling Di, </w:t>
      </w:r>
      <w:proofErr w:type="spellStart"/>
      <w:r w:rsidRPr="00FD4C57">
        <w:rPr>
          <w:rFonts w:ascii="Book Antiqua" w:hAnsi="Book Antiqua" w:cs="Arial"/>
          <w:b/>
        </w:rPr>
        <w:t>Zhuo</w:t>
      </w:r>
      <w:proofErr w:type="spellEnd"/>
      <w:r w:rsidRPr="00FD4C57">
        <w:rPr>
          <w:rFonts w:ascii="Book Antiqua" w:hAnsi="Book Antiqua" w:cs="Arial"/>
          <w:b/>
        </w:rPr>
        <w:t>-Fei Bi, Yi-Min Liu,</w:t>
      </w:r>
      <w:r>
        <w:rPr>
          <w:rFonts w:ascii="Book Antiqua" w:hAnsi="Book Antiqua" w:cs="Arial"/>
          <w:b/>
        </w:rPr>
        <w:t xml:space="preserve"> </w:t>
      </w:r>
      <w:r w:rsidR="007F0D36" w:rsidRPr="00275D1E">
        <w:rPr>
          <w:rFonts w:ascii="Book Antiqua" w:hAnsi="Book Antiqua" w:cs="Arial"/>
        </w:rPr>
        <w:t xml:space="preserve">Department of Radiotherapy, Sun </w:t>
      </w:r>
      <w:proofErr w:type="spellStart"/>
      <w:r w:rsidR="007F0D36" w:rsidRPr="00275D1E">
        <w:rPr>
          <w:rFonts w:ascii="Book Antiqua" w:hAnsi="Book Antiqua" w:cs="Arial"/>
        </w:rPr>
        <w:t>Yat-sen</w:t>
      </w:r>
      <w:proofErr w:type="spellEnd"/>
      <w:r w:rsidR="007F0D36" w:rsidRPr="00275D1E">
        <w:rPr>
          <w:rFonts w:ascii="Book Antiqua" w:hAnsi="Book Antiqua" w:cs="Arial"/>
        </w:rPr>
        <w:t xml:space="preserve"> Memorial Hospital, Su</w:t>
      </w:r>
      <w:r>
        <w:rPr>
          <w:rFonts w:ascii="Book Antiqua" w:hAnsi="Book Antiqua" w:cs="Arial"/>
        </w:rPr>
        <w:t xml:space="preserve">n </w:t>
      </w:r>
      <w:proofErr w:type="spellStart"/>
      <w:r>
        <w:rPr>
          <w:rFonts w:ascii="Book Antiqua" w:hAnsi="Book Antiqua" w:cs="Arial"/>
        </w:rPr>
        <w:t>Yat-sen</w:t>
      </w:r>
      <w:proofErr w:type="spellEnd"/>
      <w:r>
        <w:rPr>
          <w:rFonts w:ascii="Book Antiqua" w:hAnsi="Book Antiqua" w:cs="Arial"/>
        </w:rPr>
        <w:t xml:space="preserve"> University, Guangzhou</w:t>
      </w:r>
      <w:r w:rsidR="007F0D36" w:rsidRPr="00275D1E">
        <w:rPr>
          <w:rFonts w:ascii="Book Antiqua" w:hAnsi="Book Antiqua" w:cs="Arial"/>
        </w:rPr>
        <w:t xml:space="preserve"> 510120,</w:t>
      </w:r>
      <w:r>
        <w:rPr>
          <w:rFonts w:ascii="Book Antiqua" w:hAnsi="Book Antiqua" w:cs="Arial"/>
        </w:rPr>
        <w:t xml:space="preserve"> Guangdong Province, </w:t>
      </w:r>
      <w:r w:rsidR="007F0D36" w:rsidRPr="00275D1E">
        <w:rPr>
          <w:rFonts w:ascii="Book Antiqua" w:hAnsi="Book Antiqua" w:cs="Arial"/>
        </w:rPr>
        <w:t>China</w:t>
      </w:r>
    </w:p>
    <w:p w14:paraId="5C0CB0A4" w14:textId="77777777" w:rsidR="00B57E37" w:rsidRPr="00275D1E" w:rsidRDefault="00B57E37" w:rsidP="00275D1E">
      <w:pPr>
        <w:adjustRightInd w:val="0"/>
        <w:snapToGrid w:val="0"/>
        <w:spacing w:line="360" w:lineRule="auto"/>
        <w:rPr>
          <w:rFonts w:ascii="Book Antiqua" w:hAnsi="Book Antiqua" w:cs="Arial"/>
        </w:rPr>
      </w:pPr>
    </w:p>
    <w:p w14:paraId="6DE164FC" w14:textId="7CA45871" w:rsidR="00B57E37" w:rsidRPr="00275D1E" w:rsidRDefault="007F0D36" w:rsidP="00275D1E">
      <w:pPr>
        <w:adjustRightInd w:val="0"/>
        <w:snapToGrid w:val="0"/>
        <w:spacing w:line="360" w:lineRule="auto"/>
        <w:rPr>
          <w:rFonts w:ascii="Book Antiqua" w:hAnsi="Book Antiqua" w:cs="Arial"/>
        </w:rPr>
      </w:pPr>
      <w:proofErr w:type="spellStart"/>
      <w:r w:rsidRPr="00FD4C57">
        <w:rPr>
          <w:rFonts w:ascii="Book Antiqua" w:hAnsi="Book Antiqua" w:cs="Arial"/>
          <w:b/>
        </w:rPr>
        <w:t>Zhi</w:t>
      </w:r>
      <w:proofErr w:type="spellEnd"/>
      <w:r w:rsidRPr="00FD4C57">
        <w:rPr>
          <w:rFonts w:ascii="Book Antiqua" w:hAnsi="Book Antiqua" w:cs="Arial"/>
          <w:b/>
        </w:rPr>
        <w:t>-Hua Li,</w:t>
      </w:r>
      <w:r w:rsidRPr="00275D1E">
        <w:rPr>
          <w:rFonts w:ascii="Book Antiqua" w:hAnsi="Book Antiqua" w:cs="Arial"/>
        </w:rPr>
        <w:t xml:space="preserve"> Department of Medical Oncology, Sun </w:t>
      </w:r>
      <w:proofErr w:type="spellStart"/>
      <w:r w:rsidRPr="00275D1E">
        <w:rPr>
          <w:rFonts w:ascii="Book Antiqua" w:hAnsi="Book Antiqua" w:cs="Arial"/>
        </w:rPr>
        <w:t>Yat-sen</w:t>
      </w:r>
      <w:proofErr w:type="spellEnd"/>
      <w:r w:rsidRPr="00275D1E">
        <w:rPr>
          <w:rFonts w:ascii="Book Antiqua" w:hAnsi="Book Antiqua" w:cs="Arial"/>
        </w:rPr>
        <w:t xml:space="preserve"> Memorial Hospital, Sun </w:t>
      </w:r>
      <w:proofErr w:type="spellStart"/>
      <w:r w:rsidRPr="00275D1E">
        <w:rPr>
          <w:rFonts w:ascii="Book Antiqua" w:hAnsi="Book Antiqua" w:cs="Arial"/>
        </w:rPr>
        <w:t>Yat</w:t>
      </w:r>
      <w:r w:rsidR="00FD4C57">
        <w:rPr>
          <w:rFonts w:ascii="Book Antiqua" w:hAnsi="Book Antiqua" w:cs="Arial"/>
        </w:rPr>
        <w:t>-sen</w:t>
      </w:r>
      <w:proofErr w:type="spellEnd"/>
      <w:r w:rsidR="00FD4C57">
        <w:rPr>
          <w:rFonts w:ascii="Book Antiqua" w:hAnsi="Book Antiqua" w:cs="Arial"/>
        </w:rPr>
        <w:t xml:space="preserve"> University, Guangzhou</w:t>
      </w:r>
      <w:r w:rsidRPr="00275D1E">
        <w:rPr>
          <w:rFonts w:ascii="Book Antiqua" w:hAnsi="Book Antiqua" w:cs="Arial"/>
        </w:rPr>
        <w:t xml:space="preserve"> 510120, </w:t>
      </w:r>
      <w:r w:rsidR="00FD4C57">
        <w:rPr>
          <w:rFonts w:ascii="Book Antiqua" w:hAnsi="Book Antiqua" w:cs="Arial"/>
        </w:rPr>
        <w:t xml:space="preserve">Guangdong Province, </w:t>
      </w:r>
      <w:r w:rsidRPr="00275D1E">
        <w:rPr>
          <w:rFonts w:ascii="Book Antiqua" w:hAnsi="Book Antiqua" w:cs="Arial"/>
        </w:rPr>
        <w:t>China</w:t>
      </w:r>
    </w:p>
    <w:p w14:paraId="7AEBF67A" w14:textId="77777777" w:rsidR="00B57E37" w:rsidRPr="00275D1E" w:rsidRDefault="00B57E37" w:rsidP="00275D1E">
      <w:pPr>
        <w:adjustRightInd w:val="0"/>
        <w:snapToGrid w:val="0"/>
        <w:spacing w:line="360" w:lineRule="auto"/>
        <w:rPr>
          <w:rFonts w:ascii="Book Antiqua" w:hAnsi="Book Antiqua" w:cs="Arial"/>
        </w:rPr>
      </w:pPr>
    </w:p>
    <w:p w14:paraId="495BABEB" w14:textId="6DE90A23" w:rsidR="00B57E37" w:rsidRPr="00275D1E" w:rsidRDefault="007F0D36" w:rsidP="00275D1E">
      <w:pPr>
        <w:adjustRightInd w:val="0"/>
        <w:snapToGrid w:val="0"/>
        <w:spacing w:line="360" w:lineRule="auto"/>
        <w:rPr>
          <w:rFonts w:ascii="Book Antiqua" w:hAnsi="Book Antiqua" w:cs="Arial"/>
        </w:rPr>
      </w:pPr>
      <w:r w:rsidRPr="00FD4C57">
        <w:rPr>
          <w:rFonts w:ascii="Book Antiqua" w:hAnsi="Book Antiqua" w:cs="Arial"/>
          <w:b/>
        </w:rPr>
        <w:t xml:space="preserve">ORCID number: </w:t>
      </w:r>
      <w:r w:rsidR="00FD4C57">
        <w:rPr>
          <w:rFonts w:ascii="Book Antiqua" w:hAnsi="Book Antiqua" w:cs="Arial"/>
        </w:rPr>
        <w:t>Xiao-Hui Zhao (</w:t>
      </w:r>
      <w:r w:rsidR="00FD4C57" w:rsidRPr="00FD4C57">
        <w:rPr>
          <w:rFonts w:ascii="Book Antiqua" w:hAnsi="Book Antiqua" w:cs="Arial"/>
        </w:rPr>
        <w:t>0000-0002-7279-2751</w:t>
      </w:r>
      <w:r w:rsidR="00FD4C57">
        <w:rPr>
          <w:rFonts w:ascii="Book Antiqua" w:hAnsi="Book Antiqua" w:cs="Arial"/>
        </w:rPr>
        <w:t xml:space="preserve">); </w:t>
      </w:r>
      <w:proofErr w:type="spellStart"/>
      <w:r w:rsidR="00FD4C57">
        <w:rPr>
          <w:rFonts w:ascii="Book Antiqua" w:hAnsi="Book Antiqua" w:cs="Arial"/>
        </w:rPr>
        <w:t>Zai</w:t>
      </w:r>
      <w:proofErr w:type="spellEnd"/>
      <w:r w:rsidR="00FD4C57">
        <w:rPr>
          <w:rFonts w:ascii="Book Antiqua" w:hAnsi="Book Antiqua" w:cs="Arial"/>
        </w:rPr>
        <w:t>-Rui Wang (</w:t>
      </w:r>
      <w:r w:rsidR="00FD4C57" w:rsidRPr="00FD4C57">
        <w:rPr>
          <w:rFonts w:ascii="Book Antiqua" w:hAnsi="Book Antiqua" w:cs="Arial"/>
        </w:rPr>
        <w:t>0000-0001-8087-2711</w:t>
      </w:r>
      <w:r w:rsidR="00FD4C57">
        <w:rPr>
          <w:rFonts w:ascii="Book Antiqua" w:hAnsi="Book Antiqua" w:cs="Arial"/>
        </w:rPr>
        <w:t>);</w:t>
      </w:r>
      <w:r w:rsidR="00FD4C57" w:rsidRPr="00275D1E">
        <w:rPr>
          <w:rFonts w:ascii="Book Antiqua" w:hAnsi="Book Antiqua" w:cs="Arial"/>
        </w:rPr>
        <w:t xml:space="preserve"> Chang-Long Chen</w:t>
      </w:r>
      <w:r w:rsidR="00FD4C57">
        <w:rPr>
          <w:rFonts w:ascii="Book Antiqua" w:hAnsi="Book Antiqua" w:cs="Arial"/>
        </w:rPr>
        <w:t xml:space="preserve"> (</w:t>
      </w:r>
      <w:r w:rsidR="00FD4C57" w:rsidRPr="00FD4C57">
        <w:rPr>
          <w:rFonts w:ascii="Book Antiqua" w:hAnsi="Book Antiqua" w:cs="Arial"/>
        </w:rPr>
        <w:t>0000-0003-3805-7152</w:t>
      </w:r>
      <w:r w:rsidR="00FD4C57">
        <w:rPr>
          <w:rFonts w:ascii="Book Antiqua" w:hAnsi="Book Antiqua" w:cs="Arial"/>
        </w:rPr>
        <w:t>); Ling Di (</w:t>
      </w:r>
      <w:r w:rsidR="00FD4C57" w:rsidRPr="00FD4C57">
        <w:rPr>
          <w:rFonts w:ascii="Book Antiqua" w:hAnsi="Book Antiqua" w:cs="Arial"/>
        </w:rPr>
        <w:t>0000-0001-8195-0101</w:t>
      </w:r>
      <w:r w:rsidR="00FD4C57">
        <w:rPr>
          <w:rFonts w:ascii="Book Antiqua" w:hAnsi="Book Antiqua" w:cs="Arial"/>
        </w:rPr>
        <w:t xml:space="preserve">); </w:t>
      </w:r>
      <w:proofErr w:type="spellStart"/>
      <w:r w:rsidR="00FD4C57">
        <w:rPr>
          <w:rFonts w:ascii="Book Antiqua" w:hAnsi="Book Antiqua" w:cs="Arial"/>
        </w:rPr>
        <w:t>Zhuo</w:t>
      </w:r>
      <w:proofErr w:type="spellEnd"/>
      <w:r w:rsidR="00FD4C57">
        <w:rPr>
          <w:rFonts w:ascii="Book Antiqua" w:hAnsi="Book Antiqua" w:cs="Arial"/>
        </w:rPr>
        <w:t>-Fei Bi (</w:t>
      </w:r>
      <w:r w:rsidR="00FD4C57" w:rsidRPr="00FD4C57">
        <w:rPr>
          <w:rFonts w:ascii="Book Antiqua" w:hAnsi="Book Antiqua" w:cs="Arial"/>
        </w:rPr>
        <w:t>0000-0001-6885-4131</w:t>
      </w:r>
      <w:r w:rsidR="00FD4C57">
        <w:rPr>
          <w:rFonts w:ascii="Book Antiqua" w:hAnsi="Book Antiqua" w:cs="Arial"/>
        </w:rPr>
        <w:t xml:space="preserve">); </w:t>
      </w:r>
      <w:proofErr w:type="spellStart"/>
      <w:r w:rsidR="00FD4C57">
        <w:rPr>
          <w:rFonts w:ascii="Book Antiqua" w:hAnsi="Book Antiqua" w:cs="Arial"/>
        </w:rPr>
        <w:t>Zhi</w:t>
      </w:r>
      <w:proofErr w:type="spellEnd"/>
      <w:r w:rsidR="00FD4C57">
        <w:rPr>
          <w:rFonts w:ascii="Book Antiqua" w:hAnsi="Book Antiqua" w:cs="Arial"/>
        </w:rPr>
        <w:t>-Hua Li (</w:t>
      </w:r>
      <w:r w:rsidR="00FD4C57" w:rsidRPr="00FD4C57">
        <w:rPr>
          <w:rFonts w:ascii="Book Antiqua" w:hAnsi="Book Antiqua" w:cs="Arial"/>
        </w:rPr>
        <w:t>0000-0002-4698-7459</w:t>
      </w:r>
      <w:r w:rsidR="00FD4C57">
        <w:rPr>
          <w:rFonts w:ascii="Book Antiqua" w:hAnsi="Book Antiqua" w:cs="Arial"/>
        </w:rPr>
        <w:t>); Yi-Min Liu (</w:t>
      </w:r>
      <w:r w:rsidR="00FD4C57" w:rsidRPr="00FD4C57">
        <w:rPr>
          <w:rFonts w:ascii="Book Antiqua" w:hAnsi="Book Antiqua" w:cs="Arial"/>
        </w:rPr>
        <w:t>0000-0003-4714-8347</w:t>
      </w:r>
      <w:r w:rsidR="00FD4C57">
        <w:rPr>
          <w:rFonts w:ascii="Book Antiqua" w:hAnsi="Book Antiqua" w:cs="Arial"/>
        </w:rPr>
        <w:t>).</w:t>
      </w:r>
    </w:p>
    <w:p w14:paraId="5CDF2B1D" w14:textId="77777777" w:rsidR="00B57E37" w:rsidRPr="00275D1E" w:rsidRDefault="00B57E37" w:rsidP="00275D1E">
      <w:pPr>
        <w:adjustRightInd w:val="0"/>
        <w:snapToGrid w:val="0"/>
        <w:spacing w:line="360" w:lineRule="auto"/>
        <w:rPr>
          <w:rFonts w:ascii="Book Antiqua" w:hAnsi="Book Antiqua" w:cs="Arial"/>
        </w:rPr>
      </w:pPr>
    </w:p>
    <w:p w14:paraId="433F24B5" w14:textId="141F0474" w:rsidR="00B57E37" w:rsidRPr="00FD4C57" w:rsidRDefault="00FD4C57" w:rsidP="00275D1E">
      <w:pPr>
        <w:widowControl/>
        <w:adjustRightInd w:val="0"/>
        <w:snapToGrid w:val="0"/>
        <w:spacing w:line="360" w:lineRule="auto"/>
        <w:rPr>
          <w:rFonts w:ascii="Book Antiqua" w:hAnsi="Book Antiqua" w:cs="Arial"/>
          <w:b/>
        </w:rPr>
      </w:pPr>
      <w:r>
        <w:rPr>
          <w:rFonts w:ascii="Book Antiqua" w:hAnsi="Book Antiqua" w:cs="Arial"/>
          <w:b/>
        </w:rPr>
        <w:t>Author</w:t>
      </w:r>
      <w:r w:rsidR="007F0D36" w:rsidRPr="00275D1E">
        <w:rPr>
          <w:rFonts w:ascii="Book Antiqua" w:hAnsi="Book Antiqua" w:cs="Arial"/>
          <w:b/>
        </w:rPr>
        <w:t xml:space="preserve"> contributions: </w:t>
      </w:r>
      <w:r w:rsidR="007F0D36" w:rsidRPr="00275D1E">
        <w:rPr>
          <w:rFonts w:ascii="Book Antiqua" w:hAnsi="Book Antiqua" w:cs="Arial"/>
        </w:rPr>
        <w:t>Liu</w:t>
      </w:r>
      <w:r>
        <w:rPr>
          <w:rFonts w:ascii="Book Antiqua" w:hAnsi="Book Antiqua" w:cs="Arial"/>
        </w:rPr>
        <w:t xml:space="preserve"> YM</w:t>
      </w:r>
      <w:r w:rsidR="007F0D36" w:rsidRPr="00275D1E">
        <w:rPr>
          <w:rFonts w:ascii="Book Antiqua" w:hAnsi="Book Antiqua" w:cs="Arial"/>
        </w:rPr>
        <w:t xml:space="preserve">, Zhao </w:t>
      </w:r>
      <w:r>
        <w:rPr>
          <w:rFonts w:ascii="Book Antiqua" w:hAnsi="Book Antiqua" w:cs="Arial"/>
        </w:rPr>
        <w:t xml:space="preserve">XH </w:t>
      </w:r>
      <w:r w:rsidR="007F0D36" w:rsidRPr="00275D1E">
        <w:rPr>
          <w:rFonts w:ascii="Book Antiqua" w:hAnsi="Book Antiqua" w:cs="Arial"/>
        </w:rPr>
        <w:t xml:space="preserve">and Li </w:t>
      </w:r>
      <w:r>
        <w:rPr>
          <w:rFonts w:ascii="Book Antiqua" w:hAnsi="Book Antiqua" w:cs="Arial"/>
        </w:rPr>
        <w:t xml:space="preserve">ZH </w:t>
      </w:r>
      <w:r w:rsidR="007F0D36" w:rsidRPr="00275D1E">
        <w:rPr>
          <w:rFonts w:ascii="Book Antiqua" w:hAnsi="Book Antiqua" w:cs="Arial"/>
        </w:rPr>
        <w:t xml:space="preserve">designed research, analyzed, interpreted data and wrote the paper; Wang </w:t>
      </w:r>
      <w:r>
        <w:rPr>
          <w:rFonts w:ascii="Book Antiqua" w:hAnsi="Book Antiqua" w:cs="Arial"/>
        </w:rPr>
        <w:t xml:space="preserve">ZR </w:t>
      </w:r>
      <w:r w:rsidR="007F0D36" w:rsidRPr="00275D1E">
        <w:rPr>
          <w:rFonts w:ascii="Book Antiqua" w:hAnsi="Book Antiqua" w:cs="Arial"/>
        </w:rPr>
        <w:t xml:space="preserve">and Chen </w:t>
      </w:r>
      <w:r>
        <w:rPr>
          <w:rFonts w:ascii="Book Antiqua" w:hAnsi="Book Antiqua" w:cs="Arial"/>
        </w:rPr>
        <w:t xml:space="preserve">CL </w:t>
      </w:r>
      <w:r w:rsidR="007F0D36" w:rsidRPr="00275D1E">
        <w:rPr>
          <w:rFonts w:ascii="Book Antiqua" w:hAnsi="Book Antiqua" w:cs="Arial"/>
        </w:rPr>
        <w:t>analyzed and interpreted</w:t>
      </w:r>
      <w:r>
        <w:rPr>
          <w:rFonts w:ascii="Book Antiqua" w:hAnsi="Book Antiqua" w:cs="Arial"/>
        </w:rPr>
        <w:t xml:space="preserve"> data</w:t>
      </w:r>
      <w:r w:rsidR="00A35AC2">
        <w:rPr>
          <w:rFonts w:ascii="Book Antiqua" w:hAnsi="Book Antiqua" w:cs="Arial" w:hint="eastAsia"/>
        </w:rPr>
        <w:t xml:space="preserve">; </w:t>
      </w:r>
      <w:r w:rsidR="007F0D36" w:rsidRPr="00275D1E">
        <w:rPr>
          <w:rFonts w:ascii="Book Antiqua" w:hAnsi="Book Antiqua" w:cs="Arial"/>
        </w:rPr>
        <w:t>Bi</w:t>
      </w:r>
      <w:r>
        <w:rPr>
          <w:rFonts w:ascii="Book Antiqua" w:hAnsi="Book Antiqua" w:cs="Arial"/>
        </w:rPr>
        <w:t xml:space="preserve"> ZF, </w:t>
      </w:r>
      <w:r w:rsidR="007F0D36" w:rsidRPr="00275D1E">
        <w:rPr>
          <w:rFonts w:ascii="Book Antiqua" w:hAnsi="Book Antiqua" w:cs="Arial"/>
        </w:rPr>
        <w:t xml:space="preserve">Ding </w:t>
      </w:r>
      <w:r>
        <w:rPr>
          <w:rFonts w:ascii="Book Antiqua" w:hAnsi="Book Antiqua" w:cs="Arial"/>
        </w:rPr>
        <w:t xml:space="preserve">L </w:t>
      </w:r>
      <w:r w:rsidR="007F0D36" w:rsidRPr="00275D1E">
        <w:rPr>
          <w:rFonts w:ascii="Book Antiqua" w:hAnsi="Book Antiqua" w:cs="Arial"/>
        </w:rPr>
        <w:t xml:space="preserve">and Qing </w:t>
      </w:r>
      <w:bookmarkStart w:id="4" w:name="OLE_LINK92"/>
      <w:bookmarkStart w:id="5" w:name="OLE_LINK91"/>
      <w:r>
        <w:rPr>
          <w:rFonts w:ascii="Book Antiqua" w:hAnsi="Book Antiqua" w:cs="Arial"/>
        </w:rPr>
        <w:t xml:space="preserve">L </w:t>
      </w:r>
      <w:r w:rsidR="007F0D36" w:rsidRPr="00275D1E">
        <w:rPr>
          <w:rFonts w:ascii="Book Antiqua" w:hAnsi="Book Antiqua" w:cs="Arial"/>
        </w:rPr>
        <w:t>wrote the paper</w:t>
      </w:r>
      <w:bookmarkEnd w:id="4"/>
      <w:bookmarkEnd w:id="5"/>
      <w:r w:rsidR="007F0D36" w:rsidRPr="00275D1E">
        <w:rPr>
          <w:rFonts w:ascii="Book Antiqua" w:hAnsi="Book Antiqua" w:cs="Arial"/>
        </w:rPr>
        <w:t>.</w:t>
      </w:r>
    </w:p>
    <w:p w14:paraId="68700EF1" w14:textId="77777777" w:rsidR="00B57E37" w:rsidRPr="00275D1E" w:rsidRDefault="00B57E37" w:rsidP="00275D1E">
      <w:pPr>
        <w:widowControl/>
        <w:adjustRightInd w:val="0"/>
        <w:snapToGrid w:val="0"/>
        <w:spacing w:line="360" w:lineRule="auto"/>
        <w:rPr>
          <w:rFonts w:ascii="Book Antiqua" w:hAnsi="Book Antiqua" w:cs="Arial"/>
          <w:b/>
        </w:rPr>
      </w:pPr>
    </w:p>
    <w:p w14:paraId="2DFA0F90" w14:textId="2FA80082" w:rsidR="00B57E37" w:rsidRPr="00275D1E" w:rsidRDefault="00FD4C57" w:rsidP="00233FF1">
      <w:pPr>
        <w:adjustRightInd w:val="0"/>
        <w:snapToGrid w:val="0"/>
        <w:spacing w:line="360" w:lineRule="auto"/>
        <w:outlineLvl w:val="0"/>
        <w:rPr>
          <w:rFonts w:ascii="Book Antiqua" w:hAnsi="Book Antiqua" w:cs="Helvetica Neue"/>
          <w:kern w:val="0"/>
        </w:rPr>
      </w:pPr>
      <w:r>
        <w:rPr>
          <w:rFonts w:ascii="Book Antiqua" w:hAnsi="Book Antiqua" w:cs="Arial"/>
          <w:b/>
        </w:rPr>
        <w:t xml:space="preserve">Supported by </w:t>
      </w:r>
      <w:r w:rsidR="007F0D36" w:rsidRPr="00275D1E">
        <w:rPr>
          <w:rFonts w:ascii="Book Antiqua" w:hAnsi="Book Antiqua" w:cs="Helvetica Neue"/>
          <w:kern w:val="0"/>
        </w:rPr>
        <w:t>Guangd</w:t>
      </w:r>
      <w:r>
        <w:rPr>
          <w:rFonts w:ascii="Book Antiqua" w:hAnsi="Book Antiqua" w:cs="Helvetica Neue"/>
          <w:kern w:val="0"/>
        </w:rPr>
        <w:t>ong Natural Science Foundation, No. 2016A030313312.</w:t>
      </w:r>
    </w:p>
    <w:p w14:paraId="6D33E33F" w14:textId="77777777" w:rsidR="00B57E37" w:rsidRPr="00275D1E" w:rsidRDefault="00B57E37" w:rsidP="00275D1E">
      <w:pPr>
        <w:adjustRightInd w:val="0"/>
        <w:snapToGrid w:val="0"/>
        <w:spacing w:line="360" w:lineRule="auto"/>
        <w:rPr>
          <w:rFonts w:ascii="Book Antiqua" w:hAnsi="Book Antiqua" w:cs="Arial"/>
          <w:b/>
        </w:rPr>
      </w:pPr>
    </w:p>
    <w:p w14:paraId="7AA1E337" w14:textId="77777777" w:rsidR="00B57E37" w:rsidRPr="00275D1E" w:rsidRDefault="007F0D36" w:rsidP="00275D1E">
      <w:pPr>
        <w:adjustRightInd w:val="0"/>
        <w:snapToGrid w:val="0"/>
        <w:spacing w:line="360" w:lineRule="auto"/>
        <w:rPr>
          <w:rFonts w:ascii="Book Antiqua" w:hAnsi="Book Antiqua" w:cs="Helvetica Neue"/>
          <w:kern w:val="0"/>
        </w:rPr>
      </w:pPr>
      <w:r w:rsidRPr="00275D1E">
        <w:rPr>
          <w:rFonts w:ascii="Book Antiqua" w:hAnsi="Book Antiqua" w:cs="Arial"/>
          <w:b/>
        </w:rPr>
        <w:t xml:space="preserve">Institutional review board statement: </w:t>
      </w:r>
      <w:r w:rsidRPr="00275D1E">
        <w:rPr>
          <w:rFonts w:ascii="Book Antiqua" w:hAnsi="Book Antiqua" w:cs="Helvetica Neue"/>
          <w:kern w:val="0"/>
        </w:rPr>
        <w:t xml:space="preserve">The study protocol was reviewed and approved by Institutional Review Board of Sun </w:t>
      </w:r>
      <w:proofErr w:type="spellStart"/>
      <w:r w:rsidRPr="00275D1E">
        <w:rPr>
          <w:rFonts w:ascii="Book Antiqua" w:hAnsi="Book Antiqua" w:cs="Helvetica Neue"/>
          <w:kern w:val="0"/>
        </w:rPr>
        <w:t>Yat-sen</w:t>
      </w:r>
      <w:proofErr w:type="spellEnd"/>
      <w:r w:rsidRPr="00275D1E">
        <w:rPr>
          <w:rFonts w:ascii="Book Antiqua" w:hAnsi="Book Antiqua" w:cs="Helvetica Neue"/>
          <w:kern w:val="0"/>
        </w:rPr>
        <w:t xml:space="preserve"> Memorial Hospital.</w:t>
      </w:r>
    </w:p>
    <w:p w14:paraId="2F96B496" w14:textId="77777777" w:rsidR="00B57E37" w:rsidRPr="00275D1E" w:rsidRDefault="00B57E37" w:rsidP="00275D1E">
      <w:pPr>
        <w:adjustRightInd w:val="0"/>
        <w:snapToGrid w:val="0"/>
        <w:spacing w:line="360" w:lineRule="auto"/>
        <w:rPr>
          <w:rFonts w:ascii="Book Antiqua" w:hAnsi="Book Antiqua" w:cs="Helvetica Neue"/>
          <w:kern w:val="0"/>
        </w:rPr>
      </w:pPr>
    </w:p>
    <w:p w14:paraId="439A9EDB" w14:textId="50AEED88" w:rsidR="00B57E37" w:rsidRPr="00275D1E" w:rsidRDefault="00FD4C57" w:rsidP="00275D1E">
      <w:pPr>
        <w:adjustRightInd w:val="0"/>
        <w:snapToGrid w:val="0"/>
        <w:spacing w:line="360" w:lineRule="auto"/>
        <w:rPr>
          <w:rFonts w:ascii="Book Antiqua" w:hAnsi="Book Antiqua" w:cs="Arial"/>
        </w:rPr>
      </w:pPr>
      <w:r w:rsidRPr="00265BA5">
        <w:rPr>
          <w:rFonts w:ascii="Book Antiqua" w:hAnsi="Book Antiqua"/>
          <w:b/>
          <w:color w:val="000000" w:themeColor="text1"/>
        </w:rPr>
        <w:t>Clinical trial registration statement</w:t>
      </w:r>
      <w:r w:rsidRPr="00265BA5">
        <w:rPr>
          <w:rFonts w:ascii="Book Antiqua" w:hAnsi="Book Antiqua"/>
          <w:b/>
          <w:bCs/>
          <w:iCs/>
          <w:color w:val="000000" w:themeColor="text1"/>
        </w:rPr>
        <w:t>:</w:t>
      </w:r>
      <w:r w:rsidR="007F0D36" w:rsidRPr="00275D1E">
        <w:rPr>
          <w:rFonts w:ascii="Book Antiqua" w:hAnsi="Book Antiqua" w:cs="Arial"/>
          <w:b/>
        </w:rPr>
        <w:t xml:space="preserve"> </w:t>
      </w:r>
      <w:r w:rsidR="007F0D36" w:rsidRPr="00275D1E">
        <w:rPr>
          <w:rFonts w:ascii="Book Antiqua" w:hAnsi="Book Antiqua" w:cs="Arial"/>
        </w:rPr>
        <w:t xml:space="preserve">The study is registered at </w:t>
      </w:r>
      <w:hyperlink r:id="rId5" w:history="1">
        <w:r w:rsidR="007F0D36" w:rsidRPr="00275D1E">
          <w:rPr>
            <w:rStyle w:val="Hyperlink"/>
            <w:rFonts w:ascii="Book Antiqua" w:hAnsi="Book Antiqua" w:cs="Arial"/>
          </w:rPr>
          <w:t>www.chictr.org.cn</w:t>
        </w:r>
      </w:hyperlink>
      <w:r w:rsidR="007F0D36" w:rsidRPr="00275D1E">
        <w:rPr>
          <w:rFonts w:ascii="Book Antiqua" w:hAnsi="Book Antiqua" w:cs="Arial"/>
        </w:rPr>
        <w:t xml:space="preserve"> and the registration identification number is chiCTR1800018513.</w:t>
      </w:r>
    </w:p>
    <w:p w14:paraId="1DCD1286" w14:textId="77777777" w:rsidR="00B57E37" w:rsidRPr="00275D1E" w:rsidRDefault="00B57E37" w:rsidP="00275D1E">
      <w:pPr>
        <w:adjustRightInd w:val="0"/>
        <w:snapToGrid w:val="0"/>
        <w:spacing w:line="360" w:lineRule="auto"/>
        <w:rPr>
          <w:rFonts w:ascii="Book Antiqua" w:hAnsi="Book Antiqua" w:cs="Arial"/>
        </w:rPr>
      </w:pPr>
    </w:p>
    <w:p w14:paraId="5F4C65C9" w14:textId="77777777"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b/>
        </w:rPr>
        <w:t xml:space="preserve">Informed consent statement: </w:t>
      </w:r>
      <w:r w:rsidRPr="00275D1E">
        <w:rPr>
          <w:rFonts w:ascii="Book Antiqua" w:hAnsi="Book Antiqua" w:cs="Arial"/>
        </w:rPr>
        <w:t>All participants have signed Informed Consent Form prior to study enrollment.</w:t>
      </w:r>
    </w:p>
    <w:p w14:paraId="49EC2B82" w14:textId="77777777" w:rsidR="00B57E37" w:rsidRPr="00275D1E" w:rsidRDefault="00B57E37" w:rsidP="00275D1E">
      <w:pPr>
        <w:adjustRightInd w:val="0"/>
        <w:snapToGrid w:val="0"/>
        <w:spacing w:line="360" w:lineRule="auto"/>
        <w:rPr>
          <w:rFonts w:ascii="Book Antiqua" w:hAnsi="Book Antiqua" w:cs="Arial"/>
        </w:rPr>
      </w:pPr>
    </w:p>
    <w:p w14:paraId="044DE42F" w14:textId="77777777"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b/>
        </w:rPr>
        <w:t xml:space="preserve">Conflict-of-interest statement: </w:t>
      </w:r>
      <w:r w:rsidRPr="00275D1E">
        <w:rPr>
          <w:rFonts w:ascii="Book Antiqua" w:hAnsi="Book Antiqua" w:cs="Arial"/>
        </w:rPr>
        <w:t>The authors do not have any conflict of interest to disclose.</w:t>
      </w:r>
    </w:p>
    <w:p w14:paraId="3B379D44" w14:textId="77777777" w:rsidR="00B57E37" w:rsidRPr="00275D1E" w:rsidRDefault="00B57E37" w:rsidP="00275D1E">
      <w:pPr>
        <w:adjustRightInd w:val="0"/>
        <w:snapToGrid w:val="0"/>
        <w:spacing w:line="360" w:lineRule="auto"/>
        <w:rPr>
          <w:rFonts w:ascii="Book Antiqua" w:hAnsi="Book Antiqua" w:cs="Arial"/>
        </w:rPr>
      </w:pPr>
    </w:p>
    <w:p w14:paraId="5F990A66" w14:textId="77777777" w:rsidR="00B57E37" w:rsidRPr="00275D1E" w:rsidRDefault="007F0D36" w:rsidP="00233FF1">
      <w:pPr>
        <w:adjustRightInd w:val="0"/>
        <w:snapToGrid w:val="0"/>
        <w:spacing w:line="360" w:lineRule="auto"/>
        <w:outlineLvl w:val="0"/>
        <w:rPr>
          <w:rFonts w:ascii="Book Antiqua" w:hAnsi="Book Antiqua" w:cs="Arial"/>
        </w:rPr>
      </w:pPr>
      <w:bookmarkStart w:id="6" w:name="OLE_LINK96"/>
      <w:bookmarkStart w:id="7" w:name="OLE_LINK95"/>
      <w:r w:rsidRPr="00275D1E">
        <w:rPr>
          <w:rFonts w:ascii="Book Antiqua" w:hAnsi="Book Antiqua" w:cs="Arial"/>
          <w:b/>
        </w:rPr>
        <w:t xml:space="preserve">Data sharing statement: </w:t>
      </w:r>
      <w:r w:rsidRPr="00275D1E">
        <w:rPr>
          <w:rFonts w:ascii="Book Antiqua" w:hAnsi="Book Antiqua" w:cs="Arial"/>
        </w:rPr>
        <w:t>No additional data are available.</w:t>
      </w:r>
    </w:p>
    <w:p w14:paraId="0D30DCF3" w14:textId="77777777" w:rsidR="00B57E37" w:rsidRPr="00275D1E" w:rsidRDefault="00B57E37" w:rsidP="00275D1E">
      <w:pPr>
        <w:adjustRightInd w:val="0"/>
        <w:snapToGrid w:val="0"/>
        <w:spacing w:line="360" w:lineRule="auto"/>
        <w:rPr>
          <w:rFonts w:ascii="Book Antiqua" w:hAnsi="Book Antiqua" w:cs="Arial"/>
        </w:rPr>
      </w:pPr>
    </w:p>
    <w:p w14:paraId="26990D5A" w14:textId="77777777"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b/>
        </w:rPr>
        <w:t xml:space="preserve">CONSORT 2010 statement: </w:t>
      </w:r>
      <w:r w:rsidRPr="00275D1E">
        <w:rPr>
          <w:rFonts w:ascii="Book Antiqua" w:hAnsi="Book Antiqua" w:cs="Arial"/>
        </w:rPr>
        <w:t>We complied with CONSORT 2010 during the period of the study.</w:t>
      </w:r>
    </w:p>
    <w:p w14:paraId="58A1FC94" w14:textId="77777777" w:rsidR="00B57E37" w:rsidRPr="00FD4C57" w:rsidRDefault="00B57E37" w:rsidP="00FD4C57">
      <w:pPr>
        <w:adjustRightInd w:val="0"/>
        <w:snapToGrid w:val="0"/>
        <w:spacing w:line="360" w:lineRule="auto"/>
        <w:rPr>
          <w:rFonts w:ascii="Book Antiqua" w:hAnsi="Book Antiqua" w:cs="Arial"/>
          <w:b/>
        </w:rPr>
      </w:pPr>
    </w:p>
    <w:p w14:paraId="3A2FFA4C" w14:textId="77777777" w:rsidR="00FD4C57" w:rsidRPr="00FD4C57" w:rsidRDefault="00FD4C57" w:rsidP="00FD4C57">
      <w:pPr>
        <w:adjustRightInd w:val="0"/>
        <w:snapToGrid w:val="0"/>
        <w:spacing w:line="360" w:lineRule="auto"/>
        <w:rPr>
          <w:rFonts w:ascii="Book Antiqua" w:hAnsi="Book Antiqua"/>
        </w:rPr>
      </w:pPr>
      <w:bookmarkStart w:id="8" w:name="OLE_LINK375"/>
      <w:r w:rsidRPr="00FD4C57">
        <w:rPr>
          <w:rFonts w:ascii="Book Antiqua" w:hAnsi="Book Antiqua"/>
          <w:b/>
          <w:color w:val="000000"/>
        </w:rPr>
        <w:t xml:space="preserve">Open-Access: </w:t>
      </w:r>
      <w:bookmarkStart w:id="9" w:name="OLE_LINK131"/>
      <w:r w:rsidRPr="00FD4C57">
        <w:rPr>
          <w:rFonts w:ascii="Book Antiqua" w:hAnsi="Book Antiqua"/>
          <w:color w:val="000000"/>
        </w:rPr>
        <w:t xml:space="preserve">This is an </w:t>
      </w:r>
      <w:r w:rsidRPr="00FD4C57">
        <w:rPr>
          <w:rFonts w:ascii="Book Antiqua" w:hAnsi="Book Antiqua" w:cs="SimSun"/>
        </w:rPr>
        <w:t xml:space="preserve">open-access article that was </w:t>
      </w:r>
      <w:r w:rsidRPr="00FD4C57">
        <w:rPr>
          <w:rFonts w:ascii="Book Antiqua" w:hAnsi="Book Antiqua"/>
        </w:rPr>
        <w:t xml:space="preserve">selected by an in-house editor and fully peer-reviewed by external reviewers. It is </w:t>
      </w:r>
      <w:r w:rsidRPr="00FD4C57">
        <w:rPr>
          <w:rFonts w:ascii="Book Antiqua" w:hAnsi="Book Antiqua" w:cs="SimSun"/>
        </w:rPr>
        <w:t xml:space="preserve">distributed in accordance with </w:t>
      </w:r>
      <w:r w:rsidRPr="00FD4C57">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w:t>
      </w:r>
      <w:r w:rsidRPr="00FD4C57">
        <w:rPr>
          <w:rFonts w:ascii="Book Antiqua" w:hAnsi="Book Antiqua"/>
        </w:rPr>
        <w:lastRenderedPageBreak/>
        <w:t xml:space="preserve">non-commercial. See: </w:t>
      </w:r>
      <w:hyperlink r:id="rId6" w:history="1">
        <w:r w:rsidRPr="00FD4C57">
          <w:rPr>
            <w:rStyle w:val="Hyperlink"/>
            <w:rFonts w:ascii="Book Antiqua" w:hAnsi="Book Antiqua"/>
          </w:rPr>
          <w:t>http://creativecommons.org/licenses/by-nc/4.0/</w:t>
        </w:r>
      </w:hyperlink>
      <w:bookmarkEnd w:id="9"/>
    </w:p>
    <w:p w14:paraId="5DA21511" w14:textId="77777777" w:rsidR="00FD4C57" w:rsidRPr="00FD4C57" w:rsidRDefault="00FD4C57" w:rsidP="00FD4C57">
      <w:pPr>
        <w:adjustRightInd w:val="0"/>
        <w:snapToGrid w:val="0"/>
        <w:spacing w:line="360" w:lineRule="auto"/>
        <w:rPr>
          <w:rFonts w:ascii="Book Antiqua" w:hAnsi="Book Antiqua"/>
        </w:rPr>
      </w:pPr>
    </w:p>
    <w:p w14:paraId="39918026" w14:textId="2E0F16C0" w:rsidR="00FD4C57" w:rsidRDefault="00FD4C57" w:rsidP="00233FF1">
      <w:pPr>
        <w:adjustRightInd w:val="0"/>
        <w:snapToGrid w:val="0"/>
        <w:spacing w:line="360" w:lineRule="auto"/>
        <w:outlineLvl w:val="0"/>
        <w:rPr>
          <w:rFonts w:ascii="Book Antiqua" w:hAnsi="Book Antiqua" w:cs="Times New Roman"/>
          <w:bCs/>
        </w:rPr>
      </w:pPr>
      <w:r w:rsidRPr="00FD4C57">
        <w:rPr>
          <w:rFonts w:ascii="Book Antiqua" w:hAnsi="Book Antiqua" w:cs="Times New Roman"/>
          <w:b/>
          <w:bCs/>
          <w:highlight w:val="white"/>
        </w:rPr>
        <w:t>Manuscript source:</w:t>
      </w:r>
      <w:r w:rsidRPr="00FD4C57">
        <w:rPr>
          <w:rFonts w:ascii="Book Antiqua" w:hAnsi="Book Antiqua" w:cs="Times New Roman" w:hint="eastAsia"/>
          <w:b/>
          <w:bCs/>
          <w:highlight w:val="white"/>
        </w:rPr>
        <w:t xml:space="preserve"> </w:t>
      </w:r>
      <w:r w:rsidRPr="00FD4C57">
        <w:rPr>
          <w:rFonts w:ascii="Book Antiqua" w:hAnsi="Book Antiqua" w:cs="Times New Roman"/>
          <w:bCs/>
          <w:highlight w:val="white"/>
        </w:rPr>
        <w:t>Unsolicited manuscript</w:t>
      </w:r>
      <w:bookmarkEnd w:id="8"/>
    </w:p>
    <w:p w14:paraId="7618DD89" w14:textId="77777777" w:rsidR="00FD4C57" w:rsidRPr="00FD4C57" w:rsidRDefault="00FD4C57" w:rsidP="00FD4C57">
      <w:pPr>
        <w:adjustRightInd w:val="0"/>
        <w:snapToGrid w:val="0"/>
        <w:spacing w:line="360" w:lineRule="auto"/>
        <w:rPr>
          <w:rFonts w:ascii="Book Antiqua" w:hAnsi="Book Antiqua" w:cs="Arial"/>
          <w:b/>
        </w:rPr>
      </w:pPr>
    </w:p>
    <w:bookmarkEnd w:id="6"/>
    <w:bookmarkEnd w:id="7"/>
    <w:p w14:paraId="59638D29" w14:textId="24BC9EEA" w:rsidR="00B57E37" w:rsidRPr="00275D1E" w:rsidRDefault="00FD4C57" w:rsidP="00FD4C57">
      <w:pPr>
        <w:adjustRightInd w:val="0"/>
        <w:snapToGrid w:val="0"/>
        <w:spacing w:line="360" w:lineRule="auto"/>
        <w:rPr>
          <w:rFonts w:ascii="Book Antiqua" w:hAnsi="Book Antiqua" w:cs="Arial"/>
        </w:rPr>
      </w:pPr>
      <w:r w:rsidRPr="00831B2E">
        <w:rPr>
          <w:rFonts w:ascii="Book Antiqua" w:hAnsi="Book Antiqua"/>
          <w:b/>
        </w:rPr>
        <w:t>Correspond</w:t>
      </w:r>
      <w:r>
        <w:rPr>
          <w:rFonts w:ascii="Book Antiqua" w:hAnsi="Book Antiqua"/>
          <w:b/>
        </w:rPr>
        <w:t>ing author</w:t>
      </w:r>
      <w:r w:rsidRPr="00831B2E">
        <w:rPr>
          <w:rFonts w:ascii="Book Antiqua" w:hAnsi="Book Antiqua"/>
          <w:b/>
        </w:rPr>
        <w:t> </w:t>
      </w:r>
      <w:r>
        <w:rPr>
          <w:rFonts w:ascii="Book Antiqua" w:hAnsi="Book Antiqua"/>
          <w:b/>
        </w:rPr>
        <w:t>to</w:t>
      </w:r>
      <w:r w:rsidR="007F0D36" w:rsidRPr="00FD4C57">
        <w:rPr>
          <w:rFonts w:ascii="Book Antiqua" w:hAnsi="Book Antiqua" w:cs="Arial"/>
          <w:b/>
        </w:rPr>
        <w:t xml:space="preserve">: </w:t>
      </w:r>
      <w:r w:rsidRPr="00FD4C57">
        <w:rPr>
          <w:rFonts w:ascii="Book Antiqua" w:hAnsi="Book Antiqua" w:cs="Arial"/>
          <w:b/>
        </w:rPr>
        <w:t>Yi-M</w:t>
      </w:r>
      <w:r w:rsidR="007F0D36" w:rsidRPr="00FD4C57">
        <w:rPr>
          <w:rFonts w:ascii="Book Antiqua" w:hAnsi="Book Antiqua" w:cs="Arial"/>
          <w:b/>
        </w:rPr>
        <w:t xml:space="preserve">in Liu, </w:t>
      </w:r>
      <w:r w:rsidRPr="00FD4C57">
        <w:rPr>
          <w:rFonts w:ascii="Book Antiqua" w:hAnsi="Book Antiqua" w:cs="Arial"/>
          <w:b/>
        </w:rPr>
        <w:t>MA, Associate Specialist, Professor,</w:t>
      </w:r>
      <w:r w:rsidR="007F0D36" w:rsidRPr="00FD4C57">
        <w:rPr>
          <w:rFonts w:ascii="Book Antiqua" w:hAnsi="Book Antiqua" w:cs="Arial"/>
          <w:b/>
        </w:rPr>
        <w:t xml:space="preserve"> </w:t>
      </w:r>
      <w:r w:rsidR="007F0D36" w:rsidRPr="00275D1E">
        <w:rPr>
          <w:rFonts w:ascii="Book Antiqua" w:hAnsi="Book Antiqua" w:cs="Arial"/>
        </w:rPr>
        <w:t xml:space="preserve">Department of Radiotherapy, Sun </w:t>
      </w:r>
      <w:proofErr w:type="spellStart"/>
      <w:r w:rsidR="007F0D36" w:rsidRPr="00275D1E">
        <w:rPr>
          <w:rFonts w:ascii="Book Antiqua" w:hAnsi="Book Antiqua" w:cs="Arial"/>
        </w:rPr>
        <w:t>Yat-sen</w:t>
      </w:r>
      <w:proofErr w:type="spellEnd"/>
      <w:r w:rsidR="007F0D36" w:rsidRPr="00275D1E">
        <w:rPr>
          <w:rFonts w:ascii="Book Antiqua" w:hAnsi="Book Antiqua" w:cs="Arial"/>
        </w:rPr>
        <w:t xml:space="preserve"> Memorial Hospital, Sun </w:t>
      </w:r>
      <w:proofErr w:type="spellStart"/>
      <w:r w:rsidR="007F0D36" w:rsidRPr="00275D1E">
        <w:rPr>
          <w:rFonts w:ascii="Book Antiqua" w:hAnsi="Book Antiqua" w:cs="Arial"/>
        </w:rPr>
        <w:t>Yat-sen</w:t>
      </w:r>
      <w:proofErr w:type="spellEnd"/>
      <w:r w:rsidR="007F0D36" w:rsidRPr="00275D1E">
        <w:rPr>
          <w:rFonts w:ascii="Book Antiqua" w:hAnsi="Book Antiqua" w:cs="Arial"/>
        </w:rPr>
        <w:t xml:space="preserve"> University, 107</w:t>
      </w:r>
      <w:r w:rsidR="00233FF1">
        <w:rPr>
          <w:rFonts w:ascii="Book Antiqua" w:hAnsi="Book Antiqua" w:cs="Arial"/>
        </w:rPr>
        <w:t xml:space="preserve"> Yan-Jiang Xi Road, Guangzhou</w:t>
      </w:r>
      <w:r w:rsidR="007F0D36" w:rsidRPr="00275D1E">
        <w:rPr>
          <w:rFonts w:ascii="Book Antiqua" w:hAnsi="Book Antiqua" w:cs="Arial"/>
        </w:rPr>
        <w:t xml:space="preserve"> 510120, Guangdong Province, China. </w:t>
      </w:r>
      <w:hyperlink r:id="rId7" w:history="1">
        <w:r w:rsidR="007F0D36" w:rsidRPr="00275D1E">
          <w:rPr>
            <w:rFonts w:ascii="Book Antiqua" w:hAnsi="Book Antiqua" w:cs="Arial"/>
          </w:rPr>
          <w:t>liuyimin1995@sina.com</w:t>
        </w:r>
      </w:hyperlink>
    </w:p>
    <w:p w14:paraId="5B2B3E1A" w14:textId="5D5D61C9" w:rsidR="00B57E37" w:rsidRPr="00275D1E" w:rsidRDefault="00233FF1" w:rsidP="00275D1E">
      <w:pPr>
        <w:adjustRightInd w:val="0"/>
        <w:snapToGrid w:val="0"/>
        <w:spacing w:line="360" w:lineRule="auto"/>
        <w:rPr>
          <w:rFonts w:ascii="Book Antiqua" w:hAnsi="Book Antiqua" w:cs="Arial"/>
        </w:rPr>
      </w:pPr>
      <w:r w:rsidRPr="00233FF1">
        <w:rPr>
          <w:rFonts w:ascii="Book Antiqua" w:hAnsi="Book Antiqua" w:cs="Arial"/>
          <w:b/>
        </w:rPr>
        <w:t>Telephone</w:t>
      </w:r>
      <w:r w:rsidR="007F0D36" w:rsidRPr="00233FF1">
        <w:rPr>
          <w:rFonts w:ascii="Book Antiqua" w:hAnsi="Book Antiqua" w:cs="Arial"/>
          <w:b/>
        </w:rPr>
        <w:t xml:space="preserve">: </w:t>
      </w:r>
      <w:bookmarkStart w:id="10" w:name="OLE_LINK130"/>
      <w:r w:rsidR="007F0D36" w:rsidRPr="00275D1E">
        <w:rPr>
          <w:rFonts w:ascii="Book Antiqua" w:hAnsi="Book Antiqua" w:cs="Arial"/>
        </w:rPr>
        <w:t>+86</w:t>
      </w:r>
      <w:r>
        <w:rPr>
          <w:rFonts w:ascii="Book Antiqua" w:hAnsi="Book Antiqua" w:cs="Arial"/>
        </w:rPr>
        <w:t>-13828401190</w:t>
      </w:r>
      <w:bookmarkEnd w:id="10"/>
    </w:p>
    <w:p w14:paraId="24FA4DFA" w14:textId="3ECBC71D" w:rsidR="00B57E37" w:rsidRPr="00275D1E" w:rsidRDefault="00233FF1" w:rsidP="00275D1E">
      <w:pPr>
        <w:adjustRightInd w:val="0"/>
        <w:snapToGrid w:val="0"/>
        <w:spacing w:line="360" w:lineRule="auto"/>
        <w:rPr>
          <w:rFonts w:ascii="Book Antiqua" w:hAnsi="Book Antiqua" w:cs="Arial"/>
        </w:rPr>
      </w:pPr>
      <w:r w:rsidRPr="00233FF1">
        <w:rPr>
          <w:rFonts w:ascii="Book Antiqua" w:hAnsi="Book Antiqua" w:cs="Arial"/>
          <w:b/>
        </w:rPr>
        <w:t xml:space="preserve">Fax: </w:t>
      </w:r>
      <w:r>
        <w:rPr>
          <w:rFonts w:ascii="Book Antiqua" w:hAnsi="Book Antiqua" w:cs="Arial"/>
        </w:rPr>
        <w:t>+86-21-</w:t>
      </w:r>
      <w:r w:rsidR="007F0D36" w:rsidRPr="00275D1E">
        <w:rPr>
          <w:rFonts w:ascii="Book Antiqua" w:hAnsi="Book Antiqua" w:cs="Arial"/>
        </w:rPr>
        <w:t>81332533</w:t>
      </w:r>
    </w:p>
    <w:p w14:paraId="2908D51A" w14:textId="77777777" w:rsidR="00B57E37" w:rsidRDefault="00B57E37" w:rsidP="00275D1E">
      <w:pPr>
        <w:adjustRightInd w:val="0"/>
        <w:snapToGrid w:val="0"/>
        <w:spacing w:line="360" w:lineRule="auto"/>
        <w:rPr>
          <w:rFonts w:ascii="Book Antiqua" w:hAnsi="Book Antiqua" w:cs="Arial"/>
          <w:b/>
        </w:rPr>
      </w:pPr>
    </w:p>
    <w:p w14:paraId="4E898140" w14:textId="04479120" w:rsidR="00233FF1" w:rsidRPr="00A37D48" w:rsidRDefault="00233FF1" w:rsidP="00233FF1">
      <w:pPr>
        <w:adjustRightInd w:val="0"/>
        <w:snapToGrid w:val="0"/>
        <w:spacing w:line="360" w:lineRule="auto"/>
        <w:outlineLvl w:val="0"/>
        <w:rPr>
          <w:rFonts w:ascii="Book Antiqua" w:hAnsi="Book Antiqua"/>
          <w:b/>
        </w:rPr>
      </w:pPr>
      <w:bookmarkStart w:id="11" w:name="OLE_LINK51"/>
      <w:r w:rsidRPr="00A37D48">
        <w:rPr>
          <w:rFonts w:ascii="Book Antiqua" w:hAnsi="Book Antiqua"/>
          <w:b/>
        </w:rPr>
        <w:t xml:space="preserve">Received: </w:t>
      </w:r>
      <w:r>
        <w:rPr>
          <w:rFonts w:ascii="Book Antiqua" w:hAnsi="Book Antiqua"/>
        </w:rPr>
        <w:t>October</w:t>
      </w:r>
      <w:r>
        <w:rPr>
          <w:rFonts w:ascii="Book Antiqua" w:eastAsia="DengXian" w:hAnsi="Book Antiqua"/>
        </w:rPr>
        <w:t xml:space="preserve"> 13</w:t>
      </w:r>
      <w:r w:rsidRPr="00697A7B">
        <w:rPr>
          <w:rFonts w:ascii="Book Antiqua" w:eastAsia="DengXian" w:hAnsi="Book Antiqua"/>
        </w:rPr>
        <w:t>, 201</w:t>
      </w:r>
      <w:r>
        <w:rPr>
          <w:rFonts w:ascii="Book Antiqua" w:eastAsia="DengXian" w:hAnsi="Book Antiqua"/>
        </w:rPr>
        <w:t>8</w:t>
      </w:r>
      <w:r w:rsidRPr="00A37D48">
        <w:rPr>
          <w:rFonts w:ascii="Book Antiqua" w:hAnsi="Book Antiqua"/>
          <w:b/>
        </w:rPr>
        <w:t xml:space="preserve">  </w:t>
      </w:r>
    </w:p>
    <w:p w14:paraId="0C3062C6" w14:textId="08AE15FA" w:rsidR="00233FF1" w:rsidRPr="00697A7B" w:rsidRDefault="00233FF1" w:rsidP="00233FF1">
      <w:pPr>
        <w:adjustRightInd w:val="0"/>
        <w:snapToGrid w:val="0"/>
        <w:spacing w:line="360" w:lineRule="auto"/>
        <w:outlineLvl w:val="0"/>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October</w:t>
      </w:r>
      <w:r>
        <w:rPr>
          <w:rFonts w:ascii="Book Antiqua" w:eastAsia="DengXian" w:hAnsi="Book Antiqua"/>
        </w:rPr>
        <w:t xml:space="preserve"> 15</w:t>
      </w:r>
      <w:r w:rsidRPr="00697A7B">
        <w:rPr>
          <w:rFonts w:ascii="Book Antiqua" w:eastAsia="DengXian" w:hAnsi="Book Antiqua"/>
        </w:rPr>
        <w:t>, 201</w:t>
      </w:r>
      <w:r>
        <w:rPr>
          <w:rFonts w:ascii="Book Antiqua" w:eastAsia="DengXian" w:hAnsi="Book Antiqua"/>
        </w:rPr>
        <w:t>8</w:t>
      </w:r>
    </w:p>
    <w:p w14:paraId="3749F656" w14:textId="705E40E9" w:rsidR="00233FF1" w:rsidRPr="00697A7B" w:rsidRDefault="00233FF1" w:rsidP="00233FF1">
      <w:pPr>
        <w:adjustRightInd w:val="0"/>
        <w:snapToGrid w:val="0"/>
        <w:spacing w:line="360" w:lineRule="auto"/>
        <w:outlineLvl w:val="0"/>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November</w:t>
      </w:r>
      <w:r>
        <w:rPr>
          <w:rFonts w:ascii="Book Antiqua" w:eastAsia="DengXian" w:hAnsi="Book Antiqua"/>
        </w:rPr>
        <w:t xml:space="preserve"> 7</w:t>
      </w:r>
      <w:r w:rsidRPr="00697A7B">
        <w:rPr>
          <w:rFonts w:ascii="Book Antiqua" w:eastAsia="DengXian" w:hAnsi="Book Antiqua"/>
        </w:rPr>
        <w:t>, 201</w:t>
      </w:r>
      <w:r>
        <w:rPr>
          <w:rFonts w:ascii="Book Antiqua" w:eastAsia="DengXian" w:hAnsi="Book Antiqua"/>
        </w:rPr>
        <w:t>8</w:t>
      </w:r>
    </w:p>
    <w:p w14:paraId="2B7C01C2" w14:textId="5FCD10DF" w:rsidR="00233FF1" w:rsidRPr="00A37D48" w:rsidRDefault="00233FF1" w:rsidP="00233FF1">
      <w:pPr>
        <w:adjustRightInd w:val="0"/>
        <w:snapToGrid w:val="0"/>
        <w:spacing w:line="360" w:lineRule="auto"/>
        <w:rPr>
          <w:rFonts w:ascii="Book Antiqua" w:hAnsi="Book Antiqua"/>
          <w:b/>
        </w:rPr>
      </w:pPr>
      <w:r w:rsidRPr="00A37D48">
        <w:rPr>
          <w:rFonts w:ascii="Book Antiqua" w:hAnsi="Book Antiqua"/>
          <w:b/>
        </w:rPr>
        <w:t xml:space="preserve">Revised: </w:t>
      </w:r>
      <w:r>
        <w:rPr>
          <w:rFonts w:ascii="Book Antiqua" w:hAnsi="Book Antiqua"/>
        </w:rPr>
        <w:t>December 5, 2018</w:t>
      </w:r>
      <w:r w:rsidRPr="009C1EE2">
        <w:rPr>
          <w:rFonts w:ascii="Book Antiqua" w:hAnsi="Book Antiqua"/>
        </w:rPr>
        <w:t xml:space="preserve"> </w:t>
      </w:r>
    </w:p>
    <w:p w14:paraId="4F5C3203" w14:textId="558505CE" w:rsidR="00233FF1" w:rsidRPr="00A37D48" w:rsidRDefault="00233FF1" w:rsidP="00233FF1">
      <w:pPr>
        <w:adjustRightInd w:val="0"/>
        <w:snapToGrid w:val="0"/>
        <w:spacing w:line="360" w:lineRule="auto"/>
        <w:outlineLvl w:val="0"/>
        <w:rPr>
          <w:rFonts w:ascii="Book Antiqua" w:hAnsi="Book Antiqua"/>
          <w:b/>
        </w:rPr>
      </w:pPr>
      <w:r w:rsidRPr="00A37D48">
        <w:rPr>
          <w:rFonts w:ascii="Book Antiqua" w:hAnsi="Book Antiqua"/>
          <w:b/>
        </w:rPr>
        <w:t>Accepted:</w:t>
      </w:r>
      <w:r w:rsidR="008D0BE7" w:rsidRPr="008D0BE7">
        <w:t xml:space="preserve"> </w:t>
      </w:r>
      <w:r w:rsidR="008D0BE7" w:rsidRPr="008D0BE7">
        <w:rPr>
          <w:rFonts w:ascii="Book Antiqua" w:hAnsi="Book Antiqua"/>
        </w:rPr>
        <w:t>December 6, 2018</w:t>
      </w:r>
      <w:r w:rsidRPr="00A37D48">
        <w:rPr>
          <w:rFonts w:ascii="Book Antiqua" w:hAnsi="Book Antiqua"/>
          <w:b/>
        </w:rPr>
        <w:t xml:space="preserve"> </w:t>
      </w:r>
    </w:p>
    <w:p w14:paraId="1EF78252" w14:textId="77777777" w:rsidR="00233FF1" w:rsidRPr="00A37D48" w:rsidRDefault="00233FF1" w:rsidP="00233FF1">
      <w:pPr>
        <w:adjustRightInd w:val="0"/>
        <w:snapToGrid w:val="0"/>
        <w:spacing w:line="360" w:lineRule="auto"/>
        <w:outlineLvl w:val="0"/>
        <w:rPr>
          <w:rFonts w:ascii="Book Antiqua" w:hAnsi="Book Antiqua"/>
          <w:b/>
        </w:rPr>
      </w:pPr>
      <w:r w:rsidRPr="00A37D48">
        <w:rPr>
          <w:rFonts w:ascii="Book Antiqua" w:hAnsi="Book Antiqua"/>
          <w:b/>
        </w:rPr>
        <w:t>Article in press:</w:t>
      </w:r>
      <w:bookmarkStart w:id="12" w:name="_GoBack"/>
      <w:bookmarkEnd w:id="12"/>
    </w:p>
    <w:p w14:paraId="2AA27030" w14:textId="184F467A" w:rsidR="00233FF1" w:rsidRPr="00275D1E" w:rsidRDefault="00233FF1" w:rsidP="00233FF1">
      <w:pPr>
        <w:adjustRightInd w:val="0"/>
        <w:snapToGrid w:val="0"/>
        <w:spacing w:line="360" w:lineRule="auto"/>
        <w:outlineLvl w:val="0"/>
        <w:rPr>
          <w:rFonts w:ascii="Book Antiqua" w:hAnsi="Book Antiqua" w:cs="Arial"/>
          <w:b/>
        </w:rPr>
      </w:pPr>
      <w:r w:rsidRPr="00A37D48">
        <w:rPr>
          <w:rFonts w:ascii="Book Antiqua" w:hAnsi="Book Antiqua"/>
          <w:b/>
        </w:rPr>
        <w:t>Published online:</w:t>
      </w:r>
      <w:bookmarkEnd w:id="11"/>
    </w:p>
    <w:p w14:paraId="65D481A4" w14:textId="77777777" w:rsidR="00233FF1" w:rsidRDefault="00233FF1">
      <w:pPr>
        <w:widowControl/>
        <w:jc w:val="left"/>
        <w:rPr>
          <w:rFonts w:ascii="Book Antiqua" w:hAnsi="Book Antiqua" w:cs="Arial"/>
          <w:b/>
        </w:rPr>
      </w:pPr>
      <w:bookmarkStart w:id="13" w:name="OLE_LINK33"/>
      <w:bookmarkStart w:id="14" w:name="OLE_LINK34"/>
      <w:r>
        <w:rPr>
          <w:rFonts w:ascii="Book Antiqua" w:hAnsi="Book Antiqua" w:cs="Arial"/>
          <w:b/>
        </w:rPr>
        <w:br w:type="page"/>
      </w:r>
    </w:p>
    <w:p w14:paraId="52E406BC" w14:textId="590D1466" w:rsidR="00B57E37" w:rsidRPr="00275D1E" w:rsidRDefault="007F0D36" w:rsidP="00233FF1">
      <w:pPr>
        <w:adjustRightInd w:val="0"/>
        <w:snapToGrid w:val="0"/>
        <w:spacing w:line="360" w:lineRule="auto"/>
        <w:outlineLvl w:val="0"/>
        <w:rPr>
          <w:rFonts w:ascii="Book Antiqua" w:hAnsi="Book Antiqua" w:cs="Arial"/>
          <w:b/>
        </w:rPr>
      </w:pPr>
      <w:r w:rsidRPr="00275D1E">
        <w:rPr>
          <w:rFonts w:ascii="Book Antiqua" w:hAnsi="Book Antiqua" w:cs="Arial"/>
          <w:b/>
        </w:rPr>
        <w:lastRenderedPageBreak/>
        <w:t>Abstract</w:t>
      </w:r>
    </w:p>
    <w:p w14:paraId="1A07B037" w14:textId="77777777" w:rsidR="00233FF1" w:rsidRPr="00233FF1" w:rsidRDefault="007F0D36" w:rsidP="00233FF1">
      <w:pPr>
        <w:adjustRightInd w:val="0"/>
        <w:snapToGrid w:val="0"/>
        <w:spacing w:line="360" w:lineRule="auto"/>
        <w:outlineLvl w:val="0"/>
        <w:rPr>
          <w:rFonts w:ascii="Book Antiqua" w:hAnsi="Book Antiqua" w:cs="Arial"/>
          <w:b/>
          <w:i/>
        </w:rPr>
      </w:pPr>
      <w:r w:rsidRPr="00233FF1">
        <w:rPr>
          <w:rFonts w:ascii="Book Antiqua" w:hAnsi="Book Antiqua" w:cs="Arial"/>
          <w:b/>
          <w:i/>
        </w:rPr>
        <w:t>AIM</w:t>
      </w:r>
      <w:bookmarkStart w:id="15" w:name="OLE_LINK121"/>
      <w:bookmarkStart w:id="16" w:name="OLE_LINK122"/>
      <w:bookmarkStart w:id="17" w:name="OLE_LINK27"/>
    </w:p>
    <w:p w14:paraId="10E32E4B" w14:textId="33FFFCF5" w:rsidR="00B57E37" w:rsidRDefault="007F0D36" w:rsidP="00275D1E">
      <w:pPr>
        <w:adjustRightInd w:val="0"/>
        <w:snapToGrid w:val="0"/>
        <w:spacing w:line="360" w:lineRule="auto"/>
        <w:rPr>
          <w:rFonts w:ascii="Book Antiqua" w:hAnsi="Book Antiqua" w:cs="Arial"/>
        </w:rPr>
      </w:pPr>
      <w:r w:rsidRPr="00275D1E">
        <w:rPr>
          <w:rFonts w:ascii="Book Antiqua" w:hAnsi="Book Antiqua" w:cs="Arial"/>
        </w:rPr>
        <w:t>To evaluate the clinical properties of three subpopulations of circulating tumor cells (CTCs) undergoing epithelial-mesenchymal transition (EMT) in pancreatic ductal adenocarcinoma (PDAC) patients.</w:t>
      </w:r>
    </w:p>
    <w:p w14:paraId="7E9807B6" w14:textId="77777777" w:rsidR="00233FF1" w:rsidRPr="00275D1E" w:rsidRDefault="00233FF1" w:rsidP="00275D1E">
      <w:pPr>
        <w:adjustRightInd w:val="0"/>
        <w:snapToGrid w:val="0"/>
        <w:spacing w:line="360" w:lineRule="auto"/>
        <w:rPr>
          <w:rFonts w:ascii="Book Antiqua" w:hAnsi="Book Antiqua" w:cs="Arial"/>
        </w:rPr>
      </w:pPr>
    </w:p>
    <w:bookmarkEnd w:id="15"/>
    <w:bookmarkEnd w:id="16"/>
    <w:bookmarkEnd w:id="17"/>
    <w:p w14:paraId="2779ADC9" w14:textId="34F3D5F9" w:rsidR="00233FF1" w:rsidRPr="00233FF1" w:rsidRDefault="00233FF1" w:rsidP="00233FF1">
      <w:pPr>
        <w:adjustRightInd w:val="0"/>
        <w:snapToGrid w:val="0"/>
        <w:spacing w:line="360" w:lineRule="auto"/>
        <w:outlineLvl w:val="0"/>
        <w:rPr>
          <w:rFonts w:ascii="Book Antiqua" w:hAnsi="Book Antiqua" w:cs="Arial"/>
          <w:b/>
          <w:i/>
        </w:rPr>
      </w:pPr>
      <w:r w:rsidRPr="00233FF1">
        <w:rPr>
          <w:rFonts w:ascii="Book Antiqua" w:hAnsi="Book Antiqua" w:cs="Arial"/>
          <w:b/>
          <w:i/>
        </w:rPr>
        <w:t>METHODS</w:t>
      </w:r>
    </w:p>
    <w:p w14:paraId="7673BE79" w14:textId="2BF952BF" w:rsidR="00B57E37" w:rsidRDefault="007F0D36" w:rsidP="00275D1E">
      <w:pPr>
        <w:adjustRightInd w:val="0"/>
        <w:snapToGrid w:val="0"/>
        <w:spacing w:line="360" w:lineRule="auto"/>
        <w:rPr>
          <w:rFonts w:ascii="Book Antiqua" w:hAnsi="Book Antiqua" w:cs="Arial"/>
          <w:kern w:val="0"/>
        </w:rPr>
      </w:pPr>
      <w:r w:rsidRPr="00275D1E">
        <w:rPr>
          <w:rFonts w:ascii="Book Antiqua" w:hAnsi="Book Antiqua" w:cs="Arial"/>
          <w:kern w:val="0"/>
        </w:rPr>
        <w:t>We identified CTCs for expression</w:t>
      </w:r>
      <w:r w:rsidR="00233FF1">
        <w:rPr>
          <w:rFonts w:ascii="Book Antiqua" w:hAnsi="Book Antiqua" w:cs="Arial"/>
          <w:kern w:val="0"/>
        </w:rPr>
        <w:t xml:space="preserve"> of the epithelial cell marker cytokeratin or e</w:t>
      </w:r>
      <w:r w:rsidRPr="00275D1E">
        <w:rPr>
          <w:rFonts w:ascii="Book Antiqua" w:hAnsi="Book Antiqua" w:cs="Arial"/>
          <w:kern w:val="0"/>
        </w:rPr>
        <w:t>pithelial cell adhesion molecule (</w:t>
      </w:r>
      <w:proofErr w:type="spellStart"/>
      <w:r w:rsidRPr="00275D1E">
        <w:rPr>
          <w:rFonts w:ascii="Book Antiqua" w:hAnsi="Book Antiqua" w:cs="Arial"/>
          <w:kern w:val="0"/>
        </w:rPr>
        <w:t>E</w:t>
      </w:r>
      <w:r w:rsidR="00233FF1">
        <w:rPr>
          <w:rFonts w:ascii="Book Antiqua" w:hAnsi="Book Antiqua" w:cs="Arial"/>
          <w:kern w:val="0"/>
        </w:rPr>
        <w:t>pCAM</w:t>
      </w:r>
      <w:proofErr w:type="spellEnd"/>
      <w:r w:rsidRPr="00275D1E">
        <w:rPr>
          <w:rFonts w:ascii="Book Antiqua" w:hAnsi="Book Antiqua" w:cs="Arial"/>
          <w:kern w:val="0"/>
        </w:rPr>
        <w:t>)</w:t>
      </w:r>
      <w:r w:rsidR="00233FF1">
        <w:rPr>
          <w:rFonts w:ascii="Book Antiqua" w:hAnsi="Book Antiqua" w:cs="Arial"/>
          <w:kern w:val="0"/>
        </w:rPr>
        <w:t xml:space="preserve"> (E-CTC)</w:t>
      </w:r>
      <w:r w:rsidRPr="00275D1E">
        <w:rPr>
          <w:rFonts w:ascii="Book Antiqua" w:hAnsi="Book Antiqua" w:cs="Arial"/>
          <w:kern w:val="0"/>
        </w:rPr>
        <w:t>, the mesenc</w:t>
      </w:r>
      <w:r w:rsidR="008521BB">
        <w:rPr>
          <w:rFonts w:ascii="Book Antiqua" w:hAnsi="Book Antiqua" w:cs="Arial"/>
          <w:kern w:val="0"/>
        </w:rPr>
        <w:t>hymal cell marker vimentin and t</w:t>
      </w:r>
      <w:r w:rsidRPr="00275D1E">
        <w:rPr>
          <w:rFonts w:ascii="Book Antiqua" w:hAnsi="Book Antiqua" w:cs="Arial"/>
          <w:kern w:val="0"/>
        </w:rPr>
        <w:t xml:space="preserve">wist (M-CTC), or both (E/M-CTC) by the </w:t>
      </w:r>
      <w:proofErr w:type="spellStart"/>
      <w:r w:rsidRPr="00275D1E">
        <w:rPr>
          <w:rFonts w:ascii="Book Antiqua" w:hAnsi="Book Antiqua" w:cs="Arial"/>
          <w:kern w:val="0"/>
        </w:rPr>
        <w:t>CanPatrol</w:t>
      </w:r>
      <w:proofErr w:type="spellEnd"/>
      <w:r w:rsidRPr="00275D1E">
        <w:rPr>
          <w:rFonts w:ascii="Book Antiqua" w:hAnsi="Book Antiqua" w:cs="Arial"/>
          <w:kern w:val="0"/>
        </w:rPr>
        <w:t xml:space="preserve"> system. Between </w:t>
      </w:r>
      <w:bookmarkStart w:id="18" w:name="OLE_LINK22"/>
      <w:bookmarkStart w:id="19" w:name="OLE_LINK21"/>
      <w:r w:rsidRPr="00275D1E">
        <w:rPr>
          <w:rFonts w:ascii="Book Antiqua" w:hAnsi="Book Antiqua" w:cs="Arial"/>
          <w:kern w:val="0"/>
        </w:rPr>
        <w:t>July 2014 and July 2016, 107 patients</w:t>
      </w:r>
      <w:bookmarkEnd w:id="18"/>
      <w:bookmarkEnd w:id="19"/>
      <w:r w:rsidRPr="00275D1E">
        <w:rPr>
          <w:rFonts w:ascii="Book Antiqua" w:hAnsi="Book Antiqua" w:cs="Arial"/>
          <w:kern w:val="0"/>
        </w:rPr>
        <w:t xml:space="preserve"> with PDAC were enrolled for CTC evaluation. CTC enumeration and classification were correlated with patient clinicopathological features and outcomes.</w:t>
      </w:r>
    </w:p>
    <w:p w14:paraId="096482E8" w14:textId="77777777" w:rsidR="00233FF1" w:rsidRPr="00275D1E" w:rsidRDefault="00233FF1" w:rsidP="00275D1E">
      <w:pPr>
        <w:adjustRightInd w:val="0"/>
        <w:snapToGrid w:val="0"/>
        <w:spacing w:line="360" w:lineRule="auto"/>
        <w:rPr>
          <w:rFonts w:ascii="Book Antiqua" w:hAnsi="Book Antiqua" w:cs="Arial"/>
          <w:kern w:val="0"/>
        </w:rPr>
      </w:pPr>
    </w:p>
    <w:p w14:paraId="2A18C9D1" w14:textId="26880D4F" w:rsidR="00233FF1" w:rsidRPr="00233FF1" w:rsidRDefault="00233FF1" w:rsidP="00233FF1">
      <w:pPr>
        <w:adjustRightInd w:val="0"/>
        <w:snapToGrid w:val="0"/>
        <w:spacing w:line="360" w:lineRule="auto"/>
        <w:outlineLvl w:val="0"/>
        <w:rPr>
          <w:rFonts w:ascii="Book Antiqua" w:hAnsi="Book Antiqua" w:cs="Arial"/>
          <w:b/>
          <w:i/>
          <w:kern w:val="0"/>
        </w:rPr>
      </w:pPr>
      <w:r w:rsidRPr="00233FF1">
        <w:rPr>
          <w:rFonts w:ascii="Book Antiqua" w:hAnsi="Book Antiqua" w:cs="Arial"/>
          <w:b/>
          <w:i/>
          <w:kern w:val="0"/>
        </w:rPr>
        <w:t>RESULTS</w:t>
      </w:r>
      <w:bookmarkStart w:id="20" w:name="OLE_LINK123"/>
      <w:bookmarkStart w:id="21" w:name="OLE_LINK124"/>
    </w:p>
    <w:p w14:paraId="515F0FE2" w14:textId="7693651A" w:rsidR="00B57E37" w:rsidRDefault="007F0D36" w:rsidP="00275D1E">
      <w:pPr>
        <w:adjustRightInd w:val="0"/>
        <w:snapToGrid w:val="0"/>
        <w:spacing w:line="360" w:lineRule="auto"/>
        <w:rPr>
          <w:rFonts w:ascii="Book Antiqua" w:hAnsi="Book Antiqua" w:cs="Arial"/>
          <w:kern w:val="0"/>
        </w:rPr>
      </w:pPr>
      <w:r w:rsidRPr="00275D1E">
        <w:rPr>
          <w:rFonts w:ascii="Book Antiqua" w:hAnsi="Book Antiqua" w:cs="Arial"/>
        </w:rPr>
        <w:t xml:space="preserve">CTCs were detected in 78.5% of PDAC patients. </w:t>
      </w:r>
      <w:r w:rsidRPr="00275D1E">
        <w:rPr>
          <w:rFonts w:ascii="Book Antiqua" w:hAnsi="Book Antiqua" w:cs="Arial"/>
          <w:kern w:val="0"/>
        </w:rPr>
        <w:t xml:space="preserve">The number of total CTCs ranged from 0 to 26 across all 107 patients, with a median value of six. CTC status correlated with lymph node </w:t>
      </w:r>
      <w:bookmarkStart w:id="22" w:name="OLE_LINK23"/>
      <w:bookmarkStart w:id="23" w:name="OLE_LINK24"/>
      <w:r w:rsidRPr="00275D1E">
        <w:rPr>
          <w:rFonts w:ascii="Book Antiqua" w:hAnsi="Book Antiqua" w:cs="Arial"/>
          <w:kern w:val="0"/>
        </w:rPr>
        <w:t>metastasis</w:t>
      </w:r>
      <w:bookmarkEnd w:id="22"/>
      <w:bookmarkEnd w:id="23"/>
      <w:r w:rsidRPr="00275D1E">
        <w:rPr>
          <w:rFonts w:ascii="Book Antiqua" w:hAnsi="Book Antiqua" w:cs="Arial"/>
          <w:kern w:val="0"/>
        </w:rPr>
        <w:t>, TNM stage, distant metastasis, blood lymphocyte counts, and neutrophil-to-lymphocyte ratio (NLR). Kaplan</w:t>
      </w:r>
      <w:r w:rsidR="00401225">
        <w:rPr>
          <w:rFonts w:ascii="Book Antiqua" w:hAnsi="Book Antiqua" w:cs="Arial"/>
          <w:kern w:val="0"/>
        </w:rPr>
        <w:t>-</w:t>
      </w:r>
      <w:r w:rsidRPr="00275D1E">
        <w:rPr>
          <w:rFonts w:ascii="Book Antiqua" w:hAnsi="Book Antiqua" w:cs="Arial"/>
          <w:kern w:val="0"/>
        </w:rPr>
        <w:t>Meier survival analysis showed that patients with ≥</w:t>
      </w:r>
      <w:r w:rsidR="00233FF1">
        <w:rPr>
          <w:rFonts w:ascii="Book Antiqua" w:hAnsi="Book Antiqua" w:cs="Arial"/>
          <w:kern w:val="0"/>
        </w:rPr>
        <w:t xml:space="preserve"> </w:t>
      </w:r>
      <w:r w:rsidRPr="00275D1E">
        <w:rPr>
          <w:rFonts w:ascii="Book Antiqua" w:hAnsi="Book Antiqua" w:cs="Arial"/>
          <w:kern w:val="0"/>
        </w:rPr>
        <w:t>6 total CTCs had significantly decreased overall survival and progression-free survival compared with patients with &lt;</w:t>
      </w:r>
      <w:r w:rsidR="00233FF1">
        <w:rPr>
          <w:rFonts w:ascii="Book Antiqua" w:hAnsi="Book Antiqua" w:cs="Arial"/>
          <w:kern w:val="0"/>
        </w:rPr>
        <w:t xml:space="preserve"> </w:t>
      </w:r>
      <w:r w:rsidRPr="00275D1E">
        <w:rPr>
          <w:rFonts w:ascii="Book Antiqua" w:hAnsi="Book Antiqua" w:cs="Arial"/>
          <w:kern w:val="0"/>
        </w:rPr>
        <w:t>6 total CTCs. The presence of M-CTCs was positively correlated with TNM stage (</w:t>
      </w:r>
      <w:r w:rsidRPr="00275D1E">
        <w:rPr>
          <w:rFonts w:ascii="Book Antiqua" w:hAnsi="Book Antiqua" w:cs="Arial"/>
          <w:i/>
          <w:kern w:val="0"/>
        </w:rPr>
        <w:t>P</w:t>
      </w:r>
      <w:r w:rsidR="00233FF1">
        <w:rPr>
          <w:rFonts w:ascii="Book Antiqua" w:hAnsi="Book Antiqua" w:cs="Arial"/>
          <w:i/>
          <w:kern w:val="0"/>
        </w:rPr>
        <w:t xml:space="preserve"> </w:t>
      </w:r>
      <w:r w:rsidRPr="00275D1E">
        <w:rPr>
          <w:rFonts w:ascii="Book Antiqua" w:hAnsi="Book Antiqua" w:cs="Arial"/>
          <w:kern w:val="0"/>
        </w:rPr>
        <w:t>&lt;</w:t>
      </w:r>
      <w:r w:rsidR="00233FF1">
        <w:rPr>
          <w:rFonts w:ascii="Book Antiqua" w:hAnsi="Book Antiqua" w:cs="Arial"/>
          <w:kern w:val="0"/>
        </w:rPr>
        <w:t xml:space="preserve"> </w:t>
      </w:r>
      <w:r w:rsidRPr="00275D1E">
        <w:rPr>
          <w:rFonts w:ascii="Book Antiqua" w:hAnsi="Book Antiqua" w:cs="Arial"/>
          <w:kern w:val="0"/>
        </w:rPr>
        <w:t>0.01) and distant metastasis (</w:t>
      </w:r>
      <w:r w:rsidRPr="00275D1E">
        <w:rPr>
          <w:rFonts w:ascii="Book Antiqua" w:hAnsi="Book Antiqua" w:cs="Arial"/>
          <w:i/>
          <w:kern w:val="0"/>
        </w:rPr>
        <w:t>P</w:t>
      </w:r>
      <w:r w:rsidR="00233FF1">
        <w:rPr>
          <w:rFonts w:ascii="Book Antiqua" w:hAnsi="Book Antiqua" w:cs="Arial"/>
          <w:i/>
          <w:kern w:val="0"/>
        </w:rPr>
        <w:t xml:space="preserve"> </w:t>
      </w:r>
      <w:r w:rsidRPr="00275D1E">
        <w:rPr>
          <w:rFonts w:ascii="Book Antiqua" w:hAnsi="Book Antiqua" w:cs="Arial"/>
          <w:kern w:val="0"/>
        </w:rPr>
        <w:t>&lt;</w:t>
      </w:r>
      <w:r w:rsidR="00233FF1">
        <w:rPr>
          <w:rFonts w:ascii="Book Antiqua" w:hAnsi="Book Antiqua" w:cs="Arial"/>
          <w:kern w:val="0"/>
        </w:rPr>
        <w:t xml:space="preserve"> </w:t>
      </w:r>
      <w:r w:rsidRPr="00275D1E">
        <w:rPr>
          <w:rFonts w:ascii="Book Antiqua" w:hAnsi="Book Antiqua" w:cs="Arial"/>
          <w:kern w:val="0"/>
        </w:rPr>
        <w:t>0.01). Additionally, lymphocyte counts and NLR in patients without CTCs were significantly different from those in patients testing positive for each CTC subpopulation (</w:t>
      </w:r>
      <w:r w:rsidRPr="00275D1E">
        <w:rPr>
          <w:rFonts w:ascii="Book Antiqua" w:hAnsi="Book Antiqua" w:cs="Arial"/>
          <w:i/>
          <w:kern w:val="0"/>
        </w:rPr>
        <w:t>P</w:t>
      </w:r>
      <w:r w:rsidR="00233FF1">
        <w:rPr>
          <w:rFonts w:ascii="Book Antiqua" w:hAnsi="Book Antiqua" w:cs="Arial"/>
          <w:i/>
          <w:kern w:val="0"/>
        </w:rPr>
        <w:t xml:space="preserve"> </w:t>
      </w:r>
      <w:r w:rsidRPr="00275D1E">
        <w:rPr>
          <w:rFonts w:ascii="Book Antiqua" w:hAnsi="Book Antiqua" w:cs="Arial"/>
          <w:kern w:val="0"/>
        </w:rPr>
        <w:t>&lt;</w:t>
      </w:r>
      <w:r w:rsidR="00233FF1">
        <w:rPr>
          <w:rFonts w:ascii="Book Antiqua" w:hAnsi="Book Antiqua" w:cs="Arial"/>
          <w:kern w:val="0"/>
        </w:rPr>
        <w:t xml:space="preserve"> </w:t>
      </w:r>
      <w:r w:rsidRPr="00275D1E">
        <w:rPr>
          <w:rFonts w:ascii="Book Antiqua" w:hAnsi="Book Antiqua" w:cs="Arial"/>
          <w:kern w:val="0"/>
        </w:rPr>
        <w:t>0.01).</w:t>
      </w:r>
    </w:p>
    <w:p w14:paraId="4C734EF0" w14:textId="77777777" w:rsidR="00233FF1" w:rsidRPr="00275D1E" w:rsidRDefault="00233FF1" w:rsidP="00275D1E">
      <w:pPr>
        <w:adjustRightInd w:val="0"/>
        <w:snapToGrid w:val="0"/>
        <w:spacing w:line="360" w:lineRule="auto"/>
        <w:rPr>
          <w:rFonts w:ascii="Book Antiqua" w:hAnsi="Book Antiqua" w:cs="Arial"/>
          <w:b/>
        </w:rPr>
      </w:pPr>
    </w:p>
    <w:bookmarkEnd w:id="20"/>
    <w:bookmarkEnd w:id="21"/>
    <w:p w14:paraId="0E5CA04C" w14:textId="11D7B2CF" w:rsidR="00233FF1" w:rsidRPr="00233FF1" w:rsidRDefault="00233FF1" w:rsidP="00233FF1">
      <w:pPr>
        <w:adjustRightInd w:val="0"/>
        <w:snapToGrid w:val="0"/>
        <w:spacing w:line="360" w:lineRule="auto"/>
        <w:outlineLvl w:val="0"/>
        <w:rPr>
          <w:rFonts w:ascii="Book Antiqua" w:hAnsi="Book Antiqua" w:cs="Arial"/>
          <w:b/>
          <w:i/>
        </w:rPr>
      </w:pPr>
      <w:r w:rsidRPr="00233FF1">
        <w:rPr>
          <w:rFonts w:ascii="Book Antiqua" w:hAnsi="Book Antiqua" w:cs="Arial"/>
          <w:b/>
          <w:i/>
        </w:rPr>
        <w:t>CONCLUSION</w:t>
      </w:r>
      <w:bookmarkStart w:id="24" w:name="OLE_LINK39"/>
      <w:bookmarkStart w:id="25" w:name="OLE_LINK38"/>
      <w:bookmarkStart w:id="26" w:name="OLE_LINK126"/>
      <w:bookmarkStart w:id="27" w:name="OLE_LINK127"/>
      <w:bookmarkStart w:id="28" w:name="OLE_LINK125"/>
    </w:p>
    <w:p w14:paraId="46F1288B" w14:textId="127E4EC4" w:rsidR="00B57E37" w:rsidRPr="00275D1E" w:rsidRDefault="007F0D36" w:rsidP="00275D1E">
      <w:pPr>
        <w:adjustRightInd w:val="0"/>
        <w:snapToGrid w:val="0"/>
        <w:spacing w:line="360" w:lineRule="auto"/>
        <w:rPr>
          <w:rFonts w:ascii="Book Antiqua" w:hAnsi="Book Antiqua" w:cs="Arial"/>
          <w:kern w:val="0"/>
        </w:rPr>
      </w:pPr>
      <w:r w:rsidRPr="00275D1E">
        <w:rPr>
          <w:rFonts w:ascii="Book Antiqua" w:hAnsi="Book Antiqua" w:cs="Arial"/>
          <w:kern w:val="0"/>
        </w:rPr>
        <w:t>Classifying CTCs by EMT markers helps to identify the more aggressive CTC subpopulations and provides useful evidence for determining a suitable clinical approach.</w:t>
      </w:r>
    </w:p>
    <w:bookmarkEnd w:id="24"/>
    <w:bookmarkEnd w:id="25"/>
    <w:p w14:paraId="2CAD355D" w14:textId="77777777" w:rsidR="00B57E37" w:rsidRPr="00275D1E" w:rsidRDefault="00B57E37" w:rsidP="00275D1E">
      <w:pPr>
        <w:adjustRightInd w:val="0"/>
        <w:snapToGrid w:val="0"/>
        <w:spacing w:line="360" w:lineRule="auto"/>
        <w:rPr>
          <w:rFonts w:ascii="Book Antiqua" w:hAnsi="Book Antiqua" w:cs="Arial"/>
          <w:kern w:val="0"/>
        </w:rPr>
      </w:pPr>
    </w:p>
    <w:bookmarkEnd w:id="13"/>
    <w:bookmarkEnd w:id="14"/>
    <w:bookmarkEnd w:id="26"/>
    <w:bookmarkEnd w:id="27"/>
    <w:bookmarkEnd w:id="28"/>
    <w:p w14:paraId="698853D1" w14:textId="6F357755" w:rsidR="00B57E37" w:rsidRPr="00233FF1" w:rsidRDefault="007F0D36" w:rsidP="00233FF1">
      <w:pPr>
        <w:widowControl/>
        <w:adjustRightInd w:val="0"/>
        <w:snapToGrid w:val="0"/>
        <w:spacing w:line="360" w:lineRule="auto"/>
        <w:outlineLvl w:val="0"/>
        <w:rPr>
          <w:rFonts w:ascii="Book Antiqua" w:hAnsi="Book Antiqua" w:cs="Times New Roman"/>
          <w:b/>
        </w:rPr>
      </w:pPr>
      <w:r w:rsidRPr="00275D1E">
        <w:rPr>
          <w:rFonts w:ascii="Book Antiqua" w:hAnsi="Book Antiqua" w:cs="Times New Roman"/>
          <w:b/>
        </w:rPr>
        <w:t>Key words:</w:t>
      </w:r>
      <w:bookmarkStart w:id="29" w:name="OLE_LINK30"/>
      <w:bookmarkStart w:id="30" w:name="OLE_LINK29"/>
      <w:r w:rsidR="00233FF1">
        <w:rPr>
          <w:rFonts w:ascii="Book Antiqua" w:hAnsi="Book Antiqua" w:cs="Times New Roman"/>
          <w:b/>
        </w:rPr>
        <w:t xml:space="preserve"> </w:t>
      </w:r>
      <w:r w:rsidRPr="00275D1E">
        <w:rPr>
          <w:rFonts w:ascii="Book Antiqua" w:hAnsi="Book Antiqua" w:cs="Arial"/>
        </w:rPr>
        <w:t>Pancreatic ductal adenocarcinoma</w:t>
      </w:r>
      <w:r w:rsidRPr="00275D1E">
        <w:rPr>
          <w:rFonts w:ascii="Book Antiqua" w:hAnsi="Book Antiqua" w:cs="Times New Roman"/>
        </w:rPr>
        <w:t xml:space="preserve">; </w:t>
      </w:r>
      <w:r w:rsidRPr="00275D1E">
        <w:rPr>
          <w:rFonts w:ascii="Book Antiqua" w:hAnsi="Book Antiqua" w:cs="Arial"/>
        </w:rPr>
        <w:t>Circulating tumor cells</w:t>
      </w:r>
      <w:r w:rsidRPr="00275D1E">
        <w:rPr>
          <w:rFonts w:ascii="Book Antiqua" w:hAnsi="Book Antiqua" w:cs="Times New Roman"/>
        </w:rPr>
        <w:t xml:space="preserve">; </w:t>
      </w:r>
      <w:r w:rsidR="00233FF1">
        <w:rPr>
          <w:rFonts w:ascii="Book Antiqua" w:hAnsi="Book Antiqua" w:cs="Arial"/>
        </w:rPr>
        <w:t>Epithelial-</w:t>
      </w:r>
      <w:r w:rsidRPr="00275D1E">
        <w:rPr>
          <w:rFonts w:ascii="Book Antiqua" w:hAnsi="Book Antiqua" w:cs="Arial"/>
        </w:rPr>
        <w:t>mesenchymal transition</w:t>
      </w:r>
      <w:r w:rsidRPr="00275D1E">
        <w:rPr>
          <w:rFonts w:ascii="Book Antiqua" w:hAnsi="Book Antiqua" w:cs="Times New Roman"/>
        </w:rPr>
        <w:t xml:space="preserve">; </w:t>
      </w:r>
      <w:r w:rsidR="00233FF1">
        <w:rPr>
          <w:rFonts w:ascii="Book Antiqua" w:hAnsi="Book Antiqua" w:cs="Arial"/>
          <w:kern w:val="0"/>
        </w:rPr>
        <w:t>M</w:t>
      </w:r>
      <w:r w:rsidRPr="00275D1E">
        <w:rPr>
          <w:rFonts w:ascii="Book Antiqua" w:hAnsi="Book Antiqua" w:cs="Arial"/>
          <w:kern w:val="0"/>
        </w:rPr>
        <w:t>etastasis</w:t>
      </w:r>
      <w:r w:rsidRPr="00275D1E">
        <w:rPr>
          <w:rFonts w:ascii="Book Antiqua" w:hAnsi="Book Antiqua" w:cs="Times New Roman"/>
        </w:rPr>
        <w:t xml:space="preserve">; </w:t>
      </w:r>
      <w:r w:rsidR="00233FF1">
        <w:rPr>
          <w:rFonts w:ascii="Book Antiqua" w:hAnsi="Book Antiqua" w:cs="Arial"/>
          <w:kern w:val="0"/>
        </w:rPr>
        <w:t>N</w:t>
      </w:r>
      <w:r w:rsidRPr="00275D1E">
        <w:rPr>
          <w:rFonts w:ascii="Book Antiqua" w:hAnsi="Book Antiqua" w:cs="Arial"/>
          <w:kern w:val="0"/>
        </w:rPr>
        <w:t>eutrophil-to-lymphocyte ratio</w:t>
      </w:r>
    </w:p>
    <w:bookmarkEnd w:id="29"/>
    <w:bookmarkEnd w:id="30"/>
    <w:p w14:paraId="2E0468A5" w14:textId="77777777" w:rsidR="00B57E37" w:rsidRDefault="00B57E37" w:rsidP="00275D1E">
      <w:pPr>
        <w:adjustRightInd w:val="0"/>
        <w:snapToGrid w:val="0"/>
        <w:spacing w:line="360" w:lineRule="auto"/>
        <w:rPr>
          <w:rFonts w:ascii="Book Antiqua" w:hAnsi="Book Antiqua" w:cs="Arial"/>
        </w:rPr>
      </w:pPr>
    </w:p>
    <w:p w14:paraId="712FF7A1" w14:textId="09AD3AF8" w:rsidR="00233FF1" w:rsidRDefault="00233FF1" w:rsidP="00275D1E">
      <w:pPr>
        <w:adjustRightInd w:val="0"/>
        <w:snapToGrid w:val="0"/>
        <w:spacing w:line="360" w:lineRule="auto"/>
        <w:rPr>
          <w:rFonts w:ascii="Book Antiqua" w:hAnsi="Book Antiqua"/>
        </w:rPr>
      </w:pPr>
      <w:r>
        <w:rPr>
          <w:rFonts w:ascii="Book Antiqua" w:hAnsi="Book Antiqua"/>
          <w:b/>
        </w:rPr>
        <w:t>© The Author(s) 2018</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p>
    <w:p w14:paraId="55BBE48E" w14:textId="77777777" w:rsidR="00233FF1" w:rsidRPr="00275D1E" w:rsidRDefault="00233FF1" w:rsidP="00275D1E">
      <w:pPr>
        <w:adjustRightInd w:val="0"/>
        <w:snapToGrid w:val="0"/>
        <w:spacing w:line="360" w:lineRule="auto"/>
        <w:rPr>
          <w:rFonts w:ascii="Book Antiqua" w:hAnsi="Book Antiqua" w:cs="Arial"/>
        </w:rPr>
      </w:pPr>
    </w:p>
    <w:p w14:paraId="7A2F551C" w14:textId="243BF8B9"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b/>
        </w:rPr>
        <w:t xml:space="preserve">Core tip: </w:t>
      </w:r>
      <w:bookmarkStart w:id="31" w:name="OLE_LINK128"/>
      <w:bookmarkStart w:id="32" w:name="OLE_LINK101"/>
      <w:bookmarkStart w:id="33" w:name="OLE_LINK102"/>
      <w:r w:rsidRPr="00275D1E">
        <w:rPr>
          <w:rFonts w:ascii="Book Antiqua" w:hAnsi="Book Antiqua" w:cs="Arial"/>
          <w:kern w:val="0"/>
        </w:rPr>
        <w:t>In the present study,</w:t>
      </w:r>
      <w:r w:rsidRPr="00275D1E">
        <w:rPr>
          <w:rFonts w:ascii="Book Antiqua" w:hAnsi="Book Antiqua" w:cs="Arial"/>
          <w:b/>
        </w:rPr>
        <w:t xml:space="preserve"> </w:t>
      </w:r>
      <w:bookmarkStart w:id="34" w:name="OLE_LINK111"/>
      <w:bookmarkStart w:id="35" w:name="OLE_LINK112"/>
      <w:bookmarkStart w:id="36" w:name="OLE_LINK113"/>
      <w:r w:rsidRPr="00275D1E">
        <w:rPr>
          <w:rFonts w:ascii="Book Antiqua" w:hAnsi="Book Antiqua" w:cs="Arial"/>
          <w:kern w:val="0"/>
        </w:rPr>
        <w:t>circulating tumor cell</w:t>
      </w:r>
      <w:bookmarkEnd w:id="34"/>
      <w:bookmarkEnd w:id="35"/>
      <w:bookmarkEnd w:id="36"/>
      <w:r w:rsidRPr="00275D1E">
        <w:rPr>
          <w:rFonts w:ascii="Book Antiqua" w:hAnsi="Book Antiqua" w:cs="Arial"/>
          <w:kern w:val="0"/>
        </w:rPr>
        <w:t xml:space="preserve"> (CTC) enumeration and classification in </w:t>
      </w:r>
      <w:bookmarkStart w:id="37" w:name="OLE_LINK114"/>
      <w:bookmarkStart w:id="38" w:name="OLE_LINK115"/>
      <w:r w:rsidRPr="00275D1E">
        <w:rPr>
          <w:rFonts w:ascii="Book Antiqua" w:hAnsi="Book Antiqua" w:cs="Arial"/>
          <w:kern w:val="0"/>
        </w:rPr>
        <w:t>pancreatic ductal adenocarcinoma</w:t>
      </w:r>
      <w:bookmarkEnd w:id="37"/>
      <w:bookmarkEnd w:id="38"/>
      <w:r w:rsidRPr="00275D1E">
        <w:rPr>
          <w:rFonts w:ascii="Book Antiqua" w:hAnsi="Book Antiqua" w:cs="Arial"/>
          <w:kern w:val="0"/>
        </w:rPr>
        <w:t xml:space="preserve"> (PDAC) patients were examined using the </w:t>
      </w:r>
      <w:proofErr w:type="spellStart"/>
      <w:r w:rsidRPr="00275D1E">
        <w:rPr>
          <w:rFonts w:ascii="Book Antiqua" w:hAnsi="Book Antiqua" w:cs="Arial"/>
          <w:kern w:val="0"/>
        </w:rPr>
        <w:t>CanPatrol</w:t>
      </w:r>
      <w:proofErr w:type="spellEnd"/>
      <w:r w:rsidRPr="00275D1E">
        <w:rPr>
          <w:rFonts w:ascii="Book Antiqua" w:hAnsi="Book Antiqua" w:cs="Arial"/>
          <w:kern w:val="0"/>
        </w:rPr>
        <w:t xml:space="preserve"> system. We explored the relationship between </w:t>
      </w:r>
      <w:r w:rsidR="00233FF1">
        <w:rPr>
          <w:rFonts w:ascii="Book Antiqua" w:hAnsi="Book Antiqua" w:cs="Arial"/>
          <w:kern w:val="0"/>
        </w:rPr>
        <w:t>CTC</w:t>
      </w:r>
      <w:r w:rsidRPr="00275D1E">
        <w:rPr>
          <w:rFonts w:ascii="Book Antiqua" w:hAnsi="Book Antiqua" w:cs="Arial"/>
          <w:kern w:val="0"/>
        </w:rPr>
        <w:t xml:space="preserve"> status and survival and prognosis in 107 PDAC patients in China. </w:t>
      </w:r>
      <w:r w:rsidR="00233FF1">
        <w:rPr>
          <w:rFonts w:ascii="Book Antiqua" w:hAnsi="Book Antiqua" w:cs="Arial"/>
          <w:kern w:val="0"/>
        </w:rPr>
        <w:t>CTC</w:t>
      </w:r>
      <w:r w:rsidRPr="00275D1E">
        <w:rPr>
          <w:rFonts w:ascii="Book Antiqua" w:hAnsi="Book Antiqua" w:cs="Arial"/>
          <w:kern w:val="0"/>
        </w:rPr>
        <w:t xml:space="preserve"> status was correlated with lymph node metastasis, TNM stage, distant metastasis, blood lymphocyte counts, neutrophil-to-lymphocyte ratio, and patient prognosis. Our findings demonstrate that </w:t>
      </w:r>
      <w:r w:rsidR="00233FF1">
        <w:rPr>
          <w:rFonts w:ascii="Book Antiqua" w:hAnsi="Book Antiqua" w:cs="Arial"/>
          <w:kern w:val="0"/>
        </w:rPr>
        <w:t>CTC</w:t>
      </w:r>
      <w:r w:rsidRPr="00275D1E">
        <w:rPr>
          <w:rFonts w:ascii="Book Antiqua" w:hAnsi="Book Antiqua" w:cs="Arial"/>
          <w:kern w:val="0"/>
        </w:rPr>
        <w:t xml:space="preserve">s show promise as a prognostic biomarker and </w:t>
      </w:r>
      <w:r w:rsidRPr="00275D1E">
        <w:rPr>
          <w:rFonts w:ascii="Book Antiqua" w:hAnsi="Book Antiqua" w:cs="Arial"/>
        </w:rPr>
        <w:t xml:space="preserve">provide useful evidence for determining an appropriate clinical approach for </w:t>
      </w:r>
      <w:r w:rsidRPr="00275D1E">
        <w:rPr>
          <w:rFonts w:ascii="Book Antiqua" w:hAnsi="Book Antiqua" w:cs="Arial"/>
          <w:kern w:val="0"/>
        </w:rPr>
        <w:t>pancreatic adenocarcinoma</w:t>
      </w:r>
      <w:r w:rsidRPr="00275D1E">
        <w:rPr>
          <w:rFonts w:ascii="Book Antiqua" w:hAnsi="Book Antiqua" w:cs="Arial"/>
        </w:rPr>
        <w:t xml:space="preserve"> patients.</w:t>
      </w:r>
    </w:p>
    <w:p w14:paraId="04E104D8" w14:textId="77777777" w:rsidR="00B57E37" w:rsidRPr="00275D1E" w:rsidRDefault="00B57E37" w:rsidP="00275D1E">
      <w:pPr>
        <w:adjustRightInd w:val="0"/>
        <w:snapToGrid w:val="0"/>
        <w:spacing w:line="360" w:lineRule="auto"/>
        <w:rPr>
          <w:rFonts w:ascii="Book Antiqua" w:hAnsi="Book Antiqua" w:cs="Arial"/>
        </w:rPr>
      </w:pPr>
    </w:p>
    <w:p w14:paraId="478374B6" w14:textId="65C9AAF6" w:rsidR="00233FF1" w:rsidRDefault="007F0D36" w:rsidP="00275D1E">
      <w:pPr>
        <w:adjustRightInd w:val="0"/>
        <w:snapToGrid w:val="0"/>
        <w:spacing w:line="360" w:lineRule="auto"/>
        <w:rPr>
          <w:rFonts w:ascii="Book Antiqua" w:hAnsi="Book Antiqua" w:cs="Arial"/>
        </w:rPr>
      </w:pPr>
      <w:bookmarkStart w:id="39" w:name="OLE_LINK133"/>
      <w:bookmarkEnd w:id="31"/>
      <w:bookmarkEnd w:id="32"/>
      <w:bookmarkEnd w:id="33"/>
      <w:r w:rsidRPr="00275D1E">
        <w:rPr>
          <w:rFonts w:ascii="Book Antiqua" w:hAnsi="Book Antiqua" w:cs="Arial"/>
        </w:rPr>
        <w:t>Zhao XH, Wang ZR, Chen CL, Ding L, Bi ZF, Lin Q, Li ZH, Liu YM. Molecular detection of epithelial-mesenchymal transition markers in circulating tumor cells fr</w:t>
      </w:r>
      <w:r w:rsidR="00233FF1">
        <w:rPr>
          <w:rFonts w:ascii="Book Antiqua" w:hAnsi="Book Antiqua" w:cs="Arial"/>
        </w:rPr>
        <w:t>om pancreatic cancer patients: P</w:t>
      </w:r>
      <w:r w:rsidRPr="00275D1E">
        <w:rPr>
          <w:rFonts w:ascii="Book Antiqua" w:hAnsi="Book Antiqua" w:cs="Arial"/>
        </w:rPr>
        <w:t xml:space="preserve">otential role in clinical practice. </w:t>
      </w:r>
      <w:r w:rsidRPr="00233FF1">
        <w:rPr>
          <w:rFonts w:ascii="Book Antiqua" w:hAnsi="Book Antiqua" w:cs="Arial"/>
          <w:i/>
        </w:rPr>
        <w:t>World J Gastroenterol</w:t>
      </w:r>
      <w:r w:rsidR="00233FF1">
        <w:rPr>
          <w:rFonts w:ascii="Book Antiqua" w:hAnsi="Book Antiqua" w:cs="Arial"/>
        </w:rPr>
        <w:t xml:space="preserve"> 2018; In press</w:t>
      </w:r>
      <w:bookmarkEnd w:id="39"/>
    </w:p>
    <w:p w14:paraId="04B09515" w14:textId="77777777" w:rsidR="00233FF1" w:rsidRDefault="00233FF1">
      <w:pPr>
        <w:widowControl/>
        <w:jc w:val="left"/>
        <w:rPr>
          <w:rFonts w:ascii="Book Antiqua" w:hAnsi="Book Antiqua" w:cs="Arial"/>
        </w:rPr>
      </w:pPr>
      <w:r>
        <w:rPr>
          <w:rFonts w:ascii="Book Antiqua" w:hAnsi="Book Antiqua" w:cs="Arial"/>
        </w:rPr>
        <w:br w:type="page"/>
      </w:r>
    </w:p>
    <w:p w14:paraId="4449DAB1" w14:textId="77777777" w:rsidR="00B57E37" w:rsidRPr="00275D1E" w:rsidRDefault="007F0D36" w:rsidP="00233FF1">
      <w:pPr>
        <w:adjustRightInd w:val="0"/>
        <w:snapToGrid w:val="0"/>
        <w:spacing w:line="360" w:lineRule="auto"/>
        <w:outlineLvl w:val="0"/>
        <w:rPr>
          <w:rFonts w:ascii="Book Antiqua" w:hAnsi="Book Antiqua" w:cs="Arial"/>
          <w:b/>
        </w:rPr>
      </w:pPr>
      <w:r w:rsidRPr="00275D1E">
        <w:rPr>
          <w:rFonts w:ascii="Book Antiqua" w:hAnsi="Book Antiqua" w:cs="Arial"/>
          <w:b/>
        </w:rPr>
        <w:lastRenderedPageBreak/>
        <w:t>INTRODUCTION</w:t>
      </w:r>
    </w:p>
    <w:p w14:paraId="60578866" w14:textId="5FE182B8"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rPr>
        <w:t>Pancreatic ductal adenocarcinoma (PDAC), which is derived from the ductal epithelium, is the most common histological subtype of pancreatic malignancy, accounting for 90% of all cases</w:t>
      </w:r>
      <w:r w:rsidRPr="00275D1E">
        <w:rPr>
          <w:rFonts w:ascii="Book Antiqua" w:hAnsi="Book Antiqua" w:cs="Arial"/>
        </w:rPr>
        <w:fldChar w:fldCharType="begin"/>
      </w:r>
      <w:r w:rsidRPr="00275D1E">
        <w:rPr>
          <w:rFonts w:ascii="Book Antiqua" w:hAnsi="Book Antiqua" w:cs="Arial"/>
        </w:rPr>
        <w:instrText xml:space="preserve"> ADDIN NE.Ref.{A07F851E-5D4F-4DAE-B16F-08236B35002F}</w:instrText>
      </w:r>
      <w:r w:rsidRPr="00275D1E">
        <w:rPr>
          <w:rFonts w:ascii="Book Antiqua" w:hAnsi="Book Antiqua" w:cs="Arial"/>
        </w:rPr>
        <w:fldChar w:fldCharType="separate"/>
      </w:r>
      <w:r w:rsidR="00233FF1">
        <w:rPr>
          <w:rFonts w:ascii="Book Antiqua" w:eastAsia="DengXian" w:hAnsi="Book Antiqua"/>
          <w:color w:val="080000"/>
          <w:vertAlign w:val="superscript"/>
        </w:rPr>
        <w:t>[1,</w:t>
      </w:r>
      <w:r w:rsidRPr="00275D1E">
        <w:rPr>
          <w:rFonts w:ascii="Book Antiqua" w:eastAsia="DengXian" w:hAnsi="Book Antiqua"/>
          <w:color w:val="080000"/>
          <w:vertAlign w:val="superscript"/>
        </w:rPr>
        <w:t>2]</w:t>
      </w:r>
      <w:r w:rsidRPr="00275D1E">
        <w:rPr>
          <w:rFonts w:ascii="Book Antiqua" w:hAnsi="Book Antiqua" w:cs="Arial"/>
        </w:rPr>
        <w:fldChar w:fldCharType="end"/>
      </w:r>
      <w:r w:rsidRPr="00275D1E">
        <w:rPr>
          <w:rFonts w:ascii="Book Antiqua" w:hAnsi="Book Antiqua" w:cs="Arial"/>
        </w:rPr>
        <w:t xml:space="preserve"> . It ranks fourth in cancer-related mortality. Because of its late presentation and propensity to invade adjacent organs and metastasize, PDAC remains one of the most lethal solid malignancies</w:t>
      </w:r>
      <w:r w:rsidRPr="00275D1E">
        <w:rPr>
          <w:rFonts w:ascii="Book Antiqua" w:hAnsi="Book Antiqua" w:cs="Arial"/>
        </w:rPr>
        <w:fldChar w:fldCharType="begin"/>
      </w:r>
      <w:r w:rsidRPr="00275D1E">
        <w:rPr>
          <w:rFonts w:ascii="Book Antiqua" w:hAnsi="Book Antiqua" w:cs="Arial"/>
        </w:rPr>
        <w:instrText xml:space="preserve"> ADDIN NE.Ref.{81907B96-763C-49DE-81CE-F5EC76A5B6BA}</w:instrText>
      </w:r>
      <w:r w:rsidRPr="00275D1E">
        <w:rPr>
          <w:rFonts w:ascii="Book Antiqua" w:hAnsi="Book Antiqua" w:cs="Arial"/>
        </w:rPr>
        <w:fldChar w:fldCharType="separate"/>
      </w:r>
      <w:r w:rsidR="00233FF1">
        <w:rPr>
          <w:rFonts w:ascii="Book Antiqua" w:eastAsia="DengXian" w:hAnsi="Book Antiqua"/>
          <w:color w:val="080000"/>
          <w:vertAlign w:val="superscript"/>
        </w:rPr>
        <w:t>[3,</w:t>
      </w:r>
      <w:r w:rsidRPr="00275D1E">
        <w:rPr>
          <w:rFonts w:ascii="Book Antiqua" w:eastAsia="DengXian" w:hAnsi="Book Antiqua"/>
          <w:color w:val="080000"/>
          <w:vertAlign w:val="superscript"/>
        </w:rPr>
        <w:t>4]</w:t>
      </w:r>
      <w:r w:rsidRPr="00275D1E">
        <w:rPr>
          <w:rFonts w:ascii="Book Antiqua" w:hAnsi="Book Antiqua" w:cs="Arial"/>
        </w:rPr>
        <w:fldChar w:fldCharType="end"/>
      </w:r>
      <w:r w:rsidRPr="00275D1E">
        <w:rPr>
          <w:rFonts w:ascii="Book Antiqua" w:hAnsi="Book Antiqua" w:cs="Arial"/>
        </w:rPr>
        <w:t xml:space="preserve">. Endoscopic ultrasound (EUS) is the most sensitive nonoperative imaging test for the detection of benign or malignant pancreatic lesions, while fine needle aspiration (FNA) is a minimally invasive sampling technique that has proved to be a safe and accurate method of tissue acquisition. It has been demonstrated that the operating characteristics of EUS-FNA of solid pancreatic masses are: sensitivity 95%, specificity 92%, positive predictive value 98%, and negative predictive value 80%. The overall accuracy of EUS-FNA was 94.1%. Thus, </w:t>
      </w:r>
      <w:bookmarkStart w:id="40" w:name="OLE_LINK19"/>
      <w:bookmarkStart w:id="41" w:name="OLE_LINK20"/>
      <w:bookmarkStart w:id="42" w:name="OLE_LINK64"/>
      <w:bookmarkStart w:id="43" w:name="OLE_LINK63"/>
      <w:r w:rsidRPr="00275D1E">
        <w:rPr>
          <w:rFonts w:ascii="Book Antiqua" w:hAnsi="Book Antiqua" w:cs="Arial"/>
        </w:rPr>
        <w:t>EUS-FNA</w:t>
      </w:r>
      <w:bookmarkEnd w:id="40"/>
      <w:bookmarkEnd w:id="41"/>
      <w:bookmarkEnd w:id="42"/>
      <w:bookmarkEnd w:id="43"/>
      <w:r w:rsidRPr="00275D1E">
        <w:rPr>
          <w:rFonts w:ascii="Book Antiqua" w:hAnsi="Book Antiqua" w:cs="Arial"/>
        </w:rPr>
        <w:t xml:space="preserve"> is the current gold standard technique for tissue acquisition in patients with unresectable pancreatic cancer</w:t>
      </w:r>
      <w:r w:rsidRPr="00275D1E">
        <w:rPr>
          <w:rFonts w:ascii="Book Antiqua" w:hAnsi="Book Antiqua" w:cs="Arial"/>
        </w:rPr>
        <w:fldChar w:fldCharType="begin"/>
      </w:r>
      <w:r w:rsidRPr="00275D1E">
        <w:rPr>
          <w:rFonts w:ascii="Book Antiqua" w:hAnsi="Book Antiqua" w:cs="Arial"/>
        </w:rPr>
        <w:instrText xml:space="preserve"> ADDIN NE.Ref.{589043D6-1FDB-44F6-A627-D7008A4AA1FA}</w:instrText>
      </w:r>
      <w:r w:rsidRPr="00275D1E">
        <w:rPr>
          <w:rFonts w:ascii="Book Antiqua" w:hAnsi="Book Antiqua" w:cs="Arial"/>
        </w:rPr>
        <w:fldChar w:fldCharType="separate"/>
      </w:r>
      <w:r w:rsidR="00233FF1">
        <w:rPr>
          <w:rFonts w:ascii="Book Antiqua" w:eastAsia="DengXian" w:hAnsi="Book Antiqua"/>
          <w:color w:val="080000"/>
          <w:vertAlign w:val="superscript"/>
        </w:rPr>
        <w:t>[3,</w:t>
      </w:r>
      <w:r w:rsidRPr="00275D1E">
        <w:rPr>
          <w:rFonts w:ascii="Book Antiqua" w:eastAsia="DengXian" w:hAnsi="Book Antiqua"/>
          <w:color w:val="080000"/>
          <w:vertAlign w:val="superscript"/>
        </w:rPr>
        <w:t>4]</w:t>
      </w:r>
      <w:r w:rsidRPr="00275D1E">
        <w:rPr>
          <w:rFonts w:ascii="Book Antiqua" w:hAnsi="Book Antiqua" w:cs="Arial"/>
        </w:rPr>
        <w:fldChar w:fldCharType="end"/>
      </w:r>
      <w:r w:rsidRPr="00275D1E">
        <w:rPr>
          <w:rFonts w:ascii="Book Antiqua" w:hAnsi="Book Antiqua" w:cs="Arial"/>
        </w:rPr>
        <w:t>. However, EUS-FNA is costly and inconvenient, and is correlated with risk of complications, including pancreatitis and bowel perforations</w:t>
      </w:r>
      <w:r w:rsidRPr="00275D1E">
        <w:rPr>
          <w:rFonts w:ascii="Book Antiqua" w:hAnsi="Book Antiqua" w:cs="Arial"/>
        </w:rPr>
        <w:fldChar w:fldCharType="begin"/>
      </w:r>
      <w:r w:rsidRPr="00275D1E">
        <w:rPr>
          <w:rFonts w:ascii="Book Antiqua" w:hAnsi="Book Antiqua" w:cs="Arial"/>
        </w:rPr>
        <w:instrText xml:space="preserve"> ADDIN NE.Ref.{0420D774-6A77-4503-98F9-21C2862CFB6E}</w:instrText>
      </w:r>
      <w:r w:rsidRPr="00275D1E">
        <w:rPr>
          <w:rFonts w:ascii="Book Antiqua" w:hAnsi="Book Antiqua" w:cs="Arial"/>
        </w:rPr>
        <w:fldChar w:fldCharType="separate"/>
      </w:r>
      <w:r w:rsidR="008521BB">
        <w:rPr>
          <w:rFonts w:ascii="Book Antiqua" w:eastAsia="DengXian" w:hAnsi="Book Antiqua"/>
          <w:color w:val="080000"/>
          <w:vertAlign w:val="superscript"/>
        </w:rPr>
        <w:t>[5</w:t>
      </w:r>
      <w:r w:rsidRPr="00275D1E">
        <w:rPr>
          <w:rFonts w:ascii="Book Antiqua" w:eastAsia="DengXian" w:hAnsi="Book Antiqua"/>
          <w:color w:val="080000"/>
          <w:vertAlign w:val="superscript"/>
        </w:rPr>
        <w:t>]</w:t>
      </w:r>
      <w:r w:rsidRPr="00275D1E">
        <w:rPr>
          <w:rFonts w:ascii="Book Antiqua" w:hAnsi="Book Antiqua" w:cs="Arial"/>
        </w:rPr>
        <w:fldChar w:fldCharType="end"/>
      </w:r>
      <w:r w:rsidRPr="00275D1E">
        <w:rPr>
          <w:rFonts w:ascii="Book Antiqua" w:hAnsi="Book Antiqua" w:cs="Arial"/>
        </w:rPr>
        <w:t xml:space="preserve">. </w:t>
      </w:r>
      <w:r w:rsidR="008521BB">
        <w:rPr>
          <w:rFonts w:ascii="Book Antiqua" w:hAnsi="Book Antiqua" w:cs="Arial"/>
        </w:rPr>
        <w:t>Computed tomography (</w:t>
      </w:r>
      <w:r w:rsidRPr="00275D1E">
        <w:rPr>
          <w:rFonts w:ascii="Book Antiqua" w:hAnsi="Book Antiqua" w:cs="Arial"/>
        </w:rPr>
        <w:t>CT</w:t>
      </w:r>
      <w:r w:rsidR="008521BB">
        <w:rPr>
          <w:rFonts w:ascii="Book Antiqua" w:hAnsi="Book Antiqua" w:cs="Arial"/>
        </w:rPr>
        <w:t>)</w:t>
      </w:r>
      <w:r w:rsidRPr="00275D1E">
        <w:rPr>
          <w:rFonts w:ascii="Book Antiqua" w:hAnsi="Book Antiqua" w:cs="Arial"/>
        </w:rPr>
        <w:t xml:space="preserve"> and </w:t>
      </w:r>
      <w:r w:rsidR="008521BB" w:rsidRPr="008521BB">
        <w:rPr>
          <w:rFonts w:ascii="Book Antiqua" w:hAnsi="Book Antiqua" w:cs="Arial"/>
        </w:rPr>
        <w:t xml:space="preserve">magnetic resonance imaging </w:t>
      </w:r>
      <w:r w:rsidR="008521BB">
        <w:rPr>
          <w:rFonts w:ascii="Book Antiqua" w:hAnsi="Book Antiqua" w:cs="Arial"/>
        </w:rPr>
        <w:t>(</w:t>
      </w:r>
      <w:r w:rsidRPr="00275D1E">
        <w:rPr>
          <w:rFonts w:ascii="Book Antiqua" w:hAnsi="Book Antiqua" w:cs="Arial"/>
        </w:rPr>
        <w:t>MRI</w:t>
      </w:r>
      <w:r w:rsidR="008521BB">
        <w:rPr>
          <w:rFonts w:ascii="Book Antiqua" w:hAnsi="Book Antiqua" w:cs="Arial"/>
        </w:rPr>
        <w:t>)</w:t>
      </w:r>
      <w:r w:rsidRPr="00275D1E">
        <w:rPr>
          <w:rFonts w:ascii="Book Antiqua" w:hAnsi="Book Antiqua" w:cs="Arial"/>
        </w:rPr>
        <w:t xml:space="preserve"> are commonly used in tumor staging, but they show limited ability in detecting small-volume metastatic disease, leading to routine under-staging</w:t>
      </w:r>
      <w:r w:rsidRPr="00275D1E">
        <w:rPr>
          <w:rFonts w:ascii="Book Antiqua" w:hAnsi="Book Antiqua" w:cs="Arial"/>
        </w:rPr>
        <w:fldChar w:fldCharType="begin"/>
      </w:r>
      <w:r w:rsidRPr="00275D1E">
        <w:rPr>
          <w:rFonts w:ascii="Book Antiqua" w:hAnsi="Book Antiqua" w:cs="Arial"/>
        </w:rPr>
        <w:instrText xml:space="preserve"> ADDIN NE.Ref.{306CB896-6D68-468B-9270-CB148161F26B}</w:instrText>
      </w:r>
      <w:r w:rsidRPr="00275D1E">
        <w:rPr>
          <w:rFonts w:ascii="Book Antiqua" w:hAnsi="Book Antiqua" w:cs="Arial"/>
        </w:rPr>
        <w:fldChar w:fldCharType="separate"/>
      </w:r>
      <w:r w:rsidRPr="00275D1E">
        <w:rPr>
          <w:rFonts w:ascii="Book Antiqua" w:eastAsia="DengXian" w:hAnsi="Book Antiqua"/>
          <w:color w:val="080000"/>
          <w:vertAlign w:val="superscript"/>
        </w:rPr>
        <w:t>[6]</w:t>
      </w:r>
      <w:r w:rsidRPr="00275D1E">
        <w:rPr>
          <w:rFonts w:ascii="Book Antiqua" w:hAnsi="Book Antiqua" w:cs="Arial"/>
        </w:rPr>
        <w:fldChar w:fldCharType="end"/>
      </w:r>
      <w:r w:rsidR="008521BB">
        <w:rPr>
          <w:rFonts w:ascii="Book Antiqua" w:hAnsi="Book Antiqua" w:cs="Arial"/>
        </w:rPr>
        <w:t xml:space="preserve">. </w:t>
      </w:r>
      <w:r w:rsidRPr="00275D1E">
        <w:rPr>
          <w:rFonts w:ascii="Book Antiqua" w:hAnsi="Book Antiqua" w:cs="Arial"/>
        </w:rPr>
        <w:t>Thus, identification of a biomarker for early diagnosis and accurate staging at the time of disease presentation can better inform first-line therapy.</w:t>
      </w:r>
    </w:p>
    <w:p w14:paraId="5E95195A" w14:textId="7768ACB8" w:rsidR="00B57E37" w:rsidRPr="00275D1E" w:rsidRDefault="008521BB" w:rsidP="00275D1E">
      <w:pPr>
        <w:adjustRightInd w:val="0"/>
        <w:snapToGrid w:val="0"/>
        <w:spacing w:line="360" w:lineRule="auto"/>
        <w:rPr>
          <w:rFonts w:ascii="Book Antiqua" w:hAnsi="Book Antiqua" w:cs="Arial"/>
        </w:rPr>
      </w:pPr>
      <w:r>
        <w:rPr>
          <w:rFonts w:ascii="Book Antiqua" w:hAnsi="Book Antiqua" w:cs="Arial"/>
        </w:rPr>
        <w:t xml:space="preserve">  C</w:t>
      </w:r>
      <w:r w:rsidRPr="00275D1E">
        <w:rPr>
          <w:rFonts w:ascii="Book Antiqua" w:hAnsi="Book Antiqua" w:cs="Arial"/>
        </w:rPr>
        <w:t>irculating tumor cells (CTCs)</w:t>
      </w:r>
      <w:r w:rsidR="007F0D36" w:rsidRPr="00275D1E">
        <w:rPr>
          <w:rFonts w:ascii="Book Antiqua" w:hAnsi="Book Antiqua" w:cs="Arial"/>
        </w:rPr>
        <w:t xml:space="preserve"> are disseminated cancer cells that escape from the primary lesion or from metastatic foci and enter the bloodstream, exemplifying the switch from localized to systemic disease</w:t>
      </w:r>
      <w:r w:rsidR="007F0D36" w:rsidRPr="00275D1E">
        <w:rPr>
          <w:rFonts w:ascii="Book Antiqua" w:hAnsi="Book Antiqua" w:cs="Arial"/>
        </w:rPr>
        <w:fldChar w:fldCharType="begin"/>
      </w:r>
      <w:r w:rsidR="007F0D36" w:rsidRPr="00275D1E">
        <w:rPr>
          <w:rFonts w:ascii="Book Antiqua" w:hAnsi="Book Antiqua" w:cs="Arial"/>
        </w:rPr>
        <w:instrText xml:space="preserve"> ADDIN NE.Ref.{27AAD3A3-988A-4DF2-B192-258877D32F65}</w:instrText>
      </w:r>
      <w:r w:rsidR="007F0D36" w:rsidRPr="00275D1E">
        <w:rPr>
          <w:rFonts w:ascii="Book Antiqua" w:hAnsi="Book Antiqua" w:cs="Arial"/>
        </w:rPr>
        <w:fldChar w:fldCharType="separate"/>
      </w:r>
      <w:r>
        <w:rPr>
          <w:rFonts w:ascii="Book Antiqua" w:eastAsia="DengXian" w:hAnsi="Book Antiqua"/>
          <w:color w:val="080000"/>
          <w:vertAlign w:val="superscript"/>
        </w:rPr>
        <w:t>[7,</w:t>
      </w:r>
      <w:r w:rsidR="007F0D36" w:rsidRPr="00275D1E">
        <w:rPr>
          <w:rFonts w:ascii="Book Antiqua" w:eastAsia="DengXian" w:hAnsi="Book Antiqua"/>
          <w:color w:val="080000"/>
          <w:vertAlign w:val="superscript"/>
        </w:rPr>
        <w:t>8]</w:t>
      </w:r>
      <w:r w:rsidR="007F0D36" w:rsidRPr="00275D1E">
        <w:rPr>
          <w:rFonts w:ascii="Book Antiqua" w:hAnsi="Book Antiqua" w:cs="Arial"/>
        </w:rPr>
        <w:fldChar w:fldCharType="end"/>
      </w:r>
      <w:r w:rsidR="007F0D36" w:rsidRPr="00275D1E">
        <w:rPr>
          <w:rFonts w:ascii="Book Antiqua" w:hAnsi="Book Antiqua" w:cs="Arial"/>
        </w:rPr>
        <w:t>. CTCs are thought to represent the intravasated tumor stage between the formation of an invasive cancer and its eventual distant metastasis</w:t>
      </w:r>
      <w:r w:rsidR="007F0D36" w:rsidRPr="00275D1E">
        <w:rPr>
          <w:rFonts w:ascii="Book Antiqua" w:hAnsi="Book Antiqua" w:cs="Arial"/>
        </w:rPr>
        <w:fldChar w:fldCharType="begin"/>
      </w:r>
      <w:r w:rsidR="007F0D36" w:rsidRPr="00275D1E">
        <w:rPr>
          <w:rFonts w:ascii="Book Antiqua" w:hAnsi="Book Antiqua" w:cs="Arial"/>
        </w:rPr>
        <w:instrText xml:space="preserve"> ADDIN NE.Ref.{E2ACD63E-032A-40E6-A137-10A02E8DB222}</w:instrText>
      </w:r>
      <w:r w:rsidR="007F0D36" w:rsidRPr="00275D1E">
        <w:rPr>
          <w:rFonts w:ascii="Book Antiqua" w:hAnsi="Book Antiqua" w:cs="Arial"/>
        </w:rPr>
        <w:fldChar w:fldCharType="separate"/>
      </w:r>
      <w:r>
        <w:rPr>
          <w:rFonts w:ascii="Book Antiqua" w:eastAsia="DengXian" w:hAnsi="Book Antiqua"/>
          <w:color w:val="080000"/>
          <w:vertAlign w:val="superscript"/>
        </w:rPr>
        <w:t>[9,</w:t>
      </w:r>
      <w:r w:rsidR="007F0D36" w:rsidRPr="00275D1E">
        <w:rPr>
          <w:rFonts w:ascii="Book Antiqua" w:eastAsia="DengXian" w:hAnsi="Book Antiqua"/>
          <w:color w:val="080000"/>
          <w:vertAlign w:val="superscript"/>
        </w:rPr>
        <w:t>10]</w:t>
      </w:r>
      <w:r w:rsidR="007F0D36" w:rsidRPr="00275D1E">
        <w:rPr>
          <w:rFonts w:ascii="Book Antiqua" w:hAnsi="Book Antiqua" w:cs="Arial"/>
        </w:rPr>
        <w:fldChar w:fldCharType="end"/>
      </w:r>
      <w:r w:rsidR="007F0D36" w:rsidRPr="00275D1E">
        <w:rPr>
          <w:rFonts w:ascii="Book Antiqua" w:hAnsi="Book Antiqua" w:cs="Arial"/>
        </w:rPr>
        <w:t>. CTCs have been examined in numerous cancer types, such as prostate, colorectal, breast, gastric, and lung cancer for guiding clinical management, evaluating curative efficacy, predicting prognosis, and monitoring tumor recurrence</w:t>
      </w:r>
      <w:r w:rsidR="007F0D36" w:rsidRPr="00275D1E">
        <w:rPr>
          <w:rFonts w:ascii="Book Antiqua" w:hAnsi="Book Antiqua" w:cs="Arial"/>
        </w:rPr>
        <w:fldChar w:fldCharType="begin"/>
      </w:r>
      <w:r w:rsidR="007F0D36" w:rsidRPr="00275D1E">
        <w:rPr>
          <w:rFonts w:ascii="Book Antiqua" w:hAnsi="Book Antiqua" w:cs="Arial"/>
        </w:rPr>
        <w:instrText xml:space="preserve"> ADDIN NE.Ref.{61904A1D-E312-4D76-97D5-87871F83FB6F}</w:instrText>
      </w:r>
      <w:r w:rsidR="007F0D36" w:rsidRPr="00275D1E">
        <w:rPr>
          <w:rFonts w:ascii="Book Antiqua" w:hAnsi="Book Antiqua" w:cs="Arial"/>
        </w:rPr>
        <w:fldChar w:fldCharType="separate"/>
      </w:r>
      <w:r w:rsidR="007F0D36" w:rsidRPr="00275D1E">
        <w:rPr>
          <w:rFonts w:ascii="Book Antiqua" w:eastAsia="DengXian" w:hAnsi="Book Antiqua"/>
          <w:color w:val="080000"/>
          <w:vertAlign w:val="superscript"/>
        </w:rPr>
        <w:t>[11-14]</w:t>
      </w:r>
      <w:r w:rsidR="007F0D36" w:rsidRPr="00275D1E">
        <w:rPr>
          <w:rFonts w:ascii="Book Antiqua" w:hAnsi="Book Antiqua" w:cs="Arial"/>
        </w:rPr>
        <w:fldChar w:fldCharType="end"/>
      </w:r>
      <w:r w:rsidR="007F0D36" w:rsidRPr="00275D1E">
        <w:rPr>
          <w:rFonts w:ascii="Book Antiqua" w:hAnsi="Book Antiqua" w:cs="Arial"/>
        </w:rPr>
        <w:t xml:space="preserve"> . In PDAC, CTCs have also been explored. Initial studies have confirmed the </w:t>
      </w:r>
      <w:r w:rsidR="007F0D36" w:rsidRPr="00275D1E">
        <w:rPr>
          <w:rFonts w:ascii="Book Antiqua" w:hAnsi="Book Antiqua" w:cs="Arial"/>
        </w:rPr>
        <w:lastRenderedPageBreak/>
        <w:t>presence of CTCs in patients with PDAC</w:t>
      </w:r>
      <w:r w:rsidR="007F0D36" w:rsidRPr="00275D1E">
        <w:rPr>
          <w:rFonts w:ascii="Book Antiqua" w:hAnsi="Book Antiqua" w:cs="Arial"/>
        </w:rPr>
        <w:fldChar w:fldCharType="begin"/>
      </w:r>
      <w:r w:rsidR="007F0D36" w:rsidRPr="00275D1E">
        <w:rPr>
          <w:rFonts w:ascii="Book Antiqua" w:hAnsi="Book Antiqua" w:cs="Arial"/>
        </w:rPr>
        <w:instrText xml:space="preserve"> ADDIN NE.Ref.{4B834ED4-5DA7-4CCE-B44E-8467D6F09025}</w:instrText>
      </w:r>
      <w:r w:rsidR="007F0D36" w:rsidRPr="00275D1E">
        <w:rPr>
          <w:rFonts w:ascii="Book Antiqua" w:hAnsi="Book Antiqua" w:cs="Arial"/>
        </w:rPr>
        <w:fldChar w:fldCharType="separate"/>
      </w:r>
      <w:r>
        <w:rPr>
          <w:rFonts w:ascii="Book Antiqua" w:eastAsia="DengXian" w:hAnsi="Book Antiqua"/>
          <w:color w:val="080000"/>
          <w:vertAlign w:val="superscript"/>
        </w:rPr>
        <w:t>[15,</w:t>
      </w:r>
      <w:r w:rsidR="007F0D36" w:rsidRPr="00275D1E">
        <w:rPr>
          <w:rFonts w:ascii="Book Antiqua" w:eastAsia="DengXian" w:hAnsi="Book Antiqua"/>
          <w:color w:val="080000"/>
          <w:vertAlign w:val="superscript"/>
        </w:rPr>
        <w:t>16]</w:t>
      </w:r>
      <w:r w:rsidR="007F0D36" w:rsidRPr="00275D1E">
        <w:rPr>
          <w:rFonts w:ascii="Book Antiqua" w:hAnsi="Book Antiqua" w:cs="Arial"/>
        </w:rPr>
        <w:fldChar w:fldCharType="end"/>
      </w:r>
      <w:r w:rsidR="007F0D36" w:rsidRPr="00275D1E">
        <w:rPr>
          <w:rFonts w:ascii="Book Antiqua" w:hAnsi="Book Antiqua" w:cs="Arial"/>
        </w:rPr>
        <w:t xml:space="preserve">. A study reported by Liu </w:t>
      </w:r>
      <w:r w:rsidR="007F0D36" w:rsidRPr="008521BB">
        <w:rPr>
          <w:rFonts w:ascii="Book Antiqua" w:hAnsi="Book Antiqua" w:cs="Arial"/>
          <w:i/>
        </w:rPr>
        <w:t>et al</w:t>
      </w:r>
      <w:r w:rsidRPr="00275D1E">
        <w:rPr>
          <w:rFonts w:ascii="Book Antiqua" w:hAnsi="Book Antiqua" w:cs="Arial"/>
        </w:rPr>
        <w:fldChar w:fldCharType="begin"/>
      </w:r>
      <w:r w:rsidRPr="00275D1E">
        <w:rPr>
          <w:rFonts w:ascii="Book Antiqua" w:hAnsi="Book Antiqua" w:cs="Arial"/>
        </w:rPr>
        <w:instrText xml:space="preserve"> ADDIN NE.Ref.{26051FD3-01F4-4757-815A-0A09C7EEAF59}</w:instrText>
      </w:r>
      <w:r w:rsidRPr="00275D1E">
        <w:rPr>
          <w:rFonts w:ascii="Book Antiqua" w:hAnsi="Book Antiqua" w:cs="Arial"/>
        </w:rPr>
        <w:fldChar w:fldCharType="separate"/>
      </w:r>
      <w:r w:rsidRPr="00275D1E">
        <w:rPr>
          <w:rFonts w:ascii="Book Antiqua" w:eastAsia="DengXian" w:hAnsi="Book Antiqua"/>
          <w:color w:val="080000"/>
          <w:vertAlign w:val="superscript"/>
        </w:rPr>
        <w:t>[17]</w:t>
      </w:r>
      <w:r w:rsidRPr="00275D1E">
        <w:rPr>
          <w:rFonts w:ascii="Book Antiqua" w:hAnsi="Book Antiqua" w:cs="Arial"/>
        </w:rPr>
        <w:fldChar w:fldCharType="end"/>
      </w:r>
      <w:r w:rsidR="007F0D36" w:rsidRPr="00275D1E">
        <w:rPr>
          <w:rFonts w:ascii="Book Antiqua" w:hAnsi="Book Antiqua" w:cs="Arial"/>
        </w:rPr>
        <w:t xml:space="preserve"> classified cells as triploid, tetraploid, and </w:t>
      </w:r>
      <w:proofErr w:type="spellStart"/>
      <w:r w:rsidR="007F0D36" w:rsidRPr="00275D1E">
        <w:rPr>
          <w:rFonts w:ascii="Book Antiqua" w:hAnsi="Book Antiqua" w:cs="Arial"/>
        </w:rPr>
        <w:t>multiploid</w:t>
      </w:r>
      <w:proofErr w:type="spellEnd"/>
      <w:r w:rsidR="007F0D36" w:rsidRPr="00275D1E">
        <w:rPr>
          <w:rFonts w:ascii="Book Antiqua" w:hAnsi="Book Antiqua" w:cs="Arial"/>
        </w:rPr>
        <w:t xml:space="preserve"> CTCs based on chromosome 8 copy number, and found that both total CTC number and CTC subtype number are useful in PDAC diagnosis. Additionally, </w:t>
      </w:r>
      <w:r w:rsidR="007F0D36" w:rsidRPr="00275D1E">
        <w:rPr>
          <w:rFonts w:ascii="Book Antiqua" w:hAnsi="Book Antiqua" w:cs="Arial"/>
          <w:kern w:val="0"/>
        </w:rPr>
        <w:t>CTC positivity was also associated with poor tumor differentiation, shorter OS, and increased metastasis in PDAC</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NE.Ref.{C40ED69F-9FFE-4860-A3BE-759A3B8378D5}</w:instrText>
      </w:r>
      <w:r w:rsidR="007F0D36" w:rsidRPr="00275D1E">
        <w:rPr>
          <w:rFonts w:ascii="Book Antiqua" w:hAnsi="Book Antiqua" w:cs="Arial"/>
          <w:kern w:val="0"/>
        </w:rPr>
        <w:fldChar w:fldCharType="separate"/>
      </w:r>
      <w:r>
        <w:rPr>
          <w:rFonts w:ascii="Book Antiqua" w:eastAsia="DengXian" w:hAnsi="Book Antiqua"/>
          <w:color w:val="080000"/>
          <w:vertAlign w:val="superscript"/>
        </w:rPr>
        <w:t>[18,</w:t>
      </w:r>
      <w:r w:rsidR="007F0D36" w:rsidRPr="00275D1E">
        <w:rPr>
          <w:rFonts w:ascii="Book Antiqua" w:eastAsia="DengXian" w:hAnsi="Book Antiqua"/>
          <w:color w:val="080000"/>
          <w:vertAlign w:val="superscript"/>
        </w:rPr>
        <w:t>19]</w:t>
      </w:r>
      <w:r w:rsidR="007F0D36" w:rsidRPr="00275D1E">
        <w:rPr>
          <w:rFonts w:ascii="Book Antiqua" w:hAnsi="Book Antiqua" w:cs="Arial"/>
          <w:kern w:val="0"/>
        </w:rPr>
        <w:fldChar w:fldCharType="end"/>
      </w:r>
      <w:r w:rsidR="007F0D36" w:rsidRPr="00275D1E">
        <w:rPr>
          <w:rFonts w:ascii="Book Antiqua" w:hAnsi="Book Antiqua" w:cs="Arial"/>
          <w:kern w:val="0"/>
        </w:rPr>
        <w:t xml:space="preserve">. These data provide support for further exploration of CTC counts as indicators of PDAC progression. </w:t>
      </w:r>
      <w:r w:rsidR="007F0D36" w:rsidRPr="00275D1E">
        <w:rPr>
          <w:rFonts w:ascii="Book Antiqua" w:hAnsi="Book Antiqua" w:cs="Arial"/>
        </w:rPr>
        <w:t xml:space="preserve">However, to date, CTCs are not as well established as a biomarker as compared with other solid cancers </w:t>
      </w:r>
      <w:r w:rsidR="007F0D36" w:rsidRPr="00275D1E">
        <w:rPr>
          <w:rFonts w:ascii="Book Antiqua" w:hAnsi="Book Antiqua" w:cs="Arial"/>
        </w:rPr>
        <w:fldChar w:fldCharType="begin"/>
      </w:r>
      <w:r w:rsidR="007F0D36" w:rsidRPr="00275D1E">
        <w:rPr>
          <w:rFonts w:ascii="Book Antiqua" w:hAnsi="Book Antiqua" w:cs="Arial"/>
        </w:rPr>
        <w:instrText xml:space="preserve"> ADDIN NE.Ref.{F410FF84-D3CA-4C23-AF50-6CE49D8BE1CB}</w:instrText>
      </w:r>
      <w:r w:rsidR="007F0D36" w:rsidRPr="00275D1E">
        <w:rPr>
          <w:rFonts w:ascii="Book Antiqua" w:hAnsi="Book Antiqua" w:cs="Arial"/>
        </w:rPr>
        <w:fldChar w:fldCharType="separate"/>
      </w:r>
      <w:r w:rsidR="00455E75">
        <w:rPr>
          <w:rFonts w:ascii="Book Antiqua" w:eastAsia="DengXian" w:hAnsi="Book Antiqua"/>
          <w:color w:val="080000"/>
          <w:vertAlign w:val="superscript"/>
        </w:rPr>
        <w:t>[17</w:t>
      </w:r>
      <w:r>
        <w:rPr>
          <w:rFonts w:ascii="Book Antiqua" w:eastAsia="DengXian" w:hAnsi="Book Antiqua"/>
          <w:color w:val="080000"/>
          <w:vertAlign w:val="superscript"/>
        </w:rPr>
        <w:t>,</w:t>
      </w:r>
      <w:r w:rsidR="007F0D36" w:rsidRPr="00275D1E">
        <w:rPr>
          <w:rFonts w:ascii="Book Antiqua" w:eastAsia="DengXian" w:hAnsi="Book Antiqua"/>
          <w:color w:val="080000"/>
          <w:vertAlign w:val="superscript"/>
        </w:rPr>
        <w:t>2</w:t>
      </w:r>
      <w:r w:rsidR="00455E75">
        <w:rPr>
          <w:rFonts w:ascii="Book Antiqua" w:eastAsia="DengXian" w:hAnsi="Book Antiqua"/>
          <w:color w:val="080000"/>
          <w:vertAlign w:val="superscript"/>
        </w:rPr>
        <w:t>0</w:t>
      </w:r>
      <w:r w:rsidR="007F0D36" w:rsidRPr="00275D1E">
        <w:rPr>
          <w:rFonts w:ascii="Book Antiqua" w:eastAsia="DengXian" w:hAnsi="Book Antiqua"/>
          <w:color w:val="080000"/>
          <w:vertAlign w:val="superscript"/>
        </w:rPr>
        <w:t>]</w:t>
      </w:r>
      <w:r w:rsidR="007F0D36" w:rsidRPr="00275D1E">
        <w:rPr>
          <w:rFonts w:ascii="Book Antiqua" w:hAnsi="Book Antiqua" w:cs="Arial"/>
        </w:rPr>
        <w:fldChar w:fldCharType="end"/>
      </w:r>
      <w:r w:rsidR="007F0D36" w:rsidRPr="00275D1E">
        <w:rPr>
          <w:rFonts w:ascii="Book Antiqua" w:hAnsi="Book Antiqua" w:cs="Arial"/>
        </w:rPr>
        <w:t>. One reason may be the low sensitivity of previous technology in detecting CTCs from peripheral blood in PDAC.</w:t>
      </w:r>
    </w:p>
    <w:p w14:paraId="5C71BC1E" w14:textId="41DD7C25" w:rsidR="00B57E37" w:rsidRPr="00275D1E" w:rsidRDefault="008521BB" w:rsidP="00275D1E">
      <w:pPr>
        <w:adjustRightInd w:val="0"/>
        <w:snapToGrid w:val="0"/>
        <w:spacing w:line="360" w:lineRule="auto"/>
        <w:rPr>
          <w:rFonts w:ascii="Book Antiqua" w:hAnsi="Book Antiqua" w:cs="Arial"/>
        </w:rPr>
      </w:pPr>
      <w:r>
        <w:rPr>
          <w:rFonts w:ascii="Book Antiqua" w:hAnsi="Book Antiqua"/>
        </w:rPr>
        <w:t xml:space="preserve">  </w:t>
      </w:r>
      <w:r w:rsidR="007F0D36" w:rsidRPr="00275D1E">
        <w:rPr>
          <w:rFonts w:ascii="Book Antiqua" w:hAnsi="Book Antiqua" w:cs="Arial"/>
        </w:rPr>
        <w:t>Early and widespread metastasis remains a major challenge in t</w:t>
      </w:r>
      <w:r>
        <w:rPr>
          <w:rFonts w:ascii="Book Antiqua" w:hAnsi="Book Antiqua" w:cs="Arial"/>
        </w:rPr>
        <w:t>he effective treatment of PDAC.</w:t>
      </w:r>
    </w:p>
    <w:p w14:paraId="5747F9AE" w14:textId="0EE1FC51" w:rsidR="00B57E37" w:rsidRPr="00275D1E" w:rsidRDefault="008521BB" w:rsidP="00275D1E">
      <w:pPr>
        <w:adjustRightInd w:val="0"/>
        <w:snapToGrid w:val="0"/>
        <w:spacing w:line="360" w:lineRule="auto"/>
        <w:rPr>
          <w:rFonts w:ascii="Book Antiqua" w:hAnsi="Book Antiqua" w:cs="Arial"/>
        </w:rPr>
      </w:pPr>
      <w:r>
        <w:rPr>
          <w:rFonts w:ascii="Book Antiqua" w:hAnsi="Book Antiqua" w:cs="Arial"/>
        </w:rPr>
        <w:t xml:space="preserve">  </w:t>
      </w:r>
      <w:r w:rsidR="007F0D36" w:rsidRPr="00275D1E">
        <w:rPr>
          <w:rFonts w:ascii="Book Antiqua" w:hAnsi="Book Antiqua" w:cs="Arial"/>
        </w:rPr>
        <w:t>Epithelial-mesenchymal transition (EMT), which is indispensable for PDAC metastasis, is a multi-step process involving many molecular and cellular changes, including the downregulation of epithelial proteins and the upregulation of mesenchymal proteins, endowing the cells with increased motility and invasiveness</w:t>
      </w:r>
      <w:r w:rsidR="007F0D36" w:rsidRPr="00275D1E">
        <w:rPr>
          <w:rFonts w:ascii="Book Antiqua" w:hAnsi="Book Antiqua" w:cs="Arial"/>
        </w:rPr>
        <w:fldChar w:fldCharType="begin"/>
      </w:r>
      <w:r w:rsidR="007F0D36" w:rsidRPr="00275D1E">
        <w:rPr>
          <w:rFonts w:ascii="Book Antiqua" w:hAnsi="Book Antiqua" w:cs="Arial"/>
        </w:rPr>
        <w:instrText xml:space="preserve"> ADDIN NE.Ref.{71191325-E4BE-4983-95B6-1B85832A6687}</w:instrText>
      </w:r>
      <w:r w:rsidR="007F0D36" w:rsidRPr="00275D1E">
        <w:rPr>
          <w:rFonts w:ascii="Book Antiqua" w:hAnsi="Book Antiqua" w:cs="Arial"/>
        </w:rPr>
        <w:fldChar w:fldCharType="separate"/>
      </w:r>
      <w:r w:rsidR="00455E75">
        <w:rPr>
          <w:rFonts w:ascii="Book Antiqua" w:eastAsia="DengXian" w:hAnsi="Book Antiqua"/>
          <w:color w:val="080000"/>
          <w:vertAlign w:val="superscript"/>
        </w:rPr>
        <w:t>[21-23</w:t>
      </w:r>
      <w:r w:rsidR="007F0D36" w:rsidRPr="00275D1E">
        <w:rPr>
          <w:rFonts w:ascii="Book Antiqua" w:eastAsia="DengXian" w:hAnsi="Book Antiqua"/>
          <w:color w:val="080000"/>
          <w:vertAlign w:val="superscript"/>
        </w:rPr>
        <w:t>]</w:t>
      </w:r>
      <w:r w:rsidR="007F0D36" w:rsidRPr="00275D1E">
        <w:rPr>
          <w:rFonts w:ascii="Book Antiqua" w:hAnsi="Book Antiqua" w:cs="Arial"/>
        </w:rPr>
        <w:fldChar w:fldCharType="end"/>
      </w:r>
      <w:r w:rsidR="007F0D36" w:rsidRPr="00275D1E">
        <w:rPr>
          <w:rFonts w:ascii="Book Antiqua" w:hAnsi="Book Antiqua" w:cs="Arial"/>
        </w:rPr>
        <w:t xml:space="preserve"> . Recent studies have revealed that the EMT phenotype in CTCs may facilitate tumor metastasis. Characterizing the epithelial </w:t>
      </w:r>
      <w:r>
        <w:rPr>
          <w:rFonts w:ascii="Book Antiqua" w:hAnsi="Book Antiqua" w:cs="Arial"/>
          <w:i/>
        </w:rPr>
        <w:t>vs</w:t>
      </w:r>
      <w:r w:rsidR="007F0D36" w:rsidRPr="00275D1E">
        <w:rPr>
          <w:rFonts w:ascii="Book Antiqua" w:hAnsi="Book Antiqua" w:cs="Arial"/>
        </w:rPr>
        <w:t xml:space="preserve"> mesenchymal phenotypes of CTCs may be helpful in identifying the most aggressive CTC subpopulations and determining an appropriate therapy</w:t>
      </w:r>
      <w:r w:rsidR="007F0D36" w:rsidRPr="00275D1E">
        <w:rPr>
          <w:rFonts w:ascii="Book Antiqua" w:hAnsi="Book Antiqua" w:cs="Arial"/>
        </w:rPr>
        <w:fldChar w:fldCharType="begin"/>
      </w:r>
      <w:r w:rsidR="007F0D36" w:rsidRPr="00275D1E">
        <w:rPr>
          <w:rFonts w:ascii="Book Antiqua" w:hAnsi="Book Antiqua" w:cs="Arial"/>
        </w:rPr>
        <w:instrText xml:space="preserve"> ADDIN NE.Ref.{906F3FED-65E8-4F9D-AD7C-D2363810AAF4}</w:instrText>
      </w:r>
      <w:r w:rsidR="007F0D36" w:rsidRPr="00275D1E">
        <w:rPr>
          <w:rFonts w:ascii="Book Antiqua" w:hAnsi="Book Antiqua" w:cs="Arial"/>
        </w:rPr>
        <w:fldChar w:fldCharType="separate"/>
      </w:r>
      <w:r w:rsidR="00455E75">
        <w:rPr>
          <w:rFonts w:ascii="Book Antiqua" w:eastAsia="DengXian" w:hAnsi="Book Antiqua"/>
          <w:color w:val="080000"/>
          <w:vertAlign w:val="superscript"/>
        </w:rPr>
        <w:t>[24-26</w:t>
      </w:r>
      <w:r w:rsidR="007F0D36" w:rsidRPr="00275D1E">
        <w:rPr>
          <w:rFonts w:ascii="Book Antiqua" w:eastAsia="DengXian" w:hAnsi="Book Antiqua"/>
          <w:color w:val="080000"/>
          <w:vertAlign w:val="superscript"/>
        </w:rPr>
        <w:t>]</w:t>
      </w:r>
      <w:r w:rsidR="007F0D36" w:rsidRPr="00275D1E">
        <w:rPr>
          <w:rFonts w:ascii="Book Antiqua" w:hAnsi="Book Antiqua" w:cs="Arial"/>
        </w:rPr>
        <w:fldChar w:fldCharType="end"/>
      </w:r>
      <w:r w:rsidR="007F0D36" w:rsidRPr="00275D1E">
        <w:rPr>
          <w:rFonts w:ascii="Book Antiqua" w:hAnsi="Book Antiqua" w:cs="Arial"/>
        </w:rPr>
        <w:t xml:space="preserve">. Recent work described a new technique called </w:t>
      </w:r>
      <w:bookmarkStart w:id="44" w:name="OLE_LINK12"/>
      <w:bookmarkStart w:id="45" w:name="OLE_LINK11"/>
      <w:proofErr w:type="spellStart"/>
      <w:r w:rsidR="007F0D36" w:rsidRPr="00275D1E">
        <w:rPr>
          <w:rFonts w:ascii="Book Antiqua" w:hAnsi="Book Antiqua" w:cs="Arial"/>
        </w:rPr>
        <w:t>CanPatrol</w:t>
      </w:r>
      <w:proofErr w:type="spellEnd"/>
      <w:r w:rsidR="007F0D36" w:rsidRPr="00275D1E">
        <w:rPr>
          <w:rFonts w:ascii="Book Antiqua" w:hAnsi="Book Antiqua" w:cs="Arial"/>
        </w:rPr>
        <w:t xml:space="preserve"> CTC enrichment</w:t>
      </w:r>
      <w:bookmarkEnd w:id="44"/>
      <w:bookmarkEnd w:id="45"/>
      <w:r w:rsidR="007F0D36" w:rsidRPr="00275D1E">
        <w:rPr>
          <w:rFonts w:ascii="Book Antiqua" w:hAnsi="Book Antiqua" w:cs="Arial"/>
        </w:rPr>
        <w:t xml:space="preserve">, which evaluates CTC classification based on the EMT phenotype. Using this technique, CTCs are classified into three subpopulations based on the expression of epithelial (E-CTCs), </w:t>
      </w:r>
      <w:proofErr w:type="spellStart"/>
      <w:r w:rsidR="007F0D36" w:rsidRPr="00275D1E">
        <w:rPr>
          <w:rFonts w:ascii="Book Antiqua" w:hAnsi="Book Antiqua" w:cs="Arial"/>
        </w:rPr>
        <w:t>biphenotypic</w:t>
      </w:r>
      <w:proofErr w:type="spellEnd"/>
      <w:r w:rsidR="007F0D36" w:rsidRPr="00275D1E">
        <w:rPr>
          <w:rFonts w:ascii="Book Antiqua" w:hAnsi="Book Antiqua" w:cs="Arial"/>
        </w:rPr>
        <w:t xml:space="preserve"> epithelial/mesenchymal (E/M-CTCs), and mesenchymal markers (M-CTCs).</w:t>
      </w:r>
    </w:p>
    <w:p w14:paraId="7F42765A" w14:textId="00A9E9F8" w:rsidR="00B57E37" w:rsidRPr="00275D1E" w:rsidRDefault="008521BB" w:rsidP="00275D1E">
      <w:pPr>
        <w:adjustRightInd w:val="0"/>
        <w:snapToGrid w:val="0"/>
        <w:spacing w:line="360" w:lineRule="auto"/>
        <w:rPr>
          <w:rFonts w:ascii="Book Antiqua" w:hAnsi="Book Antiqua" w:cs="Arial"/>
        </w:rPr>
      </w:pPr>
      <w:r>
        <w:rPr>
          <w:rFonts w:ascii="Book Antiqua" w:hAnsi="Book Antiqua" w:cs="Arial"/>
        </w:rPr>
        <w:t xml:space="preserve">  </w:t>
      </w:r>
      <w:r w:rsidR="007F0D36" w:rsidRPr="00275D1E">
        <w:rPr>
          <w:rFonts w:ascii="Book Antiqua" w:hAnsi="Book Antiqua" w:cs="Arial"/>
        </w:rPr>
        <w:t xml:space="preserve">In the present study, CTCs from 107 PDAC patients were isolated and their EMT phenotype was characterized using </w:t>
      </w:r>
      <w:bookmarkStart w:id="46" w:name="OLE_LINK6"/>
      <w:bookmarkStart w:id="47" w:name="OLE_LINK5"/>
      <w:r w:rsidR="007F0D36" w:rsidRPr="00275D1E">
        <w:rPr>
          <w:rFonts w:ascii="Book Antiqua" w:hAnsi="Book Antiqua" w:cs="Arial"/>
        </w:rPr>
        <w:t xml:space="preserve">the </w:t>
      </w:r>
      <w:proofErr w:type="spellStart"/>
      <w:r w:rsidR="007F0D36" w:rsidRPr="00275D1E">
        <w:rPr>
          <w:rFonts w:ascii="Book Antiqua" w:hAnsi="Book Antiqua" w:cs="Arial"/>
        </w:rPr>
        <w:t>CanPatrol</w:t>
      </w:r>
      <w:proofErr w:type="spellEnd"/>
      <w:r w:rsidR="007F0D36" w:rsidRPr="00275D1E">
        <w:rPr>
          <w:rFonts w:ascii="Book Antiqua" w:hAnsi="Book Antiqua" w:cs="Arial"/>
        </w:rPr>
        <w:t xml:space="preserve"> CTC enrichment technique</w:t>
      </w:r>
      <w:bookmarkEnd w:id="46"/>
      <w:bookmarkEnd w:id="47"/>
      <w:r w:rsidR="007F0D36" w:rsidRPr="00275D1E">
        <w:rPr>
          <w:rFonts w:ascii="Book Antiqua" w:hAnsi="Book Antiqua" w:cs="Arial"/>
        </w:rPr>
        <w:t xml:space="preserve">. In addition, </w:t>
      </w:r>
      <w:bookmarkStart w:id="48" w:name="OLE_LINK31"/>
      <w:bookmarkStart w:id="49" w:name="OLE_LINK28"/>
      <w:r w:rsidR="007F0D36" w:rsidRPr="00275D1E">
        <w:rPr>
          <w:rFonts w:ascii="Book Antiqua" w:hAnsi="Book Antiqua" w:cs="Arial"/>
        </w:rPr>
        <w:t xml:space="preserve">the relationships between clinicopathological parameters and the relative abundance </w:t>
      </w:r>
      <w:bookmarkStart w:id="50" w:name="OLE_LINK18"/>
      <w:bookmarkStart w:id="51" w:name="OLE_LINK17"/>
      <w:r w:rsidR="007F0D36" w:rsidRPr="00275D1E">
        <w:rPr>
          <w:rFonts w:ascii="Book Antiqua" w:hAnsi="Book Antiqua" w:cs="Arial"/>
        </w:rPr>
        <w:t>of the three circulating EMT-CTC subpopulations</w:t>
      </w:r>
      <w:bookmarkEnd w:id="48"/>
      <w:bookmarkEnd w:id="49"/>
      <w:bookmarkEnd w:id="50"/>
      <w:bookmarkEnd w:id="51"/>
      <w:r w:rsidR="007F0D36" w:rsidRPr="00275D1E">
        <w:rPr>
          <w:rFonts w:ascii="Book Antiqua" w:hAnsi="Book Antiqua" w:cs="Arial"/>
        </w:rPr>
        <w:t xml:space="preserve"> were evaluated.</w:t>
      </w:r>
    </w:p>
    <w:p w14:paraId="33C35B59" w14:textId="77777777" w:rsidR="00B57E37" w:rsidRPr="00275D1E" w:rsidRDefault="00B57E37" w:rsidP="00275D1E">
      <w:pPr>
        <w:adjustRightInd w:val="0"/>
        <w:snapToGrid w:val="0"/>
        <w:spacing w:line="360" w:lineRule="auto"/>
        <w:rPr>
          <w:rFonts w:ascii="Book Antiqua" w:hAnsi="Book Antiqua" w:cs="Arial"/>
        </w:rPr>
      </w:pPr>
    </w:p>
    <w:p w14:paraId="68943A86" w14:textId="77777777" w:rsidR="00B57E37" w:rsidRPr="00275D1E" w:rsidRDefault="007F0D36" w:rsidP="00233FF1">
      <w:pPr>
        <w:adjustRightInd w:val="0"/>
        <w:snapToGrid w:val="0"/>
        <w:spacing w:line="360" w:lineRule="auto"/>
        <w:outlineLvl w:val="0"/>
        <w:rPr>
          <w:rFonts w:ascii="Book Antiqua" w:hAnsi="Book Antiqua" w:cs="Arial"/>
          <w:b/>
        </w:rPr>
      </w:pPr>
      <w:r w:rsidRPr="00275D1E">
        <w:rPr>
          <w:rFonts w:ascii="Book Antiqua" w:hAnsi="Book Antiqua" w:cs="Arial"/>
          <w:b/>
        </w:rPr>
        <w:lastRenderedPageBreak/>
        <w:t>MATERIALS AND METHODS</w:t>
      </w:r>
    </w:p>
    <w:p w14:paraId="199614AD" w14:textId="77777777" w:rsidR="00B57E37" w:rsidRPr="00275D1E" w:rsidRDefault="007F0D36" w:rsidP="00233FF1">
      <w:pPr>
        <w:adjustRightInd w:val="0"/>
        <w:snapToGrid w:val="0"/>
        <w:spacing w:line="360" w:lineRule="auto"/>
        <w:outlineLvl w:val="0"/>
        <w:rPr>
          <w:rFonts w:ascii="Book Antiqua" w:hAnsi="Book Antiqua" w:cs="Arial"/>
          <w:b/>
          <w:i/>
        </w:rPr>
      </w:pPr>
      <w:r w:rsidRPr="00275D1E">
        <w:rPr>
          <w:rFonts w:ascii="Book Antiqua" w:hAnsi="Book Antiqua" w:cs="Arial"/>
          <w:b/>
          <w:i/>
        </w:rPr>
        <w:t>Patients and clinical samples</w:t>
      </w:r>
    </w:p>
    <w:p w14:paraId="2DA3FD33" w14:textId="77777777" w:rsidR="00B57E37" w:rsidRPr="00275D1E" w:rsidRDefault="007F0D36" w:rsidP="00275D1E">
      <w:pPr>
        <w:adjustRightInd w:val="0"/>
        <w:snapToGrid w:val="0"/>
        <w:spacing w:line="360" w:lineRule="auto"/>
        <w:rPr>
          <w:rFonts w:ascii="Book Antiqua" w:hAnsi="Book Antiqua" w:cs="Arial"/>
          <w:kern w:val="0"/>
        </w:rPr>
      </w:pPr>
      <w:r w:rsidRPr="00275D1E">
        <w:rPr>
          <w:rFonts w:ascii="Book Antiqua" w:hAnsi="Book Antiqua" w:cs="Arial"/>
        </w:rPr>
        <w:t>From</w:t>
      </w:r>
      <w:r w:rsidRPr="00275D1E">
        <w:rPr>
          <w:rFonts w:ascii="Book Antiqua" w:hAnsi="Book Antiqua" w:cs="Arial"/>
          <w:b/>
        </w:rPr>
        <w:t xml:space="preserve"> </w:t>
      </w:r>
      <w:r w:rsidRPr="00275D1E">
        <w:rPr>
          <w:rFonts w:ascii="Book Antiqua" w:hAnsi="Book Antiqua" w:cs="Arial"/>
          <w:kern w:val="0"/>
        </w:rPr>
        <w:t xml:space="preserve">July 2014 and July 2016, 107 patients with newly diagnosed PDAC at Sun </w:t>
      </w:r>
      <w:proofErr w:type="spellStart"/>
      <w:r w:rsidRPr="00275D1E">
        <w:rPr>
          <w:rFonts w:ascii="Book Antiqua" w:hAnsi="Book Antiqua" w:cs="Arial"/>
          <w:kern w:val="0"/>
        </w:rPr>
        <w:t>Yat</w:t>
      </w:r>
      <w:proofErr w:type="spellEnd"/>
      <w:r w:rsidRPr="00275D1E">
        <w:rPr>
          <w:rFonts w:ascii="Book Antiqua" w:hAnsi="Book Antiqua" w:cs="Arial"/>
          <w:kern w:val="0"/>
        </w:rPr>
        <w:t xml:space="preserve">-Sen Memorial Hospital of Sun </w:t>
      </w:r>
      <w:proofErr w:type="spellStart"/>
      <w:r w:rsidRPr="00275D1E">
        <w:rPr>
          <w:rFonts w:ascii="Book Antiqua" w:hAnsi="Book Antiqua" w:cs="Arial"/>
          <w:kern w:val="0"/>
        </w:rPr>
        <w:t>Yat</w:t>
      </w:r>
      <w:proofErr w:type="spellEnd"/>
      <w:r w:rsidRPr="00275D1E">
        <w:rPr>
          <w:rFonts w:ascii="Book Antiqua" w:hAnsi="Book Antiqua" w:cs="Arial"/>
          <w:kern w:val="0"/>
        </w:rPr>
        <w:t xml:space="preserve">-Sen University were enrolled in the study. Informed consent was obtained from all patients before sample collection. All patients selected met the following criteria: pathological diagnoses were clear and definite; and no preoperative chemotherapy or radiotherapy had been administered. Follow-up data were carried out completely and overall survival was defined as the time interval between the date of surgery and the date of death or the end of follow-up. This retrospective study was conducted in compliance with the institutional policy to protect private patient information and was approved by the institutional review board of Sun </w:t>
      </w:r>
      <w:proofErr w:type="spellStart"/>
      <w:r w:rsidRPr="00275D1E">
        <w:rPr>
          <w:rFonts w:ascii="Book Antiqua" w:hAnsi="Book Antiqua" w:cs="Arial"/>
          <w:kern w:val="0"/>
        </w:rPr>
        <w:t>Yat</w:t>
      </w:r>
      <w:proofErr w:type="spellEnd"/>
      <w:r w:rsidRPr="00275D1E">
        <w:rPr>
          <w:rFonts w:ascii="Book Antiqua" w:hAnsi="Book Antiqua" w:cs="Arial"/>
          <w:kern w:val="0"/>
        </w:rPr>
        <w:t>-Sen Memorial Hospital.</w:t>
      </w:r>
    </w:p>
    <w:p w14:paraId="07356AE4" w14:textId="77777777" w:rsidR="00B57E37" w:rsidRPr="00275D1E" w:rsidRDefault="00B57E37" w:rsidP="00275D1E">
      <w:pPr>
        <w:adjustRightInd w:val="0"/>
        <w:snapToGrid w:val="0"/>
        <w:spacing w:line="360" w:lineRule="auto"/>
        <w:rPr>
          <w:rFonts w:ascii="Book Antiqua" w:hAnsi="Book Antiqua" w:cs="Arial"/>
          <w:kern w:val="0"/>
        </w:rPr>
      </w:pPr>
    </w:p>
    <w:p w14:paraId="27526CBE" w14:textId="77777777" w:rsidR="00B57E37" w:rsidRPr="008521BB" w:rsidRDefault="007F0D36" w:rsidP="00233FF1">
      <w:pPr>
        <w:adjustRightInd w:val="0"/>
        <w:snapToGrid w:val="0"/>
        <w:spacing w:line="360" w:lineRule="auto"/>
        <w:outlineLvl w:val="0"/>
        <w:rPr>
          <w:rFonts w:ascii="Book Antiqua" w:hAnsi="Book Antiqua" w:cs="Arial"/>
          <w:b/>
          <w:i/>
          <w:kern w:val="0"/>
        </w:rPr>
      </w:pPr>
      <w:r w:rsidRPr="008521BB">
        <w:rPr>
          <w:rFonts w:ascii="Book Antiqua" w:hAnsi="Book Antiqua" w:cs="Arial"/>
          <w:b/>
          <w:i/>
          <w:kern w:val="0"/>
        </w:rPr>
        <w:t xml:space="preserve">Isolation and enumeration of CTCs by </w:t>
      </w:r>
      <w:proofErr w:type="spellStart"/>
      <w:r w:rsidRPr="008521BB">
        <w:rPr>
          <w:rFonts w:ascii="Book Antiqua" w:hAnsi="Book Antiqua" w:cs="Arial"/>
          <w:b/>
          <w:i/>
          <w:kern w:val="0"/>
        </w:rPr>
        <w:t>CanPatrol</w:t>
      </w:r>
      <w:proofErr w:type="spellEnd"/>
      <w:r w:rsidRPr="008521BB">
        <w:rPr>
          <w:rFonts w:ascii="Book Antiqua" w:hAnsi="Book Antiqua" w:cs="Arial"/>
          <w:b/>
          <w:i/>
          <w:kern w:val="0"/>
        </w:rPr>
        <w:t xml:space="preserve"> system</w:t>
      </w:r>
    </w:p>
    <w:p w14:paraId="20228C8B" w14:textId="4D6986C6" w:rsidR="00B57E37" w:rsidRPr="00275D1E" w:rsidRDefault="007F0D36" w:rsidP="00275D1E">
      <w:pPr>
        <w:adjustRightInd w:val="0"/>
        <w:snapToGrid w:val="0"/>
        <w:spacing w:line="360" w:lineRule="auto"/>
        <w:rPr>
          <w:rFonts w:ascii="Book Antiqua" w:hAnsi="Book Antiqua" w:cs="Arial"/>
        </w:rPr>
      </w:pPr>
      <w:bookmarkStart w:id="52" w:name="OLE_LINK47"/>
      <w:bookmarkStart w:id="53" w:name="OLE_LINK48"/>
      <w:r w:rsidRPr="00275D1E">
        <w:rPr>
          <w:rFonts w:ascii="Book Antiqua" w:hAnsi="Book Antiqua" w:cs="Arial"/>
        </w:rPr>
        <w:t xml:space="preserve">CTC isolation was conducted using the </w:t>
      </w:r>
      <w:proofErr w:type="spellStart"/>
      <w:r w:rsidRPr="00275D1E">
        <w:rPr>
          <w:rFonts w:ascii="Book Antiqua" w:hAnsi="Book Antiqua" w:cs="Arial"/>
        </w:rPr>
        <w:t>CanPatrol</w:t>
      </w:r>
      <w:proofErr w:type="spellEnd"/>
      <w:r w:rsidRPr="00275D1E">
        <w:rPr>
          <w:rFonts w:ascii="Book Antiqua" w:hAnsi="Book Antiqua" w:cs="Arial"/>
        </w:rPr>
        <w:t xml:space="preserve"> CTC filtration system. </w:t>
      </w:r>
      <w:bookmarkEnd w:id="52"/>
      <w:bookmarkEnd w:id="53"/>
      <w:r w:rsidR="008521BB">
        <w:rPr>
          <w:rFonts w:ascii="Book Antiqua" w:hAnsi="Book Antiqua" w:cs="Arial"/>
        </w:rPr>
        <w:t>For PDAC patients, 5-mL</w:t>
      </w:r>
      <w:r w:rsidRPr="00275D1E">
        <w:rPr>
          <w:rFonts w:ascii="Book Antiqua" w:hAnsi="Book Antiqua" w:cs="Arial"/>
        </w:rPr>
        <w:t xml:space="preserve"> peripheral blood samples were collected in EDTA tubes by venipuncture and filtered with a calibrated membrane with 8-</w:t>
      </w:r>
      <w:r w:rsidR="008521BB">
        <w:rPr>
          <w:rFonts w:ascii="Book Antiqua" w:hAnsi="Book Antiqua" w:cs="Arial"/>
        </w:rPr>
        <w:t>μ</w:t>
      </w:r>
      <w:r w:rsidRPr="00275D1E">
        <w:rPr>
          <w:rFonts w:ascii="Book Antiqua" w:hAnsi="Book Antiqua" w:cs="Arial"/>
        </w:rPr>
        <w:t>m diameter pores. The filtration system included the membrane (Sur Exam, Guangzhou, China), a manifold vacuum plate with valve settings (</w:t>
      </w:r>
      <w:proofErr w:type="spellStart"/>
      <w:r w:rsidRPr="00275D1E">
        <w:rPr>
          <w:rFonts w:ascii="Book Antiqua" w:hAnsi="Book Antiqua" w:cs="Arial"/>
        </w:rPr>
        <w:t>SurExam</w:t>
      </w:r>
      <w:proofErr w:type="spellEnd"/>
      <w:r w:rsidRPr="00275D1E">
        <w:rPr>
          <w:rFonts w:ascii="Book Antiqua" w:hAnsi="Book Antiqua" w:cs="Arial"/>
        </w:rPr>
        <w:t xml:space="preserve">, Guangzhou, China), an E-Z96 vacuum manifold (Omega, </w:t>
      </w:r>
      <w:proofErr w:type="spellStart"/>
      <w:r w:rsidRPr="00275D1E">
        <w:rPr>
          <w:rFonts w:ascii="Book Antiqua" w:hAnsi="Book Antiqua" w:cs="Arial"/>
        </w:rPr>
        <w:t>Norcrss</w:t>
      </w:r>
      <w:proofErr w:type="spellEnd"/>
      <w:r w:rsidRPr="00275D1E">
        <w:rPr>
          <w:rFonts w:ascii="Book Antiqua" w:hAnsi="Book Antiqua" w:cs="Arial"/>
        </w:rPr>
        <w:t>, GA</w:t>
      </w:r>
      <w:r w:rsidR="008521BB">
        <w:rPr>
          <w:rFonts w:ascii="Book Antiqua" w:hAnsi="Book Antiqua" w:cs="Arial"/>
        </w:rPr>
        <w:t>, United States</w:t>
      </w:r>
      <w:r w:rsidR="008521BB" w:rsidRPr="00275D1E">
        <w:rPr>
          <w:rFonts w:ascii="Book Antiqua" w:hAnsi="Book Antiqua" w:cs="Arial"/>
        </w:rPr>
        <w:t>)</w:t>
      </w:r>
      <w:r w:rsidRPr="00275D1E">
        <w:rPr>
          <w:rFonts w:ascii="Book Antiqua" w:hAnsi="Book Antiqua" w:cs="Arial"/>
        </w:rPr>
        <w:t>, and a vacuum pump (Auto Science, Tianjin, China). Prior to filtration, red blood cell lysis was applied to remove erythrocytes, then PBS with 4% formaldehyde was used to resuspend the cells for 5 min. The cell suspension was transferred to a filtration tube and pumped with at least 0.08 MPa.</w:t>
      </w:r>
    </w:p>
    <w:p w14:paraId="21CC0EC9" w14:textId="2D152DDC" w:rsidR="00B57E37" w:rsidRPr="00275D1E" w:rsidRDefault="008521BB" w:rsidP="00275D1E">
      <w:pPr>
        <w:adjustRightInd w:val="0"/>
        <w:snapToGrid w:val="0"/>
        <w:spacing w:line="360" w:lineRule="auto"/>
        <w:rPr>
          <w:rFonts w:ascii="Book Antiqua" w:hAnsi="Book Antiqua" w:cs="Arial"/>
        </w:rPr>
      </w:pPr>
      <w:bookmarkStart w:id="54" w:name="OLE_LINK55"/>
      <w:r>
        <w:rPr>
          <w:rFonts w:ascii="Book Antiqua" w:hAnsi="Book Antiqua" w:cs="Arial"/>
        </w:rPr>
        <w:t xml:space="preserve">  </w:t>
      </w:r>
      <w:r w:rsidR="007F0D36" w:rsidRPr="00275D1E">
        <w:rPr>
          <w:rFonts w:ascii="Book Antiqua" w:hAnsi="Book Antiqua" w:cs="Arial"/>
        </w:rPr>
        <w:t>CTC subpopulations were identified using a multiplex RNA-ISH assa</w:t>
      </w:r>
      <w:r>
        <w:rPr>
          <w:rFonts w:ascii="Book Antiqua" w:hAnsi="Book Antiqua" w:cs="Arial"/>
        </w:rPr>
        <w:t>y. Four epithelial biomarkers [</w:t>
      </w:r>
      <w:bookmarkStart w:id="55" w:name="OLE_LINK89"/>
      <w:r>
        <w:rPr>
          <w:rFonts w:ascii="Book Antiqua" w:hAnsi="Book Antiqua" w:cs="Arial"/>
        </w:rPr>
        <w:t>e</w:t>
      </w:r>
      <w:r w:rsidR="007F0D36" w:rsidRPr="00275D1E">
        <w:rPr>
          <w:rFonts w:ascii="Book Antiqua" w:hAnsi="Book Antiqua" w:cs="Arial"/>
        </w:rPr>
        <w:t>pithelial cell adhesion molecule</w:t>
      </w:r>
      <w:bookmarkEnd w:id="55"/>
      <w:r w:rsidR="007F0D36" w:rsidRPr="00275D1E">
        <w:rPr>
          <w:rFonts w:ascii="Book Antiqua" w:hAnsi="Book Antiqua" w:cs="Arial"/>
        </w:rPr>
        <w:t xml:space="preserve"> </w:t>
      </w:r>
      <w:r>
        <w:rPr>
          <w:rFonts w:ascii="Book Antiqua" w:hAnsi="Book Antiqua" w:cs="Arial"/>
        </w:rPr>
        <w:t>(</w:t>
      </w:r>
      <w:proofErr w:type="spellStart"/>
      <w:r>
        <w:rPr>
          <w:rFonts w:ascii="Book Antiqua" w:hAnsi="Book Antiqua" w:cs="Arial"/>
        </w:rPr>
        <w:t>EpCAM</w:t>
      </w:r>
      <w:proofErr w:type="spellEnd"/>
      <w:r>
        <w:rPr>
          <w:rFonts w:ascii="Book Antiqua" w:hAnsi="Book Antiqua" w:cs="Arial"/>
        </w:rPr>
        <w:t xml:space="preserve">) and </w:t>
      </w:r>
      <w:bookmarkStart w:id="56" w:name="OLE_LINK86"/>
      <w:bookmarkStart w:id="57" w:name="OLE_LINK87"/>
      <w:r>
        <w:rPr>
          <w:rFonts w:ascii="Book Antiqua" w:hAnsi="Book Antiqua" w:cs="Arial"/>
        </w:rPr>
        <w:t>cytokeratin</w:t>
      </w:r>
      <w:bookmarkEnd w:id="56"/>
      <w:bookmarkEnd w:id="57"/>
      <w:r>
        <w:rPr>
          <w:rFonts w:ascii="Book Antiqua" w:hAnsi="Book Antiqua" w:cs="Arial"/>
        </w:rPr>
        <w:t xml:space="preserve"> </w:t>
      </w:r>
      <w:r w:rsidR="008F3AA1">
        <w:rPr>
          <w:rFonts w:ascii="Book Antiqua" w:hAnsi="Book Antiqua" w:cs="Arial"/>
        </w:rPr>
        <w:t xml:space="preserve">(CK) </w:t>
      </w:r>
      <w:r>
        <w:rPr>
          <w:rFonts w:ascii="Book Antiqua" w:hAnsi="Book Antiqua" w:cs="Arial"/>
        </w:rPr>
        <w:t>8/18/19]</w:t>
      </w:r>
      <w:r w:rsidR="007F0D36" w:rsidRPr="00275D1E">
        <w:rPr>
          <w:rFonts w:ascii="Book Antiqua" w:hAnsi="Book Antiqua" w:cs="Arial"/>
        </w:rPr>
        <w:t xml:space="preserve">, two mesenchymal biomarkers (vimentin and twist), and a leukocyte biomarker, Leukocyte common antigen (CD45) were applied to capture and characterize the CTCs. </w:t>
      </w:r>
      <w:bookmarkEnd w:id="54"/>
      <w:r w:rsidR="007F0D36" w:rsidRPr="00275D1E">
        <w:rPr>
          <w:rFonts w:ascii="Book Antiqua" w:hAnsi="Book Antiqua" w:cs="Arial"/>
        </w:rPr>
        <w:t>The hybridization assay was performed as previously described</w:t>
      </w:r>
      <w:r w:rsidR="007F0D36" w:rsidRPr="008521BB">
        <w:rPr>
          <w:rFonts w:ascii="Book Antiqua" w:hAnsi="Book Antiqua" w:cs="Arial"/>
          <w:vertAlign w:val="superscript"/>
        </w:rPr>
        <w:fldChar w:fldCharType="begin"/>
      </w:r>
      <w:r w:rsidR="007F0D36" w:rsidRPr="008521BB">
        <w:rPr>
          <w:rFonts w:ascii="Book Antiqua" w:hAnsi="Book Antiqua" w:cs="Arial"/>
          <w:vertAlign w:val="superscript"/>
        </w:rPr>
        <w:instrText xml:space="preserve"> ADDIN NE.Ref.{6C5BDE93-6220-4B05-90CB-4E8BF5A2F28E}</w:instrText>
      </w:r>
      <w:r w:rsidR="007F0D36" w:rsidRPr="008521BB">
        <w:rPr>
          <w:rFonts w:ascii="Book Antiqua" w:hAnsi="Book Antiqua" w:cs="Arial"/>
          <w:vertAlign w:val="superscript"/>
        </w:rPr>
        <w:fldChar w:fldCharType="separate"/>
      </w:r>
      <w:r w:rsidR="00455E75">
        <w:rPr>
          <w:rFonts w:ascii="Book Antiqua" w:eastAsia="DengXian" w:hAnsi="Book Antiqua"/>
          <w:color w:val="080000"/>
          <w:vertAlign w:val="superscript"/>
        </w:rPr>
        <w:t>[22</w:t>
      </w:r>
      <w:r w:rsidR="007F0D36" w:rsidRPr="008521BB">
        <w:rPr>
          <w:rFonts w:ascii="Book Antiqua" w:eastAsia="DengXian" w:hAnsi="Book Antiqua"/>
          <w:color w:val="080000"/>
          <w:vertAlign w:val="superscript"/>
        </w:rPr>
        <w:t>]</w:t>
      </w:r>
      <w:r w:rsidR="007F0D36" w:rsidRPr="008521BB">
        <w:rPr>
          <w:rFonts w:ascii="Book Antiqua" w:hAnsi="Book Antiqua" w:cs="Arial"/>
          <w:vertAlign w:val="superscript"/>
        </w:rPr>
        <w:fldChar w:fldCharType="end"/>
      </w:r>
      <w:r w:rsidR="007F0D36" w:rsidRPr="00275D1E">
        <w:rPr>
          <w:rFonts w:ascii="Book Antiqua" w:hAnsi="Book Antiqua" w:cs="Arial"/>
        </w:rPr>
        <w:t xml:space="preserve">. The assay was performed in a 24-well </w:t>
      </w:r>
      <w:r w:rsidR="007F0D36" w:rsidRPr="00275D1E">
        <w:rPr>
          <w:rFonts w:ascii="Book Antiqua" w:hAnsi="Book Antiqua" w:cs="Arial"/>
        </w:rPr>
        <w:lastRenderedPageBreak/>
        <w:t>plate (Corning, NY</w:t>
      </w:r>
      <w:r>
        <w:rPr>
          <w:rFonts w:ascii="Book Antiqua" w:hAnsi="Book Antiqua" w:cs="Arial"/>
        </w:rPr>
        <w:t>, United States</w:t>
      </w:r>
      <w:r w:rsidR="007F0D36" w:rsidRPr="00275D1E">
        <w:rPr>
          <w:rFonts w:ascii="Book Antiqua" w:hAnsi="Book Antiqua" w:cs="Arial"/>
        </w:rPr>
        <w:t xml:space="preserve">), and the cells on the membrane were treated with protease (Qiagen, Hilden, Germany) and subsequently subjected to serial hybridization reactions with capture probes that were specific for the intended examined </w:t>
      </w:r>
      <w:r>
        <w:rPr>
          <w:rFonts w:ascii="Book Antiqua" w:hAnsi="Book Antiqua" w:cs="Arial"/>
        </w:rPr>
        <w:t xml:space="preserve">genes (Supplementary Table </w:t>
      </w:r>
      <w:r w:rsidR="007F0D36" w:rsidRPr="00275D1E">
        <w:rPr>
          <w:rFonts w:ascii="Book Antiqua" w:hAnsi="Book Antiqua" w:cs="Arial"/>
        </w:rPr>
        <w:t>1). We applied 4′6-diamindino-2-phenylindole (DAPI) to stain the nuclei, and the cells were analyzed with a fluorescence microscope.</w:t>
      </w:r>
    </w:p>
    <w:p w14:paraId="2C5FF7A2" w14:textId="77777777" w:rsidR="00B57E37" w:rsidRPr="00275D1E" w:rsidRDefault="00B57E37" w:rsidP="00275D1E">
      <w:pPr>
        <w:adjustRightInd w:val="0"/>
        <w:snapToGrid w:val="0"/>
        <w:spacing w:line="360" w:lineRule="auto"/>
        <w:rPr>
          <w:rFonts w:ascii="Book Antiqua" w:hAnsi="Book Antiqua" w:cs="Arial"/>
        </w:rPr>
      </w:pPr>
    </w:p>
    <w:p w14:paraId="78ABC7AE" w14:textId="77777777" w:rsidR="00B57E37" w:rsidRPr="008521BB" w:rsidRDefault="007F0D36" w:rsidP="00233FF1">
      <w:pPr>
        <w:widowControl/>
        <w:autoSpaceDE w:val="0"/>
        <w:autoSpaceDN w:val="0"/>
        <w:adjustRightInd w:val="0"/>
        <w:snapToGrid w:val="0"/>
        <w:spacing w:line="360" w:lineRule="auto"/>
        <w:outlineLvl w:val="0"/>
        <w:rPr>
          <w:rFonts w:ascii="Book Antiqua" w:hAnsi="Book Antiqua" w:cs="Arial"/>
          <w:b/>
          <w:i/>
        </w:rPr>
      </w:pPr>
      <w:r w:rsidRPr="008521BB">
        <w:rPr>
          <w:rFonts w:ascii="Book Antiqua" w:hAnsi="Book Antiqua" w:cs="Arial"/>
          <w:b/>
          <w:i/>
        </w:rPr>
        <w:t>Statistical analysis</w:t>
      </w:r>
    </w:p>
    <w:p w14:paraId="71186980" w14:textId="1484E8F9" w:rsidR="00B57E37" w:rsidRPr="00275D1E" w:rsidRDefault="007F0D36" w:rsidP="00275D1E">
      <w:pPr>
        <w:widowControl/>
        <w:autoSpaceDE w:val="0"/>
        <w:autoSpaceDN w:val="0"/>
        <w:adjustRightInd w:val="0"/>
        <w:snapToGrid w:val="0"/>
        <w:spacing w:line="360" w:lineRule="auto"/>
        <w:rPr>
          <w:rFonts w:ascii="Book Antiqua" w:hAnsi="Book Antiqua" w:cs="Arial"/>
        </w:rPr>
      </w:pPr>
      <w:r w:rsidRPr="00275D1E">
        <w:rPr>
          <w:rFonts w:ascii="Book Antiqua" w:hAnsi="Book Antiqua" w:cs="Arial"/>
        </w:rPr>
        <w:t>All statistical analyses were performed using SPSS Statistics 22.0 and GraphPad Prism 7.0. The results are presented as percentages for categorical variables. The Mann</w:t>
      </w:r>
      <w:r w:rsidR="00401225">
        <w:rPr>
          <w:rFonts w:ascii="Book Antiqua" w:hAnsi="Book Antiqua" w:cs="Arial"/>
        </w:rPr>
        <w:t>-</w:t>
      </w:r>
      <w:r w:rsidRPr="00275D1E">
        <w:rPr>
          <w:rFonts w:ascii="Book Antiqua" w:hAnsi="Book Antiqua" w:cs="Arial"/>
        </w:rPr>
        <w:t xml:space="preserve">Whitney </w:t>
      </w:r>
      <w:r w:rsidRPr="008521BB">
        <w:rPr>
          <w:rFonts w:ascii="Book Antiqua" w:hAnsi="Book Antiqua" w:cs="Arial"/>
          <w:i/>
        </w:rPr>
        <w:t>U</w:t>
      </w:r>
      <w:r w:rsidRPr="00275D1E">
        <w:rPr>
          <w:rFonts w:ascii="Book Antiqua" w:hAnsi="Book Antiqua" w:cs="Arial"/>
        </w:rPr>
        <w:t xml:space="preserve"> test was used to assess the differences between two groups because the data were not normally distributed, and the Kruskal</w:t>
      </w:r>
      <w:r w:rsidR="00401225">
        <w:rPr>
          <w:rFonts w:ascii="Book Antiqua" w:hAnsi="Book Antiqua" w:cs="Arial"/>
        </w:rPr>
        <w:t>-</w:t>
      </w:r>
      <w:r w:rsidRPr="00275D1E">
        <w:rPr>
          <w:rFonts w:ascii="Book Antiqua" w:hAnsi="Book Antiqua" w:cs="Arial"/>
        </w:rPr>
        <w:t xml:space="preserve">Wallis </w:t>
      </w:r>
      <w:r w:rsidRPr="008521BB">
        <w:rPr>
          <w:rFonts w:ascii="Book Antiqua" w:hAnsi="Book Antiqua" w:cs="Arial"/>
          <w:i/>
        </w:rPr>
        <w:t>H</w:t>
      </w:r>
      <w:r w:rsidRPr="00275D1E">
        <w:rPr>
          <w:rFonts w:ascii="Book Antiqua" w:hAnsi="Book Antiqua" w:cs="Arial"/>
        </w:rPr>
        <w:t xml:space="preserve"> test was used for multi-group analysis. Differences in patient survival were assessed using the Kaplan</w:t>
      </w:r>
      <w:r w:rsidR="00401225">
        <w:rPr>
          <w:rFonts w:ascii="Book Antiqua" w:hAnsi="Book Antiqua" w:cs="Arial"/>
        </w:rPr>
        <w:t>-</w:t>
      </w:r>
      <w:r w:rsidRPr="00275D1E">
        <w:rPr>
          <w:rFonts w:ascii="Book Antiqua" w:hAnsi="Book Antiqua" w:cs="Arial"/>
        </w:rPr>
        <w:t xml:space="preserve">Meier method and analyzed using the log-rank test in a univariate analysis. </w:t>
      </w:r>
      <w:r w:rsidRPr="00275D1E">
        <w:rPr>
          <w:rFonts w:ascii="Book Antiqua" w:hAnsi="Book Antiqua" w:cs="Arial"/>
          <w:i/>
        </w:rPr>
        <w:t>P</w:t>
      </w:r>
      <w:r w:rsidRPr="00275D1E">
        <w:rPr>
          <w:rFonts w:ascii="Book Antiqua" w:hAnsi="Book Antiqua" w:cs="Arial"/>
        </w:rPr>
        <w:t xml:space="preserve">-values less than 0.05 were considered statistically significant. Cox regression analyses were performed to assess the relative risk for each factor. A </w:t>
      </w:r>
      <w:bookmarkStart w:id="58" w:name="OLE_LINK83"/>
      <w:bookmarkStart w:id="59" w:name="OLE_LINK84"/>
      <w:bookmarkStart w:id="60" w:name="OLE_LINK85"/>
      <w:bookmarkStart w:id="61" w:name="OLE_LINK62"/>
      <w:bookmarkStart w:id="62" w:name="OLE_LINK61"/>
      <w:bookmarkStart w:id="63" w:name="OLE_LINK60"/>
      <w:r w:rsidR="008F3AA1">
        <w:rPr>
          <w:rFonts w:ascii="Book Antiqua" w:hAnsi="Book Antiqua" w:cs="Arial"/>
        </w:rPr>
        <w:t>r</w:t>
      </w:r>
      <w:r w:rsidR="008F3AA1" w:rsidRPr="008F3AA1">
        <w:rPr>
          <w:rFonts w:ascii="Book Antiqua" w:hAnsi="Book Antiqua" w:cs="Arial"/>
        </w:rPr>
        <w:t>eceiver operating characteristic</w:t>
      </w:r>
      <w:bookmarkEnd w:id="58"/>
      <w:bookmarkEnd w:id="59"/>
      <w:r w:rsidR="008F3AA1" w:rsidRPr="008F3AA1">
        <w:rPr>
          <w:rFonts w:ascii="Book Antiqua" w:hAnsi="Book Antiqua" w:cs="Arial"/>
        </w:rPr>
        <w:t xml:space="preserve"> </w:t>
      </w:r>
      <w:bookmarkEnd w:id="60"/>
      <w:r w:rsidR="008F3AA1">
        <w:rPr>
          <w:rFonts w:ascii="Book Antiqua" w:hAnsi="Book Antiqua" w:cs="Arial"/>
        </w:rPr>
        <w:t>(</w:t>
      </w:r>
      <w:r w:rsidRPr="00275D1E">
        <w:rPr>
          <w:rFonts w:ascii="Book Antiqua" w:hAnsi="Book Antiqua" w:cs="Arial"/>
        </w:rPr>
        <w:t>ROC</w:t>
      </w:r>
      <w:bookmarkEnd w:id="61"/>
      <w:bookmarkEnd w:id="62"/>
      <w:bookmarkEnd w:id="63"/>
      <w:r w:rsidR="008F3AA1">
        <w:rPr>
          <w:rFonts w:ascii="Book Antiqua" w:hAnsi="Book Antiqua" w:cs="Arial"/>
        </w:rPr>
        <w:t>)</w:t>
      </w:r>
      <w:r w:rsidRPr="00275D1E">
        <w:rPr>
          <w:rFonts w:ascii="Book Antiqua" w:hAnsi="Book Antiqua" w:cs="Arial"/>
        </w:rPr>
        <w:t xml:space="preserve"> curve was established to evaluate the diagnostic value of CTCs. The </w:t>
      </w:r>
      <w:r w:rsidR="008F3AA1">
        <w:rPr>
          <w:rFonts w:ascii="Book Antiqua" w:hAnsi="Book Antiqua" w:cs="Arial"/>
        </w:rPr>
        <w:t>area under curve (</w:t>
      </w:r>
      <w:r w:rsidRPr="00275D1E">
        <w:rPr>
          <w:rFonts w:ascii="Book Antiqua" w:hAnsi="Book Antiqua" w:cs="Arial"/>
        </w:rPr>
        <w:t>AUC</w:t>
      </w:r>
      <w:r w:rsidR="008F3AA1">
        <w:rPr>
          <w:rFonts w:ascii="Book Antiqua" w:hAnsi="Book Antiqua" w:cs="Arial"/>
        </w:rPr>
        <w:t>)</w:t>
      </w:r>
      <w:r w:rsidRPr="00275D1E">
        <w:rPr>
          <w:rFonts w:ascii="Book Antiqua" w:hAnsi="Book Antiqua" w:cs="Arial"/>
        </w:rPr>
        <w:t xml:space="preserve"> was used assess the predictive power. A two-tailed </w:t>
      </w:r>
      <w:r w:rsidRPr="00275D1E">
        <w:rPr>
          <w:rFonts w:ascii="Book Antiqua" w:hAnsi="Book Antiqua" w:cs="Arial"/>
          <w:i/>
        </w:rPr>
        <w:t>P</w:t>
      </w:r>
      <w:r w:rsidRPr="00275D1E">
        <w:rPr>
          <w:rFonts w:ascii="Book Antiqua" w:hAnsi="Book Antiqua" w:cs="Arial"/>
        </w:rPr>
        <w:t>-value of &lt;</w:t>
      </w:r>
      <w:r w:rsidR="008F3AA1">
        <w:rPr>
          <w:rFonts w:ascii="Book Antiqua" w:hAnsi="Book Antiqua" w:cs="Arial"/>
        </w:rPr>
        <w:t xml:space="preserve"> </w:t>
      </w:r>
      <w:r w:rsidRPr="00275D1E">
        <w:rPr>
          <w:rFonts w:ascii="Book Antiqua" w:hAnsi="Book Antiqua" w:cs="Arial"/>
        </w:rPr>
        <w:t>0.05 was considered statistically significant (</w:t>
      </w:r>
      <w:proofErr w:type="spellStart"/>
      <w:r w:rsidRPr="00275D1E">
        <w:rPr>
          <w:rFonts w:ascii="Book Antiqua" w:hAnsi="Book Antiqua"/>
          <w:vertAlign w:val="superscript"/>
        </w:rPr>
        <w:t>a</w:t>
      </w:r>
      <w:r w:rsidRPr="00275D1E">
        <w:rPr>
          <w:rFonts w:ascii="Book Antiqua" w:hAnsi="Book Antiqua"/>
          <w:i/>
          <w:iCs/>
        </w:rPr>
        <w:t>P</w:t>
      </w:r>
      <w:proofErr w:type="spellEnd"/>
      <w:r w:rsidRPr="00275D1E">
        <w:rPr>
          <w:rFonts w:ascii="Book Antiqua" w:hAnsi="Book Antiqua"/>
          <w:i/>
          <w:iCs/>
        </w:rPr>
        <w:t xml:space="preserve"> </w:t>
      </w:r>
      <w:r w:rsidRPr="00275D1E">
        <w:rPr>
          <w:rFonts w:ascii="Book Antiqua" w:hAnsi="Book Antiqua"/>
        </w:rPr>
        <w:t xml:space="preserve">&lt; 0.05, </w:t>
      </w:r>
      <w:proofErr w:type="spellStart"/>
      <w:r w:rsidRPr="00275D1E">
        <w:rPr>
          <w:rFonts w:ascii="Book Antiqua" w:hAnsi="Book Antiqua"/>
          <w:vertAlign w:val="superscript"/>
        </w:rPr>
        <w:t>b</w:t>
      </w:r>
      <w:r w:rsidRPr="00275D1E">
        <w:rPr>
          <w:rFonts w:ascii="Book Antiqua" w:hAnsi="Book Antiqua"/>
          <w:i/>
          <w:iCs/>
        </w:rPr>
        <w:t>P</w:t>
      </w:r>
      <w:proofErr w:type="spellEnd"/>
      <w:r w:rsidRPr="00275D1E">
        <w:rPr>
          <w:rFonts w:ascii="Book Antiqua" w:hAnsi="Book Antiqua"/>
          <w:i/>
          <w:iCs/>
        </w:rPr>
        <w:t xml:space="preserve"> </w:t>
      </w:r>
      <w:r w:rsidRPr="00275D1E">
        <w:rPr>
          <w:rFonts w:ascii="Book Antiqua" w:hAnsi="Book Antiqua"/>
        </w:rPr>
        <w:t>&lt; 0.01).</w:t>
      </w:r>
    </w:p>
    <w:p w14:paraId="5094471D" w14:textId="77777777" w:rsidR="00B57E37" w:rsidRPr="00275D1E" w:rsidRDefault="00B57E37" w:rsidP="00275D1E">
      <w:pPr>
        <w:widowControl/>
        <w:autoSpaceDE w:val="0"/>
        <w:autoSpaceDN w:val="0"/>
        <w:adjustRightInd w:val="0"/>
        <w:snapToGrid w:val="0"/>
        <w:spacing w:line="360" w:lineRule="auto"/>
        <w:rPr>
          <w:rFonts w:ascii="Book Antiqua" w:hAnsi="Book Antiqua" w:cs="Arial"/>
        </w:rPr>
      </w:pPr>
    </w:p>
    <w:p w14:paraId="637907DD" w14:textId="1813D287" w:rsidR="00B57E37" w:rsidRPr="008F3AA1" w:rsidRDefault="008F3AA1" w:rsidP="00233FF1">
      <w:pPr>
        <w:widowControl/>
        <w:autoSpaceDE w:val="0"/>
        <w:autoSpaceDN w:val="0"/>
        <w:adjustRightInd w:val="0"/>
        <w:snapToGrid w:val="0"/>
        <w:spacing w:line="360" w:lineRule="auto"/>
        <w:outlineLvl w:val="0"/>
        <w:rPr>
          <w:rFonts w:ascii="Book Antiqua" w:hAnsi="Book Antiqua" w:cs="Arial"/>
          <w:b/>
          <w:kern w:val="0"/>
        </w:rPr>
      </w:pPr>
      <w:r w:rsidRPr="008F3AA1">
        <w:rPr>
          <w:rFonts w:ascii="Book Antiqua" w:hAnsi="Book Antiqua" w:cs="Arial"/>
          <w:b/>
          <w:kern w:val="0"/>
        </w:rPr>
        <w:t>RESULTS</w:t>
      </w:r>
    </w:p>
    <w:p w14:paraId="352F8B71" w14:textId="14CDCC69" w:rsidR="00B57E37" w:rsidRPr="008F3AA1" w:rsidRDefault="007F0D36" w:rsidP="00233FF1">
      <w:pPr>
        <w:widowControl/>
        <w:autoSpaceDE w:val="0"/>
        <w:autoSpaceDN w:val="0"/>
        <w:adjustRightInd w:val="0"/>
        <w:snapToGrid w:val="0"/>
        <w:spacing w:line="360" w:lineRule="auto"/>
        <w:outlineLvl w:val="0"/>
        <w:rPr>
          <w:rFonts w:ascii="Book Antiqua" w:hAnsi="Book Antiqua" w:cs="Arial"/>
          <w:b/>
          <w:i/>
          <w:kern w:val="0"/>
        </w:rPr>
      </w:pPr>
      <w:r w:rsidRPr="008F3AA1">
        <w:rPr>
          <w:rFonts w:ascii="Book Antiqua" w:hAnsi="Book Antiqua" w:cs="Arial"/>
          <w:b/>
          <w:i/>
          <w:kern w:val="0"/>
        </w:rPr>
        <w:t>Detection of CTCs in the periphe</w:t>
      </w:r>
      <w:r w:rsidR="008F3AA1" w:rsidRPr="008F3AA1">
        <w:rPr>
          <w:rFonts w:ascii="Book Antiqua" w:hAnsi="Book Antiqua" w:cs="Arial"/>
          <w:b/>
          <w:i/>
          <w:kern w:val="0"/>
        </w:rPr>
        <w:t>ral blood of patients with PDAC</w:t>
      </w:r>
    </w:p>
    <w:p w14:paraId="7C0545F0" w14:textId="6D01EFBC" w:rsidR="00B57E37" w:rsidRPr="00275D1E" w:rsidRDefault="007F0D36" w:rsidP="00275D1E">
      <w:pPr>
        <w:widowControl/>
        <w:autoSpaceDE w:val="0"/>
        <w:autoSpaceDN w:val="0"/>
        <w:adjustRightInd w:val="0"/>
        <w:snapToGrid w:val="0"/>
        <w:spacing w:line="360" w:lineRule="auto"/>
        <w:rPr>
          <w:rFonts w:ascii="Book Antiqua" w:hAnsi="Book Antiqua" w:cs="Arial"/>
          <w:kern w:val="0"/>
        </w:rPr>
      </w:pPr>
      <w:r w:rsidRPr="00275D1E">
        <w:rPr>
          <w:rFonts w:ascii="Book Antiqua" w:hAnsi="Book Antiqua" w:cs="Arial"/>
          <w:kern w:val="0"/>
        </w:rPr>
        <w:t xml:space="preserve">CTCs from 107 PDAC patients were identified using the </w:t>
      </w:r>
      <w:proofErr w:type="spellStart"/>
      <w:r w:rsidRPr="00275D1E">
        <w:rPr>
          <w:rFonts w:ascii="Book Antiqua" w:hAnsi="Book Antiqua" w:cs="Arial"/>
          <w:kern w:val="0"/>
        </w:rPr>
        <w:t>CanPatrol</w:t>
      </w:r>
      <w:proofErr w:type="spellEnd"/>
      <w:r w:rsidRPr="00275D1E">
        <w:rPr>
          <w:rFonts w:ascii="Book Antiqua" w:hAnsi="Book Antiqua" w:cs="Arial"/>
          <w:kern w:val="0"/>
        </w:rPr>
        <w:t xml:space="preserve"> system. As shown in Figure 1, epithelial CTCs showed red fluorescence (Figure 1A), while mesenchymal CTCs exhibited green fluorescence (Figure 1B), corresponding to their specific genes (</w:t>
      </w:r>
      <w:r w:rsidRPr="008F3AA1">
        <w:rPr>
          <w:rFonts w:ascii="Book Antiqua" w:hAnsi="Book Antiqua" w:cs="Arial"/>
          <w:i/>
          <w:kern w:val="0"/>
        </w:rPr>
        <w:t>i.e.</w:t>
      </w:r>
      <w:r w:rsidR="008F3AA1">
        <w:rPr>
          <w:rFonts w:ascii="Book Antiqua" w:hAnsi="Book Antiqua" w:cs="Arial"/>
          <w:kern w:val="0"/>
        </w:rPr>
        <w:t>,</w:t>
      </w:r>
      <w:r w:rsidRPr="00275D1E">
        <w:rPr>
          <w:rFonts w:ascii="Book Antiqua" w:hAnsi="Book Antiqua" w:cs="Arial"/>
          <w:kern w:val="0"/>
        </w:rPr>
        <w:t xml:space="preserve"> </w:t>
      </w:r>
      <w:proofErr w:type="spellStart"/>
      <w:r w:rsidR="008F3AA1">
        <w:rPr>
          <w:rFonts w:ascii="Book Antiqua" w:hAnsi="Book Antiqua" w:cs="Arial"/>
          <w:kern w:val="0"/>
        </w:rPr>
        <w:t>EpCAM</w:t>
      </w:r>
      <w:proofErr w:type="spellEnd"/>
      <w:r w:rsidR="008F3AA1">
        <w:rPr>
          <w:rFonts w:ascii="Book Antiqua" w:hAnsi="Book Antiqua" w:cs="Arial"/>
          <w:kern w:val="0"/>
        </w:rPr>
        <w:t xml:space="preserve"> </w:t>
      </w:r>
      <w:r w:rsidRPr="00275D1E">
        <w:rPr>
          <w:rFonts w:ascii="Book Antiqua" w:hAnsi="Book Antiqua" w:cs="Arial"/>
          <w:kern w:val="0"/>
        </w:rPr>
        <w:t xml:space="preserve">or </w:t>
      </w:r>
      <w:r w:rsidRPr="00275D1E">
        <w:rPr>
          <w:rFonts w:ascii="Book Antiqua" w:hAnsi="Book Antiqua" w:cs="Arial"/>
        </w:rPr>
        <w:t>CK</w:t>
      </w:r>
      <w:r w:rsidR="008F3AA1">
        <w:rPr>
          <w:rFonts w:ascii="Book Antiqua" w:hAnsi="Book Antiqua" w:cs="Arial"/>
          <w:kern w:val="0"/>
        </w:rPr>
        <w:t>, and vimentin and t</w:t>
      </w:r>
      <w:r w:rsidRPr="00275D1E">
        <w:rPr>
          <w:rFonts w:ascii="Book Antiqua" w:hAnsi="Book Antiqua" w:cs="Arial"/>
          <w:kern w:val="0"/>
        </w:rPr>
        <w:t xml:space="preserve">wist), respectively. Additionally, a third hybrid population of CTCs expressing both epithelial- and mesenchymal-specific genes was also observed (Figure 1C). Of the total population, 84 patients (78.5%) had positive CTC counts at baseline. The number of total CTCs ranged from 0 to 26 across </w:t>
      </w:r>
      <w:r w:rsidRPr="00275D1E">
        <w:rPr>
          <w:rFonts w:ascii="Book Antiqua" w:hAnsi="Book Antiqua" w:cs="Arial"/>
          <w:kern w:val="0"/>
        </w:rPr>
        <w:lastRenderedPageBreak/>
        <w:t>all 107 patients, with a median value of six. Overall, ≥</w:t>
      </w:r>
      <w:r w:rsidR="008F3AA1">
        <w:rPr>
          <w:rFonts w:ascii="Book Antiqua" w:hAnsi="Book Antiqua" w:cs="Arial"/>
          <w:kern w:val="0"/>
        </w:rPr>
        <w:t xml:space="preserve"> </w:t>
      </w:r>
      <w:r w:rsidRPr="00275D1E">
        <w:rPr>
          <w:rFonts w:ascii="Book Antiqua" w:hAnsi="Book Antiqua" w:cs="Arial"/>
          <w:kern w:val="0"/>
        </w:rPr>
        <w:t>6 t</w:t>
      </w:r>
      <w:r w:rsidR="00401225">
        <w:rPr>
          <w:rFonts w:ascii="Book Antiqua" w:hAnsi="Book Antiqua" w:cs="Arial"/>
          <w:kern w:val="0"/>
        </w:rPr>
        <w:t>otal CTC(s) was present in 51.4</w:t>
      </w:r>
      <w:r w:rsidRPr="00275D1E">
        <w:rPr>
          <w:rFonts w:ascii="Book Antiqua" w:hAnsi="Book Antiqua" w:cs="Arial"/>
          <w:kern w:val="0"/>
        </w:rPr>
        <w:t>% of samples. The positive rates of epithelial, hybrid,</w:t>
      </w:r>
      <w:r w:rsidR="00401225">
        <w:rPr>
          <w:rFonts w:ascii="Book Antiqua" w:hAnsi="Book Antiqua" w:cs="Arial"/>
          <w:kern w:val="0"/>
        </w:rPr>
        <w:t xml:space="preserve"> and mesenchymal CTCs were 60.7%, 36.4</w:t>
      </w:r>
      <w:r w:rsidRPr="00275D1E">
        <w:rPr>
          <w:rFonts w:ascii="Book Antiqua" w:hAnsi="Book Antiqua" w:cs="Arial"/>
          <w:kern w:val="0"/>
        </w:rPr>
        <w:t>%, and 45.8%, respectively (Table 1).</w:t>
      </w:r>
    </w:p>
    <w:p w14:paraId="71590ADC" w14:textId="77777777" w:rsidR="00B57E37" w:rsidRPr="00275D1E" w:rsidRDefault="00B57E37" w:rsidP="00275D1E">
      <w:pPr>
        <w:widowControl/>
        <w:autoSpaceDE w:val="0"/>
        <w:autoSpaceDN w:val="0"/>
        <w:adjustRightInd w:val="0"/>
        <w:snapToGrid w:val="0"/>
        <w:spacing w:line="360" w:lineRule="auto"/>
        <w:rPr>
          <w:rFonts w:ascii="Book Antiqua" w:hAnsi="Book Antiqua" w:cs="Arial"/>
          <w:kern w:val="0"/>
        </w:rPr>
      </w:pPr>
    </w:p>
    <w:p w14:paraId="000291BD" w14:textId="77777777" w:rsidR="00B57E37" w:rsidRPr="00401225" w:rsidRDefault="007F0D36" w:rsidP="00233FF1">
      <w:pPr>
        <w:widowControl/>
        <w:autoSpaceDE w:val="0"/>
        <w:autoSpaceDN w:val="0"/>
        <w:adjustRightInd w:val="0"/>
        <w:snapToGrid w:val="0"/>
        <w:spacing w:line="360" w:lineRule="auto"/>
        <w:outlineLvl w:val="0"/>
        <w:rPr>
          <w:rFonts w:ascii="Book Antiqua" w:hAnsi="Book Antiqua" w:cs="Arial"/>
          <w:b/>
          <w:i/>
          <w:kern w:val="0"/>
        </w:rPr>
      </w:pPr>
      <w:r w:rsidRPr="00401225">
        <w:rPr>
          <w:rFonts w:ascii="Book Antiqua" w:hAnsi="Book Antiqua" w:cs="Arial"/>
          <w:b/>
          <w:i/>
          <w:kern w:val="0"/>
        </w:rPr>
        <w:t>Correlation of CTCs with</w:t>
      </w:r>
      <w:bookmarkStart w:id="64" w:name="OLE_LINK4"/>
      <w:bookmarkStart w:id="65" w:name="OLE_LINK3"/>
      <w:r w:rsidRPr="00401225">
        <w:rPr>
          <w:rFonts w:ascii="Book Antiqua" w:hAnsi="Book Antiqua" w:cs="Arial"/>
          <w:b/>
          <w:i/>
          <w:kern w:val="0"/>
        </w:rPr>
        <w:t xml:space="preserve"> clinicopathological</w:t>
      </w:r>
      <w:bookmarkEnd w:id="64"/>
      <w:bookmarkEnd w:id="65"/>
      <w:r w:rsidRPr="00401225">
        <w:rPr>
          <w:rFonts w:ascii="Book Antiqua" w:hAnsi="Book Antiqua" w:cs="Arial"/>
          <w:b/>
          <w:i/>
          <w:kern w:val="0"/>
        </w:rPr>
        <w:t xml:space="preserve"> features</w:t>
      </w:r>
    </w:p>
    <w:p w14:paraId="7D9D9DDA" w14:textId="0D0360EA" w:rsidR="00B57E37" w:rsidRPr="00275D1E" w:rsidRDefault="007F0D36" w:rsidP="00275D1E">
      <w:pPr>
        <w:widowControl/>
        <w:autoSpaceDE w:val="0"/>
        <w:autoSpaceDN w:val="0"/>
        <w:adjustRightInd w:val="0"/>
        <w:snapToGrid w:val="0"/>
        <w:spacing w:line="360" w:lineRule="auto"/>
        <w:rPr>
          <w:rFonts w:ascii="Book Antiqua" w:hAnsi="Book Antiqua" w:cs="Arial"/>
          <w:kern w:val="0"/>
        </w:rPr>
      </w:pPr>
      <w:r w:rsidRPr="00275D1E">
        <w:rPr>
          <w:rFonts w:ascii="Book Antiqua" w:hAnsi="Book Antiqua" w:cs="Arial"/>
          <w:kern w:val="0"/>
        </w:rPr>
        <w:t>As shown in Table 2, 107 PDAC patients were included in the analysis. Among the clinicopathological characteristics analyzed, lymph node metastasis, distant metastasis, and TNM stage were significantly correlated with the presence of CTCs. The presence of CTCs was positively correlated with TNM stage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 lymph node metastasis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w:t>
      </w:r>
      <w:r w:rsidR="00401225">
        <w:rPr>
          <w:rFonts w:ascii="Book Antiqua" w:hAnsi="Book Antiqua" w:cs="Arial"/>
          <w:kern w:val="0"/>
        </w:rPr>
        <w:t xml:space="preserve"> </w:t>
      </w:r>
      <w:r w:rsidRPr="00275D1E">
        <w:rPr>
          <w:rFonts w:ascii="Book Antiqua" w:hAnsi="Book Antiqua" w:cs="Arial"/>
          <w:kern w:val="0"/>
        </w:rPr>
        <w:t>0.016), and distant metastasis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 (Figure 2A</w:t>
      </w:r>
      <w:r w:rsidR="00401225">
        <w:rPr>
          <w:rFonts w:ascii="Book Antiqua" w:hAnsi="Book Antiqua" w:cs="Arial"/>
          <w:kern w:val="0"/>
        </w:rPr>
        <w:t>-</w:t>
      </w:r>
      <w:r w:rsidRPr="00275D1E">
        <w:rPr>
          <w:rFonts w:ascii="Book Antiqua" w:hAnsi="Book Antiqua" w:cs="Arial"/>
          <w:kern w:val="0"/>
        </w:rPr>
        <w:t>C). The other clinicopathological features showed no statistical relationship with CTC status. Univariate analysis of overall survival revealed that lymph node metastasis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w:t>
      </w:r>
      <w:r w:rsidR="00401225">
        <w:rPr>
          <w:rFonts w:ascii="Book Antiqua" w:hAnsi="Book Antiqua" w:cs="Arial"/>
          <w:kern w:val="0"/>
        </w:rPr>
        <w:t xml:space="preserve"> </w:t>
      </w:r>
      <w:r w:rsidRPr="00275D1E">
        <w:rPr>
          <w:rFonts w:ascii="Book Antiqua" w:hAnsi="Book Antiqua" w:cs="Arial"/>
          <w:kern w:val="0"/>
        </w:rPr>
        <w:t>0.007), TNM stage</w:t>
      </w:r>
      <w:bookmarkStart w:id="66" w:name="OLE_LINK7"/>
      <w:bookmarkStart w:id="67" w:name="OLE_LINK8"/>
      <w:r w:rsidRPr="00275D1E">
        <w:rPr>
          <w:rFonts w:ascii="Book Antiqua" w:hAnsi="Book Antiqua" w:cs="Arial"/>
          <w:kern w:val="0"/>
        </w:rPr>
        <w:t xml:space="preserve">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w:t>
      </w:r>
      <w:bookmarkEnd w:id="66"/>
      <w:bookmarkEnd w:id="67"/>
      <w:r w:rsidRPr="00275D1E">
        <w:rPr>
          <w:rFonts w:ascii="Book Antiqua" w:hAnsi="Book Antiqua" w:cs="Arial"/>
          <w:kern w:val="0"/>
        </w:rPr>
        <w:t xml:space="preserve">, distant metastasis </w:t>
      </w:r>
      <w:bookmarkStart w:id="68" w:name="OLE_LINK9"/>
      <w:bookmarkStart w:id="69" w:name="OLE_LINK10"/>
      <w:r w:rsidRPr="00275D1E">
        <w:rPr>
          <w:rFonts w:ascii="Book Antiqua" w:hAnsi="Book Antiqua" w:cs="Arial"/>
          <w:kern w:val="0"/>
        </w:rPr>
        <w:t>(</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w:t>
      </w:r>
      <w:bookmarkEnd w:id="68"/>
      <w:bookmarkEnd w:id="69"/>
      <w:r w:rsidRPr="00275D1E">
        <w:rPr>
          <w:rFonts w:ascii="Book Antiqua" w:hAnsi="Book Antiqua" w:cs="Arial"/>
          <w:kern w:val="0"/>
        </w:rPr>
        <w:t xml:space="preserve">, and </w:t>
      </w:r>
      <w:bookmarkStart w:id="70" w:name="OLE_LINK14"/>
      <w:bookmarkStart w:id="71" w:name="OLE_LINK15"/>
      <w:r w:rsidRPr="00275D1E">
        <w:rPr>
          <w:rFonts w:ascii="Book Antiqua" w:hAnsi="Book Antiqua" w:cs="Arial"/>
          <w:kern w:val="0"/>
        </w:rPr>
        <w:t>≥</w:t>
      </w:r>
      <w:r w:rsidR="00401225">
        <w:rPr>
          <w:rFonts w:ascii="Book Antiqua" w:hAnsi="Book Antiqua" w:cs="Arial"/>
          <w:kern w:val="0"/>
        </w:rPr>
        <w:t xml:space="preserve"> </w:t>
      </w:r>
      <w:r w:rsidRPr="00275D1E">
        <w:rPr>
          <w:rFonts w:ascii="Book Antiqua" w:hAnsi="Book Antiqua" w:cs="Arial"/>
          <w:kern w:val="0"/>
        </w:rPr>
        <w:t>6 total CTCs</w:t>
      </w:r>
      <w:bookmarkEnd w:id="70"/>
      <w:bookmarkEnd w:id="71"/>
      <w:r w:rsidRPr="00275D1E">
        <w:rPr>
          <w:rFonts w:ascii="Book Antiqua" w:hAnsi="Book Antiqua" w:cs="Arial"/>
          <w:kern w:val="0"/>
        </w:rPr>
        <w:t xml:space="preserve">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 were prognostic indicators. Multivariate analysis revealed that lymph node metastasis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w:t>
      </w:r>
      <w:r w:rsidR="00401225">
        <w:rPr>
          <w:rFonts w:ascii="Book Antiqua" w:hAnsi="Book Antiqua" w:cs="Arial"/>
          <w:kern w:val="0"/>
        </w:rPr>
        <w:t xml:space="preserve"> </w:t>
      </w:r>
      <w:r w:rsidRPr="00275D1E">
        <w:rPr>
          <w:rFonts w:ascii="Book Antiqua" w:hAnsi="Book Antiqua" w:cs="Arial"/>
          <w:kern w:val="0"/>
        </w:rPr>
        <w:t>0.011), TNM stage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 distant metastasis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 and ≥</w:t>
      </w:r>
      <w:r w:rsidR="00401225">
        <w:rPr>
          <w:rFonts w:ascii="Book Antiqua" w:hAnsi="Book Antiqua" w:cs="Arial"/>
          <w:kern w:val="0"/>
        </w:rPr>
        <w:t xml:space="preserve"> </w:t>
      </w:r>
      <w:r w:rsidRPr="00275D1E">
        <w:rPr>
          <w:rFonts w:ascii="Book Antiqua" w:hAnsi="Book Antiqua" w:cs="Arial"/>
          <w:kern w:val="0"/>
        </w:rPr>
        <w:t>6 total CTCs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0.001) were all independent prognostic indicators for overall surviv</w:t>
      </w:r>
      <w:r w:rsidR="00401225">
        <w:rPr>
          <w:rFonts w:ascii="Book Antiqua" w:hAnsi="Book Antiqua" w:cs="Arial"/>
          <w:kern w:val="0"/>
        </w:rPr>
        <w:t xml:space="preserve">al of patients with PDAC (Table </w:t>
      </w:r>
      <w:r w:rsidRPr="00275D1E">
        <w:rPr>
          <w:rFonts w:ascii="Book Antiqua" w:hAnsi="Book Antiqua" w:cs="Arial"/>
          <w:kern w:val="0"/>
        </w:rPr>
        <w:t>3). We constructed a ROC curve analysis (Figure 2D) to distinguish metastatic PDAC patients from those without metastasis; the area under the ROC curve was 0.8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0.0001) with an optimal cut-off point of 7 (sensitivity</w:t>
      </w:r>
      <w:r w:rsidR="00401225">
        <w:rPr>
          <w:rFonts w:ascii="Book Antiqua" w:hAnsi="Book Antiqua" w:cs="Arial"/>
          <w:kern w:val="0"/>
        </w:rPr>
        <w:t xml:space="preserve"> </w:t>
      </w:r>
      <w:r w:rsidRPr="00275D1E">
        <w:rPr>
          <w:rFonts w:ascii="Book Antiqua" w:hAnsi="Book Antiqua" w:cs="Arial"/>
          <w:kern w:val="0"/>
        </w:rPr>
        <w:t>=</w:t>
      </w:r>
      <w:r w:rsidR="00401225">
        <w:rPr>
          <w:rFonts w:ascii="Book Antiqua" w:hAnsi="Book Antiqua" w:cs="Arial"/>
          <w:kern w:val="0"/>
        </w:rPr>
        <w:t xml:space="preserve"> </w:t>
      </w:r>
      <w:r w:rsidRPr="00275D1E">
        <w:rPr>
          <w:rFonts w:ascii="Book Antiqua" w:hAnsi="Book Antiqua" w:cs="Arial"/>
          <w:kern w:val="0"/>
        </w:rPr>
        <w:t>0.893, specificity</w:t>
      </w:r>
      <w:r w:rsidR="00401225">
        <w:rPr>
          <w:rFonts w:ascii="Book Antiqua" w:hAnsi="Book Antiqua" w:cs="Arial"/>
          <w:kern w:val="0"/>
        </w:rPr>
        <w:t xml:space="preserve"> </w:t>
      </w:r>
      <w:r w:rsidRPr="00275D1E">
        <w:rPr>
          <w:rFonts w:ascii="Book Antiqua" w:hAnsi="Book Antiqua" w:cs="Arial"/>
          <w:kern w:val="0"/>
        </w:rPr>
        <w:t>=</w:t>
      </w:r>
      <w:r w:rsidR="00401225">
        <w:rPr>
          <w:rFonts w:ascii="Book Antiqua" w:hAnsi="Book Antiqua" w:cs="Arial"/>
          <w:kern w:val="0"/>
        </w:rPr>
        <w:t xml:space="preserve"> </w:t>
      </w:r>
      <w:r w:rsidRPr="00275D1E">
        <w:rPr>
          <w:rFonts w:ascii="Book Antiqua" w:hAnsi="Book Antiqua" w:cs="Arial"/>
          <w:kern w:val="0"/>
        </w:rPr>
        <w:t>0.633). For comparison, CA-199 at</w:t>
      </w:r>
      <w:r w:rsidR="00401225">
        <w:rPr>
          <w:rFonts w:ascii="Book Antiqua" w:hAnsi="Book Antiqua" w:cs="Arial"/>
          <w:kern w:val="0"/>
        </w:rPr>
        <w:t xml:space="preserve"> the optimum cut-off of 884 U/mL</w:t>
      </w:r>
      <w:r w:rsidRPr="00275D1E">
        <w:rPr>
          <w:rFonts w:ascii="Book Antiqua" w:hAnsi="Book Antiqua" w:cs="Arial"/>
          <w:kern w:val="0"/>
        </w:rPr>
        <w:t xml:space="preserve"> distinguished metastatic PDAC patients from those without metastasis, with a sensitivity of 0.536, specificity of 0.785, and AUROC of 0.637. Kaplan</w:t>
      </w:r>
      <w:r w:rsidR="00401225">
        <w:rPr>
          <w:rFonts w:ascii="Book Antiqua" w:hAnsi="Book Antiqua" w:cs="Arial"/>
          <w:kern w:val="0"/>
        </w:rPr>
        <w:t>-</w:t>
      </w:r>
      <w:r w:rsidRPr="00275D1E">
        <w:rPr>
          <w:rFonts w:ascii="Book Antiqua" w:hAnsi="Book Antiqua" w:cs="Arial"/>
          <w:kern w:val="0"/>
        </w:rPr>
        <w:t>Meier survival analysis showed that patients with ≥</w:t>
      </w:r>
      <w:r w:rsidR="00401225">
        <w:rPr>
          <w:rFonts w:ascii="Book Antiqua" w:hAnsi="Book Antiqua" w:cs="Arial"/>
          <w:kern w:val="0"/>
        </w:rPr>
        <w:t xml:space="preserve"> </w:t>
      </w:r>
      <w:r w:rsidRPr="00275D1E">
        <w:rPr>
          <w:rFonts w:ascii="Book Antiqua" w:hAnsi="Book Antiqua" w:cs="Arial"/>
          <w:kern w:val="0"/>
        </w:rPr>
        <w:t>6 total CTCs had significantly decreased overall survival (OS) and progression-free survival (PFS) as compared with patients with &lt;</w:t>
      </w:r>
      <w:r w:rsidR="00401225">
        <w:rPr>
          <w:rFonts w:ascii="Book Antiqua" w:hAnsi="Book Antiqua" w:cs="Arial"/>
          <w:kern w:val="0"/>
        </w:rPr>
        <w:t xml:space="preserve"> </w:t>
      </w:r>
      <w:r w:rsidRPr="00275D1E">
        <w:rPr>
          <w:rFonts w:ascii="Book Antiqua" w:hAnsi="Book Antiqua" w:cs="Arial"/>
          <w:kern w:val="0"/>
        </w:rPr>
        <w:t>6 total CTCs (</w:t>
      </w:r>
      <w:bookmarkStart w:id="72" w:name="OLE_LINK58"/>
      <w:bookmarkStart w:id="73" w:name="OLE_LINK59"/>
      <w:r w:rsidRPr="00275D1E">
        <w:rPr>
          <w:rFonts w:ascii="Book Antiqua" w:hAnsi="Book Antiqua" w:cs="Arial"/>
          <w:kern w:val="0"/>
        </w:rPr>
        <w:t>OS</w:t>
      </w:r>
      <w:bookmarkEnd w:id="72"/>
      <w:bookmarkEnd w:id="73"/>
      <w:r w:rsidRPr="00275D1E">
        <w:rPr>
          <w:rFonts w:ascii="Book Antiqua" w:hAnsi="Book Antiqua" w:cs="Arial"/>
          <w:kern w:val="0"/>
        </w:rPr>
        <w:t xml:space="preserve">: median 11 </w:t>
      </w:r>
      <w:proofErr w:type="spellStart"/>
      <w:r w:rsidRPr="00275D1E">
        <w:rPr>
          <w:rFonts w:ascii="Book Antiqua" w:hAnsi="Book Antiqua" w:cs="Arial"/>
          <w:kern w:val="0"/>
        </w:rPr>
        <w:t>mo</w:t>
      </w:r>
      <w:proofErr w:type="spellEnd"/>
      <w:r w:rsidR="00401225">
        <w:rPr>
          <w:rFonts w:ascii="Book Antiqua" w:hAnsi="Book Antiqua" w:cs="Arial"/>
          <w:kern w:val="0"/>
        </w:rPr>
        <w:t xml:space="preserve"> </w:t>
      </w:r>
      <w:r w:rsidR="00401225" w:rsidRPr="00401225">
        <w:rPr>
          <w:rFonts w:ascii="Book Antiqua" w:hAnsi="Book Antiqua" w:cs="Arial"/>
          <w:i/>
          <w:kern w:val="0"/>
        </w:rPr>
        <w:t>vs</w:t>
      </w:r>
      <w:r w:rsidRPr="00401225">
        <w:rPr>
          <w:rFonts w:ascii="Book Antiqua" w:hAnsi="Book Antiqua" w:cs="Arial"/>
          <w:i/>
          <w:kern w:val="0"/>
        </w:rPr>
        <w:t xml:space="preserve"> </w:t>
      </w:r>
      <w:r w:rsidRPr="00275D1E">
        <w:rPr>
          <w:rFonts w:ascii="Book Antiqua" w:hAnsi="Book Antiqua" w:cs="Arial"/>
          <w:kern w:val="0"/>
        </w:rPr>
        <w:t xml:space="preserve">18 </w:t>
      </w:r>
      <w:proofErr w:type="spellStart"/>
      <w:r w:rsidRPr="00275D1E">
        <w:rPr>
          <w:rFonts w:ascii="Book Antiqua" w:hAnsi="Book Antiqua" w:cs="Arial"/>
          <w:kern w:val="0"/>
        </w:rPr>
        <w:t>mo</w:t>
      </w:r>
      <w:proofErr w:type="spellEnd"/>
      <w:r w:rsidRPr="00275D1E">
        <w:rPr>
          <w:rFonts w:ascii="Book Antiqua" w:hAnsi="Book Antiqua" w:cs="Arial"/>
          <w:kern w:val="0"/>
        </w:rPr>
        <w:t>; HR</w:t>
      </w:r>
      <w:r w:rsidR="00401225">
        <w:rPr>
          <w:rFonts w:ascii="Book Antiqua" w:hAnsi="Book Antiqua" w:cs="Arial"/>
          <w:kern w:val="0"/>
        </w:rPr>
        <w:t xml:space="preserve"> </w:t>
      </w:r>
      <w:r w:rsidRPr="00275D1E">
        <w:rPr>
          <w:rFonts w:ascii="Book Antiqua" w:hAnsi="Book Antiqua" w:cs="Arial"/>
          <w:kern w:val="0"/>
        </w:rPr>
        <w:t>=</w:t>
      </w:r>
      <w:r w:rsidR="00401225">
        <w:rPr>
          <w:rFonts w:ascii="Book Antiqua" w:hAnsi="Book Antiqua" w:cs="Arial"/>
          <w:kern w:val="0"/>
        </w:rPr>
        <w:t xml:space="preserve"> </w:t>
      </w:r>
      <w:r w:rsidRPr="00275D1E">
        <w:rPr>
          <w:rFonts w:ascii="Book Antiqua" w:hAnsi="Book Antiqua" w:cs="Arial"/>
          <w:kern w:val="0"/>
        </w:rPr>
        <w:t>0.504</w:t>
      </w:r>
      <w:bookmarkStart w:id="74" w:name="OLE_LINK13"/>
      <w:bookmarkStart w:id="75" w:name="OLE_LINK16"/>
      <w:r w:rsidR="00401225">
        <w:rPr>
          <w:rFonts w:ascii="Book Antiqua" w:hAnsi="Book Antiqua" w:cs="Arial"/>
          <w:kern w:val="0"/>
        </w:rPr>
        <w:t>; 95%</w:t>
      </w:r>
      <w:r w:rsidRPr="00275D1E">
        <w:rPr>
          <w:rFonts w:ascii="Book Antiqua" w:hAnsi="Book Antiqua" w:cs="Arial"/>
          <w:kern w:val="0"/>
        </w:rPr>
        <w:t>CI</w:t>
      </w:r>
      <w:bookmarkEnd w:id="74"/>
      <w:bookmarkEnd w:id="75"/>
      <w:r w:rsidR="00401225">
        <w:rPr>
          <w:rFonts w:ascii="Book Antiqua" w:hAnsi="Book Antiqua" w:cs="Arial"/>
          <w:kern w:val="0"/>
        </w:rPr>
        <w:t xml:space="preserve">: </w:t>
      </w:r>
      <w:r w:rsidRPr="00275D1E">
        <w:rPr>
          <w:rFonts w:ascii="Book Antiqua" w:hAnsi="Book Antiqua" w:cs="Arial"/>
          <w:kern w:val="0"/>
        </w:rPr>
        <w:t>0.330</w:t>
      </w:r>
      <w:r w:rsidR="00401225">
        <w:rPr>
          <w:rFonts w:ascii="Book Antiqua" w:eastAsia="Microsoft YaHei" w:hAnsi="Book Antiqua" w:cs="Arial"/>
          <w:kern w:val="0"/>
        </w:rPr>
        <w:t>-</w:t>
      </w:r>
      <w:r w:rsidRPr="00275D1E">
        <w:rPr>
          <w:rFonts w:ascii="Book Antiqua" w:hAnsi="Book Antiqua" w:cs="Arial"/>
          <w:kern w:val="0"/>
        </w:rPr>
        <w:t xml:space="preserve">0.768;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 xml:space="preserve">0.001. PFS: median 8 </w:t>
      </w:r>
      <w:proofErr w:type="spellStart"/>
      <w:r w:rsidRPr="00275D1E">
        <w:rPr>
          <w:rFonts w:ascii="Book Antiqua" w:hAnsi="Book Antiqua" w:cs="Arial"/>
          <w:kern w:val="0"/>
        </w:rPr>
        <w:t>mo</w:t>
      </w:r>
      <w:proofErr w:type="spellEnd"/>
      <w:r w:rsidR="00401225">
        <w:rPr>
          <w:rFonts w:ascii="Book Antiqua" w:hAnsi="Book Antiqua" w:cs="Arial"/>
          <w:kern w:val="0"/>
        </w:rPr>
        <w:t xml:space="preserve"> </w:t>
      </w:r>
      <w:r w:rsidR="00401225" w:rsidRPr="00401225">
        <w:rPr>
          <w:rFonts w:ascii="Book Antiqua" w:hAnsi="Book Antiqua" w:cs="Arial"/>
          <w:i/>
          <w:kern w:val="0"/>
        </w:rPr>
        <w:t>vs</w:t>
      </w:r>
      <w:r w:rsidRPr="00401225">
        <w:rPr>
          <w:rFonts w:ascii="Book Antiqua" w:hAnsi="Book Antiqua" w:cs="Arial"/>
          <w:i/>
          <w:kern w:val="0"/>
        </w:rPr>
        <w:t xml:space="preserve"> </w:t>
      </w:r>
      <w:r w:rsidRPr="00275D1E">
        <w:rPr>
          <w:rFonts w:ascii="Book Antiqua" w:hAnsi="Book Antiqua" w:cs="Arial"/>
          <w:kern w:val="0"/>
        </w:rPr>
        <w:t xml:space="preserve">13 </w:t>
      </w:r>
      <w:proofErr w:type="spellStart"/>
      <w:r w:rsidRPr="00275D1E">
        <w:rPr>
          <w:rFonts w:ascii="Book Antiqua" w:hAnsi="Book Antiqua" w:cs="Arial"/>
          <w:kern w:val="0"/>
        </w:rPr>
        <w:t>mo</w:t>
      </w:r>
      <w:proofErr w:type="spellEnd"/>
      <w:r w:rsidRPr="00275D1E">
        <w:rPr>
          <w:rFonts w:ascii="Book Antiqua" w:hAnsi="Book Antiqua" w:cs="Arial"/>
          <w:kern w:val="0"/>
        </w:rPr>
        <w:t>; HR</w:t>
      </w:r>
      <w:r w:rsidR="00401225">
        <w:rPr>
          <w:rFonts w:ascii="Book Antiqua" w:hAnsi="Book Antiqua" w:cs="Arial"/>
          <w:kern w:val="0"/>
        </w:rPr>
        <w:t xml:space="preserve"> </w:t>
      </w:r>
      <w:r w:rsidRPr="00275D1E">
        <w:rPr>
          <w:rFonts w:ascii="Book Antiqua" w:hAnsi="Book Antiqua" w:cs="Arial"/>
          <w:kern w:val="0"/>
        </w:rPr>
        <w:t>=</w:t>
      </w:r>
      <w:r w:rsidR="00401225">
        <w:rPr>
          <w:rFonts w:ascii="Book Antiqua" w:hAnsi="Book Antiqua" w:cs="Arial"/>
          <w:kern w:val="0"/>
        </w:rPr>
        <w:t xml:space="preserve"> 0.520; 95%CI: </w:t>
      </w:r>
      <w:r w:rsidRPr="00275D1E">
        <w:rPr>
          <w:rFonts w:ascii="Book Antiqua" w:hAnsi="Book Antiqua" w:cs="Arial"/>
          <w:kern w:val="0"/>
        </w:rPr>
        <w:t>0.342</w:t>
      </w:r>
      <w:r w:rsidR="00401225">
        <w:rPr>
          <w:rFonts w:ascii="Book Antiqua" w:eastAsia="Microsoft YaHei" w:hAnsi="Book Antiqua" w:cs="Arial"/>
          <w:kern w:val="0"/>
        </w:rPr>
        <w:t>-</w:t>
      </w:r>
      <w:r w:rsidR="00401225">
        <w:rPr>
          <w:rFonts w:ascii="Book Antiqua" w:hAnsi="Book Antiqua" w:cs="Arial"/>
          <w:kern w:val="0"/>
        </w:rPr>
        <w:t>0.791) (Figure 2</w:t>
      </w:r>
      <w:r w:rsidRPr="00275D1E">
        <w:rPr>
          <w:rFonts w:ascii="Book Antiqua" w:hAnsi="Book Antiqua" w:cs="Arial"/>
          <w:kern w:val="0"/>
        </w:rPr>
        <w:t>E and F).</w:t>
      </w:r>
    </w:p>
    <w:p w14:paraId="63E69F57" w14:textId="6E8E1855" w:rsidR="00B57E37" w:rsidRPr="00275D1E" w:rsidRDefault="00401225" w:rsidP="00275D1E">
      <w:pPr>
        <w:widowControl/>
        <w:autoSpaceDE w:val="0"/>
        <w:autoSpaceDN w:val="0"/>
        <w:adjustRightInd w:val="0"/>
        <w:snapToGrid w:val="0"/>
        <w:spacing w:line="360" w:lineRule="auto"/>
        <w:rPr>
          <w:rFonts w:ascii="Book Antiqua" w:hAnsi="Book Antiqua" w:cs="Arial"/>
          <w:kern w:val="0"/>
        </w:rPr>
      </w:pPr>
      <w:r>
        <w:rPr>
          <w:rFonts w:ascii="Book Antiqua" w:hAnsi="Book Antiqua" w:cs="Arial"/>
          <w:kern w:val="0"/>
        </w:rPr>
        <w:t xml:space="preserve">  </w:t>
      </w:r>
      <w:r w:rsidR="007F0D36" w:rsidRPr="00275D1E">
        <w:rPr>
          <w:rFonts w:ascii="Book Antiqua" w:hAnsi="Book Antiqua" w:cs="Arial"/>
          <w:kern w:val="0"/>
        </w:rPr>
        <w:t xml:space="preserve">We quantified the immune cells in the peripheral blood of patients with PDAC and analyzed the associations between immune cell parameters and </w:t>
      </w:r>
      <w:r w:rsidR="007F0D36" w:rsidRPr="00275D1E">
        <w:rPr>
          <w:rFonts w:ascii="Book Antiqua" w:hAnsi="Book Antiqua" w:cs="Arial"/>
          <w:kern w:val="0"/>
        </w:rPr>
        <w:lastRenderedPageBreak/>
        <w:t xml:space="preserve">the presence of CTCs (Figure 2G and H). There were no significant differences between the CTC-negative and CTC-positive patient groups with respect to total white blood cell (WBC), neutrophil, or monocyte counts. However, there was a significant difference in lymphocyte count and the </w:t>
      </w:r>
      <w:r w:rsidRPr="00401225">
        <w:rPr>
          <w:rFonts w:ascii="Book Antiqua" w:hAnsi="Book Antiqua" w:cs="Arial"/>
          <w:kern w:val="0"/>
        </w:rPr>
        <w:t xml:space="preserve">neutrophil-to-lymphocyte ratio </w:t>
      </w:r>
      <w:r>
        <w:rPr>
          <w:rFonts w:ascii="Book Antiqua" w:hAnsi="Book Antiqua" w:cs="Arial"/>
          <w:kern w:val="0"/>
        </w:rPr>
        <w:t>(</w:t>
      </w:r>
      <w:r w:rsidR="007F0D36" w:rsidRPr="00275D1E">
        <w:rPr>
          <w:rFonts w:ascii="Book Antiqua" w:hAnsi="Book Antiqua" w:cs="Arial"/>
          <w:kern w:val="0"/>
        </w:rPr>
        <w:t>NLR</w:t>
      </w:r>
      <w:r>
        <w:rPr>
          <w:rFonts w:ascii="Book Antiqua" w:hAnsi="Book Antiqua" w:cs="Arial"/>
          <w:kern w:val="0"/>
        </w:rPr>
        <w:t>)</w:t>
      </w:r>
      <w:r w:rsidR="007F0D36" w:rsidRPr="00275D1E">
        <w:rPr>
          <w:rFonts w:ascii="Book Antiqua" w:hAnsi="Book Antiqua" w:cs="Arial"/>
          <w:kern w:val="0"/>
        </w:rPr>
        <w:t xml:space="preserve"> between the CTC-positive and CTC-negative patient groups (</w:t>
      </w:r>
      <w:r w:rsidR="007F0D36" w:rsidRPr="00275D1E">
        <w:rPr>
          <w:rFonts w:ascii="Book Antiqua" w:hAnsi="Book Antiqua" w:cs="Arial"/>
          <w:i/>
          <w:kern w:val="0"/>
        </w:rPr>
        <w:t>P</w:t>
      </w:r>
      <w:r>
        <w:rPr>
          <w:rFonts w:ascii="Book Antiqua" w:hAnsi="Book Antiqua" w:cs="Arial"/>
          <w:i/>
          <w:kern w:val="0"/>
        </w:rPr>
        <w:t xml:space="preserve"> </w:t>
      </w:r>
      <w:r w:rsidR="007F0D36" w:rsidRPr="00275D1E">
        <w:rPr>
          <w:rFonts w:ascii="Book Antiqua" w:hAnsi="Book Antiqua" w:cs="Arial"/>
          <w:kern w:val="0"/>
        </w:rPr>
        <w:t>&lt;</w:t>
      </w:r>
      <w:r>
        <w:rPr>
          <w:rFonts w:ascii="Book Antiqua" w:hAnsi="Book Antiqua" w:cs="Arial"/>
          <w:kern w:val="0"/>
        </w:rPr>
        <w:t xml:space="preserve"> </w:t>
      </w:r>
      <w:r w:rsidR="007F0D36" w:rsidRPr="00275D1E">
        <w:rPr>
          <w:rFonts w:ascii="Book Antiqua" w:hAnsi="Book Antiqua" w:cs="Arial"/>
          <w:kern w:val="0"/>
        </w:rPr>
        <w:t>0.001).</w:t>
      </w:r>
    </w:p>
    <w:p w14:paraId="217BC1A5" w14:textId="77777777" w:rsidR="00B57E37" w:rsidRPr="00275D1E" w:rsidRDefault="00B57E37" w:rsidP="00275D1E">
      <w:pPr>
        <w:widowControl/>
        <w:autoSpaceDE w:val="0"/>
        <w:autoSpaceDN w:val="0"/>
        <w:adjustRightInd w:val="0"/>
        <w:snapToGrid w:val="0"/>
        <w:spacing w:line="360" w:lineRule="auto"/>
        <w:rPr>
          <w:rFonts w:ascii="Book Antiqua" w:hAnsi="Book Antiqua" w:cs="Arial"/>
          <w:kern w:val="0"/>
        </w:rPr>
      </w:pPr>
    </w:p>
    <w:p w14:paraId="23C0A625" w14:textId="77777777" w:rsidR="00B57E37" w:rsidRPr="00401225" w:rsidRDefault="007F0D36" w:rsidP="00275D1E">
      <w:pPr>
        <w:widowControl/>
        <w:autoSpaceDE w:val="0"/>
        <w:autoSpaceDN w:val="0"/>
        <w:adjustRightInd w:val="0"/>
        <w:snapToGrid w:val="0"/>
        <w:spacing w:line="360" w:lineRule="auto"/>
        <w:rPr>
          <w:rFonts w:ascii="Book Antiqua" w:hAnsi="Book Antiqua" w:cs="Arial"/>
          <w:b/>
          <w:i/>
          <w:kern w:val="0"/>
        </w:rPr>
      </w:pPr>
      <w:r w:rsidRPr="00401225">
        <w:rPr>
          <w:rFonts w:ascii="Book Antiqua" w:hAnsi="Book Antiqua" w:cs="Arial"/>
          <w:b/>
          <w:i/>
          <w:kern w:val="0"/>
        </w:rPr>
        <w:t>Association between CTC-EMT subpopulations and clinicopathological features</w:t>
      </w:r>
    </w:p>
    <w:p w14:paraId="30B28CB2" w14:textId="77D4B1D6" w:rsidR="00B57E37" w:rsidRPr="00275D1E" w:rsidRDefault="007F0D36" w:rsidP="00275D1E">
      <w:pPr>
        <w:widowControl/>
        <w:autoSpaceDE w:val="0"/>
        <w:autoSpaceDN w:val="0"/>
        <w:adjustRightInd w:val="0"/>
        <w:snapToGrid w:val="0"/>
        <w:spacing w:line="360" w:lineRule="auto"/>
        <w:rPr>
          <w:rFonts w:ascii="Book Antiqua" w:hAnsi="Book Antiqua" w:cs="Arial"/>
          <w:kern w:val="0"/>
        </w:rPr>
      </w:pPr>
      <w:r w:rsidRPr="00275D1E">
        <w:rPr>
          <w:rFonts w:ascii="Book Antiqua" w:hAnsi="Book Antiqua" w:cs="Arial"/>
          <w:kern w:val="0"/>
        </w:rPr>
        <w:t>The associations between the presence of CTC subpopulations of each EMT phenotype and clinicopathological features were analyzed. Table 4 shows that E-CTCs were present in 65 patients (60.7%), while E/M-CTCs and M-CTCs were present in 39 (36.4%) and 49 (45.8%) patients, respectively. The presence of M-CTCs was positively correlated with TNM stage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0.01) and distant metastasis (</w:t>
      </w:r>
      <w:r w:rsidRPr="00275D1E">
        <w:rPr>
          <w:rFonts w:ascii="Book Antiqua" w:hAnsi="Book Antiqua" w:cs="Arial"/>
          <w:i/>
          <w:kern w:val="0"/>
        </w:rPr>
        <w:t>P</w:t>
      </w:r>
      <w:r w:rsidR="00401225">
        <w:rPr>
          <w:rFonts w:ascii="Book Antiqua" w:hAnsi="Book Antiqua" w:cs="Arial"/>
          <w:i/>
          <w:kern w:val="0"/>
        </w:rPr>
        <w:t xml:space="preserve"> </w:t>
      </w:r>
      <w:r w:rsidRPr="00275D1E">
        <w:rPr>
          <w:rFonts w:ascii="Book Antiqua" w:hAnsi="Book Antiqua" w:cs="Arial"/>
          <w:kern w:val="0"/>
        </w:rPr>
        <w:t>&lt;</w:t>
      </w:r>
      <w:r w:rsidR="00401225">
        <w:rPr>
          <w:rFonts w:ascii="Book Antiqua" w:hAnsi="Book Antiqua" w:cs="Arial"/>
          <w:kern w:val="0"/>
        </w:rPr>
        <w:t xml:space="preserve"> </w:t>
      </w:r>
      <w:r w:rsidRPr="00275D1E">
        <w:rPr>
          <w:rFonts w:ascii="Book Antiqua" w:hAnsi="Book Antiqua" w:cs="Arial"/>
          <w:kern w:val="0"/>
        </w:rPr>
        <w:t>0.01). As shown in Figure 3A and B, M-CTCs were present in significantly more patients with distant metastasis than those without. Regarding TNM stage, all patients with stage IV PDAC were CTC-positive and M-CTCs were more common in patients with stage III and stage IV disease.</w:t>
      </w:r>
    </w:p>
    <w:p w14:paraId="539072B6" w14:textId="024006D4" w:rsidR="00B57E37" w:rsidRPr="00275D1E" w:rsidRDefault="00401225" w:rsidP="00275D1E">
      <w:pPr>
        <w:widowControl/>
        <w:autoSpaceDE w:val="0"/>
        <w:autoSpaceDN w:val="0"/>
        <w:adjustRightInd w:val="0"/>
        <w:snapToGrid w:val="0"/>
        <w:spacing w:line="360" w:lineRule="auto"/>
        <w:rPr>
          <w:rFonts w:ascii="Book Antiqua" w:hAnsi="Book Antiqua" w:cs="Arial"/>
          <w:kern w:val="0"/>
        </w:rPr>
      </w:pPr>
      <w:r>
        <w:rPr>
          <w:rFonts w:ascii="Book Antiqua" w:hAnsi="Book Antiqua" w:cs="Arial"/>
          <w:kern w:val="0"/>
        </w:rPr>
        <w:t xml:space="preserve">  </w:t>
      </w:r>
      <w:r w:rsidR="007F0D36" w:rsidRPr="00275D1E">
        <w:rPr>
          <w:rFonts w:ascii="Book Antiqua" w:hAnsi="Book Antiqua" w:cs="Arial"/>
          <w:kern w:val="0"/>
        </w:rPr>
        <w:t>We analyzed the correlation between different CTC subpopulations with the EMT phenotype and WBC count. There were no significant differences between different subpopulations with respect to total WBC</w:t>
      </w:r>
      <w:r w:rsidR="008521BB">
        <w:rPr>
          <w:rFonts w:ascii="Book Antiqua" w:hAnsi="Book Antiqua" w:cs="Arial"/>
          <w:kern w:val="0"/>
        </w:rPr>
        <w:t xml:space="preserve">, </w:t>
      </w:r>
      <w:r w:rsidR="007F0D36" w:rsidRPr="00275D1E">
        <w:rPr>
          <w:rFonts w:ascii="Book Antiqua" w:hAnsi="Book Antiqua" w:cs="Arial"/>
          <w:kern w:val="0"/>
        </w:rPr>
        <w:t>neutrophil or monocyte counts (Figure 3C,</w:t>
      </w:r>
      <w:r>
        <w:rPr>
          <w:rFonts w:ascii="Book Antiqua" w:hAnsi="Book Antiqua" w:cs="Arial"/>
          <w:kern w:val="0"/>
        </w:rPr>
        <w:t xml:space="preserve"> </w:t>
      </w:r>
      <w:r w:rsidR="007F0D36" w:rsidRPr="00275D1E">
        <w:rPr>
          <w:rFonts w:ascii="Book Antiqua" w:hAnsi="Book Antiqua" w:cs="Arial"/>
          <w:kern w:val="0"/>
        </w:rPr>
        <w:t>D,</w:t>
      </w:r>
      <w:r>
        <w:rPr>
          <w:rFonts w:ascii="Book Antiqua" w:hAnsi="Book Antiqua" w:cs="Arial"/>
          <w:kern w:val="0"/>
        </w:rPr>
        <w:t xml:space="preserve"> </w:t>
      </w:r>
      <w:r w:rsidR="007F0D36" w:rsidRPr="00275D1E">
        <w:rPr>
          <w:rFonts w:ascii="Book Antiqua" w:hAnsi="Book Antiqua" w:cs="Arial"/>
          <w:kern w:val="0"/>
        </w:rPr>
        <w:t>F). Figure 3E and G demonstrate that patients with any CTC subpopulations had significantly lower lymphocyte counts and higher NLRs than patients without CTCs (</w:t>
      </w:r>
      <w:r w:rsidR="007F0D36" w:rsidRPr="00275D1E">
        <w:rPr>
          <w:rFonts w:ascii="Book Antiqua" w:hAnsi="Book Antiqua" w:cs="Arial"/>
          <w:i/>
          <w:kern w:val="0"/>
        </w:rPr>
        <w:t>P</w:t>
      </w:r>
      <w:r>
        <w:rPr>
          <w:rFonts w:ascii="Book Antiqua" w:hAnsi="Book Antiqua" w:cs="Arial"/>
          <w:i/>
          <w:kern w:val="0"/>
        </w:rPr>
        <w:t xml:space="preserve"> </w:t>
      </w:r>
      <w:r w:rsidR="007F0D36" w:rsidRPr="00275D1E">
        <w:rPr>
          <w:rFonts w:ascii="Book Antiqua" w:hAnsi="Book Antiqua" w:cs="Arial"/>
          <w:kern w:val="0"/>
        </w:rPr>
        <w:t>&lt;</w:t>
      </w:r>
      <w:r>
        <w:rPr>
          <w:rFonts w:ascii="Book Antiqua" w:hAnsi="Book Antiqua" w:cs="Arial"/>
          <w:kern w:val="0"/>
        </w:rPr>
        <w:t xml:space="preserve"> </w:t>
      </w:r>
      <w:r w:rsidR="007F0D36" w:rsidRPr="00275D1E">
        <w:rPr>
          <w:rFonts w:ascii="Book Antiqua" w:hAnsi="Book Antiqua" w:cs="Arial"/>
          <w:kern w:val="0"/>
        </w:rPr>
        <w:t>0.001).</w:t>
      </w:r>
    </w:p>
    <w:p w14:paraId="678DA394" w14:textId="77777777" w:rsidR="00B57E37" w:rsidRPr="00275D1E" w:rsidRDefault="00B57E37" w:rsidP="00275D1E">
      <w:pPr>
        <w:widowControl/>
        <w:autoSpaceDE w:val="0"/>
        <w:autoSpaceDN w:val="0"/>
        <w:adjustRightInd w:val="0"/>
        <w:snapToGrid w:val="0"/>
        <w:spacing w:line="360" w:lineRule="auto"/>
        <w:rPr>
          <w:rFonts w:ascii="Book Antiqua" w:hAnsi="Book Antiqua" w:cs="Times New Roman"/>
          <w:kern w:val="0"/>
        </w:rPr>
      </w:pPr>
    </w:p>
    <w:p w14:paraId="3FC96172" w14:textId="77777777" w:rsidR="00B57E37" w:rsidRPr="00275D1E" w:rsidRDefault="007F0D36" w:rsidP="00233FF1">
      <w:pPr>
        <w:widowControl/>
        <w:autoSpaceDE w:val="0"/>
        <w:autoSpaceDN w:val="0"/>
        <w:adjustRightInd w:val="0"/>
        <w:snapToGrid w:val="0"/>
        <w:spacing w:line="360" w:lineRule="auto"/>
        <w:outlineLvl w:val="0"/>
        <w:rPr>
          <w:rFonts w:ascii="Book Antiqua" w:hAnsi="Book Antiqua" w:cs="Arial"/>
          <w:b/>
          <w:kern w:val="0"/>
        </w:rPr>
      </w:pPr>
      <w:r w:rsidRPr="00275D1E">
        <w:rPr>
          <w:rFonts w:ascii="Book Antiqua" w:hAnsi="Book Antiqua" w:cs="Arial"/>
          <w:b/>
          <w:kern w:val="0"/>
        </w:rPr>
        <w:t>DISCUSSION</w:t>
      </w:r>
    </w:p>
    <w:p w14:paraId="2BAC35D8" w14:textId="1E946BC8" w:rsidR="00B57E37" w:rsidRPr="00275D1E" w:rsidRDefault="007F0D36" w:rsidP="00275D1E">
      <w:pPr>
        <w:widowControl/>
        <w:autoSpaceDE w:val="0"/>
        <w:autoSpaceDN w:val="0"/>
        <w:adjustRightInd w:val="0"/>
        <w:snapToGrid w:val="0"/>
        <w:spacing w:line="360" w:lineRule="auto"/>
        <w:rPr>
          <w:rFonts w:ascii="Book Antiqua" w:hAnsi="Book Antiqua" w:cs="Arial"/>
          <w:kern w:val="0"/>
        </w:rPr>
      </w:pPr>
      <w:r w:rsidRPr="00275D1E">
        <w:rPr>
          <w:rFonts w:ascii="Book Antiqua" w:hAnsi="Book Antiqua" w:cs="Arial"/>
          <w:kern w:val="0"/>
        </w:rPr>
        <w:t>PDAC remains one of the most devastating diseases because of its late presentation and resistance to systemic therapy. Cross-sectional imaging alone often results in under-staging of PDAC patients</w:t>
      </w:r>
      <w:r w:rsidRPr="00275D1E">
        <w:rPr>
          <w:rFonts w:ascii="Book Antiqua" w:hAnsi="Book Antiqua" w:cs="Arial"/>
          <w:kern w:val="0"/>
        </w:rPr>
        <w:fldChar w:fldCharType="begin"/>
      </w:r>
      <w:r w:rsidRPr="00275D1E">
        <w:rPr>
          <w:rFonts w:ascii="Book Antiqua" w:hAnsi="Book Antiqua" w:cs="Arial"/>
          <w:kern w:val="0"/>
        </w:rPr>
        <w:instrText xml:space="preserve"> ADDIN NE.Ref.{50E76FB6-BE97-41E4-903F-FD6BD54D602E}</w:instrText>
      </w:r>
      <w:r w:rsidRPr="00275D1E">
        <w:rPr>
          <w:rFonts w:ascii="Book Antiqua" w:hAnsi="Book Antiqua" w:cs="Arial"/>
          <w:kern w:val="0"/>
        </w:rPr>
        <w:fldChar w:fldCharType="separate"/>
      </w:r>
      <w:r w:rsidR="00455E75">
        <w:rPr>
          <w:rFonts w:ascii="Book Antiqua" w:eastAsia="DengXian" w:hAnsi="Book Antiqua"/>
          <w:color w:val="080000"/>
          <w:vertAlign w:val="superscript"/>
        </w:rPr>
        <w:t>[23,24</w:t>
      </w:r>
      <w:r w:rsidR="00401225">
        <w:rPr>
          <w:rFonts w:ascii="Book Antiqua" w:eastAsia="DengXian" w:hAnsi="Book Antiqua"/>
          <w:color w:val="080000"/>
          <w:vertAlign w:val="superscript"/>
        </w:rPr>
        <w:t>,</w:t>
      </w:r>
      <w:r w:rsidR="00455E75">
        <w:rPr>
          <w:rFonts w:ascii="Book Antiqua" w:eastAsia="DengXian" w:hAnsi="Book Antiqua"/>
          <w:color w:val="080000"/>
          <w:vertAlign w:val="superscript"/>
        </w:rPr>
        <w:t>27</w:t>
      </w:r>
      <w:r w:rsidRPr="00275D1E">
        <w:rPr>
          <w:rFonts w:ascii="Book Antiqua" w:eastAsia="DengXian" w:hAnsi="Book Antiqua"/>
          <w:color w:val="080000"/>
          <w:vertAlign w:val="superscript"/>
        </w:rPr>
        <w:t>]</w:t>
      </w:r>
      <w:r w:rsidRPr="00275D1E">
        <w:rPr>
          <w:rFonts w:ascii="Book Antiqua" w:hAnsi="Book Antiqua" w:cs="Arial"/>
          <w:kern w:val="0"/>
        </w:rPr>
        <w:fldChar w:fldCharType="end"/>
      </w:r>
      <w:r w:rsidRPr="00275D1E">
        <w:rPr>
          <w:rFonts w:ascii="Book Antiqua" w:hAnsi="Book Antiqua" w:cs="Arial"/>
          <w:kern w:val="0"/>
        </w:rPr>
        <w:t xml:space="preserve">. Many studies have indicated that a “surgery first” paradigm for borderline </w:t>
      </w:r>
      <w:proofErr w:type="spellStart"/>
      <w:r w:rsidRPr="00275D1E">
        <w:rPr>
          <w:rFonts w:ascii="Book Antiqua" w:hAnsi="Book Antiqua" w:cs="Arial"/>
          <w:kern w:val="0"/>
        </w:rPr>
        <w:t>resectable</w:t>
      </w:r>
      <w:proofErr w:type="spellEnd"/>
      <w:r w:rsidRPr="00275D1E">
        <w:rPr>
          <w:rFonts w:ascii="Book Antiqua" w:hAnsi="Book Antiqua" w:cs="Arial"/>
          <w:kern w:val="0"/>
        </w:rPr>
        <w:t xml:space="preserve">, and </w:t>
      </w:r>
      <w:r w:rsidRPr="00275D1E">
        <w:rPr>
          <w:rFonts w:ascii="Book Antiqua" w:hAnsi="Book Antiqua" w:cs="Arial"/>
          <w:kern w:val="0"/>
        </w:rPr>
        <w:lastRenderedPageBreak/>
        <w:t>even early-stage, patients does not lead to a survival benefit and may in fact impair survival because of high recurrence and metastasis rates</w:t>
      </w:r>
      <w:r w:rsidRPr="00275D1E">
        <w:rPr>
          <w:rFonts w:ascii="Book Antiqua" w:hAnsi="Book Antiqua" w:cs="Arial"/>
          <w:kern w:val="0"/>
        </w:rPr>
        <w:fldChar w:fldCharType="begin"/>
      </w:r>
      <w:r w:rsidRPr="00275D1E">
        <w:rPr>
          <w:rFonts w:ascii="Book Antiqua" w:hAnsi="Book Antiqua" w:cs="Arial"/>
          <w:kern w:val="0"/>
        </w:rPr>
        <w:instrText xml:space="preserve"> ADDIN NE.Ref.{80439391-7D2A-4F8C-A755-C924C83EDA9E}</w:instrText>
      </w:r>
      <w:r w:rsidRPr="00275D1E">
        <w:rPr>
          <w:rFonts w:ascii="Book Antiqua" w:hAnsi="Book Antiqua" w:cs="Arial"/>
          <w:kern w:val="0"/>
        </w:rPr>
        <w:fldChar w:fldCharType="separate"/>
      </w:r>
      <w:r w:rsidR="00455E75">
        <w:rPr>
          <w:rFonts w:ascii="Book Antiqua" w:eastAsia="DengXian" w:hAnsi="Book Antiqua"/>
          <w:color w:val="080000"/>
          <w:vertAlign w:val="superscript"/>
        </w:rPr>
        <w:t>[27</w:t>
      </w:r>
      <w:r w:rsidRPr="00275D1E">
        <w:rPr>
          <w:rFonts w:ascii="Book Antiqua" w:eastAsia="DengXian" w:hAnsi="Book Antiqua"/>
          <w:color w:val="080000"/>
          <w:vertAlign w:val="superscript"/>
        </w:rPr>
        <w:t>]</w:t>
      </w:r>
      <w:r w:rsidRPr="00275D1E">
        <w:rPr>
          <w:rFonts w:ascii="Book Antiqua" w:hAnsi="Book Antiqua" w:cs="Arial"/>
          <w:kern w:val="0"/>
        </w:rPr>
        <w:fldChar w:fldCharType="end"/>
      </w:r>
      <w:r w:rsidRPr="00275D1E">
        <w:rPr>
          <w:rFonts w:ascii="Book Antiqua" w:hAnsi="Book Antiqua" w:cs="Arial"/>
          <w:kern w:val="0"/>
        </w:rPr>
        <w:t>. Therefore, there is an urgent need for novel biomarkers to complement cross-sectional imaging, especially for the identification of patients likely to benefit from non-surgical treatments first.</w:t>
      </w:r>
    </w:p>
    <w:p w14:paraId="29633AEA" w14:textId="7543BD34" w:rsidR="00B57E37" w:rsidRPr="00275D1E" w:rsidRDefault="00401225" w:rsidP="00275D1E">
      <w:pPr>
        <w:widowControl/>
        <w:autoSpaceDE w:val="0"/>
        <w:autoSpaceDN w:val="0"/>
        <w:adjustRightInd w:val="0"/>
        <w:snapToGrid w:val="0"/>
        <w:spacing w:line="360" w:lineRule="auto"/>
        <w:rPr>
          <w:rFonts w:ascii="Book Antiqua" w:hAnsi="Book Antiqua" w:cs="Arial"/>
          <w:kern w:val="0"/>
        </w:rPr>
      </w:pPr>
      <w:r>
        <w:rPr>
          <w:rFonts w:ascii="Book Antiqua" w:hAnsi="Book Antiqua" w:cs="Arial"/>
          <w:kern w:val="0"/>
        </w:rPr>
        <w:t xml:space="preserve">  </w:t>
      </w:r>
      <w:r w:rsidR="007F0D36" w:rsidRPr="00275D1E">
        <w:rPr>
          <w:rFonts w:ascii="Book Antiqua" w:hAnsi="Book Antiqua" w:cs="Arial"/>
          <w:kern w:val="0"/>
        </w:rPr>
        <w:t>In recent years, the detection and characterization of CTCs has received tremendous attention because of the minimally invasive approaches applied to obtain sequential blood specimens from cancer patients and their potenti</w:t>
      </w:r>
      <w:r>
        <w:rPr>
          <w:rFonts w:ascii="Book Antiqua" w:hAnsi="Book Antiqua" w:cs="Arial"/>
          <w:kern w:val="0"/>
        </w:rPr>
        <w:t xml:space="preserve">al clinical implications. </w:t>
      </w:r>
      <w:r w:rsidR="007F0D36" w:rsidRPr="00275D1E">
        <w:rPr>
          <w:rFonts w:ascii="Book Antiqua" w:hAnsi="Book Antiqua" w:cs="Arial"/>
          <w:kern w:val="0"/>
        </w:rPr>
        <w:t>It is anticipated that quantification and molecular subtyping of CTCs could be adopted for monitoring tumor burden and metastasis of PDAC. To date, published CTC data for PDAC mostly rely on small patient cohorts at different disease stages and use various CTC techniques, showing contradictory results. A large cohort of 154 patients discovered CTCs using RT-PCR for CK20, obtaining a CTC rate of 34%. This study demonstrated CTCs had a significantly negative prognostic impact on patient survival</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NE.Ref.{43BA74C8-14CE-4B1E-AC05-9B3F9585A4C0}</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[28</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xml:space="preserve">. In 2013, CTC detection rates and prognostic value were studied in a prospective cohort of locally advanced pancreatic carcinoma patients. This study used the </w:t>
      </w:r>
      <w:proofErr w:type="spellStart"/>
      <w:r w:rsidR="007F0D36" w:rsidRPr="00275D1E">
        <w:rPr>
          <w:rFonts w:ascii="Book Antiqua" w:hAnsi="Book Antiqua" w:cs="Arial"/>
          <w:kern w:val="0"/>
        </w:rPr>
        <w:t>Cellsearch</w:t>
      </w:r>
      <w:proofErr w:type="spellEnd"/>
      <w:r w:rsidR="007F0D36" w:rsidRPr="00275D1E">
        <w:rPr>
          <w:rFonts w:ascii="Book Antiqua" w:hAnsi="Book Antiqua" w:cs="Arial"/>
          <w:kern w:val="0"/>
        </w:rPr>
        <w:t xml:space="preserve"> technique to detect CTCs and demonstrated that CTC positivity was associated with </w:t>
      </w:r>
      <w:bookmarkStart w:id="76" w:name="OLE_LINK45"/>
      <w:bookmarkStart w:id="77" w:name="OLE_LINK40"/>
      <w:r w:rsidR="007F0D36" w:rsidRPr="00275D1E">
        <w:rPr>
          <w:rFonts w:ascii="Book Antiqua" w:hAnsi="Book Antiqua" w:cs="Arial"/>
          <w:kern w:val="0"/>
        </w:rPr>
        <w:t>poor tumor differentiation</w:t>
      </w:r>
      <w:bookmarkEnd w:id="76"/>
      <w:bookmarkEnd w:id="77"/>
      <w:r w:rsidR="007F0D36" w:rsidRPr="00275D1E">
        <w:rPr>
          <w:rFonts w:ascii="Book Antiqua" w:hAnsi="Book Antiqua" w:cs="Arial"/>
          <w:kern w:val="0"/>
        </w:rPr>
        <w:t xml:space="preserve"> and shorter overall survival</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NE.Ref.{39B61A75-B0DD-4C4A-9AB1-CB46F7F85609}</w:instrText>
      </w:r>
      <w:r w:rsidR="007F0D36" w:rsidRPr="00275D1E">
        <w:rPr>
          <w:rFonts w:ascii="Book Antiqua" w:hAnsi="Book Antiqua" w:cs="Arial"/>
          <w:kern w:val="0"/>
        </w:rPr>
        <w:fldChar w:fldCharType="separate"/>
      </w:r>
      <w:r w:rsidR="00455E75">
        <w:rPr>
          <w:rFonts w:ascii="Book Antiqua" w:eastAsia="Book Antiqua" w:hAnsi="Book Antiqua"/>
          <w:color w:val="080000"/>
          <w:vertAlign w:val="superscript"/>
        </w:rPr>
        <w:t>[19</w:t>
      </w:r>
      <w:r w:rsidR="007F0D36" w:rsidRPr="00275D1E">
        <w:rPr>
          <w:rFonts w:ascii="Book Antiqua" w:eastAsia="Book Antiqua"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Another study used the microfluidic Nano Velcro assay and identified CTCs in 78% of 126 PDAC patients. The most significant finding of their study was the predictive ability of CTCs for occult metastatic disease in the preoperative setting</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NE.Ref.{21B2F4AF-95AF-4A0C-A87C-74CE7FFF35AF}</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[29</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xml:space="preserve">. Additionally, a recent study also detected CTCs through immunofluorescence staining for </w:t>
      </w:r>
      <w:r w:rsidR="008F3AA1">
        <w:rPr>
          <w:rFonts w:ascii="Book Antiqua" w:hAnsi="Book Antiqua" w:cs="Arial"/>
        </w:rPr>
        <w:t>CK</w:t>
      </w:r>
      <w:r w:rsidR="007F0D36" w:rsidRPr="00275D1E">
        <w:rPr>
          <w:rFonts w:ascii="Book Antiqua" w:hAnsi="Book Antiqua" w:cs="Arial"/>
          <w:kern w:val="0"/>
        </w:rPr>
        <w:t xml:space="preserve"> 19 or </w:t>
      </w:r>
      <w:proofErr w:type="spellStart"/>
      <w:r w:rsidR="007F0D36" w:rsidRPr="00275D1E">
        <w:rPr>
          <w:rFonts w:ascii="Book Antiqua" w:hAnsi="Book Antiqua" w:cs="Arial"/>
          <w:kern w:val="0"/>
        </w:rPr>
        <w:t>EpCAM</w:t>
      </w:r>
      <w:proofErr w:type="spellEnd"/>
      <w:r w:rsidR="007F0D36" w:rsidRPr="00275D1E">
        <w:rPr>
          <w:rFonts w:ascii="Book Antiqua" w:hAnsi="Book Antiqua" w:cs="Arial"/>
          <w:kern w:val="0"/>
        </w:rPr>
        <w:t xml:space="preserve"> in portal vein blood from PDAC patients. Their results demonstrated that CTC counts in portal vein blood was highly associated with intrahepatic metastases and poorer prognosis</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NE.Ref.{85CA560F-694E-40E8-91BC-820F4ACA082F}</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[30</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xml:space="preserve">. In our study, a novel technology applying a combination of epithelial and mesenchymal markers was used to isolate CTCs in peripheral blood from 107 patients with PDAC. We detected CTCs in 84 out of 107 (78.5%) patients. Our results </w:t>
      </w:r>
      <w:bookmarkStart w:id="78" w:name="OLE_LINK35"/>
      <w:bookmarkStart w:id="79" w:name="OLE_LINK32"/>
      <w:r w:rsidR="007F0D36" w:rsidRPr="00275D1E">
        <w:rPr>
          <w:rFonts w:ascii="Book Antiqua" w:hAnsi="Book Antiqua" w:cs="Arial"/>
          <w:kern w:val="0"/>
        </w:rPr>
        <w:t xml:space="preserve">demonstrated that positive CTC status was significantly correlated with </w:t>
      </w:r>
      <w:r w:rsidR="007F0D36" w:rsidRPr="00275D1E">
        <w:rPr>
          <w:rFonts w:ascii="Book Antiqua" w:hAnsi="Book Antiqua" w:cs="Arial"/>
          <w:kern w:val="0"/>
        </w:rPr>
        <w:lastRenderedPageBreak/>
        <w:t>lymph node metastasis, distant metastasis, and late TNM stage. Meanwhile, CTCs were associated with a significantly higher risk of death independent of other clinical risk factors.</w:t>
      </w:r>
    </w:p>
    <w:bookmarkEnd w:id="78"/>
    <w:bookmarkEnd w:id="79"/>
    <w:p w14:paraId="1EBE45FF" w14:textId="34906A4E" w:rsidR="00B57E37" w:rsidRPr="00275D1E" w:rsidRDefault="00401225" w:rsidP="00275D1E">
      <w:pPr>
        <w:widowControl/>
        <w:autoSpaceDE w:val="0"/>
        <w:autoSpaceDN w:val="0"/>
        <w:adjustRightInd w:val="0"/>
        <w:snapToGrid w:val="0"/>
        <w:spacing w:line="360" w:lineRule="auto"/>
        <w:rPr>
          <w:rFonts w:ascii="Book Antiqua" w:hAnsi="Book Antiqua" w:cs="Arial"/>
          <w:kern w:val="0"/>
        </w:rPr>
      </w:pPr>
      <w:r>
        <w:rPr>
          <w:rFonts w:ascii="Book Antiqua" w:hAnsi="Book Antiqua" w:cs="Arial"/>
          <w:kern w:val="0"/>
        </w:rPr>
        <w:t xml:space="preserve">  </w:t>
      </w:r>
      <w:r w:rsidR="007F0D36" w:rsidRPr="00275D1E">
        <w:rPr>
          <w:rFonts w:ascii="Book Antiqua" w:hAnsi="Book Antiqua" w:cs="Arial"/>
          <w:kern w:val="0"/>
        </w:rPr>
        <w:t>Although millions of disseminated tumor cells are shed from primary lesions into the peripheral blood during metastasis, they very rarely survive to form new lesions</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NE.Ref.{963DC291-7E89-47B0-832E-C5138BD4D874}</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[31</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A recent study demonstrated that CTC status is influenced both by the type of primary tumor and by the number of immune cells in the bloodstream</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NE.Ref.{BA493302-D974-479B-AA84-FF9B86C90F40}</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[32</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To study this further, we evaluated the correlation between CTCs and immune cell counts. The inflammatory response is correlated with the progression of various tumors, including lung, colorectal, and pancreatic cancer</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NE.Ref.{F4F21D8A-1021-4DA9-A79F-8416D9B87F67}</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[33-36</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Chronic pancreatitis is one of the risk factors for pancreatic cancer</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NE.Ref.{55B370C9-A564-44A2-9660-35F2806F1AE8}</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[33-36</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Some studies demonstrated that a high NLR, which is a circulating systemic inflammation-marker, is a poor prognostic factor in PDAC</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NE.Ref.{71689AB9-E585-42D6-8A21-71127C34B200}</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[37</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Our results demonstrated that lymphocyte count was reduced while NLR was significantly increased in the CTC-positive group compared with the negative group. Furthermore, there was a negative correlation between CTCs and lymphocytes and a positive correlation between CTCs and NLR. These results indicated that lymphocytes may have an important role in the clearance of CTCs.</w:t>
      </w:r>
    </w:p>
    <w:p w14:paraId="27BD3E5E" w14:textId="29B135B6" w:rsidR="00B57E37" w:rsidRPr="00275D1E" w:rsidRDefault="00401225" w:rsidP="00275D1E">
      <w:pPr>
        <w:widowControl/>
        <w:autoSpaceDE w:val="0"/>
        <w:autoSpaceDN w:val="0"/>
        <w:adjustRightInd w:val="0"/>
        <w:snapToGrid w:val="0"/>
        <w:spacing w:line="360" w:lineRule="auto"/>
        <w:rPr>
          <w:rFonts w:ascii="Book Antiqua" w:hAnsi="Book Antiqua" w:cs="Arial"/>
          <w:kern w:val="0"/>
        </w:rPr>
      </w:pPr>
      <w:r>
        <w:rPr>
          <w:rFonts w:ascii="Book Antiqua" w:hAnsi="Book Antiqua" w:cs="Arial"/>
          <w:kern w:val="0"/>
        </w:rPr>
        <w:t xml:space="preserve">  </w:t>
      </w:r>
      <w:r w:rsidR="007F0D36" w:rsidRPr="00275D1E">
        <w:rPr>
          <w:rFonts w:ascii="Book Antiqua" w:hAnsi="Book Antiqua" w:cs="Arial"/>
          <w:kern w:val="0"/>
        </w:rPr>
        <w:t xml:space="preserve">In previous studies, CTCs were detected through the expression of epithelial-specific markers, such as </w:t>
      </w:r>
      <w:proofErr w:type="spellStart"/>
      <w:r w:rsidR="008F3AA1">
        <w:rPr>
          <w:rFonts w:ascii="Book Antiqua" w:hAnsi="Book Antiqua" w:cs="Arial"/>
          <w:kern w:val="0"/>
        </w:rPr>
        <w:t>EpCAM</w:t>
      </w:r>
      <w:proofErr w:type="spellEnd"/>
      <w:r w:rsidR="007F0D36" w:rsidRPr="00275D1E">
        <w:rPr>
          <w:rFonts w:ascii="Book Antiqua" w:hAnsi="Book Antiqua" w:cs="Arial"/>
          <w:kern w:val="0"/>
        </w:rPr>
        <w:t xml:space="preserve"> and </w:t>
      </w:r>
      <w:r w:rsidR="008F3AA1">
        <w:rPr>
          <w:rFonts w:ascii="Book Antiqua" w:hAnsi="Book Antiqua" w:cs="Arial"/>
          <w:kern w:val="0"/>
        </w:rPr>
        <w:t>CK</w:t>
      </w:r>
      <w:r>
        <w:rPr>
          <w:rFonts w:ascii="Book Antiqua" w:hAnsi="Book Antiqua" w:cs="Arial"/>
          <w:kern w:val="0"/>
        </w:rPr>
        <w:t xml:space="preserve">. Thus far, the </w:t>
      </w:r>
      <w:proofErr w:type="spellStart"/>
      <w:r>
        <w:rPr>
          <w:rFonts w:ascii="Book Antiqua" w:hAnsi="Book Antiqua" w:cs="Arial"/>
          <w:kern w:val="0"/>
        </w:rPr>
        <w:t>CellSearch</w:t>
      </w:r>
      <w:proofErr w:type="spellEnd"/>
      <w:r>
        <w:rPr>
          <w:rFonts w:ascii="Book Antiqua" w:hAnsi="Book Antiqua" w:cs="Arial"/>
          <w:kern w:val="0"/>
        </w:rPr>
        <w:t xml:space="preserve"> s</w:t>
      </w:r>
      <w:r w:rsidR="007F0D36" w:rsidRPr="00275D1E">
        <w:rPr>
          <w:rFonts w:ascii="Book Antiqua" w:hAnsi="Book Antiqua" w:cs="Arial"/>
          <w:kern w:val="0"/>
        </w:rPr>
        <w:t xml:space="preserve">ystem is the only </w:t>
      </w:r>
      <w:r w:rsidRPr="00401225">
        <w:rPr>
          <w:rFonts w:ascii="Book Antiqua" w:hAnsi="Book Antiqua" w:cs="Arial"/>
          <w:kern w:val="0"/>
        </w:rPr>
        <w:t>Food and Drug Administration</w:t>
      </w:r>
      <w:r w:rsidR="007F0D36" w:rsidRPr="00275D1E">
        <w:rPr>
          <w:rFonts w:ascii="Book Antiqua" w:hAnsi="Book Antiqua" w:cs="Arial"/>
          <w:kern w:val="0"/>
        </w:rPr>
        <w:t xml:space="preserve">-approved CTC enumeration assay, which defines a CTC according to its size, positivity for </w:t>
      </w:r>
      <w:bookmarkStart w:id="80" w:name="OLE_LINK54"/>
      <w:bookmarkStart w:id="81" w:name="OLE_LINK57"/>
      <w:proofErr w:type="spellStart"/>
      <w:r w:rsidR="007F0D36" w:rsidRPr="00275D1E">
        <w:rPr>
          <w:rFonts w:ascii="Book Antiqua" w:hAnsi="Book Antiqua" w:cs="Arial"/>
          <w:kern w:val="0"/>
        </w:rPr>
        <w:t>EpCAM</w:t>
      </w:r>
      <w:bookmarkEnd w:id="80"/>
      <w:bookmarkEnd w:id="81"/>
      <w:proofErr w:type="spellEnd"/>
      <w:r w:rsidR="007F0D36" w:rsidRPr="00275D1E">
        <w:rPr>
          <w:rFonts w:ascii="Book Antiqua" w:hAnsi="Book Antiqua" w:cs="Arial"/>
          <w:kern w:val="0"/>
        </w:rPr>
        <w:t xml:space="preserve"> and </w:t>
      </w:r>
      <w:r w:rsidR="008F3AA1">
        <w:rPr>
          <w:rFonts w:ascii="Book Antiqua" w:hAnsi="Book Antiqua" w:cs="Arial"/>
        </w:rPr>
        <w:t>CK</w:t>
      </w:r>
      <w:r w:rsidR="007F0D36" w:rsidRPr="00275D1E">
        <w:rPr>
          <w:rFonts w:ascii="Book Antiqua" w:hAnsi="Book Antiqua" w:cs="Arial"/>
          <w:kern w:val="0"/>
        </w:rPr>
        <w:t>, and negative CD45 expression</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NE.Ref.{4808BF61-1471-4858-BE7F-C8C9CF090ECA}</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[38</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However, multiple studies have reported that phenotypic alterations, such as the upregulation of mesenchymal markers and the loss of epithelial markers, are common in CTCs in general, suggesting that methods that rely on the expression of epithelial markers most likely overlook CTCs undergoing EMT</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NE.Ref.{EB249E87-6B10-4900-85F9-53ED6F68A639}</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[39</w:t>
      </w:r>
      <w:r>
        <w:rPr>
          <w:rFonts w:ascii="Book Antiqua" w:eastAsia="DengXian" w:hAnsi="Book Antiqua"/>
          <w:color w:val="080000"/>
          <w:vertAlign w:val="superscript"/>
        </w:rPr>
        <w:t>,</w:t>
      </w:r>
      <w:r w:rsidR="00455E75">
        <w:rPr>
          <w:rFonts w:ascii="Book Antiqua" w:eastAsia="DengXian" w:hAnsi="Book Antiqua"/>
          <w:color w:val="080000"/>
          <w:vertAlign w:val="superscript"/>
        </w:rPr>
        <w:t>40</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Several studies exploring the EMT phenomenon of CTCs have showed mesenchymal CTCs were associated with tumor progression and therapy resistance in some cancer types</w:t>
      </w:r>
      <w:r w:rsidR="007F0D36" w:rsidRPr="00275D1E">
        <w:rPr>
          <w:rFonts w:ascii="Book Antiqua" w:hAnsi="Book Antiqua" w:cs="Arial"/>
          <w:kern w:val="0"/>
        </w:rPr>
        <w:fldChar w:fldCharType="begin"/>
      </w:r>
      <w:r w:rsidR="007F0D36" w:rsidRPr="00275D1E">
        <w:rPr>
          <w:rFonts w:ascii="Book Antiqua" w:hAnsi="Book Antiqua" w:cs="Arial"/>
          <w:kern w:val="0"/>
        </w:rPr>
        <w:instrText xml:space="preserve"> ADDIN NE.Ref.{03661B9B-187D-4326-89EF-6B2DFA5C5E5B}</w:instrText>
      </w:r>
      <w:r w:rsidR="007F0D36" w:rsidRPr="00275D1E">
        <w:rPr>
          <w:rFonts w:ascii="Book Antiqua" w:hAnsi="Book Antiqua" w:cs="Arial"/>
          <w:kern w:val="0"/>
        </w:rPr>
        <w:fldChar w:fldCharType="separate"/>
      </w:r>
      <w:r w:rsidR="00455E75">
        <w:rPr>
          <w:rFonts w:ascii="Book Antiqua" w:eastAsia="DengXian" w:hAnsi="Book Antiqua"/>
          <w:color w:val="080000"/>
          <w:vertAlign w:val="superscript"/>
        </w:rPr>
        <w:t>[41-43</w:t>
      </w:r>
      <w:r w:rsidR="007F0D36" w:rsidRPr="00275D1E">
        <w:rPr>
          <w:rFonts w:ascii="Book Antiqua" w:eastAsia="DengXian" w:hAnsi="Book Antiqua"/>
          <w:color w:val="080000"/>
          <w:vertAlign w:val="superscript"/>
        </w:rPr>
        <w:t>]</w:t>
      </w:r>
      <w:r w:rsidR="007F0D36" w:rsidRPr="00275D1E">
        <w:rPr>
          <w:rFonts w:ascii="Book Antiqua" w:hAnsi="Book Antiqua" w:cs="Arial"/>
          <w:kern w:val="0"/>
        </w:rPr>
        <w:fldChar w:fldCharType="end"/>
      </w:r>
      <w:r w:rsidR="007F0D36" w:rsidRPr="00275D1E">
        <w:rPr>
          <w:rFonts w:ascii="Book Antiqua" w:hAnsi="Book Antiqua" w:cs="Arial"/>
          <w:kern w:val="0"/>
        </w:rPr>
        <w:t xml:space="preserve"> . However, to date, there is no research describing the EMT </w:t>
      </w:r>
      <w:r w:rsidR="007F0D36" w:rsidRPr="00275D1E">
        <w:rPr>
          <w:rFonts w:ascii="Book Antiqua" w:hAnsi="Book Antiqua" w:cs="Arial"/>
          <w:kern w:val="0"/>
        </w:rPr>
        <w:lastRenderedPageBreak/>
        <w:t xml:space="preserve">phenomenon in CTCs in PDAC. </w:t>
      </w:r>
      <w:bookmarkStart w:id="82" w:name="OLE_LINK43"/>
      <w:bookmarkStart w:id="83" w:name="OLE_LINK44"/>
      <w:r w:rsidR="007F0D36" w:rsidRPr="00275D1E">
        <w:rPr>
          <w:rFonts w:ascii="Book Antiqua" w:hAnsi="Book Antiqua" w:cs="Arial"/>
          <w:kern w:val="0"/>
        </w:rPr>
        <w:t xml:space="preserve">In the present study, </w:t>
      </w:r>
      <w:bookmarkStart w:id="84" w:name="OLE_LINK41"/>
      <w:bookmarkStart w:id="85" w:name="OLE_LINK42"/>
      <w:r w:rsidR="007F0D36" w:rsidRPr="00275D1E">
        <w:rPr>
          <w:rFonts w:ascii="Book Antiqua" w:hAnsi="Book Antiqua" w:cs="Arial"/>
          <w:kern w:val="0"/>
        </w:rPr>
        <w:t xml:space="preserve">we detected and characterized CTCs from patients with PDAC using the cell size- and phenotype-based </w:t>
      </w:r>
      <w:proofErr w:type="spellStart"/>
      <w:r w:rsidR="007F0D36" w:rsidRPr="00275D1E">
        <w:rPr>
          <w:rFonts w:ascii="Book Antiqua" w:hAnsi="Book Antiqua" w:cs="Arial"/>
          <w:kern w:val="0"/>
        </w:rPr>
        <w:t>CanPatrol</w:t>
      </w:r>
      <w:proofErr w:type="spellEnd"/>
      <w:r w:rsidR="007F0D36" w:rsidRPr="00275D1E">
        <w:rPr>
          <w:rFonts w:ascii="Book Antiqua" w:hAnsi="Book Antiqua" w:cs="Arial"/>
          <w:kern w:val="0"/>
        </w:rPr>
        <w:t xml:space="preserve"> technique, which has been reported to detect CTCs with high efficiency. </w:t>
      </w:r>
      <w:bookmarkEnd w:id="82"/>
      <w:bookmarkEnd w:id="83"/>
      <w:bookmarkEnd w:id="84"/>
      <w:bookmarkEnd w:id="85"/>
      <w:r w:rsidR="007F0D36" w:rsidRPr="00275D1E">
        <w:rPr>
          <w:rFonts w:ascii="Book Antiqua" w:hAnsi="Book Antiqua" w:cs="Arial"/>
          <w:kern w:val="0"/>
        </w:rPr>
        <w:t xml:space="preserve">We identified CTCs with different EMT phenotypes in 84 patients. Furthermore, it was discovered that </w:t>
      </w:r>
      <w:bookmarkStart w:id="86" w:name="OLE_LINK36"/>
      <w:bookmarkStart w:id="87" w:name="OLE_LINK37"/>
      <w:r w:rsidR="007F0D36" w:rsidRPr="00275D1E">
        <w:rPr>
          <w:rFonts w:ascii="Book Antiqua" w:hAnsi="Book Antiqua" w:cs="Arial"/>
          <w:kern w:val="0"/>
        </w:rPr>
        <w:t xml:space="preserve">M-CTCs were most common in patients with advanced cancer. </w:t>
      </w:r>
      <w:bookmarkStart w:id="88" w:name="OLE_LINK67"/>
      <w:bookmarkStart w:id="89" w:name="OLE_LINK69"/>
      <w:bookmarkStart w:id="90" w:name="OLE_LINK68"/>
      <w:bookmarkEnd w:id="86"/>
      <w:bookmarkEnd w:id="87"/>
      <w:r w:rsidR="007F0D36" w:rsidRPr="00275D1E">
        <w:rPr>
          <w:rFonts w:ascii="Book Antiqua" w:hAnsi="Book Antiqua" w:cs="Arial"/>
          <w:kern w:val="0"/>
        </w:rPr>
        <w:t xml:space="preserve">However, circulating tumor </w:t>
      </w:r>
      <w:proofErr w:type="spellStart"/>
      <w:r w:rsidR="007F0D36" w:rsidRPr="00275D1E">
        <w:rPr>
          <w:rFonts w:ascii="Book Antiqua" w:hAnsi="Book Antiqua" w:cs="Arial"/>
          <w:kern w:val="0"/>
        </w:rPr>
        <w:t>microemboli</w:t>
      </w:r>
      <w:bookmarkEnd w:id="88"/>
      <w:bookmarkEnd w:id="89"/>
      <w:bookmarkEnd w:id="90"/>
      <w:r w:rsidR="007F0D36" w:rsidRPr="00275D1E">
        <w:rPr>
          <w:rFonts w:ascii="Book Antiqua" w:hAnsi="Book Antiqua" w:cs="Arial"/>
          <w:kern w:val="0"/>
        </w:rPr>
        <w:t>s</w:t>
      </w:r>
      <w:proofErr w:type="spellEnd"/>
      <w:r w:rsidR="007F0D36" w:rsidRPr="00275D1E">
        <w:rPr>
          <w:rFonts w:ascii="Book Antiqua" w:hAnsi="Book Antiqua" w:cs="Arial"/>
          <w:kern w:val="0"/>
        </w:rPr>
        <w:t xml:space="preserve"> were not detected in the present study. Our results support the notion of a role for EMT in tumor metastasis and indicated that the role of M-CTCs might be more essential than the other subpopulations in terms of the risk of disease progression. Moreover, we also observed that M-CTCs were negatively correlated with lymphocyte counts and that patients who were positive for M-CTC had significantly lower circulating lymphocyte counts than the CTC-negative group or the group lacking M-CTCs.</w:t>
      </w:r>
    </w:p>
    <w:p w14:paraId="1AB5576E" w14:textId="135F65AD" w:rsidR="00B57E37" w:rsidRPr="00275D1E" w:rsidRDefault="00401225" w:rsidP="00275D1E">
      <w:pPr>
        <w:widowControl/>
        <w:autoSpaceDE w:val="0"/>
        <w:autoSpaceDN w:val="0"/>
        <w:adjustRightInd w:val="0"/>
        <w:snapToGrid w:val="0"/>
        <w:spacing w:line="360" w:lineRule="auto"/>
        <w:rPr>
          <w:rFonts w:ascii="Book Antiqua" w:hAnsi="Book Antiqua" w:cs="Arial"/>
        </w:rPr>
      </w:pPr>
      <w:r>
        <w:rPr>
          <w:rFonts w:ascii="Book Antiqua" w:hAnsi="Book Antiqua" w:cs="Arial"/>
          <w:kern w:val="0"/>
        </w:rPr>
        <w:t xml:space="preserve">  </w:t>
      </w:r>
      <w:r w:rsidR="007F0D36" w:rsidRPr="00275D1E">
        <w:rPr>
          <w:rFonts w:ascii="Book Antiqua" w:hAnsi="Book Antiqua" w:cs="Arial"/>
          <w:kern w:val="0"/>
        </w:rPr>
        <w:t xml:space="preserve">There is no doubt that liquid biopsy is superior to conventional methods for dynamically monitoring cancer status, and the detection of CTCs is likely to gain popularity in the clinic. To our knowledge, here we report for the first time the prognostic utility of CTCs, as detected by the </w:t>
      </w:r>
      <w:proofErr w:type="spellStart"/>
      <w:r w:rsidR="007F0D36" w:rsidRPr="00275D1E">
        <w:rPr>
          <w:rFonts w:ascii="Book Antiqua" w:hAnsi="Book Antiqua" w:cs="Arial"/>
        </w:rPr>
        <w:t>CanPatrol</w:t>
      </w:r>
      <w:proofErr w:type="spellEnd"/>
      <w:r w:rsidR="007F0D36" w:rsidRPr="00275D1E">
        <w:rPr>
          <w:rFonts w:ascii="Book Antiqua" w:hAnsi="Book Antiqua" w:cs="Arial"/>
        </w:rPr>
        <w:t xml:space="preserve"> CTC enrichment technique, in patients with PDAC. Our data </w:t>
      </w:r>
      <w:bookmarkStart w:id="91" w:name="OLE_LINK80"/>
      <w:bookmarkStart w:id="92" w:name="OLE_LINK79"/>
      <w:r w:rsidR="007F0D36" w:rsidRPr="00275D1E">
        <w:rPr>
          <w:rFonts w:ascii="Book Antiqua" w:hAnsi="Book Antiqua" w:cs="Arial"/>
        </w:rPr>
        <w:t xml:space="preserve">support the potential clinical value of PDAC CTCs. Both total CTC number and CTC EMT phenotype may act as potential biomarkers for PDAC prognosis. </w:t>
      </w:r>
      <w:bookmarkStart w:id="93" w:name="OLE_LINK81"/>
      <w:bookmarkEnd w:id="91"/>
      <w:bookmarkEnd w:id="92"/>
      <w:r w:rsidR="007F0D36" w:rsidRPr="00275D1E">
        <w:rPr>
          <w:rFonts w:ascii="Book Antiqua" w:hAnsi="Book Antiqua" w:cs="Arial"/>
        </w:rPr>
        <w:t xml:space="preserve">However, our study suffered from a small sample size, and the results should be interpreted with caution. </w:t>
      </w:r>
      <w:bookmarkStart w:id="94" w:name="OLE_LINK1"/>
      <w:bookmarkStart w:id="95" w:name="OLE_LINK2"/>
      <w:r w:rsidR="007F0D36" w:rsidRPr="00275D1E">
        <w:rPr>
          <w:rFonts w:ascii="Book Antiqua" w:hAnsi="Book Antiqua" w:cs="Arial"/>
        </w:rPr>
        <w:t xml:space="preserve">Large well-designed clinical trials </w:t>
      </w:r>
      <w:bookmarkEnd w:id="94"/>
      <w:bookmarkEnd w:id="95"/>
      <w:r w:rsidR="007F0D36" w:rsidRPr="00275D1E">
        <w:rPr>
          <w:rFonts w:ascii="Book Antiqua" w:hAnsi="Book Antiqua" w:cs="Arial"/>
        </w:rPr>
        <w:t>are required to elucidate the potential value of EMT markers in CTCs.</w:t>
      </w:r>
    </w:p>
    <w:bookmarkEnd w:id="93"/>
    <w:p w14:paraId="39E7C544" w14:textId="77777777" w:rsidR="00B57E37" w:rsidRPr="00275D1E" w:rsidRDefault="00B57E37" w:rsidP="00275D1E">
      <w:pPr>
        <w:widowControl/>
        <w:autoSpaceDE w:val="0"/>
        <w:autoSpaceDN w:val="0"/>
        <w:adjustRightInd w:val="0"/>
        <w:snapToGrid w:val="0"/>
        <w:spacing w:line="360" w:lineRule="auto"/>
        <w:rPr>
          <w:rFonts w:ascii="Book Antiqua" w:hAnsi="Book Antiqua" w:cs="Arial"/>
        </w:rPr>
      </w:pPr>
    </w:p>
    <w:p w14:paraId="0B87A549" w14:textId="77777777" w:rsidR="00B57E37" w:rsidRPr="00275D1E" w:rsidRDefault="007F0D36" w:rsidP="00233FF1">
      <w:pPr>
        <w:widowControl/>
        <w:autoSpaceDE w:val="0"/>
        <w:autoSpaceDN w:val="0"/>
        <w:adjustRightInd w:val="0"/>
        <w:snapToGrid w:val="0"/>
        <w:spacing w:line="360" w:lineRule="auto"/>
        <w:outlineLvl w:val="0"/>
        <w:rPr>
          <w:rFonts w:ascii="Book Antiqua" w:hAnsi="Book Antiqua" w:cs="Arial"/>
          <w:b/>
        </w:rPr>
      </w:pPr>
      <w:r w:rsidRPr="00275D1E">
        <w:rPr>
          <w:rFonts w:ascii="Book Antiqua" w:hAnsi="Book Antiqua" w:cs="Arial"/>
          <w:b/>
        </w:rPr>
        <w:t>ARTICLE HIGHLIGHTS</w:t>
      </w:r>
    </w:p>
    <w:p w14:paraId="6DDCA45A" w14:textId="77777777" w:rsidR="00B57E37" w:rsidRPr="00275D1E" w:rsidRDefault="007F0D36" w:rsidP="00233FF1">
      <w:pPr>
        <w:widowControl/>
        <w:autoSpaceDE w:val="0"/>
        <w:autoSpaceDN w:val="0"/>
        <w:adjustRightInd w:val="0"/>
        <w:snapToGrid w:val="0"/>
        <w:spacing w:line="360" w:lineRule="auto"/>
        <w:outlineLvl w:val="0"/>
        <w:rPr>
          <w:rFonts w:ascii="Book Antiqua" w:hAnsi="Book Antiqua" w:cs="Arial"/>
          <w:b/>
          <w:i/>
        </w:rPr>
      </w:pPr>
      <w:r w:rsidRPr="00275D1E">
        <w:rPr>
          <w:rFonts w:ascii="Book Antiqua" w:hAnsi="Book Antiqua" w:cs="Arial"/>
          <w:b/>
          <w:i/>
        </w:rPr>
        <w:t>Research background</w:t>
      </w:r>
    </w:p>
    <w:p w14:paraId="449A11CC" w14:textId="27258CB7"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rPr>
        <w:t>Circulating tumor cells (CTCs) has been demonstrated to be a prognostic indicator</w:t>
      </w:r>
      <w:r w:rsidR="00401225">
        <w:rPr>
          <w:rFonts w:ascii="Book Antiqua" w:hAnsi="Book Antiqua" w:cs="Arial"/>
        </w:rPr>
        <w:t xml:space="preserve"> in numerous cancers. However, i</w:t>
      </w:r>
      <w:r w:rsidRPr="00275D1E">
        <w:rPr>
          <w:rFonts w:ascii="Book Antiqua" w:hAnsi="Book Antiqua" w:cs="Arial"/>
        </w:rPr>
        <w:t xml:space="preserve">n pancreatic ductal adenocarcinoma (PDAC), CTCs remain to be studied. Here, we report for the first time the prognostic utility of CTCs, as detected by </w:t>
      </w:r>
      <w:proofErr w:type="spellStart"/>
      <w:r w:rsidRPr="00275D1E">
        <w:rPr>
          <w:rFonts w:ascii="Book Antiqua" w:hAnsi="Book Antiqua" w:cs="Arial"/>
        </w:rPr>
        <w:t>CanPatrol</w:t>
      </w:r>
      <w:proofErr w:type="spellEnd"/>
      <w:r w:rsidRPr="00275D1E">
        <w:rPr>
          <w:rFonts w:ascii="Book Antiqua" w:hAnsi="Book Antiqua" w:cs="Arial"/>
        </w:rPr>
        <w:t xml:space="preserve"> CTC enrichment technique, in patients with PDAC. Our data support the potential </w:t>
      </w:r>
      <w:r w:rsidRPr="00275D1E">
        <w:rPr>
          <w:rFonts w:ascii="Book Antiqua" w:hAnsi="Book Antiqua" w:cs="Arial"/>
        </w:rPr>
        <w:lastRenderedPageBreak/>
        <w:t xml:space="preserve">clinical value of PDAC CTCs. Both total CTC number and CTC </w:t>
      </w:r>
      <w:r w:rsidR="00401225" w:rsidRPr="00401225">
        <w:rPr>
          <w:rFonts w:ascii="Book Antiqua" w:hAnsi="Book Antiqua" w:cs="Arial"/>
        </w:rPr>
        <w:t xml:space="preserve">epithelial-to-mesenchymal transition </w:t>
      </w:r>
      <w:r w:rsidR="00401225">
        <w:rPr>
          <w:rFonts w:ascii="Book Antiqua" w:hAnsi="Book Antiqua" w:cs="Arial"/>
        </w:rPr>
        <w:t>(</w:t>
      </w:r>
      <w:r w:rsidRPr="00275D1E">
        <w:rPr>
          <w:rFonts w:ascii="Book Antiqua" w:hAnsi="Book Antiqua" w:cs="Arial"/>
        </w:rPr>
        <w:t>EMT</w:t>
      </w:r>
      <w:r w:rsidR="00401225">
        <w:rPr>
          <w:rFonts w:ascii="Book Antiqua" w:hAnsi="Book Antiqua" w:cs="Arial"/>
        </w:rPr>
        <w:t>)</w:t>
      </w:r>
      <w:r w:rsidRPr="00275D1E">
        <w:rPr>
          <w:rFonts w:ascii="Book Antiqua" w:hAnsi="Book Antiqua" w:cs="Arial"/>
        </w:rPr>
        <w:t xml:space="preserve"> phenotype may act as potential </w:t>
      </w:r>
      <w:bookmarkStart w:id="96" w:name="OLE_LINK56"/>
      <w:bookmarkStart w:id="97" w:name="OLE_LINK65"/>
      <w:r w:rsidRPr="00275D1E">
        <w:rPr>
          <w:rFonts w:ascii="Book Antiqua" w:hAnsi="Book Antiqua" w:cs="Arial"/>
        </w:rPr>
        <w:t>biomarkers for PDAC prognosis.</w:t>
      </w:r>
    </w:p>
    <w:bookmarkEnd w:id="96"/>
    <w:bookmarkEnd w:id="97"/>
    <w:p w14:paraId="65A997BF" w14:textId="77777777" w:rsidR="00B57E37" w:rsidRPr="00275D1E" w:rsidRDefault="00B57E37" w:rsidP="00275D1E">
      <w:pPr>
        <w:adjustRightInd w:val="0"/>
        <w:snapToGrid w:val="0"/>
        <w:spacing w:line="360" w:lineRule="auto"/>
        <w:rPr>
          <w:rFonts w:ascii="Book Antiqua" w:hAnsi="Book Antiqua" w:cs="Arial"/>
        </w:rPr>
      </w:pPr>
    </w:p>
    <w:p w14:paraId="362F7605" w14:textId="77777777" w:rsidR="00B57E37" w:rsidRPr="00275D1E" w:rsidRDefault="007F0D36" w:rsidP="00233FF1">
      <w:pPr>
        <w:adjustRightInd w:val="0"/>
        <w:snapToGrid w:val="0"/>
        <w:spacing w:line="360" w:lineRule="auto"/>
        <w:outlineLvl w:val="0"/>
        <w:rPr>
          <w:rFonts w:ascii="Book Antiqua" w:hAnsi="Book Antiqua" w:cs="Arial"/>
          <w:b/>
          <w:i/>
        </w:rPr>
      </w:pPr>
      <w:bookmarkStart w:id="98" w:name="OLE_LINK25"/>
      <w:bookmarkStart w:id="99" w:name="OLE_LINK26"/>
      <w:r w:rsidRPr="00275D1E">
        <w:rPr>
          <w:rFonts w:ascii="Book Antiqua" w:hAnsi="Book Antiqua" w:cs="Arial"/>
          <w:b/>
          <w:i/>
        </w:rPr>
        <w:t>Research motivation</w:t>
      </w:r>
    </w:p>
    <w:bookmarkEnd w:id="98"/>
    <w:bookmarkEnd w:id="99"/>
    <w:p w14:paraId="55CF6C6A" w14:textId="7E4641DB"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rPr>
        <w:t xml:space="preserve">In the present study, we explored the relationships between clinicopathological parameters and the relative abundance of three circulating EMT-CTC subpopulations. We found that </w:t>
      </w:r>
      <w:r w:rsidRPr="00275D1E">
        <w:rPr>
          <w:rFonts w:ascii="Book Antiqua" w:hAnsi="Book Antiqua" w:cs="Arial"/>
          <w:kern w:val="0"/>
        </w:rPr>
        <w:t xml:space="preserve">CTC status correlated with lymph node metastasis, TNM stage, distant metastasis, blood lymphocyte counts and the </w:t>
      </w:r>
      <w:r w:rsidR="00401225" w:rsidRPr="00401225">
        <w:rPr>
          <w:rFonts w:ascii="Book Antiqua" w:hAnsi="Book Antiqua" w:cs="Arial"/>
          <w:kern w:val="0"/>
        </w:rPr>
        <w:t xml:space="preserve">neutrophil-to-lymphocyte ratio </w:t>
      </w:r>
      <w:r w:rsidR="00401225">
        <w:rPr>
          <w:rFonts w:ascii="Book Antiqua" w:hAnsi="Book Antiqua" w:cs="Arial"/>
          <w:kern w:val="0"/>
        </w:rPr>
        <w:t>(</w:t>
      </w:r>
      <w:r w:rsidRPr="00275D1E">
        <w:rPr>
          <w:rFonts w:ascii="Book Antiqua" w:hAnsi="Book Antiqua" w:cs="Arial"/>
          <w:kern w:val="0"/>
        </w:rPr>
        <w:t>NLR</w:t>
      </w:r>
      <w:r w:rsidR="00401225">
        <w:rPr>
          <w:rFonts w:ascii="Book Antiqua" w:hAnsi="Book Antiqua" w:cs="Arial"/>
          <w:kern w:val="0"/>
        </w:rPr>
        <w:t>)</w:t>
      </w:r>
      <w:r w:rsidRPr="00275D1E">
        <w:rPr>
          <w:rFonts w:ascii="Book Antiqua" w:hAnsi="Book Antiqua" w:cs="Arial"/>
          <w:kern w:val="0"/>
        </w:rPr>
        <w:t>. Kaplan-Meier survival analysis showed that patients with ≥</w:t>
      </w:r>
      <w:r w:rsidR="00401225">
        <w:rPr>
          <w:rFonts w:ascii="Book Antiqua" w:hAnsi="Book Antiqua" w:cs="Arial"/>
          <w:kern w:val="0"/>
        </w:rPr>
        <w:t xml:space="preserve"> </w:t>
      </w:r>
      <w:r w:rsidRPr="00275D1E">
        <w:rPr>
          <w:rFonts w:ascii="Book Antiqua" w:hAnsi="Book Antiqua" w:cs="Arial"/>
          <w:kern w:val="0"/>
        </w:rPr>
        <w:t>6 total CTCs had significantly decreased OS and PFS compared to patients with &lt;</w:t>
      </w:r>
      <w:r w:rsidR="00401225">
        <w:rPr>
          <w:rFonts w:ascii="Book Antiqua" w:hAnsi="Book Antiqua" w:cs="Arial"/>
          <w:kern w:val="0"/>
        </w:rPr>
        <w:t xml:space="preserve"> </w:t>
      </w:r>
      <w:r w:rsidRPr="00275D1E">
        <w:rPr>
          <w:rFonts w:ascii="Book Antiqua" w:hAnsi="Book Antiqua" w:cs="Arial"/>
          <w:kern w:val="0"/>
        </w:rPr>
        <w:t xml:space="preserve">6 total CTCs. The presence of M-CTCs was positively correlated with TNM stage and distant metastasis. Additionally, lymphocyte counts and NLR in patients without CTCs were significantly different from those in patients testing positive for each CTC subpopulation. Our data support the potential clinical value of PDAC CTCs. Furthermore, our data also provided support for further </w:t>
      </w:r>
      <w:r w:rsidRPr="00275D1E">
        <w:rPr>
          <w:rFonts w:ascii="Book Antiqua" w:hAnsi="Book Antiqua" w:cs="Arial"/>
        </w:rPr>
        <w:t>large well-designed clinical trials to explore CTC counts as indicators of PDAC progression.</w:t>
      </w:r>
    </w:p>
    <w:p w14:paraId="117F0D1B" w14:textId="77777777" w:rsidR="00B57E37" w:rsidRPr="00275D1E" w:rsidRDefault="00B57E37" w:rsidP="00275D1E">
      <w:pPr>
        <w:adjustRightInd w:val="0"/>
        <w:snapToGrid w:val="0"/>
        <w:spacing w:line="360" w:lineRule="auto"/>
        <w:rPr>
          <w:rFonts w:ascii="Book Antiqua" w:hAnsi="Book Antiqua" w:cs="Arial"/>
          <w:kern w:val="0"/>
        </w:rPr>
      </w:pPr>
    </w:p>
    <w:p w14:paraId="52267C2E" w14:textId="77777777" w:rsidR="00B57E37" w:rsidRPr="00275D1E" w:rsidRDefault="007F0D36" w:rsidP="00233FF1">
      <w:pPr>
        <w:adjustRightInd w:val="0"/>
        <w:snapToGrid w:val="0"/>
        <w:spacing w:line="360" w:lineRule="auto"/>
        <w:outlineLvl w:val="0"/>
        <w:rPr>
          <w:rFonts w:ascii="Book Antiqua" w:hAnsi="Book Antiqua" w:cs="Arial"/>
          <w:b/>
          <w:i/>
        </w:rPr>
      </w:pPr>
      <w:r w:rsidRPr="00275D1E">
        <w:rPr>
          <w:rFonts w:ascii="Book Antiqua" w:hAnsi="Book Antiqua" w:cs="Arial"/>
          <w:b/>
          <w:i/>
        </w:rPr>
        <w:t>Research objectives</w:t>
      </w:r>
    </w:p>
    <w:p w14:paraId="2976D378" w14:textId="77777777"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rPr>
        <w:t xml:space="preserve">The objective of this research was to explore the relationships between clinicopathological parameters and the relative abundance of the three circulating EMT-CTC subpopulations in PDAC. This research </w:t>
      </w:r>
      <w:r w:rsidRPr="00275D1E">
        <w:rPr>
          <w:rFonts w:ascii="Book Antiqua" w:hAnsi="Book Antiqua" w:cs="Arial"/>
          <w:kern w:val="0"/>
        </w:rPr>
        <w:t xml:space="preserve">demonstrated that positive CTC status was significantly correlated with lymph node metastasis, distant metastasis, late TNM stage and poor patient prognosis. Meanwhile, M-CTCs were most common in patients with advanced cancer. These results demonstrated that </w:t>
      </w:r>
      <w:r w:rsidRPr="00275D1E">
        <w:rPr>
          <w:rFonts w:ascii="Book Antiqua" w:hAnsi="Book Antiqua" w:cs="Arial"/>
        </w:rPr>
        <w:t>classifying CTCs by EMT markers helps to identify the more aggressive CTC subpopulations and provides useful evidence for determining a suitable clinical approach.</w:t>
      </w:r>
    </w:p>
    <w:p w14:paraId="4E9B6581" w14:textId="77777777" w:rsidR="00B57E37" w:rsidRPr="00275D1E" w:rsidRDefault="00B57E37" w:rsidP="00275D1E">
      <w:pPr>
        <w:widowControl/>
        <w:autoSpaceDE w:val="0"/>
        <w:autoSpaceDN w:val="0"/>
        <w:adjustRightInd w:val="0"/>
        <w:snapToGrid w:val="0"/>
        <w:spacing w:line="360" w:lineRule="auto"/>
        <w:rPr>
          <w:rFonts w:ascii="Book Antiqua" w:hAnsi="Book Antiqua" w:cs="Arial"/>
          <w:kern w:val="0"/>
        </w:rPr>
      </w:pPr>
    </w:p>
    <w:p w14:paraId="3A91E792" w14:textId="77777777" w:rsidR="00B57E37" w:rsidRPr="00275D1E" w:rsidRDefault="007F0D36" w:rsidP="00233FF1">
      <w:pPr>
        <w:adjustRightInd w:val="0"/>
        <w:snapToGrid w:val="0"/>
        <w:spacing w:line="360" w:lineRule="auto"/>
        <w:outlineLvl w:val="0"/>
        <w:rPr>
          <w:rFonts w:ascii="Book Antiqua" w:hAnsi="Book Antiqua" w:cs="Arial"/>
          <w:b/>
          <w:i/>
        </w:rPr>
      </w:pPr>
      <w:r w:rsidRPr="00275D1E">
        <w:rPr>
          <w:rFonts w:ascii="Book Antiqua" w:hAnsi="Book Antiqua" w:cs="Arial"/>
          <w:b/>
          <w:i/>
        </w:rPr>
        <w:t>Research Methods</w:t>
      </w:r>
    </w:p>
    <w:p w14:paraId="0A6DA07D" w14:textId="0A772ABA"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kern w:val="0"/>
        </w:rPr>
        <w:lastRenderedPageBreak/>
        <w:t xml:space="preserve">This research utilized </w:t>
      </w:r>
      <w:r w:rsidRPr="00275D1E">
        <w:rPr>
          <w:rFonts w:ascii="Book Antiqua" w:hAnsi="Book Antiqua" w:cs="Arial"/>
        </w:rPr>
        <w:t xml:space="preserve">the </w:t>
      </w:r>
      <w:r w:rsidRPr="00275D1E">
        <w:rPr>
          <w:rFonts w:ascii="Book Antiqua" w:hAnsi="Book Antiqua" w:cs="Arial"/>
          <w:kern w:val="0"/>
        </w:rPr>
        <w:t xml:space="preserve">cell size- and phenotype-based </w:t>
      </w:r>
      <w:bookmarkStart w:id="100" w:name="OLE_LINK75"/>
      <w:bookmarkStart w:id="101" w:name="OLE_LINK76"/>
      <w:proofErr w:type="spellStart"/>
      <w:r w:rsidRPr="00275D1E">
        <w:rPr>
          <w:rFonts w:ascii="Book Antiqua" w:hAnsi="Book Antiqua" w:cs="Arial"/>
        </w:rPr>
        <w:t>CanPatrol</w:t>
      </w:r>
      <w:proofErr w:type="spellEnd"/>
      <w:r w:rsidRPr="00275D1E">
        <w:rPr>
          <w:rFonts w:ascii="Book Antiqua" w:hAnsi="Book Antiqua" w:cs="Arial"/>
        </w:rPr>
        <w:t xml:space="preserve"> CTC filtration system</w:t>
      </w:r>
      <w:bookmarkEnd w:id="100"/>
      <w:bookmarkEnd w:id="101"/>
      <w:r w:rsidRPr="00275D1E">
        <w:rPr>
          <w:rFonts w:ascii="Book Antiqua" w:hAnsi="Book Antiqua" w:cs="Arial"/>
        </w:rPr>
        <w:t xml:space="preserve"> to isolate </w:t>
      </w:r>
      <w:bookmarkStart w:id="102" w:name="OLE_LINK66"/>
      <w:bookmarkStart w:id="103" w:name="OLE_LINK70"/>
      <w:r w:rsidRPr="00275D1E">
        <w:rPr>
          <w:rFonts w:ascii="Book Antiqua" w:hAnsi="Book Antiqua" w:cs="Arial"/>
        </w:rPr>
        <w:t>CTCs</w:t>
      </w:r>
      <w:bookmarkEnd w:id="102"/>
      <w:bookmarkEnd w:id="103"/>
      <w:r w:rsidRPr="00275D1E">
        <w:rPr>
          <w:rFonts w:ascii="Book Antiqua" w:hAnsi="Book Antiqua" w:cs="Arial"/>
        </w:rPr>
        <w:t>. CTC subpopulations were identified using a multiplex RNA-ISH assay. Four ep</w:t>
      </w:r>
      <w:r w:rsidR="00401225">
        <w:rPr>
          <w:rFonts w:ascii="Book Antiqua" w:hAnsi="Book Antiqua" w:cs="Arial"/>
        </w:rPr>
        <w:t>ithelial biomarkers (e</w:t>
      </w:r>
      <w:r w:rsidR="00401225" w:rsidRPr="00401225">
        <w:rPr>
          <w:rFonts w:ascii="Book Antiqua" w:hAnsi="Book Antiqua" w:cs="Arial"/>
        </w:rPr>
        <w:t>pithelial cell adhesion molecule</w:t>
      </w:r>
      <w:r w:rsidR="00401225">
        <w:rPr>
          <w:rFonts w:ascii="Book Antiqua" w:hAnsi="Book Antiqua" w:cs="Arial"/>
        </w:rPr>
        <w:t xml:space="preserve"> and c</w:t>
      </w:r>
      <w:r w:rsidRPr="00275D1E">
        <w:rPr>
          <w:rFonts w:ascii="Book Antiqua" w:hAnsi="Book Antiqua" w:cs="Arial"/>
        </w:rPr>
        <w:t>ytokeratin 8/18/19), two mesenchymal biomarkers (vimentin and twist), and a leukocyte biomarker, CD45 were applied to capture and characterize the CTCs.</w:t>
      </w:r>
    </w:p>
    <w:p w14:paraId="2AB283B9" w14:textId="77777777" w:rsidR="00B57E37" w:rsidRPr="00275D1E" w:rsidRDefault="00B57E37" w:rsidP="00275D1E">
      <w:pPr>
        <w:adjustRightInd w:val="0"/>
        <w:snapToGrid w:val="0"/>
        <w:spacing w:line="360" w:lineRule="auto"/>
        <w:rPr>
          <w:rFonts w:ascii="Book Antiqua" w:hAnsi="Book Antiqua" w:cs="Arial"/>
        </w:rPr>
      </w:pPr>
    </w:p>
    <w:p w14:paraId="1D741F69" w14:textId="77777777" w:rsidR="00B57E37" w:rsidRPr="00275D1E" w:rsidRDefault="007F0D36" w:rsidP="00233FF1">
      <w:pPr>
        <w:adjustRightInd w:val="0"/>
        <w:snapToGrid w:val="0"/>
        <w:spacing w:line="360" w:lineRule="auto"/>
        <w:outlineLvl w:val="0"/>
        <w:rPr>
          <w:rFonts w:ascii="Book Antiqua" w:hAnsi="Book Antiqua" w:cs="Arial"/>
          <w:b/>
          <w:i/>
        </w:rPr>
      </w:pPr>
      <w:r w:rsidRPr="00275D1E">
        <w:rPr>
          <w:rFonts w:ascii="Book Antiqua" w:hAnsi="Book Antiqua" w:cs="Arial"/>
          <w:b/>
          <w:i/>
        </w:rPr>
        <w:t>Research results</w:t>
      </w:r>
    </w:p>
    <w:p w14:paraId="0AE5B266" w14:textId="5722BD4A"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rPr>
        <w:t xml:space="preserve">This research indicated that the presence of CTCs was significantly associated with PDAC poor prognosis. Moreover, M-CTCs were </w:t>
      </w:r>
      <w:r w:rsidRPr="00275D1E">
        <w:rPr>
          <w:rFonts w:ascii="Book Antiqua" w:hAnsi="Book Antiqua" w:cs="Arial"/>
          <w:kern w:val="0"/>
        </w:rPr>
        <w:t>most common in patie</w:t>
      </w:r>
      <w:r w:rsidR="00401225">
        <w:rPr>
          <w:rFonts w:ascii="Book Antiqua" w:hAnsi="Book Antiqua" w:cs="Arial"/>
          <w:kern w:val="0"/>
        </w:rPr>
        <w:t xml:space="preserve">nts with advanced cancer. These </w:t>
      </w:r>
      <w:r w:rsidRPr="00275D1E">
        <w:rPr>
          <w:rFonts w:ascii="Book Antiqua" w:hAnsi="Book Antiqua" w:cs="Arial"/>
          <w:kern w:val="0"/>
        </w:rPr>
        <w:t>result</w:t>
      </w:r>
      <w:r w:rsidR="00401225">
        <w:rPr>
          <w:rFonts w:ascii="Book Antiqua" w:hAnsi="Book Antiqua" w:cs="Arial"/>
          <w:kern w:val="0"/>
        </w:rPr>
        <w:t>s</w:t>
      </w:r>
      <w:r w:rsidRPr="00275D1E">
        <w:rPr>
          <w:rFonts w:ascii="Book Antiqua" w:hAnsi="Book Antiqua" w:cs="Arial"/>
          <w:kern w:val="0"/>
        </w:rPr>
        <w:t xml:space="preserve"> demonstrate that CTCs are promising </w:t>
      </w:r>
      <w:r w:rsidRPr="00275D1E">
        <w:rPr>
          <w:rFonts w:ascii="Book Antiqua" w:hAnsi="Book Antiqua" w:cs="Arial"/>
        </w:rPr>
        <w:t>biomarker for PDAC prognosis and identification of EMT markers in CTCs provide more information on tumor progression.</w:t>
      </w:r>
    </w:p>
    <w:p w14:paraId="28F9AFD3" w14:textId="77777777" w:rsidR="00B57E37" w:rsidRPr="00275D1E" w:rsidRDefault="00B57E37" w:rsidP="00275D1E">
      <w:pPr>
        <w:adjustRightInd w:val="0"/>
        <w:snapToGrid w:val="0"/>
        <w:spacing w:line="360" w:lineRule="auto"/>
        <w:rPr>
          <w:rFonts w:ascii="Book Antiqua" w:hAnsi="Book Antiqua" w:cs="Arial"/>
        </w:rPr>
      </w:pPr>
    </w:p>
    <w:p w14:paraId="0DDAF10C" w14:textId="77777777" w:rsidR="00B57E37" w:rsidRPr="00275D1E" w:rsidRDefault="007F0D36" w:rsidP="00233FF1">
      <w:pPr>
        <w:adjustRightInd w:val="0"/>
        <w:snapToGrid w:val="0"/>
        <w:spacing w:line="360" w:lineRule="auto"/>
        <w:outlineLvl w:val="0"/>
        <w:rPr>
          <w:rFonts w:ascii="Book Antiqua" w:hAnsi="Book Antiqua" w:cs="Arial"/>
          <w:b/>
          <w:i/>
        </w:rPr>
      </w:pPr>
      <w:bookmarkStart w:id="104" w:name="OLE_LINK77"/>
      <w:bookmarkStart w:id="105" w:name="OLE_LINK78"/>
      <w:r w:rsidRPr="00275D1E">
        <w:rPr>
          <w:rFonts w:ascii="Book Antiqua" w:hAnsi="Book Antiqua" w:cs="Arial"/>
          <w:b/>
          <w:i/>
        </w:rPr>
        <w:t>Research conclusions</w:t>
      </w:r>
    </w:p>
    <w:bookmarkEnd w:id="104"/>
    <w:bookmarkEnd w:id="105"/>
    <w:p w14:paraId="235E0019" w14:textId="15DC6244" w:rsidR="00B57E37" w:rsidRPr="00275D1E" w:rsidRDefault="007F0D36" w:rsidP="00275D1E">
      <w:pPr>
        <w:adjustRightInd w:val="0"/>
        <w:snapToGrid w:val="0"/>
        <w:spacing w:line="360" w:lineRule="auto"/>
        <w:rPr>
          <w:rFonts w:ascii="Book Antiqua" w:hAnsi="Book Antiqua" w:cs="Arial"/>
        </w:rPr>
      </w:pPr>
      <w:r w:rsidRPr="00275D1E">
        <w:rPr>
          <w:rFonts w:ascii="Book Antiqua" w:hAnsi="Book Antiqua" w:cs="Arial"/>
          <w:kern w:val="0"/>
        </w:rPr>
        <w:t xml:space="preserve">In the present study, a novel technology called </w:t>
      </w:r>
      <w:proofErr w:type="spellStart"/>
      <w:r w:rsidRPr="00275D1E">
        <w:rPr>
          <w:rFonts w:ascii="Book Antiqua" w:hAnsi="Book Antiqua" w:cs="Arial"/>
        </w:rPr>
        <w:t>CanPatrol</w:t>
      </w:r>
      <w:proofErr w:type="spellEnd"/>
      <w:r w:rsidRPr="00275D1E">
        <w:rPr>
          <w:rFonts w:ascii="Book Antiqua" w:hAnsi="Book Antiqua" w:cs="Arial"/>
        </w:rPr>
        <w:t xml:space="preserve"> CTC filtration system</w:t>
      </w:r>
      <w:r w:rsidRPr="00275D1E">
        <w:rPr>
          <w:rFonts w:ascii="Book Antiqua" w:hAnsi="Book Antiqua" w:cs="Arial"/>
          <w:kern w:val="0"/>
        </w:rPr>
        <w:t xml:space="preserve"> applying a combination of epithelial and mesenchymal markers was used to detect CTCs in peripheral blood from 107 patients with PDAC. We found that CTC positivity was correlated with clinicopathologic variables and outcomes. Meanwhile, the presence M-CTCs associated with advanced stage and distant metastasis. These results demonstrated that CTC enumeration and classification show pr</w:t>
      </w:r>
      <w:r w:rsidR="00401225">
        <w:rPr>
          <w:rFonts w:ascii="Book Antiqua" w:hAnsi="Book Antiqua" w:cs="Arial"/>
          <w:kern w:val="0"/>
        </w:rPr>
        <w:t>omise as a prognostic biomarker</w:t>
      </w:r>
      <w:r w:rsidRPr="00275D1E">
        <w:rPr>
          <w:rFonts w:ascii="Book Antiqua" w:hAnsi="Book Antiqua" w:cs="Arial"/>
          <w:kern w:val="0"/>
        </w:rPr>
        <w:t xml:space="preserve"> and may </w:t>
      </w:r>
      <w:r w:rsidRPr="00275D1E">
        <w:rPr>
          <w:rFonts w:ascii="Book Antiqua" w:hAnsi="Book Antiqua" w:cs="Arial"/>
        </w:rPr>
        <w:t>provide useful evidence for determining a suitable clinical approach.</w:t>
      </w:r>
    </w:p>
    <w:p w14:paraId="68369566" w14:textId="77777777" w:rsidR="00B57E37" w:rsidRPr="00275D1E" w:rsidRDefault="00B57E37" w:rsidP="00275D1E">
      <w:pPr>
        <w:adjustRightInd w:val="0"/>
        <w:snapToGrid w:val="0"/>
        <w:spacing w:line="360" w:lineRule="auto"/>
        <w:rPr>
          <w:rFonts w:ascii="Book Antiqua" w:hAnsi="Book Antiqua" w:cs="Arial"/>
        </w:rPr>
      </w:pPr>
    </w:p>
    <w:p w14:paraId="110E4D7D" w14:textId="77777777" w:rsidR="00B57E37" w:rsidRPr="00275D1E" w:rsidRDefault="007F0D36" w:rsidP="00233FF1">
      <w:pPr>
        <w:adjustRightInd w:val="0"/>
        <w:snapToGrid w:val="0"/>
        <w:spacing w:line="360" w:lineRule="auto"/>
        <w:outlineLvl w:val="0"/>
        <w:rPr>
          <w:rFonts w:ascii="Book Antiqua" w:hAnsi="Book Antiqua" w:cs="Arial"/>
          <w:b/>
          <w:i/>
        </w:rPr>
      </w:pPr>
      <w:r w:rsidRPr="00275D1E">
        <w:rPr>
          <w:rFonts w:ascii="Book Antiqua" w:hAnsi="Book Antiqua" w:cs="Arial"/>
          <w:b/>
          <w:i/>
        </w:rPr>
        <w:t>Research perspectives</w:t>
      </w:r>
    </w:p>
    <w:p w14:paraId="3F3A160D" w14:textId="77777777" w:rsidR="00401225" w:rsidRDefault="007F0D36" w:rsidP="00401225">
      <w:pPr>
        <w:widowControl/>
        <w:autoSpaceDE w:val="0"/>
        <w:autoSpaceDN w:val="0"/>
        <w:adjustRightInd w:val="0"/>
        <w:snapToGrid w:val="0"/>
        <w:spacing w:line="360" w:lineRule="auto"/>
        <w:rPr>
          <w:rFonts w:ascii="Book Antiqua" w:hAnsi="Book Antiqua" w:cs="Arial"/>
        </w:rPr>
      </w:pPr>
      <w:r w:rsidRPr="00275D1E">
        <w:rPr>
          <w:rFonts w:ascii="Book Antiqua" w:hAnsi="Book Antiqua" w:cs="Arial"/>
        </w:rPr>
        <w:t>This research supports the potential clinical value of PDAC CTCs. Both total CTC number and CTC EMT phenotype may act as potential biomarkers for PDAC prognosis. However, our study suffered from a small sample size, and the results should be interpreted with caution. Large well-designed clinical trials are required to elucidate the potential value of EMT markers in CTCs.</w:t>
      </w:r>
    </w:p>
    <w:p w14:paraId="13E2D9A2" w14:textId="77777777" w:rsidR="00401225" w:rsidRDefault="00401225">
      <w:pPr>
        <w:widowControl/>
        <w:jc w:val="left"/>
        <w:rPr>
          <w:rFonts w:ascii="Book Antiqua" w:hAnsi="Book Antiqua" w:cs="Arial"/>
        </w:rPr>
      </w:pPr>
      <w:r>
        <w:rPr>
          <w:rFonts w:ascii="Book Antiqua" w:hAnsi="Book Antiqua" w:cs="Arial"/>
        </w:rPr>
        <w:br w:type="page"/>
      </w:r>
    </w:p>
    <w:p w14:paraId="3F0ECC03" w14:textId="2AF5DF68" w:rsidR="00B57E37" w:rsidRPr="0060482F" w:rsidRDefault="007F0D36" w:rsidP="0060482F">
      <w:pPr>
        <w:widowControl/>
        <w:autoSpaceDE w:val="0"/>
        <w:autoSpaceDN w:val="0"/>
        <w:adjustRightInd w:val="0"/>
        <w:snapToGrid w:val="0"/>
        <w:spacing w:line="360" w:lineRule="auto"/>
        <w:rPr>
          <w:rFonts w:ascii="Book Antiqua" w:hAnsi="Book Antiqua"/>
          <w:color w:val="000000" w:themeColor="text1"/>
        </w:rPr>
      </w:pPr>
      <w:r w:rsidRPr="0060482F">
        <w:rPr>
          <w:rFonts w:ascii="Book Antiqua" w:hAnsi="Book Antiqua" w:cs="Arial"/>
          <w:color w:val="000000" w:themeColor="text1"/>
        </w:rPr>
        <w:lastRenderedPageBreak/>
        <w:fldChar w:fldCharType="begin"/>
      </w:r>
      <w:r w:rsidRPr="0060482F">
        <w:rPr>
          <w:rFonts w:ascii="Book Antiqua" w:hAnsi="Book Antiqua" w:cs="Arial"/>
          <w:color w:val="000000" w:themeColor="text1"/>
        </w:rPr>
        <w:instrText xml:space="preserve"> ADDIN NE.Bib</w:instrText>
      </w:r>
      <w:r w:rsidRPr="0060482F">
        <w:rPr>
          <w:rFonts w:ascii="Book Antiqua" w:hAnsi="Book Antiqua" w:cs="Arial"/>
          <w:color w:val="000000" w:themeColor="text1"/>
        </w:rPr>
        <w:fldChar w:fldCharType="separate"/>
      </w:r>
      <w:bookmarkStart w:id="106" w:name="OLE_LINK94"/>
      <w:r w:rsidR="00401225" w:rsidRPr="0060482F">
        <w:rPr>
          <w:rFonts w:ascii="Book Antiqua" w:eastAsia="Times New Roman" w:hAnsi="Book Antiqua"/>
          <w:b/>
          <w:color w:val="000000" w:themeColor="text1"/>
        </w:rPr>
        <w:t>REFERENCES</w:t>
      </w:r>
    </w:p>
    <w:bookmarkEnd w:id="106"/>
    <w:p w14:paraId="308094FA"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w:t>
      </w:r>
      <w:r w:rsidRPr="0060482F">
        <w:rPr>
          <w:rStyle w:val="apple-converted-space"/>
          <w:rFonts w:ascii="Book Antiqua" w:hAnsi="Book Antiqua"/>
          <w:color w:val="000000" w:themeColor="text1"/>
        </w:rPr>
        <w:t> </w:t>
      </w:r>
      <w:r w:rsidRPr="0060482F">
        <w:rPr>
          <w:rFonts w:ascii="Book Antiqua" w:hAnsi="Book Antiqua"/>
          <w:b/>
          <w:bCs/>
          <w:color w:val="000000" w:themeColor="text1"/>
        </w:rPr>
        <w:t>Hidalgo M</w:t>
      </w:r>
      <w:r w:rsidRPr="0060482F">
        <w:rPr>
          <w:rFonts w:ascii="Book Antiqua" w:hAnsi="Book Antiqua"/>
          <w:color w:val="000000" w:themeColor="text1"/>
        </w:rPr>
        <w:t>.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N Engl J Med</w:t>
      </w:r>
      <w:r w:rsidRPr="0060482F">
        <w:rPr>
          <w:rStyle w:val="apple-converted-space"/>
          <w:rFonts w:ascii="Book Antiqua" w:hAnsi="Book Antiqua"/>
          <w:color w:val="000000" w:themeColor="text1"/>
        </w:rPr>
        <w:t> </w:t>
      </w:r>
      <w:r w:rsidRPr="0060482F">
        <w:rPr>
          <w:rFonts w:ascii="Book Antiqua" w:hAnsi="Book Antiqua"/>
          <w:color w:val="000000" w:themeColor="text1"/>
        </w:rPr>
        <w:t>2010;</w:t>
      </w:r>
      <w:r w:rsidRPr="0060482F">
        <w:rPr>
          <w:rStyle w:val="apple-converted-space"/>
          <w:rFonts w:ascii="Book Antiqua" w:hAnsi="Book Antiqua"/>
          <w:color w:val="000000" w:themeColor="text1"/>
        </w:rPr>
        <w:t> </w:t>
      </w:r>
      <w:r w:rsidRPr="0060482F">
        <w:rPr>
          <w:rFonts w:ascii="Book Antiqua" w:hAnsi="Book Antiqua"/>
          <w:b/>
          <w:bCs/>
          <w:color w:val="000000" w:themeColor="text1"/>
        </w:rPr>
        <w:t>362</w:t>
      </w:r>
      <w:r w:rsidRPr="0060482F">
        <w:rPr>
          <w:rFonts w:ascii="Book Antiqua" w:hAnsi="Book Antiqua"/>
          <w:color w:val="000000" w:themeColor="text1"/>
        </w:rPr>
        <w:t>: 1605-1617 [PMID: 20427809 DOI: 10.1056/NEJMra0901557]</w:t>
      </w:r>
    </w:p>
    <w:p w14:paraId="4FE007EC"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Wolfgang CL</w:t>
      </w:r>
      <w:r w:rsidRPr="0060482F">
        <w:rPr>
          <w:rFonts w:ascii="Book Antiqua" w:hAnsi="Book Antiqua"/>
          <w:color w:val="000000" w:themeColor="text1"/>
        </w:rPr>
        <w:t>, Herman JM, Laheru DA, Klein AP, Erdek MA, Fishman EK, Hruban RH. Recent progress in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CA Cancer J Clin</w:t>
      </w:r>
      <w:r w:rsidRPr="0060482F">
        <w:rPr>
          <w:rStyle w:val="apple-converted-space"/>
          <w:rFonts w:ascii="Book Antiqua" w:hAnsi="Book Antiqua"/>
          <w:color w:val="000000" w:themeColor="text1"/>
        </w:rPr>
        <w:t> </w:t>
      </w:r>
      <w:r w:rsidRPr="0060482F">
        <w:rPr>
          <w:rFonts w:ascii="Book Antiqua" w:hAnsi="Book Antiqua"/>
          <w:color w:val="000000" w:themeColor="text1"/>
        </w:rPr>
        <w:t>2013;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63</w:t>
      </w:r>
      <w:r w:rsidRPr="0060482F">
        <w:rPr>
          <w:rFonts w:ascii="Book Antiqua" w:hAnsi="Book Antiqua"/>
          <w:color w:val="000000" w:themeColor="text1"/>
        </w:rPr>
        <w:t>: 318-348 [PMID: 23856911 DOI: 10.3322/caac.21190]</w:t>
      </w:r>
    </w:p>
    <w:p w14:paraId="609CBF0D" w14:textId="3500AC3C"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Kamisawa T</w:t>
      </w:r>
      <w:r w:rsidRPr="0060482F">
        <w:rPr>
          <w:rFonts w:ascii="Book Antiqua" w:hAnsi="Book Antiqua"/>
          <w:color w:val="000000" w:themeColor="text1"/>
        </w:rPr>
        <w:t>, Wood LD, Itoi T, Takaori K.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Lancet</w:t>
      </w:r>
      <w:r w:rsidR="008B369B">
        <w:rPr>
          <w:rStyle w:val="apple-converted-space"/>
          <w:rFonts w:ascii="Book Antiqua" w:hAnsi="Book Antiqua" w:hint="eastAsia"/>
          <w:color w:val="000000" w:themeColor="text1"/>
        </w:rPr>
        <w:t xml:space="preserve"> </w:t>
      </w:r>
      <w:r w:rsidRPr="0060482F">
        <w:rPr>
          <w:rFonts w:ascii="Book Antiqua" w:hAnsi="Book Antiqua"/>
          <w:color w:val="000000" w:themeColor="text1"/>
        </w:rPr>
        <w:t>2016;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388</w:t>
      </w:r>
      <w:r w:rsidRPr="0060482F">
        <w:rPr>
          <w:rFonts w:ascii="Book Antiqua" w:hAnsi="Book Antiqua"/>
          <w:color w:val="000000" w:themeColor="text1"/>
        </w:rPr>
        <w:t>: 73-85 [PMID: 26830752 DOI: 10.1016/S0140-6736(16)00141-0]</w:t>
      </w:r>
    </w:p>
    <w:p w14:paraId="785A3926"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Siegel RL</w:t>
      </w:r>
      <w:r w:rsidRPr="0060482F">
        <w:rPr>
          <w:rFonts w:ascii="Book Antiqua" w:hAnsi="Book Antiqua"/>
          <w:color w:val="000000" w:themeColor="text1"/>
        </w:rPr>
        <w:t>, Miller KD, Jemal A. Cancer Statistics, 2017.</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CA Cancer J Clin</w:t>
      </w:r>
      <w:r w:rsidRPr="0060482F">
        <w:rPr>
          <w:rStyle w:val="apple-converted-space"/>
          <w:rFonts w:ascii="Book Antiqua" w:hAnsi="Book Antiqua"/>
          <w:color w:val="000000" w:themeColor="text1"/>
        </w:rPr>
        <w:t> </w:t>
      </w:r>
      <w:r w:rsidRPr="0060482F">
        <w:rPr>
          <w:rFonts w:ascii="Book Antiqua" w:hAnsi="Book Antiqua"/>
          <w:color w:val="000000" w:themeColor="text1"/>
        </w:rPr>
        <w:t>2017;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67</w:t>
      </w:r>
      <w:r w:rsidRPr="0060482F">
        <w:rPr>
          <w:rFonts w:ascii="Book Antiqua" w:hAnsi="Book Antiqua"/>
          <w:color w:val="000000" w:themeColor="text1"/>
        </w:rPr>
        <w:t>: 7-30 [PMID: 28055103 DOI: 10.3322/caac.21387]</w:t>
      </w:r>
    </w:p>
    <w:p w14:paraId="384F686E"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Al-Haddad M</w:t>
      </w:r>
      <w:r w:rsidRPr="0060482F">
        <w:rPr>
          <w:rFonts w:ascii="Book Antiqua" w:hAnsi="Book Antiqua"/>
          <w:color w:val="000000" w:themeColor="text1"/>
        </w:rPr>
        <w:t>, Eloubeidi MA. Interventional EUS for the diagnosis and treatment of locally advanced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JOP</w:t>
      </w:r>
      <w:r w:rsidRPr="0060482F">
        <w:rPr>
          <w:rStyle w:val="apple-converted-space"/>
          <w:rFonts w:ascii="Book Antiqua" w:hAnsi="Book Antiqua"/>
          <w:color w:val="000000" w:themeColor="text1"/>
        </w:rPr>
        <w:t> </w:t>
      </w:r>
      <w:r w:rsidRPr="0060482F">
        <w:rPr>
          <w:rFonts w:ascii="Book Antiqua" w:hAnsi="Book Antiqua"/>
          <w:color w:val="000000" w:themeColor="text1"/>
        </w:rPr>
        <w:t>2010;</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11</w:t>
      </w:r>
      <w:r w:rsidRPr="0060482F">
        <w:rPr>
          <w:rFonts w:ascii="Book Antiqua" w:hAnsi="Book Antiqua"/>
          <w:color w:val="000000" w:themeColor="text1"/>
        </w:rPr>
        <w:t>: 1-7 [PMID: 20065544]</w:t>
      </w:r>
    </w:p>
    <w:p w14:paraId="59662717"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Khorana AA</w:t>
      </w:r>
      <w:r w:rsidRPr="0060482F">
        <w:rPr>
          <w:rFonts w:ascii="Book Antiqua" w:hAnsi="Book Antiqua"/>
          <w:color w:val="000000" w:themeColor="text1"/>
        </w:rPr>
        <w:t>, Mangu PB, Katz MHG. Potentially Curable Pancreatic Cancer: American Society of Clinical Oncology Clinical Practice Guideline Update Summary.</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Oncol Pract</w:t>
      </w:r>
      <w:r w:rsidRPr="0060482F">
        <w:rPr>
          <w:rStyle w:val="apple-converted-space"/>
          <w:rFonts w:ascii="Book Antiqua" w:hAnsi="Book Antiqua"/>
          <w:color w:val="000000" w:themeColor="text1"/>
        </w:rPr>
        <w:t> </w:t>
      </w:r>
      <w:r w:rsidRPr="0060482F">
        <w:rPr>
          <w:rFonts w:ascii="Book Antiqua" w:hAnsi="Book Antiqua"/>
          <w:color w:val="000000" w:themeColor="text1"/>
        </w:rPr>
        <w:t>2017;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13</w:t>
      </w:r>
      <w:r w:rsidRPr="0060482F">
        <w:rPr>
          <w:rFonts w:ascii="Book Antiqua" w:hAnsi="Book Antiqua"/>
          <w:color w:val="000000" w:themeColor="text1"/>
        </w:rPr>
        <w:t>: 388-391 [PMID: 28406730 DOI: 10.1200/JOP.2017.023044]</w:t>
      </w:r>
    </w:p>
    <w:p w14:paraId="3EF6831C"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Al-Hawary M</w:t>
      </w:r>
      <w:r w:rsidRPr="0060482F">
        <w:rPr>
          <w:rFonts w:ascii="Book Antiqua" w:hAnsi="Book Antiqua"/>
          <w:color w:val="000000" w:themeColor="text1"/>
        </w:rPr>
        <w:t>. Role of Imaging in Diagnosing and Staging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Natl Compr Canc Netw</w:t>
      </w:r>
      <w:r w:rsidRPr="0060482F">
        <w:rPr>
          <w:rStyle w:val="apple-converted-space"/>
          <w:rFonts w:ascii="Book Antiqua" w:hAnsi="Book Antiqua"/>
          <w:color w:val="000000" w:themeColor="text1"/>
        </w:rPr>
        <w:t> </w:t>
      </w:r>
      <w:r w:rsidRPr="0060482F">
        <w:rPr>
          <w:rFonts w:ascii="Book Antiqua" w:hAnsi="Book Antiqua"/>
          <w:color w:val="000000" w:themeColor="text1"/>
        </w:rPr>
        <w:t>2016;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14</w:t>
      </w:r>
      <w:r w:rsidRPr="0060482F">
        <w:rPr>
          <w:rFonts w:ascii="Book Antiqua" w:hAnsi="Book Antiqua"/>
          <w:color w:val="000000" w:themeColor="text1"/>
        </w:rPr>
        <w:t>: 678-680 [PMID: 27226513]</w:t>
      </w:r>
    </w:p>
    <w:p w14:paraId="12109647"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8</w:t>
      </w:r>
      <w:r w:rsidRPr="0060482F">
        <w:rPr>
          <w:rStyle w:val="apple-converted-space"/>
          <w:rFonts w:ascii="Book Antiqua" w:hAnsi="Book Antiqua"/>
          <w:color w:val="000000" w:themeColor="text1"/>
        </w:rPr>
        <w:t> </w:t>
      </w:r>
      <w:r w:rsidRPr="0060482F">
        <w:rPr>
          <w:rFonts w:ascii="Book Antiqua" w:hAnsi="Book Antiqua"/>
          <w:b/>
          <w:bCs/>
          <w:color w:val="000000" w:themeColor="text1"/>
        </w:rPr>
        <w:t>Nagrath S</w:t>
      </w:r>
      <w:r w:rsidRPr="0060482F">
        <w:rPr>
          <w:rFonts w:ascii="Book Antiqua" w:hAnsi="Book Antiqua"/>
          <w:color w:val="000000" w:themeColor="text1"/>
        </w:rPr>
        <w:t>, Jack RM, Sahai V, Simeone DM. Opportunities and Challenges for Pancreatic Circulating Tumor Cells.</w:t>
      </w:r>
      <w:r w:rsidRPr="0060482F">
        <w:rPr>
          <w:rStyle w:val="apple-converted-space"/>
          <w:rFonts w:ascii="Book Antiqua" w:hAnsi="Book Antiqua"/>
          <w:color w:val="000000" w:themeColor="text1"/>
        </w:rPr>
        <w:t> </w:t>
      </w:r>
      <w:r w:rsidRPr="0060482F">
        <w:rPr>
          <w:rFonts w:ascii="Book Antiqua" w:hAnsi="Book Antiqua"/>
          <w:i/>
          <w:iCs/>
          <w:color w:val="000000" w:themeColor="text1"/>
        </w:rPr>
        <w:t>Gastroenterology</w:t>
      </w:r>
      <w:r w:rsidRPr="0060482F">
        <w:rPr>
          <w:rStyle w:val="apple-converted-space"/>
          <w:rFonts w:ascii="Book Antiqua" w:hAnsi="Book Antiqua"/>
          <w:color w:val="000000" w:themeColor="text1"/>
        </w:rPr>
        <w:t> </w:t>
      </w:r>
      <w:r w:rsidRPr="0060482F">
        <w:rPr>
          <w:rFonts w:ascii="Book Antiqua" w:hAnsi="Book Antiqua"/>
          <w:color w:val="000000" w:themeColor="text1"/>
        </w:rPr>
        <w:t>2016;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151</w:t>
      </w:r>
      <w:r w:rsidRPr="0060482F">
        <w:rPr>
          <w:rFonts w:ascii="Book Antiqua" w:hAnsi="Book Antiqua"/>
          <w:color w:val="000000" w:themeColor="text1"/>
        </w:rPr>
        <w:t>: 412-426 [PMID: 27339829 DOI: 10.1053/j.gastro.2016.05.052]</w:t>
      </w:r>
    </w:p>
    <w:p w14:paraId="2161D1C0"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9</w:t>
      </w:r>
      <w:r w:rsidRPr="0060482F">
        <w:rPr>
          <w:rStyle w:val="apple-converted-space"/>
          <w:rFonts w:ascii="Book Antiqua" w:hAnsi="Book Antiqua"/>
          <w:color w:val="000000" w:themeColor="text1"/>
        </w:rPr>
        <w:t> </w:t>
      </w:r>
      <w:r w:rsidRPr="0060482F">
        <w:rPr>
          <w:rFonts w:ascii="Book Antiqua" w:hAnsi="Book Antiqua"/>
          <w:b/>
          <w:bCs/>
          <w:color w:val="000000" w:themeColor="text1"/>
        </w:rPr>
        <w:t>Alix-Panabières C</w:t>
      </w:r>
      <w:r w:rsidRPr="0060482F">
        <w:rPr>
          <w:rFonts w:ascii="Book Antiqua" w:hAnsi="Book Antiqua"/>
          <w:color w:val="000000" w:themeColor="text1"/>
        </w:rPr>
        <w:t>, Pantel K. Challenges in circulating tumour cell research.</w:t>
      </w:r>
      <w:r w:rsidRPr="0060482F">
        <w:rPr>
          <w:rStyle w:val="apple-converted-space"/>
          <w:rFonts w:ascii="Book Antiqua" w:hAnsi="Book Antiqua"/>
          <w:color w:val="000000" w:themeColor="text1"/>
        </w:rPr>
        <w:t> </w:t>
      </w:r>
      <w:r w:rsidRPr="0060482F">
        <w:rPr>
          <w:rFonts w:ascii="Book Antiqua" w:hAnsi="Book Antiqua"/>
          <w:i/>
          <w:iCs/>
          <w:color w:val="000000" w:themeColor="text1"/>
        </w:rPr>
        <w:t>Nat Rev Cancer</w:t>
      </w:r>
      <w:r w:rsidRPr="0060482F">
        <w:rPr>
          <w:rStyle w:val="apple-converted-space"/>
          <w:rFonts w:ascii="Book Antiqua" w:hAnsi="Book Antiqua"/>
          <w:color w:val="000000" w:themeColor="text1"/>
        </w:rPr>
        <w:t> </w:t>
      </w:r>
      <w:r w:rsidRPr="0060482F">
        <w:rPr>
          <w:rFonts w:ascii="Book Antiqua" w:hAnsi="Book Antiqua"/>
          <w:color w:val="000000" w:themeColor="text1"/>
        </w:rPr>
        <w:t>2014;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14</w:t>
      </w:r>
      <w:r w:rsidRPr="0060482F">
        <w:rPr>
          <w:rFonts w:ascii="Book Antiqua" w:hAnsi="Book Antiqua"/>
          <w:color w:val="000000" w:themeColor="text1"/>
        </w:rPr>
        <w:t>: 623-631 [PMID: 25154812 DOI: 10.1038/nrc3820]</w:t>
      </w:r>
    </w:p>
    <w:p w14:paraId="40B86FD1"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10</w:t>
      </w:r>
      <w:r w:rsidRPr="0060482F">
        <w:rPr>
          <w:rStyle w:val="apple-converted-space"/>
          <w:rFonts w:ascii="Book Antiqua" w:hAnsi="Book Antiqua"/>
          <w:color w:val="000000" w:themeColor="text1"/>
        </w:rPr>
        <w:t> </w:t>
      </w:r>
      <w:r w:rsidRPr="0060482F">
        <w:rPr>
          <w:rFonts w:ascii="Book Antiqua" w:hAnsi="Book Antiqua"/>
          <w:b/>
          <w:bCs/>
          <w:color w:val="000000" w:themeColor="text1"/>
        </w:rPr>
        <w:t>Fan JL</w:t>
      </w:r>
      <w:r w:rsidRPr="0060482F">
        <w:rPr>
          <w:rFonts w:ascii="Book Antiqua" w:hAnsi="Book Antiqua"/>
          <w:color w:val="000000" w:themeColor="text1"/>
        </w:rPr>
        <w:t>, Yang YF, Yuan CH, Chen H, Wang FB. Circulating Tumor Cells for Predicting the Prognostic of Patients with Hepatocellular Carcinoma: A Meta Analysis.</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Cell Physiol Biochem</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37</w:t>
      </w:r>
      <w:r w:rsidRPr="0060482F">
        <w:rPr>
          <w:rFonts w:ascii="Book Antiqua" w:hAnsi="Book Antiqua"/>
          <w:color w:val="000000" w:themeColor="text1"/>
        </w:rPr>
        <w:t>: 629-640 [PMID: 26344495 DOI: 10.1159/000430382]</w:t>
      </w:r>
    </w:p>
    <w:p w14:paraId="7EA6802F"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11</w:t>
      </w:r>
      <w:r w:rsidRPr="0060482F">
        <w:rPr>
          <w:rStyle w:val="apple-converted-space"/>
          <w:rFonts w:ascii="Book Antiqua" w:hAnsi="Book Antiqua"/>
          <w:color w:val="000000" w:themeColor="text1"/>
        </w:rPr>
        <w:t> </w:t>
      </w:r>
      <w:r w:rsidRPr="0060482F">
        <w:rPr>
          <w:rFonts w:ascii="Book Antiqua" w:hAnsi="Book Antiqua"/>
          <w:b/>
          <w:bCs/>
          <w:color w:val="000000" w:themeColor="text1"/>
        </w:rPr>
        <w:t>Cristofanilli M</w:t>
      </w:r>
      <w:r w:rsidRPr="0060482F">
        <w:rPr>
          <w:rFonts w:ascii="Book Antiqua" w:hAnsi="Book Antiqua"/>
          <w:color w:val="000000" w:themeColor="text1"/>
        </w:rPr>
        <w:t xml:space="preserve">, Hayes DF, Budd GT, Ellis MJ, Stopeck A, Reuben JM, Doyle GV, Matera J, Allard WJ, Miller MC, Fritsche HA, Hortobagyi GN, </w:t>
      </w:r>
      <w:r w:rsidRPr="0060482F">
        <w:rPr>
          <w:rFonts w:ascii="Book Antiqua" w:hAnsi="Book Antiqua"/>
          <w:color w:val="000000" w:themeColor="text1"/>
        </w:rPr>
        <w:lastRenderedPageBreak/>
        <w:t>Terstappen LW. Circulating tumor cells: a novel prognostic factor for newly diagnosed metastatic breast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Clin Oncol</w:t>
      </w:r>
      <w:r w:rsidRPr="0060482F">
        <w:rPr>
          <w:rStyle w:val="apple-converted-space"/>
          <w:rFonts w:ascii="Book Antiqua" w:hAnsi="Book Antiqua"/>
          <w:color w:val="000000" w:themeColor="text1"/>
        </w:rPr>
        <w:t> </w:t>
      </w:r>
      <w:r w:rsidRPr="0060482F">
        <w:rPr>
          <w:rFonts w:ascii="Book Antiqua" w:hAnsi="Book Antiqua"/>
          <w:color w:val="000000" w:themeColor="text1"/>
        </w:rPr>
        <w:t>2005;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23</w:t>
      </w:r>
      <w:r w:rsidRPr="0060482F">
        <w:rPr>
          <w:rFonts w:ascii="Book Antiqua" w:hAnsi="Book Antiqua"/>
          <w:color w:val="000000" w:themeColor="text1"/>
        </w:rPr>
        <w:t>: 1420-1430 [PMID: 15735118 DOI: 10.1200/JCO.2005.08.140]</w:t>
      </w:r>
    </w:p>
    <w:p w14:paraId="5490946B"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Danila DC</w:t>
      </w:r>
      <w:r w:rsidRPr="0060482F">
        <w:rPr>
          <w:rFonts w:ascii="Book Antiqua" w:hAnsi="Book Antiqua"/>
          <w:color w:val="000000" w:themeColor="text1"/>
        </w:rPr>
        <w:t>, Heller G, Gignac GA, Gonzalez-Espinoza R, Anand A, Tanaka E, Lilja H, Schwartz L, Larson S, Fleisher M, Scher HI. Circulating tumor cell number and prognosis in progressive castration-resistant prostate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Clin Cancer Res</w:t>
      </w:r>
      <w:r w:rsidRPr="0060482F">
        <w:rPr>
          <w:rStyle w:val="apple-converted-space"/>
          <w:rFonts w:ascii="Book Antiqua" w:hAnsi="Book Antiqua"/>
          <w:color w:val="000000" w:themeColor="text1"/>
        </w:rPr>
        <w:t> </w:t>
      </w:r>
      <w:r w:rsidRPr="0060482F">
        <w:rPr>
          <w:rFonts w:ascii="Book Antiqua" w:hAnsi="Book Antiqua"/>
          <w:color w:val="000000" w:themeColor="text1"/>
        </w:rPr>
        <w:t>2007;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13</w:t>
      </w:r>
      <w:r w:rsidRPr="0060482F">
        <w:rPr>
          <w:rFonts w:ascii="Book Antiqua" w:hAnsi="Book Antiqua"/>
          <w:color w:val="000000" w:themeColor="text1"/>
        </w:rPr>
        <w:t>: 7053-7058 [PMID: 18056182 DOI: 10.1158/1078-0432.CCR-07-1506]</w:t>
      </w:r>
    </w:p>
    <w:p w14:paraId="499AA4C3"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Cohen SJ</w:t>
      </w:r>
      <w:r w:rsidRPr="0060482F">
        <w:rPr>
          <w:rFonts w:ascii="Book Antiqua" w:hAnsi="Book Antiqua"/>
          <w:color w:val="000000" w:themeColor="text1"/>
        </w:rPr>
        <w:t>, Punt CJ, Iannotti N, Saidman BH, Sabbath KD, Gabrail NY, Picus J, Morse MA, Mitchell E, Miller MC, Doyle GV, Tissing H, Terstappen LW, Meropol NJ. Prognostic significance of circulating tumor cells in patients with metastatic colorectal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Ann Oncol</w:t>
      </w:r>
      <w:r w:rsidRPr="0060482F">
        <w:rPr>
          <w:rStyle w:val="apple-converted-space"/>
          <w:rFonts w:ascii="Book Antiqua" w:hAnsi="Book Antiqua"/>
          <w:color w:val="000000" w:themeColor="text1"/>
        </w:rPr>
        <w:t> </w:t>
      </w:r>
      <w:r w:rsidRPr="0060482F">
        <w:rPr>
          <w:rFonts w:ascii="Book Antiqua" w:hAnsi="Book Antiqua"/>
          <w:color w:val="000000" w:themeColor="text1"/>
        </w:rPr>
        <w:t>2009;</w:t>
      </w:r>
      <w:r w:rsidRPr="0060482F">
        <w:rPr>
          <w:rStyle w:val="apple-converted-space"/>
          <w:rFonts w:ascii="Book Antiqua" w:hAnsi="Book Antiqua"/>
          <w:color w:val="000000" w:themeColor="text1"/>
        </w:rPr>
        <w:t> </w:t>
      </w:r>
      <w:r w:rsidRPr="0060482F">
        <w:rPr>
          <w:rFonts w:ascii="Book Antiqua" w:hAnsi="Book Antiqua"/>
          <w:b/>
          <w:bCs/>
          <w:color w:val="000000" w:themeColor="text1"/>
        </w:rPr>
        <w:t>20</w:t>
      </w:r>
      <w:r w:rsidRPr="0060482F">
        <w:rPr>
          <w:rFonts w:ascii="Book Antiqua" w:hAnsi="Book Antiqua"/>
          <w:color w:val="000000" w:themeColor="text1"/>
        </w:rPr>
        <w:t>: 1223-1229 [PMID: 19282466 DOI: 10.1093/annonc/mdn786]</w:t>
      </w:r>
    </w:p>
    <w:p w14:paraId="4CAFA927"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Hayes DF</w:t>
      </w:r>
      <w:r w:rsidRPr="0060482F">
        <w:rPr>
          <w:rFonts w:ascii="Book Antiqua" w:hAnsi="Book Antiqua"/>
          <w:color w:val="000000" w:themeColor="text1"/>
        </w:rPr>
        <w:t>, Cristofanilli M, Budd GT, Ellis MJ, Stopeck A, Miller MC, Matera J, Allard WJ, Doyle GV, Terstappen LW. Circulating tumor cells at each follow-up time point during therapy of metastatic breast cancer patients predict progression-free and overall survival.</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Clin Cancer Res</w:t>
      </w:r>
      <w:r w:rsidRPr="0060482F">
        <w:rPr>
          <w:rStyle w:val="apple-converted-space"/>
          <w:rFonts w:ascii="Book Antiqua" w:hAnsi="Book Antiqua"/>
          <w:color w:val="000000" w:themeColor="text1"/>
        </w:rPr>
        <w:t> </w:t>
      </w:r>
      <w:r w:rsidRPr="0060482F">
        <w:rPr>
          <w:rFonts w:ascii="Book Antiqua" w:hAnsi="Book Antiqua"/>
          <w:color w:val="000000" w:themeColor="text1"/>
        </w:rPr>
        <w:t>2006;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12</w:t>
      </w:r>
      <w:r w:rsidRPr="0060482F">
        <w:rPr>
          <w:rFonts w:ascii="Book Antiqua" w:hAnsi="Book Antiqua"/>
          <w:color w:val="000000" w:themeColor="text1"/>
        </w:rPr>
        <w:t>: 4218-4224 [PMID: 16857794 DOI: 10.1158/1078-0432.CCR-05-2821]</w:t>
      </w:r>
    </w:p>
    <w:p w14:paraId="09F90E9E"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Khoja L</w:t>
      </w:r>
      <w:r w:rsidRPr="0060482F">
        <w:rPr>
          <w:rFonts w:ascii="Book Antiqua" w:hAnsi="Book Antiqua"/>
          <w:color w:val="000000" w:themeColor="text1"/>
        </w:rPr>
        <w:t>, Backen A, Sloane R, Menasce L, Ryder D, Krebs M, Board R, Clack G, Hughes A, Blackhall F, Valle JW, Dive C. A pilot study to explore circulating tumour cells in pancreatic cancer as a novel biomarker.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Br J Cancer</w:t>
      </w:r>
      <w:r w:rsidRPr="0060482F">
        <w:rPr>
          <w:rStyle w:val="apple-converted-space"/>
          <w:rFonts w:ascii="Book Antiqua" w:hAnsi="Book Antiqua"/>
          <w:color w:val="000000" w:themeColor="text1"/>
        </w:rPr>
        <w:t> </w:t>
      </w:r>
      <w:r w:rsidRPr="0060482F">
        <w:rPr>
          <w:rFonts w:ascii="Book Antiqua" w:hAnsi="Book Antiqua"/>
          <w:color w:val="000000" w:themeColor="text1"/>
        </w:rPr>
        <w:t>2012;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106</w:t>
      </w:r>
      <w:r w:rsidRPr="0060482F">
        <w:rPr>
          <w:rFonts w:ascii="Book Antiqua" w:hAnsi="Book Antiqua"/>
          <w:color w:val="000000" w:themeColor="text1"/>
        </w:rPr>
        <w:t>: 508-516 [PMID: 22187035 DOI: 10.1038/bjc.2011.545]</w:t>
      </w:r>
    </w:p>
    <w:p w14:paraId="32B287E2"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Kurihara T</w:t>
      </w:r>
      <w:r w:rsidRPr="0060482F">
        <w:rPr>
          <w:rFonts w:ascii="Book Antiqua" w:hAnsi="Book Antiqua"/>
          <w:color w:val="000000" w:themeColor="text1"/>
        </w:rPr>
        <w:t>, Itoi T, Sofuni A, Itokawa F, Tsuchiya T, Tsuji S, Ishii K, Ikeuchi N, Tsuchida A, Kasuya K, Kawai T, Sakai Y, Moriyasu F. Detection of circulating tumor cells in patients with pancreatic cancer: a preliminary result.</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Hepatobiliary Pancreat Surg</w:t>
      </w:r>
      <w:r w:rsidRPr="0060482F">
        <w:rPr>
          <w:rStyle w:val="apple-converted-space"/>
          <w:rFonts w:ascii="Book Antiqua" w:hAnsi="Book Antiqua"/>
          <w:color w:val="000000" w:themeColor="text1"/>
        </w:rPr>
        <w:t> </w:t>
      </w:r>
      <w:r w:rsidRPr="0060482F">
        <w:rPr>
          <w:rFonts w:ascii="Book Antiqua" w:hAnsi="Book Antiqua"/>
          <w:color w:val="000000" w:themeColor="text1"/>
        </w:rPr>
        <w:t>2008;</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15</w:t>
      </w:r>
      <w:r w:rsidRPr="0060482F">
        <w:rPr>
          <w:rFonts w:ascii="Book Antiqua" w:hAnsi="Book Antiqua"/>
          <w:color w:val="000000" w:themeColor="text1"/>
        </w:rPr>
        <w:t>: 189-195 [PMID: 18392713 DOI: 10.1007/s00534-007-1250-5]</w:t>
      </w:r>
    </w:p>
    <w:p w14:paraId="0613C3B2"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Liu H</w:t>
      </w:r>
      <w:r w:rsidRPr="0060482F">
        <w:rPr>
          <w:rFonts w:ascii="Book Antiqua" w:hAnsi="Book Antiqua"/>
          <w:color w:val="000000" w:themeColor="text1"/>
        </w:rPr>
        <w:t>, Sun B, Wang S, Liu C, Lu Y, Li D, Liu X. Circulating Tumor Cells as a Biomarker in Pancreatic Ductal Adenocarcinoma.</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Cell Physiol Biochem</w:t>
      </w:r>
      <w:r w:rsidRPr="0060482F">
        <w:rPr>
          <w:rStyle w:val="apple-converted-space"/>
          <w:rFonts w:ascii="Book Antiqua" w:hAnsi="Book Antiqua"/>
          <w:color w:val="000000" w:themeColor="text1"/>
        </w:rPr>
        <w:t> </w:t>
      </w:r>
      <w:r w:rsidRPr="0060482F">
        <w:rPr>
          <w:rFonts w:ascii="Book Antiqua" w:hAnsi="Book Antiqua"/>
          <w:color w:val="000000" w:themeColor="text1"/>
        </w:rPr>
        <w:t>2017;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42</w:t>
      </w:r>
      <w:r w:rsidRPr="0060482F">
        <w:rPr>
          <w:rFonts w:ascii="Book Antiqua" w:hAnsi="Book Antiqua"/>
          <w:color w:val="000000" w:themeColor="text1"/>
        </w:rPr>
        <w:t>: 373-382 [PMID: 28558380 DOI: 10.1159/000477481]</w:t>
      </w:r>
    </w:p>
    <w:p w14:paraId="3F4727EE"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lastRenderedPageBreak/>
        <w:t>18</w:t>
      </w:r>
      <w:r w:rsidRPr="0060482F">
        <w:rPr>
          <w:rStyle w:val="apple-converted-space"/>
          <w:rFonts w:ascii="Book Antiqua" w:hAnsi="Book Antiqua"/>
          <w:color w:val="000000" w:themeColor="text1"/>
        </w:rPr>
        <w:t> </w:t>
      </w:r>
      <w:r w:rsidRPr="0060482F">
        <w:rPr>
          <w:rFonts w:ascii="Book Antiqua" w:hAnsi="Book Antiqua"/>
          <w:b/>
          <w:bCs/>
          <w:color w:val="000000" w:themeColor="text1"/>
        </w:rPr>
        <w:t>de Albuquerque A</w:t>
      </w:r>
      <w:r w:rsidRPr="0060482F">
        <w:rPr>
          <w:rFonts w:ascii="Book Antiqua" w:hAnsi="Book Antiqua"/>
          <w:color w:val="000000" w:themeColor="text1"/>
        </w:rPr>
        <w:t>, Kubisch I, Breier G, Stamminger G, Fersis N, Eichler A, Kaul S, Stölzel U. Multimarker gene analysis of circulating tumor cells in pancreatic cancer patients: a feasibility study.</w:t>
      </w:r>
      <w:r w:rsidRPr="0060482F">
        <w:rPr>
          <w:rStyle w:val="apple-converted-space"/>
          <w:rFonts w:ascii="Book Antiqua" w:hAnsi="Book Antiqua"/>
          <w:color w:val="000000" w:themeColor="text1"/>
        </w:rPr>
        <w:t> </w:t>
      </w:r>
      <w:r w:rsidRPr="0060482F">
        <w:rPr>
          <w:rFonts w:ascii="Book Antiqua" w:hAnsi="Book Antiqua"/>
          <w:i/>
          <w:iCs/>
          <w:color w:val="000000" w:themeColor="text1"/>
        </w:rPr>
        <w:t>Oncology</w:t>
      </w:r>
      <w:r w:rsidRPr="0060482F">
        <w:rPr>
          <w:rStyle w:val="apple-converted-space"/>
          <w:rFonts w:ascii="Book Antiqua" w:hAnsi="Book Antiqua"/>
          <w:color w:val="000000" w:themeColor="text1"/>
        </w:rPr>
        <w:t> </w:t>
      </w:r>
      <w:r w:rsidRPr="0060482F">
        <w:rPr>
          <w:rFonts w:ascii="Book Antiqua" w:hAnsi="Book Antiqua"/>
          <w:color w:val="000000" w:themeColor="text1"/>
        </w:rPr>
        <w:t>2012;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82</w:t>
      </w:r>
      <w:r w:rsidRPr="0060482F">
        <w:rPr>
          <w:rFonts w:ascii="Book Antiqua" w:hAnsi="Book Antiqua"/>
          <w:color w:val="000000" w:themeColor="text1"/>
        </w:rPr>
        <w:t>: 3-10 [PMID: 22270149 DOI: 10.1159/000335479]</w:t>
      </w:r>
    </w:p>
    <w:p w14:paraId="27D3AC01"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19</w:t>
      </w:r>
      <w:r w:rsidRPr="0060482F">
        <w:rPr>
          <w:rStyle w:val="apple-converted-space"/>
          <w:rFonts w:ascii="Book Antiqua" w:hAnsi="Book Antiqua"/>
          <w:color w:val="000000" w:themeColor="text1"/>
        </w:rPr>
        <w:t> </w:t>
      </w:r>
      <w:r w:rsidRPr="0060482F">
        <w:rPr>
          <w:rFonts w:ascii="Book Antiqua" w:hAnsi="Book Antiqua"/>
          <w:b/>
          <w:bCs/>
          <w:color w:val="000000" w:themeColor="text1"/>
        </w:rPr>
        <w:t>Bidard FC</w:t>
      </w:r>
      <w:r w:rsidRPr="0060482F">
        <w:rPr>
          <w:rFonts w:ascii="Book Antiqua" w:hAnsi="Book Antiqua"/>
          <w:color w:val="000000" w:themeColor="text1"/>
        </w:rPr>
        <w:t>, Huguet F, Louvet C, Mineur L, Bouché O, Chibaudel B, Artru P, Desseigne F, Bachet JB, Mathiot C, Pierga JY, Hammel P. Circulating tumor cells in locally advanced pancreatic adenocarcinoma: the ancillary CirCe 07 study to the LAP 07 trial.</w:t>
      </w:r>
      <w:r w:rsidRPr="0060482F">
        <w:rPr>
          <w:rStyle w:val="apple-converted-space"/>
          <w:rFonts w:ascii="Book Antiqua" w:hAnsi="Book Antiqua"/>
          <w:color w:val="000000" w:themeColor="text1"/>
        </w:rPr>
        <w:t> </w:t>
      </w:r>
      <w:r w:rsidRPr="0060482F">
        <w:rPr>
          <w:rFonts w:ascii="Book Antiqua" w:hAnsi="Book Antiqua"/>
          <w:i/>
          <w:iCs/>
          <w:color w:val="000000" w:themeColor="text1"/>
        </w:rPr>
        <w:t>Ann Oncol</w:t>
      </w:r>
      <w:r w:rsidRPr="0060482F">
        <w:rPr>
          <w:rStyle w:val="apple-converted-space"/>
          <w:rFonts w:ascii="Book Antiqua" w:hAnsi="Book Antiqua"/>
          <w:color w:val="000000" w:themeColor="text1"/>
        </w:rPr>
        <w:t> </w:t>
      </w:r>
      <w:r w:rsidRPr="0060482F">
        <w:rPr>
          <w:rFonts w:ascii="Book Antiqua" w:hAnsi="Book Antiqua"/>
          <w:color w:val="000000" w:themeColor="text1"/>
        </w:rPr>
        <w:t>2013;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24</w:t>
      </w:r>
      <w:r w:rsidRPr="0060482F">
        <w:rPr>
          <w:rFonts w:ascii="Book Antiqua" w:hAnsi="Book Antiqua"/>
          <w:color w:val="000000" w:themeColor="text1"/>
        </w:rPr>
        <w:t>: 2057-2061 [PMID: 23676420 DOI: 10.1093/annonc/mdt176]</w:t>
      </w:r>
    </w:p>
    <w:p w14:paraId="7E7A7455"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20</w:t>
      </w:r>
      <w:r w:rsidRPr="0060482F">
        <w:rPr>
          <w:rStyle w:val="apple-converted-space"/>
          <w:rFonts w:ascii="Book Antiqua" w:hAnsi="Book Antiqua"/>
          <w:color w:val="000000" w:themeColor="text1"/>
        </w:rPr>
        <w:t> </w:t>
      </w:r>
      <w:r w:rsidRPr="0060482F">
        <w:rPr>
          <w:rFonts w:ascii="Book Antiqua" w:hAnsi="Book Antiqua"/>
          <w:b/>
          <w:bCs/>
          <w:color w:val="000000" w:themeColor="text1"/>
        </w:rPr>
        <w:t>Court CM</w:t>
      </w:r>
      <w:r w:rsidRPr="0060482F">
        <w:rPr>
          <w:rFonts w:ascii="Book Antiqua" w:hAnsi="Book Antiqua"/>
          <w:color w:val="000000" w:themeColor="text1"/>
        </w:rPr>
        <w:t>, Ankeny JS, Sho S, Winograd P, Hou S, Song M, Wainberg ZA, Girgis MD, Graeber TG, Agopian VG, Tseng HR, Tomlinson JS. Circulating Tumor Cells Predict Occult Metastatic Disease and Prognosis in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Ann Surg Oncol</w:t>
      </w:r>
      <w:r w:rsidRPr="0060482F">
        <w:rPr>
          <w:rStyle w:val="apple-converted-space"/>
          <w:rFonts w:ascii="Book Antiqua" w:hAnsi="Book Antiqua"/>
          <w:color w:val="000000" w:themeColor="text1"/>
        </w:rPr>
        <w:t> </w:t>
      </w:r>
      <w:r w:rsidRPr="0060482F">
        <w:rPr>
          <w:rFonts w:ascii="Book Antiqua" w:hAnsi="Book Antiqua"/>
          <w:color w:val="000000" w:themeColor="text1"/>
        </w:rPr>
        <w:t>2018;</w:t>
      </w:r>
      <w:r w:rsidRPr="0060482F">
        <w:rPr>
          <w:rStyle w:val="apple-converted-space"/>
          <w:rFonts w:ascii="Book Antiqua" w:hAnsi="Book Antiqua"/>
          <w:color w:val="000000" w:themeColor="text1"/>
        </w:rPr>
        <w:t> </w:t>
      </w:r>
      <w:r w:rsidRPr="0060482F">
        <w:rPr>
          <w:rFonts w:ascii="Book Antiqua" w:hAnsi="Book Antiqua"/>
          <w:b/>
          <w:bCs/>
          <w:color w:val="000000" w:themeColor="text1"/>
        </w:rPr>
        <w:t>25</w:t>
      </w:r>
      <w:r w:rsidRPr="0060482F">
        <w:rPr>
          <w:rFonts w:ascii="Book Antiqua" w:hAnsi="Book Antiqua"/>
          <w:color w:val="000000" w:themeColor="text1"/>
        </w:rPr>
        <w:t>: 1000-1008 [PMID: 29442211 DOI: 10.1245/s10434-017-6290-8]</w:t>
      </w:r>
    </w:p>
    <w:p w14:paraId="3ACDD624"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21</w:t>
      </w:r>
      <w:r w:rsidRPr="0060482F">
        <w:rPr>
          <w:rStyle w:val="apple-converted-space"/>
          <w:rFonts w:ascii="Book Antiqua" w:hAnsi="Book Antiqua"/>
          <w:color w:val="000000" w:themeColor="text1"/>
        </w:rPr>
        <w:t> </w:t>
      </w:r>
      <w:r w:rsidRPr="0060482F">
        <w:rPr>
          <w:rFonts w:ascii="Book Antiqua" w:hAnsi="Book Antiqua"/>
          <w:b/>
          <w:bCs/>
          <w:color w:val="000000" w:themeColor="text1"/>
        </w:rPr>
        <w:t>Whittle MC</w:t>
      </w:r>
      <w:r w:rsidRPr="0060482F">
        <w:rPr>
          <w:rFonts w:ascii="Book Antiqua" w:hAnsi="Book Antiqua"/>
          <w:color w:val="000000" w:themeColor="text1"/>
        </w:rPr>
        <w:t>, Hingorani SR. Disconnect between EMT and metastasis in pancreas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Oncotarget</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6</w:t>
      </w:r>
      <w:r w:rsidRPr="0060482F">
        <w:rPr>
          <w:rFonts w:ascii="Book Antiqua" w:hAnsi="Book Antiqua"/>
          <w:color w:val="000000" w:themeColor="text1"/>
        </w:rPr>
        <w:t>: 30445-30446 [PMID: 26387140 DOI: 10.18632/oncotarget.5720]</w:t>
      </w:r>
    </w:p>
    <w:p w14:paraId="059D0743"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Kang Y</w:t>
      </w:r>
      <w:r w:rsidRPr="0060482F">
        <w:rPr>
          <w:rFonts w:ascii="Book Antiqua" w:hAnsi="Book Antiqua"/>
          <w:color w:val="000000" w:themeColor="text1"/>
        </w:rPr>
        <w:t>, Pantel K. Tumor cell dissemination: emerging biological insights from animal models and cancer patients.</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Cancer Cell</w:t>
      </w:r>
      <w:r w:rsidRPr="0060482F">
        <w:rPr>
          <w:rStyle w:val="apple-converted-space"/>
          <w:rFonts w:ascii="Book Antiqua" w:hAnsi="Book Antiqua"/>
          <w:color w:val="000000" w:themeColor="text1"/>
        </w:rPr>
        <w:t> </w:t>
      </w:r>
      <w:r w:rsidRPr="0060482F">
        <w:rPr>
          <w:rFonts w:ascii="Book Antiqua" w:hAnsi="Book Antiqua"/>
          <w:color w:val="000000" w:themeColor="text1"/>
        </w:rPr>
        <w:t>2013;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23</w:t>
      </w:r>
      <w:r w:rsidRPr="0060482F">
        <w:rPr>
          <w:rFonts w:ascii="Book Antiqua" w:hAnsi="Book Antiqua"/>
          <w:color w:val="000000" w:themeColor="text1"/>
        </w:rPr>
        <w:t>: 573-581 [PMID: 23680145 DOI: 10.1016/j.ccr.2013.04.017]</w:t>
      </w:r>
    </w:p>
    <w:p w14:paraId="742C4331"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Thiery JP</w:t>
      </w:r>
      <w:r w:rsidRPr="0060482F">
        <w:rPr>
          <w:rFonts w:ascii="Book Antiqua" w:hAnsi="Book Antiqua"/>
          <w:color w:val="000000" w:themeColor="text1"/>
        </w:rPr>
        <w:t>, Acloque H, Huang RY, Nieto MA. Epithelial-mesenchymal transitions in development and disease.</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Cell</w:t>
      </w:r>
      <w:r w:rsidRPr="0060482F">
        <w:rPr>
          <w:rStyle w:val="apple-converted-space"/>
          <w:rFonts w:ascii="Book Antiqua" w:hAnsi="Book Antiqua"/>
          <w:color w:val="000000" w:themeColor="text1"/>
        </w:rPr>
        <w:t> </w:t>
      </w:r>
      <w:r w:rsidRPr="0060482F">
        <w:rPr>
          <w:rFonts w:ascii="Book Antiqua" w:hAnsi="Book Antiqua"/>
          <w:color w:val="000000" w:themeColor="text1"/>
        </w:rPr>
        <w:t>2009;</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139</w:t>
      </w:r>
      <w:r w:rsidRPr="0060482F">
        <w:rPr>
          <w:rFonts w:ascii="Book Antiqua" w:hAnsi="Book Antiqua"/>
          <w:color w:val="000000" w:themeColor="text1"/>
        </w:rPr>
        <w:t>: 871-890 [PMID: 19945376 DOI: 10.1016/j.cell.2009.11.007]</w:t>
      </w:r>
    </w:p>
    <w:p w14:paraId="611AB54C"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Yu M</w:t>
      </w:r>
      <w:r w:rsidRPr="0060482F">
        <w:rPr>
          <w:rFonts w:ascii="Book Antiqua" w:hAnsi="Book Antiqua"/>
          <w:color w:val="000000" w:themeColor="text1"/>
        </w:rPr>
        <w:t>, Bardia A, Wittner BS, Stott SL, Smas ME, Ting DT, Isakoff SJ, Ciciliano JC, Wells MN, Shah AM, Concannon KF, Donaldson MC, Sequist LV, Brachtel E, Sgroi D, Baselga J, Ramaswamy S, Toner M, Haber DA, Maheswaran S. Circulating breast tumor cells exhibit dynamic changes in epithelial and mesenchymal composition.</w:t>
      </w:r>
      <w:r w:rsidRPr="0060482F">
        <w:rPr>
          <w:rStyle w:val="apple-converted-space"/>
          <w:rFonts w:ascii="Book Antiqua" w:hAnsi="Book Antiqua"/>
          <w:color w:val="000000" w:themeColor="text1"/>
        </w:rPr>
        <w:t> </w:t>
      </w:r>
      <w:r w:rsidRPr="0060482F">
        <w:rPr>
          <w:rFonts w:ascii="Book Antiqua" w:hAnsi="Book Antiqua"/>
          <w:i/>
          <w:iCs/>
          <w:color w:val="000000" w:themeColor="text1"/>
        </w:rPr>
        <w:t>Science</w:t>
      </w:r>
      <w:r w:rsidRPr="0060482F">
        <w:rPr>
          <w:rStyle w:val="apple-converted-space"/>
          <w:rFonts w:ascii="Book Antiqua" w:hAnsi="Book Antiqua"/>
          <w:color w:val="000000" w:themeColor="text1"/>
        </w:rPr>
        <w:t> </w:t>
      </w:r>
      <w:r w:rsidRPr="0060482F">
        <w:rPr>
          <w:rFonts w:ascii="Book Antiqua" w:hAnsi="Book Antiqua"/>
          <w:color w:val="000000" w:themeColor="text1"/>
        </w:rPr>
        <w:t>2013;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339</w:t>
      </w:r>
      <w:r w:rsidRPr="0060482F">
        <w:rPr>
          <w:rFonts w:ascii="Book Antiqua" w:hAnsi="Book Antiqua"/>
          <w:color w:val="000000" w:themeColor="text1"/>
        </w:rPr>
        <w:t>: 580-584 [PMID: 23372014 DOI: 10.1126/science.1228522]</w:t>
      </w:r>
    </w:p>
    <w:p w14:paraId="58AA003F"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Okabe H</w:t>
      </w:r>
      <w:r w:rsidRPr="0060482F">
        <w:rPr>
          <w:rFonts w:ascii="Book Antiqua" w:hAnsi="Book Antiqua"/>
          <w:color w:val="000000" w:themeColor="text1"/>
        </w:rPr>
        <w:t xml:space="preserve">, Ishimoto T, Mima K, Nakagawa S, Hayashi H, Kuroki H, Imai K, Nitta H, Saito S, Hashimoto D, Chikamoto A, Ishiko T, Watanabe M, Nagano </w:t>
      </w:r>
      <w:r w:rsidRPr="0060482F">
        <w:rPr>
          <w:rFonts w:ascii="Book Antiqua" w:hAnsi="Book Antiqua"/>
          <w:color w:val="000000" w:themeColor="text1"/>
        </w:rPr>
        <w:lastRenderedPageBreak/>
        <w:t>O, Beppu T, Saya H, Baba H. CD44s signals the acquisition of the mesenchymal phenotype required for anchorage-independent cell survival in hepatocellular carcinoma.</w:t>
      </w:r>
      <w:r w:rsidRPr="0060482F">
        <w:rPr>
          <w:rStyle w:val="apple-converted-space"/>
          <w:rFonts w:ascii="Book Antiqua" w:hAnsi="Book Antiqua"/>
          <w:color w:val="000000" w:themeColor="text1"/>
        </w:rPr>
        <w:t> </w:t>
      </w:r>
      <w:r w:rsidRPr="0060482F">
        <w:rPr>
          <w:rFonts w:ascii="Book Antiqua" w:hAnsi="Book Antiqua"/>
          <w:i/>
          <w:iCs/>
          <w:color w:val="000000" w:themeColor="text1"/>
        </w:rPr>
        <w:t>Br J Cancer</w:t>
      </w:r>
      <w:r w:rsidRPr="0060482F">
        <w:rPr>
          <w:rStyle w:val="apple-converted-space"/>
          <w:rFonts w:ascii="Book Antiqua" w:hAnsi="Book Antiqua"/>
          <w:color w:val="000000" w:themeColor="text1"/>
        </w:rPr>
        <w:t> </w:t>
      </w:r>
      <w:r w:rsidRPr="0060482F">
        <w:rPr>
          <w:rFonts w:ascii="Book Antiqua" w:hAnsi="Book Antiqua"/>
          <w:color w:val="000000" w:themeColor="text1"/>
        </w:rPr>
        <w:t>2014;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110</w:t>
      </w:r>
      <w:r w:rsidRPr="0060482F">
        <w:rPr>
          <w:rFonts w:ascii="Book Antiqua" w:hAnsi="Book Antiqua"/>
          <w:color w:val="000000" w:themeColor="text1"/>
        </w:rPr>
        <w:t>: 958-966 [PMID: 24300972 DOI: 10.1038/bjc.2013.759]</w:t>
      </w:r>
    </w:p>
    <w:p w14:paraId="0CD85059"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Satelli A</w:t>
      </w:r>
      <w:r w:rsidRPr="0060482F">
        <w:rPr>
          <w:rFonts w:ascii="Book Antiqua" w:hAnsi="Book Antiqua"/>
          <w:color w:val="000000" w:themeColor="text1"/>
        </w:rPr>
        <w:t>, Brownlee Z, Mitra A, Meng QH, Li S. Circulating tumor cell enumeration with a combination of epithelial cell adhesion molecule- and cell-surface vimentin-based methods for monitoring breast cancer therapeutic response.</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Clin Chem</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61</w:t>
      </w:r>
      <w:r w:rsidRPr="0060482F">
        <w:rPr>
          <w:rFonts w:ascii="Book Antiqua" w:hAnsi="Book Antiqua"/>
          <w:color w:val="000000" w:themeColor="text1"/>
        </w:rPr>
        <w:t>: 259-266 [PMID: 25336717 DOI: 10.1373/clinchem.2014.228122]</w:t>
      </w:r>
    </w:p>
    <w:p w14:paraId="618F298A"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Riediger H</w:t>
      </w:r>
      <w:r w:rsidRPr="0060482F">
        <w:rPr>
          <w:rFonts w:ascii="Book Antiqua" w:hAnsi="Book Antiqua"/>
          <w:color w:val="000000" w:themeColor="text1"/>
        </w:rPr>
        <w:t>, Keck T, Wellner U, zur Hausen A, Adam U, Hopt UT, Makowiec F. The lymph node ratio is the strongest prognostic factor after resection of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Gastrointest Surg</w:t>
      </w:r>
      <w:r w:rsidRPr="0060482F">
        <w:rPr>
          <w:rStyle w:val="apple-converted-space"/>
          <w:rFonts w:ascii="Book Antiqua" w:hAnsi="Book Antiqua"/>
          <w:color w:val="000000" w:themeColor="text1"/>
        </w:rPr>
        <w:t> </w:t>
      </w:r>
      <w:r w:rsidRPr="0060482F">
        <w:rPr>
          <w:rFonts w:ascii="Book Antiqua" w:hAnsi="Book Antiqua"/>
          <w:color w:val="000000" w:themeColor="text1"/>
        </w:rPr>
        <w:t>2009;</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13</w:t>
      </w:r>
      <w:r w:rsidRPr="0060482F">
        <w:rPr>
          <w:rFonts w:ascii="Book Antiqua" w:hAnsi="Book Antiqua"/>
          <w:color w:val="000000" w:themeColor="text1"/>
        </w:rPr>
        <w:t>: 1337-1344 [PMID: 19418101 DOI: 10.1007/s11605-009-0919-2]</w:t>
      </w:r>
    </w:p>
    <w:p w14:paraId="4C3990B6"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28</w:t>
      </w:r>
      <w:r w:rsidRPr="0060482F">
        <w:rPr>
          <w:rStyle w:val="apple-converted-space"/>
          <w:rFonts w:ascii="Book Antiqua" w:hAnsi="Book Antiqua"/>
          <w:color w:val="000000" w:themeColor="text1"/>
        </w:rPr>
        <w:t> </w:t>
      </w:r>
      <w:r w:rsidRPr="0060482F">
        <w:rPr>
          <w:rFonts w:ascii="Book Antiqua" w:hAnsi="Book Antiqua"/>
          <w:b/>
          <w:bCs/>
          <w:color w:val="000000" w:themeColor="text1"/>
        </w:rPr>
        <w:t>Soeth E</w:t>
      </w:r>
      <w:r w:rsidRPr="0060482F">
        <w:rPr>
          <w:rFonts w:ascii="Book Antiqua" w:hAnsi="Book Antiqua"/>
          <w:color w:val="000000" w:themeColor="text1"/>
        </w:rPr>
        <w:t>, Grigoleit U, Moellmann B, Röder C, Schniewind B, Kremer B, Kalthoff H, Vogel I. Detection of tumor cell dissemination in pancreatic ductal carcinoma patients by CK 20 RT-PCR indicates poor survival.</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Cancer Res Clin Oncol</w:t>
      </w:r>
      <w:r w:rsidRPr="0060482F">
        <w:rPr>
          <w:rStyle w:val="apple-converted-space"/>
          <w:rFonts w:ascii="Book Antiqua" w:hAnsi="Book Antiqua"/>
          <w:color w:val="000000" w:themeColor="text1"/>
        </w:rPr>
        <w:t> </w:t>
      </w:r>
      <w:r w:rsidRPr="0060482F">
        <w:rPr>
          <w:rFonts w:ascii="Book Antiqua" w:hAnsi="Book Antiqua"/>
          <w:color w:val="000000" w:themeColor="text1"/>
        </w:rPr>
        <w:t>2005;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131</w:t>
      </w:r>
      <w:r w:rsidRPr="0060482F">
        <w:rPr>
          <w:rFonts w:ascii="Book Antiqua" w:hAnsi="Book Antiqua"/>
          <w:color w:val="000000" w:themeColor="text1"/>
        </w:rPr>
        <w:t>: 669-676 [PMID: 16136352 DOI: 10.1007/s00432-005-0008-1]</w:t>
      </w:r>
    </w:p>
    <w:p w14:paraId="57718070"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29</w:t>
      </w:r>
      <w:r w:rsidRPr="0060482F">
        <w:rPr>
          <w:rStyle w:val="apple-converted-space"/>
          <w:rFonts w:ascii="Book Antiqua" w:hAnsi="Book Antiqua"/>
          <w:color w:val="000000" w:themeColor="text1"/>
        </w:rPr>
        <w:t> </w:t>
      </w:r>
      <w:r w:rsidRPr="0060482F">
        <w:rPr>
          <w:rFonts w:ascii="Book Antiqua" w:hAnsi="Book Antiqua"/>
          <w:b/>
          <w:bCs/>
          <w:color w:val="000000" w:themeColor="text1"/>
        </w:rPr>
        <w:t>Cristofanilli M</w:t>
      </w:r>
      <w:r w:rsidRPr="0060482F">
        <w:rPr>
          <w:rFonts w:ascii="Book Antiqua" w:hAnsi="Book Antiqua"/>
          <w:color w:val="000000" w:themeColor="text1"/>
        </w:rPr>
        <w:t>, Budd GT, Ellis MJ, Stopeck A, Matera J, Miller MC, Reuben JM, Doyle GV, Allard WJ, Terstappen LW, Hayes DF. Circulating tumor cells, disease progression, and survival in metastatic breast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N Engl J Med</w:t>
      </w:r>
      <w:r w:rsidRPr="0060482F">
        <w:rPr>
          <w:rStyle w:val="apple-converted-space"/>
          <w:rFonts w:ascii="Book Antiqua" w:hAnsi="Book Antiqua"/>
          <w:color w:val="000000" w:themeColor="text1"/>
        </w:rPr>
        <w:t> </w:t>
      </w:r>
      <w:r w:rsidRPr="0060482F">
        <w:rPr>
          <w:rFonts w:ascii="Book Antiqua" w:hAnsi="Book Antiqua"/>
          <w:color w:val="000000" w:themeColor="text1"/>
        </w:rPr>
        <w:t>2004;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351</w:t>
      </w:r>
      <w:r w:rsidRPr="0060482F">
        <w:rPr>
          <w:rFonts w:ascii="Book Antiqua" w:hAnsi="Book Antiqua"/>
          <w:color w:val="000000" w:themeColor="text1"/>
        </w:rPr>
        <w:t>: 781-791 [PMID: 15317891 DOI: 10.1056/NEJMoa040766]</w:t>
      </w:r>
    </w:p>
    <w:p w14:paraId="38593F3A"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30</w:t>
      </w:r>
      <w:r w:rsidRPr="0060482F">
        <w:rPr>
          <w:rStyle w:val="apple-converted-space"/>
          <w:rFonts w:ascii="Book Antiqua" w:hAnsi="Book Antiqua"/>
          <w:color w:val="000000" w:themeColor="text1"/>
        </w:rPr>
        <w:t> </w:t>
      </w:r>
      <w:r w:rsidRPr="0060482F">
        <w:rPr>
          <w:rFonts w:ascii="Book Antiqua" w:hAnsi="Book Antiqua"/>
          <w:b/>
          <w:bCs/>
          <w:color w:val="000000" w:themeColor="text1"/>
        </w:rPr>
        <w:t>Liu X</w:t>
      </w:r>
      <w:r w:rsidRPr="0060482F">
        <w:rPr>
          <w:rFonts w:ascii="Book Antiqua" w:hAnsi="Book Antiqua"/>
          <w:color w:val="000000" w:themeColor="text1"/>
        </w:rPr>
        <w:t>, Li C, Li J, Yu T, Zhou G, Cheng J, Li G, Zhou Y, Lou W, Wang X, Gong G, Liu L, Chen Y. Detection of CTCs in portal vein was associated with intrahepatic metastases and prognosis in patients with advanced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Cancer</w:t>
      </w:r>
      <w:r w:rsidRPr="0060482F">
        <w:rPr>
          <w:rStyle w:val="apple-converted-space"/>
          <w:rFonts w:ascii="Book Antiqua" w:hAnsi="Book Antiqua"/>
          <w:color w:val="000000" w:themeColor="text1"/>
        </w:rPr>
        <w:t> </w:t>
      </w:r>
      <w:r w:rsidRPr="0060482F">
        <w:rPr>
          <w:rFonts w:ascii="Book Antiqua" w:hAnsi="Book Antiqua"/>
          <w:color w:val="000000" w:themeColor="text1"/>
        </w:rPr>
        <w:t>2018;</w:t>
      </w:r>
      <w:r w:rsidRPr="0060482F">
        <w:rPr>
          <w:rStyle w:val="apple-converted-space"/>
          <w:rFonts w:ascii="Book Antiqua" w:hAnsi="Book Antiqua"/>
          <w:color w:val="000000" w:themeColor="text1"/>
        </w:rPr>
        <w:t> </w:t>
      </w:r>
      <w:r w:rsidRPr="0060482F">
        <w:rPr>
          <w:rFonts w:ascii="Book Antiqua" w:hAnsi="Book Antiqua"/>
          <w:b/>
          <w:bCs/>
          <w:color w:val="000000" w:themeColor="text1"/>
        </w:rPr>
        <w:t>9</w:t>
      </w:r>
      <w:r w:rsidRPr="0060482F">
        <w:rPr>
          <w:rFonts w:ascii="Book Antiqua" w:hAnsi="Book Antiqua"/>
          <w:color w:val="000000" w:themeColor="text1"/>
        </w:rPr>
        <w:t>: 2038-2045 [PMID: 29896289 DOI: 10.7150/jca.23989]</w:t>
      </w:r>
    </w:p>
    <w:p w14:paraId="52DB552F"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31</w:t>
      </w:r>
      <w:r w:rsidRPr="0060482F">
        <w:rPr>
          <w:rStyle w:val="apple-converted-space"/>
          <w:rFonts w:ascii="Book Antiqua" w:hAnsi="Book Antiqua"/>
          <w:color w:val="000000" w:themeColor="text1"/>
        </w:rPr>
        <w:t> </w:t>
      </w:r>
      <w:r w:rsidRPr="0060482F">
        <w:rPr>
          <w:rFonts w:ascii="Book Antiqua" w:hAnsi="Book Antiqua"/>
          <w:b/>
          <w:bCs/>
          <w:color w:val="000000" w:themeColor="text1"/>
        </w:rPr>
        <w:t>Wan L</w:t>
      </w:r>
      <w:r w:rsidRPr="0060482F">
        <w:rPr>
          <w:rFonts w:ascii="Book Antiqua" w:hAnsi="Book Antiqua"/>
          <w:color w:val="000000" w:themeColor="text1"/>
        </w:rPr>
        <w:t>, Pantel K, Kang Y. Tumor metastasis: moving new biological insights into the clinic.</w:t>
      </w:r>
      <w:r w:rsidRPr="0060482F">
        <w:rPr>
          <w:rStyle w:val="apple-converted-space"/>
          <w:rFonts w:ascii="Book Antiqua" w:hAnsi="Book Antiqua"/>
          <w:color w:val="000000" w:themeColor="text1"/>
        </w:rPr>
        <w:t> </w:t>
      </w:r>
      <w:r w:rsidRPr="0060482F">
        <w:rPr>
          <w:rFonts w:ascii="Book Antiqua" w:hAnsi="Book Antiqua"/>
          <w:i/>
          <w:iCs/>
          <w:color w:val="000000" w:themeColor="text1"/>
        </w:rPr>
        <w:t>Nat Med</w:t>
      </w:r>
      <w:r w:rsidRPr="0060482F">
        <w:rPr>
          <w:rStyle w:val="apple-converted-space"/>
          <w:rFonts w:ascii="Book Antiqua" w:hAnsi="Book Antiqua"/>
          <w:color w:val="000000" w:themeColor="text1"/>
        </w:rPr>
        <w:t> </w:t>
      </w:r>
      <w:r w:rsidRPr="0060482F">
        <w:rPr>
          <w:rFonts w:ascii="Book Antiqua" w:hAnsi="Book Antiqua"/>
          <w:color w:val="000000" w:themeColor="text1"/>
        </w:rPr>
        <w:t>2013;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19</w:t>
      </w:r>
      <w:r w:rsidRPr="0060482F">
        <w:rPr>
          <w:rFonts w:ascii="Book Antiqua" w:hAnsi="Book Antiqua"/>
          <w:color w:val="000000" w:themeColor="text1"/>
        </w:rPr>
        <w:t>: 1450-1464 [PMID: 24202397 DOI: 10.1038/nm.3391]</w:t>
      </w:r>
    </w:p>
    <w:p w14:paraId="435FBFFE"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Chen F</w:t>
      </w:r>
      <w:r w:rsidRPr="0060482F">
        <w:rPr>
          <w:rFonts w:ascii="Book Antiqua" w:hAnsi="Book Antiqua"/>
          <w:color w:val="000000" w:themeColor="text1"/>
        </w:rPr>
        <w:t xml:space="preserve">, Wang S, Fang Y, Zheng L, Zhi X, Cheng B, Chen Y, Zhang C, Shi D, Song H, Cai C, Zhou P, Xiong B. Feasibility of a novel one-stop ISET device to </w:t>
      </w:r>
      <w:r w:rsidRPr="0060482F">
        <w:rPr>
          <w:rFonts w:ascii="Book Antiqua" w:hAnsi="Book Antiqua"/>
          <w:color w:val="000000" w:themeColor="text1"/>
        </w:rPr>
        <w:lastRenderedPageBreak/>
        <w:t>capture CTCs and its clinical application.</w:t>
      </w:r>
      <w:r w:rsidRPr="0060482F">
        <w:rPr>
          <w:rStyle w:val="apple-converted-space"/>
          <w:rFonts w:ascii="Book Antiqua" w:hAnsi="Book Antiqua"/>
          <w:color w:val="000000" w:themeColor="text1"/>
        </w:rPr>
        <w:t> </w:t>
      </w:r>
      <w:r w:rsidRPr="0060482F">
        <w:rPr>
          <w:rFonts w:ascii="Book Antiqua" w:hAnsi="Book Antiqua"/>
          <w:i/>
          <w:iCs/>
          <w:color w:val="000000" w:themeColor="text1"/>
        </w:rPr>
        <w:t>Oncotarget</w:t>
      </w:r>
      <w:r w:rsidRPr="0060482F">
        <w:rPr>
          <w:rStyle w:val="apple-converted-space"/>
          <w:rFonts w:ascii="Book Antiqua" w:hAnsi="Book Antiqua"/>
          <w:color w:val="000000" w:themeColor="text1"/>
        </w:rPr>
        <w:t> </w:t>
      </w:r>
      <w:r w:rsidRPr="0060482F">
        <w:rPr>
          <w:rFonts w:ascii="Book Antiqua" w:hAnsi="Book Antiqua"/>
          <w:color w:val="000000" w:themeColor="text1"/>
        </w:rPr>
        <w:t>2017;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8</w:t>
      </w:r>
      <w:r w:rsidRPr="0060482F">
        <w:rPr>
          <w:rFonts w:ascii="Book Antiqua" w:hAnsi="Book Antiqua"/>
          <w:color w:val="000000" w:themeColor="text1"/>
        </w:rPr>
        <w:t>: 3029-3041 [PMID: 27935872 DOI: 10.18632/oncotarget.13823]</w:t>
      </w:r>
    </w:p>
    <w:p w14:paraId="4B555DE5"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Momi N</w:t>
      </w:r>
      <w:r w:rsidRPr="0060482F">
        <w:rPr>
          <w:rFonts w:ascii="Book Antiqua" w:hAnsi="Book Antiqua"/>
          <w:color w:val="000000" w:themeColor="text1"/>
        </w:rPr>
        <w:t>, Kaur S, Krishn SR, Batra SK. Discovering the route from inflammation to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Minerva Gastroenterol Dietol</w:t>
      </w:r>
      <w:r w:rsidRPr="0060482F">
        <w:rPr>
          <w:rStyle w:val="apple-converted-space"/>
          <w:rFonts w:ascii="Book Antiqua" w:hAnsi="Book Antiqua"/>
          <w:color w:val="000000" w:themeColor="text1"/>
        </w:rPr>
        <w:t> </w:t>
      </w:r>
      <w:r w:rsidRPr="0060482F">
        <w:rPr>
          <w:rFonts w:ascii="Book Antiqua" w:hAnsi="Book Antiqua"/>
          <w:color w:val="000000" w:themeColor="text1"/>
        </w:rPr>
        <w:t>2012;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58</w:t>
      </w:r>
      <w:r w:rsidRPr="0060482F">
        <w:rPr>
          <w:rFonts w:ascii="Book Antiqua" w:hAnsi="Book Antiqua"/>
          <w:color w:val="000000" w:themeColor="text1"/>
        </w:rPr>
        <w:t>: 283-297 [PMID: 23207606]</w:t>
      </w:r>
    </w:p>
    <w:p w14:paraId="2500063D"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Abu-Remaileh M</w:t>
      </w:r>
      <w:r w:rsidRPr="0060482F">
        <w:rPr>
          <w:rFonts w:ascii="Book Antiqua" w:hAnsi="Book Antiqua"/>
          <w:color w:val="000000" w:themeColor="text1"/>
        </w:rPr>
        <w:t>, Bender S, Raddatz G, Ansari I, Cohen D, Gutekunst J, Musch T, Linhart H, Breiling A, Pikarsky E, Bergman Y, Lyko F. Chronic inflammation induces a novel epigenetic program that is conserved in intestinal adenomas and in colorectal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Cancer Res</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75</w:t>
      </w:r>
      <w:r w:rsidRPr="0060482F">
        <w:rPr>
          <w:rFonts w:ascii="Book Antiqua" w:hAnsi="Book Antiqua"/>
          <w:color w:val="000000" w:themeColor="text1"/>
        </w:rPr>
        <w:t>: 2120-2130 [PMID: 25808873 DOI: 10.1158/0008-5472.CAN-14-3295]</w:t>
      </w:r>
    </w:p>
    <w:p w14:paraId="0CFC2928"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Rivas-Fuentes S</w:t>
      </w:r>
      <w:r w:rsidRPr="0060482F">
        <w:rPr>
          <w:rFonts w:ascii="Book Antiqua" w:hAnsi="Book Antiqua"/>
          <w:color w:val="000000" w:themeColor="text1"/>
        </w:rPr>
        <w:t>, Salgado-Aguayo A, Pertuz Belloso S, Gorocica Rosete P, Alvarado-Vásquez N, Aquino-Jarquin G. Role of Chemokines in Non-Small Cell Lung Cancer: Angiogenesis and Inflammation.</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Cancer</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6</w:t>
      </w:r>
      <w:r w:rsidRPr="0060482F">
        <w:rPr>
          <w:rFonts w:ascii="Book Antiqua" w:hAnsi="Book Antiqua"/>
          <w:color w:val="000000" w:themeColor="text1"/>
        </w:rPr>
        <w:t>: 938-952 [PMID: 26316890 DOI: 10.7150/jca.12286]</w:t>
      </w:r>
    </w:p>
    <w:p w14:paraId="40C39296"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36</w:t>
      </w:r>
      <w:r w:rsidRPr="0060482F">
        <w:rPr>
          <w:rStyle w:val="apple-converted-space"/>
          <w:rFonts w:ascii="Book Antiqua" w:hAnsi="Book Antiqua"/>
          <w:color w:val="000000" w:themeColor="text1"/>
        </w:rPr>
        <w:t> </w:t>
      </w:r>
      <w:r w:rsidRPr="0060482F">
        <w:rPr>
          <w:rFonts w:ascii="Book Antiqua" w:hAnsi="Book Antiqua"/>
          <w:b/>
          <w:bCs/>
          <w:color w:val="000000" w:themeColor="text1"/>
        </w:rPr>
        <w:t>Becker AE</w:t>
      </w:r>
      <w:r w:rsidRPr="0060482F">
        <w:rPr>
          <w:rFonts w:ascii="Book Antiqua" w:hAnsi="Book Antiqua"/>
          <w:color w:val="000000" w:themeColor="text1"/>
        </w:rPr>
        <w:t>, Hernandez YG, Frucht H, Lucas AL. Pancreatic ductal adenocarcinoma: risk factors, screening, and early detection.</w:t>
      </w:r>
      <w:r w:rsidRPr="0060482F">
        <w:rPr>
          <w:rStyle w:val="apple-converted-space"/>
          <w:rFonts w:ascii="Book Antiqua" w:hAnsi="Book Antiqua"/>
          <w:color w:val="000000" w:themeColor="text1"/>
        </w:rPr>
        <w:t> </w:t>
      </w:r>
      <w:r w:rsidRPr="0060482F">
        <w:rPr>
          <w:rFonts w:ascii="Book Antiqua" w:hAnsi="Book Antiqua"/>
          <w:i/>
          <w:iCs/>
          <w:color w:val="000000" w:themeColor="text1"/>
        </w:rPr>
        <w:t>World J Gastroenterol</w:t>
      </w:r>
      <w:r w:rsidRPr="0060482F">
        <w:rPr>
          <w:rStyle w:val="apple-converted-space"/>
          <w:rFonts w:ascii="Book Antiqua" w:hAnsi="Book Antiqua"/>
          <w:color w:val="000000" w:themeColor="text1"/>
        </w:rPr>
        <w:t> </w:t>
      </w:r>
      <w:r w:rsidRPr="0060482F">
        <w:rPr>
          <w:rFonts w:ascii="Book Antiqua" w:hAnsi="Book Antiqua"/>
          <w:color w:val="000000" w:themeColor="text1"/>
        </w:rPr>
        <w:t>2014;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20</w:t>
      </w:r>
      <w:r w:rsidRPr="0060482F">
        <w:rPr>
          <w:rFonts w:ascii="Book Antiqua" w:hAnsi="Book Antiqua"/>
          <w:color w:val="000000" w:themeColor="text1"/>
        </w:rPr>
        <w:t>: 11182-11198 [PMID: 25170203 DOI: 10.3748/wjg.v20.i32.11182]</w:t>
      </w:r>
    </w:p>
    <w:p w14:paraId="29DB6108"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37</w:t>
      </w:r>
      <w:r w:rsidRPr="0060482F">
        <w:rPr>
          <w:rStyle w:val="apple-converted-space"/>
          <w:rFonts w:ascii="Book Antiqua" w:hAnsi="Book Antiqua"/>
          <w:color w:val="000000" w:themeColor="text1"/>
        </w:rPr>
        <w:t> </w:t>
      </w:r>
      <w:r w:rsidRPr="0060482F">
        <w:rPr>
          <w:rFonts w:ascii="Book Antiqua" w:hAnsi="Book Antiqua"/>
          <w:b/>
          <w:bCs/>
          <w:color w:val="000000" w:themeColor="text1"/>
        </w:rPr>
        <w:t>Stotz M</w:t>
      </w:r>
      <w:r w:rsidRPr="0060482F">
        <w:rPr>
          <w:rFonts w:ascii="Book Antiqua" w:hAnsi="Book Antiqua"/>
          <w:color w:val="000000" w:themeColor="text1"/>
        </w:rPr>
        <w:t>, Gerger A, Eisner F, Szkandera J, Loibner H, Ress AL, Kornprat P, AlZoughbi W, Seggewies FS, Lackner C, Stojakovic T, Samonigg H, Hoefler G, Pichler M. Increased neutrophil-lymphocyte ratio is a poor prognostic factor in patients with primary operable and inoperable pancreatic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Br J Cancer</w:t>
      </w:r>
      <w:r w:rsidRPr="0060482F">
        <w:rPr>
          <w:rStyle w:val="apple-converted-space"/>
          <w:rFonts w:ascii="Book Antiqua" w:hAnsi="Book Antiqua"/>
          <w:color w:val="000000" w:themeColor="text1"/>
        </w:rPr>
        <w:t> </w:t>
      </w:r>
      <w:r w:rsidRPr="0060482F">
        <w:rPr>
          <w:rFonts w:ascii="Book Antiqua" w:hAnsi="Book Antiqua"/>
          <w:color w:val="000000" w:themeColor="text1"/>
        </w:rPr>
        <w:t>2013;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109</w:t>
      </w:r>
      <w:r w:rsidRPr="0060482F">
        <w:rPr>
          <w:rFonts w:ascii="Book Antiqua" w:hAnsi="Book Antiqua"/>
          <w:color w:val="000000" w:themeColor="text1"/>
        </w:rPr>
        <w:t>: 416-421 [PMID: 23799847 DOI: 10.1038/bjc.2013.332]</w:t>
      </w:r>
    </w:p>
    <w:p w14:paraId="60262FE5"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38</w:t>
      </w:r>
      <w:r w:rsidRPr="0060482F">
        <w:rPr>
          <w:rStyle w:val="apple-converted-space"/>
          <w:rFonts w:ascii="Book Antiqua" w:hAnsi="Book Antiqua"/>
          <w:color w:val="000000" w:themeColor="text1"/>
        </w:rPr>
        <w:t> </w:t>
      </w:r>
      <w:r w:rsidRPr="0060482F">
        <w:rPr>
          <w:rFonts w:ascii="Book Antiqua" w:hAnsi="Book Antiqua"/>
          <w:b/>
          <w:bCs/>
          <w:color w:val="000000" w:themeColor="text1"/>
        </w:rPr>
        <w:t>Esmaeilsabzali H</w:t>
      </w:r>
      <w:r w:rsidRPr="0060482F">
        <w:rPr>
          <w:rFonts w:ascii="Book Antiqua" w:hAnsi="Book Antiqua"/>
          <w:color w:val="000000" w:themeColor="text1"/>
        </w:rPr>
        <w:t>, Beischlag TV, Cox ME, Parameswaran AM, Park EJ. Detection and isolation of circulating tumor cells: principles and methods.</w:t>
      </w:r>
      <w:r w:rsidRPr="0060482F">
        <w:rPr>
          <w:rStyle w:val="apple-converted-space"/>
          <w:rFonts w:ascii="Book Antiqua" w:hAnsi="Book Antiqua"/>
          <w:color w:val="000000" w:themeColor="text1"/>
        </w:rPr>
        <w:t> </w:t>
      </w:r>
      <w:r w:rsidRPr="0060482F">
        <w:rPr>
          <w:rFonts w:ascii="Book Antiqua" w:hAnsi="Book Antiqua"/>
          <w:i/>
          <w:iCs/>
          <w:color w:val="000000" w:themeColor="text1"/>
        </w:rPr>
        <w:t>Biotechnol Adv</w:t>
      </w:r>
      <w:r w:rsidRPr="0060482F">
        <w:rPr>
          <w:rFonts w:ascii="Book Antiqua" w:hAnsi="Book Antiqua"/>
          <w:color w:val="000000" w:themeColor="text1"/>
        </w:rPr>
        <w:t>2013;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31</w:t>
      </w:r>
      <w:r w:rsidRPr="0060482F">
        <w:rPr>
          <w:rFonts w:ascii="Book Antiqua" w:hAnsi="Book Antiqua"/>
          <w:color w:val="000000" w:themeColor="text1"/>
        </w:rPr>
        <w:t>: 1063-1084 [PMID: 23999357 DOI: 10.1016/j.biotechadv.2013.08.016]</w:t>
      </w:r>
    </w:p>
    <w:p w14:paraId="340842AD"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39</w:t>
      </w:r>
      <w:r w:rsidRPr="0060482F">
        <w:rPr>
          <w:rStyle w:val="apple-converted-space"/>
          <w:rFonts w:ascii="Book Antiqua" w:hAnsi="Book Antiqua"/>
          <w:color w:val="000000" w:themeColor="text1"/>
        </w:rPr>
        <w:t> </w:t>
      </w:r>
      <w:r w:rsidRPr="0060482F">
        <w:rPr>
          <w:rFonts w:ascii="Book Antiqua" w:hAnsi="Book Antiqua"/>
          <w:b/>
          <w:bCs/>
          <w:color w:val="000000" w:themeColor="text1"/>
        </w:rPr>
        <w:t>Friedlander TW</w:t>
      </w:r>
      <w:r w:rsidRPr="0060482F">
        <w:rPr>
          <w:rFonts w:ascii="Book Antiqua" w:hAnsi="Book Antiqua"/>
          <w:color w:val="000000" w:themeColor="text1"/>
        </w:rPr>
        <w:t>, Premasekharan G, Paris PL. Looking back, to the future of circulating tumor cells.</w:t>
      </w:r>
      <w:r w:rsidRPr="0060482F">
        <w:rPr>
          <w:rStyle w:val="apple-converted-space"/>
          <w:rFonts w:ascii="Book Antiqua" w:hAnsi="Book Antiqua"/>
          <w:color w:val="000000" w:themeColor="text1"/>
        </w:rPr>
        <w:t> </w:t>
      </w:r>
      <w:r w:rsidRPr="0060482F">
        <w:rPr>
          <w:rFonts w:ascii="Book Antiqua" w:hAnsi="Book Antiqua"/>
          <w:i/>
          <w:iCs/>
          <w:color w:val="000000" w:themeColor="text1"/>
        </w:rPr>
        <w:t>Pharmacol Ther</w:t>
      </w:r>
      <w:r w:rsidRPr="0060482F">
        <w:rPr>
          <w:rStyle w:val="apple-converted-space"/>
          <w:rFonts w:ascii="Book Antiqua" w:hAnsi="Book Antiqua"/>
          <w:color w:val="000000" w:themeColor="text1"/>
        </w:rPr>
        <w:t> </w:t>
      </w:r>
      <w:r w:rsidRPr="0060482F">
        <w:rPr>
          <w:rFonts w:ascii="Book Antiqua" w:hAnsi="Book Antiqua"/>
          <w:color w:val="000000" w:themeColor="text1"/>
        </w:rPr>
        <w:t>2014;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142</w:t>
      </w:r>
      <w:r w:rsidRPr="0060482F">
        <w:rPr>
          <w:rFonts w:ascii="Book Antiqua" w:hAnsi="Book Antiqua"/>
          <w:color w:val="000000" w:themeColor="text1"/>
        </w:rPr>
        <w:t>: 271-280 [PMID: 24362084 DOI: 10.1016/j.pharmthera.2013.12.011]</w:t>
      </w:r>
    </w:p>
    <w:p w14:paraId="3BF2C28F"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lastRenderedPageBreak/>
        <w:t>40</w:t>
      </w:r>
      <w:r w:rsidRPr="0060482F">
        <w:rPr>
          <w:rStyle w:val="apple-converted-space"/>
          <w:rFonts w:ascii="Book Antiqua" w:hAnsi="Book Antiqua"/>
          <w:color w:val="000000" w:themeColor="text1"/>
        </w:rPr>
        <w:t> </w:t>
      </w:r>
      <w:r w:rsidRPr="0060482F">
        <w:rPr>
          <w:rFonts w:ascii="Book Antiqua" w:hAnsi="Book Antiqua"/>
          <w:b/>
          <w:bCs/>
          <w:color w:val="000000" w:themeColor="text1"/>
        </w:rPr>
        <w:t>Harouaka R</w:t>
      </w:r>
      <w:r w:rsidRPr="0060482F">
        <w:rPr>
          <w:rFonts w:ascii="Book Antiqua" w:hAnsi="Book Antiqua"/>
          <w:color w:val="000000" w:themeColor="text1"/>
        </w:rPr>
        <w:t>, Kang Z, Zheng SY, Cao L. Circulating tumor cells: advances in isolation and analysis, and challenges for clinical applications.</w:t>
      </w:r>
      <w:r w:rsidRPr="0060482F">
        <w:rPr>
          <w:rStyle w:val="apple-converted-space"/>
          <w:rFonts w:ascii="Book Antiqua" w:hAnsi="Book Antiqua"/>
          <w:color w:val="000000" w:themeColor="text1"/>
        </w:rPr>
        <w:t> </w:t>
      </w:r>
      <w:r w:rsidRPr="0060482F">
        <w:rPr>
          <w:rFonts w:ascii="Book Antiqua" w:hAnsi="Book Antiqua"/>
          <w:i/>
          <w:iCs/>
          <w:color w:val="000000" w:themeColor="text1"/>
        </w:rPr>
        <w:t>Pharmacol Ther</w:t>
      </w:r>
      <w:r w:rsidRPr="0060482F">
        <w:rPr>
          <w:rStyle w:val="apple-converted-space"/>
          <w:rFonts w:ascii="Book Antiqua" w:hAnsi="Book Antiqua"/>
          <w:color w:val="000000" w:themeColor="text1"/>
        </w:rPr>
        <w:t> </w:t>
      </w:r>
      <w:r w:rsidRPr="0060482F">
        <w:rPr>
          <w:rFonts w:ascii="Book Antiqua" w:hAnsi="Book Antiqua"/>
          <w:color w:val="000000" w:themeColor="text1"/>
        </w:rPr>
        <w:t>2014;</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141</w:t>
      </w:r>
      <w:r w:rsidRPr="0060482F">
        <w:rPr>
          <w:rFonts w:ascii="Book Antiqua" w:hAnsi="Book Antiqua"/>
          <w:color w:val="000000" w:themeColor="text1"/>
        </w:rPr>
        <w:t>: 209-221 [PMID: 24134902 DOI: 10.1016/j.pharmthera.2013.10.004]</w:t>
      </w:r>
    </w:p>
    <w:p w14:paraId="6B1ECE60"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41</w:t>
      </w:r>
      <w:r w:rsidRPr="0060482F">
        <w:rPr>
          <w:rStyle w:val="apple-converted-space"/>
          <w:rFonts w:ascii="Book Antiqua" w:hAnsi="Book Antiqua"/>
          <w:color w:val="000000" w:themeColor="text1"/>
        </w:rPr>
        <w:t> </w:t>
      </w:r>
      <w:r w:rsidRPr="0060482F">
        <w:rPr>
          <w:rFonts w:ascii="Book Antiqua" w:hAnsi="Book Antiqua"/>
          <w:b/>
          <w:bCs/>
          <w:color w:val="000000" w:themeColor="text1"/>
        </w:rPr>
        <w:t>Satelli A</w:t>
      </w:r>
      <w:r w:rsidRPr="0060482F">
        <w:rPr>
          <w:rFonts w:ascii="Book Antiqua" w:hAnsi="Book Antiqua"/>
          <w:color w:val="000000" w:themeColor="text1"/>
        </w:rPr>
        <w:t>, Mitra A, Brownlee Z, Xia X, Bellister S, Overman MJ, Kopetz S, Ellis LM, Meng QH, Li S. Epithelial-mesenchymal transitioned circulating tumor cells capture for detecting tumor progression.</w:t>
      </w:r>
      <w:r w:rsidRPr="0060482F">
        <w:rPr>
          <w:rStyle w:val="apple-converted-space"/>
          <w:rFonts w:ascii="Book Antiqua" w:hAnsi="Book Antiqua"/>
          <w:color w:val="000000" w:themeColor="text1"/>
        </w:rPr>
        <w:t> </w:t>
      </w:r>
      <w:r w:rsidRPr="0060482F">
        <w:rPr>
          <w:rFonts w:ascii="Book Antiqua" w:hAnsi="Book Antiqua"/>
          <w:i/>
          <w:iCs/>
          <w:color w:val="000000" w:themeColor="text1"/>
        </w:rPr>
        <w:t>Clin Cancer Res</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21</w:t>
      </w:r>
      <w:r w:rsidRPr="0060482F">
        <w:rPr>
          <w:rFonts w:ascii="Book Antiqua" w:hAnsi="Book Antiqua"/>
          <w:color w:val="000000" w:themeColor="text1"/>
        </w:rPr>
        <w:t>: 899-906 [PMID: 25516888 DOI: 10.1158/1078-0432.CCR-14-0894]</w:t>
      </w:r>
    </w:p>
    <w:p w14:paraId="17E01E55"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42</w:t>
      </w:r>
      <w:r w:rsidRPr="0060482F">
        <w:rPr>
          <w:rStyle w:val="apple-converted-space"/>
          <w:rFonts w:ascii="Book Antiqua" w:hAnsi="Book Antiqua"/>
          <w:color w:val="000000" w:themeColor="text1"/>
        </w:rPr>
        <w:t> </w:t>
      </w:r>
      <w:r w:rsidRPr="0060482F">
        <w:rPr>
          <w:rFonts w:ascii="Book Antiqua" w:hAnsi="Book Antiqua"/>
          <w:b/>
          <w:bCs/>
          <w:color w:val="000000" w:themeColor="text1"/>
        </w:rPr>
        <w:t>Mego M</w:t>
      </w:r>
      <w:r w:rsidRPr="0060482F">
        <w:rPr>
          <w:rFonts w:ascii="Book Antiqua" w:hAnsi="Book Antiqua"/>
          <w:color w:val="000000" w:themeColor="text1"/>
        </w:rPr>
        <w:t>, Cierna Z, Janega P, Karaba M, Minarik G, Benca J, Sedlácková T, Sieberova G, Gronesova P, Manasova D, Pindak D, Sufliarsky J, Danihel L, Reuben JM, Mardiak J. Relationship between circulating tumor cells and epithelial to mesenchymal transition in early breast cancer.</w:t>
      </w:r>
      <w:r w:rsidRPr="0060482F">
        <w:rPr>
          <w:rStyle w:val="apple-converted-space"/>
          <w:rFonts w:ascii="Book Antiqua" w:hAnsi="Book Antiqua"/>
          <w:color w:val="000000" w:themeColor="text1"/>
        </w:rPr>
        <w:t> </w:t>
      </w:r>
      <w:r w:rsidRPr="0060482F">
        <w:rPr>
          <w:rFonts w:ascii="Book Antiqua" w:hAnsi="Book Antiqua"/>
          <w:i/>
          <w:iCs/>
          <w:color w:val="000000" w:themeColor="text1"/>
        </w:rPr>
        <w:t>BMC Cancer</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15</w:t>
      </w:r>
      <w:r w:rsidRPr="0060482F">
        <w:rPr>
          <w:rFonts w:ascii="Book Antiqua" w:hAnsi="Book Antiqua"/>
          <w:color w:val="000000" w:themeColor="text1"/>
        </w:rPr>
        <w:t>: 533 [PMID: 26194471 DOI: 10.1186/s12885-015-1548-7]</w:t>
      </w:r>
    </w:p>
    <w:p w14:paraId="0BF85443" w14:textId="77777777" w:rsidR="00966213" w:rsidRPr="0060482F" w:rsidRDefault="00966213" w:rsidP="0060482F">
      <w:pPr>
        <w:pStyle w:val="NormalWeb"/>
        <w:adjustRightInd w:val="0"/>
        <w:snapToGrid w:val="0"/>
        <w:spacing w:before="0" w:beforeAutospacing="0" w:after="0" w:afterAutospacing="0" w:line="360" w:lineRule="auto"/>
        <w:jc w:val="both"/>
        <w:rPr>
          <w:rFonts w:ascii="Book Antiqua" w:hAnsi="Book Antiqua"/>
          <w:color w:val="000000" w:themeColor="text1"/>
        </w:rPr>
      </w:pPr>
      <w:r w:rsidRPr="0060482F">
        <w:rPr>
          <w:rFonts w:ascii="Book Antiqua" w:hAnsi="Book Antiqua"/>
          <w:color w:val="000000" w:themeColor="text1"/>
        </w:rPr>
        <w:t>43</w:t>
      </w:r>
      <w:r w:rsidRPr="0060482F">
        <w:rPr>
          <w:rStyle w:val="apple-converted-space"/>
          <w:rFonts w:ascii="Book Antiqua" w:hAnsi="Book Antiqua"/>
          <w:color w:val="000000" w:themeColor="text1"/>
        </w:rPr>
        <w:t> </w:t>
      </w:r>
      <w:r w:rsidRPr="0060482F">
        <w:rPr>
          <w:rFonts w:ascii="Book Antiqua" w:hAnsi="Book Antiqua"/>
          <w:b/>
          <w:bCs/>
          <w:color w:val="000000" w:themeColor="text1"/>
        </w:rPr>
        <w:t>Liu H</w:t>
      </w:r>
      <w:r w:rsidRPr="0060482F">
        <w:rPr>
          <w:rFonts w:ascii="Book Antiqua" w:hAnsi="Book Antiqua"/>
          <w:color w:val="000000" w:themeColor="text1"/>
        </w:rPr>
        <w:t>, Zhang X, Li J, Sun B, Qian H, Yin Z. The biological and clinical importance of epithelial-mesenchymal transition in circulating tumor cells.</w:t>
      </w:r>
      <w:r w:rsidRPr="0060482F">
        <w:rPr>
          <w:rStyle w:val="apple-converted-space"/>
          <w:rFonts w:ascii="Book Antiqua" w:hAnsi="Book Antiqua"/>
          <w:color w:val="000000" w:themeColor="text1"/>
        </w:rPr>
        <w:t> </w:t>
      </w:r>
      <w:r w:rsidRPr="0060482F">
        <w:rPr>
          <w:rFonts w:ascii="Book Antiqua" w:hAnsi="Book Antiqua"/>
          <w:i/>
          <w:iCs/>
          <w:color w:val="000000" w:themeColor="text1"/>
        </w:rPr>
        <w:t>J Cancer Res Clin Oncol</w:t>
      </w:r>
      <w:r w:rsidRPr="0060482F">
        <w:rPr>
          <w:rStyle w:val="apple-converted-space"/>
          <w:rFonts w:ascii="Book Antiqua" w:hAnsi="Book Antiqua"/>
          <w:color w:val="000000" w:themeColor="text1"/>
        </w:rPr>
        <w:t> </w:t>
      </w:r>
      <w:r w:rsidRPr="0060482F">
        <w:rPr>
          <w:rFonts w:ascii="Book Antiqua" w:hAnsi="Book Antiqua"/>
          <w:color w:val="000000" w:themeColor="text1"/>
        </w:rPr>
        <w:t>2015;</w:t>
      </w:r>
      <w:r w:rsidRPr="0060482F">
        <w:rPr>
          <w:rStyle w:val="apple-converted-space"/>
          <w:rFonts w:ascii="Book Antiqua" w:hAnsi="Book Antiqua"/>
          <w:color w:val="000000" w:themeColor="text1"/>
        </w:rPr>
        <w:t> </w:t>
      </w:r>
      <w:r w:rsidRPr="0060482F">
        <w:rPr>
          <w:rFonts w:ascii="Book Antiqua" w:hAnsi="Book Antiqua"/>
          <w:b/>
          <w:bCs/>
          <w:color w:val="000000" w:themeColor="text1"/>
        </w:rPr>
        <w:t>141</w:t>
      </w:r>
      <w:r w:rsidRPr="0060482F">
        <w:rPr>
          <w:rFonts w:ascii="Book Antiqua" w:hAnsi="Book Antiqua"/>
          <w:color w:val="000000" w:themeColor="text1"/>
        </w:rPr>
        <w:t>: 189-201 [PMID: 24965746 DOI: 10.1007/s00432-014-1752-x]</w:t>
      </w:r>
    </w:p>
    <w:p w14:paraId="6FBDAD45" w14:textId="77777777" w:rsidR="00B57E37" w:rsidRPr="0060482F" w:rsidRDefault="00B57E37" w:rsidP="0060482F">
      <w:pPr>
        <w:adjustRightInd w:val="0"/>
        <w:snapToGrid w:val="0"/>
        <w:spacing w:line="360" w:lineRule="auto"/>
        <w:rPr>
          <w:rFonts w:ascii="Book Antiqua" w:hAnsi="Book Antiqua"/>
          <w:color w:val="000000" w:themeColor="text1"/>
        </w:rPr>
      </w:pPr>
    </w:p>
    <w:p w14:paraId="21CF9FF0" w14:textId="0066FA14" w:rsidR="0060482F" w:rsidRPr="0060482F" w:rsidRDefault="0060482F" w:rsidP="0060482F">
      <w:pPr>
        <w:adjustRightInd w:val="0"/>
        <w:snapToGrid w:val="0"/>
        <w:spacing w:line="360" w:lineRule="auto"/>
        <w:jc w:val="right"/>
        <w:rPr>
          <w:rFonts w:ascii="Book Antiqua" w:hAnsi="Book Antiqua"/>
          <w:b/>
          <w:bCs/>
        </w:rPr>
      </w:pPr>
      <w:bookmarkStart w:id="107" w:name="OLE_LINK148"/>
      <w:bookmarkStart w:id="108" w:name="OLE_LINK320"/>
      <w:bookmarkStart w:id="109" w:name="OLE_LINK387"/>
      <w:bookmarkStart w:id="110" w:name="OLE_LINK254"/>
      <w:bookmarkStart w:id="111" w:name="OLE_LINK149"/>
      <w:bookmarkStart w:id="112" w:name="OLE_LINK225"/>
      <w:bookmarkStart w:id="113" w:name="OLE_LINK207"/>
      <w:bookmarkStart w:id="114" w:name="OLE_LINK226"/>
      <w:bookmarkStart w:id="115" w:name="OLE_LINK212"/>
      <w:bookmarkStart w:id="116" w:name="OLE_LINK250"/>
      <w:bookmarkStart w:id="117" w:name="OLE_LINK281"/>
      <w:bookmarkStart w:id="118" w:name="OLE_LINK282"/>
      <w:bookmarkStart w:id="119" w:name="OLE_LINK313"/>
      <w:bookmarkStart w:id="120" w:name="OLE_LINK304"/>
      <w:bookmarkStart w:id="121" w:name="OLE_LINK321"/>
      <w:bookmarkStart w:id="122" w:name="OLE_LINK385"/>
      <w:bookmarkStart w:id="123" w:name="OLE_LINK400"/>
      <w:bookmarkStart w:id="124" w:name="OLE_LINK346"/>
      <w:bookmarkStart w:id="125" w:name="OLE_LINK371"/>
      <w:bookmarkStart w:id="126" w:name="OLE_LINK334"/>
      <w:bookmarkStart w:id="127" w:name="OLE_LINK1830"/>
      <w:bookmarkStart w:id="128" w:name="OLE_LINK457"/>
      <w:bookmarkStart w:id="129" w:name="OLE_LINK288"/>
      <w:bookmarkStart w:id="130" w:name="OLE_LINK384"/>
      <w:bookmarkStart w:id="131" w:name="OLE_LINK379"/>
      <w:bookmarkStart w:id="132" w:name="OLE_LINK303"/>
      <w:bookmarkStart w:id="133" w:name="OLE_LINK450"/>
      <w:bookmarkStart w:id="134" w:name="OLE_LINK489"/>
      <w:bookmarkStart w:id="135" w:name="OLE_LINK535"/>
      <w:bookmarkStart w:id="136" w:name="OLE_LINK648"/>
      <w:bookmarkStart w:id="137" w:name="OLE_LINK686"/>
      <w:bookmarkStart w:id="138" w:name="OLE_LINK471"/>
      <w:bookmarkStart w:id="139" w:name="OLE_LINK462"/>
      <w:bookmarkStart w:id="140" w:name="OLE_LINK519"/>
      <w:bookmarkStart w:id="141" w:name="OLE_LINK575"/>
      <w:bookmarkStart w:id="142" w:name="OLE_LINK491"/>
      <w:bookmarkStart w:id="143" w:name="OLE_LINK532"/>
      <w:bookmarkStart w:id="144" w:name="OLE_LINK572"/>
      <w:bookmarkStart w:id="145" w:name="OLE_LINK574"/>
      <w:bookmarkStart w:id="146" w:name="OLE_LINK480"/>
      <w:bookmarkStart w:id="147" w:name="OLE_LINK567"/>
      <w:bookmarkStart w:id="148" w:name="OLE_LINK2700"/>
      <w:bookmarkStart w:id="149" w:name="OLE_LINK581"/>
      <w:bookmarkStart w:id="150" w:name="OLE_LINK639"/>
      <w:bookmarkStart w:id="151" w:name="OLE_LINK688"/>
      <w:bookmarkStart w:id="152" w:name="OLE_LINK722"/>
      <w:bookmarkStart w:id="153" w:name="OLE_LINK542"/>
      <w:bookmarkStart w:id="154" w:name="OLE_LINK589"/>
      <w:bookmarkStart w:id="155" w:name="OLE_LINK582"/>
      <w:bookmarkStart w:id="156" w:name="OLE_LINK640"/>
      <w:bookmarkStart w:id="157" w:name="OLE_LINK714"/>
      <w:bookmarkStart w:id="158" w:name="OLE_LINK593"/>
      <w:bookmarkStart w:id="159" w:name="OLE_LINK716"/>
      <w:bookmarkStart w:id="160" w:name="OLE_LINK770"/>
      <w:bookmarkStart w:id="161" w:name="OLE_LINK801"/>
      <w:bookmarkStart w:id="162" w:name="OLE_LINK660"/>
      <w:bookmarkStart w:id="163" w:name="OLE_LINK781"/>
      <w:bookmarkStart w:id="164" w:name="OLE_LINK833"/>
      <w:bookmarkStart w:id="165" w:name="OLE_LINK642"/>
      <w:bookmarkStart w:id="166" w:name="OLE_LINK700"/>
      <w:bookmarkStart w:id="167" w:name="OLE_LINK792"/>
      <w:bookmarkStart w:id="168" w:name="OLE_LINK2882"/>
      <w:bookmarkStart w:id="169" w:name="OLE_LINK836"/>
      <w:bookmarkStart w:id="170" w:name="OLE_LINK889"/>
      <w:bookmarkStart w:id="171" w:name="OLE_LINK782"/>
      <w:bookmarkStart w:id="172" w:name="OLE_LINK826"/>
      <w:bookmarkStart w:id="173" w:name="OLE_LINK865"/>
      <w:bookmarkStart w:id="174" w:name="OLE_LINK856"/>
      <w:bookmarkStart w:id="175" w:name="OLE_LINK908"/>
      <w:bookmarkStart w:id="176" w:name="OLE_LINK980"/>
      <w:bookmarkStart w:id="177" w:name="OLE_LINK1018"/>
      <w:bookmarkStart w:id="178" w:name="OLE_LINK1049"/>
      <w:bookmarkStart w:id="179" w:name="OLE_LINK1076"/>
      <w:bookmarkStart w:id="180" w:name="OLE_LINK1106"/>
      <w:bookmarkStart w:id="181" w:name="OLE_LINK891"/>
      <w:bookmarkStart w:id="182" w:name="OLE_LINK943"/>
      <w:bookmarkStart w:id="183" w:name="OLE_LINK981"/>
      <w:bookmarkStart w:id="184" w:name="OLE_LINK1030"/>
      <w:bookmarkStart w:id="185" w:name="OLE_LINK847"/>
      <w:bookmarkStart w:id="186" w:name="OLE_LINK909"/>
      <w:bookmarkStart w:id="187" w:name="OLE_LINK906"/>
      <w:bookmarkStart w:id="188" w:name="OLE_LINK992"/>
      <w:bookmarkStart w:id="189" w:name="OLE_LINK993"/>
      <w:bookmarkStart w:id="190" w:name="OLE_LINK1052"/>
      <w:bookmarkStart w:id="191" w:name="OLE_LINK946"/>
      <w:bookmarkStart w:id="192" w:name="OLE_LINK911"/>
      <w:bookmarkStart w:id="193" w:name="OLE_LINK930"/>
      <w:bookmarkStart w:id="194" w:name="OLE_LINK1059"/>
      <w:bookmarkStart w:id="195" w:name="OLE_LINK1174"/>
      <w:bookmarkStart w:id="196" w:name="OLE_LINK1137"/>
      <w:bookmarkStart w:id="197" w:name="OLE_LINK1167"/>
      <w:bookmarkStart w:id="198" w:name="OLE_LINK1200"/>
      <w:bookmarkStart w:id="199" w:name="OLE_LINK1241"/>
      <w:bookmarkStart w:id="200" w:name="OLE_LINK1288"/>
      <w:bookmarkStart w:id="201" w:name="OLE_LINK1056"/>
      <w:bookmarkStart w:id="202" w:name="OLE_LINK1158"/>
      <w:bookmarkStart w:id="203" w:name="OLE_LINK1175"/>
      <w:bookmarkStart w:id="204" w:name="OLE_LINK1074"/>
      <w:bookmarkStart w:id="205" w:name="OLE_LINK1169"/>
      <w:bookmarkStart w:id="206" w:name="OLE_LINK386"/>
      <w:r w:rsidRPr="0060482F">
        <w:rPr>
          <w:rFonts w:ascii="Book Antiqua" w:hAnsi="Book Antiqua"/>
          <w:b/>
          <w:bCs/>
        </w:rPr>
        <w:t xml:space="preserve">P-Reviewer: </w:t>
      </w:r>
      <w:r w:rsidRPr="0060482F">
        <w:rPr>
          <w:rFonts w:ascii="Book Antiqua" w:hAnsi="Book Antiqua"/>
          <w:bCs/>
        </w:rPr>
        <w:t>Gali-Muhtasib H, Lim SC, Peparini N, Tanabe S</w:t>
      </w:r>
    </w:p>
    <w:p w14:paraId="35378651" w14:textId="77777777" w:rsidR="0060482F" w:rsidRPr="0060482F" w:rsidRDefault="0060482F" w:rsidP="0060482F">
      <w:pPr>
        <w:adjustRightInd w:val="0"/>
        <w:snapToGrid w:val="0"/>
        <w:spacing w:line="360" w:lineRule="auto"/>
        <w:jc w:val="right"/>
        <w:rPr>
          <w:rFonts w:ascii="Book Antiqua" w:hAnsi="Book Antiqua"/>
        </w:rPr>
      </w:pPr>
      <w:r w:rsidRPr="0060482F">
        <w:rPr>
          <w:rFonts w:ascii="Book Antiqua" w:hAnsi="Book Antiqua"/>
          <w:b/>
          <w:bCs/>
        </w:rPr>
        <w:t>S-Editor:</w:t>
      </w:r>
      <w:r w:rsidRPr="0060482F">
        <w:rPr>
          <w:rFonts w:ascii="Book Antiqua" w:hAnsi="Book Antiqua"/>
        </w:rPr>
        <w:t xml:space="preserve"> Ma RY </w:t>
      </w:r>
      <w:r w:rsidRPr="0060482F">
        <w:rPr>
          <w:rFonts w:ascii="Book Antiqua" w:hAnsi="Book Antiqua"/>
          <w:b/>
          <w:bCs/>
        </w:rPr>
        <w:t>L-Editor:</w:t>
      </w:r>
      <w:r w:rsidRPr="0060482F">
        <w:rPr>
          <w:rFonts w:ascii="Book Antiqua" w:hAnsi="Book Antiqua"/>
        </w:rPr>
        <w:t xml:space="preserve"> </w:t>
      </w:r>
      <w:r w:rsidRPr="0060482F">
        <w:rPr>
          <w:rFonts w:ascii="Book Antiqua" w:hAnsi="Book Antiqua"/>
          <w:b/>
          <w:bCs/>
        </w:rPr>
        <w:t>E-Editor:</w:t>
      </w:r>
    </w:p>
    <w:p w14:paraId="2E2899E2" w14:textId="77777777" w:rsidR="0060482F" w:rsidRPr="0060482F" w:rsidRDefault="0060482F" w:rsidP="0060482F">
      <w:pPr>
        <w:shd w:val="clear" w:color="auto" w:fill="FFFFFF"/>
        <w:adjustRightInd w:val="0"/>
        <w:snapToGrid w:val="0"/>
        <w:spacing w:line="360" w:lineRule="auto"/>
        <w:rPr>
          <w:rFonts w:ascii="Book Antiqua" w:hAnsi="Book Antiqua" w:cs="Helvetica"/>
          <w:b/>
        </w:rPr>
      </w:pPr>
      <w:bookmarkStart w:id="207" w:name="OLE_LINK880"/>
      <w:bookmarkStart w:id="208" w:name="OLE_LINK88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60482F">
        <w:rPr>
          <w:rFonts w:ascii="Book Antiqua" w:hAnsi="Book Antiqua" w:cs="Helvetica"/>
          <w:b/>
        </w:rPr>
        <w:t xml:space="preserve">Specialty type: </w:t>
      </w:r>
      <w:r w:rsidRPr="0060482F">
        <w:rPr>
          <w:rFonts w:ascii="Book Antiqua" w:hAnsi="Book Antiqua" w:cs="Helvetica"/>
        </w:rPr>
        <w:t>Gastroenterology and hepatology</w:t>
      </w:r>
    </w:p>
    <w:p w14:paraId="66A43F60" w14:textId="77777777" w:rsidR="0060482F" w:rsidRPr="0060482F" w:rsidRDefault="0060482F" w:rsidP="0060482F">
      <w:pPr>
        <w:shd w:val="clear" w:color="auto" w:fill="FFFFFF"/>
        <w:adjustRightInd w:val="0"/>
        <w:snapToGrid w:val="0"/>
        <w:spacing w:line="360" w:lineRule="auto"/>
        <w:rPr>
          <w:rFonts w:ascii="Book Antiqua" w:hAnsi="Book Antiqua" w:cs="Helvetica"/>
          <w:b/>
        </w:rPr>
      </w:pPr>
      <w:r w:rsidRPr="0060482F">
        <w:rPr>
          <w:rFonts w:ascii="Book Antiqua" w:hAnsi="Book Antiqua" w:cs="Helvetica"/>
          <w:b/>
        </w:rPr>
        <w:t xml:space="preserve">Country of origin: </w:t>
      </w:r>
      <w:r w:rsidRPr="0060482F">
        <w:rPr>
          <w:rFonts w:ascii="Book Antiqua" w:hAnsi="Book Antiqua" w:cs="Helvetica"/>
          <w:lang w:val="en-CA"/>
        </w:rPr>
        <w:t>China</w:t>
      </w:r>
    </w:p>
    <w:p w14:paraId="462042A1" w14:textId="77777777" w:rsidR="0060482F" w:rsidRPr="0060482F" w:rsidRDefault="0060482F" w:rsidP="0060482F">
      <w:pPr>
        <w:shd w:val="clear" w:color="auto" w:fill="FFFFFF"/>
        <w:adjustRightInd w:val="0"/>
        <w:snapToGrid w:val="0"/>
        <w:spacing w:line="360" w:lineRule="auto"/>
        <w:rPr>
          <w:rFonts w:ascii="Book Antiqua" w:hAnsi="Book Antiqua" w:cs="Helvetica"/>
          <w:b/>
        </w:rPr>
      </w:pPr>
      <w:r w:rsidRPr="0060482F">
        <w:rPr>
          <w:rFonts w:ascii="Book Antiqua" w:hAnsi="Book Antiqua" w:cs="Helvetica"/>
          <w:b/>
        </w:rPr>
        <w:t>Peer-review report classification</w:t>
      </w:r>
    </w:p>
    <w:p w14:paraId="5EA904E3" w14:textId="77777777" w:rsidR="0060482F" w:rsidRPr="0060482F" w:rsidRDefault="0060482F" w:rsidP="0060482F">
      <w:pPr>
        <w:shd w:val="clear" w:color="auto" w:fill="FFFFFF"/>
        <w:adjustRightInd w:val="0"/>
        <w:snapToGrid w:val="0"/>
        <w:spacing w:line="360" w:lineRule="auto"/>
        <w:rPr>
          <w:rFonts w:ascii="Book Antiqua" w:hAnsi="Book Antiqua" w:cs="Helvetica"/>
        </w:rPr>
      </w:pPr>
      <w:r w:rsidRPr="0060482F">
        <w:rPr>
          <w:rFonts w:ascii="Book Antiqua" w:hAnsi="Book Antiqua" w:cs="Helvetica"/>
        </w:rPr>
        <w:t>Grade A (Excellent): 0</w:t>
      </w:r>
    </w:p>
    <w:p w14:paraId="152D4F9C" w14:textId="77777777" w:rsidR="0060482F" w:rsidRPr="0060482F" w:rsidRDefault="0060482F" w:rsidP="0060482F">
      <w:pPr>
        <w:shd w:val="clear" w:color="auto" w:fill="FFFFFF"/>
        <w:adjustRightInd w:val="0"/>
        <w:snapToGrid w:val="0"/>
        <w:spacing w:line="360" w:lineRule="auto"/>
        <w:rPr>
          <w:rFonts w:ascii="Book Antiqua" w:hAnsi="Book Antiqua" w:cs="Helvetica"/>
        </w:rPr>
      </w:pPr>
      <w:r w:rsidRPr="0060482F">
        <w:rPr>
          <w:rFonts w:ascii="Book Antiqua" w:hAnsi="Book Antiqua" w:cs="Helvetica"/>
        </w:rPr>
        <w:t>Grade B (Very good): B</w:t>
      </w:r>
    </w:p>
    <w:p w14:paraId="0653D0AB" w14:textId="77777777" w:rsidR="0060482F" w:rsidRPr="0060482F" w:rsidRDefault="0060482F" w:rsidP="0060482F">
      <w:pPr>
        <w:shd w:val="clear" w:color="auto" w:fill="FFFFFF"/>
        <w:adjustRightInd w:val="0"/>
        <w:snapToGrid w:val="0"/>
        <w:spacing w:line="360" w:lineRule="auto"/>
        <w:rPr>
          <w:rFonts w:ascii="Book Antiqua" w:hAnsi="Book Antiqua" w:cs="Helvetica"/>
        </w:rPr>
      </w:pPr>
      <w:r w:rsidRPr="0060482F">
        <w:rPr>
          <w:rFonts w:ascii="Book Antiqua" w:hAnsi="Book Antiqua" w:cs="Helvetica"/>
        </w:rPr>
        <w:t>Grade C (Good): C, C</w:t>
      </w:r>
    </w:p>
    <w:p w14:paraId="5878DE0D" w14:textId="235BCBB0" w:rsidR="0060482F" w:rsidRPr="0060482F" w:rsidRDefault="0060482F" w:rsidP="0060482F">
      <w:pPr>
        <w:shd w:val="clear" w:color="auto" w:fill="FFFFFF"/>
        <w:adjustRightInd w:val="0"/>
        <w:snapToGrid w:val="0"/>
        <w:spacing w:line="360" w:lineRule="auto"/>
        <w:rPr>
          <w:rFonts w:ascii="Book Antiqua" w:hAnsi="Book Antiqua" w:cs="Helvetica"/>
        </w:rPr>
      </w:pPr>
      <w:r w:rsidRPr="0060482F">
        <w:rPr>
          <w:rFonts w:ascii="Book Antiqua" w:hAnsi="Book Antiqua" w:cs="Helvetica"/>
        </w:rPr>
        <w:t>Grade D (Fair): D</w:t>
      </w:r>
    </w:p>
    <w:p w14:paraId="7B59D056" w14:textId="3751B4EF" w:rsidR="0060482F" w:rsidRDefault="0060482F" w:rsidP="0060482F">
      <w:pPr>
        <w:adjustRightInd w:val="0"/>
        <w:snapToGrid w:val="0"/>
        <w:spacing w:line="360" w:lineRule="auto"/>
        <w:rPr>
          <w:rFonts w:ascii="Book Antiqua" w:hAnsi="Book Antiqua" w:cs="Helvetica"/>
        </w:rPr>
      </w:pPr>
      <w:r w:rsidRPr="0060482F">
        <w:rPr>
          <w:rFonts w:ascii="Book Antiqua" w:hAnsi="Book Antiqua" w:cs="Helvetica"/>
        </w:rPr>
        <w:t>Grade E (Poor): 0</w:t>
      </w:r>
      <w:bookmarkEnd w:id="206"/>
      <w:bookmarkEnd w:id="207"/>
      <w:bookmarkEnd w:id="208"/>
    </w:p>
    <w:p w14:paraId="549712C9" w14:textId="77777777" w:rsidR="0060482F" w:rsidRDefault="0060482F">
      <w:pPr>
        <w:widowControl/>
        <w:jc w:val="left"/>
        <w:rPr>
          <w:rFonts w:ascii="Book Antiqua" w:hAnsi="Book Antiqua" w:cs="Helvetica"/>
        </w:rPr>
      </w:pPr>
      <w:r>
        <w:rPr>
          <w:rFonts w:ascii="Book Antiqua" w:hAnsi="Book Antiqua" w:cs="Helvetica"/>
        </w:rPr>
        <w:br w:type="page"/>
      </w:r>
    </w:p>
    <w:p w14:paraId="5DFFBF10" w14:textId="77777777" w:rsidR="0060482F" w:rsidRPr="0060482F" w:rsidRDefault="0060482F" w:rsidP="0060482F">
      <w:pPr>
        <w:adjustRightInd w:val="0"/>
        <w:snapToGrid w:val="0"/>
        <w:spacing w:line="360" w:lineRule="auto"/>
        <w:rPr>
          <w:rFonts w:ascii="Book Antiqua" w:hAnsi="Book Antiqua"/>
          <w:color w:val="000000" w:themeColor="text1"/>
        </w:rPr>
      </w:pPr>
    </w:p>
    <w:p w14:paraId="6F233E72" w14:textId="3716402A" w:rsidR="00DF0CD0" w:rsidRPr="00560D29" w:rsidRDefault="007F0D36" w:rsidP="00560D29">
      <w:pPr>
        <w:adjustRightInd w:val="0"/>
        <w:snapToGrid w:val="0"/>
        <w:spacing w:line="360" w:lineRule="auto"/>
        <w:rPr>
          <w:rFonts w:ascii="Book Antiqua" w:hAnsi="Book Antiqua" w:cs="Arial"/>
        </w:rPr>
      </w:pPr>
      <w:r w:rsidRPr="0060482F">
        <w:rPr>
          <w:rFonts w:ascii="Book Antiqua" w:hAnsi="Book Antiqua" w:cs="Arial"/>
          <w:color w:val="000000" w:themeColor="text1"/>
        </w:rPr>
        <w:fldChar w:fldCharType="end"/>
      </w:r>
      <w:r w:rsidR="000F66AE" w:rsidRPr="00560D29">
        <w:rPr>
          <w:rFonts w:ascii="Book Antiqua" w:hAnsi="Book Antiqua" w:cs="Arial"/>
          <w:b/>
          <w:noProof/>
        </w:rPr>
        <w:drawing>
          <wp:anchor distT="0" distB="0" distL="114300" distR="114300" simplePos="0" relativeHeight="251658240" behindDoc="0" locked="0" layoutInCell="1" allowOverlap="1" wp14:anchorId="7D5BF2C7" wp14:editId="6F9D2EEA">
            <wp:simplePos x="0" y="0"/>
            <wp:positionH relativeFrom="column">
              <wp:posOffset>0</wp:posOffset>
            </wp:positionH>
            <wp:positionV relativeFrom="paragraph">
              <wp:posOffset>3810</wp:posOffset>
            </wp:positionV>
            <wp:extent cx="5270500" cy="2157095"/>
            <wp:effectExtent l="0" t="0" r="12700"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0" cy="2157095"/>
                    </a:xfrm>
                    <a:prstGeom prst="rect">
                      <a:avLst/>
                    </a:prstGeom>
                  </pic:spPr>
                </pic:pic>
              </a:graphicData>
            </a:graphic>
            <wp14:sizeRelH relativeFrom="page">
              <wp14:pctWidth>0</wp14:pctWidth>
            </wp14:sizeRelH>
            <wp14:sizeRelV relativeFrom="page">
              <wp14:pctHeight>0</wp14:pctHeight>
            </wp14:sizeRelV>
          </wp:anchor>
        </w:drawing>
      </w:r>
      <w:r w:rsidR="00DF0CD0" w:rsidRPr="00560D29">
        <w:rPr>
          <w:rFonts w:ascii="Book Antiqua" w:hAnsi="Book Antiqua" w:cs="Arial"/>
          <w:b/>
          <w:bCs/>
          <w:kern w:val="0"/>
        </w:rPr>
        <w:t>Figure</w:t>
      </w:r>
      <w:r w:rsidR="0060482F" w:rsidRPr="00560D29">
        <w:rPr>
          <w:rFonts w:ascii="Book Antiqua" w:hAnsi="Book Antiqua" w:cs="Arial"/>
          <w:b/>
          <w:bCs/>
          <w:kern w:val="0"/>
        </w:rPr>
        <w:t xml:space="preserve"> 1</w:t>
      </w:r>
      <w:r w:rsidR="00DF0CD0" w:rsidRPr="00560D29">
        <w:rPr>
          <w:rFonts w:ascii="Book Antiqua" w:hAnsi="Book Antiqua" w:cs="Arial"/>
          <w:b/>
          <w:bCs/>
          <w:kern w:val="0"/>
        </w:rPr>
        <w:t xml:space="preserve"> </w:t>
      </w:r>
      <w:r w:rsidR="0060482F" w:rsidRPr="00560D29">
        <w:rPr>
          <w:rFonts w:ascii="Book Antiqua" w:hAnsi="Book Antiqua" w:cs="Arial"/>
          <w:b/>
          <w:bCs/>
          <w:kern w:val="0"/>
        </w:rPr>
        <w:t>Circulating tumor cell</w:t>
      </w:r>
      <w:r w:rsidR="00DF0CD0" w:rsidRPr="00560D29">
        <w:rPr>
          <w:rFonts w:ascii="Book Antiqua" w:hAnsi="Book Antiqua" w:cs="Arial"/>
          <w:b/>
          <w:bCs/>
          <w:kern w:val="0"/>
        </w:rPr>
        <w:t xml:space="preserve"> subpopulations classified by categorical markers.</w:t>
      </w:r>
      <w:r w:rsidR="00DF0CD0" w:rsidRPr="00560D29">
        <w:rPr>
          <w:rFonts w:ascii="Book Antiqua" w:hAnsi="Book Antiqua" w:cs="Arial"/>
          <w:bCs/>
          <w:kern w:val="0"/>
        </w:rPr>
        <w:t xml:space="preserve"> (Red dots: epithelial biomarker expression. Green dots: mesenchymal biomarker expression).</w:t>
      </w:r>
      <w:r w:rsidR="0060482F" w:rsidRPr="00560D29">
        <w:rPr>
          <w:rFonts w:ascii="Book Antiqua" w:hAnsi="Book Antiqua" w:cs="Arial"/>
        </w:rPr>
        <w:t xml:space="preserve"> </w:t>
      </w:r>
      <w:r w:rsidR="0060482F" w:rsidRPr="00560D29">
        <w:rPr>
          <w:rFonts w:ascii="Book Antiqua" w:hAnsi="Book Antiqua" w:cs="Arial"/>
          <w:bCs/>
          <w:kern w:val="0"/>
        </w:rPr>
        <w:t>A:</w:t>
      </w:r>
      <w:r w:rsidR="00DF0CD0" w:rsidRPr="00560D29">
        <w:rPr>
          <w:rFonts w:ascii="Book Antiqua" w:hAnsi="Book Antiqua" w:cs="Arial"/>
          <w:bCs/>
          <w:kern w:val="0"/>
        </w:rPr>
        <w:t xml:space="preserve"> Epithelial </w:t>
      </w:r>
      <w:r w:rsidR="0060482F" w:rsidRPr="00560D29">
        <w:rPr>
          <w:rFonts w:ascii="Book Antiqua" w:hAnsi="Book Antiqua" w:cs="Arial"/>
          <w:bCs/>
          <w:kern w:val="0"/>
        </w:rPr>
        <w:t>circulating tumor cells</w:t>
      </w:r>
      <w:r w:rsidR="00DF0CD0" w:rsidRPr="00560D29">
        <w:rPr>
          <w:rFonts w:ascii="Book Antiqua" w:hAnsi="Book Antiqua" w:cs="Arial"/>
          <w:bCs/>
          <w:kern w:val="0"/>
        </w:rPr>
        <w:t xml:space="preserve"> (E-CTC</w:t>
      </w:r>
      <w:r w:rsidR="0060482F" w:rsidRPr="00560D29">
        <w:rPr>
          <w:rFonts w:ascii="Book Antiqua" w:hAnsi="Book Antiqua" w:cs="Arial"/>
          <w:bCs/>
          <w:kern w:val="0"/>
        </w:rPr>
        <w:t>s</w:t>
      </w:r>
      <w:r w:rsidR="00DF0CD0" w:rsidRPr="00560D29">
        <w:rPr>
          <w:rFonts w:ascii="Book Antiqua" w:hAnsi="Book Antiqua" w:cs="Arial"/>
          <w:bCs/>
          <w:kern w:val="0"/>
        </w:rPr>
        <w:t>)</w:t>
      </w:r>
      <w:r w:rsidR="0060482F" w:rsidRPr="00560D29">
        <w:rPr>
          <w:rFonts w:ascii="Book Antiqua" w:hAnsi="Book Antiqua" w:cs="Arial"/>
          <w:bCs/>
          <w:kern w:val="0"/>
        </w:rPr>
        <w:t>; B: Mesenchymal CTCs (M-CTC); C:</w:t>
      </w:r>
      <w:r w:rsidR="00DF0CD0" w:rsidRPr="00560D29">
        <w:rPr>
          <w:rFonts w:ascii="Book Antiqua" w:hAnsi="Book Antiqua" w:cs="Arial"/>
          <w:bCs/>
          <w:kern w:val="0"/>
        </w:rPr>
        <w:t xml:space="preserve"> </w:t>
      </w:r>
      <w:proofErr w:type="spellStart"/>
      <w:r w:rsidR="00DF0CD0" w:rsidRPr="00560D29">
        <w:rPr>
          <w:rFonts w:ascii="Book Antiqua" w:hAnsi="Book Antiqua" w:cs="Arial"/>
          <w:bCs/>
          <w:kern w:val="0"/>
        </w:rPr>
        <w:t>Biophenotypic</w:t>
      </w:r>
      <w:proofErr w:type="spellEnd"/>
      <w:r w:rsidR="00DF0CD0" w:rsidRPr="00560D29">
        <w:rPr>
          <w:rFonts w:ascii="Book Antiqua" w:hAnsi="Book Antiqua" w:cs="Arial"/>
          <w:bCs/>
          <w:kern w:val="0"/>
        </w:rPr>
        <w:t xml:space="preserve"> epithelial/mesenchymal CTCs (E/M-CTC</w:t>
      </w:r>
      <w:r w:rsidR="0060482F" w:rsidRPr="00560D29">
        <w:rPr>
          <w:rFonts w:ascii="Book Antiqua" w:hAnsi="Book Antiqua" w:cs="Arial"/>
          <w:bCs/>
          <w:kern w:val="0"/>
        </w:rPr>
        <w:t>s</w:t>
      </w:r>
      <w:r w:rsidR="00DF0CD0" w:rsidRPr="00560D29">
        <w:rPr>
          <w:rFonts w:ascii="Book Antiqua" w:hAnsi="Book Antiqua" w:cs="Arial"/>
          <w:bCs/>
          <w:kern w:val="0"/>
        </w:rPr>
        <w:t>).</w:t>
      </w:r>
    </w:p>
    <w:p w14:paraId="2091E773" w14:textId="7E15424D" w:rsidR="00560D29" w:rsidRPr="00560D29" w:rsidRDefault="0060482F" w:rsidP="00560D29">
      <w:pPr>
        <w:widowControl/>
        <w:adjustRightInd w:val="0"/>
        <w:snapToGrid w:val="0"/>
        <w:spacing w:line="360" w:lineRule="auto"/>
        <w:rPr>
          <w:rFonts w:ascii="Book Antiqua" w:hAnsi="Book Antiqua" w:cs="Arial"/>
          <w:bCs/>
          <w:kern w:val="0"/>
        </w:rPr>
      </w:pPr>
      <w:r w:rsidRPr="00560D29">
        <w:rPr>
          <w:rFonts w:ascii="Book Antiqua" w:hAnsi="Book Antiqua" w:cs="Arial"/>
          <w:bCs/>
          <w:kern w:val="0"/>
        </w:rPr>
        <w:br w:type="page"/>
      </w:r>
      <w:r w:rsidR="00560D29" w:rsidRPr="00560D29">
        <w:rPr>
          <w:rFonts w:ascii="Book Antiqua" w:hAnsi="Book Antiqua" w:cs="Arial"/>
          <w:bCs/>
          <w:noProof/>
          <w:kern w:val="0"/>
        </w:rPr>
        <w:lastRenderedPageBreak/>
        <w:drawing>
          <wp:anchor distT="0" distB="0" distL="114300" distR="114300" simplePos="0" relativeHeight="251659264" behindDoc="0" locked="0" layoutInCell="1" allowOverlap="1" wp14:anchorId="66128285" wp14:editId="22F37120">
            <wp:simplePos x="0" y="0"/>
            <wp:positionH relativeFrom="column">
              <wp:posOffset>3175</wp:posOffset>
            </wp:positionH>
            <wp:positionV relativeFrom="paragraph">
              <wp:posOffset>128270</wp:posOffset>
            </wp:positionV>
            <wp:extent cx="5270500" cy="8075930"/>
            <wp:effectExtent l="0" t="0" r="12700"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0" cy="8075930"/>
                    </a:xfrm>
                    <a:prstGeom prst="rect">
                      <a:avLst/>
                    </a:prstGeom>
                  </pic:spPr>
                </pic:pic>
              </a:graphicData>
            </a:graphic>
            <wp14:sizeRelH relativeFrom="page">
              <wp14:pctWidth>0</wp14:pctWidth>
            </wp14:sizeRelH>
            <wp14:sizeRelV relativeFrom="page">
              <wp14:pctHeight>0</wp14:pctHeight>
            </wp14:sizeRelV>
          </wp:anchor>
        </w:drawing>
      </w:r>
      <w:r w:rsidR="00560D29" w:rsidRPr="00560D29">
        <w:rPr>
          <w:rFonts w:ascii="Book Antiqua" w:hAnsi="Book Antiqua" w:cs="Arial"/>
          <w:bCs/>
          <w:kern w:val="0"/>
        </w:rPr>
        <w:br w:type="page"/>
      </w:r>
      <w:r w:rsidR="00560D29" w:rsidRPr="00560D29">
        <w:rPr>
          <w:rFonts w:ascii="Book Antiqua" w:hAnsi="Book Antiqua" w:cs="Arial"/>
          <w:b/>
          <w:bCs/>
          <w:kern w:val="0"/>
        </w:rPr>
        <w:lastRenderedPageBreak/>
        <w:t>Figure 2 The presence of circulating tumor cells was correlated with poor patient prognosis.</w:t>
      </w:r>
      <w:r w:rsidR="00560D29" w:rsidRPr="00560D29">
        <w:rPr>
          <w:rFonts w:ascii="Book Antiqua" w:hAnsi="Book Antiqua" w:cs="Arial"/>
          <w:bCs/>
          <w:kern w:val="0"/>
        </w:rPr>
        <w:t xml:space="preserve"> A: Circulating tumor cell (CTC) count by AJCC stage of disease. B:</w:t>
      </w:r>
      <w:r w:rsidR="00560D29" w:rsidRPr="00560D29">
        <w:rPr>
          <w:rFonts w:ascii="Book Antiqua" w:hAnsi="Book Antiqua" w:cs="Arial"/>
          <w:bCs/>
          <w:kern w:val="0"/>
        </w:rPr>
        <w:tab/>
        <w:t>CTC status in the lymph node invasion-negative group and invasion-positive group. C:</w:t>
      </w:r>
      <w:r w:rsidR="00560D29" w:rsidRPr="00560D29">
        <w:rPr>
          <w:rFonts w:ascii="Book Antiqua" w:hAnsi="Book Antiqua" w:cs="Arial"/>
          <w:bCs/>
          <w:kern w:val="0"/>
        </w:rPr>
        <w:tab/>
        <w:t>CTC status in the metastasis-negative group and metastasis-positive group. D:</w:t>
      </w:r>
      <w:r w:rsidR="00560D29" w:rsidRPr="00560D29">
        <w:rPr>
          <w:rFonts w:ascii="Book Antiqua" w:hAnsi="Book Antiqua" w:cs="Arial"/>
          <w:bCs/>
          <w:kern w:val="0"/>
        </w:rPr>
        <w:tab/>
        <w:t xml:space="preserve">Receiver operating characteristic curve analysis showing the performance of CTCs in predicting metastatic disease. E: Kaplan-Meier survival curves showing different overall survival in groups of </w:t>
      </w:r>
      <w:bookmarkStart w:id="209" w:name="OLE_LINK129"/>
      <w:r w:rsidR="00560D29" w:rsidRPr="00560D29">
        <w:rPr>
          <w:rFonts w:ascii="Book Antiqua" w:hAnsi="Book Antiqua" w:cs="Arial"/>
          <w:bCs/>
          <w:kern w:val="0"/>
        </w:rPr>
        <w:t>pancreatic ductal adenocarcinoma (PDAC)</w:t>
      </w:r>
      <w:bookmarkEnd w:id="209"/>
      <w:r w:rsidR="00560D29" w:rsidRPr="00560D29">
        <w:rPr>
          <w:rFonts w:ascii="Book Antiqua" w:hAnsi="Book Antiqua" w:cs="Arial"/>
          <w:bCs/>
          <w:kern w:val="0"/>
        </w:rPr>
        <w:t xml:space="preserve"> patients with ≥ 6 total CTCs and &lt; 6 total CTCs. F:</w:t>
      </w:r>
      <w:r w:rsidR="00560D29" w:rsidRPr="00560D29">
        <w:rPr>
          <w:rFonts w:ascii="Book Antiqua" w:hAnsi="Book Antiqua" w:cs="Arial"/>
          <w:bCs/>
          <w:kern w:val="0"/>
        </w:rPr>
        <w:tab/>
        <w:t>Kaplan-Meier survival curves showing different progression-free survival in groups of PDAC patients with ≥ 6 total CTCs and &lt; 6 total CTCs. G:</w:t>
      </w:r>
      <w:r w:rsidR="00560D29" w:rsidRPr="00560D29">
        <w:rPr>
          <w:rFonts w:ascii="Book Antiqua" w:hAnsi="Book Antiqua" w:cs="Arial"/>
          <w:bCs/>
          <w:kern w:val="0"/>
        </w:rPr>
        <w:tab/>
        <w:t>White blood cell, neutrophil, lymphocyte, and monocyte counts in CTC-positive and CTC-negative patients. H:</w:t>
      </w:r>
      <w:r w:rsidR="00560D29" w:rsidRPr="00560D29">
        <w:rPr>
          <w:rFonts w:ascii="Book Antiqua" w:hAnsi="Book Antiqua" w:cs="Arial"/>
          <w:bCs/>
          <w:kern w:val="0"/>
        </w:rPr>
        <w:tab/>
        <w:t>Neutrophil-to-lymphocyte ratio in CTC-positive and CTC-negative patients. CTC: Circulating tumor cell.</w:t>
      </w:r>
    </w:p>
    <w:p w14:paraId="109D81C8" w14:textId="77777777" w:rsidR="00560D29" w:rsidRPr="00560D29" w:rsidRDefault="00560D29" w:rsidP="00560D29">
      <w:pPr>
        <w:widowControl/>
        <w:adjustRightInd w:val="0"/>
        <w:snapToGrid w:val="0"/>
        <w:spacing w:line="360" w:lineRule="auto"/>
        <w:rPr>
          <w:rFonts w:ascii="Book Antiqua" w:hAnsi="Book Antiqua" w:cs="Arial"/>
          <w:bCs/>
          <w:kern w:val="0"/>
        </w:rPr>
      </w:pPr>
      <w:r w:rsidRPr="00560D29">
        <w:rPr>
          <w:rFonts w:ascii="Book Antiqua" w:hAnsi="Book Antiqua" w:cs="Arial"/>
          <w:bCs/>
          <w:kern w:val="0"/>
        </w:rPr>
        <w:br w:type="page"/>
      </w:r>
    </w:p>
    <w:p w14:paraId="026F2CC5" w14:textId="25B46DD5" w:rsidR="00560D29" w:rsidRPr="00560D29" w:rsidRDefault="00560D29" w:rsidP="00560D29">
      <w:pPr>
        <w:widowControl/>
        <w:adjustRightInd w:val="0"/>
        <w:snapToGrid w:val="0"/>
        <w:spacing w:line="360" w:lineRule="auto"/>
        <w:rPr>
          <w:rFonts w:ascii="Book Antiqua" w:hAnsi="Book Antiqua" w:cs="Arial"/>
          <w:bCs/>
          <w:kern w:val="0"/>
        </w:rPr>
      </w:pPr>
      <w:r w:rsidRPr="00560D29">
        <w:rPr>
          <w:rFonts w:ascii="Book Antiqua" w:hAnsi="Book Antiqua"/>
          <w:noProof/>
        </w:rPr>
        <w:lastRenderedPageBreak/>
        <w:drawing>
          <wp:anchor distT="0" distB="0" distL="114300" distR="114300" simplePos="0" relativeHeight="251660288" behindDoc="0" locked="0" layoutInCell="1" allowOverlap="1" wp14:anchorId="2AF46711" wp14:editId="0B7843F5">
            <wp:simplePos x="0" y="0"/>
            <wp:positionH relativeFrom="column">
              <wp:posOffset>3175</wp:posOffset>
            </wp:positionH>
            <wp:positionV relativeFrom="paragraph">
              <wp:posOffset>128270</wp:posOffset>
            </wp:positionV>
            <wp:extent cx="4885690" cy="88646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5690" cy="8864600"/>
                    </a:xfrm>
                    <a:prstGeom prst="rect">
                      <a:avLst/>
                    </a:prstGeom>
                  </pic:spPr>
                </pic:pic>
              </a:graphicData>
            </a:graphic>
            <wp14:sizeRelH relativeFrom="page">
              <wp14:pctWidth>0</wp14:pctWidth>
            </wp14:sizeRelH>
            <wp14:sizeRelV relativeFrom="page">
              <wp14:pctHeight>0</wp14:pctHeight>
            </wp14:sizeRelV>
          </wp:anchor>
        </w:drawing>
      </w:r>
    </w:p>
    <w:p w14:paraId="09051489" w14:textId="256B8F15" w:rsidR="00560D29" w:rsidRPr="00560D29" w:rsidRDefault="00560D29" w:rsidP="00560D29">
      <w:pPr>
        <w:widowControl/>
        <w:adjustRightInd w:val="0"/>
        <w:snapToGrid w:val="0"/>
        <w:spacing w:line="360" w:lineRule="auto"/>
        <w:rPr>
          <w:rFonts w:ascii="Book Antiqua" w:hAnsi="Book Antiqua" w:cs="Arial"/>
          <w:bCs/>
          <w:kern w:val="0"/>
        </w:rPr>
      </w:pPr>
      <w:r w:rsidRPr="00560D29">
        <w:rPr>
          <w:rFonts w:ascii="Book Antiqua" w:hAnsi="Book Antiqua" w:cs="Arial"/>
          <w:b/>
          <w:bCs/>
          <w:kern w:val="0"/>
        </w:rPr>
        <w:lastRenderedPageBreak/>
        <w:t xml:space="preserve">Figure 3 Correlation between circulating tumor cell-epithelial-to-mesenchymal transition subpopulations and clinicopathological characteristics. </w:t>
      </w:r>
      <w:r w:rsidRPr="00560D29">
        <w:rPr>
          <w:rFonts w:ascii="Book Antiqua" w:hAnsi="Book Antiqua" w:cs="Arial"/>
          <w:bCs/>
          <w:kern w:val="0"/>
        </w:rPr>
        <w:t>A:</w:t>
      </w:r>
      <w:r w:rsidRPr="00560D29">
        <w:rPr>
          <w:rFonts w:ascii="Book Antiqua" w:hAnsi="Book Antiqua" w:cs="Arial"/>
          <w:bCs/>
          <w:kern w:val="0"/>
        </w:rPr>
        <w:tab/>
        <w:t>Distribution of circulating tumor cell (CTC) subpopulations in patients at different AJCC stages of pancreatic ductal adenocarcinoma (PDAC). B: Distribution of CTC subpopulations in patients with or without metastatic disease. C: White blood cell counts in patients without CTCs and positive for epithelial (E)-CTCs, mesenchymal (M)-CTCs, or E/M-CTCs. D:</w:t>
      </w:r>
      <w:r w:rsidRPr="00560D29">
        <w:rPr>
          <w:rFonts w:ascii="Book Antiqua" w:hAnsi="Book Antiqua" w:cs="Arial"/>
          <w:bCs/>
          <w:kern w:val="0"/>
        </w:rPr>
        <w:tab/>
        <w:t>Neutrophil counts in patients without CTCs and positive for E-CTCs, M-CTCs, or E/M-CTCs. E: Lymphocyte counts in patients without CTCs and positive for E-CTCs, M-CTCs, or E/M-CTCs. F: Monocyte counts in patients without CTCs and positive for E-CTCs, M-CTCs, or E/M-CTCs. G: Neutrophil-to-lymphocyte ratio in patients without CTCs and positive for E-CTCs, M-CTCs, or E/M-CTCs. CTC: Circulating tumor cell; E-CTC: Epithelial circulating tumor cell; M-CTC: Mesenchymal circulating tumor cell.</w:t>
      </w:r>
    </w:p>
    <w:p w14:paraId="23D9BA83" w14:textId="77777777" w:rsidR="00560D29" w:rsidRPr="00560D29" w:rsidRDefault="00560D29" w:rsidP="00560D29">
      <w:pPr>
        <w:widowControl/>
        <w:adjustRightInd w:val="0"/>
        <w:snapToGrid w:val="0"/>
        <w:spacing w:line="360" w:lineRule="auto"/>
        <w:rPr>
          <w:rFonts w:ascii="Book Antiqua" w:hAnsi="Book Antiqua" w:cs="Arial"/>
          <w:bCs/>
          <w:kern w:val="0"/>
        </w:rPr>
      </w:pPr>
      <w:r w:rsidRPr="00560D29">
        <w:rPr>
          <w:rFonts w:ascii="Book Antiqua" w:hAnsi="Book Antiqua" w:cs="Arial"/>
          <w:bCs/>
          <w:kern w:val="0"/>
        </w:rPr>
        <w:br w:type="page"/>
      </w:r>
    </w:p>
    <w:p w14:paraId="22F4D289" w14:textId="22F1731C" w:rsidR="0061126B" w:rsidRPr="00560D29" w:rsidRDefault="00F869DE" w:rsidP="00560D29">
      <w:pPr>
        <w:tabs>
          <w:tab w:val="left" w:pos="360"/>
        </w:tabs>
        <w:adjustRightInd w:val="0"/>
        <w:snapToGrid w:val="0"/>
        <w:spacing w:line="360" w:lineRule="auto"/>
        <w:rPr>
          <w:rFonts w:ascii="Book Antiqua" w:hAnsi="Book Antiqua" w:cs="Arial"/>
          <w:bCs/>
          <w:kern w:val="0"/>
        </w:rPr>
      </w:pPr>
      <w:r w:rsidRPr="00560D29">
        <w:rPr>
          <w:rFonts w:ascii="Book Antiqua" w:hAnsi="Book Antiqua" w:cs="Arial"/>
          <w:b/>
        </w:rPr>
        <w:lastRenderedPageBreak/>
        <w:t>Table 1</w:t>
      </w:r>
      <w:r w:rsidR="00B166CD" w:rsidRPr="00560D29">
        <w:rPr>
          <w:rFonts w:ascii="Book Antiqua" w:hAnsi="Book Antiqua" w:cs="Arial"/>
          <w:b/>
        </w:rPr>
        <w:t xml:space="preserve"> </w:t>
      </w:r>
      <w:bookmarkStart w:id="210" w:name="OLE_LINK97"/>
      <w:bookmarkStart w:id="211" w:name="OLE_LINK98"/>
      <w:r w:rsidR="00B166CD" w:rsidRPr="00560D29">
        <w:rPr>
          <w:rFonts w:ascii="Book Antiqua" w:hAnsi="Book Antiqua" w:cs="Arial"/>
          <w:b/>
        </w:rPr>
        <w:t xml:space="preserve">Baseline </w:t>
      </w:r>
      <w:r w:rsidR="00355BF3" w:rsidRPr="00560D29">
        <w:rPr>
          <w:rFonts w:ascii="Book Antiqua" w:hAnsi="Book Antiqua" w:cs="Arial"/>
          <w:b/>
        </w:rPr>
        <w:t>circulating tumor cell</w:t>
      </w:r>
      <w:r w:rsidR="00B166CD" w:rsidRPr="00560D29">
        <w:rPr>
          <w:rFonts w:ascii="Book Antiqua" w:hAnsi="Book Antiqua" w:cs="Arial"/>
          <w:b/>
        </w:rPr>
        <w:t xml:space="preserve"> characteristics of treatment-naïve patients with advanced </w:t>
      </w:r>
      <w:r w:rsidR="00B43802" w:rsidRPr="00560D29">
        <w:rPr>
          <w:rFonts w:ascii="Book Antiqua" w:hAnsi="Book Antiqua" w:cs="Arial"/>
          <w:b/>
        </w:rPr>
        <w:t>pancreatic ductal adenocarcinoma</w:t>
      </w:r>
      <w:r w:rsidR="00B166CD" w:rsidRPr="00560D29">
        <w:rPr>
          <w:rFonts w:ascii="Book Antiqua" w:hAnsi="Book Antiqua" w:cs="Arial"/>
          <w:b/>
        </w:rPr>
        <w:t xml:space="preserve"> according to </w:t>
      </w:r>
      <w:r w:rsidR="00265B74" w:rsidRPr="00560D29">
        <w:rPr>
          <w:rFonts w:ascii="Book Antiqua" w:hAnsi="Book Antiqua" w:cs="Arial"/>
          <w:b/>
        </w:rPr>
        <w:t>circulating tumor cell</w:t>
      </w:r>
      <w:r w:rsidR="00B166CD" w:rsidRPr="00560D29">
        <w:rPr>
          <w:rFonts w:ascii="Book Antiqua" w:hAnsi="Book Antiqua" w:cs="Arial"/>
          <w:b/>
        </w:rPr>
        <w:t xml:space="preserve"> status</w:t>
      </w:r>
      <w:bookmarkEnd w:id="210"/>
      <w:bookmarkEnd w:id="211"/>
    </w:p>
    <w:tbl>
      <w:tblPr>
        <w:tblStyle w:val="TableGrid"/>
        <w:tblW w:w="8364" w:type="dxa"/>
        <w:tblLook w:val="04A0" w:firstRow="1" w:lastRow="0" w:firstColumn="1" w:lastColumn="0" w:noHBand="0" w:noVBand="1"/>
      </w:tblPr>
      <w:tblGrid>
        <w:gridCol w:w="4145"/>
        <w:gridCol w:w="4219"/>
      </w:tblGrid>
      <w:tr w:rsidR="00AF26DA" w:rsidRPr="00560D29" w14:paraId="46886295" w14:textId="77777777" w:rsidTr="00FD4C57">
        <w:tc>
          <w:tcPr>
            <w:tcW w:w="4145" w:type="dxa"/>
            <w:tcBorders>
              <w:left w:val="nil"/>
              <w:bottom w:val="single" w:sz="4" w:space="0" w:color="auto"/>
              <w:right w:val="nil"/>
            </w:tcBorders>
          </w:tcPr>
          <w:p w14:paraId="22F202AB" w14:textId="77777777" w:rsidR="00AF26DA" w:rsidRPr="00560D29" w:rsidRDefault="00AF26DA" w:rsidP="00560D29">
            <w:pPr>
              <w:adjustRightInd w:val="0"/>
              <w:snapToGrid w:val="0"/>
              <w:spacing w:line="360" w:lineRule="auto"/>
              <w:rPr>
                <w:rFonts w:ascii="Book Antiqua" w:hAnsi="Book Antiqua" w:cs="Arial"/>
                <w:b/>
              </w:rPr>
            </w:pPr>
            <w:r w:rsidRPr="00560D29">
              <w:rPr>
                <w:rFonts w:ascii="Book Antiqua" w:hAnsi="Book Antiqua" w:cs="Arial"/>
                <w:b/>
              </w:rPr>
              <w:t>Group</w:t>
            </w:r>
          </w:p>
        </w:tc>
        <w:tc>
          <w:tcPr>
            <w:tcW w:w="4219" w:type="dxa"/>
            <w:tcBorders>
              <w:left w:val="nil"/>
              <w:bottom w:val="single" w:sz="4" w:space="0" w:color="auto"/>
              <w:right w:val="nil"/>
            </w:tcBorders>
          </w:tcPr>
          <w:p w14:paraId="395D2CB1" w14:textId="0FC0CE97" w:rsidR="00AF26DA" w:rsidRPr="00560D29" w:rsidRDefault="00AF26DA" w:rsidP="00560D29">
            <w:pPr>
              <w:adjustRightInd w:val="0"/>
              <w:snapToGrid w:val="0"/>
              <w:spacing w:line="360" w:lineRule="auto"/>
              <w:rPr>
                <w:rFonts w:ascii="Book Antiqua" w:hAnsi="Book Antiqua" w:cs="Arial"/>
                <w:b/>
              </w:rPr>
            </w:pPr>
            <w:r w:rsidRPr="00560D29">
              <w:rPr>
                <w:rFonts w:ascii="Book Antiqua" w:hAnsi="Book Antiqua" w:cs="Arial"/>
                <w:b/>
              </w:rPr>
              <w:t>Patient</w:t>
            </w:r>
            <w:r w:rsidR="00F869DE" w:rsidRPr="00560D29">
              <w:rPr>
                <w:rFonts w:ascii="Book Antiqua" w:hAnsi="Book Antiqua" w:cs="Arial"/>
                <w:b/>
              </w:rPr>
              <w:t>s</w:t>
            </w:r>
            <w:r w:rsidRPr="00560D29">
              <w:rPr>
                <w:rFonts w:ascii="Book Antiqua" w:hAnsi="Book Antiqua" w:cs="Arial"/>
                <w:b/>
              </w:rPr>
              <w:t xml:space="preserve"> </w:t>
            </w:r>
            <w:r w:rsidR="00F869DE" w:rsidRPr="00560D29">
              <w:rPr>
                <w:rFonts w:ascii="Book Antiqua" w:hAnsi="Book Antiqua" w:cs="Arial"/>
                <w:b/>
                <w:i/>
              </w:rPr>
              <w:t>n</w:t>
            </w:r>
            <w:r w:rsidRPr="00560D29">
              <w:rPr>
                <w:rFonts w:ascii="Book Antiqua" w:hAnsi="Book Antiqua" w:cs="Arial"/>
                <w:b/>
              </w:rPr>
              <w:t xml:space="preserve"> (%)</w:t>
            </w:r>
          </w:p>
        </w:tc>
      </w:tr>
      <w:tr w:rsidR="00AF26DA" w:rsidRPr="00560D29" w14:paraId="7C2219D0" w14:textId="77777777" w:rsidTr="00FD4C57">
        <w:trPr>
          <w:trHeight w:val="465"/>
        </w:trPr>
        <w:tc>
          <w:tcPr>
            <w:tcW w:w="4145" w:type="dxa"/>
            <w:tcBorders>
              <w:top w:val="nil"/>
              <w:left w:val="nil"/>
              <w:bottom w:val="nil"/>
              <w:right w:val="nil"/>
            </w:tcBorders>
          </w:tcPr>
          <w:p w14:paraId="793AD7A0"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Number of patients with no CTC</w:t>
            </w:r>
          </w:p>
        </w:tc>
        <w:tc>
          <w:tcPr>
            <w:tcW w:w="4219" w:type="dxa"/>
            <w:tcBorders>
              <w:top w:val="nil"/>
              <w:left w:val="nil"/>
              <w:bottom w:val="nil"/>
              <w:right w:val="nil"/>
            </w:tcBorders>
          </w:tcPr>
          <w:p w14:paraId="616F0BBC"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23/107 (21.5)</w:t>
            </w:r>
          </w:p>
        </w:tc>
      </w:tr>
      <w:tr w:rsidR="00AF26DA" w:rsidRPr="00560D29" w14:paraId="44FFE4FD" w14:textId="77777777" w:rsidTr="00FD4C57">
        <w:tc>
          <w:tcPr>
            <w:tcW w:w="4145" w:type="dxa"/>
            <w:tcBorders>
              <w:top w:val="nil"/>
              <w:left w:val="nil"/>
              <w:bottom w:val="nil"/>
              <w:right w:val="nil"/>
            </w:tcBorders>
          </w:tcPr>
          <w:p w14:paraId="43453DB1" w14:textId="72C23F29"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Number of patients with ≥</w:t>
            </w:r>
            <w:r w:rsidR="00F869DE" w:rsidRPr="00560D29">
              <w:rPr>
                <w:rFonts w:ascii="Book Antiqua" w:hAnsi="Book Antiqua" w:cs="Arial"/>
              </w:rPr>
              <w:t xml:space="preserve"> </w:t>
            </w:r>
            <w:r w:rsidRPr="00560D29">
              <w:rPr>
                <w:rFonts w:ascii="Book Antiqua" w:hAnsi="Book Antiqua" w:cs="Arial"/>
              </w:rPr>
              <w:t>1 CTC</w:t>
            </w:r>
          </w:p>
        </w:tc>
        <w:tc>
          <w:tcPr>
            <w:tcW w:w="4219" w:type="dxa"/>
            <w:tcBorders>
              <w:top w:val="nil"/>
              <w:left w:val="nil"/>
              <w:bottom w:val="nil"/>
              <w:right w:val="nil"/>
            </w:tcBorders>
          </w:tcPr>
          <w:p w14:paraId="525C9654"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84/107 (78.5)</w:t>
            </w:r>
          </w:p>
        </w:tc>
      </w:tr>
      <w:tr w:rsidR="00AF26DA" w:rsidRPr="00560D29" w14:paraId="3E21D208" w14:textId="77777777" w:rsidTr="00FD4C57">
        <w:tc>
          <w:tcPr>
            <w:tcW w:w="4145" w:type="dxa"/>
            <w:tcBorders>
              <w:top w:val="nil"/>
              <w:left w:val="nil"/>
              <w:bottom w:val="nil"/>
              <w:right w:val="nil"/>
            </w:tcBorders>
          </w:tcPr>
          <w:p w14:paraId="28009AE6" w14:textId="20FDEC9A"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Number of patients with ≥</w:t>
            </w:r>
            <w:r w:rsidR="00F869DE" w:rsidRPr="00560D29">
              <w:rPr>
                <w:rFonts w:ascii="Book Antiqua" w:hAnsi="Book Antiqua" w:cs="Arial"/>
              </w:rPr>
              <w:t xml:space="preserve"> </w:t>
            </w:r>
            <w:r w:rsidRPr="00560D29">
              <w:rPr>
                <w:rFonts w:ascii="Book Antiqua" w:hAnsi="Book Antiqua" w:cs="Arial"/>
              </w:rPr>
              <w:t>6 CTC</w:t>
            </w:r>
          </w:p>
        </w:tc>
        <w:tc>
          <w:tcPr>
            <w:tcW w:w="4219" w:type="dxa"/>
            <w:tcBorders>
              <w:top w:val="nil"/>
              <w:left w:val="nil"/>
              <w:bottom w:val="nil"/>
              <w:right w:val="nil"/>
            </w:tcBorders>
          </w:tcPr>
          <w:p w14:paraId="3A432CFE"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55/107 (51.4)</w:t>
            </w:r>
          </w:p>
        </w:tc>
      </w:tr>
      <w:tr w:rsidR="00AF26DA" w:rsidRPr="00560D29" w14:paraId="1AA06BD4" w14:textId="77777777" w:rsidTr="00FD4C57">
        <w:trPr>
          <w:trHeight w:val="503"/>
        </w:trPr>
        <w:tc>
          <w:tcPr>
            <w:tcW w:w="4145" w:type="dxa"/>
            <w:tcBorders>
              <w:top w:val="nil"/>
              <w:left w:val="nil"/>
              <w:bottom w:val="nil"/>
              <w:right w:val="nil"/>
            </w:tcBorders>
          </w:tcPr>
          <w:p w14:paraId="32835ADE"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Number of patients with E-CTCs</w:t>
            </w:r>
          </w:p>
        </w:tc>
        <w:tc>
          <w:tcPr>
            <w:tcW w:w="4219" w:type="dxa"/>
            <w:tcBorders>
              <w:top w:val="nil"/>
              <w:left w:val="nil"/>
              <w:bottom w:val="nil"/>
              <w:right w:val="nil"/>
            </w:tcBorders>
          </w:tcPr>
          <w:p w14:paraId="7441C7F1"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65/107(60.7)</w:t>
            </w:r>
          </w:p>
        </w:tc>
      </w:tr>
      <w:tr w:rsidR="00AF26DA" w:rsidRPr="00560D29" w14:paraId="1771E7B0" w14:textId="77777777" w:rsidTr="00FD4C57">
        <w:trPr>
          <w:trHeight w:val="432"/>
        </w:trPr>
        <w:tc>
          <w:tcPr>
            <w:tcW w:w="4145" w:type="dxa"/>
            <w:tcBorders>
              <w:top w:val="nil"/>
              <w:left w:val="nil"/>
              <w:bottom w:val="nil"/>
              <w:right w:val="nil"/>
            </w:tcBorders>
          </w:tcPr>
          <w:p w14:paraId="1755607C"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Number of patients with E/M-CTCs</w:t>
            </w:r>
          </w:p>
        </w:tc>
        <w:tc>
          <w:tcPr>
            <w:tcW w:w="4219" w:type="dxa"/>
            <w:tcBorders>
              <w:top w:val="nil"/>
              <w:left w:val="nil"/>
              <w:bottom w:val="nil"/>
              <w:right w:val="nil"/>
            </w:tcBorders>
          </w:tcPr>
          <w:p w14:paraId="41633EED"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39/107 (36.4)</w:t>
            </w:r>
          </w:p>
        </w:tc>
      </w:tr>
      <w:tr w:rsidR="00AF26DA" w:rsidRPr="00560D29" w14:paraId="0931D96E" w14:textId="77777777" w:rsidTr="00FD4C57">
        <w:trPr>
          <w:trHeight w:val="405"/>
        </w:trPr>
        <w:tc>
          <w:tcPr>
            <w:tcW w:w="4145" w:type="dxa"/>
            <w:tcBorders>
              <w:top w:val="nil"/>
              <w:left w:val="nil"/>
              <w:bottom w:val="nil"/>
              <w:right w:val="nil"/>
            </w:tcBorders>
          </w:tcPr>
          <w:p w14:paraId="07D1F966"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Number of patients with M-CTCs</w:t>
            </w:r>
          </w:p>
        </w:tc>
        <w:tc>
          <w:tcPr>
            <w:tcW w:w="4219" w:type="dxa"/>
            <w:tcBorders>
              <w:top w:val="nil"/>
              <w:left w:val="nil"/>
              <w:bottom w:val="nil"/>
              <w:right w:val="nil"/>
            </w:tcBorders>
          </w:tcPr>
          <w:p w14:paraId="1D5962D9"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49/107 (45.8)</w:t>
            </w:r>
          </w:p>
        </w:tc>
      </w:tr>
      <w:tr w:rsidR="00AF26DA" w:rsidRPr="00560D29" w14:paraId="34E2D268" w14:textId="77777777" w:rsidTr="00FD4C57">
        <w:trPr>
          <w:trHeight w:val="405"/>
        </w:trPr>
        <w:tc>
          <w:tcPr>
            <w:tcW w:w="4145" w:type="dxa"/>
            <w:tcBorders>
              <w:top w:val="nil"/>
              <w:left w:val="nil"/>
              <w:bottom w:val="nil"/>
              <w:right w:val="nil"/>
            </w:tcBorders>
          </w:tcPr>
          <w:p w14:paraId="586F0615"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CTC dynamic range</w:t>
            </w:r>
          </w:p>
        </w:tc>
        <w:tc>
          <w:tcPr>
            <w:tcW w:w="4219" w:type="dxa"/>
            <w:tcBorders>
              <w:top w:val="nil"/>
              <w:left w:val="nil"/>
              <w:bottom w:val="nil"/>
              <w:right w:val="nil"/>
            </w:tcBorders>
          </w:tcPr>
          <w:p w14:paraId="36494B84" w14:textId="77777777" w:rsidR="00AF26DA" w:rsidRPr="00560D29" w:rsidRDefault="00AF26DA" w:rsidP="00560D29">
            <w:pPr>
              <w:adjustRightInd w:val="0"/>
              <w:snapToGrid w:val="0"/>
              <w:spacing w:line="360" w:lineRule="auto"/>
              <w:rPr>
                <w:rFonts w:ascii="Book Antiqua" w:hAnsi="Book Antiqua" w:cs="Arial"/>
              </w:rPr>
            </w:pPr>
          </w:p>
        </w:tc>
      </w:tr>
      <w:tr w:rsidR="00AF26DA" w:rsidRPr="00560D29" w14:paraId="704F10B5" w14:textId="77777777" w:rsidTr="00FD4C57">
        <w:trPr>
          <w:trHeight w:val="405"/>
        </w:trPr>
        <w:tc>
          <w:tcPr>
            <w:tcW w:w="4145" w:type="dxa"/>
            <w:tcBorders>
              <w:top w:val="nil"/>
              <w:left w:val="nil"/>
              <w:bottom w:val="nil"/>
              <w:right w:val="nil"/>
            </w:tcBorders>
          </w:tcPr>
          <w:p w14:paraId="7CAEB63F"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Total CTC</w:t>
            </w:r>
          </w:p>
        </w:tc>
        <w:tc>
          <w:tcPr>
            <w:tcW w:w="4219" w:type="dxa"/>
            <w:tcBorders>
              <w:top w:val="nil"/>
              <w:left w:val="nil"/>
              <w:bottom w:val="nil"/>
              <w:right w:val="nil"/>
            </w:tcBorders>
          </w:tcPr>
          <w:p w14:paraId="55928041"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0-26</w:t>
            </w:r>
          </w:p>
        </w:tc>
      </w:tr>
      <w:tr w:rsidR="00AF26DA" w:rsidRPr="00560D29" w14:paraId="6DD31E9D" w14:textId="77777777" w:rsidTr="00FD4C57">
        <w:trPr>
          <w:trHeight w:val="405"/>
        </w:trPr>
        <w:tc>
          <w:tcPr>
            <w:tcW w:w="4145" w:type="dxa"/>
            <w:tcBorders>
              <w:top w:val="nil"/>
              <w:left w:val="nil"/>
              <w:bottom w:val="nil"/>
              <w:right w:val="nil"/>
            </w:tcBorders>
          </w:tcPr>
          <w:p w14:paraId="2440DA74"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 xml:space="preserve">  Median</w:t>
            </w:r>
          </w:p>
        </w:tc>
        <w:tc>
          <w:tcPr>
            <w:tcW w:w="4219" w:type="dxa"/>
            <w:tcBorders>
              <w:top w:val="nil"/>
              <w:left w:val="nil"/>
              <w:bottom w:val="nil"/>
              <w:right w:val="nil"/>
            </w:tcBorders>
          </w:tcPr>
          <w:p w14:paraId="670960CA"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6</w:t>
            </w:r>
          </w:p>
        </w:tc>
      </w:tr>
      <w:tr w:rsidR="00AF26DA" w:rsidRPr="00560D29" w14:paraId="4095E48B" w14:textId="77777777" w:rsidTr="00FD4C57">
        <w:trPr>
          <w:trHeight w:val="405"/>
        </w:trPr>
        <w:tc>
          <w:tcPr>
            <w:tcW w:w="4145" w:type="dxa"/>
            <w:tcBorders>
              <w:top w:val="nil"/>
              <w:left w:val="nil"/>
              <w:bottom w:val="nil"/>
              <w:right w:val="nil"/>
            </w:tcBorders>
          </w:tcPr>
          <w:p w14:paraId="574A6931"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 xml:space="preserve">  E-CTC</w:t>
            </w:r>
          </w:p>
        </w:tc>
        <w:tc>
          <w:tcPr>
            <w:tcW w:w="4219" w:type="dxa"/>
            <w:tcBorders>
              <w:top w:val="nil"/>
              <w:left w:val="nil"/>
              <w:bottom w:val="nil"/>
              <w:right w:val="nil"/>
            </w:tcBorders>
          </w:tcPr>
          <w:p w14:paraId="5CB255E4"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1-11</w:t>
            </w:r>
          </w:p>
        </w:tc>
      </w:tr>
      <w:tr w:rsidR="00AF26DA" w:rsidRPr="00560D29" w14:paraId="53009CE6" w14:textId="77777777" w:rsidTr="00FD4C57">
        <w:trPr>
          <w:trHeight w:val="405"/>
        </w:trPr>
        <w:tc>
          <w:tcPr>
            <w:tcW w:w="4145" w:type="dxa"/>
            <w:tcBorders>
              <w:top w:val="nil"/>
              <w:left w:val="nil"/>
              <w:bottom w:val="nil"/>
              <w:right w:val="nil"/>
            </w:tcBorders>
          </w:tcPr>
          <w:p w14:paraId="516D84BB"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 xml:space="preserve">  E/M-CTC</w:t>
            </w:r>
          </w:p>
        </w:tc>
        <w:tc>
          <w:tcPr>
            <w:tcW w:w="4219" w:type="dxa"/>
            <w:tcBorders>
              <w:top w:val="nil"/>
              <w:left w:val="nil"/>
              <w:bottom w:val="nil"/>
              <w:right w:val="nil"/>
            </w:tcBorders>
          </w:tcPr>
          <w:p w14:paraId="7189EAC6"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0-26</w:t>
            </w:r>
          </w:p>
        </w:tc>
      </w:tr>
      <w:tr w:rsidR="00AF26DA" w:rsidRPr="00560D29" w14:paraId="12F78D86" w14:textId="77777777" w:rsidTr="00F869DE">
        <w:trPr>
          <w:trHeight w:val="405"/>
        </w:trPr>
        <w:tc>
          <w:tcPr>
            <w:tcW w:w="4145" w:type="dxa"/>
            <w:tcBorders>
              <w:top w:val="nil"/>
              <w:left w:val="nil"/>
              <w:bottom w:val="single" w:sz="4" w:space="0" w:color="auto"/>
              <w:right w:val="nil"/>
            </w:tcBorders>
          </w:tcPr>
          <w:p w14:paraId="598FFDD8"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 xml:space="preserve">  M-CTC</w:t>
            </w:r>
          </w:p>
        </w:tc>
        <w:tc>
          <w:tcPr>
            <w:tcW w:w="4219" w:type="dxa"/>
            <w:tcBorders>
              <w:top w:val="nil"/>
              <w:left w:val="nil"/>
              <w:bottom w:val="single" w:sz="4" w:space="0" w:color="auto"/>
              <w:right w:val="nil"/>
            </w:tcBorders>
          </w:tcPr>
          <w:p w14:paraId="040A1C97" w14:textId="77777777" w:rsidR="00AF26DA" w:rsidRPr="00560D29" w:rsidRDefault="00AF26DA" w:rsidP="00560D29">
            <w:pPr>
              <w:adjustRightInd w:val="0"/>
              <w:snapToGrid w:val="0"/>
              <w:spacing w:line="360" w:lineRule="auto"/>
              <w:rPr>
                <w:rFonts w:ascii="Book Antiqua" w:hAnsi="Book Antiqua" w:cs="Arial"/>
              </w:rPr>
            </w:pPr>
            <w:r w:rsidRPr="00560D29">
              <w:rPr>
                <w:rFonts w:ascii="Book Antiqua" w:hAnsi="Book Antiqua" w:cs="Arial"/>
              </w:rPr>
              <w:t>0-9</w:t>
            </w:r>
          </w:p>
        </w:tc>
      </w:tr>
    </w:tbl>
    <w:p w14:paraId="5992C054" w14:textId="2C5B5D4D" w:rsidR="00DF0CD0" w:rsidRPr="00560D29" w:rsidRDefault="00F869DE" w:rsidP="00560D29">
      <w:pPr>
        <w:adjustRightInd w:val="0"/>
        <w:snapToGrid w:val="0"/>
        <w:spacing w:line="360" w:lineRule="auto"/>
        <w:rPr>
          <w:rFonts w:ascii="Book Antiqua" w:hAnsi="Book Antiqua" w:cs="Arial"/>
        </w:rPr>
      </w:pPr>
      <w:bookmarkStart w:id="212" w:name="OLE_LINK118"/>
      <w:bookmarkStart w:id="213" w:name="OLE_LINK119"/>
      <w:bookmarkStart w:id="214" w:name="OLE_LINK103"/>
      <w:bookmarkStart w:id="215" w:name="OLE_LINK104"/>
      <w:r w:rsidRPr="00560D29">
        <w:rPr>
          <w:rFonts w:ascii="Book Antiqua" w:hAnsi="Book Antiqua" w:cs="Arial"/>
          <w:bCs/>
          <w:kern w:val="0"/>
        </w:rPr>
        <w:t>CTC: Circulating tumor cell</w:t>
      </w:r>
      <w:bookmarkEnd w:id="212"/>
      <w:bookmarkEnd w:id="213"/>
      <w:r w:rsidRPr="00560D29">
        <w:rPr>
          <w:rFonts w:ascii="Book Antiqua" w:hAnsi="Book Antiqua" w:cs="Arial"/>
          <w:bCs/>
          <w:kern w:val="0"/>
        </w:rPr>
        <w:t>;</w:t>
      </w:r>
      <w:bookmarkEnd w:id="214"/>
      <w:bookmarkEnd w:id="215"/>
      <w:r w:rsidRPr="00560D29">
        <w:rPr>
          <w:rFonts w:ascii="Book Antiqua" w:hAnsi="Book Antiqua" w:cs="Arial"/>
          <w:bCs/>
          <w:kern w:val="0"/>
        </w:rPr>
        <w:t xml:space="preserve"> E-CTC: Epithelial circulating tumor cell; M-CTC: Mesenchymal circulating tumor cell.</w:t>
      </w:r>
    </w:p>
    <w:p w14:paraId="4D9666B5" w14:textId="77777777" w:rsidR="007F00BD" w:rsidRPr="00560D29" w:rsidRDefault="007F00BD" w:rsidP="00560D29">
      <w:pPr>
        <w:widowControl/>
        <w:adjustRightInd w:val="0"/>
        <w:snapToGrid w:val="0"/>
        <w:spacing w:line="360" w:lineRule="auto"/>
        <w:rPr>
          <w:rFonts w:ascii="Book Antiqua" w:hAnsi="Book Antiqua" w:cs="Arial"/>
        </w:rPr>
      </w:pPr>
      <w:r w:rsidRPr="00560D29">
        <w:rPr>
          <w:rFonts w:ascii="Book Antiqua" w:hAnsi="Book Antiqua" w:cs="Arial"/>
        </w:rPr>
        <w:br w:type="page"/>
      </w:r>
    </w:p>
    <w:p w14:paraId="35CA7BB4" w14:textId="2C1ADC3E" w:rsidR="00CB6CB9" w:rsidRPr="00560D29" w:rsidRDefault="00B175FE" w:rsidP="00560D29">
      <w:pPr>
        <w:adjustRightInd w:val="0"/>
        <w:snapToGrid w:val="0"/>
        <w:spacing w:line="360" w:lineRule="auto"/>
        <w:rPr>
          <w:rFonts w:ascii="Book Antiqua" w:hAnsi="Book Antiqua" w:cs="Arial"/>
          <w:b/>
        </w:rPr>
      </w:pPr>
      <w:r w:rsidRPr="00560D29">
        <w:rPr>
          <w:rFonts w:ascii="Book Antiqua" w:hAnsi="Book Antiqua" w:cs="Arial"/>
          <w:b/>
        </w:rPr>
        <w:lastRenderedPageBreak/>
        <w:t>Table 2</w:t>
      </w:r>
      <w:r w:rsidR="00CB6CB9" w:rsidRPr="00560D29">
        <w:rPr>
          <w:rFonts w:ascii="Book Antiqua" w:hAnsi="Book Antiqua" w:cs="Arial"/>
          <w:b/>
        </w:rPr>
        <w:t xml:space="preserve"> Correlation of total </w:t>
      </w:r>
      <w:r w:rsidR="0075181B" w:rsidRPr="00560D29">
        <w:rPr>
          <w:rFonts w:ascii="Book Antiqua" w:hAnsi="Book Antiqua" w:cs="Arial"/>
          <w:b/>
        </w:rPr>
        <w:t>circulating tumor cell</w:t>
      </w:r>
      <w:r w:rsidR="00CB6CB9" w:rsidRPr="00560D29">
        <w:rPr>
          <w:rFonts w:ascii="Book Antiqua" w:hAnsi="Book Antiqua" w:cs="Arial"/>
          <w:b/>
        </w:rPr>
        <w:t xml:space="preserve"> status and clinicopatholo</w:t>
      </w:r>
      <w:r w:rsidRPr="00560D29">
        <w:rPr>
          <w:rFonts w:ascii="Book Antiqua" w:hAnsi="Book Antiqua" w:cs="Arial"/>
          <w:b/>
        </w:rPr>
        <w:t>gical factors of patients with p</w:t>
      </w:r>
      <w:r w:rsidR="00CB6CB9" w:rsidRPr="00560D29">
        <w:rPr>
          <w:rFonts w:ascii="Book Antiqua" w:hAnsi="Book Antiqua" w:cs="Arial"/>
          <w:b/>
        </w:rPr>
        <w:t>ancreatic cancer</w:t>
      </w:r>
    </w:p>
    <w:tbl>
      <w:tblPr>
        <w:tblStyle w:val="TableGrid"/>
        <w:tblW w:w="0" w:type="auto"/>
        <w:tblInd w:w="-318" w:type="dxa"/>
        <w:tblLook w:val="04A0" w:firstRow="1" w:lastRow="0" w:firstColumn="1" w:lastColumn="0" w:noHBand="0" w:noVBand="1"/>
      </w:tblPr>
      <w:tblGrid>
        <w:gridCol w:w="2878"/>
        <w:gridCol w:w="2097"/>
        <w:gridCol w:w="2126"/>
        <w:gridCol w:w="1517"/>
      </w:tblGrid>
      <w:tr w:rsidR="00CB6CB9" w:rsidRPr="00560D29" w14:paraId="2FC189FE" w14:textId="77777777" w:rsidTr="00D616E3">
        <w:tc>
          <w:tcPr>
            <w:tcW w:w="2878" w:type="dxa"/>
            <w:tcBorders>
              <w:left w:val="nil"/>
              <w:bottom w:val="single" w:sz="4" w:space="0" w:color="auto"/>
              <w:right w:val="nil"/>
            </w:tcBorders>
          </w:tcPr>
          <w:p w14:paraId="33F8774B" w14:textId="77777777" w:rsidR="00CB6CB9" w:rsidRPr="00560D29" w:rsidRDefault="00CB6CB9" w:rsidP="00560D29">
            <w:pPr>
              <w:adjustRightInd w:val="0"/>
              <w:snapToGrid w:val="0"/>
              <w:spacing w:line="360" w:lineRule="auto"/>
              <w:rPr>
                <w:rFonts w:ascii="Book Antiqua" w:hAnsi="Book Antiqua" w:cs="Arial"/>
                <w:b/>
              </w:rPr>
            </w:pPr>
          </w:p>
        </w:tc>
        <w:tc>
          <w:tcPr>
            <w:tcW w:w="2097" w:type="dxa"/>
            <w:tcBorders>
              <w:left w:val="nil"/>
              <w:bottom w:val="single" w:sz="4" w:space="0" w:color="auto"/>
              <w:right w:val="nil"/>
            </w:tcBorders>
          </w:tcPr>
          <w:p w14:paraId="5E0535FC" w14:textId="30DF81A4" w:rsidR="00CB6CB9" w:rsidRPr="00560D29" w:rsidRDefault="00CB6CB9" w:rsidP="00560D29">
            <w:pPr>
              <w:adjustRightInd w:val="0"/>
              <w:snapToGrid w:val="0"/>
              <w:spacing w:line="360" w:lineRule="auto"/>
              <w:rPr>
                <w:rFonts w:ascii="Book Antiqua" w:hAnsi="Book Antiqua" w:cs="Arial"/>
                <w:b/>
              </w:rPr>
            </w:pPr>
            <w:r w:rsidRPr="00560D29">
              <w:rPr>
                <w:rFonts w:ascii="Book Antiqua" w:hAnsi="Book Antiqua" w:cs="Arial"/>
                <w:b/>
              </w:rPr>
              <w:t>Total CTC-negative patients</w:t>
            </w:r>
            <w:r w:rsidR="00B175FE" w:rsidRPr="00560D29">
              <w:rPr>
                <w:rFonts w:ascii="Book Antiqua" w:hAnsi="Book Antiqua" w:cs="Arial"/>
                <w:b/>
              </w:rPr>
              <w:t xml:space="preserve"> </w:t>
            </w:r>
            <w:r w:rsidRPr="00560D29">
              <w:rPr>
                <w:rFonts w:ascii="Book Antiqua" w:hAnsi="Book Antiqua" w:cs="Arial"/>
                <w:b/>
              </w:rPr>
              <w:t>(%)</w:t>
            </w:r>
          </w:p>
        </w:tc>
        <w:tc>
          <w:tcPr>
            <w:tcW w:w="2126" w:type="dxa"/>
            <w:tcBorders>
              <w:left w:val="nil"/>
              <w:bottom w:val="single" w:sz="4" w:space="0" w:color="auto"/>
              <w:right w:val="nil"/>
            </w:tcBorders>
          </w:tcPr>
          <w:p w14:paraId="08F4F82A" w14:textId="097D4E51" w:rsidR="00CB6CB9" w:rsidRPr="00560D29" w:rsidRDefault="00CB6CB9" w:rsidP="00560D29">
            <w:pPr>
              <w:adjustRightInd w:val="0"/>
              <w:snapToGrid w:val="0"/>
              <w:spacing w:line="360" w:lineRule="auto"/>
              <w:rPr>
                <w:rFonts w:ascii="Book Antiqua" w:hAnsi="Book Antiqua" w:cs="Arial"/>
                <w:b/>
              </w:rPr>
            </w:pPr>
            <w:r w:rsidRPr="00560D29">
              <w:rPr>
                <w:rFonts w:ascii="Book Antiqua" w:hAnsi="Book Antiqua" w:cs="Arial"/>
                <w:b/>
              </w:rPr>
              <w:t>Total CTC-positive patients</w:t>
            </w:r>
            <w:r w:rsidR="00B175FE" w:rsidRPr="00560D29">
              <w:rPr>
                <w:rFonts w:ascii="Book Antiqua" w:hAnsi="Book Antiqua" w:cs="Arial"/>
                <w:b/>
              </w:rPr>
              <w:t xml:space="preserve"> </w:t>
            </w:r>
            <w:r w:rsidRPr="00560D29">
              <w:rPr>
                <w:rFonts w:ascii="Book Antiqua" w:hAnsi="Book Antiqua" w:cs="Arial"/>
                <w:b/>
              </w:rPr>
              <w:t>(%)</w:t>
            </w:r>
          </w:p>
        </w:tc>
        <w:tc>
          <w:tcPr>
            <w:tcW w:w="1517" w:type="dxa"/>
            <w:tcBorders>
              <w:left w:val="nil"/>
              <w:bottom w:val="single" w:sz="4" w:space="0" w:color="auto"/>
              <w:right w:val="nil"/>
            </w:tcBorders>
          </w:tcPr>
          <w:p w14:paraId="38E12126" w14:textId="77777777" w:rsidR="00CB6CB9" w:rsidRPr="00560D29" w:rsidRDefault="00CB6CB9" w:rsidP="00560D29">
            <w:pPr>
              <w:adjustRightInd w:val="0"/>
              <w:snapToGrid w:val="0"/>
              <w:spacing w:line="360" w:lineRule="auto"/>
              <w:rPr>
                <w:rFonts w:ascii="Book Antiqua" w:hAnsi="Book Antiqua" w:cs="Arial"/>
                <w:b/>
              </w:rPr>
            </w:pPr>
            <w:r w:rsidRPr="00560D29">
              <w:rPr>
                <w:rFonts w:ascii="Book Antiqua" w:hAnsi="Book Antiqua" w:cs="Arial"/>
                <w:b/>
                <w:i/>
              </w:rPr>
              <w:t>P</w:t>
            </w:r>
            <w:r w:rsidRPr="00560D29">
              <w:rPr>
                <w:rFonts w:ascii="Book Antiqua" w:hAnsi="Book Antiqua" w:cs="Arial"/>
                <w:b/>
              </w:rPr>
              <w:t xml:space="preserve"> value</w:t>
            </w:r>
          </w:p>
        </w:tc>
      </w:tr>
      <w:tr w:rsidR="00CB6CB9" w:rsidRPr="00560D29" w14:paraId="23B91975" w14:textId="77777777" w:rsidTr="00D616E3">
        <w:trPr>
          <w:trHeight w:val="451"/>
        </w:trPr>
        <w:tc>
          <w:tcPr>
            <w:tcW w:w="8618" w:type="dxa"/>
            <w:gridSpan w:val="4"/>
            <w:tcBorders>
              <w:left w:val="nil"/>
              <w:bottom w:val="nil"/>
              <w:right w:val="nil"/>
            </w:tcBorders>
          </w:tcPr>
          <w:p w14:paraId="2ED7B149" w14:textId="6B00A152"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 xml:space="preserve">Age, </w:t>
            </w:r>
            <w:proofErr w:type="spellStart"/>
            <w:r w:rsidRPr="00560D29">
              <w:rPr>
                <w:rFonts w:ascii="Book Antiqua" w:hAnsi="Book Antiqua" w:cs="Arial"/>
              </w:rPr>
              <w:t>y</w:t>
            </w:r>
            <w:r w:rsidR="00B175FE" w:rsidRPr="00560D29">
              <w:rPr>
                <w:rFonts w:ascii="Book Antiqua" w:hAnsi="Book Antiqua" w:cs="Arial"/>
              </w:rPr>
              <w:t>r</w:t>
            </w:r>
            <w:proofErr w:type="spellEnd"/>
            <w:r w:rsidRPr="00560D29">
              <w:rPr>
                <w:rFonts w:ascii="Book Antiqua" w:hAnsi="Book Antiqua" w:cs="Arial"/>
              </w:rPr>
              <w:t xml:space="preserve"> (median:</w:t>
            </w:r>
            <w:r w:rsidR="00B175FE" w:rsidRPr="00560D29">
              <w:rPr>
                <w:rFonts w:ascii="Book Antiqua" w:hAnsi="Book Antiqua" w:cs="Arial"/>
              </w:rPr>
              <w:t xml:space="preserve"> </w:t>
            </w:r>
            <w:r w:rsidRPr="00560D29">
              <w:rPr>
                <w:rFonts w:ascii="Book Antiqua" w:hAnsi="Book Antiqua" w:cs="Arial"/>
              </w:rPr>
              <w:t>63, IQR:</w:t>
            </w:r>
            <w:r w:rsidR="00B175FE" w:rsidRPr="00560D29">
              <w:rPr>
                <w:rFonts w:ascii="Book Antiqua" w:hAnsi="Book Antiqua" w:cs="Arial"/>
              </w:rPr>
              <w:t xml:space="preserve"> </w:t>
            </w:r>
            <w:r w:rsidRPr="00560D29">
              <w:rPr>
                <w:rFonts w:ascii="Book Antiqua" w:hAnsi="Book Antiqua" w:cs="Arial"/>
              </w:rPr>
              <w:t>52-76)</w:t>
            </w:r>
          </w:p>
        </w:tc>
      </w:tr>
      <w:tr w:rsidR="00CB6CB9" w:rsidRPr="00560D29" w14:paraId="04957690" w14:textId="77777777" w:rsidTr="00D616E3">
        <w:trPr>
          <w:trHeight w:val="461"/>
        </w:trPr>
        <w:tc>
          <w:tcPr>
            <w:tcW w:w="2878" w:type="dxa"/>
            <w:tcBorders>
              <w:top w:val="nil"/>
              <w:left w:val="nil"/>
              <w:bottom w:val="nil"/>
              <w:right w:val="nil"/>
            </w:tcBorders>
          </w:tcPr>
          <w:p w14:paraId="0F12727A" w14:textId="1239C340"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&lt;</w:t>
            </w:r>
            <w:r w:rsidR="00B175FE" w:rsidRPr="00560D29">
              <w:rPr>
                <w:rFonts w:ascii="Book Antiqua" w:hAnsi="Book Antiqua" w:cs="Arial"/>
              </w:rPr>
              <w:t xml:space="preserve"> </w:t>
            </w:r>
            <w:r w:rsidRPr="00560D29">
              <w:rPr>
                <w:rFonts w:ascii="Book Antiqua" w:hAnsi="Book Antiqua" w:cs="Arial"/>
              </w:rPr>
              <w:t>60</w:t>
            </w:r>
          </w:p>
        </w:tc>
        <w:tc>
          <w:tcPr>
            <w:tcW w:w="2097" w:type="dxa"/>
            <w:tcBorders>
              <w:top w:val="nil"/>
              <w:left w:val="nil"/>
              <w:bottom w:val="nil"/>
              <w:right w:val="nil"/>
            </w:tcBorders>
          </w:tcPr>
          <w:p w14:paraId="51BE650C"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8/23 (34.8)</w:t>
            </w:r>
          </w:p>
        </w:tc>
        <w:tc>
          <w:tcPr>
            <w:tcW w:w="2126" w:type="dxa"/>
            <w:tcBorders>
              <w:top w:val="nil"/>
              <w:left w:val="nil"/>
              <w:bottom w:val="nil"/>
              <w:right w:val="nil"/>
            </w:tcBorders>
          </w:tcPr>
          <w:p w14:paraId="10375614"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32/84 (38.1)</w:t>
            </w:r>
          </w:p>
        </w:tc>
        <w:tc>
          <w:tcPr>
            <w:tcW w:w="1517" w:type="dxa"/>
            <w:vMerge w:val="restart"/>
            <w:tcBorders>
              <w:top w:val="nil"/>
              <w:left w:val="nil"/>
              <w:bottom w:val="nil"/>
              <w:right w:val="nil"/>
            </w:tcBorders>
          </w:tcPr>
          <w:p w14:paraId="35EDF324"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0.769</w:t>
            </w:r>
          </w:p>
        </w:tc>
      </w:tr>
      <w:tr w:rsidR="00CB6CB9" w:rsidRPr="00560D29" w14:paraId="20F7EFE5" w14:textId="77777777" w:rsidTr="00D616E3">
        <w:tc>
          <w:tcPr>
            <w:tcW w:w="2878" w:type="dxa"/>
            <w:tcBorders>
              <w:top w:val="nil"/>
              <w:left w:val="nil"/>
              <w:bottom w:val="nil"/>
              <w:right w:val="nil"/>
            </w:tcBorders>
          </w:tcPr>
          <w:p w14:paraId="74F2148D" w14:textId="4D04167C"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w:t>
            </w:r>
            <w:r w:rsidR="00B175FE" w:rsidRPr="00560D29">
              <w:rPr>
                <w:rFonts w:ascii="Book Antiqua" w:hAnsi="Book Antiqua" w:cs="Arial"/>
              </w:rPr>
              <w:t xml:space="preserve"> </w:t>
            </w:r>
            <w:r w:rsidRPr="00560D29">
              <w:rPr>
                <w:rFonts w:ascii="Book Antiqua" w:hAnsi="Book Antiqua" w:cs="Arial"/>
              </w:rPr>
              <w:t>60</w:t>
            </w:r>
          </w:p>
        </w:tc>
        <w:tc>
          <w:tcPr>
            <w:tcW w:w="2097" w:type="dxa"/>
            <w:tcBorders>
              <w:top w:val="nil"/>
              <w:left w:val="nil"/>
              <w:bottom w:val="nil"/>
              <w:right w:val="nil"/>
            </w:tcBorders>
          </w:tcPr>
          <w:p w14:paraId="060B65CE"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15/23 (65.2)</w:t>
            </w:r>
          </w:p>
        </w:tc>
        <w:tc>
          <w:tcPr>
            <w:tcW w:w="2126" w:type="dxa"/>
            <w:tcBorders>
              <w:top w:val="nil"/>
              <w:left w:val="nil"/>
              <w:bottom w:val="nil"/>
              <w:right w:val="nil"/>
            </w:tcBorders>
          </w:tcPr>
          <w:p w14:paraId="7E4D379F"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52/84 (61.9)</w:t>
            </w:r>
          </w:p>
        </w:tc>
        <w:tc>
          <w:tcPr>
            <w:tcW w:w="1517" w:type="dxa"/>
            <w:vMerge/>
            <w:tcBorders>
              <w:top w:val="nil"/>
              <w:left w:val="nil"/>
              <w:bottom w:val="nil"/>
              <w:right w:val="nil"/>
            </w:tcBorders>
          </w:tcPr>
          <w:p w14:paraId="735BB9E8"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3809E91A" w14:textId="77777777" w:rsidTr="00D616E3">
        <w:trPr>
          <w:trHeight w:val="489"/>
        </w:trPr>
        <w:tc>
          <w:tcPr>
            <w:tcW w:w="8618" w:type="dxa"/>
            <w:gridSpan w:val="4"/>
            <w:tcBorders>
              <w:top w:val="nil"/>
              <w:left w:val="nil"/>
              <w:bottom w:val="nil"/>
              <w:right w:val="nil"/>
            </w:tcBorders>
          </w:tcPr>
          <w:p w14:paraId="62BAEC58"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Gender</w:t>
            </w:r>
          </w:p>
        </w:tc>
      </w:tr>
      <w:tr w:rsidR="00CB6CB9" w:rsidRPr="00560D29" w14:paraId="21833294" w14:textId="77777777" w:rsidTr="00D616E3">
        <w:trPr>
          <w:trHeight w:val="465"/>
        </w:trPr>
        <w:tc>
          <w:tcPr>
            <w:tcW w:w="2878" w:type="dxa"/>
            <w:tcBorders>
              <w:top w:val="nil"/>
              <w:left w:val="nil"/>
              <w:bottom w:val="nil"/>
              <w:right w:val="nil"/>
            </w:tcBorders>
          </w:tcPr>
          <w:p w14:paraId="6F404AF5"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Male</w:t>
            </w:r>
          </w:p>
        </w:tc>
        <w:tc>
          <w:tcPr>
            <w:tcW w:w="2097" w:type="dxa"/>
            <w:tcBorders>
              <w:top w:val="nil"/>
              <w:left w:val="nil"/>
              <w:bottom w:val="nil"/>
              <w:right w:val="nil"/>
            </w:tcBorders>
          </w:tcPr>
          <w:p w14:paraId="108881E8"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16/23 (69.6)</w:t>
            </w:r>
          </w:p>
        </w:tc>
        <w:tc>
          <w:tcPr>
            <w:tcW w:w="2126" w:type="dxa"/>
            <w:tcBorders>
              <w:top w:val="nil"/>
              <w:left w:val="nil"/>
              <w:bottom w:val="nil"/>
              <w:right w:val="nil"/>
            </w:tcBorders>
          </w:tcPr>
          <w:p w14:paraId="5FEC6025" w14:textId="77777777" w:rsidR="00CB6CB9" w:rsidRPr="00560D29" w:rsidRDefault="00CB6CB9" w:rsidP="00560D29">
            <w:pPr>
              <w:tabs>
                <w:tab w:val="right" w:pos="1857"/>
              </w:tabs>
              <w:adjustRightInd w:val="0"/>
              <w:snapToGrid w:val="0"/>
              <w:spacing w:line="360" w:lineRule="auto"/>
              <w:rPr>
                <w:rFonts w:ascii="Book Antiqua" w:hAnsi="Book Antiqua" w:cs="Arial"/>
              </w:rPr>
            </w:pPr>
            <w:r w:rsidRPr="00560D29">
              <w:rPr>
                <w:rFonts w:ascii="Book Antiqua" w:hAnsi="Book Antiqua" w:cs="Arial"/>
              </w:rPr>
              <w:t>47/84 (56.0)</w:t>
            </w:r>
          </w:p>
        </w:tc>
        <w:tc>
          <w:tcPr>
            <w:tcW w:w="1517" w:type="dxa"/>
            <w:vMerge w:val="restart"/>
            <w:tcBorders>
              <w:top w:val="nil"/>
              <w:left w:val="nil"/>
              <w:bottom w:val="nil"/>
              <w:right w:val="nil"/>
            </w:tcBorders>
          </w:tcPr>
          <w:p w14:paraId="0A31547F"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0.313</w:t>
            </w:r>
          </w:p>
        </w:tc>
      </w:tr>
      <w:tr w:rsidR="00CB6CB9" w:rsidRPr="00560D29" w14:paraId="2AC9ABA2" w14:textId="77777777" w:rsidTr="00D616E3">
        <w:tc>
          <w:tcPr>
            <w:tcW w:w="2878" w:type="dxa"/>
            <w:tcBorders>
              <w:top w:val="nil"/>
              <w:left w:val="nil"/>
              <w:bottom w:val="nil"/>
              <w:right w:val="nil"/>
            </w:tcBorders>
          </w:tcPr>
          <w:p w14:paraId="41381236"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Female</w:t>
            </w:r>
          </w:p>
        </w:tc>
        <w:tc>
          <w:tcPr>
            <w:tcW w:w="2097" w:type="dxa"/>
            <w:tcBorders>
              <w:top w:val="nil"/>
              <w:left w:val="nil"/>
              <w:bottom w:val="nil"/>
              <w:right w:val="nil"/>
            </w:tcBorders>
          </w:tcPr>
          <w:p w14:paraId="1F1F6F2C"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7/23 (30.4)</w:t>
            </w:r>
          </w:p>
        </w:tc>
        <w:tc>
          <w:tcPr>
            <w:tcW w:w="2126" w:type="dxa"/>
            <w:tcBorders>
              <w:top w:val="nil"/>
              <w:left w:val="nil"/>
              <w:bottom w:val="nil"/>
              <w:right w:val="nil"/>
            </w:tcBorders>
          </w:tcPr>
          <w:p w14:paraId="13F89E63" w14:textId="77777777" w:rsidR="00CB6CB9" w:rsidRPr="00560D29" w:rsidRDefault="00CB6CB9" w:rsidP="00560D29">
            <w:pPr>
              <w:tabs>
                <w:tab w:val="right" w:pos="1857"/>
              </w:tabs>
              <w:adjustRightInd w:val="0"/>
              <w:snapToGrid w:val="0"/>
              <w:spacing w:line="360" w:lineRule="auto"/>
              <w:rPr>
                <w:rFonts w:ascii="Book Antiqua" w:hAnsi="Book Antiqua" w:cs="Arial"/>
              </w:rPr>
            </w:pPr>
            <w:r w:rsidRPr="00560D29">
              <w:rPr>
                <w:rFonts w:ascii="Book Antiqua" w:hAnsi="Book Antiqua" w:cs="Arial"/>
              </w:rPr>
              <w:t>37/84 (44.0)</w:t>
            </w:r>
          </w:p>
        </w:tc>
        <w:tc>
          <w:tcPr>
            <w:tcW w:w="1517" w:type="dxa"/>
            <w:vMerge/>
            <w:tcBorders>
              <w:top w:val="nil"/>
              <w:left w:val="nil"/>
              <w:bottom w:val="nil"/>
              <w:right w:val="nil"/>
            </w:tcBorders>
          </w:tcPr>
          <w:p w14:paraId="43E106AB"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0C2BEA2A" w14:textId="77777777" w:rsidTr="00D616E3">
        <w:trPr>
          <w:trHeight w:val="614"/>
        </w:trPr>
        <w:tc>
          <w:tcPr>
            <w:tcW w:w="2878" w:type="dxa"/>
            <w:tcBorders>
              <w:top w:val="nil"/>
              <w:left w:val="nil"/>
              <w:bottom w:val="nil"/>
              <w:right w:val="nil"/>
            </w:tcBorders>
          </w:tcPr>
          <w:p w14:paraId="15CA33B4"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Ethnic group</w:t>
            </w:r>
          </w:p>
        </w:tc>
        <w:tc>
          <w:tcPr>
            <w:tcW w:w="2097" w:type="dxa"/>
            <w:tcBorders>
              <w:top w:val="nil"/>
              <w:left w:val="nil"/>
              <w:bottom w:val="nil"/>
              <w:right w:val="nil"/>
            </w:tcBorders>
          </w:tcPr>
          <w:p w14:paraId="092E4FAB" w14:textId="77777777" w:rsidR="00CB6CB9" w:rsidRPr="00560D29" w:rsidRDefault="00CB6CB9"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50B30D57" w14:textId="77777777" w:rsidR="00CB6CB9" w:rsidRPr="00560D29" w:rsidRDefault="00CB6CB9"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0013A19E"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61BF1B05" w14:textId="77777777" w:rsidTr="00D616E3">
        <w:trPr>
          <w:trHeight w:val="461"/>
        </w:trPr>
        <w:tc>
          <w:tcPr>
            <w:tcW w:w="2878" w:type="dxa"/>
            <w:tcBorders>
              <w:top w:val="nil"/>
              <w:left w:val="nil"/>
              <w:bottom w:val="nil"/>
              <w:right w:val="nil"/>
            </w:tcBorders>
          </w:tcPr>
          <w:p w14:paraId="0BC316D8"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Han ethnic group</w:t>
            </w:r>
          </w:p>
        </w:tc>
        <w:tc>
          <w:tcPr>
            <w:tcW w:w="2097" w:type="dxa"/>
            <w:tcBorders>
              <w:top w:val="nil"/>
              <w:left w:val="nil"/>
              <w:bottom w:val="nil"/>
              <w:right w:val="nil"/>
            </w:tcBorders>
          </w:tcPr>
          <w:p w14:paraId="56500579" w14:textId="4BB5AF6B"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14/23</w:t>
            </w:r>
            <w:r w:rsidR="00DB5F82" w:rsidRPr="00560D29">
              <w:rPr>
                <w:rFonts w:ascii="Book Antiqua" w:hAnsi="Book Antiqua" w:cs="Arial"/>
              </w:rPr>
              <w:t>(</w:t>
            </w:r>
            <w:r w:rsidRPr="00560D29">
              <w:rPr>
                <w:rFonts w:ascii="Book Antiqua" w:hAnsi="Book Antiqua" w:cs="Arial"/>
              </w:rPr>
              <w:t>60.9</w:t>
            </w:r>
            <w:r w:rsidR="00DB5F82" w:rsidRPr="00560D29">
              <w:rPr>
                <w:rFonts w:ascii="Book Antiqua" w:hAnsi="Book Antiqua" w:cs="Arial"/>
              </w:rPr>
              <w:t>)</w:t>
            </w:r>
          </w:p>
        </w:tc>
        <w:tc>
          <w:tcPr>
            <w:tcW w:w="2126" w:type="dxa"/>
            <w:tcBorders>
              <w:top w:val="nil"/>
              <w:left w:val="nil"/>
              <w:bottom w:val="nil"/>
              <w:right w:val="nil"/>
            </w:tcBorders>
          </w:tcPr>
          <w:p w14:paraId="56EED2A8" w14:textId="65F6F72A"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59/84</w:t>
            </w:r>
            <w:r w:rsidR="00DB5F82" w:rsidRPr="00560D29">
              <w:rPr>
                <w:rFonts w:ascii="Book Antiqua" w:hAnsi="Book Antiqua" w:cs="Arial"/>
              </w:rPr>
              <w:t>(</w:t>
            </w:r>
            <w:r w:rsidRPr="00560D29">
              <w:rPr>
                <w:rFonts w:ascii="Book Antiqua" w:hAnsi="Book Antiqua" w:cs="Arial"/>
              </w:rPr>
              <w:t>70.2</w:t>
            </w:r>
            <w:r w:rsidR="00DB5F82" w:rsidRPr="00560D29">
              <w:rPr>
                <w:rFonts w:ascii="Book Antiqua" w:hAnsi="Book Antiqua" w:cs="Arial"/>
              </w:rPr>
              <w:t>)</w:t>
            </w:r>
          </w:p>
        </w:tc>
        <w:tc>
          <w:tcPr>
            <w:tcW w:w="1517" w:type="dxa"/>
            <w:tcBorders>
              <w:top w:val="nil"/>
              <w:left w:val="nil"/>
              <w:bottom w:val="nil"/>
              <w:right w:val="nil"/>
            </w:tcBorders>
          </w:tcPr>
          <w:p w14:paraId="23146DA5" w14:textId="1A06B8F4"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0.346</w:t>
            </w:r>
          </w:p>
        </w:tc>
      </w:tr>
      <w:tr w:rsidR="00CB6CB9" w:rsidRPr="00560D29" w14:paraId="71823934" w14:textId="77777777" w:rsidTr="00D616E3">
        <w:trPr>
          <w:trHeight w:val="446"/>
        </w:trPr>
        <w:tc>
          <w:tcPr>
            <w:tcW w:w="2878" w:type="dxa"/>
            <w:tcBorders>
              <w:top w:val="nil"/>
              <w:left w:val="nil"/>
              <w:bottom w:val="nil"/>
              <w:right w:val="nil"/>
            </w:tcBorders>
          </w:tcPr>
          <w:p w14:paraId="7B7C84FA"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Zhuang ethnic group</w:t>
            </w:r>
          </w:p>
        </w:tc>
        <w:tc>
          <w:tcPr>
            <w:tcW w:w="2097" w:type="dxa"/>
            <w:tcBorders>
              <w:top w:val="nil"/>
              <w:left w:val="nil"/>
              <w:bottom w:val="nil"/>
              <w:right w:val="nil"/>
            </w:tcBorders>
          </w:tcPr>
          <w:p w14:paraId="730655D1" w14:textId="751C2CDF"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 xml:space="preserve">5/23 </w:t>
            </w:r>
            <w:r w:rsidR="00DB5F82" w:rsidRPr="00560D29">
              <w:rPr>
                <w:rFonts w:ascii="Book Antiqua" w:hAnsi="Book Antiqua" w:cs="Arial"/>
              </w:rPr>
              <w:t>(</w:t>
            </w:r>
            <w:r w:rsidRPr="00560D29">
              <w:rPr>
                <w:rFonts w:ascii="Book Antiqua" w:hAnsi="Book Antiqua" w:cs="Arial"/>
              </w:rPr>
              <w:t>21.7</w:t>
            </w:r>
            <w:r w:rsidR="00DB5F82" w:rsidRPr="00560D29">
              <w:rPr>
                <w:rFonts w:ascii="Book Antiqua" w:hAnsi="Book Antiqua" w:cs="Arial"/>
              </w:rPr>
              <w:t>)</w:t>
            </w:r>
          </w:p>
        </w:tc>
        <w:tc>
          <w:tcPr>
            <w:tcW w:w="2126" w:type="dxa"/>
            <w:tcBorders>
              <w:top w:val="nil"/>
              <w:left w:val="nil"/>
              <w:bottom w:val="nil"/>
              <w:right w:val="nil"/>
            </w:tcBorders>
          </w:tcPr>
          <w:p w14:paraId="55171B73" w14:textId="71158A3E"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16/84</w:t>
            </w:r>
            <w:r w:rsidR="00DB5F82" w:rsidRPr="00560D29">
              <w:rPr>
                <w:rFonts w:ascii="Book Antiqua" w:hAnsi="Book Antiqua" w:cs="Arial"/>
              </w:rPr>
              <w:t>(</w:t>
            </w:r>
            <w:r w:rsidRPr="00560D29">
              <w:rPr>
                <w:rFonts w:ascii="Book Antiqua" w:hAnsi="Book Antiqua" w:cs="Arial"/>
              </w:rPr>
              <w:t>19.1</w:t>
            </w:r>
            <w:r w:rsidR="00DB5F82" w:rsidRPr="00560D29">
              <w:rPr>
                <w:rFonts w:ascii="Book Antiqua" w:hAnsi="Book Antiqua" w:cs="Arial"/>
              </w:rPr>
              <w:t>)</w:t>
            </w:r>
          </w:p>
        </w:tc>
        <w:tc>
          <w:tcPr>
            <w:tcW w:w="1517" w:type="dxa"/>
            <w:tcBorders>
              <w:top w:val="nil"/>
              <w:left w:val="nil"/>
              <w:bottom w:val="nil"/>
              <w:right w:val="nil"/>
            </w:tcBorders>
          </w:tcPr>
          <w:p w14:paraId="7284F399"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3B67D982" w14:textId="77777777" w:rsidTr="00D616E3">
        <w:trPr>
          <w:trHeight w:val="548"/>
        </w:trPr>
        <w:tc>
          <w:tcPr>
            <w:tcW w:w="2878" w:type="dxa"/>
            <w:tcBorders>
              <w:top w:val="nil"/>
              <w:left w:val="nil"/>
              <w:bottom w:val="nil"/>
              <w:right w:val="nil"/>
            </w:tcBorders>
          </w:tcPr>
          <w:p w14:paraId="2BD96D36"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Li ethnic group</w:t>
            </w:r>
          </w:p>
        </w:tc>
        <w:tc>
          <w:tcPr>
            <w:tcW w:w="2097" w:type="dxa"/>
            <w:tcBorders>
              <w:top w:val="nil"/>
              <w:left w:val="nil"/>
              <w:bottom w:val="nil"/>
              <w:right w:val="nil"/>
            </w:tcBorders>
          </w:tcPr>
          <w:p w14:paraId="4F3F8B0E" w14:textId="68620961"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4/23</w:t>
            </w:r>
            <w:r w:rsidR="00DB5F82" w:rsidRPr="00560D29">
              <w:rPr>
                <w:rFonts w:ascii="Book Antiqua" w:hAnsi="Book Antiqua" w:cs="Arial"/>
              </w:rPr>
              <w:t>(</w:t>
            </w:r>
            <w:r w:rsidRPr="00560D29">
              <w:rPr>
                <w:rFonts w:ascii="Book Antiqua" w:hAnsi="Book Antiqua" w:cs="Arial"/>
              </w:rPr>
              <w:t>17.4</w:t>
            </w:r>
            <w:r w:rsidR="00DB5F82" w:rsidRPr="00560D29">
              <w:rPr>
                <w:rFonts w:ascii="Book Antiqua" w:hAnsi="Book Antiqua" w:cs="Arial"/>
              </w:rPr>
              <w:t>)</w:t>
            </w:r>
          </w:p>
        </w:tc>
        <w:tc>
          <w:tcPr>
            <w:tcW w:w="2126" w:type="dxa"/>
            <w:tcBorders>
              <w:top w:val="nil"/>
              <w:left w:val="nil"/>
              <w:bottom w:val="nil"/>
              <w:right w:val="nil"/>
            </w:tcBorders>
          </w:tcPr>
          <w:p w14:paraId="53C67B24" w14:textId="1732354E"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9/84</w:t>
            </w:r>
            <w:r w:rsidR="00DB5F82" w:rsidRPr="00560D29">
              <w:rPr>
                <w:rFonts w:ascii="Book Antiqua" w:hAnsi="Book Antiqua" w:cs="Arial"/>
              </w:rPr>
              <w:t>(</w:t>
            </w:r>
            <w:r w:rsidRPr="00560D29">
              <w:rPr>
                <w:rFonts w:ascii="Book Antiqua" w:hAnsi="Book Antiqua" w:cs="Arial"/>
              </w:rPr>
              <w:t>10.7</w:t>
            </w:r>
            <w:r w:rsidR="00DB5F82" w:rsidRPr="00560D29">
              <w:rPr>
                <w:rFonts w:ascii="Book Antiqua" w:hAnsi="Book Antiqua" w:cs="Arial"/>
              </w:rPr>
              <w:t>)</w:t>
            </w:r>
          </w:p>
        </w:tc>
        <w:tc>
          <w:tcPr>
            <w:tcW w:w="1517" w:type="dxa"/>
            <w:tcBorders>
              <w:top w:val="nil"/>
              <w:left w:val="nil"/>
              <w:bottom w:val="nil"/>
              <w:right w:val="nil"/>
            </w:tcBorders>
          </w:tcPr>
          <w:p w14:paraId="006EF2DE"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6B096D27" w14:textId="77777777" w:rsidTr="00D616E3">
        <w:trPr>
          <w:trHeight w:val="548"/>
        </w:trPr>
        <w:tc>
          <w:tcPr>
            <w:tcW w:w="2878" w:type="dxa"/>
            <w:tcBorders>
              <w:top w:val="nil"/>
              <w:left w:val="nil"/>
              <w:bottom w:val="nil"/>
              <w:right w:val="nil"/>
            </w:tcBorders>
          </w:tcPr>
          <w:p w14:paraId="1A10262C"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Differentiation</w:t>
            </w:r>
          </w:p>
        </w:tc>
        <w:tc>
          <w:tcPr>
            <w:tcW w:w="2097" w:type="dxa"/>
            <w:tcBorders>
              <w:top w:val="nil"/>
              <w:left w:val="nil"/>
              <w:bottom w:val="nil"/>
              <w:right w:val="nil"/>
            </w:tcBorders>
          </w:tcPr>
          <w:p w14:paraId="78953209" w14:textId="351E45DF" w:rsidR="00CB6CB9" w:rsidRPr="00560D29" w:rsidRDefault="00CB6CB9"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0EAD6B20" w14:textId="77777777" w:rsidR="00CB6CB9" w:rsidRPr="00560D29" w:rsidRDefault="00CB6CB9"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2DF354D0"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65CD95D5" w14:textId="77777777" w:rsidTr="00D616E3">
        <w:trPr>
          <w:trHeight w:val="460"/>
        </w:trPr>
        <w:tc>
          <w:tcPr>
            <w:tcW w:w="2878" w:type="dxa"/>
            <w:tcBorders>
              <w:top w:val="nil"/>
              <w:left w:val="nil"/>
              <w:bottom w:val="nil"/>
              <w:right w:val="nil"/>
            </w:tcBorders>
          </w:tcPr>
          <w:p w14:paraId="63AD56D8"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Well</w:t>
            </w:r>
          </w:p>
        </w:tc>
        <w:tc>
          <w:tcPr>
            <w:tcW w:w="2097" w:type="dxa"/>
            <w:tcBorders>
              <w:top w:val="nil"/>
              <w:left w:val="nil"/>
              <w:bottom w:val="nil"/>
              <w:right w:val="nil"/>
            </w:tcBorders>
          </w:tcPr>
          <w:p w14:paraId="0BE9890B"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3/23 (13.0)</w:t>
            </w:r>
          </w:p>
        </w:tc>
        <w:tc>
          <w:tcPr>
            <w:tcW w:w="2126" w:type="dxa"/>
            <w:tcBorders>
              <w:top w:val="nil"/>
              <w:left w:val="nil"/>
              <w:bottom w:val="nil"/>
              <w:right w:val="nil"/>
            </w:tcBorders>
          </w:tcPr>
          <w:p w14:paraId="193B260B"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7/84 (8.3)</w:t>
            </w:r>
          </w:p>
        </w:tc>
        <w:tc>
          <w:tcPr>
            <w:tcW w:w="1517" w:type="dxa"/>
            <w:tcBorders>
              <w:top w:val="nil"/>
              <w:left w:val="nil"/>
              <w:bottom w:val="nil"/>
              <w:right w:val="nil"/>
            </w:tcBorders>
          </w:tcPr>
          <w:p w14:paraId="0D2F2C92"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0.435</w:t>
            </w:r>
          </w:p>
        </w:tc>
      </w:tr>
      <w:tr w:rsidR="00CB6CB9" w:rsidRPr="00560D29" w14:paraId="64E03D90" w14:textId="77777777" w:rsidTr="00D616E3">
        <w:trPr>
          <w:trHeight w:val="475"/>
        </w:trPr>
        <w:tc>
          <w:tcPr>
            <w:tcW w:w="2878" w:type="dxa"/>
            <w:tcBorders>
              <w:top w:val="nil"/>
              <w:left w:val="nil"/>
              <w:bottom w:val="nil"/>
              <w:right w:val="nil"/>
            </w:tcBorders>
          </w:tcPr>
          <w:p w14:paraId="1AFA0072"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Moderate</w:t>
            </w:r>
          </w:p>
        </w:tc>
        <w:tc>
          <w:tcPr>
            <w:tcW w:w="2097" w:type="dxa"/>
            <w:tcBorders>
              <w:top w:val="nil"/>
              <w:left w:val="nil"/>
              <w:bottom w:val="nil"/>
              <w:right w:val="nil"/>
            </w:tcBorders>
          </w:tcPr>
          <w:p w14:paraId="03EFD6C1"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13/23 (56.5)</w:t>
            </w:r>
          </w:p>
        </w:tc>
        <w:tc>
          <w:tcPr>
            <w:tcW w:w="2126" w:type="dxa"/>
            <w:tcBorders>
              <w:top w:val="nil"/>
              <w:left w:val="nil"/>
              <w:bottom w:val="nil"/>
              <w:right w:val="nil"/>
            </w:tcBorders>
          </w:tcPr>
          <w:p w14:paraId="230E6C94"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54/84 (64.3)</w:t>
            </w:r>
          </w:p>
        </w:tc>
        <w:tc>
          <w:tcPr>
            <w:tcW w:w="1517" w:type="dxa"/>
            <w:tcBorders>
              <w:top w:val="nil"/>
              <w:left w:val="nil"/>
              <w:bottom w:val="nil"/>
              <w:right w:val="nil"/>
            </w:tcBorders>
          </w:tcPr>
          <w:p w14:paraId="7B6821A9"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4E5F63C8" w14:textId="77777777" w:rsidTr="00D616E3">
        <w:trPr>
          <w:trHeight w:val="451"/>
        </w:trPr>
        <w:tc>
          <w:tcPr>
            <w:tcW w:w="2878" w:type="dxa"/>
            <w:tcBorders>
              <w:top w:val="nil"/>
              <w:left w:val="nil"/>
              <w:bottom w:val="nil"/>
              <w:right w:val="nil"/>
            </w:tcBorders>
          </w:tcPr>
          <w:p w14:paraId="09A6B02E"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Poor</w:t>
            </w:r>
          </w:p>
        </w:tc>
        <w:tc>
          <w:tcPr>
            <w:tcW w:w="2097" w:type="dxa"/>
            <w:tcBorders>
              <w:top w:val="nil"/>
              <w:left w:val="nil"/>
              <w:bottom w:val="nil"/>
              <w:right w:val="nil"/>
            </w:tcBorders>
          </w:tcPr>
          <w:p w14:paraId="5AC199A5"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7/23 (30.5)</w:t>
            </w:r>
          </w:p>
        </w:tc>
        <w:tc>
          <w:tcPr>
            <w:tcW w:w="2126" w:type="dxa"/>
            <w:tcBorders>
              <w:top w:val="nil"/>
              <w:left w:val="nil"/>
              <w:bottom w:val="nil"/>
              <w:right w:val="nil"/>
            </w:tcBorders>
          </w:tcPr>
          <w:p w14:paraId="50302CFA"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23/84 (27.4)</w:t>
            </w:r>
          </w:p>
        </w:tc>
        <w:tc>
          <w:tcPr>
            <w:tcW w:w="1517" w:type="dxa"/>
            <w:tcBorders>
              <w:top w:val="nil"/>
              <w:left w:val="nil"/>
              <w:bottom w:val="nil"/>
              <w:right w:val="nil"/>
            </w:tcBorders>
          </w:tcPr>
          <w:p w14:paraId="633A4B16"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283D2EA5" w14:textId="77777777" w:rsidTr="00D616E3">
        <w:trPr>
          <w:trHeight w:val="489"/>
        </w:trPr>
        <w:tc>
          <w:tcPr>
            <w:tcW w:w="8618" w:type="dxa"/>
            <w:gridSpan w:val="4"/>
            <w:tcBorders>
              <w:top w:val="nil"/>
              <w:left w:val="nil"/>
              <w:bottom w:val="nil"/>
              <w:right w:val="nil"/>
            </w:tcBorders>
          </w:tcPr>
          <w:p w14:paraId="3C83D2DD"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TNM stage</w:t>
            </w:r>
          </w:p>
        </w:tc>
      </w:tr>
      <w:tr w:rsidR="00CB6CB9" w:rsidRPr="00560D29" w14:paraId="2485B8F5" w14:textId="77777777" w:rsidTr="00D616E3">
        <w:tc>
          <w:tcPr>
            <w:tcW w:w="2878" w:type="dxa"/>
            <w:tcBorders>
              <w:top w:val="nil"/>
              <w:left w:val="nil"/>
              <w:bottom w:val="nil"/>
              <w:right w:val="nil"/>
            </w:tcBorders>
          </w:tcPr>
          <w:p w14:paraId="4E3338EC"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I</w:t>
            </w:r>
          </w:p>
        </w:tc>
        <w:tc>
          <w:tcPr>
            <w:tcW w:w="2097" w:type="dxa"/>
            <w:tcBorders>
              <w:top w:val="nil"/>
              <w:left w:val="nil"/>
              <w:bottom w:val="nil"/>
              <w:right w:val="nil"/>
            </w:tcBorders>
          </w:tcPr>
          <w:p w14:paraId="1E1B8C6E"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6/23 (26.1)</w:t>
            </w:r>
          </w:p>
        </w:tc>
        <w:tc>
          <w:tcPr>
            <w:tcW w:w="2126" w:type="dxa"/>
            <w:tcBorders>
              <w:top w:val="nil"/>
              <w:left w:val="nil"/>
              <w:bottom w:val="nil"/>
              <w:right w:val="nil"/>
            </w:tcBorders>
          </w:tcPr>
          <w:p w14:paraId="21E71182" w14:textId="77777777" w:rsidR="00CB6CB9" w:rsidRPr="00560D29" w:rsidRDefault="00CB6CB9" w:rsidP="00560D29">
            <w:pPr>
              <w:tabs>
                <w:tab w:val="left" w:pos="1060"/>
              </w:tabs>
              <w:adjustRightInd w:val="0"/>
              <w:snapToGrid w:val="0"/>
              <w:spacing w:line="360" w:lineRule="auto"/>
              <w:rPr>
                <w:rFonts w:ascii="Book Antiqua" w:hAnsi="Book Antiqua" w:cs="Arial"/>
              </w:rPr>
            </w:pPr>
            <w:r w:rsidRPr="00560D29">
              <w:rPr>
                <w:rFonts w:ascii="Book Antiqua" w:hAnsi="Book Antiqua" w:cs="Arial"/>
              </w:rPr>
              <w:t>4/84 (4.8)</w:t>
            </w:r>
          </w:p>
        </w:tc>
        <w:tc>
          <w:tcPr>
            <w:tcW w:w="1517" w:type="dxa"/>
            <w:tcBorders>
              <w:top w:val="nil"/>
              <w:left w:val="nil"/>
              <w:bottom w:val="nil"/>
              <w:right w:val="nil"/>
            </w:tcBorders>
          </w:tcPr>
          <w:p w14:paraId="38976EE2" w14:textId="0EF21A79"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&lt;</w:t>
            </w:r>
            <w:r w:rsidR="00FE5999" w:rsidRPr="00560D29">
              <w:rPr>
                <w:rFonts w:ascii="Book Antiqua" w:hAnsi="Book Antiqua" w:cs="Arial"/>
              </w:rPr>
              <w:t xml:space="preserve"> </w:t>
            </w:r>
            <w:r w:rsidRPr="00560D29">
              <w:rPr>
                <w:rFonts w:ascii="Book Antiqua" w:hAnsi="Book Antiqua" w:cs="Arial"/>
              </w:rPr>
              <w:t>0.001</w:t>
            </w:r>
          </w:p>
        </w:tc>
      </w:tr>
      <w:tr w:rsidR="00CB6CB9" w:rsidRPr="00560D29" w14:paraId="56617B5B" w14:textId="77777777" w:rsidTr="00D616E3">
        <w:tc>
          <w:tcPr>
            <w:tcW w:w="2878" w:type="dxa"/>
            <w:tcBorders>
              <w:top w:val="nil"/>
              <w:left w:val="nil"/>
              <w:bottom w:val="nil"/>
              <w:right w:val="nil"/>
            </w:tcBorders>
          </w:tcPr>
          <w:p w14:paraId="39155536"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II</w:t>
            </w:r>
          </w:p>
        </w:tc>
        <w:tc>
          <w:tcPr>
            <w:tcW w:w="2097" w:type="dxa"/>
            <w:tcBorders>
              <w:top w:val="nil"/>
              <w:left w:val="nil"/>
              <w:bottom w:val="nil"/>
              <w:right w:val="nil"/>
            </w:tcBorders>
          </w:tcPr>
          <w:p w14:paraId="0272DA07"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7/23 (30.4)</w:t>
            </w:r>
          </w:p>
        </w:tc>
        <w:tc>
          <w:tcPr>
            <w:tcW w:w="2126" w:type="dxa"/>
            <w:tcBorders>
              <w:top w:val="nil"/>
              <w:left w:val="nil"/>
              <w:bottom w:val="nil"/>
              <w:right w:val="nil"/>
            </w:tcBorders>
          </w:tcPr>
          <w:p w14:paraId="0B22F71E"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13/84 (15.5)</w:t>
            </w:r>
          </w:p>
        </w:tc>
        <w:tc>
          <w:tcPr>
            <w:tcW w:w="1517" w:type="dxa"/>
            <w:tcBorders>
              <w:top w:val="nil"/>
              <w:left w:val="nil"/>
              <w:bottom w:val="nil"/>
              <w:right w:val="nil"/>
            </w:tcBorders>
          </w:tcPr>
          <w:p w14:paraId="576EF2B2"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2FD05864" w14:textId="77777777" w:rsidTr="00D616E3">
        <w:trPr>
          <w:trHeight w:val="461"/>
        </w:trPr>
        <w:tc>
          <w:tcPr>
            <w:tcW w:w="2878" w:type="dxa"/>
            <w:tcBorders>
              <w:top w:val="nil"/>
              <w:left w:val="nil"/>
              <w:bottom w:val="nil"/>
              <w:right w:val="nil"/>
            </w:tcBorders>
          </w:tcPr>
          <w:p w14:paraId="74C647C5"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III</w:t>
            </w:r>
          </w:p>
        </w:tc>
        <w:tc>
          <w:tcPr>
            <w:tcW w:w="2097" w:type="dxa"/>
            <w:tcBorders>
              <w:top w:val="nil"/>
              <w:left w:val="nil"/>
              <w:bottom w:val="nil"/>
              <w:right w:val="nil"/>
            </w:tcBorders>
          </w:tcPr>
          <w:p w14:paraId="75BC381D"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10/23 (43.5)</w:t>
            </w:r>
          </w:p>
        </w:tc>
        <w:tc>
          <w:tcPr>
            <w:tcW w:w="2126" w:type="dxa"/>
            <w:tcBorders>
              <w:top w:val="nil"/>
              <w:left w:val="nil"/>
              <w:bottom w:val="nil"/>
              <w:right w:val="nil"/>
            </w:tcBorders>
          </w:tcPr>
          <w:p w14:paraId="50C1B1F0"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39/84 (46.4)</w:t>
            </w:r>
          </w:p>
        </w:tc>
        <w:tc>
          <w:tcPr>
            <w:tcW w:w="1517" w:type="dxa"/>
            <w:tcBorders>
              <w:top w:val="nil"/>
              <w:left w:val="nil"/>
              <w:bottom w:val="nil"/>
              <w:right w:val="nil"/>
            </w:tcBorders>
          </w:tcPr>
          <w:p w14:paraId="31D41257"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0EED8ED6" w14:textId="77777777" w:rsidTr="00D616E3">
        <w:trPr>
          <w:trHeight w:val="433"/>
        </w:trPr>
        <w:tc>
          <w:tcPr>
            <w:tcW w:w="2878" w:type="dxa"/>
            <w:tcBorders>
              <w:top w:val="nil"/>
              <w:left w:val="nil"/>
              <w:bottom w:val="nil"/>
              <w:right w:val="nil"/>
            </w:tcBorders>
          </w:tcPr>
          <w:p w14:paraId="66DBC46D"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IV</w:t>
            </w:r>
          </w:p>
        </w:tc>
        <w:tc>
          <w:tcPr>
            <w:tcW w:w="2097" w:type="dxa"/>
            <w:tcBorders>
              <w:top w:val="nil"/>
              <w:left w:val="nil"/>
              <w:bottom w:val="nil"/>
              <w:right w:val="nil"/>
            </w:tcBorders>
          </w:tcPr>
          <w:p w14:paraId="180B6A1C"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0/23 (0)</w:t>
            </w:r>
          </w:p>
        </w:tc>
        <w:tc>
          <w:tcPr>
            <w:tcW w:w="2126" w:type="dxa"/>
            <w:tcBorders>
              <w:top w:val="nil"/>
              <w:left w:val="nil"/>
              <w:bottom w:val="nil"/>
              <w:right w:val="nil"/>
            </w:tcBorders>
          </w:tcPr>
          <w:p w14:paraId="08F265DA"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28/84 (33.3)</w:t>
            </w:r>
          </w:p>
        </w:tc>
        <w:tc>
          <w:tcPr>
            <w:tcW w:w="1517" w:type="dxa"/>
            <w:tcBorders>
              <w:top w:val="nil"/>
              <w:left w:val="nil"/>
              <w:bottom w:val="nil"/>
              <w:right w:val="nil"/>
            </w:tcBorders>
          </w:tcPr>
          <w:p w14:paraId="563A2014" w14:textId="77777777" w:rsidR="00CB6CB9" w:rsidRPr="00560D29" w:rsidRDefault="00CB6CB9" w:rsidP="00560D29">
            <w:pPr>
              <w:adjustRightInd w:val="0"/>
              <w:snapToGrid w:val="0"/>
              <w:spacing w:line="360" w:lineRule="auto"/>
              <w:rPr>
                <w:rFonts w:ascii="Book Antiqua" w:hAnsi="Book Antiqua" w:cs="Arial"/>
              </w:rPr>
            </w:pPr>
          </w:p>
        </w:tc>
      </w:tr>
      <w:tr w:rsidR="00CB6CB9" w:rsidRPr="00560D29" w14:paraId="2E9A865E" w14:textId="77777777" w:rsidTr="00D616E3">
        <w:trPr>
          <w:trHeight w:val="461"/>
        </w:trPr>
        <w:tc>
          <w:tcPr>
            <w:tcW w:w="8618" w:type="dxa"/>
            <w:gridSpan w:val="4"/>
            <w:tcBorders>
              <w:top w:val="nil"/>
              <w:left w:val="nil"/>
              <w:bottom w:val="nil"/>
              <w:right w:val="nil"/>
            </w:tcBorders>
          </w:tcPr>
          <w:p w14:paraId="4A8D6CFA"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Lymph node metastasis</w:t>
            </w:r>
          </w:p>
        </w:tc>
      </w:tr>
      <w:tr w:rsidR="00CB6CB9" w:rsidRPr="00560D29" w14:paraId="3252BF36" w14:textId="77777777" w:rsidTr="00D616E3">
        <w:tc>
          <w:tcPr>
            <w:tcW w:w="2878" w:type="dxa"/>
            <w:tcBorders>
              <w:top w:val="nil"/>
              <w:left w:val="nil"/>
              <w:bottom w:val="nil"/>
              <w:right w:val="nil"/>
            </w:tcBorders>
          </w:tcPr>
          <w:p w14:paraId="79218BED"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Negative</w:t>
            </w:r>
          </w:p>
        </w:tc>
        <w:tc>
          <w:tcPr>
            <w:tcW w:w="2097" w:type="dxa"/>
            <w:tcBorders>
              <w:top w:val="nil"/>
              <w:left w:val="nil"/>
              <w:bottom w:val="nil"/>
              <w:right w:val="nil"/>
            </w:tcBorders>
          </w:tcPr>
          <w:p w14:paraId="170203C1"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13/23 (56.5)</w:t>
            </w:r>
          </w:p>
        </w:tc>
        <w:tc>
          <w:tcPr>
            <w:tcW w:w="2126" w:type="dxa"/>
            <w:tcBorders>
              <w:top w:val="nil"/>
              <w:left w:val="nil"/>
              <w:bottom w:val="nil"/>
              <w:right w:val="nil"/>
            </w:tcBorders>
          </w:tcPr>
          <w:p w14:paraId="4356B1F2"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34/84 (40.5)</w:t>
            </w:r>
          </w:p>
        </w:tc>
        <w:tc>
          <w:tcPr>
            <w:tcW w:w="1517" w:type="dxa"/>
            <w:tcBorders>
              <w:top w:val="nil"/>
              <w:left w:val="nil"/>
              <w:bottom w:val="nil"/>
              <w:right w:val="nil"/>
            </w:tcBorders>
          </w:tcPr>
          <w:p w14:paraId="6FF5588B"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0.023</w:t>
            </w:r>
          </w:p>
        </w:tc>
      </w:tr>
      <w:tr w:rsidR="00CB6CB9" w:rsidRPr="00560D29" w14:paraId="75BAB6ED" w14:textId="77777777" w:rsidTr="00D616E3">
        <w:tc>
          <w:tcPr>
            <w:tcW w:w="2878" w:type="dxa"/>
            <w:tcBorders>
              <w:top w:val="nil"/>
              <w:left w:val="nil"/>
              <w:bottom w:val="nil"/>
              <w:right w:val="nil"/>
            </w:tcBorders>
          </w:tcPr>
          <w:p w14:paraId="2B7E580E" w14:textId="77777777" w:rsidR="00CB6CB9" w:rsidRPr="00560D29" w:rsidRDefault="00CB6CB9"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Positive</w:t>
            </w:r>
          </w:p>
        </w:tc>
        <w:tc>
          <w:tcPr>
            <w:tcW w:w="2097" w:type="dxa"/>
            <w:tcBorders>
              <w:top w:val="nil"/>
              <w:left w:val="nil"/>
              <w:bottom w:val="nil"/>
              <w:right w:val="nil"/>
            </w:tcBorders>
          </w:tcPr>
          <w:p w14:paraId="2904D7F8"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10/23 (43.5)</w:t>
            </w:r>
          </w:p>
        </w:tc>
        <w:tc>
          <w:tcPr>
            <w:tcW w:w="2126" w:type="dxa"/>
            <w:tcBorders>
              <w:top w:val="nil"/>
              <w:left w:val="nil"/>
              <w:bottom w:val="nil"/>
              <w:right w:val="nil"/>
            </w:tcBorders>
          </w:tcPr>
          <w:p w14:paraId="39DE187D" w14:textId="77777777" w:rsidR="00CB6CB9" w:rsidRPr="00560D29" w:rsidRDefault="00CB6CB9" w:rsidP="00560D29">
            <w:pPr>
              <w:adjustRightInd w:val="0"/>
              <w:snapToGrid w:val="0"/>
              <w:spacing w:line="360" w:lineRule="auto"/>
              <w:rPr>
                <w:rFonts w:ascii="Book Antiqua" w:hAnsi="Book Antiqua" w:cs="Arial"/>
              </w:rPr>
            </w:pPr>
            <w:r w:rsidRPr="00560D29">
              <w:rPr>
                <w:rFonts w:ascii="Book Antiqua" w:hAnsi="Book Antiqua" w:cs="Arial"/>
              </w:rPr>
              <w:t>50/84 (59.5)</w:t>
            </w:r>
          </w:p>
        </w:tc>
        <w:tc>
          <w:tcPr>
            <w:tcW w:w="1517" w:type="dxa"/>
            <w:tcBorders>
              <w:top w:val="nil"/>
              <w:left w:val="nil"/>
              <w:bottom w:val="nil"/>
              <w:right w:val="nil"/>
            </w:tcBorders>
          </w:tcPr>
          <w:p w14:paraId="185E539F" w14:textId="77777777" w:rsidR="00CB6CB9" w:rsidRPr="00560D29" w:rsidRDefault="00CB6CB9" w:rsidP="00560D29">
            <w:pPr>
              <w:adjustRightInd w:val="0"/>
              <w:snapToGrid w:val="0"/>
              <w:spacing w:line="360" w:lineRule="auto"/>
              <w:rPr>
                <w:rFonts w:ascii="Book Antiqua" w:hAnsi="Book Antiqua" w:cs="Arial"/>
              </w:rPr>
            </w:pPr>
          </w:p>
        </w:tc>
      </w:tr>
      <w:tr w:rsidR="002D2281" w:rsidRPr="00560D29" w14:paraId="1C109882" w14:textId="77777777" w:rsidTr="00D616E3">
        <w:tc>
          <w:tcPr>
            <w:tcW w:w="2878" w:type="dxa"/>
            <w:tcBorders>
              <w:top w:val="nil"/>
              <w:left w:val="nil"/>
              <w:bottom w:val="nil"/>
              <w:right w:val="nil"/>
            </w:tcBorders>
          </w:tcPr>
          <w:p w14:paraId="1331F1DB" w14:textId="33D718DE"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Neural invasion</w:t>
            </w:r>
          </w:p>
        </w:tc>
        <w:tc>
          <w:tcPr>
            <w:tcW w:w="2097" w:type="dxa"/>
            <w:tcBorders>
              <w:top w:val="nil"/>
              <w:left w:val="nil"/>
              <w:bottom w:val="nil"/>
              <w:right w:val="nil"/>
            </w:tcBorders>
          </w:tcPr>
          <w:p w14:paraId="7E1821D7" w14:textId="77777777" w:rsidR="002D2281" w:rsidRPr="00560D29" w:rsidRDefault="002D2281"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7ED739A6" w14:textId="77777777" w:rsidR="002D2281" w:rsidRPr="00560D29" w:rsidRDefault="002D2281"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21CBA1F2" w14:textId="77777777" w:rsidR="002D2281" w:rsidRPr="00560D29" w:rsidRDefault="002D2281" w:rsidP="00560D29">
            <w:pPr>
              <w:adjustRightInd w:val="0"/>
              <w:snapToGrid w:val="0"/>
              <w:spacing w:line="360" w:lineRule="auto"/>
              <w:rPr>
                <w:rFonts w:ascii="Book Antiqua" w:hAnsi="Book Antiqua" w:cs="Arial"/>
              </w:rPr>
            </w:pPr>
          </w:p>
        </w:tc>
      </w:tr>
      <w:tr w:rsidR="002D2281" w:rsidRPr="00560D29" w14:paraId="6058D643" w14:textId="77777777" w:rsidTr="00D616E3">
        <w:tc>
          <w:tcPr>
            <w:tcW w:w="2878" w:type="dxa"/>
            <w:tcBorders>
              <w:top w:val="nil"/>
              <w:left w:val="nil"/>
              <w:bottom w:val="nil"/>
              <w:right w:val="nil"/>
            </w:tcBorders>
          </w:tcPr>
          <w:p w14:paraId="27453488" w14:textId="5DE1D86F" w:rsidR="002D2281" w:rsidRPr="00560D29" w:rsidRDefault="002D2281"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Negative</w:t>
            </w:r>
          </w:p>
        </w:tc>
        <w:tc>
          <w:tcPr>
            <w:tcW w:w="2097" w:type="dxa"/>
            <w:tcBorders>
              <w:top w:val="nil"/>
              <w:left w:val="nil"/>
              <w:bottom w:val="nil"/>
              <w:right w:val="nil"/>
            </w:tcBorders>
          </w:tcPr>
          <w:p w14:paraId="24FD0FE3" w14:textId="3C3907B8"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10/23 (43.5)</w:t>
            </w:r>
          </w:p>
        </w:tc>
        <w:tc>
          <w:tcPr>
            <w:tcW w:w="2126" w:type="dxa"/>
            <w:tcBorders>
              <w:top w:val="nil"/>
              <w:left w:val="nil"/>
              <w:bottom w:val="nil"/>
              <w:right w:val="nil"/>
            </w:tcBorders>
          </w:tcPr>
          <w:p w14:paraId="1B574013" w14:textId="72E9FF2C"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29/84 (34.5)</w:t>
            </w:r>
          </w:p>
        </w:tc>
        <w:tc>
          <w:tcPr>
            <w:tcW w:w="1517" w:type="dxa"/>
            <w:tcBorders>
              <w:top w:val="nil"/>
              <w:left w:val="nil"/>
              <w:bottom w:val="nil"/>
              <w:right w:val="nil"/>
            </w:tcBorders>
          </w:tcPr>
          <w:p w14:paraId="7D41CCC0" w14:textId="15EF3951"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0.247</w:t>
            </w:r>
          </w:p>
        </w:tc>
      </w:tr>
      <w:tr w:rsidR="002D2281" w:rsidRPr="00560D29" w14:paraId="3E95D473" w14:textId="77777777" w:rsidTr="00D616E3">
        <w:tc>
          <w:tcPr>
            <w:tcW w:w="2878" w:type="dxa"/>
            <w:tcBorders>
              <w:top w:val="nil"/>
              <w:left w:val="nil"/>
              <w:bottom w:val="nil"/>
              <w:right w:val="nil"/>
            </w:tcBorders>
          </w:tcPr>
          <w:p w14:paraId="45BC65DC" w14:textId="1576957F" w:rsidR="002D2281" w:rsidRPr="00560D29" w:rsidRDefault="002D2281"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Positive</w:t>
            </w:r>
          </w:p>
        </w:tc>
        <w:tc>
          <w:tcPr>
            <w:tcW w:w="2097" w:type="dxa"/>
            <w:tcBorders>
              <w:top w:val="nil"/>
              <w:left w:val="nil"/>
              <w:bottom w:val="nil"/>
              <w:right w:val="nil"/>
            </w:tcBorders>
          </w:tcPr>
          <w:p w14:paraId="679C83E2" w14:textId="0151DE0A"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13/23 (56.5)</w:t>
            </w:r>
          </w:p>
        </w:tc>
        <w:tc>
          <w:tcPr>
            <w:tcW w:w="2126" w:type="dxa"/>
            <w:tcBorders>
              <w:top w:val="nil"/>
              <w:left w:val="nil"/>
              <w:bottom w:val="nil"/>
              <w:right w:val="nil"/>
            </w:tcBorders>
          </w:tcPr>
          <w:p w14:paraId="7A7C6292" w14:textId="3CBFE240"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55/84 (65.5)</w:t>
            </w:r>
          </w:p>
        </w:tc>
        <w:tc>
          <w:tcPr>
            <w:tcW w:w="1517" w:type="dxa"/>
            <w:tcBorders>
              <w:top w:val="nil"/>
              <w:left w:val="nil"/>
              <w:bottom w:val="nil"/>
              <w:right w:val="nil"/>
            </w:tcBorders>
          </w:tcPr>
          <w:p w14:paraId="10DE6358" w14:textId="77777777" w:rsidR="002D2281" w:rsidRPr="00560D29" w:rsidRDefault="002D2281" w:rsidP="00560D29">
            <w:pPr>
              <w:adjustRightInd w:val="0"/>
              <w:snapToGrid w:val="0"/>
              <w:spacing w:line="360" w:lineRule="auto"/>
              <w:rPr>
                <w:rFonts w:ascii="Book Antiqua" w:hAnsi="Book Antiqua" w:cs="Arial"/>
              </w:rPr>
            </w:pPr>
          </w:p>
        </w:tc>
      </w:tr>
      <w:tr w:rsidR="002D2281" w:rsidRPr="00560D29" w14:paraId="03D4CA93" w14:textId="77777777" w:rsidTr="00D616E3">
        <w:tc>
          <w:tcPr>
            <w:tcW w:w="2878" w:type="dxa"/>
            <w:tcBorders>
              <w:top w:val="nil"/>
              <w:left w:val="nil"/>
              <w:bottom w:val="nil"/>
              <w:right w:val="nil"/>
            </w:tcBorders>
          </w:tcPr>
          <w:p w14:paraId="6436936C" w14:textId="28578912"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lastRenderedPageBreak/>
              <w:t>Distant metastasis</w:t>
            </w:r>
          </w:p>
        </w:tc>
        <w:tc>
          <w:tcPr>
            <w:tcW w:w="2097" w:type="dxa"/>
            <w:tcBorders>
              <w:top w:val="nil"/>
              <w:left w:val="nil"/>
              <w:bottom w:val="nil"/>
              <w:right w:val="nil"/>
            </w:tcBorders>
          </w:tcPr>
          <w:p w14:paraId="1CC27E50" w14:textId="77777777" w:rsidR="002D2281" w:rsidRPr="00560D29" w:rsidRDefault="002D2281"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6C748200" w14:textId="77777777" w:rsidR="002D2281" w:rsidRPr="00560D29" w:rsidRDefault="002D2281"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4CAC2A04" w14:textId="77777777" w:rsidR="002D2281" w:rsidRPr="00560D29" w:rsidRDefault="002D2281" w:rsidP="00560D29">
            <w:pPr>
              <w:adjustRightInd w:val="0"/>
              <w:snapToGrid w:val="0"/>
              <w:spacing w:line="360" w:lineRule="auto"/>
              <w:rPr>
                <w:rFonts w:ascii="Book Antiqua" w:hAnsi="Book Antiqua" w:cs="Arial"/>
              </w:rPr>
            </w:pPr>
          </w:p>
        </w:tc>
      </w:tr>
      <w:tr w:rsidR="002D2281" w:rsidRPr="00560D29" w14:paraId="4AE6A5E2" w14:textId="77777777" w:rsidTr="00D616E3">
        <w:tc>
          <w:tcPr>
            <w:tcW w:w="2878" w:type="dxa"/>
            <w:tcBorders>
              <w:top w:val="nil"/>
              <w:left w:val="nil"/>
              <w:bottom w:val="nil"/>
              <w:right w:val="nil"/>
            </w:tcBorders>
          </w:tcPr>
          <w:p w14:paraId="4E3BD7F9" w14:textId="413231FC" w:rsidR="002D2281" w:rsidRPr="00560D29" w:rsidRDefault="002D2281"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Negative</w:t>
            </w:r>
          </w:p>
        </w:tc>
        <w:tc>
          <w:tcPr>
            <w:tcW w:w="2097" w:type="dxa"/>
            <w:tcBorders>
              <w:top w:val="nil"/>
              <w:left w:val="nil"/>
              <w:bottom w:val="nil"/>
              <w:right w:val="nil"/>
            </w:tcBorders>
          </w:tcPr>
          <w:p w14:paraId="68D94538" w14:textId="3DB45E19"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23/23 (100)</w:t>
            </w:r>
          </w:p>
        </w:tc>
        <w:tc>
          <w:tcPr>
            <w:tcW w:w="2126" w:type="dxa"/>
            <w:tcBorders>
              <w:top w:val="nil"/>
              <w:left w:val="nil"/>
              <w:bottom w:val="nil"/>
              <w:right w:val="nil"/>
            </w:tcBorders>
          </w:tcPr>
          <w:p w14:paraId="72416668" w14:textId="4B8ABED9"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56/84 (66.7)</w:t>
            </w:r>
          </w:p>
        </w:tc>
        <w:tc>
          <w:tcPr>
            <w:tcW w:w="1517" w:type="dxa"/>
            <w:tcBorders>
              <w:top w:val="nil"/>
              <w:left w:val="nil"/>
              <w:bottom w:val="nil"/>
              <w:right w:val="nil"/>
            </w:tcBorders>
          </w:tcPr>
          <w:p w14:paraId="5202A7A7" w14:textId="78EE3F6A"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&lt;</w:t>
            </w:r>
            <w:r w:rsidR="00FE5999" w:rsidRPr="00560D29">
              <w:rPr>
                <w:rFonts w:ascii="Book Antiqua" w:hAnsi="Book Antiqua" w:cs="Arial"/>
              </w:rPr>
              <w:t xml:space="preserve"> </w:t>
            </w:r>
            <w:r w:rsidRPr="00560D29">
              <w:rPr>
                <w:rFonts w:ascii="Book Antiqua" w:hAnsi="Book Antiqua" w:cs="Arial"/>
              </w:rPr>
              <w:t>0.001</w:t>
            </w:r>
          </w:p>
        </w:tc>
      </w:tr>
      <w:tr w:rsidR="002D2281" w:rsidRPr="00560D29" w14:paraId="23549FAE" w14:textId="77777777" w:rsidTr="00D616E3">
        <w:trPr>
          <w:trHeight w:val="396"/>
        </w:trPr>
        <w:tc>
          <w:tcPr>
            <w:tcW w:w="2878" w:type="dxa"/>
            <w:tcBorders>
              <w:top w:val="nil"/>
              <w:left w:val="nil"/>
              <w:bottom w:val="single" w:sz="4" w:space="0" w:color="auto"/>
              <w:right w:val="nil"/>
            </w:tcBorders>
          </w:tcPr>
          <w:p w14:paraId="260A001B" w14:textId="34864648" w:rsidR="002D2281" w:rsidRPr="00560D29" w:rsidRDefault="002D2281" w:rsidP="00D616E3">
            <w:pPr>
              <w:adjustRightInd w:val="0"/>
              <w:snapToGrid w:val="0"/>
              <w:spacing w:line="360" w:lineRule="auto"/>
              <w:ind w:firstLineChars="100" w:firstLine="240"/>
              <w:rPr>
                <w:rFonts w:ascii="Book Antiqua" w:hAnsi="Book Antiqua" w:cs="Arial"/>
              </w:rPr>
            </w:pPr>
            <w:r w:rsidRPr="00560D29">
              <w:rPr>
                <w:rFonts w:ascii="Book Antiqua" w:hAnsi="Book Antiqua" w:cs="Arial"/>
              </w:rPr>
              <w:t>Positive</w:t>
            </w:r>
          </w:p>
        </w:tc>
        <w:tc>
          <w:tcPr>
            <w:tcW w:w="2097" w:type="dxa"/>
            <w:tcBorders>
              <w:top w:val="nil"/>
              <w:left w:val="nil"/>
              <w:bottom w:val="single" w:sz="4" w:space="0" w:color="auto"/>
              <w:right w:val="nil"/>
            </w:tcBorders>
          </w:tcPr>
          <w:p w14:paraId="68B2D0E4" w14:textId="1E430602"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0/23 (0)</w:t>
            </w:r>
          </w:p>
        </w:tc>
        <w:tc>
          <w:tcPr>
            <w:tcW w:w="2126" w:type="dxa"/>
            <w:tcBorders>
              <w:top w:val="nil"/>
              <w:left w:val="nil"/>
              <w:bottom w:val="single" w:sz="4" w:space="0" w:color="auto"/>
              <w:right w:val="nil"/>
            </w:tcBorders>
          </w:tcPr>
          <w:p w14:paraId="2F04A6CD" w14:textId="0C4A4A01" w:rsidR="002D2281" w:rsidRPr="00560D29" w:rsidRDefault="002D2281" w:rsidP="00560D29">
            <w:pPr>
              <w:adjustRightInd w:val="0"/>
              <w:snapToGrid w:val="0"/>
              <w:spacing w:line="360" w:lineRule="auto"/>
              <w:rPr>
                <w:rFonts w:ascii="Book Antiqua" w:hAnsi="Book Antiqua" w:cs="Arial"/>
              </w:rPr>
            </w:pPr>
            <w:r w:rsidRPr="00560D29">
              <w:rPr>
                <w:rFonts w:ascii="Book Antiqua" w:hAnsi="Book Antiqua" w:cs="Arial"/>
              </w:rPr>
              <w:t>28/84 (33.3)</w:t>
            </w:r>
          </w:p>
        </w:tc>
        <w:tc>
          <w:tcPr>
            <w:tcW w:w="1517" w:type="dxa"/>
            <w:tcBorders>
              <w:top w:val="nil"/>
              <w:left w:val="nil"/>
              <w:bottom w:val="single" w:sz="4" w:space="0" w:color="auto"/>
              <w:right w:val="nil"/>
            </w:tcBorders>
          </w:tcPr>
          <w:p w14:paraId="607FD67F" w14:textId="77777777" w:rsidR="002D2281" w:rsidRPr="00560D29" w:rsidRDefault="002D2281" w:rsidP="00560D29">
            <w:pPr>
              <w:adjustRightInd w:val="0"/>
              <w:snapToGrid w:val="0"/>
              <w:spacing w:line="360" w:lineRule="auto"/>
              <w:rPr>
                <w:rFonts w:ascii="Book Antiqua" w:hAnsi="Book Antiqua" w:cs="Arial"/>
              </w:rPr>
            </w:pPr>
          </w:p>
        </w:tc>
      </w:tr>
    </w:tbl>
    <w:p w14:paraId="6DA29667" w14:textId="7EE06B86" w:rsidR="00497017" w:rsidRPr="00560D29" w:rsidRDefault="00FE5999" w:rsidP="00560D29">
      <w:pPr>
        <w:adjustRightInd w:val="0"/>
        <w:snapToGrid w:val="0"/>
        <w:spacing w:line="360" w:lineRule="auto"/>
        <w:rPr>
          <w:rFonts w:ascii="Book Antiqua" w:hAnsi="Book Antiqua" w:cs="Arial"/>
        </w:rPr>
      </w:pPr>
      <w:bookmarkStart w:id="216" w:name="OLE_LINK109"/>
      <w:r w:rsidRPr="00560D29">
        <w:rPr>
          <w:rFonts w:ascii="Book Antiqua" w:hAnsi="Book Antiqua" w:cs="Arial"/>
          <w:bCs/>
          <w:kern w:val="0"/>
        </w:rPr>
        <w:t>CTC: Circulating tumor cell</w:t>
      </w:r>
      <w:bookmarkEnd w:id="216"/>
      <w:r w:rsidRPr="00560D29">
        <w:rPr>
          <w:rFonts w:ascii="Book Antiqua" w:hAnsi="Book Antiqua" w:cs="Arial"/>
          <w:bCs/>
          <w:kern w:val="0"/>
        </w:rPr>
        <w:t xml:space="preserve">; </w:t>
      </w:r>
      <w:r w:rsidRPr="00560D29">
        <w:rPr>
          <w:rFonts w:ascii="Book Antiqua" w:hAnsi="Book Antiqua" w:cs="Arial"/>
        </w:rPr>
        <w:t>IQR: Interquartile range.</w:t>
      </w:r>
    </w:p>
    <w:p w14:paraId="7A98B6DF" w14:textId="77777777" w:rsidR="00497017" w:rsidRPr="00560D29" w:rsidRDefault="00497017" w:rsidP="00560D29">
      <w:pPr>
        <w:widowControl/>
        <w:adjustRightInd w:val="0"/>
        <w:snapToGrid w:val="0"/>
        <w:spacing w:line="360" w:lineRule="auto"/>
        <w:rPr>
          <w:rFonts w:ascii="Book Antiqua" w:hAnsi="Book Antiqua" w:cs="Arial"/>
        </w:rPr>
        <w:sectPr w:rsidR="00497017" w:rsidRPr="00560D29">
          <w:pgSz w:w="11900" w:h="16840"/>
          <w:pgMar w:top="1440" w:right="1800" w:bottom="1440" w:left="1800" w:header="851" w:footer="992" w:gutter="0"/>
          <w:cols w:space="425"/>
          <w:docGrid w:type="lines" w:linePitch="423"/>
        </w:sectPr>
      </w:pPr>
      <w:r w:rsidRPr="00560D29">
        <w:rPr>
          <w:rFonts w:ascii="Book Antiqua" w:hAnsi="Book Antiqua" w:cs="Arial"/>
        </w:rPr>
        <w:br w:type="page"/>
      </w:r>
    </w:p>
    <w:tbl>
      <w:tblPr>
        <w:tblStyle w:val="TableGrid"/>
        <w:tblpPr w:leftFromText="180" w:rightFromText="180" w:horzAnchor="page" w:tblpX="1570" w:tblpY="600"/>
        <w:tblW w:w="0" w:type="auto"/>
        <w:tblLook w:val="04A0" w:firstRow="1" w:lastRow="0" w:firstColumn="1" w:lastColumn="0" w:noHBand="0" w:noVBand="1"/>
      </w:tblPr>
      <w:tblGrid>
        <w:gridCol w:w="4974"/>
        <w:gridCol w:w="1636"/>
        <w:gridCol w:w="1547"/>
        <w:gridCol w:w="1440"/>
        <w:gridCol w:w="1376"/>
        <w:gridCol w:w="1547"/>
        <w:gridCol w:w="1332"/>
      </w:tblGrid>
      <w:tr w:rsidR="00497017" w:rsidRPr="00560D29" w14:paraId="7F592981" w14:textId="77777777" w:rsidTr="00497017">
        <w:tc>
          <w:tcPr>
            <w:tcW w:w="4974" w:type="dxa"/>
            <w:tcBorders>
              <w:left w:val="nil"/>
              <w:bottom w:val="nil"/>
              <w:right w:val="nil"/>
            </w:tcBorders>
          </w:tcPr>
          <w:p w14:paraId="563D995C" w14:textId="77777777"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rPr>
              <w:lastRenderedPageBreak/>
              <w:t>Predictor</w:t>
            </w:r>
          </w:p>
        </w:tc>
        <w:tc>
          <w:tcPr>
            <w:tcW w:w="4623" w:type="dxa"/>
            <w:gridSpan w:val="3"/>
            <w:tcBorders>
              <w:left w:val="nil"/>
              <w:bottom w:val="single" w:sz="4" w:space="0" w:color="auto"/>
              <w:right w:val="nil"/>
            </w:tcBorders>
          </w:tcPr>
          <w:p w14:paraId="143134D1" w14:textId="77777777"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rPr>
              <w:t>Univariate analysis</w:t>
            </w:r>
          </w:p>
        </w:tc>
        <w:tc>
          <w:tcPr>
            <w:tcW w:w="4255" w:type="dxa"/>
            <w:gridSpan w:val="3"/>
            <w:tcBorders>
              <w:left w:val="nil"/>
              <w:bottom w:val="single" w:sz="4" w:space="0" w:color="auto"/>
              <w:right w:val="nil"/>
            </w:tcBorders>
          </w:tcPr>
          <w:p w14:paraId="3EC3F9F6" w14:textId="77777777"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rPr>
              <w:t>Multivariate analysis</w:t>
            </w:r>
          </w:p>
        </w:tc>
      </w:tr>
      <w:tr w:rsidR="00497017" w:rsidRPr="00560D29" w14:paraId="06853371" w14:textId="77777777" w:rsidTr="00497017">
        <w:trPr>
          <w:trHeight w:val="555"/>
        </w:trPr>
        <w:tc>
          <w:tcPr>
            <w:tcW w:w="4974" w:type="dxa"/>
            <w:tcBorders>
              <w:top w:val="nil"/>
              <w:left w:val="nil"/>
              <w:bottom w:val="single" w:sz="4" w:space="0" w:color="auto"/>
              <w:right w:val="nil"/>
            </w:tcBorders>
          </w:tcPr>
          <w:p w14:paraId="1A9A4396" w14:textId="77777777" w:rsidR="00497017" w:rsidRPr="00560D29" w:rsidRDefault="00497017" w:rsidP="00560D29">
            <w:pPr>
              <w:adjustRightInd w:val="0"/>
              <w:snapToGrid w:val="0"/>
              <w:spacing w:line="360" w:lineRule="auto"/>
              <w:rPr>
                <w:rFonts w:ascii="Book Antiqua" w:hAnsi="Book Antiqua" w:cs="Arial"/>
                <w:b/>
              </w:rPr>
            </w:pPr>
          </w:p>
        </w:tc>
        <w:tc>
          <w:tcPr>
            <w:tcW w:w="1636" w:type="dxa"/>
            <w:tcBorders>
              <w:top w:val="nil"/>
              <w:left w:val="nil"/>
              <w:bottom w:val="single" w:sz="4" w:space="0" w:color="auto"/>
              <w:right w:val="nil"/>
            </w:tcBorders>
          </w:tcPr>
          <w:p w14:paraId="2B1F7F93" w14:textId="77777777"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rPr>
              <w:t>HR</w:t>
            </w:r>
          </w:p>
        </w:tc>
        <w:tc>
          <w:tcPr>
            <w:tcW w:w="1547" w:type="dxa"/>
            <w:tcBorders>
              <w:top w:val="single" w:sz="4" w:space="0" w:color="auto"/>
              <w:left w:val="nil"/>
              <w:bottom w:val="single" w:sz="4" w:space="0" w:color="auto"/>
              <w:right w:val="nil"/>
            </w:tcBorders>
          </w:tcPr>
          <w:p w14:paraId="726DF913" w14:textId="03B2F117"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rPr>
              <w:t>95%CI</w:t>
            </w:r>
          </w:p>
        </w:tc>
        <w:tc>
          <w:tcPr>
            <w:tcW w:w="1440" w:type="dxa"/>
            <w:tcBorders>
              <w:top w:val="single" w:sz="4" w:space="0" w:color="auto"/>
              <w:left w:val="nil"/>
              <w:bottom w:val="single" w:sz="4" w:space="0" w:color="auto"/>
              <w:right w:val="nil"/>
            </w:tcBorders>
          </w:tcPr>
          <w:p w14:paraId="7FF94376" w14:textId="02D7A712"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i/>
              </w:rPr>
              <w:t xml:space="preserve">P </w:t>
            </w:r>
            <w:r w:rsidRPr="00560D29">
              <w:rPr>
                <w:rFonts w:ascii="Book Antiqua" w:hAnsi="Book Antiqua" w:cs="Arial"/>
                <w:b/>
              </w:rPr>
              <w:t>value</w:t>
            </w:r>
          </w:p>
        </w:tc>
        <w:tc>
          <w:tcPr>
            <w:tcW w:w="1376" w:type="dxa"/>
            <w:tcBorders>
              <w:top w:val="single" w:sz="4" w:space="0" w:color="auto"/>
              <w:left w:val="nil"/>
              <w:bottom w:val="single" w:sz="4" w:space="0" w:color="auto"/>
              <w:right w:val="nil"/>
            </w:tcBorders>
          </w:tcPr>
          <w:p w14:paraId="189E05EC" w14:textId="77777777"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rPr>
              <w:t>HR</w:t>
            </w:r>
          </w:p>
        </w:tc>
        <w:tc>
          <w:tcPr>
            <w:tcW w:w="1547" w:type="dxa"/>
            <w:tcBorders>
              <w:top w:val="single" w:sz="4" w:space="0" w:color="auto"/>
              <w:left w:val="nil"/>
              <w:bottom w:val="single" w:sz="4" w:space="0" w:color="auto"/>
              <w:right w:val="nil"/>
            </w:tcBorders>
          </w:tcPr>
          <w:p w14:paraId="0155F28C" w14:textId="6A31B841"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rPr>
              <w:t>95%CI</w:t>
            </w:r>
          </w:p>
        </w:tc>
        <w:tc>
          <w:tcPr>
            <w:tcW w:w="1332" w:type="dxa"/>
            <w:tcBorders>
              <w:top w:val="single" w:sz="4" w:space="0" w:color="auto"/>
              <w:left w:val="nil"/>
              <w:bottom w:val="single" w:sz="4" w:space="0" w:color="auto"/>
              <w:right w:val="nil"/>
            </w:tcBorders>
          </w:tcPr>
          <w:p w14:paraId="5946A718" w14:textId="508085A8" w:rsidR="00497017" w:rsidRPr="00560D29" w:rsidRDefault="00497017" w:rsidP="00560D29">
            <w:pPr>
              <w:adjustRightInd w:val="0"/>
              <w:snapToGrid w:val="0"/>
              <w:spacing w:line="360" w:lineRule="auto"/>
              <w:rPr>
                <w:rFonts w:ascii="Book Antiqua" w:hAnsi="Book Antiqua" w:cs="Arial"/>
                <w:b/>
              </w:rPr>
            </w:pPr>
            <w:r w:rsidRPr="00560D29">
              <w:rPr>
                <w:rFonts w:ascii="Book Antiqua" w:hAnsi="Book Antiqua" w:cs="Arial"/>
                <w:b/>
                <w:i/>
              </w:rPr>
              <w:t xml:space="preserve">P </w:t>
            </w:r>
            <w:r w:rsidRPr="00560D29">
              <w:rPr>
                <w:rFonts w:ascii="Book Antiqua" w:hAnsi="Book Antiqua" w:cs="Arial"/>
                <w:b/>
              </w:rPr>
              <w:t>value</w:t>
            </w:r>
          </w:p>
        </w:tc>
      </w:tr>
      <w:tr w:rsidR="00497017" w:rsidRPr="00560D29" w14:paraId="0504E39A" w14:textId="77777777" w:rsidTr="00497017">
        <w:tc>
          <w:tcPr>
            <w:tcW w:w="4974" w:type="dxa"/>
            <w:tcBorders>
              <w:top w:val="single" w:sz="4" w:space="0" w:color="auto"/>
              <w:left w:val="nil"/>
              <w:bottom w:val="nil"/>
              <w:right w:val="nil"/>
            </w:tcBorders>
          </w:tcPr>
          <w:p w14:paraId="3F132E53" w14:textId="7867899E"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 xml:space="preserve">Age, &lt; 60 </w:t>
            </w:r>
            <w:r w:rsidRPr="00560D29">
              <w:rPr>
                <w:rFonts w:ascii="Book Antiqua" w:hAnsi="Book Antiqua" w:cs="Arial"/>
                <w:i/>
              </w:rPr>
              <w:t>vs</w:t>
            </w:r>
            <w:r w:rsidRPr="00560D29">
              <w:rPr>
                <w:rFonts w:ascii="Book Antiqua" w:hAnsi="Book Antiqua" w:cs="Arial"/>
              </w:rPr>
              <w:t xml:space="preserve"> ≥ 60</w:t>
            </w:r>
          </w:p>
        </w:tc>
        <w:tc>
          <w:tcPr>
            <w:tcW w:w="1636" w:type="dxa"/>
            <w:tcBorders>
              <w:top w:val="single" w:sz="4" w:space="0" w:color="auto"/>
              <w:left w:val="nil"/>
              <w:bottom w:val="nil"/>
              <w:right w:val="nil"/>
            </w:tcBorders>
          </w:tcPr>
          <w:p w14:paraId="5DE4E970"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0.818</w:t>
            </w:r>
          </w:p>
        </w:tc>
        <w:tc>
          <w:tcPr>
            <w:tcW w:w="1547" w:type="dxa"/>
            <w:tcBorders>
              <w:top w:val="single" w:sz="4" w:space="0" w:color="auto"/>
              <w:left w:val="nil"/>
              <w:bottom w:val="nil"/>
              <w:right w:val="nil"/>
            </w:tcBorders>
          </w:tcPr>
          <w:p w14:paraId="31DC4BE0"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0.798-1.017</w:t>
            </w:r>
          </w:p>
        </w:tc>
        <w:tc>
          <w:tcPr>
            <w:tcW w:w="1440" w:type="dxa"/>
            <w:tcBorders>
              <w:top w:val="single" w:sz="4" w:space="0" w:color="auto"/>
              <w:left w:val="nil"/>
              <w:bottom w:val="nil"/>
              <w:right w:val="nil"/>
            </w:tcBorders>
          </w:tcPr>
          <w:p w14:paraId="6B579036"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0.792</w:t>
            </w:r>
          </w:p>
        </w:tc>
        <w:tc>
          <w:tcPr>
            <w:tcW w:w="1376" w:type="dxa"/>
            <w:tcBorders>
              <w:top w:val="single" w:sz="4" w:space="0" w:color="auto"/>
              <w:left w:val="nil"/>
              <w:bottom w:val="nil"/>
              <w:right w:val="nil"/>
            </w:tcBorders>
          </w:tcPr>
          <w:p w14:paraId="19445E88" w14:textId="77777777" w:rsidR="00497017" w:rsidRPr="00560D29" w:rsidRDefault="00497017" w:rsidP="00560D29">
            <w:pPr>
              <w:adjustRightInd w:val="0"/>
              <w:snapToGrid w:val="0"/>
              <w:spacing w:line="360" w:lineRule="auto"/>
              <w:rPr>
                <w:rFonts w:ascii="Book Antiqua" w:hAnsi="Book Antiqua" w:cs="Arial"/>
              </w:rPr>
            </w:pPr>
          </w:p>
        </w:tc>
        <w:tc>
          <w:tcPr>
            <w:tcW w:w="1547" w:type="dxa"/>
            <w:tcBorders>
              <w:top w:val="single" w:sz="4" w:space="0" w:color="auto"/>
              <w:left w:val="nil"/>
              <w:bottom w:val="nil"/>
              <w:right w:val="nil"/>
            </w:tcBorders>
          </w:tcPr>
          <w:p w14:paraId="6EEB4512" w14:textId="77777777" w:rsidR="00497017" w:rsidRPr="00560D29" w:rsidRDefault="00497017" w:rsidP="00560D29">
            <w:pPr>
              <w:adjustRightInd w:val="0"/>
              <w:snapToGrid w:val="0"/>
              <w:spacing w:line="360" w:lineRule="auto"/>
              <w:rPr>
                <w:rFonts w:ascii="Book Antiqua" w:hAnsi="Book Antiqua" w:cs="Arial"/>
              </w:rPr>
            </w:pPr>
          </w:p>
        </w:tc>
        <w:tc>
          <w:tcPr>
            <w:tcW w:w="1332" w:type="dxa"/>
            <w:tcBorders>
              <w:top w:val="single" w:sz="4" w:space="0" w:color="auto"/>
              <w:left w:val="nil"/>
              <w:bottom w:val="nil"/>
              <w:right w:val="nil"/>
            </w:tcBorders>
          </w:tcPr>
          <w:p w14:paraId="52C5B02F" w14:textId="77777777" w:rsidR="00497017" w:rsidRPr="00560D29" w:rsidRDefault="00497017" w:rsidP="00560D29">
            <w:pPr>
              <w:adjustRightInd w:val="0"/>
              <w:snapToGrid w:val="0"/>
              <w:spacing w:line="360" w:lineRule="auto"/>
              <w:rPr>
                <w:rFonts w:ascii="Book Antiqua" w:hAnsi="Book Antiqua" w:cs="Arial"/>
              </w:rPr>
            </w:pPr>
          </w:p>
        </w:tc>
      </w:tr>
      <w:tr w:rsidR="00497017" w:rsidRPr="00560D29" w14:paraId="2C340BF7" w14:textId="77777777" w:rsidTr="00497017">
        <w:trPr>
          <w:trHeight w:val="509"/>
        </w:trPr>
        <w:tc>
          <w:tcPr>
            <w:tcW w:w="4974" w:type="dxa"/>
            <w:tcBorders>
              <w:top w:val="nil"/>
              <w:left w:val="nil"/>
              <w:bottom w:val="nil"/>
              <w:right w:val="nil"/>
            </w:tcBorders>
          </w:tcPr>
          <w:p w14:paraId="279C4D55" w14:textId="3C6F8542"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Gender (female</w:t>
            </w:r>
            <w:r w:rsidRPr="00560D29">
              <w:rPr>
                <w:rFonts w:ascii="Book Antiqua" w:hAnsi="Book Antiqua" w:cs="Arial"/>
                <w:i/>
              </w:rPr>
              <w:t xml:space="preserve"> vs</w:t>
            </w:r>
            <w:r w:rsidRPr="00560D29">
              <w:rPr>
                <w:rFonts w:ascii="Book Antiqua" w:hAnsi="Book Antiqua" w:cs="Arial"/>
              </w:rPr>
              <w:t xml:space="preserve"> male)</w:t>
            </w:r>
          </w:p>
        </w:tc>
        <w:tc>
          <w:tcPr>
            <w:tcW w:w="1636" w:type="dxa"/>
            <w:tcBorders>
              <w:top w:val="nil"/>
              <w:left w:val="nil"/>
              <w:bottom w:val="nil"/>
              <w:right w:val="nil"/>
            </w:tcBorders>
          </w:tcPr>
          <w:p w14:paraId="324F8D2C"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0.928</w:t>
            </w:r>
          </w:p>
        </w:tc>
        <w:tc>
          <w:tcPr>
            <w:tcW w:w="1547" w:type="dxa"/>
            <w:tcBorders>
              <w:top w:val="nil"/>
              <w:left w:val="nil"/>
              <w:bottom w:val="nil"/>
              <w:right w:val="nil"/>
            </w:tcBorders>
          </w:tcPr>
          <w:p w14:paraId="30E79BEA"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0.781-1.130</w:t>
            </w:r>
          </w:p>
        </w:tc>
        <w:tc>
          <w:tcPr>
            <w:tcW w:w="1440" w:type="dxa"/>
            <w:tcBorders>
              <w:top w:val="nil"/>
              <w:left w:val="nil"/>
              <w:bottom w:val="nil"/>
              <w:right w:val="nil"/>
            </w:tcBorders>
          </w:tcPr>
          <w:p w14:paraId="40552C0F"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0.952</w:t>
            </w:r>
          </w:p>
        </w:tc>
        <w:tc>
          <w:tcPr>
            <w:tcW w:w="1376" w:type="dxa"/>
            <w:tcBorders>
              <w:top w:val="nil"/>
              <w:left w:val="nil"/>
              <w:bottom w:val="nil"/>
              <w:right w:val="nil"/>
            </w:tcBorders>
          </w:tcPr>
          <w:p w14:paraId="1E88234D" w14:textId="77777777" w:rsidR="00497017" w:rsidRPr="00560D29"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67BF115E" w14:textId="77777777" w:rsidR="00497017" w:rsidRPr="00560D29"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280A3F88" w14:textId="77777777" w:rsidR="00497017" w:rsidRPr="00560D29" w:rsidRDefault="00497017" w:rsidP="00560D29">
            <w:pPr>
              <w:adjustRightInd w:val="0"/>
              <w:snapToGrid w:val="0"/>
              <w:spacing w:line="360" w:lineRule="auto"/>
              <w:rPr>
                <w:rFonts w:ascii="Book Antiqua" w:hAnsi="Book Antiqua" w:cs="Arial"/>
              </w:rPr>
            </w:pPr>
          </w:p>
        </w:tc>
      </w:tr>
      <w:tr w:rsidR="00497017" w:rsidRPr="00560D29" w14:paraId="20B2EB61" w14:textId="77777777" w:rsidTr="00497017">
        <w:trPr>
          <w:trHeight w:val="485"/>
        </w:trPr>
        <w:tc>
          <w:tcPr>
            <w:tcW w:w="4974" w:type="dxa"/>
            <w:tcBorders>
              <w:top w:val="nil"/>
              <w:left w:val="nil"/>
              <w:bottom w:val="nil"/>
              <w:right w:val="nil"/>
            </w:tcBorders>
          </w:tcPr>
          <w:p w14:paraId="63BBC81D" w14:textId="1A760376"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Differentiation (well</w:t>
            </w:r>
            <w:r w:rsidRPr="00560D29">
              <w:rPr>
                <w:rFonts w:ascii="Book Antiqua" w:hAnsi="Book Antiqua" w:cs="Arial"/>
                <w:i/>
              </w:rPr>
              <w:t xml:space="preserve"> vs</w:t>
            </w:r>
            <w:r w:rsidRPr="00560D29">
              <w:rPr>
                <w:rFonts w:ascii="Book Antiqua" w:hAnsi="Book Antiqua" w:cs="Arial"/>
              </w:rPr>
              <w:t xml:space="preserve"> moderate </w:t>
            </w:r>
            <w:r w:rsidRPr="00560D29">
              <w:rPr>
                <w:rFonts w:ascii="Book Antiqua" w:hAnsi="Book Antiqua" w:cs="Arial"/>
                <w:i/>
              </w:rPr>
              <w:t>vs</w:t>
            </w:r>
            <w:r w:rsidRPr="00560D29">
              <w:rPr>
                <w:rFonts w:ascii="Book Antiqua" w:hAnsi="Book Antiqua" w:cs="Arial"/>
              </w:rPr>
              <w:t xml:space="preserve"> poor)</w:t>
            </w:r>
          </w:p>
        </w:tc>
        <w:tc>
          <w:tcPr>
            <w:tcW w:w="1636" w:type="dxa"/>
            <w:tcBorders>
              <w:top w:val="nil"/>
              <w:left w:val="nil"/>
              <w:bottom w:val="nil"/>
              <w:right w:val="nil"/>
            </w:tcBorders>
          </w:tcPr>
          <w:p w14:paraId="35F8E205"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1.045</w:t>
            </w:r>
          </w:p>
        </w:tc>
        <w:tc>
          <w:tcPr>
            <w:tcW w:w="1547" w:type="dxa"/>
            <w:tcBorders>
              <w:top w:val="nil"/>
              <w:left w:val="nil"/>
              <w:bottom w:val="nil"/>
              <w:right w:val="nil"/>
            </w:tcBorders>
          </w:tcPr>
          <w:p w14:paraId="2803995B"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0.873-1.186</w:t>
            </w:r>
          </w:p>
        </w:tc>
        <w:tc>
          <w:tcPr>
            <w:tcW w:w="1440" w:type="dxa"/>
            <w:tcBorders>
              <w:top w:val="nil"/>
              <w:left w:val="nil"/>
              <w:bottom w:val="nil"/>
              <w:right w:val="nil"/>
            </w:tcBorders>
          </w:tcPr>
          <w:p w14:paraId="2D1F1319"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0.134</w:t>
            </w:r>
          </w:p>
        </w:tc>
        <w:tc>
          <w:tcPr>
            <w:tcW w:w="1376" w:type="dxa"/>
            <w:tcBorders>
              <w:top w:val="nil"/>
              <w:left w:val="nil"/>
              <w:bottom w:val="nil"/>
              <w:right w:val="nil"/>
            </w:tcBorders>
          </w:tcPr>
          <w:p w14:paraId="1C2C7429" w14:textId="77777777" w:rsidR="00497017" w:rsidRPr="00560D29"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707106B5" w14:textId="77777777" w:rsidR="00497017" w:rsidRPr="00560D29"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3B1B4856" w14:textId="77777777" w:rsidR="00497017" w:rsidRPr="00560D29" w:rsidRDefault="00497017" w:rsidP="00560D29">
            <w:pPr>
              <w:adjustRightInd w:val="0"/>
              <w:snapToGrid w:val="0"/>
              <w:spacing w:line="360" w:lineRule="auto"/>
              <w:rPr>
                <w:rFonts w:ascii="Book Antiqua" w:hAnsi="Book Antiqua" w:cs="Arial"/>
              </w:rPr>
            </w:pPr>
          </w:p>
        </w:tc>
      </w:tr>
      <w:tr w:rsidR="00497017" w:rsidRPr="00560D29" w14:paraId="1D9EF5A7" w14:textId="77777777" w:rsidTr="00497017">
        <w:trPr>
          <w:trHeight w:val="485"/>
        </w:trPr>
        <w:tc>
          <w:tcPr>
            <w:tcW w:w="4974" w:type="dxa"/>
            <w:tcBorders>
              <w:top w:val="nil"/>
              <w:left w:val="nil"/>
              <w:bottom w:val="nil"/>
              <w:right w:val="nil"/>
            </w:tcBorders>
          </w:tcPr>
          <w:p w14:paraId="0AFC9D71"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Ethnic group(Han/Zhuang/Li)</w:t>
            </w:r>
          </w:p>
        </w:tc>
        <w:tc>
          <w:tcPr>
            <w:tcW w:w="1636" w:type="dxa"/>
            <w:tcBorders>
              <w:top w:val="nil"/>
              <w:left w:val="nil"/>
              <w:bottom w:val="nil"/>
              <w:right w:val="nil"/>
            </w:tcBorders>
          </w:tcPr>
          <w:p w14:paraId="1830AA2E"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0.917</w:t>
            </w:r>
          </w:p>
        </w:tc>
        <w:tc>
          <w:tcPr>
            <w:tcW w:w="1547" w:type="dxa"/>
            <w:tcBorders>
              <w:top w:val="nil"/>
              <w:left w:val="nil"/>
              <w:bottom w:val="nil"/>
              <w:right w:val="nil"/>
            </w:tcBorders>
          </w:tcPr>
          <w:p w14:paraId="1DFD6E0C"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0.834-1.048</w:t>
            </w:r>
          </w:p>
        </w:tc>
        <w:tc>
          <w:tcPr>
            <w:tcW w:w="1440" w:type="dxa"/>
            <w:tcBorders>
              <w:top w:val="nil"/>
              <w:left w:val="nil"/>
              <w:bottom w:val="nil"/>
              <w:right w:val="nil"/>
            </w:tcBorders>
          </w:tcPr>
          <w:p w14:paraId="1E7372D7"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0.866</w:t>
            </w:r>
          </w:p>
        </w:tc>
        <w:tc>
          <w:tcPr>
            <w:tcW w:w="1376" w:type="dxa"/>
            <w:tcBorders>
              <w:top w:val="nil"/>
              <w:left w:val="nil"/>
              <w:bottom w:val="nil"/>
              <w:right w:val="nil"/>
            </w:tcBorders>
          </w:tcPr>
          <w:p w14:paraId="4E096996" w14:textId="77777777" w:rsidR="00497017" w:rsidRPr="00560D29"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5A248445" w14:textId="77777777" w:rsidR="00497017" w:rsidRPr="00560D29"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45F330AB" w14:textId="77777777" w:rsidR="00497017" w:rsidRPr="00560D29" w:rsidRDefault="00497017" w:rsidP="00560D29">
            <w:pPr>
              <w:adjustRightInd w:val="0"/>
              <w:snapToGrid w:val="0"/>
              <w:spacing w:line="360" w:lineRule="auto"/>
              <w:rPr>
                <w:rFonts w:ascii="Book Antiqua" w:hAnsi="Book Antiqua" w:cs="Arial"/>
              </w:rPr>
            </w:pPr>
          </w:p>
        </w:tc>
      </w:tr>
      <w:tr w:rsidR="00497017" w:rsidRPr="00560D29" w14:paraId="6FD8EB12" w14:textId="77777777" w:rsidTr="00497017">
        <w:trPr>
          <w:trHeight w:val="536"/>
        </w:trPr>
        <w:tc>
          <w:tcPr>
            <w:tcW w:w="4974" w:type="dxa"/>
            <w:tcBorders>
              <w:top w:val="nil"/>
              <w:left w:val="nil"/>
              <w:bottom w:val="nil"/>
              <w:right w:val="nil"/>
            </w:tcBorders>
          </w:tcPr>
          <w:p w14:paraId="7642BFDC" w14:textId="56587464" w:rsidR="00497017" w:rsidRPr="00560D29" w:rsidRDefault="00497017" w:rsidP="00560D29">
            <w:pPr>
              <w:tabs>
                <w:tab w:val="left" w:pos="1000"/>
              </w:tabs>
              <w:adjustRightInd w:val="0"/>
              <w:snapToGrid w:val="0"/>
              <w:spacing w:line="360" w:lineRule="auto"/>
              <w:rPr>
                <w:rFonts w:ascii="Book Antiqua" w:hAnsi="Book Antiqua" w:cs="Arial"/>
              </w:rPr>
            </w:pPr>
            <w:r w:rsidRPr="00560D29">
              <w:rPr>
                <w:rFonts w:ascii="Book Antiqua" w:hAnsi="Book Antiqua" w:cs="Arial"/>
              </w:rPr>
              <w:t xml:space="preserve">TNM stage (I/II </w:t>
            </w:r>
            <w:r w:rsidRPr="00560D29">
              <w:rPr>
                <w:rFonts w:ascii="Book Antiqua" w:hAnsi="Book Antiqua" w:cs="Arial"/>
                <w:i/>
              </w:rPr>
              <w:t>vs</w:t>
            </w:r>
            <w:r w:rsidRPr="00560D29">
              <w:rPr>
                <w:rFonts w:ascii="Book Antiqua" w:hAnsi="Book Antiqua" w:cs="Arial"/>
              </w:rPr>
              <w:t xml:space="preserve"> III/IV)</w:t>
            </w:r>
          </w:p>
        </w:tc>
        <w:tc>
          <w:tcPr>
            <w:tcW w:w="1636" w:type="dxa"/>
            <w:tcBorders>
              <w:top w:val="nil"/>
              <w:left w:val="nil"/>
              <w:bottom w:val="nil"/>
              <w:right w:val="nil"/>
            </w:tcBorders>
          </w:tcPr>
          <w:p w14:paraId="79C763F6"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1.452</w:t>
            </w:r>
          </w:p>
        </w:tc>
        <w:tc>
          <w:tcPr>
            <w:tcW w:w="1547" w:type="dxa"/>
            <w:tcBorders>
              <w:top w:val="nil"/>
              <w:left w:val="nil"/>
              <w:bottom w:val="nil"/>
              <w:right w:val="nil"/>
            </w:tcBorders>
          </w:tcPr>
          <w:p w14:paraId="7152DD1C"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1.215-1.475</w:t>
            </w:r>
          </w:p>
        </w:tc>
        <w:tc>
          <w:tcPr>
            <w:tcW w:w="1440" w:type="dxa"/>
            <w:tcBorders>
              <w:top w:val="nil"/>
              <w:left w:val="nil"/>
              <w:bottom w:val="nil"/>
              <w:right w:val="nil"/>
            </w:tcBorders>
          </w:tcPr>
          <w:p w14:paraId="12F9680C" w14:textId="37176B1C"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&lt; 0.001</w:t>
            </w:r>
          </w:p>
        </w:tc>
        <w:tc>
          <w:tcPr>
            <w:tcW w:w="1376" w:type="dxa"/>
            <w:tcBorders>
              <w:top w:val="nil"/>
              <w:left w:val="nil"/>
              <w:bottom w:val="nil"/>
              <w:right w:val="nil"/>
            </w:tcBorders>
          </w:tcPr>
          <w:p w14:paraId="051944FE"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1.148</w:t>
            </w:r>
          </w:p>
        </w:tc>
        <w:tc>
          <w:tcPr>
            <w:tcW w:w="1547" w:type="dxa"/>
            <w:tcBorders>
              <w:top w:val="nil"/>
              <w:left w:val="nil"/>
              <w:bottom w:val="nil"/>
              <w:right w:val="nil"/>
            </w:tcBorders>
          </w:tcPr>
          <w:p w14:paraId="35787354"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1.031-1.268</w:t>
            </w:r>
          </w:p>
        </w:tc>
        <w:tc>
          <w:tcPr>
            <w:tcW w:w="1332" w:type="dxa"/>
            <w:tcBorders>
              <w:top w:val="nil"/>
              <w:left w:val="nil"/>
              <w:bottom w:val="nil"/>
              <w:right w:val="nil"/>
            </w:tcBorders>
          </w:tcPr>
          <w:p w14:paraId="68ED3A0D"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0.011</w:t>
            </w:r>
          </w:p>
        </w:tc>
      </w:tr>
      <w:tr w:rsidR="00497017" w:rsidRPr="00560D29" w14:paraId="395D284A" w14:textId="77777777" w:rsidTr="00497017">
        <w:trPr>
          <w:trHeight w:val="354"/>
        </w:trPr>
        <w:tc>
          <w:tcPr>
            <w:tcW w:w="4974" w:type="dxa"/>
            <w:tcBorders>
              <w:top w:val="nil"/>
              <w:left w:val="nil"/>
              <w:bottom w:val="nil"/>
              <w:right w:val="nil"/>
            </w:tcBorders>
          </w:tcPr>
          <w:p w14:paraId="6FBF1662" w14:textId="7C853285"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 xml:space="preserve">Lymph node metastasis (negative </w:t>
            </w:r>
            <w:r w:rsidRPr="00560D29">
              <w:rPr>
                <w:rFonts w:ascii="Book Antiqua" w:hAnsi="Book Antiqua" w:cs="Arial"/>
                <w:i/>
              </w:rPr>
              <w:t xml:space="preserve">vs </w:t>
            </w:r>
            <w:r w:rsidRPr="00560D29">
              <w:rPr>
                <w:rFonts w:ascii="Book Antiqua" w:hAnsi="Book Antiqua" w:cs="Arial"/>
              </w:rPr>
              <w:t>positive)</w:t>
            </w:r>
          </w:p>
        </w:tc>
        <w:tc>
          <w:tcPr>
            <w:tcW w:w="1636" w:type="dxa"/>
            <w:tcBorders>
              <w:top w:val="nil"/>
              <w:left w:val="nil"/>
              <w:bottom w:val="nil"/>
              <w:right w:val="nil"/>
            </w:tcBorders>
          </w:tcPr>
          <w:p w14:paraId="10CAAFC1"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1.287</w:t>
            </w:r>
          </w:p>
        </w:tc>
        <w:tc>
          <w:tcPr>
            <w:tcW w:w="1547" w:type="dxa"/>
            <w:tcBorders>
              <w:top w:val="nil"/>
              <w:left w:val="nil"/>
              <w:bottom w:val="nil"/>
              <w:right w:val="nil"/>
            </w:tcBorders>
          </w:tcPr>
          <w:p w14:paraId="4AC54638"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1.048-1.364</w:t>
            </w:r>
          </w:p>
        </w:tc>
        <w:tc>
          <w:tcPr>
            <w:tcW w:w="1440" w:type="dxa"/>
            <w:tcBorders>
              <w:top w:val="nil"/>
              <w:left w:val="nil"/>
              <w:bottom w:val="nil"/>
              <w:right w:val="nil"/>
            </w:tcBorders>
          </w:tcPr>
          <w:p w14:paraId="0D23BAA6"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0.007</w:t>
            </w:r>
          </w:p>
        </w:tc>
        <w:tc>
          <w:tcPr>
            <w:tcW w:w="1376" w:type="dxa"/>
            <w:tcBorders>
              <w:top w:val="nil"/>
              <w:left w:val="nil"/>
              <w:bottom w:val="nil"/>
              <w:right w:val="nil"/>
            </w:tcBorders>
          </w:tcPr>
          <w:p w14:paraId="2EBC1FCA"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1.198</w:t>
            </w:r>
          </w:p>
        </w:tc>
        <w:tc>
          <w:tcPr>
            <w:tcW w:w="1547" w:type="dxa"/>
            <w:tcBorders>
              <w:top w:val="nil"/>
              <w:left w:val="nil"/>
              <w:bottom w:val="nil"/>
              <w:right w:val="nil"/>
            </w:tcBorders>
          </w:tcPr>
          <w:p w14:paraId="021C45AE"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1.036-1.380</w:t>
            </w:r>
          </w:p>
        </w:tc>
        <w:tc>
          <w:tcPr>
            <w:tcW w:w="1332" w:type="dxa"/>
            <w:tcBorders>
              <w:top w:val="nil"/>
              <w:left w:val="nil"/>
              <w:bottom w:val="nil"/>
              <w:right w:val="nil"/>
            </w:tcBorders>
          </w:tcPr>
          <w:p w14:paraId="11A9C7A8"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0.017</w:t>
            </w:r>
          </w:p>
        </w:tc>
      </w:tr>
      <w:tr w:rsidR="00497017" w:rsidRPr="00560D29" w14:paraId="68BC9744" w14:textId="77777777" w:rsidTr="00497017">
        <w:tc>
          <w:tcPr>
            <w:tcW w:w="4974" w:type="dxa"/>
            <w:tcBorders>
              <w:top w:val="nil"/>
              <w:left w:val="nil"/>
              <w:bottom w:val="nil"/>
              <w:right w:val="nil"/>
            </w:tcBorders>
          </w:tcPr>
          <w:p w14:paraId="45DF6876" w14:textId="1843B06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 xml:space="preserve">Neural invasion (negative </w:t>
            </w:r>
            <w:r w:rsidRPr="00560D29">
              <w:rPr>
                <w:rFonts w:ascii="Book Antiqua" w:hAnsi="Book Antiqua" w:cs="Arial"/>
                <w:i/>
              </w:rPr>
              <w:t>vs</w:t>
            </w:r>
            <w:r w:rsidRPr="00560D29">
              <w:rPr>
                <w:rFonts w:ascii="Book Antiqua" w:hAnsi="Book Antiqua" w:cs="Arial"/>
              </w:rPr>
              <w:t xml:space="preserve"> positive)</w:t>
            </w:r>
          </w:p>
        </w:tc>
        <w:tc>
          <w:tcPr>
            <w:tcW w:w="1636" w:type="dxa"/>
            <w:tcBorders>
              <w:top w:val="nil"/>
              <w:left w:val="nil"/>
              <w:bottom w:val="nil"/>
              <w:right w:val="nil"/>
            </w:tcBorders>
          </w:tcPr>
          <w:p w14:paraId="26B75EF2"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1.008</w:t>
            </w:r>
          </w:p>
        </w:tc>
        <w:tc>
          <w:tcPr>
            <w:tcW w:w="1547" w:type="dxa"/>
            <w:tcBorders>
              <w:top w:val="nil"/>
              <w:left w:val="nil"/>
              <w:bottom w:val="nil"/>
              <w:right w:val="nil"/>
            </w:tcBorders>
          </w:tcPr>
          <w:p w14:paraId="63C228DA"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0.781-1.155</w:t>
            </w:r>
          </w:p>
        </w:tc>
        <w:tc>
          <w:tcPr>
            <w:tcW w:w="1440" w:type="dxa"/>
            <w:tcBorders>
              <w:top w:val="nil"/>
              <w:left w:val="nil"/>
              <w:bottom w:val="nil"/>
              <w:right w:val="nil"/>
            </w:tcBorders>
          </w:tcPr>
          <w:p w14:paraId="2AA62337"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0.949</w:t>
            </w:r>
          </w:p>
        </w:tc>
        <w:tc>
          <w:tcPr>
            <w:tcW w:w="1376" w:type="dxa"/>
            <w:tcBorders>
              <w:top w:val="nil"/>
              <w:left w:val="nil"/>
              <w:bottom w:val="nil"/>
              <w:right w:val="nil"/>
            </w:tcBorders>
          </w:tcPr>
          <w:p w14:paraId="42A1BDA9" w14:textId="77777777" w:rsidR="00497017" w:rsidRPr="00560D29"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51F5DD93" w14:textId="77777777" w:rsidR="00497017" w:rsidRPr="00560D29"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604240CB" w14:textId="77777777" w:rsidR="00497017" w:rsidRPr="00560D29" w:rsidRDefault="00497017" w:rsidP="00560D29">
            <w:pPr>
              <w:adjustRightInd w:val="0"/>
              <w:snapToGrid w:val="0"/>
              <w:spacing w:line="360" w:lineRule="auto"/>
              <w:rPr>
                <w:rFonts w:ascii="Book Antiqua" w:hAnsi="Book Antiqua" w:cs="Arial"/>
              </w:rPr>
            </w:pPr>
          </w:p>
        </w:tc>
      </w:tr>
      <w:tr w:rsidR="00497017" w:rsidRPr="00560D29" w14:paraId="629F5E5F" w14:textId="77777777" w:rsidTr="00497017">
        <w:trPr>
          <w:trHeight w:val="536"/>
        </w:trPr>
        <w:tc>
          <w:tcPr>
            <w:tcW w:w="4974" w:type="dxa"/>
            <w:tcBorders>
              <w:top w:val="nil"/>
              <w:left w:val="nil"/>
              <w:bottom w:val="nil"/>
              <w:right w:val="nil"/>
            </w:tcBorders>
          </w:tcPr>
          <w:p w14:paraId="2603FEA5" w14:textId="17FCE90D"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 xml:space="preserve">Distant metastasis (negative </w:t>
            </w:r>
            <w:r w:rsidRPr="00560D29">
              <w:rPr>
                <w:rFonts w:ascii="Book Antiqua" w:hAnsi="Book Antiqua" w:cs="Arial"/>
                <w:i/>
              </w:rPr>
              <w:t xml:space="preserve">vs </w:t>
            </w:r>
            <w:r w:rsidRPr="00560D29">
              <w:rPr>
                <w:rFonts w:ascii="Book Antiqua" w:hAnsi="Book Antiqua" w:cs="Arial"/>
              </w:rPr>
              <w:t>positive)</w:t>
            </w:r>
          </w:p>
        </w:tc>
        <w:tc>
          <w:tcPr>
            <w:tcW w:w="1636" w:type="dxa"/>
            <w:tcBorders>
              <w:top w:val="nil"/>
              <w:left w:val="nil"/>
              <w:bottom w:val="nil"/>
              <w:right w:val="nil"/>
            </w:tcBorders>
          </w:tcPr>
          <w:p w14:paraId="024CCBD9"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1.426</w:t>
            </w:r>
          </w:p>
        </w:tc>
        <w:tc>
          <w:tcPr>
            <w:tcW w:w="1547" w:type="dxa"/>
            <w:tcBorders>
              <w:top w:val="nil"/>
              <w:left w:val="nil"/>
              <w:bottom w:val="nil"/>
              <w:right w:val="nil"/>
            </w:tcBorders>
          </w:tcPr>
          <w:p w14:paraId="5734F762"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1.236-1.710</w:t>
            </w:r>
          </w:p>
        </w:tc>
        <w:tc>
          <w:tcPr>
            <w:tcW w:w="1440" w:type="dxa"/>
            <w:tcBorders>
              <w:top w:val="nil"/>
              <w:left w:val="nil"/>
              <w:bottom w:val="nil"/>
              <w:right w:val="nil"/>
            </w:tcBorders>
          </w:tcPr>
          <w:p w14:paraId="2603433F" w14:textId="1874DCA1"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&lt; 0.001</w:t>
            </w:r>
          </w:p>
        </w:tc>
        <w:tc>
          <w:tcPr>
            <w:tcW w:w="1376" w:type="dxa"/>
            <w:tcBorders>
              <w:top w:val="nil"/>
              <w:left w:val="nil"/>
              <w:bottom w:val="nil"/>
              <w:right w:val="nil"/>
            </w:tcBorders>
          </w:tcPr>
          <w:p w14:paraId="66378DCB"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1.521</w:t>
            </w:r>
          </w:p>
        </w:tc>
        <w:tc>
          <w:tcPr>
            <w:tcW w:w="1547" w:type="dxa"/>
            <w:tcBorders>
              <w:top w:val="nil"/>
              <w:left w:val="nil"/>
              <w:bottom w:val="nil"/>
              <w:right w:val="nil"/>
            </w:tcBorders>
          </w:tcPr>
          <w:p w14:paraId="7C4790A4"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1.256-1.887</w:t>
            </w:r>
          </w:p>
        </w:tc>
        <w:tc>
          <w:tcPr>
            <w:tcW w:w="1332" w:type="dxa"/>
            <w:tcBorders>
              <w:top w:val="nil"/>
              <w:left w:val="nil"/>
              <w:bottom w:val="nil"/>
              <w:right w:val="nil"/>
            </w:tcBorders>
          </w:tcPr>
          <w:p w14:paraId="6084D2FF" w14:textId="0C8FDE3A"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&lt; 0.001</w:t>
            </w:r>
          </w:p>
        </w:tc>
      </w:tr>
      <w:tr w:rsidR="00497017" w:rsidRPr="00560D29" w14:paraId="15E248A4" w14:textId="77777777" w:rsidTr="00497017">
        <w:tc>
          <w:tcPr>
            <w:tcW w:w="4974" w:type="dxa"/>
            <w:tcBorders>
              <w:top w:val="nil"/>
              <w:left w:val="nil"/>
              <w:right w:val="nil"/>
            </w:tcBorders>
          </w:tcPr>
          <w:p w14:paraId="16F44545" w14:textId="07AACF44"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CTC, &lt;</w:t>
            </w:r>
            <w:r w:rsidR="00227E1A">
              <w:rPr>
                <w:rFonts w:ascii="Book Antiqua" w:hAnsi="Book Antiqua" w:cs="Arial" w:hint="eastAsia"/>
              </w:rPr>
              <w:t xml:space="preserve"> </w:t>
            </w:r>
            <w:r w:rsidRPr="00560D29">
              <w:rPr>
                <w:rFonts w:ascii="Book Antiqua" w:hAnsi="Book Antiqua" w:cs="Arial"/>
              </w:rPr>
              <w:t xml:space="preserve">6 </w:t>
            </w:r>
            <w:r w:rsidRPr="00560D29">
              <w:rPr>
                <w:rFonts w:ascii="Book Antiqua" w:hAnsi="Book Antiqua" w:cs="Arial"/>
                <w:i/>
              </w:rPr>
              <w:t xml:space="preserve">vs </w:t>
            </w:r>
            <w:r w:rsidRPr="00560D29">
              <w:rPr>
                <w:rFonts w:ascii="Book Antiqua" w:hAnsi="Book Antiqua" w:cs="Arial"/>
              </w:rPr>
              <w:t>≥ 6</w:t>
            </w:r>
          </w:p>
        </w:tc>
        <w:tc>
          <w:tcPr>
            <w:tcW w:w="1636" w:type="dxa"/>
            <w:tcBorders>
              <w:top w:val="nil"/>
              <w:left w:val="nil"/>
              <w:right w:val="nil"/>
            </w:tcBorders>
          </w:tcPr>
          <w:p w14:paraId="34122AFA"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1.849</w:t>
            </w:r>
          </w:p>
        </w:tc>
        <w:tc>
          <w:tcPr>
            <w:tcW w:w="1547" w:type="dxa"/>
            <w:tcBorders>
              <w:top w:val="nil"/>
              <w:left w:val="nil"/>
              <w:right w:val="nil"/>
            </w:tcBorders>
          </w:tcPr>
          <w:p w14:paraId="38079A87"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1.717-2.238</w:t>
            </w:r>
          </w:p>
        </w:tc>
        <w:tc>
          <w:tcPr>
            <w:tcW w:w="1440" w:type="dxa"/>
            <w:tcBorders>
              <w:top w:val="nil"/>
              <w:left w:val="nil"/>
              <w:right w:val="nil"/>
            </w:tcBorders>
          </w:tcPr>
          <w:p w14:paraId="16C0017D" w14:textId="5640BC9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&lt; 0.001</w:t>
            </w:r>
          </w:p>
        </w:tc>
        <w:tc>
          <w:tcPr>
            <w:tcW w:w="1376" w:type="dxa"/>
            <w:tcBorders>
              <w:top w:val="nil"/>
              <w:left w:val="nil"/>
              <w:right w:val="nil"/>
            </w:tcBorders>
          </w:tcPr>
          <w:p w14:paraId="5F05E715"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1.851</w:t>
            </w:r>
          </w:p>
        </w:tc>
        <w:tc>
          <w:tcPr>
            <w:tcW w:w="1547" w:type="dxa"/>
            <w:tcBorders>
              <w:top w:val="nil"/>
              <w:left w:val="nil"/>
              <w:right w:val="nil"/>
            </w:tcBorders>
          </w:tcPr>
          <w:p w14:paraId="007F0632" w14:textId="77777777"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1.637-2.173</w:t>
            </w:r>
          </w:p>
        </w:tc>
        <w:tc>
          <w:tcPr>
            <w:tcW w:w="1332" w:type="dxa"/>
            <w:tcBorders>
              <w:top w:val="nil"/>
              <w:left w:val="nil"/>
              <w:right w:val="nil"/>
            </w:tcBorders>
          </w:tcPr>
          <w:p w14:paraId="241D5F6B" w14:textId="064D03BB" w:rsidR="00497017" w:rsidRPr="00560D29" w:rsidRDefault="00497017" w:rsidP="00560D29">
            <w:pPr>
              <w:adjustRightInd w:val="0"/>
              <w:snapToGrid w:val="0"/>
              <w:spacing w:line="360" w:lineRule="auto"/>
              <w:rPr>
                <w:rFonts w:ascii="Book Antiqua" w:hAnsi="Book Antiqua" w:cs="Arial"/>
              </w:rPr>
            </w:pPr>
            <w:r w:rsidRPr="00560D29">
              <w:rPr>
                <w:rFonts w:ascii="Book Antiqua" w:hAnsi="Book Antiqua" w:cs="Arial"/>
              </w:rPr>
              <w:t>&lt; 0.001</w:t>
            </w:r>
          </w:p>
        </w:tc>
      </w:tr>
    </w:tbl>
    <w:p w14:paraId="0289DEAE" w14:textId="29340A9A" w:rsidR="00497017" w:rsidRPr="00560D29" w:rsidRDefault="00497017" w:rsidP="00560D29">
      <w:pPr>
        <w:widowControl/>
        <w:adjustRightInd w:val="0"/>
        <w:snapToGrid w:val="0"/>
        <w:spacing w:line="360" w:lineRule="auto"/>
        <w:rPr>
          <w:rFonts w:ascii="Book Antiqua" w:hAnsi="Book Antiqua" w:cs="Arial"/>
        </w:rPr>
      </w:pPr>
      <w:r w:rsidRPr="00560D29">
        <w:rPr>
          <w:rFonts w:ascii="Book Antiqua" w:hAnsi="Book Antiqua" w:cs="Arial"/>
          <w:b/>
        </w:rPr>
        <w:t>Table 3 Univariate and multivariate Cox regression of prognostic factors for overall survival in pancreatic cancer</w:t>
      </w:r>
    </w:p>
    <w:p w14:paraId="636D9B01" w14:textId="44913E93" w:rsidR="009C4DE6" w:rsidRPr="00560D29" w:rsidRDefault="00497017" w:rsidP="00560D29">
      <w:pPr>
        <w:adjustRightInd w:val="0"/>
        <w:snapToGrid w:val="0"/>
        <w:spacing w:line="360" w:lineRule="auto"/>
        <w:rPr>
          <w:rFonts w:ascii="Book Antiqua" w:hAnsi="Book Antiqua" w:cs="Arial"/>
        </w:rPr>
      </w:pPr>
      <w:bookmarkStart w:id="217" w:name="OLE_LINK117"/>
      <w:r w:rsidRPr="00560D29">
        <w:rPr>
          <w:rFonts w:ascii="Book Antiqua" w:hAnsi="Book Antiqua" w:cs="Arial"/>
          <w:bCs/>
          <w:kern w:val="0"/>
        </w:rPr>
        <w:t>CTC: Circulating tumor cell.</w:t>
      </w:r>
      <w:bookmarkEnd w:id="217"/>
    </w:p>
    <w:p w14:paraId="25098679" w14:textId="3F5CDE50" w:rsidR="00497017" w:rsidRPr="00560D29" w:rsidRDefault="00497017" w:rsidP="00560D29">
      <w:pPr>
        <w:widowControl/>
        <w:adjustRightInd w:val="0"/>
        <w:snapToGrid w:val="0"/>
        <w:spacing w:line="360" w:lineRule="auto"/>
        <w:rPr>
          <w:rFonts w:ascii="Book Antiqua" w:hAnsi="Book Antiqua" w:cs="Arial"/>
        </w:rPr>
      </w:pPr>
      <w:r w:rsidRPr="00560D29">
        <w:rPr>
          <w:rFonts w:ascii="Book Antiqua" w:hAnsi="Book Antiqua" w:cs="Arial"/>
        </w:rPr>
        <w:br w:type="page"/>
      </w:r>
    </w:p>
    <w:p w14:paraId="21E8C0BD" w14:textId="53B6DBC6"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rPr>
        <w:lastRenderedPageBreak/>
        <w:t>Table 4</w:t>
      </w:r>
      <w:r w:rsidR="007A4FDB" w:rsidRPr="00560D29">
        <w:rPr>
          <w:rFonts w:ascii="Book Antiqua" w:hAnsi="Book Antiqua" w:cs="Arial"/>
          <w:b/>
        </w:rPr>
        <w:t xml:space="preserve"> Correlation of total </w:t>
      </w:r>
      <w:r w:rsidR="00FB54C7" w:rsidRPr="00560D29">
        <w:rPr>
          <w:rFonts w:ascii="Book Antiqua" w:hAnsi="Book Antiqua" w:cs="Arial"/>
          <w:b/>
        </w:rPr>
        <w:t>circulating tumor cell</w:t>
      </w:r>
      <w:r w:rsidR="007A4FDB" w:rsidRPr="00560D29">
        <w:rPr>
          <w:rFonts w:ascii="Book Antiqua" w:hAnsi="Book Antiqua" w:cs="Arial"/>
          <w:b/>
        </w:rPr>
        <w:t xml:space="preserve"> status and clinicopatholo</w:t>
      </w:r>
      <w:r w:rsidRPr="00560D29">
        <w:rPr>
          <w:rFonts w:ascii="Book Antiqua" w:hAnsi="Book Antiqua" w:cs="Arial"/>
          <w:b/>
        </w:rPr>
        <w:t>gical factors of patients with pancreatic cancer</w:t>
      </w:r>
    </w:p>
    <w:tbl>
      <w:tblPr>
        <w:tblStyle w:val="TableGrid"/>
        <w:tblW w:w="14249" w:type="dxa"/>
        <w:tblInd w:w="-1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1"/>
        <w:gridCol w:w="1362"/>
        <w:gridCol w:w="1463"/>
        <w:gridCol w:w="1230"/>
        <w:gridCol w:w="886"/>
        <w:gridCol w:w="1271"/>
        <w:gridCol w:w="1245"/>
        <w:gridCol w:w="729"/>
        <w:gridCol w:w="1271"/>
        <w:gridCol w:w="1402"/>
        <w:gridCol w:w="1019"/>
      </w:tblGrid>
      <w:tr w:rsidR="007A4FDB" w:rsidRPr="00560D29" w14:paraId="4739D1B9" w14:textId="77777777" w:rsidTr="00DB5F82">
        <w:trPr>
          <w:trHeight w:val="497"/>
        </w:trPr>
        <w:tc>
          <w:tcPr>
            <w:tcW w:w="2371" w:type="dxa"/>
            <w:tcBorders>
              <w:top w:val="single" w:sz="4" w:space="0" w:color="auto"/>
              <w:bottom w:val="nil"/>
            </w:tcBorders>
          </w:tcPr>
          <w:p w14:paraId="7936E9E0" w14:textId="77777777" w:rsidR="007A4FDB" w:rsidRPr="00560D29" w:rsidRDefault="007A4FDB" w:rsidP="00560D29">
            <w:pPr>
              <w:adjustRightInd w:val="0"/>
              <w:snapToGrid w:val="0"/>
              <w:spacing w:line="360" w:lineRule="auto"/>
              <w:rPr>
                <w:rFonts w:ascii="Book Antiqua" w:hAnsi="Book Antiqua"/>
              </w:rPr>
            </w:pPr>
          </w:p>
        </w:tc>
        <w:tc>
          <w:tcPr>
            <w:tcW w:w="1362" w:type="dxa"/>
            <w:tcBorders>
              <w:top w:val="single" w:sz="4" w:space="0" w:color="auto"/>
              <w:bottom w:val="nil"/>
            </w:tcBorders>
          </w:tcPr>
          <w:p w14:paraId="4AB720B3" w14:textId="77777777" w:rsidR="007A4FDB" w:rsidRPr="00560D29" w:rsidRDefault="007A4FDB" w:rsidP="00560D29">
            <w:pPr>
              <w:adjustRightInd w:val="0"/>
              <w:snapToGrid w:val="0"/>
              <w:spacing w:line="360" w:lineRule="auto"/>
              <w:rPr>
                <w:rFonts w:ascii="Book Antiqua" w:hAnsi="Book Antiqua"/>
              </w:rPr>
            </w:pPr>
            <w:r w:rsidRPr="00560D29">
              <w:rPr>
                <w:rFonts w:ascii="Book Antiqua" w:hAnsi="Book Antiqua"/>
              </w:rPr>
              <w:t xml:space="preserve">             </w:t>
            </w:r>
          </w:p>
        </w:tc>
        <w:tc>
          <w:tcPr>
            <w:tcW w:w="3579" w:type="dxa"/>
            <w:gridSpan w:val="3"/>
            <w:tcBorders>
              <w:top w:val="single" w:sz="4" w:space="0" w:color="auto"/>
              <w:bottom w:val="nil"/>
            </w:tcBorders>
          </w:tcPr>
          <w:p w14:paraId="6E6E4346" w14:textId="5AF5C84B" w:rsidR="007A4FDB" w:rsidRPr="00560D29" w:rsidRDefault="007A4FDB" w:rsidP="00560D29">
            <w:pPr>
              <w:adjustRightInd w:val="0"/>
              <w:snapToGrid w:val="0"/>
              <w:spacing w:line="360" w:lineRule="auto"/>
              <w:rPr>
                <w:rFonts w:ascii="Book Antiqua" w:hAnsi="Book Antiqua" w:cs="Arial"/>
                <w:b/>
              </w:rPr>
            </w:pPr>
            <w:r w:rsidRPr="00560D29">
              <w:rPr>
                <w:rFonts w:ascii="Book Antiqua" w:hAnsi="Book Antiqua" w:cs="Arial"/>
                <w:b/>
              </w:rPr>
              <w:t>Epithelia CTC</w:t>
            </w:r>
            <w:r w:rsidR="00DB5F82" w:rsidRPr="00560D29">
              <w:rPr>
                <w:rFonts w:ascii="Book Antiqua" w:hAnsi="Book Antiqua" w:cs="Arial"/>
                <w:b/>
              </w:rPr>
              <w:t xml:space="preserve"> (</w:t>
            </w:r>
            <w:r w:rsidRPr="00560D29">
              <w:rPr>
                <w:rFonts w:ascii="Book Antiqua" w:hAnsi="Book Antiqua" w:cs="Arial"/>
                <w:b/>
              </w:rPr>
              <w:t>%</w:t>
            </w:r>
            <w:r w:rsidR="00DB5F82" w:rsidRPr="00560D29">
              <w:rPr>
                <w:rFonts w:ascii="Book Antiqua" w:hAnsi="Book Antiqua" w:cs="Arial"/>
                <w:b/>
              </w:rPr>
              <w:t>)</w:t>
            </w:r>
          </w:p>
        </w:tc>
        <w:tc>
          <w:tcPr>
            <w:tcW w:w="3245" w:type="dxa"/>
            <w:gridSpan w:val="3"/>
            <w:tcBorders>
              <w:top w:val="single" w:sz="4" w:space="0" w:color="auto"/>
              <w:bottom w:val="nil"/>
            </w:tcBorders>
          </w:tcPr>
          <w:p w14:paraId="1717C2E0" w14:textId="7C339D64" w:rsidR="007A4FDB" w:rsidRPr="00560D29" w:rsidRDefault="007A4FDB" w:rsidP="00560D29">
            <w:pPr>
              <w:adjustRightInd w:val="0"/>
              <w:snapToGrid w:val="0"/>
              <w:spacing w:line="360" w:lineRule="auto"/>
              <w:rPr>
                <w:rFonts w:ascii="Book Antiqua" w:hAnsi="Book Antiqua" w:cs="Arial"/>
                <w:b/>
              </w:rPr>
            </w:pPr>
            <w:r w:rsidRPr="00560D29">
              <w:rPr>
                <w:rFonts w:ascii="Book Antiqua" w:hAnsi="Book Antiqua" w:cs="Arial"/>
                <w:b/>
              </w:rPr>
              <w:t>Hybrid CTC</w:t>
            </w:r>
            <w:r w:rsidR="00DB5F82" w:rsidRPr="00560D29">
              <w:rPr>
                <w:rFonts w:ascii="Book Antiqua" w:hAnsi="Book Antiqua" w:cs="Arial"/>
                <w:b/>
              </w:rPr>
              <w:t xml:space="preserve"> (</w:t>
            </w:r>
            <w:r w:rsidRPr="00560D29">
              <w:rPr>
                <w:rFonts w:ascii="Book Antiqua" w:hAnsi="Book Antiqua" w:cs="Arial"/>
                <w:b/>
              </w:rPr>
              <w:t>%</w:t>
            </w:r>
            <w:r w:rsidR="00DB5F82" w:rsidRPr="00560D29">
              <w:rPr>
                <w:rFonts w:ascii="Book Antiqua" w:hAnsi="Book Antiqua" w:cs="Arial"/>
                <w:b/>
              </w:rPr>
              <w:t>)</w:t>
            </w:r>
          </w:p>
        </w:tc>
        <w:tc>
          <w:tcPr>
            <w:tcW w:w="3692" w:type="dxa"/>
            <w:gridSpan w:val="3"/>
            <w:tcBorders>
              <w:top w:val="single" w:sz="4" w:space="0" w:color="auto"/>
              <w:bottom w:val="nil"/>
            </w:tcBorders>
          </w:tcPr>
          <w:p w14:paraId="059BDB54" w14:textId="6329FE09" w:rsidR="007A4FDB" w:rsidRPr="00560D29" w:rsidRDefault="007A4FDB" w:rsidP="00560D29">
            <w:pPr>
              <w:adjustRightInd w:val="0"/>
              <w:snapToGrid w:val="0"/>
              <w:spacing w:line="360" w:lineRule="auto"/>
              <w:rPr>
                <w:rFonts w:ascii="Book Antiqua" w:hAnsi="Book Antiqua" w:cs="Arial"/>
                <w:b/>
              </w:rPr>
            </w:pPr>
            <w:r w:rsidRPr="00560D29">
              <w:rPr>
                <w:rFonts w:ascii="Book Antiqua" w:hAnsi="Book Antiqua" w:cs="Arial"/>
                <w:b/>
              </w:rPr>
              <w:t>Mesenchymal CTC</w:t>
            </w:r>
            <w:r w:rsidR="00DB5F82" w:rsidRPr="00560D29">
              <w:rPr>
                <w:rFonts w:ascii="Book Antiqua" w:hAnsi="Book Antiqua" w:cs="Arial"/>
                <w:b/>
              </w:rPr>
              <w:t xml:space="preserve"> (</w:t>
            </w:r>
            <w:r w:rsidRPr="00560D29">
              <w:rPr>
                <w:rFonts w:ascii="Book Antiqua" w:hAnsi="Book Antiqua" w:cs="Arial"/>
                <w:b/>
              </w:rPr>
              <w:t>%</w:t>
            </w:r>
            <w:r w:rsidR="00DB5F82" w:rsidRPr="00560D29">
              <w:rPr>
                <w:rFonts w:ascii="Book Antiqua" w:hAnsi="Book Antiqua" w:cs="Arial"/>
                <w:b/>
              </w:rPr>
              <w:t>)</w:t>
            </w:r>
          </w:p>
        </w:tc>
      </w:tr>
      <w:tr w:rsidR="007A4FDB" w:rsidRPr="00560D29" w14:paraId="78D3645E" w14:textId="77777777" w:rsidTr="00DB5F82">
        <w:trPr>
          <w:trHeight w:val="1345"/>
        </w:trPr>
        <w:tc>
          <w:tcPr>
            <w:tcW w:w="2371" w:type="dxa"/>
            <w:tcBorders>
              <w:top w:val="nil"/>
              <w:bottom w:val="single" w:sz="4" w:space="0" w:color="auto"/>
            </w:tcBorders>
          </w:tcPr>
          <w:p w14:paraId="102F867E" w14:textId="77777777" w:rsidR="007A4FDB" w:rsidRPr="00560D29" w:rsidRDefault="007A4FDB" w:rsidP="00560D29">
            <w:pPr>
              <w:adjustRightInd w:val="0"/>
              <w:snapToGrid w:val="0"/>
              <w:spacing w:line="360" w:lineRule="auto"/>
              <w:rPr>
                <w:rFonts w:ascii="Book Antiqua" w:hAnsi="Book Antiqua"/>
              </w:rPr>
            </w:pPr>
          </w:p>
        </w:tc>
        <w:tc>
          <w:tcPr>
            <w:tcW w:w="1362" w:type="dxa"/>
            <w:tcBorders>
              <w:top w:val="nil"/>
              <w:bottom w:val="single" w:sz="4" w:space="0" w:color="auto"/>
            </w:tcBorders>
          </w:tcPr>
          <w:p w14:paraId="0A4752EA" w14:textId="77777777" w:rsidR="007A4FDB" w:rsidRPr="00560D29" w:rsidRDefault="007A4FDB" w:rsidP="00560D29">
            <w:pPr>
              <w:adjustRightInd w:val="0"/>
              <w:snapToGrid w:val="0"/>
              <w:spacing w:line="360" w:lineRule="auto"/>
              <w:rPr>
                <w:rFonts w:ascii="Book Antiqua" w:hAnsi="Book Antiqua"/>
              </w:rPr>
            </w:pPr>
          </w:p>
        </w:tc>
        <w:tc>
          <w:tcPr>
            <w:tcW w:w="1463" w:type="dxa"/>
            <w:tcBorders>
              <w:top w:val="nil"/>
              <w:bottom w:val="single" w:sz="4" w:space="0" w:color="auto"/>
            </w:tcBorders>
          </w:tcPr>
          <w:p w14:paraId="6D4484E4" w14:textId="6A33731E"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rPr>
              <w:t>Positive</w:t>
            </w:r>
          </w:p>
        </w:tc>
        <w:tc>
          <w:tcPr>
            <w:tcW w:w="1230" w:type="dxa"/>
            <w:tcBorders>
              <w:top w:val="nil"/>
              <w:bottom w:val="single" w:sz="4" w:space="0" w:color="auto"/>
            </w:tcBorders>
          </w:tcPr>
          <w:p w14:paraId="78AB0D45" w14:textId="319B4743"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rPr>
              <w:t>Negative</w:t>
            </w:r>
          </w:p>
        </w:tc>
        <w:tc>
          <w:tcPr>
            <w:tcW w:w="886" w:type="dxa"/>
            <w:tcBorders>
              <w:top w:val="nil"/>
              <w:bottom w:val="single" w:sz="4" w:space="0" w:color="auto"/>
            </w:tcBorders>
          </w:tcPr>
          <w:p w14:paraId="55290661" w14:textId="31DFC8BB" w:rsidR="007A4FDB" w:rsidRPr="00560D29" w:rsidRDefault="007A4FDB" w:rsidP="00560D29">
            <w:pPr>
              <w:adjustRightInd w:val="0"/>
              <w:snapToGrid w:val="0"/>
              <w:spacing w:line="360" w:lineRule="auto"/>
              <w:rPr>
                <w:rFonts w:ascii="Book Antiqua" w:hAnsi="Book Antiqua" w:cs="Arial"/>
                <w:b/>
              </w:rPr>
            </w:pPr>
            <w:r w:rsidRPr="00560D29">
              <w:rPr>
                <w:rFonts w:ascii="Book Antiqua" w:hAnsi="Book Antiqua" w:cs="Arial"/>
                <w:b/>
                <w:i/>
              </w:rPr>
              <w:t>P</w:t>
            </w:r>
            <w:r w:rsidR="00DB5F82" w:rsidRPr="00560D29">
              <w:rPr>
                <w:rFonts w:ascii="Book Antiqua" w:hAnsi="Book Antiqua" w:cs="Arial"/>
                <w:b/>
                <w:i/>
              </w:rPr>
              <w:t xml:space="preserve"> </w:t>
            </w:r>
            <w:r w:rsidR="00DB5F82" w:rsidRPr="00560D29">
              <w:rPr>
                <w:rFonts w:ascii="Book Antiqua" w:hAnsi="Book Antiqua" w:cs="Arial"/>
                <w:b/>
              </w:rPr>
              <w:t>value</w:t>
            </w:r>
          </w:p>
        </w:tc>
        <w:tc>
          <w:tcPr>
            <w:tcW w:w="1271" w:type="dxa"/>
            <w:tcBorders>
              <w:top w:val="nil"/>
              <w:bottom w:val="single" w:sz="4" w:space="0" w:color="auto"/>
            </w:tcBorders>
          </w:tcPr>
          <w:p w14:paraId="21E689E3" w14:textId="63D23493"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rPr>
              <w:t>Positive</w:t>
            </w:r>
          </w:p>
        </w:tc>
        <w:tc>
          <w:tcPr>
            <w:tcW w:w="1245" w:type="dxa"/>
            <w:tcBorders>
              <w:top w:val="nil"/>
              <w:bottom w:val="single" w:sz="4" w:space="0" w:color="auto"/>
            </w:tcBorders>
          </w:tcPr>
          <w:p w14:paraId="24448A5B" w14:textId="0592F3C7"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rPr>
              <w:t>Negative</w:t>
            </w:r>
          </w:p>
        </w:tc>
        <w:tc>
          <w:tcPr>
            <w:tcW w:w="729" w:type="dxa"/>
            <w:tcBorders>
              <w:top w:val="nil"/>
              <w:bottom w:val="single" w:sz="4" w:space="0" w:color="auto"/>
            </w:tcBorders>
          </w:tcPr>
          <w:p w14:paraId="747C8412" w14:textId="066C4756"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i/>
              </w:rPr>
              <w:t xml:space="preserve">P </w:t>
            </w:r>
            <w:r w:rsidRPr="00560D29">
              <w:rPr>
                <w:rFonts w:ascii="Book Antiqua" w:hAnsi="Book Antiqua" w:cs="Arial"/>
                <w:b/>
              </w:rPr>
              <w:t>value</w:t>
            </w:r>
          </w:p>
        </w:tc>
        <w:tc>
          <w:tcPr>
            <w:tcW w:w="1271" w:type="dxa"/>
            <w:tcBorders>
              <w:top w:val="nil"/>
              <w:bottom w:val="single" w:sz="4" w:space="0" w:color="auto"/>
            </w:tcBorders>
          </w:tcPr>
          <w:p w14:paraId="67E39D86" w14:textId="75D19FD6"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rPr>
              <w:t>Positive</w:t>
            </w:r>
          </w:p>
        </w:tc>
        <w:tc>
          <w:tcPr>
            <w:tcW w:w="1402" w:type="dxa"/>
            <w:tcBorders>
              <w:top w:val="nil"/>
              <w:bottom w:val="single" w:sz="4" w:space="0" w:color="auto"/>
            </w:tcBorders>
          </w:tcPr>
          <w:p w14:paraId="221F089B" w14:textId="0F5721F1"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rPr>
              <w:t>Negative</w:t>
            </w:r>
          </w:p>
        </w:tc>
        <w:tc>
          <w:tcPr>
            <w:tcW w:w="1019" w:type="dxa"/>
            <w:tcBorders>
              <w:top w:val="nil"/>
              <w:bottom w:val="single" w:sz="4" w:space="0" w:color="auto"/>
            </w:tcBorders>
          </w:tcPr>
          <w:p w14:paraId="1B99DD81" w14:textId="358B117B" w:rsidR="007A4FDB" w:rsidRPr="00560D29" w:rsidRDefault="00DB5F82" w:rsidP="00560D29">
            <w:pPr>
              <w:adjustRightInd w:val="0"/>
              <w:snapToGrid w:val="0"/>
              <w:spacing w:line="360" w:lineRule="auto"/>
              <w:rPr>
                <w:rFonts w:ascii="Book Antiqua" w:hAnsi="Book Antiqua" w:cs="Arial"/>
                <w:b/>
              </w:rPr>
            </w:pPr>
            <w:r w:rsidRPr="00560D29">
              <w:rPr>
                <w:rFonts w:ascii="Book Antiqua" w:hAnsi="Book Antiqua" w:cs="Arial"/>
                <w:b/>
                <w:i/>
              </w:rPr>
              <w:t xml:space="preserve">P </w:t>
            </w:r>
            <w:r w:rsidRPr="00560D29">
              <w:rPr>
                <w:rFonts w:ascii="Book Antiqua" w:hAnsi="Book Antiqua" w:cs="Arial"/>
                <w:b/>
              </w:rPr>
              <w:t>value</w:t>
            </w:r>
          </w:p>
        </w:tc>
      </w:tr>
      <w:tr w:rsidR="007A4FDB" w:rsidRPr="00560D29" w14:paraId="688F50B4" w14:textId="77777777" w:rsidTr="00DB5F82">
        <w:trPr>
          <w:trHeight w:val="511"/>
        </w:trPr>
        <w:tc>
          <w:tcPr>
            <w:tcW w:w="2371" w:type="dxa"/>
            <w:tcBorders>
              <w:top w:val="single" w:sz="4" w:space="0" w:color="auto"/>
            </w:tcBorders>
          </w:tcPr>
          <w:p w14:paraId="60BE676D" w14:textId="2A4E0C8F"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Age</w:t>
            </w:r>
            <w:r w:rsidR="00DB5F82" w:rsidRPr="00560D29">
              <w:rPr>
                <w:rFonts w:ascii="Book Antiqua" w:hAnsi="Book Antiqua" w:cs="Arial"/>
              </w:rPr>
              <w:t xml:space="preserve"> </w:t>
            </w:r>
            <w:r w:rsidRPr="00560D29">
              <w:rPr>
                <w:rFonts w:ascii="Book Antiqua" w:hAnsi="Book Antiqua" w:cs="Arial"/>
              </w:rPr>
              <w:t>(</w:t>
            </w:r>
            <w:proofErr w:type="spellStart"/>
            <w:r w:rsidR="00DB5F82" w:rsidRPr="00560D29">
              <w:rPr>
                <w:rFonts w:ascii="Book Antiqua" w:hAnsi="Book Antiqua" w:cs="Arial"/>
              </w:rPr>
              <w:t>yr</w:t>
            </w:r>
            <w:proofErr w:type="spellEnd"/>
            <w:r w:rsidRPr="00560D29">
              <w:rPr>
                <w:rFonts w:ascii="Book Antiqua" w:hAnsi="Book Antiqua" w:cs="Arial"/>
              </w:rPr>
              <w:t>)</w:t>
            </w:r>
          </w:p>
        </w:tc>
        <w:tc>
          <w:tcPr>
            <w:tcW w:w="1362" w:type="dxa"/>
            <w:tcBorders>
              <w:top w:val="single" w:sz="4" w:space="0" w:color="auto"/>
            </w:tcBorders>
          </w:tcPr>
          <w:p w14:paraId="0392B56A" w14:textId="291A2555"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&lt;</w:t>
            </w:r>
            <w:r w:rsidR="00DB5F82" w:rsidRPr="00560D29">
              <w:rPr>
                <w:rFonts w:ascii="Book Antiqua" w:hAnsi="Book Antiqua" w:cs="Arial"/>
              </w:rPr>
              <w:t xml:space="preserve"> </w:t>
            </w:r>
            <w:r w:rsidRPr="00560D29">
              <w:rPr>
                <w:rFonts w:ascii="Book Antiqua" w:hAnsi="Book Antiqua" w:cs="Arial"/>
              </w:rPr>
              <w:t>60</w:t>
            </w:r>
          </w:p>
        </w:tc>
        <w:tc>
          <w:tcPr>
            <w:tcW w:w="1463" w:type="dxa"/>
            <w:tcBorders>
              <w:top w:val="single" w:sz="4" w:space="0" w:color="auto"/>
            </w:tcBorders>
          </w:tcPr>
          <w:p w14:paraId="2E465DCE" w14:textId="7C960013"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24</w:t>
            </w:r>
            <w:r w:rsidR="00A14082" w:rsidRPr="00560D29">
              <w:rPr>
                <w:rFonts w:ascii="Book Antiqua" w:hAnsi="Book Antiqua" w:cs="Arial"/>
              </w:rPr>
              <w:t>/</w:t>
            </w:r>
            <w:r w:rsidRPr="00560D29">
              <w:rPr>
                <w:rFonts w:ascii="Book Antiqua" w:hAnsi="Book Antiqua" w:cs="Arial"/>
              </w:rPr>
              <w:t>65</w:t>
            </w:r>
          </w:p>
          <w:p w14:paraId="5C896773" w14:textId="237E56C3"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36.9</w:t>
            </w:r>
            <w:r w:rsidRPr="00560D29">
              <w:rPr>
                <w:rFonts w:ascii="Book Antiqua" w:hAnsi="Book Antiqua" w:cs="Arial"/>
              </w:rPr>
              <w:t>)</w:t>
            </w:r>
          </w:p>
        </w:tc>
        <w:tc>
          <w:tcPr>
            <w:tcW w:w="1230" w:type="dxa"/>
            <w:tcBorders>
              <w:top w:val="single" w:sz="4" w:space="0" w:color="auto"/>
            </w:tcBorders>
          </w:tcPr>
          <w:p w14:paraId="1E5288C9" w14:textId="10212A38"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16</w:t>
            </w:r>
            <w:r w:rsidR="00A14082" w:rsidRPr="00560D29">
              <w:rPr>
                <w:rFonts w:ascii="Book Antiqua" w:hAnsi="Book Antiqua" w:cs="Arial"/>
              </w:rPr>
              <w:t>/</w:t>
            </w:r>
            <w:r w:rsidRPr="00560D29">
              <w:rPr>
                <w:rFonts w:ascii="Book Antiqua" w:hAnsi="Book Antiqua" w:cs="Arial"/>
              </w:rPr>
              <w:t>42</w:t>
            </w:r>
          </w:p>
          <w:p w14:paraId="5F5650F9" w14:textId="04F63E75"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38.1</w:t>
            </w:r>
            <w:r w:rsidRPr="00560D29">
              <w:rPr>
                <w:rFonts w:ascii="Book Antiqua" w:hAnsi="Book Antiqua" w:cs="Arial"/>
              </w:rPr>
              <w:t>)</w:t>
            </w:r>
          </w:p>
        </w:tc>
        <w:tc>
          <w:tcPr>
            <w:tcW w:w="886" w:type="dxa"/>
            <w:tcBorders>
              <w:top w:val="single" w:sz="4" w:space="0" w:color="auto"/>
            </w:tcBorders>
          </w:tcPr>
          <w:p w14:paraId="0D6D4504" w14:textId="6ADB2EAE"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&gt;</w:t>
            </w:r>
            <w:r w:rsidR="00DB5F82" w:rsidRPr="00560D29">
              <w:rPr>
                <w:rFonts w:ascii="Book Antiqua" w:hAnsi="Book Antiqua" w:cs="Arial"/>
              </w:rPr>
              <w:t xml:space="preserve"> </w:t>
            </w:r>
            <w:r w:rsidRPr="00560D29">
              <w:rPr>
                <w:rFonts w:ascii="Book Antiqua" w:hAnsi="Book Antiqua" w:cs="Arial"/>
              </w:rPr>
              <w:t>0.9</w:t>
            </w:r>
          </w:p>
        </w:tc>
        <w:tc>
          <w:tcPr>
            <w:tcW w:w="1271" w:type="dxa"/>
            <w:tcBorders>
              <w:top w:val="single" w:sz="4" w:space="0" w:color="auto"/>
            </w:tcBorders>
          </w:tcPr>
          <w:p w14:paraId="33FD54CA"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12/39</w:t>
            </w:r>
          </w:p>
          <w:p w14:paraId="18AA94EA" w14:textId="64B08FFE"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30.8</w:t>
            </w:r>
            <w:r w:rsidRPr="00560D29">
              <w:rPr>
                <w:rFonts w:ascii="Book Antiqua" w:hAnsi="Book Antiqua" w:cs="Arial"/>
              </w:rPr>
              <w:t>)</w:t>
            </w:r>
          </w:p>
        </w:tc>
        <w:tc>
          <w:tcPr>
            <w:tcW w:w="1245" w:type="dxa"/>
            <w:tcBorders>
              <w:top w:val="single" w:sz="4" w:space="0" w:color="auto"/>
            </w:tcBorders>
          </w:tcPr>
          <w:p w14:paraId="631F8C14"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28/68</w:t>
            </w:r>
          </w:p>
          <w:p w14:paraId="4C4DC883" w14:textId="26F7D6C2"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41.2</w:t>
            </w:r>
            <w:r w:rsidRPr="00560D29">
              <w:rPr>
                <w:rFonts w:ascii="Book Antiqua" w:hAnsi="Book Antiqua" w:cs="Arial"/>
              </w:rPr>
              <w:t>)</w:t>
            </w:r>
          </w:p>
        </w:tc>
        <w:tc>
          <w:tcPr>
            <w:tcW w:w="729" w:type="dxa"/>
            <w:tcBorders>
              <w:top w:val="single" w:sz="4" w:space="0" w:color="auto"/>
            </w:tcBorders>
          </w:tcPr>
          <w:p w14:paraId="5F121CFC"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0.18</w:t>
            </w:r>
          </w:p>
        </w:tc>
        <w:tc>
          <w:tcPr>
            <w:tcW w:w="1271" w:type="dxa"/>
            <w:tcBorders>
              <w:top w:val="single" w:sz="4" w:space="0" w:color="auto"/>
            </w:tcBorders>
          </w:tcPr>
          <w:p w14:paraId="54EECFC1"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21/49</w:t>
            </w:r>
          </w:p>
          <w:p w14:paraId="68A501A4" w14:textId="6A3C21C6"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42.9</w:t>
            </w:r>
            <w:r w:rsidRPr="00560D29">
              <w:rPr>
                <w:rFonts w:ascii="Book Antiqua" w:hAnsi="Book Antiqua" w:cs="Arial"/>
              </w:rPr>
              <w:t>)</w:t>
            </w:r>
          </w:p>
        </w:tc>
        <w:tc>
          <w:tcPr>
            <w:tcW w:w="1402" w:type="dxa"/>
            <w:tcBorders>
              <w:top w:val="single" w:sz="4" w:space="0" w:color="auto"/>
            </w:tcBorders>
          </w:tcPr>
          <w:p w14:paraId="1D3CEB50"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19/58</w:t>
            </w:r>
          </w:p>
          <w:p w14:paraId="451C23C5" w14:textId="38717445"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32.8</w:t>
            </w:r>
            <w:r w:rsidRPr="00560D29">
              <w:rPr>
                <w:rFonts w:ascii="Book Antiqua" w:hAnsi="Book Antiqua" w:cs="Arial"/>
              </w:rPr>
              <w:t>)</w:t>
            </w:r>
          </w:p>
        </w:tc>
        <w:tc>
          <w:tcPr>
            <w:tcW w:w="1019" w:type="dxa"/>
            <w:tcBorders>
              <w:top w:val="single" w:sz="4" w:space="0" w:color="auto"/>
            </w:tcBorders>
          </w:tcPr>
          <w:p w14:paraId="63950FE3"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0.19</w:t>
            </w:r>
          </w:p>
        </w:tc>
      </w:tr>
      <w:tr w:rsidR="007A4FDB" w:rsidRPr="00560D29" w14:paraId="6E908623" w14:textId="77777777" w:rsidTr="00DB5F82">
        <w:trPr>
          <w:trHeight w:val="981"/>
        </w:trPr>
        <w:tc>
          <w:tcPr>
            <w:tcW w:w="2371" w:type="dxa"/>
          </w:tcPr>
          <w:p w14:paraId="5D17F00A" w14:textId="77777777" w:rsidR="007A4FDB" w:rsidRPr="00560D29" w:rsidRDefault="007A4FDB" w:rsidP="00560D29">
            <w:pPr>
              <w:adjustRightInd w:val="0"/>
              <w:snapToGrid w:val="0"/>
              <w:spacing w:line="360" w:lineRule="auto"/>
              <w:rPr>
                <w:rFonts w:ascii="Book Antiqua" w:hAnsi="Book Antiqua" w:cs="Arial"/>
              </w:rPr>
            </w:pPr>
          </w:p>
        </w:tc>
        <w:tc>
          <w:tcPr>
            <w:tcW w:w="1362" w:type="dxa"/>
          </w:tcPr>
          <w:p w14:paraId="7A60A9FD" w14:textId="6B16F5A8"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w:t>
            </w:r>
            <w:r w:rsidR="00DB5F82" w:rsidRPr="00560D29">
              <w:rPr>
                <w:rFonts w:ascii="Book Antiqua" w:hAnsi="Book Antiqua" w:cs="Arial"/>
              </w:rPr>
              <w:t xml:space="preserve"> </w:t>
            </w:r>
            <w:r w:rsidRPr="00560D29">
              <w:rPr>
                <w:rFonts w:ascii="Book Antiqua" w:hAnsi="Book Antiqua" w:cs="Arial"/>
              </w:rPr>
              <w:t>60</w:t>
            </w:r>
          </w:p>
        </w:tc>
        <w:tc>
          <w:tcPr>
            <w:tcW w:w="1463" w:type="dxa"/>
          </w:tcPr>
          <w:p w14:paraId="69664080" w14:textId="5889E118"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41</w:t>
            </w:r>
            <w:r w:rsidR="00A14082" w:rsidRPr="00560D29">
              <w:rPr>
                <w:rFonts w:ascii="Book Antiqua" w:hAnsi="Book Antiqua" w:cs="Arial"/>
              </w:rPr>
              <w:t>/</w:t>
            </w:r>
            <w:r w:rsidRPr="00560D29">
              <w:rPr>
                <w:rFonts w:ascii="Book Antiqua" w:hAnsi="Book Antiqua" w:cs="Arial"/>
              </w:rPr>
              <w:t>65</w:t>
            </w:r>
          </w:p>
          <w:p w14:paraId="12C5566E" w14:textId="0306DEDF"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63.1</w:t>
            </w:r>
            <w:r w:rsidRPr="00560D29">
              <w:rPr>
                <w:rFonts w:ascii="Book Antiqua" w:hAnsi="Book Antiqua" w:cs="Arial"/>
              </w:rPr>
              <w:t>)</w:t>
            </w:r>
          </w:p>
        </w:tc>
        <w:tc>
          <w:tcPr>
            <w:tcW w:w="1230" w:type="dxa"/>
          </w:tcPr>
          <w:p w14:paraId="37916AF7"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26/42</w:t>
            </w:r>
          </w:p>
          <w:p w14:paraId="60C157A0" w14:textId="68063C6D"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61.9</w:t>
            </w:r>
            <w:r w:rsidRPr="00560D29">
              <w:rPr>
                <w:rFonts w:ascii="Book Antiqua" w:hAnsi="Book Antiqua" w:cs="Arial"/>
              </w:rPr>
              <w:t>)</w:t>
            </w:r>
          </w:p>
        </w:tc>
        <w:tc>
          <w:tcPr>
            <w:tcW w:w="886" w:type="dxa"/>
          </w:tcPr>
          <w:p w14:paraId="744B836B"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0FFD881A"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27/39</w:t>
            </w:r>
          </w:p>
          <w:p w14:paraId="0C5AF409" w14:textId="590779A3"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69.2</w:t>
            </w:r>
            <w:r w:rsidRPr="00560D29">
              <w:rPr>
                <w:rFonts w:ascii="Book Antiqua" w:hAnsi="Book Antiqua" w:cs="Arial"/>
              </w:rPr>
              <w:t>)</w:t>
            </w:r>
          </w:p>
        </w:tc>
        <w:tc>
          <w:tcPr>
            <w:tcW w:w="1245" w:type="dxa"/>
          </w:tcPr>
          <w:p w14:paraId="1850C5A7"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40/68</w:t>
            </w:r>
          </w:p>
          <w:p w14:paraId="6DBB5CF9" w14:textId="34593F9C"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58.8</w:t>
            </w:r>
            <w:r w:rsidRPr="00560D29">
              <w:rPr>
                <w:rFonts w:ascii="Book Antiqua" w:hAnsi="Book Antiqua" w:cs="Arial"/>
              </w:rPr>
              <w:t>)</w:t>
            </w:r>
          </w:p>
        </w:tc>
        <w:tc>
          <w:tcPr>
            <w:tcW w:w="729" w:type="dxa"/>
          </w:tcPr>
          <w:p w14:paraId="47EABD55"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136E4FE8"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28/49</w:t>
            </w:r>
          </w:p>
          <w:p w14:paraId="09FC2B96" w14:textId="55196C2B"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57.1</w:t>
            </w:r>
            <w:r w:rsidRPr="00560D29">
              <w:rPr>
                <w:rFonts w:ascii="Book Antiqua" w:hAnsi="Book Antiqua" w:cs="Arial"/>
              </w:rPr>
              <w:t>)</w:t>
            </w:r>
          </w:p>
        </w:tc>
        <w:tc>
          <w:tcPr>
            <w:tcW w:w="1402" w:type="dxa"/>
          </w:tcPr>
          <w:p w14:paraId="2A20C4BA"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39/58</w:t>
            </w:r>
          </w:p>
          <w:p w14:paraId="4627E5FE" w14:textId="791C9E37"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67.2</w:t>
            </w:r>
            <w:r w:rsidRPr="00560D29">
              <w:rPr>
                <w:rFonts w:ascii="Book Antiqua" w:hAnsi="Book Antiqua" w:cs="Arial"/>
              </w:rPr>
              <w:t>)</w:t>
            </w:r>
          </w:p>
        </w:tc>
        <w:tc>
          <w:tcPr>
            <w:tcW w:w="1019" w:type="dxa"/>
          </w:tcPr>
          <w:p w14:paraId="03AF13A0" w14:textId="77777777" w:rsidR="007A4FDB" w:rsidRPr="00560D29" w:rsidRDefault="007A4FDB" w:rsidP="00560D29">
            <w:pPr>
              <w:adjustRightInd w:val="0"/>
              <w:snapToGrid w:val="0"/>
              <w:spacing w:line="360" w:lineRule="auto"/>
              <w:rPr>
                <w:rFonts w:ascii="Book Antiqua" w:hAnsi="Book Antiqua" w:cs="Arial"/>
              </w:rPr>
            </w:pPr>
          </w:p>
        </w:tc>
      </w:tr>
      <w:tr w:rsidR="007A4FDB" w:rsidRPr="00560D29" w14:paraId="47F5C1A9" w14:textId="77777777" w:rsidTr="00DB5F82">
        <w:trPr>
          <w:trHeight w:val="509"/>
        </w:trPr>
        <w:tc>
          <w:tcPr>
            <w:tcW w:w="2371" w:type="dxa"/>
          </w:tcPr>
          <w:p w14:paraId="3976E294"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Gender</w:t>
            </w:r>
          </w:p>
        </w:tc>
        <w:tc>
          <w:tcPr>
            <w:tcW w:w="1362" w:type="dxa"/>
          </w:tcPr>
          <w:p w14:paraId="20DF16F8"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Male</w:t>
            </w:r>
          </w:p>
        </w:tc>
        <w:tc>
          <w:tcPr>
            <w:tcW w:w="1463" w:type="dxa"/>
          </w:tcPr>
          <w:p w14:paraId="2980DB59"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37/65</w:t>
            </w:r>
          </w:p>
          <w:p w14:paraId="4F6BA219" w14:textId="32AD55CA"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56.9</w:t>
            </w:r>
            <w:r w:rsidRPr="00560D29">
              <w:rPr>
                <w:rFonts w:ascii="Book Antiqua" w:hAnsi="Book Antiqua" w:cs="Arial"/>
              </w:rPr>
              <w:t>)</w:t>
            </w:r>
          </w:p>
        </w:tc>
        <w:tc>
          <w:tcPr>
            <w:tcW w:w="1230" w:type="dxa"/>
          </w:tcPr>
          <w:p w14:paraId="6F367ED5"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26/42</w:t>
            </w:r>
          </w:p>
          <w:p w14:paraId="18ACA4D9" w14:textId="0E37F09D"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61.9</w:t>
            </w:r>
            <w:r w:rsidRPr="00560D29">
              <w:rPr>
                <w:rFonts w:ascii="Book Antiqua" w:hAnsi="Book Antiqua" w:cs="Arial"/>
              </w:rPr>
              <w:t>)</w:t>
            </w:r>
          </w:p>
        </w:tc>
        <w:tc>
          <w:tcPr>
            <w:tcW w:w="886" w:type="dxa"/>
          </w:tcPr>
          <w:p w14:paraId="323CC8DD"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0.56</w:t>
            </w:r>
          </w:p>
        </w:tc>
        <w:tc>
          <w:tcPr>
            <w:tcW w:w="1271" w:type="dxa"/>
          </w:tcPr>
          <w:p w14:paraId="60F28A52"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24/39</w:t>
            </w:r>
          </w:p>
          <w:p w14:paraId="53B142E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(61.5)</w:t>
            </w:r>
          </w:p>
        </w:tc>
        <w:tc>
          <w:tcPr>
            <w:tcW w:w="1245" w:type="dxa"/>
          </w:tcPr>
          <w:p w14:paraId="526187D1"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39/68</w:t>
            </w:r>
          </w:p>
          <w:p w14:paraId="02A43139"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(57.4)</w:t>
            </w:r>
          </w:p>
        </w:tc>
        <w:tc>
          <w:tcPr>
            <w:tcW w:w="729" w:type="dxa"/>
          </w:tcPr>
          <w:p w14:paraId="70011871"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0.56</w:t>
            </w:r>
          </w:p>
        </w:tc>
        <w:tc>
          <w:tcPr>
            <w:tcW w:w="1271" w:type="dxa"/>
          </w:tcPr>
          <w:p w14:paraId="7513A4DB"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28/49</w:t>
            </w:r>
          </w:p>
          <w:p w14:paraId="0DA8556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(57.1)</w:t>
            </w:r>
          </w:p>
        </w:tc>
        <w:tc>
          <w:tcPr>
            <w:tcW w:w="1402" w:type="dxa"/>
          </w:tcPr>
          <w:p w14:paraId="0DE217C8"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35/58</w:t>
            </w:r>
          </w:p>
          <w:p w14:paraId="35B71DB0"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(60.3)</w:t>
            </w:r>
          </w:p>
        </w:tc>
        <w:tc>
          <w:tcPr>
            <w:tcW w:w="1019" w:type="dxa"/>
          </w:tcPr>
          <w:p w14:paraId="4CFAAE19"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0.77</w:t>
            </w:r>
          </w:p>
        </w:tc>
      </w:tr>
      <w:tr w:rsidR="007A4FDB" w:rsidRPr="00560D29" w14:paraId="1B29BC1E" w14:textId="77777777" w:rsidTr="00DB5F82">
        <w:trPr>
          <w:trHeight w:val="869"/>
        </w:trPr>
        <w:tc>
          <w:tcPr>
            <w:tcW w:w="2371" w:type="dxa"/>
          </w:tcPr>
          <w:p w14:paraId="3A133C4C" w14:textId="77777777" w:rsidR="007A4FDB" w:rsidRPr="00560D29" w:rsidRDefault="007A4FDB" w:rsidP="00560D29">
            <w:pPr>
              <w:adjustRightInd w:val="0"/>
              <w:snapToGrid w:val="0"/>
              <w:spacing w:line="360" w:lineRule="auto"/>
              <w:rPr>
                <w:rFonts w:ascii="Book Antiqua" w:hAnsi="Book Antiqua" w:cs="Arial"/>
              </w:rPr>
            </w:pPr>
          </w:p>
        </w:tc>
        <w:tc>
          <w:tcPr>
            <w:tcW w:w="1362" w:type="dxa"/>
          </w:tcPr>
          <w:p w14:paraId="0EFD0987"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Female</w:t>
            </w:r>
          </w:p>
        </w:tc>
        <w:tc>
          <w:tcPr>
            <w:tcW w:w="1463" w:type="dxa"/>
          </w:tcPr>
          <w:p w14:paraId="1C633253"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28/65</w:t>
            </w:r>
          </w:p>
          <w:p w14:paraId="248E490F" w14:textId="5F3A472A"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43.1</w:t>
            </w:r>
            <w:r w:rsidRPr="00560D29">
              <w:rPr>
                <w:rFonts w:ascii="Book Antiqua" w:hAnsi="Book Antiqua" w:cs="Arial"/>
              </w:rPr>
              <w:t>)</w:t>
            </w:r>
          </w:p>
        </w:tc>
        <w:tc>
          <w:tcPr>
            <w:tcW w:w="1230" w:type="dxa"/>
          </w:tcPr>
          <w:p w14:paraId="0195930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16/42</w:t>
            </w:r>
          </w:p>
          <w:p w14:paraId="623721F4" w14:textId="0E4ACE43" w:rsidR="007A4FDB"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w:t>
            </w:r>
            <w:r w:rsidR="007A4FDB" w:rsidRPr="00560D29">
              <w:rPr>
                <w:rFonts w:ascii="Book Antiqua" w:hAnsi="Book Antiqua" w:cs="Arial"/>
              </w:rPr>
              <w:t>38.1</w:t>
            </w:r>
            <w:r w:rsidRPr="00560D29">
              <w:rPr>
                <w:rFonts w:ascii="Book Antiqua" w:hAnsi="Book Antiqua" w:cs="Arial"/>
              </w:rPr>
              <w:t>)</w:t>
            </w:r>
          </w:p>
        </w:tc>
        <w:tc>
          <w:tcPr>
            <w:tcW w:w="886" w:type="dxa"/>
          </w:tcPr>
          <w:p w14:paraId="781E6B60"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420A3018"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15/39</w:t>
            </w:r>
          </w:p>
          <w:p w14:paraId="1BE3EA0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(38.5)</w:t>
            </w:r>
          </w:p>
        </w:tc>
        <w:tc>
          <w:tcPr>
            <w:tcW w:w="1245" w:type="dxa"/>
          </w:tcPr>
          <w:p w14:paraId="1196CCB1"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29/68</w:t>
            </w:r>
          </w:p>
          <w:p w14:paraId="61375F37"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(42.6)</w:t>
            </w:r>
          </w:p>
        </w:tc>
        <w:tc>
          <w:tcPr>
            <w:tcW w:w="729" w:type="dxa"/>
          </w:tcPr>
          <w:p w14:paraId="244CB4AC"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2DBBEF58"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21/49</w:t>
            </w:r>
          </w:p>
          <w:p w14:paraId="1DD9DA0A"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(42.9)</w:t>
            </w:r>
          </w:p>
        </w:tc>
        <w:tc>
          <w:tcPr>
            <w:tcW w:w="1402" w:type="dxa"/>
          </w:tcPr>
          <w:p w14:paraId="498E67A8"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23/58</w:t>
            </w:r>
          </w:p>
          <w:p w14:paraId="772B7072" w14:textId="77777777" w:rsidR="007A4FDB" w:rsidRPr="00560D29" w:rsidRDefault="007A4FDB" w:rsidP="00560D29">
            <w:pPr>
              <w:tabs>
                <w:tab w:val="left" w:pos="580"/>
              </w:tabs>
              <w:adjustRightInd w:val="0"/>
              <w:snapToGrid w:val="0"/>
              <w:spacing w:line="360" w:lineRule="auto"/>
              <w:rPr>
                <w:rFonts w:ascii="Book Antiqua" w:hAnsi="Book Antiqua" w:cs="Arial"/>
              </w:rPr>
            </w:pPr>
            <w:r w:rsidRPr="00560D29">
              <w:rPr>
                <w:rFonts w:ascii="Book Antiqua" w:hAnsi="Book Antiqua" w:cs="Arial"/>
              </w:rPr>
              <w:t>(39.7)</w:t>
            </w:r>
          </w:p>
        </w:tc>
        <w:tc>
          <w:tcPr>
            <w:tcW w:w="1019" w:type="dxa"/>
          </w:tcPr>
          <w:p w14:paraId="5885AC24" w14:textId="77777777" w:rsidR="007A4FDB" w:rsidRPr="00560D29" w:rsidRDefault="007A4FDB" w:rsidP="00560D29">
            <w:pPr>
              <w:adjustRightInd w:val="0"/>
              <w:snapToGrid w:val="0"/>
              <w:spacing w:line="360" w:lineRule="auto"/>
              <w:rPr>
                <w:rFonts w:ascii="Book Antiqua" w:hAnsi="Book Antiqua" w:cs="Arial"/>
              </w:rPr>
            </w:pPr>
          </w:p>
        </w:tc>
      </w:tr>
      <w:tr w:rsidR="007A4FDB" w:rsidRPr="00560D29" w14:paraId="70FC6492" w14:textId="77777777" w:rsidTr="00DB5F82">
        <w:trPr>
          <w:trHeight w:val="496"/>
        </w:trPr>
        <w:tc>
          <w:tcPr>
            <w:tcW w:w="2371" w:type="dxa"/>
          </w:tcPr>
          <w:p w14:paraId="2B2298FA"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Differentiation</w:t>
            </w:r>
          </w:p>
        </w:tc>
        <w:tc>
          <w:tcPr>
            <w:tcW w:w="1362" w:type="dxa"/>
          </w:tcPr>
          <w:p w14:paraId="69536CA2"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Well</w:t>
            </w:r>
          </w:p>
        </w:tc>
        <w:tc>
          <w:tcPr>
            <w:tcW w:w="1463" w:type="dxa"/>
          </w:tcPr>
          <w:p w14:paraId="407B7D6F"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6/65</w:t>
            </w:r>
          </w:p>
          <w:p w14:paraId="5C87EB75"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(9.2)</w:t>
            </w:r>
          </w:p>
        </w:tc>
        <w:tc>
          <w:tcPr>
            <w:tcW w:w="1230" w:type="dxa"/>
          </w:tcPr>
          <w:p w14:paraId="6560C310"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4/42</w:t>
            </w:r>
          </w:p>
          <w:p w14:paraId="4C283BAA" w14:textId="77777777" w:rsidR="007A4FDB" w:rsidRPr="00560D29" w:rsidRDefault="007A4FDB" w:rsidP="00560D29">
            <w:pPr>
              <w:tabs>
                <w:tab w:val="left" w:pos="380"/>
                <w:tab w:val="center" w:pos="474"/>
              </w:tabs>
              <w:adjustRightInd w:val="0"/>
              <w:snapToGrid w:val="0"/>
              <w:spacing w:line="360" w:lineRule="auto"/>
              <w:rPr>
                <w:rFonts w:ascii="Book Antiqua" w:hAnsi="Book Antiqua" w:cs="Arial"/>
              </w:rPr>
            </w:pPr>
            <w:r w:rsidRPr="00560D29">
              <w:rPr>
                <w:rFonts w:ascii="Book Antiqua" w:hAnsi="Book Antiqua" w:cs="Arial"/>
              </w:rPr>
              <w:t>(9.5)</w:t>
            </w:r>
          </w:p>
        </w:tc>
        <w:tc>
          <w:tcPr>
            <w:tcW w:w="886" w:type="dxa"/>
          </w:tcPr>
          <w:p w14:paraId="3E85D674"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0.21</w:t>
            </w:r>
          </w:p>
        </w:tc>
        <w:tc>
          <w:tcPr>
            <w:tcW w:w="1271" w:type="dxa"/>
          </w:tcPr>
          <w:p w14:paraId="2F80F6FC"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4/39</w:t>
            </w:r>
          </w:p>
          <w:p w14:paraId="018FE908"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(10.3)</w:t>
            </w:r>
          </w:p>
        </w:tc>
        <w:tc>
          <w:tcPr>
            <w:tcW w:w="1245" w:type="dxa"/>
          </w:tcPr>
          <w:p w14:paraId="08EB9653"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6/68</w:t>
            </w:r>
          </w:p>
          <w:p w14:paraId="50F2AD64"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(8.8)</w:t>
            </w:r>
          </w:p>
        </w:tc>
        <w:tc>
          <w:tcPr>
            <w:tcW w:w="729" w:type="dxa"/>
          </w:tcPr>
          <w:p w14:paraId="08F2C65C"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0.97</w:t>
            </w:r>
          </w:p>
        </w:tc>
        <w:tc>
          <w:tcPr>
            <w:tcW w:w="1271" w:type="dxa"/>
          </w:tcPr>
          <w:p w14:paraId="64B07E4D"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5/49</w:t>
            </w:r>
          </w:p>
          <w:p w14:paraId="61EA49BB"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(8.1)</w:t>
            </w:r>
          </w:p>
        </w:tc>
        <w:tc>
          <w:tcPr>
            <w:tcW w:w="1402" w:type="dxa"/>
          </w:tcPr>
          <w:p w14:paraId="741B6B23"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5/58</w:t>
            </w:r>
          </w:p>
          <w:p w14:paraId="5AEA269C"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(9.3)</w:t>
            </w:r>
          </w:p>
        </w:tc>
        <w:tc>
          <w:tcPr>
            <w:tcW w:w="1019" w:type="dxa"/>
          </w:tcPr>
          <w:p w14:paraId="63D8031D"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0.84</w:t>
            </w:r>
          </w:p>
        </w:tc>
      </w:tr>
      <w:tr w:rsidR="007A4FDB" w:rsidRPr="00560D29" w14:paraId="291D4969" w14:textId="77777777" w:rsidTr="00DB5F82">
        <w:trPr>
          <w:trHeight w:val="510"/>
        </w:trPr>
        <w:tc>
          <w:tcPr>
            <w:tcW w:w="2371" w:type="dxa"/>
          </w:tcPr>
          <w:p w14:paraId="1DAB2A9B" w14:textId="77777777" w:rsidR="007A4FDB" w:rsidRPr="00560D29" w:rsidRDefault="007A4FDB" w:rsidP="00560D29">
            <w:pPr>
              <w:adjustRightInd w:val="0"/>
              <w:snapToGrid w:val="0"/>
              <w:spacing w:line="360" w:lineRule="auto"/>
              <w:rPr>
                <w:rFonts w:ascii="Book Antiqua" w:hAnsi="Book Antiqua" w:cs="Arial"/>
              </w:rPr>
            </w:pPr>
          </w:p>
        </w:tc>
        <w:tc>
          <w:tcPr>
            <w:tcW w:w="1362" w:type="dxa"/>
          </w:tcPr>
          <w:p w14:paraId="4A8E2FA2"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Moderate</w:t>
            </w:r>
          </w:p>
        </w:tc>
        <w:tc>
          <w:tcPr>
            <w:tcW w:w="1463" w:type="dxa"/>
          </w:tcPr>
          <w:p w14:paraId="4BC643F3"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38/65</w:t>
            </w:r>
          </w:p>
          <w:p w14:paraId="1029A2EA"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(58.5)</w:t>
            </w:r>
          </w:p>
        </w:tc>
        <w:tc>
          <w:tcPr>
            <w:tcW w:w="1230" w:type="dxa"/>
          </w:tcPr>
          <w:p w14:paraId="285B921F"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29/42</w:t>
            </w:r>
          </w:p>
          <w:p w14:paraId="5C01820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(69.1)</w:t>
            </w:r>
          </w:p>
        </w:tc>
        <w:tc>
          <w:tcPr>
            <w:tcW w:w="886" w:type="dxa"/>
          </w:tcPr>
          <w:p w14:paraId="40E74846"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03CC8292"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24/39</w:t>
            </w:r>
          </w:p>
          <w:p w14:paraId="57B9C60C"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(61.5)</w:t>
            </w:r>
          </w:p>
        </w:tc>
        <w:tc>
          <w:tcPr>
            <w:tcW w:w="1245" w:type="dxa"/>
          </w:tcPr>
          <w:p w14:paraId="0CEF9E3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43/68</w:t>
            </w:r>
          </w:p>
          <w:p w14:paraId="5F9668D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(63.2)</w:t>
            </w:r>
          </w:p>
        </w:tc>
        <w:tc>
          <w:tcPr>
            <w:tcW w:w="729" w:type="dxa"/>
          </w:tcPr>
          <w:p w14:paraId="2841FD44"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069DF3C5"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31/49</w:t>
            </w:r>
          </w:p>
          <w:p w14:paraId="749D8CC7"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(64.9)</w:t>
            </w:r>
          </w:p>
        </w:tc>
        <w:tc>
          <w:tcPr>
            <w:tcW w:w="1402" w:type="dxa"/>
          </w:tcPr>
          <w:p w14:paraId="5B2EA1A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36/58</w:t>
            </w:r>
          </w:p>
          <w:p w14:paraId="26FD85ED"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(60.5)</w:t>
            </w:r>
          </w:p>
        </w:tc>
        <w:tc>
          <w:tcPr>
            <w:tcW w:w="1019" w:type="dxa"/>
          </w:tcPr>
          <w:p w14:paraId="67079649" w14:textId="77777777" w:rsidR="007A4FDB" w:rsidRPr="00560D29" w:rsidRDefault="007A4FDB" w:rsidP="00560D29">
            <w:pPr>
              <w:adjustRightInd w:val="0"/>
              <w:snapToGrid w:val="0"/>
              <w:spacing w:line="360" w:lineRule="auto"/>
              <w:rPr>
                <w:rFonts w:ascii="Book Antiqua" w:hAnsi="Book Antiqua" w:cs="Arial"/>
              </w:rPr>
            </w:pPr>
          </w:p>
        </w:tc>
      </w:tr>
      <w:tr w:rsidR="007A4FDB" w:rsidRPr="00560D29" w14:paraId="14B7E466" w14:textId="77777777" w:rsidTr="00DB5F82">
        <w:trPr>
          <w:trHeight w:val="482"/>
        </w:trPr>
        <w:tc>
          <w:tcPr>
            <w:tcW w:w="2371" w:type="dxa"/>
          </w:tcPr>
          <w:p w14:paraId="63960148" w14:textId="77777777" w:rsidR="007A4FDB" w:rsidRPr="00560D29" w:rsidRDefault="007A4FDB" w:rsidP="00560D29">
            <w:pPr>
              <w:adjustRightInd w:val="0"/>
              <w:snapToGrid w:val="0"/>
              <w:spacing w:line="360" w:lineRule="auto"/>
              <w:rPr>
                <w:rFonts w:ascii="Book Antiqua" w:hAnsi="Book Antiqua" w:cs="Arial"/>
              </w:rPr>
            </w:pPr>
          </w:p>
        </w:tc>
        <w:tc>
          <w:tcPr>
            <w:tcW w:w="1362" w:type="dxa"/>
          </w:tcPr>
          <w:p w14:paraId="0CBC1395"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Poor</w:t>
            </w:r>
          </w:p>
        </w:tc>
        <w:tc>
          <w:tcPr>
            <w:tcW w:w="1463" w:type="dxa"/>
          </w:tcPr>
          <w:p w14:paraId="2647E83D"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21/65</w:t>
            </w:r>
          </w:p>
          <w:p w14:paraId="2FA52CF9"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(32.3)</w:t>
            </w:r>
          </w:p>
        </w:tc>
        <w:tc>
          <w:tcPr>
            <w:tcW w:w="1230" w:type="dxa"/>
          </w:tcPr>
          <w:p w14:paraId="6EBB2ADD"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9/42</w:t>
            </w:r>
          </w:p>
          <w:p w14:paraId="1D685B65"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(21.4)</w:t>
            </w:r>
          </w:p>
        </w:tc>
        <w:tc>
          <w:tcPr>
            <w:tcW w:w="886" w:type="dxa"/>
          </w:tcPr>
          <w:p w14:paraId="4786F5F3"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1F965754"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11/39</w:t>
            </w:r>
          </w:p>
          <w:p w14:paraId="65A0E224"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(28.2)</w:t>
            </w:r>
          </w:p>
        </w:tc>
        <w:tc>
          <w:tcPr>
            <w:tcW w:w="1245" w:type="dxa"/>
          </w:tcPr>
          <w:p w14:paraId="68107ADC"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19/68</w:t>
            </w:r>
          </w:p>
          <w:p w14:paraId="5B462675"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(28.0)</w:t>
            </w:r>
          </w:p>
        </w:tc>
        <w:tc>
          <w:tcPr>
            <w:tcW w:w="729" w:type="dxa"/>
          </w:tcPr>
          <w:p w14:paraId="2D3E3CDC" w14:textId="77777777" w:rsidR="007A4FDB" w:rsidRPr="00560D29" w:rsidRDefault="007A4FDB" w:rsidP="00560D29">
            <w:pPr>
              <w:adjustRightInd w:val="0"/>
              <w:snapToGrid w:val="0"/>
              <w:spacing w:line="360" w:lineRule="auto"/>
              <w:rPr>
                <w:rFonts w:ascii="Book Antiqua" w:hAnsi="Book Antiqua" w:cs="Arial"/>
              </w:rPr>
            </w:pPr>
          </w:p>
        </w:tc>
        <w:tc>
          <w:tcPr>
            <w:tcW w:w="1271" w:type="dxa"/>
          </w:tcPr>
          <w:p w14:paraId="47B17C0B"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t>13/49</w:t>
            </w:r>
          </w:p>
          <w:p w14:paraId="7EF08DB4"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(27.0)</w:t>
            </w:r>
          </w:p>
        </w:tc>
        <w:tc>
          <w:tcPr>
            <w:tcW w:w="1402" w:type="dxa"/>
          </w:tcPr>
          <w:p w14:paraId="6D793F2E"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17/58</w:t>
            </w:r>
          </w:p>
          <w:p w14:paraId="5F79AD3D" w14:textId="77777777" w:rsidR="007A4FDB" w:rsidRPr="00560D29" w:rsidRDefault="007A4FDB" w:rsidP="00560D29">
            <w:pPr>
              <w:adjustRightInd w:val="0"/>
              <w:snapToGrid w:val="0"/>
              <w:spacing w:line="360" w:lineRule="auto"/>
              <w:rPr>
                <w:rFonts w:ascii="Book Antiqua" w:hAnsi="Book Antiqua" w:cs="Arial"/>
              </w:rPr>
            </w:pPr>
            <w:r w:rsidRPr="00560D29">
              <w:rPr>
                <w:rFonts w:ascii="Book Antiqua" w:hAnsi="Book Antiqua" w:cs="Arial"/>
              </w:rPr>
              <w:lastRenderedPageBreak/>
              <w:t>(30.2)</w:t>
            </w:r>
          </w:p>
        </w:tc>
        <w:tc>
          <w:tcPr>
            <w:tcW w:w="1019" w:type="dxa"/>
          </w:tcPr>
          <w:p w14:paraId="59F7DBCB" w14:textId="77777777" w:rsidR="007A4FDB" w:rsidRPr="00560D29" w:rsidRDefault="007A4FDB" w:rsidP="00560D29">
            <w:pPr>
              <w:adjustRightInd w:val="0"/>
              <w:snapToGrid w:val="0"/>
              <w:spacing w:line="360" w:lineRule="auto"/>
              <w:rPr>
                <w:rFonts w:ascii="Book Antiqua" w:hAnsi="Book Antiqua" w:cs="Arial"/>
              </w:rPr>
            </w:pPr>
          </w:p>
        </w:tc>
      </w:tr>
      <w:tr w:rsidR="00DB5F82" w:rsidRPr="00560D29" w14:paraId="0A82C389" w14:textId="77777777" w:rsidTr="00DB5F82">
        <w:trPr>
          <w:trHeight w:val="482"/>
        </w:trPr>
        <w:tc>
          <w:tcPr>
            <w:tcW w:w="2371" w:type="dxa"/>
          </w:tcPr>
          <w:p w14:paraId="6D91654D" w14:textId="1A654EF1"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TNM stage</w:t>
            </w:r>
          </w:p>
        </w:tc>
        <w:tc>
          <w:tcPr>
            <w:tcW w:w="1362" w:type="dxa"/>
          </w:tcPr>
          <w:p w14:paraId="7DE82D03" w14:textId="3B9231E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I</w:t>
            </w:r>
          </w:p>
        </w:tc>
        <w:tc>
          <w:tcPr>
            <w:tcW w:w="1463" w:type="dxa"/>
          </w:tcPr>
          <w:p w14:paraId="7290D676" w14:textId="0F543E9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w:t>
            </w:r>
            <w:r w:rsidR="00A14082" w:rsidRPr="00560D29">
              <w:rPr>
                <w:rFonts w:ascii="Book Antiqua" w:hAnsi="Book Antiqua" w:cs="Arial"/>
              </w:rPr>
              <w:t>/</w:t>
            </w:r>
            <w:r w:rsidRPr="00560D29">
              <w:rPr>
                <w:rFonts w:ascii="Book Antiqua" w:hAnsi="Book Antiqua" w:cs="Arial"/>
              </w:rPr>
              <w:t>65</w:t>
            </w:r>
          </w:p>
          <w:p w14:paraId="4F13B79D" w14:textId="7AE9411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(6.1)</w:t>
            </w:r>
          </w:p>
        </w:tc>
        <w:tc>
          <w:tcPr>
            <w:tcW w:w="1230" w:type="dxa"/>
          </w:tcPr>
          <w:p w14:paraId="0B83E44B"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6/42</w:t>
            </w:r>
          </w:p>
          <w:p w14:paraId="4277CEB0" w14:textId="07D1F7EC"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(14.3)</w:t>
            </w:r>
          </w:p>
        </w:tc>
        <w:tc>
          <w:tcPr>
            <w:tcW w:w="886" w:type="dxa"/>
          </w:tcPr>
          <w:p w14:paraId="094108D0" w14:textId="048DF3B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0.29</w:t>
            </w:r>
          </w:p>
        </w:tc>
        <w:tc>
          <w:tcPr>
            <w:tcW w:w="1271" w:type="dxa"/>
          </w:tcPr>
          <w:p w14:paraId="54CAFEBB" w14:textId="1F26FD50"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w:t>
            </w:r>
            <w:r w:rsidR="00A14082" w:rsidRPr="00560D29">
              <w:rPr>
                <w:rFonts w:ascii="Book Antiqua" w:hAnsi="Book Antiqua" w:cs="Arial"/>
              </w:rPr>
              <w:t>/</w:t>
            </w:r>
            <w:r w:rsidRPr="00560D29">
              <w:rPr>
                <w:rFonts w:ascii="Book Antiqua" w:hAnsi="Book Antiqua" w:cs="Arial"/>
              </w:rPr>
              <w:t>39</w:t>
            </w:r>
          </w:p>
          <w:p w14:paraId="1EFBC2FF" w14:textId="1152023F"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(7.7)</w:t>
            </w:r>
          </w:p>
        </w:tc>
        <w:tc>
          <w:tcPr>
            <w:tcW w:w="1245" w:type="dxa"/>
          </w:tcPr>
          <w:p w14:paraId="7DBCE652" w14:textId="20AD1D2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7</w:t>
            </w:r>
            <w:r w:rsidR="00A14082" w:rsidRPr="00560D29">
              <w:rPr>
                <w:rFonts w:ascii="Book Antiqua" w:hAnsi="Book Antiqua" w:cs="Arial"/>
              </w:rPr>
              <w:t>/</w:t>
            </w:r>
            <w:r w:rsidRPr="00560D29">
              <w:rPr>
                <w:rFonts w:ascii="Book Antiqua" w:hAnsi="Book Antiqua" w:cs="Arial"/>
              </w:rPr>
              <w:t>68</w:t>
            </w:r>
          </w:p>
          <w:p w14:paraId="3B74634A" w14:textId="5DA64F9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(10.3)</w:t>
            </w:r>
          </w:p>
        </w:tc>
        <w:tc>
          <w:tcPr>
            <w:tcW w:w="729" w:type="dxa"/>
          </w:tcPr>
          <w:p w14:paraId="7B11DFA0" w14:textId="7DFDB58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0.59</w:t>
            </w:r>
          </w:p>
        </w:tc>
        <w:tc>
          <w:tcPr>
            <w:tcW w:w="1271" w:type="dxa"/>
          </w:tcPr>
          <w:p w14:paraId="092986D6"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1/49</w:t>
            </w:r>
          </w:p>
          <w:p w14:paraId="77BD03D8" w14:textId="1926793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(2.0)</w:t>
            </w:r>
          </w:p>
        </w:tc>
        <w:tc>
          <w:tcPr>
            <w:tcW w:w="1402" w:type="dxa"/>
          </w:tcPr>
          <w:p w14:paraId="7404F2AB"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9/58</w:t>
            </w:r>
          </w:p>
          <w:p w14:paraId="29496616" w14:textId="7CDE731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(15.5)</w:t>
            </w:r>
          </w:p>
        </w:tc>
        <w:tc>
          <w:tcPr>
            <w:tcW w:w="1019" w:type="dxa"/>
          </w:tcPr>
          <w:p w14:paraId="7FDE3421" w14:textId="759AC4C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&lt; 0.01</w:t>
            </w:r>
          </w:p>
        </w:tc>
      </w:tr>
      <w:tr w:rsidR="00DB5F82" w:rsidRPr="00560D29" w14:paraId="025246DF" w14:textId="77777777" w:rsidTr="00DB5F82">
        <w:trPr>
          <w:trHeight w:val="482"/>
        </w:trPr>
        <w:tc>
          <w:tcPr>
            <w:tcW w:w="2371" w:type="dxa"/>
          </w:tcPr>
          <w:p w14:paraId="5D29AED4"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2324E1BF" w14:textId="765A14E1"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II</w:t>
            </w:r>
          </w:p>
        </w:tc>
        <w:tc>
          <w:tcPr>
            <w:tcW w:w="1463" w:type="dxa"/>
          </w:tcPr>
          <w:p w14:paraId="78DFF232"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13/65</w:t>
            </w:r>
          </w:p>
          <w:p w14:paraId="58F510FC" w14:textId="11A57EA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(20.0)</w:t>
            </w:r>
          </w:p>
        </w:tc>
        <w:tc>
          <w:tcPr>
            <w:tcW w:w="1230" w:type="dxa"/>
          </w:tcPr>
          <w:p w14:paraId="48C2644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7/42</w:t>
            </w:r>
          </w:p>
          <w:p w14:paraId="4C998104" w14:textId="133DA600"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(16.7)</w:t>
            </w:r>
          </w:p>
        </w:tc>
        <w:tc>
          <w:tcPr>
            <w:tcW w:w="886" w:type="dxa"/>
          </w:tcPr>
          <w:p w14:paraId="37F75EC1"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10145194" w14:textId="3B7F606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9</w:t>
            </w:r>
            <w:r w:rsidR="00A14082" w:rsidRPr="00560D29">
              <w:rPr>
                <w:rFonts w:ascii="Book Antiqua" w:hAnsi="Book Antiqua" w:cs="Arial"/>
              </w:rPr>
              <w:t>/</w:t>
            </w:r>
            <w:r w:rsidRPr="00560D29">
              <w:rPr>
                <w:rFonts w:ascii="Book Antiqua" w:hAnsi="Book Antiqua" w:cs="Arial"/>
              </w:rPr>
              <w:t>39</w:t>
            </w:r>
          </w:p>
          <w:p w14:paraId="27FAE5F6" w14:textId="4AE18FE1"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(23.1)</w:t>
            </w:r>
          </w:p>
        </w:tc>
        <w:tc>
          <w:tcPr>
            <w:tcW w:w="1245" w:type="dxa"/>
          </w:tcPr>
          <w:p w14:paraId="3518F8F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11/68</w:t>
            </w:r>
          </w:p>
          <w:p w14:paraId="5F54CBA8" w14:textId="67B5CE22"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(16.2)</w:t>
            </w:r>
          </w:p>
        </w:tc>
        <w:tc>
          <w:tcPr>
            <w:tcW w:w="729" w:type="dxa"/>
          </w:tcPr>
          <w:p w14:paraId="5315DC33"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1C3F2A39"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5/49</w:t>
            </w:r>
          </w:p>
          <w:p w14:paraId="08AD6726" w14:textId="3E439829"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(10.2)</w:t>
            </w:r>
          </w:p>
        </w:tc>
        <w:tc>
          <w:tcPr>
            <w:tcW w:w="1402" w:type="dxa"/>
          </w:tcPr>
          <w:p w14:paraId="4231335D"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15/58</w:t>
            </w:r>
          </w:p>
          <w:p w14:paraId="7F5ACF61" w14:textId="748C41C9"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(25.9)</w:t>
            </w:r>
          </w:p>
        </w:tc>
        <w:tc>
          <w:tcPr>
            <w:tcW w:w="1019" w:type="dxa"/>
          </w:tcPr>
          <w:p w14:paraId="59D2AD61" w14:textId="77777777" w:rsidR="00DB5F82" w:rsidRPr="00560D29" w:rsidRDefault="00DB5F82" w:rsidP="00560D29">
            <w:pPr>
              <w:adjustRightInd w:val="0"/>
              <w:snapToGrid w:val="0"/>
              <w:spacing w:line="360" w:lineRule="auto"/>
              <w:rPr>
                <w:rFonts w:ascii="Book Antiqua" w:hAnsi="Book Antiqua" w:cs="Arial"/>
              </w:rPr>
            </w:pPr>
          </w:p>
        </w:tc>
      </w:tr>
      <w:tr w:rsidR="00DB5F82" w:rsidRPr="00560D29" w14:paraId="47C1103A" w14:textId="77777777" w:rsidTr="00DB5F82">
        <w:trPr>
          <w:trHeight w:val="482"/>
        </w:trPr>
        <w:tc>
          <w:tcPr>
            <w:tcW w:w="2371" w:type="dxa"/>
          </w:tcPr>
          <w:p w14:paraId="52E1569F"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29C4F591" w14:textId="549854D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III</w:t>
            </w:r>
          </w:p>
        </w:tc>
        <w:tc>
          <w:tcPr>
            <w:tcW w:w="1463" w:type="dxa"/>
          </w:tcPr>
          <w:p w14:paraId="72FB98C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30/65</w:t>
            </w:r>
          </w:p>
          <w:p w14:paraId="040D936C" w14:textId="76B54ACD"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(46.2)</w:t>
            </w:r>
          </w:p>
        </w:tc>
        <w:tc>
          <w:tcPr>
            <w:tcW w:w="1230" w:type="dxa"/>
          </w:tcPr>
          <w:p w14:paraId="5312A9B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19/42</w:t>
            </w:r>
          </w:p>
          <w:p w14:paraId="17DD3E40" w14:textId="3891192F"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(45.2)</w:t>
            </w:r>
          </w:p>
        </w:tc>
        <w:tc>
          <w:tcPr>
            <w:tcW w:w="886" w:type="dxa"/>
          </w:tcPr>
          <w:p w14:paraId="1DA9D094"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1C2E0F4B" w14:textId="072145A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17</w:t>
            </w:r>
            <w:r w:rsidR="00A14082" w:rsidRPr="00560D29">
              <w:rPr>
                <w:rFonts w:ascii="Book Antiqua" w:hAnsi="Book Antiqua" w:cs="Arial"/>
              </w:rPr>
              <w:t>/</w:t>
            </w:r>
            <w:r w:rsidRPr="00560D29">
              <w:rPr>
                <w:rFonts w:ascii="Book Antiqua" w:hAnsi="Book Antiqua" w:cs="Arial"/>
              </w:rPr>
              <w:t>39</w:t>
            </w:r>
          </w:p>
          <w:p w14:paraId="16B38181" w14:textId="16B46B66"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(43.6)</w:t>
            </w:r>
          </w:p>
        </w:tc>
        <w:tc>
          <w:tcPr>
            <w:tcW w:w="1245" w:type="dxa"/>
          </w:tcPr>
          <w:p w14:paraId="5407D2BF"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32/68</w:t>
            </w:r>
          </w:p>
          <w:p w14:paraId="7F7BED21" w14:textId="761BB06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(47.1)</w:t>
            </w:r>
          </w:p>
        </w:tc>
        <w:tc>
          <w:tcPr>
            <w:tcW w:w="729" w:type="dxa"/>
          </w:tcPr>
          <w:p w14:paraId="5044FED4"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11B45DF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22/49</w:t>
            </w:r>
          </w:p>
          <w:p w14:paraId="01F0DDF7" w14:textId="4F8495E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(44.9)</w:t>
            </w:r>
          </w:p>
        </w:tc>
        <w:tc>
          <w:tcPr>
            <w:tcW w:w="1402" w:type="dxa"/>
          </w:tcPr>
          <w:p w14:paraId="2C77B754"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27/58</w:t>
            </w:r>
          </w:p>
          <w:p w14:paraId="10800322" w14:textId="515CFEE6"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(46.6)</w:t>
            </w:r>
          </w:p>
        </w:tc>
        <w:tc>
          <w:tcPr>
            <w:tcW w:w="1019" w:type="dxa"/>
          </w:tcPr>
          <w:p w14:paraId="1A04DDE3" w14:textId="77777777" w:rsidR="00DB5F82" w:rsidRPr="00560D29" w:rsidRDefault="00DB5F82" w:rsidP="00560D29">
            <w:pPr>
              <w:adjustRightInd w:val="0"/>
              <w:snapToGrid w:val="0"/>
              <w:spacing w:line="360" w:lineRule="auto"/>
              <w:rPr>
                <w:rFonts w:ascii="Book Antiqua" w:hAnsi="Book Antiqua" w:cs="Arial"/>
              </w:rPr>
            </w:pPr>
          </w:p>
        </w:tc>
      </w:tr>
      <w:tr w:rsidR="00DB5F82" w:rsidRPr="00560D29" w14:paraId="6ED760D9" w14:textId="77777777" w:rsidTr="00DB5F82">
        <w:trPr>
          <w:trHeight w:val="482"/>
        </w:trPr>
        <w:tc>
          <w:tcPr>
            <w:tcW w:w="2371" w:type="dxa"/>
          </w:tcPr>
          <w:p w14:paraId="45943DF0"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631902B7" w14:textId="57AB4A5C"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IV</w:t>
            </w:r>
          </w:p>
        </w:tc>
        <w:tc>
          <w:tcPr>
            <w:tcW w:w="1463" w:type="dxa"/>
          </w:tcPr>
          <w:p w14:paraId="61508A0E"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18/65</w:t>
            </w:r>
          </w:p>
          <w:p w14:paraId="518A2136" w14:textId="0DECE31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(27.7)</w:t>
            </w:r>
          </w:p>
        </w:tc>
        <w:tc>
          <w:tcPr>
            <w:tcW w:w="1230" w:type="dxa"/>
          </w:tcPr>
          <w:p w14:paraId="7E071E7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10/42</w:t>
            </w:r>
          </w:p>
          <w:p w14:paraId="3B2902B0" w14:textId="7861BBB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(23.8)</w:t>
            </w:r>
          </w:p>
        </w:tc>
        <w:tc>
          <w:tcPr>
            <w:tcW w:w="886" w:type="dxa"/>
          </w:tcPr>
          <w:p w14:paraId="2F58ED42"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32C4E704" w14:textId="2AA2F8A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10</w:t>
            </w:r>
            <w:r w:rsidR="00A14082" w:rsidRPr="00560D29">
              <w:rPr>
                <w:rFonts w:ascii="Book Antiqua" w:hAnsi="Book Antiqua" w:cs="Arial"/>
              </w:rPr>
              <w:t>/</w:t>
            </w:r>
            <w:r w:rsidRPr="00560D29">
              <w:rPr>
                <w:rFonts w:ascii="Book Antiqua" w:hAnsi="Book Antiqua" w:cs="Arial"/>
              </w:rPr>
              <w:t>39</w:t>
            </w:r>
          </w:p>
          <w:p w14:paraId="0192D638" w14:textId="174A6DE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(25.6)</w:t>
            </w:r>
          </w:p>
        </w:tc>
        <w:tc>
          <w:tcPr>
            <w:tcW w:w="1245" w:type="dxa"/>
          </w:tcPr>
          <w:p w14:paraId="7DF8658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18/68</w:t>
            </w:r>
          </w:p>
          <w:p w14:paraId="7930E2A1" w14:textId="0FB99C30"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(26.4)</w:t>
            </w:r>
          </w:p>
        </w:tc>
        <w:tc>
          <w:tcPr>
            <w:tcW w:w="729" w:type="dxa"/>
          </w:tcPr>
          <w:p w14:paraId="637334D8"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1DEFDEE7"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21/49</w:t>
            </w:r>
          </w:p>
          <w:p w14:paraId="55BF3FAC" w14:textId="1647040F"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(42.9)</w:t>
            </w:r>
          </w:p>
        </w:tc>
        <w:tc>
          <w:tcPr>
            <w:tcW w:w="1402" w:type="dxa"/>
          </w:tcPr>
          <w:p w14:paraId="3D737982"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7/58</w:t>
            </w:r>
          </w:p>
          <w:p w14:paraId="24FA9755" w14:textId="29239E73"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(12.0)</w:t>
            </w:r>
          </w:p>
        </w:tc>
        <w:tc>
          <w:tcPr>
            <w:tcW w:w="1019" w:type="dxa"/>
          </w:tcPr>
          <w:p w14:paraId="3C8C564B" w14:textId="77777777" w:rsidR="00DB5F82" w:rsidRPr="00560D29" w:rsidRDefault="00DB5F82" w:rsidP="00560D29">
            <w:pPr>
              <w:adjustRightInd w:val="0"/>
              <w:snapToGrid w:val="0"/>
              <w:spacing w:line="360" w:lineRule="auto"/>
              <w:rPr>
                <w:rFonts w:ascii="Book Antiqua" w:hAnsi="Book Antiqua" w:cs="Arial"/>
              </w:rPr>
            </w:pPr>
          </w:p>
        </w:tc>
      </w:tr>
      <w:tr w:rsidR="00DB5F82" w:rsidRPr="00560D29" w14:paraId="7B5117C4" w14:textId="77777777" w:rsidTr="00DB5F82">
        <w:trPr>
          <w:trHeight w:val="482"/>
        </w:trPr>
        <w:tc>
          <w:tcPr>
            <w:tcW w:w="2371" w:type="dxa"/>
          </w:tcPr>
          <w:p w14:paraId="0AF329DD" w14:textId="141F9161"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Lymph node metastasis</w:t>
            </w:r>
          </w:p>
        </w:tc>
        <w:tc>
          <w:tcPr>
            <w:tcW w:w="1362" w:type="dxa"/>
          </w:tcPr>
          <w:p w14:paraId="2D99AAEC" w14:textId="1A18E020"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Negative</w:t>
            </w:r>
          </w:p>
        </w:tc>
        <w:tc>
          <w:tcPr>
            <w:tcW w:w="1463" w:type="dxa"/>
          </w:tcPr>
          <w:p w14:paraId="475AF3B5"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25/65</w:t>
            </w:r>
          </w:p>
          <w:p w14:paraId="7B3EFCF1" w14:textId="65715DB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(38.5)</w:t>
            </w:r>
          </w:p>
        </w:tc>
        <w:tc>
          <w:tcPr>
            <w:tcW w:w="1230" w:type="dxa"/>
          </w:tcPr>
          <w:p w14:paraId="5EEDAA38"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22/42</w:t>
            </w:r>
          </w:p>
          <w:p w14:paraId="3A7AA841" w14:textId="33752D2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(52.4)</w:t>
            </w:r>
          </w:p>
        </w:tc>
        <w:tc>
          <w:tcPr>
            <w:tcW w:w="886" w:type="dxa"/>
          </w:tcPr>
          <w:p w14:paraId="0E95A573" w14:textId="704F436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0.08</w:t>
            </w:r>
          </w:p>
        </w:tc>
        <w:tc>
          <w:tcPr>
            <w:tcW w:w="1271" w:type="dxa"/>
          </w:tcPr>
          <w:p w14:paraId="2BD97759"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18/39</w:t>
            </w:r>
          </w:p>
          <w:p w14:paraId="1DF8EC78" w14:textId="31FECE9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(46.2)</w:t>
            </w:r>
          </w:p>
        </w:tc>
        <w:tc>
          <w:tcPr>
            <w:tcW w:w="1245" w:type="dxa"/>
          </w:tcPr>
          <w:p w14:paraId="18172244"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29/68</w:t>
            </w:r>
          </w:p>
          <w:p w14:paraId="71947A34" w14:textId="596157AC"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(42.6)</w:t>
            </w:r>
          </w:p>
        </w:tc>
        <w:tc>
          <w:tcPr>
            <w:tcW w:w="729" w:type="dxa"/>
          </w:tcPr>
          <w:p w14:paraId="68210916" w14:textId="35FBAB50"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0.78</w:t>
            </w:r>
          </w:p>
        </w:tc>
        <w:tc>
          <w:tcPr>
            <w:tcW w:w="1271" w:type="dxa"/>
          </w:tcPr>
          <w:p w14:paraId="566675EB" w14:textId="26A0DB4D"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24/49(49.0)</w:t>
            </w:r>
          </w:p>
        </w:tc>
        <w:tc>
          <w:tcPr>
            <w:tcW w:w="1402" w:type="dxa"/>
          </w:tcPr>
          <w:p w14:paraId="66B7BD43"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23/58</w:t>
            </w:r>
          </w:p>
          <w:p w14:paraId="33C6ABE9" w14:textId="0AEBDBCD"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(39.7)</w:t>
            </w:r>
          </w:p>
        </w:tc>
        <w:tc>
          <w:tcPr>
            <w:tcW w:w="1019" w:type="dxa"/>
          </w:tcPr>
          <w:p w14:paraId="67BDE6EE" w14:textId="2AFFCD3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0.26</w:t>
            </w:r>
          </w:p>
        </w:tc>
      </w:tr>
      <w:tr w:rsidR="00DB5F82" w:rsidRPr="00560D29" w14:paraId="21A24A5F" w14:textId="77777777" w:rsidTr="00DB5F82">
        <w:trPr>
          <w:trHeight w:val="482"/>
        </w:trPr>
        <w:tc>
          <w:tcPr>
            <w:tcW w:w="2371" w:type="dxa"/>
          </w:tcPr>
          <w:p w14:paraId="318F6EEB"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669EFA05" w14:textId="6A0BF08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Positive</w:t>
            </w:r>
          </w:p>
        </w:tc>
        <w:tc>
          <w:tcPr>
            <w:tcW w:w="1463" w:type="dxa"/>
          </w:tcPr>
          <w:p w14:paraId="671873D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40/65</w:t>
            </w:r>
          </w:p>
          <w:p w14:paraId="7BEA8B0C" w14:textId="051BA96D"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(61.5)</w:t>
            </w:r>
          </w:p>
        </w:tc>
        <w:tc>
          <w:tcPr>
            <w:tcW w:w="1230" w:type="dxa"/>
          </w:tcPr>
          <w:p w14:paraId="559CD045"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20/42</w:t>
            </w:r>
          </w:p>
          <w:p w14:paraId="6FE54783" w14:textId="4ABEF171"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(47.6)</w:t>
            </w:r>
          </w:p>
        </w:tc>
        <w:tc>
          <w:tcPr>
            <w:tcW w:w="886" w:type="dxa"/>
          </w:tcPr>
          <w:p w14:paraId="49F56C0B"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1273CA0F"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21/39</w:t>
            </w:r>
          </w:p>
          <w:p w14:paraId="673EBAC9" w14:textId="59F2E1B2"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(53.8)</w:t>
            </w:r>
          </w:p>
        </w:tc>
        <w:tc>
          <w:tcPr>
            <w:tcW w:w="1245" w:type="dxa"/>
          </w:tcPr>
          <w:p w14:paraId="5736D287"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39/68</w:t>
            </w:r>
          </w:p>
          <w:p w14:paraId="6C909439" w14:textId="249164A6"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(57.4)</w:t>
            </w:r>
          </w:p>
        </w:tc>
        <w:tc>
          <w:tcPr>
            <w:tcW w:w="729" w:type="dxa"/>
          </w:tcPr>
          <w:p w14:paraId="01933B6F"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001D5754"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25/49</w:t>
            </w:r>
          </w:p>
          <w:p w14:paraId="085BB405" w14:textId="39C619F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(51.0)</w:t>
            </w:r>
          </w:p>
        </w:tc>
        <w:tc>
          <w:tcPr>
            <w:tcW w:w="1402" w:type="dxa"/>
          </w:tcPr>
          <w:p w14:paraId="5F1AA352"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35/58</w:t>
            </w:r>
          </w:p>
          <w:p w14:paraId="4115DB1D" w14:textId="2AFAAF73"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(60.3)</w:t>
            </w:r>
          </w:p>
        </w:tc>
        <w:tc>
          <w:tcPr>
            <w:tcW w:w="1019" w:type="dxa"/>
          </w:tcPr>
          <w:p w14:paraId="7E83CED2" w14:textId="77777777" w:rsidR="00DB5F82" w:rsidRPr="00560D29" w:rsidRDefault="00DB5F82" w:rsidP="00560D29">
            <w:pPr>
              <w:adjustRightInd w:val="0"/>
              <w:snapToGrid w:val="0"/>
              <w:spacing w:line="360" w:lineRule="auto"/>
              <w:rPr>
                <w:rFonts w:ascii="Book Antiqua" w:hAnsi="Book Antiqua" w:cs="Arial"/>
              </w:rPr>
            </w:pPr>
          </w:p>
        </w:tc>
      </w:tr>
      <w:tr w:rsidR="00DB5F82" w:rsidRPr="00560D29" w14:paraId="0C73728B" w14:textId="77777777" w:rsidTr="00DB5F82">
        <w:trPr>
          <w:trHeight w:val="482"/>
        </w:trPr>
        <w:tc>
          <w:tcPr>
            <w:tcW w:w="2371" w:type="dxa"/>
          </w:tcPr>
          <w:p w14:paraId="1EDA5E35" w14:textId="335E1492"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Neural invasion</w:t>
            </w:r>
          </w:p>
        </w:tc>
        <w:tc>
          <w:tcPr>
            <w:tcW w:w="1362" w:type="dxa"/>
          </w:tcPr>
          <w:p w14:paraId="3A5CD60B" w14:textId="3B47E19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Negative</w:t>
            </w:r>
          </w:p>
        </w:tc>
        <w:tc>
          <w:tcPr>
            <w:tcW w:w="1463" w:type="dxa"/>
          </w:tcPr>
          <w:p w14:paraId="4FA5E1F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22/65</w:t>
            </w:r>
          </w:p>
          <w:p w14:paraId="168C4615" w14:textId="29DB0D49"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(33.8)</w:t>
            </w:r>
          </w:p>
        </w:tc>
        <w:tc>
          <w:tcPr>
            <w:tcW w:w="1230" w:type="dxa"/>
          </w:tcPr>
          <w:p w14:paraId="53997EB6"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17/42</w:t>
            </w:r>
          </w:p>
          <w:p w14:paraId="1E693E31" w14:textId="429EFA1D"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(40.5)</w:t>
            </w:r>
          </w:p>
        </w:tc>
        <w:tc>
          <w:tcPr>
            <w:tcW w:w="886" w:type="dxa"/>
          </w:tcPr>
          <w:p w14:paraId="468397DF" w14:textId="67EDF6E3"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0.38</w:t>
            </w:r>
          </w:p>
        </w:tc>
        <w:tc>
          <w:tcPr>
            <w:tcW w:w="1271" w:type="dxa"/>
          </w:tcPr>
          <w:p w14:paraId="2F253FD4"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18/39</w:t>
            </w:r>
          </w:p>
          <w:p w14:paraId="41661716" w14:textId="430E67E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(46.2)</w:t>
            </w:r>
          </w:p>
        </w:tc>
        <w:tc>
          <w:tcPr>
            <w:tcW w:w="1245" w:type="dxa"/>
          </w:tcPr>
          <w:p w14:paraId="1AB5ECFB"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21/68</w:t>
            </w:r>
          </w:p>
          <w:p w14:paraId="04906F01" w14:textId="505112A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(42.6)</w:t>
            </w:r>
          </w:p>
        </w:tc>
        <w:tc>
          <w:tcPr>
            <w:tcW w:w="729" w:type="dxa"/>
          </w:tcPr>
          <w:p w14:paraId="33FF1BD5" w14:textId="514576B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0.78</w:t>
            </w:r>
          </w:p>
        </w:tc>
        <w:tc>
          <w:tcPr>
            <w:tcW w:w="1271" w:type="dxa"/>
          </w:tcPr>
          <w:p w14:paraId="70E859D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17/49</w:t>
            </w:r>
          </w:p>
          <w:p w14:paraId="5CDB8322" w14:textId="1CCA9320"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(34.7)</w:t>
            </w:r>
          </w:p>
        </w:tc>
        <w:tc>
          <w:tcPr>
            <w:tcW w:w="1402" w:type="dxa"/>
          </w:tcPr>
          <w:p w14:paraId="227AF13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22/58</w:t>
            </w:r>
          </w:p>
          <w:p w14:paraId="6C429780" w14:textId="6183B1F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(37.9)</w:t>
            </w:r>
          </w:p>
        </w:tc>
        <w:tc>
          <w:tcPr>
            <w:tcW w:w="1019" w:type="dxa"/>
          </w:tcPr>
          <w:p w14:paraId="51BAF5C5" w14:textId="144FA11C"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0.77</w:t>
            </w:r>
          </w:p>
        </w:tc>
      </w:tr>
      <w:tr w:rsidR="00DB5F82" w:rsidRPr="00560D29" w14:paraId="3CE08C8B" w14:textId="77777777" w:rsidTr="00DB5F82">
        <w:trPr>
          <w:trHeight w:val="925"/>
        </w:trPr>
        <w:tc>
          <w:tcPr>
            <w:tcW w:w="2371" w:type="dxa"/>
          </w:tcPr>
          <w:p w14:paraId="288BC7B5"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15793CCE" w14:textId="0D7C7C5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Positive</w:t>
            </w:r>
          </w:p>
        </w:tc>
        <w:tc>
          <w:tcPr>
            <w:tcW w:w="1463" w:type="dxa"/>
          </w:tcPr>
          <w:p w14:paraId="7BBA4F18"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43/65</w:t>
            </w:r>
          </w:p>
          <w:p w14:paraId="671E5A57" w14:textId="35794ED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(66.2)</w:t>
            </w:r>
          </w:p>
        </w:tc>
        <w:tc>
          <w:tcPr>
            <w:tcW w:w="1230" w:type="dxa"/>
          </w:tcPr>
          <w:p w14:paraId="09D28984"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25/42</w:t>
            </w:r>
          </w:p>
          <w:p w14:paraId="127C9B97" w14:textId="6CF246A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(59.5)</w:t>
            </w:r>
          </w:p>
        </w:tc>
        <w:tc>
          <w:tcPr>
            <w:tcW w:w="886" w:type="dxa"/>
          </w:tcPr>
          <w:p w14:paraId="5169BD7B"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258D22E7"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21/39</w:t>
            </w:r>
          </w:p>
          <w:p w14:paraId="6096F86A" w14:textId="3280AE3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(53.8)</w:t>
            </w:r>
          </w:p>
        </w:tc>
        <w:tc>
          <w:tcPr>
            <w:tcW w:w="1245" w:type="dxa"/>
          </w:tcPr>
          <w:p w14:paraId="0DA94E74"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39/68</w:t>
            </w:r>
          </w:p>
          <w:p w14:paraId="1AC4E775" w14:textId="5E4AB802"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(57.4)</w:t>
            </w:r>
          </w:p>
        </w:tc>
        <w:tc>
          <w:tcPr>
            <w:tcW w:w="729" w:type="dxa"/>
          </w:tcPr>
          <w:p w14:paraId="0EF02B07"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562A6447"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32/49</w:t>
            </w:r>
          </w:p>
          <w:p w14:paraId="2EAF75E0" w14:textId="3355D72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(65.3)</w:t>
            </w:r>
          </w:p>
        </w:tc>
        <w:tc>
          <w:tcPr>
            <w:tcW w:w="1402" w:type="dxa"/>
          </w:tcPr>
          <w:p w14:paraId="7F2CBBF3"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36/58</w:t>
            </w:r>
          </w:p>
          <w:p w14:paraId="1C49CD0C" w14:textId="72335AF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(62.1)</w:t>
            </w:r>
          </w:p>
        </w:tc>
        <w:tc>
          <w:tcPr>
            <w:tcW w:w="1019" w:type="dxa"/>
          </w:tcPr>
          <w:p w14:paraId="564C0173" w14:textId="77777777" w:rsidR="00DB5F82" w:rsidRPr="00560D29" w:rsidRDefault="00DB5F82" w:rsidP="00560D29">
            <w:pPr>
              <w:adjustRightInd w:val="0"/>
              <w:snapToGrid w:val="0"/>
              <w:spacing w:line="360" w:lineRule="auto"/>
              <w:rPr>
                <w:rFonts w:ascii="Book Antiqua" w:hAnsi="Book Antiqua" w:cs="Arial"/>
              </w:rPr>
            </w:pPr>
          </w:p>
        </w:tc>
      </w:tr>
      <w:tr w:rsidR="00DB5F82" w:rsidRPr="00560D29" w14:paraId="5906B185" w14:textId="77777777" w:rsidTr="00DB5F82">
        <w:trPr>
          <w:trHeight w:val="482"/>
        </w:trPr>
        <w:tc>
          <w:tcPr>
            <w:tcW w:w="2371" w:type="dxa"/>
          </w:tcPr>
          <w:p w14:paraId="5B3DB4EB" w14:textId="70D51A1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Distant metastasis</w:t>
            </w:r>
          </w:p>
        </w:tc>
        <w:tc>
          <w:tcPr>
            <w:tcW w:w="1362" w:type="dxa"/>
          </w:tcPr>
          <w:p w14:paraId="69529547" w14:textId="3A573FAC"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Negative</w:t>
            </w:r>
          </w:p>
        </w:tc>
        <w:tc>
          <w:tcPr>
            <w:tcW w:w="1463" w:type="dxa"/>
          </w:tcPr>
          <w:p w14:paraId="40327670"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46/65</w:t>
            </w:r>
          </w:p>
          <w:p w14:paraId="2035B2F1" w14:textId="6AF66F11"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(70.8)</w:t>
            </w:r>
          </w:p>
        </w:tc>
        <w:tc>
          <w:tcPr>
            <w:tcW w:w="1230" w:type="dxa"/>
          </w:tcPr>
          <w:p w14:paraId="0B0FCAD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33/42</w:t>
            </w:r>
          </w:p>
          <w:p w14:paraId="471E7B7A" w14:textId="77E5C16B"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(78.6)</w:t>
            </w:r>
          </w:p>
        </w:tc>
        <w:tc>
          <w:tcPr>
            <w:tcW w:w="886" w:type="dxa"/>
          </w:tcPr>
          <w:p w14:paraId="7773CC70" w14:textId="443A16DD"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0.25</w:t>
            </w:r>
          </w:p>
        </w:tc>
        <w:tc>
          <w:tcPr>
            <w:tcW w:w="1271" w:type="dxa"/>
          </w:tcPr>
          <w:p w14:paraId="038BF2D5"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27/39</w:t>
            </w:r>
          </w:p>
          <w:p w14:paraId="3076CBB7" w14:textId="2AEF80FD"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(69.2)</w:t>
            </w:r>
          </w:p>
        </w:tc>
        <w:tc>
          <w:tcPr>
            <w:tcW w:w="1245" w:type="dxa"/>
          </w:tcPr>
          <w:p w14:paraId="413438CF"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52/68</w:t>
            </w:r>
          </w:p>
          <w:p w14:paraId="5871FC07" w14:textId="0B74414F"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(76.5)</w:t>
            </w:r>
          </w:p>
        </w:tc>
        <w:tc>
          <w:tcPr>
            <w:tcW w:w="729" w:type="dxa"/>
          </w:tcPr>
          <w:p w14:paraId="27DE7C80" w14:textId="05FA1A9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0.26</w:t>
            </w:r>
          </w:p>
        </w:tc>
        <w:tc>
          <w:tcPr>
            <w:tcW w:w="1271" w:type="dxa"/>
          </w:tcPr>
          <w:p w14:paraId="66DAD0BF"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25/49</w:t>
            </w:r>
          </w:p>
          <w:p w14:paraId="1D5AF9D1" w14:textId="73870A92"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(51.0)</w:t>
            </w:r>
          </w:p>
        </w:tc>
        <w:tc>
          <w:tcPr>
            <w:tcW w:w="1402" w:type="dxa"/>
          </w:tcPr>
          <w:p w14:paraId="1EAD856B"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54/58</w:t>
            </w:r>
          </w:p>
          <w:p w14:paraId="462E8D0F" w14:textId="01E40F73"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(93.1)</w:t>
            </w:r>
          </w:p>
        </w:tc>
        <w:tc>
          <w:tcPr>
            <w:tcW w:w="1019" w:type="dxa"/>
          </w:tcPr>
          <w:p w14:paraId="02E652E4" w14:textId="4D7B8146"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lastRenderedPageBreak/>
              <w:t>&lt; 0.01</w:t>
            </w:r>
          </w:p>
        </w:tc>
      </w:tr>
      <w:tr w:rsidR="00DB5F82" w:rsidRPr="00560D29" w14:paraId="01364660" w14:textId="77777777" w:rsidTr="00DB5F82">
        <w:trPr>
          <w:trHeight w:val="482"/>
        </w:trPr>
        <w:tc>
          <w:tcPr>
            <w:tcW w:w="2371" w:type="dxa"/>
          </w:tcPr>
          <w:p w14:paraId="5976BCF8"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3B3C5747" w14:textId="1A368F2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Positive</w:t>
            </w:r>
          </w:p>
        </w:tc>
        <w:tc>
          <w:tcPr>
            <w:tcW w:w="1463" w:type="dxa"/>
          </w:tcPr>
          <w:p w14:paraId="3A1E2FBF"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19/65</w:t>
            </w:r>
          </w:p>
          <w:p w14:paraId="14ED08D3" w14:textId="331A854C"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(29.2)</w:t>
            </w:r>
          </w:p>
        </w:tc>
        <w:tc>
          <w:tcPr>
            <w:tcW w:w="1230" w:type="dxa"/>
          </w:tcPr>
          <w:p w14:paraId="1B787ABF"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9/42</w:t>
            </w:r>
          </w:p>
          <w:p w14:paraId="64784BCF" w14:textId="7809A57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(21.4)</w:t>
            </w:r>
          </w:p>
        </w:tc>
        <w:tc>
          <w:tcPr>
            <w:tcW w:w="886" w:type="dxa"/>
          </w:tcPr>
          <w:p w14:paraId="76013723"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251D82ED"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12/39</w:t>
            </w:r>
          </w:p>
          <w:p w14:paraId="27AD2BFB" w14:textId="783476A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(30.8)</w:t>
            </w:r>
          </w:p>
        </w:tc>
        <w:tc>
          <w:tcPr>
            <w:tcW w:w="1245" w:type="dxa"/>
          </w:tcPr>
          <w:p w14:paraId="0FB95D49"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16/68</w:t>
            </w:r>
          </w:p>
          <w:p w14:paraId="397D162C" w14:textId="553C6101"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(23.5)</w:t>
            </w:r>
          </w:p>
        </w:tc>
        <w:tc>
          <w:tcPr>
            <w:tcW w:w="729" w:type="dxa"/>
          </w:tcPr>
          <w:p w14:paraId="0EC87599"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0862590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24/49</w:t>
            </w:r>
          </w:p>
          <w:p w14:paraId="3B54195E" w14:textId="3FFD359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(49.0)</w:t>
            </w:r>
          </w:p>
        </w:tc>
        <w:tc>
          <w:tcPr>
            <w:tcW w:w="1402" w:type="dxa"/>
          </w:tcPr>
          <w:p w14:paraId="6FFD7423"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4/58</w:t>
            </w:r>
          </w:p>
          <w:p w14:paraId="245DFA20" w14:textId="695D48D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(6.9)</w:t>
            </w:r>
          </w:p>
        </w:tc>
        <w:tc>
          <w:tcPr>
            <w:tcW w:w="1019" w:type="dxa"/>
          </w:tcPr>
          <w:p w14:paraId="44516256" w14:textId="77777777" w:rsidR="00DB5F82" w:rsidRPr="00560D29" w:rsidRDefault="00DB5F82" w:rsidP="00560D29">
            <w:pPr>
              <w:adjustRightInd w:val="0"/>
              <w:snapToGrid w:val="0"/>
              <w:spacing w:line="360" w:lineRule="auto"/>
              <w:rPr>
                <w:rFonts w:ascii="Book Antiqua" w:hAnsi="Book Antiqua" w:cs="Arial"/>
              </w:rPr>
            </w:pPr>
          </w:p>
        </w:tc>
      </w:tr>
      <w:tr w:rsidR="00DB5F82" w:rsidRPr="00560D29" w14:paraId="0D8E3DD9" w14:textId="77777777" w:rsidTr="00DB5F82">
        <w:trPr>
          <w:trHeight w:val="482"/>
        </w:trPr>
        <w:tc>
          <w:tcPr>
            <w:tcW w:w="2371" w:type="dxa"/>
          </w:tcPr>
          <w:p w14:paraId="352837F2" w14:textId="24E75A5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Ethnic group</w:t>
            </w:r>
          </w:p>
        </w:tc>
        <w:tc>
          <w:tcPr>
            <w:tcW w:w="1362" w:type="dxa"/>
          </w:tcPr>
          <w:p w14:paraId="62F701AC" w14:textId="5A819166"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Li ethnic group</w:t>
            </w:r>
          </w:p>
        </w:tc>
        <w:tc>
          <w:tcPr>
            <w:tcW w:w="1463" w:type="dxa"/>
          </w:tcPr>
          <w:p w14:paraId="37B3CF12"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8/65</w:t>
            </w:r>
          </w:p>
          <w:p w14:paraId="39081D9E" w14:textId="081BB74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(12.3)</w:t>
            </w:r>
          </w:p>
        </w:tc>
        <w:tc>
          <w:tcPr>
            <w:tcW w:w="1230" w:type="dxa"/>
          </w:tcPr>
          <w:p w14:paraId="2A534BE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5/42</w:t>
            </w:r>
          </w:p>
          <w:p w14:paraId="07651317" w14:textId="5892C0D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(11.9)</w:t>
            </w:r>
          </w:p>
        </w:tc>
        <w:tc>
          <w:tcPr>
            <w:tcW w:w="886" w:type="dxa"/>
          </w:tcPr>
          <w:p w14:paraId="4B9A00EB" w14:textId="10FCEA99"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0.98</w:t>
            </w:r>
          </w:p>
        </w:tc>
        <w:tc>
          <w:tcPr>
            <w:tcW w:w="1271" w:type="dxa"/>
          </w:tcPr>
          <w:p w14:paraId="51C0B809"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5/39</w:t>
            </w:r>
          </w:p>
          <w:p w14:paraId="6E220D9C" w14:textId="696123E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(12.8)</w:t>
            </w:r>
          </w:p>
        </w:tc>
        <w:tc>
          <w:tcPr>
            <w:tcW w:w="1245" w:type="dxa"/>
          </w:tcPr>
          <w:p w14:paraId="4EAB7809"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8/68</w:t>
            </w:r>
          </w:p>
          <w:p w14:paraId="2B711C80" w14:textId="2328DBAB"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(11.8)</w:t>
            </w:r>
          </w:p>
        </w:tc>
        <w:tc>
          <w:tcPr>
            <w:tcW w:w="729" w:type="dxa"/>
          </w:tcPr>
          <w:p w14:paraId="2D5F13AC" w14:textId="71800643"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0.52</w:t>
            </w:r>
          </w:p>
        </w:tc>
        <w:tc>
          <w:tcPr>
            <w:tcW w:w="1271" w:type="dxa"/>
          </w:tcPr>
          <w:p w14:paraId="577D1BB2"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5/49</w:t>
            </w:r>
          </w:p>
          <w:p w14:paraId="338277AA" w14:textId="759C501B"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(10.2)</w:t>
            </w:r>
          </w:p>
        </w:tc>
        <w:tc>
          <w:tcPr>
            <w:tcW w:w="1402" w:type="dxa"/>
          </w:tcPr>
          <w:p w14:paraId="08BA10DA"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8/58</w:t>
            </w:r>
          </w:p>
          <w:p w14:paraId="2F3587DB" w14:textId="6525242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(13.8)</w:t>
            </w:r>
          </w:p>
        </w:tc>
        <w:tc>
          <w:tcPr>
            <w:tcW w:w="1019" w:type="dxa"/>
          </w:tcPr>
          <w:p w14:paraId="33A9A0E5" w14:textId="5CE9E043"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0.24</w:t>
            </w:r>
          </w:p>
        </w:tc>
      </w:tr>
      <w:tr w:rsidR="00DB5F82" w:rsidRPr="00560D29" w14:paraId="3AFA2F70" w14:textId="77777777" w:rsidTr="00DB5F82">
        <w:trPr>
          <w:trHeight w:val="482"/>
        </w:trPr>
        <w:tc>
          <w:tcPr>
            <w:tcW w:w="2371" w:type="dxa"/>
          </w:tcPr>
          <w:p w14:paraId="082D01D0"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41AB488D" w14:textId="2AFAA485"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Han ethnic group</w:t>
            </w:r>
          </w:p>
        </w:tc>
        <w:tc>
          <w:tcPr>
            <w:tcW w:w="1463" w:type="dxa"/>
          </w:tcPr>
          <w:p w14:paraId="6C864B12"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44/65</w:t>
            </w:r>
          </w:p>
          <w:p w14:paraId="630B27B5" w14:textId="76FAD9B0"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(67.7)</w:t>
            </w:r>
          </w:p>
        </w:tc>
        <w:tc>
          <w:tcPr>
            <w:tcW w:w="1230" w:type="dxa"/>
          </w:tcPr>
          <w:p w14:paraId="107E215D"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29/42</w:t>
            </w:r>
          </w:p>
          <w:p w14:paraId="3DFF2677" w14:textId="51D299F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(69.1)</w:t>
            </w:r>
          </w:p>
        </w:tc>
        <w:tc>
          <w:tcPr>
            <w:tcW w:w="886" w:type="dxa"/>
          </w:tcPr>
          <w:p w14:paraId="007389A9"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176986E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25/39</w:t>
            </w:r>
          </w:p>
          <w:p w14:paraId="6B74D77B" w14:textId="466819AA"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(64.1)</w:t>
            </w:r>
          </w:p>
        </w:tc>
        <w:tc>
          <w:tcPr>
            <w:tcW w:w="1245" w:type="dxa"/>
          </w:tcPr>
          <w:p w14:paraId="22AD63E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48/68</w:t>
            </w:r>
          </w:p>
          <w:p w14:paraId="7C7B87A3" w14:textId="70DD6F66"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(70.6)</w:t>
            </w:r>
          </w:p>
        </w:tc>
        <w:tc>
          <w:tcPr>
            <w:tcW w:w="729" w:type="dxa"/>
          </w:tcPr>
          <w:p w14:paraId="2A0F6AA2"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7A0792E3"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32/49</w:t>
            </w:r>
          </w:p>
          <w:p w14:paraId="2C7A8A6A" w14:textId="0F9B11F8"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(65.3)</w:t>
            </w:r>
          </w:p>
        </w:tc>
        <w:tc>
          <w:tcPr>
            <w:tcW w:w="1402" w:type="dxa"/>
          </w:tcPr>
          <w:p w14:paraId="4B0D022D"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41/58</w:t>
            </w:r>
          </w:p>
          <w:p w14:paraId="741CDBDF" w14:textId="4D196332"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(70.7)</w:t>
            </w:r>
          </w:p>
        </w:tc>
        <w:tc>
          <w:tcPr>
            <w:tcW w:w="1019" w:type="dxa"/>
          </w:tcPr>
          <w:p w14:paraId="122BF246" w14:textId="77777777" w:rsidR="00DB5F82" w:rsidRPr="00560D29" w:rsidRDefault="00DB5F82" w:rsidP="00560D29">
            <w:pPr>
              <w:adjustRightInd w:val="0"/>
              <w:snapToGrid w:val="0"/>
              <w:spacing w:line="360" w:lineRule="auto"/>
              <w:rPr>
                <w:rFonts w:ascii="Book Antiqua" w:hAnsi="Book Antiqua" w:cs="Arial"/>
              </w:rPr>
            </w:pPr>
          </w:p>
        </w:tc>
      </w:tr>
      <w:tr w:rsidR="00DB5F82" w:rsidRPr="00560D29" w14:paraId="5E0EF69E" w14:textId="77777777" w:rsidTr="00DB5F82">
        <w:trPr>
          <w:trHeight w:val="482"/>
        </w:trPr>
        <w:tc>
          <w:tcPr>
            <w:tcW w:w="2371" w:type="dxa"/>
          </w:tcPr>
          <w:p w14:paraId="0949787F" w14:textId="77777777" w:rsidR="00DB5F82" w:rsidRPr="00560D29" w:rsidRDefault="00DB5F82" w:rsidP="00560D29">
            <w:pPr>
              <w:adjustRightInd w:val="0"/>
              <w:snapToGrid w:val="0"/>
              <w:spacing w:line="360" w:lineRule="auto"/>
              <w:rPr>
                <w:rFonts w:ascii="Book Antiqua" w:hAnsi="Book Antiqua" w:cs="Arial"/>
              </w:rPr>
            </w:pPr>
          </w:p>
        </w:tc>
        <w:tc>
          <w:tcPr>
            <w:tcW w:w="1362" w:type="dxa"/>
          </w:tcPr>
          <w:p w14:paraId="62A0485F" w14:textId="7F17F44B"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Zhuang ethnic group</w:t>
            </w:r>
          </w:p>
        </w:tc>
        <w:tc>
          <w:tcPr>
            <w:tcW w:w="1463" w:type="dxa"/>
          </w:tcPr>
          <w:p w14:paraId="5503ECD6"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13/65</w:t>
            </w:r>
          </w:p>
          <w:p w14:paraId="3A05531B" w14:textId="12A1B6DF"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(20.0)</w:t>
            </w:r>
          </w:p>
        </w:tc>
        <w:tc>
          <w:tcPr>
            <w:tcW w:w="1230" w:type="dxa"/>
          </w:tcPr>
          <w:p w14:paraId="60F1366B"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8/42</w:t>
            </w:r>
          </w:p>
          <w:p w14:paraId="7952108A" w14:textId="20C1838F"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(19.0)</w:t>
            </w:r>
          </w:p>
        </w:tc>
        <w:tc>
          <w:tcPr>
            <w:tcW w:w="886" w:type="dxa"/>
          </w:tcPr>
          <w:p w14:paraId="5C518740"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3AE0D2E0"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9/39</w:t>
            </w:r>
          </w:p>
          <w:p w14:paraId="3EBE8BAD" w14:textId="5E06B19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(23.1)</w:t>
            </w:r>
          </w:p>
        </w:tc>
        <w:tc>
          <w:tcPr>
            <w:tcW w:w="1245" w:type="dxa"/>
          </w:tcPr>
          <w:p w14:paraId="41D8D6DC"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12/68</w:t>
            </w:r>
          </w:p>
          <w:p w14:paraId="2F013521" w14:textId="36B7954E"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(17.6)</w:t>
            </w:r>
          </w:p>
        </w:tc>
        <w:tc>
          <w:tcPr>
            <w:tcW w:w="729" w:type="dxa"/>
          </w:tcPr>
          <w:p w14:paraId="5C5FFF30" w14:textId="77777777" w:rsidR="00DB5F82" w:rsidRPr="00560D29" w:rsidRDefault="00DB5F82" w:rsidP="00560D29">
            <w:pPr>
              <w:adjustRightInd w:val="0"/>
              <w:snapToGrid w:val="0"/>
              <w:spacing w:line="360" w:lineRule="auto"/>
              <w:rPr>
                <w:rFonts w:ascii="Book Antiqua" w:hAnsi="Book Antiqua" w:cs="Arial"/>
              </w:rPr>
            </w:pPr>
          </w:p>
        </w:tc>
        <w:tc>
          <w:tcPr>
            <w:tcW w:w="1271" w:type="dxa"/>
          </w:tcPr>
          <w:p w14:paraId="3BE7B3F1"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12/49</w:t>
            </w:r>
          </w:p>
          <w:p w14:paraId="69CDCA39" w14:textId="42EEFFE3"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(24.5)</w:t>
            </w:r>
          </w:p>
        </w:tc>
        <w:tc>
          <w:tcPr>
            <w:tcW w:w="1402" w:type="dxa"/>
          </w:tcPr>
          <w:p w14:paraId="65DB9169" w14:textId="77777777"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9/58</w:t>
            </w:r>
          </w:p>
          <w:p w14:paraId="16D3DB3B" w14:textId="33666334" w:rsidR="00DB5F82"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rPr>
              <w:t>(15.5)</w:t>
            </w:r>
          </w:p>
        </w:tc>
        <w:tc>
          <w:tcPr>
            <w:tcW w:w="1019" w:type="dxa"/>
          </w:tcPr>
          <w:p w14:paraId="588E16D6" w14:textId="77777777" w:rsidR="00DB5F82" w:rsidRPr="00560D29" w:rsidRDefault="00DB5F82" w:rsidP="00560D29">
            <w:pPr>
              <w:adjustRightInd w:val="0"/>
              <w:snapToGrid w:val="0"/>
              <w:spacing w:line="360" w:lineRule="auto"/>
              <w:rPr>
                <w:rFonts w:ascii="Book Antiqua" w:hAnsi="Book Antiqua" w:cs="Arial"/>
              </w:rPr>
            </w:pPr>
          </w:p>
        </w:tc>
      </w:tr>
    </w:tbl>
    <w:p w14:paraId="26641F58" w14:textId="2BB9D7DD" w:rsidR="009C4DE6" w:rsidRPr="00560D29" w:rsidRDefault="00DB5F82" w:rsidP="00560D29">
      <w:pPr>
        <w:adjustRightInd w:val="0"/>
        <w:snapToGrid w:val="0"/>
        <w:spacing w:line="360" w:lineRule="auto"/>
        <w:rPr>
          <w:rFonts w:ascii="Book Antiqua" w:hAnsi="Book Antiqua" w:cs="Arial"/>
        </w:rPr>
      </w:pPr>
      <w:r w:rsidRPr="00560D29">
        <w:rPr>
          <w:rFonts w:ascii="Book Antiqua" w:hAnsi="Book Antiqua" w:cs="Arial"/>
          <w:bCs/>
          <w:kern w:val="0"/>
        </w:rPr>
        <w:t>CTC: Circulating tumor cell.</w:t>
      </w:r>
    </w:p>
    <w:sectPr w:rsidR="009C4DE6" w:rsidRPr="00560D29" w:rsidSect="009C4DE6">
      <w:pgSz w:w="16840" w:h="11900" w:orient="landscape"/>
      <w:pgMar w:top="1800" w:right="1440" w:bottom="1800" w:left="144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Ref{03661B9B-187D-4326-89EF-6B2DFA5C5E5B}" w:val=" ADDIN NE.Ref.{03661B9B-187D-4326-89EF-6B2DFA5C5E5B}&lt;Citation&gt;&lt;Group&gt;&lt;References&gt;&lt;Item&gt;&lt;ID&gt;439&lt;/ID&gt;&lt;UID&gt;{F6D030A4-95F9-452C-93EC-CE8464A42A1B}&lt;/UID&gt;&lt;Title&gt;Epithelial-mesenchymal transitioned circulating tumor cells capture for detecting tumor progression&lt;/Title&gt;&lt;Template&gt;Journal Article&lt;/Template&gt;&lt;Star&gt;0&lt;/Star&gt;&lt;Tag&gt;0&lt;/Tag&gt;&lt;Author&gt;Satelli, A; Mitra, A; Brownlee, Z; Xia, X; Bellister, S; Overman, M J; Kopetz, S; Ellis, L M; Meng, Q H; Li, S&lt;/Author&gt;&lt;Year&gt;2015&lt;/Year&gt;&lt;Details&gt;&lt;_accession_num&gt;25516888&lt;/_accession_num&gt;&lt;_author_adr&gt;Department of Pediatrics, The University of Texas MD Anderson Cancer Center, Houston, Texas.; Department of Pediatrics, The University of Texas MD Anderson Cancer Center, Houston, Texas.; Department of Pediatrics, The University of Texas MD Anderson Cancer Center, Houston, Texas.; Department of Pediatrics, The University of Texas MD Anderson Cancer Center, Houston, Texas.; Department of Surgical Oncology, Division of Surgery and Department of Molecular  and Cellular Oncology, The University of Texas MD Anderson Cancer Center, Houston, Texas.; Department of Gastrointestinal Medical Oncology, Division of Cancer Medicine, The University of Texas MD Anderson Cancer Center, Houston, Texas.; Department of Surgical Oncology, Division of Surgery and Department of Molecular  and Cellular Oncology, The University of Texas MD Anderson Cancer Center, Houston, Texas.; Department of Gastrointestinal Medical Oncology, Division of Cancer Medicine, The University of Texas MD Anderson Cancer Center, Houston, Texas.; Laboratory Medicine, The University of Texas MD Anderson Cancer Center, Houston,  Texas.; Department of Pediatrics, The University of Texas MD Anderson Cancer Center, Houston, Texas. The University of Texas Graduate School of Biomedical Sciences, Houston, Texas. sli4@mdanderson.org.&lt;/_author_adr&gt;&lt;_collection_scope&gt;SCI;SCIE;&lt;/_collection_scope&gt;&lt;_created&gt;62406613&lt;/_created&gt;&lt;_date&gt;2015-02-15&lt;/_date&gt;&lt;_date_display&gt;2015 Feb 15&lt;/_date_display&gt;&lt;_doi&gt;10.1158/1078-0432.CCR-14-0894&lt;/_doi&gt;&lt;_impact_factor&gt;  10.199&lt;/_impact_factor&gt;&lt;_isbn&gt;1078-0432 (Print); 1078-0432 (Linking)&lt;/_isbn&gt;&lt;_issue&gt;4&lt;/_issue&gt;&lt;_journal&gt;Clin Cancer Res&lt;/_journal&gt;&lt;_keywords&gt;Adult; Aged; Antibodies, Monoclonal; Biomarkers, Tumor/*analysis; Colonic Neoplasms/*diagnosis; Disease Progression; *Epithelial-Mesenchymal Transition; Female; Flow Cytometry; Humans; In Situ Hybridization, Fluorescence; Male; Middle Aged; *Neoplastic Cells, Circulating; Sensitivity and Specificity; Single-Cell Analysis; Vimentin/*analysis/biosynthesis&lt;/_keywords&gt;&lt;_language&gt;eng&lt;/_language&gt;&lt;_modified&gt;62531943&lt;/_modified&gt;&lt;_ori_publication&gt;(c)2014 American Association for Cancer Research.&lt;/_ori_publication&gt;&lt;_pages&gt;899-906&lt;/_pages&gt;&lt;_tertiary_title&gt;Clinical cancer research : an official journal of the American Association for_x000d__x000a_      Cancer Research&lt;/_tertiary_title&gt;&lt;_type_work&gt;Journal Article; Research Support, N.I.H., Extramural&lt;/_type_work&gt;&lt;_url&gt;http://www.ncbi.nlm.nih.gov/entrez/query.fcgi?cmd=Retrieve&amp;amp;db=pubmed&amp;amp;dopt=Abstract&amp;amp;list_uids=25516888&amp;amp;query_hl=1&lt;/_url&gt;&lt;_volume&gt;21&lt;/_volume&gt;&lt;/Details&gt;&lt;Extra&gt;&lt;DBUID&gt;{F96A950B-833F-4880-A151-76DA2D6A2879}&lt;/DBUID&gt;&lt;/Extra&gt;&lt;/Item&gt;&lt;/References&gt;&lt;/Group&gt;&lt;Group&gt;&lt;References&gt;&lt;Item&gt;&lt;ID&gt;440&lt;/ID&gt;&lt;UID&gt;{BF506CEF-2F65-4061-802C-24C42928184F}&lt;/UID&gt;&lt;Title&gt;Relationship between circulating tumor cells and epithelial to mesenchymal transition in early breast cancer&lt;/Title&gt;&lt;Template&gt;Journal Article&lt;/Template&gt;&lt;Star&gt;0&lt;/Star&gt;&lt;Tag&gt;0&lt;/Tag&gt;&lt;Author&gt;Mego, M; Cierna, Z; Janega, P; Karaba, M; Minarik, G; Benca, J; Sedlackova, T; Sieberova, G; Gronesova, P; Manasova, D; Pindak, D; Sufliarsky, J; Danihel, L; Reuben, J M; Mardiak, J&lt;/Author&gt;&lt;Year&gt;2015&lt;/Year&gt;&lt;Details&gt;&lt;_accession_num&gt;26194471&lt;/_accession_num&gt;&lt;_author_adr&gt;2nd Department of Oncology, Faculty of Medicine, Comenius University and National Cancer Institute, Klenova 1, 833 10, Bratislava, Slovak Republic. misomego@gmail.com.; Translational Research Unit, Bratislava, Slovakia. misomego@gmail.com.; National Cancer Institute, Bratislava, Slovakia. misomego@gmail.com.; Department of Pathology, Bratislava, Slovakia. ciernaz@gmail.com.; Department of Pathology, Bratislava, Slovakia. pavol.janega@fmed.uniba.sk.; Institute of Normal and Pathological Physiology, Bratislava, Slovakia. pavol.janega@fmed.uniba.sk.; National Cancer Institute, Bratislava, Slovakia. marian.karaba@nou.sk.; Institute of Molecular Biomedicine, Faculty of Medicine, Comenius University, Bratislava, Slovakia. gabriel.minarik@gmail.com.; National Cancer Institute, Bratislava, Slovakia. juraj.benca@nou.sk.; Institute of Molecular Biomedicine, Faculty of Medicine, Comenius University, Bratislava, Slovakia. tatiana.sedlackova@gmail.com.; National Cancer Institute, Bratislava, Slovakia. gabriela.sieberova@gmail.com.; Cancer Research Institute, Slovak Academy of Sciences, Bratislava, Slovakia. paulina.gronesova@gmail.com.; Translational Research Unit, Bratislava, Slovakia. d.manasova@gmail.com.; National Cancer Institute, Bratislava, Slovakia. daniel.pindak@nou.sk.; Slovak Medical University, Bratislava, Slovakia. daniel.pindak@nou.sk.; 2nd Department of Oncology, Faculty of Medicine, Comenius University and National Cancer Institute, Klenova 1, 833 10, Bratislava, Slovak Republic. jozef.sufliarsky@nou.sk.; National Cancer Institute, Bratislava, Slovakia. jozef.sufliarsky@nou.sk.; Department of Pathology, Bratislava, Slovakia. ludovit.danihel@fmed.uniba.sk.; Department of Hematopathology, The University of Texas MD Anderson Cancer Center, Houston, TX, USA. jreuben@mdanderson.org.; 2nd Department of Oncology, Faculty of Medicine, Comenius University and National Cancer Institute, Klenova 1, 833 10, Bratislava, Slovak Republic. jozef.mardiak@nou.sk.; National Cancer Institute, Bratislava, Slovakia. jozef.mardiak@nou.sk.&lt;/_author_adr&gt;&lt;_collection_scope&gt;SCIE;&lt;/_collection_scope&gt;&lt;_created&gt;62406615&lt;/_created&gt;&lt;_date&gt;2015-07-22&lt;/_date&gt;&lt;_date_display&gt;2015 Jul 22&lt;/_date_display&gt;&lt;_doi&gt;10.1186/s12885-015-1548-7&lt;/_doi&gt;&lt;_impact_factor&gt;   3.288&lt;/_impact_factor&gt;&lt;_isbn&gt;1471-2407 (Electronic); 1471-2407 (Linking)&lt;/_isbn&gt;&lt;_journal&gt;BMC Cancer&lt;/_journal&gt;&lt;_keywords&gt;Adult; Aged; Aged, 80 and over; Biomarkers, Tumor/genetics/metabolism; Breast Neoplasms/genetics/*pathology/*surgery; Cell Line, Tumor; *Epithelial-Mesenchymal Transition; Female; Gene Expression Regulation, Neoplastic; HCT116 Cells; HeLa Cells; Humans; MCF-7 Cells; Middle Aged; Neoplastic Cells, Circulating/*pathology; Nuclear Proteins/*genetics/metabolism; Snail Family Transcription Factors; Transcription Factors/*genetics/metabolism; Twist-Related Protein 1/*genetics/metabolism&lt;/_keywords&gt;&lt;_language&gt;eng&lt;/_language&gt;&lt;_modified&gt;62531945&lt;/_modified&gt;&lt;_pages&gt;533&lt;/_pages&gt;&lt;_tertiary_title&gt;BMC cancer&lt;/_tertiary_title&gt;&lt;_type_work&gt;Journal Article; Research Support, Non-U.S. Gov&amp;apos;t&lt;/_type_work&gt;&lt;_url&gt;http://www.ncbi.nlm.nih.gov/entrez/query.fcgi?cmd=Retrieve&amp;amp;db=pubmed&amp;amp;dopt=Abstract&amp;amp;list_uids=26194471&amp;amp;query_hl=1&lt;/_url&gt;&lt;_volume&gt;15&lt;/_volume&gt;&lt;/Details&gt;&lt;Extra&gt;&lt;DBUID&gt;{F96A950B-833F-4880-A151-76DA2D6A2879}&lt;/DBUID&gt;&lt;/Extra&gt;&lt;/Item&gt;&lt;/References&gt;&lt;/Group&gt;&lt;Group&gt;&lt;References&gt;&lt;Item&gt;&lt;ID&gt;441&lt;/ID&gt;&lt;UID&gt;{F645D8CB-2DA8-4116-937F-E6E1FCC78B74}&lt;/UID&gt;&lt;Title&gt;The biological and clinical importance of epithelial-mesenchymal transition in circulating tumor cells&lt;/Title&gt;&lt;Template&gt;Journal Article&lt;/Template&gt;&lt;Star&gt;0&lt;/Star&gt;&lt;Tag&gt;0&lt;/Tag&gt;&lt;Author&gt;Liu, H; Zhang, X; Li, J; Sun, B; Qian, H; Yin, Z&lt;/Author&gt;&lt;Year&gt;2015&lt;/Year&gt;&lt;Details&gt;&lt;_accession_num&gt;24965746&lt;/_accession_num&gt;&lt;_author_adr&gt;Molecular Oncology Laboratory, Eastern Hepatobiliary Surgery Hospital, Second Military Medical University, 225 Changhai Road, Shanghai, 200438, China.&lt;/_author_adr&gt;&lt;_created&gt;62406618&lt;/_created&gt;&lt;_date&gt;2015-02-01&lt;/_date&gt;&lt;_date_display&gt;2015 Feb&lt;/_date_display&gt;&lt;_doi&gt;10.1007/s00432-014-1752-x&lt;/_doi&gt;&lt;_impact_factor&gt;   3.282&lt;/_impact_factor&gt;&lt;_isbn&gt;1432-1335 (Electronic); 0171-5216 (Linking)&lt;/_isbn&gt;&lt;_issue&gt;2&lt;/_issue&gt;&lt;_journal&gt;J Cancer Res Clin Oncol&lt;/_journal&gt;&lt;_keywords&gt;Animals; Biomarkers, Tumor/*analysis; *Drug Resistance, Neoplasm; *Epithelial-Mesenchymal Transition; Humans; Neoplasm Metastasis; Neoplasms/*diagnosis/drug therapy; Neoplastic Cells, Circulating/*pathology&lt;/_keywords&gt;&lt;_language&gt;eng&lt;/_language&gt;&lt;_modified&gt;62531945&lt;/_modified&gt;&lt;_pages&gt;189-201&lt;/_pages&gt;&lt;_tertiary_title&gt;Journal of cancer research and clinical oncology&lt;/_tertiary_title&gt;&lt;_type_work&gt;Journal Article; Research Support, Non-U.S. Gov&amp;apos;t; Review&lt;/_type_work&gt;&lt;_url&gt;http://www.ncbi.nlm.nih.gov/entrez/query.fcgi?cmd=Retrieve&amp;amp;db=pubmed&amp;amp;dopt=Abstract&amp;amp;list_uids=24965746&amp;amp;query_hl=1&lt;/_url&gt;&lt;_volume&gt;141&lt;/_volume&gt;&lt;/Details&gt;&lt;Extra&gt;&lt;DBUID&gt;{F96A950B-833F-4880-A151-76DA2D6A2879}&lt;/DBUID&gt;&lt;/Extra&gt;&lt;/Item&gt;&lt;/References&gt;&lt;/Group&gt;&lt;/Citation&gt;_x000a_"/>
    <w:docVar w:name="NE.Ref{0420D774-6A77-4503-98F9-21C2862CFB6E}" w:val=" ADDIN NE.Ref.{0420D774-6A77-4503-98F9-21C2862CFB6E}&lt;Citation&gt;&lt;Group&gt;&lt;References&gt;&lt;Item&gt;&lt;ID&gt;396&lt;/ID&gt;&lt;UID&gt;{8A80347E-D3E7-4436-8EC3-3F1CB877E48C}&lt;/UID&gt;&lt;Title&gt;Potentially Curable Pancreatic Cancer: American Society of Clinical Oncology Clinical Practice Guideline Update Summary&lt;/Title&gt;&lt;Template&gt;Journal Article&lt;/Template&gt;&lt;Star&gt;0&lt;/Star&gt;&lt;Tag&gt;0&lt;/Tag&gt;&lt;Author&gt;Khorana, A A; Mangu, P B; Katz, MHG&lt;/Author&gt;&lt;Year&gt;2017&lt;/Year&gt;&lt;Details&gt;&lt;_accession_num&gt;28406730&lt;/_accession_num&gt;&lt;_author_adr&gt;Cleveland Clinic, Cleveland, OH; American Society of Clinical Oncology, Alexandria, VA; and MD Anderson Cancer Center, Houston, TX.; Cleveland Clinic, Cleveland, OH; American Society of Clinical Oncology, Alexandria, VA; and MD Anderson Cancer Center, Houston, TX.; Cleveland Clinic, Cleveland, OH; American Society of Clinical Oncology, Alexandria, VA; and MD Anderson Cancer Center, Houston, TX.&lt;/_author_adr&gt;&lt;_created&gt;62395089&lt;/_created&gt;&lt;_date&gt;2017-06-01&lt;/_date&gt;&lt;_date_display&gt;2017 Jun&lt;/_date_display&gt;&lt;_doi&gt;10.1200/JOP.2017.023044&lt;/_doi&gt;&lt;_impact_factor&gt;   2.509&lt;/_impact_factor&gt;&lt;_isbn&gt;1935-469X (Electronic); 1554-7477 (Linking)&lt;/_isbn&gt;&lt;_issue&gt;6&lt;/_issue&gt;&lt;_journal&gt;J Oncol Pract&lt;/_journal&gt;&lt;_language&gt;eng&lt;/_language&gt;&lt;_modified&gt;62531878&lt;/_modified&gt;&lt;_pages&gt;388-391&lt;/_pages&gt;&lt;_tertiary_title&gt;Journal of oncology practice&lt;/_tertiary_title&gt;&lt;_type_work&gt;Journal Article&lt;/_type_work&gt;&lt;_url&gt;http://www.ncbi.nlm.nih.gov/entrez/query.fcgi?cmd=Retrieve&amp;amp;db=pubmed&amp;amp;dopt=Abstract&amp;amp;list_uids=28406730&amp;amp;query_hl=1&lt;/_url&gt;&lt;_volume&gt;13&lt;/_volume&gt;&lt;/Details&gt;&lt;Extra&gt;&lt;DBUID&gt;{F96A950B-833F-4880-A151-76DA2D6A2879}&lt;/DBUID&gt;&lt;/Extra&gt;&lt;/Item&gt;&lt;/References&gt;&lt;/Group&gt;&lt;/Citation&gt;_x000a_"/>
    <w:docVar w:name="NE.Ref{0714B880-63A7-4F1A-9597-498FB85BE9D6}" w:val=" ADDIN NE.Ref.{0714B880-63A7-4F1A-9597-498FB85BE9D6}&lt;Citation&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Group&gt;&lt;References&gt;&lt;Item&gt;&lt;ID&gt;410&lt;/ID&gt;&lt;UID&gt;{627EB610-D52D-4080-961A-35FD0C41C411}&lt;/UID&gt;&lt;Title&gt;Tumor cell dissemination: emerging biological insights from animal models and cancer patients&lt;/Title&gt;&lt;Template&gt;Journal Article&lt;/Template&gt;&lt;Star&gt;0&lt;/Star&gt;&lt;Tag&gt;0&lt;/Tag&gt;&lt;Author&gt;Kang, Y; Pantel, K&lt;/Author&gt;&lt;Year&gt;2013&lt;/Year&gt;&lt;Details&gt;&lt;_accession_num&gt;23680145&lt;/_accession_num&gt;&lt;_author_adr&gt;Department of Molecular Biology, Princeton University, Princeton, NJ 08544, USA.  ykang@princeton.edu&lt;/_author_adr&gt;&lt;_collection_scope&gt;SCI;SCIE;&lt;/_collection_scope&gt;&lt;_created&gt;62395147&lt;/_created&gt;&lt;_date&gt;2013-05-13&lt;/_date&gt;&lt;_date_display&gt;2013 May 13&lt;/_date_display&gt;&lt;_doi&gt;10.1016/j.ccr.2013.04.017&lt;/_doi&gt;&lt;_impact_factor&gt;  22.844&lt;/_impact_factor&gt;&lt;_isbn&gt;1878-3686 (Electronic); 1535-6108 (Linking)&lt;/_isbn&gt;&lt;_issue&gt;5&lt;/_issue&gt;&lt;_journal&gt;Cancer Cell&lt;/_journal&gt;&lt;_keywords&gt;Animals; Cell Survival; Disease Models, Animal; Epithelial-Mesenchymal Transition/genetics; Humans; Mice; Neoplasm Invasiveness/genetics/pathology; Neoplasm Metastasis; Neoplastic Cells, Circulating/*pathology&lt;/_keywords&gt;&lt;_language&gt;eng&lt;/_language&gt;&lt;_modified&gt;62395967&lt;/_modified&gt;&lt;_ori_publication&gt;Copyright (c) 2013 Elsevier Inc. All rights reserved.&lt;/_ori_publication&gt;&lt;_pages&gt;573-81&lt;/_pages&gt;&lt;_tertiary_title&gt;Cancer cell&lt;/_tertiary_title&gt;&lt;_type_work&gt;Journal Article; Research Support, N.I.H., Extramural; Research Support, Non-U.S. Gov&amp;apos;t; Review&lt;/_type_work&gt;&lt;_url&gt;http://www.ncbi.nlm.nih.gov/entrez/query.fcgi?cmd=Retrieve&amp;amp;db=pubmed&amp;amp;dopt=Abstract&amp;amp;list_uids=23680145&amp;amp;query_hl=1&lt;/_url&gt;&lt;_volume&gt;23&lt;/_volume&gt;&lt;/Details&gt;&lt;Extra&gt;&lt;DBUID&gt;{F96A950B-833F-4880-A151-76DA2D6A2879}&lt;/DBUID&gt;&lt;/Extra&gt;&lt;/Item&gt;&lt;/References&gt;&lt;/Group&gt;&lt;Group&gt;&lt;References&gt;&lt;Item&gt;&lt;ID&gt;449&lt;/ID&gt;&lt;UID&gt;{66FC0A1B-1825-43BC-B7EB-ABD5FC1F4684}&lt;/UID&gt;&lt;Title&gt;Disconnect between EMT and metastasis in pancreas cancer&lt;/Title&gt;&lt;Template&gt;Journal Article&lt;/Template&gt;&lt;Star&gt;0&lt;/Star&gt;&lt;Tag&gt;0&lt;/Tag&gt;&lt;Author&gt;Whittle, M C; Hingorani, S R&lt;/Author&gt;&lt;Year&gt;2015&lt;/Year&gt;&lt;Details&gt;&lt;_accession_num&gt;26387140&lt;/_accession_num&gt;&lt;_author_adr&gt;Clinical Research Division, Fred Hutchinson Cancer Research Center, Seattle, WA,  USA.; Clinical Research Division, Fred Hutchinson Cancer Research Center, Seattle, WA,  USA.; Public Health Sciences Division, Fred Hutchinson Cancer Research Center, Seattle, WA, USA.; Division of Medical Oncology, University of Washington School of Medicine, Seattle, WA, USA.&lt;/_author_adr&gt;&lt;_date_display&gt;2015 Oct 13&lt;/_date_display&gt;&lt;_date&gt;2015-10-13&lt;/_date&gt;&lt;_doi&gt;10.18632/oncotarget.5720&lt;/_doi&gt;&lt;_isbn&gt;1949-2553 (Electronic); 1949-2553 (Linking)&lt;/_isbn&gt;&lt;_issue&gt;31&lt;/_issue&gt;&lt;_journal&gt;Oncotarget&lt;/_journal&gt;&lt;_keywords&gt;Animals; Biomarkers, Tumor/metabolism; *Cell Movement; *Epithelial-Mesenchymal Transition; Humans; Neoplasm Metastasis; Neoplastic Cells, Circulating/metabolism/pathology; Pancreatic Neoplasms/genetics/metabolism/*pathology; Signal TransductionChromosome Section; RUNX3; SMAD4&lt;/_keywords&gt;&lt;_language&gt;eng&lt;/_language&gt;&lt;_pages&gt;30445-6&lt;/_pages&gt;&lt;_tertiary_title&gt;Oncotarget&lt;/_tertiary_title&gt;&lt;_type_work&gt;Editorial&lt;/_type_work&gt;&lt;_url&gt;http://www.ncbi.nlm.nih.gov/entrez/query.fcgi?cmd=Retrieve&amp;amp;db=pubmed&amp;amp;dopt=Abstract&amp;amp;list_uids=26387140&amp;amp;query_hl=1&lt;/_url&gt;&lt;_volume&gt;6&lt;/_volume&gt;&lt;_created&gt;62531921&lt;/_created&gt;&lt;_modified&gt;62531922&lt;/_modified&gt;&lt;_collection_scope&gt;SCIE;&lt;/_collection_scope&gt;&lt;/Details&gt;&lt;Extra&gt;&lt;DBUID&gt;{F96A950B-833F-4880-A151-76DA2D6A2879}&lt;/DBUID&gt;&lt;/Extra&gt;&lt;/Item&gt;&lt;/References&gt;&lt;/Group&gt;&lt;/Citation&gt;_x000a_"/>
    <w:docVar w:name="NE.Ref{21B2F4AF-95AF-4A0C-A87C-74CE7FFF35AF}" w:val=" ADDIN NE.Ref.{21B2F4AF-95AF-4A0C-A87C-74CE7FFF35AF}&lt;Citation&gt;&lt;Group&gt;&lt;References&gt;&lt;Item&gt;&lt;ID&gt;403&lt;/ID&gt;&lt;UID&gt;{397354AA-E45E-4992-A5C6-8725F2A8D4D0}&lt;/UID&gt;&lt;Title&gt;Circulating tumor cells, disease progression, and survival in metastatic breast cancer&lt;/Title&gt;&lt;Template&gt;Journal Article&lt;/Template&gt;&lt;Star&gt;0&lt;/Star&gt;&lt;Tag&gt;0&lt;/Tag&gt;&lt;Author&gt;Cristofanilli, M; Budd, G T; Ellis, M J; Stopeck, A; Matera, J; Miller, M C; Reuben, J M; Doyle, G V; Allard, W J; Terstappen, L W; Hayes, D F&lt;/Author&gt;&lt;Year&gt;2004&lt;/Year&gt;&lt;Details&gt;&lt;_accession_num&gt;15317891&lt;/_accession_num&gt;&lt;_author_adr&gt;Department of Breast Medical Oncology, University of Texas M.D. Anderson Cancer Center, Houston, TX 77030, USA. mcristof@mdanderson.org&lt;/_author_adr&gt;&lt;_created&gt;62395118&lt;/_created&gt;&lt;_date&gt;2004-08-19&lt;/_date&gt;&lt;_date_display&gt;2004 Aug 19&lt;/_date_display&gt;&lt;_doi&gt;10.1056/NEJMoa040766&lt;/_doi&gt;&lt;_impact_factor&gt;  79.258&lt;/_impact_factor&gt;&lt;_isbn&gt;1533-4406 (Electronic); 0028-4793 (Linking)&lt;/_isbn&gt;&lt;_issue&gt;8&lt;/_issue&gt;&lt;_journal&gt;N Engl J Med&lt;/_journal&gt;&lt;_keywords&gt;Breast Neoplasms/blood/*mortality/*pathology/therapy; Cell Separation; Disease Progression; Female; Humans; Middle Aged; Neoplasm Metastasis; *Neoplastic Cells, Circulating; Proportional Hazards Models; Prospective Studies; Survival Analysis&lt;/_keywords&gt;&lt;_language&gt;eng&lt;/_language&gt;&lt;_modified&gt;62400936&lt;/_modified&gt;&lt;_ori_publication&gt;Copyright 2004 Massachusetts Medical Society&lt;/_ori_publication&gt;&lt;_pages&gt;781-91&lt;/_pages&gt;&lt;_tertiary_title&gt;The New England journal of medicine&lt;/_tertiary_title&gt;&lt;_type_work&gt;Clinical Trial; Journal Article; Multicenter Study&lt;/_type_work&gt;&lt;_url&gt;http://www.ncbi.nlm.nih.gov/entrez/query.fcgi?cmd=Retrieve&amp;amp;db=pubmed&amp;amp;dopt=Abstract&amp;amp;list_uids=15317891&amp;amp;query_hl=1&lt;/_url&gt;&lt;_volume&gt;351&lt;/_volume&gt;&lt;/Details&gt;&lt;Extra&gt;&lt;DBUID&gt;{F96A950B-833F-4880-A151-76DA2D6A2879}&lt;/DBUID&gt;&lt;/Extra&gt;&lt;/Item&gt;&lt;/References&gt;&lt;/Group&gt;&lt;/Citation&gt;_x000a_"/>
    <w:docVar w:name="NE.Ref{26051FD3-01F4-4757-815A-0A09C7EEAF59}" w:val=" ADDIN NE.Ref.{26051FD3-01F4-4757-815A-0A09C7EEAF59}&lt;Citation&gt;&lt;Group&gt;&lt;References&gt;&lt;Item&gt;&lt;ID&gt;445&lt;/ID&gt;&lt;UID&gt;{CEF00E3B-EDEC-48FA-A0A2-D8E2867E00A7}&lt;/UID&gt;&lt;Title&gt;Circulating Tumor Cells as a Biomarker in Pancreatic Ductal Adenocarcinoma&lt;/Title&gt;&lt;Template&gt;Journal Article&lt;/Template&gt;&lt;Star&gt;0&lt;/Star&gt;&lt;Tag&gt;0&lt;/Tag&gt;&lt;Author&gt;Liu, H; Sun, B; Wang, S; Liu, C; Lu, Y; Li, D; Liu, X&lt;/Author&gt;&lt;Year&gt;2017&lt;/Year&gt;&lt;Details&gt;&lt;_accession_num&gt;28558380&lt;/_accession_num&gt;&lt;_author_adr&gt;Department of Nuclear Medicine, Huashan Hospital, Fudan University, Shanghai, China.; Department of General Surgery,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lt;/_author_adr&gt;&lt;_date_display&gt;2017&lt;/_date_display&gt;&lt;_date&gt;2017-01-20&lt;/_date&gt;&lt;_doi&gt;10.1159/000477481&lt;/_doi&gt;&lt;_isbn&gt;1421-9778 (Electronic); 1015-8987 (Linking)&lt;/_isbn&gt;&lt;_issue&gt;1&lt;/_issue&gt;&lt;_journal&gt;Cell Physiol Biochem&lt;/_journal&gt;&lt;_keywords&gt;Aged; Antigens, Tumor-Associated, Carbohydrate/blood; Area Under Curve; Biomarkers, Tumor/*metabolism; Carcinoma, Pancreatic Ductal/*diagnosis/metabolism/pathology; Case-Control Studies; Chromosomes, Human, Pair 8/genetics; Female; Humans; In Situ Hybridization, Fluorescence; Leukocyte Common Antigens/metabolism; Luminescent Measurements; Male; Middle Aged; Neoplastic Cells, Circulating/*metabolism; Pancreatic Neoplasms/*diagnosis/metabolism/pathology; ROC Curve; Tetraploidy; TriploidyAneuploidy; Biomarker; Circulating tumor cells; Pancreatic cancer&lt;/_keywords&gt;&lt;_language&gt;eng&lt;/_language&gt;&lt;_ori_publication&gt;(c) 2017 The Author(s). Published by S. Karger AG, Basel.&lt;/_ori_publication&gt;&lt;_pages&gt;373-382&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28558380&amp;amp;query_hl=1&lt;/_url&gt;&lt;_volume&gt;42&lt;/_volume&gt;&lt;_created&gt;62531900&lt;/_created&gt;&lt;_modified&gt;62531900&lt;/_modified&gt;&lt;_impact_factor&gt;   5.500&lt;/_impact_factor&gt;&lt;_collection_scope&gt;SCI;SCIE;&lt;/_collection_scope&gt;&lt;/Details&gt;&lt;Extra&gt;&lt;DBUID&gt;{F96A950B-833F-4880-A151-76DA2D6A2879}&lt;/DBUID&gt;&lt;/Extra&gt;&lt;/Item&gt;&lt;/References&gt;&lt;/Group&gt;&lt;/Citation&gt;_x000a_"/>
    <w:docVar w:name="NE.Ref{27AAD3A3-988A-4DF2-B192-258877D32F65}" w:val=" ADDIN NE.Ref.{27AAD3A3-988A-4DF2-B192-258877D32F65}&lt;Citation&gt;&lt;Group&gt;&lt;References&gt;&lt;Item&gt;&lt;ID&gt;397&lt;/ID&gt;&lt;UID&gt;{78699A70-E731-44A7-ACA3-86465F7695FB}&lt;/UID&gt;&lt;Title&gt;Role of Imaging in Diagnosing and Staging Pancreatic Cancer&lt;/Title&gt;&lt;Template&gt;Journal Article&lt;/Template&gt;&lt;Star&gt;0&lt;/Star&gt;&lt;Tag&gt;0&lt;/Tag&gt;&lt;Author&gt;Al-Hawary, M&lt;/Author&gt;&lt;Year&gt;2016&lt;/Year&gt;&lt;Details&gt;&lt;_accession_num&gt;27226513&lt;/_accession_num&gt;&lt;_author_adr&gt;Presented by Mahmoud Al-Hawary, MD, University of Michigan Comprehensive Cancer Center, Ann Arbor, Michigan.&lt;/_author_adr&gt;&lt;_created&gt;62395089&lt;/_created&gt;&lt;_date&gt;2016-05-01&lt;/_date&gt;&lt;_date_display&gt;2016 May&lt;/_date_display&gt;&lt;_impact_factor&gt;   6.471&lt;/_impact_factor&gt;&lt;_isbn&gt;1540-1413 (Electronic); 1540-1405 (Linking)&lt;/_isbn&gt;&lt;_issue&gt;5 Suppl&lt;/_issue&gt;&lt;_journal&gt;J Natl Compr Canc Netw&lt;/_journal&gt;&lt;_keywords&gt;Humans; Neoplasm Staging; Pancreatic Neoplasms/*diagnostic imaging/pathology&lt;/_keywords&gt;&lt;_language&gt;eng&lt;/_language&gt;&lt;_modified&gt;62531878&lt;/_modified&gt;&lt;_ori_publication&gt;Copyright (c) 2016 by the National Comprehensive Cancer Network.&lt;/_ori_publication&gt;&lt;_pages&gt;678-80&lt;/_pages&gt;&lt;_tertiary_title&gt;Journal of the National Comprehensive Cancer Network : JNCCN&lt;/_tertiary_title&gt;&lt;_type_work&gt;Journal Article&lt;/_type_work&gt;&lt;_url&gt;http://www.ncbi.nlm.nih.gov/entrez/query.fcgi?cmd=Retrieve&amp;amp;db=pubmed&amp;amp;dopt=Abstract&amp;amp;list_uids=27226513&amp;amp;query_hl=1&lt;/_url&gt;&lt;_volume&gt;14&lt;/_volume&gt;&lt;/Details&gt;&lt;Extra&gt;&lt;DBUID&gt;{F96A950B-833F-4880-A151-76DA2D6A2879}&lt;/DBUID&gt;&lt;/Extra&gt;&lt;/Item&gt;&lt;/References&gt;&lt;/Group&gt;&lt;Group&gt;&lt;References&gt;&lt;Item&gt;&lt;ID&gt;398&lt;/ID&gt;&lt;UID&gt;{65A71D73-E9AA-46C1-88C0-E9723ADC0770}&lt;/UID&gt;&lt;Title&gt;Opportunities and Challenges for Pancreatic Circulating Tumor Cells&lt;/Title&gt;&lt;Template&gt;Journal Article&lt;/Template&gt;&lt;Star&gt;0&lt;/Star&gt;&lt;Tag&gt;0&lt;/Tag&gt;&lt;Author&gt;Nagrath, S; Jack, R M; Sahai, V; Simeone, D M&lt;/Author&gt;&lt;Year&gt;2016&lt;/Year&gt;&lt;Details&gt;&lt;_accession_num&gt;27339829&lt;/_accession_num&gt;&lt;_author_adr&gt;Department of Chemical Engineering, University of Michigan, Ann Arbor, Michigan;  Biointerfaces Program, University of Michigan, Ann Arbor, Michigan; Translational Oncology Program, University of Michigan, Ann Arbor, Michigan. Electronic address: snagrath@umich.edu.; Department of Chemical Engineering, University of Michigan, Ann Arbor, Michigan;  Biointerfaces Program, University of Michigan, Ann Arbor, Michigan; Translational Oncology Program, University of Michigan, Ann Arbor, Michigan.; Translational Oncology Program, University of Michigan, Ann Arbor, Michigan; Department of Internal Medicine, University of Michigan, Ann Arbor, Michigan.; Translational Oncology Program, University of Michigan, Ann Arbor, Michigan; Department of Surgery, University of Michigan, Ann Arbor, Michigan; Department of Molecular and Integrative Physiology, University of Michigan, Ann Arbor, Michigan. Electronic address: simeone@med.umich.edu.&lt;/_author_adr&gt;&lt;_collection_scope&gt;SCI;SCIE;&lt;/_collection_scope&gt;&lt;_created&gt;62395096&lt;/_created&gt;&lt;_date&gt;2016-09-01&lt;/_date&gt;&lt;_date_display&gt;2016 Sep&lt;/_date_display&gt;&lt;_doi&gt;10.1053/j.gastro.2016.05.052&lt;/_doi&gt;&lt;_impact_factor&gt;  20.773&lt;/_impact_factor&gt;&lt;_isbn&gt;1528-0012 (Electronic); 0016-5085 (Linking)&lt;/_isbn&gt;&lt;_issue&gt;3&lt;/_issue&gt;&lt;_journal&gt;Gastroenterology&lt;/_journal&gt;&lt;_keywords&gt;Biomarkers, Tumor/analysis; Humans; Neoplastic Cells, Circulating/*pathology; Pancreatic Neoplasms/*blood*Circulating Tumor Cells; *Metastasis; *Pancreatic Adenocarcinoma&lt;/_keywords&gt;&lt;_language&gt;eng&lt;/_language&gt;&lt;_modified&gt;62531879&lt;/_modified&gt;&lt;_ori_publication&gt;Copyright (c) 2016 AGA Institute. Published by Elsevier Inc. All rights reserved.&lt;/_ori_publication&gt;&lt;_pages&gt;412-26&lt;/_pages&gt;&lt;_tertiary_title&gt;Gastroenterology&lt;/_tertiary_title&gt;&lt;_type_work&gt;Journal Article; Review; Research Support, U.S. Gov&amp;apos;t, Non-P.H.S.; Research Support, Non-U.S. Gov&amp;apos;t; Research Support, N.I.H., Extramural&lt;/_type_work&gt;&lt;_url&gt;http://www.ncbi.nlm.nih.gov/entrez/query.fcgi?cmd=Retrieve&amp;amp;db=pubmed&amp;amp;dopt=Abstract&amp;amp;list_uids=27339829&amp;amp;query_hl=1&lt;/_url&gt;&lt;_volume&gt;151&lt;/_volume&gt;&lt;/Details&gt;&lt;Extra&gt;&lt;DBUID&gt;{F96A950B-833F-4880-A151-76DA2D6A2879}&lt;/DBUID&gt;&lt;/Extra&gt;&lt;/Item&gt;&lt;/References&gt;&lt;/Group&gt;&lt;/Citation&gt;_x000a_"/>
    <w:docVar w:name="NE.Ref{306CB896-6D68-468B-9270-CB148161F26B}" w:val=" ADDIN NE.Ref.{306CB896-6D68-468B-9270-CB148161F26B}&lt;Citation&gt;&lt;Group&gt;&lt;References&gt;&lt;Item&gt;&lt;ID&gt;397&lt;/ID&gt;&lt;UID&gt;{78699A70-E731-44A7-ACA3-86465F7695FB}&lt;/UID&gt;&lt;Title&gt;Role of Imaging in Diagnosing and Staging Pancreatic Cancer&lt;/Title&gt;&lt;Template&gt;Journal Article&lt;/Template&gt;&lt;Star&gt;0&lt;/Star&gt;&lt;Tag&gt;0&lt;/Tag&gt;&lt;Author&gt;Al-Hawary, M&lt;/Author&gt;&lt;Year&gt;2016&lt;/Year&gt;&lt;Details&gt;&lt;_accession_num&gt;27226513&lt;/_accession_num&gt;&lt;_author_adr&gt;Presented by Mahmoud Al-Hawary, MD, University of Michigan Comprehensive Cancer Center, Ann Arbor, Michigan.&lt;/_author_adr&gt;&lt;_created&gt;62395089&lt;/_created&gt;&lt;_date&gt;2016-05-01&lt;/_date&gt;&lt;_date_display&gt;2016 May&lt;/_date_display&gt;&lt;_impact_factor&gt;   6.471&lt;/_impact_factor&gt;&lt;_isbn&gt;1540-1413 (Electronic); 1540-1405 (Linking)&lt;/_isbn&gt;&lt;_issue&gt;5 Suppl&lt;/_issue&gt;&lt;_journal&gt;J Natl Compr Canc Netw&lt;/_journal&gt;&lt;_keywords&gt;Humans; Neoplasm Staging; Pancreatic Neoplasms/*diagnostic imaging/pathology&lt;/_keywords&gt;&lt;_language&gt;eng&lt;/_language&gt;&lt;_modified&gt;62531878&lt;/_modified&gt;&lt;_ori_publication&gt;Copyright (c) 2016 by the National Comprehensive Cancer Network.&lt;/_ori_publication&gt;&lt;_pages&gt;678-80&lt;/_pages&gt;&lt;_tertiary_title&gt;Journal of the National Comprehensive Cancer Network : JNCCN&lt;/_tertiary_title&gt;&lt;_type_work&gt;Journal Article&lt;/_type_work&gt;&lt;_url&gt;http://www.ncbi.nlm.nih.gov/entrez/query.fcgi?cmd=Retrieve&amp;amp;db=pubmed&amp;amp;dopt=Abstract&amp;amp;list_uids=27226513&amp;amp;query_hl=1&lt;/_url&gt;&lt;_volume&gt;14&lt;/_volume&gt;&lt;/Details&gt;&lt;Extra&gt;&lt;DBUID&gt;{F96A950B-833F-4880-A151-76DA2D6A2879}&lt;/DBUID&gt;&lt;/Extra&gt;&lt;/Item&gt;&lt;/References&gt;&lt;/Group&gt;&lt;/Citation&gt;_x000a_"/>
    <w:docVar w:name="NE.Ref{39B61A75-B0DD-4C4A-9AB1-CB46F7F85609}" w:val=" ADDIN NE.Ref.{39B61A75-B0DD-4C4A-9AB1-CB46F7F85609}&lt;Citation&gt;&lt;Group&gt;&lt;References&gt;&lt;Item&gt;&lt;ID&gt;420&lt;/ID&gt;&lt;UID&gt;{F00ADA74-5BF7-49FF-B626-469D57DADAF1}&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collection_scope&gt;SCI;SCIE;&lt;/_collection_scope&gt;&lt;_created&gt;62400928&lt;/_created&gt;&lt;_date&gt;2013-08-01&lt;/_date&gt;&lt;_date_display&gt;2013 Aug&lt;/_date_display&gt;&lt;_doi&gt;10.1093/annonc/mdt176&lt;/_doi&gt;&lt;_impact_factor&gt;  13.926&lt;/_impact_factor&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modified&gt;62531914&lt;/_modified&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Details&gt;&lt;Extra&gt;&lt;DBUID&gt;{F96A950B-833F-4880-A151-76DA2D6A2879}&lt;/DBUID&gt;&lt;/Extra&gt;&lt;/Item&gt;&lt;/References&gt;&lt;/Group&gt;&lt;/Citation&gt;_x000a_"/>
    <w:docVar w:name="NE.Ref{43BA74C8-14CE-4B1E-AC05-9B3F9585A4C0}" w:val=" ADDIN NE.Ref.{43BA74C8-14CE-4B1E-AC05-9B3F9585A4C0}&lt;Citation&gt;&lt;Group&gt;&lt;References&gt;&lt;Item&gt;&lt;ID&gt;419&lt;/ID&gt;&lt;UID&gt;{55FC1B03-E935-403F-8D48-75CF1102367A}&lt;/UID&gt;&lt;Title&gt;Detection of tumor cell dissemination in pancreatic ductal carcinoma patients by  CK 20 RT-PCR indicates poor survival&lt;/Title&gt;&lt;Template&gt;Journal Article&lt;/Template&gt;&lt;Star&gt;0&lt;/Star&gt;&lt;Tag&gt;0&lt;/Tag&gt;&lt;Author&gt;Soeth, E; Grigoleit, U; Moellmann, B; Roder, C; Schniewind, B; Kremer, B; Kalthoff, H; Vogel, I&lt;/Author&gt;&lt;Year&gt;2005&lt;/Year&gt;&lt;Details&gt;&lt;_accession_num&gt;16136352&lt;/_accession_num&gt;&lt;_author_adr&gt;Section Molecular Oncology, Department for General Surgery and Thoracic Surgery,  University Clinic Schleswig-Holstein, Campus Kiel, Germany.&lt;/_author_adr&gt;&lt;_created&gt;62400898&lt;/_created&gt;&lt;_date&gt;2005-10-01&lt;/_date&gt;&lt;_date_display&gt;2005 Oct&lt;/_date_display&gt;&lt;_doi&gt;10.1007/s00432-005-0008-1&lt;/_doi&gt;&lt;_impact_factor&gt;   3.282&lt;/_impact_factor&gt;&lt;_isbn&gt;0171-5216 (Print); 0171-5216 (Linking)&lt;/_isbn&gt;&lt;_issue&gt;10&lt;/_issue&gt;&lt;_journal&gt;J Cancer Res Clin Oncol&lt;/_journal&gt;&lt;_keywords&gt;Adenocarcinoma/mortality/*pathology; Adolescent; Adult; Aged; Aged, 80 and over; Biomarkers, Tumor/*analysis; Bone Marrow Neoplasms/secondary; Carcinoma, Pancreatic Ductal/mortality/*pathology; Female; Humans; Intermediate Filament Proteins/*metabolism; Keratin-20; Male; Middle Aged; Neoplastic Cells, Circulating; Pancreatic Neoplasms/*mortality/*pathology; Prognosis; Reverse Transcriptase Polymerase Chain Reaction; Survival Rate&lt;/_keywords&gt;&lt;_language&gt;eng&lt;/_language&gt;&lt;_modified&gt;62531917&lt;/_modified&gt;&lt;_pages&gt;669-76&lt;/_pages&gt;&lt;_tertiary_title&gt;Journal of cancer research and clinical oncology&lt;/_tertiary_title&gt;&lt;_type_work&gt;Journal Article; Research Support, Non-U.S. Gov&amp;apos;t&lt;/_type_work&gt;&lt;_url&gt;http://www.ncbi.nlm.nih.gov/entrez/query.fcgi?cmd=Retrieve&amp;amp;db=pubmed&amp;amp;dopt=Abstract&amp;amp;list_uids=16136352&amp;amp;query_hl=1&lt;/_url&gt;&lt;_volume&gt;131&lt;/_volume&gt;&lt;/Details&gt;&lt;Extra&gt;&lt;DBUID&gt;{F96A950B-833F-4880-A151-76DA2D6A2879}&lt;/DBUID&gt;&lt;/Extra&gt;&lt;/Item&gt;&lt;/References&gt;&lt;/Group&gt;&lt;/Citation&gt;_x000a_"/>
    <w:docVar w:name="NE.Ref{4808BF61-1471-4858-BE7F-C8C9CF090ECA}" w:val=" ADDIN NE.Ref.{4808BF61-1471-4858-BE7F-C8C9CF090ECA}&lt;Citation&gt;&lt;Group&gt;&lt;References&gt;&lt;Item&gt;&lt;ID&gt;435&lt;/ID&gt;&lt;UID&gt;{C5909E1A-84BA-46F5-89D2-B0725ED26D50}&lt;/UID&gt;&lt;Title&gt;Detection and isolation of circulating tumor cells: principles and methods&lt;/Title&gt;&lt;Template&gt;Journal Article&lt;/Template&gt;&lt;Star&gt;0&lt;/Star&gt;&lt;Tag&gt;0&lt;/Tag&gt;&lt;Author&gt;Esmaeilsabzali, H; Beischlag, T V; Cox, M E; Parameswaran, A M; Park, E J&lt;/Author&gt;&lt;Year&gt;2013&lt;/Year&gt;&lt;Details&gt;&lt;_accession_num&gt;23999357&lt;/_accession_num&gt;&lt;_author_adr&gt;School of Mechatronic Systems Engineering, Simon Fraser University, 250-13450 102nd Avenue, Surrey, V3T 0A3, BC, Canada; Faculty of Health Sciences, Simon Fraser University, 8888 University Drive, Burnaby, V5A 1S6, BC, Canada; School of Engineering Science, Simon Fraser University, 8888 University Drive, Burnaby, V5A 1S6, BC, Canada.&lt;/_author_adr&gt;&lt;_collection_scope&gt;EI;SCI;SCIE;&lt;/_collection_scope&gt;&lt;_created&gt;62406603&lt;/_created&gt;&lt;_date&gt;2013-11-15&lt;/_date&gt;&lt;_date_display&gt;2013 Nov 15&lt;/_date_display&gt;&lt;_doi&gt;10.1016/j.biotechadv.2013.08.016&lt;/_doi&gt;&lt;_impact_factor&gt;  11.452&lt;/_impact_factor&gt;&lt;_isbn&gt;1873-1899 (Electronic); 0734-9750 (Linking)&lt;/_isbn&gt;&lt;_issue&gt;7&lt;/_issue&gt;&lt;_journal&gt;Biotechnol Adv&lt;/_journal&gt;&lt;_keywords&gt;Biomarkers, Tumor/*blood; *Biotechnology; *Cell Separation; Humans; Microfluidic Analytical Techniques; *Neoplastic Cells, CirculatingBiomarker; CTC detection methods; CTC isolation methods; Cancer; Carcinoma; Circulating tumor cell; Image cytometry; Immunomagnetic; Metastasis; Microfluidics&lt;/_keywords&gt;&lt;_language&gt;eng&lt;/_language&gt;&lt;_modified&gt;62406605&lt;/_modified&gt;&lt;_ori_publication&gt;(c) 2013 Elsevier Inc. All rights reserved.&lt;/_ori_publication&gt;&lt;_pages&gt;1063-84&lt;/_pages&gt;&lt;_tertiary_title&gt;Biotechnology advances&lt;/_tertiary_title&gt;&lt;_type_work&gt;Journal Article; Research Support, Non-U.S. Gov&amp;apos;t; Review&lt;/_type_work&gt;&lt;_url&gt;http://www.ncbi.nlm.nih.gov/entrez/query.fcgi?cmd=Retrieve&amp;amp;db=pubmed&amp;amp;dopt=Abstract&amp;amp;list_uids=23999357&amp;amp;query_hl=1&lt;/_url&gt;&lt;_volume&gt;31&lt;/_volume&gt;&lt;/Details&gt;&lt;Extra&gt;&lt;DBUID&gt;{F96A950B-833F-4880-A151-76DA2D6A2879}&lt;/DBUID&gt;&lt;/Extra&gt;&lt;/Item&gt;&lt;/References&gt;&lt;/Group&gt;&lt;/Citation&gt;_x000a_"/>
    <w:docVar w:name="NE.Ref{4B834ED4-5DA7-4CCE-B44E-8467D6F09025}" w:val=" ADDIN NE.Ref.{4B834ED4-5DA7-4CCE-B44E-8467D6F09025}&lt;Citation&gt;&lt;Group&gt;&lt;References&gt;&lt;Item&gt;&lt;ID&gt;443&lt;/ID&gt;&lt;UID&gt;{E5C2B035-09D3-4855-9250-C25DEAD833EF}&lt;/UID&gt;&lt;Title&gt;A pilot study to explore circulating tumour cells in pancreatic cancer as a novel biomarker&lt;/Title&gt;&lt;Template&gt;Journal Article&lt;/Template&gt;&lt;Star&gt;0&lt;/Star&gt;&lt;Tag&gt;0&lt;/Tag&gt;&lt;Author&gt;Khoja, L; Backen, A; Sloane, R; Menasce, L; Ryder, D; Krebs, M; Board, R; Clack, G; Hughes, A; Blackhall, F; Valle, J W; Dive, C&lt;/Author&gt;&lt;Year&gt;2012&lt;/Year&gt;&lt;Details&gt;&lt;_accession_num&gt;22187035&lt;/_accession_num&gt;&lt;_author_adr&gt;Clinical and Experimental Pharmacology Group, Paterson Institute for Cancer Research, Wilmslow Road, Manchester M20 4BX, UK.&lt;/_author_adr&gt;&lt;_date_display&gt;2012 Jan 31&lt;/_date_display&gt;&lt;_date&gt;2012-01-31&lt;/_date&gt;&lt;_doi&gt;10.1038/bjc.2011.545&lt;/_doi&gt;&lt;_isbn&gt;1532-1827 (Electronic); 0007-0920 (Linking)&lt;/_isbn&gt;&lt;_issue&gt;3&lt;/_issue&gt;&lt;_journal&gt;Br J Cancer&lt;/_journal&gt;&lt;_keywords&gt;Adenocarcinoma/*diagnosis/mortality/pathology; Adult; Aged; Aged, 80 and over; *Biomarkers, Tumor; England; Female; Humans; Male; Middle Aged; *Neoplastic Cells, Circulating; Pancreatic Neoplasms/*diagnosis/mortality/pathology; Pilot Projects; Predictive Value of Tests; Prospective Studies; Survival Analysis&lt;/_keywords&gt;&lt;_language&gt;eng&lt;/_language&gt;&lt;_pages&gt;508-16&lt;/_pages&gt;&lt;_tertiary_title&gt;British journal of cancer&lt;/_tertiary_title&gt;&lt;_type_work&gt;Evaluation Studies; Journal Article; Research Support, Non-U.S. Gov&amp;apos;t&lt;/_type_work&gt;&lt;_url&gt;http://www.ncbi.nlm.nih.gov/entrez/query.fcgi?cmd=Retrieve&amp;amp;db=pubmed&amp;amp;dopt=Abstract&amp;amp;list_uids=22187035&amp;amp;query_hl=1&lt;/_url&gt;&lt;_volume&gt;106&lt;/_volume&gt;&lt;_created&gt;62531897&lt;/_created&gt;&lt;_modified&gt;62531898&lt;/_modified&gt;&lt;_impact_factor&gt;   5.922&lt;/_impact_factor&gt;&lt;/Details&gt;&lt;Extra&gt;&lt;DBUID&gt;{F96A950B-833F-4880-A151-76DA2D6A2879}&lt;/DBUID&gt;&lt;/Extra&gt;&lt;/Item&gt;&lt;/References&gt;&lt;/Group&gt;&lt;Group&gt;&lt;References&gt;&lt;Item&gt;&lt;ID&gt;444&lt;/ID&gt;&lt;UID&gt;{74BD64AE-929A-42FB-8F1C-F1089261A1FE}&lt;/UID&gt;&lt;Title&gt;Detection of circulating tumor cells in patients with pancreatic cancer: a preliminary result&lt;/Title&gt;&lt;Template&gt;Journal Article&lt;/Template&gt;&lt;Star&gt;0&lt;/Star&gt;&lt;Tag&gt;0&lt;/Tag&gt;&lt;Author&gt;Kurihara, T; Itoi, T; Sofuni, A; Itokawa, F; Tsuchiya, T; Tsuji, S; Ishii, K; Ikeuchi, N; Tsuchida, A; Kasuya, K; Kawai, T; Sakai, Y; Moriyasu, F&lt;/Author&gt;&lt;Year&gt;2008&lt;/Year&gt;&lt;Details&gt;&lt;_accession_num&gt;18392713&lt;/_accession_num&gt;&lt;_author_adr&gt;Department of Gastroenterology and Hepatology, Tokyo Medical University, 6-7-1 Nishishinjuku, Shinjuku-ku, Tokyo 160-0023, Japan.&lt;/_author_adr&gt;&lt;_date_display&gt;2008&lt;/_date_display&gt;&lt;_date&gt;2008-01-20&lt;/_date&gt;&lt;_doi&gt;10.1007/s00534-007-1250-5&lt;/_doi&gt;&lt;_isbn&gt;0944-1166 (Print); 0944-1166 (Linking)&lt;/_isbn&gt;&lt;_issue&gt;2&lt;/_issue&gt;&lt;_journal&gt;J Hepatobiliary Pancreat Surg&lt;/_journal&gt;&lt;_keywords&gt;Aged; Aged, 80 and over; Female; Humans; Male; Middle Aged; Neoplasm Staging; Neoplastic Cells, Circulating/*pathology; Pancreatic Neoplasms/blood/*pathology; Prognosis; Survival Analysis&lt;/_keywords&gt;&lt;_language&gt;eng&lt;/_language&gt;&lt;_pages&gt;189-95&lt;/_pages&gt;&lt;_tertiary_title&gt;Journal of hepato-biliary-pancreatic surgery&lt;/_tertiary_title&gt;&lt;_type_work&gt;Journal Article; Research Support, Non-U.S. Gov&amp;apos;t&lt;/_type_work&gt;&lt;_url&gt;http://www.ncbi.nlm.nih.gov/entrez/query.fcgi?cmd=Retrieve&amp;amp;db=pubmed&amp;amp;dopt=Abstract&amp;amp;list_uids=18392713&amp;amp;query_hl=1&lt;/_url&gt;&lt;_volume&gt;15&lt;/_volume&gt;&lt;_created&gt;62531899&lt;/_created&gt;&lt;_modified&gt;62531899&lt;/_modified&gt;&lt;/Details&gt;&lt;Extra&gt;&lt;DBUID&gt;{F96A950B-833F-4880-A151-76DA2D6A2879}&lt;/DBUID&gt;&lt;/Extra&gt;&lt;/Item&gt;&lt;/References&gt;&lt;/Group&gt;&lt;/Citation&gt;_x000a_"/>
    <w:docVar w:name="NE.Ref{50E76FB6-BE97-41E4-903F-FD6BD54D602E}" w:val=" ADDIN NE.Ref.{50E76FB6-BE97-41E4-903F-FD6BD54D602E}&lt;Citation&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Group&gt;&lt;References&gt;&lt;Item&gt;&lt;ID&gt;411&lt;/ID&gt;&lt;UID&gt;{D5D94789-E4EE-485D-8C1B-8EF7BB212608}&lt;/UID&gt;&lt;Title&gt;Circulating breast tumor cells exhibit dynamic changes in epithelial and mesenchymal composition&lt;/Title&gt;&lt;Template&gt;Journal Article&lt;/Template&gt;&lt;Star&gt;0&lt;/Star&gt;&lt;Tag&gt;0&lt;/Tag&gt;&lt;Author&gt;Yu, M; Bardia, A; Wittner, B S; Stott, S L; Smas, M E; Ting, D T; Isakoff, S J; Ciciliano, J C; Wells, M N; Shah, A M; Concannon, K F; Donaldson, M C; Sequist, L V; Brachtel, E; Sgroi, D; Baselga, J; Ramaswamy, S; Toner, M; Haber, D A; Maheswaran, S&lt;/Author&gt;&lt;Year&gt;2013&lt;/Year&gt;&lt;Details&gt;&lt;_accession_num&gt;23372014&lt;/_accession_num&gt;&lt;_author_adr&gt;Massachusetts General Hospital Cancer Center, Harvard Medical School, Charlestown, MA 02129, USA.&lt;/_author_adr&gt;&lt;_collection_scope&gt;SCI;SCIE;&lt;/_collection_scope&gt;&lt;_created&gt;62395150&lt;/_created&gt;&lt;_date&gt;2013-02-01&lt;/_date&gt;&lt;_date_display&gt;2013 Feb 1&lt;/_date_display&gt;&lt;_doi&gt;10.1126/science.1228522&lt;/_doi&gt;&lt;_impact_factor&gt;  41.058&lt;/_impact_factor&gt;&lt;_isbn&gt;1095-9203 (Electronic); 0036-8075 (Linking)&lt;/_isbn&gt;&lt;_issue&gt;6119&lt;/_issue&gt;&lt;_journal&gt;Science&lt;/_journal&gt;&lt;_keywords&gt;Animals; Biomarkers, Tumor/genetics/metabolism; Breast Neoplasms/blood/genetics/*pathology; Cell Count; Cell Movement; Epithelial Cells/pathology; *Epithelial-Mesenchymal Transition; Female; Gene Expression Regulation, Neoplastic; Humans; Mesoderm/pathology; Mice; Neoplasm Transplantation; Neoplastic Cells, Circulating/metabolism/*pathology; RNA, Neoplasm/chemistry/genetics; Transcription, Genetic; Transforming Growth Factor beta/genetics/metabolism&lt;/_keywords&gt;&lt;_language&gt;eng&lt;/_language&gt;&lt;_modified&gt;62531914&lt;/_modified&gt;&lt;_pages&gt;580-4&lt;/_pages&gt;&lt;_tertiary_title&gt;Science (New York, N.Y.)&lt;/_tertiary_title&gt;&lt;_type_work&gt;Journal Article; Research Support, N.I.H., Extramural; Research Support, Non-U.S. Gov&amp;apos;t&lt;/_type_work&gt;&lt;_url&gt;http://www.ncbi.nlm.nih.gov/entrez/query.fcgi?cmd=Retrieve&amp;amp;db=pubmed&amp;amp;dopt=Abstract&amp;amp;list_uids=23372014&amp;amp;query_hl=1&lt;/_url&gt;&lt;_volume&gt;339&lt;/_volume&gt;&lt;/Details&gt;&lt;Extra&gt;&lt;DBUID&gt;{F96A950B-833F-4880-A151-76DA2D6A2879}&lt;/DBUID&gt;&lt;/Extra&gt;&lt;/Item&gt;&lt;/References&gt;&lt;/Group&gt;&lt;Group&gt;&lt;References&gt;&lt;Item&gt;&lt;ID&gt;417&lt;/ID&gt;&lt;UID&gt;{172B5708-E819-4E31-876D-78BD452D8913}&lt;/UID&gt;&lt;Title&gt;The lymph node ratio is the strongest prognostic factor after resection of pancreatic cancer&lt;/Title&gt;&lt;Template&gt;Journal Article&lt;/Template&gt;&lt;Star&gt;0&lt;/Star&gt;&lt;Tag&gt;0&lt;/Tag&gt;&lt;Author&gt;Riediger, H; Keck, T; Wellner, U; Zur, Hausen A; Adam, U; Hopt, U T; Makowiec, F&lt;/Author&gt;&lt;Year&gt;2009&lt;/Year&gt;&lt;Details&gt;&lt;_accession_num&gt;19418101&lt;/_accession_num&gt;&lt;_author_adr&gt;Department of Surgery, University of Freiburg, Hugstetter Str. 55, 79106, Freiburg, Germany.&lt;/_author_adr&gt;&lt;_collection_scope&gt;SCIE;&lt;/_collection_scope&gt;&lt;_created&gt;62395955&lt;/_created&gt;&lt;_date&gt;2009-07-01&lt;/_date&gt;&lt;_date_display&gt;2009 Jul&lt;/_date_display&gt;&lt;_doi&gt;10.1007/s11605-009-0919-2&lt;/_doi&gt;&lt;_impact_factor&gt;   2.813&lt;/_impact_factor&gt;&lt;_isbn&gt;1873-4626 (Electronic); 1091-255X (Linking)&lt;/_isbn&gt;&lt;_issue&gt;7&lt;/_issue&gt;&lt;_journal&gt;J Gastrointest Surg&lt;/_journal&gt;&lt;_keywords&gt;Adenocarcinoma/*mortality/pathology/secondary/*surgery; Adult; Aged; Aged, 80 and over; Analysis of Variance; Cohort Studies; Disease-Free Survival; Female; Humans; Kaplan-Meier Estimate; Lymph Node Excision/*statistics &amp;amp; numerical data; Lymph Nodes/*pathology; Lymphatic Metastasis; Male; Middle Aged; Multivariate Analysis; Neoplasm Recurrence, Local/mortality/pathology; Neoplasm Staging; Pancreatectomy/adverse effects/methods; Pancreatic Neoplasms/*mortality/pathology/*surgery; Pancreaticoduodenectomy/adverse effects/methods; Predictive Value of Tests; Probability; Prognosis; Proportional Hazards Models; Retrospective Studies; Risk Assessment; Survival Analysis; Time Factors; Treatment Outcome; Tumor Burden&lt;/_keywords&gt;&lt;_language&gt;eng&lt;/_language&gt;&lt;_modified&gt;62395967&lt;/_modified&gt;&lt;_pages&gt;1337-44&lt;/_pages&gt;&lt;_tertiary_title&gt;Journal of gastrointestinal surgery : official journal of the Society for Surgery_x000d__x000a_      of the Alimentary Tract&lt;/_tertiary_title&gt;&lt;_type_work&gt;Comparative Study; Journal Article&lt;/_type_work&gt;&lt;_url&gt;http://www.ncbi.nlm.nih.gov/entrez/query.fcgi?cmd=Retrieve&amp;amp;db=pubmed&amp;amp;dopt=Abstract&amp;amp;list_uids=19418101&amp;amp;query_hl=1&lt;/_url&gt;&lt;_volume&gt;13&lt;/_volume&gt;&lt;/Details&gt;&lt;Extra&gt;&lt;DBUID&gt;{F96A950B-833F-4880-A151-76DA2D6A2879}&lt;/DBUID&gt;&lt;/Extra&gt;&lt;/Item&gt;&lt;/References&gt;&lt;/Group&gt;&lt;/Citation&gt;_x000a_"/>
    <w:docVar w:name="NE.Ref{55B370C9-A564-44A2-9660-35F2806F1AE8}" w:val=" ADDIN NE.Ref.{55B370C9-A564-44A2-9660-35F2806F1AE8}&lt;Citation&gt;&lt;Group&gt;&lt;References&gt;&lt;Item&gt;&lt;ID&gt;430&lt;/ID&gt;&lt;UID&gt;{E6F30F6D-CB7D-4B8F-ADEC-59EF04FD3DFA}&lt;/UID&gt;&lt;Title&gt;Pancreatic ductal adenocarcinoma: risk factors, screening, and early detection&lt;/Title&gt;&lt;Template&gt;Journal Article&lt;/Template&gt;&lt;Star&gt;0&lt;/Star&gt;&lt;Tag&gt;0&lt;/Tag&gt;&lt;Author&gt;Becker, A E; Hernandez, Y G; Frucht, H; Lucas, A L&lt;/Author&gt;&lt;Year&gt;2014&lt;/Year&gt;&lt;Details&gt;&lt;_accession_num&gt;25170203&lt;/_accession_num&gt;&lt;_author_adr&gt;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lt;/_author_adr&gt;&lt;_created&gt;62406579&lt;/_created&gt;&lt;_date&gt;2014-08-28&lt;/_date&gt;&lt;_date_display&gt;2014 Aug 28&lt;/_date_display&gt;&lt;_doi&gt;10.3748/wjg.v20.i32.11182&lt;/_doi&gt;&lt;_impact_factor&gt;   3.300&lt;/_impact_factor&gt;&lt;_isbn&gt;2219-2840 (Electronic); 1007-9327 (Linking)&lt;/_isbn&gt;&lt;_issue&gt;32&lt;/_issue&gt;&lt;_journal&gt;World J Gastroenterol&lt;/_journal&gt;&lt;_keywords&gt;Biomarkers, Tumor/genetics; Carcinoma, Pancreatic Ductal/*diagnosis/epidemiology/genetics; Comorbidity; *Early Detection of Cancer/methods; Genetic Predisposition to Disease; Humans; Life Style; Pancreatic Neoplasms/*diagnosis/epidemiology/genetics; Predictive Value of Tests; Risk Assessment; Risk FactorsBRCA; Genetic predisposition to disease; Hereditary breast and ovarian cancer syndrome; Lynch syndrome; PALB2; Pancreas cancer screening; Pancreatic neoplasms; Pancreatitis; Peutz-Jeghers; p16&lt;/_keywords&gt;&lt;_language&gt;eng&lt;/_language&gt;&lt;_modified&gt;62406588&lt;/_modified&gt;&lt;_pages&gt;11182-98&lt;/_pages&gt;&lt;_tertiary_title&gt;World journal of gastroenterology&lt;/_tertiary_title&gt;&lt;_type_work&gt;Journal Article; Review&lt;/_type_work&gt;&lt;_url&gt;http://www.ncbi.nlm.nih.gov/entrez/query.fcgi?cmd=Retrieve&amp;amp;db=pubmed&amp;amp;dopt=Abstract&amp;amp;list_uids=25170203&amp;amp;query_hl=1&lt;/_url&gt;&lt;_volume&gt;20&lt;/_volume&gt;&lt;/Details&gt;&lt;Extra&gt;&lt;DBUID&gt;{F96A950B-833F-4880-A151-76DA2D6A2879}&lt;/DBUID&gt;&lt;/Extra&gt;&lt;/Item&gt;&lt;/References&gt;&lt;/Group&gt;&lt;/Citation&gt;_x000a_"/>
    <w:docVar w:name="NE.Ref{589043D6-1FDB-44F6-A627-D7008A4AA1FA}" w:val=" ADDIN NE.Ref.{589043D6-1FDB-44F6-A627-D7008A4AA1FA}&lt;Citation&gt;&lt;Group&gt;&lt;References&gt;&lt;Item&gt;&lt;ID&gt;442&lt;/ID&gt;&lt;UID&gt;{B6570787-D4AF-4DE0-8405-25B80C3358E4}&lt;/UID&gt;&lt;Title&gt;Interventional EUS for the diagnosis and treatment of locally advanced pancreatic cancer&lt;/Title&gt;&lt;Template&gt;Journal Article&lt;/Template&gt;&lt;Star&gt;0&lt;/Star&gt;&lt;Tag&gt;0&lt;/Tag&gt;&lt;Author&gt;Al-Haddad, M; Eloubeidi, M A&lt;/Author&gt;&lt;Year&gt;2010&lt;/Year&gt;&lt;Details&gt;&lt;_accession_num&gt;20065544&lt;/_accession_num&gt;&lt;_author_adr&gt;Division of Gastroenterology and Hepatology, Department of Medicine, Indiana University School of Medicine, Indianapolis, IN, USA.&lt;/_author_adr&gt;&lt;_date_display&gt;2010 Jan 8&lt;/_date_display&gt;&lt;_date&gt;2010-01-08&lt;/_date&gt;&lt;_isbn&gt;1590-8577 (Electronic); 1590-8577 (Linking)&lt;/_isbn&gt;&lt;_issue&gt;1&lt;/_issue&gt;&lt;_journal&gt;JOP&lt;/_journal&gt;&lt;_keywords&gt;Antineoplastic Agents/administration &amp;amp; dosage; Biopsy, Fine-Needle/methods; Brachytherapy/methods; Carcinoma/*diagnostic imaging/pathology/*therapy; Diagnostic Techniques, Digestive System; Disease Progression; Drainage/methods; Endosonography/methods; Humans; Injections, Intralesional; Pancreatic Neoplasms/*diagnostic imaging/pathology/*therapy; Ultrasonography, Interventional/*methods&lt;/_keywords&gt;&lt;_language&gt;eng&lt;/_language&gt;&lt;_pages&gt;1-7&lt;/_pages&gt;&lt;_tertiary_title&gt;JOP : Journal of the pancreas&lt;/_tertiary_title&gt;&lt;_type_work&gt;Journal Article; Review&lt;/_type_work&gt;&lt;_url&gt;http://www.ncbi.nlm.nih.gov/entrez/query.fcgi?cmd=Retrieve&amp;amp;db=pubmed&amp;amp;dopt=Abstract&amp;amp;list_uids=20065544&amp;amp;query_hl=1&lt;/_url&gt;&lt;_volume&gt;11&lt;/_volume&gt;&lt;_created&gt;62531877&lt;/_created&gt;&lt;_modified&gt;62531877&lt;/_modified&gt;&lt;/Details&gt;&lt;Extra&gt;&lt;DBUID&gt;{F96A950B-833F-4880-A151-76DA2D6A2879}&lt;/DBUID&gt;&lt;/Extra&gt;&lt;/Item&gt;&lt;/References&gt;&lt;/Group&gt;&lt;/Citation&gt;_x000a_"/>
    <w:docVar w:name="NE.Ref{61904A1D-E312-4D76-97D5-87871F83FB6F}" w:val=" ADDIN NE.Ref.{61904A1D-E312-4D76-97D5-87871F83FB6F}&lt;Citation&gt;&lt;Group&gt;&lt;References&gt;&lt;Item&gt;&lt;ID&gt;402&lt;/ID&gt;&lt;UID&gt;{02FBD95C-5B1C-4AFE-B4B0-6F00DD943A9A}&lt;/UID&gt;&lt;Title&gt;Circulating tumor cells: a novel prognostic factor for newly diagnosed metastatic breast cancer&lt;/Title&gt;&lt;Template&gt;Journal Article&lt;/Template&gt;&lt;Star&gt;0&lt;/Star&gt;&lt;Tag&gt;0&lt;/Tag&gt;&lt;Author&gt;Cristofanilli, M; Hayes, D F; Budd, G T; Ellis, M J; Stopeck, A; Reuben, J M; Doyle, G V; Matera, J; Allard, W J; Miller, M C; Fritsche, H A; Hortobagyi, G N; Terstappen, L W&lt;/Author&gt;&lt;Year&gt;2005&lt;/Year&gt;&lt;Details&gt;&lt;_accession_num&gt;15735118&lt;/_accession_num&gt;&lt;_author_adr&gt;Department of Breast Medical Oncology, The University of Texas M.D. Anderson Cancer Center, 1515 Holcombe Blvd, Box 424, Houston, TX 77030, USA. mcristof@mdanderson.org&lt;/_author_adr&gt;&lt;_collection_scope&gt;SCI;SCIE;&lt;/_collection_scope&gt;&lt;_created&gt;62395114&lt;/_created&gt;&lt;_date&gt;2005-03-01&lt;/_date&gt;&lt;_date_display&gt;2005 Mar 1&lt;/_date_display&gt;&lt;_doi&gt;10.1200/JCO.2005.08.140&lt;/_doi&gt;&lt;_impact_factor&gt;  26.303&lt;/_impact_factor&gt;&lt;_isbn&gt;0732-183X (Print); 0732-183X (Linking)&lt;/_isbn&gt;&lt;_issue&gt;7&lt;/_issue&gt;&lt;_journal&gt;J Clin Oncol&lt;/_journal&gt;&lt;_keywords&gt;Breast Neoplasms/*mortality/pathology/therapy; Female; Humans; Middle Aged; Neoplasm Metastasis; Neoplastic Cells, Circulating/*pathology; Prognosis; Prospective Studies; Survival Rate&lt;/_keywords&gt;&lt;_language&gt;eng&lt;/_language&gt;&lt;_modified&gt;62531885&lt;/_modified&gt;&lt;_pages&gt;1420-30&lt;/_pages&gt;&lt;_tertiary_title&gt;Journal of clinical oncology : official journal of the American Society of_x000d__x000a_      Clinical Oncology&lt;/_tertiary_title&gt;&lt;_type_work&gt;Journal Article; Research Support, Non-U.S. Gov&amp;apos;t&lt;/_type_work&gt;&lt;_url&gt;http://www.ncbi.nlm.nih.gov/entrez/query.fcgi?cmd=Retrieve&amp;amp;db=pubmed&amp;amp;dopt=Abstract&amp;amp;list_uids=15735118&amp;amp;query_hl=1&lt;/_url&gt;&lt;_volume&gt;23&lt;/_volume&gt;&lt;/Details&gt;&lt;Extra&gt;&lt;DBUID&gt;{F96A950B-833F-4880-A151-76DA2D6A2879}&lt;/DBUID&gt;&lt;/Extra&gt;&lt;/Item&gt;&lt;/References&gt;&lt;/Group&gt;&lt;Group&gt;&lt;References&gt;&lt;Item&gt;&lt;ID&gt;404&lt;/ID&gt;&lt;UID&gt;{314F24D0-3ABD-432E-A31D-0497715F524A}&lt;/UID&gt;&lt;Title&gt;Circulating tumor cell number and prognosis in progressive castration-resistant prostate cancer&lt;/Title&gt;&lt;Template&gt;Journal Article&lt;/Template&gt;&lt;Star&gt;0&lt;/Star&gt;&lt;Tag&gt;0&lt;/Tag&gt;&lt;Author&gt;Danila, D C; Heller, G; Gignac, G A; Gonzalez-Espinoza, R; Anand, A; Tanaka, E; Lilja, H; Schwartz, L; Larson, S; Fleisher, M; Scher, H I&lt;/Author&gt;&lt;Year&gt;2007&lt;/Year&gt;&lt;Details&gt;&lt;_accession_num&gt;18056182&lt;/_accession_num&gt;&lt;_author_adr&gt;Genitourinary Oncology Service, Department of Medicine, Memorial Sloan-Kettering  Cancer Center, New York, New York 10021, USA.&lt;/_author_adr&gt;&lt;_collection_scope&gt;SCI;SCIE;&lt;/_collection_scope&gt;&lt;_created&gt;62395120&lt;/_created&gt;&lt;_date&gt;2007-12-01&lt;/_date&gt;&lt;_date_display&gt;2007 Dec 1&lt;/_date_display&gt;&lt;_doi&gt;10.1158/1078-0432.CCR-07-1506&lt;/_doi&gt;&lt;_impact_factor&gt;  10.199&lt;/_impact_factor&gt;&lt;_isbn&gt;1078-0432 (Print); 1078-0432 (Linking)&lt;/_isbn&gt;&lt;_issue&gt;23&lt;/_issue&gt;&lt;_journal&gt;Clin Cancer Res&lt;/_journal&gt;&lt;_keywords&gt;Adult; Aged; Aged, 80 and over; Biomarkers, Tumor/blood; Bone Neoplasms/blood/pathology/secondary; Disease Progression; Glycoproteins/blood; Humans; Kaplan-Meier Estimate; Male; Middle Aged; Neoplasm Recurrence, Local/blood/pathology; Neoplastic Cells, Circulating/*pathology; Orchiectomy; Prostate-Specific Antigen/blood; Prostatic Neoplasms/blood/*pathology; Serum Albumin; Serum Albumin, Human; Soft Tissue Neoplasms/blood/pathology/secondary&lt;/_keywords&gt;&lt;_language&gt;eng&lt;/_language&gt;&lt;_modified&gt;62395937&lt;/_modified&gt;&lt;_pages&gt;7053-8&lt;/_pages&gt;&lt;_tertiary_title&gt;Clinical cancer research : an official journal of the American Association for_x000d__x000a_      Cancer Research&lt;/_tertiary_title&gt;&lt;_type_work&gt;Journal Article; Research Support, N.I.H., Extramural; Research Support, Non-U.S. Gov&amp;apos;t&lt;/_type_work&gt;&lt;_url&gt;http://www.ncbi.nlm.nih.gov/entrez/query.fcgi?cmd=Retrieve&amp;amp;db=pubmed&amp;amp;dopt=Abstract&amp;amp;list_uids=18056182&amp;amp;query_hl=1&lt;/_url&gt;&lt;_volume&gt;13&lt;/_volume&gt;&lt;/Details&gt;&lt;Extra&gt;&lt;DBUID&gt;{F96A950B-833F-4880-A151-76DA2D6A2879}&lt;/DBUID&gt;&lt;/Extra&gt;&lt;/Item&gt;&lt;/References&gt;&lt;/Group&gt;&lt;Group&gt;&lt;References&gt;&lt;Item&gt;&lt;ID&gt;405&lt;/ID&gt;&lt;UID&gt;{68794CF9-F24F-436C-B442-50F5C3CDF1F2}&lt;/UID&gt;&lt;Title&gt;Prognostic significance of circulating tumor cells in patients with metastatic colorectal cancer&lt;/Title&gt;&lt;Template&gt;Journal Article&lt;/Template&gt;&lt;Star&gt;0&lt;/Star&gt;&lt;Tag&gt;0&lt;/Tag&gt;&lt;Author&gt;Cohen, S J; Punt, C J; Iannotti, N; Saidman, B H; Sabbath, K D; Gabrail, N Y; Picus, J; Morse, M A; Mitchell, E; Miller, M C; Doyle, G V; Tissing, H; Terstappen, L W; Meropol, N J&lt;/Author&gt;&lt;Year&gt;2009&lt;/Year&gt;&lt;Details&gt;&lt;_accession_num&gt;19282466&lt;/_accession_num&gt;&lt;_author_adr&gt;Department of Medical Oncology, Fox Chase Cancer Center, Philadelphia, PA 19111-2497, USA. S_Cohen@fccc.edu&lt;/_author_adr&gt;&lt;_collection_scope&gt;SCI;SCIE;&lt;/_collection_scope&gt;&lt;_created&gt;62395123&lt;/_created&gt;&lt;_date&gt;2009-07-01&lt;/_date&gt;&lt;_date_display&gt;2009 Jul&lt;/_date_display&gt;&lt;_doi&gt;10.1093/annonc/mdn786&lt;/_doi&gt;&lt;_impact_factor&gt;  13.926&lt;/_impact_factor&gt;&lt;_isbn&gt;1569-8041 (Electronic); 0923-7534 (Linking)&lt;/_isbn&gt;&lt;_issue&gt;7&lt;/_issue&gt;&lt;_journal&gt;Ann Oncol&lt;/_journal&gt;&lt;_keywords&gt;Aged; Aged, 80 and over; Antibodies, Monoclonal/therapeutic use; Antibodies, Monoclonal, Humanized; Bevacizumab; Camptothecin/analogs &amp;amp; derivatives/therapeutic use; Colorectal Neoplasms/drug therapy/*pathology; Disease Progression; Disease-Free Survival; Female; Follow-Up Studies; Humans; Kaplan-Meier Estimate; Male; Middle Aged; Neoplasm Metastasis/*pathology; Neoplastic Cells, Circulating/*pathology; Organoplatinum Compounds/therapeutic use; Predictive Value of Tests; Prognosis; Survival Rate; Time Factors; Treatment Outcome&lt;/_keywords&gt;&lt;_language&gt;eng&lt;/_language&gt;&lt;_modified&gt;62531885&lt;/_modified&gt;&lt;_pages&gt;1223-9&lt;/_pages&gt;&lt;_tertiary_title&gt;Annals of oncology : official journal of the European Society for Medical_x000d__x000a_      Oncology&lt;/_tertiary_title&gt;&lt;_type_work&gt;Journal Article; Research Support, Non-U.S. Gov&amp;apos;t&lt;/_type_work&gt;&lt;_url&gt;http://www.ncbi.nlm.nih.gov/entrez/query.fcgi?cmd=Retrieve&amp;amp;db=pubmed&amp;amp;dopt=Abstract&amp;amp;list_uids=19282466&amp;amp;query_hl=1&lt;/_url&gt;&lt;_volume&gt;20&lt;/_volume&gt;&lt;/Details&gt;&lt;Extra&gt;&lt;DBUID&gt;{F96A950B-833F-4880-A151-76DA2D6A2879}&lt;/DBUID&gt;&lt;/Extra&gt;&lt;/Item&gt;&lt;/References&gt;&lt;/Group&gt;&lt;Group&gt;&lt;References&gt;&lt;Item&gt;&lt;ID&gt;406&lt;/ID&gt;&lt;UID&gt;{AF9791F7-2E3D-49E0-AD57-1092210817C8}&lt;/UID&gt;&lt;Title&gt;Circulating tumor cells at each follow-up time point during therapy of metastatic breast cancer patients predict progression-free and overall survival&lt;/Title&gt;&lt;Template&gt;Journal Article&lt;/Template&gt;&lt;Star&gt;0&lt;/Star&gt;&lt;Tag&gt;0&lt;/Tag&gt;&lt;Author&gt;Hayes, D F; Cristofanilli, M; Budd, G T; Ellis, M J; Stopeck, A; Miller, M C; Matera, J; Allard, W J; Doyle, G V; Terstappen, L W&lt;/Author&gt;&lt;Year&gt;2006&lt;/Year&gt;&lt;Details&gt;&lt;_accession_num&gt;16857794&lt;/_accession_num&gt;&lt;_author_adr&gt;Department of Internal Medicine and the Comprehensive Cancer Center, University of Michigan Health and Hospital System, Ann Arbor, Michigan 48109, USA. hayesdf@umich.edu&lt;/_author_adr&gt;&lt;_collection_scope&gt;SCI;SCIE;&lt;/_collection_scope&gt;&lt;_created&gt;62395126&lt;/_created&gt;&lt;_date&gt;2006-07-15&lt;/_date&gt;&lt;_date_display&gt;2006 Jul 15&lt;/_date_display&gt;&lt;_doi&gt;10.1158/1078-0432.CCR-05-2821&lt;/_doi&gt;&lt;_impact_factor&gt;  10.199&lt;/_impact_factor&gt;&lt;_isbn&gt;1078-0432 (Print); 1078-0432 (Linking)&lt;/_isbn&gt;&lt;_issue&gt;14 Pt 1&lt;/_issue&gt;&lt;_journal&gt;Clin Cancer Res&lt;/_journal&gt;&lt;_keywords&gt;Breast Neoplasms/drug therapy/*mortality/*pathology; Disease Progression; Disease-Free Survival; Double-Blind Method; Follow-Up Studies; Humans; Neoplasm Metastasis; *Neoplastic Cells, Circulating; Proportional Hazards Models; Prospective Studies; Time Factors; Treatment Outcome&lt;/_keywords&gt;&lt;_language&gt;eng&lt;/_language&gt;&lt;_modified&gt;62531887&lt;/_modified&gt;&lt;_pages&gt;4218-24&lt;/_pages&gt;&lt;_tertiary_title&gt;Clinical cancer research : an official journal of the American Association for_x000d__x000a_      Cancer Research&lt;/_tertiary_title&gt;&lt;_type_work&gt;Clinical Trial; Journal Article; Multicenter Study; Research Support, Non-U.S. Gov&amp;apos;t&lt;/_type_work&gt;&lt;_url&gt;http://www.ncbi.nlm.nih.gov/entrez/query.fcgi?cmd=Retrieve&amp;amp;db=pubmed&amp;amp;dopt=Abstract&amp;amp;list_uids=16857794&amp;amp;query_hl=1&lt;/_url&gt;&lt;_volume&gt;12&lt;/_volume&gt;&lt;/Details&gt;&lt;Extra&gt;&lt;DBUID&gt;{F96A950B-833F-4880-A151-76DA2D6A2879}&lt;/DBUID&gt;&lt;/Extra&gt;&lt;/Item&gt;&lt;/References&gt;&lt;/Group&gt;&lt;/Citation&gt;_x000a_"/>
    <w:docVar w:name="NE.Ref{63A1BEFD-30C2-4206-9A78-FD9DEA3F04FF}" w:val=" ADDIN NE.Ref.{63A1BEFD-30C2-4206-9A78-FD9DEA3F04FF}&lt;Citation&gt;&lt;Group&gt;&lt;References&gt;&lt;Item&gt;&lt;ID&gt;415&lt;/ID&gt;&lt;UID&gt;{43494663-1868-4B44-8BF3-02658239A3F6}&lt;/UID&gt;&lt;Title&gt;Preoperative/neoadjuvant therapy in pancreatic cancer: a systematic review and meta-analysis of response and resection percentages&lt;/Title&gt;&lt;Template&gt;Journal Article&lt;/Template&gt;&lt;Star&gt;0&lt;/Star&gt;&lt;Tag&gt;0&lt;/Tag&gt;&lt;Author&gt;Gillen, S; Schuster, T; Meyer, Zum Buschenfelde C; Friess, H; Kleeff, J&lt;/Author&gt;&lt;Year&gt;2010&lt;/Year&gt;&lt;Details&gt;&lt;_accession_num&gt;20422030&lt;/_accession_num&gt;&lt;_author_adr&gt;Department of Surgery, Technische Universitat Munchen, Munich, Germany.&lt;/_author_adr&gt;&lt;_collection_scope&gt;SCIE;&lt;/_collection_scope&gt;&lt;_created&gt;62395951&lt;/_created&gt;&lt;_date&gt;2010-04-20&lt;/_date&gt;&lt;_date_display&gt;2010 Apr 20&lt;/_date_display&gt;&lt;_doi&gt;10.1371/journal.pmed.1000267&lt;/_doi&gt;&lt;_impact_factor&gt;  11.675&lt;/_impact_factor&gt;&lt;_isbn&gt;1549-1676 (Electronic); 1549-1277 (Linking)&lt;/_isbn&gt;&lt;_issue&gt;4&lt;/_issue&gt;&lt;_journal&gt;PLoS Med&lt;/_journal&gt;&lt;_keywords&gt;Antineoplastic Agents/therapeutic use; Humans; Neoadjuvant Therapy/*methods; Pancreatic Neoplasms/surgery/*therapy; Preoperative Care; Treatment Outcome&lt;/_keywords&gt;&lt;_language&gt;eng&lt;/_language&gt;&lt;_modified&gt;62406603&lt;/_modified&gt;&lt;_pages&gt;e1000267&lt;/_pages&gt;&lt;_tertiary_title&gt;PLoS medicine&lt;/_tertiary_title&gt;&lt;_type_work&gt;Journal Article; Meta-Analysis; Review&lt;/_type_work&gt;&lt;_url&gt;http://www.ncbi.nlm.nih.gov/entrez/query.fcgi?cmd=Retrieve&amp;amp;db=pubmed&amp;amp;dopt=Abstract&amp;amp;list_uids=20422030&amp;amp;query_hl=1&lt;/_url&gt;&lt;_volume&gt;7&lt;/_volume&gt;&lt;/Details&gt;&lt;Extra&gt;&lt;DBUID&gt;{F96A950B-833F-4880-A151-76DA2D6A2879}&lt;/DBUID&gt;&lt;/Extra&gt;&lt;/Item&gt;&lt;/References&gt;&lt;/Group&gt;&lt;/Citation&gt;_x000a_"/>
    <w:docVar w:name="NE.Ref{71191325-E4BE-4983-95B6-1B85832A6687}" w:val=" ADDIN NE.Ref.{71191325-E4BE-4983-95B6-1B85832A6687}&lt;Citation&gt;&lt;Group&gt;&lt;References&gt;&lt;Item&gt;&lt;ID&gt;449&lt;/ID&gt;&lt;UID&gt;{66FC0A1B-1825-43BC-B7EB-ABD5FC1F4684}&lt;/UID&gt;&lt;Title&gt;Disconnect between EMT and metastasis in pancreas cancer&lt;/Title&gt;&lt;Template&gt;Journal Article&lt;/Template&gt;&lt;Star&gt;0&lt;/Star&gt;&lt;Tag&gt;0&lt;/Tag&gt;&lt;Author&gt;Whittle, M C; Hingorani, S R&lt;/Author&gt;&lt;Year&gt;2015&lt;/Year&gt;&lt;Details&gt;&lt;_accession_num&gt;26387140&lt;/_accession_num&gt;&lt;_author_adr&gt;Clinical Research Division, Fred Hutchinson Cancer Research Center, Seattle, WA,  USA.; Clinical Research Division, Fred Hutchinson Cancer Research Center, Seattle, WA,  USA.; Public Health Sciences Division, Fred Hutchinson Cancer Research Center, Seattle, WA, USA.; Division of Medical Oncology, University of Washington School of Medicine, Seattle, WA, USA.&lt;/_author_adr&gt;&lt;_date_display&gt;2015 Oct 13&lt;/_date_display&gt;&lt;_date&gt;2015-10-13&lt;/_date&gt;&lt;_doi&gt;10.18632/oncotarget.5720&lt;/_doi&gt;&lt;_isbn&gt;1949-2553 (Electronic); 1949-2553 (Linking)&lt;/_isbn&gt;&lt;_issue&gt;31&lt;/_issue&gt;&lt;_journal&gt;Oncotarget&lt;/_journal&gt;&lt;_keywords&gt;Animals; Biomarkers, Tumor/metabolism; *Cell Movement; *Epithelial-Mesenchymal Transition; Humans; Neoplasm Metastasis; Neoplastic Cells, Circulating/metabolism/pathology; Pancreatic Neoplasms/genetics/metabolism/*pathology; Signal TransductionChromosome Section; RUNX3; SMAD4&lt;/_keywords&gt;&lt;_language&gt;eng&lt;/_language&gt;&lt;_pages&gt;30445-6&lt;/_pages&gt;&lt;_tertiary_title&gt;Oncotarget&lt;/_tertiary_title&gt;&lt;_type_work&gt;Editorial&lt;/_type_work&gt;&lt;_url&gt;http://www.ncbi.nlm.nih.gov/entrez/query.fcgi?cmd=Retrieve&amp;amp;db=pubmed&amp;amp;dopt=Abstract&amp;amp;list_uids=26387140&amp;amp;query_hl=1&lt;/_url&gt;&lt;_volume&gt;6&lt;/_volume&gt;&lt;_created&gt;62531921&lt;/_created&gt;&lt;_modified&gt;62531922&lt;/_modified&gt;&lt;_collection_scope&gt;SCIE;&lt;/_collection_scope&gt;&lt;/Details&gt;&lt;Extra&gt;&lt;DBUID&gt;{F96A950B-833F-4880-A151-76DA2D6A2879}&lt;/DBUID&gt;&lt;/Extra&gt;&lt;/Item&gt;&lt;/References&gt;&lt;/Group&gt;&lt;Group&gt;&lt;References&gt;&lt;Item&gt;&lt;ID&gt;410&lt;/ID&gt;&lt;UID&gt;{627EB610-D52D-4080-961A-35FD0C41C411}&lt;/UID&gt;&lt;Title&gt;Tumor cell dissemination: emerging biological insights from animal models and cancer patients&lt;/Title&gt;&lt;Template&gt;Journal Article&lt;/Template&gt;&lt;Star&gt;0&lt;/Star&gt;&lt;Tag&gt;0&lt;/Tag&gt;&lt;Author&gt;Kang, Y; Pantel, K&lt;/Author&gt;&lt;Year&gt;2013&lt;/Year&gt;&lt;Details&gt;&lt;_accession_num&gt;23680145&lt;/_accession_num&gt;&lt;_author_adr&gt;Department of Molecular Biology, Princeton University, Princeton, NJ 08544, USA.  ykang@princeton.edu&lt;/_author_adr&gt;&lt;_collection_scope&gt;SCI;SCIE;&lt;/_collection_scope&gt;&lt;_created&gt;62395147&lt;/_created&gt;&lt;_date&gt;2013-05-13&lt;/_date&gt;&lt;_date_display&gt;2013 May 13&lt;/_date_display&gt;&lt;_doi&gt;10.1016/j.ccr.2013.04.017&lt;/_doi&gt;&lt;_impact_factor&gt;  22.844&lt;/_impact_factor&gt;&lt;_isbn&gt;1878-3686 (Electronic); 1535-6108 (Linking)&lt;/_isbn&gt;&lt;_issue&gt;5&lt;/_issue&gt;&lt;_journal&gt;Cancer Cell&lt;/_journal&gt;&lt;_keywords&gt;Animals; Cell Survival; Disease Models, Animal; Epithelial-Mesenchymal Transition/genetics; Humans; Mice; Neoplasm Invasiveness/genetics/pathology; Neoplasm Metastasis; Neoplastic Cells, Circulating/*pathology&lt;/_keywords&gt;&lt;_language&gt;eng&lt;/_language&gt;&lt;_modified&gt;62395967&lt;/_modified&gt;&lt;_ori_publication&gt;Copyright (c) 2013 Elsevier Inc. All rights reserved.&lt;/_ori_publication&gt;&lt;_pages&gt;573-81&lt;/_pages&gt;&lt;_tertiary_title&gt;Cancer cell&lt;/_tertiary_title&gt;&lt;_type_work&gt;Journal Article; Research Support, N.I.H., Extramural; Research Support, Non-U.S. Gov&amp;apos;t; Review&lt;/_type_work&gt;&lt;_url&gt;http://www.ncbi.nlm.nih.gov/entrez/query.fcgi?cmd=Retrieve&amp;amp;db=pubmed&amp;amp;dopt=Abstract&amp;amp;list_uids=23680145&amp;amp;query_hl=1&lt;/_url&gt;&lt;_volume&gt;23&lt;/_volume&gt;&lt;/Details&gt;&lt;Extra&gt;&lt;DBUID&gt;{F96A950B-833F-4880-A151-76DA2D6A2879}&lt;/DBUID&gt;&lt;/Extra&gt;&lt;/Item&gt;&lt;/References&gt;&lt;/Group&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Citation&gt;_x000a_"/>
    <w:docVar w:name="NE.Ref{71689AB9-E585-42D6-8A21-71127C34B200}" w:val=" ADDIN NE.Ref.{71689AB9-E585-42D6-8A21-71127C34B200}&lt;Citation&gt;&lt;Group&gt;&lt;References&gt;&lt;Item&gt;&lt;ID&gt;433&lt;/ID&gt;&lt;UID&gt;{69D8674D-94BF-473F-911F-F813990194B3}&lt;/UID&gt;&lt;Title&gt;Increased neutrophil-lymphocyte ratio is a poor prognostic factor in patients with primary operable and inoperable pancreatic cancer&lt;/Title&gt;&lt;Template&gt;Journal Article&lt;/Template&gt;&lt;Star&gt;0&lt;/Star&gt;&lt;Tag&gt;0&lt;/Tag&gt;&lt;Author&gt;Stotz, M; Gerger, A; Eisner, F; Szkandera, J; Loibner, H; Ress, A L; Kornprat, P; AlZoughbi, W; Seggewies, F S; Lackner, C; Stojakovic, T; Samonigg, H; Hoefler, G; Pichler, M&lt;/Author&gt;&lt;Year&gt;2013&lt;/Year&gt;&lt;Details&gt;&lt;_accession_num&gt;23799847&lt;/_accession_num&gt;&lt;_author_adr&gt;Division of Clinical Oncology, Department of Medicine, Medical University of Graz, Graz, Austria.&lt;/_author_adr&gt;&lt;_created&gt;62406589&lt;/_created&gt;&lt;_date&gt;2013-07-23&lt;/_date&gt;&lt;_date_display&gt;2013 Jul 23&lt;/_date_display&gt;&lt;_doi&gt;10.1038/bjc.2013.332&lt;/_doi&gt;&lt;_impact_factor&gt;   5.922&lt;/_impact_factor&gt;&lt;_isbn&gt;1532-1827 (Electronic); 0007-0920 (Linking)&lt;/_isbn&gt;&lt;_issue&gt;2&lt;/_issue&gt;&lt;_journal&gt;Br J Cancer&lt;/_journal&gt;&lt;_keywords&gt;Adenocarcinoma/*blood/*diagnosis/mortality/surgery; Adult; Aged; Aged, 80 and over; Cohort Studies; Female; Humans; Leukocyte Count; Lymphocytes/*pathology; Male; Middle Aged; Neutrophils/*pathology; Pancreatectomy; Pancreatic Neoplasms/*blood/*diagnosis/mortality/surgery; Prognosis; Retrospective Studies; Survival Analysis&lt;/_keywords&gt;&lt;_language&gt;eng&lt;/_language&gt;&lt;_modified&gt;62406603&lt;/_modified&gt;&lt;_pages&gt;416-21&lt;/_pages&gt;&lt;_tertiary_title&gt;British journal of cancer&lt;/_tertiary_title&gt;&lt;_type_work&gt;Journal Article; Research Support, Non-U.S. Gov&amp;apos;t&lt;/_type_work&gt;&lt;_url&gt;http://www.ncbi.nlm.nih.gov/entrez/query.fcgi?cmd=Retrieve&amp;amp;db=pubmed&amp;amp;dopt=Abstract&amp;amp;list_uids=23799847&amp;amp;query_hl=1&lt;/_url&gt;&lt;_volume&gt;109&lt;/_volume&gt;&lt;/Details&gt;&lt;Extra&gt;&lt;DBUID&gt;{F96A950B-833F-4880-A151-76DA2D6A2879}&lt;/DBUID&gt;&lt;/Extra&gt;&lt;/Item&gt;&lt;/References&gt;&lt;/Group&gt;&lt;/Citation&gt;_x000a_"/>
    <w:docVar w:name="NE.Ref{80439391-7D2A-4F8C-A755-C924C83EDA9E}" w:val=" ADDIN NE.Ref.{80439391-7D2A-4F8C-A755-C924C83EDA9E}&lt;Citation&gt;&lt;Group&gt;&lt;References&gt;&lt;Item&gt;&lt;ID&gt;417&lt;/ID&gt;&lt;UID&gt;{172B5708-E819-4E31-876D-78BD452D8913}&lt;/UID&gt;&lt;Title&gt;The lymph node ratio is the strongest prognostic factor after resection of pancreatic cancer&lt;/Title&gt;&lt;Template&gt;Journal Article&lt;/Template&gt;&lt;Star&gt;0&lt;/Star&gt;&lt;Tag&gt;0&lt;/Tag&gt;&lt;Author&gt;Riediger, H; Keck, T; Wellner, U; Zur, Hausen A; Adam, U; Hopt, U T; Makowiec, F&lt;/Author&gt;&lt;Year&gt;2009&lt;/Year&gt;&lt;Details&gt;&lt;_accession_num&gt;19418101&lt;/_accession_num&gt;&lt;_author_adr&gt;Department of Surgery, University of Freiburg, Hugstetter Str. 55, 79106, Freiburg, Germany.&lt;/_author_adr&gt;&lt;_collection_scope&gt;SCIE;&lt;/_collection_scope&gt;&lt;_created&gt;62395955&lt;/_created&gt;&lt;_date&gt;2009-07-01&lt;/_date&gt;&lt;_date_display&gt;2009 Jul&lt;/_date_display&gt;&lt;_doi&gt;10.1007/s11605-009-0919-2&lt;/_doi&gt;&lt;_impact_factor&gt;   2.813&lt;/_impact_factor&gt;&lt;_isbn&gt;1873-4626 (Electronic); 1091-255X (Linking)&lt;/_isbn&gt;&lt;_issue&gt;7&lt;/_issue&gt;&lt;_journal&gt;J Gastrointest Surg&lt;/_journal&gt;&lt;_keywords&gt;Adenocarcinoma/*mortality/pathology/secondary/*surgery; Adult; Aged; Aged, 80 and over; Analysis of Variance; Cohort Studies; Disease-Free Survival; Female; Humans; Kaplan-Meier Estimate; Lymph Node Excision/*statistics &amp;amp; numerical data; Lymph Nodes/*pathology; Lymphatic Metastasis; Male; Middle Aged; Multivariate Analysis; Neoplasm Recurrence, Local/mortality/pathology; Neoplasm Staging; Pancreatectomy/adverse effects/methods; Pancreatic Neoplasms/*mortality/pathology/*surgery; Pancreaticoduodenectomy/adverse effects/methods; Predictive Value of Tests; Probability; Prognosis; Proportional Hazards Models; Retrospective Studies; Risk Assessment; Survival Analysis; Time Factors; Treatment Outcome; Tumor Burden&lt;/_keywords&gt;&lt;_language&gt;eng&lt;/_language&gt;&lt;_modified&gt;62395967&lt;/_modified&gt;&lt;_pages&gt;1337-44&lt;/_pages&gt;&lt;_tertiary_title&gt;Journal of gastrointestinal surgery : official journal of the Society for Surgery_x000d__x000a_      of the Alimentary Tract&lt;/_tertiary_title&gt;&lt;_type_work&gt;Comparative Study; Journal Article&lt;/_type_work&gt;&lt;_url&gt;http://www.ncbi.nlm.nih.gov/entrez/query.fcgi?cmd=Retrieve&amp;amp;db=pubmed&amp;amp;dopt=Abstract&amp;amp;list_uids=19418101&amp;amp;query_hl=1&lt;/_url&gt;&lt;_volume&gt;13&lt;/_volume&gt;&lt;/Details&gt;&lt;Extra&gt;&lt;DBUID&gt;{F96A950B-833F-4880-A151-76DA2D6A2879}&lt;/DBUID&gt;&lt;/Extra&gt;&lt;/Item&gt;&lt;/References&gt;&lt;/Group&gt;&lt;/Citation&gt;_x000a_"/>
    <w:docVar w:name="NE.Ref{81907B96-763C-49DE-81CE-F5EC76A5B6BA}" w:val=" ADDIN NE.Ref.{81907B96-763C-49DE-81CE-F5EC76A5B6BA}&lt;Citation&gt;&lt;Group&gt;&lt;References&gt;&lt;Item&gt;&lt;ID&gt;393&lt;/ID&gt;&lt;UID&gt;{85A08620-33F2-4740-B453-710F805543C6}&lt;/UID&gt;&lt;Title&gt;Pancreatic cancer&lt;/Title&gt;&lt;Template&gt;Journal Article&lt;/Template&gt;&lt;Star&gt;0&lt;/Star&gt;&lt;Tag&gt;0&lt;/Tag&gt;&lt;Author&gt;Kamisawa, T; Wood, L D; Itoi, T; Takaori, K&lt;/Author&gt;&lt;Year&gt;2016&lt;/Year&gt;&lt;Details&gt;&lt;_accession_num&gt;26830752&lt;/_accession_num&gt;&lt;_author_adr&gt;Department of Internal Medicine, Tokyo Metropolitan Komagome Hospital, Tokyo, Japan. Electronic address: kamisawa@cick.jp.; The Sol Goldman Pancreatic Cancer Research Center, Department of Pathology, Johns Hopkins University, Baltimore, USA.; Department of Gastroenterology and Hepatology, Tokyo Medical University, Tokyo, Japan.; Division of Hepatobiliary-Pancreatic Surgery and Transplantation, Department of Surgery, Kyoto University Graduate School of Medicine, Kyoto, Japan.&lt;/_author_adr&gt;&lt;_collection_scope&gt;SCI;SCIE;&lt;/_collection_scope&gt;&lt;_created&gt;62395063&lt;/_created&gt;&lt;_date&gt;2016-07-02&lt;/_date&gt;&lt;_date_display&gt;2016 Jul 2&lt;/_date_display&gt;&lt;_doi&gt;10.1016/S0140-6736(16)00141-0&lt;/_doi&gt;&lt;_impact_factor&gt;  53.254&lt;/_impact_factor&gt;&lt;_isbn&gt;1474-547X (Electronic); 0140-6736 (Linking)&lt;/_isbn&gt;&lt;_issue&gt;10039&lt;/_issue&gt;&lt;_journal&gt;Lancet&lt;/_journal&gt;&lt;_keywords&gt;Albumins/administration &amp;amp; dosage; Antineoplastic Combined Chemotherapy Protocols/therapeutic use; CA-19-9 Antigen/metabolism; Camptothecin/administration &amp;amp; dosage/analogs &amp;amp; derivatives; Carcinoembryonic Antigen/metabolism; Carcinoma, Pancreatic Ductal/*diagnosis/genetics/therapy; Deoxycytidine/administration &amp;amp; dosage/analogs &amp;amp; derivatives; Endoscopic Ultrasound-Guided Fine Needle Aspiration; Endosonography; Fluorouracil/administration &amp;amp; dosage; Genes, p16; Humans; Leucovorin/administration &amp;amp; dosage; Neoplasms, Cystic, Mucinous, and Serous/*diagnosis/genetics/therapy; Organoplatinum Compounds/administration &amp;amp; dosage; Paclitaxel/administration &amp;amp; dosage; Pancreatectomy; Pancreatic Neoplasms/*diagnosis/genetics/therapy; Proto-Oncogene Proteins p21(ras)/genetics; Smad4 Protein/genetics; Tumor Suppressor Protein p53/genetics&lt;/_keywords&gt;&lt;_language&gt;eng&lt;/_language&gt;&lt;_modified&gt;62531872&lt;/_modified&gt;&lt;_ori_publication&gt;Copyright (c) 2016 Elsevier Ltd. All rights reserved.&lt;/_ori_publication&gt;&lt;_pages&gt;73-85&lt;/_pages&gt;&lt;_tertiary_title&gt;Lancet (London, England)&lt;/_tertiary_title&gt;&lt;_type_work&gt;Journal Article; Review&lt;/_type_work&gt;&lt;_url&gt;http://www.ncbi.nlm.nih.gov/entrez/query.fcgi?cmd=Retrieve&amp;amp;db=pubmed&amp;amp;dopt=Abstract&amp;amp;list_uids=26830752&amp;amp;query_hl=1&lt;/_url&gt;&lt;_volume&gt;388&lt;/_volume&gt;&lt;/Details&gt;&lt;Extra&gt;&lt;DBUID&gt;{F96A950B-833F-4880-A151-76DA2D6A2879}&lt;/DBUID&gt;&lt;/Extra&gt;&lt;/Item&gt;&lt;/References&gt;&lt;/Group&gt;&lt;Group&gt;&lt;References&gt;&lt;Item&gt;&lt;ID&gt;394&lt;/ID&gt;&lt;UID&gt;{E24E6859-AFE2-40ED-822A-3DB2CA44B784}&lt;/UID&gt;&lt;Title&gt;Cancer Statistics, 2017&lt;/Title&gt;&lt;Template&gt;Journal Article&lt;/Template&gt;&lt;Star&gt;0&lt;/Star&gt;&lt;Tag&gt;0&lt;/Tag&gt;&lt;Author&gt;Siegel, R L; Miller, K D; Jemal, A&lt;/Author&gt;&lt;Year&gt;2017&lt;/Year&gt;&lt;Details&gt;&lt;_accession_num&gt;28055103&lt;/_accession_num&gt;&lt;_author_adr&gt;Strategic Director, Surveillance Information Services, Surveillance and Health Services Research, American Cancer Society, Atlanta, GA.; Epidemiologist, Surveillance and Health Services Research, American Cancer Society, Atlanta, GA.; Vice President, Surveillance and Health Services Research, American Cancer Society, Atlanta, GA.&lt;/_author_adr&gt;&lt;_created&gt;62395064&lt;/_created&gt;&lt;_date&gt;2017-01-01&lt;/_date&gt;&lt;_date_display&gt;2017 Jan&lt;/_date_display&gt;&lt;_doi&gt;10.3322/caac.21387&lt;/_doi&gt;&lt;_impact_factor&gt; 244.585&lt;/_impact_factor&gt;&lt;_isbn&gt;1542-4863 (Electronic); 0007-9235 (Linking)&lt;/_isbn&gt;&lt;_issue&gt;1&lt;/_issue&gt;&lt;_journal&gt;CA Cancer J Clin&lt;/_journal&gt;&lt;_keywords&gt;American Cancer Society; Continental Population Groups/statistics &amp;amp; numerical data; Female; Humans; Incidence; Male; Neoplasms/*epidemiology/mortality; Registries; SEER Program; Sex Distribution; Survival Rate; United States/epidemiology*cancer cases; *cancer statistics; *death rates; *incidence; *mortality&lt;/_keywords&gt;&lt;_language&gt;eng&lt;/_language&gt;&lt;_modified&gt;62395083&lt;/_modified&gt;&lt;_ori_publication&gt;(c) 2017 American Cancer Society.&lt;/_ori_publication&gt;&lt;_pages&gt;7-30&lt;/_pages&gt;&lt;_tertiary_title&gt;CA: a cancer journal for clinicians&lt;/_tertiary_title&gt;&lt;_type_work&gt;Journal Article&lt;/_type_work&gt;&lt;_url&gt;http://www.ncbi.nlm.nih.gov/entrez/query.fcgi?cmd=Retrieve&amp;amp;db=pubmed&amp;amp;dopt=Abstract&amp;amp;list_uids=28055103&amp;amp;query_hl=1&lt;/_url&gt;&lt;_volume&gt;67&lt;/_volume&gt;&lt;/Details&gt;&lt;Extra&gt;&lt;DBUID&gt;{F96A950B-833F-4880-A151-76DA2D6A2879}&lt;/DBUID&gt;&lt;/Extra&gt;&lt;/Item&gt;&lt;/References&gt;&lt;/Group&gt;&lt;/Citation&gt;_x000a_"/>
    <w:docVar w:name="NE.Ref{85CA560F-694E-40E8-91BC-820F4ACA082F}" w:val=" ADDIN NE.Ref.{85CA560F-694E-40E8-91BC-820F4ACA082F}&lt;Citation&gt;&lt;Group&gt;&lt;References&gt;&lt;Item&gt;&lt;ID&gt;422&lt;/ID&gt;&lt;UID&gt;{A177F23F-BFC1-4B10-8DA1-51888E3A10E4}&lt;/UID&gt;&lt;Title&gt;Detection of CTCs in portal vein was associated with intrahepatic metastases and  prognosis in patients with advanced pancreatic cancer&lt;/Title&gt;&lt;Template&gt;Journal Article&lt;/Template&gt;&lt;Star&gt;0&lt;/Star&gt;&lt;Tag&gt;0&lt;/Tag&gt;&lt;Author&gt;Liu, X; Li, C; Li, J; Yu, T; Zhou, G; Cheng, J; Li, G; Zhou, Y; Lou, W; Wang, X; Gong, G; Liu, L; Chen, Y&lt;/Author&gt;&lt;Year&gt;2018&lt;/Year&gt;&lt;Details&gt;&lt;_accession_num&gt;29896289&lt;/_accession_num&gt;&lt;_author_adr&gt;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Radiology, Zhongshan Hospital Fudan University, Shanghai, 200032, China.; Department of Pancreatic Surgery, Zhongshan Hospital Fudan University, 200032, China.; Department of General Surgery, Zhongshan Hospital Fudan University,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lt;/_author_adr&gt;&lt;_collection_scope&gt;SCIE;&lt;/_collection_scope&gt;&lt;_created&gt;62400938&lt;/_created&gt;&lt;_date&gt;2018-01-20&lt;/_date&gt;&lt;_date_display&gt;2018&lt;/_date_display&gt;&lt;_doi&gt;10.7150/jca.23989&lt;/_doi&gt;&lt;_impact_factor&gt;   3.249&lt;/_impact_factor&gt;&lt;_isbn&gt;1837-9664 (Print); 1837-9664 (Linking)&lt;/_isbn&gt;&lt;_issue&gt;11&lt;/_issue&gt;&lt;_journal&gt;J Cancer&lt;/_journal&gt;&lt;_keywords&gt;circulating tumor cells; intrahepatic metastases; pancreatic cancer; portal vein&lt;/_keywords&gt;&lt;_language&gt;eng&lt;/_language&gt;&lt;_modified&gt;62406605&lt;/_modified&gt;&lt;_pages&gt;2038-2045&lt;/_pages&gt;&lt;_tertiary_title&gt;Journal of Cancer&lt;/_tertiary_title&gt;&lt;_type_work&gt;Journal Article&lt;/_type_work&gt;&lt;_url&gt;http://www.ncbi.nlm.nih.gov/entrez/query.fcgi?cmd=Retrieve&amp;amp;db=pubmed&amp;amp;dopt=Abstract&amp;amp;list_uids=29896289&amp;amp;query_hl=1&lt;/_url&gt;&lt;_volume&gt;9&lt;/_volume&gt;&lt;/Details&gt;&lt;Extra&gt;&lt;DBUID&gt;{F96A950B-833F-4880-A151-76DA2D6A2879}&lt;/DBUID&gt;&lt;/Extra&gt;&lt;/Item&gt;&lt;/References&gt;&lt;/Group&gt;&lt;/Citation&gt;_x000a_"/>
    <w:docVar w:name="NE.Ref{8FE53820-2B2F-411D-A40B-489046057F2E}" w:val=" ADDIN NE.Ref.{8FE53820-2B2F-411D-A40B-489046057F2E}&lt;Citation&gt;&lt;Group&gt;&lt;References&gt;&lt;Item&gt;&lt;ID&gt;443&lt;/ID&gt;&lt;UID&gt;{E5C2B035-09D3-4855-9250-C25DEAD833EF}&lt;/UID&gt;&lt;Title&gt;A pilot study to explore circulating tumour cells in pancreatic cancer as a novel biomarker&lt;/Title&gt;&lt;Template&gt;Journal Article&lt;/Template&gt;&lt;Star&gt;0&lt;/Star&gt;&lt;Tag&gt;0&lt;/Tag&gt;&lt;Author&gt;Khoja, L; Backen, A; Sloane, R; Menasce, L; Ryder, D; Krebs, M; Board, R; Clack, G; Hughes, A; Blackhall, F; Valle, J W; Dive, C&lt;/Author&gt;&lt;Year&gt;2012&lt;/Year&gt;&lt;Details&gt;&lt;_accession_num&gt;22187035&lt;/_accession_num&gt;&lt;_author_adr&gt;Clinical and Experimental Pharmacology Group, Paterson Institute for Cancer Research, Wilmslow Road, Manchester M20 4BX, UK.&lt;/_author_adr&gt;&lt;_date_display&gt;2012 Jan 31&lt;/_date_display&gt;&lt;_date&gt;2012-01-31&lt;/_date&gt;&lt;_doi&gt;10.1038/bjc.2011.545&lt;/_doi&gt;&lt;_isbn&gt;1532-1827 (Electronic); 0007-0920 (Linking)&lt;/_isbn&gt;&lt;_issue&gt;3&lt;/_issue&gt;&lt;_journal&gt;Br J Cancer&lt;/_journal&gt;&lt;_keywords&gt;Adenocarcinoma/*diagnosis/mortality/pathology; Adult; Aged; Aged, 80 and over; *Biomarkers, Tumor; England; Female; Humans; Male; Middle Aged; *Neoplastic Cells, Circulating; Pancreatic Neoplasms/*diagnosis/mortality/pathology; Pilot Projects; Predictive Value of Tests; Prospective Studies; Survival Analysis&lt;/_keywords&gt;&lt;_language&gt;eng&lt;/_language&gt;&lt;_pages&gt;508-16&lt;/_pages&gt;&lt;_tertiary_title&gt;British journal of cancer&lt;/_tertiary_title&gt;&lt;_type_work&gt;Evaluation Studies; Journal Article; Research Support, Non-U.S. Gov&amp;apos;t&lt;/_type_work&gt;&lt;_url&gt;http://www.ncbi.nlm.nih.gov/entrez/query.fcgi?cmd=Retrieve&amp;amp;db=pubmed&amp;amp;dopt=Abstract&amp;amp;list_uids=22187035&amp;amp;query_hl=1&lt;/_url&gt;&lt;_volume&gt;106&lt;/_volume&gt;&lt;_created&gt;62531897&lt;/_created&gt;&lt;_modified&gt;62531897&lt;/_modified&gt;&lt;_impact_factor&gt;   5.922&lt;/_impact_factor&gt;&lt;/Details&gt;&lt;Extra&gt;&lt;DBUID&gt;{F96A950B-833F-4880-A151-76DA2D6A2879}&lt;/DBUID&gt;&lt;/Extra&gt;&lt;/Item&gt;&lt;/References&gt;&lt;/Group&gt;&lt;/Citation&gt;_x000a_"/>
    <w:docVar w:name="NE.Ref{906F3FED-65E8-4F9D-AD7C-D2363810AAF4}" w:val=" ADDIN NE.Ref.{906F3FED-65E8-4F9D-AD7C-D2363810AAF4}&lt;Citation&gt;&lt;Group&gt;&lt;References&gt;&lt;Item&gt;&lt;ID&gt;411&lt;/ID&gt;&lt;UID&gt;{D5D94789-E4EE-485D-8C1B-8EF7BB212608}&lt;/UID&gt;&lt;Title&gt;Circulating breast tumor cells exhibit dynamic changes in epithelial and mesenchymal composition&lt;/Title&gt;&lt;Template&gt;Journal Article&lt;/Template&gt;&lt;Star&gt;0&lt;/Star&gt;&lt;Tag&gt;0&lt;/Tag&gt;&lt;Author&gt;Yu, M; Bardia, A; Wittner, B S; Stott, S L; Smas, M E; Ting, D T; Isakoff, S J; Ciciliano, J C; Wells, M N; Shah, A M; Concannon, K F; Donaldson, M C; Sequist, L V; Brachtel, E; Sgroi, D; Baselga, J; Ramaswamy, S; Toner, M; Haber, D A; Maheswaran, S&lt;/Author&gt;&lt;Year&gt;2013&lt;/Year&gt;&lt;Details&gt;&lt;_accession_num&gt;23372014&lt;/_accession_num&gt;&lt;_author_adr&gt;Massachusetts General Hospital Cancer Center, Harvard Medical School, Charlestown, MA 02129, USA.&lt;/_author_adr&gt;&lt;_collection_scope&gt;SCI;SCIE;&lt;/_collection_scope&gt;&lt;_created&gt;62395150&lt;/_created&gt;&lt;_date&gt;2013-02-01&lt;/_date&gt;&lt;_date_display&gt;2013 Feb 1&lt;/_date_display&gt;&lt;_doi&gt;10.1126/science.1228522&lt;/_doi&gt;&lt;_impact_factor&gt;  41.058&lt;/_impact_factor&gt;&lt;_isbn&gt;1095-9203 (Electronic); 0036-8075 (Linking)&lt;/_isbn&gt;&lt;_issue&gt;6119&lt;/_issue&gt;&lt;_journal&gt;Science&lt;/_journal&gt;&lt;_keywords&gt;Animals; Biomarkers, Tumor/genetics/metabolism; Breast Neoplasms/blood/genetics/*pathology; Cell Count; Cell Movement; Epithelial Cells/pathology; *Epithelial-Mesenchymal Transition; Female; Gene Expression Regulation, Neoplastic; Humans; Mesoderm/pathology; Mice; Neoplasm Transplantation; Neoplastic Cells, Circulating/metabolism/*pathology; RNA, Neoplasm/chemistry/genetics; Transcription, Genetic; Transforming Growth Factor beta/genetics/metabolism&lt;/_keywords&gt;&lt;_language&gt;eng&lt;/_language&gt;&lt;_modified&gt;62531914&lt;/_modified&gt;&lt;_pages&gt;580-4&lt;/_pages&gt;&lt;_tertiary_title&gt;Science (New York, N.Y.)&lt;/_tertiary_title&gt;&lt;_type_work&gt;Journal Article; Research Support, N.I.H., Extramural; Research Support, Non-U.S. Gov&amp;apos;t&lt;/_type_work&gt;&lt;_url&gt;http://www.ncbi.nlm.nih.gov/entrez/query.fcgi?cmd=Retrieve&amp;amp;db=pubmed&amp;amp;dopt=Abstract&amp;amp;list_uids=23372014&amp;amp;query_hl=1&lt;/_url&gt;&lt;_volume&gt;339&lt;/_volume&gt;&lt;/Details&gt;&lt;Extra&gt;&lt;DBUID&gt;{F96A950B-833F-4880-A151-76DA2D6A2879}&lt;/DBUID&gt;&lt;/Extra&gt;&lt;/Item&gt;&lt;/References&gt;&lt;/Group&gt;&lt;Group&gt;&lt;References&gt;&lt;Item&gt;&lt;ID&gt;412&lt;/ID&gt;&lt;UID&gt;{8128F402-6F06-4157-A361-09B2FBD985AE}&lt;/UID&gt;&lt;Title&gt;CD44s signals the acquisition of the mesenchymal phenotype required for anchorage-independent cell survival in hepatocellular carcinoma&lt;/Title&gt;&lt;Template&gt;Journal Article&lt;/Template&gt;&lt;Star&gt;0&lt;/Star&gt;&lt;Tag&gt;0&lt;/Tag&gt;&lt;Author&gt;Okabe, H; Ishimoto, T; Mima, K; Nakagawa, S; Hayashi, H; Kuroki, H; Imai, K; Nitta, H; Saito, S; Hashimoto, D; Chikamoto, A; Ishiko, T; Watanabe, M; Nagano, O; Beppu, T; Saya, H; Baba, H&lt;/Author&gt;&lt;Year&gt;2014&lt;/Year&gt;&lt;Details&gt;&lt;_accession_num&gt;24300972&lt;/_accession_num&gt;&lt;_author_adr&gt;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ivision of Gene Regulation, Institute for Advanced Medical Research, School of Medicine, Keio University, Minato, Japan.; 1] Department of Gastroenterological Surgery, Graduate School of Life Sciences, Kumamoto University, 1-1-1 Honjo, Kumamoto 860-8556, Japan [2] Department of Multidisciplinary Treatment for Gastroenterological Cancer, Kumamoto University Hospital, Kumamoto 860-8556, Japan.; Division of Gene Regulation, Institute for Advanced Medical Research, School of Medicine, Keio University, Minato, Japan.; Department of Gastroenterological Surgery, Graduate School of Life Sciences, Kumamoto University, 1-1-1 Honjo, Kumamoto 860-8556, Japan.&lt;/_author_adr&gt;&lt;_created&gt;62395152&lt;/_created&gt;&lt;_date&gt;2014-02-18&lt;/_date&gt;&lt;_date_display&gt;2014 Feb 18&lt;/_date_display&gt;&lt;_doi&gt;10.1038/bjc.2013.759&lt;/_doi&gt;&lt;_impact_factor&gt;   5.922&lt;/_impact_factor&gt;&lt;_isbn&gt;1532-1827 (Electronic); 0007-0920 (Linking)&lt;/_isbn&gt;&lt;_issue&gt;4&lt;/_issue&gt;&lt;_journal&gt;Br J Cancer&lt;/_journal&gt;&lt;_keywords&gt;Anoikis/genetics; Apoptosis; Carcinoma, Hepatocellular/metabolism/*pathology; Cell Line, Tumor; Cell Movement; Cell Survival; Down-Regulation; Epithelial-Mesenchymal Transition; Gene Expression Regulation, Neoplastic; Humans; Hyaluronan Receptors/genetics/*metabolism; Liver Neoplasms/metabolism/*pathology; Mesoderm/cytology; Neoplastic Cells, Circulating/*pathology; Nuclear Proteins/biosynthesis/*genetics; Proto-Oncogene Proteins c-akt/biosynthesis; RNA Interference; RNA, Small Interfering; Thy-1 Antigens/metabolism; Twist-Related Protein 1/biosynthesis/*genetics&lt;/_keywords&gt;&lt;_language&gt;eng&lt;/_language&gt;&lt;_modified&gt;62531915&lt;/_modified&gt;&lt;_pages&gt;958-66&lt;/_pages&gt;&lt;_tertiary_title&gt;British journal of cancer&lt;/_tertiary_title&gt;&lt;_type_work&gt;Journal Article&lt;/_type_work&gt;&lt;_url&gt;http://www.ncbi.nlm.nih.gov/entrez/query.fcgi?cmd=Retrieve&amp;amp;db=pubmed&amp;amp;dopt=Abstract&amp;amp;list_uids=24300972&amp;amp;query_hl=1&lt;/_url&gt;&lt;_volume&gt;110&lt;/_volume&gt;&lt;/Details&gt;&lt;Extra&gt;&lt;DBUID&gt;{F96A950B-833F-4880-A151-76DA2D6A2879}&lt;/DBUID&gt;&lt;/Extra&gt;&lt;/Item&gt;&lt;/References&gt;&lt;/Group&gt;&lt;Group&gt;&lt;References&gt;&lt;Item&gt;&lt;ID&gt;413&lt;/ID&gt;&lt;UID&gt;{D7ACD7B9-EF00-48AD-BF32-68A2F2C0AF6D}&lt;/UID&gt;&lt;Title&gt;Circulating tumor cell enumeration with a combination of epithelial cell adhesion molecule- and cell-surface vimentin-based methods for monitoring breast cancer therapeutic response&lt;/Title&gt;&lt;Template&gt;Journal Article&lt;/Template&gt;&lt;Star&gt;0&lt;/Star&gt;&lt;Tag&gt;0&lt;/Tag&gt;&lt;Author&gt;Satelli, A; Brownlee, Z; Mitra, A; Meng, Q H; Li, S&lt;/Author&gt;&lt;Year&gt;2015&lt;/Year&gt;&lt;Details&gt;&lt;_accession_num&gt;25336717&lt;/_accession_num&gt;&lt;_author_adr&gt;Department of Pediatrics and.; Department of Pediatrics and.; Department of Pediatrics and.; Laboratory Medicine, The University of Texas MD Anderson Cancer Center, Houston,  TX;; Department of Pediatrics and The University of Texas Graduate School of Biomedical Sciences, Houston, TX. sli4@mdanderson.org.&lt;/_author_adr&gt;&lt;_collection_scope&gt;SCI;SCIE;&lt;/_collection_scope&gt;&lt;_created&gt;62395153&lt;/_created&gt;&lt;_date&gt;2015-01-01&lt;/_date&gt;&lt;_date_display&gt;2015 Jan&lt;/_date_display&gt;&lt;_doi&gt;10.1373/clinchem.2014.228122&lt;/_doi&gt;&lt;_impact_factor&gt;   8.636&lt;/_impact_factor&gt;&lt;_isbn&gt;1530-8561 (Electronic); 0009-9147 (Linking)&lt;/_isbn&gt;&lt;_issue&gt;1&lt;/_issue&gt;&lt;_journal&gt;Clin Chem&lt;/_journal&gt;&lt;_keywords&gt;Antibodies, Monoclonal/immunology; Antigens, Neoplasm/*blood; Biomarkers, Tumor/*blood; Breast Neoplasms/*blood/drug therapy/metabolism/pathology; Cell Adhesion Molecules/*blood; Cell Count; Cell Membrane/*metabolism; Epithelial Cell Adhesion Molecule; *Epithelial-Mesenchymal Transition/drug effects; Female; Humans; Neoplasm Metastasis; Neoplastic Cells, Circulating/drug effects/*pathology; Pilot Projects; Retrospective Studies; Treatment Outcome; Vimentin/immunology/*metabolism&lt;/_keywords&gt;&lt;_language&gt;eng&lt;/_language&gt;&lt;_modified&gt;62531915&lt;/_modified&gt;&lt;_ori_publication&gt;(c) 2014 American Association for Clinical Chemistry.&lt;/_ori_publication&gt;&lt;_pages&gt;259-66&lt;/_pages&gt;&lt;_tertiary_title&gt;Clinical chemistry&lt;/_tertiary_title&gt;&lt;_type_work&gt;Journal Article&lt;/_type_work&gt;&lt;_url&gt;http://www.ncbi.nlm.nih.gov/entrez/query.fcgi?cmd=Retrieve&amp;amp;db=pubmed&amp;amp;dopt=Abstract&amp;amp;list_uids=25336717&amp;amp;query_hl=1&lt;/_url&gt;&lt;_volume&gt;61&lt;/_volume&gt;&lt;/Details&gt;&lt;Extra&gt;&lt;DBUID&gt;{F96A950B-833F-4880-A151-76DA2D6A2879}&lt;/DBUID&gt;&lt;/Extra&gt;&lt;/Item&gt;&lt;/References&gt;&lt;/Group&gt;&lt;/Citation&gt;_x000a_"/>
    <w:docVar w:name="NE.Ref{963DC291-7E89-47B0-832E-C5138BD4D874}" w:val=" ADDIN NE.Ref.{963DC291-7E89-47B0-832E-C5138BD4D874}&lt;Citation&gt;&lt;Group&gt;&lt;References&gt;&lt;Item&gt;&lt;ID&gt;424&lt;/ID&gt;&lt;UID&gt;{167E9A6E-64C5-4B19-AE17-CAB1D461BEBA}&lt;/UID&gt;&lt;Title&gt;Tumor metastasis: moving new biological insights into the clinic&lt;/Title&gt;&lt;Template&gt;Journal Article&lt;/Template&gt;&lt;Star&gt;0&lt;/Star&gt;&lt;Tag&gt;0&lt;/Tag&gt;&lt;Author&gt;Wan, L; Pantel, K; Kang, Y&lt;/Author&gt;&lt;Year&gt;2013&lt;/Year&gt;&lt;Details&gt;&lt;_accession_num&gt;24202397&lt;/_accession_num&gt;&lt;_author_adr&gt;Department of Molecular Biology, Princeton University, Princeton, New Jersey, USA.&lt;/_author_adr&gt;&lt;_collection_scope&gt;SCI;SCIE;&lt;/_collection_scope&gt;&lt;_created&gt;62400954&lt;/_created&gt;&lt;_date&gt;2013-11-01&lt;/_date&gt;&lt;_date_display&gt;2013 Nov&lt;/_date_display&gt;&lt;_doi&gt;10.1038/nm.3391&lt;/_doi&gt;&lt;_impact_factor&gt;  32.621&lt;/_impact_factor&gt;&lt;_isbn&gt;1546-170X (Electronic); 1078-8956 (Linking)&lt;/_isbn&gt;&lt;_issue&gt;11&lt;/_issue&gt;&lt;_journal&gt;Nat Med&lt;/_journal&gt;&lt;_keywords&gt;Cell Survival; Drug Discovery; Epithelial-Mesenchymal Transition; Humans; Models, Biological; Mutation; Neoplasm Invasiveness; Neoplasm Metastasis/*drug therapy/genetics/pathology; Oncogenes; Stromal Cells/pathology; Translational Medical Research; Tumor Microenvironment&lt;/_keywords&gt;&lt;_language&gt;eng&lt;/_language&gt;&lt;_modified&gt;62531938&lt;/_modified&gt;&lt;_pages&gt;1450-64&lt;/_pages&gt;&lt;_tertiary_title&gt;Nature medicine&lt;/_tertiary_title&gt;&lt;_type_work&gt;Journal Article; Research Support, N.I.H., Extramural; Research Support, Non-U.S. Gov&amp;apos;t; Research Support, U.S. Gov&amp;apos;t, Non-P.H.S.; Review&lt;/_type_work&gt;&lt;_url&gt;http://www.ncbi.nlm.nih.gov/entrez/query.fcgi?cmd=Retrieve&amp;amp;db=pubmed&amp;amp;dopt=Abstract&amp;amp;list_uids=24202397&amp;amp;query_hl=1&lt;/_url&gt;&lt;_volume&gt;19&lt;/_volume&gt;&lt;/Details&gt;&lt;Extra&gt;&lt;DBUID&gt;{F96A950B-833F-4880-A151-76DA2D6A2879}&lt;/DBUID&gt;&lt;/Extra&gt;&lt;/Item&gt;&lt;/References&gt;&lt;/Group&gt;&lt;/Citation&gt;_x000a_"/>
    <w:docVar w:name="NE.Ref{9D77C527-F177-4586-92FE-76D547ADBD01}" w:val=" ADDIN NE.Ref.{9D77C527-F177-4586-92FE-76D547ADBD01}&lt;Citation&gt;&lt;Group&gt;&lt;References&gt;&lt;Item&gt;&lt;ID&gt;446&lt;/ID&gt;&lt;UID&gt;{A5C84706-E2A9-41EF-B764-178A0066CC28}&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date_display&gt;2013 Aug&lt;/_date_display&gt;&lt;_date&gt;2013-08-01&lt;/_date&gt;&lt;_doi&gt;10.1093/annonc/mdt176&lt;/_doi&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_created&gt;62531905&lt;/_created&gt;&lt;_modified&gt;62531909&lt;/_modified&gt;&lt;_impact_factor&gt;  13.926&lt;/_impact_factor&gt;&lt;_collection_scope&gt;SCI;SCIE;&lt;/_collection_scope&gt;&lt;/Details&gt;&lt;Extra&gt;&lt;DBUID&gt;{F96A950B-833F-4880-A151-76DA2D6A2879}&lt;/DBUID&gt;&lt;/Extra&gt;&lt;/Item&gt;&lt;/References&gt;&lt;/Group&gt;&lt;Group&gt;&lt;References&gt;&lt;Item&gt;&lt;ID&gt;447&lt;/ID&gt;&lt;UID&gt;{FC94F8E7-52AC-4B87-A8BB-2DD5106B338A}&lt;/UID&gt;&lt;Title&gt;Prognostic Significance of MUC-1 in Circulating Tumor Cells in Patients With Metastatic Pancreatic Adenocarcinoma&lt;/Title&gt;&lt;Template&gt;Journal Article&lt;/Template&gt;&lt;Star&gt;0&lt;/Star&gt;&lt;Tag&gt;0&lt;/Tag&gt;&lt;Author&gt;Dotan, E; Alpaugh, R K; Ruth, K; Negin, B P; Denlinger, C S; Hall, M J; Astsaturov, I; McAleer, C; Fittipaldi, P; Thrash-Bingham, C; Meropol, N J; Cohen, S J&lt;/Author&gt;&lt;Year&gt;2016&lt;/Year&gt;&lt;Details&gt;&lt;_accession_num&gt;26967453&lt;/_accession_num&gt;&lt;_author_adr&gt;From the *Department of Medical Oncology, daggerProtocol Support Laboratory, and  double daggerBiostatistics Facility, Fox Chase Cancer Center, Philadelphia, PA; section signSouth Jersey Regional Hospital, Vineland, NJ; parallelClinical Trials Office, Fox Chase Cancer Center, Philadelphia, PA; and paragraph signDivision of  Hematology and Oncology, University Hospitals Seidman Cancer Center, Case Comprehensive Cancer Center, Case Western Reserve University, Cleveland, OH.&lt;/_author_adr&gt;&lt;_date_display&gt;2016 Sep&lt;/_date_display&gt;&lt;_date&gt;2016-09-01&lt;/_date&gt;&lt;_doi&gt;10.1097/MPA.0000000000000619&lt;/_doi&gt;&lt;_isbn&gt;1536-4828 (Electronic); 0885-3177 (Linking)&lt;/_isbn&gt;&lt;_issue&gt;8&lt;/_issue&gt;&lt;_journal&gt;Pancreas&lt;/_journal&gt;&lt;_keywords&gt;Adenocarcinoma; Biomarkers, Tumor; Female; Humans; Male; Middle Aged; *Neoplastic Cells, Circulating; Pancreatic Neoplasms; Pilot Projects; Prognosis&lt;/_keywords&gt;&lt;_language&gt;eng&lt;/_language&gt;&lt;_pages&gt;1131-5&lt;/_pages&gt;&lt;_tertiary_title&gt;Pancreas&lt;/_tertiary_title&gt;&lt;_type_work&gt;Journal Article; Research Support, Non-U.S. Gov&amp;apos;t; Research Support, N.I.H., Extramural&lt;/_type_work&gt;&lt;_url&gt;http://www.ncbi.nlm.nih.gov/entrez/query.fcgi?cmd=Retrieve&amp;amp;db=pubmed&amp;amp;dopt=Abstract&amp;amp;list_uids=26967453&amp;amp;query_hl=1&lt;/_url&gt;&lt;_volume&gt;45&lt;/_volume&gt;&lt;_created&gt;62531907&lt;/_created&gt;&lt;_modified&gt;62531909&lt;/_modified&gt;&lt;_impact_factor&gt;   2.958&lt;/_impact_factor&gt;&lt;_collection_scope&gt;SCI;SCIE;&lt;/_collection_scope&gt;&lt;/Details&gt;&lt;Extra&gt;&lt;DBUID&gt;{F96A950B-833F-4880-A151-76DA2D6A2879}&lt;/DBUID&gt;&lt;/Extra&gt;&lt;/Item&gt;&lt;/References&gt;&lt;/Group&gt;&lt;Group&gt;&lt;References&gt;&lt;Item&gt;&lt;ID&gt;448&lt;/ID&gt;&lt;UID&gt;{2B093FA4-285F-4B66-8E9F-AD3C502F7502}&lt;/UID&gt;&lt;Title&gt;Multimarker gene analysis of circulating tumor cells in pancreatic cancer patients: a feasibility study&lt;/Title&gt;&lt;Template&gt;Journal Article&lt;/Template&gt;&lt;Star&gt;0&lt;/Star&gt;&lt;Tag&gt;0&lt;/Tag&gt;&lt;Author&gt;de Albuquerque, A; Kubisch, I; Breier, G; Stamminger, G; Fersis, N; Eichler, A; Kaul, S; Stolzel, U&lt;/Author&gt;&lt;Year&gt;2012&lt;/Year&gt;&lt;Details&gt;&lt;_accession_num&gt;22270149&lt;/_accession_num&gt;&lt;_author_adr&gt;Department of Pathology, Technische Universitat Dresden, Dresden, Germany. Andreia.de.Albuquerque@gmail.com&lt;/_author_adr&gt;&lt;_date_display&gt;2012&lt;/_date_display&gt;&lt;_date&gt;2012-01-20&lt;/_date&gt;&lt;_doi&gt;10.1159/000335479&lt;/_doi&gt;&lt;_isbn&gt;1423-0232 (Electronic); 0030-2414 (Linking)&lt;/_isbn&gt;&lt;_issue&gt;1&lt;/_issue&gt;&lt;_journal&gt;Oncology&lt;/_journal&gt;&lt;_keywords&gt;Aged; Antigens, Neoplasm/blood/metabolism; Cell Adhesion Molecules/metabolism; Disease-Free Survival; Epithelial Cell Adhesion Molecule; Feasibility Studies; Female; Gene Expression Profiling; Gene Expression Regulation, Neoplastic; Humans; Male; Middle Aged; *Neoplastic Cells, Circulating; Pancreatic Neoplasms/*genetics; Prognosis; Reverse Transcriptase Polymerase Chain Reaction/methods; Time Factors; Treatment Outcome&lt;/_keywords&gt;&lt;_language&gt;eng&lt;/_language&gt;&lt;_ori_publication&gt;Copyright (c) 2012 S. Karger AG, Basel.&lt;/_ori_publication&gt;&lt;_pages&gt;3-10&lt;/_pages&gt;&lt;_tertiary_title&gt;Oncology&lt;/_tertiary_title&gt;&lt;_type_work&gt;Journal Article&lt;/_type_work&gt;&lt;_url&gt;http://www.ncbi.nlm.nih.gov/entrez/query.fcgi?cmd=Retrieve&amp;amp;db=pubmed&amp;amp;dopt=Abstract&amp;amp;list_uids=22270149&amp;amp;query_hl=1&lt;/_url&gt;&lt;_volume&gt;82&lt;/_volume&gt;&lt;_created&gt;62531908&lt;/_created&gt;&lt;_modified&gt;62531909&lt;/_modified&gt;&lt;_collection_scope&gt;SCI;SCIE;&lt;/_collection_scope&gt;&lt;/Details&gt;&lt;Extra&gt;&lt;DBUID&gt;{F96A950B-833F-4880-A151-76DA2D6A2879}&lt;/DBUID&gt;&lt;/Extra&gt;&lt;/Item&gt;&lt;/References&gt;&lt;/Group&gt;&lt;/Citation&gt;_x000a_"/>
    <w:docVar w:name="NE.Ref{A07F851E-5D4F-4DAE-B16F-08236B35002F}" w:val=" ADDIN NE.Ref.{A07F851E-5D4F-4DAE-B16F-08236B35002F}&lt;Citation&gt;&lt;Group&gt;&lt;References&gt;&lt;Item&gt;&lt;ID&gt;391&lt;/ID&gt;&lt;UID&gt;{CD07C595-ED1C-49F1-AA57-32AAFF3F7A0A}&lt;/UID&gt;&lt;Title&gt;Pancreatic cancer&lt;/Title&gt;&lt;Template&gt;Journal Article&lt;/Template&gt;&lt;Star&gt;0&lt;/Star&gt;&lt;Tag&gt;0&lt;/Tag&gt;&lt;Author&gt;Hidalgo, M&lt;/Author&gt;&lt;Year&gt;2010&lt;/Year&gt;&lt;Details&gt;&lt;_accession_num&gt;20427809&lt;/_accession_num&gt;&lt;_author_adr&gt;Centro Nacional de Investigaciones Oncologicas and Hospital de Madrid, Madrid. mhidalgo@cnio.es&lt;/_author_adr&gt;&lt;_created&gt;62395057&lt;/_created&gt;&lt;_date&gt;2010-04-29&lt;/_date&gt;&lt;_date_display&gt;2010 Apr 29&lt;/_date_display&gt;&lt;_doi&gt;10.1056/NEJMra0901557&lt;/_doi&gt;&lt;_impact_factor&gt;  79.258&lt;/_impact_factor&gt;&lt;_isbn&gt;1533-4406 (Electronic); 0028-4793 (Linking)&lt;/_isbn&gt;&lt;_issue&gt;17&lt;/_issue&gt;&lt;_journal&gt;N Engl J Med&lt;/_journal&gt;&lt;_keywords&gt;Antineoplastic Agents/therapeutic use; Combined Modality Therapy; Deoxycytidine/analogs &amp;amp; derivatives/therapeutic use; Humans; Neoplasm Staging/methods; *Pancreatic Neoplasms/diagnosis/etiology/pathology/therapy; Risk Factors; Smoking/adverse effects&lt;/_keywords&gt;&lt;_language&gt;eng&lt;/_language&gt;&lt;_modified&gt;62531844&lt;/_modified&gt;&lt;_pages&gt;1605-17&lt;/_pages&gt;&lt;_tertiary_title&gt;The New England journal of medicine&lt;/_tertiary_title&gt;&lt;_type_work&gt;Journal Article; Review&lt;/_type_work&gt;&lt;_url&gt;http://www.ncbi.nlm.nih.gov/entrez/query.fcgi?cmd=Retrieve&amp;amp;db=pubmed&amp;amp;dopt=Abstract&amp;amp;list_uids=20427809&amp;amp;query_hl=1&lt;/_url&gt;&lt;_volume&gt;362&lt;/_volume&gt;&lt;/Details&gt;&lt;Extra&gt;&lt;DBUID&gt;{F96A950B-833F-4880-A151-76DA2D6A2879}&lt;/DBUID&gt;&lt;/Extra&gt;&lt;/Item&gt;&lt;/References&gt;&lt;/Group&gt;&lt;Group&gt;&lt;References&gt;&lt;Item&gt;&lt;ID&gt;392&lt;/ID&gt;&lt;UID&gt;{85BE4A2F-6106-4503-8419-40130F7B641E}&lt;/UID&gt;&lt;Title&gt;Recent progress in pancreatic cancer&lt;/Title&gt;&lt;Template&gt;Journal Article&lt;/Template&gt;&lt;Star&gt;0&lt;/Star&gt;&lt;Tag&gt;0&lt;/Tag&gt;&lt;Author&gt;Wolfgang, C L; Herman, J M; Laheru, D A; Klein, A P; Erdek, M A; Fishman, E K; Hruban, R H&lt;/Author&gt;&lt;Year&gt;2013&lt;/Year&gt;&lt;Details&gt;&lt;_accession_num&gt;23856911&lt;/_accession_num&gt;&lt;_author_adr&gt;Associate Professor, Department of Surgery, The Johns Hopkins University School of Medicine, Baltimore, MD; Associate Professor, Department of Oncology, The Sol  Goldman Pancreatic Cancer Research Center, The Johns Hopkins University School of Medicine, Baltimore, MD; Associate Professor, Department of Pathology, The Sol Goldman Pancreatic Cancer Research Center, The Johns Hopkins University School of Medicine, Baltimore, MD.&lt;/_author_adr&gt;&lt;_created&gt;62395058&lt;/_created&gt;&lt;_date&gt;2013-09-01&lt;/_date&gt;&lt;_date_display&gt;2013 Sep&lt;/_date_display&gt;&lt;_doi&gt;10.3322/caac.21190&lt;/_doi&gt;&lt;_impact_factor&gt; 244.585&lt;/_impact_factor&gt;&lt;_isbn&gt;1542-4863 (Electronic); 0007-9235 (Linking)&lt;/_isbn&gt;&lt;_issue&gt;5&lt;/_issue&gt;&lt;_journal&gt;CA Cancer J Clin&lt;/_journal&gt;&lt;_keywords&gt;Adenocarcinoma/etiology/*therapy; Humans; Pancreatic Neoplasms/etiology/*therapy; Risk Factorsmedical oncology; molecular biology; pancreatic neoplasms; radiation oncology; radiology&lt;/_keywords&gt;&lt;_language&gt;eng&lt;/_language&gt;&lt;_modified&gt;62395089&lt;/_modified&gt;&lt;_ori_publication&gt;Copyright (c) 2013 American Cancer Society, Inc.&lt;/_ori_publication&gt;&lt;_pages&gt;318-48&lt;/_pages&gt;&lt;_tertiary_title&gt;CA: a cancer journal for clinicians&lt;/_tertiary_title&gt;&lt;_type_work&gt;Journal Article; Research Support, N.I.H., Extramural; Review&lt;/_type_work&gt;&lt;_url&gt;http://www.ncbi.nlm.nih.gov/entrez/query.fcgi?cmd=Retrieve&amp;amp;db=pubmed&amp;amp;dopt=Abstract&amp;amp;list_uids=23856911&amp;amp;query_hl=1&lt;/_url&gt;&lt;_volume&gt;63&lt;/_volume&gt;&lt;/Details&gt;&lt;Extra&gt;&lt;DBUID&gt;{F96A950B-833F-4880-A151-76DA2D6A2879}&lt;/DBUID&gt;&lt;/Extra&gt;&lt;/Item&gt;&lt;/References&gt;&lt;/Group&gt;&lt;/Citation&gt;_x000a_"/>
    <w:docVar w:name="NE.Ref{BA493302-D974-479B-AA84-FF9B86C90F40}" w:val=" ADDIN NE.Ref.{BA493302-D974-479B-AA84-FF9B86C90F40}&lt;Citation&gt;&lt;Group&gt;&lt;References&gt;&lt;Item&gt;&lt;ID&gt;425&lt;/ID&gt;&lt;UID&gt;{622ACEF2-9EC7-4C59-97D0-3B6D938C31E7}&lt;/UID&gt;&lt;Title&gt;Feasibility of a novel one-stop ISET device to capture CTCs and its clinical application&lt;/Title&gt;&lt;Template&gt;Journal Article&lt;/Template&gt;&lt;Star&gt;0&lt;/Star&gt;&lt;Tag&gt;0&lt;/Tag&gt;&lt;Author&gt;Chen, F; Wang, S; Fang, Y; Zheng, L; Zhi, X; Cheng, B; Chen, Y; Zhang, C; Shi, D; Song, H; Cai, C; Zhou, P; Xiong, B&lt;/Author&gt;&lt;Year&gt;2017&lt;/Year&gt;&lt;Details&gt;&lt;_accession_num&gt;27935872&lt;/_accession_num&gt;&lt;_author_adr&gt;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Circulating Tumor Cells, YZY Medical Technological Company,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Circulating Tumor Cells, YZY Medical Technological Company, Wuhan,  China.; Department of Circulating Tumor Cells, YZY Medical Technological Company, Wuhan,  China.; Department of Oncology, Zhongnan Hospital of Wuhan University, Hubei Cancer Clinical Study Center, Hubei Key Laboratory of Tumor Biological Behaviors, Wuhan, China.&lt;/_author_adr&gt;&lt;_collection_scope&gt;SCIE;&lt;/_collection_scope&gt;&lt;_created&gt;62406543&lt;/_created&gt;&lt;_date&gt;2017-01-10&lt;/_date&gt;&lt;_date_display&gt;2017 Jan 10&lt;/_date_display&gt;&lt;_doi&gt;10.18632/oncotarget.13823&lt;/_doi&gt;&lt;_isbn&gt;1949-2553 (Electronic); 1949-2553 (Linking)&lt;/_isbn&gt;&lt;_issue&gt;2&lt;/_issue&gt;&lt;_journal&gt;Oncotarget&lt;/_journal&gt;&lt;_keywords&gt;Adult; Aged; Aged, 80 and over; Case-Control Studies; Cell Count; Cell Line, Tumor; Cell Separation/instrumentation/methods; Early Detection of Cancer/*instrumentation/*methods; Female; Humans; Male; Middle Aged; Neoplasm Grading; Neoplasm Staging; Neoplasms/*diagnosis; Neoplastic Cells, Circulating/*metabolism/*pathology; Sensitivity and Specificity; Staining and Labeling/instrumentation/methodscirculating tumor cells (CTCs); clusters of circulating tumor cells (CTC-clusters); colorectal cancer (CRC); epithelial-mesenchymal transition (EMT); isolation method by size of epithelial tumor cells (ISET)&lt;/_keywords&gt;&lt;_language&gt;eng&lt;/_language&gt;&lt;_modified&gt;62531939&lt;/_modified&gt;&lt;_pages&gt;3029-3041&lt;/_pages&gt;&lt;_tertiary_title&gt;Oncotarget&lt;/_tertiary_title&gt;&lt;_type_work&gt;Journal Article&lt;/_type_work&gt;&lt;_url&gt;http://www.ncbi.nlm.nih.gov/entrez/query.fcgi?cmd=Retrieve&amp;amp;db=pubmed&amp;amp;dopt=Abstract&amp;amp;list_uids=27935872&amp;amp;query_hl=1&lt;/_url&gt;&lt;_volume&gt;8&lt;/_volume&gt;&lt;/Details&gt;&lt;Extra&gt;&lt;DBUID&gt;{F96A950B-833F-4880-A151-76DA2D6A2879}&lt;/DBUID&gt;&lt;/Extra&gt;&lt;/Item&gt;&lt;/References&gt;&lt;/Group&gt;&lt;/Citation&gt;_x000a_"/>
    <w:docVar w:name="NE.Ref{BBDF8C50-4C60-471B-8A77-8CE9BA2500FF}" w:val=" ADDIN NE.Ref.{BBDF8C50-4C60-471B-8A77-8CE9BA2500FF}&lt;Citation&gt;&lt;Group&gt;&lt;References&gt;&lt;Item&gt;&lt;ID&gt;437&lt;/ID&gt;&lt;UID&gt;{9CBAC71C-DDAC-4308-A352-96688E478179}&lt;/UID&gt;&lt;Title&gt;Looking back, to the future of circulating tumor cells&lt;/Title&gt;&lt;Template&gt;Journal Article&lt;/Template&gt;&lt;Star&gt;0&lt;/Star&gt;&lt;Tag&gt;0&lt;/Tag&gt;&lt;Author&gt;Friedlander, T W; Premasekharan, G; Paris, P L&lt;/Author&gt;&lt;Year&gt;2014&lt;/Year&gt;&lt;Details&gt;&lt;_accession_num&gt;24362084&lt;/_accession_num&gt;&lt;_author_adr&gt;Division of Hematology &amp;amp; Medical Oncology, Helen Diller Family Comprehensive Cancer Center, University of California, San Francisco, California, United States. Electronic address: terence.friedlander@ucsf.edu.; Department of Urology, Helen Diller Family Comprehensive Cancer Center, University of California, San Francisco, California, United States.; Department of Urology, Helen Diller Family Comprehensive Cancer Center, University of California, San Francisco, California, United States.&lt;/_author_adr&gt;&lt;_created&gt;62406609&lt;/_created&gt;&lt;_date&gt;2014-06-01&lt;/_date&gt;&lt;_date_display&gt;2014 Jun&lt;/_date_display&gt;&lt;_doi&gt;10.1016/j.pharmthera.2013.12.011&lt;/_doi&gt;&lt;_impact_factor&gt;  10.376&lt;/_impact_factor&gt;&lt;_isbn&gt;1879-016X (Electronic); 0163-7258 (Linking)&lt;/_isbn&gt;&lt;_issue&gt;3&lt;/_issue&gt;&lt;_journal&gt;Pharmacol Ther&lt;/_journal&gt;&lt;_keywords&gt;Animals; Biomarkers, Tumor; Cell Count; Cell Culture Techniques; Cell Separation; Clinical Trials as Topic; Epithelial-Mesenchymal Transition; Humans; *Neoplastic Cells, CirculatingCellSearch; Circulating tumor cells; EpCAM; Epithelial to mesenchymal transition; Stem-cells&lt;/_keywords&gt;&lt;_language&gt;eng&lt;/_language&gt;&lt;_modified&gt;62531943&lt;/_modified&gt;&lt;_ori_publication&gt;Copyright (c) 2013 Elsevier Inc. All rights reserved.&lt;/_ori_publication&gt;&lt;_pages&gt;271-80&lt;/_pages&gt;&lt;_tertiary_title&gt;Pharmacology &amp;amp; therapeutics&lt;/_tertiary_title&gt;&lt;_type_work&gt;Journal Article; Review&lt;/_type_work&gt;&lt;_url&gt;http://www.ncbi.nlm.nih.gov/entrez/query.fcgi?cmd=Retrieve&amp;amp;db=pubmed&amp;amp;dopt=Abstract&amp;amp;list_uids=24362084&amp;amp;query_hl=1&lt;/_url&gt;&lt;_volume&gt;142&lt;/_volume&gt;&lt;/Details&gt;&lt;Extra&gt;&lt;DBUID&gt;{F96A950B-833F-4880-A151-76DA2D6A2879}&lt;/DBUID&gt;&lt;/Extra&gt;&lt;/Item&gt;&lt;/References&gt;&lt;/Group&gt;&lt;Group&gt;&lt;References&gt;&lt;Item&gt;&lt;ID&gt;438&lt;/ID&gt;&lt;UID&gt;{83E11367-3278-4283-B176-B6BDB4EE0D39}&lt;/UID&gt;&lt;Title&gt;Circulating tumor cells: advances in isolation and analysis, and challenges for clinical applications&lt;/Title&gt;&lt;Template&gt;Journal Article&lt;/Template&gt;&lt;Star&gt;0&lt;/Star&gt;&lt;Tag&gt;0&lt;/Tag&gt;&lt;Author&gt;Harouaka, R; Kang, Z; Zheng, S Y; Cao, L&lt;/Author&gt;&lt;Year&gt;2014&lt;/Year&gt;&lt;Details&gt;&lt;_accession_num&gt;24134902&lt;/_accession_num&gt;&lt;_author_adr&gt;Department of Bioengineering, Penn State University, University Park, PA, USA.; Genetics Branch, Center for Cancer Research, National Cancer Institute, Bethesda, MD, USA.; Department of Bioengineering, Penn State University, University Park, PA, USA.; Genetics Branch, Center for Cancer Research, National Cancer Institute, Bethesda, MD, USA. Electronic address: caoli@mail.nih.gov.&lt;/_author_adr&gt;&lt;_created&gt;62406610&lt;/_created&gt;&lt;_date&gt;2014-02-01&lt;/_date&gt;&lt;_date_display&gt;2014 Feb&lt;/_date_display&gt;&lt;_doi&gt;10.1016/j.pharmthera.2013.10.004&lt;/_doi&gt;&lt;_impact_factor&gt;  10.376&lt;/_impact_factor&gt;&lt;_isbn&gt;1879-016X (Electronic); 0163-7258 (Linking)&lt;/_isbn&gt;&lt;_issue&gt;2&lt;/_issue&gt;&lt;_journal&gt;Pharmacol Ther&lt;/_journal&gt;&lt;_keywords&gt;Biomarkers, Tumor; Humans; Neoplasms/*diagnosis; *Neoplastic Cells, Circulating; PrognosisAR; CK; CTC; Cancer biomarker; Circulating tumor cells; DEP; EGFR; EMT; ER; EpCAM; FDA; FISH; HER2; IF; ISET; PR; PSA; PSMA; Predictive biomarker; Prognostic biomarker; RT-PCR; US Food and Drug Administration; androgen receptor; circulating tumor cell; cytokeratin; dielectrophoresis; epidermal growth factor receptor; epithelial cell adhesion molecule; epithelial-mesenchymal transition; estrogen receptor; fluorescence in situ hybridization; human epidermal growth factor receptor 2; immunofluorescence; isolation by size of epithelial tumor cells technique; plasma tumor DNA; progesterone receptor; prostate specific antigen; prostate-specific membrane antigen; ptDNA; reverse transcription polymerase chain reaction&lt;/_keywords&gt;&lt;_language&gt;eng&lt;/_language&gt;&lt;_modified&gt;62531943&lt;/_modified&gt;&lt;_ori_publication&gt;Published by Elsevier Inc.&lt;/_ori_publication&gt;&lt;_pages&gt;209-21&lt;/_pages&gt;&lt;_tertiary_title&gt;Pharmacology &amp;amp; therapeutics&lt;/_tertiary_title&gt;&lt;_type_work&gt;Journal Article; Research Support, N.I.H., Extramural; Review&lt;/_type_work&gt;&lt;_url&gt;http://www.ncbi.nlm.nih.gov/entrez/query.fcgi?cmd=Retrieve&amp;amp;db=pubmed&amp;amp;dopt=Abstract&amp;amp;list_uids=24134902&amp;amp;query_hl=1&lt;/_url&gt;&lt;_volume&gt;141&lt;/_volume&gt;&lt;/Details&gt;&lt;Extra&gt;&lt;DBUID&gt;{F96A950B-833F-4880-A151-76DA2D6A2879}&lt;/DBUID&gt;&lt;/Extra&gt;&lt;/Item&gt;&lt;/References&gt;&lt;/Group&gt;&lt;/Citation&gt;_x000a_"/>
    <w:docVar w:name="NE.Ref{C1934DD7-F8E9-4496-9DC5-F2E39B17ABD4}" w:val=" ADDIN NE.Ref.{C1934DD7-F8E9-4496-9DC5-F2E39B17ABD4}&lt;Citation&gt;&lt;Group&gt;&lt;References&gt;&lt;Item&gt;&lt;ID&gt;402&lt;/ID&gt;&lt;UID&gt;{02FBD95C-5B1C-4AFE-B4B0-6F00DD943A9A}&lt;/UID&gt;&lt;Title&gt;Circulating tumor cells: a novel prognostic factor for newly diagnosed metastatic breast cancer&lt;/Title&gt;&lt;Template&gt;Journal Article&lt;/Template&gt;&lt;Star&gt;0&lt;/Star&gt;&lt;Tag&gt;0&lt;/Tag&gt;&lt;Author&gt;Cristofanilli, M; Hayes, D F; Budd, G T; Ellis, M J; Stopeck, A; Reuben, J M; Doyle, G V; Matera, J; Allard, W J; Miller, M C; Fritsche, H A; Hortobagyi, G N; Terstappen, L W&lt;/Author&gt;&lt;Year&gt;2005&lt;/Year&gt;&lt;Details&gt;&lt;_accession_num&gt;15735118&lt;/_accession_num&gt;&lt;_author_adr&gt;Department of Breast Medical Oncology, The University of Texas M.D. Anderson Cancer Center, 1515 Holcombe Blvd, Box 424, Houston, TX 77030, USA. mcristof@mdanderson.org&lt;/_author_adr&gt;&lt;_collection_scope&gt;SCI;SCIE;&lt;/_collection_scope&gt;&lt;_created&gt;62395114&lt;/_created&gt;&lt;_date&gt;2005-03-01&lt;/_date&gt;&lt;_date_display&gt;2005 Mar 1&lt;/_date_display&gt;&lt;_doi&gt;10.1200/JCO.2005.08.140&lt;/_doi&gt;&lt;_impact_factor&gt;  26.303&lt;/_impact_factor&gt;&lt;_isbn&gt;0732-183X (Print); 0732-183X (Linking)&lt;/_isbn&gt;&lt;_issue&gt;7&lt;/_issue&gt;&lt;_journal&gt;J Clin Oncol&lt;/_journal&gt;&lt;_keywords&gt;Breast Neoplasms/*mortality/pathology/therapy; Female; Humans; Middle Aged; Neoplasm Metastasis; Neoplastic Cells, Circulating/*pathology; Prognosis; Prospective Studies; Survival Rate&lt;/_keywords&gt;&lt;_language&gt;eng&lt;/_language&gt;&lt;_modified&gt;62531885&lt;/_modified&gt;&lt;_pages&gt;1420-30&lt;/_pages&gt;&lt;_tertiary_title&gt;Journal of clinical oncology : official journal of the American Society of_x000d__x000a_      Clinical Oncology&lt;/_tertiary_title&gt;&lt;_type_work&gt;Journal Article; Research Support, Non-U.S. Gov&amp;apos;t&lt;/_type_work&gt;&lt;_url&gt;http://www.ncbi.nlm.nih.gov/entrez/query.fcgi?cmd=Retrieve&amp;amp;db=pubmed&amp;amp;dopt=Abstract&amp;amp;list_uids=15735118&amp;amp;query_hl=1&lt;/_url&gt;&lt;_volume&gt;23&lt;/_volume&gt;&lt;/Details&gt;&lt;Extra&gt;&lt;DBUID&gt;{F96A950B-833F-4880-A151-76DA2D6A2879}&lt;/DBUID&gt;&lt;/Extra&gt;&lt;/Item&gt;&lt;/References&gt;&lt;/Group&gt;&lt;Group&gt;&lt;References&gt;&lt;Item&gt;&lt;ID&gt;404&lt;/ID&gt;&lt;UID&gt;{314F24D0-3ABD-432E-A31D-0497715F524A}&lt;/UID&gt;&lt;Title&gt;Circulating tumor cell number and prognosis in progressive castration-resistant prostate cancer&lt;/Title&gt;&lt;Template&gt;Journal Article&lt;/Template&gt;&lt;Star&gt;0&lt;/Star&gt;&lt;Tag&gt;0&lt;/Tag&gt;&lt;Author&gt;Danila, D C; Heller, G; Gignac, G A; Gonzalez-Espinoza, R; Anand, A; Tanaka, E; Lilja, H; Schwartz, L; Larson, S; Fleisher, M; Scher, H I&lt;/Author&gt;&lt;Year&gt;2007&lt;/Year&gt;&lt;Details&gt;&lt;_accession_num&gt;18056182&lt;/_accession_num&gt;&lt;_author_adr&gt;Genitourinary Oncology Service, Department of Medicine, Memorial Sloan-Kettering  Cancer Center, New York, New York 10021, USA.&lt;/_author_adr&gt;&lt;_collection_scope&gt;SCI;SCIE;&lt;/_collection_scope&gt;&lt;_created&gt;62395120&lt;/_created&gt;&lt;_date&gt;2007-12-01&lt;/_date&gt;&lt;_date_display&gt;2007 Dec 1&lt;/_date_display&gt;&lt;_doi&gt;10.1158/1078-0432.CCR-07-1506&lt;/_doi&gt;&lt;_impact_factor&gt;  10.199&lt;/_impact_factor&gt;&lt;_isbn&gt;1078-0432 (Print); 1078-0432 (Linking)&lt;/_isbn&gt;&lt;_issue&gt;23&lt;/_issue&gt;&lt;_journal&gt;Clin Cancer Res&lt;/_journal&gt;&lt;_keywords&gt;Adult; Aged; Aged, 80 and over; Biomarkers, Tumor/blood; Bone Neoplasms/blood/pathology/secondary; Disease Progression; Glycoproteins/blood; Humans; Kaplan-Meier Estimate; Male; Middle Aged; Neoplasm Recurrence, Local/blood/pathology; Neoplastic Cells, Circulating/*pathology; Orchiectomy; Prostate-Specific Antigen/blood; Prostatic Neoplasms/blood/*pathology; Serum Albumin; Serum Albumin, Human; Soft Tissue Neoplasms/blood/pathology/secondary&lt;/_keywords&gt;&lt;_language&gt;eng&lt;/_language&gt;&lt;_modified&gt;62395937&lt;/_modified&gt;&lt;_pages&gt;7053-8&lt;/_pages&gt;&lt;_tertiary_title&gt;Clinical cancer research : an official journal of the American Association for_x000d__x000a_      Cancer Research&lt;/_tertiary_title&gt;&lt;_type_work&gt;Journal Article; Research Support, N.I.H., Extramural; Research Support, Non-U.S. Gov&amp;apos;t&lt;/_type_work&gt;&lt;_url&gt;http://www.ncbi.nlm.nih.gov/entrez/query.fcgi?cmd=Retrieve&amp;amp;db=pubmed&amp;amp;dopt=Abstract&amp;amp;list_uids=18056182&amp;amp;query_hl=1&lt;/_url&gt;&lt;_volume&gt;13&lt;/_volume&gt;&lt;/Details&gt;&lt;Extra&gt;&lt;DBUID&gt;{F96A950B-833F-4880-A151-76DA2D6A2879}&lt;/DBUID&gt;&lt;/Extra&gt;&lt;/Item&gt;&lt;/References&gt;&lt;/Group&gt;&lt;Group&gt;&lt;References&gt;&lt;Item&gt;&lt;ID&gt;405&lt;/ID&gt;&lt;UID&gt;{68794CF9-F24F-436C-B442-50F5C3CDF1F2}&lt;/UID&gt;&lt;Title&gt;Prognostic significance of circulating tumor cells in patients with metastatic colorectal cancer&lt;/Title&gt;&lt;Template&gt;Journal Article&lt;/Template&gt;&lt;Star&gt;0&lt;/Star&gt;&lt;Tag&gt;0&lt;/Tag&gt;&lt;Author&gt;Cohen, S J; Punt, C J; Iannotti, N; Saidman, B H; Sabbath, K D; Gabrail, N Y; Picus, J; Morse, M A; Mitchell, E; Miller, M C; Doyle, G V; Tissing, H; Terstappen, L W; Meropol, N J&lt;/Author&gt;&lt;Year&gt;2009&lt;/Year&gt;&lt;Details&gt;&lt;_accession_num&gt;19282466&lt;/_accession_num&gt;&lt;_author_adr&gt;Department of Medical Oncology, Fox Chase Cancer Center, Philadelphia, PA 19111-2497, USA. S_Cohen@fccc.edu&lt;/_author_adr&gt;&lt;_collection_scope&gt;SCI;SCIE;&lt;/_collection_scope&gt;&lt;_created&gt;62395123&lt;/_created&gt;&lt;_date&gt;2009-07-01&lt;/_date&gt;&lt;_date_display&gt;2009 Jul&lt;/_date_display&gt;&lt;_doi&gt;10.1093/annonc/mdn786&lt;/_doi&gt;&lt;_impact_factor&gt;  13.926&lt;/_impact_factor&gt;&lt;_isbn&gt;1569-8041 (Electronic); 0923-7534 (Linking)&lt;/_isbn&gt;&lt;_issue&gt;7&lt;/_issue&gt;&lt;_journal&gt;Ann Oncol&lt;/_journal&gt;&lt;_keywords&gt;Aged; Aged, 80 and over; Antibodies, Monoclonal/therapeutic use; Antibodies, Monoclonal, Humanized; Bevacizumab; Camptothecin/analogs &amp;amp; derivatives/therapeutic use; Colorectal Neoplasms/drug therapy/*pathology; Disease Progression; Disease-Free Survival; Female; Follow-Up Studies; Humans; Kaplan-Meier Estimate; Male; Middle Aged; Neoplasm Metastasis/*pathology; Neoplastic Cells, Circulating/*pathology; Organoplatinum Compounds/therapeutic use; Predictive Value of Tests; Prognosis; Survival Rate; Time Factors; Treatment Outcome&lt;/_keywords&gt;&lt;_language&gt;eng&lt;/_language&gt;&lt;_modified&gt;62531885&lt;/_modified&gt;&lt;_pages&gt;1223-9&lt;/_pages&gt;&lt;_tertiary_title&gt;Annals of oncology : official journal of the European Society for Medical_x000d__x000a_      Oncology&lt;/_tertiary_title&gt;&lt;_type_work&gt;Journal Article; Research Support, Non-U.S. Gov&amp;apos;t&lt;/_type_work&gt;&lt;_url&gt;http://www.ncbi.nlm.nih.gov/entrez/query.fcgi?cmd=Retrieve&amp;amp;db=pubmed&amp;amp;dopt=Abstract&amp;amp;list_uids=19282466&amp;amp;query_hl=1&lt;/_url&gt;&lt;_volume&gt;20&lt;/_volume&gt;&lt;/Details&gt;&lt;Extra&gt;&lt;DBUID&gt;{F96A950B-833F-4880-A151-76DA2D6A2879}&lt;/DBUID&gt;&lt;/Extra&gt;&lt;/Item&gt;&lt;/References&gt;&lt;/Group&gt;&lt;/Citation&gt;_x000a_"/>
    <w:docVar w:name="NE.Ref{C40ED69F-9FFE-4860-A3BE-759A3B8378D5}" w:val=" ADDIN NE.Ref.{C40ED69F-9FFE-4860-A3BE-759A3B8378D5}&lt;Citation&gt;&lt;Group&gt;&lt;References&gt;&lt;Item&gt;&lt;ID&gt;448&lt;/ID&gt;&lt;UID&gt;{2B093FA4-285F-4B66-8E9F-AD3C502F7502}&lt;/UID&gt;&lt;Title&gt;Multimarker gene analysis of circulating tumor cells in pancreatic cancer patients: a feasibility study&lt;/Title&gt;&lt;Template&gt;Journal Article&lt;/Template&gt;&lt;Star&gt;0&lt;/Star&gt;&lt;Tag&gt;0&lt;/Tag&gt;&lt;Author&gt;de Albuquerque, A; Kubisch, I; Breier, G; Stamminger, G; Fersis, N; Eichler, A; Kaul, S; Stolzel, U&lt;/Author&gt;&lt;Year&gt;2012&lt;/Year&gt;&lt;Details&gt;&lt;_accession_num&gt;22270149&lt;/_accession_num&gt;&lt;_author_adr&gt;Department of Pathology, Technische Universitat Dresden, Dresden, Germany. Andreia.de.Albuquerque@gmail.com&lt;/_author_adr&gt;&lt;_date_display&gt;2012&lt;/_date_display&gt;&lt;_date&gt;2012-01-20&lt;/_date&gt;&lt;_doi&gt;10.1159/000335479&lt;/_doi&gt;&lt;_isbn&gt;1423-0232 (Electronic); 0030-2414 (Linking)&lt;/_isbn&gt;&lt;_issue&gt;1&lt;/_issue&gt;&lt;_journal&gt;Oncology&lt;/_journal&gt;&lt;_keywords&gt;Aged; Antigens, Neoplasm/blood/metabolism; Cell Adhesion Molecules/metabolism; Disease-Free Survival; Epithelial Cell Adhesion Molecule; Feasibility Studies; Female; Gene Expression Profiling; Gene Expression Regulation, Neoplastic; Humans; Male; Middle Aged; *Neoplastic Cells, Circulating; Pancreatic Neoplasms/*genetics; Prognosis; Reverse Transcriptase Polymerase Chain Reaction/methods; Time Factors; Treatment Outcome&lt;/_keywords&gt;&lt;_language&gt;eng&lt;/_language&gt;&lt;_ori_publication&gt;Copyright (c) 2012 S. Karger AG, Basel.&lt;/_ori_publication&gt;&lt;_pages&gt;3-10&lt;/_pages&gt;&lt;_tertiary_title&gt;Oncology&lt;/_tertiary_title&gt;&lt;_type_work&gt;Journal Article&lt;/_type_work&gt;&lt;_url&gt;http://www.ncbi.nlm.nih.gov/entrez/query.fcgi?cmd=Retrieve&amp;amp;db=pubmed&amp;amp;dopt=Abstract&amp;amp;list_uids=22270149&amp;amp;query_hl=1&lt;/_url&gt;&lt;_volume&gt;82&lt;/_volume&gt;&lt;_created&gt;62531908&lt;/_created&gt;&lt;_modified&gt;62531909&lt;/_modified&gt;&lt;_collection_scope&gt;SCI;SCIE;&lt;/_collection_scope&gt;&lt;/Details&gt;&lt;Extra&gt;&lt;DBUID&gt;{F96A950B-833F-4880-A151-76DA2D6A2879}&lt;/DBUID&gt;&lt;/Extra&gt;&lt;/Item&gt;&lt;/References&gt;&lt;/Group&gt;&lt;Group&gt;&lt;References&gt;&lt;Item&gt;&lt;ID&gt;446&lt;/ID&gt;&lt;UID&gt;{A5C84706-E2A9-41EF-B764-178A0066CC28}&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date_display&gt;2013 Aug&lt;/_date_display&gt;&lt;_date&gt;2013-08-01&lt;/_date&gt;&lt;_doi&gt;10.1093/annonc/mdt176&lt;/_doi&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_created&gt;62531905&lt;/_created&gt;&lt;_modified&gt;62531909&lt;/_modified&gt;&lt;_impact_factor&gt;  13.926&lt;/_impact_factor&gt;&lt;_collection_scope&gt;SCI;SCIE;&lt;/_collection_scope&gt;&lt;/Details&gt;&lt;Extra&gt;&lt;DBUID&gt;{F96A950B-833F-4880-A151-76DA2D6A2879}&lt;/DBUID&gt;&lt;/Extra&gt;&lt;/Item&gt;&lt;/References&gt;&lt;/Group&gt;&lt;/Citation&gt;_x000a_"/>
    <w:docVar w:name="NE.Ref{DF760C53-3F6C-420B-9D0E-62D9D5E096D8}" w:val=" ADDIN NE.Ref.{DF760C53-3F6C-420B-9D0E-62D9D5E096D8}&lt;Citation&gt;&lt;Group&gt;&lt;References&gt;&lt;Item&gt;&lt;ID&gt;446&lt;/ID&gt;&lt;UID&gt;{A5C84706-E2A9-41EF-B764-178A0066CC28}&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date_display&gt;2013 Aug&lt;/_date_display&gt;&lt;_date&gt;2013-08-01&lt;/_date&gt;&lt;_doi&gt;10.1093/annonc/mdt176&lt;/_doi&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_created&gt;62531905&lt;/_created&gt;&lt;_modified&gt;62531905&lt;/_modified&gt;&lt;_impact_factor&gt;  13.926&lt;/_impact_factor&gt;&lt;_collection_scope&gt;SCI;SCIE;&lt;/_collection_scope&gt;&lt;/Details&gt;&lt;Extra&gt;&lt;DBUID&gt;{F96A950B-833F-4880-A151-76DA2D6A2879}&lt;/DBUID&gt;&lt;/Extra&gt;&lt;/Item&gt;&lt;/References&gt;&lt;/Group&gt;&lt;Group&gt;&lt;References&gt;&lt;Item&gt;&lt;ID&gt;447&lt;/ID&gt;&lt;UID&gt;{FC94F8E7-52AC-4B87-A8BB-2DD5106B338A}&lt;/UID&gt;&lt;Title&gt;Prognostic Significance of MUC-1 in Circulating Tumor Cells in Patients With Metastatic Pancreatic Adenocarcinoma&lt;/Title&gt;&lt;Template&gt;Journal Article&lt;/Template&gt;&lt;Star&gt;0&lt;/Star&gt;&lt;Tag&gt;0&lt;/Tag&gt;&lt;Author&gt;Dotan, E; Alpaugh, R K; Ruth, K; Negin, B P; Denlinger, C S; Hall, M J; Astsaturov, I; McAleer, C; Fittipaldi, P; Thrash-Bingham, C; Meropol, N J; Cohen, S J&lt;/Author&gt;&lt;Year&gt;2016&lt;/Year&gt;&lt;Details&gt;&lt;_accession_num&gt;26967453&lt;/_accession_num&gt;&lt;_author_adr&gt;From the *Department of Medical Oncology, daggerProtocol Support Laboratory, and  double daggerBiostatistics Facility, Fox Chase Cancer Center, Philadelphia, PA; section signSouth Jersey Regional Hospital, Vineland, NJ; parallelClinical Trials Office, Fox Chase Cancer Center, Philadelphia, PA; and paragraph signDivision of  Hematology and Oncology, University Hospitals Seidman Cancer Center, Case Comprehensive Cancer Center, Case Western Reserve University, Cleveland, OH.&lt;/_author_adr&gt;&lt;_date_display&gt;2016 Sep&lt;/_date_display&gt;&lt;_date&gt;2016-09-01&lt;/_date&gt;&lt;_doi&gt;10.1097/MPA.0000000000000619&lt;/_doi&gt;&lt;_isbn&gt;1536-4828 (Electronic); 0885-3177 (Linking)&lt;/_isbn&gt;&lt;_issue&gt;8&lt;/_issue&gt;&lt;_journal&gt;Pancreas&lt;/_journal&gt;&lt;_keywords&gt;Adenocarcinoma; Biomarkers, Tumor; Female; Humans; Male; Middle Aged; *Neoplastic Cells, Circulating; Pancreatic Neoplasms; Pilot Projects; Prognosis&lt;/_keywords&gt;&lt;_language&gt;eng&lt;/_language&gt;&lt;_pages&gt;1131-5&lt;/_pages&gt;&lt;_tertiary_title&gt;Pancreas&lt;/_tertiary_title&gt;&lt;_type_work&gt;Journal Article; Research Support, Non-U.S. Gov&amp;apos;t; Research Support, N.I.H., Extramural&lt;/_type_work&gt;&lt;_url&gt;http://www.ncbi.nlm.nih.gov/entrez/query.fcgi?cmd=Retrieve&amp;amp;db=pubmed&amp;amp;dopt=Abstract&amp;amp;list_uids=26967453&amp;amp;query_hl=1&lt;/_url&gt;&lt;_volume&gt;45&lt;/_volume&gt;&lt;_created&gt;62531907&lt;/_created&gt;&lt;_modified&gt;62531907&lt;/_modified&gt;&lt;_impact_factor&gt;   2.958&lt;/_impact_factor&gt;&lt;_collection_scope&gt;SCI;SCIE;&lt;/_collection_scope&gt;&lt;/Details&gt;&lt;Extra&gt;&lt;DBUID&gt;{F96A950B-833F-4880-A151-76DA2D6A2879}&lt;/DBUID&gt;&lt;/Extra&gt;&lt;/Item&gt;&lt;/References&gt;&lt;/Group&gt;&lt;Group&gt;&lt;References&gt;&lt;Item&gt;&lt;ID&gt;448&lt;/ID&gt;&lt;UID&gt;{2B093FA4-285F-4B66-8E9F-AD3C502F7502}&lt;/UID&gt;&lt;Title&gt;Multimarker gene analysis of circulating tumor cells in pancreatic cancer patients: a feasibility study&lt;/Title&gt;&lt;Template&gt;Journal Article&lt;/Template&gt;&lt;Star&gt;0&lt;/Star&gt;&lt;Tag&gt;0&lt;/Tag&gt;&lt;Author&gt;de Albuquerque, A; Kubisch, I; Breier, G; Stamminger, G; Fersis, N; Eichler, A; Kaul, S; Stolzel, U&lt;/Author&gt;&lt;Year&gt;2012&lt;/Year&gt;&lt;Details&gt;&lt;_accession_num&gt;22270149&lt;/_accession_num&gt;&lt;_author_adr&gt;Department of Pathology, Technische Universitat Dresden, Dresden, Germany. Andreia.de.Albuquerque@gmail.com&lt;/_author_adr&gt;&lt;_date_display&gt;2012&lt;/_date_display&gt;&lt;_date&gt;2012-01-20&lt;/_date&gt;&lt;_doi&gt;10.1159/000335479&lt;/_doi&gt;&lt;_isbn&gt;1423-0232 (Electronic); 0030-2414 (Linking)&lt;/_isbn&gt;&lt;_issue&gt;1&lt;/_issue&gt;&lt;_journal&gt;Oncology&lt;/_journal&gt;&lt;_keywords&gt;Aged; Antigens, Neoplasm/blood/metabolism; Cell Adhesion Molecules/metabolism; Disease-Free Survival; Epithelial Cell Adhesion Molecule; Feasibility Studies; Female; Gene Expression Profiling; Gene Expression Regulation, Neoplastic; Humans; Male; Middle Aged; *Neoplastic Cells, Circulating; Pancreatic Neoplasms/*genetics; Prognosis; Reverse Transcriptase Polymerase Chain Reaction/methods; Time Factors; Treatment Outcome&lt;/_keywords&gt;&lt;_language&gt;eng&lt;/_language&gt;&lt;_ori_publication&gt;Copyright (c) 2012 S. Karger AG, Basel.&lt;/_ori_publication&gt;&lt;_pages&gt;3-10&lt;/_pages&gt;&lt;_tertiary_title&gt;Oncology&lt;/_tertiary_title&gt;&lt;_type_work&gt;Journal Article&lt;/_type_work&gt;&lt;_url&gt;http://www.ncbi.nlm.nih.gov/entrez/query.fcgi?cmd=Retrieve&amp;amp;db=pubmed&amp;amp;dopt=Abstract&amp;amp;list_uids=22270149&amp;amp;query_hl=1&lt;/_url&gt;&lt;_volume&gt;82&lt;/_volume&gt;&lt;_created&gt;62531908&lt;/_created&gt;&lt;_modified&gt;62531908&lt;/_modified&gt;&lt;_collection_scope&gt;SCI;SCIE;&lt;/_collection_scope&gt;&lt;/Details&gt;&lt;Extra&gt;&lt;DBUID&gt;{F96A950B-833F-4880-A151-76DA2D6A2879}&lt;/DBUID&gt;&lt;/Extra&gt;&lt;/Item&gt;&lt;/References&gt;&lt;/Group&gt;&lt;/Citation&gt;_x000a_"/>
    <w:docVar w:name="NE.Ref{E2ACD63E-032A-40E6-A137-10A02E8DB222}" w:val=" ADDIN NE.Ref.{E2ACD63E-032A-40E6-A137-10A02E8DB222}&lt;Citation&gt;&lt;Group&gt;&lt;References&gt;&lt;Item&gt;&lt;ID&gt;400&lt;/ID&gt;&lt;UID&gt;{6210CCC4-565A-4D64-9B1D-5E4D92191EEF}&lt;/UID&gt;&lt;Title&gt;Challenges in circulating tumour cell research&lt;/Title&gt;&lt;Template&gt;Journal Article&lt;/Template&gt;&lt;Star&gt;0&lt;/Star&gt;&lt;Tag&gt;0&lt;/Tag&gt;&lt;Author&gt;Alix-Panabieres, C; Pantel, K&lt;/Author&gt;&lt;Year&gt;2014&lt;/Year&gt;&lt;Details&gt;&lt;_accession_num&gt;25154812&lt;/_accession_num&gt;&lt;_author_adr&gt;1] University Medical Centre, Saint-Eloi Hospital, Institute of Medicine Regenerative &amp;amp;Biotherapy, Department of Cellular and Tissular Biopathology of Tumors, Laboratory of Rare Human Circulating Cells, 80 Avenue Augustin Fliche 34295 Montpellier Cedex 5, Montpellier, France. [2] University Institute of Clinical Research UM1 - EA2415 - Epidemiology, Biostatistics &amp;amp;Public Health, 641, Avenue du Doyen Gaston GIRAUD 34093 Montpellier Cedex 5, Montpellier, France.; Department of Tumor Biology, University Medical Center, Hamburg-Eppendorf, Martinistrasse 52, 20246 Hamburg, Germany.&lt;/_author_adr&gt;&lt;_collection_scope&gt;SCI;SCIE;&lt;/_collection_scope&gt;&lt;_created&gt;62395104&lt;/_created&gt;&lt;_date&gt;2014-09-01&lt;/_date&gt;&lt;_date_display&gt;2014 Sep&lt;/_date_display&gt;&lt;_doi&gt;10.1038/nrc3820&lt;/_doi&gt;&lt;_impact_factor&gt;  42.784&lt;/_impact_factor&gt;&lt;_isbn&gt;1474-1768 (Electronic); 1474-175X (Linking)&lt;/_isbn&gt;&lt;_issue&gt;9&lt;/_issue&gt;&lt;_journal&gt;Nat Rev Cancer&lt;/_journal&gt;&lt;_keywords&gt;Biomarkers, Tumor/*analysis; Humans; Neoplasm Proteins/analysis; *Neoplastic Cells, Circulating&lt;/_keywords&gt;&lt;_language&gt;eng&lt;/_language&gt;&lt;_modified&gt;62531884&lt;/_modified&gt;&lt;_pages&gt;623-31&lt;/_pages&gt;&lt;_tertiary_title&gt;Nature reviews. Cancer&lt;/_tertiary_title&gt;&lt;_type_work&gt;Research Support, Non-U.S. Gov&amp;apos;t; Review&lt;/_type_work&gt;&lt;_url&gt;http://www.ncbi.nlm.nih.gov/entrez/query.fcgi?cmd=Retrieve&amp;amp;db=pubmed&amp;amp;dopt=Abstract&amp;amp;list_uids=25154812&amp;amp;query_hl=1&lt;/_url&gt;&lt;_volume&gt;14&lt;/_volume&gt;&lt;/Details&gt;&lt;Extra&gt;&lt;DBUID&gt;{F96A950B-833F-4880-A151-76DA2D6A2879}&lt;/DBUID&gt;&lt;/Extra&gt;&lt;/Item&gt;&lt;/References&gt;&lt;/Group&gt;&lt;Group&gt;&lt;References&gt;&lt;Item&gt;&lt;ID&gt;401&lt;/ID&gt;&lt;UID&gt;{5C1DA9EA-E6D0-4B50-A4B2-092C2B4C812A}&lt;/UID&gt;&lt;Title&gt;Circulating Tumor Cells for Predicting the Prognostic of Patients with Hepatocellular Carcinoma: A Meta Analysis&lt;/Title&gt;&lt;Template&gt;Journal Article&lt;/Template&gt;&lt;Star&gt;0&lt;/Star&gt;&lt;Tag&gt;0&lt;/Tag&gt;&lt;Author&gt;Fan, J L; Yang, Y F; Yuan, C H; Chen, H; Wang, F B&lt;/Author&gt;&lt;Year&gt;2015&lt;/Year&gt;&lt;Details&gt;&lt;_accession_num&gt;26344495&lt;/_accession_num&gt;&lt;_collection_scope&gt;SCI;SCIE;&lt;/_collection_scope&gt;&lt;_created&gt;62395108&lt;/_created&gt;&lt;_date&gt;2015-01-20&lt;/_date&gt;&lt;_date_display&gt;2015&lt;/_date_display&gt;&lt;_doi&gt;10.1159/000430382&lt;/_doi&gt;&lt;_impact_factor&gt;   5.500&lt;/_impact_factor&gt;&lt;_isbn&gt;1421-9778 (Electronic); 1015-8987 (Linking)&lt;/_isbn&gt;&lt;_issue&gt;2&lt;/_issue&gt;&lt;_journal&gt;Cell Physiol Biochem&lt;/_journal&gt;&lt;_keywords&gt;Biomarkers, Tumor/blood/metabolism; Carcinoma, Hepatocellular/blood/metabolism/*pathology; Female; Humans; Liver Neoplasms/blood/metabolism/*pathology; Male; Neoplastic Cells, Circulating/*metabolism; Prognosis; Survival Analysis&lt;/_keywords&gt;&lt;_language&gt;eng&lt;/_language&gt;&lt;_modified&gt;62531884&lt;/_modified&gt;&lt;_pages&gt;629-40&lt;/_pages&gt;&lt;_tertiary_title&gt;Cellular physiology and biochemistry : international journal of experimental_x000d__x000a_      cellular physiology, biochemistry, and pharmacology&lt;/_tertiary_title&gt;&lt;_type_work&gt;Journal Article; Meta-Analysis; Research Support, Non-U.S. Gov&amp;apos;t&lt;/_type_work&gt;&lt;_url&gt;http://www.ncbi.nlm.nih.gov/entrez/query.fcgi?cmd=Retrieve&amp;amp;db=pubmed&amp;amp;dopt=Abstract&amp;amp;list_uids=26344495&amp;amp;query_hl=1&lt;/_url&gt;&lt;_volume&gt;37&lt;/_volume&gt;&lt;/Details&gt;&lt;Extra&gt;&lt;DBUID&gt;{F96A950B-833F-4880-A151-76DA2D6A2879}&lt;/DBUID&gt;&lt;/Extra&gt;&lt;/Item&gt;&lt;/References&gt;&lt;/Group&gt;&lt;/Citation&gt;_x000a_"/>
    <w:docVar w:name="NE.Ref{EB249E87-6B10-4900-85F9-53ED6F68A639}" w:val=" ADDIN NE.Ref.{EB249E87-6B10-4900-85F9-53ED6F68A639}&lt;Citation&gt;&lt;Group&gt;&lt;References&gt;&lt;Item&gt;&lt;ID&gt;437&lt;/ID&gt;&lt;UID&gt;{9CBAC71C-DDAC-4308-A352-96688E478179}&lt;/UID&gt;&lt;Title&gt;Looking back, to the future of circulating tumor cells&lt;/Title&gt;&lt;Template&gt;Journal Article&lt;/Template&gt;&lt;Star&gt;0&lt;/Star&gt;&lt;Tag&gt;0&lt;/Tag&gt;&lt;Author&gt;Friedlander, T W; Premasekharan, G; Paris, P L&lt;/Author&gt;&lt;Year&gt;2014&lt;/Year&gt;&lt;Details&gt;&lt;_accession_num&gt;24362084&lt;/_accession_num&gt;&lt;_author_adr&gt;Division of Hematology &amp;amp; Medical Oncology, Helen Diller Family Comprehensive Cancer Center, University of California, San Francisco, California, United States. Electronic address: terence.friedlander@ucsf.edu.; Department of Urology, Helen Diller Family Comprehensive Cancer Center, University of California, San Francisco, California, United States.; Department of Urology, Helen Diller Family Comprehensive Cancer Center, University of California, San Francisco, California, United States.&lt;/_author_adr&gt;&lt;_created&gt;62406609&lt;/_created&gt;&lt;_date&gt;2014-06-01&lt;/_date&gt;&lt;_date_display&gt;2014 Jun&lt;/_date_display&gt;&lt;_doi&gt;10.1016/j.pharmthera.2013.12.011&lt;/_doi&gt;&lt;_impact_factor&gt;  10.376&lt;/_impact_factor&gt;&lt;_isbn&gt;1879-016X (Electronic); 0163-7258 (Linking)&lt;/_isbn&gt;&lt;_issue&gt;3&lt;/_issue&gt;&lt;_journal&gt;Pharmacol Ther&lt;/_journal&gt;&lt;_keywords&gt;Animals; Biomarkers, Tumor; Cell Count; Cell Culture Techniques; Cell Separation; Clinical Trials as Topic; Epithelial-Mesenchymal Transition; Humans; *Neoplastic Cells, CirculatingCellSearch; Circulating tumor cells; EpCAM; Epithelial to mesenchymal transition; Stem-cells&lt;/_keywords&gt;&lt;_language&gt;eng&lt;/_language&gt;&lt;_modified&gt;62531943&lt;/_modified&gt;&lt;_ori_publication&gt;Copyright (c) 2013 Elsevier Inc. All rights reserved.&lt;/_ori_publication&gt;&lt;_pages&gt;271-80&lt;/_pages&gt;&lt;_tertiary_title&gt;Pharmacology &amp;amp; therapeutics&lt;/_tertiary_title&gt;&lt;_type_work&gt;Journal Article; Review&lt;/_type_work&gt;&lt;_url&gt;http://www.ncbi.nlm.nih.gov/entrez/query.fcgi?cmd=Retrieve&amp;amp;db=pubmed&amp;amp;dopt=Abstract&amp;amp;list_uids=24362084&amp;amp;query_hl=1&lt;/_url&gt;&lt;_volume&gt;142&lt;/_volume&gt;&lt;/Details&gt;&lt;Extra&gt;&lt;DBUID&gt;{F96A950B-833F-4880-A151-76DA2D6A2879}&lt;/DBUID&gt;&lt;/Extra&gt;&lt;/Item&gt;&lt;/References&gt;&lt;/Group&gt;&lt;Group&gt;&lt;References&gt;&lt;Item&gt;&lt;ID&gt;438&lt;/ID&gt;&lt;UID&gt;{83E11367-3278-4283-B176-B6BDB4EE0D39}&lt;/UID&gt;&lt;Title&gt;Circulating tumor cells: advances in isolation and analysis, and challenges for clinical applications&lt;/Title&gt;&lt;Template&gt;Journal Article&lt;/Template&gt;&lt;Star&gt;0&lt;/Star&gt;&lt;Tag&gt;0&lt;/Tag&gt;&lt;Author&gt;Harouaka, R; Kang, Z; Zheng, S Y; Cao, L&lt;/Author&gt;&lt;Year&gt;2014&lt;/Year&gt;&lt;Details&gt;&lt;_accession_num&gt;24134902&lt;/_accession_num&gt;&lt;_author_adr&gt;Department of Bioengineering, Penn State University, University Park, PA, USA.; Genetics Branch, Center for Cancer Research, National Cancer Institute, Bethesda, MD, USA.; Department of Bioengineering, Penn State University, University Park, PA, USA.; Genetics Branch, Center for Cancer Research, National Cancer Institute, Bethesda, MD, USA. Electronic address: caoli@mail.nih.gov.&lt;/_author_adr&gt;&lt;_created&gt;62406610&lt;/_created&gt;&lt;_date&gt;2014-02-01&lt;/_date&gt;&lt;_date_display&gt;2014 Feb&lt;/_date_display&gt;&lt;_doi&gt;10.1016/j.pharmthera.2013.10.004&lt;/_doi&gt;&lt;_impact_factor&gt;  10.376&lt;/_impact_factor&gt;&lt;_isbn&gt;1879-016X (Electronic); 0163-7258 (Linking)&lt;/_isbn&gt;&lt;_issue&gt;2&lt;/_issue&gt;&lt;_journal&gt;Pharmacol Ther&lt;/_journal&gt;&lt;_keywords&gt;Biomarkers, Tumor; Humans; Neoplasms/*diagnosis; *Neoplastic Cells, Circulating; PrognosisAR; CK; CTC; Cancer biomarker; Circulating tumor cells; DEP; EGFR; EMT; ER; EpCAM; FDA; FISH; HER2; IF; ISET; PR; PSA; PSMA; Predictive biomarker; Prognostic biomarker; RT-PCR; US Food and Drug Administration; androgen receptor; circulating tumor cell; cytokeratin; dielectrophoresis; epidermal growth factor receptor; epithelial cell adhesion molecule; epithelial-mesenchymal transition; estrogen receptor; fluorescence in situ hybridization; human epidermal growth factor receptor 2; immunofluorescence; isolation by size of epithelial tumor cells technique; plasma tumor DNA; progesterone receptor; prostate specific antigen; prostate-specific membrane antigen; ptDNA; reverse transcription polymerase chain reaction&lt;/_keywords&gt;&lt;_language&gt;eng&lt;/_language&gt;&lt;_modified&gt;62531943&lt;/_modified&gt;&lt;_ori_publication&gt;Published by Elsevier Inc.&lt;/_ori_publication&gt;&lt;_pages&gt;209-21&lt;/_pages&gt;&lt;_tertiary_title&gt;Pharmacology &amp;amp; therapeutics&lt;/_tertiary_title&gt;&lt;_type_work&gt;Journal Article; Research Support, N.I.H., Extramural; Review&lt;/_type_work&gt;&lt;_url&gt;http://www.ncbi.nlm.nih.gov/entrez/query.fcgi?cmd=Retrieve&amp;amp;db=pubmed&amp;amp;dopt=Abstract&amp;amp;list_uids=24134902&amp;amp;query_hl=1&lt;/_url&gt;&lt;_volume&gt;141&lt;/_volume&gt;&lt;/Details&gt;&lt;Extra&gt;&lt;DBUID&gt;{F96A950B-833F-4880-A151-76DA2D6A2879}&lt;/DBUID&gt;&lt;/Extra&gt;&lt;/Item&gt;&lt;/References&gt;&lt;/Group&gt;&lt;/Citation&gt;_x000a_"/>
    <w:docVar w:name="NE.Ref{ED5320E2-3410-43FD-8FF2-763F93F38471}" w:val=" ADDIN NE.Ref.{ED5320E2-3410-43FD-8FF2-763F93F38471}&lt;Citation&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Citation&gt;_x000a_"/>
    <w:docVar w:name="NE.Ref{F410FF84-D3CA-4C23-AF50-6CE49D8BE1CB}" w:val=" ADDIN NE.Ref.{F410FF84-D3CA-4C23-AF50-6CE49D8BE1CB}&lt;Citation&gt;&lt;Group&gt;&lt;References&gt;&lt;Item&gt;&lt;ID&gt;407&lt;/ID&gt;&lt;UID&gt;{8D01AA02-A42A-4E30-A820-F038E65E4DE7}&lt;/UID&gt;&lt;Title&gt;Circulating Tumor Cells as a Biomarker in Pancreatic Ductal Adenocarcinoma&lt;/Title&gt;&lt;Template&gt;Journal Article&lt;/Template&gt;&lt;Star&gt;0&lt;/Star&gt;&lt;Tag&gt;0&lt;/Tag&gt;&lt;Author&gt;Liu, H; Sun, B; Wang, S; Liu, C; Lu, Y; Li, D; Liu, X&lt;/Author&gt;&lt;Year&gt;2017&lt;/Year&gt;&lt;Details&gt;&lt;_accession_num&gt;28558380&lt;/_accession_num&gt;&lt;_author_adr&gt;Department of Nuclear Medicine, Huashan Hospital, Fudan University, Shanghai, China.; Department of General Surgery,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lt;/_author_adr&gt;&lt;_collection_scope&gt;SCI;SCIE;&lt;/_collection_scope&gt;&lt;_created&gt;62395130&lt;/_created&gt;&lt;_date&gt;2017-01-20&lt;/_date&gt;&lt;_date_display&gt;2017&lt;/_date_display&gt;&lt;_doi&gt;10.1159/000477481&lt;/_doi&gt;&lt;_impact_factor&gt;   5.500&lt;/_impact_factor&gt;&lt;_isbn&gt;1421-9778 (Electronic); 1015-8987 (Linking)&lt;/_isbn&gt;&lt;_issue&gt;1&lt;/_issue&gt;&lt;_journal&gt;Cell Physiol Biochem&lt;/_journal&gt;&lt;_keywords&gt;Aged; Antigens, Tumor-Associated, Carbohydrate/blood; Area Under Curve; Biomarkers, Tumor/*metabolism; Carcinoma, Pancreatic Ductal/*diagnosis/metabolism/pathology; Case-Control Studies; Chromosomes, Human, Pair 8/genetics; Female; Humans; In Situ Hybridization, Fluorescence; Leukocyte Common Antigens/metabolism; Luminescent Measurements; Male; Middle Aged; Neoplastic Cells, Circulating/*metabolism; Pancreatic Neoplasms/*diagnosis/metabolism/pathology; ROC Curve; Tetraploidy; TriploidyAneuploidy; Biomarker; Circulating tumor cells; Pancreatic cancer&lt;/_keywords&gt;&lt;_language&gt;eng&lt;/_language&gt;&lt;_modified&gt;62531911&lt;/_modified&gt;&lt;_ori_publication&gt;(c) 2017 The Author(s). Published by S. Karger AG, Basel.&lt;/_ori_publication&gt;&lt;_pages&gt;373-382&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28558380&amp;amp;query_hl=1&lt;/_url&gt;&lt;_volume&gt;42&lt;/_volume&gt;&lt;/Details&gt;&lt;Extra&gt;&lt;DBUID&gt;{F96A950B-833F-4880-A151-76DA2D6A2879}&lt;/DBUID&gt;&lt;/Extra&gt;&lt;/Item&gt;&lt;/References&gt;&lt;/Group&gt;&lt;Group&gt;&lt;References&gt;&lt;Item&gt;&lt;ID&gt;408&lt;/ID&gt;&lt;UID&gt;{F6E4BF60-3482-47A1-8A1F-4E0863FCFF72}&lt;/UID&gt;&lt;Title&gt;Circulating Tumor Cells Predict Occult Metastatic Disease and Prognosis in Pancreatic Cancer&lt;/Title&gt;&lt;Template&gt;Journal Article&lt;/Template&gt;&lt;Star&gt;0&lt;/Star&gt;&lt;Tag&gt;0&lt;/Tag&gt;&lt;Author&gt;Court, C M; Ankeny, J S; Sho, S; Winograd, P; Hou, S; Song, M; Wainberg, Z A; Girgis, M D; Graeber, T G; Agopian, V G; Tseng, H R; Tomlinson, J S&lt;/Author&gt;&lt;Year&gt;2018&lt;/Year&gt;&lt;Details&gt;&lt;_accession_num&gt;29442211&lt;/_accession_num&gt;&lt;_author_adr&gt;Department of Surgery, University of California Los Angeles, Los Angeles, CA, USA.; Department of Surgery, Veteran&amp;apos;s Health Administration, Los Angeles, CA, USA.; Department of Molecular, Cellular, and Integrative Physiology, University of California Los Angeles, Los Angeles, CA, USA.; Department of Surgery, University of California Los Angeles, Los Angeles, CA, USA.; Department of Surgery, Veteran&amp;apos;s Health Administration, Los Angeles, CA, USA.; Department of Surgery, University of California Los Angeles, Los Angeles, CA, USA.; Department of Surgery, Veteran&amp;apos;s Health Administration, Los Angeles, CA, USA.; Department of Surgery, University of California Los Angeles, Los Angeles, CA, USA.; Department of Surgery, Veteran&amp;apos;s Health Administration, Los Angeles, CA, USA.; Department of Surgery, University of California Los Angeles, Los Angeles, CA, USA.; Department of Molecular and Medical Pharmacology, University of California Los Angeles, Los Angeles, CA, USA.; Department of Molecular and Medical Pharmacology, University of California Los Angeles, Los Angeles, CA, USA.; Department of Hematology/Oncology, University of California Los Angeles, Los Angeles, CA, USA.; Department of Surgery, University of California Los Angeles, Los Angeles, CA, USA.; Department of Molecular, Cellular, and Integrative Physiology, University of California Los Angeles, Los Angeles, CA, USA.; Department of Molecular and Medical Pharmacology, University of California Los Angeles, Los Angeles, CA, USA.; Department of Surgery, University of California Los Angeles, Los Angeles, CA, USA.; Department of Molecular and Medical Pharmacology, University of California Los Angeles, Los Angeles, CA, USA.; Department of Surgery, University of California Los Angeles, Los Angeles, CA, USA. jtomlinson@mednet.ucla.edu.; Department of Surgery, Veteran&amp;apos;s Health Administration, Los Angeles, CA, USA. jtomlinson@mednet.ucla.edu.; California NanoSystems Institute (CNSI), University of California Los Angeles, Los Angeles, CA, USA. jtomlinson@mednet.ucla.edu.&lt;/_author_adr&gt;&lt;_collection_scope&gt;SCI;SCIE;&lt;/_collection_scope&gt;&lt;_created&gt;62395132&lt;/_created&gt;&lt;_date&gt;2018-04-01&lt;/_date&gt;&lt;_date_display&gt;2018 Apr&lt;/_date_display&gt;&lt;_doi&gt;10.1245/s10434-017-6290-8&lt;/_doi&gt;&lt;_impact_factor&gt;   3.857&lt;/_impact_factor&gt;&lt;_isbn&gt;1534-4681 (Electronic); 1068-9265 (Linking)&lt;/_isbn&gt;&lt;_issue&gt;4&lt;/_issue&gt;&lt;_journal&gt;Ann Surg Oncol&lt;/_journal&gt;&lt;_language&gt;eng&lt;/_language&gt;&lt;_modified&gt;62531912&lt;/_modified&gt;&lt;_pages&gt;1000-1008&lt;/_pages&gt;&lt;_tertiary_title&gt;Annals of surgical oncology&lt;/_tertiary_title&gt;&lt;_type_work&gt;Journal Article&lt;/_type_work&gt;&lt;_url&gt;http://www.ncbi.nlm.nih.gov/entrez/query.fcgi?cmd=Retrieve&amp;amp;db=pubmed&amp;amp;dopt=Abstract&amp;amp;list_uids=29442211&amp;amp;query_hl=1&lt;/_url&gt;&lt;_volume&gt;25&lt;/_volume&gt;&lt;/Details&gt;&lt;Extra&gt;&lt;DBUID&gt;{F96A950B-833F-4880-A151-76DA2D6A2879}&lt;/DBUID&gt;&lt;/Extra&gt;&lt;/Item&gt;&lt;/References&gt;&lt;/Group&gt;&lt;/Citation&gt;_x000a_"/>
    <w:docVar w:name="NE.Ref{F4F21D8A-1021-4DA9-A79F-8416D9B87F67}" w:val=" ADDIN NE.Ref.{F4F21D8A-1021-4DA9-A79F-8416D9B87F67}&lt;Citation&gt;&lt;Group&gt;&lt;References&gt;&lt;Item&gt;&lt;ID&gt;426&lt;/ID&gt;&lt;UID&gt;{74A3B92F-B84E-403A-8849-E6DB2C2575A6}&lt;/UID&gt;&lt;Title&gt;Discovering the route from inflammation to pancreatic cancer&lt;/Title&gt;&lt;Template&gt;Journal Article&lt;/Template&gt;&lt;Star&gt;0&lt;/Star&gt;&lt;Tag&gt;0&lt;/Tag&gt;&lt;Author&gt;Momi, N; Kaur, S; Krishn, S R; Batra, S K&lt;/Author&gt;&lt;Year&gt;2012&lt;/Year&gt;&lt;Details&gt;&lt;_accession_num&gt;23207606&lt;/_accession_num&gt;&lt;_author_adr&gt;Department of Biochemistry and Molecular Biology, University of Nebraska Medical  Center, Omaha, NE, USA.&lt;/_author_adr&gt;&lt;_created&gt;62406568&lt;/_created&gt;&lt;_date&gt;2012-12-01&lt;/_date&gt;&lt;_date_display&gt;2012 Dec&lt;/_date_display&gt;&lt;_isbn&gt;1121-421X (Print); 1121-421X (Linking)&lt;/_isbn&gt;&lt;_issue&gt;4&lt;/_issue&gt;&lt;_journal&gt;Minerva Gastroenterol Dietol&lt;/_journal&gt;&lt;_keywords&gt;Alcohol Drinking/*adverse effects; Biomarkers/blood; Body Mass Index; Chemokines/*blood; Diabetes Complications/physiopathology; Early Diagnosis; Feeding Behavior; Humans; Immunity, Innate; Inflammation/complications; Obesity/complications; Pancreatic Neoplasms/blood/*diagnosis/*etiology/immunology/mortality/therapy; Pancreatitis, Chronic/blood/*complications; Prognosis; Receptors, Vascular Endothelial Growth Factor/blood; Risk Factors; Smoking/*adverse effects&lt;/_keywords&gt;&lt;_language&gt;eng&lt;/_language&gt;&lt;_modified&gt;62406576&lt;/_modified&gt;&lt;_pages&gt;283-97&lt;/_pages&gt;&lt;_tertiary_title&gt;Minerva gastroenterologica e dietologica&lt;/_tertiary_title&gt;&lt;_type_work&gt;Journal Article; Research Support, N.I.H., Extramural; Review&lt;/_type_work&gt;&lt;_url&gt;http://www.ncbi.nlm.nih.gov/entrez/query.fcgi?cmd=Retrieve&amp;amp;db=pubmed&amp;amp;dopt=Abstract&amp;amp;list_uids=23207606&amp;amp;query_hl=1&lt;/_url&gt;&lt;_volume&gt;58&lt;/_volume&gt;&lt;/Details&gt;&lt;Extra&gt;&lt;DBUID&gt;{F96A950B-833F-4880-A151-76DA2D6A2879}&lt;/DBUID&gt;&lt;/Extra&gt;&lt;/Item&gt;&lt;/References&gt;&lt;/Group&gt;&lt;Group&gt;&lt;References&gt;&lt;Item&gt;&lt;ID&gt;427&lt;/ID&gt;&lt;UID&gt;{A0D11537-9F1F-46AF-B9C7-3F7C70BAE551}&lt;/UID&gt;&lt;Title&gt;Chronic inflammation induces a novel epigenetic program that is conserved in intestinal adenomas and in colorectal cancer&lt;/Title&gt;&lt;Template&gt;Journal Article&lt;/Template&gt;&lt;Star&gt;0&lt;/Star&gt;&lt;Tag&gt;0&lt;/Tag&gt;&lt;Author&gt;Abu-Remaileh, M; Bender, S; Raddatz, G; Ansari, I; Cohen, D; Gutekunst, J; Musch, T; Linhart, H; Breiling, A; Pikarsky, E; Bergman, Y; Lyko, F&lt;/Author&gt;&lt;Year&gt;2015&lt;/Year&gt;&lt;Details&gt;&lt;_accession_num&gt;25808873&lt;/_accession_num&gt;&lt;_author_adr&gt;Department of Developmental Biology and Cancer Research, Institute for Medical Research Israel-Canada, Hebrew University Medical School, Jerusalem, Israel.; Division of Epigenetics, DKFZ-ZMBH Alliance, German Cancer Research Center, Heidelberg, Germany.; Division of Epigenetics, DKFZ-ZMBH Alliance, German Cancer Research Center, Heidelberg, Germany.; Department of Developmental Biology and Cancer Research, Institute for Medical Research Israel-Canada, Hebrew University Medical School, Jerusalem, Israel.; Department of Developmental Biology and Cancer Research, Institute for Medical Research Israel-Canada, Hebrew University Medical School, Jerusalem, Israel.; Division of Epigenetics, DKFZ-ZMBH Alliance, German Cancer Research Center, Heidelberg, Germany.; Division of Epigenetics, DKFZ-ZMBH Alliance, German Cancer Research Center, Heidelberg, Germany.; Division of Epigenetics, DKFZ-ZMBH Alliance, German Cancer Research Center, Heidelberg, Germany. Salem Medical Center, University of Heidelberg, Heidelberg,  Germany. Department of Hematology/Oncology, University of Heidelberg Medical Center, Heidelberg, Germany.; Division of Epigenetics, DKFZ-ZMBH Alliance, German Cancer Research Center, Heidelberg, Germany.; The Lautenberg Center for Immunology, Institute for Medical Research Israel-Canada, Hebrew University Medical School, Jerusalem, Israel.; Department of Developmental Biology and Cancer Research, Institute for Medical Research Israel-Canada, Hebrew University Medical School, Jerusalem, Israel. f.lyko@dkfz.de yehuditb@ekmd.huji.ac.il.; Division of Epigenetics, DKFZ-ZMBH Alliance, German Cancer Research Center, Heidelberg, Germany. f.lyko@dkfz.de yehuditb@ekmd.huji.ac.il.&lt;/_author_adr&gt;&lt;_collection_scope&gt;SCI;SCIE;&lt;/_collection_scope&gt;&lt;_created&gt;62406569&lt;/_created&gt;&lt;_date&gt;2015-05-15&lt;/_date&gt;&lt;_date_display&gt;2015 May 15&lt;/_date_display&gt;&lt;_doi&gt;10.1158/0008-5472.CAN-14-3295&lt;/_doi&gt;&lt;_impact_factor&gt;   9.130&lt;/_impact_factor&gt;&lt;_isbn&gt;1538-7445 (Electronic); 0008-5472 (Linking)&lt;/_isbn&gt;&lt;_issue&gt;10&lt;/_issue&gt;&lt;_journal&gt;Cancer Res&lt;/_journal&gt;&lt;_keywords&gt;Adenocarcinoma/*genetics/immunology/metabolism; Adenoma/*genetics/immunology/metabolism; Animals; Colitis/*genetics/metabolism; Colorectal Neoplasms/*genetics/immunology/metabolism; DNA Methylation; Epigenesis, Genetic; Female; Gene Expression; Gene Expression Regulation, Neoplastic; Humans; Male; Mice, Inbred C57BL&lt;/_keywords&gt;&lt;_language&gt;eng&lt;/_language&gt;&lt;_modified&gt;62406581&lt;/_modified&gt;&lt;_ori_publication&gt;(c)2015 American Association for Cancer Research.&lt;/_ori_publication&gt;&lt;_pages&gt;2120-30&lt;/_pages&gt;&lt;_tertiary_title&gt;Cancer research&lt;/_tertiary_title&gt;&lt;_type_work&gt;Journal Article; Research Support, Non-U.S. Gov&amp;apos;t&lt;/_type_work&gt;&lt;_url&gt;http://www.ncbi.nlm.nih.gov/entrez/query.fcgi?cmd=Retrieve&amp;amp;db=pubmed&amp;amp;dopt=Abstract&amp;amp;list_uids=25808873&amp;amp;query_hl=1&lt;/_url&gt;&lt;_volume&gt;75&lt;/_volume&gt;&lt;/Details&gt;&lt;Extra&gt;&lt;DBUID&gt;{F96A950B-833F-4880-A151-76DA2D6A2879}&lt;/DBUID&gt;&lt;/Extra&gt;&lt;/Item&gt;&lt;/References&gt;&lt;/Group&gt;&lt;Group&gt;&lt;References&gt;&lt;Item&gt;&lt;ID&gt;428&lt;/ID&gt;&lt;UID&gt;{5D3C0D60-34BB-40FE-8BDE-7D2802AC8620}&lt;/UID&gt;&lt;Title&gt;Role of Chemokines in Non-Small Cell Lung Cancer: Angiogenesis and Inflammation&lt;/Title&gt;&lt;Template&gt;Journal Article&lt;/Template&gt;&lt;Star&gt;0&lt;/Star&gt;&lt;Tag&gt;0&lt;/Tag&gt;&lt;Author&gt;Rivas-Fuentes, S; Salgado-Aguayo, A; Pertuz, Belloso S; Gorocica, Rosete P; Alvarado-Vasquez, N; Aquino-Jarquin, G&lt;/Author&gt;&lt;Year&gt;2015&lt;/Year&gt;&lt;Details&gt;&lt;_accession_num&gt;26316890&lt;/_accession_num&gt;&lt;_author_adr&gt;1. Department of Biochemistry Research, National Institute of Respiratory Diseases &amp;quot;Ismael Cosio Villegas&amp;quot;, Mexico City, Mexico.; 2. Laboratory of Research on Rheumatic Diseases, National Institute of Respiratory Diseases &amp;quot;Ismael Cosio Villegas&amp;quot;, Mexico City, Mexico.; 3. Department of Comparative Biology, Faculty of Sciences, National Autonomous University of Mexico, Mexico City, Mexico.; 1. Department of Biochemistry Research, National Institute of Respiratory Diseases &amp;quot;Ismael Cosio Villegas&amp;quot;, Mexico City, Mexico.; 1. Department of Biochemistry Research, National Institute of Respiratory Diseases &amp;quot;Ismael Cosio Villegas&amp;quot;, Mexico City, Mexico.; 4. Laboratory of Research on Genomics, Genetics and Bioinformatics. Tower of Haemato-oncology, Children s Hospital of Mexico &amp;quot;Federico Gomez&amp;quot;, Mexico City, Mexico.&lt;/_author_adr&gt;&lt;_collection_scope&gt;SCIE;&lt;/_collection_scope&gt;&lt;_created&gt;62406571&lt;/_created&gt;&lt;_date&gt;2015-01-20&lt;/_date&gt;&lt;_date_display&gt;2015&lt;/_date_display&gt;&lt;_doi&gt;10.7150/jca.12286&lt;/_doi&gt;&lt;_impact_factor&gt;   3.249&lt;/_impact_factor&gt;&lt;_isbn&gt;1837-9664 (Print); 1837-9664 (Linking)&lt;/_isbn&gt;&lt;_issue&gt;10&lt;/_issue&gt;&lt;_journal&gt;J Cancer&lt;/_journal&gt;&lt;_keywords&gt;Chemokines; angiogenesis; cytokines; inflammation; non-small cell lung cancer.&lt;/_keywords&gt;&lt;_language&gt;eng&lt;/_language&gt;&lt;_modified&gt;62406581&lt;/_modified&gt;&lt;_pages&gt;938-52&lt;/_pages&gt;&lt;_tertiary_title&gt;Journal of Cancer&lt;/_tertiary_title&gt;&lt;_type_work&gt;Journal Article; Review&lt;/_type_work&gt;&lt;_url&gt;http://www.ncbi.nlm.nih.gov/entrez/query.fcgi?cmd=Retrieve&amp;amp;db=pubmed&amp;amp;dopt=Abstract&amp;amp;list_uids=26316890&amp;amp;query_hl=1&lt;/_url&gt;&lt;_volume&gt;6&lt;/_volume&gt;&lt;/Details&gt;&lt;Extra&gt;&lt;DBUID&gt;{F96A950B-833F-4880-A151-76DA2D6A2879}&lt;/DBUID&gt;&lt;/Extra&gt;&lt;/Item&gt;&lt;/References&gt;&lt;/Group&gt;&lt;Group&gt;&lt;References&gt;&lt;Item&gt;&lt;ID&gt;430&lt;/ID&gt;&lt;UID&gt;{E6F30F6D-CB7D-4B8F-ADEC-59EF04FD3DFA}&lt;/UID&gt;&lt;Title&gt;Pancreatic ductal adenocarcinoma: risk factors, screening, and early detection&lt;/Title&gt;&lt;Template&gt;Journal Article&lt;/Template&gt;&lt;Star&gt;0&lt;/Star&gt;&lt;Tag&gt;0&lt;/Tag&gt;&lt;Author&gt;Becker, A E; Hernandez, Y G; Frucht, H; Lucas, A L&lt;/Author&gt;&lt;Year&gt;2014&lt;/Year&gt;&lt;Details&gt;&lt;_accession_num&gt;25170203&lt;/_accession_num&gt;&lt;_author_adr&gt;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lt;/_author_adr&gt;&lt;_created&gt;62406579&lt;/_created&gt;&lt;_date&gt;2014-08-28&lt;/_date&gt;&lt;_date_display&gt;2014 Aug 28&lt;/_date_display&gt;&lt;_doi&gt;10.3748/wjg.v20.i32.11182&lt;/_doi&gt;&lt;_impact_factor&gt;   3.300&lt;/_impact_factor&gt;&lt;_isbn&gt;2219-2840 (Electronic); 1007-9327 (Linking)&lt;/_isbn&gt;&lt;_issue&gt;32&lt;/_issue&gt;&lt;_journal&gt;World J Gastroenterol&lt;/_journal&gt;&lt;_keywords&gt;Biomarkers, Tumor/genetics; Carcinoma, Pancreatic Ductal/*diagnosis/epidemiology/genetics; Comorbidity; *Early Detection of Cancer/methods; Genetic Predisposition to Disease; Humans; Life Style; Pancreatic Neoplasms/*diagnosis/epidemiology/genetics; Predictive Value of Tests; Risk Assessment; Risk FactorsBRCA; Genetic predisposition to disease; Hereditary breast and ovarian cancer syndrome; Lynch syndrome; PALB2; Pancreas cancer screening; Pancreatic neoplasms; Pancreatitis; Peutz-Jeghers; p16&lt;/_keywords&gt;&lt;_language&gt;eng&lt;/_language&gt;&lt;_modified&gt;62406588&lt;/_modified&gt;&lt;_pages&gt;11182-98&lt;/_pages&gt;&lt;_tertiary_title&gt;World journal of gastroenterology&lt;/_tertiary_title&gt;&lt;_type_work&gt;Journal Article; Review&lt;/_type_work&gt;&lt;_url&gt;http://www.ncbi.nlm.nih.gov/entrez/query.fcgi?cmd=Retrieve&amp;amp;db=pubmed&amp;amp;dopt=Abstract&amp;amp;list_uids=25170203&amp;amp;query_hl=1&lt;/_url&gt;&lt;_volume&gt;20&lt;/_volume&gt;&lt;/Details&gt;&lt;Extra&gt;&lt;DBUID&gt;{F96A950B-833F-4880-A151-76DA2D6A2879}&lt;/DBUID&gt;&lt;/Extra&gt;&lt;/Item&gt;&lt;/References&gt;&lt;/Group&gt;&lt;/Citation&gt;_x000a_"/>
    <w:docVar w:name="NE.Ref{F9FC4539-6CBE-4EFB-8D81-50A00476E2D3}" w:val=" ADDIN NE.Ref.{F9FC4539-6CBE-4EFB-8D81-50A00476E2D3}&lt;Citation&gt;&lt;Group&gt;&lt;References&gt;&lt;Item&gt;&lt;ID&gt;415&lt;/ID&gt;&lt;UID&gt;{43494663-1868-4B44-8BF3-02658239A3F6}&lt;/UID&gt;&lt;Title&gt;Preoperative/neoadjuvant therapy in pancreatic cancer: a systematic review and meta-analysis of response and resection percentages&lt;/Title&gt;&lt;Template&gt;Journal Article&lt;/Template&gt;&lt;Star&gt;0&lt;/Star&gt;&lt;Tag&gt;0&lt;/Tag&gt;&lt;Author&gt;Gillen, S; Schuster, T; Meyer, Zum Buschenfelde C; Friess, H; Kleeff, J&lt;/Author&gt;&lt;Year&gt;2010&lt;/Year&gt;&lt;Details&gt;&lt;_accession_num&gt;20422030&lt;/_accession_num&gt;&lt;_author_adr&gt;Department of Surgery, Technische Universitat Munchen, Munich, Germany.&lt;/_author_adr&gt;&lt;_collection_scope&gt;SCIE;&lt;/_collection_scope&gt;&lt;_created&gt;62395951&lt;/_created&gt;&lt;_date&gt;2010-04-20&lt;/_date&gt;&lt;_date_display&gt;2010 Apr 20&lt;/_date_display&gt;&lt;_doi&gt;10.1371/journal.pmed.1000267&lt;/_doi&gt;&lt;_impact_factor&gt;  11.675&lt;/_impact_factor&gt;&lt;_isbn&gt;1549-1676 (Electronic); 1549-1277 (Linking)&lt;/_isbn&gt;&lt;_issue&gt;4&lt;/_issue&gt;&lt;_journal&gt;PLoS Med&lt;/_journal&gt;&lt;_keywords&gt;Antineoplastic Agents/therapeutic use; Humans; Neoadjuvant Therapy/*methods; Pancreatic Neoplasms/surgery/*therapy; Preoperative Care; Treatment Outcome&lt;/_keywords&gt;&lt;_language&gt;eng&lt;/_language&gt;&lt;_modified&gt;62406603&lt;/_modified&gt;&lt;_pages&gt;e1000267&lt;/_pages&gt;&lt;_tertiary_title&gt;PLoS medicine&lt;/_tertiary_title&gt;&lt;_type_work&gt;Journal Article; Meta-Analysis; Review&lt;/_type_work&gt;&lt;_url&gt;http://www.ncbi.nlm.nih.gov/entrez/query.fcgi?cmd=Retrieve&amp;amp;db=pubmed&amp;amp;dopt=Abstract&amp;amp;list_uids=20422030&amp;amp;query_hl=1&lt;/_url&gt;&lt;_volume&gt;7&lt;/_volume&gt;&lt;/Details&gt;&lt;Extra&gt;&lt;DBUID&gt;{F96A950B-833F-4880-A151-76DA2D6A2879}&lt;/DBUID&gt;&lt;/Extra&gt;&lt;/Item&gt;&lt;/References&gt;&lt;/Group&gt;&lt;/Citation&gt;_x000a_"/>
    <w:docVar w:name="ne_docsoft" w:val="MSWord"/>
    <w:docVar w:name="ne_docversion" w:val="NoteExpress 2.0"/>
    <w:docVar w:name="ne_stylename" w:val="World J Gastroenterology"/>
  </w:docVars>
  <w:rsids>
    <w:rsidRoot w:val="00172A27"/>
    <w:rsid w:val="0000337F"/>
    <w:rsid w:val="000049E8"/>
    <w:rsid w:val="00031EE6"/>
    <w:rsid w:val="00062CD0"/>
    <w:rsid w:val="000B43FC"/>
    <w:rsid w:val="000C157B"/>
    <w:rsid w:val="000C63FD"/>
    <w:rsid w:val="000D3A76"/>
    <w:rsid w:val="000D6BDC"/>
    <w:rsid w:val="000F66AE"/>
    <w:rsid w:val="00105D81"/>
    <w:rsid w:val="00110A2B"/>
    <w:rsid w:val="001316D9"/>
    <w:rsid w:val="00147912"/>
    <w:rsid w:val="00172A27"/>
    <w:rsid w:val="00176057"/>
    <w:rsid w:val="00202219"/>
    <w:rsid w:val="002053EF"/>
    <w:rsid w:val="002140B6"/>
    <w:rsid w:val="00226AB8"/>
    <w:rsid w:val="00227E1A"/>
    <w:rsid w:val="002336D5"/>
    <w:rsid w:val="00233FF1"/>
    <w:rsid w:val="00246DC5"/>
    <w:rsid w:val="002544C3"/>
    <w:rsid w:val="00265B74"/>
    <w:rsid w:val="00275D1E"/>
    <w:rsid w:val="00276F86"/>
    <w:rsid w:val="00297064"/>
    <w:rsid w:val="002B2159"/>
    <w:rsid w:val="002D2281"/>
    <w:rsid w:val="002E4C34"/>
    <w:rsid w:val="002F5668"/>
    <w:rsid w:val="00306699"/>
    <w:rsid w:val="003431C1"/>
    <w:rsid w:val="00355BF3"/>
    <w:rsid w:val="00355C52"/>
    <w:rsid w:val="00370365"/>
    <w:rsid w:val="00371D71"/>
    <w:rsid w:val="0037260D"/>
    <w:rsid w:val="00391CB5"/>
    <w:rsid w:val="003B53CA"/>
    <w:rsid w:val="003C2886"/>
    <w:rsid w:val="003D5B8D"/>
    <w:rsid w:val="003E4DA5"/>
    <w:rsid w:val="003E5885"/>
    <w:rsid w:val="00401225"/>
    <w:rsid w:val="0042061B"/>
    <w:rsid w:val="00421A66"/>
    <w:rsid w:val="00443BA8"/>
    <w:rsid w:val="00455E75"/>
    <w:rsid w:val="00490943"/>
    <w:rsid w:val="00493690"/>
    <w:rsid w:val="00497017"/>
    <w:rsid w:val="004D0D9C"/>
    <w:rsid w:val="004E74E7"/>
    <w:rsid w:val="004F44AB"/>
    <w:rsid w:val="00533F3E"/>
    <w:rsid w:val="00560D29"/>
    <w:rsid w:val="005764B3"/>
    <w:rsid w:val="00591642"/>
    <w:rsid w:val="005A2FB0"/>
    <w:rsid w:val="005B6BE6"/>
    <w:rsid w:val="005C6092"/>
    <w:rsid w:val="0060482F"/>
    <w:rsid w:val="0061126B"/>
    <w:rsid w:val="00634CFA"/>
    <w:rsid w:val="006365BA"/>
    <w:rsid w:val="00647251"/>
    <w:rsid w:val="006534C4"/>
    <w:rsid w:val="006D769F"/>
    <w:rsid w:val="006E3720"/>
    <w:rsid w:val="006E713F"/>
    <w:rsid w:val="006F4607"/>
    <w:rsid w:val="007366E9"/>
    <w:rsid w:val="00737BBA"/>
    <w:rsid w:val="0075181B"/>
    <w:rsid w:val="007751E2"/>
    <w:rsid w:val="0079303D"/>
    <w:rsid w:val="007A4FDB"/>
    <w:rsid w:val="007A7382"/>
    <w:rsid w:val="007F00BD"/>
    <w:rsid w:val="007F0D36"/>
    <w:rsid w:val="0082034A"/>
    <w:rsid w:val="0082209D"/>
    <w:rsid w:val="008521BB"/>
    <w:rsid w:val="00864D9F"/>
    <w:rsid w:val="00873E61"/>
    <w:rsid w:val="00880BCC"/>
    <w:rsid w:val="008B369B"/>
    <w:rsid w:val="008B7668"/>
    <w:rsid w:val="008D0BE7"/>
    <w:rsid w:val="008F3AA1"/>
    <w:rsid w:val="00932AB8"/>
    <w:rsid w:val="009455BF"/>
    <w:rsid w:val="00963B41"/>
    <w:rsid w:val="00966213"/>
    <w:rsid w:val="00982B70"/>
    <w:rsid w:val="009971FD"/>
    <w:rsid w:val="009A3EED"/>
    <w:rsid w:val="009C4DE6"/>
    <w:rsid w:val="009D22BF"/>
    <w:rsid w:val="009D69BA"/>
    <w:rsid w:val="009D7586"/>
    <w:rsid w:val="00A105AD"/>
    <w:rsid w:val="00A12064"/>
    <w:rsid w:val="00A14082"/>
    <w:rsid w:val="00A23232"/>
    <w:rsid w:val="00A35AC2"/>
    <w:rsid w:val="00A41F43"/>
    <w:rsid w:val="00A4508F"/>
    <w:rsid w:val="00A55E30"/>
    <w:rsid w:val="00A716F7"/>
    <w:rsid w:val="00A73F57"/>
    <w:rsid w:val="00AA2E73"/>
    <w:rsid w:val="00AB71C5"/>
    <w:rsid w:val="00AF26DA"/>
    <w:rsid w:val="00B148CB"/>
    <w:rsid w:val="00B166CD"/>
    <w:rsid w:val="00B175FE"/>
    <w:rsid w:val="00B21230"/>
    <w:rsid w:val="00B37D9D"/>
    <w:rsid w:val="00B43802"/>
    <w:rsid w:val="00B57E37"/>
    <w:rsid w:val="00B945A8"/>
    <w:rsid w:val="00BC7AD8"/>
    <w:rsid w:val="00C51927"/>
    <w:rsid w:val="00C85D36"/>
    <w:rsid w:val="00CB6CB9"/>
    <w:rsid w:val="00CD0436"/>
    <w:rsid w:val="00D04C41"/>
    <w:rsid w:val="00D04E19"/>
    <w:rsid w:val="00D101F0"/>
    <w:rsid w:val="00D24502"/>
    <w:rsid w:val="00D2502E"/>
    <w:rsid w:val="00D4785E"/>
    <w:rsid w:val="00D616E3"/>
    <w:rsid w:val="00D75A81"/>
    <w:rsid w:val="00D9676C"/>
    <w:rsid w:val="00DA5961"/>
    <w:rsid w:val="00DB5F82"/>
    <w:rsid w:val="00DF05AF"/>
    <w:rsid w:val="00DF0CD0"/>
    <w:rsid w:val="00E16B90"/>
    <w:rsid w:val="00E1737C"/>
    <w:rsid w:val="00E27241"/>
    <w:rsid w:val="00E33A8A"/>
    <w:rsid w:val="00E47389"/>
    <w:rsid w:val="00E75CD2"/>
    <w:rsid w:val="00E85B80"/>
    <w:rsid w:val="00EA63EB"/>
    <w:rsid w:val="00EB372C"/>
    <w:rsid w:val="00EB7D4E"/>
    <w:rsid w:val="00ED336A"/>
    <w:rsid w:val="00F23821"/>
    <w:rsid w:val="00F462E2"/>
    <w:rsid w:val="00F869DE"/>
    <w:rsid w:val="00FA05B4"/>
    <w:rsid w:val="00FB54C7"/>
    <w:rsid w:val="00FD14F7"/>
    <w:rsid w:val="00FD4C57"/>
    <w:rsid w:val="00FE3A75"/>
    <w:rsid w:val="00FE5999"/>
    <w:rsid w:val="0A9E3442"/>
    <w:rsid w:val="0B9B7DD8"/>
    <w:rsid w:val="0DB83777"/>
    <w:rsid w:val="0F1F440B"/>
    <w:rsid w:val="10B52194"/>
    <w:rsid w:val="1601470F"/>
    <w:rsid w:val="19FE67A5"/>
    <w:rsid w:val="1F99437E"/>
    <w:rsid w:val="20434BFA"/>
    <w:rsid w:val="2F7822F0"/>
    <w:rsid w:val="308D6E33"/>
    <w:rsid w:val="32C37AA1"/>
    <w:rsid w:val="40F251C1"/>
    <w:rsid w:val="4814780A"/>
    <w:rsid w:val="48236E87"/>
    <w:rsid w:val="4E7A530C"/>
    <w:rsid w:val="60415329"/>
    <w:rsid w:val="61C05895"/>
    <w:rsid w:val="6293028D"/>
    <w:rsid w:val="709F0C6F"/>
    <w:rsid w:val="757171AF"/>
    <w:rsid w:val="7658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5255"/>
  <w15:docId w15:val="{1C891EDA-C3E8-44EE-BEC8-E89CEBB4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39"/>
    <w:rsid w:val="00276F86"/>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6213"/>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DefaultParagraphFont"/>
    <w:rsid w:val="0096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1745">
      <w:bodyDiv w:val="1"/>
      <w:marLeft w:val="0"/>
      <w:marRight w:val="0"/>
      <w:marTop w:val="0"/>
      <w:marBottom w:val="0"/>
      <w:divBdr>
        <w:top w:val="none" w:sz="0" w:space="0" w:color="auto"/>
        <w:left w:val="none" w:sz="0" w:space="0" w:color="auto"/>
        <w:bottom w:val="none" w:sz="0" w:space="0" w:color="auto"/>
        <w:right w:val="none" w:sz="0" w:space="0" w:color="auto"/>
      </w:divBdr>
    </w:div>
    <w:div w:id="134953452">
      <w:bodyDiv w:val="1"/>
      <w:marLeft w:val="0"/>
      <w:marRight w:val="0"/>
      <w:marTop w:val="0"/>
      <w:marBottom w:val="0"/>
      <w:divBdr>
        <w:top w:val="none" w:sz="0" w:space="0" w:color="auto"/>
        <w:left w:val="none" w:sz="0" w:space="0" w:color="auto"/>
        <w:bottom w:val="none" w:sz="0" w:space="0" w:color="auto"/>
        <w:right w:val="none" w:sz="0" w:space="0" w:color="auto"/>
      </w:divBdr>
    </w:div>
    <w:div w:id="157500102">
      <w:bodyDiv w:val="1"/>
      <w:marLeft w:val="0"/>
      <w:marRight w:val="0"/>
      <w:marTop w:val="0"/>
      <w:marBottom w:val="0"/>
      <w:divBdr>
        <w:top w:val="none" w:sz="0" w:space="0" w:color="auto"/>
        <w:left w:val="none" w:sz="0" w:space="0" w:color="auto"/>
        <w:bottom w:val="none" w:sz="0" w:space="0" w:color="auto"/>
        <w:right w:val="none" w:sz="0" w:space="0" w:color="auto"/>
      </w:divBdr>
    </w:div>
    <w:div w:id="325398024">
      <w:bodyDiv w:val="1"/>
      <w:marLeft w:val="0"/>
      <w:marRight w:val="0"/>
      <w:marTop w:val="0"/>
      <w:marBottom w:val="0"/>
      <w:divBdr>
        <w:top w:val="none" w:sz="0" w:space="0" w:color="auto"/>
        <w:left w:val="none" w:sz="0" w:space="0" w:color="auto"/>
        <w:bottom w:val="none" w:sz="0" w:space="0" w:color="auto"/>
        <w:right w:val="none" w:sz="0" w:space="0" w:color="auto"/>
      </w:divBdr>
    </w:div>
    <w:div w:id="366416225">
      <w:bodyDiv w:val="1"/>
      <w:marLeft w:val="0"/>
      <w:marRight w:val="0"/>
      <w:marTop w:val="0"/>
      <w:marBottom w:val="0"/>
      <w:divBdr>
        <w:top w:val="none" w:sz="0" w:space="0" w:color="auto"/>
        <w:left w:val="none" w:sz="0" w:space="0" w:color="auto"/>
        <w:bottom w:val="none" w:sz="0" w:space="0" w:color="auto"/>
        <w:right w:val="none" w:sz="0" w:space="0" w:color="auto"/>
      </w:divBdr>
    </w:div>
    <w:div w:id="427044592">
      <w:bodyDiv w:val="1"/>
      <w:marLeft w:val="0"/>
      <w:marRight w:val="0"/>
      <w:marTop w:val="0"/>
      <w:marBottom w:val="0"/>
      <w:divBdr>
        <w:top w:val="none" w:sz="0" w:space="0" w:color="auto"/>
        <w:left w:val="none" w:sz="0" w:space="0" w:color="auto"/>
        <w:bottom w:val="none" w:sz="0" w:space="0" w:color="auto"/>
        <w:right w:val="none" w:sz="0" w:space="0" w:color="auto"/>
      </w:divBdr>
    </w:div>
    <w:div w:id="455369114">
      <w:bodyDiv w:val="1"/>
      <w:marLeft w:val="0"/>
      <w:marRight w:val="0"/>
      <w:marTop w:val="0"/>
      <w:marBottom w:val="0"/>
      <w:divBdr>
        <w:top w:val="none" w:sz="0" w:space="0" w:color="auto"/>
        <w:left w:val="none" w:sz="0" w:space="0" w:color="auto"/>
        <w:bottom w:val="none" w:sz="0" w:space="0" w:color="auto"/>
        <w:right w:val="none" w:sz="0" w:space="0" w:color="auto"/>
      </w:divBdr>
    </w:div>
    <w:div w:id="479659392">
      <w:bodyDiv w:val="1"/>
      <w:marLeft w:val="0"/>
      <w:marRight w:val="0"/>
      <w:marTop w:val="0"/>
      <w:marBottom w:val="0"/>
      <w:divBdr>
        <w:top w:val="none" w:sz="0" w:space="0" w:color="auto"/>
        <w:left w:val="none" w:sz="0" w:space="0" w:color="auto"/>
        <w:bottom w:val="none" w:sz="0" w:space="0" w:color="auto"/>
        <w:right w:val="none" w:sz="0" w:space="0" w:color="auto"/>
      </w:divBdr>
    </w:div>
    <w:div w:id="508063647">
      <w:bodyDiv w:val="1"/>
      <w:marLeft w:val="0"/>
      <w:marRight w:val="0"/>
      <w:marTop w:val="0"/>
      <w:marBottom w:val="0"/>
      <w:divBdr>
        <w:top w:val="none" w:sz="0" w:space="0" w:color="auto"/>
        <w:left w:val="none" w:sz="0" w:space="0" w:color="auto"/>
        <w:bottom w:val="none" w:sz="0" w:space="0" w:color="auto"/>
        <w:right w:val="none" w:sz="0" w:space="0" w:color="auto"/>
      </w:divBdr>
    </w:div>
    <w:div w:id="640228180">
      <w:bodyDiv w:val="1"/>
      <w:marLeft w:val="0"/>
      <w:marRight w:val="0"/>
      <w:marTop w:val="0"/>
      <w:marBottom w:val="0"/>
      <w:divBdr>
        <w:top w:val="none" w:sz="0" w:space="0" w:color="auto"/>
        <w:left w:val="none" w:sz="0" w:space="0" w:color="auto"/>
        <w:bottom w:val="none" w:sz="0" w:space="0" w:color="auto"/>
        <w:right w:val="none" w:sz="0" w:space="0" w:color="auto"/>
      </w:divBdr>
    </w:div>
    <w:div w:id="721173339">
      <w:bodyDiv w:val="1"/>
      <w:marLeft w:val="0"/>
      <w:marRight w:val="0"/>
      <w:marTop w:val="0"/>
      <w:marBottom w:val="0"/>
      <w:divBdr>
        <w:top w:val="none" w:sz="0" w:space="0" w:color="auto"/>
        <w:left w:val="none" w:sz="0" w:space="0" w:color="auto"/>
        <w:bottom w:val="none" w:sz="0" w:space="0" w:color="auto"/>
        <w:right w:val="none" w:sz="0" w:space="0" w:color="auto"/>
      </w:divBdr>
    </w:div>
    <w:div w:id="733620704">
      <w:bodyDiv w:val="1"/>
      <w:marLeft w:val="0"/>
      <w:marRight w:val="0"/>
      <w:marTop w:val="0"/>
      <w:marBottom w:val="0"/>
      <w:divBdr>
        <w:top w:val="none" w:sz="0" w:space="0" w:color="auto"/>
        <w:left w:val="none" w:sz="0" w:space="0" w:color="auto"/>
        <w:bottom w:val="none" w:sz="0" w:space="0" w:color="auto"/>
        <w:right w:val="none" w:sz="0" w:space="0" w:color="auto"/>
      </w:divBdr>
    </w:div>
    <w:div w:id="785583276">
      <w:bodyDiv w:val="1"/>
      <w:marLeft w:val="0"/>
      <w:marRight w:val="0"/>
      <w:marTop w:val="0"/>
      <w:marBottom w:val="0"/>
      <w:divBdr>
        <w:top w:val="none" w:sz="0" w:space="0" w:color="auto"/>
        <w:left w:val="none" w:sz="0" w:space="0" w:color="auto"/>
        <w:bottom w:val="none" w:sz="0" w:space="0" w:color="auto"/>
        <w:right w:val="none" w:sz="0" w:space="0" w:color="auto"/>
      </w:divBdr>
    </w:div>
    <w:div w:id="859245022">
      <w:bodyDiv w:val="1"/>
      <w:marLeft w:val="0"/>
      <w:marRight w:val="0"/>
      <w:marTop w:val="0"/>
      <w:marBottom w:val="0"/>
      <w:divBdr>
        <w:top w:val="none" w:sz="0" w:space="0" w:color="auto"/>
        <w:left w:val="none" w:sz="0" w:space="0" w:color="auto"/>
        <w:bottom w:val="none" w:sz="0" w:space="0" w:color="auto"/>
        <w:right w:val="none" w:sz="0" w:space="0" w:color="auto"/>
      </w:divBdr>
    </w:div>
    <w:div w:id="860632328">
      <w:bodyDiv w:val="1"/>
      <w:marLeft w:val="0"/>
      <w:marRight w:val="0"/>
      <w:marTop w:val="0"/>
      <w:marBottom w:val="0"/>
      <w:divBdr>
        <w:top w:val="none" w:sz="0" w:space="0" w:color="auto"/>
        <w:left w:val="none" w:sz="0" w:space="0" w:color="auto"/>
        <w:bottom w:val="none" w:sz="0" w:space="0" w:color="auto"/>
        <w:right w:val="none" w:sz="0" w:space="0" w:color="auto"/>
      </w:divBdr>
    </w:div>
    <w:div w:id="875696454">
      <w:bodyDiv w:val="1"/>
      <w:marLeft w:val="0"/>
      <w:marRight w:val="0"/>
      <w:marTop w:val="0"/>
      <w:marBottom w:val="0"/>
      <w:divBdr>
        <w:top w:val="none" w:sz="0" w:space="0" w:color="auto"/>
        <w:left w:val="none" w:sz="0" w:space="0" w:color="auto"/>
        <w:bottom w:val="none" w:sz="0" w:space="0" w:color="auto"/>
        <w:right w:val="none" w:sz="0" w:space="0" w:color="auto"/>
      </w:divBdr>
    </w:div>
    <w:div w:id="1073047751">
      <w:bodyDiv w:val="1"/>
      <w:marLeft w:val="0"/>
      <w:marRight w:val="0"/>
      <w:marTop w:val="0"/>
      <w:marBottom w:val="0"/>
      <w:divBdr>
        <w:top w:val="none" w:sz="0" w:space="0" w:color="auto"/>
        <w:left w:val="none" w:sz="0" w:space="0" w:color="auto"/>
        <w:bottom w:val="none" w:sz="0" w:space="0" w:color="auto"/>
        <w:right w:val="none" w:sz="0" w:space="0" w:color="auto"/>
      </w:divBdr>
    </w:div>
    <w:div w:id="1103305516">
      <w:bodyDiv w:val="1"/>
      <w:marLeft w:val="0"/>
      <w:marRight w:val="0"/>
      <w:marTop w:val="0"/>
      <w:marBottom w:val="0"/>
      <w:divBdr>
        <w:top w:val="none" w:sz="0" w:space="0" w:color="auto"/>
        <w:left w:val="none" w:sz="0" w:space="0" w:color="auto"/>
        <w:bottom w:val="none" w:sz="0" w:space="0" w:color="auto"/>
        <w:right w:val="none" w:sz="0" w:space="0" w:color="auto"/>
      </w:divBdr>
    </w:div>
    <w:div w:id="1204054906">
      <w:bodyDiv w:val="1"/>
      <w:marLeft w:val="0"/>
      <w:marRight w:val="0"/>
      <w:marTop w:val="0"/>
      <w:marBottom w:val="0"/>
      <w:divBdr>
        <w:top w:val="none" w:sz="0" w:space="0" w:color="auto"/>
        <w:left w:val="none" w:sz="0" w:space="0" w:color="auto"/>
        <w:bottom w:val="none" w:sz="0" w:space="0" w:color="auto"/>
        <w:right w:val="none" w:sz="0" w:space="0" w:color="auto"/>
      </w:divBdr>
    </w:div>
    <w:div w:id="1265187522">
      <w:bodyDiv w:val="1"/>
      <w:marLeft w:val="0"/>
      <w:marRight w:val="0"/>
      <w:marTop w:val="0"/>
      <w:marBottom w:val="0"/>
      <w:divBdr>
        <w:top w:val="none" w:sz="0" w:space="0" w:color="auto"/>
        <w:left w:val="none" w:sz="0" w:space="0" w:color="auto"/>
        <w:bottom w:val="none" w:sz="0" w:space="0" w:color="auto"/>
        <w:right w:val="none" w:sz="0" w:space="0" w:color="auto"/>
      </w:divBdr>
    </w:div>
    <w:div w:id="1412969873">
      <w:bodyDiv w:val="1"/>
      <w:marLeft w:val="0"/>
      <w:marRight w:val="0"/>
      <w:marTop w:val="0"/>
      <w:marBottom w:val="0"/>
      <w:divBdr>
        <w:top w:val="none" w:sz="0" w:space="0" w:color="auto"/>
        <w:left w:val="none" w:sz="0" w:space="0" w:color="auto"/>
        <w:bottom w:val="none" w:sz="0" w:space="0" w:color="auto"/>
        <w:right w:val="none" w:sz="0" w:space="0" w:color="auto"/>
      </w:divBdr>
    </w:div>
    <w:div w:id="1455826111">
      <w:bodyDiv w:val="1"/>
      <w:marLeft w:val="0"/>
      <w:marRight w:val="0"/>
      <w:marTop w:val="0"/>
      <w:marBottom w:val="0"/>
      <w:divBdr>
        <w:top w:val="none" w:sz="0" w:space="0" w:color="auto"/>
        <w:left w:val="none" w:sz="0" w:space="0" w:color="auto"/>
        <w:bottom w:val="none" w:sz="0" w:space="0" w:color="auto"/>
        <w:right w:val="none" w:sz="0" w:space="0" w:color="auto"/>
      </w:divBdr>
    </w:div>
    <w:div w:id="1603368459">
      <w:bodyDiv w:val="1"/>
      <w:marLeft w:val="0"/>
      <w:marRight w:val="0"/>
      <w:marTop w:val="0"/>
      <w:marBottom w:val="0"/>
      <w:divBdr>
        <w:top w:val="none" w:sz="0" w:space="0" w:color="auto"/>
        <w:left w:val="none" w:sz="0" w:space="0" w:color="auto"/>
        <w:bottom w:val="none" w:sz="0" w:space="0" w:color="auto"/>
        <w:right w:val="none" w:sz="0" w:space="0" w:color="auto"/>
      </w:divBdr>
    </w:div>
    <w:div w:id="1803962941">
      <w:bodyDiv w:val="1"/>
      <w:marLeft w:val="0"/>
      <w:marRight w:val="0"/>
      <w:marTop w:val="0"/>
      <w:marBottom w:val="0"/>
      <w:divBdr>
        <w:top w:val="none" w:sz="0" w:space="0" w:color="auto"/>
        <w:left w:val="none" w:sz="0" w:space="0" w:color="auto"/>
        <w:bottom w:val="none" w:sz="0" w:space="0" w:color="auto"/>
        <w:right w:val="none" w:sz="0" w:space="0" w:color="auto"/>
      </w:divBdr>
    </w:div>
    <w:div w:id="2101215663">
      <w:bodyDiv w:val="1"/>
      <w:marLeft w:val="0"/>
      <w:marRight w:val="0"/>
      <w:marTop w:val="0"/>
      <w:marBottom w:val="0"/>
      <w:divBdr>
        <w:top w:val="none" w:sz="0" w:space="0" w:color="auto"/>
        <w:left w:val="none" w:sz="0" w:space="0" w:color="auto"/>
        <w:bottom w:val="none" w:sz="0" w:space="0" w:color="auto"/>
        <w:right w:val="none" w:sz="0" w:space="0" w:color="auto"/>
      </w:divBdr>
    </w:div>
    <w:div w:id="213728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Liuyimin1995@si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hyperlink" Target="http://www.chictr.org.cn" TargetMode="Externa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7258</Words>
  <Characters>41374</Characters>
  <Application>Microsoft Office Word</Application>
  <DocSecurity>0</DocSecurity>
  <Lines>344</Lines>
  <Paragraphs>97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Lian-Sheng Ma</cp:lastModifiedBy>
  <cp:revision>2</cp:revision>
  <dcterms:created xsi:type="dcterms:W3CDTF">2018-12-07T02:40:00Z</dcterms:created>
  <dcterms:modified xsi:type="dcterms:W3CDTF">2018-12-07T02:40:00Z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