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878595" w14:textId="77777777" w:rsidR="00A346FC" w:rsidRPr="00E7615A" w:rsidRDefault="00A346FC"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 xml:space="preserve">Name of Journal: </w:t>
      </w:r>
      <w:r w:rsidRPr="00E7615A">
        <w:rPr>
          <w:rFonts w:ascii="Book Antiqua" w:hAnsi="Book Antiqua"/>
          <w:b/>
          <w:i/>
          <w:color w:val="000000" w:themeColor="text1"/>
          <w:sz w:val="24"/>
          <w:szCs w:val="24"/>
          <w:lang w:val="en-US"/>
        </w:rPr>
        <w:t>World Journal of Stem Cells</w:t>
      </w:r>
    </w:p>
    <w:p w14:paraId="3782E3DA" w14:textId="64E18CA8" w:rsidR="00A346FC" w:rsidRPr="00E7615A" w:rsidRDefault="00D46F08" w:rsidP="00D048E9">
      <w:pPr>
        <w:widowControl w:val="0"/>
        <w:adjustRightInd w:val="0"/>
        <w:snapToGrid w:val="0"/>
        <w:spacing w:after="0" w:line="360" w:lineRule="auto"/>
        <w:jc w:val="both"/>
        <w:rPr>
          <w:rFonts w:ascii="Book Antiqua" w:hAnsi="Book Antiqua"/>
          <w:b/>
          <w:color w:val="000000" w:themeColor="text1"/>
          <w:sz w:val="24"/>
          <w:szCs w:val="24"/>
          <w:lang w:val="en-US" w:eastAsia="zh-CN"/>
        </w:rPr>
      </w:pPr>
      <w:r w:rsidRPr="00E7615A">
        <w:rPr>
          <w:rFonts w:ascii="Book Antiqua" w:hAnsi="Book Antiqua"/>
          <w:b/>
          <w:color w:val="000000" w:themeColor="text1"/>
          <w:sz w:val="24"/>
          <w:szCs w:val="24"/>
          <w:lang w:val="en-US"/>
        </w:rPr>
        <w:t>Manuscript</w:t>
      </w:r>
      <w:r w:rsidRPr="00E7615A">
        <w:rPr>
          <w:rFonts w:ascii="Book Antiqua" w:hAnsi="Book Antiqua"/>
          <w:b/>
          <w:color w:val="000000" w:themeColor="text1"/>
          <w:sz w:val="24"/>
          <w:szCs w:val="24"/>
          <w:lang w:val="en-US" w:eastAsia="zh-CN"/>
        </w:rPr>
        <w:t xml:space="preserve"> No: 42776</w:t>
      </w:r>
    </w:p>
    <w:p w14:paraId="336BF777" w14:textId="77777777" w:rsidR="00A346FC" w:rsidRPr="00E7615A" w:rsidRDefault="00A346FC"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b/>
          <w:color w:val="000000" w:themeColor="text1"/>
          <w:sz w:val="24"/>
          <w:szCs w:val="24"/>
          <w:lang w:val="en-US"/>
        </w:rPr>
        <w:t>Manuscript Type: CASE REPORT</w:t>
      </w:r>
    </w:p>
    <w:p w14:paraId="2D6D06C5" w14:textId="77777777" w:rsidR="00A346FC" w:rsidRPr="00E7615A" w:rsidRDefault="00A346FC" w:rsidP="00D048E9">
      <w:pPr>
        <w:pStyle w:val="Default"/>
        <w:widowControl w:val="0"/>
        <w:adjustRightInd w:val="0"/>
        <w:snapToGrid w:val="0"/>
        <w:spacing w:line="360" w:lineRule="auto"/>
        <w:jc w:val="both"/>
        <w:rPr>
          <w:rFonts w:ascii="Book Antiqua" w:hAnsi="Book Antiqua" w:cs="Times New Roman"/>
          <w:b/>
          <w:color w:val="000000" w:themeColor="text1"/>
          <w:lang w:val="en-US"/>
        </w:rPr>
      </w:pPr>
    </w:p>
    <w:p w14:paraId="255E4AEC" w14:textId="0D9AC39A" w:rsidR="00A346FC" w:rsidRPr="00E7615A" w:rsidRDefault="00A346FC" w:rsidP="00D048E9">
      <w:pPr>
        <w:pStyle w:val="Default"/>
        <w:widowControl w:val="0"/>
        <w:adjustRightInd w:val="0"/>
        <w:snapToGrid w:val="0"/>
        <w:spacing w:line="360" w:lineRule="auto"/>
        <w:jc w:val="both"/>
        <w:rPr>
          <w:rFonts w:ascii="Book Antiqua" w:hAnsi="Book Antiqua" w:cs="Times New Roman"/>
          <w:b/>
          <w:color w:val="000000" w:themeColor="text1"/>
          <w:lang w:val="en-US"/>
        </w:rPr>
      </w:pPr>
      <w:r w:rsidRPr="00E7615A">
        <w:rPr>
          <w:rFonts w:ascii="Book Antiqua" w:hAnsi="Book Antiqua" w:cs="Times New Roman"/>
          <w:b/>
          <w:color w:val="000000" w:themeColor="text1"/>
          <w:lang w:val="en-US"/>
        </w:rPr>
        <w:t>Improved guided bone regeneration by combined application of unmodified, fresh autologous adipose derived regenerative cells and plasma rich in growth factors:</w:t>
      </w:r>
      <w:bookmarkStart w:id="0" w:name="_Hlk516802855"/>
      <w:r w:rsidRPr="00E7615A">
        <w:rPr>
          <w:rFonts w:ascii="Book Antiqua" w:hAnsi="Book Antiqua" w:cs="Times New Roman"/>
          <w:b/>
          <w:color w:val="000000" w:themeColor="text1"/>
          <w:lang w:val="en-US"/>
        </w:rPr>
        <w:t xml:space="preserve"> A </w:t>
      </w:r>
      <w:bookmarkStart w:id="1" w:name="_Hlk513804189"/>
      <w:r w:rsidRPr="00E7615A">
        <w:rPr>
          <w:rFonts w:ascii="Book Antiqua" w:hAnsi="Book Antiqua" w:cs="Times New Roman"/>
          <w:b/>
          <w:color w:val="000000" w:themeColor="text1"/>
          <w:lang w:val="en-US"/>
        </w:rPr>
        <w:t xml:space="preserve">first-in-human </w:t>
      </w:r>
      <w:bookmarkEnd w:id="0"/>
      <w:r w:rsidRPr="00E7615A">
        <w:rPr>
          <w:rFonts w:ascii="Book Antiqua" w:hAnsi="Book Antiqua" w:cs="Times New Roman"/>
          <w:b/>
          <w:color w:val="000000" w:themeColor="text1"/>
          <w:lang w:val="en-US"/>
        </w:rPr>
        <w:t xml:space="preserve">case report and literature review </w:t>
      </w:r>
      <w:bookmarkEnd w:id="1"/>
    </w:p>
    <w:p w14:paraId="054EA6D1" w14:textId="77777777" w:rsidR="00A346FC" w:rsidRPr="00E7615A" w:rsidRDefault="00A346FC" w:rsidP="00D048E9">
      <w:pPr>
        <w:pStyle w:val="Default"/>
        <w:widowControl w:val="0"/>
        <w:adjustRightInd w:val="0"/>
        <w:snapToGrid w:val="0"/>
        <w:spacing w:line="360" w:lineRule="auto"/>
        <w:jc w:val="both"/>
        <w:rPr>
          <w:rFonts w:ascii="Book Antiqua" w:hAnsi="Book Antiqua" w:cs="Times New Roman"/>
          <w:b/>
          <w:color w:val="000000" w:themeColor="text1"/>
          <w:lang w:val="en-US"/>
        </w:rPr>
      </w:pPr>
    </w:p>
    <w:p w14:paraId="3562586C" w14:textId="6A7A54A2" w:rsidR="00A346FC" w:rsidRPr="00E7615A" w:rsidRDefault="00A346FC" w:rsidP="00D048E9">
      <w:pPr>
        <w:pStyle w:val="Default"/>
        <w:widowControl w:val="0"/>
        <w:adjustRightInd w:val="0"/>
        <w:snapToGrid w:val="0"/>
        <w:spacing w:line="360" w:lineRule="auto"/>
        <w:jc w:val="both"/>
        <w:rPr>
          <w:rFonts w:ascii="Book Antiqua" w:hAnsi="Book Antiqua"/>
          <w:color w:val="000000" w:themeColor="text1"/>
          <w:lang w:val="fr-FR"/>
        </w:rPr>
      </w:pPr>
      <w:r w:rsidRPr="00E7615A">
        <w:rPr>
          <w:rFonts w:ascii="Book Antiqua" w:hAnsi="Book Antiqua"/>
          <w:color w:val="000000" w:themeColor="text1"/>
          <w:lang w:val="fr-FR"/>
        </w:rPr>
        <w:t>Solakoglu Ö</w:t>
      </w:r>
      <w:r w:rsidRPr="00E7615A">
        <w:rPr>
          <w:rFonts w:ascii="Book Antiqua" w:hAnsi="Book Antiqua"/>
          <w:i/>
          <w:color w:val="000000" w:themeColor="text1"/>
          <w:lang w:val="fr-FR"/>
        </w:rPr>
        <w:t xml:space="preserve"> et al</w:t>
      </w:r>
      <w:r w:rsidRPr="00E7615A">
        <w:rPr>
          <w:rFonts w:ascii="Book Antiqua" w:hAnsi="Book Antiqua"/>
          <w:color w:val="000000" w:themeColor="text1"/>
          <w:lang w:val="fr-FR"/>
        </w:rPr>
        <w:t xml:space="preserve">. </w:t>
      </w:r>
      <w:bookmarkStart w:id="2" w:name="OLE_LINK184"/>
      <w:bookmarkStart w:id="3" w:name="OLE_LINK185"/>
      <w:r w:rsidRPr="00E7615A">
        <w:rPr>
          <w:rFonts w:ascii="Book Antiqua" w:hAnsi="Book Antiqua"/>
          <w:color w:val="000000" w:themeColor="text1"/>
          <w:lang w:val="fr-FR"/>
        </w:rPr>
        <w:t>UA-ADRCs for sinus augmentation</w:t>
      </w:r>
      <w:bookmarkEnd w:id="2"/>
      <w:bookmarkEnd w:id="3"/>
    </w:p>
    <w:p w14:paraId="720DB4DF" w14:textId="77777777" w:rsidR="00A346FC" w:rsidRPr="00E7615A" w:rsidRDefault="00A346FC" w:rsidP="00D048E9">
      <w:pPr>
        <w:pStyle w:val="Default"/>
        <w:widowControl w:val="0"/>
        <w:adjustRightInd w:val="0"/>
        <w:snapToGrid w:val="0"/>
        <w:spacing w:line="360" w:lineRule="auto"/>
        <w:jc w:val="both"/>
        <w:rPr>
          <w:rFonts w:ascii="Book Antiqua" w:hAnsi="Book Antiqua"/>
          <w:color w:val="000000" w:themeColor="text1"/>
          <w:lang w:val="fr-FR"/>
        </w:rPr>
      </w:pPr>
    </w:p>
    <w:p w14:paraId="731A435D" w14:textId="6C70B6CD" w:rsidR="00A346FC" w:rsidRPr="00E7615A" w:rsidRDefault="00A346FC" w:rsidP="00D048E9">
      <w:pPr>
        <w:widowControl w:val="0"/>
        <w:tabs>
          <w:tab w:val="left" w:pos="144"/>
        </w:tabs>
        <w:adjustRightInd w:val="0"/>
        <w:snapToGrid w:val="0"/>
        <w:spacing w:after="0" w:line="360" w:lineRule="auto"/>
        <w:jc w:val="both"/>
        <w:rPr>
          <w:rFonts w:ascii="Book Antiqua" w:hAnsi="Book Antiqua"/>
          <w:color w:val="000000" w:themeColor="text1"/>
          <w:sz w:val="24"/>
          <w:szCs w:val="24"/>
        </w:rPr>
      </w:pPr>
      <w:r w:rsidRPr="00E7615A">
        <w:rPr>
          <w:rFonts w:ascii="Book Antiqua" w:hAnsi="Book Antiqua"/>
          <w:color w:val="000000" w:themeColor="text1"/>
          <w:sz w:val="24"/>
          <w:szCs w:val="24"/>
        </w:rPr>
        <w:t>Önder Solakoglu</w:t>
      </w:r>
      <w:r w:rsidR="003909C2" w:rsidRPr="00E7615A">
        <w:rPr>
          <w:rFonts w:ascii="Book Antiqua" w:hAnsi="Book Antiqua"/>
          <w:color w:val="000000" w:themeColor="text1"/>
          <w:sz w:val="24"/>
          <w:szCs w:val="24"/>
        </w:rPr>
        <w:t>, Werner Götz, Maren C</w:t>
      </w:r>
      <w:r w:rsidRPr="00E7615A">
        <w:rPr>
          <w:rFonts w:ascii="Book Antiqua" w:hAnsi="Book Antiqua"/>
          <w:color w:val="000000" w:themeColor="text1"/>
          <w:sz w:val="24"/>
          <w:szCs w:val="24"/>
        </w:rPr>
        <w:t xml:space="preserve"> Kiessling, Christopher Al</w:t>
      </w:r>
      <w:r w:rsidR="00AF7ECD" w:rsidRPr="00E7615A">
        <w:rPr>
          <w:rFonts w:ascii="Book Antiqua" w:hAnsi="Book Antiqua"/>
          <w:color w:val="000000" w:themeColor="text1"/>
          <w:sz w:val="24"/>
          <w:szCs w:val="24"/>
        </w:rPr>
        <w:t>t, Christoph Schmitz, Eckhard U</w:t>
      </w:r>
      <w:r w:rsidRPr="00E7615A">
        <w:rPr>
          <w:rFonts w:ascii="Book Antiqua" w:hAnsi="Book Antiqua"/>
          <w:color w:val="000000" w:themeColor="text1"/>
          <w:sz w:val="24"/>
          <w:szCs w:val="24"/>
        </w:rPr>
        <w:t xml:space="preserve"> Alt</w:t>
      </w:r>
    </w:p>
    <w:p w14:paraId="52470B2E" w14:textId="77777777" w:rsidR="00A346FC" w:rsidRPr="00E7615A" w:rsidRDefault="00A346FC" w:rsidP="00D048E9">
      <w:pPr>
        <w:widowControl w:val="0"/>
        <w:tabs>
          <w:tab w:val="left" w:pos="144"/>
        </w:tabs>
        <w:adjustRightInd w:val="0"/>
        <w:snapToGrid w:val="0"/>
        <w:spacing w:after="0" w:line="360" w:lineRule="auto"/>
        <w:jc w:val="both"/>
        <w:rPr>
          <w:rFonts w:ascii="Book Antiqua" w:hAnsi="Book Antiqua"/>
          <w:color w:val="000000" w:themeColor="text1"/>
          <w:sz w:val="24"/>
          <w:szCs w:val="24"/>
        </w:rPr>
      </w:pPr>
    </w:p>
    <w:p w14:paraId="40D2D1B7" w14:textId="5BE1AEC8" w:rsidR="00AF7ECD" w:rsidRPr="00E7615A" w:rsidRDefault="00615746" w:rsidP="00D048E9">
      <w:pPr>
        <w:widowControl w:val="0"/>
        <w:tabs>
          <w:tab w:val="left" w:pos="144"/>
        </w:tabs>
        <w:adjustRightInd w:val="0"/>
        <w:snapToGrid w:val="0"/>
        <w:spacing w:after="0" w:line="360" w:lineRule="auto"/>
        <w:jc w:val="both"/>
        <w:rPr>
          <w:rFonts w:ascii="Book Antiqua" w:hAnsi="Book Antiqua"/>
          <w:bCs/>
          <w:color w:val="000000" w:themeColor="text1"/>
          <w:sz w:val="24"/>
          <w:szCs w:val="24"/>
          <w:lang w:val="en-US" w:eastAsia="zh-CN"/>
        </w:rPr>
      </w:pPr>
      <w:r w:rsidRPr="00E7615A">
        <w:rPr>
          <w:rFonts w:ascii="Book Antiqua" w:hAnsi="Book Antiqua"/>
          <w:b/>
          <w:color w:val="000000" w:themeColor="text1"/>
          <w:sz w:val="24"/>
          <w:szCs w:val="24"/>
          <w:lang w:val="en-US"/>
        </w:rPr>
        <w:t>Önder So</w:t>
      </w:r>
      <w:r w:rsidR="00A346FC" w:rsidRPr="00E7615A">
        <w:rPr>
          <w:rFonts w:ascii="Book Antiqua" w:hAnsi="Book Antiqua"/>
          <w:b/>
          <w:color w:val="000000" w:themeColor="text1"/>
          <w:sz w:val="24"/>
          <w:szCs w:val="24"/>
          <w:lang w:val="en-US"/>
        </w:rPr>
        <w:t>lakoglu</w:t>
      </w:r>
      <w:r w:rsidR="00A346FC" w:rsidRPr="00E7615A">
        <w:rPr>
          <w:rFonts w:ascii="Book Antiqua" w:hAnsi="Book Antiqua"/>
          <w:color w:val="000000" w:themeColor="text1"/>
          <w:sz w:val="24"/>
          <w:szCs w:val="24"/>
          <w:lang w:val="en-US"/>
        </w:rPr>
        <w:t xml:space="preserve">, </w:t>
      </w:r>
      <w:r w:rsidR="00A346FC" w:rsidRPr="00E7615A">
        <w:rPr>
          <w:rFonts w:ascii="Book Antiqua" w:hAnsi="Book Antiqua"/>
          <w:bCs/>
          <w:color w:val="000000" w:themeColor="text1"/>
          <w:sz w:val="24"/>
          <w:szCs w:val="24"/>
          <w:lang w:val="en-US"/>
        </w:rPr>
        <w:t>External Visiting Lecturer, Dental Department of the University Medical Center Hamburg-Eppendorf, Hamburg</w:t>
      </w:r>
      <w:r w:rsidR="00AF7ECD" w:rsidRPr="00E7615A">
        <w:rPr>
          <w:rFonts w:ascii="Book Antiqua" w:hAnsi="Book Antiqua"/>
          <w:bCs/>
          <w:color w:val="000000" w:themeColor="text1"/>
          <w:sz w:val="24"/>
          <w:szCs w:val="24"/>
          <w:lang w:val="en-US" w:eastAsia="zh-CN"/>
        </w:rPr>
        <w:t xml:space="preserve"> </w:t>
      </w:r>
      <w:r w:rsidR="00AF7ECD" w:rsidRPr="00E7615A">
        <w:rPr>
          <w:rFonts w:ascii="Book Antiqua" w:hAnsi="Book Antiqua"/>
          <w:bCs/>
          <w:color w:val="000000" w:themeColor="text1"/>
          <w:sz w:val="24"/>
          <w:szCs w:val="24"/>
          <w:lang w:val="en-US"/>
        </w:rPr>
        <w:t>20246</w:t>
      </w:r>
      <w:r w:rsidR="00A346FC" w:rsidRPr="00E7615A">
        <w:rPr>
          <w:rFonts w:ascii="Book Antiqua" w:hAnsi="Book Antiqua"/>
          <w:bCs/>
          <w:color w:val="000000" w:themeColor="text1"/>
          <w:sz w:val="24"/>
          <w:szCs w:val="24"/>
          <w:lang w:val="en-US"/>
        </w:rPr>
        <w:t>, Germany</w:t>
      </w:r>
    </w:p>
    <w:p w14:paraId="6DF9EB0D" w14:textId="77777777" w:rsidR="00AF7ECD" w:rsidRPr="00E7615A" w:rsidRDefault="00AF7ECD" w:rsidP="00D048E9">
      <w:pPr>
        <w:widowControl w:val="0"/>
        <w:tabs>
          <w:tab w:val="left" w:pos="144"/>
        </w:tabs>
        <w:adjustRightInd w:val="0"/>
        <w:snapToGrid w:val="0"/>
        <w:spacing w:after="0" w:line="360" w:lineRule="auto"/>
        <w:jc w:val="both"/>
        <w:rPr>
          <w:rFonts w:ascii="Book Antiqua" w:hAnsi="Book Antiqua"/>
          <w:bCs/>
          <w:color w:val="000000" w:themeColor="text1"/>
          <w:sz w:val="24"/>
          <w:szCs w:val="24"/>
          <w:lang w:val="en-US" w:eastAsia="zh-CN"/>
        </w:rPr>
      </w:pPr>
    </w:p>
    <w:p w14:paraId="12E0D00B" w14:textId="28451420" w:rsidR="00A346FC" w:rsidRPr="00E7615A" w:rsidRDefault="00AF7ECD" w:rsidP="00D048E9">
      <w:pPr>
        <w:widowControl w:val="0"/>
        <w:tabs>
          <w:tab w:val="left" w:pos="144"/>
        </w:tabs>
        <w:adjustRightInd w:val="0"/>
        <w:snapToGrid w:val="0"/>
        <w:spacing w:after="0" w:line="360" w:lineRule="auto"/>
        <w:jc w:val="both"/>
        <w:rPr>
          <w:rFonts w:ascii="Book Antiqua" w:hAnsi="Book Antiqua"/>
          <w:bCs/>
          <w:color w:val="000000" w:themeColor="text1"/>
          <w:sz w:val="24"/>
          <w:szCs w:val="24"/>
          <w:lang w:val="en-US"/>
        </w:rPr>
      </w:pPr>
      <w:r w:rsidRPr="00E7615A">
        <w:rPr>
          <w:rFonts w:ascii="Book Antiqua" w:hAnsi="Book Antiqua"/>
          <w:b/>
          <w:color w:val="000000" w:themeColor="text1"/>
          <w:sz w:val="24"/>
          <w:szCs w:val="24"/>
          <w:lang w:val="en-US"/>
        </w:rPr>
        <w:t>Önder Solakoglu</w:t>
      </w:r>
      <w:r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eastAsia="zh-CN"/>
        </w:rPr>
        <w:t xml:space="preserve"> </w:t>
      </w:r>
      <w:r w:rsidR="00A346FC" w:rsidRPr="00E7615A">
        <w:rPr>
          <w:rFonts w:ascii="Book Antiqua" w:hAnsi="Book Antiqua"/>
          <w:bCs/>
          <w:color w:val="000000" w:themeColor="text1"/>
          <w:sz w:val="24"/>
          <w:szCs w:val="24"/>
          <w:lang w:val="en-US"/>
        </w:rPr>
        <w:t>Clinic for Periodontology and Implantology, Hamburg</w:t>
      </w:r>
      <w:r w:rsidRPr="00E7615A">
        <w:rPr>
          <w:rFonts w:ascii="Book Antiqua" w:hAnsi="Book Antiqua"/>
          <w:bCs/>
          <w:color w:val="000000" w:themeColor="text1"/>
          <w:sz w:val="24"/>
          <w:szCs w:val="24"/>
          <w:lang w:val="en-US" w:eastAsia="zh-CN"/>
        </w:rPr>
        <w:t xml:space="preserve"> </w:t>
      </w:r>
      <w:r w:rsidRPr="00E7615A">
        <w:rPr>
          <w:rFonts w:ascii="Book Antiqua" w:hAnsi="Book Antiqua"/>
          <w:bCs/>
          <w:color w:val="000000" w:themeColor="text1"/>
          <w:sz w:val="24"/>
          <w:szCs w:val="24"/>
          <w:lang w:val="en-US"/>
        </w:rPr>
        <w:t>22453</w:t>
      </w:r>
      <w:r w:rsidR="00A346FC" w:rsidRPr="00E7615A">
        <w:rPr>
          <w:rFonts w:ascii="Book Antiqua" w:hAnsi="Book Antiqua"/>
          <w:bCs/>
          <w:color w:val="000000" w:themeColor="text1"/>
          <w:sz w:val="24"/>
          <w:szCs w:val="24"/>
          <w:lang w:val="en-US"/>
        </w:rPr>
        <w:t>, Germany</w:t>
      </w:r>
    </w:p>
    <w:p w14:paraId="0A84C2CC" w14:textId="77777777" w:rsidR="00A346FC" w:rsidRPr="00E7615A" w:rsidRDefault="00A346FC" w:rsidP="00D048E9">
      <w:pPr>
        <w:widowControl w:val="0"/>
        <w:tabs>
          <w:tab w:val="left" w:pos="144"/>
        </w:tabs>
        <w:adjustRightInd w:val="0"/>
        <w:snapToGrid w:val="0"/>
        <w:spacing w:after="0" w:line="360" w:lineRule="auto"/>
        <w:jc w:val="both"/>
        <w:rPr>
          <w:rFonts w:ascii="Book Antiqua" w:hAnsi="Book Antiqua"/>
          <w:bCs/>
          <w:color w:val="000000" w:themeColor="text1"/>
          <w:sz w:val="24"/>
          <w:szCs w:val="24"/>
          <w:lang w:val="en-US"/>
        </w:rPr>
      </w:pPr>
    </w:p>
    <w:p w14:paraId="2231D2D8" w14:textId="1E098F7E" w:rsidR="00A346FC" w:rsidRPr="00E7615A" w:rsidRDefault="00A346FC" w:rsidP="00D048E9">
      <w:pPr>
        <w:widowControl w:val="0"/>
        <w:tabs>
          <w:tab w:val="left" w:pos="144"/>
        </w:tabs>
        <w:adjustRightInd w:val="0"/>
        <w:snapToGrid w:val="0"/>
        <w:spacing w:after="0" w:line="360" w:lineRule="auto"/>
        <w:jc w:val="both"/>
        <w:rPr>
          <w:rFonts w:ascii="Book Antiqua" w:hAnsi="Book Antiqua"/>
          <w:bCs/>
          <w:color w:val="000000" w:themeColor="text1"/>
          <w:sz w:val="24"/>
          <w:szCs w:val="24"/>
          <w:lang w:val="en-US"/>
        </w:rPr>
      </w:pPr>
      <w:r w:rsidRPr="00E7615A">
        <w:rPr>
          <w:rFonts w:ascii="Book Antiqua" w:hAnsi="Book Antiqua"/>
          <w:b/>
          <w:bCs/>
          <w:color w:val="000000" w:themeColor="text1"/>
          <w:sz w:val="24"/>
          <w:szCs w:val="24"/>
          <w:lang w:val="en-US"/>
        </w:rPr>
        <w:t>Werner Götz</w:t>
      </w:r>
      <w:r w:rsidRPr="00E7615A">
        <w:rPr>
          <w:rFonts w:ascii="Book Antiqua" w:hAnsi="Book Antiqua"/>
          <w:bCs/>
          <w:color w:val="000000" w:themeColor="text1"/>
          <w:sz w:val="24"/>
          <w:szCs w:val="24"/>
          <w:lang w:val="en-US"/>
        </w:rPr>
        <w:t>, Department of Orthodontics, Center of Dento-Maxillo-Facial Medicine, University of Bonn, Bonn</w:t>
      </w:r>
      <w:r w:rsidR="00AF7ECD" w:rsidRPr="00E7615A">
        <w:rPr>
          <w:rFonts w:ascii="Book Antiqua" w:hAnsi="Book Antiqua"/>
          <w:bCs/>
          <w:color w:val="000000" w:themeColor="text1"/>
          <w:sz w:val="24"/>
          <w:szCs w:val="24"/>
          <w:lang w:val="en-US" w:eastAsia="zh-CN"/>
        </w:rPr>
        <w:t xml:space="preserve"> </w:t>
      </w:r>
      <w:r w:rsidR="00AF7ECD" w:rsidRPr="00E7615A">
        <w:rPr>
          <w:rFonts w:ascii="Book Antiqua" w:hAnsi="Book Antiqua"/>
          <w:bCs/>
          <w:color w:val="000000" w:themeColor="text1"/>
          <w:sz w:val="24"/>
          <w:szCs w:val="24"/>
          <w:lang w:val="en-US"/>
        </w:rPr>
        <w:t>53111</w:t>
      </w:r>
      <w:r w:rsidRPr="00E7615A">
        <w:rPr>
          <w:rFonts w:ascii="Book Antiqua" w:hAnsi="Book Antiqua"/>
          <w:bCs/>
          <w:color w:val="000000" w:themeColor="text1"/>
          <w:sz w:val="24"/>
          <w:szCs w:val="24"/>
          <w:lang w:val="en-US"/>
        </w:rPr>
        <w:t>, Germany</w:t>
      </w:r>
    </w:p>
    <w:p w14:paraId="556063DB" w14:textId="77777777" w:rsidR="00A346FC" w:rsidRPr="00E7615A" w:rsidRDefault="00A346FC" w:rsidP="00D048E9">
      <w:pPr>
        <w:widowControl w:val="0"/>
        <w:tabs>
          <w:tab w:val="left" w:pos="144"/>
        </w:tabs>
        <w:adjustRightInd w:val="0"/>
        <w:snapToGrid w:val="0"/>
        <w:spacing w:after="0" w:line="360" w:lineRule="auto"/>
        <w:jc w:val="both"/>
        <w:rPr>
          <w:rFonts w:ascii="Book Antiqua" w:hAnsi="Book Antiqua"/>
          <w:bCs/>
          <w:color w:val="000000" w:themeColor="text1"/>
          <w:sz w:val="24"/>
          <w:szCs w:val="24"/>
          <w:lang w:val="en-US"/>
        </w:rPr>
      </w:pPr>
    </w:p>
    <w:p w14:paraId="6DE3BECB" w14:textId="1468169E" w:rsidR="00A346FC" w:rsidRPr="00E7615A" w:rsidRDefault="00EE2D00" w:rsidP="00D048E9">
      <w:pPr>
        <w:widowControl w:val="0"/>
        <w:tabs>
          <w:tab w:val="left" w:pos="144"/>
        </w:tabs>
        <w:adjustRightInd w:val="0"/>
        <w:snapToGrid w:val="0"/>
        <w:spacing w:after="0" w:line="360" w:lineRule="auto"/>
        <w:jc w:val="both"/>
        <w:rPr>
          <w:rFonts w:ascii="Book Antiqua" w:hAnsi="Book Antiqua"/>
          <w:bCs/>
          <w:color w:val="000000" w:themeColor="text1"/>
          <w:sz w:val="24"/>
          <w:szCs w:val="24"/>
          <w:lang w:val="en-US"/>
        </w:rPr>
      </w:pPr>
      <w:r>
        <w:rPr>
          <w:rFonts w:ascii="Book Antiqua" w:hAnsi="Book Antiqua"/>
          <w:b/>
          <w:color w:val="000000" w:themeColor="text1"/>
          <w:sz w:val="24"/>
          <w:szCs w:val="24"/>
          <w:lang w:val="en-US"/>
        </w:rPr>
        <w:t>Maren C</w:t>
      </w:r>
      <w:r w:rsidR="00A346FC" w:rsidRPr="00E7615A">
        <w:rPr>
          <w:rFonts w:ascii="Book Antiqua" w:hAnsi="Book Antiqua"/>
          <w:b/>
          <w:color w:val="000000" w:themeColor="text1"/>
          <w:sz w:val="24"/>
          <w:szCs w:val="24"/>
          <w:lang w:val="en-US"/>
        </w:rPr>
        <w:t xml:space="preserve"> Kiessling, Christoph Schmitz</w:t>
      </w:r>
      <w:r w:rsidR="00A346FC" w:rsidRPr="00E7615A">
        <w:rPr>
          <w:rFonts w:ascii="Book Antiqua" w:hAnsi="Book Antiqua"/>
          <w:color w:val="000000" w:themeColor="text1"/>
          <w:sz w:val="24"/>
          <w:szCs w:val="24"/>
          <w:lang w:val="en-US"/>
        </w:rPr>
        <w:t xml:space="preserve">, </w:t>
      </w:r>
      <w:r w:rsidR="00A346FC" w:rsidRPr="00E7615A">
        <w:rPr>
          <w:rFonts w:ascii="Book Antiqua" w:hAnsi="Book Antiqua"/>
          <w:bCs/>
          <w:color w:val="000000" w:themeColor="text1"/>
          <w:sz w:val="24"/>
          <w:szCs w:val="24"/>
          <w:lang w:val="en-US"/>
        </w:rPr>
        <w:t>Institute of Anatomy, Faculty of Medicine, LMU Munich, Munich</w:t>
      </w:r>
      <w:r w:rsidR="00AF7ECD" w:rsidRPr="00E7615A">
        <w:rPr>
          <w:rFonts w:ascii="Book Antiqua" w:hAnsi="Book Antiqua"/>
          <w:bCs/>
          <w:color w:val="000000" w:themeColor="text1"/>
          <w:sz w:val="24"/>
          <w:szCs w:val="24"/>
          <w:lang w:val="en-US" w:eastAsia="zh-CN"/>
        </w:rPr>
        <w:t xml:space="preserve"> </w:t>
      </w:r>
      <w:r w:rsidR="00AF7ECD" w:rsidRPr="00E7615A">
        <w:rPr>
          <w:rFonts w:ascii="Book Antiqua" w:hAnsi="Book Antiqua"/>
          <w:bCs/>
          <w:color w:val="000000" w:themeColor="text1"/>
          <w:sz w:val="24"/>
          <w:szCs w:val="24"/>
          <w:lang w:val="en-US"/>
        </w:rPr>
        <w:t>80336</w:t>
      </w:r>
      <w:r w:rsidR="00A346FC" w:rsidRPr="00E7615A">
        <w:rPr>
          <w:rFonts w:ascii="Book Antiqua" w:hAnsi="Book Antiqua"/>
          <w:bCs/>
          <w:color w:val="000000" w:themeColor="text1"/>
          <w:sz w:val="24"/>
          <w:szCs w:val="24"/>
          <w:lang w:val="en-US"/>
        </w:rPr>
        <w:t>, Germany</w:t>
      </w:r>
    </w:p>
    <w:p w14:paraId="73D0C4ED" w14:textId="77777777" w:rsidR="00A346FC" w:rsidRPr="00E7615A" w:rsidRDefault="00A346FC" w:rsidP="00D048E9">
      <w:pPr>
        <w:widowControl w:val="0"/>
        <w:tabs>
          <w:tab w:val="left" w:pos="144"/>
        </w:tabs>
        <w:adjustRightInd w:val="0"/>
        <w:snapToGrid w:val="0"/>
        <w:spacing w:after="0" w:line="360" w:lineRule="auto"/>
        <w:jc w:val="both"/>
        <w:rPr>
          <w:rFonts w:ascii="Book Antiqua" w:hAnsi="Book Antiqua"/>
          <w:bCs/>
          <w:color w:val="000000" w:themeColor="text1"/>
          <w:sz w:val="24"/>
          <w:szCs w:val="24"/>
          <w:lang w:val="en-US"/>
        </w:rPr>
      </w:pPr>
    </w:p>
    <w:p w14:paraId="2B1FBB00" w14:textId="64210771" w:rsidR="00A346FC" w:rsidRPr="00E7615A" w:rsidRDefault="00A346FC" w:rsidP="00D048E9">
      <w:pPr>
        <w:widowControl w:val="0"/>
        <w:tabs>
          <w:tab w:val="left" w:pos="144"/>
        </w:tabs>
        <w:adjustRightInd w:val="0"/>
        <w:snapToGrid w:val="0"/>
        <w:spacing w:after="0" w:line="360" w:lineRule="auto"/>
        <w:jc w:val="both"/>
        <w:rPr>
          <w:rFonts w:ascii="Book Antiqua" w:hAnsi="Book Antiqua"/>
          <w:color w:val="000000" w:themeColor="text1"/>
          <w:sz w:val="24"/>
          <w:szCs w:val="24"/>
        </w:rPr>
      </w:pPr>
      <w:r w:rsidRPr="00E7615A">
        <w:rPr>
          <w:rFonts w:ascii="Book Antiqua" w:hAnsi="Book Antiqua"/>
          <w:b/>
          <w:color w:val="000000" w:themeColor="text1"/>
          <w:sz w:val="24"/>
          <w:szCs w:val="24"/>
        </w:rPr>
        <w:t xml:space="preserve">Christopher Alt, </w:t>
      </w:r>
      <w:r w:rsidR="00AF7ECD" w:rsidRPr="00E7615A">
        <w:rPr>
          <w:rFonts w:ascii="Book Antiqua" w:hAnsi="Book Antiqua"/>
          <w:b/>
          <w:color w:val="000000" w:themeColor="text1"/>
          <w:sz w:val="24"/>
          <w:szCs w:val="24"/>
        </w:rPr>
        <w:t>Eckhard U Alt,</w:t>
      </w:r>
      <w:r w:rsidR="00AF7ECD" w:rsidRPr="00E7615A">
        <w:rPr>
          <w:rFonts w:ascii="Book Antiqua" w:hAnsi="Book Antiqua"/>
          <w:b/>
          <w:color w:val="000000" w:themeColor="text1"/>
          <w:sz w:val="24"/>
          <w:szCs w:val="24"/>
          <w:lang w:eastAsia="zh-CN"/>
        </w:rPr>
        <w:t xml:space="preserve"> </w:t>
      </w:r>
      <w:r w:rsidRPr="00E7615A">
        <w:rPr>
          <w:rFonts w:ascii="Book Antiqua" w:hAnsi="Book Antiqua"/>
          <w:color w:val="000000" w:themeColor="text1"/>
          <w:sz w:val="24"/>
          <w:szCs w:val="24"/>
        </w:rPr>
        <w:t>InGeneron GmbH, Munich</w:t>
      </w:r>
      <w:r w:rsidR="00AF7ECD" w:rsidRPr="00E7615A">
        <w:rPr>
          <w:rFonts w:ascii="Book Antiqua" w:hAnsi="Book Antiqua"/>
          <w:color w:val="000000" w:themeColor="text1"/>
          <w:sz w:val="24"/>
          <w:szCs w:val="24"/>
          <w:lang w:eastAsia="zh-CN"/>
        </w:rPr>
        <w:t xml:space="preserve"> </w:t>
      </w:r>
      <w:r w:rsidR="00AF7ECD" w:rsidRPr="00E7615A">
        <w:rPr>
          <w:rFonts w:ascii="Book Antiqua" w:hAnsi="Book Antiqua"/>
          <w:color w:val="000000" w:themeColor="text1"/>
          <w:sz w:val="24"/>
          <w:szCs w:val="24"/>
        </w:rPr>
        <w:t>80331</w:t>
      </w:r>
      <w:r w:rsidRPr="00E7615A">
        <w:rPr>
          <w:rFonts w:ascii="Book Antiqua" w:hAnsi="Book Antiqua"/>
          <w:color w:val="000000" w:themeColor="text1"/>
          <w:sz w:val="24"/>
          <w:szCs w:val="24"/>
        </w:rPr>
        <w:t>, Germany</w:t>
      </w:r>
    </w:p>
    <w:p w14:paraId="0E06A7E8" w14:textId="77777777" w:rsidR="00A346FC" w:rsidRPr="00E7615A" w:rsidRDefault="00A346FC" w:rsidP="00D048E9">
      <w:pPr>
        <w:widowControl w:val="0"/>
        <w:tabs>
          <w:tab w:val="left" w:pos="144"/>
        </w:tabs>
        <w:adjustRightInd w:val="0"/>
        <w:snapToGrid w:val="0"/>
        <w:spacing w:after="0" w:line="360" w:lineRule="auto"/>
        <w:jc w:val="both"/>
        <w:rPr>
          <w:rFonts w:ascii="Book Antiqua" w:hAnsi="Book Antiqua"/>
          <w:color w:val="000000" w:themeColor="text1"/>
          <w:sz w:val="24"/>
          <w:szCs w:val="24"/>
        </w:rPr>
      </w:pPr>
    </w:p>
    <w:p w14:paraId="17ACCAA1" w14:textId="71302CB6" w:rsidR="00AF7ECD" w:rsidRPr="00E7615A" w:rsidRDefault="00AF7ECD" w:rsidP="00D048E9">
      <w:pPr>
        <w:widowControl w:val="0"/>
        <w:tabs>
          <w:tab w:val="left" w:pos="144"/>
        </w:tabs>
        <w:adjustRightInd w:val="0"/>
        <w:snapToGrid w:val="0"/>
        <w:spacing w:after="0" w:line="360" w:lineRule="auto"/>
        <w:jc w:val="both"/>
        <w:rPr>
          <w:rFonts w:ascii="Book Antiqua" w:hAnsi="Book Antiqua"/>
          <w:color w:val="000000" w:themeColor="text1"/>
          <w:sz w:val="24"/>
          <w:szCs w:val="24"/>
          <w:lang w:eastAsia="zh-CN"/>
        </w:rPr>
      </w:pPr>
      <w:r w:rsidRPr="00E7615A">
        <w:rPr>
          <w:rFonts w:ascii="Book Antiqua" w:hAnsi="Book Antiqua"/>
          <w:b/>
          <w:color w:val="000000" w:themeColor="text1"/>
          <w:sz w:val="24"/>
          <w:szCs w:val="24"/>
        </w:rPr>
        <w:t>Eckhard U</w:t>
      </w:r>
      <w:r w:rsidR="00B51F70" w:rsidRPr="00E7615A">
        <w:rPr>
          <w:rFonts w:ascii="Book Antiqua" w:hAnsi="Book Antiqua"/>
          <w:b/>
          <w:color w:val="000000" w:themeColor="text1"/>
          <w:sz w:val="24"/>
          <w:szCs w:val="24"/>
        </w:rPr>
        <w:t xml:space="preserve"> Alt, </w:t>
      </w:r>
      <w:r w:rsidR="00B51F70" w:rsidRPr="00E7615A">
        <w:rPr>
          <w:rFonts w:ascii="Book Antiqua" w:hAnsi="Book Antiqua"/>
          <w:color w:val="000000" w:themeColor="text1"/>
          <w:sz w:val="24"/>
          <w:szCs w:val="24"/>
        </w:rPr>
        <w:t>InGeneron, Inc., Houston, TX 77054, U</w:t>
      </w:r>
      <w:r w:rsidRPr="00E7615A">
        <w:rPr>
          <w:rFonts w:ascii="Book Antiqua" w:hAnsi="Book Antiqua"/>
          <w:color w:val="000000" w:themeColor="text1"/>
          <w:sz w:val="24"/>
          <w:szCs w:val="24"/>
          <w:lang w:eastAsia="zh-CN"/>
        </w:rPr>
        <w:t>nited States</w:t>
      </w:r>
    </w:p>
    <w:p w14:paraId="4BEABF53" w14:textId="77777777" w:rsidR="00AF7ECD" w:rsidRPr="00E7615A" w:rsidRDefault="00AF7ECD" w:rsidP="00D048E9">
      <w:pPr>
        <w:widowControl w:val="0"/>
        <w:tabs>
          <w:tab w:val="left" w:pos="144"/>
        </w:tabs>
        <w:adjustRightInd w:val="0"/>
        <w:snapToGrid w:val="0"/>
        <w:spacing w:after="0" w:line="360" w:lineRule="auto"/>
        <w:jc w:val="both"/>
        <w:rPr>
          <w:rFonts w:ascii="Book Antiqua" w:hAnsi="Book Antiqua"/>
          <w:color w:val="000000" w:themeColor="text1"/>
          <w:sz w:val="24"/>
          <w:szCs w:val="24"/>
          <w:lang w:eastAsia="zh-CN"/>
        </w:rPr>
      </w:pPr>
    </w:p>
    <w:p w14:paraId="6500C13E" w14:textId="756F4620" w:rsidR="00847D7E" w:rsidRPr="00E7615A" w:rsidRDefault="00AF7ECD" w:rsidP="00D048E9">
      <w:pPr>
        <w:widowControl w:val="0"/>
        <w:tabs>
          <w:tab w:val="left" w:pos="144"/>
        </w:tabs>
        <w:adjustRightInd w:val="0"/>
        <w:snapToGrid w:val="0"/>
        <w:spacing w:after="0" w:line="360" w:lineRule="auto"/>
        <w:jc w:val="both"/>
        <w:rPr>
          <w:rFonts w:ascii="Book Antiqua" w:hAnsi="Book Antiqua"/>
          <w:color w:val="000000" w:themeColor="text1"/>
          <w:sz w:val="24"/>
          <w:szCs w:val="24"/>
          <w:lang w:eastAsia="zh-CN"/>
        </w:rPr>
      </w:pPr>
      <w:r w:rsidRPr="00E7615A">
        <w:rPr>
          <w:rFonts w:ascii="Book Antiqua" w:hAnsi="Book Antiqua"/>
          <w:b/>
          <w:color w:val="000000" w:themeColor="text1"/>
          <w:sz w:val="24"/>
          <w:szCs w:val="24"/>
        </w:rPr>
        <w:t>Eckhard U Alt,</w:t>
      </w:r>
      <w:r w:rsidRPr="00E7615A">
        <w:rPr>
          <w:rFonts w:ascii="Book Antiqua" w:hAnsi="Book Antiqua"/>
          <w:b/>
          <w:color w:val="000000" w:themeColor="text1"/>
          <w:sz w:val="24"/>
          <w:szCs w:val="24"/>
          <w:lang w:eastAsia="zh-CN"/>
        </w:rPr>
        <w:t xml:space="preserve"> </w:t>
      </w:r>
      <w:r w:rsidR="00B51F70" w:rsidRPr="00E7615A">
        <w:rPr>
          <w:rFonts w:ascii="Book Antiqua" w:hAnsi="Book Antiqua"/>
          <w:color w:val="000000" w:themeColor="text1"/>
          <w:sz w:val="24"/>
          <w:szCs w:val="24"/>
        </w:rPr>
        <w:t>Isar Klinikum Munich, 80331 Munich, Germany</w:t>
      </w:r>
    </w:p>
    <w:p w14:paraId="5194F1AB" w14:textId="77777777" w:rsidR="00B51F70" w:rsidRPr="00E7615A" w:rsidRDefault="00B51F70" w:rsidP="00D048E9">
      <w:pPr>
        <w:widowControl w:val="0"/>
        <w:tabs>
          <w:tab w:val="left" w:pos="144"/>
        </w:tabs>
        <w:adjustRightInd w:val="0"/>
        <w:snapToGrid w:val="0"/>
        <w:spacing w:after="0" w:line="360" w:lineRule="auto"/>
        <w:jc w:val="both"/>
        <w:rPr>
          <w:rFonts w:ascii="Book Antiqua" w:hAnsi="Book Antiqua"/>
          <w:b/>
          <w:bCs/>
          <w:color w:val="000000" w:themeColor="text1"/>
          <w:sz w:val="24"/>
          <w:szCs w:val="24"/>
        </w:rPr>
      </w:pPr>
    </w:p>
    <w:p w14:paraId="69024DA6" w14:textId="42511268" w:rsidR="00847D7E" w:rsidRPr="00E7615A" w:rsidRDefault="00847D7E" w:rsidP="00D048E9">
      <w:pPr>
        <w:widowControl w:val="0"/>
        <w:tabs>
          <w:tab w:val="left" w:pos="144"/>
        </w:tabs>
        <w:adjustRightInd w:val="0"/>
        <w:snapToGrid w:val="0"/>
        <w:spacing w:after="0" w:line="360" w:lineRule="auto"/>
        <w:jc w:val="both"/>
        <w:rPr>
          <w:rFonts w:ascii="Book Antiqua" w:hAnsi="Book Antiqua"/>
          <w:bCs/>
          <w:color w:val="000000" w:themeColor="text1"/>
          <w:sz w:val="24"/>
          <w:szCs w:val="24"/>
        </w:rPr>
      </w:pPr>
      <w:r w:rsidRPr="00E7615A">
        <w:rPr>
          <w:rFonts w:ascii="Book Antiqua" w:hAnsi="Book Antiqua"/>
          <w:b/>
          <w:bCs/>
          <w:color w:val="000000" w:themeColor="text1"/>
          <w:sz w:val="24"/>
          <w:szCs w:val="24"/>
        </w:rPr>
        <w:t>ORCID number:</w:t>
      </w:r>
      <w:r w:rsidRPr="00E7615A">
        <w:rPr>
          <w:rFonts w:ascii="Book Antiqua" w:hAnsi="Book Antiqua"/>
          <w:bCs/>
          <w:color w:val="000000" w:themeColor="text1"/>
          <w:sz w:val="24"/>
          <w:szCs w:val="24"/>
        </w:rPr>
        <w:t xml:space="preserve"> Önder Solakoglu (</w:t>
      </w:r>
      <w:r w:rsidR="009435E6" w:rsidRPr="00E7615A">
        <w:rPr>
          <w:rFonts w:ascii="Book Antiqua" w:hAnsi="Book Antiqua"/>
          <w:bCs/>
          <w:color w:val="000000" w:themeColor="text1"/>
          <w:sz w:val="24"/>
          <w:szCs w:val="24"/>
        </w:rPr>
        <w:t>0000-0002-0046-3457</w:t>
      </w:r>
      <w:r w:rsidRPr="00E7615A">
        <w:rPr>
          <w:rFonts w:ascii="Book Antiqua" w:hAnsi="Book Antiqua"/>
          <w:bCs/>
          <w:color w:val="000000" w:themeColor="text1"/>
          <w:sz w:val="24"/>
          <w:szCs w:val="24"/>
        </w:rPr>
        <w:t>)</w:t>
      </w:r>
      <w:r w:rsidR="00AF7ECD" w:rsidRPr="00E7615A">
        <w:rPr>
          <w:rFonts w:ascii="Book Antiqua" w:hAnsi="Book Antiqua"/>
          <w:bCs/>
          <w:color w:val="000000" w:themeColor="text1"/>
          <w:sz w:val="24"/>
          <w:szCs w:val="24"/>
          <w:lang w:eastAsia="zh-CN"/>
        </w:rPr>
        <w:t>;</w:t>
      </w:r>
      <w:r w:rsidRPr="00E7615A">
        <w:rPr>
          <w:rFonts w:ascii="Book Antiqua" w:hAnsi="Book Antiqua"/>
          <w:bCs/>
          <w:color w:val="000000" w:themeColor="text1"/>
          <w:sz w:val="24"/>
          <w:szCs w:val="24"/>
        </w:rPr>
        <w:t xml:space="preserve"> Werner Götz (</w:t>
      </w:r>
      <w:r w:rsidR="001C2C87" w:rsidRPr="00E7615A">
        <w:rPr>
          <w:rFonts w:ascii="Book Antiqua" w:hAnsi="Book Antiqua"/>
          <w:bCs/>
          <w:color w:val="000000" w:themeColor="text1"/>
          <w:sz w:val="24"/>
          <w:szCs w:val="24"/>
        </w:rPr>
        <w:t>0000-0001-9975-5793</w:t>
      </w:r>
      <w:r w:rsidRPr="00E7615A">
        <w:rPr>
          <w:rFonts w:ascii="Book Antiqua" w:hAnsi="Book Antiqua"/>
          <w:bCs/>
          <w:color w:val="000000" w:themeColor="text1"/>
          <w:sz w:val="24"/>
          <w:szCs w:val="24"/>
        </w:rPr>
        <w:t>)</w:t>
      </w:r>
      <w:r w:rsidR="00AF7ECD" w:rsidRPr="00E7615A">
        <w:rPr>
          <w:rFonts w:ascii="Book Antiqua" w:hAnsi="Book Antiqua"/>
          <w:bCs/>
          <w:color w:val="000000" w:themeColor="text1"/>
          <w:sz w:val="24"/>
          <w:szCs w:val="24"/>
          <w:lang w:eastAsia="zh-CN"/>
        </w:rPr>
        <w:t>;</w:t>
      </w:r>
      <w:r w:rsidR="00AF7ECD" w:rsidRPr="00E7615A">
        <w:rPr>
          <w:rFonts w:ascii="Book Antiqua" w:hAnsi="Book Antiqua"/>
          <w:bCs/>
          <w:color w:val="000000" w:themeColor="text1"/>
          <w:sz w:val="24"/>
          <w:szCs w:val="24"/>
        </w:rPr>
        <w:t xml:space="preserve"> Maren C</w:t>
      </w:r>
      <w:r w:rsidRPr="00E7615A">
        <w:rPr>
          <w:rFonts w:ascii="Book Antiqua" w:hAnsi="Book Antiqua"/>
          <w:bCs/>
          <w:color w:val="000000" w:themeColor="text1"/>
          <w:sz w:val="24"/>
          <w:szCs w:val="24"/>
        </w:rPr>
        <w:t xml:space="preserve"> Kiessling (</w:t>
      </w:r>
      <w:r w:rsidR="001C2C87" w:rsidRPr="00E7615A">
        <w:rPr>
          <w:rFonts w:ascii="Book Antiqua" w:hAnsi="Book Antiqua"/>
          <w:bCs/>
          <w:color w:val="000000" w:themeColor="text1"/>
          <w:sz w:val="24"/>
          <w:szCs w:val="24"/>
        </w:rPr>
        <w:t>0000-0001-9261-6993</w:t>
      </w:r>
      <w:r w:rsidRPr="00E7615A">
        <w:rPr>
          <w:rFonts w:ascii="Book Antiqua" w:hAnsi="Book Antiqua"/>
          <w:bCs/>
          <w:color w:val="000000" w:themeColor="text1"/>
          <w:sz w:val="24"/>
          <w:szCs w:val="24"/>
        </w:rPr>
        <w:t>)</w:t>
      </w:r>
      <w:r w:rsidR="00AF7ECD" w:rsidRPr="00E7615A">
        <w:rPr>
          <w:rFonts w:ascii="Book Antiqua" w:hAnsi="Book Antiqua"/>
          <w:bCs/>
          <w:color w:val="000000" w:themeColor="text1"/>
          <w:sz w:val="24"/>
          <w:szCs w:val="24"/>
          <w:lang w:eastAsia="zh-CN"/>
        </w:rPr>
        <w:t>;</w:t>
      </w:r>
      <w:r w:rsidRPr="00E7615A">
        <w:rPr>
          <w:rFonts w:ascii="Book Antiqua" w:hAnsi="Book Antiqua"/>
          <w:bCs/>
          <w:color w:val="000000" w:themeColor="text1"/>
          <w:sz w:val="24"/>
          <w:szCs w:val="24"/>
        </w:rPr>
        <w:t xml:space="preserve"> Christopher Alt (</w:t>
      </w:r>
      <w:r w:rsidR="00180411" w:rsidRPr="00E7615A">
        <w:rPr>
          <w:rFonts w:ascii="Book Antiqua" w:hAnsi="Book Antiqua"/>
          <w:bCs/>
          <w:color w:val="000000" w:themeColor="text1"/>
          <w:sz w:val="24"/>
          <w:szCs w:val="24"/>
        </w:rPr>
        <w:t>0000-0003-1487-4502</w:t>
      </w:r>
      <w:r w:rsidRPr="00E7615A">
        <w:rPr>
          <w:rFonts w:ascii="Book Antiqua" w:hAnsi="Book Antiqua"/>
          <w:bCs/>
          <w:color w:val="000000" w:themeColor="text1"/>
          <w:sz w:val="24"/>
          <w:szCs w:val="24"/>
        </w:rPr>
        <w:t>)</w:t>
      </w:r>
      <w:r w:rsidR="00AF7ECD" w:rsidRPr="00E7615A">
        <w:rPr>
          <w:rFonts w:ascii="Book Antiqua" w:hAnsi="Book Antiqua"/>
          <w:bCs/>
          <w:color w:val="000000" w:themeColor="text1"/>
          <w:sz w:val="24"/>
          <w:szCs w:val="24"/>
          <w:lang w:eastAsia="zh-CN"/>
        </w:rPr>
        <w:t>;</w:t>
      </w:r>
      <w:r w:rsidRPr="00E7615A">
        <w:rPr>
          <w:rFonts w:ascii="Book Antiqua" w:hAnsi="Book Antiqua"/>
          <w:bCs/>
          <w:color w:val="000000" w:themeColor="text1"/>
          <w:sz w:val="24"/>
          <w:szCs w:val="24"/>
        </w:rPr>
        <w:t xml:space="preserve"> Christoph Schmitz (0000-0002-4065-1241)</w:t>
      </w:r>
      <w:r w:rsidR="00AF7ECD" w:rsidRPr="00E7615A">
        <w:rPr>
          <w:rFonts w:ascii="Book Antiqua" w:hAnsi="Book Antiqua"/>
          <w:bCs/>
          <w:color w:val="000000" w:themeColor="text1"/>
          <w:sz w:val="24"/>
          <w:szCs w:val="24"/>
          <w:lang w:eastAsia="zh-CN"/>
        </w:rPr>
        <w:t>;</w:t>
      </w:r>
      <w:r w:rsidR="00AF7ECD" w:rsidRPr="00E7615A">
        <w:rPr>
          <w:rFonts w:ascii="Book Antiqua" w:hAnsi="Book Antiqua"/>
          <w:bCs/>
          <w:color w:val="000000" w:themeColor="text1"/>
          <w:sz w:val="24"/>
          <w:szCs w:val="24"/>
        </w:rPr>
        <w:t xml:space="preserve"> Eckhard U</w:t>
      </w:r>
      <w:r w:rsidRPr="00E7615A">
        <w:rPr>
          <w:rFonts w:ascii="Book Antiqua" w:hAnsi="Book Antiqua"/>
          <w:bCs/>
          <w:color w:val="000000" w:themeColor="text1"/>
          <w:sz w:val="24"/>
          <w:szCs w:val="24"/>
        </w:rPr>
        <w:t xml:space="preserve"> Alt (</w:t>
      </w:r>
      <w:r w:rsidR="00B51F70" w:rsidRPr="00E7615A">
        <w:rPr>
          <w:rFonts w:ascii="Book Antiqua" w:hAnsi="Book Antiqua"/>
          <w:bCs/>
          <w:color w:val="000000" w:themeColor="text1"/>
          <w:sz w:val="24"/>
          <w:szCs w:val="24"/>
        </w:rPr>
        <w:t>0000-0002-6687-139X</w:t>
      </w:r>
      <w:r w:rsidRPr="00E7615A">
        <w:rPr>
          <w:rFonts w:ascii="Book Antiqua" w:hAnsi="Book Antiqua"/>
          <w:bCs/>
          <w:color w:val="000000" w:themeColor="text1"/>
          <w:sz w:val="24"/>
          <w:szCs w:val="24"/>
        </w:rPr>
        <w:t>).</w:t>
      </w:r>
    </w:p>
    <w:p w14:paraId="0B1539D2" w14:textId="77777777" w:rsidR="00847D7E" w:rsidRPr="00E7615A" w:rsidRDefault="00847D7E" w:rsidP="00D048E9">
      <w:pPr>
        <w:widowControl w:val="0"/>
        <w:tabs>
          <w:tab w:val="left" w:pos="144"/>
        </w:tabs>
        <w:adjustRightInd w:val="0"/>
        <w:snapToGrid w:val="0"/>
        <w:spacing w:after="0" w:line="360" w:lineRule="auto"/>
        <w:jc w:val="both"/>
        <w:rPr>
          <w:rFonts w:ascii="Book Antiqua" w:hAnsi="Book Antiqua"/>
          <w:bCs/>
          <w:color w:val="000000" w:themeColor="text1"/>
          <w:sz w:val="24"/>
          <w:szCs w:val="24"/>
        </w:rPr>
      </w:pPr>
    </w:p>
    <w:p w14:paraId="6F2B474D" w14:textId="1392F2C2" w:rsidR="00847D7E" w:rsidRPr="00E7615A" w:rsidRDefault="00847D7E" w:rsidP="00D048E9">
      <w:pPr>
        <w:widowControl w:val="0"/>
        <w:tabs>
          <w:tab w:val="left" w:pos="144"/>
        </w:tabs>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b/>
          <w:color w:val="000000" w:themeColor="text1"/>
          <w:sz w:val="24"/>
          <w:szCs w:val="24"/>
          <w:lang w:val="en-US"/>
        </w:rPr>
        <w:t>Author contributions:</w:t>
      </w:r>
      <w:r w:rsidRPr="00E7615A">
        <w:rPr>
          <w:rFonts w:ascii="Book Antiqua" w:hAnsi="Book Antiqua"/>
          <w:color w:val="000000" w:themeColor="text1"/>
          <w:sz w:val="24"/>
          <w:szCs w:val="24"/>
          <w:lang w:val="en-US"/>
        </w:rPr>
        <w:t xml:space="preserve"> Solakoglu </w:t>
      </w:r>
      <w:bookmarkStart w:id="4" w:name="OLE_LINK152"/>
      <w:bookmarkStart w:id="5" w:name="OLE_LINK153"/>
      <w:r w:rsidRPr="00E7615A">
        <w:rPr>
          <w:rFonts w:ascii="Book Antiqua" w:hAnsi="Book Antiqua"/>
          <w:color w:val="000000" w:themeColor="text1"/>
          <w:sz w:val="24"/>
          <w:szCs w:val="24"/>
          <w:lang w:val="en-US"/>
        </w:rPr>
        <w:t>Ö</w:t>
      </w:r>
      <w:bookmarkEnd w:id="4"/>
      <w:bookmarkEnd w:id="5"/>
      <w:r w:rsidRPr="00E7615A">
        <w:rPr>
          <w:rFonts w:ascii="Book Antiqua" w:hAnsi="Book Antiqua"/>
          <w:color w:val="000000" w:themeColor="text1"/>
          <w:sz w:val="24"/>
          <w:szCs w:val="24"/>
          <w:lang w:val="en-US"/>
        </w:rPr>
        <w:t>, Götz W, Alt C and Alt EU designed the report; Solakoglu Ö and Götz W collected the patient’s clinical data; Solakoglu Ö, Götz W, Kiessling MC, Alt C, Schmitz C and Alt EU analyzed the data and wrote the paper.</w:t>
      </w:r>
    </w:p>
    <w:p w14:paraId="68A789B3" w14:textId="77777777" w:rsidR="00A37FD9" w:rsidRPr="00E7615A" w:rsidRDefault="00A37FD9" w:rsidP="00D048E9">
      <w:pPr>
        <w:widowControl w:val="0"/>
        <w:tabs>
          <w:tab w:val="left" w:pos="144"/>
        </w:tabs>
        <w:autoSpaceDE w:val="0"/>
        <w:autoSpaceDN w:val="0"/>
        <w:adjustRightInd w:val="0"/>
        <w:snapToGrid w:val="0"/>
        <w:spacing w:after="0" w:line="360" w:lineRule="auto"/>
        <w:jc w:val="both"/>
        <w:rPr>
          <w:rFonts w:ascii="Book Antiqua" w:hAnsi="Book Antiqua"/>
          <w:b/>
          <w:bCs/>
          <w:color w:val="000000" w:themeColor="text1"/>
          <w:sz w:val="24"/>
          <w:szCs w:val="24"/>
          <w:lang w:val="en-US" w:eastAsia="zh-CN"/>
        </w:rPr>
      </w:pPr>
    </w:p>
    <w:p w14:paraId="5CBF55F3" w14:textId="61A11C8D" w:rsidR="00847D7E" w:rsidRPr="00E7615A" w:rsidRDefault="00847D7E"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val="en-US"/>
        </w:rPr>
      </w:pPr>
      <w:r w:rsidRPr="00E7615A">
        <w:rPr>
          <w:rFonts w:ascii="Book Antiqua" w:hAnsi="Book Antiqua"/>
          <w:b/>
          <w:bCs/>
          <w:color w:val="000000" w:themeColor="text1"/>
          <w:sz w:val="24"/>
          <w:szCs w:val="24"/>
          <w:lang w:val="en-US"/>
        </w:rPr>
        <w:t>Informed consent statement:</w:t>
      </w:r>
      <w:r w:rsidRPr="00E7615A">
        <w:rPr>
          <w:rFonts w:ascii="Book Antiqua" w:hAnsi="Book Antiqua"/>
          <w:bCs/>
          <w:color w:val="000000" w:themeColor="text1"/>
          <w:sz w:val="24"/>
          <w:szCs w:val="24"/>
          <w:lang w:val="en-US"/>
        </w:rPr>
        <w:t xml:space="preserve"> Consent was obtained from the patient for publication of this report and any accompanying images.</w:t>
      </w:r>
    </w:p>
    <w:p w14:paraId="63C397BD" w14:textId="77777777" w:rsidR="00847D7E" w:rsidRPr="00E7615A" w:rsidRDefault="00847D7E"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val="en-US"/>
        </w:rPr>
      </w:pPr>
    </w:p>
    <w:p w14:paraId="59726A14" w14:textId="29117CA4" w:rsidR="00847D7E" w:rsidRPr="00E7615A" w:rsidRDefault="003E1CCA"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val="en-US" w:eastAsia="zh-CN"/>
        </w:rPr>
      </w:pPr>
      <w:bookmarkStart w:id="6" w:name="OLE_LINK442"/>
      <w:bookmarkStart w:id="7" w:name="OLE_LINK443"/>
      <w:r w:rsidRPr="00E7615A">
        <w:rPr>
          <w:rFonts w:ascii="Book Antiqua" w:hAnsi="Book Antiqua"/>
          <w:b/>
          <w:sz w:val="24"/>
          <w:szCs w:val="24"/>
        </w:rPr>
        <w:t>Conflict-of-interest statement</w:t>
      </w:r>
      <w:r w:rsidRPr="00E7615A">
        <w:rPr>
          <w:rFonts w:ascii="Book Antiqua" w:hAnsi="Book Antiqua" w:cs="TimesNewRomanPS-BoldItalicMT"/>
          <w:b/>
          <w:iCs/>
          <w:sz w:val="24"/>
          <w:szCs w:val="24"/>
        </w:rPr>
        <w:t xml:space="preserve">: </w:t>
      </w:r>
      <w:r w:rsidRPr="00E7615A">
        <w:rPr>
          <w:rFonts w:ascii="Book Antiqua" w:hAnsi="Book Antiqua"/>
          <w:sz w:val="24"/>
          <w:szCs w:val="24"/>
        </w:rPr>
        <w:t>All authors have no conflicts of interest to report.</w:t>
      </w:r>
      <w:bookmarkEnd w:id="6"/>
      <w:bookmarkEnd w:id="7"/>
    </w:p>
    <w:p w14:paraId="7D1FE393" w14:textId="77777777" w:rsidR="00FD702E" w:rsidRPr="00E7615A" w:rsidRDefault="00FD702E"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val="en-US" w:eastAsia="zh-CN"/>
        </w:rPr>
      </w:pPr>
    </w:p>
    <w:p w14:paraId="7CEECFA1" w14:textId="77777777" w:rsidR="005846AF" w:rsidRPr="00E7615A" w:rsidRDefault="005846AF" w:rsidP="00D048E9">
      <w:pPr>
        <w:adjustRightInd w:val="0"/>
        <w:snapToGrid w:val="0"/>
        <w:spacing w:after="0" w:line="360" w:lineRule="auto"/>
        <w:jc w:val="both"/>
        <w:rPr>
          <w:rFonts w:ascii="Book Antiqua" w:hAnsi="Book Antiqua"/>
          <w:color w:val="000000"/>
          <w:sz w:val="24"/>
          <w:szCs w:val="24"/>
        </w:rPr>
      </w:pPr>
      <w:bookmarkStart w:id="8" w:name="OLE_LINK507"/>
      <w:bookmarkStart w:id="9" w:name="OLE_LINK506"/>
      <w:bookmarkStart w:id="10" w:name="OLE_LINK496"/>
      <w:bookmarkStart w:id="11" w:name="OLE_LINK479"/>
      <w:bookmarkStart w:id="12" w:name="OLE_LINK171"/>
      <w:bookmarkStart w:id="13" w:name="OLE_LINK172"/>
      <w:bookmarkStart w:id="14" w:name="OLE_LINK323"/>
      <w:r w:rsidRPr="00E7615A">
        <w:rPr>
          <w:rFonts w:ascii="Book Antiqua" w:hAnsi="Book Antiqua"/>
          <w:b/>
          <w:color w:val="000000"/>
          <w:sz w:val="24"/>
          <w:szCs w:val="24"/>
        </w:rPr>
        <w:t xml:space="preserve">Open-Access: </w:t>
      </w:r>
      <w:bookmarkStart w:id="15" w:name="OLE_LINK144"/>
      <w:bookmarkStart w:id="16" w:name="OLE_LINK146"/>
      <w:bookmarkStart w:id="17" w:name="OLE_LINK191"/>
      <w:r w:rsidRPr="00E7615A">
        <w:rPr>
          <w:rFonts w:ascii="Book Antiqua" w:hAnsi="Book Antiqua"/>
          <w:color w:val="000000"/>
          <w:sz w:val="24"/>
          <w:szCs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bookmarkEnd w:id="8"/>
      <w:bookmarkEnd w:id="9"/>
      <w:bookmarkEnd w:id="10"/>
      <w:bookmarkEnd w:id="11"/>
    </w:p>
    <w:bookmarkEnd w:id="12"/>
    <w:bookmarkEnd w:id="13"/>
    <w:bookmarkEnd w:id="14"/>
    <w:bookmarkEnd w:id="15"/>
    <w:bookmarkEnd w:id="16"/>
    <w:bookmarkEnd w:id="17"/>
    <w:p w14:paraId="5280B5FE" w14:textId="77777777" w:rsidR="005846AF" w:rsidRPr="00E7615A" w:rsidRDefault="005846AF" w:rsidP="00D048E9">
      <w:pPr>
        <w:adjustRightInd w:val="0"/>
        <w:snapToGrid w:val="0"/>
        <w:spacing w:after="0" w:line="360" w:lineRule="auto"/>
        <w:rPr>
          <w:rFonts w:ascii="Book Antiqua" w:hAnsi="Book Antiqua"/>
          <w:b/>
          <w:sz w:val="24"/>
          <w:szCs w:val="24"/>
          <w:lang w:eastAsia="zh-CN"/>
        </w:rPr>
      </w:pPr>
    </w:p>
    <w:p w14:paraId="70A058EF" w14:textId="77777777" w:rsidR="005846AF" w:rsidRPr="00E7615A" w:rsidRDefault="005846AF" w:rsidP="00D048E9">
      <w:pPr>
        <w:adjustRightInd w:val="0"/>
        <w:snapToGrid w:val="0"/>
        <w:spacing w:after="0" w:line="360" w:lineRule="auto"/>
        <w:rPr>
          <w:rFonts w:ascii="Book Antiqua" w:hAnsi="Book Antiqua"/>
          <w:sz w:val="24"/>
          <w:szCs w:val="24"/>
        </w:rPr>
      </w:pPr>
      <w:r w:rsidRPr="00E7615A">
        <w:rPr>
          <w:rFonts w:ascii="Book Antiqua" w:hAnsi="Book Antiqua"/>
          <w:b/>
          <w:sz w:val="24"/>
          <w:szCs w:val="24"/>
        </w:rPr>
        <w:t xml:space="preserve">Manuscript source: </w:t>
      </w:r>
      <w:r w:rsidRPr="00E7615A">
        <w:rPr>
          <w:rFonts w:ascii="Book Antiqua" w:hAnsi="Book Antiqua"/>
          <w:sz w:val="24"/>
          <w:szCs w:val="24"/>
        </w:rPr>
        <w:t>Unsolicited manuscript</w:t>
      </w:r>
    </w:p>
    <w:p w14:paraId="1EE76989" w14:textId="77777777" w:rsidR="003E1CCA" w:rsidRPr="00E7615A" w:rsidRDefault="003E1CCA"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eastAsia="zh-CN"/>
        </w:rPr>
      </w:pPr>
    </w:p>
    <w:p w14:paraId="4833197C" w14:textId="6FA61D95" w:rsidR="00FD702E" w:rsidRPr="00E7615A" w:rsidRDefault="003B1289"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bCs/>
          <w:color w:val="000000" w:themeColor="text1"/>
          <w:sz w:val="24"/>
          <w:szCs w:val="24"/>
          <w:lang w:val="en-US"/>
        </w:rPr>
        <w:t>Corresponding author</w:t>
      </w:r>
      <w:r w:rsidR="00FD702E" w:rsidRPr="00E7615A">
        <w:rPr>
          <w:rFonts w:ascii="Book Antiqua" w:hAnsi="Book Antiqua"/>
          <w:b/>
          <w:bCs/>
          <w:color w:val="000000" w:themeColor="text1"/>
          <w:sz w:val="24"/>
          <w:szCs w:val="24"/>
          <w:lang w:val="en-US"/>
        </w:rPr>
        <w:t xml:space="preserve">: Önder Solakoglu, </w:t>
      </w:r>
      <w:r w:rsidRPr="00E7615A">
        <w:rPr>
          <w:rFonts w:ascii="Book Antiqua" w:hAnsi="Book Antiqua"/>
          <w:b/>
          <w:bCs/>
          <w:color w:val="000000" w:themeColor="text1"/>
          <w:sz w:val="24"/>
          <w:szCs w:val="24"/>
          <w:lang w:val="en-US"/>
        </w:rPr>
        <w:t>DDS,</w:t>
      </w:r>
      <w:r w:rsidRPr="00E7615A">
        <w:rPr>
          <w:rFonts w:ascii="Book Antiqua" w:hAnsi="Book Antiqua"/>
          <w:b/>
          <w:bCs/>
          <w:color w:val="000000" w:themeColor="text1"/>
          <w:sz w:val="24"/>
          <w:szCs w:val="24"/>
          <w:lang w:val="en-US" w:eastAsia="zh-CN"/>
        </w:rPr>
        <w:t xml:space="preserve"> </w:t>
      </w:r>
      <w:r w:rsidRPr="00E7615A">
        <w:rPr>
          <w:rFonts w:ascii="Book Antiqua" w:hAnsi="Book Antiqua"/>
          <w:b/>
          <w:bCs/>
          <w:color w:val="000000" w:themeColor="text1"/>
          <w:sz w:val="24"/>
          <w:szCs w:val="24"/>
          <w:lang w:val="en-US"/>
        </w:rPr>
        <w:t>MSc,</w:t>
      </w:r>
      <w:r w:rsidRPr="00E7615A">
        <w:rPr>
          <w:rFonts w:ascii="Book Antiqua" w:hAnsi="Book Antiqua"/>
          <w:b/>
          <w:bCs/>
          <w:color w:val="000000" w:themeColor="text1"/>
          <w:sz w:val="24"/>
          <w:szCs w:val="24"/>
          <w:lang w:val="en-US" w:eastAsia="zh-CN"/>
        </w:rPr>
        <w:t xml:space="preserve"> </w:t>
      </w:r>
      <w:r w:rsidRPr="00E7615A">
        <w:rPr>
          <w:rFonts w:ascii="Book Antiqua" w:hAnsi="Book Antiqua"/>
          <w:b/>
          <w:bCs/>
          <w:color w:val="000000" w:themeColor="text1"/>
          <w:sz w:val="24"/>
          <w:szCs w:val="24"/>
          <w:lang w:val="en-US"/>
        </w:rPr>
        <w:t>PhD</w:t>
      </w:r>
      <w:r w:rsidR="00FD702E" w:rsidRPr="00E7615A">
        <w:rPr>
          <w:rFonts w:ascii="Book Antiqua" w:hAnsi="Book Antiqua"/>
          <w:b/>
          <w:bCs/>
          <w:color w:val="000000" w:themeColor="text1"/>
          <w:sz w:val="24"/>
          <w:szCs w:val="24"/>
          <w:lang w:val="en-US"/>
        </w:rPr>
        <w:t>,</w:t>
      </w:r>
      <w:r w:rsidR="00FD702E" w:rsidRPr="00E7615A">
        <w:rPr>
          <w:rFonts w:ascii="Book Antiqua" w:hAnsi="Book Antiqua"/>
          <w:bCs/>
          <w:color w:val="000000" w:themeColor="text1"/>
          <w:sz w:val="24"/>
          <w:szCs w:val="24"/>
          <w:lang w:val="en-US"/>
        </w:rPr>
        <w:t xml:space="preserve"> </w:t>
      </w:r>
      <w:r w:rsidRPr="00E7615A">
        <w:rPr>
          <w:rFonts w:ascii="Book Antiqua" w:hAnsi="Book Antiqua"/>
          <w:b/>
          <w:bCs/>
          <w:color w:val="000000" w:themeColor="text1"/>
          <w:sz w:val="24"/>
          <w:szCs w:val="24"/>
          <w:lang w:val="en-US"/>
        </w:rPr>
        <w:t>Adjunct Professor,</w:t>
      </w:r>
      <w:r w:rsidRPr="00E7615A">
        <w:rPr>
          <w:rFonts w:ascii="Book Antiqua" w:hAnsi="Book Antiqua"/>
          <w:b/>
          <w:bCs/>
          <w:color w:val="000000" w:themeColor="text1"/>
          <w:sz w:val="24"/>
          <w:szCs w:val="24"/>
          <w:lang w:val="en-US" w:eastAsia="zh-CN"/>
        </w:rPr>
        <w:t xml:space="preserve"> </w:t>
      </w:r>
      <w:bookmarkStart w:id="18" w:name="OLE_LINK186"/>
      <w:bookmarkStart w:id="19" w:name="OLE_LINK187"/>
      <w:r w:rsidR="00FD702E" w:rsidRPr="00E7615A">
        <w:rPr>
          <w:rFonts w:ascii="Book Antiqua" w:hAnsi="Book Antiqua"/>
          <w:bCs/>
          <w:color w:val="000000" w:themeColor="text1"/>
          <w:sz w:val="24"/>
          <w:szCs w:val="24"/>
          <w:lang w:val="en-US"/>
        </w:rPr>
        <w:t>Clinic for Periodontology and Implantology</w:t>
      </w:r>
      <w:bookmarkEnd w:id="18"/>
      <w:bookmarkEnd w:id="19"/>
      <w:r w:rsidR="00FD702E" w:rsidRPr="00E7615A">
        <w:rPr>
          <w:rFonts w:ascii="Book Antiqua" w:hAnsi="Book Antiqua"/>
          <w:bCs/>
          <w:color w:val="000000" w:themeColor="text1"/>
          <w:sz w:val="24"/>
          <w:szCs w:val="24"/>
          <w:lang w:val="en-US"/>
        </w:rPr>
        <w:t xml:space="preserve">, </w:t>
      </w:r>
      <w:bookmarkStart w:id="20" w:name="OLE_LINK188"/>
      <w:bookmarkStart w:id="21" w:name="OLE_LINK189"/>
      <w:r w:rsidR="00FD702E" w:rsidRPr="00E7615A">
        <w:rPr>
          <w:rFonts w:ascii="Book Antiqua" w:hAnsi="Book Antiqua"/>
          <w:bCs/>
          <w:color w:val="000000" w:themeColor="text1"/>
          <w:sz w:val="24"/>
          <w:szCs w:val="24"/>
          <w:lang w:val="en-US"/>
        </w:rPr>
        <w:t>Groß Borsteler Str. 9</w:t>
      </w:r>
      <w:bookmarkEnd w:id="20"/>
      <w:bookmarkEnd w:id="21"/>
      <w:r w:rsidR="00FD702E" w:rsidRPr="00E7615A">
        <w:rPr>
          <w:rFonts w:ascii="Book Antiqua" w:hAnsi="Book Antiqua"/>
          <w:bCs/>
          <w:color w:val="000000" w:themeColor="text1"/>
          <w:sz w:val="24"/>
          <w:szCs w:val="24"/>
          <w:lang w:val="en-US"/>
        </w:rPr>
        <w:t xml:space="preserve">, </w:t>
      </w:r>
      <w:bookmarkStart w:id="22" w:name="OLE_LINK195"/>
      <w:bookmarkStart w:id="23" w:name="OLE_LINK198"/>
      <w:r w:rsidR="00FD702E" w:rsidRPr="00E7615A">
        <w:rPr>
          <w:rFonts w:ascii="Book Antiqua" w:hAnsi="Book Antiqua"/>
          <w:bCs/>
          <w:color w:val="000000" w:themeColor="text1"/>
          <w:sz w:val="24"/>
          <w:szCs w:val="24"/>
          <w:lang w:val="en-US"/>
        </w:rPr>
        <w:t>Hamburg</w:t>
      </w:r>
      <w:r w:rsidRPr="00E7615A">
        <w:rPr>
          <w:rFonts w:ascii="Book Antiqua" w:hAnsi="Book Antiqua"/>
          <w:bCs/>
          <w:color w:val="000000" w:themeColor="text1"/>
          <w:sz w:val="24"/>
          <w:szCs w:val="24"/>
          <w:lang w:val="en-US" w:eastAsia="zh-CN"/>
        </w:rPr>
        <w:t xml:space="preserve"> </w:t>
      </w:r>
      <w:bookmarkStart w:id="24" w:name="OLE_LINK190"/>
      <w:bookmarkStart w:id="25" w:name="OLE_LINK193"/>
      <w:bookmarkEnd w:id="22"/>
      <w:bookmarkEnd w:id="23"/>
      <w:r w:rsidRPr="00E7615A">
        <w:rPr>
          <w:rFonts w:ascii="Book Antiqua" w:hAnsi="Book Antiqua"/>
          <w:bCs/>
          <w:color w:val="000000" w:themeColor="text1"/>
          <w:sz w:val="24"/>
          <w:szCs w:val="24"/>
          <w:lang w:val="en-US"/>
        </w:rPr>
        <w:t>22453</w:t>
      </w:r>
      <w:bookmarkEnd w:id="24"/>
      <w:bookmarkEnd w:id="25"/>
      <w:r w:rsidR="00FD702E" w:rsidRPr="00E7615A">
        <w:rPr>
          <w:rFonts w:ascii="Book Antiqua" w:hAnsi="Book Antiqua"/>
          <w:bCs/>
          <w:color w:val="000000" w:themeColor="text1"/>
          <w:sz w:val="24"/>
          <w:szCs w:val="24"/>
          <w:lang w:val="en-US"/>
        </w:rPr>
        <w:t>, Germany.</w:t>
      </w:r>
      <w:r w:rsidR="00FD702E" w:rsidRPr="00E7615A">
        <w:rPr>
          <w:rFonts w:ascii="Book Antiqua" w:hAnsi="Book Antiqua"/>
          <w:color w:val="000000" w:themeColor="text1"/>
          <w:sz w:val="24"/>
          <w:szCs w:val="24"/>
          <w:lang w:val="en-US"/>
        </w:rPr>
        <w:t xml:space="preserve"> </w:t>
      </w:r>
      <w:r w:rsidR="00FD702E" w:rsidRPr="00E7615A">
        <w:rPr>
          <w:rFonts w:ascii="Book Antiqua" w:hAnsi="Book Antiqua"/>
          <w:bCs/>
          <w:color w:val="000000" w:themeColor="text1"/>
          <w:sz w:val="24"/>
          <w:szCs w:val="24"/>
          <w:lang w:val="en-US"/>
        </w:rPr>
        <w:t>solakoglu@fpi-hamburg.de</w:t>
      </w:r>
    </w:p>
    <w:p w14:paraId="1DAD101D" w14:textId="77777777" w:rsidR="007F7B7F" w:rsidRDefault="007F7B7F" w:rsidP="00D048E9">
      <w:pPr>
        <w:widowControl w:val="0"/>
        <w:tabs>
          <w:tab w:val="left" w:pos="144"/>
        </w:tabs>
        <w:autoSpaceDE w:val="0"/>
        <w:autoSpaceDN w:val="0"/>
        <w:adjustRightInd w:val="0"/>
        <w:snapToGrid w:val="0"/>
        <w:spacing w:after="0" w:line="360" w:lineRule="auto"/>
        <w:jc w:val="both"/>
        <w:rPr>
          <w:rFonts w:ascii="Book Antiqua" w:hAnsi="Book Antiqua"/>
          <w:b/>
          <w:bCs/>
          <w:color w:val="000000" w:themeColor="text1"/>
          <w:sz w:val="24"/>
          <w:szCs w:val="24"/>
          <w:lang w:val="en-US"/>
        </w:rPr>
      </w:pPr>
    </w:p>
    <w:p w14:paraId="730D781E" w14:textId="4BC69E20" w:rsidR="00FD702E" w:rsidRPr="00E7615A" w:rsidRDefault="00FD702E"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val="en-US"/>
        </w:rPr>
      </w:pPr>
      <w:r w:rsidRPr="00E7615A">
        <w:rPr>
          <w:rFonts w:ascii="Book Antiqua" w:hAnsi="Book Antiqua"/>
          <w:b/>
          <w:bCs/>
          <w:color w:val="000000" w:themeColor="text1"/>
          <w:sz w:val="24"/>
          <w:szCs w:val="24"/>
          <w:lang w:val="en-US"/>
        </w:rPr>
        <w:t>Telephone:</w:t>
      </w:r>
      <w:r w:rsidRPr="00E7615A">
        <w:rPr>
          <w:rFonts w:ascii="Book Antiqua" w:hAnsi="Book Antiqua"/>
          <w:bCs/>
          <w:color w:val="000000" w:themeColor="text1"/>
          <w:sz w:val="24"/>
          <w:szCs w:val="24"/>
          <w:lang w:val="en-US"/>
        </w:rPr>
        <w:t xml:space="preserve"> +49-40-515050</w:t>
      </w:r>
    </w:p>
    <w:p w14:paraId="184E3DE5" w14:textId="68A166A6" w:rsidR="00FD702E" w:rsidRPr="00E7615A" w:rsidRDefault="00FD702E"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val="en-US" w:eastAsia="zh-CN"/>
        </w:rPr>
      </w:pPr>
      <w:r w:rsidRPr="00E7615A">
        <w:rPr>
          <w:rFonts w:ascii="Book Antiqua" w:hAnsi="Book Antiqua"/>
          <w:b/>
          <w:bCs/>
          <w:color w:val="000000" w:themeColor="text1"/>
          <w:sz w:val="24"/>
          <w:szCs w:val="24"/>
          <w:lang w:val="en-US"/>
        </w:rPr>
        <w:t>Fax:</w:t>
      </w:r>
      <w:r w:rsidR="003B1289" w:rsidRPr="00E7615A">
        <w:rPr>
          <w:rFonts w:ascii="Book Antiqua" w:hAnsi="Book Antiqua"/>
          <w:bCs/>
          <w:color w:val="000000" w:themeColor="text1"/>
          <w:sz w:val="24"/>
          <w:szCs w:val="24"/>
          <w:lang w:val="en-US"/>
        </w:rPr>
        <w:t xml:space="preserve"> +49-40-53</w:t>
      </w:r>
      <w:r w:rsidRPr="00E7615A">
        <w:rPr>
          <w:rFonts w:ascii="Book Antiqua" w:hAnsi="Book Antiqua"/>
          <w:bCs/>
          <w:color w:val="000000" w:themeColor="text1"/>
          <w:sz w:val="24"/>
          <w:szCs w:val="24"/>
          <w:lang w:val="en-US"/>
        </w:rPr>
        <w:t>997289</w:t>
      </w:r>
    </w:p>
    <w:p w14:paraId="6393EFE7" w14:textId="77777777" w:rsidR="00A73562" w:rsidRPr="00E7615A" w:rsidRDefault="00A73562" w:rsidP="00D048E9">
      <w:pPr>
        <w:adjustRightInd w:val="0"/>
        <w:snapToGrid w:val="0"/>
        <w:spacing w:after="0" w:line="360" w:lineRule="auto"/>
        <w:rPr>
          <w:rFonts w:ascii="Book Antiqua" w:hAnsi="Book Antiqua"/>
          <w:b/>
          <w:sz w:val="24"/>
          <w:szCs w:val="24"/>
          <w:lang w:eastAsia="zh-CN"/>
        </w:rPr>
      </w:pPr>
    </w:p>
    <w:p w14:paraId="3D67685B" w14:textId="4D725AE5" w:rsidR="00A73562" w:rsidRPr="00E7615A" w:rsidRDefault="00A73562" w:rsidP="00D048E9">
      <w:pPr>
        <w:adjustRightInd w:val="0"/>
        <w:snapToGrid w:val="0"/>
        <w:spacing w:after="0" w:line="360" w:lineRule="auto"/>
        <w:rPr>
          <w:rFonts w:ascii="Book Antiqua" w:hAnsi="Book Antiqua"/>
          <w:b/>
          <w:sz w:val="24"/>
          <w:szCs w:val="24"/>
        </w:rPr>
      </w:pPr>
      <w:r w:rsidRPr="00E7615A">
        <w:rPr>
          <w:rFonts w:ascii="Book Antiqua" w:hAnsi="Book Antiqua"/>
          <w:b/>
          <w:sz w:val="24"/>
          <w:szCs w:val="24"/>
        </w:rPr>
        <w:t xml:space="preserve">Received: </w:t>
      </w:r>
      <w:r w:rsidR="00093722" w:rsidRPr="00E7615A">
        <w:rPr>
          <w:rFonts w:ascii="Book Antiqua" w:hAnsi="Book Antiqua"/>
          <w:sz w:val="24"/>
          <w:szCs w:val="24"/>
        </w:rPr>
        <w:t xml:space="preserve">October </w:t>
      </w:r>
      <w:r w:rsidR="00093722" w:rsidRPr="00E7615A">
        <w:rPr>
          <w:rFonts w:ascii="Book Antiqua" w:hAnsi="Book Antiqua"/>
          <w:sz w:val="24"/>
          <w:szCs w:val="24"/>
          <w:lang w:eastAsia="zh-CN"/>
        </w:rPr>
        <w:t>9</w:t>
      </w:r>
      <w:r w:rsidRPr="00E7615A">
        <w:rPr>
          <w:rFonts w:ascii="Book Antiqua" w:hAnsi="Book Antiqua"/>
          <w:sz w:val="24"/>
          <w:szCs w:val="24"/>
        </w:rPr>
        <w:t>, 2018</w:t>
      </w:r>
      <w:r w:rsidRPr="00E7615A">
        <w:rPr>
          <w:rFonts w:ascii="Book Antiqua" w:hAnsi="Book Antiqua"/>
          <w:b/>
          <w:sz w:val="24"/>
          <w:szCs w:val="24"/>
        </w:rPr>
        <w:t xml:space="preserve">  </w:t>
      </w:r>
    </w:p>
    <w:p w14:paraId="431B3311" w14:textId="57177D77" w:rsidR="00A73562" w:rsidRPr="00E7615A" w:rsidRDefault="00A73562" w:rsidP="00D048E9">
      <w:pPr>
        <w:adjustRightInd w:val="0"/>
        <w:snapToGrid w:val="0"/>
        <w:spacing w:after="0" w:line="360" w:lineRule="auto"/>
        <w:rPr>
          <w:rFonts w:ascii="Book Antiqua" w:hAnsi="Book Antiqua"/>
          <w:b/>
          <w:sz w:val="24"/>
          <w:szCs w:val="24"/>
        </w:rPr>
      </w:pPr>
      <w:r w:rsidRPr="00E7615A">
        <w:rPr>
          <w:rFonts w:ascii="Book Antiqua" w:hAnsi="Book Antiqua"/>
          <w:b/>
          <w:sz w:val="24"/>
          <w:szCs w:val="24"/>
        </w:rPr>
        <w:t xml:space="preserve">Peer-review started: </w:t>
      </w:r>
      <w:r w:rsidR="00A943FC" w:rsidRPr="00E7615A">
        <w:rPr>
          <w:rFonts w:ascii="Book Antiqua" w:hAnsi="Book Antiqua"/>
          <w:sz w:val="24"/>
          <w:szCs w:val="24"/>
        </w:rPr>
        <w:t xml:space="preserve">October </w:t>
      </w:r>
      <w:r w:rsidR="00A943FC" w:rsidRPr="00E7615A">
        <w:rPr>
          <w:rFonts w:ascii="Book Antiqua" w:hAnsi="Book Antiqua"/>
          <w:sz w:val="24"/>
          <w:szCs w:val="24"/>
          <w:lang w:eastAsia="zh-CN"/>
        </w:rPr>
        <w:t>9</w:t>
      </w:r>
      <w:r w:rsidRPr="00E7615A">
        <w:rPr>
          <w:rFonts w:ascii="Book Antiqua" w:hAnsi="Book Antiqua"/>
          <w:sz w:val="24"/>
          <w:szCs w:val="24"/>
        </w:rPr>
        <w:t>, 2018</w:t>
      </w:r>
    </w:p>
    <w:p w14:paraId="0582DC03" w14:textId="52E9DFF7" w:rsidR="00A73562" w:rsidRPr="00E7615A" w:rsidRDefault="00A73562" w:rsidP="00D048E9">
      <w:pPr>
        <w:adjustRightInd w:val="0"/>
        <w:snapToGrid w:val="0"/>
        <w:spacing w:after="0" w:line="360" w:lineRule="auto"/>
        <w:rPr>
          <w:rFonts w:ascii="Book Antiqua" w:hAnsi="Book Antiqua"/>
          <w:b/>
          <w:sz w:val="24"/>
          <w:szCs w:val="24"/>
        </w:rPr>
      </w:pPr>
      <w:r w:rsidRPr="00E7615A">
        <w:rPr>
          <w:rFonts w:ascii="Book Antiqua" w:hAnsi="Book Antiqua"/>
          <w:b/>
          <w:sz w:val="24"/>
          <w:szCs w:val="24"/>
        </w:rPr>
        <w:t xml:space="preserve">First decision: </w:t>
      </w:r>
      <w:r w:rsidR="003750B4" w:rsidRPr="00E7615A">
        <w:rPr>
          <w:rFonts w:ascii="Book Antiqua" w:hAnsi="Book Antiqua"/>
          <w:sz w:val="24"/>
          <w:szCs w:val="24"/>
        </w:rPr>
        <w:t xml:space="preserve">November </w:t>
      </w:r>
      <w:r w:rsidR="003750B4" w:rsidRPr="00E7615A">
        <w:rPr>
          <w:rFonts w:ascii="Book Antiqua" w:hAnsi="Book Antiqua"/>
          <w:sz w:val="24"/>
          <w:szCs w:val="24"/>
          <w:lang w:eastAsia="zh-CN"/>
        </w:rPr>
        <w:t>14</w:t>
      </w:r>
      <w:r w:rsidRPr="00E7615A">
        <w:rPr>
          <w:rFonts w:ascii="Book Antiqua" w:hAnsi="Book Antiqua"/>
          <w:sz w:val="24"/>
          <w:szCs w:val="24"/>
        </w:rPr>
        <w:t>, 2018</w:t>
      </w:r>
    </w:p>
    <w:p w14:paraId="083F017C" w14:textId="72499001" w:rsidR="00A73562" w:rsidRPr="00E7615A" w:rsidRDefault="00A73562" w:rsidP="00D048E9">
      <w:pPr>
        <w:adjustRightInd w:val="0"/>
        <w:snapToGrid w:val="0"/>
        <w:spacing w:after="0" w:line="360" w:lineRule="auto"/>
        <w:rPr>
          <w:rFonts w:ascii="Book Antiqua" w:hAnsi="Book Antiqua"/>
          <w:b/>
          <w:sz w:val="24"/>
          <w:szCs w:val="24"/>
        </w:rPr>
      </w:pPr>
      <w:r w:rsidRPr="00E7615A">
        <w:rPr>
          <w:rFonts w:ascii="Book Antiqua" w:hAnsi="Book Antiqua"/>
          <w:b/>
          <w:sz w:val="24"/>
          <w:szCs w:val="24"/>
        </w:rPr>
        <w:t xml:space="preserve">Revised: </w:t>
      </w:r>
      <w:r w:rsidR="001B5708" w:rsidRPr="00E7615A">
        <w:rPr>
          <w:rFonts w:ascii="Book Antiqua" w:hAnsi="Book Antiqua"/>
          <w:sz w:val="24"/>
          <w:szCs w:val="24"/>
        </w:rPr>
        <w:t xml:space="preserve">December </w:t>
      </w:r>
      <w:r w:rsidR="001B5708" w:rsidRPr="00E7615A">
        <w:rPr>
          <w:rFonts w:ascii="Book Antiqua" w:hAnsi="Book Antiqua"/>
          <w:sz w:val="24"/>
          <w:szCs w:val="24"/>
          <w:lang w:eastAsia="zh-CN"/>
        </w:rPr>
        <w:t>7</w:t>
      </w:r>
      <w:r w:rsidRPr="00E7615A">
        <w:rPr>
          <w:rFonts w:ascii="Book Antiqua" w:hAnsi="Book Antiqua"/>
          <w:sz w:val="24"/>
          <w:szCs w:val="24"/>
        </w:rPr>
        <w:t>, 2018</w:t>
      </w:r>
      <w:r w:rsidRPr="00E7615A">
        <w:rPr>
          <w:rFonts w:ascii="Book Antiqua" w:hAnsi="Book Antiqua"/>
          <w:b/>
          <w:sz w:val="24"/>
          <w:szCs w:val="24"/>
        </w:rPr>
        <w:t xml:space="preserve"> </w:t>
      </w:r>
    </w:p>
    <w:p w14:paraId="7428B3D5" w14:textId="3BA48F96" w:rsidR="00A73562" w:rsidRPr="00E7615A" w:rsidRDefault="00A73562" w:rsidP="00D048E9">
      <w:pPr>
        <w:adjustRightInd w:val="0"/>
        <w:snapToGrid w:val="0"/>
        <w:spacing w:after="0" w:line="360" w:lineRule="auto"/>
        <w:rPr>
          <w:rFonts w:ascii="Book Antiqua" w:hAnsi="Book Antiqua"/>
          <w:b/>
          <w:sz w:val="24"/>
          <w:szCs w:val="24"/>
        </w:rPr>
      </w:pPr>
      <w:r w:rsidRPr="00E7615A">
        <w:rPr>
          <w:rFonts w:ascii="Book Antiqua" w:hAnsi="Book Antiqua"/>
          <w:b/>
          <w:sz w:val="24"/>
          <w:szCs w:val="24"/>
        </w:rPr>
        <w:t xml:space="preserve">Accepted:  </w:t>
      </w:r>
      <w:r w:rsidR="007F7B7F" w:rsidRPr="003642FA">
        <w:rPr>
          <w:rFonts w:ascii="Book Antiqua" w:hAnsi="Book Antiqua"/>
          <w:sz w:val="24"/>
          <w:szCs w:val="24"/>
        </w:rPr>
        <w:t>January 10, 2019</w:t>
      </w:r>
    </w:p>
    <w:p w14:paraId="5887DEA6" w14:textId="77777777" w:rsidR="00A73562" w:rsidRPr="00E7615A" w:rsidRDefault="00A73562" w:rsidP="00D048E9">
      <w:pPr>
        <w:adjustRightInd w:val="0"/>
        <w:snapToGrid w:val="0"/>
        <w:spacing w:after="0" w:line="360" w:lineRule="auto"/>
        <w:rPr>
          <w:rFonts w:ascii="Book Antiqua" w:hAnsi="Book Antiqua"/>
          <w:b/>
          <w:sz w:val="24"/>
          <w:szCs w:val="24"/>
        </w:rPr>
      </w:pPr>
      <w:r w:rsidRPr="00E7615A">
        <w:rPr>
          <w:rFonts w:ascii="Book Antiqua" w:hAnsi="Book Antiqua"/>
          <w:b/>
          <w:sz w:val="24"/>
          <w:szCs w:val="24"/>
        </w:rPr>
        <w:t>Article in press:</w:t>
      </w:r>
    </w:p>
    <w:p w14:paraId="6F757246" w14:textId="77777777" w:rsidR="00A73562" w:rsidRPr="00E7615A" w:rsidRDefault="00A73562" w:rsidP="00D048E9">
      <w:pPr>
        <w:adjustRightInd w:val="0"/>
        <w:snapToGrid w:val="0"/>
        <w:spacing w:after="0" w:line="360" w:lineRule="auto"/>
        <w:rPr>
          <w:rFonts w:ascii="Book Antiqua" w:hAnsi="Book Antiqua"/>
          <w:b/>
          <w:sz w:val="24"/>
          <w:szCs w:val="24"/>
        </w:rPr>
      </w:pPr>
      <w:r w:rsidRPr="00E7615A">
        <w:rPr>
          <w:rFonts w:ascii="Book Antiqua" w:hAnsi="Book Antiqua"/>
          <w:b/>
          <w:sz w:val="24"/>
          <w:szCs w:val="24"/>
        </w:rPr>
        <w:t>Published online:</w:t>
      </w:r>
    </w:p>
    <w:p w14:paraId="05057522" w14:textId="77777777" w:rsidR="003B1289" w:rsidRPr="00E7615A" w:rsidRDefault="003B1289"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eastAsia="zh-CN"/>
        </w:rPr>
      </w:pPr>
    </w:p>
    <w:p w14:paraId="1BE88F9A" w14:textId="77777777" w:rsidR="003B1289" w:rsidRPr="00E7615A" w:rsidRDefault="003B1289"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val="en-US" w:eastAsia="zh-CN"/>
        </w:rPr>
      </w:pPr>
    </w:p>
    <w:p w14:paraId="4987C00A" w14:textId="77777777" w:rsidR="003B1289" w:rsidRPr="00E7615A" w:rsidRDefault="003B1289"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val="en-US" w:eastAsia="zh-CN"/>
        </w:rPr>
        <w:sectPr w:rsidR="003B1289" w:rsidRPr="00E7615A" w:rsidSect="00A346FC">
          <w:footerReference w:type="default" r:id="rId8"/>
          <w:pgSz w:w="12240" w:h="15840" w:code="1"/>
          <w:pgMar w:top="1440" w:right="1440" w:bottom="1440" w:left="1440" w:header="708" w:footer="708" w:gutter="0"/>
          <w:cols w:space="708"/>
          <w:docGrid w:linePitch="360"/>
        </w:sectPr>
      </w:pPr>
    </w:p>
    <w:p w14:paraId="729F7CBB" w14:textId="6F0A6608" w:rsidR="00C260B6" w:rsidRPr="00E7615A" w:rsidRDefault="00C260B6" w:rsidP="00D048E9">
      <w:pPr>
        <w:widowControl w:val="0"/>
        <w:tabs>
          <w:tab w:val="left" w:pos="144"/>
        </w:tabs>
        <w:autoSpaceDE w:val="0"/>
        <w:autoSpaceDN w:val="0"/>
        <w:adjustRightInd w:val="0"/>
        <w:snapToGrid w:val="0"/>
        <w:spacing w:after="0" w:line="360" w:lineRule="auto"/>
        <w:jc w:val="both"/>
        <w:rPr>
          <w:rFonts w:ascii="Book Antiqua" w:hAnsi="Book Antiqua"/>
          <w:bCs/>
          <w:color w:val="000000" w:themeColor="text1"/>
          <w:sz w:val="24"/>
          <w:szCs w:val="24"/>
          <w:lang w:val="en-US"/>
        </w:rPr>
      </w:pPr>
      <w:r w:rsidRPr="00E7615A">
        <w:rPr>
          <w:rFonts w:ascii="Book Antiqua" w:hAnsi="Book Antiqua"/>
          <w:b/>
          <w:color w:val="000000" w:themeColor="text1"/>
          <w:sz w:val="24"/>
          <w:szCs w:val="24"/>
          <w:lang w:val="en-US"/>
        </w:rPr>
        <w:lastRenderedPageBreak/>
        <w:t>Abstract</w:t>
      </w:r>
    </w:p>
    <w:p w14:paraId="43263306" w14:textId="2C5AD944" w:rsidR="00D26136" w:rsidRPr="00E7615A" w:rsidRDefault="00D26136" w:rsidP="00D048E9">
      <w:pPr>
        <w:widowControl w:val="0"/>
        <w:adjustRightInd w:val="0"/>
        <w:snapToGrid w:val="0"/>
        <w:spacing w:after="0" w:line="360" w:lineRule="auto"/>
        <w:jc w:val="both"/>
        <w:rPr>
          <w:rFonts w:ascii="Book Antiqua" w:hAnsi="Book Antiqua"/>
          <w:i/>
          <w:color w:val="000000" w:themeColor="text1"/>
          <w:sz w:val="24"/>
          <w:szCs w:val="24"/>
          <w:lang w:val="en-US" w:eastAsia="zh-CN"/>
        </w:rPr>
      </w:pPr>
      <w:r w:rsidRPr="00E7615A">
        <w:rPr>
          <w:rFonts w:ascii="Book Antiqua" w:hAnsi="Book Antiqua"/>
          <w:b/>
          <w:i/>
          <w:color w:val="000000" w:themeColor="text1"/>
          <w:sz w:val="24"/>
          <w:szCs w:val="24"/>
          <w:lang w:val="en-US"/>
        </w:rPr>
        <w:t>BACKGROUND</w:t>
      </w:r>
    </w:p>
    <w:p w14:paraId="5F3FE919" w14:textId="379245AC" w:rsidR="00D83D5F" w:rsidRPr="00E7615A" w:rsidRDefault="00D83D5F"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color w:val="000000" w:themeColor="text1"/>
          <w:sz w:val="24"/>
          <w:szCs w:val="24"/>
          <w:lang w:val="en-US"/>
        </w:rPr>
        <w:t>N</w:t>
      </w:r>
      <w:r w:rsidR="0068219F" w:rsidRPr="00E7615A">
        <w:rPr>
          <w:rFonts w:ascii="Book Antiqua" w:hAnsi="Book Antiqua"/>
          <w:color w:val="000000" w:themeColor="text1"/>
          <w:sz w:val="24"/>
          <w:szCs w:val="24"/>
          <w:lang w:val="en-US"/>
        </w:rPr>
        <w:t xml:space="preserve">ovel strategies </w:t>
      </w:r>
      <w:r w:rsidRPr="00E7615A">
        <w:rPr>
          <w:rFonts w:ascii="Book Antiqua" w:hAnsi="Book Antiqua"/>
          <w:color w:val="000000" w:themeColor="text1"/>
          <w:sz w:val="24"/>
          <w:szCs w:val="24"/>
          <w:lang w:val="en-US"/>
        </w:rPr>
        <w:t xml:space="preserve">are needed </w:t>
      </w:r>
      <w:r w:rsidR="0068219F" w:rsidRPr="00E7615A">
        <w:rPr>
          <w:rFonts w:ascii="Book Antiqua" w:hAnsi="Book Antiqua"/>
          <w:color w:val="000000" w:themeColor="text1"/>
          <w:sz w:val="24"/>
          <w:szCs w:val="24"/>
          <w:lang w:val="en-US"/>
        </w:rPr>
        <w:t>for improving guided bone regeneration</w:t>
      </w:r>
      <w:r w:rsidR="008D7F09" w:rsidRPr="00E7615A">
        <w:rPr>
          <w:rFonts w:ascii="Book Antiqua" w:hAnsi="Book Antiqua"/>
          <w:color w:val="000000" w:themeColor="text1"/>
          <w:sz w:val="24"/>
          <w:szCs w:val="24"/>
          <w:lang w:val="en-US"/>
        </w:rPr>
        <w:t xml:space="preserve"> (GBR)</w:t>
      </w:r>
      <w:r w:rsidR="0068219F" w:rsidRPr="00E7615A">
        <w:rPr>
          <w:rFonts w:ascii="Book Antiqua" w:hAnsi="Book Antiqua"/>
          <w:color w:val="000000" w:themeColor="text1"/>
          <w:sz w:val="24"/>
          <w:szCs w:val="24"/>
          <w:lang w:val="en-US"/>
        </w:rPr>
        <w:t xml:space="preserve"> in oral surgery prior to implant placement, particularly in maxillary sinus augmentation (GBR-MSA)</w:t>
      </w:r>
      <w:r w:rsidR="00CF535D" w:rsidRPr="00E7615A">
        <w:rPr>
          <w:rFonts w:ascii="Book Antiqua" w:hAnsi="Book Antiqua"/>
          <w:color w:val="000000" w:themeColor="text1"/>
          <w:sz w:val="24"/>
          <w:szCs w:val="24"/>
          <w:lang w:val="en-US"/>
        </w:rPr>
        <w:t xml:space="preserve"> and in lateral alveolar ridge augmentation</w:t>
      </w:r>
      <w:r w:rsidR="0068219F" w:rsidRPr="00E7615A">
        <w:rPr>
          <w:rFonts w:ascii="Book Antiqua" w:hAnsi="Book Antiqua"/>
          <w:color w:val="000000" w:themeColor="text1"/>
          <w:sz w:val="24"/>
          <w:szCs w:val="24"/>
          <w:lang w:val="en-US"/>
        </w:rPr>
        <w:t xml:space="preserve">. This study tested the hypothesis that the combination of freshly isolated, unmodified autologous adipose-derived regenerative cells (UA-ADRCs), </w:t>
      </w:r>
      <w:r w:rsidR="00277196" w:rsidRPr="00E7615A">
        <w:rPr>
          <w:rFonts w:ascii="Book Antiqua" w:hAnsi="Book Antiqua"/>
          <w:color w:val="000000" w:themeColor="text1"/>
          <w:sz w:val="24"/>
          <w:szCs w:val="24"/>
          <w:lang w:val="en-US"/>
        </w:rPr>
        <w:t>f</w:t>
      </w:r>
      <w:r w:rsidR="0068219F" w:rsidRPr="00E7615A">
        <w:rPr>
          <w:rFonts w:ascii="Book Antiqua" w:hAnsi="Book Antiqua"/>
          <w:color w:val="000000" w:themeColor="text1"/>
          <w:sz w:val="24"/>
          <w:szCs w:val="24"/>
          <w:lang w:val="en-US"/>
        </w:rPr>
        <w:t>raction 2 of plasma rich in growth factors (PRGF-2) and an osteoinductive scaffold (OIS) (Treatment A) is superior to the combination of PRGF-2 and the same OIS alone (Treatment B) in GBR-MSA</w:t>
      </w:r>
      <w:r w:rsidR="00A3454C" w:rsidRPr="00E7615A">
        <w:rPr>
          <w:rFonts w:ascii="Book Antiqua" w:hAnsi="Book Antiqua"/>
          <w:color w:val="000000" w:themeColor="text1"/>
          <w:sz w:val="24"/>
          <w:szCs w:val="24"/>
          <w:lang w:val="en-US"/>
        </w:rPr>
        <w:t>/LR</w:t>
      </w:r>
      <w:r w:rsidR="00CF535D" w:rsidRPr="00E7615A">
        <w:rPr>
          <w:rFonts w:ascii="Book Antiqua" w:hAnsi="Book Antiqua"/>
          <w:color w:val="000000" w:themeColor="text1"/>
          <w:sz w:val="24"/>
          <w:szCs w:val="24"/>
          <w:lang w:val="en-US"/>
        </w:rPr>
        <w:t>A</w:t>
      </w:r>
      <w:r w:rsidR="0068219F" w:rsidRPr="00E7615A">
        <w:rPr>
          <w:rFonts w:ascii="Book Antiqua" w:hAnsi="Book Antiqua"/>
          <w:color w:val="000000" w:themeColor="text1"/>
          <w:sz w:val="24"/>
          <w:szCs w:val="24"/>
          <w:lang w:val="en-US"/>
        </w:rPr>
        <w:t xml:space="preserve">. </w:t>
      </w:r>
    </w:p>
    <w:p w14:paraId="59F2D4A0" w14:textId="77777777" w:rsidR="00566480" w:rsidRPr="00E7615A" w:rsidRDefault="00566480"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p>
    <w:p w14:paraId="04CB4578" w14:textId="77777777" w:rsidR="00566480" w:rsidRPr="00E7615A" w:rsidRDefault="00D83D5F" w:rsidP="00D048E9">
      <w:pPr>
        <w:widowControl w:val="0"/>
        <w:adjustRightInd w:val="0"/>
        <w:snapToGrid w:val="0"/>
        <w:spacing w:after="0" w:line="360" w:lineRule="auto"/>
        <w:jc w:val="both"/>
        <w:rPr>
          <w:rFonts w:ascii="Book Antiqua" w:hAnsi="Book Antiqua"/>
          <w:i/>
          <w:color w:val="000000" w:themeColor="text1"/>
          <w:sz w:val="24"/>
          <w:szCs w:val="24"/>
          <w:lang w:val="en-US" w:eastAsia="zh-CN"/>
        </w:rPr>
      </w:pPr>
      <w:r w:rsidRPr="00E7615A">
        <w:rPr>
          <w:rFonts w:ascii="Book Antiqua" w:hAnsi="Book Antiqua"/>
          <w:b/>
          <w:i/>
          <w:color w:val="000000" w:themeColor="text1"/>
          <w:sz w:val="24"/>
          <w:szCs w:val="24"/>
          <w:lang w:val="en-US"/>
        </w:rPr>
        <w:t>CASE SUMMARY</w:t>
      </w:r>
    </w:p>
    <w:p w14:paraId="0A37A304" w14:textId="3C3A805E" w:rsidR="00D83D5F" w:rsidRPr="00E7615A" w:rsidRDefault="00D83D5F"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color w:val="000000" w:themeColor="text1"/>
          <w:sz w:val="24"/>
          <w:szCs w:val="24"/>
          <w:lang w:val="en-US"/>
        </w:rPr>
        <w:t>A</w:t>
      </w:r>
      <w:r w:rsidR="0068219F" w:rsidRPr="00E7615A">
        <w:rPr>
          <w:rFonts w:ascii="Book Antiqua" w:hAnsi="Book Antiqua"/>
          <w:color w:val="000000" w:themeColor="text1"/>
          <w:sz w:val="24"/>
          <w:szCs w:val="24"/>
          <w:lang w:val="en-US"/>
        </w:rPr>
        <w:t xml:space="preserve"> 79-year old patient was treated with a bilateral external sinus lift procedure</w:t>
      </w:r>
      <w:r w:rsidR="00CF535D" w:rsidRPr="00E7615A">
        <w:rPr>
          <w:rFonts w:ascii="Book Antiqua" w:hAnsi="Book Antiqua"/>
          <w:color w:val="000000" w:themeColor="text1"/>
          <w:sz w:val="24"/>
          <w:szCs w:val="24"/>
          <w:lang w:val="en-US"/>
        </w:rPr>
        <w:t xml:space="preserve"> as well as a bilateral lateral alveolar ridge augmentation</w:t>
      </w:r>
      <w:r w:rsidR="0068219F" w:rsidRPr="00E7615A">
        <w:rPr>
          <w:rFonts w:ascii="Book Antiqua" w:hAnsi="Book Antiqua"/>
          <w:color w:val="000000" w:themeColor="text1"/>
          <w:sz w:val="24"/>
          <w:szCs w:val="24"/>
          <w:lang w:val="en-US"/>
        </w:rPr>
        <w:t>. On the right side GBR-MSA</w:t>
      </w:r>
      <w:r w:rsidR="00A3454C" w:rsidRPr="00E7615A">
        <w:rPr>
          <w:rFonts w:ascii="Book Antiqua" w:hAnsi="Book Antiqua"/>
          <w:color w:val="000000" w:themeColor="text1"/>
          <w:sz w:val="24"/>
          <w:szCs w:val="24"/>
          <w:lang w:val="en-US"/>
        </w:rPr>
        <w:t>/LR</w:t>
      </w:r>
      <w:r w:rsidR="00CF535D" w:rsidRPr="00E7615A">
        <w:rPr>
          <w:rFonts w:ascii="Book Antiqua" w:hAnsi="Book Antiqua"/>
          <w:color w:val="000000" w:themeColor="text1"/>
          <w:sz w:val="24"/>
          <w:szCs w:val="24"/>
          <w:lang w:val="en-US"/>
        </w:rPr>
        <w:t>A</w:t>
      </w:r>
      <w:r w:rsidR="0068219F" w:rsidRPr="00E7615A">
        <w:rPr>
          <w:rFonts w:ascii="Book Antiqua" w:hAnsi="Book Antiqua"/>
          <w:color w:val="000000" w:themeColor="text1"/>
          <w:sz w:val="24"/>
          <w:szCs w:val="24"/>
          <w:lang w:val="en-US"/>
        </w:rPr>
        <w:t xml:space="preserve"> was performed with Treatment A, and on the left side with Treatment B. </w:t>
      </w:r>
      <w:r w:rsidR="00DE7DB2" w:rsidRPr="00E7615A">
        <w:rPr>
          <w:rFonts w:ascii="Book Antiqua" w:hAnsi="Book Antiqua"/>
          <w:color w:val="000000" w:themeColor="text1"/>
          <w:sz w:val="24"/>
          <w:szCs w:val="24"/>
          <w:lang w:val="en-US"/>
        </w:rPr>
        <w:t>Biopsies were collected at 6 wk</w:t>
      </w:r>
      <w:r w:rsidR="0068219F" w:rsidRPr="00E7615A">
        <w:rPr>
          <w:rFonts w:ascii="Book Antiqua" w:hAnsi="Book Antiqua"/>
          <w:color w:val="000000" w:themeColor="text1"/>
          <w:sz w:val="24"/>
          <w:szCs w:val="24"/>
          <w:lang w:val="en-US"/>
        </w:rPr>
        <w:t xml:space="preserve"> a</w:t>
      </w:r>
      <w:r w:rsidR="00DE7DB2" w:rsidRPr="00E7615A">
        <w:rPr>
          <w:rFonts w:ascii="Book Antiqua" w:hAnsi="Book Antiqua"/>
          <w:color w:val="000000" w:themeColor="text1"/>
          <w:sz w:val="24"/>
          <w:szCs w:val="24"/>
          <w:lang w:val="en-US"/>
        </w:rPr>
        <w:t>nd 34 wk</w:t>
      </w:r>
      <w:r w:rsidR="0068219F" w:rsidRPr="00E7615A">
        <w:rPr>
          <w:rFonts w:ascii="Book Antiqua" w:hAnsi="Book Antiqua"/>
          <w:color w:val="000000" w:themeColor="text1"/>
          <w:sz w:val="24"/>
          <w:szCs w:val="24"/>
          <w:lang w:val="en-US"/>
        </w:rPr>
        <w:t xml:space="preserve"> after GBR-MSA</w:t>
      </w:r>
      <w:r w:rsidR="00A3454C" w:rsidRPr="00E7615A">
        <w:rPr>
          <w:rFonts w:ascii="Book Antiqua" w:hAnsi="Book Antiqua"/>
          <w:color w:val="000000" w:themeColor="text1"/>
          <w:sz w:val="24"/>
          <w:szCs w:val="24"/>
          <w:lang w:val="en-US"/>
        </w:rPr>
        <w:t>/LR</w:t>
      </w:r>
      <w:r w:rsidR="00CF535D" w:rsidRPr="00E7615A">
        <w:rPr>
          <w:rFonts w:ascii="Book Antiqua" w:hAnsi="Book Antiqua"/>
          <w:color w:val="000000" w:themeColor="text1"/>
          <w:sz w:val="24"/>
          <w:szCs w:val="24"/>
          <w:lang w:val="en-US"/>
        </w:rPr>
        <w:t>A</w:t>
      </w:r>
      <w:r w:rsidR="0068219F" w:rsidRPr="00E7615A">
        <w:rPr>
          <w:rFonts w:ascii="Book Antiqua" w:hAnsi="Book Antiqua"/>
          <w:color w:val="000000" w:themeColor="text1"/>
          <w:sz w:val="24"/>
          <w:szCs w:val="24"/>
          <w:lang w:val="en-US"/>
        </w:rPr>
        <w:t xml:space="preserve">. At the latter time point implants were placed. Radiographs (32 mo follow-up time) demonstrated excellent bone healing. No radiological or histological signs of inflammation were observed. Detailed histologic, histomorphometric and immunohistochemical analysis of the biopsies evidenced that Treatment A resulted in better and faster bone regeneration than Treatment B. </w:t>
      </w:r>
    </w:p>
    <w:p w14:paraId="55966EBE" w14:textId="77777777" w:rsidR="00566480" w:rsidRPr="00E7615A" w:rsidRDefault="00566480" w:rsidP="00D048E9">
      <w:pPr>
        <w:widowControl w:val="0"/>
        <w:adjustRightInd w:val="0"/>
        <w:snapToGrid w:val="0"/>
        <w:spacing w:after="0" w:line="360" w:lineRule="auto"/>
        <w:jc w:val="both"/>
        <w:rPr>
          <w:rFonts w:ascii="Book Antiqua" w:hAnsi="Book Antiqua"/>
          <w:i/>
          <w:color w:val="000000" w:themeColor="text1"/>
          <w:sz w:val="24"/>
          <w:szCs w:val="24"/>
          <w:lang w:val="en-US" w:eastAsia="zh-CN"/>
        </w:rPr>
      </w:pPr>
    </w:p>
    <w:p w14:paraId="70950D9C" w14:textId="77777777" w:rsidR="00566480" w:rsidRPr="00E7615A" w:rsidRDefault="00D83D5F"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b/>
          <w:i/>
          <w:color w:val="000000" w:themeColor="text1"/>
          <w:sz w:val="24"/>
          <w:szCs w:val="24"/>
          <w:lang w:val="en-US"/>
        </w:rPr>
        <w:t>CONCLUSION</w:t>
      </w:r>
    </w:p>
    <w:p w14:paraId="47A1EB3F" w14:textId="213802A6" w:rsidR="00E249EA" w:rsidRPr="00E7615A" w:rsidRDefault="00D83D5F"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G</w:t>
      </w:r>
      <w:r w:rsidR="0068219F" w:rsidRPr="00E7615A">
        <w:rPr>
          <w:rFonts w:ascii="Book Antiqua" w:hAnsi="Book Antiqua"/>
          <w:color w:val="000000" w:themeColor="text1"/>
          <w:sz w:val="24"/>
          <w:szCs w:val="24"/>
          <w:lang w:val="en-US"/>
        </w:rPr>
        <w:t xml:space="preserve">uided bone regeneration in maxillary sinus augmentation with UA-ADRCs, PRGF-2 and an OIS </w:t>
      </w:r>
      <w:r w:rsidR="005B5C70" w:rsidRPr="00E7615A">
        <w:rPr>
          <w:rFonts w:ascii="Book Antiqua" w:hAnsi="Book Antiqua"/>
          <w:color w:val="000000" w:themeColor="text1"/>
          <w:sz w:val="24"/>
          <w:szCs w:val="24"/>
          <w:lang w:val="en-US"/>
        </w:rPr>
        <w:t>shows effectivene</w:t>
      </w:r>
      <w:r w:rsidR="0068219F" w:rsidRPr="00E7615A">
        <w:rPr>
          <w:rFonts w:ascii="Book Antiqua" w:hAnsi="Book Antiqua"/>
          <w:color w:val="000000" w:themeColor="text1"/>
          <w:sz w:val="24"/>
          <w:szCs w:val="24"/>
          <w:lang w:val="en-US"/>
        </w:rPr>
        <w:t>ss without adverse effects.</w:t>
      </w:r>
    </w:p>
    <w:p w14:paraId="3867BF16" w14:textId="7417C937" w:rsidR="00E249EA" w:rsidRPr="00E7615A" w:rsidRDefault="00E249EA" w:rsidP="00D048E9">
      <w:pPr>
        <w:widowControl w:val="0"/>
        <w:adjustRightInd w:val="0"/>
        <w:snapToGrid w:val="0"/>
        <w:spacing w:after="0" w:line="360" w:lineRule="auto"/>
        <w:jc w:val="both"/>
        <w:rPr>
          <w:rFonts w:ascii="Book Antiqua" w:hAnsi="Book Antiqua"/>
          <w:color w:val="000000" w:themeColor="text1"/>
          <w:sz w:val="24"/>
          <w:szCs w:val="24"/>
          <w:lang w:val="en-US"/>
        </w:rPr>
      </w:pPr>
    </w:p>
    <w:p w14:paraId="4F8F3672" w14:textId="24E63E1A" w:rsidR="00E249EA" w:rsidRPr="00E7615A" w:rsidRDefault="00FD702E"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b/>
          <w:color w:val="000000" w:themeColor="text1"/>
          <w:sz w:val="24"/>
          <w:szCs w:val="24"/>
          <w:lang w:val="en-US"/>
        </w:rPr>
        <w:t>Key words:</w:t>
      </w:r>
      <w:r w:rsidRPr="00E7615A">
        <w:rPr>
          <w:rFonts w:ascii="Book Antiqua" w:hAnsi="Book Antiqua"/>
          <w:color w:val="000000" w:themeColor="text1"/>
          <w:sz w:val="24"/>
          <w:szCs w:val="24"/>
          <w:lang w:val="en-US"/>
        </w:rPr>
        <w:t xml:space="preserve"> </w:t>
      </w:r>
      <w:r w:rsidR="004D78E7" w:rsidRPr="00E7615A">
        <w:rPr>
          <w:rFonts w:ascii="Book Antiqua" w:hAnsi="Book Antiqua"/>
          <w:color w:val="000000" w:themeColor="text1"/>
          <w:sz w:val="24"/>
          <w:szCs w:val="24"/>
          <w:lang w:val="en-US"/>
        </w:rPr>
        <w:t xml:space="preserve">Case report; </w:t>
      </w:r>
      <w:r w:rsidR="009B5110" w:rsidRPr="00E7615A">
        <w:rPr>
          <w:rFonts w:ascii="Book Antiqua" w:hAnsi="Book Antiqua"/>
          <w:color w:val="000000" w:themeColor="text1"/>
          <w:sz w:val="24"/>
          <w:szCs w:val="24"/>
          <w:lang w:val="en-US"/>
        </w:rPr>
        <w:t>C</w:t>
      </w:r>
      <w:r w:rsidR="00E249EA" w:rsidRPr="00E7615A">
        <w:rPr>
          <w:rFonts w:ascii="Book Antiqua" w:hAnsi="Book Antiqua"/>
          <w:color w:val="000000" w:themeColor="text1"/>
          <w:sz w:val="24"/>
          <w:szCs w:val="24"/>
          <w:lang w:val="en-US"/>
        </w:rPr>
        <w:t xml:space="preserve">ell-based therapy; </w:t>
      </w:r>
      <w:r w:rsidRPr="00E7615A">
        <w:rPr>
          <w:rFonts w:ascii="Book Antiqua" w:hAnsi="Book Antiqua"/>
          <w:color w:val="000000" w:themeColor="text1"/>
          <w:sz w:val="24"/>
          <w:szCs w:val="24"/>
          <w:lang w:val="en-US"/>
        </w:rPr>
        <w:t>G</w:t>
      </w:r>
      <w:r w:rsidR="00E249EA" w:rsidRPr="00E7615A">
        <w:rPr>
          <w:rFonts w:ascii="Book Antiqua" w:hAnsi="Book Antiqua"/>
          <w:color w:val="000000" w:themeColor="text1"/>
          <w:sz w:val="24"/>
          <w:szCs w:val="24"/>
          <w:lang w:val="en-US"/>
        </w:rPr>
        <w:t xml:space="preserve">uided bone regeneration; </w:t>
      </w:r>
      <w:r w:rsidRPr="00E7615A">
        <w:rPr>
          <w:rFonts w:ascii="Book Antiqua" w:hAnsi="Book Antiqua"/>
          <w:color w:val="000000" w:themeColor="text1"/>
          <w:sz w:val="24"/>
          <w:szCs w:val="24"/>
          <w:lang w:val="en-US"/>
        </w:rPr>
        <w:t>M</w:t>
      </w:r>
      <w:r w:rsidR="00E249EA" w:rsidRPr="00E7615A">
        <w:rPr>
          <w:rFonts w:ascii="Book Antiqua" w:hAnsi="Book Antiqua"/>
          <w:color w:val="000000" w:themeColor="text1"/>
          <w:sz w:val="24"/>
          <w:szCs w:val="24"/>
          <w:lang w:val="en-US"/>
        </w:rPr>
        <w:t xml:space="preserve">axillary sinus augmentation; </w:t>
      </w:r>
      <w:r w:rsidRPr="00E7615A">
        <w:rPr>
          <w:rFonts w:ascii="Book Antiqua" w:hAnsi="Book Antiqua"/>
          <w:color w:val="000000" w:themeColor="text1"/>
          <w:sz w:val="24"/>
          <w:szCs w:val="24"/>
          <w:lang w:val="en-US"/>
        </w:rPr>
        <w:t>L</w:t>
      </w:r>
      <w:r w:rsidR="00A3454C" w:rsidRPr="00E7615A">
        <w:rPr>
          <w:rFonts w:ascii="Book Antiqua" w:hAnsi="Book Antiqua"/>
          <w:color w:val="000000" w:themeColor="text1"/>
          <w:sz w:val="24"/>
          <w:szCs w:val="24"/>
          <w:lang w:val="en-US"/>
        </w:rPr>
        <w:t xml:space="preserve">ateral alveolar ridge augmentation; </w:t>
      </w:r>
      <w:r w:rsidRPr="00E7615A">
        <w:rPr>
          <w:rFonts w:ascii="Book Antiqua" w:hAnsi="Book Antiqua"/>
          <w:color w:val="000000" w:themeColor="text1"/>
          <w:sz w:val="24"/>
          <w:szCs w:val="24"/>
          <w:lang w:val="en-US"/>
        </w:rPr>
        <w:t>U</w:t>
      </w:r>
      <w:r w:rsidR="00E249EA" w:rsidRPr="00E7615A">
        <w:rPr>
          <w:rFonts w:ascii="Book Antiqua" w:hAnsi="Book Antiqua"/>
          <w:color w:val="000000" w:themeColor="text1"/>
          <w:sz w:val="24"/>
          <w:szCs w:val="24"/>
          <w:lang w:val="en-US"/>
        </w:rPr>
        <w:t xml:space="preserve">nmodified autologous adipose-derived regenerative cells; </w:t>
      </w:r>
      <w:r w:rsidRPr="00E7615A">
        <w:rPr>
          <w:rFonts w:ascii="Book Antiqua" w:hAnsi="Book Antiqua"/>
          <w:color w:val="000000" w:themeColor="text1"/>
          <w:sz w:val="24"/>
          <w:szCs w:val="24"/>
          <w:lang w:val="en-US"/>
        </w:rPr>
        <w:t>S</w:t>
      </w:r>
      <w:r w:rsidR="00E249EA" w:rsidRPr="00E7615A">
        <w:rPr>
          <w:rFonts w:ascii="Book Antiqua" w:hAnsi="Book Antiqua"/>
          <w:color w:val="000000" w:themeColor="text1"/>
          <w:sz w:val="24"/>
          <w:szCs w:val="24"/>
          <w:lang w:val="en-US"/>
        </w:rPr>
        <w:t>tem cells</w:t>
      </w:r>
    </w:p>
    <w:p w14:paraId="66F86282" w14:textId="77777777" w:rsidR="00FD702E" w:rsidRPr="00E7615A" w:rsidRDefault="00FD702E"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p>
    <w:p w14:paraId="57082BD9" w14:textId="1BCD3AD3" w:rsidR="00DE7DB2" w:rsidRPr="00E7615A" w:rsidRDefault="00DE7DB2" w:rsidP="00D048E9">
      <w:pPr>
        <w:widowControl w:val="0"/>
        <w:adjustRightInd w:val="0"/>
        <w:snapToGrid w:val="0"/>
        <w:spacing w:after="0" w:line="360" w:lineRule="auto"/>
        <w:jc w:val="both"/>
        <w:rPr>
          <w:rFonts w:ascii="Book Antiqua" w:hAnsi="Book Antiqua" w:cs="Arial Unicode MS"/>
          <w:sz w:val="24"/>
          <w:szCs w:val="24"/>
          <w:lang w:eastAsia="zh-CN"/>
        </w:rPr>
      </w:pPr>
      <w:bookmarkStart w:id="26" w:name="OLE_LINK98"/>
      <w:bookmarkStart w:id="27" w:name="OLE_LINK156"/>
      <w:bookmarkStart w:id="28" w:name="OLE_LINK196"/>
      <w:bookmarkStart w:id="29" w:name="OLE_LINK217"/>
      <w:bookmarkStart w:id="30" w:name="OLE_LINK242"/>
      <w:bookmarkStart w:id="31" w:name="OLE_LINK247"/>
      <w:bookmarkStart w:id="32" w:name="OLE_LINK311"/>
      <w:bookmarkStart w:id="33" w:name="OLE_LINK312"/>
      <w:bookmarkStart w:id="34" w:name="OLE_LINK325"/>
      <w:bookmarkStart w:id="35" w:name="OLE_LINK330"/>
      <w:bookmarkStart w:id="36" w:name="OLE_LINK513"/>
      <w:bookmarkStart w:id="37" w:name="OLE_LINK514"/>
      <w:bookmarkStart w:id="38" w:name="OLE_LINK464"/>
      <w:bookmarkStart w:id="39" w:name="OLE_LINK465"/>
      <w:bookmarkStart w:id="40" w:name="OLE_LINK466"/>
      <w:bookmarkStart w:id="41" w:name="OLE_LINK470"/>
      <w:bookmarkStart w:id="42" w:name="OLE_LINK471"/>
      <w:bookmarkStart w:id="43" w:name="OLE_LINK472"/>
      <w:bookmarkStart w:id="44" w:name="OLE_LINK474"/>
      <w:bookmarkStart w:id="45" w:name="OLE_LINK512"/>
      <w:bookmarkStart w:id="46" w:name="OLE_LINK800"/>
      <w:bookmarkStart w:id="47" w:name="OLE_LINK982"/>
      <w:bookmarkStart w:id="48" w:name="OLE_LINK1027"/>
      <w:bookmarkStart w:id="49" w:name="OLE_LINK504"/>
      <w:bookmarkStart w:id="50" w:name="OLE_LINK546"/>
      <w:bookmarkStart w:id="51" w:name="OLE_LINK547"/>
      <w:bookmarkStart w:id="52" w:name="OLE_LINK575"/>
      <w:bookmarkStart w:id="53" w:name="OLE_LINK640"/>
      <w:bookmarkStart w:id="54" w:name="OLE_LINK672"/>
      <w:bookmarkStart w:id="55" w:name="OLE_LINK714"/>
      <w:bookmarkStart w:id="56" w:name="OLE_LINK651"/>
      <w:bookmarkStart w:id="57" w:name="OLE_LINK652"/>
      <w:bookmarkStart w:id="58" w:name="OLE_LINK744"/>
      <w:bookmarkStart w:id="59" w:name="OLE_LINK758"/>
      <w:bookmarkStart w:id="60" w:name="OLE_LINK787"/>
      <w:bookmarkStart w:id="61" w:name="OLE_LINK807"/>
      <w:bookmarkStart w:id="62" w:name="OLE_LINK820"/>
      <w:bookmarkStart w:id="63" w:name="OLE_LINK862"/>
      <w:bookmarkStart w:id="64" w:name="OLE_LINK879"/>
      <w:bookmarkStart w:id="65" w:name="OLE_LINK906"/>
      <w:bookmarkStart w:id="66" w:name="OLE_LINK928"/>
      <w:bookmarkStart w:id="67" w:name="OLE_LINK960"/>
      <w:bookmarkStart w:id="68" w:name="OLE_LINK861"/>
      <w:bookmarkStart w:id="69" w:name="OLE_LINK983"/>
      <w:bookmarkStart w:id="70" w:name="OLE_LINK1334"/>
      <w:bookmarkStart w:id="71" w:name="OLE_LINK1029"/>
      <w:bookmarkStart w:id="72" w:name="OLE_LINK1060"/>
      <w:bookmarkStart w:id="73" w:name="OLE_LINK1061"/>
      <w:bookmarkStart w:id="74" w:name="OLE_LINK1348"/>
      <w:bookmarkStart w:id="75" w:name="OLE_LINK1086"/>
      <w:bookmarkStart w:id="76" w:name="OLE_LINK1100"/>
      <w:bookmarkStart w:id="77" w:name="OLE_LINK1125"/>
      <w:bookmarkStart w:id="78" w:name="OLE_LINK1163"/>
      <w:bookmarkStart w:id="79" w:name="OLE_LINK1193"/>
      <w:bookmarkStart w:id="80" w:name="OLE_LINK1219"/>
      <w:bookmarkStart w:id="81" w:name="OLE_LINK1247"/>
      <w:bookmarkStart w:id="82" w:name="OLE_LINK1284"/>
      <w:bookmarkStart w:id="83" w:name="OLE_LINK1313"/>
      <w:bookmarkStart w:id="84" w:name="OLE_LINK1361"/>
      <w:bookmarkStart w:id="85" w:name="OLE_LINK1384"/>
      <w:bookmarkStart w:id="86" w:name="OLE_LINK1403"/>
      <w:bookmarkStart w:id="87" w:name="OLE_LINK1437"/>
      <w:bookmarkStart w:id="88" w:name="OLE_LINK1454"/>
      <w:bookmarkStart w:id="89" w:name="OLE_LINK1480"/>
      <w:bookmarkStart w:id="90" w:name="OLE_LINK1504"/>
      <w:bookmarkStart w:id="91" w:name="OLE_LINK1516"/>
      <w:bookmarkStart w:id="92" w:name="OLE_LINK135"/>
      <w:bookmarkStart w:id="93" w:name="OLE_LINK216"/>
      <w:bookmarkStart w:id="94" w:name="OLE_LINK259"/>
      <w:bookmarkStart w:id="95" w:name="OLE_LINK1186"/>
      <w:bookmarkStart w:id="96" w:name="OLE_LINK1265"/>
      <w:bookmarkStart w:id="97" w:name="OLE_LINK1373"/>
      <w:bookmarkStart w:id="98" w:name="OLE_LINK1478"/>
      <w:bookmarkStart w:id="99" w:name="OLE_LINK1644"/>
      <w:bookmarkStart w:id="100" w:name="OLE_LINK1884"/>
      <w:bookmarkStart w:id="101" w:name="OLE_LINK1885"/>
      <w:bookmarkStart w:id="102" w:name="OLE_LINK1538"/>
      <w:bookmarkStart w:id="103" w:name="OLE_LINK1539"/>
      <w:bookmarkStart w:id="104" w:name="OLE_LINK1543"/>
      <w:bookmarkStart w:id="105" w:name="OLE_LINK1549"/>
      <w:bookmarkStart w:id="106" w:name="OLE_LINK1778"/>
      <w:bookmarkStart w:id="107" w:name="OLE_LINK1756"/>
      <w:bookmarkStart w:id="108" w:name="OLE_LINK1776"/>
      <w:bookmarkStart w:id="109" w:name="OLE_LINK1777"/>
      <w:bookmarkStart w:id="110" w:name="OLE_LINK1868"/>
      <w:bookmarkStart w:id="111" w:name="OLE_LINK1744"/>
      <w:bookmarkStart w:id="112" w:name="OLE_LINK1817"/>
      <w:bookmarkStart w:id="113" w:name="OLE_LINK1835"/>
      <w:bookmarkStart w:id="114" w:name="OLE_LINK1866"/>
      <w:bookmarkStart w:id="115" w:name="OLE_LINK1882"/>
      <w:bookmarkStart w:id="116" w:name="OLE_LINK1901"/>
      <w:bookmarkStart w:id="117" w:name="OLE_LINK1902"/>
      <w:bookmarkStart w:id="118" w:name="OLE_LINK2013"/>
      <w:bookmarkStart w:id="119" w:name="OLE_LINK1894"/>
      <w:bookmarkStart w:id="120" w:name="OLE_LINK1929"/>
      <w:bookmarkStart w:id="121" w:name="OLE_LINK1941"/>
      <w:bookmarkStart w:id="122" w:name="OLE_LINK1995"/>
      <w:bookmarkStart w:id="123" w:name="OLE_LINK1938"/>
      <w:bookmarkStart w:id="124" w:name="OLE_LINK2081"/>
      <w:bookmarkStart w:id="125" w:name="OLE_LINK2082"/>
      <w:bookmarkStart w:id="126" w:name="OLE_LINK2292"/>
      <w:bookmarkStart w:id="127" w:name="OLE_LINK1931"/>
      <w:bookmarkStart w:id="128" w:name="OLE_LINK1964"/>
      <w:bookmarkStart w:id="129" w:name="OLE_LINK2020"/>
      <w:bookmarkStart w:id="130" w:name="OLE_LINK2071"/>
      <w:bookmarkStart w:id="131" w:name="OLE_LINK2134"/>
      <w:bookmarkStart w:id="132" w:name="OLE_LINK2265"/>
      <w:bookmarkStart w:id="133" w:name="OLE_LINK2562"/>
      <w:bookmarkStart w:id="134" w:name="OLE_LINK1923"/>
      <w:bookmarkStart w:id="135" w:name="OLE_LINK2192"/>
      <w:bookmarkStart w:id="136" w:name="OLE_LINK2110"/>
      <w:bookmarkStart w:id="137" w:name="OLE_LINK2445"/>
      <w:bookmarkStart w:id="138" w:name="OLE_LINK2446"/>
      <w:bookmarkStart w:id="139" w:name="OLE_LINK2169"/>
      <w:bookmarkStart w:id="140" w:name="OLE_LINK2190"/>
      <w:bookmarkStart w:id="141" w:name="OLE_LINK2331"/>
      <w:bookmarkStart w:id="142" w:name="OLE_LINK2345"/>
      <w:bookmarkStart w:id="143" w:name="OLE_LINK2467"/>
      <w:bookmarkStart w:id="144" w:name="OLE_LINK2484"/>
      <w:bookmarkStart w:id="145" w:name="OLE_LINK2157"/>
      <w:bookmarkStart w:id="146" w:name="OLE_LINK2221"/>
      <w:bookmarkStart w:id="147" w:name="OLE_LINK2252"/>
      <w:bookmarkStart w:id="148" w:name="OLE_LINK2348"/>
      <w:bookmarkStart w:id="149" w:name="OLE_LINK2451"/>
      <w:bookmarkStart w:id="150" w:name="OLE_LINK2627"/>
      <w:bookmarkStart w:id="151" w:name="OLE_LINK2482"/>
      <w:bookmarkStart w:id="152" w:name="OLE_LINK2663"/>
      <w:bookmarkStart w:id="153" w:name="OLE_LINK2761"/>
      <w:bookmarkStart w:id="154" w:name="OLE_LINK2856"/>
      <w:bookmarkStart w:id="155" w:name="OLE_LINK2993"/>
      <w:bookmarkStart w:id="156" w:name="OLE_LINK2643"/>
      <w:bookmarkStart w:id="157" w:name="OLE_LINK2583"/>
      <w:bookmarkStart w:id="158" w:name="OLE_LINK2762"/>
      <w:bookmarkStart w:id="159" w:name="OLE_LINK2962"/>
      <w:bookmarkStart w:id="160" w:name="OLE_LINK2582"/>
      <w:bookmarkStart w:id="161" w:name="OLE_LINK197"/>
      <w:r w:rsidRPr="00E7615A">
        <w:rPr>
          <w:rFonts w:ascii="Book Antiqua" w:hAnsi="Book Antiqua"/>
          <w:b/>
          <w:color w:val="000000"/>
          <w:sz w:val="24"/>
          <w:szCs w:val="24"/>
          <w:lang w:val="en-GB"/>
        </w:rPr>
        <w:t xml:space="preserve">© </w:t>
      </w:r>
      <w:r w:rsidRPr="00E7615A">
        <w:rPr>
          <w:rFonts w:ascii="Book Antiqua" w:eastAsia="AdvTimes" w:hAnsi="Book Antiqua" w:cs="AdvTimes"/>
          <w:b/>
          <w:color w:val="000000"/>
          <w:sz w:val="24"/>
          <w:szCs w:val="24"/>
        </w:rPr>
        <w:t>The Author(s) 201</w:t>
      </w:r>
      <w:r w:rsidRPr="00E7615A">
        <w:rPr>
          <w:rFonts w:ascii="Book Antiqua" w:hAnsi="Book Antiqua" w:cs="AdvTimes"/>
          <w:b/>
          <w:color w:val="000000"/>
          <w:sz w:val="24"/>
          <w:szCs w:val="24"/>
        </w:rPr>
        <w:t>9</w:t>
      </w:r>
      <w:r w:rsidRPr="00E7615A">
        <w:rPr>
          <w:rFonts w:ascii="Book Antiqua" w:eastAsia="AdvTimes" w:hAnsi="Book Antiqua" w:cs="AdvTimes"/>
          <w:b/>
          <w:color w:val="000000"/>
          <w:sz w:val="24"/>
          <w:szCs w:val="24"/>
        </w:rPr>
        <w:t>.</w:t>
      </w:r>
      <w:r w:rsidRPr="00E7615A">
        <w:rPr>
          <w:rFonts w:ascii="Book Antiqua" w:eastAsia="AdvTimes" w:hAnsi="Book Antiqua" w:cs="AdvTimes"/>
          <w:color w:val="000000"/>
          <w:sz w:val="24"/>
          <w:szCs w:val="24"/>
        </w:rPr>
        <w:t xml:space="preserve"> Published by </w:t>
      </w:r>
      <w:r w:rsidRPr="00E7615A">
        <w:rPr>
          <w:rFonts w:ascii="Book Antiqua" w:hAnsi="Book Antiqua" w:cs="Arial Unicode MS"/>
          <w:color w:val="000000"/>
          <w:sz w:val="24"/>
          <w:szCs w:val="24"/>
          <w:lang w:val="en-GB"/>
        </w:rPr>
        <w:t>Baishideng Publishing Group Inc.</w:t>
      </w:r>
      <w:r w:rsidRPr="00E7615A">
        <w:rPr>
          <w:rFonts w:ascii="Book Antiqua" w:hAnsi="Book Antiqua" w:cs="Arial Unicode MS"/>
          <w:sz w:val="24"/>
          <w:szCs w:val="24"/>
        </w:rPr>
        <w:t xml:space="preserve"> All rights reserved.</w:t>
      </w:r>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14:paraId="2B5678BC" w14:textId="77777777" w:rsidR="00DE7DB2" w:rsidRPr="00E7615A" w:rsidRDefault="00DE7DB2"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p>
    <w:p w14:paraId="61E7F954" w14:textId="6D62746D" w:rsidR="00FD702E" w:rsidRPr="00E7615A" w:rsidRDefault="00FD702E"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b/>
          <w:color w:val="000000" w:themeColor="text1"/>
          <w:sz w:val="24"/>
          <w:szCs w:val="24"/>
          <w:lang w:val="en-US"/>
        </w:rPr>
        <w:t>Core tip:</w:t>
      </w:r>
      <w:r w:rsidR="00FC2FA8" w:rsidRPr="00E7615A">
        <w:rPr>
          <w:rFonts w:ascii="Book Antiqua" w:hAnsi="Book Antiqua"/>
          <w:color w:val="000000" w:themeColor="text1"/>
          <w:sz w:val="24"/>
          <w:szCs w:val="24"/>
          <w:lang w:val="en-US"/>
        </w:rPr>
        <w:t xml:space="preserve"> </w:t>
      </w:r>
      <w:r w:rsidR="00D83D5F" w:rsidRPr="00E7615A">
        <w:rPr>
          <w:rFonts w:ascii="Book Antiqua" w:hAnsi="Book Antiqua"/>
          <w:color w:val="000000" w:themeColor="text1"/>
          <w:sz w:val="24"/>
          <w:szCs w:val="24"/>
          <w:lang w:val="en-US"/>
        </w:rPr>
        <w:t xml:space="preserve">Novel </w:t>
      </w:r>
      <w:r w:rsidR="00FC2FA8" w:rsidRPr="00E7615A">
        <w:rPr>
          <w:rFonts w:ascii="Book Antiqua" w:hAnsi="Book Antiqua"/>
          <w:color w:val="000000" w:themeColor="text1"/>
          <w:sz w:val="24"/>
          <w:szCs w:val="24"/>
          <w:lang w:val="en-US"/>
        </w:rPr>
        <w:t>strategies</w:t>
      </w:r>
      <w:r w:rsidR="00D83D5F" w:rsidRPr="00E7615A">
        <w:rPr>
          <w:rFonts w:ascii="Book Antiqua" w:hAnsi="Book Antiqua"/>
          <w:color w:val="000000" w:themeColor="text1"/>
          <w:sz w:val="24"/>
          <w:szCs w:val="24"/>
          <w:lang w:val="en-US"/>
        </w:rPr>
        <w:t xml:space="preserve"> are needed</w:t>
      </w:r>
      <w:r w:rsidR="00FC2FA8" w:rsidRPr="00E7615A">
        <w:rPr>
          <w:rFonts w:ascii="Book Antiqua" w:hAnsi="Book Antiqua"/>
          <w:color w:val="000000" w:themeColor="text1"/>
          <w:sz w:val="24"/>
          <w:szCs w:val="24"/>
          <w:lang w:val="en-US"/>
        </w:rPr>
        <w:t xml:space="preserve"> </w:t>
      </w:r>
      <w:r w:rsidR="003553BE" w:rsidRPr="00E7615A">
        <w:rPr>
          <w:rFonts w:ascii="Book Antiqua" w:hAnsi="Book Antiqua"/>
          <w:color w:val="000000" w:themeColor="text1"/>
          <w:sz w:val="24"/>
          <w:szCs w:val="24"/>
          <w:lang w:val="en-US"/>
        </w:rPr>
        <w:t xml:space="preserve">in oral surgery </w:t>
      </w:r>
      <w:r w:rsidR="00FC2FA8" w:rsidRPr="00E7615A">
        <w:rPr>
          <w:rFonts w:ascii="Book Antiqua" w:hAnsi="Book Antiqua"/>
          <w:color w:val="000000" w:themeColor="text1"/>
          <w:sz w:val="24"/>
          <w:szCs w:val="24"/>
          <w:lang w:val="en-US"/>
        </w:rPr>
        <w:t xml:space="preserve">for improving guided bone regeneration </w:t>
      </w:r>
      <w:r w:rsidR="003553BE" w:rsidRPr="00E7615A">
        <w:rPr>
          <w:rFonts w:ascii="Book Antiqua" w:hAnsi="Book Antiqua"/>
          <w:color w:val="000000" w:themeColor="text1"/>
          <w:sz w:val="24"/>
          <w:szCs w:val="24"/>
          <w:lang w:val="en-US"/>
        </w:rPr>
        <w:t xml:space="preserve">in maxillary sinus augmentation (GBR-MSA) </w:t>
      </w:r>
      <w:r w:rsidR="00FC2FA8" w:rsidRPr="00E7615A">
        <w:rPr>
          <w:rFonts w:ascii="Book Antiqua" w:hAnsi="Book Antiqua"/>
          <w:color w:val="000000" w:themeColor="text1"/>
          <w:sz w:val="24"/>
          <w:szCs w:val="24"/>
          <w:lang w:val="en-US"/>
        </w:rPr>
        <w:t xml:space="preserve">prior to implant placement. We demonstrate that in GBR-MSA the combination of </w:t>
      </w:r>
      <w:r w:rsidR="003553BE" w:rsidRPr="00E7615A">
        <w:rPr>
          <w:rFonts w:ascii="Book Antiqua" w:hAnsi="Book Antiqua"/>
          <w:color w:val="000000" w:themeColor="text1"/>
          <w:sz w:val="24"/>
          <w:szCs w:val="24"/>
          <w:lang w:val="en-US"/>
        </w:rPr>
        <w:t xml:space="preserve">freshly isolated, </w:t>
      </w:r>
      <w:r w:rsidR="00FC2FA8" w:rsidRPr="00E7615A">
        <w:rPr>
          <w:rFonts w:ascii="Book Antiqua" w:hAnsi="Book Antiqua"/>
          <w:color w:val="000000" w:themeColor="text1"/>
          <w:sz w:val="24"/>
          <w:szCs w:val="24"/>
          <w:lang w:val="en-US"/>
        </w:rPr>
        <w:t xml:space="preserve">unmodified autologous adipose-derived regenerative cells, </w:t>
      </w:r>
      <w:r w:rsidR="00D139A4" w:rsidRPr="00E7615A">
        <w:rPr>
          <w:rFonts w:ascii="Book Antiqua" w:hAnsi="Book Antiqua"/>
          <w:color w:val="000000" w:themeColor="text1"/>
          <w:sz w:val="24"/>
          <w:szCs w:val="24"/>
          <w:lang w:val="en-US"/>
        </w:rPr>
        <w:t>f</w:t>
      </w:r>
      <w:r w:rsidR="00FC2FA8" w:rsidRPr="00E7615A">
        <w:rPr>
          <w:rFonts w:ascii="Book Antiqua" w:hAnsi="Book Antiqua"/>
          <w:color w:val="000000" w:themeColor="text1"/>
          <w:sz w:val="24"/>
          <w:szCs w:val="24"/>
          <w:lang w:val="en-US"/>
        </w:rPr>
        <w:t xml:space="preserve">raction 2 of plasma rich in growth factors (PRGF-2) and an osteoinductive scaffold (OIS) is superior to the combination of PRGF-2 and the same OIS alone. This </w:t>
      </w:r>
      <w:r w:rsidR="003553BE" w:rsidRPr="00E7615A">
        <w:rPr>
          <w:rFonts w:ascii="Book Antiqua" w:hAnsi="Book Antiqua"/>
          <w:color w:val="000000" w:themeColor="text1"/>
          <w:sz w:val="24"/>
          <w:szCs w:val="24"/>
          <w:lang w:val="en-US"/>
        </w:rPr>
        <w:t xml:space="preserve">novel procedure </w:t>
      </w:r>
      <w:r w:rsidR="00FC2FA8" w:rsidRPr="00E7615A">
        <w:rPr>
          <w:rFonts w:ascii="Book Antiqua" w:hAnsi="Book Antiqua"/>
          <w:color w:val="000000" w:themeColor="text1"/>
          <w:sz w:val="24"/>
          <w:szCs w:val="24"/>
          <w:lang w:val="en-US"/>
        </w:rPr>
        <w:t>might contribute to</w:t>
      </w:r>
      <w:r w:rsidR="004961D7" w:rsidRPr="00E7615A">
        <w:rPr>
          <w:rFonts w:ascii="Book Antiqua" w:hAnsi="Book Antiqua"/>
          <w:color w:val="000000" w:themeColor="text1"/>
          <w:sz w:val="24"/>
          <w:szCs w:val="24"/>
          <w:lang w:val="en-US"/>
        </w:rPr>
        <w:t xml:space="preserve"> </w:t>
      </w:r>
      <w:r w:rsidR="009B5110" w:rsidRPr="00E7615A">
        <w:rPr>
          <w:rFonts w:ascii="Book Antiqua" w:hAnsi="Book Antiqua"/>
          <w:color w:val="000000" w:themeColor="text1"/>
          <w:sz w:val="24"/>
          <w:szCs w:val="24"/>
          <w:lang w:val="en-US"/>
        </w:rPr>
        <w:t xml:space="preserve">decrease </w:t>
      </w:r>
      <w:r w:rsidR="003553BE" w:rsidRPr="00E7615A">
        <w:rPr>
          <w:rFonts w:ascii="Book Antiqua" w:hAnsi="Book Antiqua"/>
          <w:color w:val="000000" w:themeColor="text1"/>
          <w:sz w:val="24"/>
          <w:szCs w:val="24"/>
          <w:lang w:val="en-US"/>
        </w:rPr>
        <w:t xml:space="preserve">the </w:t>
      </w:r>
      <w:r w:rsidR="009B5110" w:rsidRPr="00E7615A">
        <w:rPr>
          <w:rFonts w:ascii="Book Antiqua" w:hAnsi="Book Antiqua"/>
          <w:color w:val="000000" w:themeColor="text1"/>
          <w:sz w:val="24"/>
          <w:szCs w:val="24"/>
          <w:lang w:val="en-US"/>
        </w:rPr>
        <w:t xml:space="preserve">healing period and increase bone quality </w:t>
      </w:r>
      <w:r w:rsidR="003553BE" w:rsidRPr="00E7615A">
        <w:rPr>
          <w:rFonts w:ascii="Book Antiqua" w:hAnsi="Book Antiqua"/>
          <w:color w:val="000000" w:themeColor="text1"/>
          <w:sz w:val="24"/>
          <w:szCs w:val="24"/>
          <w:lang w:val="en-US"/>
        </w:rPr>
        <w:t xml:space="preserve">in </w:t>
      </w:r>
      <w:r w:rsidR="004961D7" w:rsidRPr="00E7615A">
        <w:rPr>
          <w:rFonts w:ascii="Book Antiqua" w:hAnsi="Book Antiqua"/>
          <w:color w:val="000000" w:themeColor="text1"/>
          <w:sz w:val="24"/>
          <w:szCs w:val="24"/>
          <w:lang w:val="en-US"/>
        </w:rPr>
        <w:t xml:space="preserve">rehabilitation of the edentulous posterior maxilla </w:t>
      </w:r>
      <w:r w:rsidR="003553BE" w:rsidRPr="00E7615A">
        <w:rPr>
          <w:rFonts w:ascii="Book Antiqua" w:hAnsi="Book Antiqua"/>
          <w:color w:val="000000" w:themeColor="text1"/>
          <w:sz w:val="24"/>
          <w:szCs w:val="24"/>
          <w:lang w:val="en-US"/>
        </w:rPr>
        <w:t xml:space="preserve">as well as in </w:t>
      </w:r>
      <w:r w:rsidR="004961D7" w:rsidRPr="00E7615A">
        <w:rPr>
          <w:rFonts w:ascii="Book Antiqua" w:hAnsi="Book Antiqua"/>
          <w:color w:val="000000" w:themeColor="text1"/>
          <w:sz w:val="24"/>
          <w:szCs w:val="24"/>
          <w:lang w:val="en-US"/>
        </w:rPr>
        <w:t>other regenerative t</w:t>
      </w:r>
      <w:r w:rsidR="002D45CD" w:rsidRPr="00E7615A">
        <w:rPr>
          <w:rFonts w:ascii="Book Antiqua" w:hAnsi="Book Antiqua"/>
          <w:color w:val="000000" w:themeColor="text1"/>
          <w:sz w:val="24"/>
          <w:szCs w:val="24"/>
          <w:lang w:val="en-US"/>
        </w:rPr>
        <w:t>echniques in pre-implant</w:t>
      </w:r>
      <w:r w:rsidR="004961D7" w:rsidRPr="00E7615A">
        <w:rPr>
          <w:rFonts w:ascii="Book Antiqua" w:hAnsi="Book Antiqua"/>
          <w:color w:val="000000" w:themeColor="text1"/>
          <w:sz w:val="24"/>
          <w:szCs w:val="24"/>
          <w:lang w:val="en-US"/>
        </w:rPr>
        <w:t xml:space="preserve"> bone augmentation procedures</w:t>
      </w:r>
      <w:r w:rsidR="00FC2FA8" w:rsidRPr="00E7615A">
        <w:rPr>
          <w:rFonts w:ascii="Book Antiqua" w:hAnsi="Book Antiqua"/>
          <w:color w:val="000000" w:themeColor="text1"/>
          <w:sz w:val="24"/>
          <w:szCs w:val="24"/>
          <w:lang w:val="en-US"/>
        </w:rPr>
        <w:t>.</w:t>
      </w:r>
    </w:p>
    <w:p w14:paraId="2F629419" w14:textId="77777777" w:rsidR="00DE7DB2" w:rsidRPr="00E7615A" w:rsidRDefault="00DE7DB2"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p>
    <w:p w14:paraId="2F6EBA6F" w14:textId="5CAE9E53" w:rsidR="00DE7DB2" w:rsidRPr="00E7615A" w:rsidRDefault="00DE7DB2" w:rsidP="00D048E9">
      <w:pPr>
        <w:adjustRightInd w:val="0"/>
        <w:snapToGrid w:val="0"/>
        <w:spacing w:after="0" w:line="360" w:lineRule="auto"/>
        <w:jc w:val="both"/>
        <w:rPr>
          <w:rFonts w:ascii="Book Antiqua" w:hAnsi="Book Antiqua"/>
          <w:sz w:val="24"/>
          <w:szCs w:val="24"/>
          <w:lang w:eastAsia="zh-CN"/>
        </w:rPr>
      </w:pPr>
      <w:r w:rsidRPr="00E7615A">
        <w:rPr>
          <w:rFonts w:ascii="Book Antiqua" w:hAnsi="Book Antiqua"/>
          <w:color w:val="000000" w:themeColor="text1"/>
          <w:sz w:val="24"/>
          <w:szCs w:val="24"/>
        </w:rPr>
        <w:t>Solakoglu</w:t>
      </w:r>
      <w:r w:rsidRPr="00E7615A">
        <w:rPr>
          <w:rFonts w:ascii="Book Antiqua" w:hAnsi="Book Antiqua"/>
          <w:color w:val="000000" w:themeColor="text1"/>
          <w:sz w:val="24"/>
          <w:szCs w:val="24"/>
          <w:lang w:eastAsia="zh-CN"/>
        </w:rPr>
        <w:t xml:space="preserve"> </w:t>
      </w:r>
      <w:r w:rsidRPr="00E7615A">
        <w:rPr>
          <w:rFonts w:ascii="Book Antiqua" w:hAnsi="Book Antiqua"/>
          <w:color w:val="000000" w:themeColor="text1"/>
          <w:sz w:val="24"/>
          <w:szCs w:val="24"/>
          <w:lang w:val="en-US"/>
        </w:rPr>
        <w:t>Ö</w:t>
      </w:r>
      <w:r w:rsidRPr="00E7615A">
        <w:rPr>
          <w:rFonts w:ascii="Book Antiqua" w:hAnsi="Book Antiqua"/>
          <w:color w:val="000000" w:themeColor="text1"/>
          <w:sz w:val="24"/>
          <w:szCs w:val="24"/>
        </w:rPr>
        <w:t>, Götz</w:t>
      </w:r>
      <w:r w:rsidRPr="00E7615A">
        <w:rPr>
          <w:rFonts w:ascii="Book Antiqua" w:hAnsi="Book Antiqua"/>
          <w:color w:val="000000" w:themeColor="text1"/>
          <w:sz w:val="24"/>
          <w:szCs w:val="24"/>
          <w:lang w:eastAsia="zh-CN"/>
        </w:rPr>
        <w:t xml:space="preserve"> W</w:t>
      </w:r>
      <w:r w:rsidRPr="00E7615A">
        <w:rPr>
          <w:rFonts w:ascii="Book Antiqua" w:hAnsi="Book Antiqua"/>
          <w:color w:val="000000" w:themeColor="text1"/>
          <w:sz w:val="24"/>
          <w:szCs w:val="24"/>
        </w:rPr>
        <w:t>, Kiessling</w:t>
      </w:r>
      <w:r w:rsidRPr="00E7615A">
        <w:rPr>
          <w:rFonts w:ascii="Book Antiqua" w:hAnsi="Book Antiqua"/>
          <w:color w:val="000000" w:themeColor="text1"/>
          <w:sz w:val="24"/>
          <w:szCs w:val="24"/>
          <w:lang w:eastAsia="zh-CN"/>
        </w:rPr>
        <w:t xml:space="preserve"> MC</w:t>
      </w:r>
      <w:r w:rsidRPr="00E7615A">
        <w:rPr>
          <w:rFonts w:ascii="Book Antiqua" w:hAnsi="Book Antiqua"/>
          <w:color w:val="000000" w:themeColor="text1"/>
          <w:sz w:val="24"/>
          <w:szCs w:val="24"/>
        </w:rPr>
        <w:t>, Alt</w:t>
      </w:r>
      <w:r w:rsidRPr="00E7615A">
        <w:rPr>
          <w:rFonts w:ascii="Book Antiqua" w:hAnsi="Book Antiqua"/>
          <w:color w:val="000000" w:themeColor="text1"/>
          <w:sz w:val="24"/>
          <w:szCs w:val="24"/>
          <w:lang w:eastAsia="zh-CN"/>
        </w:rPr>
        <w:t xml:space="preserve"> C</w:t>
      </w:r>
      <w:r w:rsidRPr="00E7615A">
        <w:rPr>
          <w:rFonts w:ascii="Book Antiqua" w:hAnsi="Book Antiqua"/>
          <w:color w:val="000000" w:themeColor="text1"/>
          <w:sz w:val="24"/>
          <w:szCs w:val="24"/>
        </w:rPr>
        <w:t>, Schmitz</w:t>
      </w:r>
      <w:r w:rsidRPr="00E7615A">
        <w:rPr>
          <w:rFonts w:ascii="Book Antiqua" w:hAnsi="Book Antiqua"/>
          <w:color w:val="000000" w:themeColor="text1"/>
          <w:sz w:val="24"/>
          <w:szCs w:val="24"/>
          <w:lang w:eastAsia="zh-CN"/>
        </w:rPr>
        <w:t xml:space="preserve"> C</w:t>
      </w:r>
      <w:r w:rsidRPr="00E7615A">
        <w:rPr>
          <w:rFonts w:ascii="Book Antiqua" w:hAnsi="Book Antiqua"/>
          <w:color w:val="000000" w:themeColor="text1"/>
          <w:sz w:val="24"/>
          <w:szCs w:val="24"/>
        </w:rPr>
        <w:t>, Alt</w:t>
      </w:r>
      <w:r w:rsidRPr="00E7615A">
        <w:rPr>
          <w:rFonts w:ascii="Book Antiqua" w:hAnsi="Book Antiqua"/>
          <w:color w:val="000000" w:themeColor="text1"/>
          <w:sz w:val="24"/>
          <w:szCs w:val="24"/>
          <w:lang w:eastAsia="zh-CN"/>
        </w:rPr>
        <w:t xml:space="preserve"> EU. </w:t>
      </w:r>
      <w:r w:rsidRPr="00E7615A">
        <w:rPr>
          <w:rFonts w:ascii="Book Antiqua" w:hAnsi="Book Antiqua"/>
          <w:color w:val="000000" w:themeColor="text1"/>
          <w:sz w:val="24"/>
          <w:szCs w:val="24"/>
          <w:lang w:val="en-US"/>
        </w:rPr>
        <w:t>Improved guided bone regeneration by combined application of unmodified, fresh autologous adipose derived regenerative cells and plasma rich in growth factors: A first-in-human case report and literature review</w:t>
      </w:r>
      <w:r w:rsidRPr="00E7615A">
        <w:rPr>
          <w:rFonts w:ascii="Book Antiqua" w:hAnsi="Book Antiqua"/>
          <w:color w:val="000000" w:themeColor="text1"/>
          <w:sz w:val="24"/>
          <w:szCs w:val="24"/>
          <w:lang w:val="en-US" w:eastAsia="zh-CN"/>
        </w:rPr>
        <w:t xml:space="preserve">. </w:t>
      </w:r>
      <w:r w:rsidR="00E7615A" w:rsidRPr="00E7615A">
        <w:rPr>
          <w:rFonts w:ascii="Book Antiqua" w:hAnsi="Book Antiqua"/>
          <w:i/>
          <w:color w:val="000000" w:themeColor="text1"/>
          <w:sz w:val="24"/>
          <w:szCs w:val="24"/>
          <w:lang w:val="en-US" w:eastAsia="zh-CN"/>
        </w:rPr>
        <w:t>World J Stem Cells</w:t>
      </w:r>
      <w:r w:rsidR="00E7615A" w:rsidRPr="00E7615A">
        <w:rPr>
          <w:rFonts w:ascii="Book Antiqua" w:hAnsi="Book Antiqua"/>
          <w:color w:val="000000" w:themeColor="text1"/>
          <w:sz w:val="24"/>
          <w:szCs w:val="24"/>
          <w:lang w:val="en-US" w:eastAsia="zh-CN"/>
        </w:rPr>
        <w:t xml:space="preserve"> 2019; In press</w:t>
      </w:r>
    </w:p>
    <w:p w14:paraId="73D847B7" w14:textId="77777777" w:rsidR="00DE7DB2" w:rsidRPr="00E7615A" w:rsidRDefault="00DE7DB2" w:rsidP="00D048E9">
      <w:pPr>
        <w:widowControl w:val="0"/>
        <w:adjustRightInd w:val="0"/>
        <w:snapToGrid w:val="0"/>
        <w:spacing w:after="0" w:line="360" w:lineRule="auto"/>
        <w:jc w:val="both"/>
        <w:rPr>
          <w:rFonts w:ascii="Book Antiqua" w:hAnsi="Book Antiqua"/>
          <w:color w:val="000000" w:themeColor="text1"/>
          <w:sz w:val="24"/>
          <w:szCs w:val="24"/>
          <w:lang w:eastAsia="zh-CN"/>
        </w:rPr>
      </w:pPr>
    </w:p>
    <w:p w14:paraId="61EC91EC" w14:textId="77777777" w:rsidR="00FD702E" w:rsidRPr="00E7615A" w:rsidRDefault="00FD702E"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br w:type="page"/>
      </w:r>
    </w:p>
    <w:p w14:paraId="773EC12B" w14:textId="3FA51F71" w:rsidR="00A37FD9" w:rsidRPr="00E7615A" w:rsidRDefault="00A37FD9"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lastRenderedPageBreak/>
        <w:t>INTRODUCTION</w:t>
      </w:r>
    </w:p>
    <w:p w14:paraId="5ADA294E" w14:textId="61AF01B5" w:rsidR="003E4066" w:rsidRPr="00E7615A" w:rsidRDefault="0056779F"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The main causes of tooth loss are periodontal disease and dental </w:t>
      </w:r>
      <w:proofErr w:type="gramStart"/>
      <w:r w:rsidR="00A37FD9" w:rsidRPr="00E7615A">
        <w:rPr>
          <w:rFonts w:ascii="Book Antiqua" w:hAnsi="Book Antiqua"/>
          <w:color w:val="000000" w:themeColor="text1"/>
          <w:sz w:val="24"/>
          <w:szCs w:val="24"/>
          <w:lang w:val="en-US"/>
        </w:rPr>
        <w:t>caries</w:t>
      </w:r>
      <w:r w:rsidR="00FE51E4" w:rsidRPr="00E7615A">
        <w:rPr>
          <w:rFonts w:ascii="Book Antiqua" w:hAnsi="Book Antiqua"/>
          <w:color w:val="000000" w:themeColor="text1"/>
          <w:sz w:val="24"/>
          <w:szCs w:val="24"/>
          <w:vertAlign w:val="superscript"/>
          <w:lang w:val="en-US"/>
        </w:rPr>
        <w:t>[</w:t>
      </w:r>
      <w:proofErr w:type="gramEnd"/>
      <w:r w:rsidR="00A37FD9" w:rsidRPr="00E7615A">
        <w:rPr>
          <w:rFonts w:ascii="Book Antiqua" w:hAnsi="Book Antiqua"/>
          <w:color w:val="000000" w:themeColor="text1"/>
          <w:sz w:val="24"/>
          <w:szCs w:val="24"/>
          <w:vertAlign w:val="superscript"/>
          <w:lang w:val="en-US"/>
        </w:rPr>
        <w:t>1</w:t>
      </w:r>
      <w:r w:rsidR="00FE51E4" w:rsidRPr="00E7615A">
        <w:rPr>
          <w:rFonts w:ascii="Book Antiqua" w:hAnsi="Book Antiqua"/>
          <w:color w:val="000000" w:themeColor="text1"/>
          <w:sz w:val="24"/>
          <w:szCs w:val="24"/>
          <w:vertAlign w:val="superscript"/>
          <w:lang w:val="en-US"/>
        </w:rPr>
        <w:t>]</w:t>
      </w:r>
      <w:r w:rsidR="00FE51E4" w:rsidRPr="00E7615A">
        <w:rPr>
          <w:rFonts w:ascii="Book Antiqua" w:hAnsi="Book Antiqua"/>
          <w:color w:val="000000" w:themeColor="text1"/>
          <w:sz w:val="24"/>
          <w:szCs w:val="24"/>
          <w:lang w:val="en-US"/>
        </w:rPr>
        <w:t>.</w:t>
      </w:r>
      <w:r w:rsidR="00A37FD9" w:rsidRPr="00E7615A">
        <w:rPr>
          <w:rFonts w:ascii="Book Antiqua" w:hAnsi="Book Antiqua"/>
          <w:color w:val="000000" w:themeColor="text1"/>
          <w:sz w:val="24"/>
          <w:szCs w:val="24"/>
          <w:lang w:val="en-US"/>
        </w:rPr>
        <w:t xml:space="preserve"> Replacing missing or lost teeth with osseointegrated dental implants has shown highly successful outcome in the treatment of single, partial or complete </w:t>
      </w:r>
      <w:proofErr w:type="gramStart"/>
      <w:r w:rsidR="00A37FD9" w:rsidRPr="00E7615A">
        <w:rPr>
          <w:rFonts w:ascii="Book Antiqua" w:hAnsi="Book Antiqua"/>
          <w:color w:val="000000" w:themeColor="text1"/>
          <w:sz w:val="24"/>
          <w:szCs w:val="24"/>
          <w:lang w:val="en-US"/>
        </w:rPr>
        <w:t>edentulism</w:t>
      </w:r>
      <w:r w:rsidR="00FE51E4" w:rsidRPr="00E7615A">
        <w:rPr>
          <w:rFonts w:ascii="Book Antiqua" w:hAnsi="Book Antiqua"/>
          <w:color w:val="000000" w:themeColor="text1"/>
          <w:sz w:val="24"/>
          <w:szCs w:val="24"/>
          <w:vertAlign w:val="superscript"/>
          <w:lang w:val="en-US"/>
        </w:rPr>
        <w:t>[</w:t>
      </w:r>
      <w:proofErr w:type="gramEnd"/>
      <w:r w:rsidR="00A37FD9" w:rsidRPr="00E7615A">
        <w:rPr>
          <w:rFonts w:ascii="Book Antiqua" w:hAnsi="Book Antiqua"/>
          <w:color w:val="000000" w:themeColor="text1"/>
          <w:sz w:val="24"/>
          <w:szCs w:val="24"/>
          <w:vertAlign w:val="superscript"/>
          <w:lang w:val="en-US"/>
        </w:rPr>
        <w:t>2</w:t>
      </w:r>
      <w:r w:rsidR="00FE51E4" w:rsidRPr="00E7615A">
        <w:rPr>
          <w:rFonts w:ascii="Book Antiqua" w:hAnsi="Book Antiqua"/>
          <w:color w:val="000000" w:themeColor="text1"/>
          <w:sz w:val="24"/>
          <w:szCs w:val="24"/>
          <w:vertAlign w:val="superscript"/>
          <w:lang w:val="en-US"/>
        </w:rPr>
        <w:t>]</w:t>
      </w:r>
      <w:r w:rsidR="00FE51E4" w:rsidRPr="00E7615A">
        <w:rPr>
          <w:rFonts w:ascii="Book Antiqua" w:hAnsi="Book Antiqua"/>
          <w:color w:val="000000" w:themeColor="text1"/>
          <w:sz w:val="24"/>
          <w:szCs w:val="24"/>
          <w:lang w:val="en-US"/>
        </w:rPr>
        <w:t>.</w:t>
      </w:r>
      <w:r w:rsidR="00A37FD9" w:rsidRPr="00E7615A">
        <w:rPr>
          <w:rFonts w:ascii="Book Antiqua" w:hAnsi="Book Antiqua"/>
          <w:color w:val="000000" w:themeColor="text1"/>
          <w:sz w:val="24"/>
          <w:szCs w:val="24"/>
          <w:lang w:val="en-US"/>
        </w:rPr>
        <w:t xml:space="preserve"> However, </w:t>
      </w:r>
      <w:r w:rsidRPr="00E7615A">
        <w:rPr>
          <w:rFonts w:ascii="Book Antiqua" w:hAnsi="Book Antiqua"/>
          <w:color w:val="000000" w:themeColor="text1"/>
          <w:sz w:val="24"/>
          <w:szCs w:val="24"/>
          <w:lang w:val="en-US"/>
        </w:rPr>
        <w:t xml:space="preserve">insufficient bone volume is </w:t>
      </w:r>
      <w:r w:rsidR="00A37FD9" w:rsidRPr="00E7615A">
        <w:rPr>
          <w:rFonts w:ascii="Book Antiqua" w:hAnsi="Book Antiqua"/>
          <w:color w:val="000000" w:themeColor="text1"/>
          <w:sz w:val="24"/>
          <w:szCs w:val="24"/>
          <w:lang w:val="en-US"/>
        </w:rPr>
        <w:t xml:space="preserve">a common problem </w:t>
      </w:r>
      <w:bookmarkStart w:id="162" w:name="_Hlk513812542"/>
      <w:r w:rsidRPr="00E7615A">
        <w:rPr>
          <w:rFonts w:ascii="Book Antiqua" w:hAnsi="Book Antiqua"/>
          <w:color w:val="000000" w:themeColor="text1"/>
          <w:sz w:val="24"/>
          <w:szCs w:val="24"/>
          <w:lang w:val="en-US"/>
        </w:rPr>
        <w:t xml:space="preserve">occuring </w:t>
      </w:r>
      <w:r w:rsidR="00A37FD9" w:rsidRPr="00E7615A">
        <w:rPr>
          <w:rFonts w:ascii="Book Antiqua" w:hAnsi="Book Antiqua"/>
          <w:color w:val="000000" w:themeColor="text1"/>
          <w:sz w:val="24"/>
          <w:szCs w:val="24"/>
          <w:lang w:val="en-US"/>
        </w:rPr>
        <w:t xml:space="preserve">in the rehabilitation of the edentulous posterior maxilla with implant-supported </w:t>
      </w:r>
      <w:proofErr w:type="gramStart"/>
      <w:r w:rsidR="00A37FD9" w:rsidRPr="00E7615A">
        <w:rPr>
          <w:rFonts w:ascii="Book Antiqua" w:hAnsi="Book Antiqua"/>
          <w:color w:val="000000" w:themeColor="text1"/>
          <w:sz w:val="24"/>
          <w:szCs w:val="24"/>
          <w:lang w:val="en-US"/>
        </w:rPr>
        <w:t>prostheses</w:t>
      </w:r>
      <w:bookmarkEnd w:id="162"/>
      <w:r w:rsidR="00FE51E4" w:rsidRPr="00E7615A">
        <w:rPr>
          <w:rFonts w:ascii="Book Antiqua" w:hAnsi="Book Antiqua"/>
          <w:color w:val="000000" w:themeColor="text1"/>
          <w:sz w:val="24"/>
          <w:szCs w:val="24"/>
          <w:vertAlign w:val="superscript"/>
          <w:lang w:val="en-US"/>
        </w:rPr>
        <w:t>[</w:t>
      </w:r>
      <w:proofErr w:type="gramEnd"/>
      <w:r w:rsidR="00A37FD9" w:rsidRPr="00E7615A">
        <w:rPr>
          <w:rFonts w:ascii="Book Antiqua" w:hAnsi="Book Antiqua"/>
          <w:color w:val="000000" w:themeColor="text1"/>
          <w:sz w:val="24"/>
          <w:szCs w:val="24"/>
          <w:vertAlign w:val="superscript"/>
          <w:lang w:val="en-US"/>
        </w:rPr>
        <w:t>3-5</w:t>
      </w:r>
      <w:r w:rsidR="00FE51E4" w:rsidRPr="00E7615A">
        <w:rPr>
          <w:rFonts w:ascii="Book Antiqua" w:hAnsi="Book Antiqua"/>
          <w:color w:val="000000" w:themeColor="text1"/>
          <w:sz w:val="24"/>
          <w:szCs w:val="24"/>
          <w:vertAlign w:val="superscript"/>
          <w:lang w:val="en-US"/>
        </w:rPr>
        <w:t>]</w:t>
      </w:r>
      <w:r w:rsidR="00FE51E4" w:rsidRPr="00E7615A">
        <w:rPr>
          <w:rFonts w:ascii="Book Antiqua" w:hAnsi="Book Antiqua"/>
          <w:color w:val="000000" w:themeColor="text1"/>
          <w:sz w:val="24"/>
          <w:szCs w:val="24"/>
          <w:lang w:val="en-US"/>
        </w:rPr>
        <w:t>.</w:t>
      </w:r>
      <w:r w:rsidR="00A37FD9" w:rsidRPr="00E7615A">
        <w:rPr>
          <w:rFonts w:ascii="Book Antiqua" w:hAnsi="Book Antiqua"/>
          <w:color w:val="000000" w:themeColor="text1"/>
          <w:sz w:val="24"/>
          <w:szCs w:val="24"/>
          <w:lang w:val="en-US"/>
        </w:rPr>
        <w:t xml:space="preserve"> Both, the presence of the maxillary sinus and atrophy of the alveolar process after tooth extraction or loss contribute to this problem. Therefore, it is often necessary to perform vertical alveolar ridge augmentation to enable implant placement and integration. A well-studied technique in this context is maxillary sinus membrane elevation with autologous bone or a variety of biomaterials (</w:t>
      </w:r>
      <w:r w:rsidR="00E7615A" w:rsidRPr="00E7615A">
        <w:rPr>
          <w:rFonts w:ascii="Book Antiqua" w:hAnsi="Book Antiqua"/>
          <w:i/>
          <w:color w:val="000000" w:themeColor="text1"/>
          <w:sz w:val="24"/>
          <w:szCs w:val="24"/>
          <w:lang w:val="en-US"/>
        </w:rPr>
        <w:t>i.e.</w:t>
      </w:r>
      <w:r w:rsidR="00A37FD9" w:rsidRPr="00E7615A">
        <w:rPr>
          <w:rFonts w:ascii="Book Antiqua" w:hAnsi="Book Antiqua"/>
          <w:color w:val="000000" w:themeColor="text1"/>
          <w:sz w:val="24"/>
          <w:szCs w:val="24"/>
          <w:lang w:val="en-US"/>
        </w:rPr>
        <w:t>, a form of guided bone regeneration</w:t>
      </w:r>
      <w:r w:rsidR="003E4066" w:rsidRPr="00E7615A">
        <w:rPr>
          <w:rFonts w:ascii="Book Antiqua" w:hAnsi="Book Antiqua"/>
          <w:color w:val="000000" w:themeColor="text1"/>
          <w:sz w:val="24"/>
          <w:szCs w:val="24"/>
          <w:lang w:val="en-US"/>
        </w:rPr>
        <w:t xml:space="preserve"> in maxillary sinus augmentation; thereafter, “GBR-MSA</w:t>
      </w:r>
      <w:proofErr w:type="gramStart"/>
      <w:r w:rsidR="003E4066" w:rsidRPr="00E7615A">
        <w:rPr>
          <w:rFonts w:ascii="Book Antiqua" w:hAnsi="Book Antiqua"/>
          <w:color w:val="000000" w:themeColor="text1"/>
          <w:sz w:val="24"/>
          <w:szCs w:val="24"/>
          <w:lang w:val="en-US"/>
        </w:rPr>
        <w:t>”</w:t>
      </w:r>
      <w:r w:rsidR="00A37FD9" w:rsidRPr="00E7615A">
        <w:rPr>
          <w:rFonts w:ascii="Book Antiqua" w:hAnsi="Book Antiqua"/>
          <w:color w:val="000000" w:themeColor="text1"/>
          <w:sz w:val="24"/>
          <w:szCs w:val="24"/>
          <w:lang w:val="en-US"/>
        </w:rPr>
        <w:t>)</w:t>
      </w:r>
      <w:r w:rsidR="00EA10A3" w:rsidRPr="00E7615A">
        <w:rPr>
          <w:rFonts w:ascii="Book Antiqua" w:hAnsi="Book Antiqua"/>
          <w:color w:val="000000" w:themeColor="text1"/>
          <w:sz w:val="24"/>
          <w:szCs w:val="24"/>
          <w:vertAlign w:val="superscript"/>
          <w:lang w:val="en-US"/>
        </w:rPr>
        <w:t>[</w:t>
      </w:r>
      <w:proofErr w:type="gramEnd"/>
      <w:r w:rsidR="00EA10A3" w:rsidRPr="00E7615A">
        <w:rPr>
          <w:rFonts w:ascii="Book Antiqua" w:hAnsi="Book Antiqua"/>
          <w:color w:val="000000" w:themeColor="text1"/>
          <w:sz w:val="24"/>
          <w:szCs w:val="24"/>
          <w:vertAlign w:val="superscript"/>
          <w:lang w:val="en-US"/>
        </w:rPr>
        <w:t>3-6]</w:t>
      </w:r>
      <w:r w:rsidR="00A37FD9" w:rsidRPr="00E7615A">
        <w:rPr>
          <w:rFonts w:ascii="Book Antiqua" w:hAnsi="Book Antiqua"/>
          <w:color w:val="000000" w:themeColor="text1"/>
          <w:sz w:val="24"/>
          <w:szCs w:val="24"/>
          <w:lang w:val="en-US"/>
        </w:rPr>
        <w:t xml:space="preserve">. </w:t>
      </w:r>
      <w:r w:rsidR="003E4066" w:rsidRPr="00E7615A">
        <w:rPr>
          <w:rFonts w:ascii="Book Antiqua" w:hAnsi="Book Antiqua"/>
          <w:color w:val="000000" w:themeColor="text1"/>
          <w:sz w:val="24"/>
          <w:szCs w:val="24"/>
          <w:lang w:val="en-US"/>
        </w:rPr>
        <w:t>However, for the following reasons there is a need for developing novel strategies for improving GBR-MSA.</w:t>
      </w:r>
    </w:p>
    <w:p w14:paraId="3BD68BE2" w14:textId="5386A540" w:rsidR="00DB749E" w:rsidRPr="00E7615A" w:rsidRDefault="003E4066"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First, autologous bone is considered to be the „gold standard” in GBR-MSA due to its osteogenic, osteoinductive and osteoconductive properties including lack of </w:t>
      </w:r>
      <w:proofErr w:type="gramStart"/>
      <w:r w:rsidRPr="00E7615A">
        <w:rPr>
          <w:rFonts w:ascii="Book Antiqua" w:hAnsi="Book Antiqua"/>
          <w:color w:val="000000" w:themeColor="text1"/>
          <w:sz w:val="24"/>
          <w:szCs w:val="24"/>
          <w:lang w:val="en-US"/>
        </w:rPr>
        <w:t>immunogeneicity</w:t>
      </w:r>
      <w:r w:rsidR="008C017E" w:rsidRPr="00E7615A">
        <w:rPr>
          <w:rFonts w:ascii="Book Antiqua" w:hAnsi="Book Antiqua"/>
          <w:color w:val="000000" w:themeColor="text1"/>
          <w:sz w:val="24"/>
          <w:szCs w:val="24"/>
          <w:vertAlign w:val="superscript"/>
          <w:lang w:val="en-US"/>
        </w:rPr>
        <w:t>[</w:t>
      </w:r>
      <w:proofErr w:type="gramEnd"/>
      <w:r w:rsidR="008C017E" w:rsidRPr="00E7615A">
        <w:rPr>
          <w:rFonts w:ascii="Book Antiqua" w:hAnsi="Book Antiqua"/>
          <w:color w:val="000000" w:themeColor="text1"/>
          <w:sz w:val="24"/>
          <w:szCs w:val="24"/>
          <w:vertAlign w:val="superscript"/>
          <w:lang w:val="en-US"/>
        </w:rPr>
        <w:t>7,8]</w:t>
      </w:r>
      <w:r w:rsidRPr="00E7615A">
        <w:rPr>
          <w:rFonts w:ascii="Book Antiqua" w:hAnsi="Book Antiqua"/>
          <w:color w:val="000000" w:themeColor="text1"/>
          <w:sz w:val="24"/>
          <w:szCs w:val="24"/>
          <w:lang w:val="en-US"/>
        </w:rPr>
        <w:t>.</w:t>
      </w:r>
      <w:r w:rsidR="008C017E"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 xml:space="preserve">However, autologous bone grafts may show a number of disadvantages, such as increased operation time, donor site morbidity, post-operative discomfort, limitations in bone quantity and volume, unpredictable bone quality, reduced volume stability and fast resorption </w:t>
      </w:r>
      <w:proofErr w:type="gramStart"/>
      <w:r w:rsidRPr="00E7615A">
        <w:rPr>
          <w:rFonts w:ascii="Book Antiqua" w:hAnsi="Book Antiqua"/>
          <w:color w:val="000000" w:themeColor="text1"/>
          <w:sz w:val="24"/>
          <w:szCs w:val="24"/>
          <w:lang w:val="en-US"/>
        </w:rPr>
        <w:t>rate</w:t>
      </w:r>
      <w:r w:rsidR="008C017E" w:rsidRPr="00E7615A">
        <w:rPr>
          <w:rFonts w:ascii="Book Antiqua" w:hAnsi="Book Antiqua"/>
          <w:color w:val="000000" w:themeColor="text1"/>
          <w:sz w:val="24"/>
          <w:szCs w:val="24"/>
          <w:vertAlign w:val="superscript"/>
          <w:lang w:val="en-US"/>
        </w:rPr>
        <w:t>[</w:t>
      </w:r>
      <w:proofErr w:type="gramEnd"/>
      <w:r w:rsidR="008C017E" w:rsidRPr="00E7615A">
        <w:rPr>
          <w:rFonts w:ascii="Book Antiqua" w:hAnsi="Book Antiqua"/>
          <w:color w:val="000000" w:themeColor="text1"/>
          <w:sz w:val="24"/>
          <w:szCs w:val="24"/>
          <w:vertAlign w:val="superscript"/>
          <w:lang w:val="en-US"/>
        </w:rPr>
        <w:t>9-13]</w:t>
      </w:r>
      <w:r w:rsidRPr="00E7615A">
        <w:rPr>
          <w:rFonts w:ascii="Book Antiqua" w:hAnsi="Book Antiqua"/>
          <w:color w:val="000000" w:themeColor="text1"/>
          <w:sz w:val="24"/>
          <w:szCs w:val="24"/>
          <w:lang w:val="en-US"/>
        </w:rPr>
        <w:t>. It may also be only effective under good recipient conditions. Furthermore, the intraoral amount of autologous bone is limited and therefore extraoral donor sites are needed for larger defects. Extraoral donor sites like the iliac crest may lead to further discomfort for the patient and an even higher morbidity rate compared to intraoral donor sites.</w:t>
      </w:r>
    </w:p>
    <w:p w14:paraId="6992E563" w14:textId="5D3E7B4C" w:rsidR="00C052F3" w:rsidRPr="00E7615A" w:rsidRDefault="00C052F3"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Second, w</w:t>
      </w:r>
      <w:r w:rsidR="003E4066" w:rsidRPr="00E7615A">
        <w:rPr>
          <w:rFonts w:ascii="Book Antiqua" w:hAnsi="Book Antiqua"/>
          <w:color w:val="000000" w:themeColor="text1"/>
          <w:sz w:val="24"/>
          <w:szCs w:val="24"/>
          <w:lang w:val="en-US"/>
        </w:rPr>
        <w:t xml:space="preserve">hile allografts have osteogenic properties, their probable osteoinductive and osteoconductive functions are still discussed </w:t>
      </w:r>
      <w:proofErr w:type="gramStart"/>
      <w:r w:rsidR="00C4284E" w:rsidRPr="00E7615A">
        <w:rPr>
          <w:rFonts w:ascii="Book Antiqua" w:hAnsi="Book Antiqua"/>
          <w:color w:val="000000" w:themeColor="text1"/>
          <w:sz w:val="24"/>
          <w:szCs w:val="24"/>
          <w:lang w:val="en-US"/>
        </w:rPr>
        <w:t>contradictorily</w:t>
      </w:r>
      <w:r w:rsidR="008C017E" w:rsidRPr="00E7615A">
        <w:rPr>
          <w:rFonts w:ascii="Book Antiqua" w:hAnsi="Book Antiqua"/>
          <w:color w:val="000000" w:themeColor="text1"/>
          <w:sz w:val="24"/>
          <w:szCs w:val="24"/>
          <w:vertAlign w:val="superscript"/>
          <w:lang w:val="en-US"/>
        </w:rPr>
        <w:t>[</w:t>
      </w:r>
      <w:proofErr w:type="gramEnd"/>
      <w:r w:rsidR="008C017E" w:rsidRPr="00E7615A">
        <w:rPr>
          <w:rFonts w:ascii="Book Antiqua" w:hAnsi="Book Antiqua"/>
          <w:color w:val="000000" w:themeColor="text1"/>
          <w:sz w:val="24"/>
          <w:szCs w:val="24"/>
          <w:vertAlign w:val="superscript"/>
          <w:lang w:val="en-US"/>
        </w:rPr>
        <w:t>7,11,14-16]</w:t>
      </w:r>
      <w:r w:rsidR="003E4066" w:rsidRPr="00E7615A">
        <w:rPr>
          <w:rFonts w:ascii="Book Antiqua" w:hAnsi="Book Antiqua"/>
          <w:color w:val="000000" w:themeColor="text1"/>
          <w:sz w:val="24"/>
          <w:szCs w:val="24"/>
          <w:lang w:val="en-US"/>
        </w:rPr>
        <w:t>. Especially the osteoconductive property of bone allografts leads to a significant higher volume stability compared to auto</w:t>
      </w:r>
      <w:r w:rsidR="008C017E" w:rsidRPr="00E7615A">
        <w:rPr>
          <w:rFonts w:ascii="Book Antiqua" w:hAnsi="Book Antiqua"/>
          <w:color w:val="000000" w:themeColor="text1"/>
          <w:sz w:val="24"/>
          <w:szCs w:val="24"/>
          <w:lang w:val="en-US"/>
        </w:rPr>
        <w:t>log</w:t>
      </w:r>
      <w:r w:rsidR="003E4066" w:rsidRPr="00E7615A">
        <w:rPr>
          <w:rFonts w:ascii="Book Antiqua" w:hAnsi="Book Antiqua"/>
          <w:color w:val="000000" w:themeColor="text1"/>
          <w:sz w:val="24"/>
          <w:szCs w:val="24"/>
          <w:lang w:val="en-US"/>
        </w:rPr>
        <w:t>ous bone, although it is still resorbable and will be degraded into auto</w:t>
      </w:r>
      <w:r w:rsidR="008C017E" w:rsidRPr="00E7615A">
        <w:rPr>
          <w:rFonts w:ascii="Book Antiqua" w:hAnsi="Book Antiqua"/>
          <w:color w:val="000000" w:themeColor="text1"/>
          <w:sz w:val="24"/>
          <w:szCs w:val="24"/>
          <w:lang w:val="en-US"/>
        </w:rPr>
        <w:t>log</w:t>
      </w:r>
      <w:r w:rsidR="003E4066" w:rsidRPr="00E7615A">
        <w:rPr>
          <w:rFonts w:ascii="Book Antiqua" w:hAnsi="Book Antiqua"/>
          <w:color w:val="000000" w:themeColor="text1"/>
          <w:sz w:val="24"/>
          <w:szCs w:val="24"/>
          <w:lang w:val="en-US"/>
        </w:rPr>
        <w:t xml:space="preserve">ous bone. </w:t>
      </w:r>
      <w:r w:rsidR="00BF3C2C" w:rsidRPr="00E7615A">
        <w:rPr>
          <w:rFonts w:ascii="Book Antiqua" w:hAnsi="Book Antiqua"/>
          <w:color w:val="000000" w:themeColor="text1"/>
          <w:sz w:val="24"/>
          <w:szCs w:val="24"/>
          <w:lang w:val="en-US"/>
        </w:rPr>
        <w:t>Demineralized freeze-dried bone allografts (</w:t>
      </w:r>
      <w:r w:rsidR="003E4066" w:rsidRPr="00E7615A">
        <w:rPr>
          <w:rFonts w:ascii="Book Antiqua" w:hAnsi="Book Antiqua"/>
          <w:color w:val="000000" w:themeColor="text1"/>
          <w:sz w:val="24"/>
          <w:szCs w:val="24"/>
          <w:lang w:val="en-US"/>
        </w:rPr>
        <w:t>FDBA</w:t>
      </w:r>
      <w:r w:rsidR="00BF3C2C" w:rsidRPr="00E7615A">
        <w:rPr>
          <w:rFonts w:ascii="Book Antiqua" w:hAnsi="Book Antiqua"/>
          <w:color w:val="000000" w:themeColor="text1"/>
          <w:sz w:val="24"/>
          <w:szCs w:val="24"/>
          <w:lang w:val="en-US"/>
        </w:rPr>
        <w:t>s)</w:t>
      </w:r>
      <w:r w:rsidR="003E4066" w:rsidRPr="00E7615A">
        <w:rPr>
          <w:rFonts w:ascii="Book Antiqua" w:hAnsi="Book Antiqua"/>
          <w:color w:val="000000" w:themeColor="text1"/>
          <w:sz w:val="24"/>
          <w:szCs w:val="24"/>
          <w:lang w:val="en-US"/>
        </w:rPr>
        <w:t xml:space="preserve"> </w:t>
      </w:r>
      <w:r w:rsidR="00BF3C2C" w:rsidRPr="00E7615A">
        <w:rPr>
          <w:rFonts w:ascii="Book Antiqua" w:hAnsi="Book Antiqua"/>
          <w:color w:val="000000" w:themeColor="text1"/>
          <w:sz w:val="24"/>
          <w:szCs w:val="24"/>
          <w:lang w:val="en-US"/>
        </w:rPr>
        <w:t xml:space="preserve">were </w:t>
      </w:r>
      <w:r w:rsidR="003E4066" w:rsidRPr="00E7615A">
        <w:rPr>
          <w:rFonts w:ascii="Book Antiqua" w:hAnsi="Book Antiqua"/>
          <w:color w:val="000000" w:themeColor="text1"/>
          <w:sz w:val="24"/>
          <w:szCs w:val="24"/>
          <w:lang w:val="en-US"/>
        </w:rPr>
        <w:t xml:space="preserve">shown to be </w:t>
      </w:r>
      <w:r w:rsidR="00BF3C2C" w:rsidRPr="00E7615A">
        <w:rPr>
          <w:rFonts w:ascii="Book Antiqua" w:hAnsi="Book Antiqua"/>
          <w:color w:val="000000" w:themeColor="text1"/>
          <w:sz w:val="24"/>
          <w:szCs w:val="24"/>
          <w:lang w:val="en-US"/>
        </w:rPr>
        <w:t xml:space="preserve">osteoinductive and </w:t>
      </w:r>
      <w:r w:rsidR="003E4066" w:rsidRPr="00E7615A">
        <w:rPr>
          <w:rFonts w:ascii="Book Antiqua" w:hAnsi="Book Antiqua"/>
          <w:color w:val="000000" w:themeColor="text1"/>
          <w:sz w:val="24"/>
          <w:szCs w:val="24"/>
          <w:lang w:val="en-US"/>
        </w:rPr>
        <w:t xml:space="preserve">osteoconductive due to the release of </w:t>
      </w:r>
      <w:r w:rsidR="008C017E" w:rsidRPr="00E7615A">
        <w:rPr>
          <w:rFonts w:ascii="Book Antiqua" w:hAnsi="Book Antiqua"/>
          <w:color w:val="000000" w:themeColor="text1"/>
          <w:sz w:val="24"/>
          <w:szCs w:val="24"/>
          <w:lang w:val="en-US"/>
        </w:rPr>
        <w:t xml:space="preserve">bone morphogenetic </w:t>
      </w:r>
      <w:proofErr w:type="gramStart"/>
      <w:r w:rsidR="008C017E" w:rsidRPr="00E7615A">
        <w:rPr>
          <w:rFonts w:ascii="Book Antiqua" w:hAnsi="Book Antiqua"/>
          <w:color w:val="000000" w:themeColor="text1"/>
          <w:sz w:val="24"/>
          <w:szCs w:val="24"/>
          <w:lang w:val="en-US"/>
        </w:rPr>
        <w:t>proteins</w:t>
      </w:r>
      <w:r w:rsidR="008C017E" w:rsidRPr="00E7615A">
        <w:rPr>
          <w:rFonts w:ascii="Book Antiqua" w:hAnsi="Book Antiqua"/>
          <w:color w:val="000000" w:themeColor="text1"/>
          <w:sz w:val="24"/>
          <w:szCs w:val="24"/>
          <w:vertAlign w:val="superscript"/>
          <w:lang w:val="en-US"/>
        </w:rPr>
        <w:t>[</w:t>
      </w:r>
      <w:proofErr w:type="gramEnd"/>
      <w:r w:rsidR="008C017E" w:rsidRPr="00E7615A">
        <w:rPr>
          <w:rFonts w:ascii="Book Antiqua" w:hAnsi="Book Antiqua"/>
          <w:color w:val="000000" w:themeColor="text1"/>
          <w:sz w:val="24"/>
          <w:szCs w:val="24"/>
          <w:vertAlign w:val="superscript"/>
          <w:lang w:val="en-US"/>
        </w:rPr>
        <w:t>17]</w:t>
      </w:r>
      <w:r w:rsidR="003E4066" w:rsidRPr="00E7615A">
        <w:rPr>
          <w:rFonts w:ascii="Book Antiqua" w:hAnsi="Book Antiqua"/>
          <w:color w:val="000000" w:themeColor="text1"/>
          <w:sz w:val="24"/>
          <w:szCs w:val="24"/>
          <w:lang w:val="en-US"/>
        </w:rPr>
        <w:t>, although clinical outcomes comparing</w:t>
      </w:r>
      <w:r w:rsidR="00BF3C2C" w:rsidRPr="00E7615A">
        <w:rPr>
          <w:rFonts w:ascii="Book Antiqua" w:hAnsi="Book Antiqua"/>
          <w:color w:val="000000" w:themeColor="text1"/>
          <w:sz w:val="24"/>
          <w:szCs w:val="24"/>
          <w:lang w:val="en-US"/>
        </w:rPr>
        <w:t xml:space="preserve"> mineralized and demineralized </w:t>
      </w:r>
      <w:r w:rsidR="00BF3C2C" w:rsidRPr="00E7615A">
        <w:rPr>
          <w:rFonts w:ascii="Book Antiqua" w:hAnsi="Book Antiqua"/>
          <w:color w:val="000000" w:themeColor="text1"/>
          <w:sz w:val="24"/>
          <w:szCs w:val="24"/>
          <w:lang w:val="en-US"/>
        </w:rPr>
        <w:lastRenderedPageBreak/>
        <w:t>FDBAs were</w:t>
      </w:r>
      <w:r w:rsidR="003E4066" w:rsidRPr="00E7615A">
        <w:rPr>
          <w:rFonts w:ascii="Book Antiqua" w:hAnsi="Book Antiqua"/>
          <w:color w:val="000000" w:themeColor="text1"/>
          <w:sz w:val="24"/>
          <w:szCs w:val="24"/>
          <w:lang w:val="en-US"/>
        </w:rPr>
        <w:t xml:space="preserve"> reported to be similar</w:t>
      </w:r>
      <w:r w:rsidR="00BF3C2C" w:rsidRPr="00E7615A">
        <w:rPr>
          <w:rFonts w:ascii="Book Antiqua" w:hAnsi="Book Antiqua"/>
          <w:color w:val="000000" w:themeColor="text1"/>
          <w:sz w:val="24"/>
          <w:szCs w:val="24"/>
          <w:vertAlign w:val="superscript"/>
          <w:lang w:val="en-US"/>
        </w:rPr>
        <w:t>[18]</w:t>
      </w:r>
      <w:r w:rsidR="003E4066" w:rsidRPr="00E7615A">
        <w:rPr>
          <w:rFonts w:ascii="Book Antiqua" w:hAnsi="Book Antiqua"/>
          <w:color w:val="000000" w:themeColor="text1"/>
          <w:sz w:val="24"/>
          <w:szCs w:val="24"/>
          <w:lang w:val="en-US"/>
        </w:rPr>
        <w:t>.</w:t>
      </w:r>
      <w:r w:rsidR="00BF3C2C" w:rsidRPr="00E7615A">
        <w:rPr>
          <w:rFonts w:ascii="Book Antiqua" w:hAnsi="Book Antiqua"/>
          <w:color w:val="000000" w:themeColor="text1"/>
          <w:sz w:val="24"/>
          <w:szCs w:val="24"/>
          <w:lang w:val="en-US"/>
        </w:rPr>
        <w:t xml:space="preserve"> Studies </w:t>
      </w:r>
      <w:r w:rsidR="00BF3C2C" w:rsidRPr="00E7615A">
        <w:rPr>
          <w:rFonts w:ascii="Book Antiqua" w:hAnsi="Book Antiqua"/>
          <w:i/>
          <w:color w:val="000000" w:themeColor="text1"/>
          <w:sz w:val="24"/>
          <w:szCs w:val="24"/>
          <w:lang w:val="en-US"/>
        </w:rPr>
        <w:t>i</w:t>
      </w:r>
      <w:r w:rsidR="003E4066" w:rsidRPr="00E7615A">
        <w:rPr>
          <w:rFonts w:ascii="Book Antiqua" w:hAnsi="Book Antiqua"/>
          <w:i/>
          <w:color w:val="000000" w:themeColor="text1"/>
          <w:sz w:val="24"/>
          <w:szCs w:val="24"/>
          <w:lang w:val="en-US"/>
        </w:rPr>
        <w:t>n vitro</w:t>
      </w:r>
      <w:r w:rsidR="00BF3C2C" w:rsidRPr="00E7615A">
        <w:rPr>
          <w:rFonts w:ascii="Book Antiqua" w:hAnsi="Book Antiqua"/>
          <w:color w:val="000000" w:themeColor="text1"/>
          <w:sz w:val="24"/>
          <w:szCs w:val="24"/>
          <w:lang w:val="en-US"/>
        </w:rPr>
        <w:t xml:space="preserve"> </w:t>
      </w:r>
      <w:r w:rsidR="003E4066" w:rsidRPr="00E7615A">
        <w:rPr>
          <w:rFonts w:ascii="Book Antiqua" w:hAnsi="Book Antiqua"/>
          <w:color w:val="000000" w:themeColor="text1"/>
          <w:sz w:val="24"/>
          <w:szCs w:val="24"/>
          <w:lang w:val="en-US"/>
        </w:rPr>
        <w:t xml:space="preserve">and animal investigations revealed osteoinductive functions of </w:t>
      </w:r>
      <w:r w:rsidR="00BF3C2C" w:rsidRPr="00E7615A">
        <w:rPr>
          <w:rFonts w:ascii="Book Antiqua" w:hAnsi="Book Antiqua"/>
          <w:color w:val="000000" w:themeColor="text1"/>
          <w:sz w:val="24"/>
          <w:szCs w:val="24"/>
          <w:lang w:val="en-US"/>
        </w:rPr>
        <w:t xml:space="preserve">demineralized </w:t>
      </w:r>
      <w:r w:rsidR="003E4066" w:rsidRPr="00E7615A">
        <w:rPr>
          <w:rFonts w:ascii="Book Antiqua" w:hAnsi="Book Antiqua"/>
          <w:color w:val="000000" w:themeColor="text1"/>
          <w:sz w:val="24"/>
          <w:szCs w:val="24"/>
          <w:lang w:val="en-US"/>
        </w:rPr>
        <w:t>FDBA</w:t>
      </w:r>
      <w:r w:rsidR="00BF3C2C" w:rsidRPr="00E7615A">
        <w:rPr>
          <w:rFonts w:ascii="Book Antiqua" w:hAnsi="Book Antiqua"/>
          <w:color w:val="000000" w:themeColor="text1"/>
          <w:sz w:val="24"/>
          <w:szCs w:val="24"/>
          <w:lang w:val="en-US"/>
        </w:rPr>
        <w:t>s</w:t>
      </w:r>
      <w:r w:rsidR="003E4066" w:rsidRPr="00E7615A">
        <w:rPr>
          <w:rFonts w:ascii="Book Antiqua" w:hAnsi="Book Antiqua"/>
          <w:color w:val="000000" w:themeColor="text1"/>
          <w:sz w:val="24"/>
          <w:szCs w:val="24"/>
          <w:lang w:val="en-US"/>
        </w:rPr>
        <w:t xml:space="preserve"> by recruiting cells and ectopic bone </w:t>
      </w:r>
      <w:proofErr w:type="gramStart"/>
      <w:r w:rsidR="003E4066" w:rsidRPr="00E7615A">
        <w:rPr>
          <w:rFonts w:ascii="Book Antiqua" w:hAnsi="Book Antiqua"/>
          <w:color w:val="000000" w:themeColor="text1"/>
          <w:sz w:val="24"/>
          <w:szCs w:val="24"/>
          <w:lang w:val="en-US"/>
        </w:rPr>
        <w:t>formation</w:t>
      </w:r>
      <w:r w:rsidR="00BF3C2C" w:rsidRPr="00E7615A">
        <w:rPr>
          <w:rFonts w:ascii="Book Antiqua" w:hAnsi="Book Antiqua"/>
          <w:color w:val="000000" w:themeColor="text1"/>
          <w:sz w:val="24"/>
          <w:szCs w:val="24"/>
          <w:vertAlign w:val="superscript"/>
          <w:lang w:val="en-US"/>
        </w:rPr>
        <w:t>[</w:t>
      </w:r>
      <w:proofErr w:type="gramEnd"/>
      <w:r w:rsidR="00BF3C2C" w:rsidRPr="00E7615A">
        <w:rPr>
          <w:rFonts w:ascii="Book Antiqua" w:hAnsi="Book Antiqua"/>
          <w:color w:val="000000" w:themeColor="text1"/>
          <w:sz w:val="24"/>
          <w:szCs w:val="24"/>
          <w:vertAlign w:val="superscript"/>
          <w:lang w:val="en-US"/>
        </w:rPr>
        <w:t>19]</w:t>
      </w:r>
      <w:r w:rsidR="003E4066" w:rsidRPr="00E7615A">
        <w:rPr>
          <w:rFonts w:ascii="Book Antiqua" w:hAnsi="Book Antiqua"/>
          <w:color w:val="000000" w:themeColor="text1"/>
          <w:sz w:val="24"/>
          <w:szCs w:val="24"/>
          <w:lang w:val="en-US"/>
        </w:rPr>
        <w:t xml:space="preserve">. </w:t>
      </w:r>
      <w:r w:rsidR="00BF3C2C" w:rsidRPr="00E7615A">
        <w:rPr>
          <w:rFonts w:ascii="Book Antiqua" w:hAnsi="Book Antiqua"/>
          <w:color w:val="000000" w:themeColor="text1"/>
          <w:sz w:val="24"/>
          <w:szCs w:val="24"/>
          <w:lang w:val="en-US"/>
        </w:rPr>
        <w:t>D</w:t>
      </w:r>
      <w:r w:rsidR="003E4066" w:rsidRPr="00E7615A">
        <w:rPr>
          <w:rFonts w:ascii="Book Antiqua" w:hAnsi="Book Antiqua"/>
          <w:color w:val="000000" w:themeColor="text1"/>
          <w:sz w:val="24"/>
          <w:szCs w:val="24"/>
          <w:lang w:val="en-US"/>
        </w:rPr>
        <w:t xml:space="preserve">isadvantages of allogeneic materials may be a protracted vascularization, slow remodeling and resorption or longer time for osseointegration and the risk of immunogenic </w:t>
      </w:r>
      <w:proofErr w:type="gramStart"/>
      <w:r w:rsidR="003E4066" w:rsidRPr="00E7615A">
        <w:rPr>
          <w:rFonts w:ascii="Book Antiqua" w:hAnsi="Book Antiqua"/>
          <w:color w:val="000000" w:themeColor="text1"/>
          <w:sz w:val="24"/>
          <w:szCs w:val="24"/>
          <w:lang w:val="en-US"/>
        </w:rPr>
        <w:t>reactions</w:t>
      </w:r>
      <w:r w:rsidR="00BF3C2C" w:rsidRPr="00E7615A">
        <w:rPr>
          <w:rFonts w:ascii="Book Antiqua" w:hAnsi="Book Antiqua"/>
          <w:color w:val="000000" w:themeColor="text1"/>
          <w:sz w:val="24"/>
          <w:szCs w:val="24"/>
          <w:vertAlign w:val="superscript"/>
          <w:lang w:val="en-US"/>
        </w:rPr>
        <w:t>[</w:t>
      </w:r>
      <w:proofErr w:type="gramEnd"/>
      <w:r w:rsidR="00BF3C2C" w:rsidRPr="00E7615A">
        <w:rPr>
          <w:rFonts w:ascii="Book Antiqua" w:hAnsi="Book Antiqua"/>
          <w:color w:val="000000" w:themeColor="text1"/>
          <w:sz w:val="24"/>
          <w:szCs w:val="24"/>
          <w:vertAlign w:val="superscript"/>
          <w:lang w:val="en-US"/>
        </w:rPr>
        <w:t>15-18]</w:t>
      </w:r>
      <w:r w:rsidR="003E4066" w:rsidRPr="00E7615A">
        <w:rPr>
          <w:rFonts w:ascii="Book Antiqua" w:hAnsi="Book Antiqua"/>
          <w:color w:val="000000" w:themeColor="text1"/>
          <w:sz w:val="24"/>
          <w:szCs w:val="24"/>
          <w:lang w:val="en-US"/>
        </w:rPr>
        <w:t xml:space="preserve">. </w:t>
      </w:r>
    </w:p>
    <w:p w14:paraId="7365E7ED" w14:textId="410D0639" w:rsidR="003E4066" w:rsidRPr="00E7615A" w:rsidRDefault="00C052F3"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Third</w:t>
      </w:r>
      <w:r w:rsidR="00A37FD9" w:rsidRPr="00E7615A">
        <w:rPr>
          <w:rFonts w:ascii="Book Antiqua" w:hAnsi="Book Antiqua"/>
          <w:color w:val="000000" w:themeColor="text1"/>
          <w:sz w:val="24"/>
          <w:szCs w:val="24"/>
          <w:lang w:val="en-US"/>
        </w:rPr>
        <w:t>, several experimental studies on animal models</w:t>
      </w:r>
      <w:r w:rsidR="00FE51E4" w:rsidRPr="00E7615A">
        <w:rPr>
          <w:rFonts w:ascii="Book Antiqua" w:hAnsi="Book Antiqua"/>
          <w:color w:val="000000" w:themeColor="text1"/>
          <w:sz w:val="24"/>
          <w:szCs w:val="24"/>
          <w:vertAlign w:val="superscript"/>
          <w:lang w:val="en-US"/>
        </w:rPr>
        <w:t>[</w:t>
      </w:r>
      <w:r w:rsidR="00BF3C2C" w:rsidRPr="00E7615A">
        <w:rPr>
          <w:rFonts w:ascii="Book Antiqua" w:hAnsi="Book Antiqua"/>
          <w:color w:val="000000" w:themeColor="text1"/>
          <w:sz w:val="24"/>
          <w:szCs w:val="24"/>
          <w:vertAlign w:val="superscript"/>
          <w:lang w:val="en-US"/>
        </w:rPr>
        <w:t>20,21</w:t>
      </w:r>
      <w:r w:rsidR="00FE51E4" w:rsidRPr="00E7615A">
        <w:rPr>
          <w:rFonts w:ascii="Book Antiqua" w:hAnsi="Book Antiqua"/>
          <w:color w:val="000000" w:themeColor="text1"/>
          <w:sz w:val="24"/>
          <w:szCs w:val="24"/>
          <w:vertAlign w:val="superscript"/>
          <w:lang w:val="en-US"/>
        </w:rPr>
        <w:t>]</w:t>
      </w:r>
      <w:r w:rsidR="00A37FD9" w:rsidRPr="00E7615A">
        <w:rPr>
          <w:rFonts w:ascii="Book Antiqua" w:hAnsi="Book Antiqua"/>
          <w:color w:val="000000" w:themeColor="text1"/>
          <w:sz w:val="24"/>
          <w:szCs w:val="24"/>
          <w:lang w:val="en-US"/>
        </w:rPr>
        <w:t>, clinical studies</w:t>
      </w:r>
      <w:r w:rsidR="00EA10A3" w:rsidRPr="00E7615A">
        <w:rPr>
          <w:rFonts w:ascii="Book Antiqua" w:hAnsi="Book Antiqua"/>
          <w:color w:val="000000" w:themeColor="text1"/>
          <w:sz w:val="24"/>
          <w:szCs w:val="24"/>
          <w:vertAlign w:val="superscript"/>
          <w:lang w:val="en-US"/>
        </w:rPr>
        <w:t xml:space="preserve"> </w:t>
      </w:r>
      <w:r w:rsidR="00FE51E4" w:rsidRPr="00E7615A">
        <w:rPr>
          <w:rFonts w:ascii="Book Antiqua" w:hAnsi="Book Antiqua"/>
          <w:color w:val="000000" w:themeColor="text1"/>
          <w:sz w:val="24"/>
          <w:szCs w:val="24"/>
          <w:vertAlign w:val="superscript"/>
          <w:lang w:val="en-US"/>
        </w:rPr>
        <w:t>[</w:t>
      </w:r>
      <w:r w:rsidR="00BF3C2C" w:rsidRPr="00E7615A">
        <w:rPr>
          <w:rFonts w:ascii="Book Antiqua" w:hAnsi="Book Antiqua"/>
          <w:color w:val="000000" w:themeColor="text1"/>
          <w:sz w:val="24"/>
          <w:szCs w:val="24"/>
          <w:vertAlign w:val="superscript"/>
          <w:lang w:val="en-US"/>
        </w:rPr>
        <w:t>22</w:t>
      </w:r>
      <w:r w:rsidR="00A37FD9" w:rsidRPr="00E7615A">
        <w:rPr>
          <w:rFonts w:ascii="Book Antiqua" w:hAnsi="Book Antiqua"/>
          <w:color w:val="000000" w:themeColor="text1"/>
          <w:sz w:val="24"/>
          <w:szCs w:val="24"/>
          <w:vertAlign w:val="superscript"/>
          <w:lang w:val="en-US"/>
        </w:rPr>
        <w:t>-</w:t>
      </w:r>
      <w:r w:rsidR="00BF3C2C" w:rsidRPr="00E7615A">
        <w:rPr>
          <w:rFonts w:ascii="Book Antiqua" w:hAnsi="Book Antiqua"/>
          <w:color w:val="000000" w:themeColor="text1"/>
          <w:sz w:val="24"/>
          <w:szCs w:val="24"/>
          <w:vertAlign w:val="superscript"/>
          <w:lang w:val="en-US"/>
        </w:rPr>
        <w:t>24</w:t>
      </w:r>
      <w:r w:rsidR="00FE51E4" w:rsidRPr="00E7615A">
        <w:rPr>
          <w:rFonts w:ascii="Book Antiqua" w:hAnsi="Book Antiqua"/>
          <w:color w:val="000000" w:themeColor="text1"/>
          <w:sz w:val="24"/>
          <w:szCs w:val="24"/>
          <w:vertAlign w:val="superscript"/>
          <w:lang w:val="en-US"/>
        </w:rPr>
        <w:t>]</w:t>
      </w:r>
      <w:r w:rsidR="00A37FD9" w:rsidRPr="00E7615A">
        <w:rPr>
          <w:rFonts w:ascii="Book Antiqua" w:hAnsi="Book Antiqua"/>
          <w:color w:val="000000" w:themeColor="text1"/>
          <w:sz w:val="24"/>
          <w:szCs w:val="24"/>
          <w:lang w:val="en-US"/>
        </w:rPr>
        <w:t xml:space="preserve"> and an earl</w:t>
      </w:r>
      <w:r w:rsidR="005521FC" w:rsidRPr="00E7615A">
        <w:rPr>
          <w:rFonts w:ascii="Book Antiqua" w:hAnsi="Book Antiqua"/>
          <w:color w:val="000000" w:themeColor="text1"/>
          <w:sz w:val="24"/>
          <w:szCs w:val="24"/>
          <w:lang w:val="en-US"/>
        </w:rPr>
        <w:t>ier</w:t>
      </w:r>
      <w:r w:rsidR="00A37FD9" w:rsidRPr="00E7615A">
        <w:rPr>
          <w:rFonts w:ascii="Book Antiqua" w:hAnsi="Book Antiqua"/>
          <w:color w:val="000000" w:themeColor="text1"/>
          <w:sz w:val="24"/>
          <w:szCs w:val="24"/>
          <w:lang w:val="en-US"/>
        </w:rPr>
        <w:t xml:space="preserve"> meta-analysis</w:t>
      </w:r>
      <w:r w:rsidR="00FE51E4" w:rsidRPr="00E7615A">
        <w:rPr>
          <w:rFonts w:ascii="Book Antiqua" w:hAnsi="Book Antiqua"/>
          <w:color w:val="000000" w:themeColor="text1"/>
          <w:sz w:val="24"/>
          <w:szCs w:val="24"/>
          <w:vertAlign w:val="superscript"/>
          <w:lang w:val="en-US"/>
        </w:rPr>
        <w:t>[</w:t>
      </w:r>
      <w:r w:rsidR="00BF3C2C" w:rsidRPr="00E7615A">
        <w:rPr>
          <w:rFonts w:ascii="Book Antiqua" w:hAnsi="Book Antiqua"/>
          <w:color w:val="000000" w:themeColor="text1"/>
          <w:sz w:val="24"/>
          <w:szCs w:val="24"/>
          <w:vertAlign w:val="superscript"/>
          <w:lang w:val="en-US"/>
        </w:rPr>
        <w:t>25</w:t>
      </w:r>
      <w:r w:rsidR="00FE51E4" w:rsidRPr="00E7615A">
        <w:rPr>
          <w:rFonts w:ascii="Book Antiqua" w:hAnsi="Book Antiqua"/>
          <w:color w:val="000000" w:themeColor="text1"/>
          <w:sz w:val="24"/>
          <w:szCs w:val="24"/>
          <w:vertAlign w:val="superscript"/>
          <w:lang w:val="en-US"/>
        </w:rPr>
        <w:t>]</w:t>
      </w:r>
      <w:r w:rsidR="00A37FD9" w:rsidRPr="00E7615A">
        <w:rPr>
          <w:rFonts w:ascii="Book Antiqua" w:hAnsi="Book Antiqua"/>
          <w:color w:val="000000" w:themeColor="text1"/>
          <w:sz w:val="24"/>
          <w:szCs w:val="24"/>
          <w:lang w:val="en-US"/>
        </w:rPr>
        <w:t xml:space="preserve"> indicated that platelet-rich plasma (PRP) </w:t>
      </w:r>
      <w:r w:rsidR="00767D5B" w:rsidRPr="00E7615A">
        <w:rPr>
          <w:rFonts w:ascii="Book Antiqua" w:hAnsi="Book Antiqua"/>
          <w:color w:val="000000" w:themeColor="text1"/>
          <w:sz w:val="24"/>
          <w:szCs w:val="24"/>
          <w:lang w:val="en-US"/>
        </w:rPr>
        <w:t xml:space="preserve">can increase new bone </w:t>
      </w:r>
      <w:r w:rsidR="00A37FD9" w:rsidRPr="00E7615A">
        <w:rPr>
          <w:rFonts w:ascii="Book Antiqua" w:hAnsi="Book Antiqua"/>
          <w:color w:val="000000" w:themeColor="text1"/>
          <w:sz w:val="24"/>
          <w:szCs w:val="24"/>
          <w:lang w:val="en-US"/>
        </w:rPr>
        <w:t xml:space="preserve">formation in maxillary sinus augmentation when used in combination with autologous or allogenic graft material. The use of PRP is based on the premise that it </w:t>
      </w:r>
      <w:r w:rsidR="00767D5B" w:rsidRPr="00E7615A">
        <w:rPr>
          <w:rFonts w:ascii="Book Antiqua" w:hAnsi="Book Antiqua"/>
          <w:color w:val="000000" w:themeColor="text1"/>
          <w:sz w:val="24"/>
          <w:szCs w:val="24"/>
          <w:lang w:val="en-US"/>
        </w:rPr>
        <w:t xml:space="preserve">contains </w:t>
      </w:r>
      <w:r w:rsidR="00A37FD9" w:rsidRPr="00E7615A">
        <w:rPr>
          <w:rFonts w:ascii="Book Antiqua" w:hAnsi="Book Antiqua"/>
          <w:color w:val="000000" w:themeColor="text1"/>
          <w:sz w:val="24"/>
          <w:szCs w:val="24"/>
          <w:lang w:val="en-US"/>
        </w:rPr>
        <w:t>large quantities of growth factors</w:t>
      </w:r>
      <w:r w:rsidR="00767D5B" w:rsidRPr="00E7615A">
        <w:rPr>
          <w:rFonts w:ascii="Book Antiqua" w:hAnsi="Book Antiqua"/>
          <w:color w:val="000000" w:themeColor="text1"/>
          <w:sz w:val="24"/>
          <w:szCs w:val="24"/>
          <w:lang w:val="en-US"/>
        </w:rPr>
        <w:t xml:space="preserve">, including </w:t>
      </w:r>
      <w:r w:rsidR="00A37FD9" w:rsidRPr="00E7615A">
        <w:rPr>
          <w:rFonts w:ascii="Book Antiqua" w:hAnsi="Book Antiqua"/>
          <w:color w:val="000000" w:themeColor="text1"/>
          <w:sz w:val="24"/>
          <w:szCs w:val="24"/>
          <w:lang w:val="en-US"/>
        </w:rPr>
        <w:t xml:space="preserve">platelet derived growth factor (PDGF), </w:t>
      </w:r>
      <w:r w:rsidR="00767D5B" w:rsidRPr="00E7615A">
        <w:rPr>
          <w:rFonts w:ascii="Book Antiqua" w:hAnsi="Book Antiqua"/>
          <w:color w:val="000000" w:themeColor="text1"/>
          <w:sz w:val="24"/>
          <w:szCs w:val="24"/>
          <w:lang w:val="en-US"/>
        </w:rPr>
        <w:t xml:space="preserve">insulin-like growth factor-I (IGF-I) and </w:t>
      </w:r>
      <w:r w:rsidR="00A37FD9" w:rsidRPr="00E7615A">
        <w:rPr>
          <w:rFonts w:ascii="Book Antiqua" w:hAnsi="Book Antiqua"/>
          <w:color w:val="000000" w:themeColor="text1"/>
          <w:sz w:val="24"/>
          <w:szCs w:val="24"/>
          <w:lang w:val="en-US"/>
        </w:rPr>
        <w:t xml:space="preserve">transforming growth factor-β (TGF-β) </w:t>
      </w:r>
      <w:r w:rsidR="00767D5B" w:rsidRPr="00E7615A">
        <w:rPr>
          <w:rFonts w:ascii="Book Antiqua" w:hAnsi="Book Antiqua"/>
          <w:color w:val="000000" w:themeColor="text1"/>
          <w:sz w:val="24"/>
          <w:szCs w:val="24"/>
          <w:lang w:val="en-US"/>
        </w:rPr>
        <w:t>that may</w:t>
      </w:r>
      <w:r w:rsidR="00A37FD9" w:rsidRPr="00E7615A">
        <w:rPr>
          <w:rFonts w:ascii="Book Antiqua" w:hAnsi="Book Antiqua"/>
          <w:color w:val="000000" w:themeColor="text1"/>
          <w:sz w:val="24"/>
          <w:szCs w:val="24"/>
          <w:lang w:val="en-US"/>
        </w:rPr>
        <w:t xml:space="preserve"> </w:t>
      </w:r>
      <w:r w:rsidR="00767D5B" w:rsidRPr="00E7615A">
        <w:rPr>
          <w:rFonts w:ascii="Book Antiqua" w:hAnsi="Book Antiqua"/>
          <w:color w:val="000000" w:themeColor="text1"/>
          <w:sz w:val="24"/>
          <w:szCs w:val="24"/>
          <w:lang w:val="en-US"/>
        </w:rPr>
        <w:t xml:space="preserve">enhance </w:t>
      </w:r>
      <w:r w:rsidR="00A37FD9" w:rsidRPr="00E7615A">
        <w:rPr>
          <w:rFonts w:ascii="Book Antiqua" w:hAnsi="Book Antiqua"/>
          <w:color w:val="000000" w:themeColor="text1"/>
          <w:sz w:val="24"/>
          <w:szCs w:val="24"/>
          <w:lang w:val="en-US"/>
        </w:rPr>
        <w:t>osteogenesis</w:t>
      </w:r>
      <w:r w:rsidR="00FE51E4" w:rsidRPr="00E7615A">
        <w:rPr>
          <w:rFonts w:ascii="Book Antiqua" w:hAnsi="Book Antiqua"/>
          <w:color w:val="000000" w:themeColor="text1"/>
          <w:sz w:val="24"/>
          <w:szCs w:val="24"/>
          <w:vertAlign w:val="superscript"/>
          <w:lang w:val="en-US"/>
        </w:rPr>
        <w:t>[</w:t>
      </w:r>
      <w:r w:rsidR="00BF3C2C" w:rsidRPr="00E7615A">
        <w:rPr>
          <w:rFonts w:ascii="Book Antiqua" w:hAnsi="Book Antiqua"/>
          <w:color w:val="000000" w:themeColor="text1"/>
          <w:sz w:val="24"/>
          <w:szCs w:val="24"/>
          <w:vertAlign w:val="superscript"/>
          <w:lang w:val="en-US"/>
        </w:rPr>
        <w:t>26-28</w:t>
      </w:r>
      <w:r w:rsidR="00FE51E4" w:rsidRPr="00E7615A">
        <w:rPr>
          <w:rFonts w:ascii="Book Antiqua" w:hAnsi="Book Antiqua"/>
          <w:color w:val="000000" w:themeColor="text1"/>
          <w:sz w:val="24"/>
          <w:szCs w:val="24"/>
          <w:vertAlign w:val="superscript"/>
          <w:lang w:val="en-US"/>
        </w:rPr>
        <w:t>]</w:t>
      </w:r>
      <w:r w:rsidR="00A37FD9" w:rsidRPr="00E7615A">
        <w:rPr>
          <w:rFonts w:ascii="Book Antiqua" w:hAnsi="Book Antiqua"/>
          <w:color w:val="000000" w:themeColor="text1"/>
          <w:sz w:val="24"/>
          <w:szCs w:val="24"/>
          <w:lang w:val="en-US"/>
        </w:rPr>
        <w:t>. However, a number of recent systematic reviews and meta-analyses</w:t>
      </w:r>
      <w:r w:rsidR="00767D5B" w:rsidRPr="00E7615A">
        <w:rPr>
          <w:rFonts w:ascii="Book Antiqua" w:hAnsi="Book Antiqua"/>
          <w:color w:val="000000" w:themeColor="text1"/>
          <w:sz w:val="24"/>
          <w:szCs w:val="24"/>
          <w:lang w:val="en-US"/>
        </w:rPr>
        <w:t xml:space="preserve"> came to the conclusion that </w:t>
      </w:r>
      <w:r w:rsidR="00A37FD9" w:rsidRPr="00E7615A">
        <w:rPr>
          <w:rFonts w:ascii="Book Antiqua" w:hAnsi="Book Antiqua"/>
          <w:color w:val="000000" w:themeColor="text1"/>
          <w:sz w:val="24"/>
          <w:szCs w:val="24"/>
          <w:lang w:val="en-US"/>
        </w:rPr>
        <w:t xml:space="preserve">PRP </w:t>
      </w:r>
      <w:r w:rsidR="00767D5B" w:rsidRPr="00E7615A">
        <w:rPr>
          <w:rFonts w:ascii="Book Antiqua" w:hAnsi="Book Antiqua"/>
          <w:color w:val="000000" w:themeColor="text1"/>
          <w:sz w:val="24"/>
          <w:szCs w:val="24"/>
          <w:lang w:val="en-US"/>
        </w:rPr>
        <w:t xml:space="preserve">has no significant impact on </w:t>
      </w:r>
      <w:r w:rsidR="00A37FD9" w:rsidRPr="00E7615A">
        <w:rPr>
          <w:rFonts w:ascii="Book Antiqua" w:hAnsi="Book Antiqua"/>
          <w:color w:val="000000" w:themeColor="text1"/>
          <w:sz w:val="24"/>
          <w:szCs w:val="24"/>
          <w:lang w:val="en-US"/>
        </w:rPr>
        <w:t xml:space="preserve">bone formation </w:t>
      </w:r>
      <w:r w:rsidR="00767D5B" w:rsidRPr="00E7615A">
        <w:rPr>
          <w:rFonts w:ascii="Book Antiqua" w:hAnsi="Book Antiqua"/>
          <w:color w:val="000000" w:themeColor="text1"/>
          <w:sz w:val="24"/>
          <w:szCs w:val="24"/>
          <w:lang w:val="en-US"/>
        </w:rPr>
        <w:t xml:space="preserve">as well as on </w:t>
      </w:r>
      <w:r w:rsidR="00A37FD9" w:rsidRPr="00E7615A">
        <w:rPr>
          <w:rFonts w:ascii="Book Antiqua" w:hAnsi="Book Antiqua"/>
          <w:color w:val="000000" w:themeColor="text1"/>
          <w:sz w:val="24"/>
          <w:szCs w:val="24"/>
          <w:lang w:val="en-US"/>
        </w:rPr>
        <w:t xml:space="preserve">implant survival in maxillary sinus </w:t>
      </w:r>
      <w:proofErr w:type="gramStart"/>
      <w:r w:rsidR="00A37FD9" w:rsidRPr="00E7615A">
        <w:rPr>
          <w:rFonts w:ascii="Book Antiqua" w:hAnsi="Book Antiqua"/>
          <w:color w:val="000000" w:themeColor="text1"/>
          <w:sz w:val="24"/>
          <w:szCs w:val="24"/>
          <w:lang w:val="en-US"/>
        </w:rPr>
        <w:t>augmentation</w:t>
      </w:r>
      <w:r w:rsidR="00FE51E4" w:rsidRPr="00E7615A">
        <w:rPr>
          <w:rFonts w:ascii="Book Antiqua" w:hAnsi="Book Antiqua"/>
          <w:color w:val="000000" w:themeColor="text1"/>
          <w:sz w:val="24"/>
          <w:szCs w:val="24"/>
          <w:vertAlign w:val="superscript"/>
          <w:lang w:val="en-US"/>
        </w:rPr>
        <w:t>[</w:t>
      </w:r>
      <w:proofErr w:type="gramEnd"/>
      <w:r w:rsidR="00BF3C2C" w:rsidRPr="00E7615A">
        <w:rPr>
          <w:rFonts w:ascii="Book Antiqua" w:hAnsi="Book Antiqua"/>
          <w:color w:val="000000" w:themeColor="text1"/>
          <w:sz w:val="24"/>
          <w:szCs w:val="24"/>
          <w:vertAlign w:val="superscript"/>
          <w:lang w:val="en-US"/>
        </w:rPr>
        <w:t>29-31</w:t>
      </w:r>
      <w:r w:rsidR="00FE51E4" w:rsidRPr="00E7615A">
        <w:rPr>
          <w:rFonts w:ascii="Book Antiqua" w:hAnsi="Book Antiqua"/>
          <w:color w:val="000000" w:themeColor="text1"/>
          <w:sz w:val="24"/>
          <w:szCs w:val="24"/>
          <w:vertAlign w:val="superscript"/>
          <w:lang w:val="en-US"/>
        </w:rPr>
        <w:t>]</w:t>
      </w:r>
      <w:r w:rsidR="00FE51E4" w:rsidRPr="00E7615A">
        <w:rPr>
          <w:rFonts w:ascii="Book Antiqua" w:hAnsi="Book Antiqua"/>
          <w:color w:val="000000" w:themeColor="text1"/>
          <w:sz w:val="24"/>
          <w:szCs w:val="24"/>
          <w:lang w:val="en-US"/>
        </w:rPr>
        <w:t>.</w:t>
      </w:r>
      <w:r w:rsidR="00A37FD9" w:rsidRPr="00E7615A">
        <w:rPr>
          <w:rFonts w:ascii="Book Antiqua" w:hAnsi="Book Antiqua"/>
          <w:color w:val="000000" w:themeColor="text1"/>
          <w:sz w:val="24"/>
          <w:szCs w:val="24"/>
          <w:lang w:val="en-US"/>
        </w:rPr>
        <w:t xml:space="preserve"> </w:t>
      </w:r>
    </w:p>
    <w:p w14:paraId="7ACBCCB9" w14:textId="60AA8C8D" w:rsidR="00A37FD9" w:rsidRPr="00E7615A" w:rsidRDefault="00BD0E0C"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Based on multidisciplinary expert consultation the </w:t>
      </w:r>
      <w:r w:rsidR="00A37FD9" w:rsidRPr="00E7615A">
        <w:rPr>
          <w:rFonts w:ascii="Book Antiqua" w:hAnsi="Book Antiqua"/>
          <w:color w:val="000000" w:themeColor="text1"/>
          <w:sz w:val="24"/>
          <w:szCs w:val="24"/>
          <w:lang w:val="en-US"/>
        </w:rPr>
        <w:t xml:space="preserve">aim of the </w:t>
      </w:r>
      <w:r w:rsidR="006A7912" w:rsidRPr="00E7615A">
        <w:rPr>
          <w:rFonts w:ascii="Book Antiqua" w:hAnsi="Book Antiqua"/>
          <w:color w:val="000000" w:themeColor="text1"/>
          <w:sz w:val="24"/>
          <w:szCs w:val="24"/>
          <w:lang w:val="en-US"/>
        </w:rPr>
        <w:t xml:space="preserve">present </w:t>
      </w:r>
      <w:r w:rsidR="00A37FD9" w:rsidRPr="00E7615A">
        <w:rPr>
          <w:rFonts w:ascii="Book Antiqua" w:hAnsi="Book Antiqua"/>
          <w:color w:val="000000" w:themeColor="text1"/>
          <w:sz w:val="24"/>
          <w:szCs w:val="24"/>
          <w:lang w:val="en-US"/>
        </w:rPr>
        <w:t>study was to test</w:t>
      </w:r>
      <w:r w:rsidR="006A7912" w:rsidRPr="00E7615A">
        <w:rPr>
          <w:rFonts w:ascii="Book Antiqua" w:hAnsi="Book Antiqua"/>
          <w:color w:val="000000" w:themeColor="text1"/>
          <w:sz w:val="24"/>
          <w:szCs w:val="24"/>
          <w:lang w:val="en-US"/>
        </w:rPr>
        <w:t xml:space="preserve"> (using a</w:t>
      </w:r>
      <w:r w:rsidR="00A37FD9" w:rsidRPr="00E7615A">
        <w:rPr>
          <w:rFonts w:ascii="Book Antiqua" w:hAnsi="Book Antiqua"/>
          <w:color w:val="000000" w:themeColor="text1"/>
          <w:sz w:val="24"/>
          <w:szCs w:val="24"/>
          <w:lang w:val="en-US"/>
        </w:rPr>
        <w:t xml:space="preserve"> </w:t>
      </w:r>
      <w:r w:rsidR="006A7912" w:rsidRPr="00E7615A">
        <w:rPr>
          <w:rFonts w:ascii="Book Antiqua" w:hAnsi="Book Antiqua"/>
          <w:color w:val="000000" w:themeColor="text1"/>
          <w:sz w:val="24"/>
          <w:szCs w:val="24"/>
          <w:lang w:val="en-US"/>
        </w:rPr>
        <w:t xml:space="preserve">first-in-human, split-mouth single case study design) </w:t>
      </w:r>
      <w:r w:rsidR="00A37FD9" w:rsidRPr="00E7615A">
        <w:rPr>
          <w:rFonts w:ascii="Book Antiqua" w:hAnsi="Book Antiqua"/>
          <w:color w:val="000000" w:themeColor="text1"/>
          <w:sz w:val="24"/>
          <w:szCs w:val="24"/>
          <w:lang w:val="en-US"/>
        </w:rPr>
        <w:t xml:space="preserve">the hypothesis that </w:t>
      </w:r>
      <w:r w:rsidR="006A7912" w:rsidRPr="00E7615A">
        <w:rPr>
          <w:rFonts w:ascii="Book Antiqua" w:hAnsi="Book Antiqua"/>
          <w:color w:val="000000" w:themeColor="text1"/>
          <w:sz w:val="24"/>
          <w:szCs w:val="24"/>
          <w:lang w:val="en-US"/>
        </w:rPr>
        <w:t xml:space="preserve">in GBR-MSA, </w:t>
      </w:r>
      <w:r w:rsidR="00A37FD9" w:rsidRPr="00E7615A">
        <w:rPr>
          <w:rFonts w:ascii="Book Antiqua" w:hAnsi="Book Antiqua"/>
          <w:color w:val="000000" w:themeColor="text1"/>
          <w:sz w:val="24"/>
          <w:szCs w:val="24"/>
          <w:lang w:val="en-US"/>
        </w:rPr>
        <w:t xml:space="preserve">the combination of </w:t>
      </w:r>
      <w:r w:rsidR="006A7912" w:rsidRPr="00E7615A">
        <w:rPr>
          <w:rFonts w:ascii="Book Antiqua" w:hAnsi="Book Antiqua"/>
          <w:color w:val="000000" w:themeColor="text1"/>
          <w:sz w:val="24"/>
          <w:szCs w:val="24"/>
          <w:lang w:val="en-US"/>
        </w:rPr>
        <w:t>freshly isolated, unmodified autologous adipose derived regenerative cells (</w:t>
      </w:r>
      <w:r w:rsidR="00A37FD9" w:rsidRPr="00E7615A">
        <w:rPr>
          <w:rFonts w:ascii="Book Antiqua" w:hAnsi="Book Antiqua"/>
          <w:color w:val="000000" w:themeColor="text1"/>
          <w:sz w:val="24"/>
          <w:szCs w:val="24"/>
          <w:lang w:val="en-US"/>
        </w:rPr>
        <w:t>UA-ADRCs</w:t>
      </w:r>
      <w:r w:rsidR="006A7912" w:rsidRPr="00E7615A">
        <w:rPr>
          <w:rFonts w:ascii="Book Antiqua" w:hAnsi="Book Antiqua"/>
          <w:color w:val="000000" w:themeColor="text1"/>
          <w:sz w:val="24"/>
          <w:szCs w:val="24"/>
          <w:lang w:val="en-US"/>
        </w:rPr>
        <w:t xml:space="preserve">), </w:t>
      </w:r>
      <w:r w:rsidR="003125E9" w:rsidRPr="00E7615A">
        <w:rPr>
          <w:rFonts w:ascii="Book Antiqua" w:hAnsi="Book Antiqua"/>
          <w:color w:val="000000" w:themeColor="text1"/>
          <w:sz w:val="24"/>
          <w:szCs w:val="24"/>
          <w:lang w:val="en-US"/>
        </w:rPr>
        <w:t>f</w:t>
      </w:r>
      <w:r w:rsidR="006A7912" w:rsidRPr="00E7615A">
        <w:rPr>
          <w:rFonts w:ascii="Book Antiqua" w:hAnsi="Book Antiqua"/>
          <w:color w:val="000000" w:themeColor="text1"/>
          <w:sz w:val="24"/>
          <w:szCs w:val="24"/>
          <w:lang w:val="en-US"/>
        </w:rPr>
        <w:t xml:space="preserve">raction 2 of plasma rich in growth factors (PRGF-2) and </w:t>
      </w:r>
      <w:r w:rsidR="00153D76" w:rsidRPr="00E7615A">
        <w:rPr>
          <w:rFonts w:ascii="Book Antiqua" w:hAnsi="Book Antiqua"/>
          <w:color w:val="000000" w:themeColor="text1"/>
          <w:sz w:val="24"/>
          <w:szCs w:val="24"/>
          <w:lang w:val="en-US"/>
        </w:rPr>
        <w:t xml:space="preserve">an </w:t>
      </w:r>
      <w:r w:rsidR="006A7912" w:rsidRPr="00E7615A">
        <w:rPr>
          <w:rFonts w:ascii="Book Antiqua" w:hAnsi="Book Antiqua"/>
          <w:color w:val="000000" w:themeColor="text1"/>
          <w:sz w:val="24"/>
          <w:szCs w:val="24"/>
          <w:lang w:val="en-US"/>
        </w:rPr>
        <w:t>osteoinductive scaffold (</w:t>
      </w:r>
      <w:r w:rsidR="00A37FD9" w:rsidRPr="00E7615A">
        <w:rPr>
          <w:rFonts w:ascii="Book Antiqua" w:hAnsi="Book Antiqua"/>
          <w:color w:val="000000" w:themeColor="text1"/>
          <w:sz w:val="24"/>
          <w:szCs w:val="24"/>
          <w:lang w:val="en-US"/>
        </w:rPr>
        <w:t>OIS</w:t>
      </w:r>
      <w:r w:rsidR="006A7912" w:rsidRPr="00E7615A">
        <w:rPr>
          <w:rFonts w:ascii="Book Antiqua" w:hAnsi="Book Antiqua"/>
          <w:color w:val="000000" w:themeColor="text1"/>
          <w:sz w:val="24"/>
          <w:szCs w:val="24"/>
          <w:lang w:val="en-US"/>
        </w:rPr>
        <w:t xml:space="preserve">) </w:t>
      </w:r>
      <w:r w:rsidR="00A37FD9" w:rsidRPr="00E7615A">
        <w:rPr>
          <w:rFonts w:ascii="Book Antiqua" w:hAnsi="Book Antiqua"/>
          <w:color w:val="000000" w:themeColor="text1"/>
          <w:sz w:val="24"/>
          <w:szCs w:val="24"/>
          <w:lang w:val="en-US"/>
        </w:rPr>
        <w:t xml:space="preserve">is superior to the combination of PRGF-2 and the same OIS alone. </w:t>
      </w:r>
      <w:r w:rsidR="00B955CE" w:rsidRPr="00E7615A">
        <w:rPr>
          <w:rFonts w:ascii="Book Antiqua" w:hAnsi="Book Antiqua"/>
          <w:color w:val="000000" w:themeColor="text1"/>
          <w:sz w:val="24"/>
          <w:szCs w:val="24"/>
          <w:lang w:val="en-US"/>
        </w:rPr>
        <w:t xml:space="preserve">Due to the fact that </w:t>
      </w:r>
      <w:r w:rsidR="00A37FD9" w:rsidRPr="00E7615A">
        <w:rPr>
          <w:rFonts w:ascii="Book Antiqua" w:hAnsi="Book Antiqua"/>
          <w:color w:val="000000" w:themeColor="text1"/>
          <w:sz w:val="24"/>
          <w:szCs w:val="24"/>
          <w:lang w:val="en-US"/>
        </w:rPr>
        <w:t>preliminary data wer</w:t>
      </w:r>
      <w:r w:rsidR="00B955CE" w:rsidRPr="00E7615A">
        <w:rPr>
          <w:rFonts w:ascii="Book Antiqua" w:hAnsi="Book Antiqua"/>
          <w:color w:val="000000" w:themeColor="text1"/>
          <w:sz w:val="24"/>
          <w:szCs w:val="24"/>
          <w:lang w:val="en-US"/>
        </w:rPr>
        <w:t xml:space="preserve">e not </w:t>
      </w:r>
      <w:r w:rsidR="00A37FD9" w:rsidRPr="00E7615A">
        <w:rPr>
          <w:rFonts w:ascii="Book Antiqua" w:hAnsi="Book Antiqua"/>
          <w:color w:val="000000" w:themeColor="text1"/>
          <w:sz w:val="24"/>
          <w:szCs w:val="24"/>
          <w:lang w:val="en-US"/>
        </w:rPr>
        <w:t xml:space="preserve">available, </w:t>
      </w:r>
      <w:r w:rsidR="00B955CE" w:rsidRPr="00E7615A">
        <w:rPr>
          <w:rFonts w:ascii="Book Antiqua" w:hAnsi="Book Antiqua"/>
          <w:color w:val="000000" w:themeColor="text1"/>
          <w:sz w:val="24"/>
          <w:szCs w:val="24"/>
          <w:lang w:val="en-US"/>
        </w:rPr>
        <w:t xml:space="preserve">the present study tested </w:t>
      </w:r>
      <w:r w:rsidR="00A37FD9" w:rsidRPr="00E7615A">
        <w:rPr>
          <w:rFonts w:ascii="Book Antiqua" w:hAnsi="Book Antiqua"/>
          <w:color w:val="000000" w:themeColor="text1"/>
          <w:sz w:val="24"/>
          <w:szCs w:val="24"/>
          <w:lang w:val="en-US"/>
        </w:rPr>
        <w:t>the null hypothesis that the combination of UA-ADRCs, PRGF-2 and an OIS in GBR-MSA is not more effective than the combination of PRGF-2 and the same OIS alone.</w:t>
      </w:r>
    </w:p>
    <w:p w14:paraId="7779CED0" w14:textId="77777777" w:rsidR="00A37FD9" w:rsidRPr="00E7615A" w:rsidRDefault="00A37FD9" w:rsidP="00D048E9">
      <w:pPr>
        <w:widowControl w:val="0"/>
        <w:adjustRightInd w:val="0"/>
        <w:snapToGrid w:val="0"/>
        <w:spacing w:after="0" w:line="360" w:lineRule="auto"/>
        <w:jc w:val="both"/>
        <w:rPr>
          <w:rFonts w:ascii="Book Antiqua" w:hAnsi="Book Antiqua"/>
          <w:b/>
          <w:color w:val="000000" w:themeColor="text1"/>
          <w:sz w:val="24"/>
          <w:szCs w:val="24"/>
          <w:lang w:val="en-US"/>
        </w:rPr>
      </w:pPr>
    </w:p>
    <w:p w14:paraId="6EA124BE" w14:textId="77777777" w:rsidR="00A23AA3" w:rsidRPr="00E7615A" w:rsidRDefault="00A23AA3" w:rsidP="00D048E9">
      <w:pPr>
        <w:widowControl w:val="0"/>
        <w:shd w:val="clear" w:color="auto" w:fill="FFFFFF"/>
        <w:adjustRightInd w:val="0"/>
        <w:snapToGrid w:val="0"/>
        <w:spacing w:after="0" w:line="360" w:lineRule="auto"/>
        <w:jc w:val="both"/>
        <w:textAlignment w:val="baseline"/>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CASE PRESENTATION</w:t>
      </w:r>
    </w:p>
    <w:p w14:paraId="55DAC4DC" w14:textId="50EB7AD8" w:rsidR="00A23AA3" w:rsidRPr="00E7615A" w:rsidRDefault="00A23AA3" w:rsidP="00D048E9">
      <w:pPr>
        <w:widowControl w:val="0"/>
        <w:adjustRightInd w:val="0"/>
        <w:snapToGrid w:val="0"/>
        <w:spacing w:after="0" w:line="360" w:lineRule="auto"/>
        <w:jc w:val="both"/>
        <w:rPr>
          <w:rFonts w:ascii="Book Antiqua" w:hAnsi="Book Antiqua"/>
          <w:b/>
          <w:i/>
          <w:color w:val="000000" w:themeColor="text1"/>
          <w:sz w:val="24"/>
          <w:szCs w:val="24"/>
          <w:lang w:val="en-US" w:eastAsia="zh-CN"/>
        </w:rPr>
      </w:pPr>
      <w:r w:rsidRPr="00E7615A">
        <w:rPr>
          <w:rFonts w:ascii="Book Antiqua" w:hAnsi="Book Antiqua"/>
          <w:b/>
          <w:i/>
          <w:color w:val="000000" w:themeColor="text1"/>
          <w:sz w:val="24"/>
          <w:szCs w:val="24"/>
          <w:lang w:val="en-US"/>
        </w:rPr>
        <w:t>Chief complaints</w:t>
      </w:r>
    </w:p>
    <w:p w14:paraId="74D49878" w14:textId="464A3927" w:rsidR="00A23AA3" w:rsidRPr="00E7615A" w:rsidRDefault="003553BE"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A 79-year old male patient presented with a partly failing maxillary dentition to the clinic of the </w:t>
      </w:r>
      <w:r w:rsidR="00153D76" w:rsidRPr="00E7615A">
        <w:rPr>
          <w:rFonts w:ascii="Book Antiqua" w:hAnsi="Book Antiqua"/>
          <w:color w:val="000000" w:themeColor="text1"/>
          <w:sz w:val="24"/>
          <w:szCs w:val="24"/>
          <w:lang w:val="en-US"/>
        </w:rPr>
        <w:t>principal investigator (</w:t>
      </w:r>
      <w:r w:rsidRPr="00E7615A">
        <w:rPr>
          <w:rFonts w:ascii="Book Antiqua" w:hAnsi="Book Antiqua"/>
          <w:color w:val="000000" w:themeColor="text1"/>
          <w:sz w:val="24"/>
          <w:szCs w:val="24"/>
          <w:lang w:val="en-US"/>
        </w:rPr>
        <w:t>PI</w:t>
      </w:r>
      <w:r w:rsidR="00153D76"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specialized on periodontology and implant dentistry. The </w:t>
      </w:r>
      <w:r w:rsidR="00B955CE" w:rsidRPr="00E7615A">
        <w:rPr>
          <w:rFonts w:ascii="Book Antiqua" w:hAnsi="Book Antiqua"/>
          <w:color w:val="000000" w:themeColor="text1"/>
          <w:sz w:val="24"/>
          <w:szCs w:val="24"/>
          <w:lang w:val="en-US"/>
        </w:rPr>
        <w:t xml:space="preserve">patient reported that his </w:t>
      </w:r>
      <w:r w:rsidRPr="00E7615A">
        <w:rPr>
          <w:rFonts w:ascii="Book Antiqua" w:hAnsi="Book Antiqua"/>
          <w:color w:val="000000" w:themeColor="text1"/>
          <w:sz w:val="24"/>
          <w:szCs w:val="24"/>
          <w:lang w:val="en-US"/>
        </w:rPr>
        <w:t xml:space="preserve">major concern </w:t>
      </w:r>
      <w:r w:rsidR="00B955CE" w:rsidRPr="00E7615A">
        <w:rPr>
          <w:rFonts w:ascii="Book Antiqua" w:hAnsi="Book Antiqua"/>
          <w:color w:val="000000" w:themeColor="text1"/>
          <w:sz w:val="24"/>
          <w:szCs w:val="24"/>
          <w:lang w:val="en-US"/>
        </w:rPr>
        <w:t xml:space="preserve">is a functional occlusion, resulting in </w:t>
      </w:r>
      <w:r w:rsidRPr="00E7615A">
        <w:rPr>
          <w:rFonts w:ascii="Book Antiqua" w:hAnsi="Book Antiqua"/>
          <w:color w:val="000000" w:themeColor="text1"/>
          <w:sz w:val="24"/>
          <w:szCs w:val="24"/>
          <w:lang w:val="en-US"/>
        </w:rPr>
        <w:t>restoration of an esthetic smile.</w:t>
      </w:r>
    </w:p>
    <w:p w14:paraId="09486C89" w14:textId="77777777" w:rsidR="003553BE" w:rsidRPr="00E7615A" w:rsidRDefault="003553BE" w:rsidP="00D048E9">
      <w:pPr>
        <w:widowControl w:val="0"/>
        <w:adjustRightInd w:val="0"/>
        <w:snapToGrid w:val="0"/>
        <w:spacing w:after="0" w:line="360" w:lineRule="auto"/>
        <w:jc w:val="both"/>
        <w:rPr>
          <w:rFonts w:ascii="Book Antiqua" w:hAnsi="Book Antiqua"/>
          <w:i/>
          <w:color w:val="000000" w:themeColor="text1"/>
          <w:sz w:val="24"/>
          <w:szCs w:val="24"/>
          <w:lang w:val="en-US" w:eastAsia="zh-CN"/>
        </w:rPr>
      </w:pPr>
    </w:p>
    <w:p w14:paraId="1AEA28EF" w14:textId="3822312F" w:rsidR="00A23AA3" w:rsidRPr="00E7615A" w:rsidRDefault="00A23AA3" w:rsidP="00D048E9">
      <w:pPr>
        <w:widowControl w:val="0"/>
        <w:adjustRightInd w:val="0"/>
        <w:snapToGrid w:val="0"/>
        <w:spacing w:after="0" w:line="360" w:lineRule="auto"/>
        <w:jc w:val="both"/>
        <w:rPr>
          <w:rFonts w:ascii="Book Antiqua" w:hAnsi="Book Antiqua"/>
          <w:b/>
          <w:i/>
          <w:color w:val="000000" w:themeColor="text1"/>
          <w:sz w:val="24"/>
          <w:szCs w:val="24"/>
          <w:lang w:val="en-US" w:eastAsia="zh-CN"/>
        </w:rPr>
      </w:pPr>
      <w:r w:rsidRPr="00E7615A">
        <w:rPr>
          <w:rFonts w:ascii="Book Antiqua" w:hAnsi="Book Antiqua"/>
          <w:b/>
          <w:i/>
          <w:color w:val="000000" w:themeColor="text1"/>
          <w:sz w:val="24"/>
          <w:szCs w:val="24"/>
          <w:lang w:val="en-US"/>
        </w:rPr>
        <w:lastRenderedPageBreak/>
        <w:t>History of present illness</w:t>
      </w:r>
    </w:p>
    <w:p w14:paraId="12C5AFBE" w14:textId="78BE69C8" w:rsidR="00A23AA3" w:rsidRPr="00E7615A" w:rsidRDefault="006A01F6"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color w:val="000000" w:themeColor="text1"/>
          <w:sz w:val="24"/>
          <w:szCs w:val="24"/>
          <w:lang w:val="en-US" w:eastAsia="zh-CN"/>
        </w:rPr>
        <w:t xml:space="preserve">The patient reported extensive restorative treatment in the past as well as </w:t>
      </w:r>
      <w:bookmarkStart w:id="163" w:name="_Hlk530961734"/>
      <w:r w:rsidRPr="00E7615A">
        <w:rPr>
          <w:rFonts w:ascii="Book Antiqua" w:hAnsi="Book Antiqua"/>
          <w:color w:val="000000" w:themeColor="text1"/>
          <w:sz w:val="24"/>
          <w:szCs w:val="24"/>
          <w:lang w:val="en-US" w:eastAsia="zh-CN"/>
        </w:rPr>
        <w:t>the loss of several premolar and molar teeth</w:t>
      </w:r>
      <w:bookmarkEnd w:id="163"/>
      <w:r w:rsidRPr="00E7615A">
        <w:rPr>
          <w:rFonts w:ascii="Book Antiqua" w:hAnsi="Book Antiqua"/>
          <w:color w:val="000000" w:themeColor="text1"/>
          <w:sz w:val="24"/>
          <w:szCs w:val="24"/>
          <w:lang w:val="en-US" w:eastAsia="zh-CN"/>
        </w:rPr>
        <w:t>.</w:t>
      </w:r>
    </w:p>
    <w:p w14:paraId="14CC5C3A" w14:textId="77777777" w:rsidR="006A01F6" w:rsidRPr="00E7615A" w:rsidRDefault="006A01F6" w:rsidP="00D048E9">
      <w:pPr>
        <w:widowControl w:val="0"/>
        <w:adjustRightInd w:val="0"/>
        <w:snapToGrid w:val="0"/>
        <w:spacing w:after="0" w:line="360" w:lineRule="auto"/>
        <w:jc w:val="both"/>
        <w:rPr>
          <w:rFonts w:ascii="Book Antiqua" w:hAnsi="Book Antiqua"/>
          <w:i/>
          <w:color w:val="000000" w:themeColor="text1"/>
          <w:sz w:val="24"/>
          <w:szCs w:val="24"/>
          <w:lang w:val="en-US"/>
        </w:rPr>
      </w:pPr>
    </w:p>
    <w:p w14:paraId="44F3D36E" w14:textId="618A6187" w:rsidR="00A23AA3" w:rsidRPr="00E7615A" w:rsidRDefault="00A23AA3" w:rsidP="00D048E9">
      <w:pPr>
        <w:widowControl w:val="0"/>
        <w:adjustRightInd w:val="0"/>
        <w:snapToGrid w:val="0"/>
        <w:spacing w:after="0" w:line="360" w:lineRule="auto"/>
        <w:jc w:val="both"/>
        <w:rPr>
          <w:rFonts w:ascii="Book Antiqua" w:hAnsi="Book Antiqua"/>
          <w:b/>
          <w:i/>
          <w:color w:val="000000" w:themeColor="text1"/>
          <w:sz w:val="24"/>
          <w:szCs w:val="24"/>
          <w:lang w:val="en-US" w:eastAsia="zh-CN"/>
        </w:rPr>
      </w:pPr>
      <w:r w:rsidRPr="00E7615A">
        <w:rPr>
          <w:rFonts w:ascii="Book Antiqua" w:hAnsi="Book Antiqua"/>
          <w:b/>
          <w:i/>
          <w:color w:val="000000" w:themeColor="text1"/>
          <w:sz w:val="24"/>
          <w:szCs w:val="24"/>
          <w:lang w:val="en-US"/>
        </w:rPr>
        <w:t>History of past illness</w:t>
      </w:r>
    </w:p>
    <w:p w14:paraId="107FEE5B" w14:textId="7E40F123" w:rsidR="00A23AA3" w:rsidRPr="00E7615A" w:rsidRDefault="006A01F6"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color w:val="000000" w:themeColor="text1"/>
          <w:sz w:val="24"/>
          <w:szCs w:val="24"/>
          <w:lang w:val="en-US" w:eastAsia="zh-CN"/>
        </w:rPr>
        <w:t xml:space="preserve">No specific past illness was reported that was directly related to the </w:t>
      </w:r>
      <w:r w:rsidR="002D1E7A" w:rsidRPr="00E7615A">
        <w:rPr>
          <w:rFonts w:ascii="Book Antiqua" w:hAnsi="Book Antiqua"/>
          <w:color w:val="000000" w:themeColor="text1"/>
          <w:sz w:val="24"/>
          <w:szCs w:val="24"/>
          <w:lang w:val="en-US" w:eastAsia="zh-CN"/>
        </w:rPr>
        <w:t>present illness</w:t>
      </w:r>
      <w:r w:rsidRPr="00E7615A">
        <w:rPr>
          <w:rFonts w:ascii="Book Antiqua" w:hAnsi="Book Antiqua"/>
          <w:color w:val="000000" w:themeColor="text1"/>
          <w:sz w:val="24"/>
          <w:szCs w:val="24"/>
          <w:lang w:val="en-US" w:eastAsia="zh-CN"/>
        </w:rPr>
        <w:t>. However, the patient reported reduced oral hygiene in the past, including lack of supragingival plaque control and limited motivation for oral hygiene.</w:t>
      </w:r>
    </w:p>
    <w:p w14:paraId="7647C63A" w14:textId="77777777" w:rsidR="006A01F6" w:rsidRPr="00E7615A" w:rsidRDefault="006A01F6"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p>
    <w:p w14:paraId="16E7C39F" w14:textId="58F0FA25" w:rsidR="00A23AA3" w:rsidRPr="00E7615A" w:rsidRDefault="00A23AA3" w:rsidP="00D048E9">
      <w:pPr>
        <w:widowControl w:val="0"/>
        <w:adjustRightInd w:val="0"/>
        <w:snapToGrid w:val="0"/>
        <w:spacing w:after="0" w:line="360" w:lineRule="auto"/>
        <w:jc w:val="both"/>
        <w:rPr>
          <w:rFonts w:ascii="Book Antiqua" w:hAnsi="Book Antiqua"/>
          <w:b/>
          <w:i/>
          <w:color w:val="000000" w:themeColor="text1"/>
          <w:sz w:val="24"/>
          <w:szCs w:val="24"/>
          <w:lang w:val="en-US" w:eastAsia="zh-CN"/>
        </w:rPr>
      </w:pPr>
      <w:r w:rsidRPr="00E7615A">
        <w:rPr>
          <w:rFonts w:ascii="Book Antiqua" w:hAnsi="Book Antiqua"/>
          <w:b/>
          <w:i/>
          <w:color w:val="000000" w:themeColor="text1"/>
          <w:sz w:val="24"/>
          <w:szCs w:val="24"/>
          <w:lang w:val="en-US"/>
        </w:rPr>
        <w:t>Personal and family history</w:t>
      </w:r>
    </w:p>
    <w:p w14:paraId="2FB94CB6" w14:textId="6FE5C2B9" w:rsidR="00A23AA3" w:rsidRPr="00E7615A" w:rsidRDefault="006A01F6"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color w:val="000000" w:themeColor="text1"/>
          <w:sz w:val="24"/>
          <w:szCs w:val="24"/>
          <w:lang w:val="en-US" w:eastAsia="zh-CN"/>
        </w:rPr>
        <w:t xml:space="preserve">No specific personal and family history was reported that was directly related to the </w:t>
      </w:r>
      <w:r w:rsidR="002D1E7A" w:rsidRPr="00E7615A">
        <w:rPr>
          <w:rFonts w:ascii="Book Antiqua" w:hAnsi="Book Antiqua"/>
          <w:color w:val="000000" w:themeColor="text1"/>
          <w:sz w:val="24"/>
          <w:szCs w:val="24"/>
          <w:lang w:val="en-US" w:eastAsia="zh-CN"/>
        </w:rPr>
        <w:t>present illness</w:t>
      </w:r>
      <w:r w:rsidRPr="00E7615A">
        <w:rPr>
          <w:rFonts w:ascii="Book Antiqua" w:hAnsi="Book Antiqua"/>
          <w:color w:val="000000" w:themeColor="text1"/>
          <w:sz w:val="24"/>
          <w:szCs w:val="24"/>
          <w:lang w:val="en-US" w:eastAsia="zh-CN"/>
        </w:rPr>
        <w:t>.</w:t>
      </w:r>
    </w:p>
    <w:p w14:paraId="54956C5C" w14:textId="77777777" w:rsidR="006A01F6" w:rsidRPr="00E7615A" w:rsidRDefault="006A01F6" w:rsidP="00D048E9">
      <w:pPr>
        <w:widowControl w:val="0"/>
        <w:adjustRightInd w:val="0"/>
        <w:snapToGrid w:val="0"/>
        <w:spacing w:after="0" w:line="360" w:lineRule="auto"/>
        <w:jc w:val="both"/>
        <w:rPr>
          <w:rFonts w:ascii="Book Antiqua" w:hAnsi="Book Antiqua"/>
          <w:i/>
          <w:color w:val="000000" w:themeColor="text1"/>
          <w:sz w:val="24"/>
          <w:szCs w:val="24"/>
          <w:lang w:val="en-US" w:eastAsia="zh-CN"/>
        </w:rPr>
      </w:pPr>
    </w:p>
    <w:p w14:paraId="72C0B1D7" w14:textId="507BE3E2" w:rsidR="00A23AA3" w:rsidRPr="00E7615A" w:rsidRDefault="00A23AA3" w:rsidP="00D048E9">
      <w:pPr>
        <w:widowControl w:val="0"/>
        <w:adjustRightInd w:val="0"/>
        <w:snapToGrid w:val="0"/>
        <w:spacing w:after="0" w:line="360" w:lineRule="auto"/>
        <w:jc w:val="both"/>
        <w:rPr>
          <w:rFonts w:ascii="Book Antiqua" w:hAnsi="Book Antiqua"/>
          <w:b/>
          <w:i/>
          <w:color w:val="000000" w:themeColor="text1"/>
          <w:sz w:val="24"/>
          <w:szCs w:val="24"/>
          <w:lang w:val="en-US" w:eastAsia="zh-CN"/>
        </w:rPr>
      </w:pPr>
      <w:r w:rsidRPr="00E7615A">
        <w:rPr>
          <w:rFonts w:ascii="Book Antiqua" w:hAnsi="Book Antiqua"/>
          <w:b/>
          <w:i/>
          <w:color w:val="000000" w:themeColor="text1"/>
          <w:sz w:val="24"/>
          <w:szCs w:val="24"/>
          <w:lang w:val="en-US"/>
        </w:rPr>
        <w:t>Physical examination upon admission</w:t>
      </w:r>
    </w:p>
    <w:p w14:paraId="6D862CE8" w14:textId="286A068D" w:rsidR="006A01F6" w:rsidRPr="00E7615A" w:rsidRDefault="006A01F6"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The clinical examination </w:t>
      </w:r>
      <w:r w:rsidR="002D1E7A" w:rsidRPr="00E7615A">
        <w:rPr>
          <w:rFonts w:ascii="Book Antiqua" w:hAnsi="Book Antiqua"/>
          <w:color w:val="000000" w:themeColor="text1"/>
          <w:sz w:val="24"/>
          <w:szCs w:val="24"/>
          <w:lang w:val="en-US"/>
        </w:rPr>
        <w:t xml:space="preserve">upon admission </w:t>
      </w:r>
      <w:r w:rsidRPr="00E7615A">
        <w:rPr>
          <w:rFonts w:ascii="Book Antiqua" w:hAnsi="Book Antiqua"/>
          <w:color w:val="000000" w:themeColor="text1"/>
          <w:sz w:val="24"/>
          <w:szCs w:val="24"/>
          <w:lang w:val="en-US"/>
        </w:rPr>
        <w:t xml:space="preserve">revealed </w:t>
      </w:r>
      <w:r w:rsidR="00B955CE" w:rsidRPr="00E7615A">
        <w:rPr>
          <w:rFonts w:ascii="Book Antiqua" w:hAnsi="Book Antiqua"/>
          <w:color w:val="000000" w:themeColor="text1"/>
          <w:sz w:val="24"/>
          <w:szCs w:val="24"/>
          <w:lang w:val="en-US"/>
        </w:rPr>
        <w:t>a reduced vertical dimension of occlusion</w:t>
      </w:r>
      <w:r w:rsidR="00424CF8" w:rsidRPr="00E7615A">
        <w:rPr>
          <w:rFonts w:ascii="Book Antiqua" w:hAnsi="Book Antiqua"/>
          <w:color w:val="000000" w:themeColor="text1"/>
          <w:sz w:val="24"/>
          <w:szCs w:val="24"/>
          <w:lang w:val="en-US"/>
        </w:rPr>
        <w:t xml:space="preserve"> and </w:t>
      </w:r>
      <w:r w:rsidR="002D1E7A" w:rsidRPr="00E7615A">
        <w:rPr>
          <w:rFonts w:ascii="Book Antiqua" w:hAnsi="Book Antiqua"/>
          <w:color w:val="000000" w:themeColor="text1"/>
          <w:sz w:val="24"/>
          <w:szCs w:val="24"/>
          <w:lang w:val="en-US"/>
        </w:rPr>
        <w:t>loss of several premolar and molar teeth</w:t>
      </w:r>
      <w:r w:rsidRPr="00E7615A">
        <w:rPr>
          <w:rFonts w:ascii="Book Antiqua" w:hAnsi="Book Antiqua"/>
          <w:color w:val="000000" w:themeColor="text1"/>
          <w:sz w:val="24"/>
          <w:szCs w:val="24"/>
          <w:lang w:val="en-US"/>
        </w:rPr>
        <w:t>. Furthermore, advanced periodontal defects were present around several teeth in the anterior maxilla as well as around maxillary and mandibular molar teeth</w:t>
      </w:r>
      <w:r w:rsidR="002D1E7A" w:rsidRPr="00E7615A">
        <w:rPr>
          <w:rFonts w:ascii="Book Antiqua" w:hAnsi="Book Antiqua"/>
          <w:color w:val="000000" w:themeColor="text1"/>
          <w:sz w:val="24"/>
          <w:szCs w:val="24"/>
          <w:lang w:val="en-US"/>
        </w:rPr>
        <w:t>.</w:t>
      </w:r>
      <w:r w:rsidR="00014543" w:rsidRPr="00E7615A">
        <w:rPr>
          <w:rFonts w:ascii="Book Antiqua" w:hAnsi="Book Antiqua"/>
          <w:color w:val="000000" w:themeColor="text1"/>
          <w:sz w:val="24"/>
          <w:szCs w:val="24"/>
          <w:lang w:val="en-US"/>
        </w:rPr>
        <w:t xml:space="preserve"> Most of the remaining maxillary teeth had a guarded to hopeless prognosis.</w:t>
      </w:r>
    </w:p>
    <w:p w14:paraId="7A54F5AF" w14:textId="77777777" w:rsidR="00A23AA3" w:rsidRPr="00E7615A" w:rsidRDefault="00A23AA3" w:rsidP="00D048E9">
      <w:pPr>
        <w:widowControl w:val="0"/>
        <w:adjustRightInd w:val="0"/>
        <w:snapToGrid w:val="0"/>
        <w:spacing w:after="0" w:line="360" w:lineRule="auto"/>
        <w:jc w:val="both"/>
        <w:rPr>
          <w:rFonts w:ascii="Book Antiqua" w:hAnsi="Book Antiqua"/>
          <w:i/>
          <w:color w:val="000000" w:themeColor="text1"/>
          <w:sz w:val="24"/>
          <w:szCs w:val="24"/>
          <w:lang w:val="en-US" w:eastAsia="zh-CN"/>
        </w:rPr>
      </w:pPr>
    </w:p>
    <w:p w14:paraId="286245DE" w14:textId="7A6DA162" w:rsidR="00A23AA3" w:rsidRPr="00E7615A" w:rsidRDefault="00A23AA3" w:rsidP="00D048E9">
      <w:pPr>
        <w:widowControl w:val="0"/>
        <w:adjustRightInd w:val="0"/>
        <w:snapToGrid w:val="0"/>
        <w:spacing w:after="0" w:line="360" w:lineRule="auto"/>
        <w:jc w:val="both"/>
        <w:rPr>
          <w:rFonts w:ascii="Book Antiqua" w:hAnsi="Book Antiqua"/>
          <w:b/>
          <w:i/>
          <w:color w:val="000000" w:themeColor="text1"/>
          <w:sz w:val="24"/>
          <w:szCs w:val="24"/>
          <w:lang w:val="en-US" w:eastAsia="zh-CN"/>
        </w:rPr>
      </w:pPr>
      <w:r w:rsidRPr="00E7615A">
        <w:rPr>
          <w:rFonts w:ascii="Book Antiqua" w:hAnsi="Book Antiqua"/>
          <w:b/>
          <w:i/>
          <w:color w:val="000000" w:themeColor="text1"/>
          <w:sz w:val="24"/>
          <w:szCs w:val="24"/>
          <w:lang w:val="en-US"/>
        </w:rPr>
        <w:t>Laboratory examinations</w:t>
      </w:r>
    </w:p>
    <w:p w14:paraId="7AF4CF71" w14:textId="68349FDA" w:rsidR="00A23AA3" w:rsidRPr="00E7615A" w:rsidRDefault="002D1E7A"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color w:val="000000" w:themeColor="text1"/>
          <w:sz w:val="24"/>
          <w:szCs w:val="24"/>
          <w:lang w:val="en-US" w:eastAsia="zh-CN"/>
        </w:rPr>
        <w:t>No laboratory examinations were performed upon admission.</w:t>
      </w:r>
    </w:p>
    <w:p w14:paraId="45E54FE7" w14:textId="77777777" w:rsidR="002D1E7A" w:rsidRPr="00E7615A" w:rsidRDefault="002D1E7A" w:rsidP="00D048E9">
      <w:pPr>
        <w:widowControl w:val="0"/>
        <w:adjustRightInd w:val="0"/>
        <w:snapToGrid w:val="0"/>
        <w:spacing w:after="0" w:line="360" w:lineRule="auto"/>
        <w:jc w:val="both"/>
        <w:rPr>
          <w:rFonts w:ascii="Book Antiqua" w:hAnsi="Book Antiqua"/>
          <w:i/>
          <w:color w:val="000000" w:themeColor="text1"/>
          <w:sz w:val="24"/>
          <w:szCs w:val="24"/>
          <w:lang w:val="en-US" w:eastAsia="zh-CN"/>
        </w:rPr>
      </w:pPr>
    </w:p>
    <w:p w14:paraId="1CC72182" w14:textId="1E5D2AA8" w:rsidR="00A23AA3" w:rsidRPr="00E7615A" w:rsidRDefault="00A23AA3" w:rsidP="00D048E9">
      <w:pPr>
        <w:widowControl w:val="0"/>
        <w:adjustRightInd w:val="0"/>
        <w:snapToGrid w:val="0"/>
        <w:spacing w:after="0" w:line="360" w:lineRule="auto"/>
        <w:jc w:val="both"/>
        <w:rPr>
          <w:rFonts w:ascii="Book Antiqua" w:hAnsi="Book Antiqua"/>
          <w:b/>
          <w:i/>
          <w:color w:val="000000" w:themeColor="text1"/>
          <w:sz w:val="24"/>
          <w:szCs w:val="24"/>
          <w:lang w:val="en-US" w:eastAsia="zh-CN"/>
        </w:rPr>
      </w:pPr>
      <w:r w:rsidRPr="00E7615A">
        <w:rPr>
          <w:rFonts w:ascii="Book Antiqua" w:hAnsi="Book Antiqua"/>
          <w:b/>
          <w:i/>
          <w:color w:val="000000" w:themeColor="text1"/>
          <w:sz w:val="24"/>
          <w:szCs w:val="24"/>
          <w:lang w:val="en-US"/>
        </w:rPr>
        <w:t>Imaging examinations</w:t>
      </w:r>
    </w:p>
    <w:p w14:paraId="061812CB" w14:textId="0D988D53" w:rsidR="002D1E7A" w:rsidRPr="00E7615A" w:rsidRDefault="002D1E7A"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A panoramic radiograph performed upon admission (</w:t>
      </w:r>
      <w:r w:rsidR="00E7615A" w:rsidRPr="00E7615A">
        <w:rPr>
          <w:rFonts w:ascii="Book Antiqua" w:hAnsi="Book Antiqua"/>
          <w:i/>
          <w:color w:val="000000" w:themeColor="text1"/>
          <w:sz w:val="24"/>
          <w:szCs w:val="24"/>
          <w:lang w:val="en-US"/>
        </w:rPr>
        <w:t>i.e.</w:t>
      </w:r>
      <w:r w:rsidRPr="00E7615A">
        <w:rPr>
          <w:rFonts w:ascii="Book Antiqua" w:hAnsi="Book Antiqua"/>
          <w:color w:val="000000" w:themeColor="text1"/>
          <w:sz w:val="24"/>
          <w:szCs w:val="24"/>
          <w:lang w:val="en-US"/>
        </w:rPr>
        <w:t xml:space="preserve">, at Timepoint T0; the time course of </w:t>
      </w:r>
      <w:r w:rsidR="009B340A" w:rsidRPr="00E7615A">
        <w:rPr>
          <w:rFonts w:ascii="Book Antiqua" w:hAnsi="Book Antiqua"/>
          <w:color w:val="000000" w:themeColor="text1"/>
          <w:sz w:val="24"/>
          <w:szCs w:val="24"/>
          <w:lang w:val="en-US"/>
        </w:rPr>
        <w:t xml:space="preserve">the present study is summarized in Table 1) </w:t>
      </w:r>
      <w:r w:rsidRPr="00E7615A">
        <w:rPr>
          <w:rFonts w:ascii="Book Antiqua" w:hAnsi="Book Antiqua"/>
          <w:color w:val="000000" w:themeColor="text1"/>
          <w:sz w:val="24"/>
          <w:szCs w:val="24"/>
          <w:lang w:val="en-US"/>
        </w:rPr>
        <w:t>showed</w:t>
      </w:r>
      <w:r w:rsidR="00153D76" w:rsidRPr="00E7615A">
        <w:rPr>
          <w:rFonts w:ascii="Book Antiqua" w:hAnsi="Book Antiqua"/>
          <w:color w:val="000000" w:themeColor="text1"/>
          <w:sz w:val="24"/>
          <w:szCs w:val="24"/>
          <w:lang w:val="en-US"/>
        </w:rPr>
        <w:t xml:space="preserve"> the loss of several premolar and molar teeth and revealed that</w:t>
      </w:r>
      <w:bookmarkStart w:id="164" w:name="_Hlk530962272"/>
      <w:r w:rsidR="00014543" w:rsidRPr="00E7615A">
        <w:rPr>
          <w:rFonts w:ascii="Book Antiqua" w:hAnsi="Book Antiqua"/>
          <w:color w:val="000000" w:themeColor="text1"/>
          <w:sz w:val="24"/>
          <w:szCs w:val="24"/>
          <w:lang w:val="en-US"/>
        </w:rPr>
        <w:t xml:space="preserve"> </w:t>
      </w:r>
      <w:r w:rsidR="009B340A" w:rsidRPr="00E7615A">
        <w:rPr>
          <w:rFonts w:ascii="Book Antiqua" w:hAnsi="Book Antiqua"/>
          <w:color w:val="000000" w:themeColor="text1"/>
          <w:sz w:val="24"/>
          <w:szCs w:val="24"/>
          <w:lang w:val="en-US"/>
        </w:rPr>
        <w:t>t</w:t>
      </w:r>
      <w:r w:rsidRPr="00E7615A">
        <w:rPr>
          <w:rFonts w:ascii="Book Antiqua" w:hAnsi="Book Antiqua"/>
          <w:color w:val="000000" w:themeColor="text1"/>
          <w:sz w:val="24"/>
          <w:szCs w:val="24"/>
          <w:lang w:val="en-US"/>
        </w:rPr>
        <w:t xml:space="preserve">he residual bone height of the edentulous posterior maxilla below the antrum and the ridge crest was less than 3 mm on both sides (Class D according </w:t>
      </w:r>
      <w:proofErr w:type="gramStart"/>
      <w:r w:rsidRPr="00E7615A">
        <w:rPr>
          <w:rFonts w:ascii="Book Antiqua" w:hAnsi="Book Antiqua"/>
          <w:color w:val="000000" w:themeColor="text1"/>
          <w:sz w:val="24"/>
          <w:szCs w:val="24"/>
          <w:lang w:val="en-US"/>
        </w:rPr>
        <w:t>to</w:t>
      </w:r>
      <w:r w:rsidRPr="00E7615A">
        <w:rPr>
          <w:rFonts w:ascii="Book Antiqua" w:hAnsi="Book Antiqua"/>
          <w:color w:val="000000" w:themeColor="text1"/>
          <w:sz w:val="24"/>
          <w:szCs w:val="24"/>
          <w:vertAlign w:val="superscript"/>
          <w:lang w:val="en-US"/>
        </w:rPr>
        <w:t>[</w:t>
      </w:r>
      <w:proofErr w:type="gramEnd"/>
      <w:r w:rsidR="00BF3C2C" w:rsidRPr="00E7615A">
        <w:rPr>
          <w:rFonts w:ascii="Book Antiqua" w:hAnsi="Book Antiqua"/>
          <w:color w:val="000000" w:themeColor="text1"/>
          <w:sz w:val="24"/>
          <w:szCs w:val="24"/>
          <w:vertAlign w:val="superscript"/>
          <w:lang w:val="en-US"/>
        </w:rPr>
        <w:t>32</w:t>
      </w:r>
      <w:r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w:t>
      </w:r>
      <w:r w:rsidR="009B340A" w:rsidRPr="00E7615A">
        <w:rPr>
          <w:rFonts w:ascii="Book Antiqua" w:hAnsi="Book Antiqua"/>
          <w:color w:val="000000" w:themeColor="text1"/>
          <w:sz w:val="24"/>
          <w:szCs w:val="24"/>
          <w:lang w:val="en-US"/>
        </w:rPr>
        <w:t xml:space="preserve"> (</w:t>
      </w:r>
      <w:r w:rsidR="00E011FF" w:rsidRPr="00E7615A">
        <w:rPr>
          <w:rFonts w:ascii="Book Antiqua" w:hAnsi="Book Antiqua"/>
          <w:color w:val="000000" w:themeColor="text1"/>
          <w:sz w:val="24"/>
          <w:szCs w:val="24"/>
          <w:lang w:val="en-US"/>
        </w:rPr>
        <w:t>Figure</w:t>
      </w:r>
      <w:r w:rsidR="009B340A" w:rsidRPr="00E7615A">
        <w:rPr>
          <w:rFonts w:ascii="Book Antiqua" w:hAnsi="Book Antiqua"/>
          <w:color w:val="000000" w:themeColor="text1"/>
          <w:sz w:val="24"/>
          <w:szCs w:val="24"/>
          <w:lang w:val="en-US"/>
        </w:rPr>
        <w:t xml:space="preserve"> 1).</w:t>
      </w:r>
      <w:r w:rsidR="00153D76" w:rsidRPr="00E7615A">
        <w:rPr>
          <w:rFonts w:ascii="Book Antiqua" w:hAnsi="Book Antiqua"/>
          <w:color w:val="000000" w:themeColor="text1"/>
          <w:sz w:val="24"/>
          <w:szCs w:val="24"/>
          <w:lang w:val="en-US"/>
        </w:rPr>
        <w:t xml:space="preserve"> </w:t>
      </w:r>
    </w:p>
    <w:bookmarkEnd w:id="164"/>
    <w:p w14:paraId="773A2BDF" w14:textId="77777777" w:rsidR="00A23AA3" w:rsidRPr="00E7615A" w:rsidRDefault="00A23AA3" w:rsidP="00D048E9">
      <w:pPr>
        <w:widowControl w:val="0"/>
        <w:adjustRightInd w:val="0"/>
        <w:snapToGrid w:val="0"/>
        <w:spacing w:after="0" w:line="360" w:lineRule="auto"/>
        <w:jc w:val="both"/>
        <w:rPr>
          <w:rFonts w:ascii="Book Antiqua" w:hAnsi="Book Antiqua"/>
          <w:i/>
          <w:color w:val="000000" w:themeColor="text1"/>
          <w:sz w:val="24"/>
          <w:szCs w:val="24"/>
          <w:lang w:val="en-US" w:eastAsia="zh-CN"/>
        </w:rPr>
      </w:pPr>
    </w:p>
    <w:p w14:paraId="1468D25E" w14:textId="023167A6" w:rsidR="00A23AA3" w:rsidRPr="00E7615A" w:rsidRDefault="00A23AA3" w:rsidP="00D048E9">
      <w:pPr>
        <w:widowControl w:val="0"/>
        <w:adjustRightInd w:val="0"/>
        <w:snapToGrid w:val="0"/>
        <w:spacing w:after="0" w:line="360" w:lineRule="auto"/>
        <w:jc w:val="both"/>
        <w:rPr>
          <w:rFonts w:ascii="Book Antiqua" w:eastAsiaTheme="minorEastAsia" w:hAnsi="Book Antiqua"/>
          <w:b/>
          <w:color w:val="000000" w:themeColor="text1"/>
          <w:sz w:val="24"/>
          <w:szCs w:val="24"/>
          <w:shd w:val="clear" w:color="auto" w:fill="FFFFFF"/>
          <w:lang w:val="en-US"/>
        </w:rPr>
      </w:pPr>
      <w:r w:rsidRPr="00E7615A">
        <w:rPr>
          <w:rFonts w:ascii="Book Antiqua" w:eastAsiaTheme="minorEastAsia" w:hAnsi="Book Antiqua"/>
          <w:b/>
          <w:color w:val="000000" w:themeColor="text1"/>
          <w:sz w:val="24"/>
          <w:szCs w:val="24"/>
          <w:shd w:val="clear" w:color="auto" w:fill="FFFFFF"/>
          <w:lang w:val="en-US"/>
        </w:rPr>
        <w:lastRenderedPageBreak/>
        <w:t>MULTIDISCIPLINARY EXPERT CONSULTATION</w:t>
      </w:r>
    </w:p>
    <w:p w14:paraId="0676E281" w14:textId="0ECDBCAD" w:rsidR="00A23AA3" w:rsidRPr="00E7615A" w:rsidRDefault="009B340A" w:rsidP="00D048E9">
      <w:pPr>
        <w:widowControl w:val="0"/>
        <w:adjustRightInd w:val="0"/>
        <w:snapToGrid w:val="0"/>
        <w:spacing w:after="0" w:line="360" w:lineRule="auto"/>
        <w:jc w:val="both"/>
        <w:rPr>
          <w:rFonts w:ascii="Book Antiqua" w:eastAsiaTheme="minorEastAsia" w:hAnsi="Book Antiqua"/>
          <w:b/>
          <w:i/>
          <w:color w:val="000000" w:themeColor="text1"/>
          <w:sz w:val="24"/>
          <w:szCs w:val="24"/>
          <w:lang w:val="en-US"/>
        </w:rPr>
      </w:pPr>
      <w:r w:rsidRPr="00E7615A">
        <w:rPr>
          <w:rFonts w:ascii="Book Antiqua" w:eastAsiaTheme="minorEastAsia" w:hAnsi="Book Antiqua"/>
          <w:b/>
          <w:i/>
          <w:color w:val="000000" w:themeColor="text1"/>
          <w:sz w:val="24"/>
          <w:szCs w:val="24"/>
          <w:lang w:val="en-US"/>
        </w:rPr>
        <w:t>Oender Solakoglu, DDS, Head of the Clinic for Periodontology and Implantology</w:t>
      </w:r>
      <w:r w:rsidR="00C60B5A" w:rsidRPr="00E7615A">
        <w:rPr>
          <w:rFonts w:ascii="Book Antiqua" w:eastAsiaTheme="minorEastAsia" w:hAnsi="Book Antiqua"/>
          <w:b/>
          <w:i/>
          <w:color w:val="000000" w:themeColor="text1"/>
          <w:sz w:val="24"/>
          <w:szCs w:val="24"/>
          <w:lang w:val="en-US"/>
        </w:rPr>
        <w:t xml:space="preserve"> (Hamburg, Germany)</w:t>
      </w:r>
    </w:p>
    <w:p w14:paraId="5E2832B8" w14:textId="335C7D16" w:rsidR="00330E07" w:rsidRPr="00E7615A" w:rsidRDefault="009B340A" w:rsidP="00D048E9">
      <w:pPr>
        <w:widowControl w:val="0"/>
        <w:adjustRightInd w:val="0"/>
        <w:snapToGrid w:val="0"/>
        <w:spacing w:after="0" w:line="360" w:lineRule="auto"/>
        <w:jc w:val="both"/>
        <w:rPr>
          <w:rFonts w:ascii="Book Antiqua" w:eastAsiaTheme="minorEastAsia" w:hAnsi="Book Antiqua"/>
          <w:color w:val="000000" w:themeColor="text1"/>
          <w:sz w:val="24"/>
          <w:szCs w:val="24"/>
          <w:lang w:val="en-US"/>
        </w:rPr>
      </w:pPr>
      <w:r w:rsidRPr="00E7615A">
        <w:rPr>
          <w:rFonts w:ascii="Book Antiqua" w:eastAsiaTheme="minorEastAsia" w:hAnsi="Book Antiqua"/>
          <w:color w:val="000000" w:themeColor="text1"/>
          <w:sz w:val="24"/>
          <w:szCs w:val="24"/>
          <w:lang w:val="en-US"/>
        </w:rPr>
        <w:t xml:space="preserve">The residual bone height of the edentulous posterior maxilla as well as of the alveolar bone crest height around the remaining maxillary teeth </w:t>
      </w:r>
      <w:r w:rsidR="00424CF8" w:rsidRPr="00E7615A">
        <w:rPr>
          <w:rFonts w:ascii="Book Antiqua" w:eastAsiaTheme="minorEastAsia" w:hAnsi="Book Antiqua"/>
          <w:color w:val="000000" w:themeColor="text1"/>
          <w:sz w:val="24"/>
          <w:szCs w:val="24"/>
          <w:lang w:val="en-US"/>
        </w:rPr>
        <w:t xml:space="preserve">did not justify immediate </w:t>
      </w:r>
      <w:r w:rsidRPr="00E7615A">
        <w:rPr>
          <w:rFonts w:ascii="Book Antiqua" w:eastAsiaTheme="minorEastAsia" w:hAnsi="Book Antiqua"/>
          <w:color w:val="000000" w:themeColor="text1"/>
          <w:sz w:val="24"/>
          <w:szCs w:val="24"/>
          <w:lang w:val="en-US"/>
        </w:rPr>
        <w:t>implant placement</w:t>
      </w:r>
      <w:r w:rsidR="00330E07" w:rsidRPr="00E7615A">
        <w:rPr>
          <w:rFonts w:ascii="Book Antiqua" w:eastAsiaTheme="minorEastAsia" w:hAnsi="Book Antiqua"/>
          <w:color w:val="000000" w:themeColor="text1"/>
          <w:sz w:val="24"/>
          <w:szCs w:val="24"/>
          <w:lang w:val="en-US"/>
        </w:rPr>
        <w:t xml:space="preserve">. Therefore, extensive bone augmentation procedures (GBR-MSA) were necessary prior to implant placement. </w:t>
      </w:r>
      <w:r w:rsidRPr="00E7615A">
        <w:rPr>
          <w:rFonts w:ascii="Book Antiqua" w:eastAsiaTheme="minorEastAsia" w:hAnsi="Book Antiqua"/>
          <w:color w:val="000000" w:themeColor="text1"/>
          <w:sz w:val="24"/>
          <w:szCs w:val="24"/>
          <w:lang w:val="en-US"/>
        </w:rPr>
        <w:t xml:space="preserve">According to the </w:t>
      </w:r>
      <w:bookmarkStart w:id="165" w:name="_GoBack"/>
      <w:r w:rsidR="00C007EB" w:rsidRPr="00E7615A">
        <w:rPr>
          <w:rFonts w:ascii="Book Antiqua" w:eastAsiaTheme="minorEastAsia" w:hAnsi="Book Antiqua"/>
          <w:color w:val="000000" w:themeColor="text1"/>
          <w:sz w:val="24"/>
          <w:szCs w:val="24"/>
          <w:lang w:val="en-US"/>
        </w:rPr>
        <w:t>literature</w:t>
      </w:r>
      <w:r w:rsidR="00C007EB">
        <w:rPr>
          <w:rFonts w:ascii="Book Antiqua" w:eastAsiaTheme="minorEastAsia" w:hAnsi="Book Antiqua"/>
          <w:color w:val="000000" w:themeColor="text1"/>
          <w:sz w:val="24"/>
          <w:szCs w:val="24"/>
          <w:lang w:val="en-US"/>
        </w:rPr>
        <w:t>,</w:t>
      </w:r>
      <w:r w:rsidRPr="00E7615A">
        <w:rPr>
          <w:rFonts w:ascii="Book Antiqua" w:eastAsiaTheme="minorEastAsia" w:hAnsi="Book Antiqua"/>
          <w:color w:val="000000" w:themeColor="text1"/>
          <w:sz w:val="24"/>
          <w:szCs w:val="24"/>
          <w:lang w:val="en-US"/>
        </w:rPr>
        <w:t xml:space="preserve"> </w:t>
      </w:r>
      <w:bookmarkEnd w:id="165"/>
      <w:r w:rsidRPr="00E7615A">
        <w:rPr>
          <w:rFonts w:ascii="Book Antiqua" w:eastAsiaTheme="minorEastAsia" w:hAnsi="Book Antiqua"/>
          <w:color w:val="000000" w:themeColor="text1"/>
          <w:sz w:val="24"/>
          <w:szCs w:val="24"/>
          <w:lang w:val="en-US"/>
        </w:rPr>
        <w:t xml:space="preserve">residual bone height of the edentulous posterior maxilla below the antrum and the ridge crest of less than 3 mm shall be treated with a lateral approach involving a bone grafting material and delayed implant </w:t>
      </w:r>
      <w:proofErr w:type="gramStart"/>
      <w:r w:rsidRPr="00E7615A">
        <w:rPr>
          <w:rFonts w:ascii="Book Antiqua" w:eastAsiaTheme="minorEastAsia" w:hAnsi="Book Antiqua"/>
          <w:color w:val="000000" w:themeColor="text1"/>
          <w:sz w:val="24"/>
          <w:szCs w:val="24"/>
          <w:lang w:val="en-US"/>
        </w:rPr>
        <w:t>placement</w:t>
      </w:r>
      <w:r w:rsidR="00330E07" w:rsidRPr="00E7615A">
        <w:rPr>
          <w:rFonts w:ascii="Book Antiqua" w:eastAsiaTheme="minorEastAsia" w:hAnsi="Book Antiqua"/>
          <w:color w:val="000000" w:themeColor="text1"/>
          <w:sz w:val="24"/>
          <w:szCs w:val="24"/>
          <w:vertAlign w:val="superscript"/>
          <w:lang w:val="en-US"/>
        </w:rPr>
        <w:t>[</w:t>
      </w:r>
      <w:proofErr w:type="gramEnd"/>
      <w:r w:rsidR="00125707" w:rsidRPr="00E7615A">
        <w:rPr>
          <w:rFonts w:ascii="Book Antiqua" w:eastAsiaTheme="minorEastAsia" w:hAnsi="Book Antiqua"/>
          <w:color w:val="000000" w:themeColor="text1"/>
          <w:sz w:val="24"/>
          <w:szCs w:val="24"/>
          <w:vertAlign w:val="superscript"/>
          <w:lang w:val="en-US"/>
        </w:rPr>
        <w:t>33</w:t>
      </w:r>
      <w:r w:rsidR="00330E07" w:rsidRPr="00E7615A">
        <w:rPr>
          <w:rFonts w:ascii="Book Antiqua" w:eastAsiaTheme="minorEastAsia" w:hAnsi="Book Antiqua"/>
          <w:color w:val="000000" w:themeColor="text1"/>
          <w:sz w:val="24"/>
          <w:szCs w:val="24"/>
          <w:vertAlign w:val="superscript"/>
          <w:lang w:val="en-US"/>
        </w:rPr>
        <w:t>]</w:t>
      </w:r>
      <w:r w:rsidRPr="00E7615A">
        <w:rPr>
          <w:rFonts w:ascii="Book Antiqua" w:eastAsiaTheme="minorEastAsia" w:hAnsi="Book Antiqua"/>
          <w:color w:val="000000" w:themeColor="text1"/>
          <w:sz w:val="24"/>
          <w:szCs w:val="24"/>
          <w:lang w:val="en-US"/>
        </w:rPr>
        <w:t>.</w:t>
      </w:r>
      <w:r w:rsidR="00330E07" w:rsidRPr="00E7615A">
        <w:rPr>
          <w:rFonts w:ascii="Book Antiqua" w:eastAsiaTheme="minorEastAsia" w:hAnsi="Book Antiqua"/>
          <w:color w:val="000000" w:themeColor="text1"/>
          <w:sz w:val="24"/>
          <w:szCs w:val="24"/>
          <w:lang w:val="en-US"/>
        </w:rPr>
        <w:t xml:space="preserve"> </w:t>
      </w:r>
    </w:p>
    <w:p w14:paraId="74C67236" w14:textId="519C3885" w:rsidR="00632CA8" w:rsidRPr="00E7615A" w:rsidRDefault="00632CA8" w:rsidP="00D048E9">
      <w:pPr>
        <w:widowControl w:val="0"/>
        <w:adjustRightInd w:val="0"/>
        <w:snapToGrid w:val="0"/>
        <w:spacing w:after="0" w:line="360" w:lineRule="auto"/>
        <w:ind w:firstLine="432"/>
        <w:jc w:val="both"/>
        <w:rPr>
          <w:rFonts w:ascii="Book Antiqua" w:eastAsiaTheme="minorEastAsia" w:hAnsi="Book Antiqua"/>
          <w:color w:val="000000" w:themeColor="text1"/>
          <w:sz w:val="24"/>
          <w:szCs w:val="24"/>
          <w:lang w:val="en-US"/>
        </w:rPr>
      </w:pPr>
      <w:r w:rsidRPr="00E7615A">
        <w:rPr>
          <w:rFonts w:ascii="Book Antiqua" w:eastAsiaTheme="minorEastAsia" w:hAnsi="Book Antiqua"/>
          <w:color w:val="000000" w:themeColor="text1"/>
          <w:sz w:val="24"/>
          <w:szCs w:val="24"/>
          <w:lang w:val="en-US"/>
        </w:rPr>
        <w:t xml:space="preserve">To date, </w:t>
      </w:r>
      <w:r w:rsidRPr="00E7615A">
        <w:rPr>
          <w:rFonts w:ascii="Book Antiqua" w:hAnsi="Book Antiqua"/>
          <w:color w:val="000000" w:themeColor="text1"/>
          <w:sz w:val="24"/>
          <w:szCs w:val="24"/>
          <w:lang w:val="en-US"/>
        </w:rPr>
        <w:t>the combination of PRGF-2</w:t>
      </w:r>
      <w:r w:rsidR="006A7912"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instead of PRP and an OIS</w:t>
      </w:r>
      <w:r w:rsidR="006A7912"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 xml:space="preserve">appears to be the most advanced procedure for GBR-MSA. This is due to the fact that a recent experimental study on rats showed that PRGF-2 has more availability for bone regeneration than </w:t>
      </w:r>
      <w:proofErr w:type="gramStart"/>
      <w:r w:rsidRPr="00E7615A">
        <w:rPr>
          <w:rFonts w:ascii="Book Antiqua" w:hAnsi="Book Antiqua"/>
          <w:color w:val="000000" w:themeColor="text1"/>
          <w:sz w:val="24"/>
          <w:szCs w:val="24"/>
          <w:lang w:val="en-US"/>
        </w:rPr>
        <w:t>PRP</w:t>
      </w:r>
      <w:r w:rsidRPr="00E7615A">
        <w:rPr>
          <w:rFonts w:ascii="Book Antiqua" w:hAnsi="Book Antiqua"/>
          <w:color w:val="000000" w:themeColor="text1"/>
          <w:sz w:val="24"/>
          <w:szCs w:val="24"/>
          <w:vertAlign w:val="superscript"/>
          <w:lang w:val="en-US"/>
        </w:rPr>
        <w:t>[</w:t>
      </w:r>
      <w:proofErr w:type="gramEnd"/>
      <w:r w:rsidR="00125707" w:rsidRPr="00E7615A">
        <w:rPr>
          <w:rFonts w:ascii="Book Antiqua" w:hAnsi="Book Antiqua"/>
          <w:color w:val="000000" w:themeColor="text1"/>
          <w:sz w:val="24"/>
          <w:szCs w:val="24"/>
          <w:vertAlign w:val="superscript"/>
          <w:lang w:val="en-US"/>
        </w:rPr>
        <w:t>34</w:t>
      </w:r>
      <w:r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The </w:t>
      </w:r>
      <w:r w:rsidR="00650CC2" w:rsidRPr="00E7615A">
        <w:rPr>
          <w:rFonts w:ascii="Book Antiqua" w:hAnsi="Book Antiqua"/>
          <w:color w:val="000000" w:themeColor="text1"/>
          <w:sz w:val="24"/>
          <w:szCs w:val="24"/>
          <w:lang w:val="en-US"/>
        </w:rPr>
        <w:t xml:space="preserve">use of a </w:t>
      </w:r>
      <w:r w:rsidRPr="00E7615A">
        <w:rPr>
          <w:rFonts w:ascii="Book Antiqua" w:hAnsi="Book Antiqua"/>
          <w:color w:val="000000" w:themeColor="text1"/>
          <w:sz w:val="24"/>
          <w:szCs w:val="24"/>
          <w:lang w:val="en-US"/>
        </w:rPr>
        <w:t>combination of PRGF-2 (prepared using the PRGF-Endoret technology; BTI, Miñano, Spain) and a mineralized cancellous bone particulate allograft (MCBPA) (Puros Cancellous Particulate Allograft; Zimmer Biomet Dental, Palm Beach Gardens, FL, U</w:t>
      </w:r>
      <w:r w:rsidR="000B1AB9">
        <w:rPr>
          <w:rFonts w:ascii="Book Antiqua" w:hAnsi="Book Antiqua" w:hint="eastAsia"/>
          <w:color w:val="000000" w:themeColor="text1"/>
          <w:sz w:val="24"/>
          <w:szCs w:val="24"/>
          <w:lang w:val="en-US" w:eastAsia="zh-CN"/>
        </w:rPr>
        <w:t>nited States</w:t>
      </w:r>
      <w:r w:rsidRPr="00E7615A">
        <w:rPr>
          <w:rFonts w:ascii="Book Antiqua" w:hAnsi="Book Antiqua"/>
          <w:color w:val="000000" w:themeColor="text1"/>
          <w:sz w:val="24"/>
          <w:szCs w:val="24"/>
          <w:lang w:val="en-US"/>
        </w:rPr>
        <w:t>)</w:t>
      </w:r>
      <w:r w:rsidR="00650CC2" w:rsidRPr="00E7615A">
        <w:rPr>
          <w:rFonts w:ascii="Book Antiqua" w:hAnsi="Book Antiqua"/>
          <w:color w:val="000000" w:themeColor="text1"/>
          <w:sz w:val="24"/>
          <w:szCs w:val="24"/>
          <w:lang w:val="en-US"/>
        </w:rPr>
        <w:t xml:space="preserve"> is the current </w:t>
      </w:r>
      <w:r w:rsidRPr="00E7615A">
        <w:rPr>
          <w:rFonts w:ascii="Book Antiqua" w:eastAsiaTheme="minorEastAsia" w:hAnsi="Book Antiqua"/>
          <w:color w:val="000000" w:themeColor="text1"/>
          <w:sz w:val="24"/>
          <w:szCs w:val="24"/>
          <w:lang w:val="en-US"/>
        </w:rPr>
        <w:t xml:space="preserve">standard procedure </w:t>
      </w:r>
      <w:r w:rsidR="00650CC2" w:rsidRPr="00E7615A">
        <w:rPr>
          <w:rFonts w:ascii="Book Antiqua" w:eastAsiaTheme="minorEastAsia" w:hAnsi="Book Antiqua"/>
          <w:color w:val="000000" w:themeColor="text1"/>
          <w:sz w:val="24"/>
          <w:szCs w:val="24"/>
          <w:lang w:val="en-US"/>
        </w:rPr>
        <w:t>for GBR-MSA at the Clinic for Periodontology and Implantology (Hamburg, Germany).</w:t>
      </w:r>
    </w:p>
    <w:p w14:paraId="031E00C9" w14:textId="77777777" w:rsidR="00650CC2" w:rsidRPr="00E7615A" w:rsidRDefault="00650CC2" w:rsidP="00D048E9">
      <w:pPr>
        <w:widowControl w:val="0"/>
        <w:adjustRightInd w:val="0"/>
        <w:snapToGrid w:val="0"/>
        <w:spacing w:after="0" w:line="360" w:lineRule="auto"/>
        <w:jc w:val="both"/>
        <w:rPr>
          <w:rFonts w:ascii="Book Antiqua" w:eastAsiaTheme="minorEastAsia" w:hAnsi="Book Antiqua"/>
          <w:b/>
          <w:i/>
          <w:color w:val="000000" w:themeColor="text1"/>
          <w:sz w:val="24"/>
          <w:szCs w:val="24"/>
          <w:lang w:val="en-US"/>
        </w:rPr>
      </w:pPr>
    </w:p>
    <w:p w14:paraId="4250CCDD" w14:textId="0CC2EA10" w:rsidR="00330E07" w:rsidRPr="00E7615A" w:rsidRDefault="00650CC2"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eastAsiaTheme="minorEastAsia" w:hAnsi="Book Antiqua"/>
          <w:b/>
          <w:i/>
          <w:color w:val="000000" w:themeColor="text1"/>
          <w:sz w:val="24"/>
          <w:szCs w:val="24"/>
          <w:lang w:val="en-US"/>
        </w:rPr>
        <w:t xml:space="preserve">Eckhard U. Alt, MD, PhD, Professor, Chairman of the Board of InGeneron </w:t>
      </w:r>
      <w:r w:rsidR="00C60B5A" w:rsidRPr="00E7615A">
        <w:rPr>
          <w:rFonts w:ascii="Book Antiqua" w:eastAsiaTheme="minorEastAsia" w:hAnsi="Book Antiqua"/>
          <w:b/>
          <w:i/>
          <w:color w:val="000000" w:themeColor="text1"/>
          <w:sz w:val="24"/>
          <w:szCs w:val="24"/>
          <w:lang w:val="en-US"/>
        </w:rPr>
        <w:t xml:space="preserve">(Houston, TX, </w:t>
      </w:r>
      <w:r w:rsidR="00F67C45" w:rsidRPr="00F67C45">
        <w:rPr>
          <w:rFonts w:ascii="Book Antiqua" w:eastAsiaTheme="minorEastAsia" w:hAnsi="Book Antiqua"/>
          <w:b/>
          <w:i/>
          <w:color w:val="000000" w:themeColor="text1"/>
          <w:sz w:val="24"/>
          <w:szCs w:val="24"/>
          <w:lang w:val="en-US"/>
        </w:rPr>
        <w:t>United States</w:t>
      </w:r>
      <w:r w:rsidR="00C60B5A" w:rsidRPr="00E7615A">
        <w:rPr>
          <w:rFonts w:ascii="Book Antiqua" w:eastAsiaTheme="minorEastAsia" w:hAnsi="Book Antiqua"/>
          <w:b/>
          <w:i/>
          <w:color w:val="000000" w:themeColor="text1"/>
          <w:sz w:val="24"/>
          <w:szCs w:val="24"/>
          <w:lang w:val="en-US"/>
        </w:rPr>
        <w:t xml:space="preserve">) </w:t>
      </w:r>
      <w:r w:rsidRPr="00E7615A">
        <w:rPr>
          <w:rFonts w:ascii="Book Antiqua" w:eastAsiaTheme="minorEastAsia" w:hAnsi="Book Antiqua"/>
          <w:b/>
          <w:i/>
          <w:color w:val="000000" w:themeColor="text1"/>
          <w:sz w:val="24"/>
          <w:szCs w:val="24"/>
          <w:lang w:val="en-US"/>
        </w:rPr>
        <w:t>and of Isar Klinikum</w:t>
      </w:r>
      <w:r w:rsidR="00C60B5A" w:rsidRPr="00E7615A">
        <w:rPr>
          <w:rFonts w:ascii="Book Antiqua" w:eastAsiaTheme="minorEastAsia" w:hAnsi="Book Antiqua"/>
          <w:b/>
          <w:i/>
          <w:color w:val="000000" w:themeColor="text1"/>
          <w:sz w:val="24"/>
          <w:szCs w:val="24"/>
          <w:lang w:val="en-US"/>
        </w:rPr>
        <w:t xml:space="preserve"> (Munich, Germany)</w:t>
      </w:r>
    </w:p>
    <w:p w14:paraId="0DD066E8" w14:textId="2D104ED6" w:rsidR="00330E07" w:rsidRPr="00E7615A" w:rsidRDefault="00650CC2"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It appears feasible to further improve GBR-MSA by the application of </w:t>
      </w:r>
      <w:r w:rsidR="00330E07" w:rsidRPr="00E7615A">
        <w:rPr>
          <w:rFonts w:ascii="Book Antiqua" w:hAnsi="Book Antiqua"/>
          <w:color w:val="000000" w:themeColor="text1"/>
          <w:sz w:val="24"/>
          <w:szCs w:val="24"/>
          <w:lang w:val="en-US"/>
        </w:rPr>
        <w:t xml:space="preserve">stem cells (for recent reviews on the use of stem cells in regenerative </w:t>
      </w:r>
      <w:proofErr w:type="gramStart"/>
      <w:r w:rsidR="00330E07" w:rsidRPr="00E7615A">
        <w:rPr>
          <w:rFonts w:ascii="Book Antiqua" w:hAnsi="Book Antiqua"/>
          <w:color w:val="000000" w:themeColor="text1"/>
          <w:sz w:val="24"/>
          <w:szCs w:val="24"/>
          <w:lang w:val="en-US"/>
        </w:rPr>
        <w:t>dentistry</w:t>
      </w:r>
      <w:r w:rsidR="00C4284E" w:rsidRPr="00E7615A">
        <w:rPr>
          <w:rFonts w:ascii="Book Antiqua" w:hAnsi="Book Antiqua"/>
          <w:color w:val="000000" w:themeColor="text1"/>
          <w:sz w:val="24"/>
          <w:szCs w:val="24"/>
          <w:vertAlign w:val="superscript"/>
          <w:lang w:val="en-US" w:eastAsia="zh-CN"/>
        </w:rPr>
        <w:t>[</w:t>
      </w:r>
      <w:proofErr w:type="gramEnd"/>
      <w:r w:rsidR="00ED1EA9" w:rsidRPr="00E7615A">
        <w:rPr>
          <w:rFonts w:ascii="Book Antiqua" w:hAnsi="Book Antiqua"/>
          <w:color w:val="000000" w:themeColor="text1"/>
          <w:sz w:val="24"/>
          <w:szCs w:val="24"/>
          <w:vertAlign w:val="superscript"/>
          <w:lang w:val="en-US"/>
        </w:rPr>
        <w:t>35-37</w:t>
      </w:r>
      <w:r w:rsidR="00330E07" w:rsidRPr="00E7615A">
        <w:rPr>
          <w:rFonts w:ascii="Book Antiqua" w:hAnsi="Book Antiqua"/>
          <w:color w:val="000000" w:themeColor="text1"/>
          <w:sz w:val="24"/>
          <w:szCs w:val="24"/>
          <w:vertAlign w:val="superscript"/>
          <w:lang w:val="en-US"/>
        </w:rPr>
        <w:t>]</w:t>
      </w:r>
      <w:r w:rsidR="00330E07" w:rsidRPr="00E7615A">
        <w:rPr>
          <w:rFonts w:ascii="Book Antiqua" w:hAnsi="Book Antiqua"/>
          <w:color w:val="000000" w:themeColor="text1"/>
          <w:sz w:val="24"/>
          <w:szCs w:val="24"/>
          <w:lang w:val="en-US"/>
        </w:rPr>
        <w:t>. Among the different types of mesenchymal stem cells, cells derived from adipose tissue</w:t>
      </w:r>
      <w:r w:rsidR="00767D5B" w:rsidRPr="00E7615A">
        <w:rPr>
          <w:rFonts w:ascii="Book Antiqua" w:hAnsi="Book Antiqua"/>
          <w:color w:val="000000" w:themeColor="text1"/>
          <w:sz w:val="24"/>
          <w:szCs w:val="24"/>
          <w:lang w:val="en-US"/>
        </w:rPr>
        <w:t xml:space="preserve"> (</w:t>
      </w:r>
      <w:r w:rsidR="00330E07" w:rsidRPr="00E7615A">
        <w:rPr>
          <w:rFonts w:ascii="Book Antiqua" w:hAnsi="Book Antiqua"/>
          <w:color w:val="000000" w:themeColor="text1"/>
          <w:sz w:val="24"/>
          <w:szCs w:val="24"/>
          <w:lang w:val="en-US"/>
        </w:rPr>
        <w:t>either freshly isolated or culture-expanded</w:t>
      </w:r>
      <w:r w:rsidR="00767D5B" w:rsidRPr="00E7615A">
        <w:rPr>
          <w:rFonts w:ascii="Book Antiqua" w:hAnsi="Book Antiqua"/>
          <w:color w:val="000000" w:themeColor="text1"/>
          <w:sz w:val="24"/>
          <w:szCs w:val="24"/>
          <w:lang w:val="en-US"/>
        </w:rPr>
        <w:t xml:space="preserve">) </w:t>
      </w:r>
      <w:r w:rsidR="00330E07" w:rsidRPr="00E7615A">
        <w:rPr>
          <w:rFonts w:ascii="Book Antiqua" w:hAnsi="Book Antiqua"/>
          <w:color w:val="000000" w:themeColor="text1"/>
          <w:sz w:val="24"/>
          <w:szCs w:val="24"/>
          <w:lang w:val="en-US"/>
        </w:rPr>
        <w:t xml:space="preserve">have emerged as a promising tool for </w:t>
      </w:r>
      <w:proofErr w:type="gramStart"/>
      <w:r w:rsidRPr="00E7615A">
        <w:rPr>
          <w:rFonts w:ascii="Book Antiqua" w:hAnsi="Book Antiqua"/>
          <w:color w:val="000000" w:themeColor="text1"/>
          <w:sz w:val="24"/>
          <w:szCs w:val="24"/>
          <w:lang w:val="en-US"/>
        </w:rPr>
        <w:t>GBR</w:t>
      </w:r>
      <w:r w:rsidR="00330E07" w:rsidRPr="00E7615A">
        <w:rPr>
          <w:rFonts w:ascii="Book Antiqua" w:hAnsi="Book Antiqua"/>
          <w:color w:val="000000" w:themeColor="text1"/>
          <w:sz w:val="24"/>
          <w:szCs w:val="24"/>
          <w:vertAlign w:val="superscript"/>
          <w:lang w:val="en-US"/>
        </w:rPr>
        <w:t>[</w:t>
      </w:r>
      <w:proofErr w:type="gramEnd"/>
      <w:r w:rsidR="00330E07" w:rsidRPr="00E7615A">
        <w:rPr>
          <w:rFonts w:ascii="Book Antiqua" w:hAnsi="Book Antiqua"/>
          <w:color w:val="000000" w:themeColor="text1"/>
          <w:sz w:val="24"/>
          <w:szCs w:val="24"/>
          <w:vertAlign w:val="superscript"/>
          <w:lang w:val="en-US"/>
        </w:rPr>
        <w:t>4,</w:t>
      </w:r>
      <w:r w:rsidR="00ED1EA9" w:rsidRPr="00E7615A">
        <w:rPr>
          <w:rFonts w:ascii="Book Antiqua" w:hAnsi="Book Antiqua"/>
          <w:color w:val="000000" w:themeColor="text1"/>
          <w:sz w:val="24"/>
          <w:szCs w:val="24"/>
          <w:vertAlign w:val="superscript"/>
          <w:lang w:val="en-US"/>
        </w:rPr>
        <w:t>38,39</w:t>
      </w:r>
      <w:r w:rsidR="00330E07" w:rsidRPr="00E7615A">
        <w:rPr>
          <w:rFonts w:ascii="Book Antiqua" w:hAnsi="Book Antiqua"/>
          <w:color w:val="000000" w:themeColor="text1"/>
          <w:sz w:val="24"/>
          <w:szCs w:val="24"/>
          <w:vertAlign w:val="superscript"/>
          <w:lang w:val="en-US"/>
        </w:rPr>
        <w:t>]</w:t>
      </w:r>
      <w:r w:rsidR="00330E07" w:rsidRPr="00E7615A">
        <w:rPr>
          <w:rFonts w:ascii="Book Antiqua" w:hAnsi="Book Antiqua"/>
          <w:color w:val="000000" w:themeColor="text1"/>
          <w:sz w:val="24"/>
          <w:szCs w:val="24"/>
          <w:lang w:val="en-US"/>
        </w:rPr>
        <w:t>.</w:t>
      </w:r>
      <w:r w:rsidR="00767D5B" w:rsidRPr="00E7615A">
        <w:rPr>
          <w:rFonts w:ascii="Book Antiqua" w:hAnsi="Book Antiqua"/>
          <w:color w:val="000000" w:themeColor="text1"/>
          <w:sz w:val="24"/>
          <w:szCs w:val="24"/>
          <w:lang w:val="en-US"/>
        </w:rPr>
        <w:t xml:space="preserve"> The freshly isolated cells are named stromal vascular fraction (SVF) or adipose-derived regenerative cells (ADRCs), and the cultured cells are named adipose-derived stem cells (ASCs). </w:t>
      </w:r>
      <w:r w:rsidR="00330E07" w:rsidRPr="00E7615A">
        <w:rPr>
          <w:rFonts w:ascii="Book Antiqua" w:hAnsi="Book Antiqua"/>
          <w:color w:val="000000" w:themeColor="text1"/>
          <w:sz w:val="24"/>
          <w:szCs w:val="24"/>
          <w:lang w:val="en-US"/>
        </w:rPr>
        <w:t xml:space="preserve">It should be mentioned that some studies on animal models suggested that bone marrow stem cells (BMSCs) may demonstrate greater differentiation into osteoblasts than ADRCs and </w:t>
      </w:r>
      <w:proofErr w:type="gramStart"/>
      <w:r w:rsidR="00330E07" w:rsidRPr="00E7615A">
        <w:rPr>
          <w:rFonts w:ascii="Book Antiqua" w:hAnsi="Book Antiqua"/>
          <w:color w:val="000000" w:themeColor="text1"/>
          <w:sz w:val="24"/>
          <w:szCs w:val="24"/>
          <w:lang w:val="en-US"/>
        </w:rPr>
        <w:t>ASCs</w:t>
      </w:r>
      <w:r w:rsidR="00330E07" w:rsidRPr="00E7615A">
        <w:rPr>
          <w:rFonts w:ascii="Book Antiqua" w:hAnsi="Book Antiqua"/>
          <w:color w:val="000000" w:themeColor="text1"/>
          <w:sz w:val="24"/>
          <w:szCs w:val="24"/>
          <w:vertAlign w:val="superscript"/>
          <w:lang w:val="en-US"/>
        </w:rPr>
        <w:t>[</w:t>
      </w:r>
      <w:proofErr w:type="gramEnd"/>
      <w:r w:rsidR="00ED1EA9" w:rsidRPr="00E7615A">
        <w:rPr>
          <w:rFonts w:ascii="Book Antiqua" w:hAnsi="Book Antiqua"/>
          <w:color w:val="000000" w:themeColor="text1"/>
          <w:sz w:val="24"/>
          <w:szCs w:val="24"/>
          <w:vertAlign w:val="superscript"/>
          <w:lang w:val="en-US"/>
        </w:rPr>
        <w:t>40,41</w:t>
      </w:r>
      <w:r w:rsidR="00330E07" w:rsidRPr="00E7615A">
        <w:rPr>
          <w:rFonts w:ascii="Book Antiqua" w:hAnsi="Book Antiqua"/>
          <w:color w:val="000000" w:themeColor="text1"/>
          <w:sz w:val="24"/>
          <w:szCs w:val="24"/>
          <w:vertAlign w:val="superscript"/>
          <w:lang w:val="en-US"/>
        </w:rPr>
        <w:t xml:space="preserve">] </w:t>
      </w:r>
      <w:r w:rsidR="00330E07" w:rsidRPr="00E7615A">
        <w:rPr>
          <w:rFonts w:ascii="Book Antiqua" w:hAnsi="Book Antiqua"/>
          <w:color w:val="000000" w:themeColor="text1"/>
          <w:sz w:val="24"/>
          <w:szCs w:val="24"/>
          <w:lang w:val="en-US"/>
        </w:rPr>
        <w:t>and, thus, might be more useful than ADRCs or ASCs in GBR-MSA</w:t>
      </w:r>
      <w:r w:rsidR="00330E07" w:rsidRPr="00E7615A">
        <w:rPr>
          <w:rFonts w:ascii="Book Antiqua" w:hAnsi="Book Antiqua"/>
          <w:color w:val="000000" w:themeColor="text1"/>
          <w:sz w:val="24"/>
          <w:szCs w:val="24"/>
          <w:vertAlign w:val="superscript"/>
          <w:lang w:val="en-US"/>
        </w:rPr>
        <w:t>[</w:t>
      </w:r>
      <w:r w:rsidR="00ED1EA9" w:rsidRPr="00E7615A">
        <w:rPr>
          <w:rFonts w:ascii="Book Antiqua" w:hAnsi="Book Antiqua"/>
          <w:color w:val="000000" w:themeColor="text1"/>
          <w:sz w:val="24"/>
          <w:szCs w:val="24"/>
          <w:vertAlign w:val="superscript"/>
          <w:lang w:val="en-US"/>
        </w:rPr>
        <w:t>42</w:t>
      </w:r>
      <w:r w:rsidR="00330E07" w:rsidRPr="00E7615A">
        <w:rPr>
          <w:rFonts w:ascii="Book Antiqua" w:hAnsi="Book Antiqua"/>
          <w:color w:val="000000" w:themeColor="text1"/>
          <w:sz w:val="24"/>
          <w:szCs w:val="24"/>
          <w:vertAlign w:val="superscript"/>
          <w:lang w:val="en-US"/>
        </w:rPr>
        <w:t>]</w:t>
      </w:r>
      <w:r w:rsidR="00330E07" w:rsidRPr="00E7615A">
        <w:rPr>
          <w:rFonts w:ascii="Book Antiqua" w:hAnsi="Book Antiqua"/>
          <w:color w:val="000000" w:themeColor="text1"/>
          <w:sz w:val="24"/>
          <w:szCs w:val="24"/>
          <w:lang w:val="en-US"/>
        </w:rPr>
        <w:t xml:space="preserve">. </w:t>
      </w:r>
      <w:r w:rsidR="00330E07" w:rsidRPr="00E7615A">
        <w:rPr>
          <w:rFonts w:ascii="Book Antiqua" w:hAnsi="Book Antiqua"/>
          <w:color w:val="000000" w:themeColor="text1"/>
          <w:sz w:val="24"/>
          <w:szCs w:val="24"/>
          <w:lang w:val="en-US"/>
        </w:rPr>
        <w:lastRenderedPageBreak/>
        <w:t xml:space="preserve">However, </w:t>
      </w:r>
      <w:r w:rsidR="00767D5B" w:rsidRPr="00E7615A">
        <w:rPr>
          <w:rFonts w:ascii="Book Antiqua" w:hAnsi="Book Antiqua"/>
          <w:color w:val="000000" w:themeColor="text1"/>
          <w:sz w:val="24"/>
          <w:szCs w:val="24"/>
          <w:lang w:val="en-US"/>
        </w:rPr>
        <w:t xml:space="preserve">bone marrow has a significantly lower stem cell density than </w:t>
      </w:r>
      <w:r w:rsidR="00330E07" w:rsidRPr="00E7615A">
        <w:rPr>
          <w:rFonts w:ascii="Book Antiqua" w:hAnsi="Book Antiqua"/>
          <w:color w:val="000000" w:themeColor="text1"/>
          <w:sz w:val="24"/>
          <w:szCs w:val="24"/>
          <w:lang w:val="en-US"/>
        </w:rPr>
        <w:t>adipose tissue (</w:t>
      </w:r>
      <w:r w:rsidR="00767D5B" w:rsidRPr="00E7615A">
        <w:rPr>
          <w:rFonts w:ascii="Book Antiqua" w:hAnsi="Book Antiqua"/>
          <w:color w:val="000000" w:themeColor="text1"/>
          <w:sz w:val="24"/>
          <w:szCs w:val="24"/>
          <w:lang w:val="en-US"/>
        </w:rPr>
        <w:t>0.01</w:t>
      </w:r>
      <w:r w:rsidR="00330E07" w:rsidRPr="00E7615A">
        <w:rPr>
          <w:rFonts w:ascii="Book Antiqua" w:hAnsi="Book Antiqua"/>
          <w:color w:val="000000" w:themeColor="text1"/>
          <w:sz w:val="24"/>
          <w:szCs w:val="24"/>
          <w:lang w:val="en-US"/>
        </w:rPr>
        <w:t xml:space="preserve">% </w:t>
      </w:r>
      <w:r w:rsidR="00F67C45" w:rsidRPr="00F67C45">
        <w:rPr>
          <w:rFonts w:ascii="Book Antiqua" w:hAnsi="Book Antiqua"/>
          <w:i/>
          <w:color w:val="000000" w:themeColor="text1"/>
          <w:sz w:val="24"/>
          <w:szCs w:val="24"/>
          <w:lang w:val="en-US"/>
        </w:rPr>
        <w:t>vs</w:t>
      </w:r>
      <w:r w:rsidR="00330E07" w:rsidRPr="00E7615A">
        <w:rPr>
          <w:rFonts w:ascii="Book Antiqua" w:hAnsi="Book Antiqua"/>
          <w:color w:val="000000" w:themeColor="text1"/>
          <w:sz w:val="24"/>
          <w:szCs w:val="24"/>
          <w:lang w:val="en-US"/>
        </w:rPr>
        <w:t xml:space="preserve"> </w:t>
      </w:r>
      <w:r w:rsidR="00767D5B" w:rsidRPr="00E7615A">
        <w:rPr>
          <w:rFonts w:ascii="Book Antiqua" w:hAnsi="Book Antiqua"/>
          <w:color w:val="000000" w:themeColor="text1"/>
          <w:sz w:val="24"/>
          <w:szCs w:val="24"/>
          <w:lang w:val="en-US"/>
        </w:rPr>
        <w:t>5</w:t>
      </w:r>
      <w:r w:rsidR="00330E07" w:rsidRPr="00E7615A">
        <w:rPr>
          <w:rFonts w:ascii="Book Antiqua" w:hAnsi="Book Antiqua"/>
          <w:color w:val="000000" w:themeColor="text1"/>
          <w:sz w:val="24"/>
          <w:szCs w:val="24"/>
          <w:lang w:val="en-US"/>
        </w:rPr>
        <w:t xml:space="preserve">%), and harvesting adipose tissue is much less </w:t>
      </w:r>
      <w:r w:rsidR="00767D5B" w:rsidRPr="00E7615A">
        <w:rPr>
          <w:rFonts w:ascii="Book Antiqua" w:hAnsi="Book Antiqua"/>
          <w:color w:val="000000" w:themeColor="text1"/>
          <w:sz w:val="24"/>
          <w:szCs w:val="24"/>
          <w:lang w:val="en-US"/>
        </w:rPr>
        <w:t xml:space="preserve">painful </w:t>
      </w:r>
      <w:r w:rsidR="00330E07" w:rsidRPr="00E7615A">
        <w:rPr>
          <w:rFonts w:ascii="Book Antiqua" w:hAnsi="Book Antiqua"/>
          <w:color w:val="000000" w:themeColor="text1"/>
          <w:sz w:val="24"/>
          <w:szCs w:val="24"/>
          <w:lang w:val="en-US"/>
        </w:rPr>
        <w:t>than harvesting bone marrow</w:t>
      </w:r>
      <w:r w:rsidR="00767D5B" w:rsidRPr="00E7615A">
        <w:rPr>
          <w:rFonts w:ascii="Book Antiqua" w:hAnsi="Book Antiqua"/>
          <w:color w:val="000000" w:themeColor="text1"/>
          <w:sz w:val="24"/>
          <w:szCs w:val="24"/>
          <w:lang w:val="en-US"/>
        </w:rPr>
        <w:t xml:space="preserve"> because the former is less invasive than the latter</w:t>
      </w:r>
      <w:r w:rsidR="00330E07" w:rsidRPr="00E7615A">
        <w:rPr>
          <w:rFonts w:ascii="Book Antiqua" w:hAnsi="Book Antiqua"/>
          <w:color w:val="000000" w:themeColor="text1"/>
          <w:sz w:val="24"/>
          <w:szCs w:val="24"/>
          <w:vertAlign w:val="superscript"/>
          <w:lang w:val="en-US"/>
        </w:rPr>
        <w:t>[</w:t>
      </w:r>
      <w:r w:rsidR="00ED1EA9" w:rsidRPr="00E7615A">
        <w:rPr>
          <w:rFonts w:ascii="Book Antiqua" w:hAnsi="Book Antiqua"/>
          <w:color w:val="000000" w:themeColor="text1"/>
          <w:sz w:val="24"/>
          <w:szCs w:val="24"/>
          <w:vertAlign w:val="superscript"/>
          <w:lang w:val="en-US"/>
        </w:rPr>
        <w:t>43-45</w:t>
      </w:r>
      <w:r w:rsidR="00330E07" w:rsidRPr="00E7615A">
        <w:rPr>
          <w:rFonts w:ascii="Book Antiqua" w:hAnsi="Book Antiqua"/>
          <w:color w:val="000000" w:themeColor="text1"/>
          <w:sz w:val="24"/>
          <w:szCs w:val="24"/>
          <w:vertAlign w:val="superscript"/>
          <w:lang w:val="en-US"/>
        </w:rPr>
        <w:t>]</w:t>
      </w:r>
      <w:r w:rsidR="00330E07" w:rsidRPr="00E7615A">
        <w:rPr>
          <w:rFonts w:ascii="Book Antiqua" w:hAnsi="Book Antiqua"/>
          <w:color w:val="000000" w:themeColor="text1"/>
          <w:sz w:val="24"/>
          <w:szCs w:val="24"/>
          <w:lang w:val="en-US"/>
        </w:rPr>
        <w:t xml:space="preserve">. Furthermore, focusing exclusively on the potential to differentiate into osteoblasts would fail to take into account the known effect of indirect stimulation of bone regeneration by ADRCs and ASCs, which, </w:t>
      </w:r>
      <w:r w:rsidR="00330E07" w:rsidRPr="00E7615A">
        <w:rPr>
          <w:rFonts w:ascii="Book Antiqua" w:hAnsi="Book Antiqua"/>
          <w:i/>
          <w:color w:val="000000" w:themeColor="text1"/>
          <w:sz w:val="24"/>
          <w:szCs w:val="24"/>
          <w:lang w:val="en-US"/>
        </w:rPr>
        <w:t>e.g.</w:t>
      </w:r>
      <w:r w:rsidR="00330E07" w:rsidRPr="00E7615A">
        <w:rPr>
          <w:rFonts w:ascii="Book Antiqua" w:hAnsi="Book Antiqua"/>
          <w:color w:val="000000" w:themeColor="text1"/>
          <w:sz w:val="24"/>
          <w:szCs w:val="24"/>
          <w:lang w:val="en-US"/>
        </w:rPr>
        <w:t xml:space="preserve">, led to the same amount of measured regenerated bone volume after </w:t>
      </w:r>
      <w:r w:rsidR="00DE7DB2" w:rsidRPr="00E7615A">
        <w:rPr>
          <w:rFonts w:ascii="Book Antiqua" w:hAnsi="Book Antiqua"/>
          <w:color w:val="000000" w:themeColor="text1"/>
          <w:sz w:val="24"/>
          <w:szCs w:val="24"/>
          <w:lang w:val="en-US" w:eastAsia="zh-CN"/>
        </w:rPr>
        <w:t>6</w:t>
      </w:r>
      <w:r w:rsidR="00330E07" w:rsidRPr="00E7615A">
        <w:rPr>
          <w:rFonts w:ascii="Book Antiqua" w:hAnsi="Book Antiqua"/>
          <w:color w:val="000000" w:themeColor="text1"/>
          <w:sz w:val="24"/>
          <w:szCs w:val="24"/>
          <w:lang w:val="en-US"/>
        </w:rPr>
        <w:t xml:space="preserve"> w</w:t>
      </w:r>
      <w:r w:rsidR="00DE7DB2" w:rsidRPr="00E7615A">
        <w:rPr>
          <w:rFonts w:ascii="Book Antiqua" w:hAnsi="Book Antiqua"/>
          <w:color w:val="000000" w:themeColor="text1"/>
          <w:sz w:val="24"/>
          <w:szCs w:val="24"/>
          <w:lang w:val="en-US"/>
        </w:rPr>
        <w:t>k</w:t>
      </w:r>
      <w:r w:rsidR="00330E07" w:rsidRPr="00E7615A">
        <w:rPr>
          <w:rFonts w:ascii="Book Antiqua" w:hAnsi="Book Antiqua"/>
          <w:color w:val="000000" w:themeColor="text1"/>
          <w:sz w:val="24"/>
          <w:szCs w:val="24"/>
          <w:lang w:val="en-US"/>
        </w:rPr>
        <w:t xml:space="preserve"> in a study that compared the bone regeneration effect of BMSCs and ASCs in a rabbit craniectomy </w:t>
      </w:r>
      <w:proofErr w:type="gramStart"/>
      <w:r w:rsidR="00330E07" w:rsidRPr="00E7615A">
        <w:rPr>
          <w:rFonts w:ascii="Book Antiqua" w:hAnsi="Book Antiqua"/>
          <w:color w:val="000000" w:themeColor="text1"/>
          <w:sz w:val="24"/>
          <w:szCs w:val="24"/>
          <w:lang w:val="en-US"/>
        </w:rPr>
        <w:t>model</w:t>
      </w:r>
      <w:r w:rsidR="00330E07" w:rsidRPr="00E7615A">
        <w:rPr>
          <w:rFonts w:ascii="Book Antiqua" w:hAnsi="Book Antiqua"/>
          <w:color w:val="000000" w:themeColor="text1"/>
          <w:sz w:val="24"/>
          <w:szCs w:val="24"/>
          <w:vertAlign w:val="superscript"/>
          <w:lang w:val="en-US"/>
        </w:rPr>
        <w:t>[</w:t>
      </w:r>
      <w:proofErr w:type="gramEnd"/>
      <w:r w:rsidR="00ED1EA9" w:rsidRPr="00E7615A">
        <w:rPr>
          <w:rFonts w:ascii="Book Antiqua" w:hAnsi="Book Antiqua"/>
          <w:color w:val="000000" w:themeColor="text1"/>
          <w:sz w:val="24"/>
          <w:szCs w:val="24"/>
          <w:vertAlign w:val="superscript"/>
          <w:lang w:val="en-US"/>
        </w:rPr>
        <w:t>40</w:t>
      </w:r>
      <w:r w:rsidR="00330E07" w:rsidRPr="00E7615A">
        <w:rPr>
          <w:rFonts w:ascii="Book Antiqua" w:hAnsi="Book Antiqua"/>
          <w:color w:val="000000" w:themeColor="text1"/>
          <w:sz w:val="24"/>
          <w:szCs w:val="24"/>
          <w:vertAlign w:val="superscript"/>
          <w:lang w:val="en-US"/>
        </w:rPr>
        <w:t>]</w:t>
      </w:r>
      <w:r w:rsidR="00330E07" w:rsidRPr="00E7615A">
        <w:rPr>
          <w:rFonts w:ascii="Book Antiqua" w:hAnsi="Book Antiqua"/>
          <w:color w:val="000000" w:themeColor="text1"/>
          <w:sz w:val="24"/>
          <w:szCs w:val="24"/>
          <w:lang w:val="en-US"/>
        </w:rPr>
        <w:t>.</w:t>
      </w:r>
    </w:p>
    <w:p w14:paraId="0F08805E" w14:textId="54AA9B6C" w:rsidR="00330E07" w:rsidRPr="00E7615A" w:rsidRDefault="00650CC2"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Furthermore, s</w:t>
      </w:r>
      <w:r w:rsidR="00330E07" w:rsidRPr="00E7615A">
        <w:rPr>
          <w:rFonts w:ascii="Book Antiqua" w:hAnsi="Book Antiqua"/>
          <w:color w:val="000000" w:themeColor="text1"/>
          <w:sz w:val="24"/>
          <w:szCs w:val="24"/>
          <w:lang w:val="en-US"/>
        </w:rPr>
        <w:t>everal studies demonstrated that the combination of ADRCs or ASCs with an OIS</w:t>
      </w:r>
      <w:r w:rsidRPr="00E7615A">
        <w:rPr>
          <w:rFonts w:ascii="Book Antiqua" w:hAnsi="Book Antiqua"/>
          <w:color w:val="000000" w:themeColor="text1"/>
          <w:sz w:val="24"/>
          <w:szCs w:val="24"/>
          <w:lang w:val="en-US"/>
        </w:rPr>
        <w:t xml:space="preserve"> </w:t>
      </w:r>
      <w:r w:rsidR="00330E07" w:rsidRPr="00E7615A">
        <w:rPr>
          <w:rFonts w:ascii="Book Antiqua" w:hAnsi="Book Antiqua"/>
          <w:color w:val="000000" w:themeColor="text1"/>
          <w:sz w:val="24"/>
          <w:szCs w:val="24"/>
          <w:lang w:val="en-US"/>
        </w:rPr>
        <w:t xml:space="preserve">is a more effective strategy for </w:t>
      </w:r>
      <w:r w:rsidRPr="00E7615A">
        <w:rPr>
          <w:rFonts w:ascii="Book Antiqua" w:hAnsi="Book Antiqua"/>
          <w:color w:val="000000" w:themeColor="text1"/>
          <w:sz w:val="24"/>
          <w:szCs w:val="24"/>
          <w:lang w:val="en-US"/>
        </w:rPr>
        <w:t>GBR</w:t>
      </w:r>
      <w:r w:rsidR="00330E07" w:rsidRPr="00E7615A">
        <w:rPr>
          <w:rFonts w:ascii="Book Antiqua" w:hAnsi="Book Antiqua"/>
          <w:color w:val="000000" w:themeColor="text1"/>
          <w:sz w:val="24"/>
          <w:szCs w:val="24"/>
          <w:lang w:val="en-US"/>
        </w:rPr>
        <w:t xml:space="preserve"> than the use of an OIS alone (reviewed </w:t>
      </w:r>
      <w:proofErr w:type="gramStart"/>
      <w:r w:rsidR="00330E07" w:rsidRPr="00E7615A">
        <w:rPr>
          <w:rFonts w:ascii="Book Antiqua" w:hAnsi="Book Antiqua"/>
          <w:color w:val="000000" w:themeColor="text1"/>
          <w:sz w:val="24"/>
          <w:szCs w:val="24"/>
          <w:lang w:val="en-US"/>
        </w:rPr>
        <w:t>in</w:t>
      </w:r>
      <w:r w:rsidR="00330E07" w:rsidRPr="00E7615A">
        <w:rPr>
          <w:rFonts w:ascii="Book Antiqua" w:hAnsi="Book Antiqua"/>
          <w:color w:val="000000" w:themeColor="text1"/>
          <w:sz w:val="24"/>
          <w:szCs w:val="24"/>
          <w:vertAlign w:val="superscript"/>
          <w:lang w:val="en-US"/>
        </w:rPr>
        <w:t>[</w:t>
      </w:r>
      <w:proofErr w:type="gramEnd"/>
      <w:r w:rsidR="00ED1EA9" w:rsidRPr="00E7615A">
        <w:rPr>
          <w:rFonts w:ascii="Book Antiqua" w:hAnsi="Book Antiqua"/>
          <w:color w:val="000000" w:themeColor="text1"/>
          <w:sz w:val="24"/>
          <w:szCs w:val="24"/>
          <w:vertAlign w:val="superscript"/>
          <w:lang w:val="en-US"/>
        </w:rPr>
        <w:t>46-48</w:t>
      </w:r>
      <w:r w:rsidR="00330E07" w:rsidRPr="00E7615A">
        <w:rPr>
          <w:rFonts w:ascii="Book Antiqua" w:hAnsi="Book Antiqua"/>
          <w:color w:val="000000" w:themeColor="text1"/>
          <w:sz w:val="24"/>
          <w:szCs w:val="24"/>
          <w:vertAlign w:val="superscript"/>
          <w:lang w:val="en-US"/>
        </w:rPr>
        <w:t>]</w:t>
      </w:r>
      <w:r w:rsidR="00330E07" w:rsidRPr="00E7615A">
        <w:rPr>
          <w:rFonts w:ascii="Book Antiqua" w:hAnsi="Book Antiqua"/>
          <w:color w:val="000000" w:themeColor="text1"/>
          <w:sz w:val="24"/>
          <w:szCs w:val="24"/>
          <w:lang w:val="en-US"/>
        </w:rPr>
        <w:t xml:space="preserve">). Moreover, it was hypothesized that the application of ADRCs or ASCs in combination with an OIS and osteogenic/angiogenic growth factors may help to optimize clinical </w:t>
      </w:r>
      <w:proofErr w:type="gramStart"/>
      <w:r w:rsidR="00330E07" w:rsidRPr="00E7615A">
        <w:rPr>
          <w:rFonts w:ascii="Book Antiqua" w:hAnsi="Book Antiqua"/>
          <w:color w:val="000000" w:themeColor="text1"/>
          <w:sz w:val="24"/>
          <w:szCs w:val="24"/>
          <w:lang w:val="en-US"/>
        </w:rPr>
        <w:t>procedures</w:t>
      </w:r>
      <w:r w:rsidR="00330E07" w:rsidRPr="00E7615A">
        <w:rPr>
          <w:rFonts w:ascii="Book Antiqua" w:hAnsi="Book Antiqua"/>
          <w:color w:val="000000" w:themeColor="text1"/>
          <w:sz w:val="24"/>
          <w:szCs w:val="24"/>
          <w:vertAlign w:val="superscript"/>
          <w:lang w:val="en-US"/>
        </w:rPr>
        <w:t>[</w:t>
      </w:r>
      <w:proofErr w:type="gramEnd"/>
      <w:r w:rsidR="00ED1EA9" w:rsidRPr="00E7615A">
        <w:rPr>
          <w:rFonts w:ascii="Book Antiqua" w:hAnsi="Book Antiqua"/>
          <w:color w:val="000000" w:themeColor="text1"/>
          <w:sz w:val="24"/>
          <w:szCs w:val="24"/>
          <w:vertAlign w:val="superscript"/>
          <w:lang w:val="en-US"/>
        </w:rPr>
        <w:t>46</w:t>
      </w:r>
      <w:r w:rsidR="00330E07" w:rsidRPr="00E7615A">
        <w:rPr>
          <w:rFonts w:ascii="Book Antiqua" w:hAnsi="Book Antiqua"/>
          <w:color w:val="000000" w:themeColor="text1"/>
          <w:sz w:val="24"/>
          <w:szCs w:val="24"/>
          <w:vertAlign w:val="superscript"/>
          <w:lang w:val="en-US"/>
        </w:rPr>
        <w:t>]</w:t>
      </w:r>
      <w:r w:rsidR="00330E07" w:rsidRPr="00E7615A">
        <w:rPr>
          <w:rFonts w:ascii="Book Antiqua" w:hAnsi="Book Antiqua"/>
          <w:color w:val="000000" w:themeColor="text1"/>
          <w:sz w:val="24"/>
          <w:szCs w:val="24"/>
          <w:lang w:val="en-US"/>
        </w:rPr>
        <w:t>. In this regard the following must be kept in mind: (</w:t>
      </w:r>
      <w:r w:rsidR="00F67C45">
        <w:rPr>
          <w:rFonts w:ascii="Book Antiqua" w:hAnsi="Book Antiqua" w:hint="eastAsia"/>
          <w:color w:val="000000" w:themeColor="text1"/>
          <w:sz w:val="24"/>
          <w:szCs w:val="24"/>
          <w:lang w:val="en-US" w:eastAsia="zh-CN"/>
        </w:rPr>
        <w:t>1</w:t>
      </w:r>
      <w:r w:rsidR="00330E07" w:rsidRPr="00E7615A">
        <w:rPr>
          <w:rFonts w:ascii="Book Antiqua" w:hAnsi="Book Antiqua"/>
          <w:color w:val="000000" w:themeColor="text1"/>
          <w:sz w:val="24"/>
          <w:szCs w:val="24"/>
          <w:lang w:val="en-US"/>
        </w:rPr>
        <w:t xml:space="preserve">) Compared to cultured and potentially modified ASCs, freshly isolated, unmodified ADRCs have the advantage of lower safety requirements because </w:t>
      </w:r>
      <w:r w:rsidR="00767D5B" w:rsidRPr="00E7615A">
        <w:rPr>
          <w:rFonts w:ascii="Book Antiqua" w:hAnsi="Book Antiqua"/>
          <w:color w:val="000000" w:themeColor="text1"/>
          <w:sz w:val="24"/>
          <w:szCs w:val="24"/>
          <w:lang w:val="en-US"/>
        </w:rPr>
        <w:t>it is not necessary to culture and/or modify the cells</w:t>
      </w:r>
      <w:r w:rsidR="00F67C45">
        <w:rPr>
          <w:rFonts w:ascii="Book Antiqua" w:hAnsi="Book Antiqua" w:hint="eastAsia"/>
          <w:color w:val="000000" w:themeColor="text1"/>
          <w:sz w:val="24"/>
          <w:szCs w:val="24"/>
          <w:lang w:val="en-US" w:eastAsia="zh-CN"/>
        </w:rPr>
        <w:t>;</w:t>
      </w:r>
      <w:r w:rsidR="00330E07" w:rsidRPr="00E7615A">
        <w:rPr>
          <w:rFonts w:ascii="Book Antiqua" w:hAnsi="Book Antiqua"/>
          <w:color w:val="000000" w:themeColor="text1"/>
          <w:sz w:val="24"/>
          <w:szCs w:val="24"/>
          <w:lang w:val="en-US"/>
        </w:rPr>
        <w:t xml:space="preserve"> (</w:t>
      </w:r>
      <w:r w:rsidR="00F67C45">
        <w:rPr>
          <w:rFonts w:ascii="Book Antiqua" w:hAnsi="Book Antiqua" w:hint="eastAsia"/>
          <w:color w:val="000000" w:themeColor="text1"/>
          <w:sz w:val="24"/>
          <w:szCs w:val="24"/>
          <w:lang w:val="en-US" w:eastAsia="zh-CN"/>
        </w:rPr>
        <w:t>2</w:t>
      </w:r>
      <w:r w:rsidR="00330E07" w:rsidRPr="00E7615A">
        <w:rPr>
          <w:rFonts w:ascii="Book Antiqua" w:hAnsi="Book Antiqua"/>
          <w:color w:val="000000" w:themeColor="text1"/>
          <w:sz w:val="24"/>
          <w:szCs w:val="24"/>
          <w:lang w:val="en-US"/>
        </w:rPr>
        <w:t xml:space="preserve">) </w:t>
      </w:r>
      <w:r w:rsidR="00B955CE" w:rsidRPr="00E7615A">
        <w:rPr>
          <w:rFonts w:ascii="Book Antiqua" w:hAnsi="Book Antiqua"/>
          <w:color w:val="000000" w:themeColor="text1"/>
          <w:sz w:val="24"/>
          <w:szCs w:val="24"/>
          <w:lang w:val="en-US"/>
        </w:rPr>
        <w:t xml:space="preserve">Several non-enzymatic and </w:t>
      </w:r>
      <w:r w:rsidR="00330E07" w:rsidRPr="00E7615A">
        <w:rPr>
          <w:rFonts w:ascii="Book Antiqua" w:hAnsi="Book Antiqua"/>
          <w:color w:val="000000" w:themeColor="text1"/>
          <w:sz w:val="24"/>
          <w:szCs w:val="24"/>
          <w:lang w:val="en-US"/>
        </w:rPr>
        <w:t>enzymatic systems for isolating ADRCs were developed (reviewed in</w:t>
      </w:r>
      <w:r w:rsidR="00330E07" w:rsidRPr="00E7615A">
        <w:rPr>
          <w:rFonts w:ascii="Book Antiqua" w:hAnsi="Book Antiqua"/>
          <w:color w:val="000000" w:themeColor="text1"/>
          <w:sz w:val="24"/>
          <w:szCs w:val="24"/>
          <w:vertAlign w:val="superscript"/>
          <w:lang w:val="en-US"/>
        </w:rPr>
        <w:t>[</w:t>
      </w:r>
      <w:r w:rsidR="00ED1EA9" w:rsidRPr="00E7615A">
        <w:rPr>
          <w:rFonts w:ascii="Book Antiqua" w:hAnsi="Book Antiqua"/>
          <w:color w:val="000000" w:themeColor="text1"/>
          <w:sz w:val="24"/>
          <w:szCs w:val="24"/>
          <w:vertAlign w:val="superscript"/>
          <w:lang w:val="en-US"/>
        </w:rPr>
        <w:t>49</w:t>
      </w:r>
      <w:r w:rsidR="00B955CE" w:rsidRPr="00E7615A">
        <w:rPr>
          <w:rFonts w:ascii="Book Antiqua" w:hAnsi="Book Antiqua"/>
          <w:color w:val="000000" w:themeColor="text1"/>
          <w:sz w:val="24"/>
          <w:szCs w:val="24"/>
          <w:vertAlign w:val="superscript"/>
          <w:lang w:val="en-US"/>
        </w:rPr>
        <w:t>]</w:t>
      </w:r>
      <w:r w:rsidR="00B955CE" w:rsidRPr="00E7615A">
        <w:rPr>
          <w:rFonts w:ascii="Book Antiqua" w:hAnsi="Book Antiqua"/>
          <w:color w:val="000000" w:themeColor="text1"/>
          <w:sz w:val="24"/>
          <w:szCs w:val="24"/>
          <w:lang w:val="en-US"/>
        </w:rPr>
        <w:t xml:space="preserve">), whose reported </w:t>
      </w:r>
      <w:r w:rsidR="00330E07" w:rsidRPr="00E7615A">
        <w:rPr>
          <w:rFonts w:ascii="Book Antiqua" w:hAnsi="Book Antiqua"/>
          <w:color w:val="000000" w:themeColor="text1"/>
          <w:sz w:val="24"/>
          <w:szCs w:val="24"/>
          <w:lang w:val="en-US"/>
        </w:rPr>
        <w:t xml:space="preserve">cell </w:t>
      </w:r>
      <w:r w:rsidR="00B955CE" w:rsidRPr="00E7615A">
        <w:rPr>
          <w:rFonts w:ascii="Book Antiqua" w:hAnsi="Book Antiqua"/>
          <w:color w:val="000000" w:themeColor="text1"/>
          <w:sz w:val="24"/>
          <w:szCs w:val="24"/>
          <w:lang w:val="en-US"/>
        </w:rPr>
        <w:t xml:space="preserve">yield may vary </w:t>
      </w:r>
      <w:r w:rsidR="00330E07" w:rsidRPr="00E7615A">
        <w:rPr>
          <w:rFonts w:ascii="Book Antiqua" w:hAnsi="Book Antiqua"/>
          <w:color w:val="000000" w:themeColor="text1"/>
          <w:sz w:val="24"/>
          <w:szCs w:val="24"/>
          <w:lang w:val="en-US"/>
        </w:rPr>
        <w:t>considerably</w:t>
      </w:r>
      <w:r w:rsidR="00330E07" w:rsidRPr="00E7615A">
        <w:rPr>
          <w:rFonts w:ascii="Book Antiqua" w:hAnsi="Book Antiqua"/>
          <w:color w:val="000000" w:themeColor="text1"/>
          <w:sz w:val="24"/>
          <w:szCs w:val="24"/>
          <w:vertAlign w:val="superscript"/>
          <w:lang w:val="en-US"/>
        </w:rPr>
        <w:t>[</w:t>
      </w:r>
      <w:r w:rsidR="00ED1EA9" w:rsidRPr="00E7615A">
        <w:rPr>
          <w:rFonts w:ascii="Book Antiqua" w:hAnsi="Book Antiqua"/>
          <w:color w:val="000000" w:themeColor="text1"/>
          <w:sz w:val="24"/>
          <w:szCs w:val="24"/>
          <w:vertAlign w:val="superscript"/>
          <w:lang w:val="en-US"/>
        </w:rPr>
        <w:t>50</w:t>
      </w:r>
      <w:r w:rsidR="00330E07" w:rsidRPr="00E7615A">
        <w:rPr>
          <w:rFonts w:ascii="Book Antiqua" w:hAnsi="Book Antiqua"/>
          <w:color w:val="000000" w:themeColor="text1"/>
          <w:sz w:val="24"/>
          <w:szCs w:val="24"/>
          <w:vertAlign w:val="superscript"/>
          <w:lang w:val="en-US"/>
        </w:rPr>
        <w:t>]</w:t>
      </w:r>
      <w:r w:rsidR="00330E07" w:rsidRPr="00E7615A">
        <w:rPr>
          <w:rFonts w:ascii="Book Antiqua" w:hAnsi="Book Antiqua"/>
          <w:color w:val="000000" w:themeColor="text1"/>
          <w:sz w:val="24"/>
          <w:szCs w:val="24"/>
          <w:lang w:val="en-US"/>
        </w:rPr>
        <w:t xml:space="preserve">. Moreover, it was shown that in general, </w:t>
      </w:r>
      <w:r w:rsidR="00B955CE" w:rsidRPr="00E7615A">
        <w:rPr>
          <w:rFonts w:ascii="Book Antiqua" w:hAnsi="Book Antiqua"/>
          <w:color w:val="000000" w:themeColor="text1"/>
          <w:sz w:val="24"/>
          <w:szCs w:val="24"/>
          <w:lang w:val="en-US"/>
        </w:rPr>
        <w:t>non-</w:t>
      </w:r>
      <w:r w:rsidR="00330E07" w:rsidRPr="00E7615A">
        <w:rPr>
          <w:rFonts w:ascii="Book Antiqua" w:hAnsi="Book Antiqua"/>
          <w:color w:val="000000" w:themeColor="text1"/>
          <w:sz w:val="24"/>
          <w:szCs w:val="24"/>
          <w:lang w:val="en-US"/>
        </w:rPr>
        <w:t xml:space="preserve">enzymatic isolation of ADRCs yielded </w:t>
      </w:r>
      <w:r w:rsidR="00B955CE" w:rsidRPr="00E7615A">
        <w:rPr>
          <w:rFonts w:ascii="Book Antiqua" w:hAnsi="Book Antiqua"/>
          <w:color w:val="000000" w:themeColor="text1"/>
          <w:sz w:val="24"/>
          <w:szCs w:val="24"/>
          <w:lang w:val="en-US"/>
        </w:rPr>
        <w:t xml:space="preserve">fewer </w:t>
      </w:r>
      <w:r w:rsidR="00330E07" w:rsidRPr="00E7615A">
        <w:rPr>
          <w:rFonts w:ascii="Book Antiqua" w:hAnsi="Book Antiqua"/>
          <w:color w:val="000000" w:themeColor="text1"/>
          <w:sz w:val="24"/>
          <w:szCs w:val="24"/>
          <w:lang w:val="en-US"/>
        </w:rPr>
        <w:t xml:space="preserve">cells than enzymatic (mechanical) </w:t>
      </w:r>
      <w:proofErr w:type="gramStart"/>
      <w:r w:rsidR="00330E07" w:rsidRPr="00E7615A">
        <w:rPr>
          <w:rFonts w:ascii="Book Antiqua" w:hAnsi="Book Antiqua"/>
          <w:color w:val="000000" w:themeColor="text1"/>
          <w:sz w:val="24"/>
          <w:szCs w:val="24"/>
          <w:lang w:val="en-US"/>
        </w:rPr>
        <w:t>isolation</w:t>
      </w:r>
      <w:r w:rsidR="00330E07" w:rsidRPr="00E7615A">
        <w:rPr>
          <w:rFonts w:ascii="Book Antiqua" w:hAnsi="Book Antiqua"/>
          <w:color w:val="000000" w:themeColor="text1"/>
          <w:sz w:val="24"/>
          <w:szCs w:val="24"/>
          <w:vertAlign w:val="superscript"/>
          <w:lang w:val="en-US"/>
        </w:rPr>
        <w:t>[</w:t>
      </w:r>
      <w:proofErr w:type="gramEnd"/>
      <w:r w:rsidR="00ED1EA9" w:rsidRPr="00E7615A">
        <w:rPr>
          <w:rFonts w:ascii="Book Antiqua" w:hAnsi="Book Antiqua"/>
          <w:color w:val="000000" w:themeColor="text1"/>
          <w:sz w:val="24"/>
          <w:szCs w:val="24"/>
          <w:vertAlign w:val="superscript"/>
          <w:lang w:val="en-US"/>
        </w:rPr>
        <w:t>51,52</w:t>
      </w:r>
      <w:r w:rsidR="00330E07" w:rsidRPr="00E7615A">
        <w:rPr>
          <w:rFonts w:ascii="Book Antiqua" w:hAnsi="Book Antiqua"/>
          <w:color w:val="000000" w:themeColor="text1"/>
          <w:sz w:val="24"/>
          <w:szCs w:val="24"/>
          <w:vertAlign w:val="superscript"/>
          <w:lang w:val="en-US"/>
        </w:rPr>
        <w:t>]</w:t>
      </w:r>
      <w:r w:rsidR="00330E07" w:rsidRPr="00E7615A">
        <w:rPr>
          <w:rFonts w:ascii="Book Antiqua" w:hAnsi="Book Antiqua"/>
          <w:color w:val="000000" w:themeColor="text1"/>
          <w:sz w:val="24"/>
          <w:szCs w:val="24"/>
          <w:lang w:val="en-US"/>
        </w:rPr>
        <w:t xml:space="preserve">. </w:t>
      </w:r>
      <w:r w:rsidR="00ED1EA9" w:rsidRPr="00E7615A">
        <w:rPr>
          <w:rFonts w:ascii="Book Antiqua" w:hAnsi="Book Antiqua"/>
          <w:color w:val="000000" w:themeColor="text1"/>
          <w:sz w:val="24"/>
          <w:szCs w:val="24"/>
          <w:lang w:val="en-US"/>
        </w:rPr>
        <w:t xml:space="preserve">To our knowledge, the greatest difference in cell yield between enzymatic </w:t>
      </w:r>
      <w:r w:rsidR="00C61ECC" w:rsidRPr="00E7615A">
        <w:rPr>
          <w:rFonts w:ascii="Book Antiqua" w:hAnsi="Book Antiqua"/>
          <w:color w:val="000000" w:themeColor="text1"/>
          <w:sz w:val="24"/>
          <w:szCs w:val="24"/>
          <w:lang w:val="en-US"/>
        </w:rPr>
        <w:t xml:space="preserve">and non-enzymatic </w:t>
      </w:r>
      <w:r w:rsidR="00ED1EA9" w:rsidRPr="00E7615A">
        <w:rPr>
          <w:rFonts w:ascii="Book Antiqua" w:hAnsi="Book Antiqua"/>
          <w:color w:val="000000" w:themeColor="text1"/>
          <w:sz w:val="24"/>
          <w:szCs w:val="24"/>
          <w:lang w:val="en-US"/>
        </w:rPr>
        <w:t xml:space="preserve">isolation of ADRCs </w:t>
      </w:r>
      <w:r w:rsidR="00C61ECC" w:rsidRPr="00E7615A">
        <w:rPr>
          <w:rFonts w:ascii="Book Antiqua" w:hAnsi="Book Antiqua"/>
          <w:color w:val="000000" w:themeColor="text1"/>
          <w:sz w:val="24"/>
          <w:szCs w:val="24"/>
          <w:lang w:val="en-US"/>
        </w:rPr>
        <w:t>was reported for the Transpose RT system and the proprietary Matrase Reagent (both from InGeneron, Inc., Houston, TX, U</w:t>
      </w:r>
      <w:r w:rsidR="00F67C45">
        <w:rPr>
          <w:rFonts w:ascii="Book Antiqua" w:hAnsi="Book Antiqua" w:hint="eastAsia"/>
          <w:color w:val="000000" w:themeColor="text1"/>
          <w:sz w:val="24"/>
          <w:szCs w:val="24"/>
          <w:lang w:val="en-US" w:eastAsia="zh-CN"/>
        </w:rPr>
        <w:t>nited States</w:t>
      </w:r>
      <w:r w:rsidR="00C61ECC" w:rsidRPr="00E7615A">
        <w:rPr>
          <w:rFonts w:ascii="Book Antiqua" w:hAnsi="Book Antiqua"/>
          <w:color w:val="000000" w:themeColor="text1"/>
          <w:sz w:val="24"/>
          <w:szCs w:val="24"/>
          <w:lang w:val="en-US"/>
        </w:rPr>
        <w:t>)</w:t>
      </w:r>
      <w:r w:rsidR="00BA43F8" w:rsidRPr="00E7615A">
        <w:rPr>
          <w:rFonts w:ascii="Book Antiqua" w:hAnsi="Book Antiqua"/>
          <w:color w:val="000000" w:themeColor="text1"/>
          <w:sz w:val="24"/>
          <w:szCs w:val="24"/>
          <w:vertAlign w:val="superscript"/>
          <w:lang w:val="en-US"/>
        </w:rPr>
        <w:t>[53]</w:t>
      </w:r>
      <w:r w:rsidR="00BA43F8" w:rsidRPr="00E7615A">
        <w:rPr>
          <w:rFonts w:ascii="Book Antiqua" w:hAnsi="Book Antiqua"/>
          <w:color w:val="000000" w:themeColor="text1"/>
          <w:sz w:val="24"/>
          <w:szCs w:val="24"/>
          <w:lang w:val="en-US"/>
        </w:rPr>
        <w:t xml:space="preserve"> (this study is discussed in detail below)</w:t>
      </w:r>
      <w:r w:rsidR="00F67C45">
        <w:rPr>
          <w:rFonts w:ascii="Book Antiqua" w:hAnsi="Book Antiqua" w:hint="eastAsia"/>
          <w:color w:val="000000" w:themeColor="text1"/>
          <w:sz w:val="24"/>
          <w:szCs w:val="24"/>
          <w:lang w:val="en-US" w:eastAsia="zh-CN"/>
        </w:rPr>
        <w:t>;</w:t>
      </w:r>
      <w:r w:rsidR="00BA43F8" w:rsidRPr="00E7615A">
        <w:rPr>
          <w:rFonts w:ascii="Book Antiqua" w:hAnsi="Book Antiqua"/>
          <w:color w:val="000000" w:themeColor="text1"/>
          <w:sz w:val="24"/>
          <w:szCs w:val="24"/>
          <w:lang w:val="en-US"/>
        </w:rPr>
        <w:t xml:space="preserve"> </w:t>
      </w:r>
      <w:r w:rsidR="00E916F4">
        <w:rPr>
          <w:rFonts w:ascii="Book Antiqua" w:hAnsi="Book Antiqua" w:hint="eastAsia"/>
          <w:color w:val="000000" w:themeColor="text1"/>
          <w:sz w:val="24"/>
          <w:szCs w:val="24"/>
          <w:lang w:val="en-US" w:eastAsia="zh-CN"/>
        </w:rPr>
        <w:t xml:space="preserve">and </w:t>
      </w:r>
      <w:r w:rsidR="00330E07" w:rsidRPr="00E7615A">
        <w:rPr>
          <w:rFonts w:ascii="Book Antiqua" w:hAnsi="Book Antiqua"/>
          <w:color w:val="000000" w:themeColor="text1"/>
          <w:sz w:val="24"/>
          <w:szCs w:val="24"/>
          <w:lang w:val="en-US"/>
        </w:rPr>
        <w:t>(</w:t>
      </w:r>
      <w:r w:rsidR="00F67C45">
        <w:rPr>
          <w:rFonts w:ascii="Book Antiqua" w:hAnsi="Book Antiqua" w:hint="eastAsia"/>
          <w:color w:val="000000" w:themeColor="text1"/>
          <w:sz w:val="24"/>
          <w:szCs w:val="24"/>
          <w:lang w:val="en-US" w:eastAsia="zh-CN"/>
        </w:rPr>
        <w:t>3</w:t>
      </w:r>
      <w:r w:rsidR="00330E07" w:rsidRPr="00E7615A">
        <w:rPr>
          <w:rFonts w:ascii="Book Antiqua" w:hAnsi="Book Antiqua"/>
          <w:color w:val="000000" w:themeColor="text1"/>
          <w:sz w:val="24"/>
          <w:szCs w:val="24"/>
          <w:lang w:val="en-US"/>
        </w:rPr>
        <w:t xml:space="preserve">) </w:t>
      </w:r>
      <w:r w:rsidR="00B955CE" w:rsidRPr="00E7615A">
        <w:rPr>
          <w:rFonts w:ascii="Book Antiqua" w:hAnsi="Book Antiqua"/>
          <w:color w:val="000000" w:themeColor="text1"/>
          <w:sz w:val="24"/>
          <w:szCs w:val="24"/>
          <w:lang w:val="en-US"/>
        </w:rPr>
        <w:t xml:space="preserve">Some clinical </w:t>
      </w:r>
      <w:r w:rsidR="00330E07" w:rsidRPr="00E7615A">
        <w:rPr>
          <w:rFonts w:ascii="Book Antiqua" w:hAnsi="Book Antiqua"/>
          <w:color w:val="000000" w:themeColor="text1"/>
          <w:sz w:val="24"/>
          <w:szCs w:val="24"/>
          <w:lang w:val="en-US"/>
        </w:rPr>
        <w:t>studies</w:t>
      </w:r>
      <w:r w:rsidR="00B955CE" w:rsidRPr="00E7615A">
        <w:rPr>
          <w:rFonts w:ascii="Book Antiqua" w:hAnsi="Book Antiqua"/>
          <w:color w:val="000000" w:themeColor="text1"/>
          <w:sz w:val="24"/>
          <w:szCs w:val="24"/>
          <w:lang w:val="en-US"/>
        </w:rPr>
        <w:t xml:space="preserve"> on cell-based therapies reported the production of donor-specific antibodies after application of </w:t>
      </w:r>
      <w:r w:rsidR="00330E07" w:rsidRPr="00E7615A">
        <w:rPr>
          <w:rFonts w:ascii="Book Antiqua" w:hAnsi="Book Antiqua"/>
          <w:color w:val="000000" w:themeColor="text1"/>
          <w:sz w:val="24"/>
          <w:szCs w:val="24"/>
          <w:lang w:val="en-US"/>
        </w:rPr>
        <w:t>allogenic cells</w:t>
      </w:r>
      <w:r w:rsidR="00330E07" w:rsidRPr="00E7615A">
        <w:rPr>
          <w:rFonts w:ascii="Book Antiqua" w:hAnsi="Book Antiqua"/>
          <w:color w:val="000000" w:themeColor="text1"/>
          <w:sz w:val="24"/>
          <w:szCs w:val="24"/>
          <w:vertAlign w:val="superscript"/>
          <w:lang w:val="en-US"/>
        </w:rPr>
        <w:t>[</w:t>
      </w:r>
      <w:r w:rsidR="009F0CCF" w:rsidRPr="00E7615A">
        <w:rPr>
          <w:rFonts w:ascii="Book Antiqua" w:hAnsi="Book Antiqua"/>
          <w:color w:val="000000" w:themeColor="text1"/>
          <w:sz w:val="24"/>
          <w:szCs w:val="24"/>
          <w:vertAlign w:val="superscript"/>
          <w:lang w:val="en-US"/>
        </w:rPr>
        <w:t>5</w:t>
      </w:r>
      <w:r w:rsidR="00BA43F8" w:rsidRPr="00E7615A">
        <w:rPr>
          <w:rFonts w:ascii="Book Antiqua" w:hAnsi="Book Antiqua"/>
          <w:color w:val="000000" w:themeColor="text1"/>
          <w:sz w:val="24"/>
          <w:szCs w:val="24"/>
          <w:vertAlign w:val="superscript"/>
          <w:lang w:val="en-US"/>
        </w:rPr>
        <w:t>4</w:t>
      </w:r>
      <w:r w:rsidR="009F0CCF" w:rsidRPr="00E7615A">
        <w:rPr>
          <w:rFonts w:ascii="Book Antiqua" w:hAnsi="Book Antiqua"/>
          <w:color w:val="000000" w:themeColor="text1"/>
          <w:sz w:val="24"/>
          <w:szCs w:val="24"/>
          <w:vertAlign w:val="superscript"/>
          <w:lang w:val="en-US"/>
        </w:rPr>
        <w:t>,5</w:t>
      </w:r>
      <w:r w:rsidR="00BA43F8" w:rsidRPr="00E7615A">
        <w:rPr>
          <w:rFonts w:ascii="Book Antiqua" w:hAnsi="Book Antiqua"/>
          <w:color w:val="000000" w:themeColor="text1"/>
          <w:sz w:val="24"/>
          <w:szCs w:val="24"/>
          <w:vertAlign w:val="superscript"/>
          <w:lang w:val="en-US"/>
        </w:rPr>
        <w:t>5</w:t>
      </w:r>
      <w:r w:rsidR="00B955CE" w:rsidRPr="00E7615A">
        <w:rPr>
          <w:rFonts w:ascii="Book Antiqua" w:hAnsi="Book Antiqua"/>
          <w:color w:val="000000" w:themeColor="text1"/>
          <w:sz w:val="24"/>
          <w:szCs w:val="24"/>
          <w:vertAlign w:val="superscript"/>
          <w:lang w:val="en-US"/>
        </w:rPr>
        <w:t>]</w:t>
      </w:r>
      <w:r w:rsidR="00B955CE" w:rsidRPr="00E7615A">
        <w:rPr>
          <w:rFonts w:ascii="Book Antiqua" w:hAnsi="Book Antiqua"/>
          <w:color w:val="000000" w:themeColor="text1"/>
          <w:sz w:val="24"/>
          <w:szCs w:val="24"/>
          <w:lang w:val="en-US"/>
        </w:rPr>
        <w:t xml:space="preserve">. This is not the case </w:t>
      </w:r>
      <w:r w:rsidR="00330E07" w:rsidRPr="00E7615A">
        <w:rPr>
          <w:rFonts w:ascii="Book Antiqua" w:hAnsi="Book Antiqua"/>
          <w:color w:val="000000" w:themeColor="text1"/>
          <w:sz w:val="24"/>
          <w:szCs w:val="24"/>
          <w:lang w:val="en-US"/>
        </w:rPr>
        <w:t xml:space="preserve">when using autologous cells. </w:t>
      </w:r>
    </w:p>
    <w:p w14:paraId="54313E75" w14:textId="4D15EE51" w:rsidR="00330E07" w:rsidRPr="00E7615A" w:rsidRDefault="00330E07"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In summary, the combination of enzymatically isolated, unmodified autologous ADRCs (UA-ADRCs) with PRGF-2 and an OIS may be optimal for GBR-MSA. </w:t>
      </w:r>
    </w:p>
    <w:p w14:paraId="66622F2D" w14:textId="77777777" w:rsidR="00330E07" w:rsidRPr="00E7615A" w:rsidRDefault="00330E07" w:rsidP="00D048E9">
      <w:pPr>
        <w:widowControl w:val="0"/>
        <w:adjustRightInd w:val="0"/>
        <w:snapToGrid w:val="0"/>
        <w:spacing w:after="0" w:line="360" w:lineRule="auto"/>
        <w:jc w:val="both"/>
        <w:rPr>
          <w:rFonts w:ascii="Book Antiqua" w:eastAsiaTheme="minorEastAsia" w:hAnsi="Book Antiqua"/>
          <w:color w:val="000000" w:themeColor="text1"/>
          <w:sz w:val="24"/>
          <w:szCs w:val="24"/>
          <w:lang w:val="en-US"/>
        </w:rPr>
      </w:pPr>
    </w:p>
    <w:p w14:paraId="7A6FD503" w14:textId="771AE33C" w:rsidR="00C60B5A" w:rsidRPr="00E7615A" w:rsidRDefault="00650CC2" w:rsidP="00D048E9">
      <w:pPr>
        <w:widowControl w:val="0"/>
        <w:adjustRightInd w:val="0"/>
        <w:snapToGrid w:val="0"/>
        <w:spacing w:after="0" w:line="360" w:lineRule="auto"/>
        <w:jc w:val="both"/>
        <w:rPr>
          <w:rFonts w:ascii="Book Antiqua" w:eastAsiaTheme="minorEastAsia" w:hAnsi="Book Antiqua"/>
          <w:b/>
          <w:i/>
          <w:color w:val="000000" w:themeColor="text1"/>
          <w:sz w:val="24"/>
          <w:szCs w:val="24"/>
          <w:lang w:val="en-US"/>
        </w:rPr>
      </w:pPr>
      <w:r w:rsidRPr="00E7615A">
        <w:rPr>
          <w:rFonts w:ascii="Book Antiqua" w:eastAsiaTheme="minorEastAsia" w:hAnsi="Book Antiqua"/>
          <w:b/>
          <w:i/>
          <w:color w:val="000000" w:themeColor="text1"/>
          <w:sz w:val="24"/>
          <w:szCs w:val="24"/>
          <w:lang w:val="en-US"/>
        </w:rPr>
        <w:t xml:space="preserve">Werner Götz, MD, PhD, Director of the </w:t>
      </w:r>
      <w:r w:rsidR="00C60B5A" w:rsidRPr="00E7615A">
        <w:rPr>
          <w:rFonts w:ascii="Book Antiqua" w:eastAsiaTheme="minorEastAsia" w:hAnsi="Book Antiqua"/>
          <w:b/>
          <w:i/>
          <w:color w:val="000000" w:themeColor="text1"/>
          <w:sz w:val="24"/>
          <w:szCs w:val="24"/>
          <w:lang w:val="en-US"/>
        </w:rPr>
        <w:t>Laboratory for Orthodontic Basic Research, University of Bonn (Bonn, Germany)</w:t>
      </w:r>
    </w:p>
    <w:p w14:paraId="4EE4900F" w14:textId="69129B8E" w:rsidR="00330E07" w:rsidRPr="00E7615A" w:rsidRDefault="00C60B5A"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lastRenderedPageBreak/>
        <w:t xml:space="preserve">The use of a combination of UA-ADRCs, PRGF-2 and an OIS appears promising but has not yet been reported in GBR-MSA or in guided bone regeneration in general. Thus, it is </w:t>
      </w:r>
      <w:r w:rsidR="009A101E" w:rsidRPr="00E7615A">
        <w:rPr>
          <w:rFonts w:ascii="Book Antiqua" w:hAnsi="Book Antiqua"/>
          <w:color w:val="000000" w:themeColor="text1"/>
          <w:sz w:val="24"/>
          <w:szCs w:val="24"/>
          <w:lang w:val="en-US"/>
        </w:rPr>
        <w:t>justified</w:t>
      </w:r>
      <w:r w:rsidRPr="00E7615A">
        <w:rPr>
          <w:rFonts w:ascii="Book Antiqua" w:hAnsi="Book Antiqua"/>
          <w:color w:val="000000" w:themeColor="text1"/>
          <w:sz w:val="24"/>
          <w:szCs w:val="24"/>
          <w:lang w:val="en-US"/>
        </w:rPr>
        <w:t xml:space="preserve"> to test this combination in a first-in-human, split-mouth single case stud</w:t>
      </w:r>
      <w:r w:rsidR="009A101E" w:rsidRPr="00E7615A">
        <w:rPr>
          <w:rFonts w:ascii="Book Antiqua" w:hAnsi="Book Antiqua"/>
          <w:color w:val="000000" w:themeColor="text1"/>
          <w:sz w:val="24"/>
          <w:szCs w:val="24"/>
          <w:lang w:val="en-US"/>
        </w:rPr>
        <w:t>y. Furthermore, it is recommended to perform comprehensive histologic, histomorphometric and immunohistochemical analysis of</w:t>
      </w:r>
      <w:r w:rsidRPr="00E7615A">
        <w:rPr>
          <w:rFonts w:ascii="Book Antiqua" w:hAnsi="Book Antiqua"/>
          <w:color w:val="000000" w:themeColor="text1"/>
          <w:sz w:val="24"/>
          <w:szCs w:val="24"/>
          <w:lang w:val="en-US"/>
        </w:rPr>
        <w:t xml:space="preserve"> biopsies</w:t>
      </w:r>
      <w:r w:rsidR="009A101E" w:rsidRPr="00E7615A">
        <w:rPr>
          <w:rFonts w:ascii="Book Antiqua" w:hAnsi="Book Antiqua"/>
          <w:color w:val="000000" w:themeColor="text1"/>
          <w:sz w:val="24"/>
          <w:szCs w:val="24"/>
          <w:lang w:val="en-US"/>
        </w:rPr>
        <w:t xml:space="preserve"> of the new</w:t>
      </w:r>
      <w:r w:rsidR="00373E9F" w:rsidRPr="00E7615A">
        <w:rPr>
          <w:rFonts w:ascii="Book Antiqua" w:hAnsi="Book Antiqua"/>
          <w:color w:val="000000" w:themeColor="text1"/>
          <w:sz w:val="24"/>
          <w:szCs w:val="24"/>
          <w:lang w:val="en-US"/>
        </w:rPr>
        <w:t xml:space="preserve">ly formed </w:t>
      </w:r>
      <w:r w:rsidR="009A101E" w:rsidRPr="00E7615A">
        <w:rPr>
          <w:rFonts w:ascii="Book Antiqua" w:hAnsi="Book Antiqua"/>
          <w:color w:val="000000" w:themeColor="text1"/>
          <w:sz w:val="24"/>
          <w:szCs w:val="24"/>
          <w:lang w:val="en-US"/>
        </w:rPr>
        <w:t xml:space="preserve">bone </w:t>
      </w:r>
      <w:r w:rsidRPr="00E7615A">
        <w:rPr>
          <w:rFonts w:ascii="Book Antiqua" w:hAnsi="Book Antiqua"/>
          <w:color w:val="000000" w:themeColor="text1"/>
          <w:sz w:val="24"/>
          <w:szCs w:val="24"/>
          <w:lang w:val="en-US"/>
        </w:rPr>
        <w:t>collected at different time points after GBR-MSA.</w:t>
      </w:r>
    </w:p>
    <w:p w14:paraId="4F735202" w14:textId="77777777" w:rsidR="00330E07" w:rsidRPr="00E7615A" w:rsidRDefault="00330E07" w:rsidP="00D048E9">
      <w:pPr>
        <w:widowControl w:val="0"/>
        <w:adjustRightInd w:val="0"/>
        <w:snapToGrid w:val="0"/>
        <w:spacing w:after="0" w:line="360" w:lineRule="auto"/>
        <w:jc w:val="both"/>
        <w:rPr>
          <w:rFonts w:ascii="Book Antiqua" w:eastAsiaTheme="minorEastAsia" w:hAnsi="Book Antiqua"/>
          <w:color w:val="000000" w:themeColor="text1"/>
          <w:sz w:val="24"/>
          <w:szCs w:val="24"/>
          <w:lang w:val="en-US"/>
        </w:rPr>
      </w:pPr>
    </w:p>
    <w:p w14:paraId="5FD1FABB" w14:textId="39875E1D" w:rsidR="009A101E" w:rsidRPr="00E7615A" w:rsidRDefault="009A101E" w:rsidP="00D048E9">
      <w:pPr>
        <w:widowControl w:val="0"/>
        <w:adjustRightInd w:val="0"/>
        <w:snapToGrid w:val="0"/>
        <w:spacing w:after="0" w:line="360" w:lineRule="auto"/>
        <w:jc w:val="both"/>
        <w:rPr>
          <w:rFonts w:ascii="Book Antiqua" w:eastAsiaTheme="minorEastAsia" w:hAnsi="Book Antiqua"/>
          <w:b/>
          <w:i/>
          <w:color w:val="000000" w:themeColor="text1"/>
          <w:sz w:val="24"/>
          <w:szCs w:val="24"/>
          <w:lang w:val="en-US"/>
        </w:rPr>
      </w:pPr>
      <w:r w:rsidRPr="00E7615A">
        <w:rPr>
          <w:rFonts w:ascii="Book Antiqua" w:eastAsiaTheme="minorEastAsia" w:hAnsi="Book Antiqua"/>
          <w:b/>
          <w:i/>
          <w:color w:val="000000" w:themeColor="text1"/>
          <w:sz w:val="24"/>
          <w:szCs w:val="24"/>
          <w:lang w:val="en-US"/>
        </w:rPr>
        <w:t>Christoph Schmitz, MD, PhD, Head of the Department of Neuroanatomy at LMU Munich (Munich, Germany)</w:t>
      </w:r>
    </w:p>
    <w:p w14:paraId="36C30414" w14:textId="73662A91" w:rsidR="009A101E" w:rsidRPr="00E7615A" w:rsidRDefault="00373E9F"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Contemporary</w:t>
      </w:r>
      <w:r w:rsidR="009A101E" w:rsidRPr="00E7615A">
        <w:rPr>
          <w:rFonts w:ascii="Book Antiqua" w:hAnsi="Book Antiqua"/>
          <w:color w:val="000000" w:themeColor="text1"/>
          <w:sz w:val="24"/>
          <w:szCs w:val="24"/>
          <w:lang w:val="en-US"/>
        </w:rPr>
        <w:t xml:space="preserve"> histomorphometric analysis of bone biopsies may be insufficient to assess the significance of a combination of UA-ADRCs, PRGF-2 and an OIS in GBR-MSA because it does not provide a detailed analysis of the relative amount (area/area) of bone, allograft, fibrin and connective tissue, adipocytes, arteries and veins in </w:t>
      </w:r>
      <w:r w:rsidRPr="00E7615A">
        <w:rPr>
          <w:rFonts w:ascii="Book Antiqua" w:hAnsi="Book Antiqua"/>
          <w:color w:val="000000" w:themeColor="text1"/>
          <w:sz w:val="24"/>
          <w:szCs w:val="24"/>
          <w:lang w:val="en-US"/>
        </w:rPr>
        <w:t xml:space="preserve">biopsies of the newly formed bone. However, the latter can be achieved with design-based </w:t>
      </w:r>
      <w:proofErr w:type="gramStart"/>
      <w:r w:rsidRPr="00E7615A">
        <w:rPr>
          <w:rFonts w:ascii="Book Antiqua" w:hAnsi="Book Antiqua"/>
          <w:color w:val="000000" w:themeColor="text1"/>
          <w:sz w:val="24"/>
          <w:szCs w:val="24"/>
          <w:lang w:val="en-US"/>
        </w:rPr>
        <w:t>stereology</w:t>
      </w:r>
      <w:r w:rsidRPr="00E7615A">
        <w:rPr>
          <w:rFonts w:ascii="Book Antiqua" w:hAnsi="Book Antiqua"/>
          <w:color w:val="000000" w:themeColor="text1"/>
          <w:sz w:val="24"/>
          <w:szCs w:val="24"/>
          <w:vertAlign w:val="superscript"/>
          <w:lang w:val="en-US"/>
        </w:rPr>
        <w:t>[</w:t>
      </w:r>
      <w:proofErr w:type="gramEnd"/>
      <w:r w:rsidR="009F0CCF" w:rsidRPr="00E7615A">
        <w:rPr>
          <w:rFonts w:ascii="Book Antiqua" w:hAnsi="Book Antiqua"/>
          <w:color w:val="000000" w:themeColor="text1"/>
          <w:sz w:val="24"/>
          <w:szCs w:val="24"/>
          <w:vertAlign w:val="superscript"/>
          <w:lang w:val="en-US"/>
        </w:rPr>
        <w:t>5</w:t>
      </w:r>
      <w:r w:rsidR="00BA43F8" w:rsidRPr="00E7615A">
        <w:rPr>
          <w:rFonts w:ascii="Book Antiqua" w:hAnsi="Book Antiqua"/>
          <w:color w:val="000000" w:themeColor="text1"/>
          <w:sz w:val="24"/>
          <w:szCs w:val="24"/>
          <w:vertAlign w:val="superscript"/>
          <w:lang w:val="en-US"/>
        </w:rPr>
        <w:t>6</w:t>
      </w:r>
      <w:r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w:t>
      </w:r>
    </w:p>
    <w:p w14:paraId="0D76886C" w14:textId="77777777" w:rsidR="00373E9F" w:rsidRPr="00E7615A" w:rsidRDefault="00373E9F" w:rsidP="00D048E9">
      <w:pPr>
        <w:widowControl w:val="0"/>
        <w:adjustRightInd w:val="0"/>
        <w:snapToGrid w:val="0"/>
        <w:spacing w:after="0" w:line="360" w:lineRule="auto"/>
        <w:jc w:val="both"/>
        <w:rPr>
          <w:rFonts w:ascii="Book Antiqua" w:eastAsiaTheme="minorEastAsia" w:hAnsi="Book Antiqua"/>
          <w:b/>
          <w:color w:val="000000" w:themeColor="text1"/>
          <w:sz w:val="24"/>
          <w:szCs w:val="24"/>
          <w:lang w:val="en-US"/>
        </w:rPr>
      </w:pPr>
    </w:p>
    <w:p w14:paraId="515E956D" w14:textId="75926D43" w:rsidR="00A23AA3" w:rsidRPr="00E7615A" w:rsidRDefault="00A23AA3" w:rsidP="00D048E9">
      <w:pPr>
        <w:widowControl w:val="0"/>
        <w:adjustRightInd w:val="0"/>
        <w:snapToGrid w:val="0"/>
        <w:spacing w:after="0" w:line="360" w:lineRule="auto"/>
        <w:jc w:val="both"/>
        <w:rPr>
          <w:rFonts w:ascii="Book Antiqua" w:eastAsia="DengXian" w:hAnsi="Book Antiqua"/>
          <w:b/>
          <w:color w:val="000000" w:themeColor="text1"/>
          <w:sz w:val="24"/>
          <w:szCs w:val="24"/>
          <w:lang w:val="en-US" w:eastAsia="zh-CN"/>
        </w:rPr>
      </w:pPr>
      <w:r w:rsidRPr="00E7615A">
        <w:rPr>
          <w:rFonts w:ascii="Book Antiqua" w:eastAsiaTheme="minorEastAsia" w:hAnsi="Book Antiqua"/>
          <w:b/>
          <w:color w:val="000000" w:themeColor="text1"/>
          <w:sz w:val="24"/>
          <w:szCs w:val="24"/>
          <w:lang w:val="en-US"/>
        </w:rPr>
        <w:t>FINAL DIAGNOSIS</w:t>
      </w:r>
    </w:p>
    <w:p w14:paraId="1C907A80" w14:textId="1B751424" w:rsidR="00A23AA3" w:rsidRPr="00E7615A" w:rsidRDefault="00373E9F" w:rsidP="00D048E9">
      <w:pPr>
        <w:widowControl w:val="0"/>
        <w:adjustRightInd w:val="0"/>
        <w:snapToGrid w:val="0"/>
        <w:spacing w:after="0" w:line="360" w:lineRule="auto"/>
        <w:jc w:val="both"/>
        <w:rPr>
          <w:rFonts w:ascii="Book Antiqua" w:eastAsia="DengXian" w:hAnsi="Book Antiqua"/>
          <w:color w:val="000000" w:themeColor="text1"/>
          <w:sz w:val="24"/>
          <w:szCs w:val="24"/>
          <w:lang w:val="en-US" w:eastAsia="zh-CN"/>
        </w:rPr>
      </w:pPr>
      <w:r w:rsidRPr="00E7615A">
        <w:rPr>
          <w:rFonts w:ascii="Book Antiqua" w:eastAsia="DengXian" w:hAnsi="Book Antiqua"/>
          <w:color w:val="000000" w:themeColor="text1"/>
          <w:sz w:val="24"/>
          <w:szCs w:val="24"/>
          <w:lang w:val="en-US" w:eastAsia="zh-CN"/>
        </w:rPr>
        <w:t>Loss of several premolar and molar teeth, with residual bone height of the edentulous posterior maxilla as well as of the alveolar bone crest height around the remaining maxillary teeth considered insufficient for implant placement. Justification for treatment with a novel combination of UA-ADRCs, PRGF-2 and an OIS in a first-in-human, split-mouth single case study, carefully controlled by comprehensive histologic, design-based stereologic and immunohistochemical analysis of biopsies of the newly formed bone collected at different time points after GBR-MSA.</w:t>
      </w:r>
    </w:p>
    <w:p w14:paraId="3C9889D7" w14:textId="77777777" w:rsidR="00BD0E0C" w:rsidRPr="00E7615A" w:rsidRDefault="00BD0E0C" w:rsidP="00D048E9">
      <w:pPr>
        <w:widowControl w:val="0"/>
        <w:adjustRightInd w:val="0"/>
        <w:snapToGrid w:val="0"/>
        <w:spacing w:after="0" w:line="360" w:lineRule="auto"/>
        <w:jc w:val="both"/>
        <w:rPr>
          <w:rFonts w:ascii="Book Antiqua" w:hAnsi="Book Antiqua"/>
          <w:b/>
          <w:color w:val="000000" w:themeColor="text1"/>
          <w:sz w:val="24"/>
          <w:szCs w:val="24"/>
          <w:lang w:val="en-US"/>
        </w:rPr>
      </w:pPr>
    </w:p>
    <w:p w14:paraId="6DB84236" w14:textId="346C5F80" w:rsidR="00A23AA3" w:rsidRPr="00E7615A" w:rsidRDefault="00A23AA3" w:rsidP="00D048E9">
      <w:pPr>
        <w:widowControl w:val="0"/>
        <w:adjustRightInd w:val="0"/>
        <w:snapToGrid w:val="0"/>
        <w:spacing w:after="0" w:line="360" w:lineRule="auto"/>
        <w:jc w:val="both"/>
        <w:rPr>
          <w:rFonts w:ascii="Book Antiqua" w:hAnsi="Book Antiqua"/>
          <w:b/>
          <w:color w:val="000000" w:themeColor="text1"/>
          <w:sz w:val="24"/>
          <w:szCs w:val="24"/>
          <w:lang w:val="en-US" w:eastAsia="zh-CN"/>
        </w:rPr>
      </w:pPr>
      <w:r w:rsidRPr="00E7615A">
        <w:rPr>
          <w:rFonts w:ascii="Book Antiqua" w:hAnsi="Book Antiqua"/>
          <w:b/>
          <w:color w:val="000000" w:themeColor="text1"/>
          <w:sz w:val="24"/>
          <w:szCs w:val="24"/>
          <w:lang w:val="en-US"/>
        </w:rPr>
        <w:t>TREATMENT</w:t>
      </w:r>
    </w:p>
    <w:p w14:paraId="75311AE1" w14:textId="3316B708"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The present single-case study was approved by the ethics committee of the Federal Dental Association Hamburg (Hamburg, Germany) (no. PV5211). Written informed consent was </w:t>
      </w:r>
      <w:r w:rsidR="005400E4" w:rsidRPr="00E7615A">
        <w:rPr>
          <w:rFonts w:ascii="Book Antiqua" w:hAnsi="Book Antiqua"/>
          <w:color w:val="000000" w:themeColor="text1"/>
          <w:sz w:val="24"/>
          <w:szCs w:val="24"/>
          <w:lang w:val="en-US"/>
        </w:rPr>
        <w:t>obtained</w:t>
      </w:r>
      <w:r w:rsidRPr="00E7615A">
        <w:rPr>
          <w:rFonts w:ascii="Book Antiqua" w:hAnsi="Book Antiqua"/>
          <w:color w:val="000000" w:themeColor="text1"/>
          <w:sz w:val="24"/>
          <w:szCs w:val="24"/>
          <w:lang w:val="en-US"/>
        </w:rPr>
        <w:t xml:space="preserve"> from the patient to participate in this study after verbal and written information provided by the principal investigator (PI). </w:t>
      </w:r>
    </w:p>
    <w:p w14:paraId="0D5C85A2" w14:textId="5C49B06A" w:rsidR="00A37FD9" w:rsidRPr="00E7615A" w:rsidRDefault="00C678D2"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During </w:t>
      </w:r>
      <w:r w:rsidR="005075BC" w:rsidRPr="00E7615A">
        <w:rPr>
          <w:rFonts w:ascii="Book Antiqua" w:hAnsi="Book Antiqua"/>
          <w:color w:val="000000" w:themeColor="text1"/>
          <w:sz w:val="24"/>
          <w:szCs w:val="24"/>
          <w:lang w:val="en-US"/>
        </w:rPr>
        <w:t xml:space="preserve">a </w:t>
      </w:r>
      <w:r w:rsidRPr="00E7615A">
        <w:rPr>
          <w:rFonts w:ascii="Book Antiqua" w:hAnsi="Book Antiqua"/>
          <w:color w:val="000000" w:themeColor="text1"/>
          <w:sz w:val="24"/>
          <w:szCs w:val="24"/>
          <w:lang w:val="en-US"/>
        </w:rPr>
        <w:t>pre-phase</w:t>
      </w:r>
      <w:r w:rsidR="005075BC" w:rsidRPr="00E7615A">
        <w:rPr>
          <w:rFonts w:ascii="Book Antiqua" w:hAnsi="Book Antiqua"/>
          <w:color w:val="000000" w:themeColor="text1"/>
          <w:sz w:val="24"/>
          <w:szCs w:val="24"/>
          <w:lang w:val="en-US"/>
        </w:rPr>
        <w:t xml:space="preserve"> lasting for four months </w:t>
      </w:r>
      <w:r w:rsidRPr="00E7615A">
        <w:rPr>
          <w:rFonts w:ascii="Book Antiqua" w:hAnsi="Book Antiqua"/>
          <w:color w:val="000000" w:themeColor="text1"/>
          <w:sz w:val="24"/>
          <w:szCs w:val="24"/>
          <w:lang w:val="en-US"/>
        </w:rPr>
        <w:t>t</w:t>
      </w:r>
      <w:r w:rsidR="00A37FD9" w:rsidRPr="00E7615A">
        <w:rPr>
          <w:rFonts w:ascii="Book Antiqua" w:hAnsi="Book Antiqua"/>
          <w:color w:val="000000" w:themeColor="text1"/>
          <w:sz w:val="24"/>
          <w:szCs w:val="24"/>
          <w:lang w:val="en-US"/>
        </w:rPr>
        <w:t xml:space="preserve">he patient’s reduced oral hygiene was </w:t>
      </w:r>
      <w:r w:rsidR="00A37FD9" w:rsidRPr="00E7615A">
        <w:rPr>
          <w:rFonts w:ascii="Book Antiqua" w:hAnsi="Book Antiqua"/>
          <w:color w:val="000000" w:themeColor="text1"/>
          <w:sz w:val="24"/>
          <w:szCs w:val="24"/>
          <w:lang w:val="en-US"/>
        </w:rPr>
        <w:lastRenderedPageBreak/>
        <w:t>significantly improved</w:t>
      </w:r>
      <w:r w:rsidR="00424CF8" w:rsidRPr="00E7615A">
        <w:rPr>
          <w:rFonts w:ascii="Book Antiqua" w:hAnsi="Book Antiqua"/>
          <w:color w:val="000000" w:themeColor="text1"/>
          <w:sz w:val="24"/>
          <w:szCs w:val="24"/>
          <w:lang w:val="en-US"/>
        </w:rPr>
        <w:t xml:space="preserve"> by oral hygiene advice and </w:t>
      </w:r>
      <w:r w:rsidR="00A37FD9" w:rsidRPr="00E7615A">
        <w:rPr>
          <w:rFonts w:ascii="Book Antiqua" w:hAnsi="Book Antiqua"/>
          <w:color w:val="000000" w:themeColor="text1"/>
          <w:sz w:val="24"/>
          <w:szCs w:val="24"/>
          <w:lang w:val="en-US"/>
        </w:rPr>
        <w:t>supragingival plaque control.</w:t>
      </w:r>
    </w:p>
    <w:p w14:paraId="0D140134" w14:textId="51391322" w:rsidR="00A37FD9" w:rsidRPr="00E7615A" w:rsidRDefault="005075BC"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During the first treatment v</w:t>
      </w:r>
      <w:r w:rsidR="00A37FD9" w:rsidRPr="00E7615A">
        <w:rPr>
          <w:rFonts w:ascii="Book Antiqua" w:hAnsi="Book Antiqua"/>
          <w:color w:val="000000" w:themeColor="text1"/>
          <w:sz w:val="24"/>
          <w:szCs w:val="24"/>
          <w:lang w:val="en-US"/>
        </w:rPr>
        <w:t xml:space="preserve">enous blood (8 </w:t>
      </w:r>
      <w:r w:rsidR="00A37FD9" w:rsidRPr="00E7615A">
        <w:rPr>
          <w:rFonts w:ascii="Book Antiqua" w:hAnsi="Book Antiqua"/>
          <w:color w:val="000000" w:themeColor="text1"/>
          <w:sz w:val="24"/>
          <w:szCs w:val="24"/>
          <w:lang w:val="en-US"/>
        </w:rPr>
        <w:sym w:font="Symbol" w:char="F0B4"/>
      </w:r>
      <w:r w:rsidR="00A37FD9" w:rsidRPr="00E7615A">
        <w:rPr>
          <w:rFonts w:ascii="Book Antiqua" w:hAnsi="Book Antiqua"/>
          <w:color w:val="000000" w:themeColor="text1"/>
          <w:sz w:val="24"/>
          <w:szCs w:val="24"/>
          <w:lang w:val="en-US"/>
        </w:rPr>
        <w:t xml:space="preserve"> 9 m</w:t>
      </w:r>
      <w:r w:rsidR="00A37FD9" w:rsidRPr="00EF0E67">
        <w:rPr>
          <w:rFonts w:ascii="Book Antiqua" w:hAnsi="Book Antiqua"/>
          <w:caps/>
          <w:color w:val="000000" w:themeColor="text1"/>
          <w:sz w:val="24"/>
          <w:szCs w:val="24"/>
          <w:lang w:val="en-US"/>
        </w:rPr>
        <w:t>l</w:t>
      </w:r>
      <w:r w:rsidR="00A37FD9" w:rsidRPr="00E7615A">
        <w:rPr>
          <w:rFonts w:ascii="Book Antiqua" w:hAnsi="Book Antiqua"/>
          <w:color w:val="000000" w:themeColor="text1"/>
          <w:sz w:val="24"/>
          <w:szCs w:val="24"/>
          <w:lang w:val="en-US"/>
        </w:rPr>
        <w:t xml:space="preserve"> = 72 m</w:t>
      </w:r>
      <w:r w:rsidR="00A37FD9" w:rsidRPr="00EF0E67">
        <w:rPr>
          <w:rFonts w:ascii="Book Antiqua" w:hAnsi="Book Antiqua"/>
          <w:caps/>
          <w:color w:val="000000" w:themeColor="text1"/>
          <w:sz w:val="24"/>
          <w:szCs w:val="24"/>
          <w:lang w:val="en-US"/>
        </w:rPr>
        <w:t>l</w:t>
      </w:r>
      <w:r w:rsidR="00A37FD9" w:rsidRPr="00E7615A">
        <w:rPr>
          <w:rFonts w:ascii="Book Antiqua" w:hAnsi="Book Antiqua"/>
          <w:color w:val="000000" w:themeColor="text1"/>
          <w:sz w:val="24"/>
          <w:szCs w:val="24"/>
          <w:lang w:val="en-US"/>
        </w:rPr>
        <w:t>) was withdrawn from the patient’s arm and was processed into</w:t>
      </w:r>
      <w:r w:rsidR="00C678D2" w:rsidRPr="00E7615A">
        <w:rPr>
          <w:rFonts w:ascii="Book Antiqua" w:hAnsi="Book Antiqua"/>
          <w:color w:val="000000" w:themeColor="text1"/>
          <w:sz w:val="24"/>
          <w:szCs w:val="24"/>
          <w:lang w:val="en-US"/>
        </w:rPr>
        <w:t xml:space="preserve"> </w:t>
      </w:r>
      <w:r w:rsidR="00A37FD9" w:rsidRPr="00E7615A">
        <w:rPr>
          <w:rFonts w:ascii="Book Antiqua" w:hAnsi="Book Antiqua"/>
          <w:color w:val="000000" w:themeColor="text1"/>
          <w:sz w:val="24"/>
          <w:szCs w:val="24"/>
          <w:lang w:val="en-US"/>
        </w:rPr>
        <w:t>PRGF</w:t>
      </w:r>
      <w:r w:rsidR="00C678D2" w:rsidRPr="00E7615A">
        <w:rPr>
          <w:rFonts w:ascii="Book Antiqua" w:hAnsi="Book Antiqua"/>
          <w:color w:val="000000" w:themeColor="text1"/>
          <w:sz w:val="24"/>
          <w:szCs w:val="24"/>
          <w:lang w:val="en-US"/>
        </w:rPr>
        <w:t xml:space="preserve"> </w:t>
      </w:r>
      <w:r w:rsidR="00A37FD9" w:rsidRPr="00E7615A">
        <w:rPr>
          <w:rFonts w:ascii="Book Antiqua" w:hAnsi="Book Antiqua"/>
          <w:color w:val="000000" w:themeColor="text1"/>
          <w:sz w:val="24"/>
          <w:szCs w:val="24"/>
          <w:lang w:val="en-US"/>
        </w:rPr>
        <w:t xml:space="preserve">using the PRGF-Endoret technology (BTI, Miñano, Spain) according to the manufacturer’s instructions for use. After centrifugation, </w:t>
      </w:r>
      <w:r w:rsidR="003125E9">
        <w:rPr>
          <w:rFonts w:ascii="Book Antiqua" w:hAnsi="Book Antiqua"/>
          <w:color w:val="000000" w:themeColor="text1"/>
          <w:sz w:val="24"/>
          <w:szCs w:val="24"/>
          <w:lang w:val="en-US"/>
        </w:rPr>
        <w:t>PRGF-2</w:t>
      </w:r>
      <w:r w:rsidR="00A37FD9" w:rsidRPr="00E7615A">
        <w:rPr>
          <w:rFonts w:ascii="Book Antiqua" w:hAnsi="Book Antiqua"/>
          <w:color w:val="000000" w:themeColor="text1"/>
          <w:sz w:val="24"/>
          <w:szCs w:val="24"/>
          <w:lang w:val="en-US"/>
        </w:rPr>
        <w:t xml:space="preserve"> was collected</w:t>
      </w:r>
      <w:r w:rsidR="00C678D2" w:rsidRPr="00E7615A">
        <w:rPr>
          <w:rFonts w:ascii="Book Antiqua" w:hAnsi="Book Antiqua"/>
          <w:color w:val="000000" w:themeColor="text1"/>
          <w:sz w:val="24"/>
          <w:szCs w:val="24"/>
          <w:lang w:val="en-US"/>
        </w:rPr>
        <w:t xml:space="preserve"> and </w:t>
      </w:r>
      <w:r w:rsidR="00A37FD9" w:rsidRPr="00E7615A">
        <w:rPr>
          <w:rFonts w:ascii="Book Antiqua" w:hAnsi="Book Antiqua"/>
          <w:color w:val="000000" w:themeColor="text1"/>
          <w:sz w:val="24"/>
          <w:szCs w:val="24"/>
          <w:lang w:val="en-US"/>
        </w:rPr>
        <w:t>activated with PRGF Activator (BTI).</w:t>
      </w:r>
    </w:p>
    <w:p w14:paraId="537EDA8B" w14:textId="46698AA1"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Furthermore, human subcutaneous adipose tissue was obtained using liposuction. To this end, the periumbilical abdominal area was surgically disinfected. Then, local anesthesia was achieved by infiltrating the periumbilical subcutaneous adipose tissue with 150 m</w:t>
      </w:r>
      <w:r w:rsidRPr="008E3F8B">
        <w:rPr>
          <w:rFonts w:ascii="Book Antiqua" w:hAnsi="Book Antiqua"/>
          <w:caps/>
          <w:color w:val="000000" w:themeColor="text1"/>
          <w:sz w:val="24"/>
          <w:szCs w:val="24"/>
          <w:lang w:val="en-US"/>
        </w:rPr>
        <w:t>l</w:t>
      </w:r>
      <w:r w:rsidRPr="00E7615A">
        <w:rPr>
          <w:rFonts w:ascii="Book Antiqua" w:hAnsi="Book Antiqua"/>
          <w:color w:val="000000" w:themeColor="text1"/>
          <w:sz w:val="24"/>
          <w:szCs w:val="24"/>
          <w:lang w:val="en-US"/>
        </w:rPr>
        <w:t xml:space="preserve"> of modified Klein tumescent </w:t>
      </w:r>
      <w:proofErr w:type="gramStart"/>
      <w:r w:rsidRPr="00E7615A">
        <w:rPr>
          <w:rFonts w:ascii="Book Antiqua" w:hAnsi="Book Antiqua"/>
          <w:color w:val="000000" w:themeColor="text1"/>
          <w:sz w:val="24"/>
          <w:szCs w:val="24"/>
          <w:lang w:val="en-US"/>
        </w:rPr>
        <w:t>solution</w:t>
      </w:r>
      <w:r w:rsidR="00ED1BD0" w:rsidRPr="00E7615A">
        <w:rPr>
          <w:rFonts w:ascii="Book Antiqua" w:hAnsi="Book Antiqua"/>
          <w:color w:val="000000" w:themeColor="text1"/>
          <w:sz w:val="24"/>
          <w:szCs w:val="24"/>
          <w:vertAlign w:val="superscript"/>
          <w:lang w:val="en-US"/>
        </w:rPr>
        <w:t>[</w:t>
      </w:r>
      <w:proofErr w:type="gramEnd"/>
      <w:r w:rsidR="00737ED3" w:rsidRPr="00E7615A">
        <w:rPr>
          <w:rFonts w:ascii="Book Antiqua" w:hAnsi="Book Antiqua"/>
          <w:color w:val="000000" w:themeColor="text1"/>
          <w:sz w:val="24"/>
          <w:szCs w:val="24"/>
          <w:vertAlign w:val="superscript"/>
          <w:lang w:val="en-US"/>
        </w:rPr>
        <w:t>5</w:t>
      </w:r>
      <w:r w:rsidR="00BA43F8" w:rsidRPr="00E7615A">
        <w:rPr>
          <w:rFonts w:ascii="Book Antiqua" w:hAnsi="Book Antiqua"/>
          <w:color w:val="000000" w:themeColor="text1"/>
          <w:sz w:val="24"/>
          <w:szCs w:val="24"/>
          <w:vertAlign w:val="superscript"/>
          <w:lang w:val="en-US"/>
        </w:rPr>
        <w:t>7</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comprising lactated Ringer solution, adrenalin</w:t>
      </w:r>
      <w:r w:rsidR="005400E4" w:rsidRPr="00E7615A">
        <w:rPr>
          <w:rFonts w:ascii="Book Antiqua" w:hAnsi="Book Antiqua"/>
          <w:color w:val="000000" w:themeColor="text1"/>
          <w:sz w:val="24"/>
          <w:szCs w:val="24"/>
          <w:lang w:val="en-US"/>
        </w:rPr>
        <w:t>e</w:t>
      </w:r>
      <w:r w:rsidRPr="00E7615A">
        <w:rPr>
          <w:rFonts w:ascii="Book Antiqua" w:hAnsi="Book Antiqua"/>
          <w:color w:val="000000" w:themeColor="text1"/>
          <w:sz w:val="24"/>
          <w:szCs w:val="24"/>
          <w:lang w:val="en-US"/>
        </w:rPr>
        <w:t xml:space="preserve"> (1:1000; 1</w:t>
      </w:r>
      <w:r w:rsidR="008E3F8B">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mg/m</w:t>
      </w:r>
      <w:r w:rsidRPr="008E3F8B">
        <w:rPr>
          <w:rFonts w:ascii="Book Antiqua" w:hAnsi="Book Antiqua"/>
          <w:caps/>
          <w:color w:val="000000" w:themeColor="text1"/>
          <w:sz w:val="24"/>
          <w:szCs w:val="24"/>
          <w:lang w:val="en-US"/>
        </w:rPr>
        <w:t>l</w:t>
      </w:r>
      <w:r w:rsidRPr="00E7615A">
        <w:rPr>
          <w:rFonts w:ascii="Book Antiqua" w:hAnsi="Book Antiqua"/>
          <w:color w:val="000000" w:themeColor="text1"/>
          <w:sz w:val="24"/>
          <w:szCs w:val="24"/>
          <w:lang w:val="en-US"/>
        </w:rPr>
        <w:t>) and 2% lidocaine (20 mg/m</w:t>
      </w:r>
      <w:r w:rsidRPr="008E3F8B">
        <w:rPr>
          <w:rFonts w:ascii="Book Antiqua" w:hAnsi="Book Antiqua"/>
          <w:caps/>
          <w:color w:val="000000" w:themeColor="text1"/>
          <w:sz w:val="24"/>
          <w:szCs w:val="24"/>
          <w:lang w:val="en-US"/>
        </w:rPr>
        <w:t>l</w:t>
      </w:r>
      <w:r w:rsidRPr="00E7615A">
        <w:rPr>
          <w:rFonts w:ascii="Book Antiqua" w:hAnsi="Book Antiqua"/>
          <w:color w:val="000000" w:themeColor="text1"/>
          <w:sz w:val="24"/>
          <w:szCs w:val="24"/>
          <w:lang w:val="en-US"/>
        </w:rPr>
        <w:t xml:space="preserve">). Fifteen minutes later a stab incision was made 15 cm lateral of the umbilicus, bilaterally. Lipoaspiration was performed using the Coleman </w:t>
      </w:r>
      <w:proofErr w:type="gramStart"/>
      <w:r w:rsidRPr="00E7615A">
        <w:rPr>
          <w:rFonts w:ascii="Book Antiqua" w:hAnsi="Book Antiqua"/>
          <w:color w:val="000000" w:themeColor="text1"/>
          <w:sz w:val="24"/>
          <w:szCs w:val="24"/>
          <w:lang w:val="en-US"/>
        </w:rPr>
        <w:t>method</w:t>
      </w:r>
      <w:r w:rsidR="00ED1BD0" w:rsidRPr="00E7615A">
        <w:rPr>
          <w:rFonts w:ascii="Book Antiqua" w:hAnsi="Book Antiqua"/>
          <w:color w:val="000000" w:themeColor="text1"/>
          <w:sz w:val="24"/>
          <w:szCs w:val="24"/>
          <w:vertAlign w:val="superscript"/>
          <w:lang w:val="en-US"/>
        </w:rPr>
        <w:t>[</w:t>
      </w:r>
      <w:proofErr w:type="gramEnd"/>
      <w:r w:rsidR="00737ED3" w:rsidRPr="00E7615A">
        <w:rPr>
          <w:rFonts w:ascii="Book Antiqua" w:hAnsi="Book Antiqua"/>
          <w:color w:val="000000" w:themeColor="text1"/>
          <w:sz w:val="24"/>
          <w:szCs w:val="24"/>
          <w:vertAlign w:val="superscript"/>
          <w:lang w:val="en-US"/>
        </w:rPr>
        <w:t>5</w:t>
      </w:r>
      <w:r w:rsidR="00BA43F8" w:rsidRPr="00E7615A">
        <w:rPr>
          <w:rFonts w:ascii="Book Antiqua" w:hAnsi="Book Antiqua"/>
          <w:color w:val="000000" w:themeColor="text1"/>
          <w:sz w:val="24"/>
          <w:szCs w:val="24"/>
          <w:vertAlign w:val="superscript"/>
          <w:lang w:val="en-US"/>
        </w:rPr>
        <w:t>8</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w:t>
      </w:r>
      <w:r w:rsidR="00424CF8" w:rsidRPr="00E7615A">
        <w:rPr>
          <w:rFonts w:ascii="Book Antiqua" w:hAnsi="Book Antiqua"/>
          <w:color w:val="000000" w:themeColor="text1"/>
          <w:sz w:val="24"/>
          <w:szCs w:val="24"/>
          <w:lang w:val="en-US"/>
        </w:rPr>
        <w:t xml:space="preserve">using </w:t>
      </w:r>
      <w:r w:rsidRPr="00E7615A">
        <w:rPr>
          <w:rFonts w:ascii="Book Antiqua" w:hAnsi="Book Antiqua"/>
          <w:color w:val="000000" w:themeColor="text1"/>
          <w:sz w:val="24"/>
          <w:szCs w:val="24"/>
          <w:lang w:val="en-US"/>
        </w:rPr>
        <w:t xml:space="preserve">a 4-hole blunt tipped cannula (3 mm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150 mm) (part of the LCK-15 Lipoaspiration Collection Kit; InGeneron) </w:t>
      </w:r>
      <w:r w:rsidR="00424CF8" w:rsidRPr="00E7615A">
        <w:rPr>
          <w:rFonts w:ascii="Book Antiqua" w:hAnsi="Book Antiqua"/>
          <w:color w:val="000000" w:themeColor="text1"/>
          <w:sz w:val="24"/>
          <w:szCs w:val="24"/>
          <w:lang w:val="en-US"/>
        </w:rPr>
        <w:t xml:space="preserve">and </w:t>
      </w:r>
      <w:r w:rsidRPr="00E7615A">
        <w:rPr>
          <w:rFonts w:ascii="Book Antiqua" w:hAnsi="Book Antiqua"/>
          <w:color w:val="000000" w:themeColor="text1"/>
          <w:sz w:val="24"/>
          <w:szCs w:val="24"/>
          <w:lang w:val="en-US"/>
        </w:rPr>
        <w:t>a 60 cm</w:t>
      </w:r>
      <w:r w:rsidRPr="00E7615A">
        <w:rPr>
          <w:rFonts w:ascii="Book Antiqua" w:hAnsi="Book Antiqua"/>
          <w:color w:val="000000" w:themeColor="text1"/>
          <w:sz w:val="24"/>
          <w:szCs w:val="24"/>
          <w:vertAlign w:val="superscript"/>
          <w:lang w:val="en-US"/>
        </w:rPr>
        <w:t>3</w:t>
      </w:r>
      <w:r w:rsidRPr="00E7615A">
        <w:rPr>
          <w:rFonts w:ascii="Book Antiqua" w:hAnsi="Book Antiqua"/>
          <w:color w:val="000000" w:themeColor="text1"/>
          <w:sz w:val="24"/>
          <w:szCs w:val="24"/>
          <w:lang w:val="en-US"/>
        </w:rPr>
        <w:t xml:space="preserve"> Luer-Lock Toomey-Syringe (also part of the LCK-15 Kit; InGeneron). After liposuction, pressure was applied to the wounds. Then, the wounds were closed using adhesive bandage strips (Leukosilk; BSN Medical GmbH, Hamburg, Germany). The lipoaspirate (100 m</w:t>
      </w:r>
      <w:r w:rsidRPr="006835F1">
        <w:rPr>
          <w:rFonts w:ascii="Book Antiqua" w:hAnsi="Book Antiqua"/>
          <w:caps/>
          <w:color w:val="000000" w:themeColor="text1"/>
          <w:sz w:val="24"/>
          <w:szCs w:val="24"/>
          <w:lang w:val="en-US"/>
        </w:rPr>
        <w:t>l</w:t>
      </w:r>
      <w:r w:rsidRPr="00E7615A">
        <w:rPr>
          <w:rFonts w:ascii="Book Antiqua" w:hAnsi="Book Antiqua"/>
          <w:color w:val="000000" w:themeColor="text1"/>
          <w:sz w:val="24"/>
          <w:szCs w:val="24"/>
          <w:lang w:val="en-US"/>
        </w:rPr>
        <w:t>) was divided into four aliquots of 25 m</w:t>
      </w:r>
      <w:r w:rsidRPr="006835F1">
        <w:rPr>
          <w:rFonts w:ascii="Book Antiqua" w:hAnsi="Book Antiqua"/>
          <w:caps/>
          <w:color w:val="000000" w:themeColor="text1"/>
          <w:sz w:val="24"/>
          <w:szCs w:val="24"/>
          <w:lang w:val="en-US"/>
        </w:rPr>
        <w:t>l</w:t>
      </w:r>
      <w:r w:rsidRPr="00E7615A">
        <w:rPr>
          <w:rFonts w:ascii="Book Antiqua" w:hAnsi="Book Antiqua"/>
          <w:color w:val="000000" w:themeColor="text1"/>
          <w:sz w:val="24"/>
          <w:szCs w:val="24"/>
          <w:lang w:val="en-US"/>
        </w:rPr>
        <w:t xml:space="preserve"> each. Then, </w:t>
      </w:r>
      <w:r w:rsidR="00424CF8" w:rsidRPr="00E7615A">
        <w:rPr>
          <w:rFonts w:ascii="Book Antiqua" w:hAnsi="Book Antiqua"/>
          <w:color w:val="000000" w:themeColor="text1"/>
          <w:sz w:val="24"/>
          <w:szCs w:val="24"/>
          <w:lang w:val="en-US"/>
        </w:rPr>
        <w:t xml:space="preserve">all </w:t>
      </w:r>
      <w:r w:rsidRPr="00E7615A">
        <w:rPr>
          <w:rFonts w:ascii="Book Antiqua" w:hAnsi="Book Antiqua"/>
          <w:color w:val="000000" w:themeColor="text1"/>
          <w:sz w:val="24"/>
          <w:szCs w:val="24"/>
          <w:lang w:val="en-US"/>
        </w:rPr>
        <w:t>aliquot</w:t>
      </w:r>
      <w:r w:rsidR="00424CF8" w:rsidRPr="00E7615A">
        <w:rPr>
          <w:rFonts w:ascii="Book Antiqua" w:hAnsi="Book Antiqua"/>
          <w:color w:val="000000" w:themeColor="text1"/>
          <w:sz w:val="24"/>
          <w:szCs w:val="24"/>
          <w:lang w:val="en-US"/>
        </w:rPr>
        <w:t>s</w:t>
      </w:r>
      <w:r w:rsidRPr="00E7615A">
        <w:rPr>
          <w:rFonts w:ascii="Book Antiqua" w:hAnsi="Book Antiqua"/>
          <w:color w:val="000000" w:themeColor="text1"/>
          <w:sz w:val="24"/>
          <w:szCs w:val="24"/>
          <w:lang w:val="en-US"/>
        </w:rPr>
        <w:t xml:space="preserve"> </w:t>
      </w:r>
      <w:r w:rsidR="00424CF8" w:rsidRPr="00E7615A">
        <w:rPr>
          <w:rFonts w:ascii="Book Antiqua" w:hAnsi="Book Antiqua"/>
          <w:color w:val="000000" w:themeColor="text1"/>
          <w:sz w:val="24"/>
          <w:szCs w:val="24"/>
          <w:lang w:val="en-US"/>
        </w:rPr>
        <w:t xml:space="preserve">were </w:t>
      </w:r>
      <w:r w:rsidRPr="00E7615A">
        <w:rPr>
          <w:rFonts w:ascii="Book Antiqua" w:hAnsi="Book Antiqua"/>
          <w:color w:val="000000" w:themeColor="text1"/>
          <w:sz w:val="24"/>
          <w:szCs w:val="24"/>
          <w:lang w:val="en-US"/>
        </w:rPr>
        <w:t xml:space="preserve">processed using the Transpose RT system (InGeneron) for isolating UA-ADRCs from </w:t>
      </w:r>
      <w:r w:rsidR="00424CF8" w:rsidRPr="00E7615A">
        <w:rPr>
          <w:rFonts w:ascii="Book Antiqua" w:hAnsi="Book Antiqua"/>
          <w:color w:val="000000" w:themeColor="text1"/>
          <w:sz w:val="24"/>
          <w:szCs w:val="24"/>
          <w:lang w:val="en-US"/>
        </w:rPr>
        <w:t xml:space="preserve">the </w:t>
      </w:r>
      <w:r w:rsidRPr="00E7615A">
        <w:rPr>
          <w:rFonts w:ascii="Book Antiqua" w:hAnsi="Book Antiqua"/>
          <w:color w:val="000000" w:themeColor="text1"/>
          <w:sz w:val="24"/>
          <w:szCs w:val="24"/>
          <w:lang w:val="en-US"/>
        </w:rPr>
        <w:t xml:space="preserve">adipose tissue. </w:t>
      </w:r>
      <w:r w:rsidR="00424CF8" w:rsidRPr="00E7615A">
        <w:rPr>
          <w:rFonts w:ascii="Book Antiqua" w:hAnsi="Book Antiqua"/>
          <w:color w:val="000000" w:themeColor="text1"/>
          <w:sz w:val="24"/>
          <w:szCs w:val="24"/>
          <w:lang w:val="en-US"/>
        </w:rPr>
        <w:t>Specifically</w:t>
      </w:r>
      <w:r w:rsidRPr="00E7615A">
        <w:rPr>
          <w:rFonts w:ascii="Book Antiqua" w:hAnsi="Book Antiqua"/>
          <w:color w:val="000000" w:themeColor="text1"/>
          <w:sz w:val="24"/>
          <w:szCs w:val="24"/>
          <w:lang w:val="en-US"/>
        </w:rPr>
        <w:t xml:space="preserve">, each aliquot was incubated together with </w:t>
      </w:r>
      <w:bookmarkStart w:id="166" w:name="_Hlk513804992"/>
      <w:r w:rsidRPr="00E7615A">
        <w:rPr>
          <w:rFonts w:ascii="Book Antiqua" w:hAnsi="Book Antiqua"/>
          <w:color w:val="000000" w:themeColor="text1"/>
          <w:sz w:val="24"/>
          <w:szCs w:val="24"/>
          <w:lang w:val="en-US"/>
        </w:rPr>
        <w:t xml:space="preserve">Matrase </w:t>
      </w:r>
      <w:r w:rsidR="005075BC" w:rsidRPr="00E7615A">
        <w:rPr>
          <w:rFonts w:ascii="Book Antiqua" w:hAnsi="Book Antiqua"/>
          <w:color w:val="000000" w:themeColor="text1"/>
          <w:sz w:val="24"/>
          <w:szCs w:val="24"/>
          <w:lang w:val="en-US"/>
        </w:rPr>
        <w:t>R</w:t>
      </w:r>
      <w:r w:rsidRPr="00E7615A">
        <w:rPr>
          <w:rFonts w:ascii="Book Antiqua" w:hAnsi="Book Antiqua"/>
          <w:color w:val="000000" w:themeColor="text1"/>
          <w:sz w:val="24"/>
          <w:szCs w:val="24"/>
          <w:lang w:val="en-US"/>
        </w:rPr>
        <w:t xml:space="preserve">eagent (InGeneron) </w:t>
      </w:r>
      <w:bookmarkEnd w:id="166"/>
      <w:r w:rsidRPr="00E7615A">
        <w:rPr>
          <w:rFonts w:ascii="Book Antiqua" w:hAnsi="Book Antiqua"/>
          <w:color w:val="000000" w:themeColor="text1"/>
          <w:sz w:val="24"/>
          <w:szCs w:val="24"/>
          <w:lang w:val="en-US"/>
        </w:rPr>
        <w:t>for 1 h</w:t>
      </w:r>
      <w:r w:rsidR="00424CF8" w:rsidRPr="00E7615A">
        <w:rPr>
          <w:rFonts w:ascii="Book Antiqua" w:hAnsi="Book Antiqua"/>
          <w:color w:val="000000" w:themeColor="text1"/>
          <w:sz w:val="24"/>
          <w:szCs w:val="24"/>
          <w:lang w:val="en-US"/>
        </w:rPr>
        <w:t>. The latter was performed</w:t>
      </w:r>
      <w:r w:rsidRPr="00E7615A">
        <w:rPr>
          <w:rFonts w:ascii="Book Antiqua" w:hAnsi="Book Antiqua"/>
          <w:color w:val="000000" w:themeColor="text1"/>
          <w:sz w:val="24"/>
          <w:szCs w:val="24"/>
          <w:lang w:val="en-US"/>
        </w:rPr>
        <w:t xml:space="preserve"> </w:t>
      </w:r>
      <w:r w:rsidR="00424CF8" w:rsidRPr="00E7615A">
        <w:rPr>
          <w:rFonts w:ascii="Book Antiqua" w:hAnsi="Book Antiqua"/>
          <w:color w:val="000000" w:themeColor="text1"/>
          <w:sz w:val="24"/>
          <w:szCs w:val="24"/>
          <w:lang w:val="en-US"/>
        </w:rPr>
        <w:t xml:space="preserve">in the processing unit </w:t>
      </w:r>
      <w:r w:rsidR="006835F1">
        <w:rPr>
          <w:rFonts w:ascii="Book Antiqua" w:hAnsi="Book Antiqua"/>
          <w:color w:val="000000" w:themeColor="text1"/>
          <w:sz w:val="24"/>
          <w:szCs w:val="24"/>
          <w:lang w:val="en-US"/>
        </w:rPr>
        <w:t>under agitation at 39°</w:t>
      </w:r>
      <w:r w:rsidRPr="00E7615A">
        <w:rPr>
          <w:rFonts w:ascii="Book Antiqua" w:hAnsi="Book Antiqua"/>
          <w:color w:val="000000" w:themeColor="text1"/>
          <w:sz w:val="24"/>
          <w:szCs w:val="24"/>
          <w:lang w:val="en-US"/>
        </w:rPr>
        <w:t>C according to the manufacturer’s instructio</w:t>
      </w:r>
      <w:r w:rsidR="005400E4" w:rsidRPr="00E7615A">
        <w:rPr>
          <w:rFonts w:ascii="Book Antiqua" w:hAnsi="Book Antiqua"/>
          <w:color w:val="000000" w:themeColor="text1"/>
          <w:sz w:val="24"/>
          <w:szCs w:val="24"/>
          <w:lang w:val="en-US"/>
        </w:rPr>
        <w:t>ns for use. The total procedure</w:t>
      </w:r>
      <w:r w:rsidRPr="00E7615A">
        <w:rPr>
          <w:rFonts w:ascii="Book Antiqua" w:hAnsi="Book Antiqua"/>
          <w:color w:val="000000" w:themeColor="text1"/>
          <w:sz w:val="24"/>
          <w:szCs w:val="24"/>
          <w:lang w:val="en-US"/>
        </w:rPr>
        <w:t xml:space="preserve"> time was 70 min.</w:t>
      </w:r>
    </w:p>
    <w:p w14:paraId="619C899B" w14:textId="626FD75E"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Approximately seven grams (2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2 cubic centimeters of 0.25-1.0 mm particle size and 1 x 3 cubic centimeters of 1-2 mm particle size) of Puros Cancellous Particulate Allograft</w:t>
      </w:r>
      <w:r w:rsidR="005075BC"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Zimmer Biomet Dental, Palm Beach Gardens, FL, U</w:t>
      </w:r>
      <w:r w:rsidR="006835F1">
        <w:rPr>
          <w:rFonts w:ascii="Book Antiqua" w:hAnsi="Book Antiqua" w:hint="eastAsia"/>
          <w:color w:val="000000" w:themeColor="text1"/>
          <w:sz w:val="24"/>
          <w:szCs w:val="24"/>
          <w:lang w:val="en-US" w:eastAsia="zh-CN"/>
        </w:rPr>
        <w:t>nited States</w:t>
      </w:r>
      <w:r w:rsidRPr="00E7615A">
        <w:rPr>
          <w:rFonts w:ascii="Book Antiqua" w:hAnsi="Book Antiqua"/>
          <w:color w:val="000000" w:themeColor="text1"/>
          <w:sz w:val="24"/>
          <w:szCs w:val="24"/>
          <w:lang w:val="en-US"/>
        </w:rPr>
        <w:t>) were rehydrated with 1</w:t>
      </w:r>
      <w:r w:rsidR="006835F1">
        <w:rPr>
          <w:rFonts w:ascii="Book Antiqua" w:hAnsi="Book Antiqua" w:hint="eastAsia"/>
          <w:color w:val="000000" w:themeColor="text1"/>
          <w:sz w:val="24"/>
          <w:szCs w:val="24"/>
          <w:lang w:val="en-US" w:eastAsia="zh-CN"/>
        </w:rPr>
        <w:t>.</w:t>
      </w:r>
      <w:r w:rsidRPr="00E7615A">
        <w:rPr>
          <w:rFonts w:ascii="Book Antiqua" w:hAnsi="Book Antiqua"/>
          <w:color w:val="000000" w:themeColor="text1"/>
          <w:sz w:val="24"/>
          <w:szCs w:val="24"/>
          <w:lang w:val="en-US"/>
        </w:rPr>
        <w:t>5 m</w:t>
      </w:r>
      <w:r w:rsidRPr="006835F1">
        <w:rPr>
          <w:rFonts w:ascii="Book Antiqua" w:hAnsi="Book Antiqua"/>
          <w:caps/>
          <w:color w:val="000000" w:themeColor="text1"/>
          <w:sz w:val="24"/>
          <w:szCs w:val="24"/>
          <w:lang w:val="en-US"/>
        </w:rPr>
        <w:t>l</w:t>
      </w:r>
      <w:r w:rsidRPr="00E7615A">
        <w:rPr>
          <w:rFonts w:ascii="Book Antiqua" w:hAnsi="Book Antiqua"/>
          <w:color w:val="000000" w:themeColor="text1"/>
          <w:sz w:val="24"/>
          <w:szCs w:val="24"/>
          <w:lang w:val="en-US"/>
        </w:rPr>
        <w:t xml:space="preserve"> of PRGF-2 and a suspension of UA-ADRCs (approximately 50</w:t>
      </w:r>
      <w:r w:rsidR="006835F1">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w:t>
      </w:r>
      <w:r w:rsidR="006835F1">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10</w:t>
      </w:r>
      <w:r w:rsidRPr="00E7615A">
        <w:rPr>
          <w:rFonts w:ascii="Book Antiqua" w:hAnsi="Book Antiqua"/>
          <w:color w:val="000000" w:themeColor="text1"/>
          <w:sz w:val="24"/>
          <w:szCs w:val="24"/>
          <w:vertAlign w:val="superscript"/>
          <w:lang w:val="en-US"/>
        </w:rPr>
        <w:t>6</w:t>
      </w:r>
      <w:r w:rsidRPr="00E7615A">
        <w:rPr>
          <w:rFonts w:ascii="Book Antiqua" w:hAnsi="Book Antiqua"/>
          <w:color w:val="000000" w:themeColor="text1"/>
          <w:sz w:val="24"/>
          <w:szCs w:val="24"/>
          <w:lang w:val="en-US"/>
        </w:rPr>
        <w:t xml:space="preserve"> cells in 3 m</w:t>
      </w:r>
      <w:r w:rsidRPr="006835F1">
        <w:rPr>
          <w:rFonts w:ascii="Book Antiqua" w:hAnsi="Book Antiqua"/>
          <w:caps/>
          <w:color w:val="000000" w:themeColor="text1"/>
          <w:sz w:val="24"/>
          <w:szCs w:val="24"/>
          <w:lang w:val="en-US"/>
        </w:rPr>
        <w:t>l</w:t>
      </w:r>
      <w:r w:rsidRPr="00E7615A">
        <w:rPr>
          <w:rFonts w:ascii="Book Antiqua" w:hAnsi="Book Antiqua"/>
          <w:color w:val="000000" w:themeColor="text1"/>
          <w:sz w:val="24"/>
          <w:szCs w:val="24"/>
          <w:lang w:val="en-US"/>
        </w:rPr>
        <w:t xml:space="preserve"> saline) (hereafter referred to as MCBPA/PRGF-2/UA-ADRCs). This was done within 30 min after completion of the PRGF processing and immediately after completion of isolating the UA-ADRCs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2</w:t>
      </w:r>
      <w:r w:rsidRPr="00EA4FBF">
        <w:rPr>
          <w:rFonts w:ascii="Book Antiqua" w:hAnsi="Book Antiqua"/>
          <w:caps/>
          <w:color w:val="000000" w:themeColor="text1"/>
          <w:sz w:val="24"/>
          <w:szCs w:val="24"/>
          <w:lang w:val="en-US"/>
        </w:rPr>
        <w:t>a</w:t>
      </w:r>
      <w:r w:rsidRPr="00E7615A">
        <w:rPr>
          <w:rFonts w:ascii="Book Antiqua" w:hAnsi="Book Antiqua"/>
          <w:color w:val="000000" w:themeColor="text1"/>
          <w:sz w:val="24"/>
          <w:szCs w:val="24"/>
          <w:lang w:val="en-US"/>
        </w:rPr>
        <w:t>). Another 7 g of the same MCBPA were rehydrated with 1</w:t>
      </w:r>
      <w:r w:rsidR="00EA4FBF">
        <w:rPr>
          <w:rFonts w:ascii="Book Antiqua" w:hAnsi="Book Antiqua" w:hint="eastAsia"/>
          <w:color w:val="000000" w:themeColor="text1"/>
          <w:sz w:val="24"/>
          <w:szCs w:val="24"/>
          <w:lang w:val="en-US" w:eastAsia="zh-CN"/>
        </w:rPr>
        <w:t>.</w:t>
      </w:r>
      <w:r w:rsidRPr="00E7615A">
        <w:rPr>
          <w:rFonts w:ascii="Book Antiqua" w:hAnsi="Book Antiqua"/>
          <w:color w:val="000000" w:themeColor="text1"/>
          <w:sz w:val="24"/>
          <w:szCs w:val="24"/>
          <w:lang w:val="en-US"/>
        </w:rPr>
        <w:t>5 ml of PRGF-2 and 3 m</w:t>
      </w:r>
      <w:r w:rsidRPr="00EA4FBF">
        <w:rPr>
          <w:rFonts w:ascii="Book Antiqua" w:hAnsi="Book Antiqua"/>
          <w:caps/>
          <w:color w:val="000000" w:themeColor="text1"/>
          <w:sz w:val="24"/>
          <w:szCs w:val="24"/>
          <w:lang w:val="en-US"/>
        </w:rPr>
        <w:t xml:space="preserve">l </w:t>
      </w:r>
      <w:r w:rsidRPr="00E7615A">
        <w:rPr>
          <w:rFonts w:ascii="Book Antiqua" w:hAnsi="Book Antiqua"/>
          <w:color w:val="000000" w:themeColor="text1"/>
          <w:sz w:val="24"/>
          <w:szCs w:val="24"/>
          <w:lang w:val="en-US"/>
        </w:rPr>
        <w:t>of saline (hereafter referred to as MCBPA/PRGF-</w:t>
      </w:r>
      <w:r w:rsidRPr="00E7615A">
        <w:rPr>
          <w:rFonts w:ascii="Book Antiqua" w:hAnsi="Book Antiqua"/>
          <w:color w:val="000000" w:themeColor="text1"/>
          <w:sz w:val="24"/>
          <w:szCs w:val="24"/>
          <w:lang w:val="en-US"/>
        </w:rPr>
        <w:lastRenderedPageBreak/>
        <w:t>2/saline).</w:t>
      </w:r>
    </w:p>
    <w:p w14:paraId="76FEF761" w14:textId="5D987C8D"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After the patient was prepared for surgery and anesthetized via local infiltration with Ultracain-DS Forte (Sanofi-Aventis, Frankfurt/Main, Germany) the hopeless maxillary tooth 14 was extracted using a minimal traumatic approach with periotomes. Following careful extraction with special emphasis on preservation of the buccal plate of bone the extraction sockets were examined for potential perforation and fenestration. Curettage of the extraction site was performed to remove all soft tissue debris </w:t>
      </w:r>
      <w:r w:rsidR="00424CF8" w:rsidRPr="00E7615A">
        <w:rPr>
          <w:rFonts w:ascii="Book Antiqua" w:hAnsi="Book Antiqua"/>
          <w:color w:val="000000" w:themeColor="text1"/>
          <w:sz w:val="24"/>
          <w:szCs w:val="24"/>
          <w:lang w:val="en-US"/>
        </w:rPr>
        <w:t xml:space="preserve">as well as </w:t>
      </w:r>
      <w:r w:rsidRPr="00E7615A">
        <w:rPr>
          <w:rFonts w:ascii="Book Antiqua" w:hAnsi="Book Antiqua"/>
          <w:color w:val="000000" w:themeColor="text1"/>
          <w:sz w:val="24"/>
          <w:szCs w:val="24"/>
          <w:lang w:val="en-US"/>
        </w:rPr>
        <w:t>granulation tissue</w:t>
      </w:r>
      <w:r w:rsidR="00045322" w:rsidRPr="00E7615A">
        <w:rPr>
          <w:rFonts w:ascii="Book Antiqua" w:hAnsi="Book Antiqua"/>
          <w:color w:val="000000" w:themeColor="text1"/>
          <w:sz w:val="24"/>
          <w:szCs w:val="24"/>
          <w:lang w:val="en-US"/>
        </w:rPr>
        <w:t>, and t</w:t>
      </w:r>
      <w:r w:rsidRPr="00E7615A">
        <w:rPr>
          <w:rFonts w:ascii="Book Antiqua" w:hAnsi="Book Antiqua"/>
          <w:color w:val="000000" w:themeColor="text1"/>
          <w:sz w:val="24"/>
          <w:szCs w:val="24"/>
          <w:lang w:val="en-US"/>
        </w:rPr>
        <w:t xml:space="preserve">o </w:t>
      </w:r>
      <w:r w:rsidR="00045322" w:rsidRPr="00E7615A">
        <w:rPr>
          <w:rFonts w:ascii="Book Antiqua" w:hAnsi="Book Antiqua"/>
          <w:color w:val="000000" w:themeColor="text1"/>
          <w:sz w:val="24"/>
          <w:szCs w:val="24"/>
          <w:lang w:val="en-US"/>
        </w:rPr>
        <w:t xml:space="preserve">promote healing by stimulating </w:t>
      </w:r>
      <w:r w:rsidRPr="00E7615A">
        <w:rPr>
          <w:rFonts w:ascii="Book Antiqua" w:hAnsi="Book Antiqua"/>
          <w:color w:val="000000" w:themeColor="text1"/>
          <w:sz w:val="24"/>
          <w:szCs w:val="24"/>
          <w:lang w:val="en-US"/>
        </w:rPr>
        <w:t xml:space="preserve">bleeding from the osseous base. Additionally, a bilateral external sinus lift procedure using the Tatum </w:t>
      </w:r>
      <w:proofErr w:type="gramStart"/>
      <w:r w:rsidRPr="00E7615A">
        <w:rPr>
          <w:rFonts w:ascii="Book Antiqua" w:hAnsi="Book Antiqua"/>
          <w:color w:val="000000" w:themeColor="text1"/>
          <w:sz w:val="24"/>
          <w:szCs w:val="24"/>
          <w:lang w:val="en-US"/>
        </w:rPr>
        <w:t>technique</w:t>
      </w:r>
      <w:r w:rsidR="00ED1BD0" w:rsidRPr="00E7615A">
        <w:rPr>
          <w:rFonts w:ascii="Book Antiqua" w:hAnsi="Book Antiqua"/>
          <w:color w:val="000000" w:themeColor="text1"/>
          <w:sz w:val="24"/>
          <w:szCs w:val="24"/>
          <w:vertAlign w:val="superscript"/>
          <w:lang w:val="en-US"/>
        </w:rPr>
        <w:t>[</w:t>
      </w:r>
      <w:proofErr w:type="gramEnd"/>
      <w:r w:rsidR="00BA43F8" w:rsidRPr="00E7615A">
        <w:rPr>
          <w:rFonts w:ascii="Book Antiqua" w:hAnsi="Book Antiqua"/>
          <w:color w:val="000000" w:themeColor="text1"/>
          <w:sz w:val="24"/>
          <w:szCs w:val="24"/>
          <w:vertAlign w:val="superscript"/>
          <w:lang w:val="en-US"/>
        </w:rPr>
        <w:t>59</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was performed. The lateral window access was prepared in the areas of the first molars on both sides using a very atraumatic piezosurgery approach (Mectron, Cologne, Germany) to a size of approximately 10 </w:t>
      </w:r>
      <w:r w:rsidR="00EA4FBF" w:rsidRPr="00E7615A">
        <w:rPr>
          <w:rFonts w:ascii="Book Antiqua" w:hAnsi="Book Antiqua"/>
          <w:color w:val="000000" w:themeColor="text1"/>
          <w:sz w:val="24"/>
          <w:szCs w:val="24"/>
          <w:lang w:val="en-US"/>
        </w:rPr>
        <w:t xml:space="preserve">mm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7 mm (length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height) in order to allow for sufficient overview into the sinus cavity and to minimize the reduction of cortical bone for overall stability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2</w:t>
      </w:r>
      <w:r w:rsidRPr="00EA4FBF">
        <w:rPr>
          <w:rFonts w:ascii="Book Antiqua" w:hAnsi="Book Antiqua"/>
          <w:caps/>
          <w:color w:val="000000" w:themeColor="text1"/>
          <w:sz w:val="24"/>
          <w:szCs w:val="24"/>
          <w:lang w:val="en-US"/>
        </w:rPr>
        <w:t>b</w:t>
      </w:r>
      <w:r w:rsidRPr="00E7615A">
        <w:rPr>
          <w:rFonts w:ascii="Book Antiqua" w:hAnsi="Book Antiqua"/>
          <w:color w:val="000000" w:themeColor="text1"/>
          <w:sz w:val="24"/>
          <w:szCs w:val="24"/>
          <w:lang w:val="en-US"/>
        </w:rPr>
        <w:t>)</w:t>
      </w:r>
      <w:r w:rsidR="007F23F8"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Then, the MCBPA/PRGF-2/UA-ADRCs was loosely packed into the prepared right maxillary sinus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2</w:t>
      </w:r>
      <w:r w:rsidRPr="00EA4FBF">
        <w:rPr>
          <w:rFonts w:ascii="Book Antiqua" w:hAnsi="Book Antiqua"/>
          <w:caps/>
          <w:color w:val="000000" w:themeColor="text1"/>
          <w:sz w:val="24"/>
          <w:szCs w:val="24"/>
          <w:lang w:val="en-US"/>
        </w:rPr>
        <w:t>c</w:t>
      </w:r>
      <w:r w:rsidRPr="00E7615A">
        <w:rPr>
          <w:rFonts w:ascii="Book Antiqua" w:hAnsi="Book Antiqua"/>
          <w:color w:val="000000" w:themeColor="text1"/>
          <w:sz w:val="24"/>
          <w:szCs w:val="24"/>
          <w:lang w:val="en-US"/>
        </w:rPr>
        <w:t>), and the MCBPA/PRGF-2/saline into the prepared left maxillary sinus. Afterwards, all sites were covered with a resorbable native pericardium membrane (CopiOs Extend Membrane; Zimmer Biomet Dental) in order to promote the ingrowth of new bone by excluding epithelial migration into the grafted sites. Finally, a soft tissue flap extension</w:t>
      </w:r>
      <w:r w:rsidR="00ED1BD0" w:rsidRPr="00E7615A">
        <w:rPr>
          <w:rFonts w:ascii="Book Antiqua" w:hAnsi="Book Antiqua"/>
          <w:color w:val="000000" w:themeColor="text1"/>
          <w:sz w:val="24"/>
          <w:szCs w:val="24"/>
          <w:vertAlign w:val="superscript"/>
          <w:lang w:val="en-US"/>
        </w:rPr>
        <w:t>[</w:t>
      </w:r>
      <w:r w:rsidR="00737ED3"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0</w:t>
      </w:r>
      <w:r w:rsidR="00737ED3"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1</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was surgically performed and primary closure without tension was achieved using vertical and horizontal cross mattress sutures using Gore-Tex Suture (W.L. Gore and Associates, Inc., Flagstaff, AZ, U</w:t>
      </w:r>
      <w:r w:rsidR="00EA4FBF">
        <w:rPr>
          <w:rFonts w:ascii="Book Antiqua" w:hAnsi="Book Antiqua" w:hint="eastAsia"/>
          <w:color w:val="000000" w:themeColor="text1"/>
          <w:sz w:val="24"/>
          <w:szCs w:val="24"/>
          <w:lang w:val="en-US" w:eastAsia="zh-CN"/>
        </w:rPr>
        <w:t>nited States</w:t>
      </w:r>
      <w:r w:rsidRPr="00E7615A">
        <w:rPr>
          <w:rFonts w:ascii="Book Antiqua" w:hAnsi="Book Antiqua"/>
          <w:color w:val="000000" w:themeColor="text1"/>
          <w:sz w:val="24"/>
          <w:szCs w:val="24"/>
          <w:lang w:val="en-US"/>
        </w:rPr>
        <w:t>)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2</w:t>
      </w:r>
      <w:r w:rsidRPr="00D763AC">
        <w:rPr>
          <w:rFonts w:ascii="Book Antiqua" w:hAnsi="Book Antiqua"/>
          <w:caps/>
          <w:color w:val="000000" w:themeColor="text1"/>
          <w:sz w:val="24"/>
          <w:szCs w:val="24"/>
          <w:lang w:val="en-US"/>
        </w:rPr>
        <w:t>d</w:t>
      </w:r>
      <w:r w:rsidRPr="00E7615A">
        <w:rPr>
          <w:rFonts w:ascii="Book Antiqua" w:hAnsi="Book Antiqua"/>
          <w:color w:val="000000" w:themeColor="text1"/>
          <w:sz w:val="24"/>
          <w:szCs w:val="24"/>
          <w:lang w:val="en-US"/>
        </w:rPr>
        <w:t xml:space="preserve">). The anterior maxillary teeth 11, 12 and 22 were initially preserved for esthetic reasons and </w:t>
      </w:r>
      <w:r w:rsidR="00DE7DB2" w:rsidRPr="00E7615A">
        <w:rPr>
          <w:rFonts w:ascii="Book Antiqua" w:hAnsi="Book Antiqua"/>
          <w:color w:val="000000" w:themeColor="text1"/>
          <w:sz w:val="24"/>
          <w:szCs w:val="24"/>
          <w:lang w:val="en-US"/>
        </w:rPr>
        <w:t>scheduled for extraction 6.5 wk</w:t>
      </w:r>
      <w:r w:rsidRPr="00E7615A">
        <w:rPr>
          <w:rFonts w:ascii="Book Antiqua" w:hAnsi="Book Antiqua"/>
          <w:color w:val="000000" w:themeColor="text1"/>
          <w:sz w:val="24"/>
          <w:szCs w:val="24"/>
          <w:lang w:val="en-US"/>
        </w:rPr>
        <w:t xml:space="preserve"> later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3</w:t>
      </w:r>
      <w:r w:rsidRPr="00D763AC">
        <w:rPr>
          <w:rFonts w:ascii="Book Antiqua" w:hAnsi="Book Antiqua"/>
          <w:caps/>
          <w:color w:val="000000" w:themeColor="text1"/>
          <w:sz w:val="24"/>
          <w:szCs w:val="24"/>
          <w:lang w:val="en-US"/>
        </w:rPr>
        <w:t>a</w:t>
      </w:r>
      <w:r w:rsidRPr="00E7615A">
        <w:rPr>
          <w:rFonts w:ascii="Book Antiqua" w:hAnsi="Book Antiqua"/>
          <w:color w:val="000000" w:themeColor="text1"/>
          <w:sz w:val="24"/>
          <w:szCs w:val="24"/>
          <w:lang w:val="en-US"/>
        </w:rPr>
        <w:t>).</w:t>
      </w:r>
    </w:p>
    <w:p w14:paraId="31B1517A" w14:textId="68ED51CC"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Analgesics (Paracetamol 500 mg, t.i.d.) and prophylactic antibiotics (Amoxicillin 500 mg, t.i.d.) were prescribed for seven days postoperatively. Tooth brushing in the surgical area was restricted for the first </w:t>
      </w:r>
      <w:r w:rsidR="00DE7DB2" w:rsidRPr="00E7615A">
        <w:rPr>
          <w:rFonts w:ascii="Book Antiqua" w:hAnsi="Book Antiqua"/>
          <w:color w:val="000000" w:themeColor="text1"/>
          <w:sz w:val="24"/>
          <w:szCs w:val="24"/>
          <w:lang w:val="en-US" w:eastAsia="zh-CN"/>
        </w:rPr>
        <w:t>2</w:t>
      </w:r>
      <w:r w:rsidR="00DE7DB2" w:rsidRPr="00E7615A">
        <w:rPr>
          <w:rFonts w:ascii="Book Antiqua" w:hAnsi="Book Antiqua"/>
          <w:color w:val="000000" w:themeColor="text1"/>
          <w:sz w:val="24"/>
          <w:szCs w:val="24"/>
          <w:lang w:val="en-US"/>
        </w:rPr>
        <w:t xml:space="preserve"> wk</w:t>
      </w:r>
      <w:r w:rsidRPr="00E7615A">
        <w:rPr>
          <w:rFonts w:ascii="Book Antiqua" w:hAnsi="Book Antiqua"/>
          <w:color w:val="000000" w:themeColor="text1"/>
          <w:sz w:val="24"/>
          <w:szCs w:val="24"/>
          <w:lang w:val="en-US"/>
        </w:rPr>
        <w:t>. In addition, chlorhexidine mouthwash was prescribed to maintain the oral flora and prevent infection. Sutures were removed on the tenth postoperative day, and routine monitoring appointments were held at monthly</w:t>
      </w:r>
      <w:r w:rsidR="007F23F8" w:rsidRPr="00E7615A">
        <w:rPr>
          <w:rFonts w:ascii="Book Antiqua" w:hAnsi="Book Antiqua"/>
          <w:color w:val="000000" w:themeColor="text1"/>
          <w:sz w:val="24"/>
          <w:szCs w:val="24"/>
          <w:lang w:val="en-US"/>
        </w:rPr>
        <w:t xml:space="preserve"> intervals to evaluate healing.</w:t>
      </w:r>
    </w:p>
    <w:p w14:paraId="01E094A9" w14:textId="67F2C5A7"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Six weeks after the first treatment, the patient was reappointed and the maxillary </w:t>
      </w:r>
      <w:r w:rsidRPr="00E7615A">
        <w:rPr>
          <w:rFonts w:ascii="Book Antiqua" w:hAnsi="Book Antiqua"/>
          <w:color w:val="000000" w:themeColor="text1"/>
          <w:sz w:val="24"/>
          <w:szCs w:val="24"/>
          <w:lang w:val="en-US"/>
        </w:rPr>
        <w:lastRenderedPageBreak/>
        <w:t>anterior teeth # 11, 12 and 22 were extracted using the same approach as applied to the maxillary posterior tooth # 14 during the first treatment</w:t>
      </w:r>
      <w:r w:rsidR="004961D7" w:rsidRPr="00E7615A">
        <w:rPr>
          <w:rFonts w:ascii="Book Antiqua" w:hAnsi="Book Antiqua"/>
          <w:color w:val="000000" w:themeColor="text1"/>
          <w:sz w:val="24"/>
          <w:szCs w:val="24"/>
          <w:lang w:val="en-US"/>
        </w:rPr>
        <w:t xml:space="preserve"> (second treatment)</w:t>
      </w:r>
      <w:r w:rsidRPr="00E7615A">
        <w:rPr>
          <w:rFonts w:ascii="Book Antiqua" w:hAnsi="Book Antiqua"/>
          <w:color w:val="000000" w:themeColor="text1"/>
          <w:sz w:val="24"/>
          <w:szCs w:val="24"/>
          <w:lang w:val="en-US"/>
        </w:rPr>
        <w:t xml:space="preserve">. During this procedure, biopsies of the areas grafted during the first treatment with the MCBPA/PRGF-2/UA-ADRCs (right) and the MCBPA/PRGF-2/saline (left) were collected using a trephine bur </w:t>
      </w:r>
      <w:r w:rsidR="00EF78AE" w:rsidRPr="00E7615A">
        <w:rPr>
          <w:rFonts w:ascii="Book Antiqua" w:hAnsi="Book Antiqua"/>
          <w:color w:val="000000" w:themeColor="text1"/>
          <w:sz w:val="24"/>
          <w:szCs w:val="24"/>
          <w:lang w:val="en-US"/>
        </w:rPr>
        <w:t xml:space="preserve">(length: 18 mm; inner diameter: 2.6 mm; </w:t>
      </w:r>
      <w:r w:rsidRPr="00E7615A">
        <w:rPr>
          <w:rFonts w:ascii="Book Antiqua" w:hAnsi="Book Antiqua"/>
          <w:color w:val="000000" w:themeColor="text1"/>
          <w:sz w:val="24"/>
          <w:szCs w:val="24"/>
          <w:lang w:val="en-US"/>
        </w:rPr>
        <w:t>outer diameter: 3.2 mm; Trepan Bur 227A.204.032; Komet Dental, Lemgo, Germany). Biopsies were fixed by immersion in 4% buffered formaldehyde at room temperature</w:t>
      </w:r>
      <w:r w:rsidR="00EF78AE" w:rsidRPr="00E7615A">
        <w:rPr>
          <w:rFonts w:ascii="Book Antiqua" w:hAnsi="Book Antiqua"/>
          <w:color w:val="000000" w:themeColor="text1"/>
          <w:sz w:val="24"/>
          <w:szCs w:val="24"/>
          <w:lang w:val="en-US"/>
        </w:rPr>
        <w:t xml:space="preserve">. After </w:t>
      </w:r>
      <w:r w:rsidRPr="00E7615A">
        <w:rPr>
          <w:rFonts w:ascii="Book Antiqua" w:hAnsi="Book Antiqua"/>
          <w:color w:val="000000" w:themeColor="text1"/>
          <w:sz w:val="24"/>
          <w:szCs w:val="24"/>
          <w:lang w:val="en-US"/>
        </w:rPr>
        <w:t>at least one day</w:t>
      </w:r>
      <w:r w:rsidR="00EF78AE" w:rsidRPr="00E7615A">
        <w:rPr>
          <w:rFonts w:ascii="Book Antiqua" w:hAnsi="Book Antiqua"/>
          <w:color w:val="000000" w:themeColor="text1"/>
          <w:sz w:val="24"/>
          <w:szCs w:val="24"/>
          <w:lang w:val="en-US"/>
        </w:rPr>
        <w:t xml:space="preserve"> of fixation they were </w:t>
      </w:r>
      <w:r w:rsidRPr="00E7615A">
        <w:rPr>
          <w:rFonts w:ascii="Book Antiqua" w:hAnsi="Book Antiqua"/>
          <w:color w:val="000000" w:themeColor="text1"/>
          <w:sz w:val="24"/>
          <w:szCs w:val="24"/>
          <w:lang w:val="en-US"/>
        </w:rPr>
        <w:t>prepared for histologic and immunohistologic</w:t>
      </w:r>
      <w:r w:rsidR="00BC2423" w:rsidRPr="00E7615A">
        <w:rPr>
          <w:rFonts w:ascii="Book Antiqua" w:hAnsi="Book Antiqua"/>
          <w:color w:val="000000" w:themeColor="text1"/>
          <w:sz w:val="24"/>
          <w:szCs w:val="24"/>
          <w:lang w:val="en-US"/>
        </w:rPr>
        <w:t>al</w:t>
      </w:r>
      <w:r w:rsidRPr="00E7615A">
        <w:rPr>
          <w:rFonts w:ascii="Book Antiqua" w:hAnsi="Book Antiqua"/>
          <w:color w:val="000000" w:themeColor="text1"/>
          <w:sz w:val="24"/>
          <w:szCs w:val="24"/>
          <w:lang w:val="en-US"/>
        </w:rPr>
        <w:t xml:space="preserve"> analysis (described in detail below). </w:t>
      </w:r>
    </w:p>
    <w:p w14:paraId="4BFC12D4" w14:textId="19EE3AB7"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The postoperative management (prescription of analgetics, antibiotic</w:t>
      </w:r>
      <w:r w:rsidR="00BC2423" w:rsidRPr="00E7615A">
        <w:rPr>
          <w:rFonts w:ascii="Book Antiqua" w:hAnsi="Book Antiqua"/>
          <w:color w:val="000000" w:themeColor="text1"/>
          <w:sz w:val="24"/>
          <w:szCs w:val="24"/>
          <w:lang w:val="en-US"/>
        </w:rPr>
        <w:t xml:space="preserve">s and chlorhexidine mouthwash, </w:t>
      </w:r>
      <w:r w:rsidRPr="00E7615A">
        <w:rPr>
          <w:rFonts w:ascii="Book Antiqua" w:hAnsi="Book Antiqua"/>
          <w:color w:val="000000" w:themeColor="text1"/>
          <w:sz w:val="24"/>
          <w:szCs w:val="24"/>
          <w:lang w:val="en-US"/>
        </w:rPr>
        <w:t>restriction of tooth brushing in the surgical area, removal of sutures and routine monitoring) was the same as performed during the first treatment.</w:t>
      </w:r>
    </w:p>
    <w:p w14:paraId="40D57504" w14:textId="23326BE1"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The patient</w:t>
      </w:r>
      <w:r w:rsidR="00DE7DB2" w:rsidRPr="00E7615A">
        <w:rPr>
          <w:rFonts w:ascii="Book Antiqua" w:hAnsi="Book Antiqua"/>
          <w:color w:val="000000" w:themeColor="text1"/>
          <w:sz w:val="24"/>
          <w:szCs w:val="24"/>
          <w:lang w:val="en-US"/>
        </w:rPr>
        <w:t xml:space="preserve"> was reappointed again at 34 wk</w:t>
      </w:r>
      <w:r w:rsidRPr="00E7615A">
        <w:rPr>
          <w:rFonts w:ascii="Book Antiqua" w:hAnsi="Book Antiqua"/>
          <w:color w:val="000000" w:themeColor="text1"/>
          <w:sz w:val="24"/>
          <w:szCs w:val="24"/>
          <w:lang w:val="en-US"/>
        </w:rPr>
        <w:t xml:space="preserve"> after the second treatment and prepared for dental implant placement surgery</w:t>
      </w:r>
      <w:r w:rsidR="004961D7" w:rsidRPr="00E7615A">
        <w:rPr>
          <w:rFonts w:ascii="Book Antiqua" w:hAnsi="Book Antiqua"/>
          <w:color w:val="000000" w:themeColor="text1"/>
          <w:sz w:val="24"/>
          <w:szCs w:val="24"/>
          <w:lang w:val="en-US"/>
        </w:rPr>
        <w:t xml:space="preserve"> (third treatment)</w:t>
      </w:r>
      <w:r w:rsidRPr="00E7615A">
        <w:rPr>
          <w:rFonts w:ascii="Book Antiqua" w:hAnsi="Book Antiqua"/>
          <w:color w:val="000000" w:themeColor="text1"/>
          <w:sz w:val="24"/>
          <w:szCs w:val="24"/>
          <w:lang w:val="en-US"/>
        </w:rPr>
        <w:t xml:space="preserve">. Anesthesia was induced via local infiltration of Ultracain-DS Forte (Sanofi-Aventis). Then, an osteotomy for implant placement was initially prepared in the alveolar bone using a trephine bur that was identical to the one used during the second treatment (Trepan Bur 227A.204.032; Komet Dental), and biopsies of the areas grafted during the first treatment with the MCBPA/PRGF-2/UA-ADRCs (right side) and the MCBPA/PRGF-2/saline (left side) were collected (these biopsies were handled and processed in the same way as the biopsies that were collected during the second treatment). The osteotomies for implant placement were prepared by sequential cutting to the radiographically determined length with surgical drills in graduated diameters according to the dental implant manufacturer’s instructions of use. Implants were then placed according to the manufacturer’s recommendations (ASTRA TECH implants with cover screw, Dentsply, Mannheim, Germany). Implants of the following dimensions were inserted into the finally prepared osteotomies: regions 16 and 26: 5.0 S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11 mm; region 14: 4.0 S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13 mm; regions 12, 15 and 25: 4.0 S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11 mm; and region 22: 3</w:t>
      </w:r>
      <w:r w:rsidR="0005339A">
        <w:rPr>
          <w:rFonts w:ascii="Book Antiqua" w:hAnsi="Book Antiqua" w:hint="eastAsia"/>
          <w:color w:val="000000" w:themeColor="text1"/>
          <w:sz w:val="24"/>
          <w:szCs w:val="24"/>
          <w:lang w:val="en-US" w:eastAsia="zh-CN"/>
        </w:rPr>
        <w:t>.</w:t>
      </w:r>
      <w:r w:rsidRPr="00E7615A">
        <w:rPr>
          <w:rFonts w:ascii="Book Antiqua" w:hAnsi="Book Antiqua"/>
          <w:color w:val="000000" w:themeColor="text1"/>
          <w:sz w:val="24"/>
          <w:szCs w:val="24"/>
          <w:lang w:val="en-US"/>
        </w:rPr>
        <w:t xml:space="preserve">5 S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11 mm. All implants achieved a hig</w:t>
      </w:r>
      <w:r w:rsidR="00BC2423" w:rsidRPr="00E7615A">
        <w:rPr>
          <w:rFonts w:ascii="Book Antiqua" w:hAnsi="Book Antiqua"/>
          <w:color w:val="000000" w:themeColor="text1"/>
          <w:sz w:val="24"/>
          <w:szCs w:val="24"/>
          <w:lang w:val="en-US"/>
        </w:rPr>
        <w:t>h primary stability of</w:t>
      </w:r>
      <w:r w:rsidRPr="00E7615A">
        <w:rPr>
          <w:rFonts w:ascii="Book Antiqua" w:hAnsi="Book Antiqua"/>
          <w:color w:val="000000" w:themeColor="text1"/>
          <w:sz w:val="24"/>
          <w:szCs w:val="24"/>
          <w:lang w:val="en-US"/>
        </w:rPr>
        <w:t xml:space="preserve"> 25-30 Ncm insertion torque. The implant access holes were closed with cover screws prior to primary soft tissue closure as performed during the first </w:t>
      </w:r>
      <w:r w:rsidRPr="00E7615A">
        <w:rPr>
          <w:rFonts w:ascii="Book Antiqua" w:hAnsi="Book Antiqua"/>
          <w:color w:val="000000" w:themeColor="text1"/>
          <w:sz w:val="24"/>
          <w:szCs w:val="24"/>
          <w:lang w:val="en-US"/>
        </w:rPr>
        <w:lastRenderedPageBreak/>
        <w:t>treatment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3</w:t>
      </w:r>
      <w:r w:rsidRPr="0005339A">
        <w:rPr>
          <w:rFonts w:ascii="Book Antiqua" w:hAnsi="Book Antiqua"/>
          <w:caps/>
          <w:color w:val="000000" w:themeColor="text1"/>
          <w:sz w:val="24"/>
          <w:szCs w:val="24"/>
          <w:lang w:val="en-US"/>
        </w:rPr>
        <w:t>b</w:t>
      </w:r>
      <w:r w:rsidRPr="00E7615A">
        <w:rPr>
          <w:rFonts w:ascii="Book Antiqua" w:hAnsi="Book Antiqua"/>
          <w:color w:val="000000" w:themeColor="text1"/>
          <w:sz w:val="24"/>
          <w:szCs w:val="24"/>
          <w:lang w:val="en-US"/>
        </w:rPr>
        <w:t>).</w:t>
      </w:r>
      <w:r w:rsidR="004961D7"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The postoperative management was the same as performed during the first and second treatments.</w:t>
      </w:r>
    </w:p>
    <w:p w14:paraId="5186EE6F" w14:textId="44C65A86"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Twelve months after the third treatment radiographs were taken and demonstrated excellent bone healing around the dental implants, within the augmented sinus and the extraction sockets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4)</w:t>
      </w:r>
      <w:r w:rsidR="004961D7" w:rsidRPr="00E7615A">
        <w:rPr>
          <w:rFonts w:ascii="Book Antiqua" w:hAnsi="Book Antiqua"/>
          <w:color w:val="000000" w:themeColor="text1"/>
          <w:sz w:val="24"/>
          <w:szCs w:val="24"/>
          <w:lang w:val="en-US"/>
        </w:rPr>
        <w:t xml:space="preserve"> (fourth treatment) </w:t>
      </w:r>
      <w:r w:rsidRPr="00E7615A">
        <w:rPr>
          <w:rFonts w:ascii="Book Antiqua" w:hAnsi="Book Antiqua"/>
          <w:color w:val="000000" w:themeColor="text1"/>
          <w:sz w:val="24"/>
          <w:szCs w:val="24"/>
          <w:lang w:val="en-US"/>
        </w:rPr>
        <w:t xml:space="preserve">(note that the long time between the third and the fourth treatment was due to constraints of time on the side of the patient; from a medical point of view the fourth treatment could have been performed already at four months after the third treatment). No radiological signs of inflammation were observed. The patient was reappointed again and prepared for uncovering of the implants and implant abutment placement surgery as well as extraction of tooth #18. Anesthesia was induced </w:t>
      </w:r>
      <w:r w:rsidRPr="0005339A">
        <w:rPr>
          <w:rFonts w:ascii="Book Antiqua" w:hAnsi="Book Antiqua"/>
          <w:i/>
          <w:color w:val="000000" w:themeColor="text1"/>
          <w:sz w:val="24"/>
          <w:szCs w:val="24"/>
          <w:lang w:val="en-US"/>
        </w:rPr>
        <w:t>via</w:t>
      </w:r>
      <w:r w:rsidRPr="00E7615A">
        <w:rPr>
          <w:rFonts w:ascii="Book Antiqua" w:hAnsi="Book Antiqua"/>
          <w:color w:val="000000" w:themeColor="text1"/>
          <w:sz w:val="24"/>
          <w:szCs w:val="24"/>
          <w:lang w:val="en-US"/>
        </w:rPr>
        <w:t xml:space="preserve"> local infiltration of Ultracain-DS Forte (Sanofi-Aventis). Localized mucoperiosteal flaps were raised and the cover screws were removed from the implant access holes. The implant access holes were rinsed using 2% chlorhexidine solution and were then covered with ASTRA Tech Implant healing abutments (‘Gingivaformer’) of the following dimensions: regions 16 and 26: 5.5 </w:t>
      </w:r>
      <w:r w:rsidR="0005339A" w:rsidRPr="00E7615A">
        <w:rPr>
          <w:rFonts w:ascii="Book Antiqua" w:hAnsi="Book Antiqua"/>
          <w:color w:val="000000" w:themeColor="text1"/>
          <w:sz w:val="24"/>
          <w:szCs w:val="24"/>
          <w:lang w:val="en-US"/>
        </w:rPr>
        <w:t xml:space="preserve">mm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4.0 mm; regions 12, 14, 15 and 25: 4.5 </w:t>
      </w:r>
      <w:r w:rsidR="0005339A" w:rsidRPr="00E7615A">
        <w:rPr>
          <w:rFonts w:ascii="Book Antiqua" w:hAnsi="Book Antiqua"/>
          <w:color w:val="000000" w:themeColor="text1"/>
          <w:sz w:val="24"/>
          <w:szCs w:val="24"/>
          <w:lang w:val="en-US"/>
        </w:rPr>
        <w:t xml:space="preserve">mm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4.0 mm; and region 22: 3</w:t>
      </w:r>
      <w:r w:rsidR="0005339A">
        <w:rPr>
          <w:rFonts w:ascii="Book Antiqua" w:hAnsi="Book Antiqua" w:hint="eastAsia"/>
          <w:color w:val="000000" w:themeColor="text1"/>
          <w:sz w:val="24"/>
          <w:szCs w:val="24"/>
          <w:lang w:val="en-US" w:eastAsia="zh-CN"/>
        </w:rPr>
        <w:t>.</w:t>
      </w:r>
      <w:r w:rsidRPr="00E7615A">
        <w:rPr>
          <w:rFonts w:ascii="Book Antiqua" w:hAnsi="Book Antiqua"/>
          <w:color w:val="000000" w:themeColor="text1"/>
          <w:sz w:val="24"/>
          <w:szCs w:val="24"/>
          <w:lang w:val="en-US"/>
        </w:rPr>
        <w:t xml:space="preserve">5 </w:t>
      </w:r>
      <w:r w:rsidR="00746FE4" w:rsidRPr="00E7615A">
        <w:rPr>
          <w:rFonts w:ascii="Book Antiqua" w:hAnsi="Book Antiqua"/>
          <w:color w:val="000000" w:themeColor="text1"/>
          <w:sz w:val="24"/>
          <w:szCs w:val="24"/>
          <w:lang w:val="en-US"/>
        </w:rPr>
        <w:t xml:space="preserve">mm </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4.0 mm.</w:t>
      </w:r>
    </w:p>
    <w:p w14:paraId="17208FA9" w14:textId="088BB308"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Prior to closure of the implant access hole, the healing abutment screws were covered with 2% chlorhexidine gel in order to minimize bacterial contamination. The healing abutments were placed using a torque of 20 Ncm, according to the manufacturer’s recommendations. All implants were surrounded with very sufficient three-dimensional bone volume and demonstrated excellent stability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4). No clinical signs of inflammation were observed. Tooth # 18 was carefully extracted using a piezosurgery device as described above. Following achievement of primary closure around the healing abutments as described for the other treatments, the same postoperative care regimen was administered as described above and the sutures were removed approximately 10 d postoperatively.</w:t>
      </w:r>
    </w:p>
    <w:p w14:paraId="5375A361" w14:textId="5B3FB9A7"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Six weeks after placement of the healing abutments, the definitive prosthetic telescopic bridge (prepared by Dr. Johanna Hevelke, Winsen/ Luhe, Germany) was placed </w:t>
      </w:r>
      <w:r w:rsidR="004961D7" w:rsidRPr="00E7615A">
        <w:rPr>
          <w:rFonts w:ascii="Book Antiqua" w:hAnsi="Book Antiqua"/>
          <w:color w:val="000000" w:themeColor="text1"/>
          <w:sz w:val="24"/>
          <w:szCs w:val="24"/>
          <w:lang w:val="en-US"/>
        </w:rPr>
        <w:t>(fifth treatment)</w:t>
      </w:r>
      <w:r w:rsidRPr="00E7615A">
        <w:rPr>
          <w:rFonts w:ascii="Book Antiqua" w:hAnsi="Book Antiqua"/>
          <w:color w:val="000000" w:themeColor="text1"/>
          <w:sz w:val="24"/>
          <w:szCs w:val="24"/>
          <w:lang w:val="en-US"/>
        </w:rPr>
        <w:t xml:space="preserve">. </w:t>
      </w:r>
    </w:p>
    <w:p w14:paraId="7F95EE92" w14:textId="725FE00B"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Histologic processing of the biopsies was performed at the </w:t>
      </w:r>
      <w:r w:rsidRPr="00E7615A">
        <w:rPr>
          <w:rFonts w:ascii="Book Antiqua" w:hAnsi="Book Antiqua"/>
          <w:bCs/>
          <w:color w:val="000000" w:themeColor="text1"/>
          <w:sz w:val="24"/>
          <w:szCs w:val="24"/>
          <w:lang w:val="en-US"/>
        </w:rPr>
        <w:t xml:space="preserve">Department of </w:t>
      </w:r>
      <w:r w:rsidRPr="00E7615A">
        <w:rPr>
          <w:rFonts w:ascii="Book Antiqua" w:hAnsi="Book Antiqua"/>
          <w:bCs/>
          <w:color w:val="000000" w:themeColor="text1"/>
          <w:sz w:val="24"/>
          <w:szCs w:val="24"/>
          <w:lang w:val="en-US"/>
        </w:rPr>
        <w:lastRenderedPageBreak/>
        <w:t xml:space="preserve">Orthodontics, Center of Dento-Maxillo-Facial Medicine, University of Bonn, Bonn, Germany. </w:t>
      </w:r>
      <w:r w:rsidR="00EF78AE" w:rsidRPr="00E7615A">
        <w:rPr>
          <w:rFonts w:ascii="Book Antiqua" w:hAnsi="Book Antiqua"/>
          <w:bCs/>
          <w:color w:val="000000" w:themeColor="text1"/>
          <w:sz w:val="24"/>
          <w:szCs w:val="24"/>
          <w:lang w:val="en-US"/>
        </w:rPr>
        <w:t>To this end,</w:t>
      </w:r>
      <w:r w:rsidRPr="00E7615A">
        <w:rPr>
          <w:rFonts w:ascii="Book Antiqua" w:hAnsi="Book Antiqua"/>
          <w:color w:val="000000" w:themeColor="text1"/>
          <w:sz w:val="24"/>
          <w:szCs w:val="24"/>
          <w:lang w:val="en-US"/>
        </w:rPr>
        <w:t xml:space="preserve"> the </w:t>
      </w:r>
      <w:r w:rsidR="00EF78AE" w:rsidRPr="00E7615A">
        <w:rPr>
          <w:rFonts w:ascii="Book Antiqua" w:hAnsi="Book Antiqua"/>
          <w:color w:val="000000" w:themeColor="text1"/>
          <w:sz w:val="24"/>
          <w:szCs w:val="24"/>
          <w:lang w:val="en-US"/>
        </w:rPr>
        <w:t xml:space="preserve">fixed </w:t>
      </w:r>
      <w:r w:rsidRPr="00E7615A">
        <w:rPr>
          <w:rFonts w:ascii="Book Antiqua" w:hAnsi="Book Antiqua"/>
          <w:color w:val="000000" w:themeColor="text1"/>
          <w:sz w:val="24"/>
          <w:szCs w:val="24"/>
          <w:lang w:val="en-US"/>
        </w:rPr>
        <w:t xml:space="preserve">biopsies were decalcified </w:t>
      </w:r>
      <w:r w:rsidR="00EF78AE" w:rsidRPr="00E7615A">
        <w:rPr>
          <w:rFonts w:ascii="Book Antiqua" w:hAnsi="Book Antiqua"/>
          <w:color w:val="000000" w:themeColor="text1"/>
          <w:sz w:val="24"/>
          <w:szCs w:val="24"/>
          <w:lang w:val="en-US"/>
        </w:rPr>
        <w:t xml:space="preserve">in 4.1% disodium ethylenediaminetetraacetic acid (EDTA) solution at room temperature </w:t>
      </w:r>
      <w:r w:rsidRPr="00E7615A">
        <w:rPr>
          <w:rFonts w:ascii="Book Antiqua" w:hAnsi="Book Antiqua"/>
          <w:color w:val="000000" w:themeColor="text1"/>
          <w:sz w:val="24"/>
          <w:szCs w:val="24"/>
          <w:lang w:val="en-US"/>
        </w:rPr>
        <w:t>for about seven days, w</w:t>
      </w:r>
      <w:r w:rsidR="00EF78AE" w:rsidRPr="00E7615A">
        <w:rPr>
          <w:rFonts w:ascii="Book Antiqua" w:hAnsi="Book Antiqua"/>
          <w:color w:val="000000" w:themeColor="text1"/>
          <w:sz w:val="24"/>
          <w:szCs w:val="24"/>
          <w:lang w:val="en-US"/>
        </w:rPr>
        <w:t xml:space="preserve">ith changing the EDTA solution </w:t>
      </w:r>
      <w:r w:rsidRPr="00E7615A">
        <w:rPr>
          <w:rFonts w:ascii="Book Antiqua" w:hAnsi="Book Antiqua"/>
          <w:color w:val="000000" w:themeColor="text1"/>
          <w:sz w:val="24"/>
          <w:szCs w:val="24"/>
          <w:lang w:val="en-US"/>
        </w:rPr>
        <w:t xml:space="preserve">every 24 h. </w:t>
      </w:r>
      <w:r w:rsidR="00EF78AE" w:rsidRPr="00E7615A">
        <w:rPr>
          <w:rFonts w:ascii="Book Antiqua" w:hAnsi="Book Antiqua"/>
          <w:color w:val="000000" w:themeColor="text1"/>
          <w:sz w:val="24"/>
          <w:szCs w:val="24"/>
          <w:lang w:val="en-US"/>
        </w:rPr>
        <w:t xml:space="preserve">Then, the biopsies were </w:t>
      </w:r>
      <w:r w:rsidRPr="00E7615A">
        <w:rPr>
          <w:rFonts w:ascii="Book Antiqua" w:hAnsi="Book Antiqua"/>
          <w:color w:val="000000" w:themeColor="text1"/>
          <w:sz w:val="24"/>
          <w:szCs w:val="24"/>
          <w:lang w:val="en-US"/>
        </w:rPr>
        <w:t>hydrat</w:t>
      </w:r>
      <w:r w:rsidR="00EF78AE" w:rsidRPr="00E7615A">
        <w:rPr>
          <w:rFonts w:ascii="Book Antiqua" w:hAnsi="Book Antiqua"/>
          <w:color w:val="000000" w:themeColor="text1"/>
          <w:sz w:val="24"/>
          <w:szCs w:val="24"/>
          <w:lang w:val="en-US"/>
        </w:rPr>
        <w:t>ed</w:t>
      </w:r>
      <w:r w:rsidRPr="00E7615A">
        <w:rPr>
          <w:rFonts w:ascii="Book Antiqua" w:hAnsi="Book Antiqua"/>
          <w:color w:val="000000" w:themeColor="text1"/>
          <w:sz w:val="24"/>
          <w:szCs w:val="24"/>
          <w:lang w:val="en-US"/>
        </w:rPr>
        <w:t xml:space="preserve">, </w:t>
      </w:r>
      <w:r w:rsidR="00EF78AE" w:rsidRPr="00E7615A">
        <w:rPr>
          <w:rFonts w:ascii="Book Antiqua" w:hAnsi="Book Antiqua"/>
          <w:color w:val="000000" w:themeColor="text1"/>
          <w:sz w:val="24"/>
          <w:szCs w:val="24"/>
          <w:lang w:val="en-US"/>
        </w:rPr>
        <w:t xml:space="preserve">followed by rehydration </w:t>
      </w:r>
      <w:r w:rsidRPr="00E7615A">
        <w:rPr>
          <w:rFonts w:ascii="Book Antiqua" w:hAnsi="Book Antiqua"/>
          <w:color w:val="000000" w:themeColor="text1"/>
          <w:sz w:val="24"/>
          <w:szCs w:val="24"/>
          <w:lang w:val="en-US"/>
        </w:rPr>
        <w:t>in an ascending series of ethanol</w:t>
      </w:r>
      <w:r w:rsidR="00EF78AE" w:rsidRPr="00E7615A">
        <w:rPr>
          <w:rFonts w:ascii="Book Antiqua" w:hAnsi="Book Antiqua"/>
          <w:color w:val="000000" w:themeColor="text1"/>
          <w:sz w:val="24"/>
          <w:szCs w:val="24"/>
          <w:lang w:val="en-US"/>
        </w:rPr>
        <w:t xml:space="preserve">. Afterwards they were </w:t>
      </w:r>
      <w:r w:rsidRPr="00E7615A">
        <w:rPr>
          <w:rFonts w:ascii="Book Antiqua" w:hAnsi="Book Antiqua"/>
          <w:color w:val="000000" w:themeColor="text1"/>
          <w:sz w:val="24"/>
          <w:szCs w:val="24"/>
          <w:lang w:val="en-US"/>
        </w:rPr>
        <w:t>embedded in paraffin</w:t>
      </w:r>
      <w:r w:rsidR="00EF78AE"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and cut into 3 µm thick serial longitudinal sections. The sections were mounted on Superfrost Plus slides (Gerhard Menzel, Braunschweig, Germany). Sections representing positions within the biopsies near the longitudinal axis were stained with haematoxylin and eosin stain, or were processed with immunohistochemistry. Finally, all sections were coverslipped with DePeX (Serva, Heidelberg, Germany).</w:t>
      </w:r>
    </w:p>
    <w:p w14:paraId="5C3C714B" w14:textId="4470473F"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Relative amounts (area/area) of bone, allograft, connective tissue and fibrin, adipocytes, arteries and veins were determined on the sections that were stained with haematoxylin and eosin stain using point counting as described in detail in</w:t>
      </w:r>
      <w:r w:rsidR="00ED1BD0" w:rsidRPr="00E7615A">
        <w:rPr>
          <w:rFonts w:ascii="Book Antiqua" w:hAnsi="Book Antiqua"/>
          <w:color w:val="000000" w:themeColor="text1"/>
          <w:sz w:val="24"/>
          <w:szCs w:val="24"/>
          <w:vertAlign w:val="superscript"/>
          <w:lang w:val="en-US"/>
        </w:rPr>
        <w:t>[</w:t>
      </w:r>
      <w:r w:rsidR="00737ED3" w:rsidRPr="00E7615A">
        <w:rPr>
          <w:rFonts w:ascii="Book Antiqua" w:hAnsi="Book Antiqua"/>
          <w:color w:val="000000" w:themeColor="text1"/>
          <w:sz w:val="24"/>
          <w:szCs w:val="24"/>
          <w:vertAlign w:val="superscript"/>
          <w:lang w:val="en-US"/>
        </w:rPr>
        <w:t>5</w:t>
      </w:r>
      <w:r w:rsidR="00BA43F8" w:rsidRPr="00E7615A">
        <w:rPr>
          <w:rFonts w:ascii="Book Antiqua" w:hAnsi="Book Antiqua"/>
          <w:color w:val="000000" w:themeColor="text1"/>
          <w:sz w:val="24"/>
          <w:szCs w:val="24"/>
          <w:vertAlign w:val="superscript"/>
          <w:lang w:val="en-US"/>
        </w:rPr>
        <w:t>6</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1B). The distance between the points was 110 µm in XY directions, resulting in a mean total number of 943 (range, 662-1172) points per section. Analyses were performed with a computerized stereology workstation, consisting of a modified light microscope (Axioskop; Carl Zeiss Microscopy, Jena, Germany) with Plan-Neofluar objectives 2.5× (numerical aperture [NA] = 0.075) and 10× (NA = 0.3) (Carl Zeiss Microscopy), motorized specimen stage (BioPrecision2; Ludl Electronics, Hawthorne, NY, U</w:t>
      </w:r>
      <w:r w:rsidR="00746FE4">
        <w:rPr>
          <w:rFonts w:ascii="Book Antiqua" w:hAnsi="Book Antiqua" w:hint="eastAsia"/>
          <w:color w:val="000000" w:themeColor="text1"/>
          <w:sz w:val="24"/>
          <w:szCs w:val="24"/>
          <w:lang w:val="en-US" w:eastAsia="zh-CN"/>
        </w:rPr>
        <w:t>nited States</w:t>
      </w:r>
      <w:r w:rsidRPr="00E7615A">
        <w:rPr>
          <w:rFonts w:ascii="Book Antiqua" w:hAnsi="Book Antiqua"/>
          <w:color w:val="000000" w:themeColor="text1"/>
          <w:sz w:val="24"/>
          <w:szCs w:val="24"/>
          <w:lang w:val="en-US"/>
        </w:rPr>
        <w:t xml:space="preserve">), stage controller (MAC 6000 XY; Ludl Electronics) focus encoder (MT 1271; Heidenhain, Traunreut, Germany), CCD color video camera (1,600 x 1,200 pixels; MBF Bioscience, Williston, VT, </w:t>
      </w:r>
      <w:r w:rsidR="00746FE4" w:rsidRPr="00E7615A">
        <w:rPr>
          <w:rFonts w:ascii="Book Antiqua" w:hAnsi="Book Antiqua"/>
          <w:color w:val="000000" w:themeColor="text1"/>
          <w:sz w:val="24"/>
          <w:szCs w:val="24"/>
          <w:lang w:val="en-US"/>
        </w:rPr>
        <w:t>U</w:t>
      </w:r>
      <w:r w:rsidR="00746FE4">
        <w:rPr>
          <w:rFonts w:ascii="Book Antiqua" w:hAnsi="Book Antiqua" w:hint="eastAsia"/>
          <w:color w:val="000000" w:themeColor="text1"/>
          <w:sz w:val="24"/>
          <w:szCs w:val="24"/>
          <w:lang w:val="en-US" w:eastAsia="zh-CN"/>
        </w:rPr>
        <w:t>nited States</w:t>
      </w:r>
      <w:r w:rsidRPr="00E7615A">
        <w:rPr>
          <w:rFonts w:ascii="Book Antiqua" w:hAnsi="Book Antiqua"/>
          <w:color w:val="000000" w:themeColor="text1"/>
          <w:sz w:val="24"/>
          <w:szCs w:val="24"/>
          <w:lang w:val="en-US"/>
        </w:rPr>
        <w:t>)</w:t>
      </w:r>
      <w:r w:rsidR="007F23F8"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and stereology software (Stereo Investigator version 10; MBF Bioscience).</w:t>
      </w:r>
    </w:p>
    <w:p w14:paraId="5EF4ADFE" w14:textId="2A49FE32" w:rsidR="00A37FD9" w:rsidRPr="00E7615A" w:rsidRDefault="00A710B1"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After de</w:t>
      </w:r>
      <w:r w:rsidR="00A37FD9" w:rsidRPr="00E7615A">
        <w:rPr>
          <w:rFonts w:ascii="Book Antiqua" w:hAnsi="Book Antiqua"/>
          <w:color w:val="000000" w:themeColor="text1"/>
          <w:sz w:val="24"/>
          <w:szCs w:val="24"/>
          <w:lang w:val="en-US"/>
        </w:rPr>
        <w:t xml:space="preserve">paraffinizing and rehydrating, sections were rinsed for 10 min in tris-buffered saline (TBS). Histochemical detection of tartrate-resistant acid phosphatase (TRAP) was performed </w:t>
      </w:r>
      <w:r w:rsidR="00EF78AE" w:rsidRPr="00E7615A">
        <w:rPr>
          <w:rFonts w:ascii="Book Antiqua" w:hAnsi="Book Antiqua"/>
          <w:color w:val="000000" w:themeColor="text1"/>
          <w:sz w:val="24"/>
          <w:szCs w:val="24"/>
          <w:lang w:val="en-US"/>
        </w:rPr>
        <w:t xml:space="preserve">with a specific </w:t>
      </w:r>
      <w:r w:rsidR="00A37FD9" w:rsidRPr="00E7615A">
        <w:rPr>
          <w:rFonts w:ascii="Book Antiqua" w:hAnsi="Book Antiqua"/>
          <w:color w:val="000000" w:themeColor="text1"/>
          <w:sz w:val="24"/>
          <w:szCs w:val="24"/>
          <w:lang w:val="en-US"/>
        </w:rPr>
        <w:t>Acid Phosphatase staining kit (Sigma-Aldrich, Steinheim, Germany) according to the staining protocol of the manufacturer. For immunohistochemistry, endogenous peroxidase was blocked in a methanol/H</w:t>
      </w:r>
      <w:r w:rsidR="00A37FD9" w:rsidRPr="00E7615A">
        <w:rPr>
          <w:rFonts w:ascii="Book Antiqua" w:hAnsi="Book Antiqua"/>
          <w:color w:val="000000" w:themeColor="text1"/>
          <w:sz w:val="24"/>
          <w:szCs w:val="24"/>
          <w:vertAlign w:val="subscript"/>
          <w:lang w:val="en-US"/>
        </w:rPr>
        <w:t>2</w:t>
      </w:r>
      <w:r w:rsidR="00A37FD9" w:rsidRPr="00E7615A">
        <w:rPr>
          <w:rFonts w:ascii="Book Antiqua" w:hAnsi="Book Antiqua"/>
          <w:color w:val="000000" w:themeColor="text1"/>
          <w:sz w:val="24"/>
          <w:szCs w:val="24"/>
          <w:lang w:val="en-US"/>
        </w:rPr>
        <w:t>O</w:t>
      </w:r>
      <w:r w:rsidR="00A37FD9" w:rsidRPr="00E7615A">
        <w:rPr>
          <w:rFonts w:ascii="Book Antiqua" w:hAnsi="Book Antiqua"/>
          <w:color w:val="000000" w:themeColor="text1"/>
          <w:sz w:val="24"/>
          <w:szCs w:val="24"/>
          <w:vertAlign w:val="subscript"/>
          <w:lang w:val="en-US"/>
        </w:rPr>
        <w:t>2</w:t>
      </w:r>
      <w:r w:rsidR="00A37FD9" w:rsidRPr="00E7615A">
        <w:rPr>
          <w:rFonts w:ascii="Book Antiqua" w:hAnsi="Book Antiqua"/>
          <w:color w:val="000000" w:themeColor="text1"/>
          <w:sz w:val="24"/>
          <w:szCs w:val="24"/>
          <w:lang w:val="en-US"/>
        </w:rPr>
        <w:t xml:space="preserve"> (Merck, Darmstadt, Germany) solution for 45 min</w:t>
      </w:r>
      <w:r w:rsidR="00EF78AE" w:rsidRPr="00E7615A">
        <w:rPr>
          <w:rFonts w:ascii="Book Antiqua" w:hAnsi="Book Antiqua"/>
          <w:color w:val="000000" w:themeColor="text1"/>
          <w:sz w:val="24"/>
          <w:szCs w:val="24"/>
          <w:lang w:val="en-US"/>
        </w:rPr>
        <w:t xml:space="preserve">; the latter was performed </w:t>
      </w:r>
      <w:r w:rsidR="00A37FD9" w:rsidRPr="00E7615A">
        <w:rPr>
          <w:rFonts w:ascii="Book Antiqua" w:hAnsi="Book Antiqua"/>
          <w:color w:val="000000" w:themeColor="text1"/>
          <w:sz w:val="24"/>
          <w:szCs w:val="24"/>
          <w:lang w:val="en-US"/>
        </w:rPr>
        <w:t xml:space="preserve">in the dark. </w:t>
      </w:r>
      <w:r w:rsidR="00A37FD9" w:rsidRPr="00E7615A">
        <w:rPr>
          <w:rFonts w:ascii="Book Antiqua" w:hAnsi="Book Antiqua"/>
          <w:color w:val="000000" w:themeColor="text1"/>
          <w:sz w:val="24"/>
          <w:szCs w:val="24"/>
          <w:lang w:val="en-US"/>
        </w:rPr>
        <w:lastRenderedPageBreak/>
        <w:t xml:space="preserve">Then, sections were pretreated with TBS containing 1% bovine serum albumin </w:t>
      </w:r>
      <w:r w:rsidR="00DA1C40" w:rsidRPr="00E7615A">
        <w:rPr>
          <w:rFonts w:ascii="Book Antiqua" w:hAnsi="Book Antiqua"/>
          <w:color w:val="000000" w:themeColor="text1"/>
          <w:sz w:val="24"/>
          <w:szCs w:val="24"/>
          <w:lang w:val="en-US"/>
        </w:rPr>
        <w:t xml:space="preserve">at room temperature </w:t>
      </w:r>
      <w:r w:rsidR="00A37FD9" w:rsidRPr="00E7615A">
        <w:rPr>
          <w:rFonts w:ascii="Book Antiqua" w:hAnsi="Book Antiqua"/>
          <w:color w:val="000000" w:themeColor="text1"/>
          <w:sz w:val="24"/>
          <w:szCs w:val="24"/>
          <w:lang w:val="en-US"/>
        </w:rPr>
        <w:t>for 20 min</w:t>
      </w:r>
      <w:r w:rsidR="00DA1C40" w:rsidRPr="00E7615A">
        <w:rPr>
          <w:rFonts w:ascii="Book Antiqua" w:hAnsi="Book Antiqua"/>
          <w:color w:val="000000" w:themeColor="text1"/>
          <w:sz w:val="24"/>
          <w:szCs w:val="24"/>
          <w:lang w:val="en-US"/>
        </w:rPr>
        <w:t xml:space="preserve">. Afterwards, sections were </w:t>
      </w:r>
      <w:r w:rsidR="00A37FD9" w:rsidRPr="00E7615A">
        <w:rPr>
          <w:rFonts w:ascii="Book Antiqua" w:hAnsi="Book Antiqua"/>
          <w:color w:val="000000" w:themeColor="text1"/>
          <w:sz w:val="24"/>
          <w:szCs w:val="24"/>
          <w:lang w:val="en-US"/>
        </w:rPr>
        <w:t xml:space="preserve">digested with 0.4% pepsin </w:t>
      </w:r>
      <w:r w:rsidR="00DA1C40" w:rsidRPr="00E7615A">
        <w:rPr>
          <w:rFonts w:ascii="Book Antiqua" w:hAnsi="Book Antiqua"/>
          <w:color w:val="000000" w:themeColor="text1"/>
          <w:sz w:val="24"/>
          <w:szCs w:val="24"/>
          <w:lang w:val="en-US"/>
        </w:rPr>
        <w:t>at 37</w:t>
      </w:r>
      <w:r w:rsidR="00746FE4">
        <w:rPr>
          <w:rFonts w:ascii="Book Antiqua" w:hAnsi="Book Antiqua" w:hint="eastAsia"/>
          <w:color w:val="000000" w:themeColor="text1"/>
          <w:sz w:val="24"/>
          <w:szCs w:val="24"/>
          <w:lang w:val="en-US" w:eastAsia="zh-CN"/>
        </w:rPr>
        <w:t xml:space="preserve"> </w:t>
      </w:r>
      <w:r w:rsidR="00DA1C40" w:rsidRPr="00E7615A">
        <w:rPr>
          <w:rFonts w:ascii="Book Antiqua" w:hAnsi="Book Antiqua"/>
          <w:color w:val="000000" w:themeColor="text1"/>
          <w:sz w:val="24"/>
          <w:szCs w:val="24"/>
          <w:lang w:val="en-US"/>
        </w:rPr>
        <w:t xml:space="preserve">°C </w:t>
      </w:r>
      <w:r w:rsidR="00A37FD9" w:rsidRPr="00E7615A">
        <w:rPr>
          <w:rFonts w:ascii="Book Antiqua" w:hAnsi="Book Antiqua"/>
          <w:color w:val="000000" w:themeColor="text1"/>
          <w:sz w:val="24"/>
          <w:szCs w:val="24"/>
          <w:lang w:val="en-US"/>
        </w:rPr>
        <w:t>for 10 min</w:t>
      </w:r>
      <w:r w:rsidR="00DA1C40" w:rsidRPr="00E7615A">
        <w:rPr>
          <w:rFonts w:ascii="Book Antiqua" w:hAnsi="Book Antiqua"/>
          <w:color w:val="000000" w:themeColor="text1"/>
          <w:sz w:val="24"/>
          <w:szCs w:val="24"/>
          <w:lang w:val="en-US"/>
        </w:rPr>
        <w:t>, followed by i</w:t>
      </w:r>
      <w:r w:rsidR="00A37FD9" w:rsidRPr="00E7615A">
        <w:rPr>
          <w:rFonts w:ascii="Book Antiqua" w:hAnsi="Book Antiqua"/>
          <w:color w:val="000000" w:themeColor="text1"/>
          <w:sz w:val="24"/>
          <w:szCs w:val="24"/>
          <w:lang w:val="en-US"/>
        </w:rPr>
        <w:t>ncubat</w:t>
      </w:r>
      <w:r w:rsidR="00DA1C40" w:rsidRPr="00E7615A">
        <w:rPr>
          <w:rFonts w:ascii="Book Antiqua" w:hAnsi="Book Antiqua"/>
          <w:color w:val="000000" w:themeColor="text1"/>
          <w:sz w:val="24"/>
          <w:szCs w:val="24"/>
          <w:lang w:val="en-US"/>
        </w:rPr>
        <w:t xml:space="preserve">ion </w:t>
      </w:r>
      <w:r w:rsidR="00A37FD9" w:rsidRPr="00E7615A">
        <w:rPr>
          <w:rFonts w:ascii="Book Antiqua" w:hAnsi="Book Antiqua"/>
          <w:color w:val="000000" w:themeColor="text1"/>
          <w:sz w:val="24"/>
          <w:szCs w:val="24"/>
          <w:lang w:val="en-US"/>
        </w:rPr>
        <w:t xml:space="preserve">with the primary antibodies in a humid chamber. </w:t>
      </w:r>
      <w:r w:rsidR="00DA1C40" w:rsidRPr="00E7615A">
        <w:rPr>
          <w:rFonts w:ascii="Book Antiqua" w:hAnsi="Book Antiqua"/>
          <w:color w:val="000000" w:themeColor="text1"/>
          <w:sz w:val="24"/>
          <w:szCs w:val="24"/>
          <w:lang w:val="en-US"/>
        </w:rPr>
        <w:t>Table 2 summarizes details of the a</w:t>
      </w:r>
      <w:r w:rsidR="00A37FD9" w:rsidRPr="00E7615A">
        <w:rPr>
          <w:rFonts w:ascii="Book Antiqua" w:hAnsi="Book Antiqua"/>
          <w:color w:val="000000" w:themeColor="text1"/>
          <w:sz w:val="24"/>
          <w:szCs w:val="24"/>
          <w:lang w:val="en-US"/>
        </w:rPr>
        <w:t>ntibod</w:t>
      </w:r>
      <w:r w:rsidR="00DA1C40" w:rsidRPr="00E7615A">
        <w:rPr>
          <w:rFonts w:ascii="Book Antiqua" w:hAnsi="Book Antiqua"/>
          <w:color w:val="000000" w:themeColor="text1"/>
          <w:sz w:val="24"/>
          <w:szCs w:val="24"/>
          <w:lang w:val="en-US"/>
        </w:rPr>
        <w:t xml:space="preserve">ies and the </w:t>
      </w:r>
      <w:r w:rsidR="00A37FD9" w:rsidRPr="00E7615A">
        <w:rPr>
          <w:rFonts w:ascii="Book Antiqua" w:hAnsi="Book Antiqua"/>
          <w:color w:val="000000" w:themeColor="text1"/>
          <w:sz w:val="24"/>
          <w:szCs w:val="24"/>
          <w:lang w:val="en-US"/>
        </w:rPr>
        <w:t>incubation protocols.</w:t>
      </w:r>
    </w:p>
    <w:p w14:paraId="6D858D7E" w14:textId="02D38B6C" w:rsidR="00A37FD9" w:rsidRPr="00E7615A" w:rsidRDefault="00DA1C40"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A</w:t>
      </w:r>
      <w:r w:rsidR="00A37FD9" w:rsidRPr="00E7615A">
        <w:rPr>
          <w:rFonts w:ascii="Book Antiqua" w:hAnsi="Book Antiqua"/>
          <w:color w:val="000000" w:themeColor="text1"/>
          <w:sz w:val="24"/>
          <w:szCs w:val="24"/>
          <w:lang w:val="en-US"/>
        </w:rPr>
        <w:t xml:space="preserve">ntibody binding was </w:t>
      </w:r>
      <w:r w:rsidRPr="00E7615A">
        <w:rPr>
          <w:rFonts w:ascii="Book Antiqua" w:hAnsi="Book Antiqua"/>
          <w:color w:val="000000" w:themeColor="text1"/>
          <w:sz w:val="24"/>
          <w:szCs w:val="24"/>
          <w:lang w:val="en-US"/>
        </w:rPr>
        <w:t xml:space="preserve">detected </w:t>
      </w:r>
      <w:r w:rsidR="00A37FD9" w:rsidRPr="00E7615A">
        <w:rPr>
          <w:rFonts w:ascii="Book Antiqua" w:hAnsi="Book Antiqua"/>
          <w:color w:val="000000" w:themeColor="text1"/>
          <w:sz w:val="24"/>
          <w:szCs w:val="24"/>
          <w:lang w:val="en-US"/>
        </w:rPr>
        <w:t>with the peroxidase-conjugated EnVision anti-mouse system (Dako, Glostrup, Denmark) or the horseradish peroxidase-</w:t>
      </w:r>
      <w:r w:rsidR="00FB0EAE">
        <w:rPr>
          <w:rFonts w:ascii="Book Antiqua" w:hAnsi="Book Antiqua"/>
          <w:color w:val="000000" w:themeColor="text1"/>
          <w:sz w:val="24"/>
          <w:szCs w:val="24"/>
          <w:lang w:val="en-US"/>
        </w:rPr>
        <w:t>conjugated EnVision anti-rabbit/</w:t>
      </w:r>
      <w:r w:rsidR="00A37FD9" w:rsidRPr="00E7615A">
        <w:rPr>
          <w:rFonts w:ascii="Book Antiqua" w:hAnsi="Book Antiqua"/>
          <w:color w:val="000000" w:themeColor="text1"/>
          <w:sz w:val="24"/>
          <w:szCs w:val="24"/>
          <w:lang w:val="en-US"/>
        </w:rPr>
        <w:t xml:space="preserve">anti-goat secondary antibodies (Dako) </w:t>
      </w:r>
      <w:r w:rsidRPr="00E7615A">
        <w:rPr>
          <w:rFonts w:ascii="Book Antiqua" w:hAnsi="Book Antiqua"/>
          <w:color w:val="000000" w:themeColor="text1"/>
          <w:sz w:val="24"/>
          <w:szCs w:val="24"/>
          <w:lang w:val="en-US"/>
        </w:rPr>
        <w:t xml:space="preserve">that were </w:t>
      </w:r>
      <w:r w:rsidR="00A37FD9" w:rsidRPr="00E7615A">
        <w:rPr>
          <w:rFonts w:ascii="Book Antiqua" w:hAnsi="Book Antiqua"/>
          <w:color w:val="000000" w:themeColor="text1"/>
          <w:sz w:val="24"/>
          <w:szCs w:val="24"/>
          <w:lang w:val="en-US"/>
        </w:rPr>
        <w:t xml:space="preserve">diluted 1:50 and incubated </w:t>
      </w:r>
      <w:r w:rsidRPr="00E7615A">
        <w:rPr>
          <w:rFonts w:ascii="Book Antiqua" w:hAnsi="Book Antiqua"/>
          <w:color w:val="000000" w:themeColor="text1"/>
          <w:sz w:val="24"/>
          <w:szCs w:val="24"/>
          <w:lang w:val="en-US"/>
        </w:rPr>
        <w:t xml:space="preserve">at room temperature </w:t>
      </w:r>
      <w:r w:rsidR="00A37FD9" w:rsidRPr="00E7615A">
        <w:rPr>
          <w:rFonts w:ascii="Book Antiqua" w:hAnsi="Book Antiqua"/>
          <w:color w:val="000000" w:themeColor="text1"/>
          <w:sz w:val="24"/>
          <w:szCs w:val="24"/>
          <w:lang w:val="en-US"/>
        </w:rPr>
        <w:t xml:space="preserve">for 30 min. </w:t>
      </w:r>
      <w:r w:rsidRPr="00E7615A">
        <w:rPr>
          <w:rFonts w:ascii="Book Antiqua" w:hAnsi="Book Antiqua"/>
          <w:color w:val="000000" w:themeColor="text1"/>
          <w:sz w:val="24"/>
          <w:szCs w:val="24"/>
          <w:lang w:val="en-US"/>
        </w:rPr>
        <w:t>Visualization of p</w:t>
      </w:r>
      <w:r w:rsidR="00A37FD9" w:rsidRPr="00E7615A">
        <w:rPr>
          <w:rFonts w:ascii="Book Antiqua" w:hAnsi="Book Antiqua"/>
          <w:color w:val="000000" w:themeColor="text1"/>
          <w:sz w:val="24"/>
          <w:szCs w:val="24"/>
          <w:lang w:val="en-US"/>
        </w:rPr>
        <w:t xml:space="preserve">eroxidase activity was </w:t>
      </w:r>
      <w:r w:rsidRPr="00E7615A">
        <w:rPr>
          <w:rFonts w:ascii="Book Antiqua" w:hAnsi="Book Antiqua"/>
          <w:color w:val="000000" w:themeColor="text1"/>
          <w:sz w:val="24"/>
          <w:szCs w:val="24"/>
          <w:lang w:val="en-US"/>
        </w:rPr>
        <w:t xml:space="preserve">performed </w:t>
      </w:r>
      <w:r w:rsidR="00A37FD9" w:rsidRPr="00E7615A">
        <w:rPr>
          <w:rFonts w:ascii="Book Antiqua" w:hAnsi="Book Antiqua"/>
          <w:color w:val="000000" w:themeColor="text1"/>
          <w:sz w:val="24"/>
          <w:szCs w:val="24"/>
          <w:lang w:val="en-US"/>
        </w:rPr>
        <w:t xml:space="preserve">using diaminobenzidine, </w:t>
      </w:r>
      <w:r w:rsidRPr="00E7615A">
        <w:rPr>
          <w:rFonts w:ascii="Book Antiqua" w:hAnsi="Book Antiqua"/>
          <w:color w:val="000000" w:themeColor="text1"/>
          <w:sz w:val="24"/>
          <w:szCs w:val="24"/>
          <w:lang w:val="en-US"/>
        </w:rPr>
        <w:t xml:space="preserve">resulting in </w:t>
      </w:r>
      <w:r w:rsidR="00A37FD9" w:rsidRPr="00E7615A">
        <w:rPr>
          <w:rFonts w:ascii="Book Antiqua" w:hAnsi="Book Antiqua"/>
          <w:color w:val="000000" w:themeColor="text1"/>
          <w:sz w:val="24"/>
          <w:szCs w:val="24"/>
          <w:lang w:val="en-US"/>
        </w:rPr>
        <w:t>a brown staining product.</w:t>
      </w:r>
      <w:r w:rsidRPr="00E7615A">
        <w:rPr>
          <w:rFonts w:ascii="Book Antiqua" w:hAnsi="Book Antiqua"/>
          <w:color w:val="000000" w:themeColor="text1"/>
          <w:sz w:val="24"/>
          <w:szCs w:val="24"/>
          <w:lang w:val="en-US"/>
        </w:rPr>
        <w:t xml:space="preserve"> Mayer’s haematoxylin was used for counterstaining the s</w:t>
      </w:r>
      <w:r w:rsidR="00A37FD9" w:rsidRPr="00E7615A">
        <w:rPr>
          <w:rFonts w:ascii="Book Antiqua" w:hAnsi="Book Antiqua"/>
          <w:color w:val="000000" w:themeColor="text1"/>
          <w:sz w:val="24"/>
          <w:szCs w:val="24"/>
          <w:lang w:val="en-US"/>
        </w:rPr>
        <w:t xml:space="preserve">ections. </w:t>
      </w:r>
      <w:r w:rsidRPr="00E7615A">
        <w:rPr>
          <w:rFonts w:ascii="Book Antiqua" w:hAnsi="Book Antiqua"/>
          <w:color w:val="000000" w:themeColor="text1"/>
          <w:sz w:val="24"/>
          <w:szCs w:val="24"/>
          <w:lang w:val="en-US"/>
        </w:rPr>
        <w:t>In order to perform s</w:t>
      </w:r>
      <w:r w:rsidR="00A37FD9" w:rsidRPr="00E7615A">
        <w:rPr>
          <w:rFonts w:ascii="Book Antiqua" w:hAnsi="Book Antiqua"/>
          <w:color w:val="000000" w:themeColor="text1"/>
          <w:sz w:val="24"/>
          <w:szCs w:val="24"/>
          <w:lang w:val="en-US"/>
        </w:rPr>
        <w:t>pecificity controls</w:t>
      </w:r>
      <w:r w:rsidRPr="00E7615A">
        <w:rPr>
          <w:rFonts w:ascii="Book Antiqua" w:hAnsi="Book Antiqua"/>
          <w:color w:val="000000" w:themeColor="text1"/>
          <w:sz w:val="24"/>
          <w:szCs w:val="24"/>
          <w:lang w:val="en-US"/>
        </w:rPr>
        <w:t xml:space="preserve"> </w:t>
      </w:r>
      <w:r w:rsidR="00A37FD9" w:rsidRPr="00E7615A">
        <w:rPr>
          <w:rFonts w:ascii="Book Antiqua" w:hAnsi="Book Antiqua"/>
          <w:color w:val="000000" w:themeColor="text1"/>
          <w:sz w:val="24"/>
          <w:szCs w:val="24"/>
          <w:lang w:val="en-US"/>
        </w:rPr>
        <w:t xml:space="preserve">primary antibodies </w:t>
      </w:r>
      <w:r w:rsidRPr="00E7615A">
        <w:rPr>
          <w:rFonts w:ascii="Book Antiqua" w:hAnsi="Book Antiqua"/>
          <w:color w:val="000000" w:themeColor="text1"/>
          <w:sz w:val="24"/>
          <w:szCs w:val="24"/>
          <w:lang w:val="en-US"/>
        </w:rPr>
        <w:t xml:space="preserve">were omitted and TBS or normal horse serum </w:t>
      </w:r>
      <w:r w:rsidR="00FB0EAE">
        <w:rPr>
          <w:rFonts w:ascii="Book Antiqua" w:hAnsi="Book Antiqua" w:hint="eastAsia"/>
          <w:color w:val="000000" w:themeColor="text1"/>
          <w:sz w:val="24"/>
          <w:szCs w:val="24"/>
          <w:lang w:val="en-US" w:eastAsia="zh-CN"/>
        </w:rPr>
        <w:t>was</w:t>
      </w:r>
      <w:r w:rsidRPr="00E7615A">
        <w:rPr>
          <w:rFonts w:ascii="Book Antiqua" w:hAnsi="Book Antiqua"/>
          <w:color w:val="000000" w:themeColor="text1"/>
          <w:sz w:val="24"/>
          <w:szCs w:val="24"/>
          <w:lang w:val="en-US"/>
        </w:rPr>
        <w:t xml:space="preserve"> applied. In other control experiments </w:t>
      </w:r>
      <w:r w:rsidR="00A37FD9" w:rsidRPr="00E7615A">
        <w:rPr>
          <w:rFonts w:ascii="Book Antiqua" w:hAnsi="Book Antiqua"/>
          <w:color w:val="000000" w:themeColor="text1"/>
          <w:sz w:val="24"/>
          <w:szCs w:val="24"/>
          <w:lang w:val="en-US"/>
        </w:rPr>
        <w:t>both primary and secondary antibodies</w:t>
      </w:r>
      <w:r w:rsidRPr="00E7615A">
        <w:rPr>
          <w:rFonts w:ascii="Book Antiqua" w:hAnsi="Book Antiqua"/>
          <w:color w:val="000000" w:themeColor="text1"/>
          <w:sz w:val="24"/>
          <w:szCs w:val="24"/>
          <w:lang w:val="en-US"/>
        </w:rPr>
        <w:t xml:space="preserve"> were omitted</w:t>
      </w:r>
      <w:r w:rsidR="00A37FD9"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F</w:t>
      </w:r>
      <w:r w:rsidR="00A37FD9" w:rsidRPr="00E7615A">
        <w:rPr>
          <w:rFonts w:ascii="Book Antiqua" w:hAnsi="Book Antiqua"/>
          <w:color w:val="000000" w:themeColor="text1"/>
          <w:sz w:val="24"/>
          <w:szCs w:val="24"/>
          <w:lang w:val="en-US"/>
        </w:rPr>
        <w:t xml:space="preserve">etal human bone </w:t>
      </w:r>
      <w:r w:rsidRPr="00E7615A">
        <w:rPr>
          <w:rFonts w:ascii="Book Antiqua" w:hAnsi="Book Antiqua"/>
          <w:color w:val="000000" w:themeColor="text1"/>
          <w:sz w:val="24"/>
          <w:szCs w:val="24"/>
          <w:lang w:val="en-US"/>
        </w:rPr>
        <w:t>or mandibular bone (</w:t>
      </w:r>
      <w:r w:rsidR="00E7615A" w:rsidRPr="00E7615A">
        <w:rPr>
          <w:rFonts w:ascii="Book Antiqua" w:hAnsi="Book Antiqua"/>
          <w:i/>
          <w:color w:val="000000" w:themeColor="text1"/>
          <w:sz w:val="24"/>
          <w:szCs w:val="24"/>
          <w:lang w:val="en-US"/>
        </w:rPr>
        <w:t>i.e.</w:t>
      </w:r>
      <w:r w:rsidRPr="00E7615A">
        <w:rPr>
          <w:rFonts w:ascii="Book Antiqua" w:hAnsi="Book Antiqua"/>
          <w:color w:val="000000" w:themeColor="text1"/>
          <w:sz w:val="24"/>
          <w:szCs w:val="24"/>
          <w:lang w:val="en-US"/>
        </w:rPr>
        <w:t xml:space="preserve">, </w:t>
      </w:r>
      <w:r w:rsidR="00A37FD9" w:rsidRPr="00E7615A">
        <w:rPr>
          <w:rFonts w:ascii="Book Antiqua" w:hAnsi="Book Antiqua"/>
          <w:color w:val="000000" w:themeColor="text1"/>
          <w:sz w:val="24"/>
          <w:szCs w:val="24"/>
          <w:lang w:val="en-US"/>
        </w:rPr>
        <w:t>tissues carrying known antigens</w:t>
      </w:r>
      <w:r w:rsidR="00236623" w:rsidRPr="00E7615A">
        <w:rPr>
          <w:rFonts w:ascii="Book Antiqua" w:hAnsi="Book Antiqua"/>
          <w:color w:val="000000" w:themeColor="text1"/>
          <w:sz w:val="24"/>
          <w:szCs w:val="24"/>
          <w:lang w:val="en-US"/>
        </w:rPr>
        <w:t>)</w:t>
      </w:r>
      <w:r w:rsidR="00A37FD9" w:rsidRPr="00E7615A">
        <w:rPr>
          <w:rFonts w:ascii="Book Antiqua" w:hAnsi="Book Antiqua"/>
          <w:color w:val="000000" w:themeColor="text1"/>
          <w:sz w:val="24"/>
          <w:szCs w:val="24"/>
          <w:lang w:val="en-US"/>
        </w:rPr>
        <w:t xml:space="preserve"> were used as positive controls. Qualitative histological evaluations were performed blinded by one of the authors.</w:t>
      </w:r>
    </w:p>
    <w:p w14:paraId="0809B937" w14:textId="2F9B8842" w:rsidR="00A37FD9" w:rsidRPr="00E7615A" w:rsidRDefault="00236623"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Digital photography was used to produce t</w:t>
      </w:r>
      <w:r w:rsidR="00A37FD9" w:rsidRPr="00E7615A">
        <w:rPr>
          <w:rFonts w:ascii="Book Antiqua" w:hAnsi="Book Antiqua"/>
          <w:color w:val="000000" w:themeColor="text1"/>
          <w:sz w:val="24"/>
          <w:szCs w:val="24"/>
          <w:lang w:val="en-US"/>
        </w:rPr>
        <w:t>he photomicrographs shown in Figures 6 and 7</w:t>
      </w:r>
      <w:r w:rsidRPr="00E7615A">
        <w:rPr>
          <w:rFonts w:ascii="Book Antiqua" w:hAnsi="Book Antiqua"/>
          <w:color w:val="000000" w:themeColor="text1"/>
          <w:sz w:val="24"/>
          <w:szCs w:val="24"/>
          <w:lang w:val="en-US"/>
        </w:rPr>
        <w:t>. To this end, on average 41 (range, 30-45) images were captured for each composite</w:t>
      </w:r>
      <w:r w:rsidR="00A37FD9" w:rsidRPr="00E7615A">
        <w:rPr>
          <w:rFonts w:ascii="Book Antiqua" w:hAnsi="Book Antiqua"/>
          <w:color w:val="000000" w:themeColor="text1"/>
          <w:sz w:val="24"/>
          <w:szCs w:val="24"/>
          <w:lang w:val="en-US"/>
        </w:rPr>
        <w:t xml:space="preserve"> using a computerized stereology workstati</w:t>
      </w:r>
      <w:r w:rsidRPr="00E7615A">
        <w:rPr>
          <w:rFonts w:ascii="Book Antiqua" w:hAnsi="Book Antiqua"/>
          <w:color w:val="000000" w:themeColor="text1"/>
          <w:sz w:val="24"/>
          <w:szCs w:val="24"/>
          <w:lang w:val="en-US"/>
        </w:rPr>
        <w:t>o</w:t>
      </w:r>
      <w:r w:rsidR="00A37FD9" w:rsidRPr="00E7615A">
        <w:rPr>
          <w:rFonts w:ascii="Book Antiqua" w:hAnsi="Book Antiqua"/>
          <w:color w:val="000000" w:themeColor="text1"/>
          <w:sz w:val="24"/>
          <w:szCs w:val="24"/>
          <w:lang w:val="en-US"/>
        </w:rPr>
        <w:t>n</w:t>
      </w:r>
      <w:r w:rsidRPr="00E7615A">
        <w:rPr>
          <w:rFonts w:ascii="Book Antiqua" w:hAnsi="Book Antiqua"/>
          <w:color w:val="000000" w:themeColor="text1"/>
          <w:sz w:val="24"/>
          <w:szCs w:val="24"/>
          <w:lang w:val="en-US"/>
        </w:rPr>
        <w:t xml:space="preserve">. The latter consisted </w:t>
      </w:r>
      <w:r w:rsidR="00A37FD9" w:rsidRPr="00E7615A">
        <w:rPr>
          <w:rFonts w:ascii="Book Antiqua" w:hAnsi="Book Antiqua"/>
          <w:color w:val="000000" w:themeColor="text1"/>
          <w:sz w:val="24"/>
          <w:szCs w:val="24"/>
          <w:lang w:val="en-US"/>
        </w:rPr>
        <w:t>of a modified light microscope (Axio Imager 2; Carl Zeiss Microscopy) with an EC Plan Neofluar 10</w:t>
      </w:r>
      <w:r w:rsidR="00A37FD9" w:rsidRPr="00E7615A">
        <w:rPr>
          <w:rFonts w:ascii="Book Antiqua" w:hAnsi="Book Antiqua"/>
          <w:color w:val="000000" w:themeColor="text1"/>
          <w:sz w:val="24"/>
          <w:szCs w:val="24"/>
          <w:lang w:val="en-US"/>
        </w:rPr>
        <w:sym w:font="Symbol" w:char="F0B4"/>
      </w:r>
      <w:r w:rsidR="00A37FD9" w:rsidRPr="00E7615A">
        <w:rPr>
          <w:rFonts w:ascii="Book Antiqua" w:hAnsi="Book Antiqua"/>
          <w:color w:val="000000" w:themeColor="text1"/>
          <w:sz w:val="24"/>
          <w:szCs w:val="24"/>
          <w:lang w:val="en-US"/>
        </w:rPr>
        <w:t xml:space="preserve"> objective (NA = 0.3) (Carl Zeiss Microscopy), motorized specimen stage for automatic sampling (H101A; Prior Scientific Instruments, Cambridge, U</w:t>
      </w:r>
      <w:r w:rsidR="002E618F">
        <w:rPr>
          <w:rFonts w:ascii="Book Antiqua" w:hAnsi="Book Antiqua" w:hint="eastAsia"/>
          <w:color w:val="000000" w:themeColor="text1"/>
          <w:sz w:val="24"/>
          <w:szCs w:val="24"/>
          <w:lang w:val="en-US" w:eastAsia="zh-CN"/>
        </w:rPr>
        <w:t>nited Kingdom</w:t>
      </w:r>
      <w:r w:rsidR="00A37FD9" w:rsidRPr="00E7615A">
        <w:rPr>
          <w:rFonts w:ascii="Book Antiqua" w:hAnsi="Book Antiqua"/>
          <w:color w:val="000000" w:themeColor="text1"/>
          <w:sz w:val="24"/>
          <w:szCs w:val="24"/>
          <w:lang w:val="en-US"/>
        </w:rPr>
        <w:t>), focus encoder (MT 1271; Heidenha</w:t>
      </w:r>
      <w:r w:rsidR="00595C55">
        <w:rPr>
          <w:rFonts w:ascii="Book Antiqua" w:hAnsi="Book Antiqua"/>
          <w:color w:val="000000" w:themeColor="text1"/>
          <w:sz w:val="24"/>
          <w:szCs w:val="24"/>
          <w:lang w:val="en-US"/>
        </w:rPr>
        <w:t>in), CCD color video camera (1</w:t>
      </w:r>
      <w:r w:rsidR="00A37FD9" w:rsidRPr="00E7615A">
        <w:rPr>
          <w:rFonts w:ascii="Book Antiqua" w:hAnsi="Book Antiqua"/>
          <w:color w:val="000000" w:themeColor="text1"/>
          <w:sz w:val="24"/>
          <w:szCs w:val="24"/>
          <w:lang w:val="en-US"/>
        </w:rPr>
        <w:t>3</w:t>
      </w:r>
      <w:r w:rsidR="00595C55">
        <w:rPr>
          <w:rFonts w:ascii="Book Antiqua" w:hAnsi="Book Antiqua"/>
          <w:color w:val="000000" w:themeColor="text1"/>
          <w:sz w:val="24"/>
          <w:szCs w:val="24"/>
          <w:lang w:val="en-US"/>
        </w:rPr>
        <w:t>88 x 1</w:t>
      </w:r>
      <w:r w:rsidR="00A37FD9" w:rsidRPr="00E7615A">
        <w:rPr>
          <w:rFonts w:ascii="Book Antiqua" w:hAnsi="Book Antiqua"/>
          <w:color w:val="000000" w:themeColor="text1"/>
          <w:sz w:val="24"/>
          <w:szCs w:val="24"/>
          <w:lang w:val="en-US"/>
        </w:rPr>
        <w:t xml:space="preserve">040 pixels; AxioCam MRc; Carl Zeiss Microscopy) and stereology software (Stereo Investigator version 10; MBF Bioscience). </w:t>
      </w:r>
      <w:r w:rsidRPr="00E7615A">
        <w:rPr>
          <w:rFonts w:ascii="Book Antiqua" w:hAnsi="Book Antiqua"/>
          <w:color w:val="000000" w:themeColor="text1"/>
          <w:sz w:val="24"/>
          <w:szCs w:val="24"/>
          <w:lang w:val="en-US"/>
        </w:rPr>
        <w:t xml:space="preserve">The Virtual Slice module of the Stereo Investigator software (MBF Bioscience) was used to create the </w:t>
      </w:r>
      <w:r w:rsidR="00A37FD9" w:rsidRPr="00E7615A">
        <w:rPr>
          <w:rFonts w:ascii="Book Antiqua" w:hAnsi="Book Antiqua"/>
          <w:color w:val="000000" w:themeColor="text1"/>
          <w:sz w:val="24"/>
          <w:szCs w:val="24"/>
          <w:lang w:val="en-US"/>
        </w:rPr>
        <w:t>montages</w:t>
      </w:r>
      <w:r w:rsidRPr="00E7615A">
        <w:rPr>
          <w:rFonts w:ascii="Book Antiqua" w:hAnsi="Book Antiqua"/>
          <w:color w:val="000000" w:themeColor="text1"/>
          <w:sz w:val="24"/>
          <w:szCs w:val="24"/>
          <w:lang w:val="en-US"/>
        </w:rPr>
        <w:t xml:space="preserve">. </w:t>
      </w:r>
      <w:r w:rsidR="00A37FD9" w:rsidRPr="00E7615A">
        <w:rPr>
          <w:rFonts w:ascii="Book Antiqua" w:hAnsi="Book Antiqua"/>
          <w:color w:val="000000" w:themeColor="text1"/>
          <w:sz w:val="24"/>
          <w:szCs w:val="24"/>
          <w:lang w:val="en-US"/>
        </w:rPr>
        <w:t>The photomicrographs shown in Figures 8, 10 and 11 were produced by digital photography (all components from Carl Zeiss Microscopy) using an AxioCam MRc camera attached to an AxioScope 2 microscope and AxioVision 4.7 software, using the following objectives: Epiplan 20</w:t>
      </w:r>
      <w:r w:rsidR="00A37FD9" w:rsidRPr="00E7615A">
        <w:rPr>
          <w:rFonts w:ascii="Book Antiqua" w:hAnsi="Book Antiqua"/>
          <w:color w:val="000000" w:themeColor="text1"/>
          <w:sz w:val="24"/>
          <w:szCs w:val="24"/>
          <w:lang w:val="en-US"/>
        </w:rPr>
        <w:sym w:font="Symbol" w:char="F0B4"/>
      </w:r>
      <w:r w:rsidR="00A37FD9" w:rsidRPr="00E7615A">
        <w:rPr>
          <w:rFonts w:ascii="Book Antiqua" w:hAnsi="Book Antiqua"/>
          <w:color w:val="000000" w:themeColor="text1"/>
          <w:sz w:val="24"/>
          <w:szCs w:val="24"/>
          <w:lang w:val="en-US"/>
        </w:rPr>
        <w:t xml:space="preserve"> (NA = 0.40) and Plan Neofluor 40</w:t>
      </w:r>
      <w:r w:rsidR="00A37FD9" w:rsidRPr="00E7615A">
        <w:rPr>
          <w:rFonts w:ascii="Book Antiqua" w:hAnsi="Book Antiqua"/>
          <w:color w:val="000000" w:themeColor="text1"/>
          <w:sz w:val="24"/>
          <w:szCs w:val="24"/>
          <w:lang w:val="en-US"/>
        </w:rPr>
        <w:sym w:font="Symbol" w:char="F0B4"/>
      </w:r>
      <w:r w:rsidR="00A37FD9" w:rsidRPr="00E7615A">
        <w:rPr>
          <w:rFonts w:ascii="Book Antiqua" w:hAnsi="Book Antiqua"/>
          <w:color w:val="000000" w:themeColor="text1"/>
          <w:sz w:val="24"/>
          <w:szCs w:val="24"/>
          <w:lang w:val="en-US"/>
        </w:rPr>
        <w:t xml:space="preserve"> (NA = 0.75). Corel Photo-Paint X7 and Corel Draw X7 (both versions 17.5.0.907; Corel, Ottawa, Canada)</w:t>
      </w:r>
      <w:r w:rsidR="009E5AEB" w:rsidRPr="00E7615A">
        <w:rPr>
          <w:rFonts w:ascii="Book Antiqua" w:hAnsi="Book Antiqua"/>
          <w:color w:val="000000" w:themeColor="text1"/>
          <w:sz w:val="24"/>
          <w:szCs w:val="24"/>
          <w:lang w:val="en-US"/>
        </w:rPr>
        <w:t xml:space="preserve"> were used to construct the final figures</w:t>
      </w:r>
      <w:r w:rsidR="00A37FD9" w:rsidRPr="00E7615A">
        <w:rPr>
          <w:rFonts w:ascii="Book Antiqua" w:hAnsi="Book Antiqua"/>
          <w:color w:val="000000" w:themeColor="text1"/>
          <w:sz w:val="24"/>
          <w:szCs w:val="24"/>
          <w:lang w:val="en-US"/>
        </w:rPr>
        <w:t xml:space="preserve">. </w:t>
      </w:r>
      <w:r w:rsidR="009E5AEB" w:rsidRPr="00E7615A">
        <w:rPr>
          <w:rFonts w:ascii="Book Antiqua" w:hAnsi="Book Antiqua"/>
          <w:color w:val="000000" w:themeColor="text1"/>
          <w:sz w:val="24"/>
          <w:szCs w:val="24"/>
          <w:lang w:val="en-US"/>
        </w:rPr>
        <w:t>C</w:t>
      </w:r>
      <w:r w:rsidR="00A37FD9" w:rsidRPr="00E7615A">
        <w:rPr>
          <w:rFonts w:ascii="Book Antiqua" w:hAnsi="Book Antiqua"/>
          <w:color w:val="000000" w:themeColor="text1"/>
          <w:sz w:val="24"/>
          <w:szCs w:val="24"/>
          <w:lang w:val="en-US"/>
        </w:rPr>
        <w:t xml:space="preserve">ontrast and </w:t>
      </w:r>
      <w:r w:rsidR="00A37FD9" w:rsidRPr="00E7615A">
        <w:rPr>
          <w:rFonts w:ascii="Book Antiqua" w:hAnsi="Book Antiqua"/>
          <w:color w:val="000000" w:themeColor="text1"/>
          <w:sz w:val="24"/>
          <w:szCs w:val="24"/>
          <w:lang w:val="en-US"/>
        </w:rPr>
        <w:lastRenderedPageBreak/>
        <w:t xml:space="preserve">brightness were </w:t>
      </w:r>
      <w:r w:rsidR="009E5AEB" w:rsidRPr="00E7615A">
        <w:rPr>
          <w:rFonts w:ascii="Book Antiqua" w:hAnsi="Book Antiqua"/>
          <w:color w:val="000000" w:themeColor="text1"/>
          <w:sz w:val="24"/>
          <w:szCs w:val="24"/>
          <w:lang w:val="en-US"/>
        </w:rPr>
        <w:t>only marginally adjusted</w:t>
      </w:r>
      <w:r w:rsidR="00A37FD9" w:rsidRPr="00E7615A">
        <w:rPr>
          <w:rFonts w:ascii="Book Antiqua" w:hAnsi="Book Antiqua"/>
          <w:color w:val="000000" w:themeColor="text1"/>
          <w:sz w:val="24"/>
          <w:szCs w:val="24"/>
          <w:lang w:val="en-US"/>
        </w:rPr>
        <w:t xml:space="preserve">, </w:t>
      </w:r>
      <w:r w:rsidR="009E5AEB" w:rsidRPr="00E7615A">
        <w:rPr>
          <w:rFonts w:ascii="Book Antiqua" w:hAnsi="Book Antiqua"/>
          <w:color w:val="000000" w:themeColor="text1"/>
          <w:sz w:val="24"/>
          <w:szCs w:val="24"/>
          <w:lang w:val="en-US"/>
        </w:rPr>
        <w:t xml:space="preserve">which did not alter </w:t>
      </w:r>
      <w:r w:rsidR="00A37FD9" w:rsidRPr="00E7615A">
        <w:rPr>
          <w:rFonts w:ascii="Book Antiqua" w:hAnsi="Book Antiqua"/>
          <w:color w:val="000000" w:themeColor="text1"/>
          <w:sz w:val="24"/>
          <w:szCs w:val="24"/>
          <w:lang w:val="en-US"/>
        </w:rPr>
        <w:t>the appearance of the original materials.</w:t>
      </w:r>
    </w:p>
    <w:p w14:paraId="78133A16" w14:textId="77777777"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p>
    <w:p w14:paraId="4FB2359B" w14:textId="77777777" w:rsidR="00BD0E0C" w:rsidRPr="00E7615A" w:rsidRDefault="00BD0E0C" w:rsidP="00D048E9">
      <w:pPr>
        <w:widowControl w:val="0"/>
        <w:adjustRightInd w:val="0"/>
        <w:snapToGrid w:val="0"/>
        <w:spacing w:after="0" w:line="360" w:lineRule="auto"/>
        <w:jc w:val="both"/>
        <w:rPr>
          <w:rFonts w:ascii="Book Antiqua" w:eastAsia="DengXian" w:hAnsi="Book Antiqua"/>
          <w:b/>
          <w:color w:val="000000" w:themeColor="text1"/>
          <w:sz w:val="24"/>
          <w:szCs w:val="24"/>
          <w:lang w:val="en-US" w:eastAsia="zh-CN"/>
        </w:rPr>
      </w:pPr>
      <w:r w:rsidRPr="00E7615A">
        <w:rPr>
          <w:rFonts w:ascii="Book Antiqua" w:hAnsi="Book Antiqua"/>
          <w:b/>
          <w:color w:val="000000" w:themeColor="text1"/>
          <w:sz w:val="24"/>
          <w:szCs w:val="24"/>
          <w:lang w:val="en-US"/>
        </w:rPr>
        <w:t xml:space="preserve">OUTCOME AND FOLLOW-UP  </w:t>
      </w:r>
    </w:p>
    <w:p w14:paraId="6654C0BE" w14:textId="3995477C" w:rsidR="005075BC" w:rsidRPr="00E7615A" w:rsidRDefault="005075BC"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The patient was very satisfied with the maxillary restoration regarding esthetics, function, phonetics, and cleansibility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5). The last radiologic follow-up examination took place at 32 months after the GBR-MSA surgery</w:t>
      </w:r>
      <w:r w:rsidR="00014543" w:rsidRPr="00E7615A">
        <w:rPr>
          <w:rFonts w:ascii="Book Antiqua" w:hAnsi="Book Antiqua"/>
          <w:color w:val="000000" w:themeColor="text1"/>
          <w:sz w:val="24"/>
          <w:szCs w:val="24"/>
          <w:lang w:val="en-US"/>
        </w:rPr>
        <w:t xml:space="preserve"> (</w:t>
      </w:r>
      <w:r w:rsidR="00E011FF" w:rsidRPr="00E7615A">
        <w:rPr>
          <w:rFonts w:ascii="Book Antiqua" w:hAnsi="Book Antiqua"/>
          <w:color w:val="000000" w:themeColor="text1"/>
          <w:sz w:val="24"/>
          <w:szCs w:val="24"/>
          <w:lang w:val="en-US"/>
        </w:rPr>
        <w:t>Figure</w:t>
      </w:r>
      <w:r w:rsidR="00014543" w:rsidRPr="00E7615A">
        <w:rPr>
          <w:rFonts w:ascii="Book Antiqua" w:hAnsi="Book Antiqua"/>
          <w:color w:val="000000" w:themeColor="text1"/>
          <w:sz w:val="24"/>
          <w:szCs w:val="24"/>
          <w:lang w:val="en-US"/>
        </w:rPr>
        <w:t xml:space="preserve"> 3C)</w:t>
      </w:r>
      <w:r w:rsidRPr="00E7615A">
        <w:rPr>
          <w:rFonts w:ascii="Book Antiqua" w:hAnsi="Book Antiqua"/>
          <w:color w:val="000000" w:themeColor="text1"/>
          <w:sz w:val="24"/>
          <w:szCs w:val="24"/>
          <w:lang w:val="en-US"/>
        </w:rPr>
        <w:t>.</w:t>
      </w:r>
    </w:p>
    <w:p w14:paraId="33217903" w14:textId="414F4595"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The biopsies that were collected at </w:t>
      </w:r>
      <w:r w:rsidR="00DE7DB2" w:rsidRPr="00E7615A">
        <w:rPr>
          <w:rFonts w:ascii="Book Antiqua" w:hAnsi="Book Antiqua"/>
          <w:color w:val="000000" w:themeColor="text1"/>
          <w:sz w:val="24"/>
          <w:szCs w:val="24"/>
          <w:lang w:val="en-US" w:eastAsia="zh-CN"/>
        </w:rPr>
        <w:t>6</w:t>
      </w:r>
      <w:r w:rsidR="00DE7DB2" w:rsidRPr="00E7615A">
        <w:rPr>
          <w:rFonts w:ascii="Book Antiqua" w:hAnsi="Book Antiqua"/>
          <w:color w:val="000000" w:themeColor="text1"/>
          <w:sz w:val="24"/>
          <w:szCs w:val="24"/>
          <w:lang w:val="en-US"/>
        </w:rPr>
        <w:t xml:space="preserve"> wk</w:t>
      </w:r>
      <w:r w:rsidRPr="00E7615A">
        <w:rPr>
          <w:rFonts w:ascii="Book Antiqua" w:hAnsi="Book Antiqua"/>
          <w:color w:val="000000" w:themeColor="text1"/>
          <w:sz w:val="24"/>
          <w:szCs w:val="24"/>
          <w:lang w:val="en-US"/>
        </w:rPr>
        <w:t xml:space="preserve"> after GBR-MSA showed the formation of a network of cancellous bony trabeculae by appositional membranaceous osteogenesis in different developmental stages around allogenic fragments. The newly formed bone (asterisks in Fig</w:t>
      </w:r>
      <w:r w:rsidR="00595C55">
        <w:rPr>
          <w:rFonts w:ascii="Book Antiqua" w:hAnsi="Book Antiqua" w:hint="eastAsia"/>
          <w:color w:val="000000" w:themeColor="text1"/>
          <w:sz w:val="24"/>
          <w:szCs w:val="24"/>
          <w:lang w:val="en-US" w:eastAsia="zh-CN"/>
        </w:rPr>
        <w:t>ure</w:t>
      </w:r>
      <w:r w:rsidRPr="00E7615A">
        <w:rPr>
          <w:rFonts w:ascii="Book Antiqua" w:hAnsi="Book Antiqua"/>
          <w:color w:val="000000" w:themeColor="text1"/>
          <w:sz w:val="24"/>
          <w:szCs w:val="24"/>
          <w:lang w:val="en-US"/>
        </w:rPr>
        <w:t xml:space="preserve"> 6A</w:t>
      </w:r>
      <w:r w:rsidR="00595C55">
        <w:rPr>
          <w:rFonts w:ascii="Book Antiqua" w:hAnsi="Book Antiqua" w:hint="eastAsia"/>
          <w:color w:val="000000" w:themeColor="text1"/>
          <w:sz w:val="24"/>
          <w:szCs w:val="24"/>
          <w:lang w:val="en-US" w:eastAsia="zh-CN"/>
        </w:rPr>
        <w:t xml:space="preserve"> and </w:t>
      </w:r>
      <w:r w:rsidRPr="00E7615A">
        <w:rPr>
          <w:rFonts w:ascii="Book Antiqua" w:hAnsi="Book Antiqua"/>
          <w:color w:val="000000" w:themeColor="text1"/>
          <w:sz w:val="24"/>
          <w:szCs w:val="24"/>
          <w:lang w:val="en-US"/>
        </w:rPr>
        <w:t xml:space="preserve">B) consisted of fibrous bone. Typically, newly formed bone spicules contained nuclei of allogenic remnants that showed basophilic staining and contained empty osteocyte lacunae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6A</w:t>
      </w:r>
      <w:r w:rsidR="00D34EFB">
        <w:rPr>
          <w:rFonts w:ascii="Book Antiqua" w:hAnsi="Book Antiqua" w:hint="eastAsia"/>
          <w:color w:val="000000" w:themeColor="text1"/>
          <w:sz w:val="24"/>
          <w:szCs w:val="24"/>
          <w:lang w:val="en-US" w:eastAsia="zh-CN"/>
        </w:rPr>
        <w:t xml:space="preserve"> and </w:t>
      </w:r>
      <w:r w:rsidRPr="00E7615A">
        <w:rPr>
          <w:rFonts w:ascii="Book Antiqua" w:hAnsi="Book Antiqua"/>
          <w:color w:val="000000" w:themeColor="text1"/>
          <w:sz w:val="24"/>
          <w:szCs w:val="24"/>
          <w:lang w:val="en-US"/>
        </w:rPr>
        <w:t xml:space="preserve">B). Most surfaces of the newly formed trabeculae were covered by osteoblasts with underlying osteoid (arrowheads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6A</w:t>
      </w:r>
      <w:r w:rsidR="00453261">
        <w:rPr>
          <w:rFonts w:ascii="Book Antiqua" w:hAnsi="Book Antiqua" w:hint="eastAsia"/>
          <w:color w:val="000000" w:themeColor="text1"/>
          <w:sz w:val="24"/>
          <w:szCs w:val="24"/>
          <w:lang w:val="en-US" w:eastAsia="zh-CN"/>
        </w:rPr>
        <w:t xml:space="preserve"> and </w:t>
      </w:r>
      <w:r w:rsidRPr="00E7615A">
        <w:rPr>
          <w:rFonts w:ascii="Book Antiqua" w:hAnsi="Book Antiqua"/>
          <w:color w:val="000000" w:themeColor="text1"/>
          <w:sz w:val="24"/>
          <w:szCs w:val="24"/>
          <w:lang w:val="en-US"/>
        </w:rPr>
        <w:t xml:space="preserve">B). </w:t>
      </w:r>
      <w:bookmarkStart w:id="167" w:name="OLE_LINK2"/>
      <w:r w:rsidRPr="00E7615A">
        <w:rPr>
          <w:rFonts w:ascii="Book Antiqua" w:hAnsi="Book Antiqua"/>
          <w:color w:val="000000" w:themeColor="text1"/>
          <w:sz w:val="24"/>
          <w:szCs w:val="24"/>
          <w:lang w:val="en-US"/>
        </w:rPr>
        <w:t xml:space="preserve">With the application of UA-ADRCs a higher bone lining cell density was achieved than without UA-ADRCs. </w:t>
      </w:r>
      <w:bookmarkEnd w:id="167"/>
      <w:r w:rsidRPr="00E7615A">
        <w:rPr>
          <w:rFonts w:ascii="Book Antiqua" w:hAnsi="Book Antiqua"/>
          <w:color w:val="000000" w:themeColor="text1"/>
          <w:sz w:val="24"/>
          <w:szCs w:val="24"/>
          <w:lang w:val="en-US"/>
        </w:rPr>
        <w:t>No signs of active inflammation or necrosis could be recognized in both biopsies.</w:t>
      </w:r>
    </w:p>
    <w:p w14:paraId="262C31E5" w14:textId="119432D7"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The biopsi</w:t>
      </w:r>
      <w:r w:rsidR="00DE7DB2" w:rsidRPr="00E7615A">
        <w:rPr>
          <w:rFonts w:ascii="Book Antiqua" w:hAnsi="Book Antiqua"/>
          <w:color w:val="000000" w:themeColor="text1"/>
          <w:sz w:val="24"/>
          <w:szCs w:val="24"/>
          <w:lang w:val="en-US"/>
        </w:rPr>
        <w:t>es that were collected at 34 wk</w:t>
      </w:r>
      <w:r w:rsidRPr="00E7615A">
        <w:rPr>
          <w:rFonts w:ascii="Book Antiqua" w:hAnsi="Book Antiqua"/>
          <w:color w:val="000000" w:themeColor="text1"/>
          <w:sz w:val="24"/>
          <w:szCs w:val="24"/>
          <w:lang w:val="en-US"/>
        </w:rPr>
        <w:t xml:space="preserve"> after GBR-MSA showed a similar morphology as the biops</w:t>
      </w:r>
      <w:r w:rsidR="00DE7DB2" w:rsidRPr="00E7615A">
        <w:rPr>
          <w:rFonts w:ascii="Book Antiqua" w:hAnsi="Book Antiqua"/>
          <w:color w:val="000000" w:themeColor="text1"/>
          <w:sz w:val="24"/>
          <w:szCs w:val="24"/>
          <w:lang w:val="en-US"/>
        </w:rPr>
        <w:t>ies that were collected at 6 wk</w:t>
      </w:r>
      <w:r w:rsidRPr="00E7615A">
        <w:rPr>
          <w:rFonts w:ascii="Book Antiqua" w:hAnsi="Book Antiqua"/>
          <w:color w:val="000000" w:themeColor="text1"/>
          <w:sz w:val="24"/>
          <w:szCs w:val="24"/>
          <w:lang w:val="en-US"/>
        </w:rPr>
        <w:t xml:space="preserve"> after GBR-MSA. However, bone formation seemed to be increased with fewer percentage of allogenic remnants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6C</w:t>
      </w:r>
      <w:r w:rsidR="00453261">
        <w:rPr>
          <w:rFonts w:ascii="Book Antiqua" w:hAnsi="Book Antiqua" w:hint="eastAsia"/>
          <w:color w:val="000000" w:themeColor="text1"/>
          <w:sz w:val="24"/>
          <w:szCs w:val="24"/>
          <w:lang w:val="en-US" w:eastAsia="zh-CN"/>
        </w:rPr>
        <w:t xml:space="preserve"> and </w:t>
      </w:r>
      <w:r w:rsidRPr="00E7615A">
        <w:rPr>
          <w:rFonts w:ascii="Book Antiqua" w:hAnsi="Book Antiqua"/>
          <w:color w:val="000000" w:themeColor="text1"/>
          <w:sz w:val="24"/>
          <w:szCs w:val="24"/>
          <w:lang w:val="en-US"/>
        </w:rPr>
        <w:t xml:space="preserve">D) and fibrous bone. Newly formed cancellous bone was in an advanced stage of remodeling, appearing as lamellar bone (asterisks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6C</w:t>
      </w:r>
      <w:r w:rsidR="00044770">
        <w:rPr>
          <w:rFonts w:ascii="Book Antiqua" w:hAnsi="Book Antiqua" w:hint="eastAsia"/>
          <w:color w:val="000000" w:themeColor="text1"/>
          <w:sz w:val="24"/>
          <w:szCs w:val="24"/>
          <w:lang w:val="en-US" w:eastAsia="zh-CN"/>
        </w:rPr>
        <w:t xml:space="preserve"> and </w:t>
      </w:r>
      <w:r w:rsidRPr="00E7615A">
        <w:rPr>
          <w:rFonts w:ascii="Book Antiqua" w:hAnsi="Book Antiqua"/>
          <w:color w:val="000000" w:themeColor="text1"/>
          <w:sz w:val="24"/>
          <w:szCs w:val="24"/>
          <w:lang w:val="en-US"/>
        </w:rPr>
        <w:t xml:space="preserve">D) with fibrous bone remnants incorporated. Much fewer adipocytes developed after the application of UA-ADRCs than without UA-ADRCs (arrowheads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6C,</w:t>
      </w:r>
      <w:r w:rsidR="00B91314">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 xml:space="preserve">D). </w:t>
      </w:r>
    </w:p>
    <w:p w14:paraId="279970E8" w14:textId="7CC89D85"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At higher magnification, </w:t>
      </w:r>
      <w:bookmarkStart w:id="168" w:name="_Hlk514323027"/>
      <w:r w:rsidRPr="00E7615A">
        <w:rPr>
          <w:rFonts w:ascii="Book Antiqua" w:hAnsi="Book Antiqua"/>
          <w:color w:val="000000" w:themeColor="text1"/>
          <w:sz w:val="24"/>
          <w:szCs w:val="24"/>
          <w:lang w:val="en-US"/>
        </w:rPr>
        <w:t xml:space="preserve">the biopsy that was collected at </w:t>
      </w:r>
      <w:r w:rsidR="00DE7DB2" w:rsidRPr="00E7615A">
        <w:rPr>
          <w:rFonts w:ascii="Book Antiqua" w:hAnsi="Book Antiqua"/>
          <w:color w:val="000000" w:themeColor="text1"/>
          <w:sz w:val="24"/>
          <w:szCs w:val="24"/>
          <w:lang w:val="en-US" w:eastAsia="zh-CN"/>
        </w:rPr>
        <w:t>6</w:t>
      </w:r>
      <w:r w:rsidR="00DE7DB2" w:rsidRPr="00E7615A">
        <w:rPr>
          <w:rFonts w:ascii="Book Antiqua" w:hAnsi="Book Antiqua"/>
          <w:color w:val="000000" w:themeColor="text1"/>
          <w:sz w:val="24"/>
          <w:szCs w:val="24"/>
          <w:lang w:val="en-US"/>
        </w:rPr>
        <w:t xml:space="preserve"> wk</w:t>
      </w:r>
      <w:r w:rsidRPr="00E7615A">
        <w:rPr>
          <w:rFonts w:ascii="Book Antiqua" w:hAnsi="Book Antiqua"/>
          <w:color w:val="000000" w:themeColor="text1"/>
          <w:sz w:val="24"/>
          <w:szCs w:val="24"/>
          <w:lang w:val="en-US"/>
        </w:rPr>
        <w:t xml:space="preserve"> after GBR-MSA with the application of UA-ADRCs</w:t>
      </w:r>
      <w:bookmarkEnd w:id="168"/>
      <w:r w:rsidRPr="00E7615A">
        <w:rPr>
          <w:rFonts w:ascii="Book Antiqua" w:hAnsi="Book Antiqua"/>
          <w:color w:val="000000" w:themeColor="text1"/>
          <w:sz w:val="24"/>
          <w:szCs w:val="24"/>
          <w:lang w:val="en-US"/>
        </w:rPr>
        <w:t xml:space="preserve"> showed regions with early osteogenic condensations within a highly cellular surrounding. Specifically, osteoclasts appeared on the surface of natural and allogenic bone (arrowheads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6E</w:t>
      </w:r>
      <w:r w:rsidRPr="00E7615A">
        <w:rPr>
          <w:rFonts w:ascii="Book Antiqua" w:hAnsi="Book Antiqua"/>
          <w:color w:val="000000" w:themeColor="text1"/>
          <w:sz w:val="24"/>
          <w:szCs w:val="24"/>
          <w:lang w:val="en-US"/>
        </w:rPr>
        <w:t>). Such regions with early osteogenic condensation</w:t>
      </w:r>
      <w:r w:rsidR="00DE7DB2" w:rsidRPr="00E7615A">
        <w:rPr>
          <w:rFonts w:ascii="Book Antiqua" w:hAnsi="Book Antiqua"/>
          <w:color w:val="000000" w:themeColor="text1"/>
          <w:sz w:val="24"/>
          <w:szCs w:val="24"/>
          <w:lang w:val="en-US"/>
        </w:rPr>
        <w:t>s were not observed at 6 wk</w:t>
      </w:r>
      <w:r w:rsidRPr="00E7615A">
        <w:rPr>
          <w:rFonts w:ascii="Book Antiqua" w:hAnsi="Book Antiqua"/>
          <w:color w:val="000000" w:themeColor="text1"/>
          <w:sz w:val="24"/>
          <w:szCs w:val="24"/>
          <w:lang w:val="en-US"/>
        </w:rPr>
        <w:t xml:space="preserve"> after GBR-MSA without application of UA-ADRCs. Rather, osteogenesis appeared more discrete in this case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6F</w:t>
      </w:r>
      <w:r w:rsidR="00DE7DB2" w:rsidRPr="00E7615A">
        <w:rPr>
          <w:rFonts w:ascii="Book Antiqua" w:hAnsi="Book Antiqua"/>
          <w:color w:val="000000" w:themeColor="text1"/>
          <w:sz w:val="24"/>
          <w:szCs w:val="24"/>
          <w:lang w:val="en-US"/>
        </w:rPr>
        <w:t xml:space="preserve">). Likewise, </w:t>
      </w:r>
      <w:r w:rsidR="00DE7DB2" w:rsidRPr="00E7615A">
        <w:rPr>
          <w:rFonts w:ascii="Book Antiqua" w:hAnsi="Book Antiqua"/>
          <w:color w:val="000000" w:themeColor="text1"/>
          <w:sz w:val="24"/>
          <w:szCs w:val="24"/>
          <w:lang w:val="en-US"/>
        </w:rPr>
        <w:lastRenderedPageBreak/>
        <w:t>at 36 wk</w:t>
      </w:r>
      <w:r w:rsidRPr="00E7615A">
        <w:rPr>
          <w:rFonts w:ascii="Book Antiqua" w:hAnsi="Book Antiqua"/>
          <w:color w:val="000000" w:themeColor="text1"/>
          <w:sz w:val="24"/>
          <w:szCs w:val="24"/>
          <w:lang w:val="en-US"/>
        </w:rPr>
        <w:t xml:space="preserve"> after GBR-MSA a higher cell density around newly formed cancellous bone was found after the application of UA-ADRCs (arrowheads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6G</w:t>
      </w:r>
      <w:r w:rsidRPr="00E7615A">
        <w:rPr>
          <w:rFonts w:ascii="Book Antiqua" w:hAnsi="Book Antiqua"/>
          <w:color w:val="000000" w:themeColor="text1"/>
          <w:sz w:val="24"/>
          <w:szCs w:val="24"/>
          <w:lang w:val="en-US"/>
        </w:rPr>
        <w:t xml:space="preserve">) than without UA-ADRCs (arrowheads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6H</w:t>
      </w:r>
      <w:r w:rsidRPr="00E7615A">
        <w:rPr>
          <w:rFonts w:ascii="Book Antiqua" w:hAnsi="Book Antiqua"/>
          <w:color w:val="000000" w:themeColor="text1"/>
          <w:sz w:val="24"/>
          <w:szCs w:val="24"/>
          <w:lang w:val="en-US"/>
        </w:rPr>
        <w:t>).</w:t>
      </w:r>
    </w:p>
    <w:p w14:paraId="676E90AE" w14:textId="754445C9"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The results of the histomorphometric analysis are summarized in Figure </w:t>
      </w:r>
      <w:r w:rsidR="00014543" w:rsidRPr="00E7615A">
        <w:rPr>
          <w:rFonts w:ascii="Book Antiqua" w:hAnsi="Book Antiqua"/>
          <w:color w:val="000000" w:themeColor="text1"/>
          <w:sz w:val="24"/>
          <w:szCs w:val="24"/>
          <w:lang w:val="en-US"/>
        </w:rPr>
        <w:t>7</w:t>
      </w:r>
      <w:r w:rsidRPr="00E7615A">
        <w:rPr>
          <w:rFonts w:ascii="Book Antiqua" w:hAnsi="Book Antiqua"/>
          <w:color w:val="000000" w:themeColor="text1"/>
          <w:sz w:val="24"/>
          <w:szCs w:val="24"/>
          <w:lang w:val="en-US"/>
        </w:rPr>
        <w:t xml:space="preserve">. The application of UA-ADRCs resulted in a higher relative amount (area/area) of </w:t>
      </w:r>
      <w:r w:rsidR="00DE7DB2" w:rsidRPr="00E7615A">
        <w:rPr>
          <w:rFonts w:ascii="Book Antiqua" w:hAnsi="Book Antiqua"/>
          <w:color w:val="000000" w:themeColor="text1"/>
          <w:sz w:val="24"/>
          <w:szCs w:val="24"/>
          <w:lang w:val="en-US"/>
        </w:rPr>
        <w:t>newly formed bone (+63% at 6 wk; +44% at 34 wk</w:t>
      </w:r>
      <w:r w:rsidRPr="00E7615A">
        <w:rPr>
          <w:rFonts w:ascii="Book Antiqua" w:hAnsi="Book Antiqua"/>
          <w:color w:val="000000" w:themeColor="text1"/>
          <w:sz w:val="24"/>
          <w:szCs w:val="24"/>
          <w:lang w:val="en-US"/>
        </w:rPr>
        <w:t>), a higher relative amount of fib</w:t>
      </w:r>
      <w:r w:rsidR="00DE7DB2" w:rsidRPr="00E7615A">
        <w:rPr>
          <w:rFonts w:ascii="Book Antiqua" w:hAnsi="Book Antiqua"/>
          <w:color w:val="000000" w:themeColor="text1"/>
          <w:sz w:val="24"/>
          <w:szCs w:val="24"/>
          <w:lang w:val="en-US"/>
        </w:rPr>
        <w:t>rin and collagen (+144% at 6 wk; +78% at 34 wk</w:t>
      </w:r>
      <w:r w:rsidRPr="00E7615A">
        <w:rPr>
          <w:rFonts w:ascii="Book Antiqua" w:hAnsi="Book Antiqua"/>
          <w:color w:val="000000" w:themeColor="text1"/>
          <w:sz w:val="24"/>
          <w:szCs w:val="24"/>
          <w:lang w:val="en-US"/>
        </w:rPr>
        <w:t>) and a lower relative amou</w:t>
      </w:r>
      <w:r w:rsidR="00DE7DB2" w:rsidRPr="00E7615A">
        <w:rPr>
          <w:rFonts w:ascii="Book Antiqua" w:hAnsi="Book Antiqua"/>
          <w:color w:val="000000" w:themeColor="text1"/>
          <w:sz w:val="24"/>
          <w:szCs w:val="24"/>
          <w:lang w:val="en-US"/>
        </w:rPr>
        <w:t>nt of adipocytes (-83% at 34 wk</w:t>
      </w:r>
      <w:r w:rsidRPr="00E7615A">
        <w:rPr>
          <w:rFonts w:ascii="Book Antiqua" w:hAnsi="Book Antiqua"/>
          <w:color w:val="000000" w:themeColor="text1"/>
          <w:sz w:val="24"/>
          <w:szCs w:val="24"/>
          <w:lang w:val="en-US"/>
        </w:rPr>
        <w:t>) compared to the situation without application of UA-ADRCs. Besides this, the ratio of the relative amounts (area/area) of veins to arteries was 3.5 after the application of ADRCs</w:t>
      </w:r>
      <w:r w:rsidR="00DE7DB2" w:rsidRPr="00E7615A">
        <w:rPr>
          <w:rFonts w:ascii="Book Antiqua" w:hAnsi="Book Antiqua"/>
          <w:color w:val="000000" w:themeColor="text1"/>
          <w:sz w:val="24"/>
          <w:szCs w:val="24"/>
          <w:lang w:val="en-US"/>
        </w:rPr>
        <w:t xml:space="preserve"> and 4.7 without ADRCs at 34 wk</w:t>
      </w:r>
      <w:r w:rsidRPr="00E7615A">
        <w:rPr>
          <w:rFonts w:ascii="Book Antiqua" w:hAnsi="Book Antiqua"/>
          <w:color w:val="000000" w:themeColor="text1"/>
          <w:sz w:val="24"/>
          <w:szCs w:val="24"/>
          <w:lang w:val="en-US"/>
        </w:rPr>
        <w:t xml:space="preserve"> after GBR-MSA.</w:t>
      </w:r>
    </w:p>
    <w:p w14:paraId="79CF7A75" w14:textId="47650FBC"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TRAP immunostaining revealed </w:t>
      </w:r>
      <w:bookmarkStart w:id="169" w:name="_Hlk531001588"/>
      <w:r w:rsidRPr="00E7615A">
        <w:rPr>
          <w:rFonts w:ascii="Book Antiqua" w:hAnsi="Book Antiqua"/>
          <w:color w:val="000000" w:themeColor="text1"/>
          <w:sz w:val="24"/>
          <w:szCs w:val="24"/>
          <w:lang w:val="en-US"/>
        </w:rPr>
        <w:t xml:space="preserve">middle-sized osteoclasts on the surface of newly formed and allogenic bone and on debris accumulations at </w:t>
      </w:r>
      <w:r w:rsidR="00DE7DB2" w:rsidRPr="00E7615A">
        <w:rPr>
          <w:rFonts w:ascii="Book Antiqua" w:hAnsi="Book Antiqua"/>
          <w:color w:val="000000" w:themeColor="text1"/>
          <w:sz w:val="24"/>
          <w:szCs w:val="24"/>
          <w:lang w:val="en-US" w:eastAsia="zh-CN"/>
        </w:rPr>
        <w:t>6</w:t>
      </w:r>
      <w:r w:rsidR="00DE7DB2" w:rsidRPr="00E7615A">
        <w:rPr>
          <w:rFonts w:ascii="Book Antiqua" w:hAnsi="Book Antiqua"/>
          <w:color w:val="000000" w:themeColor="text1"/>
          <w:sz w:val="24"/>
          <w:szCs w:val="24"/>
          <w:lang w:val="en-US"/>
        </w:rPr>
        <w:t xml:space="preserve"> wk</w:t>
      </w:r>
      <w:r w:rsidRPr="00E7615A">
        <w:rPr>
          <w:rFonts w:ascii="Book Antiqua" w:hAnsi="Book Antiqua"/>
          <w:color w:val="000000" w:themeColor="text1"/>
          <w:sz w:val="24"/>
          <w:szCs w:val="24"/>
          <w:lang w:val="en-US"/>
        </w:rPr>
        <w:t xml:space="preserve"> after GBR-MSA, with a higher osteoclast density after the application of UA-ADRCs than without UA-ADRCs </w:t>
      </w:r>
      <w:bookmarkEnd w:id="169"/>
      <w:r w:rsidRPr="00E7615A">
        <w:rPr>
          <w:rFonts w:ascii="Book Antiqua" w:hAnsi="Book Antiqua"/>
          <w:color w:val="000000" w:themeColor="text1"/>
          <w:sz w:val="24"/>
          <w:szCs w:val="24"/>
          <w:lang w:val="en-US"/>
        </w:rPr>
        <w:t xml:space="preserve">(arrows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8</w:t>
      </w:r>
      <w:r w:rsidRPr="00E7615A">
        <w:rPr>
          <w:rFonts w:ascii="Book Antiqua" w:hAnsi="Book Antiqua"/>
          <w:color w:val="000000" w:themeColor="text1"/>
          <w:sz w:val="24"/>
          <w:szCs w:val="24"/>
          <w:lang w:val="en-US"/>
        </w:rPr>
        <w:t>A,</w:t>
      </w:r>
      <w:r w:rsidR="00871E63">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 xml:space="preserve">B). Only few </w:t>
      </w:r>
      <w:r w:rsidR="00DE7DB2" w:rsidRPr="00E7615A">
        <w:rPr>
          <w:rFonts w:ascii="Book Antiqua" w:hAnsi="Book Antiqua"/>
          <w:color w:val="000000" w:themeColor="text1"/>
          <w:sz w:val="24"/>
          <w:szCs w:val="24"/>
          <w:lang w:val="en-US"/>
        </w:rPr>
        <w:t>osteoclasts were found at 34 wk</w:t>
      </w:r>
      <w:r w:rsidRPr="00E7615A">
        <w:rPr>
          <w:rFonts w:ascii="Book Antiqua" w:hAnsi="Book Antiqua"/>
          <w:color w:val="000000" w:themeColor="text1"/>
          <w:sz w:val="24"/>
          <w:szCs w:val="24"/>
          <w:lang w:val="en-US"/>
        </w:rPr>
        <w:t xml:space="preserve"> after GBR-MSA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8</w:t>
      </w:r>
      <w:r w:rsidRPr="00E7615A">
        <w:rPr>
          <w:rFonts w:ascii="Book Antiqua" w:hAnsi="Book Antiqua"/>
          <w:color w:val="000000" w:themeColor="text1"/>
          <w:sz w:val="24"/>
          <w:szCs w:val="24"/>
          <w:lang w:val="en-US"/>
        </w:rPr>
        <w:t>C,</w:t>
      </w:r>
      <w:r w:rsidR="00871E63">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D).</w:t>
      </w:r>
    </w:p>
    <w:p w14:paraId="2799D23E" w14:textId="0B19850E"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Anti-runX2 imm</w:t>
      </w:r>
      <w:r w:rsidR="00DE7DB2" w:rsidRPr="00E7615A">
        <w:rPr>
          <w:rFonts w:ascii="Book Antiqua" w:hAnsi="Book Antiqua"/>
          <w:color w:val="000000" w:themeColor="text1"/>
          <w:sz w:val="24"/>
          <w:szCs w:val="24"/>
          <w:lang w:val="en-US"/>
        </w:rPr>
        <w:t>unoreactivity was found at 6 wk</w:t>
      </w:r>
      <w:r w:rsidRPr="00E7615A">
        <w:rPr>
          <w:rFonts w:ascii="Book Antiqua" w:hAnsi="Book Antiqua"/>
          <w:color w:val="000000" w:themeColor="text1"/>
          <w:sz w:val="24"/>
          <w:szCs w:val="24"/>
          <w:lang w:val="en-US"/>
        </w:rPr>
        <w:t xml:space="preserve"> after GBR-MSA with the application of UA-ADRCs, but not without UA-ADRCs, in most osteoblasts and osteoblast-like cells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8</w:t>
      </w:r>
      <w:r w:rsidRPr="00E7615A">
        <w:rPr>
          <w:rFonts w:ascii="Book Antiqua" w:hAnsi="Book Antiqua"/>
          <w:color w:val="000000" w:themeColor="text1"/>
          <w:sz w:val="24"/>
          <w:szCs w:val="24"/>
          <w:lang w:val="en-US"/>
        </w:rPr>
        <w:t xml:space="preserve">E). Only very weak anti-runX2 immunoreactivity </w:t>
      </w:r>
      <w:r w:rsidR="00DE7DB2" w:rsidRPr="00E7615A">
        <w:rPr>
          <w:rFonts w:ascii="Book Antiqua" w:hAnsi="Book Antiqua"/>
          <w:color w:val="000000" w:themeColor="text1"/>
          <w:sz w:val="24"/>
          <w:szCs w:val="24"/>
          <w:lang w:val="en-US"/>
        </w:rPr>
        <w:t>was found at 34 wk</w:t>
      </w:r>
      <w:r w:rsidRPr="00E7615A">
        <w:rPr>
          <w:rFonts w:ascii="Book Antiqua" w:hAnsi="Book Antiqua"/>
          <w:color w:val="000000" w:themeColor="text1"/>
          <w:sz w:val="24"/>
          <w:szCs w:val="24"/>
          <w:lang w:val="en-US"/>
        </w:rPr>
        <w:t xml:space="preserve"> after GBR-MSA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8</w:t>
      </w:r>
      <w:r w:rsidRPr="00E7615A">
        <w:rPr>
          <w:rFonts w:ascii="Book Antiqua" w:hAnsi="Book Antiqua"/>
          <w:color w:val="000000" w:themeColor="text1"/>
          <w:sz w:val="24"/>
          <w:szCs w:val="24"/>
          <w:lang w:val="en-US"/>
        </w:rPr>
        <w:t>G,</w:t>
      </w:r>
      <w:r w:rsidR="00871E63">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 xml:space="preserve">H). </w:t>
      </w:r>
    </w:p>
    <w:p w14:paraId="5323520A" w14:textId="10A846AE"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Type I collagen appeared in osteoid seams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8</w:t>
      </w:r>
      <w:r w:rsidRPr="00E7615A">
        <w:rPr>
          <w:rFonts w:ascii="Book Antiqua" w:hAnsi="Book Antiqua"/>
          <w:color w:val="000000" w:themeColor="text1"/>
          <w:sz w:val="24"/>
          <w:szCs w:val="24"/>
          <w:lang w:val="en-US"/>
        </w:rPr>
        <w:t>I,</w:t>
      </w:r>
      <w:r w:rsidR="00871E63">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 xml:space="preserve">J) and in a weak manner in the matrix of newly formed bone trabeculae (asterisks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8</w:t>
      </w:r>
      <w:r w:rsidR="00DE7DB2" w:rsidRPr="00E7615A">
        <w:rPr>
          <w:rFonts w:ascii="Book Antiqua" w:hAnsi="Book Antiqua"/>
          <w:color w:val="000000" w:themeColor="text1"/>
          <w:sz w:val="24"/>
          <w:szCs w:val="24"/>
          <w:lang w:val="en-US"/>
        </w:rPr>
        <w:t>I,</w:t>
      </w:r>
      <w:r w:rsidR="00871E63">
        <w:rPr>
          <w:rFonts w:ascii="Book Antiqua" w:hAnsi="Book Antiqua" w:hint="eastAsia"/>
          <w:color w:val="000000" w:themeColor="text1"/>
          <w:sz w:val="24"/>
          <w:szCs w:val="24"/>
          <w:lang w:val="en-US" w:eastAsia="zh-CN"/>
        </w:rPr>
        <w:t xml:space="preserve"> </w:t>
      </w:r>
      <w:r w:rsidR="00DE7DB2" w:rsidRPr="00E7615A">
        <w:rPr>
          <w:rFonts w:ascii="Book Antiqua" w:hAnsi="Book Antiqua"/>
          <w:color w:val="000000" w:themeColor="text1"/>
          <w:sz w:val="24"/>
          <w:szCs w:val="24"/>
          <w:lang w:val="en-US"/>
        </w:rPr>
        <w:t xml:space="preserve">J) at </w:t>
      </w:r>
      <w:r w:rsidR="00DE7DB2" w:rsidRPr="00E7615A">
        <w:rPr>
          <w:rFonts w:ascii="Book Antiqua" w:hAnsi="Book Antiqua"/>
          <w:color w:val="000000" w:themeColor="text1"/>
          <w:sz w:val="24"/>
          <w:szCs w:val="24"/>
          <w:lang w:val="en-US" w:eastAsia="zh-CN"/>
        </w:rPr>
        <w:t>6</w:t>
      </w:r>
      <w:r w:rsidR="00DE7DB2" w:rsidRPr="00E7615A">
        <w:rPr>
          <w:rFonts w:ascii="Book Antiqua" w:hAnsi="Book Antiqua"/>
          <w:color w:val="000000" w:themeColor="text1"/>
          <w:sz w:val="24"/>
          <w:szCs w:val="24"/>
          <w:lang w:val="en-US"/>
        </w:rPr>
        <w:t xml:space="preserve"> wk after GBR-MSA. At 34 wk</w:t>
      </w:r>
      <w:r w:rsidRPr="00E7615A">
        <w:rPr>
          <w:rFonts w:ascii="Book Antiqua" w:hAnsi="Book Antiqua"/>
          <w:color w:val="000000" w:themeColor="text1"/>
          <w:sz w:val="24"/>
          <w:szCs w:val="24"/>
          <w:lang w:val="en-US"/>
        </w:rPr>
        <w:t xml:space="preserve"> after GBR-MSA the pattern of immunoreactivity for type I collagen was similar </w:t>
      </w:r>
      <w:r w:rsidR="00DE7DB2" w:rsidRPr="00E7615A">
        <w:rPr>
          <w:rFonts w:ascii="Book Antiqua" w:hAnsi="Book Antiqua"/>
          <w:color w:val="000000" w:themeColor="text1"/>
          <w:sz w:val="24"/>
          <w:szCs w:val="24"/>
          <w:lang w:val="en-US"/>
        </w:rPr>
        <w:t>to the pattern observed at 6 wk</w:t>
      </w:r>
      <w:r w:rsidRPr="00E7615A">
        <w:rPr>
          <w:rFonts w:ascii="Book Antiqua" w:hAnsi="Book Antiqua"/>
          <w:color w:val="000000" w:themeColor="text1"/>
          <w:sz w:val="24"/>
          <w:szCs w:val="24"/>
          <w:lang w:val="en-US"/>
        </w:rPr>
        <w:t xml:space="preserve"> after GBR-MSA but weaker (arrows and asterisks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8</w:t>
      </w:r>
      <w:r w:rsidRPr="00E7615A">
        <w:rPr>
          <w:rFonts w:ascii="Book Antiqua" w:hAnsi="Book Antiqua"/>
          <w:color w:val="000000" w:themeColor="text1"/>
          <w:sz w:val="24"/>
          <w:szCs w:val="24"/>
          <w:lang w:val="en-US"/>
        </w:rPr>
        <w:t>K,</w:t>
      </w:r>
      <w:r w:rsidR="0073053C">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L).</w:t>
      </w:r>
    </w:p>
    <w:p w14:paraId="0D0F2858" w14:textId="65D3C94C"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The application of UA-ADRCs resulted in strong AP immunoreactivity in osteoblasts, osteoblast-like cells and fibroblasts in the intertrabecular connective tissue at </w:t>
      </w:r>
      <w:r w:rsidR="00DE7DB2" w:rsidRPr="00E7615A">
        <w:rPr>
          <w:rFonts w:ascii="Book Antiqua" w:hAnsi="Book Antiqua"/>
          <w:color w:val="000000" w:themeColor="text1"/>
          <w:sz w:val="24"/>
          <w:szCs w:val="24"/>
          <w:lang w:val="en-US" w:eastAsia="zh-CN"/>
        </w:rPr>
        <w:t>6</w:t>
      </w:r>
      <w:r w:rsidR="00DE7DB2" w:rsidRPr="00E7615A">
        <w:rPr>
          <w:rFonts w:ascii="Book Antiqua" w:hAnsi="Book Antiqua"/>
          <w:color w:val="000000" w:themeColor="text1"/>
          <w:sz w:val="24"/>
          <w:szCs w:val="24"/>
          <w:lang w:val="en-US"/>
        </w:rPr>
        <w:t xml:space="preserve"> wk</w:t>
      </w:r>
      <w:r w:rsidRPr="00E7615A">
        <w:rPr>
          <w:rFonts w:ascii="Book Antiqua" w:hAnsi="Book Antiqua"/>
          <w:color w:val="000000" w:themeColor="text1"/>
          <w:sz w:val="24"/>
          <w:szCs w:val="24"/>
          <w:lang w:val="en-US"/>
        </w:rPr>
        <w:t xml:space="preserve"> after GBR-MSA, while without UA-ADRCs only a few osteoblasts were immunoreactive for AP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8</w:t>
      </w:r>
      <w:r w:rsidR="00DE7DB2" w:rsidRPr="00E7615A">
        <w:rPr>
          <w:rFonts w:ascii="Book Antiqua" w:hAnsi="Book Antiqua"/>
          <w:color w:val="000000" w:themeColor="text1"/>
          <w:sz w:val="24"/>
          <w:szCs w:val="24"/>
          <w:lang w:val="en-US"/>
        </w:rPr>
        <w:t>M,</w:t>
      </w:r>
      <w:r w:rsidR="002315C6">
        <w:rPr>
          <w:rFonts w:ascii="Book Antiqua" w:hAnsi="Book Antiqua" w:hint="eastAsia"/>
          <w:color w:val="000000" w:themeColor="text1"/>
          <w:sz w:val="24"/>
          <w:szCs w:val="24"/>
          <w:lang w:val="en-US" w:eastAsia="zh-CN"/>
        </w:rPr>
        <w:t xml:space="preserve"> </w:t>
      </w:r>
      <w:r w:rsidR="00DE7DB2" w:rsidRPr="00E7615A">
        <w:rPr>
          <w:rFonts w:ascii="Book Antiqua" w:hAnsi="Book Antiqua"/>
          <w:color w:val="000000" w:themeColor="text1"/>
          <w:sz w:val="24"/>
          <w:szCs w:val="24"/>
          <w:lang w:val="en-US"/>
        </w:rPr>
        <w:t>N). At 34 wk</w:t>
      </w:r>
      <w:r w:rsidRPr="00E7615A">
        <w:rPr>
          <w:rFonts w:ascii="Book Antiqua" w:hAnsi="Book Antiqua"/>
          <w:color w:val="000000" w:themeColor="text1"/>
          <w:sz w:val="24"/>
          <w:szCs w:val="24"/>
          <w:lang w:val="en-US"/>
        </w:rPr>
        <w:t xml:space="preserve"> after GBR-MSA AP immunoreactivity appeared in some osteoblasts and osteoblast-like cells in a weak to moderate manner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8</w:t>
      </w:r>
      <w:r w:rsidRPr="00E7615A">
        <w:rPr>
          <w:rFonts w:ascii="Book Antiqua" w:hAnsi="Book Antiqua"/>
          <w:color w:val="000000" w:themeColor="text1"/>
          <w:sz w:val="24"/>
          <w:szCs w:val="24"/>
          <w:lang w:val="en-US"/>
        </w:rPr>
        <w:t>O,</w:t>
      </w:r>
      <w:r w:rsidR="00CD3B3D">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P).</w:t>
      </w:r>
    </w:p>
    <w:p w14:paraId="198B823A" w14:textId="5E1111DE"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lastRenderedPageBreak/>
        <w:t>Immunohistochemical detection of von</w:t>
      </w:r>
      <w:r w:rsidR="00CD3B3D">
        <w:rPr>
          <w:rFonts w:ascii="Book Antiqua" w:hAnsi="Book Antiqua" w:hint="eastAsia"/>
          <w:color w:val="000000" w:themeColor="text1"/>
          <w:sz w:val="24"/>
          <w:szCs w:val="24"/>
          <w:lang w:val="en-US" w:eastAsia="zh-CN"/>
        </w:rPr>
        <w:t xml:space="preserve"> </w:t>
      </w:r>
      <w:r w:rsidR="00014543" w:rsidRPr="00E7615A">
        <w:rPr>
          <w:rFonts w:ascii="Book Antiqua" w:hAnsi="Book Antiqua"/>
          <w:color w:val="000000" w:themeColor="text1"/>
          <w:sz w:val="24"/>
          <w:szCs w:val="24"/>
          <w:lang w:val="en-US"/>
        </w:rPr>
        <w:t>8</w:t>
      </w:r>
      <w:r w:rsidRPr="00E7615A">
        <w:rPr>
          <w:rFonts w:ascii="Book Antiqua" w:hAnsi="Book Antiqua"/>
          <w:color w:val="000000" w:themeColor="text1"/>
          <w:sz w:val="24"/>
          <w:szCs w:val="24"/>
          <w:lang w:val="en-US"/>
        </w:rPr>
        <w:t xml:space="preserve"> Willebrand factor showed dense vascularization in all biopsies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9</w:t>
      </w:r>
      <w:r w:rsidRPr="00E7615A">
        <w:rPr>
          <w:rFonts w:ascii="Book Antiqua" w:hAnsi="Book Antiqua"/>
          <w:color w:val="000000" w:themeColor="text1"/>
          <w:sz w:val="24"/>
          <w:szCs w:val="24"/>
          <w:lang w:val="en-US"/>
        </w:rPr>
        <w:t>A-D), with the highest density a</w:t>
      </w:r>
      <w:r w:rsidR="00DE7DB2" w:rsidRPr="00E7615A">
        <w:rPr>
          <w:rFonts w:ascii="Book Antiqua" w:hAnsi="Book Antiqua"/>
          <w:color w:val="000000" w:themeColor="text1"/>
          <w:sz w:val="24"/>
          <w:szCs w:val="24"/>
          <w:lang w:val="en-US"/>
        </w:rPr>
        <w:t>t 6 wk</w:t>
      </w:r>
      <w:r w:rsidRPr="00E7615A">
        <w:rPr>
          <w:rFonts w:ascii="Book Antiqua" w:hAnsi="Book Antiqua"/>
          <w:color w:val="000000" w:themeColor="text1"/>
          <w:sz w:val="24"/>
          <w:szCs w:val="24"/>
          <w:lang w:val="en-US"/>
        </w:rPr>
        <w:t xml:space="preserve"> after GBR-MSA with the application of UA-ADRCs. Without UA-ADRCs larger sinusoi</w:t>
      </w:r>
      <w:r w:rsidR="00DE7DB2" w:rsidRPr="00E7615A">
        <w:rPr>
          <w:rFonts w:ascii="Book Antiqua" w:hAnsi="Book Antiqua"/>
          <w:color w:val="000000" w:themeColor="text1"/>
          <w:sz w:val="24"/>
          <w:szCs w:val="24"/>
          <w:lang w:val="en-US"/>
        </w:rPr>
        <w:t>dal vessels were found at 34 wk</w:t>
      </w:r>
      <w:r w:rsidRPr="00E7615A">
        <w:rPr>
          <w:rFonts w:ascii="Book Antiqua" w:hAnsi="Book Antiqua"/>
          <w:color w:val="000000" w:themeColor="text1"/>
          <w:sz w:val="24"/>
          <w:szCs w:val="24"/>
          <w:lang w:val="en-US"/>
        </w:rPr>
        <w:t xml:space="preserve"> after GBR-MSA, located within the intertrabecular connective tissue (arrowheads in Fig</w:t>
      </w:r>
      <w:r w:rsidR="00C579EA">
        <w:rPr>
          <w:rFonts w:ascii="Book Antiqua" w:hAnsi="Book Antiqua" w:hint="eastAsia"/>
          <w:color w:val="000000" w:themeColor="text1"/>
          <w:sz w:val="24"/>
          <w:szCs w:val="24"/>
          <w:lang w:val="en-US" w:eastAsia="zh-CN"/>
        </w:rPr>
        <w:t>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9</w:t>
      </w:r>
      <w:r w:rsidRPr="00E7615A">
        <w:rPr>
          <w:rFonts w:ascii="Book Antiqua" w:hAnsi="Book Antiqua"/>
          <w:color w:val="000000" w:themeColor="text1"/>
          <w:sz w:val="24"/>
          <w:szCs w:val="24"/>
          <w:lang w:val="en-US"/>
        </w:rPr>
        <w:t>D).</w:t>
      </w:r>
    </w:p>
    <w:p w14:paraId="180F9EC6" w14:textId="1F70243F"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Vessel walls were strongly immunoreactive for CD146 in all biopsies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9</w:t>
      </w:r>
      <w:r w:rsidRPr="00E7615A">
        <w:rPr>
          <w:rFonts w:ascii="Book Antiqua" w:hAnsi="Book Antiqua"/>
          <w:color w:val="000000" w:themeColor="text1"/>
          <w:sz w:val="24"/>
          <w:szCs w:val="24"/>
          <w:lang w:val="en-US"/>
        </w:rPr>
        <w:t>E-H).</w:t>
      </w:r>
    </w:p>
    <w:p w14:paraId="2A4AD225" w14:textId="272EDAA3"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A strong intracellular, granular anti-CD 73 immunoreactivity was seen in all biopsies in subsets of fibroblasts and osteoblasts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9</w:t>
      </w:r>
      <w:r w:rsidRPr="00E7615A">
        <w:rPr>
          <w:rFonts w:ascii="Book Antiqua" w:hAnsi="Book Antiqua"/>
          <w:color w:val="000000" w:themeColor="text1"/>
          <w:sz w:val="24"/>
          <w:szCs w:val="24"/>
          <w:lang w:val="en-US"/>
        </w:rPr>
        <w:t xml:space="preserve">I-L), as well as in vessel walls (arrowheads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9</w:t>
      </w:r>
      <w:r w:rsidRPr="00E7615A">
        <w:rPr>
          <w:rFonts w:ascii="Book Antiqua" w:hAnsi="Book Antiqua"/>
          <w:color w:val="000000" w:themeColor="text1"/>
          <w:sz w:val="24"/>
          <w:szCs w:val="24"/>
          <w:lang w:val="en-US"/>
        </w:rPr>
        <w:t>I-L).</w:t>
      </w:r>
    </w:p>
    <w:p w14:paraId="136CA279" w14:textId="393EB488"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Nearly all osteoblasts and fibroblasts as well as a subset of osteocytes showed imm</w:t>
      </w:r>
      <w:r w:rsidR="00DE7DB2" w:rsidRPr="00E7615A">
        <w:rPr>
          <w:rFonts w:ascii="Book Antiqua" w:hAnsi="Book Antiqua"/>
          <w:color w:val="000000" w:themeColor="text1"/>
          <w:sz w:val="24"/>
          <w:szCs w:val="24"/>
          <w:lang w:val="en-US"/>
        </w:rPr>
        <w:t>unoreactivity for PPARγ at 6 wk</w:t>
      </w:r>
      <w:r w:rsidRPr="00E7615A">
        <w:rPr>
          <w:rFonts w:ascii="Book Antiqua" w:hAnsi="Book Antiqua"/>
          <w:color w:val="000000" w:themeColor="text1"/>
          <w:sz w:val="24"/>
          <w:szCs w:val="24"/>
          <w:lang w:val="en-US"/>
        </w:rPr>
        <w:t xml:space="preserve"> after GBR-MSA (arrows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9</w:t>
      </w:r>
      <w:r w:rsidRPr="00E7615A">
        <w:rPr>
          <w:rFonts w:ascii="Book Antiqua" w:hAnsi="Book Antiqua"/>
          <w:color w:val="000000" w:themeColor="text1"/>
          <w:sz w:val="24"/>
          <w:szCs w:val="24"/>
          <w:lang w:val="en-US"/>
        </w:rPr>
        <w:t>M,</w:t>
      </w:r>
      <w:r w:rsidR="00C579EA">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 xml:space="preserve">N). Furthermore, PPARγ immunoreactivity was also found in vessel walls in areas with osteogenesis (arrowheads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9</w:t>
      </w:r>
      <w:r w:rsidRPr="00E7615A">
        <w:rPr>
          <w:rFonts w:ascii="Book Antiqua" w:hAnsi="Book Antiqua"/>
          <w:color w:val="000000" w:themeColor="text1"/>
          <w:sz w:val="24"/>
          <w:szCs w:val="24"/>
          <w:lang w:val="en-US"/>
        </w:rPr>
        <w:t>M,</w:t>
      </w:r>
      <w:r w:rsidR="00C579EA">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N). In general, a very sim</w:t>
      </w:r>
      <w:r w:rsidR="00DE7DB2" w:rsidRPr="00E7615A">
        <w:rPr>
          <w:rFonts w:ascii="Book Antiqua" w:hAnsi="Book Antiqua"/>
          <w:color w:val="000000" w:themeColor="text1"/>
          <w:sz w:val="24"/>
          <w:szCs w:val="24"/>
          <w:lang w:val="en-US"/>
        </w:rPr>
        <w:t>ilar pattern was found at 34 wk</w:t>
      </w:r>
      <w:r w:rsidRPr="00E7615A">
        <w:rPr>
          <w:rFonts w:ascii="Book Antiqua" w:hAnsi="Book Antiqua"/>
          <w:color w:val="000000" w:themeColor="text1"/>
          <w:sz w:val="24"/>
          <w:szCs w:val="24"/>
          <w:lang w:val="en-US"/>
        </w:rPr>
        <w:t xml:space="preserve"> after the application of UA-ADRCs, whereas without UA-ADRCs immunoreactivity for PPARγ was restricted to vessel walls (arrows and arrowheads in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014543" w:rsidRPr="00E7615A">
        <w:rPr>
          <w:rFonts w:ascii="Book Antiqua" w:hAnsi="Book Antiqua"/>
          <w:color w:val="000000" w:themeColor="text1"/>
          <w:sz w:val="24"/>
          <w:szCs w:val="24"/>
          <w:lang w:val="en-US"/>
        </w:rPr>
        <w:t>9</w:t>
      </w:r>
      <w:r w:rsidRPr="00E7615A">
        <w:rPr>
          <w:rFonts w:ascii="Book Antiqua" w:hAnsi="Book Antiqua"/>
          <w:color w:val="000000" w:themeColor="text1"/>
          <w:sz w:val="24"/>
          <w:szCs w:val="24"/>
          <w:lang w:val="en-US"/>
        </w:rPr>
        <w:t>O,</w:t>
      </w:r>
      <w:r w:rsidR="00C579EA">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 xml:space="preserve">P). </w:t>
      </w:r>
    </w:p>
    <w:p w14:paraId="49A1A4F1" w14:textId="0FCED066" w:rsidR="00A37FD9" w:rsidRDefault="009E76FB" w:rsidP="00D048E9">
      <w:pPr>
        <w:widowControl w:val="0"/>
        <w:adjustRightInd w:val="0"/>
        <w:snapToGrid w:val="0"/>
        <w:spacing w:after="0" w:line="360" w:lineRule="auto"/>
        <w:ind w:firstLine="432"/>
        <w:jc w:val="both"/>
        <w:rPr>
          <w:rFonts w:ascii="Book Antiqua" w:hAnsi="Book Antiqua"/>
          <w:color w:val="000000" w:themeColor="text1"/>
          <w:sz w:val="24"/>
          <w:szCs w:val="24"/>
          <w:lang w:val="en-GB" w:eastAsia="zh-CN"/>
        </w:rPr>
      </w:pPr>
      <w:r w:rsidRPr="00E7615A">
        <w:rPr>
          <w:rFonts w:ascii="Book Antiqua" w:hAnsi="Book Antiqua"/>
          <w:color w:val="000000" w:themeColor="text1"/>
          <w:sz w:val="24"/>
          <w:szCs w:val="24"/>
          <w:lang w:val="en-GB"/>
        </w:rPr>
        <w:t>The immunohistochemically negative control specimens displayed n</w:t>
      </w:r>
      <w:r w:rsidR="00A37FD9" w:rsidRPr="00E7615A">
        <w:rPr>
          <w:rFonts w:ascii="Book Antiqua" w:hAnsi="Book Antiqua"/>
          <w:color w:val="000000" w:themeColor="text1"/>
          <w:sz w:val="24"/>
          <w:szCs w:val="24"/>
          <w:lang w:val="en-GB"/>
        </w:rPr>
        <w:t>o immunoreactivity.</w:t>
      </w:r>
    </w:p>
    <w:p w14:paraId="35A0A47E" w14:textId="77777777" w:rsidR="00C579EA" w:rsidRPr="00E7615A" w:rsidRDefault="00C579EA" w:rsidP="00D048E9">
      <w:pPr>
        <w:widowControl w:val="0"/>
        <w:adjustRightInd w:val="0"/>
        <w:snapToGrid w:val="0"/>
        <w:spacing w:after="0" w:line="360" w:lineRule="auto"/>
        <w:ind w:firstLine="432"/>
        <w:jc w:val="both"/>
        <w:rPr>
          <w:rFonts w:ascii="Book Antiqua" w:hAnsi="Book Antiqua"/>
          <w:color w:val="000000" w:themeColor="text1"/>
          <w:sz w:val="24"/>
          <w:szCs w:val="24"/>
          <w:lang w:val="en-GB" w:eastAsia="zh-CN"/>
        </w:rPr>
      </w:pPr>
    </w:p>
    <w:p w14:paraId="449B5555" w14:textId="757C1E48" w:rsidR="00A37FD9" w:rsidRPr="00E7615A" w:rsidRDefault="00A37FD9"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DISCUSSION</w:t>
      </w:r>
    </w:p>
    <w:p w14:paraId="16258462" w14:textId="793A7EE8"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The present study is the first one in which a combination of freshly isolated UA-ADRCs, PRGF-2 and an OIS was used for GBR-MSA. Furthermore, our study is the first one in which cellular and histological effects of mesenchymal stem cells in human GBR-MSA were investigated with </w:t>
      </w:r>
      <w:r w:rsidR="00B016DA" w:rsidRPr="00E7615A">
        <w:rPr>
          <w:rFonts w:ascii="Book Antiqua" w:hAnsi="Book Antiqua"/>
          <w:color w:val="000000" w:themeColor="text1"/>
          <w:sz w:val="24"/>
          <w:szCs w:val="24"/>
          <w:lang w:val="en-US"/>
        </w:rPr>
        <w:t xml:space="preserve">design-based stereology, </w:t>
      </w:r>
      <w:r w:rsidRPr="00E7615A">
        <w:rPr>
          <w:rFonts w:ascii="Book Antiqua" w:hAnsi="Book Antiqua"/>
          <w:color w:val="000000" w:themeColor="text1"/>
          <w:sz w:val="24"/>
          <w:szCs w:val="24"/>
          <w:lang w:val="en-US"/>
        </w:rPr>
        <w:t>histochemistry</w:t>
      </w:r>
      <w:r w:rsidR="00B016DA"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and immunohistochemistry. The analysis of the biops</w:t>
      </w:r>
      <w:r w:rsidR="00DE7DB2" w:rsidRPr="00E7615A">
        <w:rPr>
          <w:rFonts w:ascii="Book Antiqua" w:hAnsi="Book Antiqua"/>
          <w:color w:val="000000" w:themeColor="text1"/>
          <w:sz w:val="24"/>
          <w:szCs w:val="24"/>
          <w:lang w:val="en-US"/>
        </w:rPr>
        <w:t>ies that were collected at 6 wk and again at 34 wk</w:t>
      </w:r>
      <w:r w:rsidRPr="00E7615A">
        <w:rPr>
          <w:rFonts w:ascii="Book Antiqua" w:hAnsi="Book Antiqua"/>
          <w:color w:val="000000" w:themeColor="text1"/>
          <w:sz w:val="24"/>
          <w:szCs w:val="24"/>
          <w:lang w:val="en-US"/>
        </w:rPr>
        <w:t xml:space="preserve"> after GBR-MSA showed that the combination of UA-ADRCs, PRGF-2 and the OIS resulted in better and faster bone regeneration than the combination of PRGF-2 and the same OIS alone. It is of note that our </w:t>
      </w:r>
      <w:r w:rsidR="00B016DA" w:rsidRPr="00E7615A">
        <w:rPr>
          <w:rFonts w:ascii="Book Antiqua" w:hAnsi="Book Antiqua"/>
          <w:color w:val="000000" w:themeColor="text1"/>
          <w:sz w:val="24"/>
          <w:szCs w:val="24"/>
          <w:lang w:val="en-US"/>
        </w:rPr>
        <w:t>design-based stereologic</w:t>
      </w:r>
      <w:r w:rsidRPr="00E7615A">
        <w:rPr>
          <w:rFonts w:ascii="Book Antiqua" w:hAnsi="Book Antiqua"/>
          <w:color w:val="000000" w:themeColor="text1"/>
          <w:sz w:val="24"/>
          <w:szCs w:val="24"/>
          <w:lang w:val="en-US"/>
        </w:rPr>
        <w:t xml:space="preserve"> finding of a higher relative amount of newly formed bone after GBR-MSA with the application of UA-</w:t>
      </w:r>
      <w:r w:rsidRPr="00E7615A">
        <w:rPr>
          <w:rFonts w:ascii="Book Antiqua" w:hAnsi="Book Antiqua"/>
          <w:color w:val="000000" w:themeColor="text1"/>
          <w:sz w:val="24"/>
          <w:szCs w:val="24"/>
          <w:lang w:val="en-US"/>
        </w:rPr>
        <w:lastRenderedPageBreak/>
        <w:t>ADRCs than</w:t>
      </w:r>
      <w:r w:rsidR="00DE7DB2" w:rsidRPr="00E7615A">
        <w:rPr>
          <w:rFonts w:ascii="Book Antiqua" w:hAnsi="Book Antiqua"/>
          <w:color w:val="000000" w:themeColor="text1"/>
          <w:sz w:val="24"/>
          <w:szCs w:val="24"/>
          <w:lang w:val="en-US"/>
        </w:rPr>
        <w:t xml:space="preserve"> without UA-ADRCs (+63% at 6 wk; +44% at 34 wk</w:t>
      </w:r>
      <w:r w:rsidRPr="00E7615A">
        <w:rPr>
          <w:rFonts w:ascii="Book Antiqua" w:hAnsi="Book Antiqua"/>
          <w:color w:val="000000" w:themeColor="text1"/>
          <w:sz w:val="24"/>
          <w:szCs w:val="24"/>
          <w:lang w:val="en-US"/>
        </w:rPr>
        <w:t>)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B016DA" w:rsidRPr="00E7615A">
        <w:rPr>
          <w:rFonts w:ascii="Book Antiqua" w:hAnsi="Book Antiqua"/>
          <w:color w:val="000000" w:themeColor="text1"/>
          <w:sz w:val="24"/>
          <w:szCs w:val="24"/>
          <w:lang w:val="en-US"/>
        </w:rPr>
        <w:t>7</w:t>
      </w:r>
      <w:r w:rsidRPr="00E7615A">
        <w:rPr>
          <w:rFonts w:ascii="Book Antiqua" w:hAnsi="Book Antiqua"/>
          <w:color w:val="000000" w:themeColor="text1"/>
          <w:sz w:val="24"/>
          <w:szCs w:val="24"/>
          <w:lang w:val="en-US"/>
        </w:rPr>
        <w:t>) was in line with our radiologic finding of more dense bone after the application of UA-ADRCs in regions 15 and 16 than without UA-ADRCs in regions 25 and 26 at 20 months after GBR-MSA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4). </w:t>
      </w:r>
    </w:p>
    <w:p w14:paraId="385469A9" w14:textId="7A847E19"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The results of the present study may open new horizons for the rehabilitation of the edentulous posterior maxilla and potentially for other regenerative t</w:t>
      </w:r>
      <w:r w:rsidR="00A710B1" w:rsidRPr="00E7615A">
        <w:rPr>
          <w:rFonts w:ascii="Book Antiqua" w:hAnsi="Book Antiqua"/>
          <w:color w:val="000000" w:themeColor="text1"/>
          <w:sz w:val="24"/>
          <w:szCs w:val="24"/>
          <w:lang w:val="en-US"/>
        </w:rPr>
        <w:t>echniques in pre-implant</w:t>
      </w:r>
      <w:r w:rsidRPr="00E7615A">
        <w:rPr>
          <w:rFonts w:ascii="Book Antiqua" w:hAnsi="Book Antiqua"/>
          <w:color w:val="000000" w:themeColor="text1"/>
          <w:sz w:val="24"/>
          <w:szCs w:val="24"/>
          <w:lang w:val="en-US"/>
        </w:rPr>
        <w:t xml:space="preserve"> bone augmentation procedures like lateral and horizontal alveolar ridge augmentation, socket preservation, and bone grafting following large cystectomies. Specifically, the novel GBR-MSA approach presented here could result in a superior bone-implant-contact due to advanced new bone formation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B016DA" w:rsidRPr="00E7615A">
        <w:rPr>
          <w:rFonts w:ascii="Book Antiqua" w:hAnsi="Book Antiqua"/>
          <w:color w:val="000000" w:themeColor="text1"/>
          <w:sz w:val="24"/>
          <w:szCs w:val="24"/>
          <w:lang w:val="en-US"/>
        </w:rPr>
        <w:t>7</w:t>
      </w:r>
      <w:r w:rsidRPr="00E7615A">
        <w:rPr>
          <w:rFonts w:ascii="Book Antiqua" w:hAnsi="Book Antiqua"/>
          <w:color w:val="000000" w:themeColor="text1"/>
          <w:sz w:val="24"/>
          <w:szCs w:val="24"/>
          <w:lang w:val="en-US"/>
        </w:rPr>
        <w:t>) and, thus, could also serve as the basis for reducing the time between GBR-MSA and the placement of implants in patients with residual bone height below the antrum and the ridge crest of less than 3 mm (Class D</w:t>
      </w:r>
      <w:r w:rsidR="00ED1BD0"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32</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Besides this, our novel approach may allow for immediate implant placement in combination with bone augmentation procedures when </w:t>
      </w:r>
      <w:r w:rsidR="0053770B" w:rsidRPr="00E7615A">
        <w:rPr>
          <w:rFonts w:ascii="Book Antiqua" w:hAnsi="Book Antiqua"/>
          <w:color w:val="000000" w:themeColor="text1"/>
          <w:sz w:val="24"/>
          <w:szCs w:val="24"/>
          <w:lang w:val="en-US"/>
        </w:rPr>
        <w:t xml:space="preserve">the </w:t>
      </w:r>
      <w:r w:rsidRPr="00E7615A">
        <w:rPr>
          <w:rFonts w:ascii="Book Antiqua" w:hAnsi="Book Antiqua"/>
          <w:color w:val="000000" w:themeColor="text1"/>
          <w:sz w:val="24"/>
          <w:szCs w:val="24"/>
          <w:lang w:val="en-US"/>
        </w:rPr>
        <w:t>primary stability of the implant is provided. Moreover, the harvesting of ADRCs may result in less morbidity of the patient compared to bone marrow aspiration from the iliac crest area (addressed in the next paragraph). However, it will be the task of future studies to test these hypotheses.</w:t>
      </w:r>
    </w:p>
    <w:p w14:paraId="19664BDE" w14:textId="0499A06B"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Guided bone regeneration in maxillary sinus augmentation using mesenchymal stem cells (except of the use of UA-ADRCs) has been investigated in many preclinical and clinical studies, with and without OIS and with and without use of PRP (reviewed </w:t>
      </w:r>
      <w:proofErr w:type="gramStart"/>
      <w:r w:rsidRPr="00E7615A">
        <w:rPr>
          <w:rFonts w:ascii="Book Antiqua" w:hAnsi="Book Antiqua"/>
          <w:color w:val="000000" w:themeColor="text1"/>
          <w:sz w:val="24"/>
          <w:szCs w:val="24"/>
          <w:lang w:val="en-US"/>
        </w:rPr>
        <w:t>in</w:t>
      </w:r>
      <w:r w:rsidR="00ED1BD0" w:rsidRPr="00E7615A">
        <w:rPr>
          <w:rFonts w:ascii="Book Antiqua" w:hAnsi="Book Antiqua"/>
          <w:color w:val="000000" w:themeColor="text1"/>
          <w:sz w:val="24"/>
          <w:szCs w:val="24"/>
          <w:vertAlign w:val="superscript"/>
          <w:lang w:val="en-US"/>
        </w:rPr>
        <w:t>[</w:t>
      </w:r>
      <w:proofErr w:type="gramEnd"/>
      <w:r w:rsidR="00B016DA"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2</w:t>
      </w:r>
      <w:r w:rsidR="00B016DA"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4</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In most of these studies </w:t>
      </w:r>
      <w:r w:rsidR="009E76FB" w:rsidRPr="00E7615A">
        <w:rPr>
          <w:rFonts w:ascii="Book Antiqua" w:hAnsi="Book Antiqua"/>
          <w:color w:val="000000" w:themeColor="text1"/>
          <w:sz w:val="24"/>
          <w:szCs w:val="24"/>
          <w:lang w:val="en-US"/>
        </w:rPr>
        <w:t>B</w:t>
      </w:r>
      <w:r w:rsidR="00C579EA">
        <w:rPr>
          <w:rFonts w:ascii="Book Antiqua" w:hAnsi="Book Antiqua"/>
          <w:color w:val="000000" w:themeColor="text1"/>
          <w:sz w:val="24"/>
          <w:szCs w:val="24"/>
          <w:lang w:val="en-US"/>
        </w:rPr>
        <w:t>MSCs</w:t>
      </w:r>
      <w:r w:rsidR="009E76FB"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autologous bone marrow aspirate concentrate (BMAC)</w:t>
      </w:r>
      <w:r w:rsidR="009456F9"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or periosteal derived stem cells (PDSCs) were used. Histomorphometric analysis showed considerable differences in the relative amount (area/area</w:t>
      </w:r>
      <w:r w:rsidR="00A01617" w:rsidRPr="00E7615A">
        <w:rPr>
          <w:rFonts w:ascii="Book Antiqua" w:hAnsi="Book Antiqua"/>
          <w:color w:val="000000" w:themeColor="text1"/>
          <w:sz w:val="24"/>
          <w:szCs w:val="24"/>
          <w:lang w:val="en-US"/>
        </w:rPr>
        <w:t>) of newly formed bone at 24 wk</w:t>
      </w:r>
      <w:r w:rsidRPr="00E7615A">
        <w:rPr>
          <w:rFonts w:ascii="Book Antiqua" w:hAnsi="Book Antiqua"/>
          <w:color w:val="000000" w:themeColor="text1"/>
          <w:sz w:val="24"/>
          <w:szCs w:val="24"/>
          <w:lang w:val="en-US"/>
        </w:rPr>
        <w:t xml:space="preserve"> after surgery, ranging between 13.5% using BMSCs and bovine bone material (BBM</w:t>
      </w:r>
      <w:proofErr w:type="gramStart"/>
      <w:r w:rsidRPr="00E7615A">
        <w:rPr>
          <w:rFonts w:ascii="Book Antiqua" w:hAnsi="Book Antiqua"/>
          <w:color w:val="000000" w:themeColor="text1"/>
          <w:sz w:val="24"/>
          <w:szCs w:val="24"/>
          <w:lang w:val="en-US"/>
        </w:rPr>
        <w:t>)</w:t>
      </w:r>
      <w:r w:rsidR="00ED1BD0" w:rsidRPr="00E7615A">
        <w:rPr>
          <w:rFonts w:ascii="Book Antiqua" w:hAnsi="Book Antiqua"/>
          <w:color w:val="000000" w:themeColor="text1"/>
          <w:sz w:val="24"/>
          <w:szCs w:val="24"/>
          <w:vertAlign w:val="superscript"/>
          <w:lang w:val="en-US"/>
        </w:rPr>
        <w:t>[</w:t>
      </w:r>
      <w:proofErr w:type="gramEnd"/>
      <w:r w:rsidR="00B016DA"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5</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and 55.2% using BMAC and BBM</w:t>
      </w:r>
      <w:r w:rsidR="00ED1BD0"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6</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This considerable difference and the fact that the relative amount (area/area) of cancellous bone in normal human bone is only approximately 25</w:t>
      </w:r>
      <w:proofErr w:type="gramStart"/>
      <w:r w:rsidRPr="00E7615A">
        <w:rPr>
          <w:rFonts w:ascii="Book Antiqua" w:hAnsi="Book Antiqua"/>
          <w:color w:val="000000" w:themeColor="text1"/>
          <w:sz w:val="24"/>
          <w:szCs w:val="24"/>
          <w:lang w:val="en-US"/>
        </w:rPr>
        <w:t>%</w:t>
      </w:r>
      <w:r w:rsidR="00ED1BD0" w:rsidRPr="00E7615A">
        <w:rPr>
          <w:rFonts w:ascii="Book Antiqua" w:hAnsi="Book Antiqua"/>
          <w:color w:val="000000" w:themeColor="text1"/>
          <w:sz w:val="24"/>
          <w:szCs w:val="24"/>
          <w:vertAlign w:val="superscript"/>
          <w:lang w:val="en-US"/>
        </w:rPr>
        <w:t>[</w:t>
      </w:r>
      <w:proofErr w:type="gramEnd"/>
      <w:r w:rsidR="00B016DA"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7</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should give reason to accept </w:t>
      </w:r>
      <w:r w:rsidR="00D528F4" w:rsidRPr="00E7615A">
        <w:rPr>
          <w:rFonts w:ascii="Book Antiqua" w:hAnsi="Book Antiqua"/>
          <w:color w:val="000000" w:themeColor="text1"/>
          <w:sz w:val="24"/>
          <w:szCs w:val="24"/>
          <w:lang w:val="en-US"/>
        </w:rPr>
        <w:t xml:space="preserve">the </w:t>
      </w:r>
      <w:r w:rsidRPr="00E7615A">
        <w:rPr>
          <w:rFonts w:ascii="Book Antiqua" w:hAnsi="Book Antiqua"/>
          <w:color w:val="000000" w:themeColor="text1"/>
          <w:sz w:val="24"/>
          <w:szCs w:val="24"/>
          <w:lang w:val="en-US"/>
        </w:rPr>
        <w:t xml:space="preserve">results of related studies only after having critically scrutinized the corresponding methodological details. For example, in a study that reported a relative amount of newly bone of 55.2% using BMAC and </w:t>
      </w:r>
      <w:proofErr w:type="gramStart"/>
      <w:r w:rsidRPr="00E7615A">
        <w:rPr>
          <w:rFonts w:ascii="Book Antiqua" w:hAnsi="Book Antiqua"/>
          <w:color w:val="000000" w:themeColor="text1"/>
          <w:sz w:val="24"/>
          <w:szCs w:val="24"/>
          <w:lang w:val="en-US"/>
        </w:rPr>
        <w:lastRenderedPageBreak/>
        <w:t>BBM</w:t>
      </w:r>
      <w:r w:rsidR="00ED1BD0" w:rsidRPr="00E7615A">
        <w:rPr>
          <w:rFonts w:ascii="Book Antiqua" w:hAnsi="Book Antiqua"/>
          <w:color w:val="000000" w:themeColor="text1"/>
          <w:sz w:val="24"/>
          <w:szCs w:val="24"/>
          <w:vertAlign w:val="superscript"/>
          <w:lang w:val="en-US"/>
        </w:rPr>
        <w:t>[</w:t>
      </w:r>
      <w:proofErr w:type="gramEnd"/>
      <w:r w:rsidR="00B016DA"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7</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only small portions of the investigated specimens were shown, and histomorphometry was performed by inspecting the specimens with a 1.25</w:t>
      </w:r>
      <w:r w:rsidRPr="00E7615A">
        <w:rPr>
          <w:rFonts w:ascii="Book Antiqua" w:hAnsi="Book Antiqua"/>
          <w:color w:val="000000" w:themeColor="text1"/>
          <w:sz w:val="24"/>
          <w:szCs w:val="24"/>
          <w:lang w:val="en-US"/>
        </w:rPr>
        <w:sym w:font="Symbol" w:char="F0B4"/>
      </w:r>
      <w:r w:rsidRPr="00E7615A">
        <w:rPr>
          <w:rFonts w:ascii="Book Antiqua" w:hAnsi="Book Antiqua"/>
          <w:color w:val="000000" w:themeColor="text1"/>
          <w:sz w:val="24"/>
          <w:szCs w:val="24"/>
          <w:lang w:val="en-US"/>
        </w:rPr>
        <w:t xml:space="preserve"> objective, which precludes to distinguish between empty osteocyte lacunae (representing scaffold) and cell bodies within osteocyte lacunae (representing newly formed bone). In any case, a meta-analysis of nine studies (seven animal and two human studies) in which the combination of mesenchymal stem cells and OIS </w:t>
      </w:r>
      <w:r w:rsidR="00F67C45" w:rsidRPr="00F67C45">
        <w:rPr>
          <w:rFonts w:ascii="Book Antiqua" w:hAnsi="Book Antiqua"/>
          <w:i/>
          <w:color w:val="000000" w:themeColor="text1"/>
          <w:sz w:val="24"/>
          <w:szCs w:val="24"/>
          <w:lang w:val="en-US"/>
        </w:rPr>
        <w:t>vs</w:t>
      </w:r>
      <w:r w:rsidRPr="00E7615A">
        <w:rPr>
          <w:rFonts w:ascii="Book Antiqua" w:hAnsi="Book Antiqua"/>
          <w:color w:val="000000" w:themeColor="text1"/>
          <w:sz w:val="24"/>
          <w:szCs w:val="24"/>
          <w:lang w:val="en-US"/>
        </w:rPr>
        <w:t xml:space="preserve"> OIS alone were compared, found a statistically significant positive effect of stem cells on the bone re-growth in GBR-MSA</w:t>
      </w:r>
      <w:r w:rsidR="00ED1BD0"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3</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w:t>
      </w:r>
    </w:p>
    <w:p w14:paraId="04794477" w14:textId="77857332"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At first glance our </w:t>
      </w:r>
      <w:r w:rsidR="00B016DA" w:rsidRPr="00E7615A">
        <w:rPr>
          <w:rFonts w:ascii="Book Antiqua" w:hAnsi="Book Antiqua"/>
          <w:color w:val="000000" w:themeColor="text1"/>
          <w:sz w:val="24"/>
          <w:szCs w:val="24"/>
          <w:lang w:val="en-US"/>
        </w:rPr>
        <w:t>design-based</w:t>
      </w:r>
      <w:r w:rsidRPr="00E7615A">
        <w:rPr>
          <w:rFonts w:ascii="Book Antiqua" w:hAnsi="Book Antiqua"/>
          <w:color w:val="000000" w:themeColor="text1"/>
          <w:sz w:val="24"/>
          <w:szCs w:val="24"/>
          <w:lang w:val="en-US"/>
        </w:rPr>
        <w:t xml:space="preserve"> results (relative amount of newl</w:t>
      </w:r>
      <w:r w:rsidR="00DE7DB2" w:rsidRPr="00E7615A">
        <w:rPr>
          <w:rFonts w:ascii="Book Antiqua" w:hAnsi="Book Antiqua"/>
          <w:color w:val="000000" w:themeColor="text1"/>
          <w:sz w:val="24"/>
          <w:szCs w:val="24"/>
          <w:lang w:val="en-US"/>
        </w:rPr>
        <w:t>y formed bone of 24.2% at 34 wk</w:t>
      </w:r>
      <w:r w:rsidRPr="00E7615A">
        <w:rPr>
          <w:rFonts w:ascii="Book Antiqua" w:hAnsi="Book Antiqua"/>
          <w:color w:val="000000" w:themeColor="text1"/>
          <w:sz w:val="24"/>
          <w:szCs w:val="24"/>
          <w:lang w:val="en-US"/>
        </w:rPr>
        <w:t xml:space="preserve"> after GBR-MSA) do not speak in favor of our approach compared to the use of BMSCs (among the six studies reviewed in</w:t>
      </w:r>
      <w:r w:rsidR="00ED1BD0"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3</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in which BMSCs were applied and histomorphometric </w:t>
      </w:r>
      <w:r w:rsidR="00DE7DB2" w:rsidRPr="00E7615A">
        <w:rPr>
          <w:rFonts w:ascii="Book Antiqua" w:hAnsi="Book Antiqua"/>
          <w:color w:val="000000" w:themeColor="text1"/>
          <w:sz w:val="24"/>
          <w:szCs w:val="24"/>
          <w:lang w:val="en-US"/>
        </w:rPr>
        <w:t>analysis was performed at 24 wk</w:t>
      </w:r>
      <w:r w:rsidRPr="00E7615A">
        <w:rPr>
          <w:rFonts w:ascii="Book Antiqua" w:hAnsi="Book Antiqua"/>
          <w:color w:val="000000" w:themeColor="text1"/>
          <w:sz w:val="24"/>
          <w:szCs w:val="24"/>
          <w:lang w:val="en-US"/>
        </w:rPr>
        <w:t xml:space="preserve"> after surgery, three studies reported a relative amount of newly formed bone of more than 24%). However, our decision to use UA-ADRCs rather than other types of cells (including ASCs, BMSCs, PDSCs, allogenic and/or modified ASCs/BMSCs, dental-derived mesenchymal stem cell-like cells (reviewed in</w:t>
      </w:r>
      <w:r w:rsidR="00ED1BD0"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6</w:t>
      </w:r>
      <w:r w:rsidR="00BA43F8" w:rsidRPr="00E7615A">
        <w:rPr>
          <w:rFonts w:ascii="Book Antiqua" w:hAnsi="Book Antiqua"/>
          <w:color w:val="000000" w:themeColor="text1"/>
          <w:sz w:val="24"/>
          <w:szCs w:val="24"/>
          <w:vertAlign w:val="superscript"/>
          <w:lang w:val="en-US"/>
        </w:rPr>
        <w:t>8</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or induced pluripotent stem cells) was based on the fact that UA-ADRCs are the only type of cell that allows immediate usage at point of care, with the lowest safety concerns in cell-based therapy as no culturing or modification is required. This is fundamentally different from all other types of cells that have been considered for cell-based therapies in dentistry (reviewed </w:t>
      </w:r>
      <w:proofErr w:type="gramStart"/>
      <w:r w:rsidRPr="00E7615A">
        <w:rPr>
          <w:rFonts w:ascii="Book Antiqua" w:hAnsi="Book Antiqua"/>
          <w:color w:val="000000" w:themeColor="text1"/>
          <w:sz w:val="24"/>
          <w:szCs w:val="24"/>
          <w:lang w:val="en-US"/>
        </w:rPr>
        <w:t>in</w:t>
      </w:r>
      <w:r w:rsidR="00ED1BD0" w:rsidRPr="00E7615A">
        <w:rPr>
          <w:rFonts w:ascii="Book Antiqua" w:hAnsi="Book Antiqua"/>
          <w:color w:val="000000" w:themeColor="text1"/>
          <w:sz w:val="24"/>
          <w:szCs w:val="24"/>
          <w:vertAlign w:val="superscript"/>
          <w:lang w:val="en-US"/>
        </w:rPr>
        <w:t>[</w:t>
      </w:r>
      <w:proofErr w:type="gramEnd"/>
      <w:r w:rsidR="00BA43F8" w:rsidRPr="00E7615A">
        <w:rPr>
          <w:rFonts w:ascii="Book Antiqua" w:hAnsi="Book Antiqua"/>
          <w:color w:val="000000" w:themeColor="text1"/>
          <w:sz w:val="24"/>
          <w:szCs w:val="24"/>
          <w:vertAlign w:val="superscript"/>
          <w:lang w:val="en-US"/>
        </w:rPr>
        <w:t>69</w:t>
      </w:r>
      <w:r w:rsidR="00ED1BD0"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Regarding safety concerns one must keep in mind that, </w:t>
      </w:r>
      <w:r w:rsidRPr="00E7615A">
        <w:rPr>
          <w:rFonts w:ascii="Book Antiqua" w:hAnsi="Book Antiqua"/>
          <w:i/>
          <w:color w:val="000000" w:themeColor="text1"/>
          <w:sz w:val="24"/>
          <w:szCs w:val="24"/>
          <w:lang w:val="en-US"/>
        </w:rPr>
        <w:t>e.g.</w:t>
      </w:r>
      <w:r w:rsidRPr="00E7615A">
        <w:rPr>
          <w:rFonts w:ascii="Book Antiqua" w:hAnsi="Book Antiqua"/>
          <w:color w:val="000000" w:themeColor="text1"/>
          <w:sz w:val="24"/>
          <w:szCs w:val="24"/>
          <w:lang w:val="en-US"/>
        </w:rPr>
        <w:t>, potential oncogenesis currently limits the clinical translation of induced pluripotent stem cells</w:t>
      </w:r>
      <w:r w:rsidR="00ED1BD0"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0</w:t>
      </w:r>
      <w:r w:rsidR="00B016D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1</w:t>
      </w:r>
      <w:r w:rsidR="00ED1BD0" w:rsidRPr="00E7615A">
        <w:rPr>
          <w:rFonts w:ascii="Book Antiqua" w:hAnsi="Book Antiqua"/>
          <w:color w:val="000000" w:themeColor="text1"/>
          <w:sz w:val="24"/>
          <w:szCs w:val="24"/>
          <w:vertAlign w:val="superscript"/>
          <w:lang w:val="en-US"/>
        </w:rPr>
        <w:t>]</w:t>
      </w:r>
      <w:r w:rsidR="00ED1BD0"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and applying allogenic cells may cause the production of donor-specific antibodies and cell induced immune response</w:t>
      </w:r>
      <w:r w:rsidR="00ED1BD0"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5</w:t>
      </w:r>
      <w:r w:rsidR="00BA43F8" w:rsidRPr="00E7615A">
        <w:rPr>
          <w:rFonts w:ascii="Book Antiqua" w:hAnsi="Book Antiqua"/>
          <w:color w:val="000000" w:themeColor="text1"/>
          <w:sz w:val="24"/>
          <w:szCs w:val="24"/>
          <w:vertAlign w:val="superscript"/>
          <w:lang w:val="en-US"/>
        </w:rPr>
        <w:t>4</w:t>
      </w:r>
      <w:r w:rsidR="00B016DA" w:rsidRPr="00E7615A">
        <w:rPr>
          <w:rFonts w:ascii="Book Antiqua" w:hAnsi="Book Antiqua"/>
          <w:color w:val="000000" w:themeColor="text1"/>
          <w:sz w:val="24"/>
          <w:szCs w:val="24"/>
          <w:vertAlign w:val="superscript"/>
          <w:lang w:val="en-US"/>
        </w:rPr>
        <w:t>,5</w:t>
      </w:r>
      <w:r w:rsidR="00BA43F8" w:rsidRPr="00E7615A">
        <w:rPr>
          <w:rFonts w:ascii="Book Antiqua" w:hAnsi="Book Antiqua"/>
          <w:color w:val="000000" w:themeColor="text1"/>
          <w:sz w:val="24"/>
          <w:szCs w:val="24"/>
          <w:vertAlign w:val="superscript"/>
          <w:lang w:val="en-US"/>
        </w:rPr>
        <w:t>5</w:t>
      </w:r>
      <w:r w:rsidR="00ED1BD0" w:rsidRPr="00E7615A">
        <w:rPr>
          <w:rFonts w:ascii="Book Antiqua" w:hAnsi="Book Antiqua"/>
          <w:color w:val="000000" w:themeColor="text1"/>
          <w:sz w:val="24"/>
          <w:szCs w:val="24"/>
          <w:vertAlign w:val="superscript"/>
          <w:lang w:val="en-US"/>
        </w:rPr>
        <w:t>]</w:t>
      </w:r>
      <w:r w:rsidR="00ED1BD0"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The only other cell-based therapy that allows immediate usage at point of care is autologous bone marrow aspirate concentration (BMAC), which was investigated in two studies on GBR-MSA </w:t>
      </w:r>
      <w:r w:rsidR="00E011FF" w:rsidRPr="00E7615A">
        <w:rPr>
          <w:rFonts w:ascii="Book Antiqua" w:hAnsi="Book Antiqua"/>
          <w:color w:val="000000" w:themeColor="text1"/>
          <w:sz w:val="24"/>
          <w:szCs w:val="24"/>
          <w:lang w:val="en-US" w:eastAsia="zh-CN"/>
        </w:rPr>
        <w:t>[</w:t>
      </w:r>
      <w:r w:rsidRPr="00E7615A">
        <w:rPr>
          <w:rFonts w:ascii="Book Antiqua" w:hAnsi="Book Antiqua"/>
          <w:color w:val="000000" w:themeColor="text1"/>
          <w:sz w:val="24"/>
          <w:szCs w:val="24"/>
          <w:lang w:val="en-US"/>
        </w:rPr>
        <w:t>with bovine bone mineral (BBM) as OIS</w:t>
      </w:r>
      <w:r w:rsidR="00E011FF" w:rsidRPr="00E7615A">
        <w:rPr>
          <w:rFonts w:ascii="Book Antiqua" w:hAnsi="Book Antiqua"/>
          <w:color w:val="000000" w:themeColor="text1"/>
          <w:sz w:val="24"/>
          <w:szCs w:val="24"/>
          <w:lang w:val="en-US" w:eastAsia="zh-CN"/>
        </w:rPr>
        <w:t>]</w:t>
      </w:r>
      <w:r w:rsidRPr="00E7615A">
        <w:rPr>
          <w:rFonts w:ascii="Book Antiqua" w:hAnsi="Book Antiqua"/>
          <w:color w:val="000000" w:themeColor="text1"/>
          <w:sz w:val="24"/>
          <w:szCs w:val="24"/>
          <w:lang w:val="en-US"/>
        </w:rPr>
        <w:t>. One of these studies was a case report on a 46-year-old partially edentulous man, showing a relative amount of ne</w:t>
      </w:r>
      <w:r w:rsidR="00DE7DB2" w:rsidRPr="00E7615A">
        <w:rPr>
          <w:rFonts w:ascii="Book Antiqua" w:hAnsi="Book Antiqua"/>
          <w:color w:val="000000" w:themeColor="text1"/>
          <w:sz w:val="24"/>
          <w:szCs w:val="24"/>
          <w:lang w:val="en-US"/>
        </w:rPr>
        <w:t>wly formed bone of 27% at 12 wk</w:t>
      </w:r>
      <w:r w:rsidRPr="00E7615A">
        <w:rPr>
          <w:rFonts w:ascii="Book Antiqua" w:hAnsi="Book Antiqua"/>
          <w:color w:val="000000" w:themeColor="text1"/>
          <w:sz w:val="24"/>
          <w:szCs w:val="24"/>
          <w:lang w:val="en-US"/>
        </w:rPr>
        <w:t xml:space="preserve"> after surgery, without control </w:t>
      </w:r>
      <w:proofErr w:type="gramStart"/>
      <w:r w:rsidRPr="00E7615A">
        <w:rPr>
          <w:rFonts w:ascii="Book Antiqua" w:hAnsi="Book Antiqua"/>
          <w:color w:val="000000" w:themeColor="text1"/>
          <w:sz w:val="24"/>
          <w:szCs w:val="24"/>
          <w:lang w:val="en-US"/>
        </w:rPr>
        <w:t>treatment</w:t>
      </w:r>
      <w:r w:rsidR="00ED1BD0" w:rsidRPr="00E7615A">
        <w:rPr>
          <w:rFonts w:ascii="Book Antiqua" w:hAnsi="Book Antiqua"/>
          <w:color w:val="000000" w:themeColor="text1"/>
          <w:sz w:val="24"/>
          <w:szCs w:val="24"/>
          <w:vertAlign w:val="superscript"/>
          <w:lang w:val="en-US"/>
        </w:rPr>
        <w:t>[</w:t>
      </w:r>
      <w:proofErr w:type="gramEnd"/>
      <w:r w:rsidR="00B016D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2</w:t>
      </w:r>
      <w:r w:rsidR="00ED1BD0" w:rsidRPr="00E7615A">
        <w:rPr>
          <w:rFonts w:ascii="Book Antiqua" w:hAnsi="Book Antiqua"/>
          <w:color w:val="000000" w:themeColor="text1"/>
          <w:sz w:val="24"/>
          <w:szCs w:val="24"/>
          <w:vertAlign w:val="superscript"/>
          <w:lang w:val="en-US"/>
        </w:rPr>
        <w:t>]</w:t>
      </w:r>
      <w:r w:rsidR="00ED1BD0"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The other study</w:t>
      </w:r>
      <w:r w:rsidR="000C7523"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3</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was a randomized controlled trial (from the same lab as</w:t>
      </w:r>
      <w:r w:rsidR="000C7523"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2</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published in the same year and using exactly the same procedure for harvesting bone marrow aspirate than used in</w:t>
      </w:r>
      <w:r w:rsidR="000C7523"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2</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reporting a mean relative amount of newly for</w:t>
      </w:r>
      <w:r w:rsidR="00DE7DB2" w:rsidRPr="00E7615A">
        <w:rPr>
          <w:rFonts w:ascii="Book Antiqua" w:hAnsi="Book Antiqua"/>
          <w:color w:val="000000" w:themeColor="text1"/>
          <w:sz w:val="24"/>
          <w:szCs w:val="24"/>
          <w:lang w:val="en-US"/>
        </w:rPr>
        <w:t>med bone of only 12.6% at 12 wk</w:t>
      </w:r>
      <w:r w:rsidRPr="00E7615A">
        <w:rPr>
          <w:rFonts w:ascii="Book Antiqua" w:hAnsi="Book Antiqua"/>
          <w:color w:val="000000" w:themeColor="text1"/>
          <w:sz w:val="24"/>
          <w:szCs w:val="24"/>
          <w:lang w:val="en-US"/>
        </w:rPr>
        <w:t xml:space="preserve"> after </w:t>
      </w:r>
      <w:r w:rsidRPr="00E7615A">
        <w:rPr>
          <w:rFonts w:ascii="Book Antiqua" w:hAnsi="Book Antiqua"/>
          <w:color w:val="000000" w:themeColor="text1"/>
          <w:sz w:val="24"/>
          <w:szCs w:val="24"/>
          <w:lang w:val="en-US"/>
        </w:rPr>
        <w:lastRenderedPageBreak/>
        <w:t>surgery (</w:t>
      </w:r>
      <w:r w:rsidR="009F0DDF" w:rsidRPr="009F0DDF">
        <w:rPr>
          <w:rFonts w:ascii="Book Antiqua" w:hAnsi="Book Antiqua"/>
          <w:i/>
          <w:color w:val="000000" w:themeColor="text1"/>
          <w:sz w:val="24"/>
          <w:szCs w:val="24"/>
          <w:lang w:val="en-US"/>
        </w:rPr>
        <w:t xml:space="preserve">n = </w:t>
      </w:r>
      <w:r w:rsidRPr="00E7615A">
        <w:rPr>
          <w:rFonts w:ascii="Book Antiqua" w:hAnsi="Book Antiqua"/>
          <w:color w:val="000000" w:themeColor="text1"/>
          <w:sz w:val="24"/>
          <w:szCs w:val="24"/>
          <w:lang w:val="en-US"/>
        </w:rPr>
        <w:t>34 patients), with a mean relative amount of newly for</w:t>
      </w:r>
      <w:r w:rsidR="00DE7DB2" w:rsidRPr="00E7615A">
        <w:rPr>
          <w:rFonts w:ascii="Book Antiqua" w:hAnsi="Book Antiqua"/>
          <w:color w:val="000000" w:themeColor="text1"/>
          <w:sz w:val="24"/>
          <w:szCs w:val="24"/>
          <w:lang w:val="en-US"/>
        </w:rPr>
        <w:t>med bone of only 14.3% at 12 wk</w:t>
      </w:r>
      <w:r w:rsidRPr="00E7615A">
        <w:rPr>
          <w:rFonts w:ascii="Book Antiqua" w:hAnsi="Book Antiqua"/>
          <w:color w:val="000000" w:themeColor="text1"/>
          <w:sz w:val="24"/>
          <w:szCs w:val="24"/>
          <w:lang w:val="en-US"/>
        </w:rPr>
        <w:t xml:space="preserve"> after grafting BBM and autologous bone (</w:t>
      </w:r>
      <w:r w:rsidR="009F0DDF" w:rsidRPr="009F0DDF">
        <w:rPr>
          <w:rFonts w:ascii="Book Antiqua" w:hAnsi="Book Antiqua"/>
          <w:i/>
          <w:color w:val="000000" w:themeColor="text1"/>
          <w:sz w:val="24"/>
          <w:szCs w:val="24"/>
          <w:lang w:val="en-US"/>
        </w:rPr>
        <w:t xml:space="preserve">n = </w:t>
      </w:r>
      <w:r w:rsidRPr="00E7615A">
        <w:rPr>
          <w:rFonts w:ascii="Book Antiqua" w:hAnsi="Book Antiqua"/>
          <w:color w:val="000000" w:themeColor="text1"/>
          <w:sz w:val="24"/>
          <w:szCs w:val="24"/>
          <w:lang w:val="en-US"/>
        </w:rPr>
        <w:t>11 patients)</w:t>
      </w:r>
      <w:r w:rsidR="000C7523" w:rsidRPr="00E7615A">
        <w:rPr>
          <w:rFonts w:ascii="Book Antiqua" w:hAnsi="Book Antiqua"/>
          <w:color w:val="000000" w:themeColor="text1"/>
          <w:sz w:val="24"/>
          <w:szCs w:val="24"/>
          <w:vertAlign w:val="superscript"/>
          <w:lang w:val="en-US"/>
        </w:rPr>
        <w:t>[</w:t>
      </w:r>
      <w:r w:rsidR="00B016D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3</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It is of note that only in the latter </w:t>
      </w:r>
      <w:proofErr w:type="gramStart"/>
      <w:r w:rsidRPr="00E7615A">
        <w:rPr>
          <w:rFonts w:ascii="Book Antiqua" w:hAnsi="Book Antiqua"/>
          <w:color w:val="000000" w:themeColor="text1"/>
          <w:sz w:val="24"/>
          <w:szCs w:val="24"/>
          <w:lang w:val="en-US"/>
        </w:rPr>
        <w:t>study</w:t>
      </w:r>
      <w:r w:rsidR="000C7523" w:rsidRPr="00E7615A">
        <w:rPr>
          <w:rFonts w:ascii="Book Antiqua" w:hAnsi="Book Antiqua"/>
          <w:color w:val="000000" w:themeColor="text1"/>
          <w:sz w:val="24"/>
          <w:szCs w:val="24"/>
          <w:vertAlign w:val="superscript"/>
          <w:lang w:val="en-US"/>
        </w:rPr>
        <w:t>[</w:t>
      </w:r>
      <w:proofErr w:type="gramEnd"/>
      <w:r w:rsidR="00B016D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3</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w:t>
      </w:r>
      <w:r w:rsidR="00A710B1" w:rsidRPr="00E7615A">
        <w:rPr>
          <w:rFonts w:ascii="Book Antiqua" w:hAnsi="Book Antiqua"/>
          <w:color w:val="000000" w:themeColor="text1"/>
          <w:sz w:val="24"/>
          <w:szCs w:val="24"/>
          <w:lang w:val="en-US"/>
        </w:rPr>
        <w:t xml:space="preserve">whole specimens were shown and </w:t>
      </w:r>
      <w:r w:rsidRPr="00E7615A">
        <w:rPr>
          <w:rFonts w:ascii="Book Antiqua" w:hAnsi="Book Antiqua"/>
          <w:color w:val="000000" w:themeColor="text1"/>
          <w:sz w:val="24"/>
          <w:szCs w:val="24"/>
          <w:lang w:val="en-US"/>
        </w:rPr>
        <w:t xml:space="preserve">methodological details of the histomorphometric analysis were provided. The data of the latter </w:t>
      </w:r>
      <w:proofErr w:type="gramStart"/>
      <w:r w:rsidRPr="00E7615A">
        <w:rPr>
          <w:rFonts w:ascii="Book Antiqua" w:hAnsi="Book Antiqua"/>
          <w:color w:val="000000" w:themeColor="text1"/>
          <w:sz w:val="24"/>
          <w:szCs w:val="24"/>
          <w:lang w:val="en-US"/>
        </w:rPr>
        <w:t>study</w:t>
      </w:r>
      <w:r w:rsidR="000C7523" w:rsidRPr="00E7615A">
        <w:rPr>
          <w:rFonts w:ascii="Book Antiqua" w:hAnsi="Book Antiqua"/>
          <w:color w:val="000000" w:themeColor="text1"/>
          <w:sz w:val="24"/>
          <w:szCs w:val="24"/>
          <w:vertAlign w:val="superscript"/>
          <w:lang w:val="en-US"/>
        </w:rPr>
        <w:t>[</w:t>
      </w:r>
      <w:proofErr w:type="gramEnd"/>
      <w:r w:rsidR="00B016D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3</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are in line with the data obtained with our control treatment (c.f.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B016DA" w:rsidRPr="00E7615A">
        <w:rPr>
          <w:rFonts w:ascii="Book Antiqua" w:hAnsi="Book Antiqua"/>
          <w:color w:val="000000" w:themeColor="text1"/>
          <w:sz w:val="24"/>
          <w:szCs w:val="24"/>
          <w:lang w:val="en-US"/>
        </w:rPr>
        <w:t>7</w:t>
      </w:r>
      <w:r w:rsidRPr="00E7615A">
        <w:rPr>
          <w:rFonts w:ascii="Book Antiqua" w:hAnsi="Book Antiqua"/>
          <w:color w:val="000000" w:themeColor="text1"/>
          <w:sz w:val="24"/>
          <w:szCs w:val="24"/>
          <w:lang w:val="en-US"/>
        </w:rPr>
        <w:t xml:space="preserve">) and indicate that the use of UA-ADRCs may be more effective than the use of BMAC in GBR-MSA. </w:t>
      </w:r>
    </w:p>
    <w:p w14:paraId="3B444147" w14:textId="73725C8A"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Detection of factors involved in osteogenesis and bone remodeling using histochemistry and immunohistochemistry is not frequently applied in studies on GBR-MSA in dentistry. Mostly, only selected factors were investigated. In line with former </w:t>
      </w:r>
      <w:proofErr w:type="gramStart"/>
      <w:r w:rsidRPr="00E7615A">
        <w:rPr>
          <w:rFonts w:ascii="Book Antiqua" w:hAnsi="Book Antiqua"/>
          <w:color w:val="000000" w:themeColor="text1"/>
          <w:sz w:val="24"/>
          <w:szCs w:val="24"/>
          <w:lang w:val="en-US"/>
        </w:rPr>
        <w:t>studies</w:t>
      </w:r>
      <w:r w:rsidR="000C7523" w:rsidRPr="00E7615A">
        <w:rPr>
          <w:rFonts w:ascii="Book Antiqua" w:hAnsi="Book Antiqua"/>
          <w:color w:val="000000" w:themeColor="text1"/>
          <w:sz w:val="24"/>
          <w:szCs w:val="24"/>
          <w:vertAlign w:val="superscript"/>
          <w:lang w:val="en-US"/>
        </w:rPr>
        <w:t>[</w:t>
      </w:r>
      <w:proofErr w:type="gramEnd"/>
      <w:r w:rsidR="00F83325"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4</w:t>
      </w:r>
      <w:r w:rsidR="00F83325"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5</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we applied a broader panel of antibodies including vessel markers like vWF. The immunostaining pattern obtained revealed similar findings as for remodeling of </w:t>
      </w:r>
      <w:proofErr w:type="gramStart"/>
      <w:r w:rsidRPr="00E7615A">
        <w:rPr>
          <w:rFonts w:ascii="Book Antiqua" w:hAnsi="Book Antiqua"/>
          <w:color w:val="000000" w:themeColor="text1"/>
          <w:sz w:val="24"/>
          <w:szCs w:val="24"/>
          <w:lang w:val="en-US"/>
        </w:rPr>
        <w:t>allografts</w:t>
      </w:r>
      <w:r w:rsidR="000C7523" w:rsidRPr="00E7615A">
        <w:rPr>
          <w:rFonts w:ascii="Book Antiqua" w:hAnsi="Book Antiqua"/>
          <w:color w:val="000000" w:themeColor="text1"/>
          <w:sz w:val="24"/>
          <w:szCs w:val="24"/>
          <w:vertAlign w:val="superscript"/>
          <w:lang w:val="en-US"/>
        </w:rPr>
        <w:t>[</w:t>
      </w:r>
      <w:proofErr w:type="gramEnd"/>
      <w:r w:rsidR="00F83325"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6</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However, the direct comparison of the immunolabeling of osteogenic factors like runx2 and AP between both sides showed stronger immunopositivity after the application of UA-ADRCs, which underlines better and faster bone regeneration. </w:t>
      </w:r>
      <w:bookmarkStart w:id="170" w:name="_Hlk531002124"/>
      <w:r w:rsidR="00321A43" w:rsidRPr="00E7615A">
        <w:rPr>
          <w:rFonts w:ascii="Book Antiqua" w:hAnsi="Book Antiqua"/>
          <w:color w:val="000000" w:themeColor="text1"/>
          <w:sz w:val="24"/>
          <w:szCs w:val="24"/>
          <w:lang w:val="en-US"/>
        </w:rPr>
        <w:t xml:space="preserve">The finding of </w:t>
      </w:r>
      <w:r w:rsidR="009A147A" w:rsidRPr="00E7615A">
        <w:rPr>
          <w:rFonts w:ascii="Book Antiqua" w:hAnsi="Book Antiqua"/>
          <w:color w:val="000000" w:themeColor="text1"/>
          <w:sz w:val="24"/>
          <w:szCs w:val="24"/>
          <w:lang w:val="en-US"/>
        </w:rPr>
        <w:t xml:space="preserve">middle-sized osteoclasts on the surface of newly formed and allogenic bone and on debris accumulations at </w:t>
      </w:r>
      <w:r w:rsidR="00DE7DB2" w:rsidRPr="00E7615A">
        <w:rPr>
          <w:rFonts w:ascii="Book Antiqua" w:hAnsi="Book Antiqua"/>
          <w:color w:val="000000" w:themeColor="text1"/>
          <w:sz w:val="24"/>
          <w:szCs w:val="24"/>
          <w:lang w:val="en-US" w:eastAsia="zh-CN"/>
        </w:rPr>
        <w:t>6</w:t>
      </w:r>
      <w:r w:rsidR="00DE7DB2" w:rsidRPr="00E7615A">
        <w:rPr>
          <w:rFonts w:ascii="Book Antiqua" w:hAnsi="Book Antiqua"/>
          <w:color w:val="000000" w:themeColor="text1"/>
          <w:sz w:val="24"/>
          <w:szCs w:val="24"/>
          <w:lang w:val="en-US"/>
        </w:rPr>
        <w:t xml:space="preserve"> wk</w:t>
      </w:r>
      <w:r w:rsidR="009A147A" w:rsidRPr="00E7615A">
        <w:rPr>
          <w:rFonts w:ascii="Book Antiqua" w:hAnsi="Book Antiqua"/>
          <w:color w:val="000000" w:themeColor="text1"/>
          <w:sz w:val="24"/>
          <w:szCs w:val="24"/>
          <w:lang w:val="en-US"/>
        </w:rPr>
        <w:t xml:space="preserve"> after GBR-MSA, with a higher osteoclast density after the application of UA-ADRCs than without UA-ADRCs (Fig</w:t>
      </w:r>
      <w:r w:rsidR="009F0DDF">
        <w:rPr>
          <w:rFonts w:ascii="Book Antiqua" w:hAnsi="Book Antiqua" w:hint="eastAsia"/>
          <w:color w:val="000000" w:themeColor="text1"/>
          <w:sz w:val="24"/>
          <w:szCs w:val="24"/>
          <w:lang w:val="en-US" w:eastAsia="zh-CN"/>
        </w:rPr>
        <w:t>ure</w:t>
      </w:r>
      <w:r w:rsidR="009A147A" w:rsidRPr="00E7615A">
        <w:rPr>
          <w:rFonts w:ascii="Book Antiqua" w:hAnsi="Book Antiqua"/>
          <w:color w:val="000000" w:themeColor="text1"/>
          <w:sz w:val="24"/>
          <w:szCs w:val="24"/>
          <w:lang w:val="en-US"/>
        </w:rPr>
        <w:t xml:space="preserve"> 6E</w:t>
      </w:r>
      <w:r w:rsidR="00AB3C9D">
        <w:rPr>
          <w:rFonts w:ascii="Book Antiqua" w:hAnsi="Book Antiqua" w:hint="eastAsia"/>
          <w:color w:val="000000" w:themeColor="text1"/>
          <w:sz w:val="24"/>
          <w:szCs w:val="24"/>
          <w:lang w:val="en-US" w:eastAsia="zh-CN"/>
        </w:rPr>
        <w:t xml:space="preserve">, </w:t>
      </w:r>
      <w:r w:rsidR="009A147A" w:rsidRPr="00E7615A">
        <w:rPr>
          <w:rFonts w:ascii="Book Antiqua" w:hAnsi="Book Antiqua"/>
          <w:color w:val="000000" w:themeColor="text1"/>
          <w:sz w:val="24"/>
          <w:szCs w:val="24"/>
          <w:lang w:val="en-US"/>
        </w:rPr>
        <w:t xml:space="preserve">F and </w:t>
      </w:r>
      <w:r w:rsidR="00AB3C9D">
        <w:rPr>
          <w:rFonts w:ascii="Book Antiqua" w:hAnsi="Book Antiqua" w:hint="eastAsia"/>
          <w:color w:val="000000" w:themeColor="text1"/>
          <w:sz w:val="24"/>
          <w:szCs w:val="24"/>
          <w:lang w:val="en-US" w:eastAsia="zh-CN"/>
        </w:rPr>
        <w:t xml:space="preserve">Figure </w:t>
      </w:r>
      <w:r w:rsidR="009A147A" w:rsidRPr="00E7615A">
        <w:rPr>
          <w:rFonts w:ascii="Book Antiqua" w:hAnsi="Book Antiqua"/>
          <w:color w:val="000000" w:themeColor="text1"/>
          <w:sz w:val="24"/>
          <w:szCs w:val="24"/>
          <w:lang w:val="en-US"/>
        </w:rPr>
        <w:t>8A-D), was in line with earlier reports in the literature</w:t>
      </w:r>
      <w:r w:rsidR="009A147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7</w:t>
      </w:r>
      <w:r w:rsidR="009A147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8</w:t>
      </w:r>
      <w:r w:rsidR="009A147A" w:rsidRPr="00E7615A">
        <w:rPr>
          <w:rFonts w:ascii="Book Antiqua" w:hAnsi="Book Antiqua"/>
          <w:color w:val="000000" w:themeColor="text1"/>
          <w:sz w:val="24"/>
          <w:szCs w:val="24"/>
          <w:vertAlign w:val="superscript"/>
          <w:lang w:val="en-US"/>
        </w:rPr>
        <w:t>]</w:t>
      </w:r>
      <w:r w:rsidR="009A147A" w:rsidRPr="00E7615A">
        <w:rPr>
          <w:rFonts w:ascii="Book Antiqua" w:hAnsi="Book Antiqua"/>
          <w:color w:val="000000" w:themeColor="text1"/>
          <w:sz w:val="24"/>
          <w:szCs w:val="24"/>
          <w:lang w:val="en-US"/>
        </w:rPr>
        <w:t xml:space="preserve"> about osteoclasts involved in bone remodeling (which was increased after application of UA-ADRCs compared to the situation without UA-ADRCs). This phenomenon must not be confused with foreign material resorption by multinucleated giant </w:t>
      </w:r>
      <w:proofErr w:type="gramStart"/>
      <w:r w:rsidR="009A147A" w:rsidRPr="00E7615A">
        <w:rPr>
          <w:rFonts w:ascii="Book Antiqua" w:hAnsi="Book Antiqua"/>
          <w:color w:val="000000" w:themeColor="text1"/>
          <w:sz w:val="24"/>
          <w:szCs w:val="24"/>
          <w:lang w:val="en-US"/>
        </w:rPr>
        <w:t>cells</w:t>
      </w:r>
      <w:r w:rsidR="009A147A" w:rsidRPr="00E7615A">
        <w:rPr>
          <w:rFonts w:ascii="Book Antiqua" w:hAnsi="Book Antiqua"/>
          <w:color w:val="000000" w:themeColor="text1"/>
          <w:sz w:val="24"/>
          <w:szCs w:val="24"/>
          <w:vertAlign w:val="superscript"/>
          <w:lang w:val="en-US"/>
        </w:rPr>
        <w:t>[</w:t>
      </w:r>
      <w:proofErr w:type="gramEnd"/>
      <w:r w:rsidR="009A147A" w:rsidRPr="00E7615A">
        <w:rPr>
          <w:rFonts w:ascii="Book Antiqua" w:hAnsi="Book Antiqua"/>
          <w:color w:val="000000" w:themeColor="text1"/>
          <w:sz w:val="24"/>
          <w:szCs w:val="24"/>
          <w:vertAlign w:val="superscript"/>
          <w:lang w:val="en-US"/>
        </w:rPr>
        <w:t>7</w:t>
      </w:r>
      <w:r w:rsidR="00BA43F8" w:rsidRPr="00E7615A">
        <w:rPr>
          <w:rFonts w:ascii="Book Antiqua" w:hAnsi="Book Antiqua"/>
          <w:color w:val="000000" w:themeColor="text1"/>
          <w:sz w:val="24"/>
          <w:szCs w:val="24"/>
          <w:vertAlign w:val="superscript"/>
          <w:lang w:val="en-US"/>
        </w:rPr>
        <w:t>7</w:t>
      </w:r>
      <w:r w:rsidR="009A147A" w:rsidRPr="00E7615A">
        <w:rPr>
          <w:rFonts w:ascii="Book Antiqua" w:hAnsi="Book Antiqua"/>
          <w:color w:val="000000" w:themeColor="text1"/>
          <w:sz w:val="24"/>
          <w:szCs w:val="24"/>
          <w:vertAlign w:val="superscript"/>
          <w:lang w:val="en-US"/>
        </w:rPr>
        <w:t>]</w:t>
      </w:r>
      <w:r w:rsidR="009A147A" w:rsidRPr="00E7615A">
        <w:rPr>
          <w:rFonts w:ascii="Book Antiqua" w:hAnsi="Book Antiqua"/>
          <w:color w:val="000000" w:themeColor="text1"/>
          <w:sz w:val="24"/>
          <w:szCs w:val="24"/>
          <w:lang w:val="en-US"/>
        </w:rPr>
        <w:t xml:space="preserve"> that was not observed in the present study. </w:t>
      </w:r>
      <w:bookmarkEnd w:id="170"/>
      <w:r w:rsidRPr="00E7615A">
        <w:rPr>
          <w:rFonts w:ascii="Book Antiqua" w:hAnsi="Book Antiqua"/>
          <w:color w:val="000000" w:themeColor="text1"/>
          <w:sz w:val="24"/>
          <w:szCs w:val="24"/>
          <w:lang w:val="en-US"/>
        </w:rPr>
        <w:t xml:space="preserve">The denser vascularization on the cell treated side (detected with both histomorphometry and anti-vWF immunohistochemistry) that was treated with UA-ARDCs underlines the importance of the coupling of angiogenesis and osteogenesis in bone </w:t>
      </w:r>
      <w:proofErr w:type="gramStart"/>
      <w:r w:rsidRPr="00E7615A">
        <w:rPr>
          <w:rFonts w:ascii="Book Antiqua" w:hAnsi="Book Antiqua"/>
          <w:color w:val="000000" w:themeColor="text1"/>
          <w:sz w:val="24"/>
          <w:szCs w:val="24"/>
          <w:lang w:val="en-US"/>
        </w:rPr>
        <w:t>regeneration</w:t>
      </w:r>
      <w:r w:rsidR="000C7523" w:rsidRPr="00E7615A">
        <w:rPr>
          <w:rFonts w:ascii="Book Antiqua" w:hAnsi="Book Antiqua"/>
          <w:color w:val="000000" w:themeColor="text1"/>
          <w:sz w:val="24"/>
          <w:szCs w:val="24"/>
          <w:vertAlign w:val="superscript"/>
          <w:lang w:val="en-US"/>
        </w:rPr>
        <w:t>[</w:t>
      </w:r>
      <w:proofErr w:type="gramEnd"/>
      <w:r w:rsidR="00BA43F8" w:rsidRPr="00E7615A">
        <w:rPr>
          <w:rFonts w:ascii="Book Antiqua" w:hAnsi="Book Antiqua"/>
          <w:color w:val="000000" w:themeColor="text1"/>
          <w:sz w:val="24"/>
          <w:szCs w:val="24"/>
          <w:vertAlign w:val="superscript"/>
          <w:lang w:val="en-US"/>
        </w:rPr>
        <w:t>79</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w:t>
      </w:r>
    </w:p>
    <w:p w14:paraId="540B05DA" w14:textId="171F4557" w:rsidR="00976154"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bookmarkStart w:id="171" w:name="_Hlk531336126"/>
      <w:r w:rsidRPr="00E7615A">
        <w:rPr>
          <w:rFonts w:ascii="Book Antiqua" w:hAnsi="Book Antiqua"/>
          <w:color w:val="000000" w:themeColor="text1"/>
          <w:sz w:val="24"/>
          <w:szCs w:val="24"/>
          <w:lang w:val="en-US"/>
        </w:rPr>
        <w:t>We did not characterize the</w:t>
      </w:r>
      <w:r w:rsidR="002E7DD7"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 xml:space="preserve">UA-ADRCs </w:t>
      </w:r>
      <w:r w:rsidR="00042F0A" w:rsidRPr="00E7615A">
        <w:rPr>
          <w:rFonts w:ascii="Book Antiqua" w:hAnsi="Book Antiqua"/>
          <w:color w:val="000000" w:themeColor="text1"/>
          <w:sz w:val="24"/>
          <w:szCs w:val="24"/>
          <w:lang w:val="en-US"/>
        </w:rPr>
        <w:t>isolated from lipoaspirate</w:t>
      </w:r>
      <w:r w:rsidR="002E7DD7" w:rsidRPr="00E7615A">
        <w:rPr>
          <w:rFonts w:ascii="Book Antiqua" w:hAnsi="Book Antiqua"/>
          <w:color w:val="000000" w:themeColor="text1"/>
          <w:sz w:val="24"/>
          <w:szCs w:val="24"/>
          <w:lang w:val="en-US"/>
        </w:rPr>
        <w:t xml:space="preserve"> with the Transpose RT system and Matrase Reagent (both from InGeneron) </w:t>
      </w:r>
      <w:r w:rsidRPr="00E7615A">
        <w:rPr>
          <w:rFonts w:ascii="Book Antiqua" w:hAnsi="Book Antiqua"/>
          <w:color w:val="000000" w:themeColor="text1"/>
          <w:sz w:val="24"/>
          <w:szCs w:val="24"/>
          <w:lang w:val="en-US"/>
        </w:rPr>
        <w:t>in the present study</w:t>
      </w:r>
      <w:r w:rsidR="002E7DD7"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 xml:space="preserve">However, </w:t>
      </w:r>
      <w:r w:rsidR="002E41F8" w:rsidRPr="00E7615A">
        <w:rPr>
          <w:rFonts w:ascii="Book Antiqua" w:hAnsi="Book Antiqua"/>
          <w:color w:val="000000" w:themeColor="text1"/>
          <w:sz w:val="24"/>
          <w:szCs w:val="24"/>
          <w:lang w:val="en-US"/>
        </w:rPr>
        <w:t xml:space="preserve">a very recent study </w:t>
      </w:r>
      <w:r w:rsidR="00042F0A" w:rsidRPr="00E7615A">
        <w:rPr>
          <w:rFonts w:ascii="Book Antiqua" w:hAnsi="Book Antiqua"/>
          <w:color w:val="000000" w:themeColor="text1"/>
          <w:sz w:val="24"/>
          <w:szCs w:val="24"/>
          <w:lang w:val="en-US"/>
        </w:rPr>
        <w:t>compared cell suspensions that were obtained by isolating cells from lipoaspirate</w:t>
      </w:r>
      <w:r w:rsidR="002E7DD7" w:rsidRPr="00E7615A">
        <w:rPr>
          <w:rFonts w:ascii="Book Antiqua" w:hAnsi="Book Antiqua"/>
          <w:color w:val="000000" w:themeColor="text1"/>
          <w:sz w:val="24"/>
          <w:szCs w:val="24"/>
          <w:lang w:val="en-US"/>
        </w:rPr>
        <w:t xml:space="preserve"> from 12 healthy donors </w:t>
      </w:r>
      <w:r w:rsidR="00042F0A" w:rsidRPr="00E7615A">
        <w:rPr>
          <w:rFonts w:ascii="Book Antiqua" w:hAnsi="Book Antiqua"/>
          <w:color w:val="000000" w:themeColor="text1"/>
          <w:sz w:val="24"/>
          <w:szCs w:val="24"/>
          <w:lang w:val="en-US"/>
        </w:rPr>
        <w:t>using the Transpose RT system</w:t>
      </w:r>
      <w:r w:rsidR="00BA0148" w:rsidRPr="00E7615A">
        <w:rPr>
          <w:rFonts w:ascii="Book Antiqua" w:hAnsi="Book Antiqua"/>
          <w:color w:val="000000" w:themeColor="text1"/>
          <w:sz w:val="24"/>
          <w:szCs w:val="24"/>
          <w:lang w:val="en-US"/>
        </w:rPr>
        <w:t xml:space="preserve"> and Matrase Reagent (thereafter: "</w:t>
      </w:r>
      <w:r w:rsidR="00976154" w:rsidRPr="00E7615A">
        <w:rPr>
          <w:rFonts w:ascii="Book Antiqua" w:hAnsi="Book Antiqua"/>
          <w:color w:val="000000" w:themeColor="text1"/>
          <w:sz w:val="24"/>
          <w:szCs w:val="24"/>
          <w:lang w:val="en-US"/>
        </w:rPr>
        <w:t>T</w:t>
      </w:r>
      <w:r w:rsidR="00BA0148" w:rsidRPr="00E7615A">
        <w:rPr>
          <w:rFonts w:ascii="Book Antiqua" w:hAnsi="Book Antiqua"/>
          <w:color w:val="000000" w:themeColor="text1"/>
          <w:sz w:val="24"/>
          <w:szCs w:val="24"/>
          <w:lang w:val="en-US"/>
        </w:rPr>
        <w:t>RT-MR</w:t>
      </w:r>
      <w:r w:rsidR="00976154" w:rsidRPr="00E7615A">
        <w:rPr>
          <w:rFonts w:ascii="Book Antiqua" w:hAnsi="Book Antiqua"/>
          <w:color w:val="000000" w:themeColor="text1"/>
          <w:sz w:val="24"/>
          <w:szCs w:val="24"/>
          <w:lang w:val="en-US"/>
        </w:rPr>
        <w:t xml:space="preserve"> cell suspensions</w:t>
      </w:r>
      <w:r w:rsidR="00BA0148" w:rsidRPr="00E7615A">
        <w:rPr>
          <w:rFonts w:ascii="Book Antiqua" w:hAnsi="Book Antiqua"/>
          <w:color w:val="000000" w:themeColor="text1"/>
          <w:sz w:val="24"/>
          <w:szCs w:val="24"/>
          <w:lang w:val="en-US"/>
        </w:rPr>
        <w:t xml:space="preserve">") with cell suspensions that were </w:t>
      </w:r>
      <w:r w:rsidR="00BA0148" w:rsidRPr="00E7615A">
        <w:rPr>
          <w:rFonts w:ascii="Book Antiqua" w:hAnsi="Book Antiqua"/>
          <w:color w:val="000000" w:themeColor="text1"/>
          <w:sz w:val="24"/>
          <w:szCs w:val="24"/>
          <w:lang w:val="en-US"/>
        </w:rPr>
        <w:lastRenderedPageBreak/>
        <w:t xml:space="preserve">obtained by isolating cells from lipoaspirate from the same donors </w:t>
      </w:r>
      <w:r w:rsidR="00042F0A" w:rsidRPr="00E7615A">
        <w:rPr>
          <w:rFonts w:ascii="Book Antiqua" w:hAnsi="Book Antiqua"/>
          <w:color w:val="000000" w:themeColor="text1"/>
          <w:sz w:val="24"/>
          <w:szCs w:val="24"/>
          <w:lang w:val="en-US"/>
        </w:rPr>
        <w:t xml:space="preserve">just mechanically </w:t>
      </w:r>
      <w:r w:rsidR="00BA0148" w:rsidRPr="00E7615A">
        <w:rPr>
          <w:rFonts w:ascii="Book Antiqua" w:hAnsi="Book Antiqua"/>
          <w:color w:val="000000" w:themeColor="text1"/>
          <w:sz w:val="24"/>
          <w:szCs w:val="24"/>
          <w:lang w:val="en-US"/>
        </w:rPr>
        <w:t>(</w:t>
      </w:r>
      <w:r w:rsidR="00E7615A" w:rsidRPr="00E7615A">
        <w:rPr>
          <w:rFonts w:ascii="Book Antiqua" w:hAnsi="Book Antiqua"/>
          <w:i/>
          <w:color w:val="000000" w:themeColor="text1"/>
          <w:sz w:val="24"/>
          <w:szCs w:val="24"/>
          <w:lang w:val="en-US"/>
        </w:rPr>
        <w:t>i.e.</w:t>
      </w:r>
      <w:r w:rsidR="00BA0148" w:rsidRPr="00E7615A">
        <w:rPr>
          <w:rFonts w:ascii="Book Antiqua" w:hAnsi="Book Antiqua"/>
          <w:color w:val="000000" w:themeColor="text1"/>
          <w:sz w:val="24"/>
          <w:szCs w:val="24"/>
          <w:lang w:val="en-US"/>
        </w:rPr>
        <w:t xml:space="preserve">, using the Transpose RT system but </w:t>
      </w:r>
      <w:r w:rsidR="00042F0A" w:rsidRPr="00E7615A">
        <w:rPr>
          <w:rFonts w:ascii="Book Antiqua" w:hAnsi="Book Antiqua"/>
          <w:color w:val="000000" w:themeColor="text1"/>
          <w:sz w:val="24"/>
          <w:szCs w:val="24"/>
          <w:lang w:val="en-US"/>
        </w:rPr>
        <w:t xml:space="preserve">without </w:t>
      </w:r>
      <w:r w:rsidR="00BA0148" w:rsidRPr="00E7615A">
        <w:rPr>
          <w:rFonts w:ascii="Book Antiqua" w:hAnsi="Book Antiqua"/>
          <w:color w:val="000000" w:themeColor="text1"/>
          <w:sz w:val="24"/>
          <w:szCs w:val="24"/>
          <w:lang w:val="en-US"/>
        </w:rPr>
        <w:t>Matrase Reagent)</w:t>
      </w:r>
      <w:r w:rsidR="00042F0A" w:rsidRPr="00E7615A">
        <w:rPr>
          <w:rFonts w:ascii="Book Antiqua" w:hAnsi="Book Antiqua"/>
          <w:color w:val="000000" w:themeColor="text1"/>
          <w:sz w:val="24"/>
          <w:szCs w:val="24"/>
          <w:lang w:val="en-US"/>
        </w:rPr>
        <w:t xml:space="preserve"> (thereafter: "</w:t>
      </w:r>
      <w:r w:rsidR="00976154" w:rsidRPr="00E7615A">
        <w:rPr>
          <w:rFonts w:ascii="Book Antiqua" w:hAnsi="Book Antiqua"/>
          <w:color w:val="000000" w:themeColor="text1"/>
          <w:sz w:val="24"/>
          <w:szCs w:val="24"/>
          <w:lang w:val="en-US"/>
        </w:rPr>
        <w:t>T</w:t>
      </w:r>
      <w:r w:rsidR="002E7DD7" w:rsidRPr="00E7615A">
        <w:rPr>
          <w:rFonts w:ascii="Book Antiqua" w:hAnsi="Book Antiqua"/>
          <w:color w:val="000000" w:themeColor="text1"/>
          <w:sz w:val="24"/>
          <w:szCs w:val="24"/>
          <w:lang w:val="en-US"/>
        </w:rPr>
        <w:t>RT</w:t>
      </w:r>
      <w:r w:rsidR="00976154" w:rsidRPr="00E7615A">
        <w:rPr>
          <w:rFonts w:ascii="Book Antiqua" w:hAnsi="Book Antiqua"/>
          <w:color w:val="000000" w:themeColor="text1"/>
          <w:sz w:val="24"/>
          <w:szCs w:val="24"/>
          <w:lang w:val="en-US"/>
        </w:rPr>
        <w:t xml:space="preserve"> cell suspensions</w:t>
      </w:r>
      <w:r w:rsidR="00042F0A" w:rsidRPr="00E7615A">
        <w:rPr>
          <w:rFonts w:ascii="Book Antiqua" w:hAnsi="Book Antiqua"/>
          <w:color w:val="000000" w:themeColor="text1"/>
          <w:sz w:val="24"/>
          <w:szCs w:val="24"/>
          <w:lang w:val="en-US"/>
        </w:rPr>
        <w:t>")</w:t>
      </w:r>
      <w:r w:rsidR="00BA0148" w:rsidRPr="00E7615A">
        <w:rPr>
          <w:rFonts w:ascii="Book Antiqua" w:hAnsi="Book Antiqua"/>
          <w:color w:val="000000" w:themeColor="text1"/>
          <w:sz w:val="24"/>
          <w:szCs w:val="24"/>
          <w:vertAlign w:val="superscript"/>
          <w:lang w:val="en-US"/>
        </w:rPr>
        <w:t>[53]</w:t>
      </w:r>
      <w:r w:rsidR="00BA0148" w:rsidRPr="00E7615A">
        <w:rPr>
          <w:rFonts w:ascii="Book Antiqua" w:hAnsi="Book Antiqua"/>
          <w:color w:val="000000" w:themeColor="text1"/>
          <w:sz w:val="24"/>
          <w:szCs w:val="24"/>
          <w:lang w:val="en-US"/>
        </w:rPr>
        <w:t xml:space="preserve">. </w:t>
      </w:r>
      <w:r w:rsidR="002E7DD7" w:rsidRPr="00E7615A">
        <w:rPr>
          <w:rFonts w:ascii="Book Antiqua" w:hAnsi="Book Antiqua"/>
          <w:color w:val="000000" w:themeColor="text1"/>
          <w:sz w:val="24"/>
          <w:szCs w:val="24"/>
          <w:lang w:val="en-US"/>
        </w:rPr>
        <w:t xml:space="preserve">It was found that the mean cell yield (numbers of cells/g of processed lipoaspirate) was approximately twelve times higher in </w:t>
      </w:r>
      <w:r w:rsidR="00976154" w:rsidRPr="00E7615A">
        <w:rPr>
          <w:rFonts w:ascii="Book Antiqua" w:hAnsi="Book Antiqua"/>
          <w:color w:val="000000" w:themeColor="text1"/>
          <w:sz w:val="24"/>
          <w:szCs w:val="24"/>
          <w:lang w:val="en-US"/>
        </w:rPr>
        <w:t>T</w:t>
      </w:r>
      <w:r w:rsidR="002E7DD7" w:rsidRPr="00E7615A">
        <w:rPr>
          <w:rFonts w:ascii="Book Antiqua" w:hAnsi="Book Antiqua"/>
          <w:color w:val="000000" w:themeColor="text1"/>
          <w:sz w:val="24"/>
          <w:szCs w:val="24"/>
          <w:lang w:val="en-US"/>
        </w:rPr>
        <w:t>RT-MR</w:t>
      </w:r>
      <w:r w:rsidR="00976154" w:rsidRPr="00E7615A">
        <w:rPr>
          <w:rFonts w:ascii="Book Antiqua" w:hAnsi="Book Antiqua"/>
          <w:color w:val="000000" w:themeColor="text1"/>
          <w:sz w:val="24"/>
          <w:szCs w:val="24"/>
          <w:lang w:val="en-US"/>
        </w:rPr>
        <w:t xml:space="preserve"> cell suspensions</w:t>
      </w:r>
      <w:r w:rsidR="002E7DD7" w:rsidRPr="00E7615A">
        <w:rPr>
          <w:rFonts w:ascii="Book Antiqua" w:hAnsi="Book Antiqua"/>
          <w:color w:val="000000" w:themeColor="text1"/>
          <w:sz w:val="24"/>
          <w:szCs w:val="24"/>
          <w:lang w:val="en-US"/>
        </w:rPr>
        <w:t xml:space="preserve"> than in </w:t>
      </w:r>
      <w:r w:rsidR="00976154" w:rsidRPr="00E7615A">
        <w:rPr>
          <w:rFonts w:ascii="Book Antiqua" w:hAnsi="Book Antiqua"/>
          <w:color w:val="000000" w:themeColor="text1"/>
          <w:sz w:val="24"/>
          <w:szCs w:val="24"/>
          <w:lang w:val="en-US"/>
        </w:rPr>
        <w:t>T</w:t>
      </w:r>
      <w:r w:rsidR="002E7DD7" w:rsidRPr="00E7615A">
        <w:rPr>
          <w:rFonts w:ascii="Book Antiqua" w:hAnsi="Book Antiqua"/>
          <w:color w:val="000000" w:themeColor="text1"/>
          <w:sz w:val="24"/>
          <w:szCs w:val="24"/>
          <w:lang w:val="en-US"/>
        </w:rPr>
        <w:t>RT</w:t>
      </w:r>
      <w:r w:rsidR="00976154" w:rsidRPr="00E7615A">
        <w:rPr>
          <w:rFonts w:ascii="Book Antiqua" w:hAnsi="Book Antiqua"/>
          <w:color w:val="000000" w:themeColor="text1"/>
          <w:sz w:val="24"/>
          <w:szCs w:val="24"/>
          <w:lang w:val="en-US"/>
        </w:rPr>
        <w:t xml:space="preserve"> cell suspensions </w:t>
      </w:r>
      <w:r w:rsidR="002E7DD7" w:rsidRPr="00E7615A">
        <w:rPr>
          <w:rFonts w:ascii="Book Antiqua" w:hAnsi="Book Antiqua"/>
          <w:color w:val="000000" w:themeColor="text1"/>
          <w:sz w:val="24"/>
          <w:szCs w:val="24"/>
          <w:lang w:val="en-US"/>
        </w:rPr>
        <w:t>(</w:t>
      </w:r>
      <w:r w:rsidR="002E7DD7" w:rsidRPr="00F520F0">
        <w:rPr>
          <w:rFonts w:ascii="Book Antiqua" w:hAnsi="Book Antiqua"/>
          <w:i/>
          <w:caps/>
          <w:color w:val="000000" w:themeColor="text1"/>
          <w:sz w:val="24"/>
          <w:szCs w:val="24"/>
          <w:lang w:val="en-US"/>
        </w:rPr>
        <w:t>p</w:t>
      </w:r>
      <w:r w:rsidR="00F520F0">
        <w:rPr>
          <w:rFonts w:ascii="Book Antiqua" w:hAnsi="Book Antiqua" w:hint="eastAsia"/>
          <w:color w:val="000000" w:themeColor="text1"/>
          <w:sz w:val="24"/>
          <w:szCs w:val="24"/>
          <w:lang w:val="en-US" w:eastAsia="zh-CN"/>
        </w:rPr>
        <w:t xml:space="preserve"> </w:t>
      </w:r>
      <w:r w:rsidR="002E7DD7" w:rsidRPr="00E7615A">
        <w:rPr>
          <w:rFonts w:ascii="Book Antiqua" w:hAnsi="Book Antiqua"/>
          <w:color w:val="000000" w:themeColor="text1"/>
          <w:sz w:val="24"/>
          <w:szCs w:val="24"/>
          <w:lang w:val="en-US"/>
        </w:rPr>
        <w:t>&lt;</w:t>
      </w:r>
      <w:r w:rsidR="00F520F0">
        <w:rPr>
          <w:rFonts w:ascii="Book Antiqua" w:hAnsi="Book Antiqua" w:hint="eastAsia"/>
          <w:color w:val="000000" w:themeColor="text1"/>
          <w:sz w:val="24"/>
          <w:szCs w:val="24"/>
          <w:lang w:val="en-US" w:eastAsia="zh-CN"/>
        </w:rPr>
        <w:t xml:space="preserve"> </w:t>
      </w:r>
      <w:r w:rsidR="002E7DD7" w:rsidRPr="00E7615A">
        <w:rPr>
          <w:rFonts w:ascii="Book Antiqua" w:hAnsi="Book Antiqua"/>
          <w:color w:val="000000" w:themeColor="text1"/>
          <w:sz w:val="24"/>
          <w:szCs w:val="24"/>
          <w:lang w:val="en-US"/>
        </w:rPr>
        <w:t>0</w:t>
      </w:r>
      <w:r w:rsidR="00BA0148" w:rsidRPr="00E7615A">
        <w:rPr>
          <w:rFonts w:ascii="Book Antiqua" w:hAnsi="Book Antiqua"/>
          <w:color w:val="000000" w:themeColor="text1"/>
          <w:sz w:val="24"/>
          <w:szCs w:val="24"/>
          <w:lang w:val="en-US"/>
        </w:rPr>
        <w:t>.</w:t>
      </w:r>
      <w:r w:rsidR="002E7DD7" w:rsidRPr="00E7615A">
        <w:rPr>
          <w:rFonts w:ascii="Book Antiqua" w:hAnsi="Book Antiqua"/>
          <w:color w:val="000000" w:themeColor="text1"/>
          <w:sz w:val="24"/>
          <w:szCs w:val="24"/>
          <w:lang w:val="en-US"/>
        </w:rPr>
        <w:t xml:space="preserve">001), </w:t>
      </w:r>
      <w:r w:rsidR="00AE7DBE" w:rsidRPr="00E7615A">
        <w:rPr>
          <w:rFonts w:ascii="Book Antiqua" w:hAnsi="Book Antiqua"/>
          <w:color w:val="000000" w:themeColor="text1"/>
          <w:sz w:val="24"/>
          <w:szCs w:val="24"/>
          <w:lang w:val="en-US"/>
        </w:rPr>
        <w:t xml:space="preserve">and cells in </w:t>
      </w:r>
      <w:r w:rsidR="00976154" w:rsidRPr="00E7615A">
        <w:rPr>
          <w:rFonts w:ascii="Book Antiqua" w:hAnsi="Book Antiqua"/>
          <w:color w:val="000000" w:themeColor="text1"/>
          <w:sz w:val="24"/>
          <w:szCs w:val="24"/>
          <w:lang w:val="en-US"/>
        </w:rPr>
        <w:t>T</w:t>
      </w:r>
      <w:r w:rsidR="00AE7DBE" w:rsidRPr="00E7615A">
        <w:rPr>
          <w:rFonts w:ascii="Book Antiqua" w:hAnsi="Book Antiqua"/>
          <w:color w:val="000000" w:themeColor="text1"/>
          <w:sz w:val="24"/>
          <w:szCs w:val="24"/>
          <w:lang w:val="en-US"/>
        </w:rPr>
        <w:t>RT-MR</w:t>
      </w:r>
      <w:r w:rsidR="00976154" w:rsidRPr="00E7615A">
        <w:rPr>
          <w:rFonts w:ascii="Book Antiqua" w:hAnsi="Book Antiqua"/>
          <w:color w:val="000000" w:themeColor="text1"/>
          <w:sz w:val="24"/>
          <w:szCs w:val="24"/>
          <w:lang w:val="en-US"/>
        </w:rPr>
        <w:t xml:space="preserve"> cell suspensions </w:t>
      </w:r>
      <w:r w:rsidR="002E7DD7" w:rsidRPr="00E7615A">
        <w:rPr>
          <w:rFonts w:ascii="Book Antiqua" w:hAnsi="Book Antiqua"/>
          <w:color w:val="000000" w:themeColor="text1"/>
          <w:sz w:val="24"/>
          <w:szCs w:val="24"/>
          <w:lang w:val="en-US"/>
        </w:rPr>
        <w:t xml:space="preserve">formed on average 16 times more </w:t>
      </w:r>
      <w:r w:rsidR="00AE7DBE" w:rsidRPr="00E7615A">
        <w:rPr>
          <w:rFonts w:ascii="Book Antiqua" w:hAnsi="Book Antiqua"/>
          <w:color w:val="000000" w:themeColor="text1"/>
          <w:sz w:val="24"/>
          <w:szCs w:val="24"/>
          <w:lang w:val="en-US"/>
        </w:rPr>
        <w:t>colony forming units</w:t>
      </w:r>
      <w:r w:rsidR="002E7DD7" w:rsidRPr="00E7615A">
        <w:rPr>
          <w:rFonts w:ascii="Book Antiqua" w:hAnsi="Book Antiqua"/>
          <w:color w:val="000000" w:themeColor="text1"/>
          <w:sz w:val="24"/>
          <w:szCs w:val="24"/>
          <w:lang w:val="en-US"/>
        </w:rPr>
        <w:t xml:space="preserve"> </w:t>
      </w:r>
      <w:r w:rsidR="00AE7DBE" w:rsidRPr="00E7615A">
        <w:rPr>
          <w:rFonts w:ascii="Book Antiqua" w:hAnsi="Book Antiqua"/>
          <w:color w:val="000000" w:themeColor="text1"/>
          <w:sz w:val="24"/>
          <w:szCs w:val="24"/>
          <w:lang w:val="en-US"/>
        </w:rPr>
        <w:t xml:space="preserve">(considered to be an indicator of stemness) </w:t>
      </w:r>
      <w:r w:rsidR="002E7DD7" w:rsidRPr="00E7615A">
        <w:rPr>
          <w:rFonts w:ascii="Book Antiqua" w:hAnsi="Book Antiqua"/>
          <w:color w:val="000000" w:themeColor="text1"/>
          <w:sz w:val="24"/>
          <w:szCs w:val="24"/>
          <w:lang w:val="en-US"/>
        </w:rPr>
        <w:t xml:space="preserve">per g lipoaspirate </w:t>
      </w:r>
      <w:r w:rsidR="00AE7DBE" w:rsidRPr="00E7615A">
        <w:rPr>
          <w:rFonts w:ascii="Book Antiqua" w:hAnsi="Book Antiqua"/>
          <w:color w:val="000000" w:themeColor="text1"/>
          <w:sz w:val="24"/>
          <w:szCs w:val="24"/>
          <w:lang w:val="en-US"/>
        </w:rPr>
        <w:t>than</w:t>
      </w:r>
      <w:r w:rsidR="002E7DD7" w:rsidRPr="00E7615A">
        <w:rPr>
          <w:rFonts w:ascii="Book Antiqua" w:hAnsi="Book Antiqua"/>
          <w:color w:val="000000" w:themeColor="text1"/>
          <w:sz w:val="24"/>
          <w:szCs w:val="24"/>
          <w:lang w:val="en-US"/>
        </w:rPr>
        <w:t xml:space="preserve"> cells </w:t>
      </w:r>
      <w:r w:rsidR="00AE7DBE" w:rsidRPr="00E7615A">
        <w:rPr>
          <w:rFonts w:ascii="Book Antiqua" w:hAnsi="Book Antiqua"/>
          <w:color w:val="000000" w:themeColor="text1"/>
          <w:sz w:val="24"/>
          <w:szCs w:val="24"/>
          <w:lang w:val="en-US"/>
        </w:rPr>
        <w:t xml:space="preserve">in </w:t>
      </w:r>
      <w:r w:rsidR="00976154" w:rsidRPr="00E7615A">
        <w:rPr>
          <w:rFonts w:ascii="Book Antiqua" w:hAnsi="Book Antiqua"/>
          <w:color w:val="000000" w:themeColor="text1"/>
          <w:sz w:val="24"/>
          <w:szCs w:val="24"/>
          <w:lang w:val="en-US"/>
        </w:rPr>
        <w:t>T</w:t>
      </w:r>
      <w:r w:rsidR="00AE7DBE" w:rsidRPr="00E7615A">
        <w:rPr>
          <w:rFonts w:ascii="Book Antiqua" w:hAnsi="Book Antiqua"/>
          <w:color w:val="000000" w:themeColor="text1"/>
          <w:sz w:val="24"/>
          <w:szCs w:val="24"/>
          <w:lang w:val="en-US"/>
        </w:rPr>
        <w:t>RT</w:t>
      </w:r>
      <w:r w:rsidR="00976154" w:rsidRPr="00E7615A">
        <w:rPr>
          <w:rFonts w:ascii="Book Antiqua" w:hAnsi="Book Antiqua"/>
          <w:color w:val="000000" w:themeColor="text1"/>
          <w:sz w:val="24"/>
          <w:szCs w:val="24"/>
          <w:lang w:val="en-US"/>
        </w:rPr>
        <w:t xml:space="preserve"> cell suspensions </w:t>
      </w:r>
      <w:r w:rsidR="00BA0148" w:rsidRPr="00E7615A">
        <w:rPr>
          <w:rFonts w:ascii="Book Antiqua" w:hAnsi="Book Antiqua"/>
          <w:color w:val="000000" w:themeColor="text1"/>
          <w:sz w:val="24"/>
          <w:szCs w:val="24"/>
          <w:lang w:val="en-US"/>
        </w:rPr>
        <w:t>(</w:t>
      </w:r>
      <w:r w:rsidR="00BA0148" w:rsidRPr="008D3258">
        <w:rPr>
          <w:rFonts w:ascii="Book Antiqua" w:hAnsi="Book Antiqua"/>
          <w:i/>
          <w:caps/>
          <w:color w:val="000000" w:themeColor="text1"/>
          <w:sz w:val="24"/>
          <w:szCs w:val="24"/>
          <w:lang w:val="en-US"/>
        </w:rPr>
        <w:t>p</w:t>
      </w:r>
      <w:r w:rsidR="008D3258">
        <w:rPr>
          <w:rFonts w:ascii="Book Antiqua" w:hAnsi="Book Antiqua" w:hint="eastAsia"/>
          <w:i/>
          <w:caps/>
          <w:color w:val="000000" w:themeColor="text1"/>
          <w:sz w:val="24"/>
          <w:szCs w:val="24"/>
          <w:lang w:val="en-US" w:eastAsia="zh-CN"/>
        </w:rPr>
        <w:t xml:space="preserve"> </w:t>
      </w:r>
      <w:r w:rsidR="00BA0148" w:rsidRPr="00E7615A">
        <w:rPr>
          <w:rFonts w:ascii="Book Antiqua" w:hAnsi="Book Antiqua"/>
          <w:color w:val="000000" w:themeColor="text1"/>
          <w:sz w:val="24"/>
          <w:szCs w:val="24"/>
          <w:lang w:val="en-US"/>
        </w:rPr>
        <w:t>&lt;</w:t>
      </w:r>
      <w:r w:rsidR="008D3258">
        <w:rPr>
          <w:rFonts w:ascii="Book Antiqua" w:hAnsi="Book Antiqua" w:hint="eastAsia"/>
          <w:color w:val="000000" w:themeColor="text1"/>
          <w:sz w:val="24"/>
          <w:szCs w:val="24"/>
          <w:lang w:val="en-US" w:eastAsia="zh-CN"/>
        </w:rPr>
        <w:t xml:space="preserve"> </w:t>
      </w:r>
      <w:r w:rsidR="00BA0148" w:rsidRPr="00E7615A">
        <w:rPr>
          <w:rFonts w:ascii="Book Antiqua" w:hAnsi="Book Antiqua"/>
          <w:color w:val="000000" w:themeColor="text1"/>
          <w:sz w:val="24"/>
          <w:szCs w:val="24"/>
          <w:lang w:val="en-US"/>
        </w:rPr>
        <w:t>0.001)</w:t>
      </w:r>
      <w:r w:rsidR="00976154" w:rsidRPr="00E7615A">
        <w:rPr>
          <w:rFonts w:ascii="Book Antiqua" w:hAnsi="Book Antiqua"/>
          <w:color w:val="000000" w:themeColor="text1"/>
          <w:sz w:val="24"/>
          <w:szCs w:val="24"/>
          <w:vertAlign w:val="superscript"/>
          <w:lang w:val="en-US"/>
        </w:rPr>
        <w:t>[53]</w:t>
      </w:r>
      <w:r w:rsidR="00AE7DBE" w:rsidRPr="00E7615A">
        <w:rPr>
          <w:rFonts w:ascii="Book Antiqua" w:hAnsi="Book Antiqua"/>
          <w:color w:val="000000" w:themeColor="text1"/>
          <w:sz w:val="24"/>
          <w:szCs w:val="24"/>
          <w:lang w:val="en-US"/>
        </w:rPr>
        <w:t xml:space="preserve">. Of note, the mean relative number of viable cells in </w:t>
      </w:r>
      <w:r w:rsidR="00976154" w:rsidRPr="00E7615A">
        <w:rPr>
          <w:rFonts w:ascii="Book Antiqua" w:hAnsi="Book Antiqua"/>
          <w:color w:val="000000" w:themeColor="text1"/>
          <w:sz w:val="24"/>
          <w:szCs w:val="24"/>
          <w:lang w:val="en-US"/>
        </w:rPr>
        <w:t>T</w:t>
      </w:r>
      <w:r w:rsidR="00AE7DBE" w:rsidRPr="00E7615A">
        <w:rPr>
          <w:rFonts w:ascii="Book Antiqua" w:hAnsi="Book Antiqua"/>
          <w:color w:val="000000" w:themeColor="text1"/>
          <w:sz w:val="24"/>
          <w:szCs w:val="24"/>
          <w:lang w:val="en-US"/>
        </w:rPr>
        <w:t>RT-MR</w:t>
      </w:r>
      <w:r w:rsidR="00976154" w:rsidRPr="00E7615A">
        <w:rPr>
          <w:rFonts w:ascii="Book Antiqua" w:hAnsi="Book Antiqua"/>
          <w:color w:val="000000" w:themeColor="text1"/>
          <w:sz w:val="24"/>
          <w:szCs w:val="24"/>
          <w:lang w:val="en-US"/>
        </w:rPr>
        <w:t xml:space="preserve"> cell suspensions </w:t>
      </w:r>
      <w:r w:rsidR="00AE7DBE" w:rsidRPr="00E7615A">
        <w:rPr>
          <w:rFonts w:ascii="Book Antiqua" w:hAnsi="Book Antiqua"/>
          <w:color w:val="000000" w:themeColor="text1"/>
          <w:sz w:val="24"/>
          <w:szCs w:val="24"/>
          <w:lang w:val="en-US"/>
        </w:rPr>
        <w:t xml:space="preserve">(85.9% ± 1.1%; mean ± </w:t>
      </w:r>
      <w:r w:rsidR="00AE7DBE" w:rsidRPr="00A2088D">
        <w:rPr>
          <w:rFonts w:ascii="Book Antiqua" w:hAnsi="Book Antiqua"/>
          <w:caps/>
          <w:color w:val="000000" w:themeColor="text1"/>
          <w:sz w:val="24"/>
          <w:szCs w:val="24"/>
          <w:lang w:val="en-US"/>
        </w:rPr>
        <w:t>s</w:t>
      </w:r>
      <w:r w:rsidR="00A2088D" w:rsidRPr="00A2088D">
        <w:rPr>
          <w:rFonts w:ascii="Book Antiqua" w:hAnsi="Book Antiqua" w:hint="eastAsia"/>
          <w:caps/>
          <w:color w:val="000000" w:themeColor="text1"/>
          <w:sz w:val="24"/>
          <w:szCs w:val="24"/>
          <w:lang w:val="en-US" w:eastAsia="zh-CN"/>
        </w:rPr>
        <w:t>e</w:t>
      </w:r>
      <w:r w:rsidR="00AE7DBE" w:rsidRPr="00E7615A">
        <w:rPr>
          <w:rFonts w:ascii="Book Antiqua" w:hAnsi="Book Antiqua"/>
          <w:color w:val="000000" w:themeColor="text1"/>
          <w:sz w:val="24"/>
          <w:szCs w:val="24"/>
          <w:lang w:val="en-US"/>
        </w:rPr>
        <w:t>) exceeded the proposed minimum threshold for the viability of cells in the SVF of 70 % established by the International Federation for Adipose Therapeutics and Science (IFATS)</w:t>
      </w:r>
      <w:r w:rsidR="00BA0148" w:rsidRPr="00E7615A">
        <w:rPr>
          <w:rFonts w:ascii="Book Antiqua" w:hAnsi="Book Antiqua"/>
          <w:color w:val="000000" w:themeColor="text1"/>
          <w:sz w:val="24"/>
          <w:szCs w:val="24"/>
          <w:vertAlign w:val="superscript"/>
          <w:lang w:val="en-US"/>
        </w:rPr>
        <w:t>[80]</w:t>
      </w:r>
      <w:r w:rsidR="00AE7DBE" w:rsidRPr="00E7615A">
        <w:rPr>
          <w:rFonts w:ascii="Book Antiqua" w:hAnsi="Book Antiqua"/>
          <w:color w:val="000000" w:themeColor="text1"/>
          <w:sz w:val="24"/>
          <w:szCs w:val="24"/>
          <w:lang w:val="en-US"/>
        </w:rPr>
        <w:t xml:space="preserve">, whereas the mean relative number of viable cells </w:t>
      </w:r>
      <w:r w:rsidR="00BA0148" w:rsidRPr="00E7615A">
        <w:rPr>
          <w:rFonts w:ascii="Book Antiqua" w:hAnsi="Book Antiqua"/>
          <w:color w:val="000000" w:themeColor="text1"/>
          <w:sz w:val="24"/>
          <w:szCs w:val="24"/>
          <w:lang w:val="en-US"/>
        </w:rPr>
        <w:t xml:space="preserve">in </w:t>
      </w:r>
      <w:r w:rsidR="00976154" w:rsidRPr="00E7615A">
        <w:rPr>
          <w:rFonts w:ascii="Book Antiqua" w:hAnsi="Book Antiqua"/>
          <w:color w:val="000000" w:themeColor="text1"/>
          <w:sz w:val="24"/>
          <w:szCs w:val="24"/>
          <w:lang w:val="en-US"/>
        </w:rPr>
        <w:t>T</w:t>
      </w:r>
      <w:r w:rsidR="00BA0148" w:rsidRPr="00E7615A">
        <w:rPr>
          <w:rFonts w:ascii="Book Antiqua" w:hAnsi="Book Antiqua"/>
          <w:color w:val="000000" w:themeColor="text1"/>
          <w:sz w:val="24"/>
          <w:szCs w:val="24"/>
          <w:lang w:val="en-US"/>
        </w:rPr>
        <w:t>RT</w:t>
      </w:r>
      <w:r w:rsidR="00976154" w:rsidRPr="00E7615A">
        <w:rPr>
          <w:rFonts w:ascii="Book Antiqua" w:hAnsi="Book Antiqua"/>
          <w:color w:val="000000" w:themeColor="text1"/>
          <w:sz w:val="24"/>
          <w:szCs w:val="24"/>
          <w:lang w:val="en-US"/>
        </w:rPr>
        <w:t xml:space="preserve"> suspensions </w:t>
      </w:r>
      <w:r w:rsidR="00AE7DBE" w:rsidRPr="00E7615A">
        <w:rPr>
          <w:rFonts w:ascii="Book Antiqua" w:hAnsi="Book Antiqua"/>
          <w:color w:val="000000" w:themeColor="text1"/>
          <w:sz w:val="24"/>
          <w:szCs w:val="24"/>
          <w:lang w:val="en-US"/>
        </w:rPr>
        <w:t>(</w:t>
      </w:r>
      <w:r w:rsidR="00BA0148" w:rsidRPr="00E7615A">
        <w:rPr>
          <w:rFonts w:ascii="Book Antiqua" w:hAnsi="Book Antiqua"/>
          <w:color w:val="000000" w:themeColor="text1"/>
          <w:sz w:val="24"/>
          <w:szCs w:val="24"/>
          <w:lang w:val="en-US"/>
        </w:rPr>
        <w:t>61.7% ± 2.6%</w:t>
      </w:r>
      <w:r w:rsidR="00AE7DBE" w:rsidRPr="00E7615A">
        <w:rPr>
          <w:rFonts w:ascii="Book Antiqua" w:hAnsi="Book Antiqua"/>
          <w:color w:val="000000" w:themeColor="text1"/>
          <w:sz w:val="24"/>
          <w:szCs w:val="24"/>
          <w:lang w:val="en-US"/>
        </w:rPr>
        <w:t>) did not (</w:t>
      </w:r>
      <w:r w:rsidR="00BA0148" w:rsidRPr="007A11D9">
        <w:rPr>
          <w:rFonts w:ascii="Book Antiqua" w:hAnsi="Book Antiqua"/>
          <w:i/>
          <w:caps/>
          <w:color w:val="000000" w:themeColor="text1"/>
          <w:sz w:val="24"/>
          <w:szCs w:val="24"/>
          <w:lang w:val="en-US"/>
        </w:rPr>
        <w:t>p</w:t>
      </w:r>
      <w:r w:rsidR="007A11D9">
        <w:rPr>
          <w:rFonts w:ascii="Book Antiqua" w:hAnsi="Book Antiqua" w:hint="eastAsia"/>
          <w:color w:val="000000" w:themeColor="text1"/>
          <w:sz w:val="24"/>
          <w:szCs w:val="24"/>
          <w:lang w:val="en-US" w:eastAsia="zh-CN"/>
        </w:rPr>
        <w:t xml:space="preserve"> </w:t>
      </w:r>
      <w:r w:rsidR="00BA0148" w:rsidRPr="00E7615A">
        <w:rPr>
          <w:rFonts w:ascii="Book Antiqua" w:hAnsi="Book Antiqua"/>
          <w:color w:val="000000" w:themeColor="text1"/>
          <w:sz w:val="24"/>
          <w:szCs w:val="24"/>
          <w:lang w:val="en-US"/>
        </w:rPr>
        <w:t>&lt;</w:t>
      </w:r>
      <w:r w:rsidR="007A11D9">
        <w:rPr>
          <w:rFonts w:ascii="Book Antiqua" w:hAnsi="Book Antiqua" w:hint="eastAsia"/>
          <w:color w:val="000000" w:themeColor="text1"/>
          <w:sz w:val="24"/>
          <w:szCs w:val="24"/>
          <w:lang w:val="en-US" w:eastAsia="zh-CN"/>
        </w:rPr>
        <w:t xml:space="preserve"> </w:t>
      </w:r>
      <w:r w:rsidR="00BA0148" w:rsidRPr="00E7615A">
        <w:rPr>
          <w:rFonts w:ascii="Book Antiqua" w:hAnsi="Book Antiqua"/>
          <w:color w:val="000000" w:themeColor="text1"/>
          <w:sz w:val="24"/>
          <w:szCs w:val="24"/>
          <w:lang w:val="en-US"/>
        </w:rPr>
        <w:t>0.001</w:t>
      </w:r>
      <w:r w:rsidR="00AE7DBE" w:rsidRPr="00E7615A">
        <w:rPr>
          <w:rFonts w:ascii="Book Antiqua" w:hAnsi="Book Antiqua"/>
          <w:color w:val="000000" w:themeColor="text1"/>
          <w:sz w:val="24"/>
          <w:szCs w:val="24"/>
          <w:lang w:val="en-US"/>
        </w:rPr>
        <w:t>)</w:t>
      </w:r>
      <w:r w:rsidR="00976154" w:rsidRPr="00E7615A">
        <w:rPr>
          <w:rFonts w:ascii="Book Antiqua" w:hAnsi="Book Antiqua"/>
          <w:color w:val="000000" w:themeColor="text1"/>
          <w:sz w:val="24"/>
          <w:szCs w:val="24"/>
          <w:vertAlign w:val="superscript"/>
          <w:lang w:val="en-US"/>
        </w:rPr>
        <w:t>[53]</w:t>
      </w:r>
      <w:r w:rsidR="00AE7DBE" w:rsidRPr="00E7615A">
        <w:rPr>
          <w:rFonts w:ascii="Book Antiqua" w:hAnsi="Book Antiqua"/>
          <w:color w:val="000000" w:themeColor="text1"/>
          <w:sz w:val="24"/>
          <w:szCs w:val="24"/>
          <w:lang w:val="en-US"/>
        </w:rPr>
        <w:t>.</w:t>
      </w:r>
      <w:r w:rsidR="00BA0148" w:rsidRPr="00E7615A">
        <w:rPr>
          <w:rFonts w:ascii="Book Antiqua" w:hAnsi="Book Antiqua"/>
          <w:color w:val="000000" w:themeColor="text1"/>
          <w:sz w:val="24"/>
          <w:szCs w:val="24"/>
          <w:lang w:val="en-US"/>
        </w:rPr>
        <w:t xml:space="preserve"> </w:t>
      </w:r>
      <w:r w:rsidR="002E7DD7" w:rsidRPr="00E7615A">
        <w:rPr>
          <w:rFonts w:ascii="Book Antiqua" w:hAnsi="Book Antiqua"/>
          <w:color w:val="000000" w:themeColor="text1"/>
          <w:sz w:val="24"/>
          <w:szCs w:val="24"/>
          <w:lang w:val="en-US"/>
        </w:rPr>
        <w:t xml:space="preserve">On the other hand, cells </w:t>
      </w:r>
      <w:r w:rsidR="00AE7DBE" w:rsidRPr="00E7615A">
        <w:rPr>
          <w:rFonts w:ascii="Book Antiqua" w:hAnsi="Book Antiqua"/>
          <w:color w:val="000000" w:themeColor="text1"/>
          <w:sz w:val="24"/>
          <w:szCs w:val="24"/>
          <w:lang w:val="en-US"/>
        </w:rPr>
        <w:t xml:space="preserve">in </w:t>
      </w:r>
      <w:r w:rsidR="00976154" w:rsidRPr="00E7615A">
        <w:rPr>
          <w:rFonts w:ascii="Book Antiqua" w:hAnsi="Book Antiqua"/>
          <w:color w:val="000000" w:themeColor="text1"/>
          <w:sz w:val="24"/>
          <w:szCs w:val="24"/>
          <w:lang w:val="en-US"/>
        </w:rPr>
        <w:t>T</w:t>
      </w:r>
      <w:r w:rsidR="00AE7DBE" w:rsidRPr="00E7615A">
        <w:rPr>
          <w:rFonts w:ascii="Book Antiqua" w:hAnsi="Book Antiqua"/>
          <w:color w:val="000000" w:themeColor="text1"/>
          <w:sz w:val="24"/>
          <w:szCs w:val="24"/>
          <w:lang w:val="en-US"/>
        </w:rPr>
        <w:t>RT-MR</w:t>
      </w:r>
      <w:r w:rsidR="00976154" w:rsidRPr="00E7615A">
        <w:rPr>
          <w:rFonts w:ascii="Book Antiqua" w:hAnsi="Book Antiqua"/>
          <w:color w:val="000000" w:themeColor="text1"/>
          <w:sz w:val="24"/>
          <w:szCs w:val="24"/>
          <w:lang w:val="en-US"/>
        </w:rPr>
        <w:t xml:space="preserve"> cell suspensions</w:t>
      </w:r>
      <w:r w:rsidR="002E7DD7" w:rsidRPr="00E7615A">
        <w:rPr>
          <w:rFonts w:ascii="Book Antiqua" w:hAnsi="Book Antiqua"/>
          <w:color w:val="000000" w:themeColor="text1"/>
          <w:sz w:val="24"/>
          <w:szCs w:val="24"/>
          <w:lang w:val="en-US"/>
        </w:rPr>
        <w:t xml:space="preserve"> exhibited no statistically significant differences in the expression of regenerative cell-associated genes such as Oct4, Hes1 and Klf4 compared to cells </w:t>
      </w:r>
      <w:r w:rsidR="009215FA" w:rsidRPr="00E7615A">
        <w:rPr>
          <w:rFonts w:ascii="Book Antiqua" w:hAnsi="Book Antiqua"/>
          <w:color w:val="000000" w:themeColor="text1"/>
          <w:sz w:val="24"/>
          <w:szCs w:val="24"/>
          <w:lang w:val="en-US"/>
        </w:rPr>
        <w:t xml:space="preserve">in </w:t>
      </w:r>
      <w:r w:rsidR="00976154" w:rsidRPr="00E7615A">
        <w:rPr>
          <w:rFonts w:ascii="Book Antiqua" w:hAnsi="Book Antiqua"/>
          <w:color w:val="000000" w:themeColor="text1"/>
          <w:sz w:val="24"/>
          <w:szCs w:val="24"/>
          <w:lang w:val="en-US"/>
        </w:rPr>
        <w:t>T</w:t>
      </w:r>
      <w:r w:rsidR="009215FA" w:rsidRPr="00E7615A">
        <w:rPr>
          <w:rFonts w:ascii="Book Antiqua" w:hAnsi="Book Antiqua"/>
          <w:color w:val="000000" w:themeColor="text1"/>
          <w:sz w:val="24"/>
          <w:szCs w:val="24"/>
          <w:lang w:val="en-US"/>
        </w:rPr>
        <w:t>RT</w:t>
      </w:r>
      <w:r w:rsidR="00976154" w:rsidRPr="00E7615A">
        <w:rPr>
          <w:rFonts w:ascii="Book Antiqua" w:hAnsi="Book Antiqua"/>
          <w:color w:val="000000" w:themeColor="text1"/>
          <w:sz w:val="24"/>
          <w:szCs w:val="24"/>
          <w:lang w:val="en-US"/>
        </w:rPr>
        <w:t xml:space="preserve"> cell </w:t>
      </w:r>
      <w:proofErr w:type="gramStart"/>
      <w:r w:rsidR="00976154" w:rsidRPr="00E7615A">
        <w:rPr>
          <w:rFonts w:ascii="Book Antiqua" w:hAnsi="Book Antiqua"/>
          <w:color w:val="000000" w:themeColor="text1"/>
          <w:sz w:val="24"/>
          <w:szCs w:val="24"/>
          <w:lang w:val="en-US"/>
        </w:rPr>
        <w:t>suspensions</w:t>
      </w:r>
      <w:r w:rsidR="00976154" w:rsidRPr="00E7615A">
        <w:rPr>
          <w:rFonts w:ascii="Book Antiqua" w:hAnsi="Book Antiqua"/>
          <w:color w:val="000000" w:themeColor="text1"/>
          <w:sz w:val="24"/>
          <w:szCs w:val="24"/>
          <w:vertAlign w:val="superscript"/>
          <w:lang w:val="en-US"/>
        </w:rPr>
        <w:t>[</w:t>
      </w:r>
      <w:proofErr w:type="gramEnd"/>
      <w:r w:rsidR="00976154" w:rsidRPr="00E7615A">
        <w:rPr>
          <w:rFonts w:ascii="Book Antiqua" w:hAnsi="Book Antiqua"/>
          <w:color w:val="000000" w:themeColor="text1"/>
          <w:sz w:val="24"/>
          <w:szCs w:val="24"/>
          <w:vertAlign w:val="superscript"/>
          <w:lang w:val="en-US"/>
        </w:rPr>
        <w:t>53]</w:t>
      </w:r>
      <w:r w:rsidR="002E7DD7" w:rsidRPr="00E7615A">
        <w:rPr>
          <w:rFonts w:ascii="Book Antiqua" w:hAnsi="Book Antiqua"/>
          <w:color w:val="000000" w:themeColor="text1"/>
          <w:sz w:val="24"/>
          <w:szCs w:val="24"/>
          <w:lang w:val="en-US"/>
        </w:rPr>
        <w:t xml:space="preserve">. </w:t>
      </w:r>
    </w:p>
    <w:p w14:paraId="43F7A0F3" w14:textId="31AD2C2F" w:rsidR="009215FA" w:rsidRPr="00E7615A" w:rsidRDefault="009215FA"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bookmarkStart w:id="172" w:name="_Hlk531336541"/>
      <w:r w:rsidRPr="00E7615A">
        <w:rPr>
          <w:rFonts w:ascii="Book Antiqua" w:hAnsi="Book Antiqua"/>
          <w:color w:val="000000" w:themeColor="text1"/>
          <w:sz w:val="24"/>
          <w:szCs w:val="24"/>
          <w:lang w:val="en-US"/>
        </w:rPr>
        <w:t xml:space="preserve">The same study demonstrated that upon stimulation with specific differentiation media </w:t>
      </w:r>
      <w:r w:rsidR="002E7DD7" w:rsidRPr="00E7615A">
        <w:rPr>
          <w:rFonts w:ascii="Book Antiqua" w:hAnsi="Book Antiqua"/>
          <w:color w:val="000000" w:themeColor="text1"/>
          <w:sz w:val="24"/>
          <w:szCs w:val="24"/>
          <w:lang w:val="en-US"/>
        </w:rPr>
        <w:t xml:space="preserve">cells </w:t>
      </w:r>
      <w:r w:rsidRPr="00E7615A">
        <w:rPr>
          <w:rFonts w:ascii="Book Antiqua" w:hAnsi="Book Antiqua"/>
          <w:color w:val="000000" w:themeColor="text1"/>
          <w:sz w:val="24"/>
          <w:szCs w:val="24"/>
          <w:lang w:val="en-US"/>
        </w:rPr>
        <w:t xml:space="preserve">in </w:t>
      </w:r>
      <w:r w:rsidR="00976154" w:rsidRPr="00E7615A">
        <w:rPr>
          <w:rFonts w:ascii="Book Antiqua" w:hAnsi="Book Antiqua"/>
          <w:color w:val="000000" w:themeColor="text1"/>
          <w:sz w:val="24"/>
          <w:szCs w:val="24"/>
          <w:lang w:val="en-US"/>
        </w:rPr>
        <w:t>T</w:t>
      </w:r>
      <w:r w:rsidRPr="00E7615A">
        <w:rPr>
          <w:rFonts w:ascii="Book Antiqua" w:hAnsi="Book Antiqua"/>
          <w:color w:val="000000" w:themeColor="text1"/>
          <w:sz w:val="24"/>
          <w:szCs w:val="24"/>
          <w:lang w:val="en-US"/>
        </w:rPr>
        <w:t xml:space="preserve">RT-MR and </w:t>
      </w:r>
      <w:r w:rsidR="00976154" w:rsidRPr="00E7615A">
        <w:rPr>
          <w:rFonts w:ascii="Book Antiqua" w:hAnsi="Book Antiqua"/>
          <w:color w:val="000000" w:themeColor="text1"/>
          <w:sz w:val="24"/>
          <w:szCs w:val="24"/>
          <w:lang w:val="en-US"/>
        </w:rPr>
        <w:t>T</w:t>
      </w:r>
      <w:r w:rsidRPr="00E7615A">
        <w:rPr>
          <w:rFonts w:ascii="Book Antiqua" w:hAnsi="Book Antiqua"/>
          <w:color w:val="000000" w:themeColor="text1"/>
          <w:sz w:val="24"/>
          <w:szCs w:val="24"/>
          <w:lang w:val="en-US"/>
        </w:rPr>
        <w:t>RT</w:t>
      </w:r>
      <w:r w:rsidR="00976154" w:rsidRPr="00E7615A">
        <w:rPr>
          <w:rFonts w:ascii="Book Antiqua" w:hAnsi="Book Antiqua"/>
          <w:color w:val="000000" w:themeColor="text1"/>
          <w:sz w:val="24"/>
          <w:szCs w:val="24"/>
          <w:lang w:val="en-US"/>
        </w:rPr>
        <w:t xml:space="preserve"> cell suspensions </w:t>
      </w:r>
      <w:r w:rsidR="002E7DD7" w:rsidRPr="00E7615A">
        <w:rPr>
          <w:rFonts w:ascii="Book Antiqua" w:hAnsi="Book Antiqua"/>
          <w:color w:val="000000" w:themeColor="text1"/>
          <w:sz w:val="24"/>
          <w:szCs w:val="24"/>
          <w:lang w:val="en-US"/>
        </w:rPr>
        <w:t>were independently able to differentiate into cells of all three germ layers (</w:t>
      </w:r>
      <w:r w:rsidR="00E7615A" w:rsidRPr="00E7615A">
        <w:rPr>
          <w:rFonts w:ascii="Book Antiqua" w:hAnsi="Book Antiqua"/>
          <w:i/>
          <w:color w:val="000000" w:themeColor="text1"/>
          <w:sz w:val="24"/>
          <w:szCs w:val="24"/>
          <w:lang w:val="en-US"/>
        </w:rPr>
        <w:t>i.e.</w:t>
      </w:r>
      <w:r w:rsidR="002E7DD7" w:rsidRPr="00E7615A">
        <w:rPr>
          <w:rFonts w:ascii="Book Antiqua" w:hAnsi="Book Antiqua"/>
          <w:color w:val="000000" w:themeColor="text1"/>
          <w:sz w:val="24"/>
          <w:szCs w:val="24"/>
          <w:lang w:val="en-US"/>
        </w:rPr>
        <w:t>, into the adipogenic, osteogenic, hepatogenic and neurogenic lineages)</w:t>
      </w:r>
      <w:r w:rsidRPr="00E7615A">
        <w:rPr>
          <w:rFonts w:ascii="Book Antiqua" w:hAnsi="Book Antiqua"/>
          <w:color w:val="000000" w:themeColor="text1"/>
          <w:sz w:val="24"/>
          <w:szCs w:val="24"/>
          <w:vertAlign w:val="superscript"/>
          <w:lang w:val="en-US"/>
        </w:rPr>
        <w:t>[53]</w:t>
      </w:r>
      <w:r w:rsidR="002E7DD7"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The latter is in line with earlier findings that adult stem cells may obtain any of the three lineages but depend on constant induction of differentiation and re-confirmation by signals released and communicated from the local </w:t>
      </w:r>
      <w:proofErr w:type="gramStart"/>
      <w:r w:rsidRPr="00E7615A">
        <w:rPr>
          <w:rFonts w:ascii="Book Antiqua" w:hAnsi="Book Antiqua"/>
          <w:color w:val="000000" w:themeColor="text1"/>
          <w:sz w:val="24"/>
          <w:szCs w:val="24"/>
          <w:lang w:val="en-US"/>
        </w:rPr>
        <w:t>microenvironment</w:t>
      </w:r>
      <w:r w:rsidR="00400EF4" w:rsidRPr="00E7615A">
        <w:rPr>
          <w:rFonts w:ascii="Book Antiqua" w:hAnsi="Book Antiqua"/>
          <w:color w:val="000000" w:themeColor="text1"/>
          <w:sz w:val="24"/>
          <w:szCs w:val="24"/>
          <w:vertAlign w:val="superscript"/>
          <w:lang w:val="en-US" w:eastAsia="zh-CN"/>
        </w:rPr>
        <w:t>[</w:t>
      </w:r>
      <w:proofErr w:type="gramEnd"/>
      <w:r w:rsidRPr="00E7615A">
        <w:rPr>
          <w:rFonts w:ascii="Book Antiqua" w:hAnsi="Book Antiqua"/>
          <w:color w:val="000000" w:themeColor="text1"/>
          <w:sz w:val="24"/>
          <w:szCs w:val="24"/>
          <w:vertAlign w:val="superscript"/>
          <w:lang w:val="en-US"/>
        </w:rPr>
        <w:t>81-83]</w:t>
      </w:r>
      <w:r w:rsidRPr="00E7615A">
        <w:rPr>
          <w:rFonts w:ascii="Book Antiqua" w:hAnsi="Book Antiqua"/>
          <w:color w:val="000000" w:themeColor="text1"/>
          <w:sz w:val="24"/>
          <w:szCs w:val="24"/>
          <w:lang w:val="en-US"/>
        </w:rPr>
        <w:t xml:space="preserve">. If this information and confirmation is missing or ceases, adult stem cells stop </w:t>
      </w:r>
      <w:proofErr w:type="gramStart"/>
      <w:r w:rsidRPr="00E7615A">
        <w:rPr>
          <w:rFonts w:ascii="Book Antiqua" w:hAnsi="Book Antiqua"/>
          <w:color w:val="000000" w:themeColor="text1"/>
          <w:sz w:val="24"/>
          <w:szCs w:val="24"/>
          <w:lang w:val="en-US"/>
        </w:rPr>
        <w:t>differentiating</w:t>
      </w:r>
      <w:r w:rsidRPr="00E7615A">
        <w:rPr>
          <w:rFonts w:ascii="Book Antiqua" w:hAnsi="Book Antiqua"/>
          <w:color w:val="000000" w:themeColor="text1"/>
          <w:sz w:val="24"/>
          <w:szCs w:val="24"/>
          <w:vertAlign w:val="superscript"/>
          <w:lang w:val="en-US"/>
        </w:rPr>
        <w:t>[</w:t>
      </w:r>
      <w:proofErr w:type="gramEnd"/>
      <w:r w:rsidRPr="00E7615A">
        <w:rPr>
          <w:rFonts w:ascii="Book Antiqua" w:hAnsi="Book Antiqua"/>
          <w:color w:val="000000" w:themeColor="text1"/>
          <w:sz w:val="24"/>
          <w:szCs w:val="24"/>
          <w:vertAlign w:val="superscript"/>
          <w:lang w:val="en-US"/>
        </w:rPr>
        <w:t>84,85]</w:t>
      </w:r>
      <w:r w:rsidRPr="00E7615A">
        <w:rPr>
          <w:rFonts w:ascii="Book Antiqua" w:hAnsi="Book Antiqua"/>
          <w:color w:val="000000" w:themeColor="text1"/>
          <w:sz w:val="24"/>
          <w:szCs w:val="24"/>
          <w:lang w:val="en-US"/>
        </w:rPr>
        <w:t>. In fact, only true stem cells are able to continue their expected differentiation pathway as supporte</w:t>
      </w:r>
      <w:r w:rsidR="00400EF4" w:rsidRPr="00E7615A">
        <w:rPr>
          <w:rFonts w:ascii="Book Antiqua" w:hAnsi="Book Antiqua"/>
          <w:color w:val="000000" w:themeColor="text1"/>
          <w:sz w:val="24"/>
          <w:szCs w:val="24"/>
          <w:lang w:val="en-US"/>
        </w:rPr>
        <w:t xml:space="preserve">d by the local </w:t>
      </w:r>
      <w:proofErr w:type="gramStart"/>
      <w:r w:rsidR="00400EF4" w:rsidRPr="00E7615A">
        <w:rPr>
          <w:rFonts w:ascii="Book Antiqua" w:hAnsi="Book Antiqua"/>
          <w:color w:val="000000" w:themeColor="text1"/>
          <w:sz w:val="24"/>
          <w:szCs w:val="24"/>
          <w:lang w:val="en-US"/>
        </w:rPr>
        <w:t>microenvironment</w:t>
      </w:r>
      <w:r w:rsidRPr="00E7615A">
        <w:rPr>
          <w:rFonts w:ascii="Book Antiqua" w:hAnsi="Book Antiqua"/>
          <w:color w:val="000000" w:themeColor="text1"/>
          <w:sz w:val="24"/>
          <w:szCs w:val="24"/>
          <w:vertAlign w:val="superscript"/>
          <w:lang w:val="en-US"/>
        </w:rPr>
        <w:t>[</w:t>
      </w:r>
      <w:proofErr w:type="gramEnd"/>
      <w:r w:rsidRPr="00E7615A">
        <w:rPr>
          <w:rFonts w:ascii="Book Antiqua" w:hAnsi="Book Antiqua"/>
          <w:color w:val="000000" w:themeColor="text1"/>
          <w:sz w:val="24"/>
          <w:szCs w:val="24"/>
          <w:vertAlign w:val="superscript"/>
          <w:lang w:val="en-US"/>
        </w:rPr>
        <w:t>86-88]</w:t>
      </w:r>
      <w:r w:rsidRPr="00E7615A">
        <w:rPr>
          <w:rFonts w:ascii="Book Antiqua" w:hAnsi="Book Antiqua"/>
          <w:color w:val="000000" w:themeColor="text1"/>
          <w:sz w:val="24"/>
          <w:szCs w:val="24"/>
          <w:lang w:val="en-US"/>
        </w:rPr>
        <w:t>. This is one of several reasons why adult stem cell the</w:t>
      </w:r>
      <w:r w:rsidR="00400EF4" w:rsidRPr="00E7615A">
        <w:rPr>
          <w:rFonts w:ascii="Book Antiqua" w:hAnsi="Book Antiqua"/>
          <w:color w:val="000000" w:themeColor="text1"/>
          <w:sz w:val="24"/>
          <w:szCs w:val="24"/>
          <w:lang w:val="en-US"/>
        </w:rPr>
        <w:t xml:space="preserve">rapy with UA-ARDCs is very </w:t>
      </w:r>
      <w:proofErr w:type="gramStart"/>
      <w:r w:rsidR="00400EF4" w:rsidRPr="00E7615A">
        <w:rPr>
          <w:rFonts w:ascii="Book Antiqua" w:hAnsi="Book Antiqua"/>
          <w:color w:val="000000" w:themeColor="text1"/>
          <w:sz w:val="24"/>
          <w:szCs w:val="24"/>
          <w:lang w:val="en-US"/>
        </w:rPr>
        <w:t>safe</w:t>
      </w:r>
      <w:r w:rsidR="003909C2" w:rsidRPr="00E7615A">
        <w:rPr>
          <w:rFonts w:ascii="Book Antiqua" w:hAnsi="Book Antiqua"/>
          <w:color w:val="000000" w:themeColor="text1"/>
          <w:sz w:val="24"/>
          <w:szCs w:val="24"/>
          <w:vertAlign w:val="superscript"/>
          <w:lang w:val="en-US" w:eastAsia="zh-CN"/>
        </w:rPr>
        <w:t>[</w:t>
      </w:r>
      <w:proofErr w:type="gramEnd"/>
      <w:r w:rsidRPr="00E7615A">
        <w:rPr>
          <w:rFonts w:ascii="Book Antiqua" w:hAnsi="Book Antiqua"/>
          <w:color w:val="000000" w:themeColor="text1"/>
          <w:sz w:val="24"/>
          <w:szCs w:val="24"/>
          <w:vertAlign w:val="superscript"/>
          <w:lang w:val="en-US"/>
        </w:rPr>
        <w:t>8</w:t>
      </w:r>
      <w:r w:rsidR="005E73C6" w:rsidRPr="00E7615A">
        <w:rPr>
          <w:rFonts w:ascii="Book Antiqua" w:hAnsi="Book Antiqua"/>
          <w:color w:val="000000" w:themeColor="text1"/>
          <w:sz w:val="24"/>
          <w:szCs w:val="24"/>
          <w:vertAlign w:val="superscript"/>
          <w:lang w:val="en-US"/>
        </w:rPr>
        <w:t>9</w:t>
      </w:r>
      <w:r w:rsidRPr="00E7615A">
        <w:rPr>
          <w:rFonts w:ascii="Book Antiqua" w:hAnsi="Book Antiqua"/>
          <w:color w:val="000000" w:themeColor="text1"/>
          <w:sz w:val="24"/>
          <w:szCs w:val="24"/>
          <w:vertAlign w:val="superscript"/>
          <w:lang w:val="en-US"/>
        </w:rPr>
        <w:t>-</w:t>
      </w:r>
      <w:r w:rsidR="005E73C6" w:rsidRPr="00E7615A">
        <w:rPr>
          <w:rFonts w:ascii="Book Antiqua" w:hAnsi="Book Antiqua"/>
          <w:color w:val="000000" w:themeColor="text1"/>
          <w:sz w:val="24"/>
          <w:szCs w:val="24"/>
          <w:vertAlign w:val="superscript"/>
          <w:lang w:val="en-US"/>
        </w:rPr>
        <w:t>91</w:t>
      </w:r>
      <w:r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In contrast, safety concerns have been raised regarding stem cell therapy with cultured adult stem cells since with higher passages an increased rate of potential malignant transformation may </w:t>
      </w:r>
      <w:proofErr w:type="gramStart"/>
      <w:r w:rsidRPr="00E7615A">
        <w:rPr>
          <w:rFonts w:ascii="Book Antiqua" w:hAnsi="Book Antiqua"/>
          <w:color w:val="000000" w:themeColor="text1"/>
          <w:sz w:val="24"/>
          <w:szCs w:val="24"/>
          <w:lang w:val="en-US"/>
        </w:rPr>
        <w:t>occur</w:t>
      </w:r>
      <w:r w:rsidRPr="00E7615A">
        <w:rPr>
          <w:rFonts w:ascii="Book Antiqua" w:hAnsi="Book Antiqua"/>
          <w:color w:val="000000" w:themeColor="text1"/>
          <w:sz w:val="24"/>
          <w:szCs w:val="24"/>
          <w:vertAlign w:val="superscript"/>
          <w:lang w:val="en-US"/>
        </w:rPr>
        <w:t>[</w:t>
      </w:r>
      <w:proofErr w:type="gramEnd"/>
      <w:r w:rsidRPr="00E7615A">
        <w:rPr>
          <w:rFonts w:ascii="Book Antiqua" w:hAnsi="Book Antiqua"/>
          <w:color w:val="000000" w:themeColor="text1"/>
          <w:sz w:val="24"/>
          <w:szCs w:val="24"/>
          <w:vertAlign w:val="superscript"/>
          <w:lang w:val="en-US"/>
        </w:rPr>
        <w:t>9</w:t>
      </w:r>
      <w:r w:rsidR="005E73C6" w:rsidRPr="00E7615A">
        <w:rPr>
          <w:rFonts w:ascii="Book Antiqua" w:hAnsi="Book Antiqua"/>
          <w:color w:val="000000" w:themeColor="text1"/>
          <w:sz w:val="24"/>
          <w:szCs w:val="24"/>
          <w:vertAlign w:val="superscript"/>
          <w:lang w:val="en-US"/>
        </w:rPr>
        <w:t>2</w:t>
      </w:r>
      <w:r w:rsidRPr="00E7615A">
        <w:rPr>
          <w:rFonts w:ascii="Book Antiqua" w:hAnsi="Book Antiqua"/>
          <w:color w:val="000000" w:themeColor="text1"/>
          <w:sz w:val="24"/>
          <w:szCs w:val="24"/>
          <w:vertAlign w:val="superscript"/>
          <w:lang w:val="en-US"/>
        </w:rPr>
        <w:t>-9</w:t>
      </w:r>
      <w:r w:rsidR="005E73C6" w:rsidRPr="00E7615A">
        <w:rPr>
          <w:rFonts w:ascii="Book Antiqua" w:hAnsi="Book Antiqua"/>
          <w:color w:val="000000" w:themeColor="text1"/>
          <w:sz w:val="24"/>
          <w:szCs w:val="24"/>
          <w:vertAlign w:val="superscript"/>
          <w:lang w:val="en-US"/>
        </w:rPr>
        <w:t>4</w:t>
      </w:r>
      <w:r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w:t>
      </w:r>
    </w:p>
    <w:bookmarkEnd w:id="172"/>
    <w:p w14:paraId="4004EA63" w14:textId="13F26D7C" w:rsidR="0022192F" w:rsidRPr="00E7615A" w:rsidRDefault="00976154"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A study on </w:t>
      </w:r>
      <w:r w:rsidR="0022192F" w:rsidRPr="00E7615A">
        <w:rPr>
          <w:rFonts w:ascii="Book Antiqua" w:hAnsi="Book Antiqua"/>
          <w:color w:val="000000" w:themeColor="text1"/>
          <w:sz w:val="24"/>
          <w:szCs w:val="24"/>
          <w:lang w:val="en-US"/>
        </w:rPr>
        <w:t xml:space="preserve">fresh, uncultured cells that were </w:t>
      </w:r>
      <w:r w:rsidRPr="00E7615A">
        <w:rPr>
          <w:rFonts w:ascii="Book Antiqua" w:hAnsi="Book Antiqua"/>
          <w:color w:val="000000" w:themeColor="text1"/>
          <w:sz w:val="24"/>
          <w:szCs w:val="24"/>
          <w:lang w:val="en-US"/>
        </w:rPr>
        <w:t>isolated from adipose tissue of pigs using the Transpose RT system and Matrase Reagent showed tha</w:t>
      </w:r>
      <w:r w:rsidR="00A231EF" w:rsidRPr="00E7615A">
        <w:rPr>
          <w:rFonts w:ascii="Book Antiqua" w:hAnsi="Book Antiqua"/>
          <w:color w:val="000000" w:themeColor="text1"/>
          <w:sz w:val="24"/>
          <w:szCs w:val="24"/>
          <w:lang w:val="en-US"/>
        </w:rPr>
        <w:t xml:space="preserve">t </w:t>
      </w:r>
      <w:r w:rsidR="00A37FD9" w:rsidRPr="00E7615A">
        <w:rPr>
          <w:rFonts w:ascii="Book Antiqua" w:hAnsi="Book Antiqua"/>
          <w:color w:val="000000" w:themeColor="text1"/>
          <w:sz w:val="24"/>
          <w:szCs w:val="24"/>
          <w:lang w:val="en-US"/>
        </w:rPr>
        <w:t xml:space="preserve">approximately 40% of cells </w:t>
      </w:r>
      <w:r w:rsidR="00A231EF" w:rsidRPr="00E7615A">
        <w:rPr>
          <w:rFonts w:ascii="Book Antiqua" w:hAnsi="Book Antiqua"/>
          <w:color w:val="000000" w:themeColor="text1"/>
          <w:sz w:val="24"/>
          <w:szCs w:val="24"/>
          <w:lang w:val="en-US"/>
        </w:rPr>
        <w:t>in the SVF were</w:t>
      </w:r>
      <w:r w:rsidR="00A37FD9" w:rsidRPr="00E7615A">
        <w:rPr>
          <w:rFonts w:ascii="Book Antiqua" w:hAnsi="Book Antiqua"/>
          <w:color w:val="000000" w:themeColor="text1"/>
          <w:sz w:val="24"/>
          <w:szCs w:val="24"/>
          <w:lang w:val="en-US"/>
        </w:rPr>
        <w:t xml:space="preserve"> immunopositive for CD29</w:t>
      </w:r>
      <w:r w:rsidR="00A231EF" w:rsidRPr="00E7615A">
        <w:rPr>
          <w:rFonts w:ascii="Book Antiqua" w:hAnsi="Book Antiqua"/>
          <w:color w:val="000000" w:themeColor="text1"/>
          <w:sz w:val="24"/>
          <w:szCs w:val="24"/>
          <w:lang w:val="en-US"/>
        </w:rPr>
        <w:t xml:space="preserve"> (thereafter: "CD29</w:t>
      </w:r>
      <w:r w:rsidR="00A231EF" w:rsidRPr="00E7615A">
        <w:rPr>
          <w:rFonts w:ascii="Book Antiqua" w:hAnsi="Book Antiqua"/>
          <w:color w:val="000000" w:themeColor="text1"/>
          <w:sz w:val="24"/>
          <w:szCs w:val="24"/>
          <w:vertAlign w:val="superscript"/>
          <w:lang w:val="en-US"/>
        </w:rPr>
        <w:t>+</w:t>
      </w:r>
      <w:r w:rsidR="00A231EF" w:rsidRPr="00E7615A">
        <w:rPr>
          <w:rFonts w:ascii="Book Antiqua" w:hAnsi="Book Antiqua"/>
          <w:color w:val="000000" w:themeColor="text1"/>
          <w:sz w:val="24"/>
          <w:szCs w:val="24"/>
          <w:lang w:val="en-US"/>
        </w:rPr>
        <w:t xml:space="preserve">") </w:t>
      </w:r>
      <w:r w:rsidR="00A37FD9" w:rsidRPr="00E7615A">
        <w:rPr>
          <w:rFonts w:ascii="Book Antiqua" w:hAnsi="Book Antiqua"/>
          <w:color w:val="000000" w:themeColor="text1"/>
          <w:sz w:val="24"/>
          <w:szCs w:val="24"/>
          <w:lang w:val="en-US"/>
        </w:rPr>
        <w:t>and CD44</w:t>
      </w:r>
      <w:r w:rsidR="00A231EF"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vertAlign w:val="superscript"/>
          <w:lang w:val="en-US"/>
        </w:rPr>
        <w:t>[</w:t>
      </w:r>
      <w:r w:rsidR="00A231EF" w:rsidRPr="00E7615A">
        <w:rPr>
          <w:rFonts w:ascii="Book Antiqua" w:hAnsi="Book Antiqua"/>
          <w:color w:val="000000" w:themeColor="text1"/>
          <w:sz w:val="24"/>
          <w:szCs w:val="24"/>
          <w:vertAlign w:val="superscript"/>
          <w:lang w:val="en-US"/>
        </w:rPr>
        <w:t>95</w:t>
      </w:r>
      <w:r w:rsidR="000C7523" w:rsidRPr="00E7615A">
        <w:rPr>
          <w:rFonts w:ascii="Book Antiqua" w:hAnsi="Book Antiqua"/>
          <w:color w:val="000000" w:themeColor="text1"/>
          <w:sz w:val="24"/>
          <w:szCs w:val="24"/>
          <w:vertAlign w:val="superscript"/>
          <w:lang w:val="en-US"/>
        </w:rPr>
        <w:t>]</w:t>
      </w:r>
      <w:r w:rsidR="00A37FD9" w:rsidRPr="00E7615A">
        <w:rPr>
          <w:rFonts w:ascii="Book Antiqua" w:hAnsi="Book Antiqua"/>
          <w:color w:val="000000" w:themeColor="text1"/>
          <w:sz w:val="24"/>
          <w:szCs w:val="24"/>
          <w:lang w:val="en-US"/>
        </w:rPr>
        <w:t xml:space="preserve">, which are </w:t>
      </w:r>
      <w:r w:rsidR="00A37FD9" w:rsidRPr="00E7615A">
        <w:rPr>
          <w:rFonts w:ascii="Book Antiqua" w:hAnsi="Book Antiqua"/>
          <w:color w:val="000000" w:themeColor="text1"/>
          <w:sz w:val="24"/>
          <w:szCs w:val="24"/>
          <w:lang w:val="en-US"/>
        </w:rPr>
        <w:lastRenderedPageBreak/>
        <w:t>markers of adipose tissue-derived stem cells</w:t>
      </w:r>
      <w:r w:rsidR="000C7523" w:rsidRPr="00E7615A">
        <w:rPr>
          <w:rFonts w:ascii="Book Antiqua" w:hAnsi="Book Antiqua"/>
          <w:color w:val="000000" w:themeColor="text1"/>
          <w:sz w:val="24"/>
          <w:szCs w:val="24"/>
          <w:vertAlign w:val="superscript"/>
          <w:lang w:val="en-US"/>
        </w:rPr>
        <w:t>[</w:t>
      </w:r>
      <w:r w:rsidR="00A231EF" w:rsidRPr="00E7615A">
        <w:rPr>
          <w:rFonts w:ascii="Book Antiqua" w:hAnsi="Book Antiqua"/>
          <w:color w:val="000000" w:themeColor="text1"/>
          <w:sz w:val="24"/>
          <w:szCs w:val="24"/>
          <w:vertAlign w:val="superscript"/>
          <w:lang w:val="en-US"/>
        </w:rPr>
        <w:t>50</w:t>
      </w:r>
      <w:r w:rsidR="00957E7A" w:rsidRPr="00E7615A">
        <w:rPr>
          <w:rFonts w:ascii="Book Antiqua" w:hAnsi="Book Antiqua"/>
          <w:color w:val="000000" w:themeColor="text1"/>
          <w:sz w:val="24"/>
          <w:szCs w:val="24"/>
          <w:vertAlign w:val="superscript"/>
          <w:lang w:val="en-US"/>
        </w:rPr>
        <w:t>,</w:t>
      </w:r>
      <w:r w:rsidR="00A231EF" w:rsidRPr="00E7615A">
        <w:rPr>
          <w:rFonts w:ascii="Book Antiqua" w:hAnsi="Book Antiqua"/>
          <w:color w:val="000000" w:themeColor="text1"/>
          <w:sz w:val="24"/>
          <w:szCs w:val="24"/>
          <w:vertAlign w:val="superscript"/>
          <w:lang w:val="en-US"/>
        </w:rPr>
        <w:t>96</w:t>
      </w:r>
      <w:r w:rsidR="000C7523" w:rsidRPr="00E7615A">
        <w:rPr>
          <w:rFonts w:ascii="Book Antiqua" w:hAnsi="Book Antiqua"/>
          <w:color w:val="000000" w:themeColor="text1"/>
          <w:sz w:val="24"/>
          <w:szCs w:val="24"/>
          <w:vertAlign w:val="superscript"/>
          <w:lang w:val="en-US"/>
        </w:rPr>
        <w:t>]</w:t>
      </w:r>
      <w:r w:rsidR="00A37FD9" w:rsidRPr="00E7615A">
        <w:rPr>
          <w:rFonts w:ascii="Book Antiqua" w:hAnsi="Book Antiqua"/>
          <w:color w:val="000000" w:themeColor="text1"/>
          <w:sz w:val="24"/>
          <w:szCs w:val="24"/>
          <w:lang w:val="en-US"/>
        </w:rPr>
        <w:t>.</w:t>
      </w:r>
      <w:r w:rsidR="00A231EF" w:rsidRPr="00E7615A">
        <w:rPr>
          <w:rFonts w:ascii="Book Antiqua" w:hAnsi="Book Antiqua"/>
          <w:color w:val="000000" w:themeColor="text1"/>
          <w:sz w:val="24"/>
          <w:szCs w:val="24"/>
          <w:lang w:val="en-US"/>
        </w:rPr>
        <w:t xml:space="preserve"> Furthermore, on average only 9% of the cells were CD45</w:t>
      </w:r>
      <w:r w:rsidR="00A231EF" w:rsidRPr="00E7615A">
        <w:rPr>
          <w:rFonts w:ascii="Book Antiqua" w:hAnsi="Book Antiqua"/>
          <w:color w:val="000000" w:themeColor="text1"/>
          <w:sz w:val="24"/>
          <w:szCs w:val="24"/>
          <w:vertAlign w:val="superscript"/>
          <w:lang w:val="en-US"/>
        </w:rPr>
        <w:t>+</w:t>
      </w:r>
      <w:r w:rsidR="00A231EF" w:rsidRPr="00E7615A">
        <w:rPr>
          <w:rFonts w:ascii="Book Antiqua" w:hAnsi="Book Antiqua"/>
          <w:color w:val="000000" w:themeColor="text1"/>
          <w:sz w:val="24"/>
          <w:szCs w:val="24"/>
          <w:lang w:val="en-US"/>
        </w:rPr>
        <w:t xml:space="preserve"> (a marker of blood derived </w:t>
      </w:r>
      <w:proofErr w:type="gramStart"/>
      <w:r w:rsidR="00A231EF" w:rsidRPr="00E7615A">
        <w:rPr>
          <w:rFonts w:ascii="Book Antiqua" w:hAnsi="Book Antiqua"/>
          <w:color w:val="000000" w:themeColor="text1"/>
          <w:sz w:val="24"/>
          <w:szCs w:val="24"/>
          <w:lang w:val="en-US"/>
        </w:rPr>
        <w:t>cells</w:t>
      </w:r>
      <w:r w:rsidR="00A231EF" w:rsidRPr="00E7615A">
        <w:rPr>
          <w:rFonts w:ascii="Book Antiqua" w:hAnsi="Book Antiqua"/>
          <w:color w:val="000000" w:themeColor="text1"/>
          <w:sz w:val="24"/>
          <w:szCs w:val="24"/>
          <w:vertAlign w:val="superscript"/>
          <w:lang w:val="en-US"/>
        </w:rPr>
        <w:t>[</w:t>
      </w:r>
      <w:proofErr w:type="gramEnd"/>
      <w:r w:rsidR="0022192F" w:rsidRPr="00E7615A">
        <w:rPr>
          <w:rFonts w:ascii="Book Antiqua" w:hAnsi="Book Antiqua"/>
          <w:color w:val="000000" w:themeColor="text1"/>
          <w:sz w:val="24"/>
          <w:szCs w:val="24"/>
          <w:vertAlign w:val="superscript"/>
          <w:lang w:val="en-US"/>
        </w:rPr>
        <w:t>50</w:t>
      </w:r>
      <w:r w:rsidR="00A231EF" w:rsidRPr="00E7615A">
        <w:rPr>
          <w:rFonts w:ascii="Book Antiqua" w:hAnsi="Book Antiqua"/>
          <w:color w:val="000000" w:themeColor="text1"/>
          <w:sz w:val="24"/>
          <w:szCs w:val="24"/>
          <w:vertAlign w:val="superscript"/>
          <w:lang w:val="en-US"/>
        </w:rPr>
        <w:t>]</w:t>
      </w:r>
      <w:r w:rsidR="00A231EF" w:rsidRPr="00E7615A">
        <w:rPr>
          <w:rFonts w:ascii="Book Antiqua" w:hAnsi="Book Antiqua"/>
          <w:color w:val="000000" w:themeColor="text1"/>
          <w:sz w:val="24"/>
          <w:szCs w:val="24"/>
          <w:lang w:val="en-US"/>
        </w:rPr>
        <w:t>), and on average only 11% of the cells were CD31</w:t>
      </w:r>
      <w:r w:rsidR="00A231EF" w:rsidRPr="00E7615A">
        <w:rPr>
          <w:rFonts w:ascii="Book Antiqua" w:hAnsi="Book Antiqua"/>
          <w:color w:val="000000" w:themeColor="text1"/>
          <w:sz w:val="24"/>
          <w:szCs w:val="24"/>
          <w:vertAlign w:val="superscript"/>
          <w:lang w:val="en-US"/>
        </w:rPr>
        <w:t>+</w:t>
      </w:r>
      <w:r w:rsidR="00A231EF" w:rsidRPr="00E7615A">
        <w:rPr>
          <w:rFonts w:ascii="Book Antiqua" w:hAnsi="Book Antiqua"/>
          <w:color w:val="000000" w:themeColor="text1"/>
          <w:sz w:val="24"/>
          <w:szCs w:val="24"/>
          <w:lang w:val="en-US"/>
        </w:rPr>
        <w:t xml:space="preserve"> (a marker of endothelial cells</w:t>
      </w:r>
      <w:r w:rsidR="00A231EF" w:rsidRPr="00E7615A">
        <w:rPr>
          <w:rFonts w:ascii="Book Antiqua" w:hAnsi="Book Antiqua"/>
          <w:color w:val="000000" w:themeColor="text1"/>
          <w:sz w:val="24"/>
          <w:szCs w:val="24"/>
          <w:vertAlign w:val="superscript"/>
          <w:lang w:val="en-US"/>
        </w:rPr>
        <w:t>[</w:t>
      </w:r>
      <w:r w:rsidR="0022192F" w:rsidRPr="00E7615A">
        <w:rPr>
          <w:rFonts w:ascii="Book Antiqua" w:hAnsi="Book Antiqua"/>
          <w:color w:val="000000" w:themeColor="text1"/>
          <w:sz w:val="24"/>
          <w:szCs w:val="24"/>
          <w:vertAlign w:val="superscript"/>
          <w:lang w:val="en-US"/>
        </w:rPr>
        <w:t>50</w:t>
      </w:r>
      <w:r w:rsidR="00A231EF" w:rsidRPr="00E7615A">
        <w:rPr>
          <w:rFonts w:ascii="Book Antiqua" w:hAnsi="Book Antiqua"/>
          <w:color w:val="000000" w:themeColor="text1"/>
          <w:sz w:val="24"/>
          <w:szCs w:val="24"/>
          <w:vertAlign w:val="superscript"/>
          <w:lang w:val="en-US"/>
        </w:rPr>
        <w:t>]</w:t>
      </w:r>
      <w:r w:rsidR="00A231EF" w:rsidRPr="00E7615A">
        <w:rPr>
          <w:rFonts w:ascii="Book Antiqua" w:hAnsi="Book Antiqua"/>
          <w:color w:val="000000" w:themeColor="text1"/>
          <w:sz w:val="24"/>
          <w:szCs w:val="24"/>
          <w:lang w:val="en-US"/>
        </w:rPr>
        <w:t>)</w:t>
      </w:r>
      <w:r w:rsidR="0022192F" w:rsidRPr="00E7615A">
        <w:rPr>
          <w:rFonts w:ascii="Book Antiqua" w:hAnsi="Book Antiqua"/>
          <w:color w:val="000000" w:themeColor="text1"/>
          <w:sz w:val="24"/>
          <w:szCs w:val="24"/>
          <w:lang w:val="en-US"/>
        </w:rPr>
        <w:t xml:space="preserve">. </w:t>
      </w:r>
      <w:r w:rsidR="00A231EF" w:rsidRPr="00E7615A">
        <w:rPr>
          <w:rFonts w:ascii="Book Antiqua" w:hAnsi="Book Antiqua"/>
          <w:color w:val="000000" w:themeColor="text1"/>
          <w:sz w:val="24"/>
          <w:szCs w:val="24"/>
          <w:lang w:val="en-US"/>
        </w:rPr>
        <w:t xml:space="preserve">Another study on </w:t>
      </w:r>
      <w:r w:rsidR="0022192F" w:rsidRPr="00E7615A">
        <w:rPr>
          <w:rFonts w:ascii="Book Antiqua" w:hAnsi="Book Antiqua"/>
          <w:color w:val="000000" w:themeColor="text1"/>
          <w:sz w:val="24"/>
          <w:szCs w:val="24"/>
          <w:lang w:val="en-US"/>
        </w:rPr>
        <w:t xml:space="preserve">fresh, uncultured </w:t>
      </w:r>
      <w:r w:rsidR="00A231EF" w:rsidRPr="00E7615A">
        <w:rPr>
          <w:rFonts w:ascii="Book Antiqua" w:hAnsi="Book Antiqua"/>
          <w:color w:val="000000" w:themeColor="text1"/>
          <w:sz w:val="24"/>
          <w:szCs w:val="24"/>
          <w:lang w:val="en-US"/>
        </w:rPr>
        <w:t xml:space="preserve">cells </w:t>
      </w:r>
      <w:r w:rsidR="0022192F" w:rsidRPr="00E7615A">
        <w:rPr>
          <w:rFonts w:ascii="Book Antiqua" w:hAnsi="Book Antiqua"/>
          <w:color w:val="000000" w:themeColor="text1"/>
          <w:sz w:val="24"/>
          <w:szCs w:val="24"/>
          <w:lang w:val="en-US"/>
        </w:rPr>
        <w:t xml:space="preserve">that were </w:t>
      </w:r>
      <w:r w:rsidR="00A231EF" w:rsidRPr="00E7615A">
        <w:rPr>
          <w:rFonts w:ascii="Book Antiqua" w:hAnsi="Book Antiqua"/>
          <w:color w:val="000000" w:themeColor="text1"/>
          <w:sz w:val="24"/>
          <w:szCs w:val="24"/>
          <w:lang w:val="en-US"/>
        </w:rPr>
        <w:t xml:space="preserve">isolated from adipose tissue of </w:t>
      </w:r>
      <w:r w:rsidR="0022192F" w:rsidRPr="00E7615A">
        <w:rPr>
          <w:rFonts w:ascii="Book Antiqua" w:hAnsi="Book Antiqua"/>
          <w:color w:val="000000" w:themeColor="text1"/>
          <w:sz w:val="24"/>
          <w:szCs w:val="24"/>
          <w:lang w:val="en-US"/>
        </w:rPr>
        <w:t xml:space="preserve">horses </w:t>
      </w:r>
      <w:r w:rsidR="00A231EF" w:rsidRPr="00E7615A">
        <w:rPr>
          <w:rFonts w:ascii="Book Antiqua" w:hAnsi="Book Antiqua"/>
          <w:color w:val="000000" w:themeColor="text1"/>
          <w:sz w:val="24"/>
          <w:szCs w:val="24"/>
          <w:lang w:val="en-US"/>
        </w:rPr>
        <w:t>using</w:t>
      </w:r>
      <w:r w:rsidR="0022192F" w:rsidRPr="00E7615A">
        <w:rPr>
          <w:rFonts w:ascii="Book Antiqua" w:hAnsi="Book Antiqua"/>
          <w:color w:val="000000" w:themeColor="text1"/>
          <w:sz w:val="24"/>
          <w:szCs w:val="24"/>
          <w:lang w:val="en-US"/>
        </w:rPr>
        <w:t xml:space="preserve"> a predecessor of the Transpose RT system (ARC system; InGeneron) and </w:t>
      </w:r>
      <w:r w:rsidR="00A231EF" w:rsidRPr="00E7615A">
        <w:rPr>
          <w:rFonts w:ascii="Book Antiqua" w:hAnsi="Book Antiqua"/>
          <w:color w:val="000000" w:themeColor="text1"/>
          <w:sz w:val="24"/>
          <w:szCs w:val="24"/>
          <w:lang w:val="en-US"/>
        </w:rPr>
        <w:t xml:space="preserve">Matrase Reagent </w:t>
      </w:r>
      <w:r w:rsidR="0022192F" w:rsidRPr="00E7615A">
        <w:rPr>
          <w:rFonts w:ascii="Book Antiqua" w:hAnsi="Book Antiqua"/>
          <w:color w:val="000000" w:themeColor="text1"/>
          <w:sz w:val="24"/>
          <w:szCs w:val="24"/>
          <w:lang w:val="en-US"/>
        </w:rPr>
        <w:t>found highest relative gene expression of osteocalcin (a gene associated with the osteogenic lineage</w:t>
      </w:r>
      <w:r w:rsidR="0087322A" w:rsidRPr="00E7615A">
        <w:rPr>
          <w:rFonts w:ascii="Book Antiqua" w:hAnsi="Book Antiqua"/>
          <w:color w:val="000000" w:themeColor="text1"/>
          <w:sz w:val="24"/>
          <w:szCs w:val="24"/>
          <w:vertAlign w:val="superscript"/>
          <w:lang w:val="en-US"/>
        </w:rPr>
        <w:t>[97]</w:t>
      </w:r>
      <w:r w:rsidR="0087322A" w:rsidRPr="00E7615A">
        <w:rPr>
          <w:rFonts w:ascii="Book Antiqua" w:hAnsi="Book Antiqua"/>
          <w:color w:val="000000" w:themeColor="text1"/>
          <w:sz w:val="24"/>
          <w:szCs w:val="24"/>
          <w:lang w:val="en-US"/>
        </w:rPr>
        <w:t xml:space="preserve">) when investigating these cells for the </w:t>
      </w:r>
      <w:r w:rsidR="0022192F" w:rsidRPr="00E7615A">
        <w:rPr>
          <w:rFonts w:ascii="Book Antiqua" w:hAnsi="Book Antiqua"/>
          <w:color w:val="000000" w:themeColor="text1"/>
          <w:sz w:val="24"/>
          <w:szCs w:val="24"/>
          <w:lang w:val="en-US"/>
        </w:rPr>
        <w:t>relative gene expression of CD44, CD73,</w:t>
      </w:r>
      <w:r w:rsidR="0087322A" w:rsidRPr="00E7615A">
        <w:rPr>
          <w:rFonts w:ascii="Book Antiqua" w:hAnsi="Book Antiqua"/>
          <w:color w:val="000000" w:themeColor="text1"/>
          <w:sz w:val="24"/>
          <w:szCs w:val="24"/>
          <w:lang w:val="en-US"/>
        </w:rPr>
        <w:t xml:space="preserve"> </w:t>
      </w:r>
      <w:r w:rsidR="0022192F" w:rsidRPr="00E7615A">
        <w:rPr>
          <w:rFonts w:ascii="Book Antiqua" w:hAnsi="Book Antiqua"/>
          <w:color w:val="000000" w:themeColor="text1"/>
          <w:sz w:val="24"/>
          <w:szCs w:val="24"/>
          <w:lang w:val="en-US"/>
        </w:rPr>
        <w:t>CD90, CD105, CD146</w:t>
      </w:r>
      <w:r w:rsidR="009456F9" w:rsidRPr="00E7615A">
        <w:rPr>
          <w:rFonts w:ascii="Book Antiqua" w:hAnsi="Book Antiqua"/>
          <w:color w:val="000000" w:themeColor="text1"/>
          <w:sz w:val="24"/>
          <w:szCs w:val="24"/>
          <w:lang w:val="en-US"/>
        </w:rPr>
        <w:t xml:space="preserve"> and </w:t>
      </w:r>
      <w:r w:rsidR="0022192F" w:rsidRPr="00E7615A">
        <w:rPr>
          <w:rFonts w:ascii="Book Antiqua" w:hAnsi="Book Antiqua"/>
          <w:color w:val="000000" w:themeColor="text1"/>
          <w:sz w:val="24"/>
          <w:szCs w:val="24"/>
          <w:lang w:val="en-US"/>
        </w:rPr>
        <w:t>CD166</w:t>
      </w:r>
      <w:r w:rsidR="009456F9" w:rsidRPr="00E7615A">
        <w:rPr>
          <w:rFonts w:ascii="Book Antiqua" w:hAnsi="Book Antiqua"/>
          <w:color w:val="000000" w:themeColor="text1"/>
          <w:sz w:val="24"/>
          <w:szCs w:val="24"/>
          <w:lang w:val="en-US"/>
        </w:rPr>
        <w:t xml:space="preserve"> (MSC surface markers)</w:t>
      </w:r>
      <w:r w:rsidR="0022192F" w:rsidRPr="00E7615A">
        <w:rPr>
          <w:rFonts w:ascii="Book Antiqua" w:hAnsi="Book Antiqua"/>
          <w:color w:val="000000" w:themeColor="text1"/>
          <w:sz w:val="24"/>
          <w:szCs w:val="24"/>
          <w:lang w:val="en-US"/>
        </w:rPr>
        <w:t>, CD34 and</w:t>
      </w:r>
      <w:r w:rsidR="0087322A" w:rsidRPr="00E7615A">
        <w:rPr>
          <w:rFonts w:ascii="Book Antiqua" w:hAnsi="Book Antiqua"/>
          <w:color w:val="000000" w:themeColor="text1"/>
          <w:sz w:val="24"/>
          <w:szCs w:val="24"/>
          <w:lang w:val="en-US"/>
        </w:rPr>
        <w:t xml:space="preserve"> </w:t>
      </w:r>
      <w:r w:rsidR="0022192F" w:rsidRPr="00E7615A">
        <w:rPr>
          <w:rFonts w:ascii="Book Antiqua" w:hAnsi="Book Antiqua"/>
          <w:color w:val="000000" w:themeColor="text1"/>
          <w:sz w:val="24"/>
          <w:szCs w:val="24"/>
          <w:lang w:val="en-US"/>
        </w:rPr>
        <w:t>CD45</w:t>
      </w:r>
      <w:r w:rsidR="009456F9" w:rsidRPr="00E7615A">
        <w:rPr>
          <w:rFonts w:ascii="Book Antiqua" w:hAnsi="Book Antiqua"/>
          <w:color w:val="000000" w:themeColor="text1"/>
          <w:sz w:val="24"/>
          <w:szCs w:val="24"/>
          <w:lang w:val="en-US"/>
        </w:rPr>
        <w:t xml:space="preserve"> (hematopoietic markers)</w:t>
      </w:r>
      <w:r w:rsidR="0022192F" w:rsidRPr="00E7615A">
        <w:rPr>
          <w:rFonts w:ascii="Book Antiqua" w:hAnsi="Book Antiqua"/>
          <w:color w:val="000000" w:themeColor="text1"/>
          <w:sz w:val="24"/>
          <w:szCs w:val="24"/>
          <w:lang w:val="en-US"/>
        </w:rPr>
        <w:t>, CD31</w:t>
      </w:r>
      <w:r w:rsidR="009456F9" w:rsidRPr="00E7615A">
        <w:rPr>
          <w:rFonts w:ascii="Book Antiqua" w:hAnsi="Book Antiqua"/>
          <w:color w:val="000000" w:themeColor="text1"/>
          <w:sz w:val="24"/>
          <w:szCs w:val="24"/>
          <w:lang w:val="en-US"/>
        </w:rPr>
        <w:t xml:space="preserve"> (endothelial cell marker), </w:t>
      </w:r>
      <w:r w:rsidR="0087322A" w:rsidRPr="00E7615A">
        <w:rPr>
          <w:rFonts w:ascii="Book Antiqua" w:hAnsi="Book Antiqua"/>
          <w:color w:val="000000" w:themeColor="text1"/>
          <w:sz w:val="24"/>
          <w:szCs w:val="24"/>
          <w:lang w:val="en-US"/>
        </w:rPr>
        <w:t xml:space="preserve">type-1 collagen, PPARG2 (a gene </w:t>
      </w:r>
      <w:r w:rsidR="0022192F" w:rsidRPr="00E7615A">
        <w:rPr>
          <w:rFonts w:ascii="Book Antiqua" w:hAnsi="Book Antiqua"/>
          <w:color w:val="000000" w:themeColor="text1"/>
          <w:sz w:val="24"/>
          <w:szCs w:val="24"/>
          <w:lang w:val="en-US"/>
        </w:rPr>
        <w:t>associated</w:t>
      </w:r>
      <w:r w:rsidR="0087322A" w:rsidRPr="00E7615A">
        <w:rPr>
          <w:rFonts w:ascii="Book Antiqua" w:hAnsi="Book Antiqua"/>
          <w:color w:val="000000" w:themeColor="text1"/>
          <w:sz w:val="24"/>
          <w:szCs w:val="24"/>
          <w:lang w:val="en-US"/>
        </w:rPr>
        <w:t xml:space="preserve"> with the </w:t>
      </w:r>
      <w:r w:rsidR="0022192F" w:rsidRPr="00E7615A">
        <w:rPr>
          <w:rFonts w:ascii="Book Antiqua" w:hAnsi="Book Antiqua"/>
          <w:color w:val="000000" w:themeColor="text1"/>
          <w:sz w:val="24"/>
          <w:szCs w:val="24"/>
          <w:lang w:val="en-US"/>
        </w:rPr>
        <w:t>adipogenic</w:t>
      </w:r>
      <w:r w:rsidR="0087322A" w:rsidRPr="00E7615A">
        <w:rPr>
          <w:rFonts w:ascii="Book Antiqua" w:hAnsi="Book Antiqua"/>
          <w:color w:val="000000" w:themeColor="text1"/>
          <w:sz w:val="24"/>
          <w:szCs w:val="24"/>
          <w:lang w:val="en-US"/>
        </w:rPr>
        <w:t xml:space="preserve"> lineage) and osteocalcin</w:t>
      </w:r>
      <w:r w:rsidR="0087322A" w:rsidRPr="00E7615A">
        <w:rPr>
          <w:rFonts w:ascii="Book Antiqua" w:hAnsi="Book Antiqua"/>
          <w:color w:val="000000" w:themeColor="text1"/>
          <w:sz w:val="24"/>
          <w:szCs w:val="24"/>
          <w:vertAlign w:val="superscript"/>
          <w:lang w:val="en-US"/>
        </w:rPr>
        <w:t>[98]</w:t>
      </w:r>
      <w:r w:rsidR="0087322A" w:rsidRPr="00E7615A">
        <w:rPr>
          <w:rFonts w:ascii="Book Antiqua" w:hAnsi="Book Antiqua"/>
          <w:color w:val="000000" w:themeColor="text1"/>
          <w:sz w:val="24"/>
          <w:szCs w:val="24"/>
          <w:lang w:val="en-US"/>
        </w:rPr>
        <w:t xml:space="preserve">. </w:t>
      </w:r>
    </w:p>
    <w:p w14:paraId="3F6C6A83" w14:textId="349854BF" w:rsidR="0087322A" w:rsidRPr="00E7615A" w:rsidRDefault="0087322A"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Collectively, these data underline the osteogenic potential of the UA-ADRCs used in the present study. </w:t>
      </w:r>
    </w:p>
    <w:bookmarkEnd w:id="171"/>
    <w:p w14:paraId="5A0C1351" w14:textId="200D5F6D"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We used PRGF</w:t>
      </w:r>
      <w:r w:rsidR="00221692" w:rsidRPr="00E7615A">
        <w:rPr>
          <w:rFonts w:ascii="Book Antiqua" w:hAnsi="Book Antiqua"/>
          <w:color w:val="000000" w:themeColor="text1"/>
          <w:sz w:val="24"/>
          <w:szCs w:val="24"/>
          <w:lang w:val="en-US"/>
        </w:rPr>
        <w:t xml:space="preserve">-2 </w:t>
      </w:r>
      <w:r w:rsidRPr="00E7615A">
        <w:rPr>
          <w:rFonts w:ascii="Book Antiqua" w:hAnsi="Book Antiqua"/>
          <w:color w:val="000000" w:themeColor="text1"/>
          <w:sz w:val="24"/>
          <w:szCs w:val="24"/>
          <w:lang w:val="en-US"/>
        </w:rPr>
        <w:t xml:space="preserve">rather than PRP because our clinical experience is in line with data from a recent experimental study on rats which showed that PRGF-2 has more availability for bone regeneration than </w:t>
      </w:r>
      <w:proofErr w:type="gramStart"/>
      <w:r w:rsidRPr="00E7615A">
        <w:rPr>
          <w:rFonts w:ascii="Book Antiqua" w:hAnsi="Book Antiqua"/>
          <w:color w:val="000000" w:themeColor="text1"/>
          <w:sz w:val="24"/>
          <w:szCs w:val="24"/>
          <w:lang w:val="en-US"/>
        </w:rPr>
        <w:t>PRP</w:t>
      </w:r>
      <w:r w:rsidR="000C7523" w:rsidRPr="00E7615A">
        <w:rPr>
          <w:rFonts w:ascii="Book Antiqua" w:hAnsi="Book Antiqua"/>
          <w:color w:val="000000" w:themeColor="text1"/>
          <w:sz w:val="24"/>
          <w:szCs w:val="24"/>
          <w:vertAlign w:val="superscript"/>
          <w:lang w:val="en-US"/>
        </w:rPr>
        <w:t>[</w:t>
      </w:r>
      <w:proofErr w:type="gramEnd"/>
      <w:r w:rsidR="00221692" w:rsidRPr="00E7615A">
        <w:rPr>
          <w:rFonts w:ascii="Book Antiqua" w:hAnsi="Book Antiqua"/>
          <w:color w:val="000000" w:themeColor="text1"/>
          <w:sz w:val="24"/>
          <w:szCs w:val="24"/>
          <w:vertAlign w:val="superscript"/>
          <w:lang w:val="en-US"/>
        </w:rPr>
        <w:t>34</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004E369D" w:rsidRPr="00E7615A">
        <w:rPr>
          <w:rFonts w:ascii="Book Antiqua" w:hAnsi="Book Antiqua"/>
          <w:color w:val="000000" w:themeColor="text1"/>
          <w:sz w:val="24"/>
          <w:szCs w:val="24"/>
          <w:lang w:val="en-US"/>
        </w:rPr>
        <w:t xml:space="preserve"> </w:t>
      </w:r>
      <w:bookmarkStart w:id="173" w:name="_Hlk531336798"/>
      <w:r w:rsidR="004E369D" w:rsidRPr="00E7615A">
        <w:rPr>
          <w:rFonts w:ascii="Book Antiqua" w:hAnsi="Book Antiqua"/>
          <w:color w:val="000000" w:themeColor="text1"/>
          <w:sz w:val="24"/>
          <w:szCs w:val="24"/>
          <w:lang w:val="en-US"/>
        </w:rPr>
        <w:t>The content of PRGF-2 prepared using the PRGF-Endoret technology</w:t>
      </w:r>
      <w:r w:rsidR="00221692" w:rsidRPr="00E7615A">
        <w:rPr>
          <w:rFonts w:ascii="Book Antiqua" w:hAnsi="Book Antiqua"/>
          <w:color w:val="000000" w:themeColor="text1"/>
          <w:sz w:val="24"/>
          <w:szCs w:val="24"/>
          <w:lang w:val="en-US"/>
        </w:rPr>
        <w:t xml:space="preserve"> (</w:t>
      </w:r>
      <w:r w:rsidR="004E369D" w:rsidRPr="00E7615A">
        <w:rPr>
          <w:rFonts w:ascii="Book Antiqua" w:hAnsi="Book Antiqua"/>
          <w:color w:val="000000" w:themeColor="text1"/>
          <w:sz w:val="24"/>
          <w:szCs w:val="24"/>
          <w:lang w:val="en-US"/>
        </w:rPr>
        <w:t>BTI) was investigated in several studies in the literature</w:t>
      </w:r>
      <w:r w:rsidR="00D203BF" w:rsidRPr="00E7615A">
        <w:rPr>
          <w:rFonts w:ascii="Book Antiqua" w:hAnsi="Book Antiqua"/>
          <w:color w:val="000000" w:themeColor="text1"/>
          <w:sz w:val="24"/>
          <w:szCs w:val="24"/>
          <w:lang w:val="en-US"/>
        </w:rPr>
        <w:t xml:space="preserve">. </w:t>
      </w:r>
      <w:r w:rsidR="00221692" w:rsidRPr="00E7615A">
        <w:rPr>
          <w:rFonts w:ascii="Book Antiqua" w:hAnsi="Book Antiqua"/>
          <w:color w:val="000000" w:themeColor="text1"/>
          <w:sz w:val="24"/>
          <w:szCs w:val="24"/>
          <w:lang w:val="en-US"/>
        </w:rPr>
        <w:t xml:space="preserve">Most relevant to </w:t>
      </w:r>
      <w:r w:rsidR="00D203BF" w:rsidRPr="00E7615A">
        <w:rPr>
          <w:rFonts w:ascii="Book Antiqua" w:hAnsi="Book Antiqua"/>
          <w:color w:val="000000" w:themeColor="text1"/>
          <w:sz w:val="24"/>
          <w:szCs w:val="24"/>
          <w:lang w:val="en-US"/>
        </w:rPr>
        <w:t>the results of the present study was the demontration of high amounts of growth factors in PRGF-2</w:t>
      </w:r>
      <w:r w:rsidR="00D203BF" w:rsidRPr="00E7615A">
        <w:rPr>
          <w:rFonts w:ascii="Book Antiqua" w:hAnsi="Book Antiqua"/>
          <w:color w:val="000000" w:themeColor="text1"/>
          <w:sz w:val="24"/>
          <w:szCs w:val="24"/>
          <w:vertAlign w:val="superscript"/>
          <w:lang w:val="en-US"/>
        </w:rPr>
        <w:t>[98]</w:t>
      </w:r>
      <w:r w:rsidR="00D203BF" w:rsidRPr="00E7615A">
        <w:rPr>
          <w:rFonts w:ascii="Book Antiqua" w:hAnsi="Book Antiqua"/>
          <w:color w:val="000000" w:themeColor="text1"/>
          <w:sz w:val="24"/>
          <w:szCs w:val="24"/>
          <w:lang w:val="en-US"/>
        </w:rPr>
        <w:t xml:space="preserve">, </w:t>
      </w:r>
      <w:r w:rsidR="00E7615A" w:rsidRPr="00E7615A">
        <w:rPr>
          <w:rFonts w:ascii="Book Antiqua" w:hAnsi="Book Antiqua"/>
          <w:i/>
          <w:color w:val="000000" w:themeColor="text1"/>
          <w:sz w:val="24"/>
          <w:szCs w:val="24"/>
          <w:lang w:val="en-US"/>
        </w:rPr>
        <w:t>i.e.</w:t>
      </w:r>
      <w:r w:rsidR="007A11D9">
        <w:rPr>
          <w:rFonts w:ascii="Book Antiqua" w:hAnsi="Book Antiqua"/>
          <w:color w:val="000000" w:themeColor="text1"/>
          <w:sz w:val="24"/>
          <w:szCs w:val="24"/>
          <w:lang w:val="en-US"/>
        </w:rPr>
        <w:t xml:space="preserve"> on average approximately 14</w:t>
      </w:r>
      <w:r w:rsidR="00D203BF" w:rsidRPr="00E7615A">
        <w:rPr>
          <w:rFonts w:ascii="Book Antiqua" w:hAnsi="Book Antiqua"/>
          <w:color w:val="000000" w:themeColor="text1"/>
          <w:sz w:val="24"/>
          <w:szCs w:val="24"/>
          <w:lang w:val="en-US"/>
        </w:rPr>
        <w:t>000 pg/m</w:t>
      </w:r>
      <w:r w:rsidR="00D203BF" w:rsidRPr="007A11D9">
        <w:rPr>
          <w:rFonts w:ascii="Book Antiqua" w:hAnsi="Book Antiqua"/>
          <w:caps/>
          <w:color w:val="000000" w:themeColor="text1"/>
          <w:sz w:val="24"/>
          <w:szCs w:val="24"/>
          <w:lang w:val="en-US"/>
        </w:rPr>
        <w:t>l</w:t>
      </w:r>
      <w:r w:rsidR="00D203BF" w:rsidRPr="00E7615A">
        <w:rPr>
          <w:rFonts w:ascii="Book Antiqua" w:hAnsi="Book Antiqua"/>
          <w:color w:val="000000" w:themeColor="text1"/>
          <w:sz w:val="24"/>
          <w:szCs w:val="24"/>
          <w:lang w:val="en-US"/>
        </w:rPr>
        <w:t xml:space="preserve"> </w:t>
      </w:r>
      <w:r w:rsidR="00C628E4" w:rsidRPr="00E7615A">
        <w:rPr>
          <w:rFonts w:ascii="Book Antiqua" w:hAnsi="Book Antiqua"/>
          <w:color w:val="000000" w:themeColor="text1"/>
          <w:sz w:val="24"/>
          <w:szCs w:val="24"/>
          <w:lang w:val="en-US"/>
        </w:rPr>
        <w:t>platelet derived growth factor AB (</w:t>
      </w:r>
      <w:r w:rsidR="00D203BF" w:rsidRPr="00E7615A">
        <w:rPr>
          <w:rFonts w:ascii="Book Antiqua" w:hAnsi="Book Antiqua"/>
          <w:color w:val="000000" w:themeColor="text1"/>
          <w:sz w:val="24"/>
          <w:szCs w:val="24"/>
          <w:lang w:val="en-US"/>
        </w:rPr>
        <w:t>PDGF-AB</w:t>
      </w:r>
      <w:r w:rsidR="00C628E4" w:rsidRPr="00E7615A">
        <w:rPr>
          <w:rFonts w:ascii="Book Antiqua" w:hAnsi="Book Antiqua"/>
          <w:color w:val="000000" w:themeColor="text1"/>
          <w:sz w:val="24"/>
          <w:szCs w:val="24"/>
          <w:lang w:val="en-US"/>
        </w:rPr>
        <w:t>)</w:t>
      </w:r>
      <w:r w:rsidR="007A11D9">
        <w:rPr>
          <w:rFonts w:ascii="Book Antiqua" w:hAnsi="Book Antiqua"/>
          <w:color w:val="000000" w:themeColor="text1"/>
          <w:sz w:val="24"/>
          <w:szCs w:val="24"/>
          <w:lang w:val="en-US"/>
        </w:rPr>
        <w:t>, 46</w:t>
      </w:r>
      <w:r w:rsidR="00D203BF" w:rsidRPr="00E7615A">
        <w:rPr>
          <w:rFonts w:ascii="Book Antiqua" w:hAnsi="Book Antiqua"/>
          <w:color w:val="000000" w:themeColor="text1"/>
          <w:sz w:val="24"/>
          <w:szCs w:val="24"/>
          <w:lang w:val="en-US"/>
        </w:rPr>
        <w:t>000 pg/m</w:t>
      </w:r>
      <w:r w:rsidR="00D203BF" w:rsidRPr="00E7615A">
        <w:rPr>
          <w:rFonts w:ascii="Book Antiqua" w:hAnsi="Book Antiqua"/>
          <w:caps/>
          <w:color w:val="000000" w:themeColor="text1"/>
          <w:sz w:val="24"/>
          <w:szCs w:val="24"/>
          <w:lang w:val="en-US"/>
        </w:rPr>
        <w:t>l</w:t>
      </w:r>
      <w:r w:rsidR="00D203BF" w:rsidRPr="00E7615A">
        <w:rPr>
          <w:rFonts w:ascii="Book Antiqua" w:hAnsi="Book Antiqua"/>
          <w:color w:val="000000" w:themeColor="text1"/>
          <w:sz w:val="24"/>
          <w:szCs w:val="24"/>
          <w:lang w:val="en-US"/>
        </w:rPr>
        <w:t xml:space="preserve"> TGF-β1, 220 pg/m</w:t>
      </w:r>
      <w:r w:rsidR="00D203BF" w:rsidRPr="007A11D9">
        <w:rPr>
          <w:rFonts w:ascii="Book Antiqua" w:hAnsi="Book Antiqua"/>
          <w:caps/>
          <w:color w:val="000000" w:themeColor="text1"/>
          <w:sz w:val="24"/>
          <w:szCs w:val="24"/>
          <w:lang w:val="en-US"/>
        </w:rPr>
        <w:t>l</w:t>
      </w:r>
      <w:r w:rsidR="00D203BF" w:rsidRPr="00E7615A">
        <w:rPr>
          <w:rFonts w:ascii="Book Antiqua" w:hAnsi="Book Antiqua"/>
          <w:color w:val="000000" w:themeColor="text1"/>
          <w:sz w:val="24"/>
          <w:szCs w:val="24"/>
          <w:lang w:val="en-US"/>
        </w:rPr>
        <w:t xml:space="preserve"> VEGF, 400 pg/m</w:t>
      </w:r>
      <w:r w:rsidR="00D203BF" w:rsidRPr="007A11D9">
        <w:rPr>
          <w:rFonts w:ascii="Book Antiqua" w:hAnsi="Book Antiqua"/>
          <w:caps/>
          <w:color w:val="000000" w:themeColor="text1"/>
          <w:sz w:val="24"/>
          <w:szCs w:val="24"/>
          <w:lang w:val="en-US"/>
        </w:rPr>
        <w:t>l</w:t>
      </w:r>
      <w:r w:rsidR="00D203BF" w:rsidRPr="00E7615A">
        <w:rPr>
          <w:rFonts w:ascii="Book Antiqua" w:hAnsi="Book Antiqua"/>
          <w:color w:val="000000" w:themeColor="text1"/>
          <w:sz w:val="24"/>
          <w:szCs w:val="24"/>
          <w:lang w:val="en-US"/>
        </w:rPr>
        <w:t xml:space="preserve"> hep</w:t>
      </w:r>
      <w:r w:rsidR="007A11D9">
        <w:rPr>
          <w:rFonts w:ascii="Book Antiqua" w:hAnsi="Book Antiqua"/>
          <w:color w:val="000000" w:themeColor="text1"/>
          <w:sz w:val="24"/>
          <w:szCs w:val="24"/>
          <w:lang w:val="en-US"/>
        </w:rPr>
        <w:t>atocyte growth factor (HGF), 83</w:t>
      </w:r>
      <w:r w:rsidR="00D203BF" w:rsidRPr="00E7615A">
        <w:rPr>
          <w:rFonts w:ascii="Book Antiqua" w:hAnsi="Book Antiqua"/>
          <w:color w:val="000000" w:themeColor="text1"/>
          <w:sz w:val="24"/>
          <w:szCs w:val="24"/>
          <w:lang w:val="en-US"/>
        </w:rPr>
        <w:t>000 pg/m</w:t>
      </w:r>
      <w:r w:rsidR="00D203BF" w:rsidRPr="007A11D9">
        <w:rPr>
          <w:rFonts w:ascii="Book Antiqua" w:hAnsi="Book Antiqua"/>
          <w:caps/>
          <w:color w:val="000000" w:themeColor="text1"/>
          <w:sz w:val="24"/>
          <w:szCs w:val="24"/>
          <w:lang w:val="en-US"/>
        </w:rPr>
        <w:t>l</w:t>
      </w:r>
      <w:r w:rsidR="00D203BF" w:rsidRPr="00E7615A">
        <w:rPr>
          <w:rFonts w:ascii="Book Antiqua" w:hAnsi="Book Antiqua"/>
          <w:color w:val="000000" w:themeColor="text1"/>
          <w:sz w:val="24"/>
          <w:szCs w:val="24"/>
          <w:lang w:val="en-US"/>
        </w:rPr>
        <w:t xml:space="preserve"> IGF-I</w:t>
      </w:r>
      <w:r w:rsidR="009456F9" w:rsidRPr="00E7615A">
        <w:rPr>
          <w:rFonts w:ascii="Book Antiqua" w:hAnsi="Book Antiqua"/>
          <w:color w:val="000000" w:themeColor="text1"/>
          <w:sz w:val="24"/>
          <w:szCs w:val="24"/>
          <w:lang w:val="en-US"/>
        </w:rPr>
        <w:t xml:space="preserve"> </w:t>
      </w:r>
      <w:r w:rsidR="00D203BF" w:rsidRPr="00E7615A">
        <w:rPr>
          <w:rFonts w:ascii="Book Antiqua" w:hAnsi="Book Antiqua"/>
          <w:color w:val="000000" w:themeColor="text1"/>
          <w:sz w:val="24"/>
          <w:szCs w:val="24"/>
          <w:lang w:val="en-US"/>
        </w:rPr>
        <w:t>and 600 pg/m</w:t>
      </w:r>
      <w:r w:rsidR="00D203BF" w:rsidRPr="007A11D9">
        <w:rPr>
          <w:rFonts w:ascii="Book Antiqua" w:hAnsi="Book Antiqua"/>
          <w:caps/>
          <w:color w:val="000000" w:themeColor="text1"/>
          <w:sz w:val="24"/>
          <w:szCs w:val="24"/>
          <w:lang w:val="en-US"/>
        </w:rPr>
        <w:t>l</w:t>
      </w:r>
      <w:r w:rsidR="00D203BF" w:rsidRPr="00E7615A">
        <w:rPr>
          <w:rFonts w:ascii="Book Antiqua" w:hAnsi="Book Antiqua"/>
          <w:color w:val="000000" w:themeColor="text1"/>
          <w:sz w:val="24"/>
          <w:szCs w:val="24"/>
          <w:lang w:val="en-US"/>
        </w:rPr>
        <w:t xml:space="preserve"> endothelial growth factor (EGF) (note that </w:t>
      </w:r>
      <w:r w:rsidR="00C628E4" w:rsidRPr="00E7615A">
        <w:rPr>
          <w:rFonts w:ascii="Book Antiqua" w:hAnsi="Book Antiqua"/>
          <w:color w:val="000000" w:themeColor="text1"/>
          <w:sz w:val="24"/>
          <w:szCs w:val="24"/>
          <w:lang w:val="en-US"/>
        </w:rPr>
        <w:t>what was named "PRGF F3" in</w:t>
      </w:r>
      <w:r w:rsidR="00C628E4" w:rsidRPr="00E7615A">
        <w:rPr>
          <w:rFonts w:ascii="Book Antiqua" w:hAnsi="Book Antiqua"/>
          <w:color w:val="000000" w:themeColor="text1"/>
          <w:sz w:val="24"/>
          <w:szCs w:val="24"/>
          <w:vertAlign w:val="superscript"/>
          <w:lang w:val="en-US"/>
        </w:rPr>
        <w:t>[98]</w:t>
      </w:r>
      <w:r w:rsidR="00C628E4" w:rsidRPr="00E7615A">
        <w:rPr>
          <w:rFonts w:ascii="Book Antiqua" w:hAnsi="Book Antiqua"/>
          <w:color w:val="000000" w:themeColor="text1"/>
          <w:sz w:val="24"/>
          <w:szCs w:val="24"/>
          <w:lang w:val="en-US"/>
        </w:rPr>
        <w:t xml:space="preserve"> is nowadays named "Fraction 2 of PRGF" according to BTI, and the latter terminology was used in the present study</w:t>
      </w:r>
      <w:r w:rsidR="00D203BF" w:rsidRPr="00E7615A">
        <w:rPr>
          <w:rFonts w:ascii="Book Antiqua" w:hAnsi="Book Antiqua"/>
          <w:color w:val="000000" w:themeColor="text1"/>
          <w:sz w:val="24"/>
          <w:szCs w:val="24"/>
          <w:lang w:val="en-US"/>
        </w:rPr>
        <w:t>).</w:t>
      </w:r>
      <w:r w:rsidR="00C628E4" w:rsidRPr="00E7615A">
        <w:rPr>
          <w:rFonts w:ascii="Book Antiqua" w:hAnsi="Book Antiqua"/>
          <w:color w:val="000000" w:themeColor="text1"/>
          <w:sz w:val="24"/>
          <w:szCs w:val="24"/>
          <w:lang w:val="en-US"/>
        </w:rPr>
        <w:t xml:space="preserve"> </w:t>
      </w:r>
      <w:bookmarkEnd w:id="173"/>
      <w:r w:rsidRPr="00E7615A">
        <w:rPr>
          <w:rFonts w:ascii="Book Antiqua" w:hAnsi="Book Antiqua"/>
          <w:color w:val="000000" w:themeColor="text1"/>
          <w:sz w:val="24"/>
          <w:szCs w:val="24"/>
          <w:lang w:val="en-US"/>
        </w:rPr>
        <w:t>Several pilot studies described the use of PRGF in GBR-</w:t>
      </w:r>
      <w:proofErr w:type="gramStart"/>
      <w:r w:rsidRPr="00E7615A">
        <w:rPr>
          <w:rFonts w:ascii="Book Antiqua" w:hAnsi="Book Antiqua"/>
          <w:color w:val="000000" w:themeColor="text1"/>
          <w:sz w:val="24"/>
          <w:szCs w:val="24"/>
          <w:lang w:val="en-US"/>
        </w:rPr>
        <w:t>MSA</w:t>
      </w:r>
      <w:r w:rsidR="000C7523" w:rsidRPr="00E7615A">
        <w:rPr>
          <w:rFonts w:ascii="Book Antiqua" w:hAnsi="Book Antiqua"/>
          <w:color w:val="000000" w:themeColor="text1"/>
          <w:sz w:val="24"/>
          <w:szCs w:val="24"/>
          <w:vertAlign w:val="superscript"/>
          <w:lang w:val="en-US"/>
        </w:rPr>
        <w:t>[</w:t>
      </w:r>
      <w:proofErr w:type="gramEnd"/>
      <w:r w:rsidR="00C628E4" w:rsidRPr="00E7615A">
        <w:rPr>
          <w:rFonts w:ascii="Book Antiqua" w:hAnsi="Book Antiqua"/>
          <w:color w:val="000000" w:themeColor="text1"/>
          <w:sz w:val="24"/>
          <w:szCs w:val="24"/>
          <w:vertAlign w:val="superscript"/>
          <w:lang w:val="en-US"/>
        </w:rPr>
        <w:t>99-101</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Furthermore, it was shown that PRGF can stimulate the proliferation, migration and chemotaxis of osteoblasts </w:t>
      </w:r>
      <w:r w:rsidRPr="00E7615A">
        <w:rPr>
          <w:rFonts w:ascii="Book Antiqua" w:hAnsi="Book Antiqua"/>
          <w:i/>
          <w:color w:val="000000" w:themeColor="text1"/>
          <w:sz w:val="24"/>
          <w:szCs w:val="24"/>
          <w:lang w:val="en-US"/>
        </w:rPr>
        <w:t>in vitro</w:t>
      </w:r>
      <w:r w:rsidRPr="00E7615A">
        <w:rPr>
          <w:rFonts w:ascii="Book Antiqua" w:hAnsi="Book Antiqua"/>
          <w:color w:val="000000" w:themeColor="text1"/>
          <w:sz w:val="24"/>
          <w:szCs w:val="24"/>
          <w:lang w:val="en-US"/>
        </w:rPr>
        <w:t>, and enhance the osteblasts’</w:t>
      </w:r>
      <w:r w:rsidR="00195E19"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autocrine expression of VEGF</w:t>
      </w:r>
      <w:r w:rsidR="00C628E4"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and HG</w:t>
      </w:r>
      <w:r w:rsidR="00C628E4" w:rsidRPr="00E7615A">
        <w:rPr>
          <w:rFonts w:ascii="Book Antiqua" w:hAnsi="Book Antiqua"/>
          <w:color w:val="000000" w:themeColor="text1"/>
          <w:sz w:val="24"/>
          <w:szCs w:val="24"/>
          <w:lang w:val="en-US"/>
        </w:rPr>
        <w:t>F</w:t>
      </w:r>
      <w:r w:rsidR="009456F9" w:rsidRPr="00E7615A">
        <w:rPr>
          <w:rFonts w:ascii="Book Antiqua" w:hAnsi="Book Antiqua"/>
          <w:color w:val="000000" w:themeColor="text1"/>
          <w:sz w:val="24"/>
          <w:szCs w:val="24"/>
          <w:lang w:val="en-US"/>
        </w:rPr>
        <w:t xml:space="preserve"> that are proangiogenic </w:t>
      </w:r>
      <w:proofErr w:type="gramStart"/>
      <w:r w:rsidR="009456F9" w:rsidRPr="00E7615A">
        <w:rPr>
          <w:rFonts w:ascii="Book Antiqua" w:hAnsi="Book Antiqua"/>
          <w:color w:val="000000" w:themeColor="text1"/>
          <w:sz w:val="24"/>
          <w:szCs w:val="24"/>
          <w:lang w:val="en-US"/>
        </w:rPr>
        <w:t>factors</w:t>
      </w:r>
      <w:r w:rsidR="000C7523" w:rsidRPr="00E7615A">
        <w:rPr>
          <w:rFonts w:ascii="Book Antiqua" w:hAnsi="Book Antiqua"/>
          <w:color w:val="000000" w:themeColor="text1"/>
          <w:sz w:val="24"/>
          <w:szCs w:val="24"/>
          <w:vertAlign w:val="superscript"/>
          <w:lang w:val="en-US"/>
        </w:rPr>
        <w:t>[</w:t>
      </w:r>
      <w:proofErr w:type="gramEnd"/>
      <w:r w:rsidR="00C628E4" w:rsidRPr="00E7615A">
        <w:rPr>
          <w:rFonts w:ascii="Book Antiqua" w:hAnsi="Book Antiqua"/>
          <w:color w:val="000000" w:themeColor="text1"/>
          <w:sz w:val="24"/>
          <w:szCs w:val="24"/>
          <w:vertAlign w:val="superscript"/>
          <w:lang w:val="en-US"/>
        </w:rPr>
        <w:t>98</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Both VEGF and HGF are contained in PRGF</w:t>
      </w:r>
      <w:r w:rsidR="00C628E4" w:rsidRPr="00E7615A">
        <w:rPr>
          <w:rFonts w:ascii="Book Antiqua" w:hAnsi="Book Antiqua"/>
          <w:color w:val="000000" w:themeColor="text1"/>
          <w:sz w:val="24"/>
          <w:szCs w:val="24"/>
          <w:lang w:val="en-US"/>
        </w:rPr>
        <w:t>-2</w:t>
      </w:r>
      <w:r w:rsidR="000C7523" w:rsidRPr="00E7615A">
        <w:rPr>
          <w:rFonts w:ascii="Book Antiqua" w:hAnsi="Book Antiqua"/>
          <w:color w:val="000000" w:themeColor="text1"/>
          <w:sz w:val="24"/>
          <w:szCs w:val="24"/>
          <w:vertAlign w:val="superscript"/>
          <w:lang w:val="en-US"/>
        </w:rPr>
        <w:t>[</w:t>
      </w:r>
      <w:r w:rsidR="00C628E4" w:rsidRPr="00E7615A">
        <w:rPr>
          <w:rFonts w:ascii="Book Antiqua" w:hAnsi="Book Antiqua"/>
          <w:color w:val="000000" w:themeColor="text1"/>
          <w:sz w:val="24"/>
          <w:szCs w:val="24"/>
          <w:vertAlign w:val="superscript"/>
          <w:lang w:val="en-US"/>
        </w:rPr>
        <w:t>98</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and were also identified within the ASCs' secretome (reviewed </w:t>
      </w:r>
      <w:proofErr w:type="gramStart"/>
      <w:r w:rsidRPr="00E7615A">
        <w:rPr>
          <w:rFonts w:ascii="Book Antiqua" w:hAnsi="Book Antiqua"/>
          <w:color w:val="000000" w:themeColor="text1"/>
          <w:sz w:val="24"/>
          <w:szCs w:val="24"/>
          <w:lang w:val="en-US"/>
        </w:rPr>
        <w:t>in</w:t>
      </w:r>
      <w:r w:rsidR="000C7523" w:rsidRPr="00E7615A">
        <w:rPr>
          <w:rFonts w:ascii="Book Antiqua" w:hAnsi="Book Antiqua"/>
          <w:color w:val="000000" w:themeColor="text1"/>
          <w:sz w:val="24"/>
          <w:szCs w:val="24"/>
          <w:vertAlign w:val="superscript"/>
          <w:lang w:val="en-US"/>
        </w:rPr>
        <w:t>[</w:t>
      </w:r>
      <w:proofErr w:type="gramEnd"/>
      <w:r w:rsidR="00C628E4" w:rsidRPr="00E7615A">
        <w:rPr>
          <w:rFonts w:ascii="Book Antiqua" w:hAnsi="Book Antiqua"/>
          <w:color w:val="000000" w:themeColor="text1"/>
          <w:sz w:val="24"/>
          <w:szCs w:val="24"/>
          <w:vertAlign w:val="superscript"/>
          <w:lang w:val="en-US"/>
        </w:rPr>
        <w:t>102</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A recent study showed that PRGF can induce proliferation and migration of human-derived ASCs and reduce senescence and autophagocytosis of these cells </w:t>
      </w:r>
      <w:r w:rsidRPr="00E7615A">
        <w:rPr>
          <w:rFonts w:ascii="Book Antiqua" w:hAnsi="Book Antiqua"/>
          <w:i/>
          <w:color w:val="000000" w:themeColor="text1"/>
          <w:sz w:val="24"/>
          <w:szCs w:val="24"/>
          <w:lang w:val="en-US"/>
        </w:rPr>
        <w:t xml:space="preserve">in </w:t>
      </w:r>
      <w:proofErr w:type="gramStart"/>
      <w:r w:rsidRPr="00E7615A">
        <w:rPr>
          <w:rFonts w:ascii="Book Antiqua" w:hAnsi="Book Antiqua"/>
          <w:i/>
          <w:color w:val="000000" w:themeColor="text1"/>
          <w:sz w:val="24"/>
          <w:szCs w:val="24"/>
          <w:lang w:val="en-US"/>
        </w:rPr>
        <w:t>vitro</w:t>
      </w:r>
      <w:r w:rsidR="000C7523" w:rsidRPr="00E7615A">
        <w:rPr>
          <w:rFonts w:ascii="Book Antiqua" w:hAnsi="Book Antiqua"/>
          <w:color w:val="000000" w:themeColor="text1"/>
          <w:sz w:val="24"/>
          <w:szCs w:val="24"/>
          <w:vertAlign w:val="superscript"/>
          <w:lang w:val="en-US"/>
        </w:rPr>
        <w:t>[</w:t>
      </w:r>
      <w:proofErr w:type="gramEnd"/>
      <w:r w:rsidR="00C628E4" w:rsidRPr="00E7615A">
        <w:rPr>
          <w:rFonts w:ascii="Book Antiqua" w:hAnsi="Book Antiqua"/>
          <w:color w:val="000000" w:themeColor="text1"/>
          <w:sz w:val="24"/>
          <w:szCs w:val="24"/>
          <w:vertAlign w:val="superscript"/>
          <w:lang w:val="en-US"/>
        </w:rPr>
        <w:t>103</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The same </w:t>
      </w:r>
      <w:proofErr w:type="gramStart"/>
      <w:r w:rsidRPr="00E7615A">
        <w:rPr>
          <w:rFonts w:ascii="Book Antiqua" w:hAnsi="Book Antiqua"/>
          <w:color w:val="000000" w:themeColor="text1"/>
          <w:sz w:val="24"/>
          <w:szCs w:val="24"/>
          <w:lang w:val="en-US"/>
        </w:rPr>
        <w:t>study</w:t>
      </w:r>
      <w:r w:rsidR="000C7523" w:rsidRPr="00E7615A">
        <w:rPr>
          <w:rFonts w:ascii="Book Antiqua" w:hAnsi="Book Antiqua"/>
          <w:color w:val="000000" w:themeColor="text1"/>
          <w:sz w:val="24"/>
          <w:szCs w:val="24"/>
          <w:vertAlign w:val="superscript"/>
          <w:lang w:val="en-US"/>
        </w:rPr>
        <w:t>[</w:t>
      </w:r>
      <w:proofErr w:type="gramEnd"/>
      <w:r w:rsidR="00C628E4" w:rsidRPr="00E7615A">
        <w:rPr>
          <w:rFonts w:ascii="Book Antiqua" w:hAnsi="Book Antiqua"/>
          <w:color w:val="000000" w:themeColor="text1"/>
          <w:sz w:val="24"/>
          <w:szCs w:val="24"/>
          <w:vertAlign w:val="superscript"/>
          <w:lang w:val="en-US"/>
        </w:rPr>
        <w:t>103</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confirmed our </w:t>
      </w:r>
      <w:r w:rsidR="00C628E4" w:rsidRPr="00E7615A">
        <w:rPr>
          <w:rFonts w:ascii="Book Antiqua" w:hAnsi="Book Antiqua"/>
          <w:color w:val="000000" w:themeColor="text1"/>
          <w:sz w:val="24"/>
          <w:szCs w:val="24"/>
          <w:lang w:val="en-US"/>
        </w:rPr>
        <w:t>own</w:t>
      </w:r>
      <w:r w:rsidRPr="00E7615A">
        <w:rPr>
          <w:rFonts w:ascii="Book Antiqua" w:hAnsi="Book Antiqua"/>
          <w:color w:val="000000" w:themeColor="text1"/>
          <w:sz w:val="24"/>
          <w:szCs w:val="24"/>
          <w:lang w:val="en-US"/>
        </w:rPr>
        <w:t xml:space="preserve"> finding that human-derived ASCs can efficiently differentiate into osteocytes or </w:t>
      </w:r>
      <w:r w:rsidRPr="00E7615A">
        <w:rPr>
          <w:rFonts w:ascii="Book Antiqua" w:hAnsi="Book Antiqua"/>
          <w:color w:val="000000" w:themeColor="text1"/>
          <w:sz w:val="24"/>
          <w:szCs w:val="24"/>
          <w:lang w:val="en-US"/>
        </w:rPr>
        <w:lastRenderedPageBreak/>
        <w:t>adipocytes when cultured in respectively osteogenic or adipogenic induction medium</w:t>
      </w:r>
      <w:r w:rsidR="000C7523" w:rsidRPr="00E7615A">
        <w:rPr>
          <w:rFonts w:ascii="Book Antiqua" w:hAnsi="Book Antiqua"/>
          <w:color w:val="000000" w:themeColor="text1"/>
          <w:sz w:val="24"/>
          <w:szCs w:val="24"/>
          <w:vertAlign w:val="superscript"/>
          <w:lang w:val="en-US"/>
        </w:rPr>
        <w:t>[</w:t>
      </w:r>
      <w:r w:rsidR="00C628E4" w:rsidRPr="00E7615A">
        <w:rPr>
          <w:rFonts w:ascii="Book Antiqua" w:hAnsi="Book Antiqua"/>
          <w:color w:val="000000" w:themeColor="text1"/>
          <w:sz w:val="24"/>
          <w:szCs w:val="24"/>
          <w:vertAlign w:val="superscript"/>
          <w:lang w:val="en-US"/>
        </w:rPr>
        <w:t>53,104</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but also demonstrated that this process is enhanced in the presence of PRGF</w:t>
      </w:r>
      <w:r w:rsidR="000C7523" w:rsidRPr="00E7615A">
        <w:rPr>
          <w:rFonts w:ascii="Book Antiqua" w:hAnsi="Book Antiqua"/>
          <w:color w:val="000000" w:themeColor="text1"/>
          <w:sz w:val="24"/>
          <w:szCs w:val="24"/>
          <w:vertAlign w:val="superscript"/>
          <w:lang w:val="en-US"/>
        </w:rPr>
        <w:t>[</w:t>
      </w:r>
      <w:r w:rsidR="00380A33" w:rsidRPr="00E7615A">
        <w:rPr>
          <w:rFonts w:ascii="Book Antiqua" w:hAnsi="Book Antiqua"/>
          <w:color w:val="000000" w:themeColor="text1"/>
          <w:sz w:val="24"/>
          <w:szCs w:val="24"/>
          <w:vertAlign w:val="superscript"/>
          <w:lang w:val="en-US"/>
        </w:rPr>
        <w:t>103</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Accordingly, our finding that the treatment with MCBPA/PRGF-2/UA-ADRCs resulted in the formation of 44% more bone and 83% fewer adipocytes in the </w:t>
      </w:r>
      <w:r w:rsidR="004C0DF0" w:rsidRPr="00E7615A">
        <w:rPr>
          <w:rFonts w:ascii="Book Antiqua" w:hAnsi="Book Antiqua"/>
          <w:color w:val="000000" w:themeColor="text1"/>
          <w:sz w:val="24"/>
          <w:szCs w:val="24"/>
          <w:lang w:val="en-US"/>
        </w:rPr>
        <w:t>biopsies</w:t>
      </w:r>
      <w:r w:rsidR="00DE7DB2" w:rsidRPr="00E7615A">
        <w:rPr>
          <w:rFonts w:ascii="Book Antiqua" w:hAnsi="Book Antiqua"/>
          <w:color w:val="000000" w:themeColor="text1"/>
          <w:sz w:val="24"/>
          <w:szCs w:val="24"/>
          <w:lang w:val="en-US"/>
        </w:rPr>
        <w:t xml:space="preserve"> collected at 34 wk</w:t>
      </w:r>
      <w:r w:rsidRPr="00E7615A">
        <w:rPr>
          <w:rFonts w:ascii="Book Antiqua" w:hAnsi="Book Antiqua"/>
          <w:color w:val="000000" w:themeColor="text1"/>
          <w:sz w:val="24"/>
          <w:szCs w:val="24"/>
          <w:lang w:val="en-US"/>
        </w:rPr>
        <w:t xml:space="preserve"> after GBR-MSA (</w:t>
      </w:r>
      <w:r w:rsidR="00E011FF" w:rsidRPr="00E7615A">
        <w:rPr>
          <w:rFonts w:ascii="Book Antiqua" w:hAnsi="Book Antiqua"/>
          <w:color w:val="000000" w:themeColor="text1"/>
          <w:sz w:val="24"/>
          <w:szCs w:val="24"/>
          <w:lang w:val="en-US"/>
        </w:rPr>
        <w:t>Figure</w:t>
      </w:r>
      <w:r w:rsidRPr="00E7615A">
        <w:rPr>
          <w:rFonts w:ascii="Book Antiqua" w:hAnsi="Book Antiqua"/>
          <w:color w:val="000000" w:themeColor="text1"/>
          <w:sz w:val="24"/>
          <w:szCs w:val="24"/>
          <w:lang w:val="en-US"/>
        </w:rPr>
        <w:t xml:space="preserve"> </w:t>
      </w:r>
      <w:r w:rsidR="004E369D" w:rsidRPr="00E7615A">
        <w:rPr>
          <w:rFonts w:ascii="Book Antiqua" w:hAnsi="Book Antiqua"/>
          <w:color w:val="000000" w:themeColor="text1"/>
          <w:sz w:val="24"/>
          <w:szCs w:val="24"/>
          <w:lang w:val="en-US"/>
        </w:rPr>
        <w:t>7</w:t>
      </w:r>
      <w:r w:rsidRPr="00E7615A">
        <w:rPr>
          <w:rFonts w:ascii="Book Antiqua" w:hAnsi="Book Antiqua"/>
          <w:color w:val="000000" w:themeColor="text1"/>
          <w:sz w:val="24"/>
          <w:szCs w:val="24"/>
          <w:lang w:val="en-US"/>
        </w:rPr>
        <w:t>) cannot be directly attributed to the action of PRGF-2 on UA</w:t>
      </w:r>
      <w:r w:rsidR="00F668FF" w:rsidRPr="00E7615A">
        <w:rPr>
          <w:rFonts w:ascii="Book Antiqua" w:hAnsi="Book Antiqua"/>
          <w:color w:val="000000" w:themeColor="text1"/>
          <w:sz w:val="24"/>
          <w:szCs w:val="24"/>
          <w:lang w:val="en-US"/>
        </w:rPr>
        <w:t>-ADRCs. Rather, it is reasonable</w:t>
      </w:r>
      <w:r w:rsidRPr="00E7615A">
        <w:rPr>
          <w:rFonts w:ascii="Book Antiqua" w:hAnsi="Book Antiqua"/>
          <w:color w:val="000000" w:themeColor="text1"/>
          <w:sz w:val="24"/>
          <w:szCs w:val="24"/>
          <w:lang w:val="en-US"/>
        </w:rPr>
        <w:t xml:space="preserve"> to hypothesize that cues from the local extracellular environment affected the properties of the UA-ADRCs in terms of proliferation and specific osteogenic differentiation (</w:t>
      </w:r>
      <w:proofErr w:type="gramStart"/>
      <w:r w:rsidRPr="00E7615A">
        <w:rPr>
          <w:rFonts w:ascii="Book Antiqua" w:hAnsi="Book Antiqua"/>
          <w:color w:val="000000" w:themeColor="text1"/>
          <w:sz w:val="24"/>
          <w:szCs w:val="24"/>
          <w:lang w:val="en-US"/>
        </w:rPr>
        <w:t>c.f.</w:t>
      </w:r>
      <w:r w:rsidR="000C7523" w:rsidRPr="00E7615A">
        <w:rPr>
          <w:rFonts w:ascii="Book Antiqua" w:hAnsi="Book Antiqua"/>
          <w:color w:val="000000" w:themeColor="text1"/>
          <w:sz w:val="24"/>
          <w:szCs w:val="24"/>
          <w:vertAlign w:val="superscript"/>
          <w:lang w:val="en-US"/>
        </w:rPr>
        <w:t>[</w:t>
      </w:r>
      <w:proofErr w:type="gramEnd"/>
      <w:r w:rsidR="00380A33" w:rsidRPr="00E7615A">
        <w:rPr>
          <w:rFonts w:ascii="Book Antiqua" w:hAnsi="Book Antiqua"/>
          <w:color w:val="000000" w:themeColor="text1"/>
          <w:sz w:val="24"/>
          <w:szCs w:val="24"/>
          <w:vertAlign w:val="superscript"/>
          <w:lang w:val="en-US"/>
        </w:rPr>
        <w:t>105</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and this process was enhanced by PRGF-2. </w:t>
      </w:r>
    </w:p>
    <w:p w14:paraId="1C4DEF82" w14:textId="7021E4AD"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Guided bone regeneration in maxillary sinus augmentation has been performed using a number of grafting materials, including autologous bone grafts, allografts and </w:t>
      </w:r>
      <w:proofErr w:type="gramStart"/>
      <w:r w:rsidRPr="00E7615A">
        <w:rPr>
          <w:rFonts w:ascii="Book Antiqua" w:hAnsi="Book Antiqua"/>
          <w:color w:val="000000" w:themeColor="text1"/>
          <w:sz w:val="24"/>
          <w:szCs w:val="24"/>
          <w:lang w:val="en-US"/>
        </w:rPr>
        <w:t>xenografts</w:t>
      </w:r>
      <w:r w:rsidR="00726975" w:rsidRPr="00726975">
        <w:rPr>
          <w:rFonts w:ascii="Book Antiqua" w:hAnsi="Book Antiqua" w:hint="eastAsia"/>
          <w:color w:val="000000" w:themeColor="text1"/>
          <w:sz w:val="24"/>
          <w:szCs w:val="24"/>
          <w:vertAlign w:val="superscript"/>
          <w:lang w:val="en-US" w:eastAsia="zh-CN"/>
        </w:rPr>
        <w:t>[</w:t>
      </w:r>
      <w:proofErr w:type="gramEnd"/>
      <w:r w:rsidR="00380A33" w:rsidRPr="00E7615A">
        <w:rPr>
          <w:rFonts w:ascii="Book Antiqua" w:hAnsi="Book Antiqua"/>
          <w:color w:val="000000" w:themeColor="text1"/>
          <w:sz w:val="24"/>
          <w:szCs w:val="24"/>
          <w:vertAlign w:val="superscript"/>
          <w:lang w:val="en-US"/>
        </w:rPr>
        <w:t>106</w:t>
      </w:r>
      <w:r w:rsidR="000C7523" w:rsidRPr="00E7615A">
        <w:rPr>
          <w:rFonts w:ascii="Book Antiqua" w:hAnsi="Book Antiqua"/>
          <w:color w:val="000000" w:themeColor="text1"/>
          <w:sz w:val="24"/>
          <w:szCs w:val="24"/>
          <w:vertAlign w:val="superscript"/>
          <w:lang w:val="en-US"/>
        </w:rPr>
        <w:t>]</w:t>
      </w:r>
      <w:r w:rsidR="00F668FF" w:rsidRPr="00E7615A">
        <w:rPr>
          <w:rFonts w:ascii="Book Antiqua" w:hAnsi="Book Antiqua"/>
          <w:color w:val="000000" w:themeColor="text1"/>
          <w:sz w:val="24"/>
          <w:szCs w:val="24"/>
          <w:lang w:val="en-US"/>
        </w:rPr>
        <w:t>. An earlier</w:t>
      </w:r>
      <w:r w:rsidRPr="00E7615A">
        <w:rPr>
          <w:rFonts w:ascii="Book Antiqua" w:hAnsi="Book Antiqua"/>
          <w:color w:val="000000" w:themeColor="text1"/>
          <w:sz w:val="24"/>
          <w:szCs w:val="24"/>
          <w:lang w:val="en-US"/>
        </w:rPr>
        <w:t xml:space="preserve"> meta-analysis published in 1998 found that </w:t>
      </w:r>
      <w:r w:rsidR="009456F9" w:rsidRPr="00E7615A">
        <w:rPr>
          <w:rFonts w:ascii="Book Antiqua" w:hAnsi="Book Antiqua"/>
          <w:color w:val="000000" w:themeColor="text1"/>
          <w:sz w:val="24"/>
          <w:szCs w:val="24"/>
          <w:lang w:val="en-US"/>
        </w:rPr>
        <w:t xml:space="preserve">the </w:t>
      </w:r>
      <w:r w:rsidRPr="00E7615A">
        <w:rPr>
          <w:rFonts w:ascii="Book Antiqua" w:hAnsi="Book Antiqua"/>
          <w:color w:val="000000" w:themeColor="text1"/>
          <w:sz w:val="24"/>
          <w:szCs w:val="24"/>
          <w:lang w:val="en-US"/>
        </w:rPr>
        <w:t xml:space="preserve">survival rates of implants placed in grafted maxillary sinuses </w:t>
      </w:r>
      <w:r w:rsidR="009456F9" w:rsidRPr="00E7615A">
        <w:rPr>
          <w:rFonts w:ascii="Book Antiqua" w:hAnsi="Book Antiqua"/>
          <w:color w:val="000000" w:themeColor="text1"/>
          <w:sz w:val="24"/>
          <w:szCs w:val="24"/>
          <w:lang w:val="en-US"/>
        </w:rPr>
        <w:t xml:space="preserve">did not depend on </w:t>
      </w:r>
      <w:r w:rsidRPr="00E7615A">
        <w:rPr>
          <w:rFonts w:ascii="Book Antiqua" w:hAnsi="Book Antiqua"/>
          <w:color w:val="000000" w:themeColor="text1"/>
          <w:sz w:val="24"/>
          <w:szCs w:val="24"/>
          <w:lang w:val="en-US"/>
        </w:rPr>
        <w:t xml:space="preserve">whether autologous, allogenic or alloplastic grafts were </w:t>
      </w:r>
      <w:proofErr w:type="gramStart"/>
      <w:r w:rsidRPr="00E7615A">
        <w:rPr>
          <w:rFonts w:ascii="Book Antiqua" w:hAnsi="Book Antiqua"/>
          <w:color w:val="000000" w:themeColor="text1"/>
          <w:sz w:val="24"/>
          <w:szCs w:val="24"/>
          <w:lang w:val="en-US"/>
        </w:rPr>
        <w:t>used</w:t>
      </w:r>
      <w:r w:rsidR="000C7523" w:rsidRPr="00E7615A">
        <w:rPr>
          <w:rFonts w:ascii="Book Antiqua" w:hAnsi="Book Antiqua"/>
          <w:color w:val="000000" w:themeColor="text1"/>
          <w:sz w:val="24"/>
          <w:szCs w:val="24"/>
          <w:vertAlign w:val="superscript"/>
          <w:lang w:val="en-US"/>
        </w:rPr>
        <w:t>[</w:t>
      </w:r>
      <w:proofErr w:type="gramEnd"/>
      <w:r w:rsidR="00380A33" w:rsidRPr="00E7615A">
        <w:rPr>
          <w:rFonts w:ascii="Book Antiqua" w:hAnsi="Book Antiqua"/>
          <w:color w:val="000000" w:themeColor="text1"/>
          <w:sz w:val="24"/>
          <w:szCs w:val="24"/>
          <w:vertAlign w:val="superscript"/>
          <w:lang w:val="en-US"/>
        </w:rPr>
        <w:t>107</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00380A33" w:rsidRPr="00E7615A">
        <w:rPr>
          <w:rFonts w:ascii="Book Antiqua" w:hAnsi="Book Antiqua"/>
          <w:color w:val="000000" w:themeColor="text1"/>
          <w:sz w:val="24"/>
          <w:szCs w:val="24"/>
          <w:lang w:val="en-US"/>
        </w:rPr>
        <w:t xml:space="preserve"> However, w</w:t>
      </w:r>
      <w:r w:rsidRPr="00E7615A">
        <w:rPr>
          <w:rFonts w:ascii="Book Antiqua" w:hAnsi="Book Antiqua"/>
          <w:color w:val="000000" w:themeColor="text1"/>
          <w:sz w:val="24"/>
          <w:szCs w:val="24"/>
          <w:lang w:val="en-US"/>
        </w:rPr>
        <w:t xml:space="preserve">hen focusing on the total bone volume, another meta-analysis published in 2010 concluded that autologous bone </w:t>
      </w:r>
      <w:r w:rsidR="001752EC" w:rsidRPr="00E7615A">
        <w:rPr>
          <w:rFonts w:ascii="Book Antiqua" w:hAnsi="Book Antiqua"/>
          <w:color w:val="000000" w:themeColor="text1"/>
          <w:sz w:val="24"/>
          <w:szCs w:val="24"/>
          <w:lang w:val="en-US"/>
        </w:rPr>
        <w:t xml:space="preserve">should still be considered </w:t>
      </w:r>
      <w:r w:rsidRPr="00E7615A">
        <w:rPr>
          <w:rFonts w:ascii="Book Antiqua" w:hAnsi="Book Antiqua"/>
          <w:color w:val="000000" w:themeColor="text1"/>
          <w:sz w:val="24"/>
          <w:szCs w:val="24"/>
          <w:lang w:val="en-US"/>
        </w:rPr>
        <w:t xml:space="preserve">the gold standard in maxillary sinus augmentation </w:t>
      </w:r>
      <w:proofErr w:type="gramStart"/>
      <w:r w:rsidRPr="00E7615A">
        <w:rPr>
          <w:rFonts w:ascii="Book Antiqua" w:hAnsi="Book Antiqua"/>
          <w:color w:val="000000" w:themeColor="text1"/>
          <w:sz w:val="24"/>
          <w:szCs w:val="24"/>
          <w:lang w:val="en-US"/>
        </w:rPr>
        <w:t>surgery</w:t>
      </w:r>
      <w:r w:rsidR="000C7523" w:rsidRPr="00E7615A">
        <w:rPr>
          <w:rFonts w:ascii="Book Antiqua" w:hAnsi="Book Antiqua"/>
          <w:color w:val="000000" w:themeColor="text1"/>
          <w:sz w:val="24"/>
          <w:szCs w:val="24"/>
          <w:vertAlign w:val="superscript"/>
          <w:lang w:val="en-US"/>
        </w:rPr>
        <w:t>[</w:t>
      </w:r>
      <w:proofErr w:type="gramEnd"/>
      <w:r w:rsidR="00380A33" w:rsidRPr="00E7615A">
        <w:rPr>
          <w:rFonts w:ascii="Book Antiqua" w:hAnsi="Book Antiqua"/>
          <w:color w:val="000000" w:themeColor="text1"/>
          <w:sz w:val="24"/>
          <w:szCs w:val="24"/>
          <w:vertAlign w:val="superscript"/>
          <w:lang w:val="en-US"/>
        </w:rPr>
        <w:t>108</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w:t>
      </w:r>
      <w:r w:rsidR="00380A33" w:rsidRPr="00E7615A">
        <w:rPr>
          <w:rFonts w:ascii="Book Antiqua" w:hAnsi="Book Antiqua"/>
          <w:color w:val="000000" w:themeColor="text1"/>
          <w:sz w:val="24"/>
          <w:szCs w:val="24"/>
          <w:lang w:val="en-US"/>
        </w:rPr>
        <w:t>On the other hand,</w:t>
      </w:r>
      <w:r w:rsidRPr="00E7615A">
        <w:rPr>
          <w:rFonts w:ascii="Book Antiqua" w:hAnsi="Book Antiqua"/>
          <w:color w:val="000000" w:themeColor="text1"/>
          <w:sz w:val="24"/>
          <w:szCs w:val="24"/>
          <w:lang w:val="en-US"/>
        </w:rPr>
        <w:t xml:space="preserve"> the latter study stated that the consequence of the total bone volume for implant survival is still </w:t>
      </w:r>
      <w:proofErr w:type="gramStart"/>
      <w:r w:rsidRPr="00E7615A">
        <w:rPr>
          <w:rFonts w:ascii="Book Antiqua" w:hAnsi="Book Antiqua"/>
          <w:color w:val="000000" w:themeColor="text1"/>
          <w:sz w:val="24"/>
          <w:szCs w:val="24"/>
          <w:lang w:val="en-US"/>
        </w:rPr>
        <w:t>unknown</w:t>
      </w:r>
      <w:r w:rsidR="000C7523" w:rsidRPr="00E7615A">
        <w:rPr>
          <w:rFonts w:ascii="Book Antiqua" w:hAnsi="Book Antiqua"/>
          <w:color w:val="000000" w:themeColor="text1"/>
          <w:sz w:val="24"/>
          <w:szCs w:val="24"/>
          <w:vertAlign w:val="superscript"/>
          <w:lang w:val="en-US"/>
        </w:rPr>
        <w:t>[</w:t>
      </w:r>
      <w:proofErr w:type="gramEnd"/>
      <w:r w:rsidR="00380A33" w:rsidRPr="00E7615A">
        <w:rPr>
          <w:rFonts w:ascii="Book Antiqua" w:hAnsi="Book Antiqua"/>
          <w:color w:val="000000" w:themeColor="text1"/>
          <w:sz w:val="24"/>
          <w:szCs w:val="24"/>
          <w:vertAlign w:val="superscript"/>
          <w:lang w:val="en-US"/>
        </w:rPr>
        <w:t>108</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A recent meta-analysis based on 16 original studies found that the implant survival rate was</w:t>
      </w:r>
      <w:r w:rsidR="001752EC" w:rsidRPr="00E7615A">
        <w:rPr>
          <w:rFonts w:ascii="Book Antiqua" w:hAnsi="Book Antiqua"/>
          <w:color w:val="000000" w:themeColor="text1"/>
          <w:sz w:val="24"/>
          <w:szCs w:val="24"/>
          <w:lang w:val="en-US"/>
        </w:rPr>
        <w:t xml:space="preserve"> 99.6% when a biomaterial was used during surgery, compared to </w:t>
      </w:r>
      <w:r w:rsidRPr="00E7615A">
        <w:rPr>
          <w:rFonts w:ascii="Book Antiqua" w:hAnsi="Book Antiqua"/>
          <w:color w:val="000000" w:themeColor="text1"/>
          <w:sz w:val="24"/>
          <w:szCs w:val="24"/>
          <w:lang w:val="en-US"/>
        </w:rPr>
        <w:t xml:space="preserve">96.0% </w:t>
      </w:r>
      <w:r w:rsidR="001752EC" w:rsidRPr="00E7615A">
        <w:rPr>
          <w:rFonts w:ascii="Book Antiqua" w:hAnsi="Book Antiqua"/>
          <w:color w:val="000000" w:themeColor="text1"/>
          <w:sz w:val="24"/>
          <w:szCs w:val="24"/>
          <w:lang w:val="en-US"/>
        </w:rPr>
        <w:t xml:space="preserve">when no </w:t>
      </w:r>
      <w:r w:rsidRPr="00E7615A">
        <w:rPr>
          <w:rFonts w:ascii="Book Antiqua" w:hAnsi="Book Antiqua"/>
          <w:color w:val="000000" w:themeColor="text1"/>
          <w:sz w:val="24"/>
          <w:szCs w:val="24"/>
          <w:lang w:val="en-US"/>
        </w:rPr>
        <w:t>graft material</w:t>
      </w:r>
      <w:r w:rsidR="001752EC" w:rsidRPr="00E7615A">
        <w:rPr>
          <w:rFonts w:ascii="Book Antiqua" w:hAnsi="Book Antiqua"/>
          <w:color w:val="000000" w:themeColor="text1"/>
          <w:sz w:val="24"/>
          <w:szCs w:val="24"/>
          <w:lang w:val="en-US"/>
        </w:rPr>
        <w:t xml:space="preserve"> was used (the </w:t>
      </w:r>
      <w:r w:rsidRPr="00E7615A">
        <w:rPr>
          <w:rFonts w:ascii="Book Antiqua" w:hAnsi="Book Antiqua"/>
          <w:color w:val="000000" w:themeColor="text1"/>
          <w:sz w:val="24"/>
          <w:szCs w:val="24"/>
          <w:lang w:val="en-US"/>
        </w:rPr>
        <w:t xml:space="preserve">follow-up period </w:t>
      </w:r>
      <w:r w:rsidR="001752EC" w:rsidRPr="00E7615A">
        <w:rPr>
          <w:rFonts w:ascii="Book Antiqua" w:hAnsi="Book Antiqua"/>
          <w:color w:val="000000" w:themeColor="text1"/>
          <w:sz w:val="24"/>
          <w:szCs w:val="24"/>
          <w:lang w:val="en-US"/>
        </w:rPr>
        <w:t xml:space="preserve">was </w:t>
      </w:r>
      <w:r w:rsidRPr="00E7615A">
        <w:rPr>
          <w:rFonts w:ascii="Book Antiqua" w:hAnsi="Book Antiqua"/>
          <w:color w:val="000000" w:themeColor="text1"/>
          <w:sz w:val="24"/>
          <w:szCs w:val="24"/>
          <w:lang w:val="en-US"/>
        </w:rPr>
        <w:t>48 to 60 mo</w:t>
      </w:r>
      <w:r w:rsidR="001752EC" w:rsidRPr="00E7615A">
        <w:rPr>
          <w:rFonts w:ascii="Book Antiqua" w:hAnsi="Book Antiqua"/>
          <w:color w:val="000000" w:themeColor="text1"/>
          <w:sz w:val="24"/>
          <w:szCs w:val="24"/>
          <w:lang w:val="en-US"/>
        </w:rPr>
        <w:t xml:space="preserve"> in this </w:t>
      </w:r>
      <w:proofErr w:type="gramStart"/>
      <w:r w:rsidR="001752EC" w:rsidRPr="00E7615A">
        <w:rPr>
          <w:rFonts w:ascii="Book Antiqua" w:hAnsi="Book Antiqua"/>
          <w:color w:val="000000" w:themeColor="text1"/>
          <w:sz w:val="24"/>
          <w:szCs w:val="24"/>
          <w:lang w:val="en-US"/>
        </w:rPr>
        <w:t>study)</w:t>
      </w:r>
      <w:r w:rsidR="000C7523" w:rsidRPr="00E7615A">
        <w:rPr>
          <w:rFonts w:ascii="Book Antiqua" w:hAnsi="Book Antiqua"/>
          <w:color w:val="000000" w:themeColor="text1"/>
          <w:sz w:val="24"/>
          <w:szCs w:val="24"/>
          <w:vertAlign w:val="superscript"/>
          <w:lang w:val="en-US"/>
        </w:rPr>
        <w:t>[</w:t>
      </w:r>
      <w:proofErr w:type="gramEnd"/>
      <w:r w:rsidR="00380A33" w:rsidRPr="00E7615A">
        <w:rPr>
          <w:rFonts w:ascii="Book Antiqua" w:hAnsi="Book Antiqua"/>
          <w:color w:val="000000" w:themeColor="text1"/>
          <w:sz w:val="24"/>
          <w:szCs w:val="24"/>
          <w:vertAlign w:val="superscript"/>
          <w:lang w:val="en-US"/>
        </w:rPr>
        <w:t>109</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However, these data should be handled cautiously because only two studies in this meta-analysis were performed with autologous bone grafts, and in 10 out of the 16 included studies (6 out of the 7 studies without interpositional graft material) the average preoperative bone height was more than 5 mm, which represents Class C according to</w:t>
      </w:r>
      <w:r w:rsidR="000C7523" w:rsidRPr="00E7615A">
        <w:rPr>
          <w:rFonts w:ascii="Book Antiqua" w:hAnsi="Book Antiqua"/>
          <w:color w:val="000000" w:themeColor="text1"/>
          <w:sz w:val="24"/>
          <w:szCs w:val="24"/>
          <w:vertAlign w:val="superscript"/>
          <w:lang w:val="en-US"/>
        </w:rPr>
        <w:t>[</w:t>
      </w:r>
      <w:r w:rsidR="00380A33" w:rsidRPr="00E7615A">
        <w:rPr>
          <w:rFonts w:ascii="Book Antiqua" w:hAnsi="Book Antiqua"/>
          <w:color w:val="000000" w:themeColor="text1"/>
          <w:sz w:val="24"/>
          <w:szCs w:val="24"/>
          <w:vertAlign w:val="superscript"/>
          <w:lang w:val="en-US"/>
        </w:rPr>
        <w:t>32</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and does not resemble the situation addressed in the present study. We used the Puros Cancellous Particulate Allograft (Zimmer Biomet Dental) because it fulfills all of the following criteria that are considered essential for an OIS in the literature (reviewed in</w:t>
      </w:r>
      <w:r w:rsidR="000C7523" w:rsidRPr="00E7615A">
        <w:rPr>
          <w:rFonts w:ascii="Book Antiqua" w:hAnsi="Book Antiqua"/>
          <w:color w:val="000000" w:themeColor="text1"/>
          <w:sz w:val="24"/>
          <w:szCs w:val="24"/>
          <w:vertAlign w:val="superscript"/>
          <w:lang w:val="en-US"/>
        </w:rPr>
        <w:t>[</w:t>
      </w:r>
      <w:r w:rsidR="00380A33" w:rsidRPr="00E7615A">
        <w:rPr>
          <w:rFonts w:ascii="Book Antiqua" w:hAnsi="Book Antiqua"/>
          <w:color w:val="000000" w:themeColor="text1"/>
          <w:sz w:val="24"/>
          <w:szCs w:val="24"/>
          <w:vertAlign w:val="superscript"/>
          <w:lang w:val="en-US"/>
        </w:rPr>
        <w:t>110</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volume stability of at least four months after implantation, full biocompatibility and resorbability, and possibility for loading with stem cells and growth factors.</w:t>
      </w:r>
    </w:p>
    <w:p w14:paraId="74EA02F9" w14:textId="0FDE2E40" w:rsidR="00A37FD9"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lastRenderedPageBreak/>
        <w:t xml:space="preserve">The patient who was investigated in our study was 79 years old. The statistical life expectancy of 80-year-old men and women has increased to respectively 7.7 and 9.2 years in </w:t>
      </w:r>
      <w:proofErr w:type="gramStart"/>
      <w:r w:rsidRPr="00E7615A">
        <w:rPr>
          <w:rFonts w:ascii="Book Antiqua" w:hAnsi="Book Antiqua"/>
          <w:color w:val="000000" w:themeColor="text1"/>
          <w:sz w:val="24"/>
          <w:szCs w:val="24"/>
          <w:lang w:val="en-US"/>
        </w:rPr>
        <w:t>Germany</w:t>
      </w:r>
      <w:r w:rsidR="000C7523" w:rsidRPr="00E7615A">
        <w:rPr>
          <w:rFonts w:ascii="Book Antiqua" w:hAnsi="Book Antiqua"/>
          <w:color w:val="000000" w:themeColor="text1"/>
          <w:sz w:val="24"/>
          <w:szCs w:val="24"/>
          <w:vertAlign w:val="superscript"/>
          <w:lang w:val="en-US"/>
        </w:rPr>
        <w:t>[</w:t>
      </w:r>
      <w:proofErr w:type="gramEnd"/>
      <w:r w:rsidR="00380A33" w:rsidRPr="00E7615A">
        <w:rPr>
          <w:rFonts w:ascii="Book Antiqua" w:hAnsi="Book Antiqua"/>
          <w:color w:val="000000" w:themeColor="text1"/>
          <w:sz w:val="24"/>
          <w:szCs w:val="24"/>
          <w:vertAlign w:val="superscript"/>
          <w:lang w:val="en-US"/>
        </w:rPr>
        <w:t>111</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Thus, one can expect an increasing demand for the restoration of an esthetic smile and a functional occlusion by patients aged 79 and older (and of course by younger patients) in the future. On the other hand, </w:t>
      </w:r>
      <w:r w:rsidR="001752EC" w:rsidRPr="00E7615A">
        <w:rPr>
          <w:rFonts w:ascii="Book Antiqua" w:hAnsi="Book Antiqua"/>
          <w:color w:val="000000" w:themeColor="text1"/>
          <w:sz w:val="24"/>
          <w:szCs w:val="24"/>
          <w:lang w:val="en-US"/>
        </w:rPr>
        <w:t xml:space="preserve">some authors have argued that age-related </w:t>
      </w:r>
      <w:r w:rsidRPr="00E7615A">
        <w:rPr>
          <w:rFonts w:ascii="Book Antiqua" w:hAnsi="Book Antiqua"/>
          <w:color w:val="000000" w:themeColor="text1"/>
          <w:sz w:val="24"/>
          <w:szCs w:val="24"/>
          <w:lang w:val="en-US"/>
        </w:rPr>
        <w:t xml:space="preserve">progressive decline in mechanical strength </w:t>
      </w:r>
      <w:r w:rsidR="001752EC" w:rsidRPr="00E7615A">
        <w:rPr>
          <w:rFonts w:ascii="Book Antiqua" w:hAnsi="Book Antiqua"/>
          <w:color w:val="000000" w:themeColor="text1"/>
          <w:sz w:val="24"/>
          <w:szCs w:val="24"/>
          <w:lang w:val="en-US"/>
        </w:rPr>
        <w:t xml:space="preserve">of tissue could be due to </w:t>
      </w:r>
      <w:r w:rsidRPr="00E7615A">
        <w:rPr>
          <w:rFonts w:ascii="Book Antiqua" w:hAnsi="Book Antiqua"/>
          <w:color w:val="000000" w:themeColor="text1"/>
          <w:sz w:val="24"/>
          <w:szCs w:val="24"/>
          <w:lang w:val="en-US"/>
        </w:rPr>
        <w:t xml:space="preserve">loss of resident stem cell number and function, and </w:t>
      </w:r>
      <w:r w:rsidR="001752EC" w:rsidRPr="00E7615A">
        <w:rPr>
          <w:rFonts w:ascii="Book Antiqua" w:hAnsi="Book Antiqua"/>
          <w:color w:val="000000" w:themeColor="text1"/>
          <w:sz w:val="24"/>
          <w:szCs w:val="24"/>
          <w:lang w:val="en-US"/>
        </w:rPr>
        <w:t xml:space="preserve">have </w:t>
      </w:r>
      <w:r w:rsidRPr="00E7615A">
        <w:rPr>
          <w:rFonts w:ascii="Book Antiqua" w:hAnsi="Book Antiqua"/>
          <w:color w:val="000000" w:themeColor="text1"/>
          <w:sz w:val="24"/>
          <w:szCs w:val="24"/>
          <w:lang w:val="en-US"/>
        </w:rPr>
        <w:t>raised concerns regarding the use of autologous adult stem cell therapy in older patients</w:t>
      </w:r>
      <w:r w:rsidR="000C7523" w:rsidRPr="00E7615A">
        <w:rPr>
          <w:rFonts w:ascii="Book Antiqua" w:hAnsi="Book Antiqua"/>
          <w:color w:val="000000" w:themeColor="text1"/>
          <w:sz w:val="24"/>
          <w:szCs w:val="24"/>
          <w:vertAlign w:val="superscript"/>
          <w:lang w:val="en-US"/>
        </w:rPr>
        <w:t>[</w:t>
      </w:r>
      <w:r w:rsidR="00380A33" w:rsidRPr="00E7615A">
        <w:rPr>
          <w:rFonts w:ascii="Book Antiqua" w:hAnsi="Book Antiqua"/>
          <w:color w:val="000000" w:themeColor="text1"/>
          <w:sz w:val="24"/>
          <w:szCs w:val="24"/>
          <w:vertAlign w:val="superscript"/>
          <w:lang w:val="en-US"/>
        </w:rPr>
        <w:t>112</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Indeed, an earlier study</w:t>
      </w:r>
      <w:r w:rsidR="000C7523" w:rsidRPr="00E7615A">
        <w:rPr>
          <w:rFonts w:ascii="Book Antiqua" w:hAnsi="Book Antiqua"/>
          <w:color w:val="000000" w:themeColor="text1"/>
          <w:sz w:val="24"/>
          <w:szCs w:val="24"/>
          <w:vertAlign w:val="superscript"/>
          <w:lang w:val="en-US"/>
        </w:rPr>
        <w:t>[</w:t>
      </w:r>
      <w:r w:rsidR="00380A33" w:rsidRPr="00E7615A">
        <w:rPr>
          <w:rFonts w:ascii="Book Antiqua" w:hAnsi="Book Antiqua"/>
          <w:color w:val="000000" w:themeColor="text1"/>
          <w:sz w:val="24"/>
          <w:szCs w:val="24"/>
          <w:vertAlign w:val="superscript"/>
          <w:lang w:val="en-US"/>
        </w:rPr>
        <w:t>113</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found that the number and multilineage differentiation potential of ASCs declined with the age of healthy volunteers</w:t>
      </w:r>
      <w:r w:rsidR="001752EC" w:rsidRPr="00E7615A">
        <w:rPr>
          <w:rFonts w:ascii="Book Antiqua" w:hAnsi="Book Antiqua"/>
          <w:color w:val="000000" w:themeColor="text1"/>
          <w:sz w:val="24"/>
          <w:szCs w:val="24"/>
          <w:lang w:val="en-US"/>
        </w:rPr>
        <w:t xml:space="preserve">, combined with </w:t>
      </w:r>
      <w:r w:rsidR="008E271A" w:rsidRPr="00E7615A">
        <w:rPr>
          <w:rFonts w:ascii="Book Antiqua" w:hAnsi="Book Antiqua"/>
          <w:color w:val="000000" w:themeColor="text1"/>
          <w:sz w:val="24"/>
          <w:szCs w:val="24"/>
          <w:lang w:val="en-US"/>
        </w:rPr>
        <w:t>increased expression of cyclin-dependent kinase inhibitor p16ink4a and CHEK1 (</w:t>
      </w:r>
      <w:r w:rsidR="00E7615A" w:rsidRPr="00E7615A">
        <w:rPr>
          <w:rFonts w:ascii="Book Antiqua" w:hAnsi="Book Antiqua"/>
          <w:i/>
          <w:color w:val="000000" w:themeColor="text1"/>
          <w:sz w:val="24"/>
          <w:szCs w:val="24"/>
          <w:lang w:val="en-US"/>
        </w:rPr>
        <w:t>i.e.</w:t>
      </w:r>
      <w:r w:rsidR="008E271A" w:rsidRPr="00E7615A">
        <w:rPr>
          <w:rFonts w:ascii="Book Antiqua" w:hAnsi="Book Antiqua"/>
          <w:color w:val="000000" w:themeColor="text1"/>
          <w:sz w:val="24"/>
          <w:szCs w:val="24"/>
          <w:lang w:val="en-US"/>
        </w:rPr>
        <w:t>, genes associated with senescence)</w:t>
      </w:r>
      <w:r w:rsidR="000C7523" w:rsidRPr="00E7615A">
        <w:rPr>
          <w:rFonts w:ascii="Book Antiqua" w:hAnsi="Book Antiqua"/>
          <w:color w:val="000000" w:themeColor="text1"/>
          <w:sz w:val="24"/>
          <w:szCs w:val="24"/>
          <w:vertAlign w:val="superscript"/>
          <w:lang w:val="en-US"/>
        </w:rPr>
        <w:t>[</w:t>
      </w:r>
      <w:r w:rsidR="00380A33" w:rsidRPr="00E7615A">
        <w:rPr>
          <w:rFonts w:ascii="Book Antiqua" w:hAnsi="Book Antiqua"/>
          <w:color w:val="000000" w:themeColor="text1"/>
          <w:sz w:val="24"/>
          <w:szCs w:val="24"/>
          <w:vertAlign w:val="superscript"/>
          <w:lang w:val="en-US"/>
        </w:rPr>
        <w:t>112</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These and other data reported in the literature have motivated patients to start cryopreserving ADRCs from </w:t>
      </w:r>
      <w:proofErr w:type="gramStart"/>
      <w:r w:rsidRPr="00E7615A">
        <w:rPr>
          <w:rFonts w:ascii="Book Antiqua" w:hAnsi="Book Antiqua"/>
          <w:color w:val="000000" w:themeColor="text1"/>
          <w:sz w:val="24"/>
          <w:szCs w:val="24"/>
          <w:lang w:val="en-US"/>
        </w:rPr>
        <w:t>lipoaspirate</w:t>
      </w:r>
      <w:r w:rsidR="000C7523" w:rsidRPr="00E7615A">
        <w:rPr>
          <w:rFonts w:ascii="Book Antiqua" w:hAnsi="Book Antiqua"/>
          <w:color w:val="000000" w:themeColor="text1"/>
          <w:sz w:val="24"/>
          <w:szCs w:val="24"/>
          <w:vertAlign w:val="superscript"/>
          <w:lang w:val="en-US"/>
        </w:rPr>
        <w:t>[</w:t>
      </w:r>
      <w:proofErr w:type="gramEnd"/>
      <w:r w:rsidR="00380A33" w:rsidRPr="00E7615A">
        <w:rPr>
          <w:rFonts w:ascii="Book Antiqua" w:hAnsi="Book Antiqua"/>
          <w:color w:val="000000" w:themeColor="text1"/>
          <w:sz w:val="24"/>
          <w:szCs w:val="24"/>
          <w:vertAlign w:val="superscript"/>
          <w:lang w:val="en-US"/>
        </w:rPr>
        <w:t>112</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 xml:space="preserve">However, a recent pilot study showed that two samples of ADRCs collected from a healthy person at age 72 years and again at age 84 years showed the same cell yield and ADRC subpopulation composition, without change in the proliferation rates of ASCs (obtained by culturing the ADSCs), as well as the capability of tri-lineage differentiation of both cell </w:t>
      </w:r>
      <w:proofErr w:type="gramStart"/>
      <w:r w:rsidRPr="00E7615A">
        <w:rPr>
          <w:rFonts w:ascii="Book Antiqua" w:hAnsi="Book Antiqua"/>
          <w:color w:val="000000" w:themeColor="text1"/>
          <w:sz w:val="24"/>
          <w:szCs w:val="24"/>
          <w:lang w:val="en-US"/>
        </w:rPr>
        <w:t>cultures</w:t>
      </w:r>
      <w:r w:rsidR="000C7523" w:rsidRPr="00E7615A">
        <w:rPr>
          <w:rFonts w:ascii="Book Antiqua" w:hAnsi="Book Antiqua"/>
          <w:color w:val="000000" w:themeColor="text1"/>
          <w:sz w:val="24"/>
          <w:szCs w:val="24"/>
          <w:vertAlign w:val="superscript"/>
          <w:lang w:val="en-US"/>
        </w:rPr>
        <w:t>[</w:t>
      </w:r>
      <w:proofErr w:type="gramEnd"/>
      <w:r w:rsidR="00380A33" w:rsidRPr="00E7615A">
        <w:rPr>
          <w:rFonts w:ascii="Book Antiqua" w:hAnsi="Book Antiqua"/>
          <w:color w:val="000000" w:themeColor="text1"/>
          <w:sz w:val="24"/>
          <w:szCs w:val="24"/>
          <w:vertAlign w:val="superscript"/>
          <w:lang w:val="en-US"/>
        </w:rPr>
        <w:t>112</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Another recent pilot study showed that protein expression profiles of human umbilical vein endothelial cells (HUVECs) that were co-cultured under oxidative stress conditions with ADRCs from three </w:t>
      </w:r>
      <w:r w:rsidR="004C0DF0" w:rsidRPr="00E7615A">
        <w:rPr>
          <w:rFonts w:ascii="Book Antiqua" w:hAnsi="Book Antiqua"/>
          <w:color w:val="000000" w:themeColor="text1"/>
          <w:sz w:val="24"/>
          <w:szCs w:val="24"/>
          <w:lang w:val="en-US"/>
        </w:rPr>
        <w:t>healthy</w:t>
      </w:r>
      <w:r w:rsidRPr="00E7615A">
        <w:rPr>
          <w:rFonts w:ascii="Book Antiqua" w:hAnsi="Book Antiqua"/>
          <w:color w:val="000000" w:themeColor="text1"/>
          <w:sz w:val="24"/>
          <w:szCs w:val="24"/>
          <w:lang w:val="en-US"/>
        </w:rPr>
        <w:t xml:space="preserve"> persons aged 42, 45 and 47 years did not differ from protein expression profiles of HUVECs that were co-cultured under identical conditions with ADRCs from three healthy persons aged 61 and 62 (two persons) </w:t>
      </w:r>
      <w:proofErr w:type="gramStart"/>
      <w:r w:rsidRPr="00E7615A">
        <w:rPr>
          <w:rFonts w:ascii="Book Antiqua" w:hAnsi="Book Antiqua"/>
          <w:color w:val="000000" w:themeColor="text1"/>
          <w:sz w:val="24"/>
          <w:szCs w:val="24"/>
          <w:lang w:val="en-US"/>
        </w:rPr>
        <w:t>years</w:t>
      </w:r>
      <w:r w:rsidR="000C7523" w:rsidRPr="00E7615A">
        <w:rPr>
          <w:rFonts w:ascii="Book Antiqua" w:hAnsi="Book Antiqua"/>
          <w:color w:val="000000" w:themeColor="text1"/>
          <w:sz w:val="24"/>
          <w:szCs w:val="24"/>
          <w:vertAlign w:val="superscript"/>
          <w:lang w:val="en-US"/>
        </w:rPr>
        <w:t>[</w:t>
      </w:r>
      <w:proofErr w:type="gramEnd"/>
      <w:r w:rsidR="00380A33" w:rsidRPr="00E7615A">
        <w:rPr>
          <w:rFonts w:ascii="Book Antiqua" w:hAnsi="Book Antiqua"/>
          <w:color w:val="000000" w:themeColor="text1"/>
          <w:sz w:val="24"/>
          <w:szCs w:val="24"/>
          <w:vertAlign w:val="superscript"/>
          <w:lang w:val="en-US"/>
        </w:rPr>
        <w:t>114</w:t>
      </w:r>
      <w:r w:rsidR="000C7523" w:rsidRPr="00E7615A">
        <w:rPr>
          <w:rFonts w:ascii="Book Antiqua" w:hAnsi="Book Antiqua"/>
          <w:color w:val="000000" w:themeColor="text1"/>
          <w:sz w:val="24"/>
          <w:szCs w:val="24"/>
          <w:vertAlign w:val="superscript"/>
          <w:lang w:val="en-US"/>
        </w:rPr>
        <w:t>]</w:t>
      </w:r>
      <w:r w:rsidR="000C7523"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Collectively</w:t>
      </w:r>
      <w:r w:rsidR="00F668FF"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these data, together with the results of the present study, indicate (albeit preliminary) that using freshly isolated UA-ADRCs from patients aged 79 years and older is a valid approach for GBR-MSA. Effects of aging on PRGF</w:t>
      </w:r>
      <w:r w:rsidR="00380A33" w:rsidRPr="00E7615A">
        <w:rPr>
          <w:rFonts w:ascii="Book Antiqua" w:hAnsi="Book Antiqua"/>
          <w:color w:val="000000" w:themeColor="text1"/>
          <w:sz w:val="24"/>
          <w:szCs w:val="24"/>
          <w:lang w:val="en-US"/>
        </w:rPr>
        <w:t>-2</w:t>
      </w:r>
      <w:r w:rsidRPr="00E7615A">
        <w:rPr>
          <w:rFonts w:ascii="Book Antiqua" w:hAnsi="Book Antiqua"/>
          <w:color w:val="000000" w:themeColor="text1"/>
          <w:sz w:val="24"/>
          <w:szCs w:val="24"/>
          <w:lang w:val="en-US"/>
        </w:rPr>
        <w:t xml:space="preserve"> have, to ou</w:t>
      </w:r>
      <w:r w:rsidR="00F668FF" w:rsidRPr="00E7615A">
        <w:rPr>
          <w:rFonts w:ascii="Book Antiqua" w:hAnsi="Book Antiqua"/>
          <w:color w:val="000000" w:themeColor="text1"/>
          <w:sz w:val="24"/>
          <w:szCs w:val="24"/>
          <w:lang w:val="en-US"/>
        </w:rPr>
        <w:t>r knowledge, not been reported.</w:t>
      </w:r>
    </w:p>
    <w:p w14:paraId="4844EE69" w14:textId="0CBF5AAD" w:rsidR="00256FF5" w:rsidRPr="00E7615A" w:rsidRDefault="00A37FD9"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There are limitations to the present study. First, only a single patient was investigated. However, from an ethical point of view</w:t>
      </w:r>
      <w:r w:rsidR="00F668FF"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this appears justified in a first-in-human pilot study. It goes without saying that the efficacy and safety of our novel approach must be confirmed in future studies (including well-designed randomized controlled trials) on a larger number of patients. Second, only a single combination of a </w:t>
      </w:r>
      <w:r w:rsidRPr="00E7615A">
        <w:rPr>
          <w:rFonts w:ascii="Book Antiqua" w:hAnsi="Book Antiqua"/>
          <w:color w:val="000000" w:themeColor="text1"/>
          <w:sz w:val="24"/>
          <w:szCs w:val="24"/>
          <w:lang w:val="en-US"/>
        </w:rPr>
        <w:lastRenderedPageBreak/>
        <w:t xml:space="preserve">certain dose of UA-ADRCs, PRGF-2 and a certain OIS was tested. However, </w:t>
      </w:r>
      <w:r w:rsidR="008E271A" w:rsidRPr="00E7615A">
        <w:rPr>
          <w:rFonts w:ascii="Book Antiqua" w:hAnsi="Book Antiqua"/>
          <w:color w:val="000000" w:themeColor="text1"/>
          <w:sz w:val="24"/>
          <w:szCs w:val="24"/>
          <w:lang w:val="en-US"/>
        </w:rPr>
        <w:t xml:space="preserve">the same was done in most other </w:t>
      </w:r>
      <w:r w:rsidRPr="00E7615A">
        <w:rPr>
          <w:rFonts w:ascii="Book Antiqua" w:hAnsi="Book Antiqua"/>
          <w:color w:val="000000" w:themeColor="text1"/>
          <w:sz w:val="24"/>
          <w:szCs w:val="24"/>
          <w:lang w:val="en-US"/>
        </w:rPr>
        <w:t xml:space="preserve">feasibility studies on cell-based therapies for GBR-MSA. Third, we did not investigate the combination of UA-ADRCs and MCBPA. Rather, we used MCBPA/PRGF-2/saline as </w:t>
      </w:r>
      <w:r w:rsidR="00F668FF" w:rsidRPr="00E7615A">
        <w:rPr>
          <w:rFonts w:ascii="Book Antiqua" w:hAnsi="Book Antiqua"/>
          <w:color w:val="000000" w:themeColor="text1"/>
          <w:sz w:val="24"/>
          <w:szCs w:val="24"/>
          <w:lang w:val="en-US"/>
        </w:rPr>
        <w:t xml:space="preserve">a </w:t>
      </w:r>
      <w:r w:rsidRPr="00E7615A">
        <w:rPr>
          <w:rFonts w:ascii="Book Antiqua" w:hAnsi="Book Antiqua"/>
          <w:color w:val="000000" w:themeColor="text1"/>
          <w:sz w:val="24"/>
          <w:szCs w:val="24"/>
          <w:lang w:val="en-US"/>
        </w:rPr>
        <w:t xml:space="preserve">control treatment because we wanted to compare the effects of UA-ADRCs in GBR-MSA with an established procedure (a similar decision was taken in an earlier </w:t>
      </w:r>
      <w:proofErr w:type="gramStart"/>
      <w:r w:rsidRPr="00E7615A">
        <w:rPr>
          <w:rFonts w:ascii="Book Antiqua" w:hAnsi="Book Antiqua"/>
          <w:color w:val="000000" w:themeColor="text1"/>
          <w:sz w:val="24"/>
          <w:szCs w:val="24"/>
          <w:lang w:val="en-US"/>
        </w:rPr>
        <w:t>study</w:t>
      </w:r>
      <w:r w:rsidR="000C7523" w:rsidRPr="00E7615A">
        <w:rPr>
          <w:rFonts w:ascii="Book Antiqua" w:hAnsi="Book Antiqua"/>
          <w:color w:val="000000" w:themeColor="text1"/>
          <w:sz w:val="24"/>
          <w:szCs w:val="24"/>
          <w:vertAlign w:val="superscript"/>
          <w:lang w:val="en-US"/>
        </w:rPr>
        <w:t>[</w:t>
      </w:r>
      <w:proofErr w:type="gramEnd"/>
      <w:r w:rsidR="00256FF5" w:rsidRPr="00E7615A">
        <w:rPr>
          <w:rFonts w:ascii="Book Antiqua" w:hAnsi="Book Antiqua"/>
          <w:color w:val="000000" w:themeColor="text1"/>
          <w:sz w:val="24"/>
          <w:szCs w:val="24"/>
          <w:vertAlign w:val="superscript"/>
          <w:lang w:val="en-US"/>
        </w:rPr>
        <w:t>79</w:t>
      </w:r>
      <w:r w:rsidR="000C7523"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lang w:val="en-US"/>
        </w:rPr>
        <w:t xml:space="preserve"> that compared a combination of BMAC</w:t>
      </w:r>
      <w:r w:rsidR="00D93F5C" w:rsidRPr="00E7615A">
        <w:rPr>
          <w:rFonts w:ascii="Book Antiqua" w:hAnsi="Book Antiqua"/>
          <w:color w:val="000000" w:themeColor="text1"/>
          <w:sz w:val="24"/>
          <w:szCs w:val="24"/>
          <w:lang w:val="en-US"/>
        </w:rPr>
        <w:t xml:space="preserve"> and BBM with a combination of </w:t>
      </w:r>
      <w:r w:rsidRPr="00E7615A">
        <w:rPr>
          <w:rFonts w:ascii="Book Antiqua" w:hAnsi="Book Antiqua"/>
          <w:color w:val="000000" w:themeColor="text1"/>
          <w:sz w:val="24"/>
          <w:szCs w:val="24"/>
          <w:lang w:val="en-US"/>
        </w:rPr>
        <w:t xml:space="preserve">autologous bone and BBM in GBR-MSA, rather than BBM alone). Fourth, we were unable to determine whether (and, if so, how many) UA-ADRCs differentiated into osteoblasts. This is due to the fact that UA-ADRCs can in principle not be labeled and, thus, not be </w:t>
      </w:r>
    </w:p>
    <w:p w14:paraId="3625CC31" w14:textId="77777777" w:rsidR="00071B2C" w:rsidRPr="00E7615A" w:rsidRDefault="00071B2C" w:rsidP="00D048E9">
      <w:pPr>
        <w:widowControl w:val="0"/>
        <w:adjustRightInd w:val="0"/>
        <w:snapToGrid w:val="0"/>
        <w:spacing w:after="0" w:line="360" w:lineRule="auto"/>
        <w:ind w:firstLine="432"/>
        <w:jc w:val="both"/>
        <w:rPr>
          <w:rFonts w:ascii="Book Antiqua" w:hAnsi="Book Antiqua"/>
          <w:color w:val="000000" w:themeColor="text1"/>
          <w:sz w:val="24"/>
          <w:szCs w:val="24"/>
          <w:lang w:val="en-US"/>
        </w:rPr>
      </w:pPr>
    </w:p>
    <w:p w14:paraId="39742D13" w14:textId="6ACC0A5E" w:rsidR="00256FF5" w:rsidRPr="00E7615A" w:rsidRDefault="00256FF5"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CONCLUSION</w:t>
      </w:r>
    </w:p>
    <w:p w14:paraId="00CACF6C" w14:textId="16DC0E77" w:rsidR="00A37FD9" w:rsidRPr="00E7615A" w:rsidRDefault="00256FF5"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w:t>
      </w:r>
      <w:r w:rsidR="00A37FD9" w:rsidRPr="00E7615A">
        <w:rPr>
          <w:rFonts w:ascii="Book Antiqua" w:hAnsi="Book Antiqua"/>
          <w:color w:val="000000" w:themeColor="text1"/>
          <w:sz w:val="24"/>
          <w:szCs w:val="24"/>
          <w:lang w:val="en-US"/>
        </w:rPr>
        <w:t>he present study suggests that GBR-MSA with a combination of UA-ADRCs, PRGF-2 and an OIS is effective, leading to a significant increase in the relative amount of newly formed bone and of dense fibrous tissue, as well as less unwanted new adipose tissue formation, without adverse effects. The results of our study support further evaluation of UA-ADRCs (including the isolation procedure used), dose and combination with PRFG-2 and an OIS in future clinical trials under strict criteria. Besides this, the results presented h</w:t>
      </w:r>
      <w:r w:rsidR="00F668FF" w:rsidRPr="00E7615A">
        <w:rPr>
          <w:rFonts w:ascii="Book Antiqua" w:hAnsi="Book Antiqua"/>
          <w:color w:val="000000" w:themeColor="text1"/>
          <w:sz w:val="24"/>
          <w:szCs w:val="24"/>
          <w:lang w:val="en-US"/>
        </w:rPr>
        <w:t>ere may also be of relevance to</w:t>
      </w:r>
      <w:r w:rsidR="00A37FD9" w:rsidRPr="00E7615A">
        <w:rPr>
          <w:rFonts w:ascii="Book Antiqua" w:hAnsi="Book Antiqua"/>
          <w:color w:val="000000" w:themeColor="text1"/>
          <w:sz w:val="24"/>
          <w:szCs w:val="24"/>
          <w:lang w:val="en-US"/>
        </w:rPr>
        <w:t xml:space="preserve"> other fields of regenerative dentistry using stem cells (reviewed </w:t>
      </w:r>
      <w:proofErr w:type="gramStart"/>
      <w:r w:rsidR="00A37FD9" w:rsidRPr="00E7615A">
        <w:rPr>
          <w:rFonts w:ascii="Book Antiqua" w:hAnsi="Book Antiqua"/>
          <w:color w:val="000000" w:themeColor="text1"/>
          <w:sz w:val="24"/>
          <w:szCs w:val="24"/>
          <w:lang w:val="en-US"/>
        </w:rPr>
        <w:t>in</w:t>
      </w:r>
      <w:r w:rsidR="000C7523" w:rsidRPr="00E7615A">
        <w:rPr>
          <w:rFonts w:ascii="Book Antiqua" w:hAnsi="Book Antiqua"/>
          <w:color w:val="000000" w:themeColor="text1"/>
          <w:sz w:val="24"/>
          <w:szCs w:val="24"/>
          <w:vertAlign w:val="superscript"/>
          <w:lang w:val="en-US"/>
        </w:rPr>
        <w:t>[</w:t>
      </w:r>
      <w:proofErr w:type="gramEnd"/>
      <w:r w:rsidRPr="00E7615A">
        <w:rPr>
          <w:rFonts w:ascii="Book Antiqua" w:hAnsi="Book Antiqua"/>
          <w:color w:val="000000" w:themeColor="text1"/>
          <w:sz w:val="24"/>
          <w:szCs w:val="24"/>
          <w:vertAlign w:val="superscript"/>
          <w:lang w:val="en-US"/>
        </w:rPr>
        <w:t>11</w:t>
      </w:r>
      <w:r w:rsidR="00CE6E76" w:rsidRPr="00E7615A">
        <w:rPr>
          <w:rFonts w:ascii="Book Antiqua" w:hAnsi="Book Antiqua"/>
          <w:color w:val="000000" w:themeColor="text1"/>
          <w:sz w:val="24"/>
          <w:szCs w:val="24"/>
          <w:vertAlign w:val="superscript"/>
          <w:lang w:val="en-US"/>
        </w:rPr>
        <w:t>5</w:t>
      </w:r>
      <w:r w:rsidR="00A37FD9" w:rsidRPr="00E7615A">
        <w:rPr>
          <w:rFonts w:ascii="Book Antiqua" w:hAnsi="Book Antiqua"/>
          <w:color w:val="000000" w:themeColor="text1"/>
          <w:sz w:val="24"/>
          <w:szCs w:val="24"/>
          <w:vertAlign w:val="superscript"/>
          <w:lang w:val="en-US"/>
        </w:rPr>
        <w:t>-</w:t>
      </w:r>
      <w:r w:rsidRPr="00E7615A">
        <w:rPr>
          <w:rFonts w:ascii="Book Antiqua" w:hAnsi="Book Antiqua"/>
          <w:color w:val="000000" w:themeColor="text1"/>
          <w:sz w:val="24"/>
          <w:szCs w:val="24"/>
          <w:vertAlign w:val="superscript"/>
          <w:lang w:val="en-US"/>
        </w:rPr>
        <w:t>11</w:t>
      </w:r>
      <w:r w:rsidR="00CE6E76" w:rsidRPr="00E7615A">
        <w:rPr>
          <w:rFonts w:ascii="Book Antiqua" w:hAnsi="Book Antiqua"/>
          <w:color w:val="000000" w:themeColor="text1"/>
          <w:sz w:val="24"/>
          <w:szCs w:val="24"/>
          <w:vertAlign w:val="superscript"/>
          <w:lang w:val="en-US"/>
        </w:rPr>
        <w:t>7</w:t>
      </w:r>
      <w:r w:rsidR="000C7523" w:rsidRPr="00E7615A">
        <w:rPr>
          <w:rFonts w:ascii="Book Antiqua" w:hAnsi="Book Antiqua"/>
          <w:color w:val="000000" w:themeColor="text1"/>
          <w:sz w:val="24"/>
          <w:szCs w:val="24"/>
          <w:vertAlign w:val="superscript"/>
          <w:lang w:val="en-US"/>
        </w:rPr>
        <w:t>]</w:t>
      </w:r>
      <w:r w:rsidR="00A37FD9" w:rsidRPr="00E7615A">
        <w:rPr>
          <w:rFonts w:ascii="Book Antiqua" w:hAnsi="Book Antiqua"/>
          <w:color w:val="000000" w:themeColor="text1"/>
          <w:sz w:val="24"/>
          <w:szCs w:val="24"/>
          <w:lang w:val="en-US"/>
        </w:rPr>
        <w:t>), as well as for guide</w:t>
      </w:r>
      <w:r w:rsidR="0053594A" w:rsidRPr="00E7615A">
        <w:rPr>
          <w:rFonts w:ascii="Book Antiqua" w:hAnsi="Book Antiqua"/>
          <w:color w:val="000000" w:themeColor="text1"/>
          <w:sz w:val="24"/>
          <w:szCs w:val="24"/>
          <w:lang w:val="en-US"/>
        </w:rPr>
        <w:t>d bone regeneration in general.</w:t>
      </w:r>
      <w:r w:rsidRPr="00E7615A">
        <w:rPr>
          <w:rFonts w:ascii="Book Antiqua" w:hAnsi="Book Antiqua"/>
          <w:color w:val="000000" w:themeColor="text1"/>
          <w:sz w:val="24"/>
          <w:szCs w:val="24"/>
          <w:lang w:val="en-US"/>
        </w:rPr>
        <w:t xml:space="preserve"> As soon as </w:t>
      </w:r>
      <w:r w:rsidR="00E00F64" w:rsidRPr="00E7615A">
        <w:rPr>
          <w:rFonts w:ascii="Book Antiqua" w:hAnsi="Book Antiqua"/>
          <w:color w:val="000000" w:themeColor="text1"/>
          <w:sz w:val="24"/>
          <w:szCs w:val="24"/>
          <w:lang w:val="en-US"/>
        </w:rPr>
        <w:t xml:space="preserve">the procedure of preparing UA-ADRCs as described in the present study will be approved by the corresponding regulatory authorities in Germany it will be established as </w:t>
      </w:r>
      <w:r w:rsidR="00071B2C" w:rsidRPr="00E7615A">
        <w:rPr>
          <w:rFonts w:ascii="Book Antiqua" w:hAnsi="Book Antiqua"/>
          <w:color w:val="000000" w:themeColor="text1"/>
          <w:sz w:val="24"/>
          <w:szCs w:val="24"/>
          <w:lang w:val="en-US"/>
        </w:rPr>
        <w:t>standard operation procedure in the clinic of the PI.</w:t>
      </w:r>
    </w:p>
    <w:p w14:paraId="58582FCA" w14:textId="77777777" w:rsidR="008F6ED9" w:rsidRPr="00E7615A" w:rsidRDefault="008F6ED9" w:rsidP="00D048E9">
      <w:pPr>
        <w:widowControl w:val="0"/>
        <w:adjustRightInd w:val="0"/>
        <w:snapToGrid w:val="0"/>
        <w:spacing w:after="0" w:line="360" w:lineRule="auto"/>
        <w:jc w:val="both"/>
        <w:rPr>
          <w:rFonts w:ascii="Book Antiqua" w:hAnsi="Book Antiqua"/>
          <w:b/>
          <w:color w:val="000000" w:themeColor="text1"/>
          <w:sz w:val="24"/>
          <w:szCs w:val="24"/>
          <w:lang w:val="en-US" w:eastAsia="zh-CN"/>
        </w:rPr>
      </w:pPr>
    </w:p>
    <w:p w14:paraId="09D75CFB" w14:textId="77777777" w:rsidR="00A240D5" w:rsidRPr="00E7615A" w:rsidRDefault="00AB2C8C" w:rsidP="00D048E9">
      <w:pPr>
        <w:widowControl w:val="0"/>
        <w:adjustRightInd w:val="0"/>
        <w:snapToGrid w:val="0"/>
        <w:spacing w:after="0" w:line="360" w:lineRule="auto"/>
        <w:jc w:val="both"/>
        <w:rPr>
          <w:rFonts w:ascii="Book Antiqua" w:hAnsi="Book Antiqua"/>
          <w:b/>
          <w:caps/>
          <w:color w:val="000000" w:themeColor="text1"/>
          <w:sz w:val="24"/>
          <w:szCs w:val="24"/>
          <w:lang w:val="en-US" w:eastAsia="zh-CN"/>
        </w:rPr>
      </w:pPr>
      <w:r w:rsidRPr="00E7615A">
        <w:rPr>
          <w:rFonts w:ascii="Book Antiqua" w:hAnsi="Book Antiqua"/>
          <w:b/>
          <w:caps/>
          <w:color w:val="000000" w:themeColor="text1"/>
          <w:sz w:val="24"/>
          <w:szCs w:val="24"/>
          <w:lang w:val="en-US" w:eastAsia="zh-CN"/>
        </w:rPr>
        <w:t>Acknowledgement</w:t>
      </w:r>
      <w:r w:rsidR="00A240D5" w:rsidRPr="00E7615A">
        <w:rPr>
          <w:rFonts w:ascii="Book Antiqua" w:hAnsi="Book Antiqua"/>
          <w:b/>
          <w:caps/>
          <w:color w:val="000000" w:themeColor="text1"/>
          <w:sz w:val="24"/>
          <w:szCs w:val="24"/>
          <w:lang w:val="en-US" w:eastAsia="zh-CN"/>
        </w:rPr>
        <w:t>s</w:t>
      </w:r>
    </w:p>
    <w:p w14:paraId="26B0AE8B" w14:textId="2616B671" w:rsidR="00AB2C8C" w:rsidRPr="00E7615A" w:rsidRDefault="00AB2C8C"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color w:val="000000" w:themeColor="text1"/>
          <w:sz w:val="24"/>
          <w:szCs w:val="24"/>
          <w:lang w:val="en-US" w:eastAsia="zh-CN"/>
        </w:rPr>
        <w:t>We thank Aschauer B, Müller-Bay I and van Dyck S for technical support.</w:t>
      </w:r>
    </w:p>
    <w:p w14:paraId="0C3B0B97" w14:textId="77777777" w:rsidR="00AB2C8C" w:rsidRPr="00E7615A" w:rsidRDefault="00AB2C8C" w:rsidP="00D048E9">
      <w:pPr>
        <w:widowControl w:val="0"/>
        <w:adjustRightInd w:val="0"/>
        <w:snapToGrid w:val="0"/>
        <w:spacing w:after="0" w:line="360" w:lineRule="auto"/>
        <w:jc w:val="both"/>
        <w:rPr>
          <w:rFonts w:ascii="Book Antiqua" w:hAnsi="Book Antiqua"/>
          <w:b/>
          <w:color w:val="000000" w:themeColor="text1"/>
          <w:sz w:val="24"/>
          <w:szCs w:val="24"/>
          <w:lang w:val="en-US" w:eastAsia="zh-CN"/>
        </w:rPr>
      </w:pPr>
    </w:p>
    <w:p w14:paraId="5C15A85E" w14:textId="3C9F733E" w:rsidR="00A37FD9" w:rsidRDefault="00A37FD9" w:rsidP="00D048E9">
      <w:pPr>
        <w:widowControl w:val="0"/>
        <w:adjustRightInd w:val="0"/>
        <w:snapToGrid w:val="0"/>
        <w:spacing w:after="0" w:line="360" w:lineRule="auto"/>
        <w:jc w:val="both"/>
        <w:rPr>
          <w:rFonts w:ascii="Book Antiqua" w:hAnsi="Book Antiqua"/>
          <w:b/>
          <w:color w:val="000000" w:themeColor="text1"/>
          <w:sz w:val="24"/>
          <w:szCs w:val="24"/>
          <w:lang w:val="en-US" w:eastAsia="zh-CN"/>
        </w:rPr>
      </w:pPr>
      <w:r w:rsidRPr="00E7615A">
        <w:rPr>
          <w:rFonts w:ascii="Book Antiqua" w:hAnsi="Book Antiqua"/>
          <w:b/>
          <w:color w:val="000000" w:themeColor="text1"/>
          <w:sz w:val="24"/>
          <w:szCs w:val="24"/>
          <w:lang w:val="en-US"/>
        </w:rPr>
        <w:t>REFERENCES</w:t>
      </w:r>
    </w:p>
    <w:p w14:paraId="23FA452C"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 </w:t>
      </w:r>
      <w:r w:rsidRPr="00414407">
        <w:rPr>
          <w:rFonts w:ascii="Book Antiqua" w:hAnsi="Book Antiqua"/>
          <w:b/>
          <w:kern w:val="2"/>
          <w:sz w:val="24"/>
          <w:szCs w:val="24"/>
          <w:lang w:val="en-US" w:eastAsia="zh-CN"/>
        </w:rPr>
        <w:t>Laudenbach JM</w:t>
      </w:r>
      <w:r w:rsidRPr="00414407">
        <w:rPr>
          <w:rFonts w:ascii="Book Antiqua" w:hAnsi="Book Antiqua"/>
          <w:kern w:val="2"/>
          <w:sz w:val="24"/>
          <w:szCs w:val="24"/>
          <w:lang w:val="en-US" w:eastAsia="zh-CN"/>
        </w:rPr>
        <w:t xml:space="preserve">, Simon Z. Common dental and periodontal diseases: evaluation and management. </w:t>
      </w:r>
      <w:r w:rsidRPr="00414407">
        <w:rPr>
          <w:rFonts w:ascii="Book Antiqua" w:hAnsi="Book Antiqua"/>
          <w:i/>
          <w:kern w:val="2"/>
          <w:sz w:val="24"/>
          <w:szCs w:val="24"/>
          <w:lang w:val="en-US" w:eastAsia="zh-CN"/>
        </w:rPr>
        <w:t>Med Clin North Am</w:t>
      </w:r>
      <w:r w:rsidRPr="00414407">
        <w:rPr>
          <w:rFonts w:ascii="Book Antiqua" w:hAnsi="Book Antiqua"/>
          <w:kern w:val="2"/>
          <w:sz w:val="24"/>
          <w:szCs w:val="24"/>
          <w:lang w:val="en-US" w:eastAsia="zh-CN"/>
        </w:rPr>
        <w:t xml:space="preserve"> 2014; </w:t>
      </w:r>
      <w:r w:rsidRPr="00414407">
        <w:rPr>
          <w:rFonts w:ascii="Book Antiqua" w:hAnsi="Book Antiqua"/>
          <w:b/>
          <w:kern w:val="2"/>
          <w:sz w:val="24"/>
          <w:szCs w:val="24"/>
          <w:lang w:val="en-US" w:eastAsia="zh-CN"/>
        </w:rPr>
        <w:t>98</w:t>
      </w:r>
      <w:r w:rsidRPr="00414407">
        <w:rPr>
          <w:rFonts w:ascii="Book Antiqua" w:hAnsi="Book Antiqua"/>
          <w:kern w:val="2"/>
          <w:sz w:val="24"/>
          <w:szCs w:val="24"/>
          <w:lang w:val="en-US" w:eastAsia="zh-CN"/>
        </w:rPr>
        <w:t xml:space="preserve">: 1239-1260 [PMID: 25443675 DOI: </w:t>
      </w:r>
      <w:r w:rsidRPr="00414407">
        <w:rPr>
          <w:rFonts w:ascii="Book Antiqua" w:hAnsi="Book Antiqua"/>
          <w:kern w:val="2"/>
          <w:sz w:val="24"/>
          <w:szCs w:val="24"/>
          <w:lang w:val="en-US" w:eastAsia="zh-CN"/>
        </w:rPr>
        <w:lastRenderedPageBreak/>
        <w:t>10.1016/j.mcna.2014.08.002]</w:t>
      </w:r>
    </w:p>
    <w:p w14:paraId="533C6D65"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 </w:t>
      </w:r>
      <w:r w:rsidRPr="00414407">
        <w:rPr>
          <w:rFonts w:ascii="Book Antiqua" w:hAnsi="Book Antiqua"/>
          <w:b/>
          <w:kern w:val="2"/>
          <w:sz w:val="24"/>
          <w:szCs w:val="24"/>
          <w:lang w:val="en-US" w:eastAsia="zh-CN"/>
        </w:rPr>
        <w:t>Moraschini V</w:t>
      </w:r>
      <w:r w:rsidRPr="00414407">
        <w:rPr>
          <w:rFonts w:ascii="Book Antiqua" w:hAnsi="Book Antiqua"/>
          <w:kern w:val="2"/>
          <w:sz w:val="24"/>
          <w:szCs w:val="24"/>
          <w:lang w:val="en-US" w:eastAsia="zh-CN"/>
        </w:rPr>
        <w:t xml:space="preserve">, Poubel LA, Ferreira VF, Barboza Edos S. Evaluation of survival and success rates of dental implants reported in longitudinal studies with a follow-up period of at least 10 years: a systematic review. </w:t>
      </w:r>
      <w:r w:rsidRPr="00414407">
        <w:rPr>
          <w:rFonts w:ascii="Book Antiqua" w:hAnsi="Book Antiqua"/>
          <w:i/>
          <w:kern w:val="2"/>
          <w:sz w:val="24"/>
          <w:szCs w:val="24"/>
          <w:lang w:val="en-US" w:eastAsia="zh-CN"/>
        </w:rPr>
        <w:t>Int J Oral Maxillofac Surg</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44</w:t>
      </w:r>
      <w:r w:rsidRPr="00414407">
        <w:rPr>
          <w:rFonts w:ascii="Book Antiqua" w:hAnsi="Book Antiqua"/>
          <w:kern w:val="2"/>
          <w:sz w:val="24"/>
          <w:szCs w:val="24"/>
          <w:lang w:val="en-US" w:eastAsia="zh-CN"/>
        </w:rPr>
        <w:t>: 377-388 [PMID: 25467739 DOI: 10.1016/j.ijom.2014.10.023]</w:t>
      </w:r>
    </w:p>
    <w:p w14:paraId="503D8F50"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3 </w:t>
      </w:r>
      <w:r w:rsidRPr="00414407">
        <w:rPr>
          <w:rFonts w:ascii="Book Antiqua" w:hAnsi="Book Antiqua"/>
          <w:b/>
          <w:kern w:val="2"/>
          <w:sz w:val="24"/>
          <w:szCs w:val="24"/>
          <w:lang w:val="en-US" w:eastAsia="zh-CN"/>
        </w:rPr>
        <w:t>Lundgren S</w:t>
      </w:r>
      <w:r w:rsidRPr="00414407">
        <w:rPr>
          <w:rFonts w:ascii="Book Antiqua" w:hAnsi="Book Antiqua"/>
          <w:kern w:val="2"/>
          <w:sz w:val="24"/>
          <w:szCs w:val="24"/>
          <w:lang w:val="en-US" w:eastAsia="zh-CN"/>
        </w:rPr>
        <w:t xml:space="preserve">, Cricchio G, Hallman M, Jungner M, Rasmusson L, Sennerby L. Sinus floor elevation procedures to enable implant placement and integration: techniques, biological aspects and clinical outcomes. </w:t>
      </w:r>
      <w:r w:rsidRPr="00414407">
        <w:rPr>
          <w:rFonts w:ascii="Book Antiqua" w:hAnsi="Book Antiqua"/>
          <w:i/>
          <w:kern w:val="2"/>
          <w:sz w:val="24"/>
          <w:szCs w:val="24"/>
          <w:lang w:val="en-US" w:eastAsia="zh-CN"/>
        </w:rPr>
        <w:t>Periodontol 2000</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73</w:t>
      </w:r>
      <w:r w:rsidRPr="00414407">
        <w:rPr>
          <w:rFonts w:ascii="Book Antiqua" w:hAnsi="Book Antiqua"/>
          <w:kern w:val="2"/>
          <w:sz w:val="24"/>
          <w:szCs w:val="24"/>
          <w:lang w:val="en-US" w:eastAsia="zh-CN"/>
        </w:rPr>
        <w:t>: 103-120 [PMID: 28000271 DOI: 10.1111/prd.12165]</w:t>
      </w:r>
    </w:p>
    <w:p w14:paraId="64AFBEC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4 </w:t>
      </w:r>
      <w:r w:rsidRPr="00414407">
        <w:rPr>
          <w:rFonts w:ascii="Book Antiqua" w:hAnsi="Book Antiqua"/>
          <w:b/>
          <w:kern w:val="2"/>
          <w:sz w:val="24"/>
          <w:szCs w:val="24"/>
          <w:lang w:val="en-US" w:eastAsia="zh-CN"/>
        </w:rPr>
        <w:t>Esposito M</w:t>
      </w:r>
      <w:r w:rsidRPr="00414407">
        <w:rPr>
          <w:rFonts w:ascii="Book Antiqua" w:hAnsi="Book Antiqua"/>
          <w:kern w:val="2"/>
          <w:sz w:val="24"/>
          <w:szCs w:val="24"/>
          <w:lang w:val="en-US" w:eastAsia="zh-CN"/>
        </w:rPr>
        <w:t xml:space="preserve">, Felice P, Worthington HV. Interventions for replacing missing teeth: augmentation procedures of the maxillary sinus. </w:t>
      </w:r>
      <w:r w:rsidRPr="00414407">
        <w:rPr>
          <w:rFonts w:ascii="Book Antiqua" w:hAnsi="Book Antiqua"/>
          <w:i/>
          <w:kern w:val="2"/>
          <w:sz w:val="24"/>
          <w:szCs w:val="24"/>
          <w:lang w:val="en-US" w:eastAsia="zh-CN"/>
        </w:rPr>
        <w:t>Cochrane Database Syst Rev</w:t>
      </w:r>
      <w:r w:rsidRPr="00414407">
        <w:rPr>
          <w:rFonts w:ascii="Book Antiqua" w:hAnsi="Book Antiqua"/>
          <w:kern w:val="2"/>
          <w:sz w:val="24"/>
          <w:szCs w:val="24"/>
          <w:lang w:val="en-US" w:eastAsia="zh-CN"/>
        </w:rPr>
        <w:t xml:space="preserve"> 2014; </w:t>
      </w:r>
      <w:r w:rsidRPr="00414407">
        <w:rPr>
          <w:rFonts w:ascii="Book Antiqua" w:hAnsi="Book Antiqua"/>
          <w:b/>
          <w:kern w:val="2"/>
          <w:sz w:val="24"/>
          <w:szCs w:val="24"/>
          <w:lang w:val="en-US" w:eastAsia="zh-CN"/>
        </w:rPr>
        <w:t>(5)</w:t>
      </w:r>
      <w:r w:rsidRPr="00414407">
        <w:rPr>
          <w:rFonts w:ascii="Book Antiqua" w:hAnsi="Book Antiqua"/>
          <w:kern w:val="2"/>
          <w:sz w:val="24"/>
          <w:szCs w:val="24"/>
          <w:lang w:val="en-US" w:eastAsia="zh-CN"/>
        </w:rPr>
        <w:t xml:space="preserve">: CD008397 [PMID: </w:t>
      </w:r>
      <w:bookmarkStart w:id="174" w:name="OLE_LINK158"/>
      <w:bookmarkStart w:id="175" w:name="OLE_LINK159"/>
      <w:r w:rsidRPr="00414407">
        <w:rPr>
          <w:rFonts w:ascii="Book Antiqua" w:hAnsi="Book Antiqua"/>
          <w:kern w:val="2"/>
          <w:sz w:val="24"/>
          <w:szCs w:val="24"/>
          <w:lang w:val="en-US" w:eastAsia="zh-CN"/>
        </w:rPr>
        <w:t xml:space="preserve">24825543 </w:t>
      </w:r>
      <w:bookmarkEnd w:id="174"/>
      <w:bookmarkEnd w:id="175"/>
      <w:r w:rsidRPr="00414407">
        <w:rPr>
          <w:rFonts w:ascii="Book Antiqua" w:hAnsi="Book Antiqua"/>
          <w:kern w:val="2"/>
          <w:sz w:val="24"/>
          <w:szCs w:val="24"/>
          <w:lang w:val="en-US" w:eastAsia="zh-CN"/>
        </w:rPr>
        <w:t>DOI: 10.1002/14651858.CD008397.pub2]</w:t>
      </w:r>
    </w:p>
    <w:p w14:paraId="453807BB"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5 </w:t>
      </w:r>
      <w:r w:rsidRPr="00414407">
        <w:rPr>
          <w:rFonts w:ascii="Book Antiqua" w:hAnsi="Book Antiqua"/>
          <w:b/>
          <w:kern w:val="2"/>
          <w:sz w:val="24"/>
          <w:szCs w:val="24"/>
          <w:lang w:val="en-US" w:eastAsia="zh-CN"/>
        </w:rPr>
        <w:t>Starch-Jensen T</w:t>
      </w:r>
      <w:r w:rsidRPr="00414407">
        <w:rPr>
          <w:rFonts w:ascii="Book Antiqua" w:hAnsi="Book Antiqua"/>
          <w:kern w:val="2"/>
          <w:sz w:val="24"/>
          <w:szCs w:val="24"/>
          <w:lang w:val="en-US" w:eastAsia="zh-CN"/>
        </w:rPr>
        <w:t xml:space="preserve">, Jensen JD. Maxillary Sinus Floor Augmentation: a Review of Selected Treatment Modalities. </w:t>
      </w:r>
      <w:r w:rsidRPr="00414407">
        <w:rPr>
          <w:rFonts w:ascii="Book Antiqua" w:hAnsi="Book Antiqua"/>
          <w:i/>
          <w:kern w:val="2"/>
          <w:sz w:val="24"/>
          <w:szCs w:val="24"/>
          <w:lang w:val="en-US" w:eastAsia="zh-CN"/>
        </w:rPr>
        <w:t>J Oral Maxillofac Res</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8</w:t>
      </w:r>
      <w:r w:rsidRPr="00414407">
        <w:rPr>
          <w:rFonts w:ascii="Book Antiqua" w:hAnsi="Book Antiqua"/>
          <w:kern w:val="2"/>
          <w:sz w:val="24"/>
          <w:szCs w:val="24"/>
          <w:lang w:val="en-US" w:eastAsia="zh-CN"/>
        </w:rPr>
        <w:t>: e3 [PMID: 29142655 DOI: 10.5037/jomr.2017.8303]</w:t>
      </w:r>
    </w:p>
    <w:p w14:paraId="118D666E"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 </w:t>
      </w:r>
      <w:r w:rsidRPr="00414407">
        <w:rPr>
          <w:rFonts w:ascii="Book Antiqua" w:hAnsi="Book Antiqua"/>
          <w:b/>
          <w:kern w:val="2"/>
          <w:sz w:val="24"/>
          <w:szCs w:val="24"/>
          <w:lang w:val="en-US" w:eastAsia="zh-CN"/>
        </w:rPr>
        <w:t>Al-Dajani M</w:t>
      </w:r>
      <w:r w:rsidRPr="00414407">
        <w:rPr>
          <w:rFonts w:ascii="Book Antiqua" w:hAnsi="Book Antiqua"/>
          <w:kern w:val="2"/>
          <w:sz w:val="24"/>
          <w:szCs w:val="24"/>
          <w:lang w:val="en-US" w:eastAsia="zh-CN"/>
        </w:rPr>
        <w:t xml:space="preserve">. Recent Trends in Sinus Lift Surgery and Their Clinical Implications. </w:t>
      </w:r>
      <w:r w:rsidRPr="00414407">
        <w:rPr>
          <w:rFonts w:ascii="Book Antiqua" w:hAnsi="Book Antiqua"/>
          <w:i/>
          <w:kern w:val="2"/>
          <w:sz w:val="24"/>
          <w:szCs w:val="24"/>
          <w:lang w:val="en-US" w:eastAsia="zh-CN"/>
        </w:rPr>
        <w:t>Clin Implant Dent Relat Res</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18</w:t>
      </w:r>
      <w:r w:rsidRPr="00414407">
        <w:rPr>
          <w:rFonts w:ascii="Book Antiqua" w:hAnsi="Book Antiqua"/>
          <w:kern w:val="2"/>
          <w:sz w:val="24"/>
          <w:szCs w:val="24"/>
          <w:lang w:val="en-US" w:eastAsia="zh-CN"/>
        </w:rPr>
        <w:t>: 204-212 [PMID: 25274014 DOI: 10.1111/cid.12275]</w:t>
      </w:r>
    </w:p>
    <w:p w14:paraId="789F4719"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 </w:t>
      </w:r>
      <w:r w:rsidRPr="00414407">
        <w:rPr>
          <w:rFonts w:ascii="Book Antiqua" w:hAnsi="Book Antiqua"/>
          <w:b/>
          <w:kern w:val="2"/>
          <w:sz w:val="24"/>
          <w:szCs w:val="24"/>
          <w:lang w:val="en-US" w:eastAsia="zh-CN"/>
        </w:rPr>
        <w:t>Jamjoom A</w:t>
      </w:r>
      <w:r w:rsidRPr="00414407">
        <w:rPr>
          <w:rFonts w:ascii="Book Antiqua" w:hAnsi="Book Antiqua"/>
          <w:kern w:val="2"/>
          <w:sz w:val="24"/>
          <w:szCs w:val="24"/>
          <w:lang w:val="en-US" w:eastAsia="zh-CN"/>
        </w:rPr>
        <w:t xml:space="preserve">, Cohen RE. Grafts for Ridge Preservation. </w:t>
      </w:r>
      <w:r w:rsidRPr="00414407">
        <w:rPr>
          <w:rFonts w:ascii="Book Antiqua" w:hAnsi="Book Antiqua"/>
          <w:i/>
          <w:kern w:val="2"/>
          <w:sz w:val="24"/>
          <w:szCs w:val="24"/>
          <w:lang w:val="en-US" w:eastAsia="zh-CN"/>
        </w:rPr>
        <w:t>J Funct Biomater</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6</w:t>
      </w:r>
      <w:r w:rsidRPr="00414407">
        <w:rPr>
          <w:rFonts w:ascii="Book Antiqua" w:hAnsi="Book Antiqua"/>
          <w:kern w:val="2"/>
          <w:sz w:val="24"/>
          <w:szCs w:val="24"/>
          <w:lang w:val="en-US" w:eastAsia="zh-CN"/>
        </w:rPr>
        <w:t>: 833-848 [PMID: 26262646 DOI: 10.3390/jfb6030833]</w:t>
      </w:r>
    </w:p>
    <w:p w14:paraId="117792AE"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 </w:t>
      </w:r>
      <w:r w:rsidRPr="00414407">
        <w:rPr>
          <w:rFonts w:ascii="Book Antiqua" w:hAnsi="Book Antiqua"/>
          <w:b/>
          <w:kern w:val="2"/>
          <w:sz w:val="24"/>
          <w:szCs w:val="24"/>
          <w:lang w:val="en-US" w:eastAsia="zh-CN"/>
        </w:rPr>
        <w:t>Rogers GF</w:t>
      </w:r>
      <w:r w:rsidRPr="00414407">
        <w:rPr>
          <w:rFonts w:ascii="Book Antiqua" w:hAnsi="Book Antiqua"/>
          <w:kern w:val="2"/>
          <w:sz w:val="24"/>
          <w:szCs w:val="24"/>
          <w:lang w:val="en-US" w:eastAsia="zh-CN"/>
        </w:rPr>
        <w:t>, Greene AK. Autogenous bone graft:</w:t>
      </w:r>
      <w:r w:rsidRPr="00414407">
        <w:rPr>
          <w:rFonts w:ascii="Book Antiqua" w:hAnsi="Book Antiqua"/>
          <w:i/>
          <w:kern w:val="2"/>
          <w:sz w:val="24"/>
          <w:szCs w:val="24"/>
          <w:lang w:val="en-US" w:eastAsia="zh-CN"/>
        </w:rPr>
        <w:t xml:space="preserve"> </w:t>
      </w:r>
      <w:r w:rsidRPr="00414407">
        <w:rPr>
          <w:rFonts w:ascii="Book Antiqua" w:hAnsi="Book Antiqua"/>
          <w:kern w:val="2"/>
          <w:sz w:val="24"/>
          <w:szCs w:val="24"/>
          <w:lang w:val="en-US" w:eastAsia="zh-CN"/>
        </w:rPr>
        <w:t xml:space="preserve">basic science and clinical implications. </w:t>
      </w:r>
      <w:r w:rsidRPr="00414407">
        <w:rPr>
          <w:rFonts w:ascii="Book Antiqua" w:hAnsi="Book Antiqua"/>
          <w:i/>
          <w:kern w:val="2"/>
          <w:sz w:val="24"/>
          <w:szCs w:val="24"/>
          <w:lang w:val="en-US" w:eastAsia="zh-CN"/>
        </w:rPr>
        <w:t>J Craniofac Surg</w:t>
      </w:r>
      <w:r w:rsidRPr="00414407">
        <w:rPr>
          <w:rFonts w:ascii="Book Antiqua" w:hAnsi="Book Antiqua"/>
          <w:kern w:val="2"/>
          <w:sz w:val="24"/>
          <w:szCs w:val="24"/>
          <w:lang w:val="en-US" w:eastAsia="zh-CN"/>
        </w:rPr>
        <w:t xml:space="preserve"> 2012; </w:t>
      </w:r>
      <w:r w:rsidRPr="00414407">
        <w:rPr>
          <w:rFonts w:ascii="Book Antiqua" w:hAnsi="Book Antiqua"/>
          <w:b/>
          <w:kern w:val="2"/>
          <w:sz w:val="24"/>
          <w:szCs w:val="24"/>
          <w:lang w:val="en-US" w:eastAsia="zh-CN"/>
        </w:rPr>
        <w:t>23</w:t>
      </w:r>
      <w:r w:rsidRPr="00414407">
        <w:rPr>
          <w:rFonts w:ascii="Book Antiqua" w:hAnsi="Book Antiqua"/>
          <w:kern w:val="2"/>
          <w:sz w:val="24"/>
          <w:szCs w:val="24"/>
          <w:lang w:val="en-US" w:eastAsia="zh-CN"/>
        </w:rPr>
        <w:t>: 323-327 [PMID: 22337435 DOI: 10.1097/SCS.0b013e318241dcba]</w:t>
      </w:r>
    </w:p>
    <w:p w14:paraId="3342D5C8"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9 </w:t>
      </w:r>
      <w:r w:rsidRPr="00414407">
        <w:rPr>
          <w:rFonts w:ascii="Book Antiqua" w:hAnsi="Book Antiqua"/>
          <w:b/>
          <w:kern w:val="2"/>
          <w:sz w:val="24"/>
          <w:szCs w:val="24"/>
          <w:lang w:val="en-US" w:eastAsia="zh-CN"/>
        </w:rPr>
        <w:t>Sakkas A</w:t>
      </w:r>
      <w:r w:rsidRPr="00414407">
        <w:rPr>
          <w:rFonts w:ascii="Book Antiqua" w:hAnsi="Book Antiqua"/>
          <w:kern w:val="2"/>
          <w:sz w:val="24"/>
          <w:szCs w:val="24"/>
          <w:lang w:val="en-US" w:eastAsia="zh-CN"/>
        </w:rPr>
        <w:t xml:space="preserve">, Wilde F, Heufelder M, Winter K, Schramm A. Autogenous bone grafts in oral implantology-is it still a "gold standard"? A consecutive review of 279 patients with 456 clinical procedures. </w:t>
      </w:r>
      <w:r w:rsidRPr="00414407">
        <w:rPr>
          <w:rFonts w:ascii="Book Antiqua" w:hAnsi="Book Antiqua"/>
          <w:i/>
          <w:kern w:val="2"/>
          <w:sz w:val="24"/>
          <w:szCs w:val="24"/>
          <w:lang w:val="en-US" w:eastAsia="zh-CN"/>
        </w:rPr>
        <w:t>Int J Implant Dent</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3</w:t>
      </w:r>
      <w:r w:rsidRPr="00414407">
        <w:rPr>
          <w:rFonts w:ascii="Book Antiqua" w:hAnsi="Book Antiqua"/>
          <w:kern w:val="2"/>
          <w:sz w:val="24"/>
          <w:szCs w:val="24"/>
          <w:lang w:val="en-US" w:eastAsia="zh-CN"/>
        </w:rPr>
        <w:t>: 23 [PMID: 28573552 DOI: 10.1186/s40729-017-0084-4]</w:t>
      </w:r>
    </w:p>
    <w:p w14:paraId="261038D1"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 </w:t>
      </w:r>
      <w:r w:rsidRPr="00414407">
        <w:rPr>
          <w:rFonts w:ascii="Book Antiqua" w:hAnsi="Book Antiqua"/>
          <w:b/>
          <w:kern w:val="2"/>
          <w:sz w:val="24"/>
          <w:szCs w:val="24"/>
          <w:lang w:val="en-US" w:eastAsia="zh-CN"/>
        </w:rPr>
        <w:t>Sanz M</w:t>
      </w:r>
      <w:r w:rsidRPr="00414407">
        <w:rPr>
          <w:rFonts w:ascii="Book Antiqua" w:hAnsi="Book Antiqua"/>
          <w:kern w:val="2"/>
          <w:sz w:val="24"/>
          <w:szCs w:val="24"/>
          <w:lang w:val="en-US" w:eastAsia="zh-CN"/>
        </w:rPr>
        <w:t xml:space="preserve">, Vignoletti F. Key aspects on the use of bone substitutes for bone regeneration of edentulous ridges. </w:t>
      </w:r>
      <w:r w:rsidRPr="00414407">
        <w:rPr>
          <w:rFonts w:ascii="Book Antiqua" w:hAnsi="Book Antiqua"/>
          <w:i/>
          <w:kern w:val="2"/>
          <w:sz w:val="24"/>
          <w:szCs w:val="24"/>
          <w:lang w:val="en-US" w:eastAsia="zh-CN"/>
        </w:rPr>
        <w:t>Dent Mater</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31</w:t>
      </w:r>
      <w:r w:rsidRPr="00414407">
        <w:rPr>
          <w:rFonts w:ascii="Book Antiqua" w:hAnsi="Book Antiqua"/>
          <w:kern w:val="2"/>
          <w:sz w:val="24"/>
          <w:szCs w:val="24"/>
          <w:lang w:val="en-US" w:eastAsia="zh-CN"/>
        </w:rPr>
        <w:t>: 640-647 [PMID: 25882277 DOI: 10.1016/j.dental.2015.03.005]</w:t>
      </w:r>
    </w:p>
    <w:p w14:paraId="576077A0"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11 </w:t>
      </w:r>
      <w:r w:rsidRPr="00414407">
        <w:rPr>
          <w:rFonts w:ascii="Book Antiqua" w:hAnsi="Book Antiqua"/>
          <w:b/>
          <w:kern w:val="2"/>
          <w:sz w:val="24"/>
          <w:szCs w:val="24"/>
          <w:lang w:val="en-US" w:eastAsia="zh-CN"/>
        </w:rPr>
        <w:t>Wang W</w:t>
      </w:r>
      <w:r w:rsidRPr="00414407">
        <w:rPr>
          <w:rFonts w:ascii="Book Antiqua" w:hAnsi="Book Antiqua"/>
          <w:kern w:val="2"/>
          <w:sz w:val="24"/>
          <w:szCs w:val="24"/>
          <w:lang w:val="en-US" w:eastAsia="zh-CN"/>
        </w:rPr>
        <w:t xml:space="preserve">, Yeung KWK. Bone grafts and biomaterials substitutes for bone defect repair: A review. </w:t>
      </w:r>
      <w:r w:rsidRPr="00414407">
        <w:rPr>
          <w:rFonts w:ascii="Book Antiqua" w:hAnsi="Book Antiqua"/>
          <w:i/>
          <w:kern w:val="2"/>
          <w:sz w:val="24"/>
          <w:szCs w:val="24"/>
          <w:lang w:val="en-US" w:eastAsia="zh-CN"/>
        </w:rPr>
        <w:t>Bioact Mater</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2</w:t>
      </w:r>
      <w:r w:rsidRPr="00414407">
        <w:rPr>
          <w:rFonts w:ascii="Book Antiqua" w:hAnsi="Book Antiqua"/>
          <w:kern w:val="2"/>
          <w:sz w:val="24"/>
          <w:szCs w:val="24"/>
          <w:lang w:val="en-US" w:eastAsia="zh-CN"/>
        </w:rPr>
        <w:t xml:space="preserve">: 224-247 [PMID: 29744432 DOI: </w:t>
      </w:r>
      <w:r w:rsidRPr="00414407">
        <w:rPr>
          <w:rFonts w:ascii="Book Antiqua" w:hAnsi="Book Antiqua"/>
          <w:kern w:val="2"/>
          <w:sz w:val="24"/>
          <w:szCs w:val="24"/>
          <w:lang w:val="en-US" w:eastAsia="zh-CN"/>
        </w:rPr>
        <w:lastRenderedPageBreak/>
        <w:t>10.1016/j.bioactmat.2017.05.007]</w:t>
      </w:r>
    </w:p>
    <w:p w14:paraId="2ADA1CD4"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12 </w:t>
      </w:r>
      <w:r w:rsidRPr="00414407">
        <w:rPr>
          <w:rFonts w:ascii="Book Antiqua" w:hAnsi="Book Antiqua"/>
          <w:b/>
          <w:kern w:val="2"/>
          <w:sz w:val="24"/>
          <w:szCs w:val="24"/>
          <w:lang w:val="en-US" w:eastAsia="zh-CN"/>
        </w:rPr>
        <w:t>Yamada M</w:t>
      </w:r>
      <w:r w:rsidRPr="00414407">
        <w:rPr>
          <w:rFonts w:ascii="Book Antiqua" w:hAnsi="Book Antiqua"/>
          <w:kern w:val="2"/>
          <w:sz w:val="24"/>
          <w:szCs w:val="24"/>
          <w:lang w:val="en-US" w:eastAsia="zh-CN"/>
        </w:rPr>
        <w:t xml:space="preserve">, Egusa H. Current bone substitutes for implant dentistry. </w:t>
      </w:r>
      <w:r w:rsidRPr="00414407">
        <w:rPr>
          <w:rFonts w:ascii="Book Antiqua" w:hAnsi="Book Antiqua"/>
          <w:i/>
          <w:kern w:val="2"/>
          <w:sz w:val="24"/>
          <w:szCs w:val="24"/>
          <w:lang w:val="en-US" w:eastAsia="zh-CN"/>
        </w:rPr>
        <w:t>J Prosthodont Res</w:t>
      </w:r>
      <w:r w:rsidRPr="00414407">
        <w:rPr>
          <w:rFonts w:ascii="Book Antiqua" w:hAnsi="Book Antiqua"/>
          <w:kern w:val="2"/>
          <w:sz w:val="24"/>
          <w:szCs w:val="24"/>
          <w:lang w:val="en-US" w:eastAsia="zh-CN"/>
        </w:rPr>
        <w:t xml:space="preserve"> 2018; </w:t>
      </w:r>
      <w:r w:rsidRPr="00414407">
        <w:rPr>
          <w:rFonts w:ascii="Book Antiqua" w:hAnsi="Book Antiqua"/>
          <w:b/>
          <w:kern w:val="2"/>
          <w:sz w:val="24"/>
          <w:szCs w:val="24"/>
          <w:lang w:val="en-US" w:eastAsia="zh-CN"/>
        </w:rPr>
        <w:t>62</w:t>
      </w:r>
      <w:r w:rsidRPr="00414407">
        <w:rPr>
          <w:rFonts w:ascii="Book Antiqua" w:hAnsi="Book Antiqua"/>
          <w:kern w:val="2"/>
          <w:sz w:val="24"/>
          <w:szCs w:val="24"/>
          <w:lang w:val="en-US" w:eastAsia="zh-CN"/>
        </w:rPr>
        <w:t>: 152-161 [PMID: 28927994 DOI: 10.1016/j.jpor.2017.08.010]</w:t>
      </w:r>
    </w:p>
    <w:p w14:paraId="0C90B37B"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13 </w:t>
      </w:r>
      <w:r w:rsidRPr="00414407">
        <w:rPr>
          <w:rFonts w:ascii="Book Antiqua" w:hAnsi="Book Antiqua"/>
          <w:b/>
          <w:kern w:val="2"/>
          <w:sz w:val="24"/>
          <w:szCs w:val="24"/>
          <w:lang w:val="en-US" w:eastAsia="zh-CN"/>
        </w:rPr>
        <w:t>Nkenke E</w:t>
      </w:r>
      <w:r w:rsidRPr="00414407">
        <w:rPr>
          <w:rFonts w:ascii="Book Antiqua" w:hAnsi="Book Antiqua"/>
          <w:kern w:val="2"/>
          <w:sz w:val="24"/>
          <w:szCs w:val="24"/>
          <w:lang w:val="en-US" w:eastAsia="zh-CN"/>
        </w:rPr>
        <w:t xml:space="preserve">, Neukam FW. Autogenous bone harvesting and grafting in advanced jaw resorption: morbidity, resorption and implant survival. </w:t>
      </w:r>
      <w:r w:rsidRPr="00414407">
        <w:rPr>
          <w:rFonts w:ascii="Book Antiqua" w:hAnsi="Book Antiqua"/>
          <w:i/>
          <w:kern w:val="2"/>
          <w:sz w:val="24"/>
          <w:szCs w:val="24"/>
          <w:lang w:val="en-US" w:eastAsia="zh-CN"/>
        </w:rPr>
        <w:t>Eur J Oral Implantol</w:t>
      </w:r>
      <w:r w:rsidRPr="00414407">
        <w:rPr>
          <w:rFonts w:ascii="Book Antiqua" w:hAnsi="Book Antiqua"/>
          <w:kern w:val="2"/>
          <w:sz w:val="24"/>
          <w:szCs w:val="24"/>
          <w:lang w:val="en-US" w:eastAsia="zh-CN"/>
        </w:rPr>
        <w:t xml:space="preserve"> 2014; </w:t>
      </w:r>
      <w:r w:rsidRPr="00414407">
        <w:rPr>
          <w:rFonts w:ascii="Book Antiqua" w:hAnsi="Book Antiqua"/>
          <w:b/>
          <w:kern w:val="2"/>
          <w:sz w:val="24"/>
          <w:szCs w:val="24"/>
          <w:lang w:val="en-US" w:eastAsia="zh-CN"/>
        </w:rPr>
        <w:t xml:space="preserve">7 </w:t>
      </w:r>
      <w:r w:rsidRPr="00414407">
        <w:rPr>
          <w:rFonts w:ascii="Book Antiqua" w:hAnsi="Book Antiqua"/>
          <w:kern w:val="2"/>
          <w:sz w:val="24"/>
          <w:szCs w:val="24"/>
          <w:lang w:val="en-US" w:eastAsia="zh-CN"/>
        </w:rPr>
        <w:t>Suppl 2: S203-S217 [PMID: 24977256]</w:t>
      </w:r>
    </w:p>
    <w:p w14:paraId="26422D95"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14 </w:t>
      </w:r>
      <w:r w:rsidRPr="00414407">
        <w:rPr>
          <w:rFonts w:ascii="Book Antiqua" w:hAnsi="Book Antiqua"/>
          <w:b/>
          <w:kern w:val="2"/>
          <w:sz w:val="24"/>
          <w:szCs w:val="24"/>
          <w:lang w:val="en-US" w:eastAsia="zh-CN"/>
        </w:rPr>
        <w:t>García-Gareta E</w:t>
      </w:r>
      <w:r w:rsidRPr="00414407">
        <w:rPr>
          <w:rFonts w:ascii="Book Antiqua" w:hAnsi="Book Antiqua"/>
          <w:kern w:val="2"/>
          <w:sz w:val="24"/>
          <w:szCs w:val="24"/>
          <w:lang w:val="en-US" w:eastAsia="zh-CN"/>
        </w:rPr>
        <w:t xml:space="preserve">, Coathup MJ, Blunn GW. Osteoinduction of bone grafting materials for bone repair and regeneration. </w:t>
      </w:r>
      <w:r w:rsidRPr="00414407">
        <w:rPr>
          <w:rFonts w:ascii="Book Antiqua" w:hAnsi="Book Antiqua"/>
          <w:i/>
          <w:kern w:val="2"/>
          <w:sz w:val="24"/>
          <w:szCs w:val="24"/>
          <w:lang w:val="en-US" w:eastAsia="zh-CN"/>
        </w:rPr>
        <w:t>Bone</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81</w:t>
      </w:r>
      <w:r w:rsidRPr="00414407">
        <w:rPr>
          <w:rFonts w:ascii="Book Antiqua" w:hAnsi="Book Antiqua"/>
          <w:kern w:val="2"/>
          <w:sz w:val="24"/>
          <w:szCs w:val="24"/>
          <w:lang w:val="en-US" w:eastAsia="zh-CN"/>
        </w:rPr>
        <w:t>: 112-121 [PMID: 26163110 DOI: 10.1016/j.bone.2015.07.007]</w:t>
      </w:r>
    </w:p>
    <w:p w14:paraId="53DB73E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15 </w:t>
      </w:r>
      <w:r w:rsidRPr="00414407">
        <w:rPr>
          <w:rFonts w:ascii="Book Antiqua" w:hAnsi="Book Antiqua"/>
          <w:b/>
          <w:kern w:val="2"/>
          <w:sz w:val="24"/>
          <w:szCs w:val="24"/>
          <w:lang w:val="en-US" w:eastAsia="zh-CN"/>
        </w:rPr>
        <w:t>Troeltzsch M</w:t>
      </w:r>
      <w:r w:rsidRPr="00414407">
        <w:rPr>
          <w:rFonts w:ascii="Book Antiqua" w:hAnsi="Book Antiqua"/>
          <w:kern w:val="2"/>
          <w:sz w:val="24"/>
          <w:szCs w:val="24"/>
          <w:lang w:val="en-US" w:eastAsia="zh-CN"/>
        </w:rPr>
        <w:t xml:space="preserve">, Troeltzsch M, Kauffmann P, Gruber R, Brockmeyer P, Moser N, Rau A, Schliephake H. Clinical efficacy of grafting materials in alveolar ridge augmentation: A systematic review. </w:t>
      </w:r>
      <w:r w:rsidRPr="00414407">
        <w:rPr>
          <w:rFonts w:ascii="Book Antiqua" w:hAnsi="Book Antiqua"/>
          <w:i/>
          <w:kern w:val="2"/>
          <w:sz w:val="24"/>
          <w:szCs w:val="24"/>
          <w:lang w:val="en-US" w:eastAsia="zh-CN"/>
        </w:rPr>
        <w:t>J Craniomaxillofac Surg</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44</w:t>
      </w:r>
      <w:r w:rsidRPr="00414407">
        <w:rPr>
          <w:rFonts w:ascii="Book Antiqua" w:hAnsi="Book Antiqua"/>
          <w:kern w:val="2"/>
          <w:sz w:val="24"/>
          <w:szCs w:val="24"/>
          <w:lang w:val="en-US" w:eastAsia="zh-CN"/>
        </w:rPr>
        <w:t>: 1618-1629 [PMID: 27622971 DOI: 10.1016/j.jcms.2016.07.028]</w:t>
      </w:r>
    </w:p>
    <w:p w14:paraId="24FB8A9E"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16 </w:t>
      </w:r>
      <w:r w:rsidRPr="00414407">
        <w:rPr>
          <w:rFonts w:ascii="Book Antiqua" w:hAnsi="Book Antiqua"/>
          <w:b/>
          <w:kern w:val="2"/>
          <w:sz w:val="24"/>
          <w:szCs w:val="24"/>
          <w:lang w:val="en-US" w:eastAsia="zh-CN"/>
        </w:rPr>
        <w:t>Danesh-Sani SA</w:t>
      </w:r>
      <w:r w:rsidRPr="00414407">
        <w:rPr>
          <w:rFonts w:ascii="Book Antiqua" w:hAnsi="Book Antiqua"/>
          <w:kern w:val="2"/>
          <w:sz w:val="24"/>
          <w:szCs w:val="24"/>
          <w:lang w:val="en-US" w:eastAsia="zh-CN"/>
        </w:rPr>
        <w:t xml:space="preserve">, Engebretson SP, Janal MN. Histomorphometric results of different grafting materials and effect of healing time on bone maturation after sinus floor augmentation: a systematic review and meta-analysis. </w:t>
      </w:r>
      <w:r w:rsidRPr="00414407">
        <w:rPr>
          <w:rFonts w:ascii="Book Antiqua" w:hAnsi="Book Antiqua"/>
          <w:i/>
          <w:kern w:val="2"/>
          <w:sz w:val="24"/>
          <w:szCs w:val="24"/>
          <w:lang w:val="en-US" w:eastAsia="zh-CN"/>
        </w:rPr>
        <w:t>J Periodontal Res</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52</w:t>
      </w:r>
      <w:r w:rsidRPr="00414407">
        <w:rPr>
          <w:rFonts w:ascii="Book Antiqua" w:hAnsi="Book Antiqua"/>
          <w:kern w:val="2"/>
          <w:sz w:val="24"/>
          <w:szCs w:val="24"/>
          <w:lang w:val="en-US" w:eastAsia="zh-CN"/>
        </w:rPr>
        <w:t>: 301-312 [PMID: 27534916 DOI: 10.1111/jre.12402]</w:t>
      </w:r>
    </w:p>
    <w:p w14:paraId="61018D5D"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17 </w:t>
      </w:r>
      <w:r w:rsidRPr="00414407">
        <w:rPr>
          <w:rFonts w:ascii="Book Antiqua" w:hAnsi="Book Antiqua"/>
          <w:b/>
          <w:kern w:val="2"/>
          <w:sz w:val="24"/>
          <w:szCs w:val="24"/>
          <w:lang w:val="en-US" w:eastAsia="zh-CN"/>
        </w:rPr>
        <w:t>Monje A</w:t>
      </w:r>
      <w:r w:rsidRPr="00414407">
        <w:rPr>
          <w:rFonts w:ascii="Book Antiqua" w:hAnsi="Book Antiqua"/>
          <w:kern w:val="2"/>
          <w:sz w:val="24"/>
          <w:szCs w:val="24"/>
          <w:lang w:val="en-US" w:eastAsia="zh-CN"/>
        </w:rPr>
        <w:t xml:space="preserve">, O'Valle F, Monje-Gil F, Ortega-Oller I, Mesa F, Wang HL, Galindo-Moreno P. Cellular, Vascular, and Histomorphometric Outcomes of Solvent-Dehydrated vs Freeze-Dried Allogeneic Graft for Maxillary Sinus Augmentation: A Randomized Case Series. </w:t>
      </w:r>
      <w:r w:rsidRPr="00414407">
        <w:rPr>
          <w:rFonts w:ascii="Book Antiqua" w:hAnsi="Book Antiqua"/>
          <w:i/>
          <w:kern w:val="2"/>
          <w:sz w:val="24"/>
          <w:szCs w:val="24"/>
          <w:lang w:val="en-US" w:eastAsia="zh-CN"/>
        </w:rPr>
        <w:t>Int J Oral Maxillofac Implants</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32</w:t>
      </w:r>
      <w:r w:rsidRPr="00414407">
        <w:rPr>
          <w:rFonts w:ascii="Book Antiqua" w:hAnsi="Book Antiqua"/>
          <w:kern w:val="2"/>
          <w:sz w:val="24"/>
          <w:szCs w:val="24"/>
          <w:lang w:val="en-US" w:eastAsia="zh-CN"/>
        </w:rPr>
        <w:t>: 121-127 [PMID: 27529782 DOI: 10.11607/jomi.4801]</w:t>
      </w:r>
    </w:p>
    <w:p w14:paraId="13990AF2"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18 </w:t>
      </w:r>
      <w:r w:rsidRPr="00414407">
        <w:rPr>
          <w:rFonts w:ascii="Book Antiqua" w:hAnsi="Book Antiqua"/>
          <w:b/>
          <w:kern w:val="2"/>
          <w:sz w:val="24"/>
          <w:szCs w:val="24"/>
          <w:lang w:val="en-US" w:eastAsia="zh-CN"/>
        </w:rPr>
        <w:t>Wood RA</w:t>
      </w:r>
      <w:r w:rsidRPr="00414407">
        <w:rPr>
          <w:rFonts w:ascii="Book Antiqua" w:hAnsi="Book Antiqua"/>
          <w:kern w:val="2"/>
          <w:sz w:val="24"/>
          <w:szCs w:val="24"/>
          <w:lang w:val="en-US" w:eastAsia="zh-CN"/>
        </w:rPr>
        <w:t xml:space="preserve">, Mealey BL. Histologic comparison of healing after tooth extraction with ridge preservation using mineralized versus demineralized freeze-dried bone allograft. </w:t>
      </w:r>
      <w:r w:rsidRPr="00414407">
        <w:rPr>
          <w:rFonts w:ascii="Book Antiqua" w:hAnsi="Book Antiqua"/>
          <w:i/>
          <w:kern w:val="2"/>
          <w:sz w:val="24"/>
          <w:szCs w:val="24"/>
          <w:lang w:val="en-US" w:eastAsia="zh-CN"/>
        </w:rPr>
        <w:t>J Periodontol</w:t>
      </w:r>
      <w:r w:rsidRPr="00414407">
        <w:rPr>
          <w:rFonts w:ascii="Book Antiqua" w:hAnsi="Book Antiqua"/>
          <w:kern w:val="2"/>
          <w:sz w:val="24"/>
          <w:szCs w:val="24"/>
          <w:lang w:val="en-US" w:eastAsia="zh-CN"/>
        </w:rPr>
        <w:t xml:space="preserve"> 2012; </w:t>
      </w:r>
      <w:r w:rsidRPr="00414407">
        <w:rPr>
          <w:rFonts w:ascii="Book Antiqua" w:hAnsi="Book Antiqua"/>
          <w:b/>
          <w:kern w:val="2"/>
          <w:sz w:val="24"/>
          <w:szCs w:val="24"/>
          <w:lang w:val="en-US" w:eastAsia="zh-CN"/>
        </w:rPr>
        <w:t>83</w:t>
      </w:r>
      <w:r w:rsidRPr="00414407">
        <w:rPr>
          <w:rFonts w:ascii="Book Antiqua" w:hAnsi="Book Antiqua"/>
          <w:kern w:val="2"/>
          <w:sz w:val="24"/>
          <w:szCs w:val="24"/>
          <w:lang w:val="en-US" w:eastAsia="zh-CN"/>
        </w:rPr>
        <w:t>: 329-336 [PMID: 21749166 DOI: 10.1902/jop.2011.110270]</w:t>
      </w:r>
    </w:p>
    <w:p w14:paraId="71459770"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19 </w:t>
      </w:r>
      <w:r w:rsidRPr="00414407">
        <w:rPr>
          <w:rFonts w:ascii="Book Antiqua" w:hAnsi="Book Antiqua"/>
          <w:b/>
          <w:kern w:val="2"/>
          <w:sz w:val="24"/>
          <w:szCs w:val="24"/>
          <w:lang w:val="en-US" w:eastAsia="zh-CN"/>
        </w:rPr>
        <w:t>Miron RJ</w:t>
      </w:r>
      <w:r w:rsidRPr="00414407">
        <w:rPr>
          <w:rFonts w:ascii="Book Antiqua" w:hAnsi="Book Antiqua"/>
          <w:kern w:val="2"/>
          <w:sz w:val="24"/>
          <w:szCs w:val="24"/>
          <w:lang w:val="en-US" w:eastAsia="zh-CN"/>
        </w:rPr>
        <w:t xml:space="preserve">, Sculean A, Shuang Y, Bosshardt DD, Gruber R, Buser D, Chandad F, Zhang Y. Osteoinductive potential of a novel biphasic calcium phosphate bone graft in comparison with autographs, xenografts, and DFDBA. </w:t>
      </w:r>
      <w:r w:rsidRPr="00414407">
        <w:rPr>
          <w:rFonts w:ascii="Book Antiqua" w:hAnsi="Book Antiqua"/>
          <w:i/>
          <w:kern w:val="2"/>
          <w:sz w:val="24"/>
          <w:szCs w:val="24"/>
          <w:lang w:val="en-US" w:eastAsia="zh-CN"/>
        </w:rPr>
        <w:t>Clin Oral Implants Res</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27</w:t>
      </w:r>
      <w:r w:rsidRPr="00414407">
        <w:rPr>
          <w:rFonts w:ascii="Book Antiqua" w:hAnsi="Book Antiqua"/>
          <w:kern w:val="2"/>
          <w:sz w:val="24"/>
          <w:szCs w:val="24"/>
          <w:lang w:val="en-US" w:eastAsia="zh-CN"/>
        </w:rPr>
        <w:t>: 668-675 [PMID: 26227281 DOI: 10.1111/clr.12647]</w:t>
      </w:r>
    </w:p>
    <w:p w14:paraId="15CFA65E"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20 </w:t>
      </w:r>
      <w:r w:rsidRPr="00414407">
        <w:rPr>
          <w:rFonts w:ascii="Book Antiqua" w:hAnsi="Book Antiqua"/>
          <w:b/>
          <w:kern w:val="2"/>
          <w:sz w:val="24"/>
          <w:szCs w:val="24"/>
          <w:lang w:val="en-US" w:eastAsia="zh-CN"/>
        </w:rPr>
        <w:t>Roldán JC</w:t>
      </w:r>
      <w:r w:rsidRPr="00414407">
        <w:rPr>
          <w:rFonts w:ascii="Book Antiqua" w:hAnsi="Book Antiqua"/>
          <w:kern w:val="2"/>
          <w:sz w:val="24"/>
          <w:szCs w:val="24"/>
          <w:lang w:val="en-US" w:eastAsia="zh-CN"/>
        </w:rPr>
        <w:t>, Knueppel H, Schmidt C, Jepsen S, Zimmermann C, Terheyden H. Single-</w:t>
      </w:r>
      <w:r w:rsidRPr="00414407">
        <w:rPr>
          <w:rFonts w:ascii="Book Antiqua" w:hAnsi="Book Antiqua"/>
          <w:kern w:val="2"/>
          <w:sz w:val="24"/>
          <w:szCs w:val="24"/>
          <w:lang w:val="en-US" w:eastAsia="zh-CN"/>
        </w:rPr>
        <w:lastRenderedPageBreak/>
        <w:t xml:space="preserve">stage sinus augmentation with cancellous iliac bone and anorganic bovine bone in the presence of platelet-rich plasma in the miniature pig. </w:t>
      </w:r>
      <w:r w:rsidRPr="00414407">
        <w:rPr>
          <w:rFonts w:ascii="Book Antiqua" w:hAnsi="Book Antiqua"/>
          <w:i/>
          <w:kern w:val="2"/>
          <w:sz w:val="24"/>
          <w:szCs w:val="24"/>
          <w:lang w:val="en-US" w:eastAsia="zh-CN"/>
        </w:rPr>
        <w:t>Clin Oral Implants Res</w:t>
      </w:r>
      <w:r w:rsidRPr="00414407">
        <w:rPr>
          <w:rFonts w:ascii="Book Antiqua" w:hAnsi="Book Antiqua"/>
          <w:kern w:val="2"/>
          <w:sz w:val="24"/>
          <w:szCs w:val="24"/>
          <w:lang w:val="en-US" w:eastAsia="zh-CN"/>
        </w:rPr>
        <w:t xml:space="preserve"> 2008; </w:t>
      </w:r>
      <w:r w:rsidRPr="00414407">
        <w:rPr>
          <w:rFonts w:ascii="Book Antiqua" w:hAnsi="Book Antiqua"/>
          <w:b/>
          <w:kern w:val="2"/>
          <w:sz w:val="24"/>
          <w:szCs w:val="24"/>
          <w:lang w:val="en-US" w:eastAsia="zh-CN"/>
        </w:rPr>
        <w:t>19</w:t>
      </w:r>
      <w:r w:rsidRPr="00414407">
        <w:rPr>
          <w:rFonts w:ascii="Book Antiqua" w:hAnsi="Book Antiqua"/>
          <w:kern w:val="2"/>
          <w:sz w:val="24"/>
          <w:szCs w:val="24"/>
          <w:lang w:val="en-US" w:eastAsia="zh-CN"/>
        </w:rPr>
        <w:t>: 373-378 [PMID: 18261122 DOI: 10.1111/j.1600-0501.2007.01465.x]</w:t>
      </w:r>
    </w:p>
    <w:p w14:paraId="5A2E0F3B"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21 </w:t>
      </w:r>
      <w:r w:rsidRPr="00414407">
        <w:rPr>
          <w:rFonts w:ascii="Book Antiqua" w:hAnsi="Book Antiqua"/>
          <w:b/>
          <w:kern w:val="2"/>
          <w:sz w:val="24"/>
          <w:szCs w:val="24"/>
          <w:lang w:val="en-US" w:eastAsia="zh-CN"/>
        </w:rPr>
        <w:t>Lee HJ</w:t>
      </w:r>
      <w:r w:rsidRPr="00414407">
        <w:rPr>
          <w:rFonts w:ascii="Book Antiqua" w:hAnsi="Book Antiqua"/>
          <w:kern w:val="2"/>
          <w:sz w:val="24"/>
          <w:szCs w:val="24"/>
          <w:lang w:val="en-US" w:eastAsia="zh-CN"/>
        </w:rPr>
        <w:t xml:space="preserve">, Choi BH, Jung JH, Zhu SJ, Lee SH, Huh JY, You TM, Li J. Maxillary sinus floor augmentation using autogenous bone grafts and platelet-enriched fibrin glue with simultaneous implant placement. </w:t>
      </w:r>
      <w:r w:rsidRPr="00414407">
        <w:rPr>
          <w:rFonts w:ascii="Book Antiqua" w:hAnsi="Book Antiqua"/>
          <w:i/>
          <w:kern w:val="2"/>
          <w:sz w:val="24"/>
          <w:szCs w:val="24"/>
          <w:lang w:val="en-US" w:eastAsia="zh-CN"/>
        </w:rPr>
        <w:t>Oral Surg Oral Med Oral Pathol Oral Radiol Endod</w:t>
      </w:r>
      <w:r w:rsidRPr="00414407">
        <w:rPr>
          <w:rFonts w:ascii="Book Antiqua" w:hAnsi="Book Antiqua"/>
          <w:kern w:val="2"/>
          <w:sz w:val="24"/>
          <w:szCs w:val="24"/>
          <w:lang w:val="en-US" w:eastAsia="zh-CN"/>
        </w:rPr>
        <w:t xml:space="preserve"> 2007; </w:t>
      </w:r>
      <w:r w:rsidRPr="00414407">
        <w:rPr>
          <w:rFonts w:ascii="Book Antiqua" w:hAnsi="Book Antiqua"/>
          <w:b/>
          <w:kern w:val="2"/>
          <w:sz w:val="24"/>
          <w:szCs w:val="24"/>
          <w:lang w:val="en-US" w:eastAsia="zh-CN"/>
        </w:rPr>
        <w:t>103</w:t>
      </w:r>
      <w:r w:rsidRPr="00414407">
        <w:rPr>
          <w:rFonts w:ascii="Book Antiqua" w:hAnsi="Book Antiqua"/>
          <w:kern w:val="2"/>
          <w:sz w:val="24"/>
          <w:szCs w:val="24"/>
          <w:lang w:val="en-US" w:eastAsia="zh-CN"/>
        </w:rPr>
        <w:t>: 329-333 [PMID: 17321442 DOI: 10.1016/j.tripleo.2006.03.010]</w:t>
      </w:r>
    </w:p>
    <w:p w14:paraId="340B3548"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22 </w:t>
      </w:r>
      <w:r w:rsidRPr="00414407">
        <w:rPr>
          <w:rFonts w:ascii="Book Antiqua" w:hAnsi="Book Antiqua"/>
          <w:b/>
          <w:kern w:val="2"/>
          <w:sz w:val="24"/>
          <w:szCs w:val="24"/>
          <w:lang w:val="en-US" w:eastAsia="zh-CN"/>
        </w:rPr>
        <w:t>Kassolis JD</w:t>
      </w:r>
      <w:r w:rsidRPr="00414407">
        <w:rPr>
          <w:rFonts w:ascii="Book Antiqua" w:hAnsi="Book Antiqua"/>
          <w:kern w:val="2"/>
          <w:sz w:val="24"/>
          <w:szCs w:val="24"/>
          <w:lang w:val="en-US" w:eastAsia="zh-CN"/>
        </w:rPr>
        <w:t xml:space="preserve">, Rosen PS, Reynolds MA. Alveolar ridge and sinus augmentation utilizing platelet-rich plasma in combination with freeze-dried bone allograft: case series. </w:t>
      </w:r>
      <w:r w:rsidRPr="00414407">
        <w:rPr>
          <w:rFonts w:ascii="Book Antiqua" w:hAnsi="Book Antiqua"/>
          <w:i/>
          <w:kern w:val="2"/>
          <w:sz w:val="24"/>
          <w:szCs w:val="24"/>
          <w:lang w:val="en-US" w:eastAsia="zh-CN"/>
        </w:rPr>
        <w:t>J Periodontol</w:t>
      </w:r>
      <w:r w:rsidRPr="00414407">
        <w:rPr>
          <w:rFonts w:ascii="Book Antiqua" w:hAnsi="Book Antiqua"/>
          <w:kern w:val="2"/>
          <w:sz w:val="24"/>
          <w:szCs w:val="24"/>
          <w:lang w:val="en-US" w:eastAsia="zh-CN"/>
        </w:rPr>
        <w:t xml:space="preserve"> 2000; </w:t>
      </w:r>
      <w:r w:rsidRPr="00414407">
        <w:rPr>
          <w:rFonts w:ascii="Book Antiqua" w:hAnsi="Book Antiqua"/>
          <w:b/>
          <w:kern w:val="2"/>
          <w:sz w:val="24"/>
          <w:szCs w:val="24"/>
          <w:lang w:val="en-US" w:eastAsia="zh-CN"/>
        </w:rPr>
        <w:t>71</w:t>
      </w:r>
      <w:r w:rsidRPr="00414407">
        <w:rPr>
          <w:rFonts w:ascii="Book Antiqua" w:hAnsi="Book Antiqua"/>
          <w:kern w:val="2"/>
          <w:sz w:val="24"/>
          <w:szCs w:val="24"/>
          <w:lang w:val="en-US" w:eastAsia="zh-CN"/>
        </w:rPr>
        <w:t>: 1654-1661 [PMID: 11063400 DOI: 10.1902/jop.2000.71.10.1654]</w:t>
      </w:r>
    </w:p>
    <w:p w14:paraId="2D07E5B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23 </w:t>
      </w:r>
      <w:r w:rsidRPr="00414407">
        <w:rPr>
          <w:rFonts w:ascii="Book Antiqua" w:hAnsi="Book Antiqua"/>
          <w:b/>
          <w:kern w:val="2"/>
          <w:sz w:val="24"/>
          <w:szCs w:val="24"/>
          <w:lang w:val="en-US" w:eastAsia="zh-CN"/>
        </w:rPr>
        <w:t>Rodriguez A</w:t>
      </w:r>
      <w:r w:rsidRPr="00414407">
        <w:rPr>
          <w:rFonts w:ascii="Book Antiqua" w:hAnsi="Book Antiqua"/>
          <w:kern w:val="2"/>
          <w:sz w:val="24"/>
          <w:szCs w:val="24"/>
          <w:lang w:val="en-US" w:eastAsia="zh-CN"/>
        </w:rPr>
        <w:t xml:space="preserve">, Anastassov GE, Lee H, Buchbinder D, Wettan H. Maxillary sinus augmentation with deproteinated bovine bone and platelet rich plasma with simultaneous insertion of endosseous implants. </w:t>
      </w:r>
      <w:r w:rsidRPr="00414407">
        <w:rPr>
          <w:rFonts w:ascii="Book Antiqua" w:hAnsi="Book Antiqua"/>
          <w:i/>
          <w:kern w:val="2"/>
          <w:sz w:val="24"/>
          <w:szCs w:val="24"/>
          <w:lang w:val="en-US" w:eastAsia="zh-CN"/>
        </w:rPr>
        <w:t>J Oral Maxillofac Surg</w:t>
      </w:r>
      <w:r w:rsidRPr="00414407">
        <w:rPr>
          <w:rFonts w:ascii="Book Antiqua" w:hAnsi="Book Antiqua"/>
          <w:kern w:val="2"/>
          <w:sz w:val="24"/>
          <w:szCs w:val="24"/>
          <w:lang w:val="en-US" w:eastAsia="zh-CN"/>
        </w:rPr>
        <w:t xml:space="preserve"> 2003; </w:t>
      </w:r>
      <w:r w:rsidRPr="00414407">
        <w:rPr>
          <w:rFonts w:ascii="Book Antiqua" w:hAnsi="Book Antiqua"/>
          <w:b/>
          <w:kern w:val="2"/>
          <w:sz w:val="24"/>
          <w:szCs w:val="24"/>
          <w:lang w:val="en-US" w:eastAsia="zh-CN"/>
        </w:rPr>
        <w:t>61</w:t>
      </w:r>
      <w:r w:rsidRPr="00414407">
        <w:rPr>
          <w:rFonts w:ascii="Book Antiqua" w:hAnsi="Book Antiqua"/>
          <w:kern w:val="2"/>
          <w:sz w:val="24"/>
          <w:szCs w:val="24"/>
          <w:lang w:val="en-US" w:eastAsia="zh-CN"/>
        </w:rPr>
        <w:t>: 157-163 [PMID: 12618990 DOI: 10.1053/joms.2003.50041]</w:t>
      </w:r>
    </w:p>
    <w:p w14:paraId="23059B04"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24 </w:t>
      </w:r>
      <w:r w:rsidRPr="00414407">
        <w:rPr>
          <w:rFonts w:ascii="Book Antiqua" w:hAnsi="Book Antiqua"/>
          <w:b/>
          <w:kern w:val="2"/>
          <w:sz w:val="24"/>
          <w:szCs w:val="24"/>
          <w:lang w:val="en-US" w:eastAsia="zh-CN"/>
        </w:rPr>
        <w:t>Wiltfang J</w:t>
      </w:r>
      <w:r w:rsidRPr="00414407">
        <w:rPr>
          <w:rFonts w:ascii="Book Antiqua" w:hAnsi="Book Antiqua"/>
          <w:kern w:val="2"/>
          <w:sz w:val="24"/>
          <w:szCs w:val="24"/>
          <w:lang w:val="en-US" w:eastAsia="zh-CN"/>
        </w:rPr>
        <w:t xml:space="preserve">, Schlegel KA, Schultze-Mosgau S, Nkenke E, Zimmermann R, Kessler P. Sinus floor augmentation with beta-tricalciumphosphate (beta-TCP): does platelet-rich plasma promote its osseous integration and degradation? </w:t>
      </w:r>
      <w:r w:rsidRPr="00414407">
        <w:rPr>
          <w:rFonts w:ascii="Book Antiqua" w:hAnsi="Book Antiqua"/>
          <w:i/>
          <w:kern w:val="2"/>
          <w:sz w:val="24"/>
          <w:szCs w:val="24"/>
          <w:lang w:val="en-US" w:eastAsia="zh-CN"/>
        </w:rPr>
        <w:t>Clin Oral Implants Res</w:t>
      </w:r>
      <w:r w:rsidRPr="00414407">
        <w:rPr>
          <w:rFonts w:ascii="Book Antiqua" w:hAnsi="Book Antiqua"/>
          <w:kern w:val="2"/>
          <w:sz w:val="24"/>
          <w:szCs w:val="24"/>
          <w:lang w:val="en-US" w:eastAsia="zh-CN"/>
        </w:rPr>
        <w:t xml:space="preserve"> 2003; </w:t>
      </w:r>
      <w:r w:rsidRPr="00414407">
        <w:rPr>
          <w:rFonts w:ascii="Book Antiqua" w:hAnsi="Book Antiqua"/>
          <w:b/>
          <w:kern w:val="2"/>
          <w:sz w:val="24"/>
          <w:szCs w:val="24"/>
          <w:lang w:val="en-US" w:eastAsia="zh-CN"/>
        </w:rPr>
        <w:t>14</w:t>
      </w:r>
      <w:r w:rsidRPr="00414407">
        <w:rPr>
          <w:rFonts w:ascii="Book Antiqua" w:hAnsi="Book Antiqua"/>
          <w:kern w:val="2"/>
          <w:sz w:val="24"/>
          <w:szCs w:val="24"/>
          <w:lang w:val="en-US" w:eastAsia="zh-CN"/>
        </w:rPr>
        <w:t>: 213-218 [PMID: 12656882</w:t>
      </w:r>
      <w:r w:rsidRPr="00414407">
        <w:rPr>
          <w:rFonts w:ascii="Book Antiqua" w:hAnsi="Book Antiqua" w:hint="eastAsia"/>
          <w:kern w:val="2"/>
          <w:sz w:val="24"/>
          <w:szCs w:val="24"/>
          <w:lang w:val="en-US" w:eastAsia="zh-CN"/>
        </w:rPr>
        <w:t xml:space="preserve"> DOI: </w:t>
      </w:r>
      <w:r w:rsidRPr="00414407">
        <w:rPr>
          <w:rFonts w:ascii="Book Antiqua" w:hAnsi="Book Antiqua"/>
          <w:kern w:val="2"/>
          <w:sz w:val="24"/>
          <w:szCs w:val="24"/>
          <w:lang w:val="en-US" w:eastAsia="zh-CN"/>
        </w:rPr>
        <w:t>10.1034/j.1600-0501.2003.140212.x]</w:t>
      </w:r>
    </w:p>
    <w:p w14:paraId="2918BEF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25 </w:t>
      </w:r>
      <w:r w:rsidRPr="00414407">
        <w:rPr>
          <w:rFonts w:ascii="Book Antiqua" w:hAnsi="Book Antiqua"/>
          <w:b/>
          <w:kern w:val="2"/>
          <w:sz w:val="24"/>
          <w:szCs w:val="24"/>
          <w:lang w:val="en-US" w:eastAsia="zh-CN"/>
        </w:rPr>
        <w:t>Bae JH</w:t>
      </w:r>
      <w:r w:rsidRPr="00414407">
        <w:rPr>
          <w:rFonts w:ascii="Book Antiqua" w:hAnsi="Book Antiqua"/>
          <w:kern w:val="2"/>
          <w:sz w:val="24"/>
          <w:szCs w:val="24"/>
          <w:lang w:val="en-US" w:eastAsia="zh-CN"/>
        </w:rPr>
        <w:t xml:space="preserve">, Kim YK, Myung SK. Effects of platelet-rich plasma on sinus bone graft: meta-analysis. </w:t>
      </w:r>
      <w:r w:rsidRPr="00414407">
        <w:rPr>
          <w:rFonts w:ascii="Book Antiqua" w:hAnsi="Book Antiqua"/>
          <w:i/>
          <w:kern w:val="2"/>
          <w:sz w:val="24"/>
          <w:szCs w:val="24"/>
          <w:lang w:val="en-US" w:eastAsia="zh-CN"/>
        </w:rPr>
        <w:t>J Periodontol</w:t>
      </w:r>
      <w:r w:rsidRPr="00414407">
        <w:rPr>
          <w:rFonts w:ascii="Book Antiqua" w:hAnsi="Book Antiqua"/>
          <w:kern w:val="2"/>
          <w:sz w:val="24"/>
          <w:szCs w:val="24"/>
          <w:lang w:val="en-US" w:eastAsia="zh-CN"/>
        </w:rPr>
        <w:t xml:space="preserve"> 2011; </w:t>
      </w:r>
      <w:r w:rsidRPr="00414407">
        <w:rPr>
          <w:rFonts w:ascii="Book Antiqua" w:hAnsi="Book Antiqua"/>
          <w:b/>
          <w:kern w:val="2"/>
          <w:sz w:val="24"/>
          <w:szCs w:val="24"/>
          <w:lang w:val="en-US" w:eastAsia="zh-CN"/>
        </w:rPr>
        <w:t>82</w:t>
      </w:r>
      <w:r w:rsidRPr="00414407">
        <w:rPr>
          <w:rFonts w:ascii="Book Antiqua" w:hAnsi="Book Antiqua"/>
          <w:kern w:val="2"/>
          <w:sz w:val="24"/>
          <w:szCs w:val="24"/>
          <w:lang w:val="en-US" w:eastAsia="zh-CN"/>
        </w:rPr>
        <w:t>: 660-667 [PMID: 21091351 DOI: 10.1902/jop.2010.100529]</w:t>
      </w:r>
    </w:p>
    <w:p w14:paraId="35640E9C"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26 </w:t>
      </w:r>
      <w:r w:rsidRPr="00414407">
        <w:rPr>
          <w:rFonts w:ascii="Book Antiqua" w:hAnsi="Book Antiqua"/>
          <w:b/>
          <w:kern w:val="2"/>
          <w:sz w:val="24"/>
          <w:szCs w:val="24"/>
          <w:lang w:val="en-US" w:eastAsia="zh-CN"/>
        </w:rPr>
        <w:t>Nikolidakis D</w:t>
      </w:r>
      <w:r w:rsidRPr="00414407">
        <w:rPr>
          <w:rFonts w:ascii="Book Antiqua" w:hAnsi="Book Antiqua"/>
          <w:kern w:val="2"/>
          <w:sz w:val="24"/>
          <w:szCs w:val="24"/>
          <w:lang w:val="en-US" w:eastAsia="zh-CN"/>
        </w:rPr>
        <w:t xml:space="preserve">, Jansen JA. The biology of platelet-rich plasma and its application in oral surgery: literature review. </w:t>
      </w:r>
      <w:r w:rsidRPr="00414407">
        <w:rPr>
          <w:rFonts w:ascii="Book Antiqua" w:hAnsi="Book Antiqua"/>
          <w:i/>
          <w:kern w:val="2"/>
          <w:sz w:val="24"/>
          <w:szCs w:val="24"/>
          <w:lang w:val="en-US" w:eastAsia="zh-CN"/>
        </w:rPr>
        <w:t>Tissue Eng Part B Rev</w:t>
      </w:r>
      <w:r w:rsidRPr="00414407">
        <w:rPr>
          <w:rFonts w:ascii="Book Antiqua" w:hAnsi="Book Antiqua"/>
          <w:kern w:val="2"/>
          <w:sz w:val="24"/>
          <w:szCs w:val="24"/>
          <w:lang w:val="en-US" w:eastAsia="zh-CN"/>
        </w:rPr>
        <w:t xml:space="preserve"> 2008; </w:t>
      </w:r>
      <w:r w:rsidRPr="00414407">
        <w:rPr>
          <w:rFonts w:ascii="Book Antiqua" w:hAnsi="Book Antiqua"/>
          <w:b/>
          <w:kern w:val="2"/>
          <w:sz w:val="24"/>
          <w:szCs w:val="24"/>
          <w:lang w:val="en-US" w:eastAsia="zh-CN"/>
        </w:rPr>
        <w:t>14</w:t>
      </w:r>
      <w:r w:rsidRPr="00414407">
        <w:rPr>
          <w:rFonts w:ascii="Book Antiqua" w:hAnsi="Book Antiqua"/>
          <w:kern w:val="2"/>
          <w:sz w:val="24"/>
          <w:szCs w:val="24"/>
          <w:lang w:val="en-US" w:eastAsia="zh-CN"/>
        </w:rPr>
        <w:t>: 249-258 [PMID: 18601587 DOI: 10.1089/ten.teb.2008.0062]</w:t>
      </w:r>
    </w:p>
    <w:p w14:paraId="5A914592"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27 </w:t>
      </w:r>
      <w:r w:rsidRPr="00414407">
        <w:rPr>
          <w:rFonts w:ascii="Book Antiqua" w:hAnsi="Book Antiqua"/>
          <w:b/>
          <w:kern w:val="2"/>
          <w:sz w:val="24"/>
          <w:szCs w:val="24"/>
          <w:lang w:val="en-US" w:eastAsia="zh-CN"/>
        </w:rPr>
        <w:t>Intini G</w:t>
      </w:r>
      <w:r w:rsidRPr="00414407">
        <w:rPr>
          <w:rFonts w:ascii="Book Antiqua" w:hAnsi="Book Antiqua"/>
          <w:kern w:val="2"/>
          <w:sz w:val="24"/>
          <w:szCs w:val="24"/>
          <w:lang w:val="en-US" w:eastAsia="zh-CN"/>
        </w:rPr>
        <w:t xml:space="preserve">. The use of platelet-rich plasma in bone reconstruction therapy. </w:t>
      </w:r>
      <w:r w:rsidRPr="00414407">
        <w:rPr>
          <w:rFonts w:ascii="Book Antiqua" w:hAnsi="Book Antiqua"/>
          <w:i/>
          <w:kern w:val="2"/>
          <w:sz w:val="24"/>
          <w:szCs w:val="24"/>
          <w:lang w:val="en-US" w:eastAsia="zh-CN"/>
        </w:rPr>
        <w:t>Biomaterials</w:t>
      </w:r>
      <w:r w:rsidRPr="00414407">
        <w:rPr>
          <w:rFonts w:ascii="Book Antiqua" w:hAnsi="Book Antiqua"/>
          <w:kern w:val="2"/>
          <w:sz w:val="24"/>
          <w:szCs w:val="24"/>
          <w:lang w:val="en-US" w:eastAsia="zh-CN"/>
        </w:rPr>
        <w:t xml:space="preserve"> 2009; </w:t>
      </w:r>
      <w:r w:rsidRPr="00414407">
        <w:rPr>
          <w:rFonts w:ascii="Book Antiqua" w:hAnsi="Book Antiqua"/>
          <w:b/>
          <w:kern w:val="2"/>
          <w:sz w:val="24"/>
          <w:szCs w:val="24"/>
          <w:lang w:val="en-US" w:eastAsia="zh-CN"/>
        </w:rPr>
        <w:t>30</w:t>
      </w:r>
      <w:r w:rsidRPr="00414407">
        <w:rPr>
          <w:rFonts w:ascii="Book Antiqua" w:hAnsi="Book Antiqua"/>
          <w:kern w:val="2"/>
          <w:sz w:val="24"/>
          <w:szCs w:val="24"/>
          <w:lang w:val="en-US" w:eastAsia="zh-CN"/>
        </w:rPr>
        <w:t>: 4956-4966 [PMID: 19573909 DOI: 10.1016/j.biomaterials.2009.05.055]</w:t>
      </w:r>
    </w:p>
    <w:p w14:paraId="1226D625"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28 </w:t>
      </w:r>
      <w:r w:rsidRPr="00414407">
        <w:rPr>
          <w:rFonts w:ascii="Book Antiqua" w:hAnsi="Book Antiqua"/>
          <w:b/>
          <w:kern w:val="2"/>
          <w:sz w:val="24"/>
          <w:szCs w:val="24"/>
          <w:lang w:val="en-US" w:eastAsia="zh-CN"/>
        </w:rPr>
        <w:t>Roffi A</w:t>
      </w:r>
      <w:r w:rsidRPr="00414407">
        <w:rPr>
          <w:rFonts w:ascii="Book Antiqua" w:hAnsi="Book Antiqua"/>
          <w:kern w:val="2"/>
          <w:sz w:val="24"/>
          <w:szCs w:val="24"/>
          <w:lang w:val="en-US" w:eastAsia="zh-CN"/>
        </w:rPr>
        <w:t xml:space="preserve">, Di Matteo B, Krishnakumar GS, Kon E, Filardo G. Platelet-rich plasma for the treatment of bone defects: from pre-clinical rational to evidence in the clinical practice. A systematic review. </w:t>
      </w:r>
      <w:r w:rsidRPr="00414407">
        <w:rPr>
          <w:rFonts w:ascii="Book Antiqua" w:hAnsi="Book Antiqua"/>
          <w:i/>
          <w:kern w:val="2"/>
          <w:sz w:val="24"/>
          <w:szCs w:val="24"/>
          <w:lang w:val="en-US" w:eastAsia="zh-CN"/>
        </w:rPr>
        <w:t>Int Orthop</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41</w:t>
      </w:r>
      <w:r w:rsidRPr="00414407">
        <w:rPr>
          <w:rFonts w:ascii="Book Antiqua" w:hAnsi="Book Antiqua"/>
          <w:kern w:val="2"/>
          <w:sz w:val="24"/>
          <w:szCs w:val="24"/>
          <w:lang w:val="en-US" w:eastAsia="zh-CN"/>
        </w:rPr>
        <w:t>: 221-237 [PMID: 27888295 DOI: 10.1007/s00264-016-3342-9]</w:t>
      </w:r>
    </w:p>
    <w:p w14:paraId="76F216B0"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29 </w:t>
      </w:r>
      <w:r w:rsidRPr="00414407">
        <w:rPr>
          <w:rFonts w:ascii="Book Antiqua" w:hAnsi="Book Antiqua"/>
          <w:b/>
          <w:kern w:val="2"/>
          <w:sz w:val="24"/>
          <w:szCs w:val="24"/>
          <w:lang w:val="en-US" w:eastAsia="zh-CN"/>
        </w:rPr>
        <w:t>Lemos CA</w:t>
      </w:r>
      <w:r w:rsidRPr="00414407">
        <w:rPr>
          <w:rFonts w:ascii="Book Antiqua" w:hAnsi="Book Antiqua"/>
          <w:kern w:val="2"/>
          <w:sz w:val="24"/>
          <w:szCs w:val="24"/>
          <w:lang w:val="en-US" w:eastAsia="zh-CN"/>
        </w:rPr>
        <w:t xml:space="preserve">, Mello CC, dos Santos DM, Verri FR, Goiato MC, Pellizzer EP. Effects of </w:t>
      </w:r>
      <w:r w:rsidRPr="00414407">
        <w:rPr>
          <w:rFonts w:ascii="Book Antiqua" w:hAnsi="Book Antiqua"/>
          <w:kern w:val="2"/>
          <w:sz w:val="24"/>
          <w:szCs w:val="24"/>
          <w:lang w:val="en-US" w:eastAsia="zh-CN"/>
        </w:rPr>
        <w:lastRenderedPageBreak/>
        <w:t xml:space="preserve">platelet-rich plasma in association with bone grafts in maxillary sinus augmentation: a systematic review and meta-analysis. </w:t>
      </w:r>
      <w:r w:rsidRPr="00414407">
        <w:rPr>
          <w:rFonts w:ascii="Book Antiqua" w:hAnsi="Book Antiqua"/>
          <w:i/>
          <w:kern w:val="2"/>
          <w:sz w:val="24"/>
          <w:szCs w:val="24"/>
          <w:lang w:val="en-US" w:eastAsia="zh-CN"/>
        </w:rPr>
        <w:t>Int J Oral Maxillofac Surg</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45</w:t>
      </w:r>
      <w:r w:rsidRPr="00414407">
        <w:rPr>
          <w:rFonts w:ascii="Book Antiqua" w:hAnsi="Book Antiqua"/>
          <w:kern w:val="2"/>
          <w:sz w:val="24"/>
          <w:szCs w:val="24"/>
          <w:lang w:val="en-US" w:eastAsia="zh-CN"/>
        </w:rPr>
        <w:t>: 517-525 [PMID: 26775635 DOI: 10.1016/j.ijom.2015.07.012]</w:t>
      </w:r>
    </w:p>
    <w:p w14:paraId="405D688E"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30 </w:t>
      </w:r>
      <w:r w:rsidRPr="00414407">
        <w:rPr>
          <w:rFonts w:ascii="Book Antiqua" w:hAnsi="Book Antiqua"/>
          <w:b/>
          <w:kern w:val="2"/>
          <w:sz w:val="24"/>
          <w:szCs w:val="24"/>
          <w:lang w:val="en-US" w:eastAsia="zh-CN"/>
        </w:rPr>
        <w:t>Pocaterra A</w:t>
      </w:r>
      <w:r w:rsidRPr="00414407">
        <w:rPr>
          <w:rFonts w:ascii="Book Antiqua" w:hAnsi="Book Antiqua"/>
          <w:kern w:val="2"/>
          <w:sz w:val="24"/>
          <w:szCs w:val="24"/>
          <w:lang w:val="en-US" w:eastAsia="zh-CN"/>
        </w:rPr>
        <w:t xml:space="preserve">, Caruso S, Bernardi S, Scagnoli L, Continenza MA, Gatto R. Effectiveness of platelet-rich plasma as an adjunctive material to bone graft: a systematic review and meta-analysis of randomized controlled clinical trials. </w:t>
      </w:r>
      <w:r w:rsidRPr="00414407">
        <w:rPr>
          <w:rFonts w:ascii="Book Antiqua" w:hAnsi="Book Antiqua"/>
          <w:i/>
          <w:kern w:val="2"/>
          <w:sz w:val="24"/>
          <w:szCs w:val="24"/>
          <w:lang w:val="en-US" w:eastAsia="zh-CN"/>
        </w:rPr>
        <w:t>Int J Oral Maxillofac Surg</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45</w:t>
      </w:r>
      <w:r w:rsidRPr="00414407">
        <w:rPr>
          <w:rFonts w:ascii="Book Antiqua" w:hAnsi="Book Antiqua"/>
          <w:kern w:val="2"/>
          <w:sz w:val="24"/>
          <w:szCs w:val="24"/>
          <w:lang w:val="en-US" w:eastAsia="zh-CN"/>
        </w:rPr>
        <w:t>: 1027-1034 [PMID: 26987695 DOI: 10.1016/j.ijom.2016.02.012]</w:t>
      </w:r>
    </w:p>
    <w:p w14:paraId="5A80EAC6"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31 </w:t>
      </w:r>
      <w:r w:rsidRPr="00414407">
        <w:rPr>
          <w:rFonts w:ascii="Book Antiqua" w:hAnsi="Book Antiqua"/>
          <w:b/>
          <w:kern w:val="2"/>
          <w:sz w:val="24"/>
          <w:szCs w:val="24"/>
          <w:lang w:val="en-US" w:eastAsia="zh-CN"/>
        </w:rPr>
        <w:t>Abdalla RIB</w:t>
      </w:r>
      <w:r w:rsidRPr="00414407">
        <w:rPr>
          <w:rFonts w:ascii="Book Antiqua" w:hAnsi="Book Antiqua"/>
          <w:kern w:val="2"/>
          <w:sz w:val="24"/>
          <w:szCs w:val="24"/>
          <w:lang w:val="en-US" w:eastAsia="zh-CN"/>
        </w:rPr>
        <w:t xml:space="preserve">, Alqutaibi AY, Kaddah A. Does the adjunctive use of platelet-rich plasma to bone graft during sinus augmentation reduce implant failure and complication? Systematic review and meta-analysis. </w:t>
      </w:r>
      <w:r w:rsidRPr="00414407">
        <w:rPr>
          <w:rFonts w:ascii="Book Antiqua" w:hAnsi="Book Antiqua"/>
          <w:i/>
          <w:kern w:val="2"/>
          <w:sz w:val="24"/>
          <w:szCs w:val="24"/>
          <w:lang w:val="en-US" w:eastAsia="zh-CN"/>
        </w:rPr>
        <w:t>Quintessence Int</w:t>
      </w:r>
      <w:r w:rsidRPr="00414407">
        <w:rPr>
          <w:rFonts w:ascii="Book Antiqua" w:hAnsi="Book Antiqua"/>
          <w:kern w:val="2"/>
          <w:sz w:val="24"/>
          <w:szCs w:val="24"/>
          <w:lang w:val="en-US" w:eastAsia="zh-CN"/>
        </w:rPr>
        <w:t xml:space="preserve"> 2018; </w:t>
      </w:r>
      <w:r w:rsidRPr="00414407">
        <w:rPr>
          <w:rFonts w:ascii="Book Antiqua" w:hAnsi="Book Antiqua"/>
          <w:b/>
          <w:kern w:val="2"/>
          <w:sz w:val="24"/>
          <w:szCs w:val="24"/>
          <w:lang w:val="en-US" w:eastAsia="zh-CN"/>
        </w:rPr>
        <w:t>49</w:t>
      </w:r>
      <w:r w:rsidRPr="00414407">
        <w:rPr>
          <w:rFonts w:ascii="Book Antiqua" w:hAnsi="Book Antiqua"/>
          <w:kern w:val="2"/>
          <w:sz w:val="24"/>
          <w:szCs w:val="24"/>
          <w:lang w:val="en-US" w:eastAsia="zh-CN"/>
        </w:rPr>
        <w:t>: 139-146 [PMID: 29292406 DOI: 10.3290/j.qi.a39616]</w:t>
      </w:r>
    </w:p>
    <w:p w14:paraId="1EBB89F2" w14:textId="21B2767E"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highlight w:val="yellow"/>
          <w:lang w:val="en-US" w:eastAsia="zh-CN"/>
        </w:rPr>
        <w:t xml:space="preserve">32 </w:t>
      </w:r>
      <w:r w:rsidRPr="00414407">
        <w:rPr>
          <w:rFonts w:ascii="Book Antiqua" w:hAnsi="Book Antiqua"/>
          <w:b/>
          <w:kern w:val="2"/>
          <w:sz w:val="24"/>
          <w:szCs w:val="24"/>
          <w:highlight w:val="yellow"/>
          <w:lang w:val="en-US" w:eastAsia="zh-CN"/>
        </w:rPr>
        <w:t>Misch CE.</w:t>
      </w:r>
      <w:r w:rsidRPr="00414407">
        <w:rPr>
          <w:rFonts w:ascii="Book Antiqua" w:hAnsi="Book Antiqua"/>
          <w:kern w:val="2"/>
          <w:sz w:val="24"/>
          <w:szCs w:val="24"/>
          <w:highlight w:val="yellow"/>
          <w:lang w:val="en-US" w:eastAsia="zh-CN"/>
        </w:rPr>
        <w:t xml:space="preserve"> Available bone and dental implant treatment plans. In: Misch CE</w:t>
      </w:r>
      <w:r w:rsidRPr="00414407">
        <w:rPr>
          <w:rFonts w:ascii="Book Antiqua" w:hAnsi="Book Antiqua" w:hint="eastAsia"/>
          <w:kern w:val="2"/>
          <w:sz w:val="24"/>
          <w:szCs w:val="24"/>
          <w:highlight w:val="yellow"/>
          <w:lang w:val="en-US" w:eastAsia="zh-CN"/>
        </w:rPr>
        <w:t>,</w:t>
      </w:r>
      <w:r w:rsidRPr="00414407">
        <w:rPr>
          <w:rFonts w:ascii="Book Antiqua" w:hAnsi="Book Antiqua"/>
          <w:kern w:val="2"/>
          <w:sz w:val="24"/>
          <w:szCs w:val="24"/>
          <w:highlight w:val="yellow"/>
          <w:lang w:val="en-US" w:eastAsia="zh-CN"/>
        </w:rPr>
        <w:t xml:space="preserve"> ed</w:t>
      </w:r>
      <w:r w:rsidRPr="00414407">
        <w:rPr>
          <w:rFonts w:ascii="Book Antiqua" w:hAnsi="Book Antiqua" w:hint="eastAsia"/>
          <w:kern w:val="2"/>
          <w:sz w:val="24"/>
          <w:szCs w:val="24"/>
          <w:highlight w:val="yellow"/>
          <w:lang w:val="en-US" w:eastAsia="zh-CN"/>
        </w:rPr>
        <w:t>itor</w:t>
      </w:r>
      <w:r w:rsidRPr="00414407">
        <w:rPr>
          <w:rFonts w:ascii="Book Antiqua" w:hAnsi="Book Antiqua"/>
          <w:kern w:val="2"/>
          <w:sz w:val="24"/>
          <w:szCs w:val="24"/>
          <w:highlight w:val="yellow"/>
          <w:lang w:val="en-US" w:eastAsia="zh-CN"/>
        </w:rPr>
        <w:t>. Contemporary Implant Dentistry</w:t>
      </w:r>
      <w:r w:rsidR="00470744">
        <w:rPr>
          <w:rFonts w:ascii="Book Antiqua" w:hAnsi="Book Antiqua" w:hint="eastAsia"/>
          <w:kern w:val="2"/>
          <w:sz w:val="24"/>
          <w:szCs w:val="24"/>
          <w:highlight w:val="yellow"/>
          <w:lang w:val="en-US" w:eastAsia="zh-CN"/>
        </w:rPr>
        <w:t>.</w:t>
      </w:r>
      <w:r w:rsidR="00470744">
        <w:rPr>
          <w:rFonts w:ascii="Book Antiqua" w:hAnsi="Book Antiqua"/>
          <w:kern w:val="2"/>
          <w:sz w:val="24"/>
          <w:szCs w:val="24"/>
          <w:highlight w:val="yellow"/>
          <w:lang w:val="en-US" w:eastAsia="zh-CN"/>
        </w:rPr>
        <w:t xml:space="preserve"> 3rd ed</w:t>
      </w:r>
      <w:r w:rsidRPr="00414407">
        <w:rPr>
          <w:rFonts w:ascii="Book Antiqua" w:hAnsi="Book Antiqua"/>
          <w:kern w:val="2"/>
          <w:sz w:val="24"/>
          <w:szCs w:val="24"/>
          <w:highlight w:val="yellow"/>
          <w:lang w:val="en-US" w:eastAsia="zh-CN"/>
        </w:rPr>
        <w:t>. St. Louis: Mosby, 2008:</w:t>
      </w:r>
      <w:r w:rsidRPr="00414407">
        <w:rPr>
          <w:rFonts w:ascii="Book Antiqua" w:hAnsi="Book Antiqua" w:hint="eastAsia"/>
          <w:kern w:val="2"/>
          <w:sz w:val="24"/>
          <w:szCs w:val="24"/>
          <w:highlight w:val="yellow"/>
          <w:lang w:val="en-US" w:eastAsia="zh-CN"/>
        </w:rPr>
        <w:t xml:space="preserve"> </w:t>
      </w:r>
      <w:r w:rsidRPr="00414407">
        <w:rPr>
          <w:rFonts w:ascii="Book Antiqua" w:hAnsi="Book Antiqua"/>
          <w:kern w:val="2"/>
          <w:sz w:val="24"/>
          <w:szCs w:val="24"/>
          <w:highlight w:val="yellow"/>
          <w:lang w:val="en-US" w:eastAsia="zh-CN"/>
        </w:rPr>
        <w:t>178-199</w:t>
      </w:r>
    </w:p>
    <w:p w14:paraId="1BA7BE7E"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33 </w:t>
      </w:r>
      <w:r w:rsidRPr="00414407">
        <w:rPr>
          <w:rFonts w:ascii="Book Antiqua" w:hAnsi="Book Antiqua"/>
          <w:b/>
          <w:kern w:val="2"/>
          <w:sz w:val="24"/>
          <w:szCs w:val="24"/>
          <w:lang w:val="en-US" w:eastAsia="zh-CN"/>
        </w:rPr>
        <w:t>Jensen OT</w:t>
      </w:r>
      <w:r w:rsidRPr="00414407">
        <w:rPr>
          <w:rFonts w:ascii="Book Antiqua" w:hAnsi="Book Antiqua"/>
          <w:kern w:val="2"/>
          <w:sz w:val="24"/>
          <w:szCs w:val="24"/>
          <w:lang w:val="en-US" w:eastAsia="zh-CN"/>
        </w:rPr>
        <w:t xml:space="preserve">, Shulman LB, Block MS, Iacono VJ. </w:t>
      </w:r>
      <w:bookmarkStart w:id="176" w:name="OLE_LINK154"/>
      <w:bookmarkStart w:id="177" w:name="OLE_LINK155"/>
      <w:r w:rsidRPr="00414407">
        <w:rPr>
          <w:rFonts w:ascii="Book Antiqua" w:hAnsi="Book Antiqua"/>
          <w:kern w:val="2"/>
          <w:sz w:val="24"/>
          <w:szCs w:val="24"/>
          <w:lang w:val="en-US" w:eastAsia="zh-CN"/>
        </w:rPr>
        <w:t>Report of the Sinus Consensus Conference of 1996</w:t>
      </w:r>
      <w:bookmarkEnd w:id="176"/>
      <w:bookmarkEnd w:id="177"/>
      <w:r w:rsidRPr="00414407">
        <w:rPr>
          <w:rFonts w:ascii="Book Antiqua" w:hAnsi="Book Antiqua"/>
          <w:kern w:val="2"/>
          <w:sz w:val="24"/>
          <w:szCs w:val="24"/>
          <w:lang w:val="en-US" w:eastAsia="zh-CN"/>
        </w:rPr>
        <w:t xml:space="preserve">. </w:t>
      </w:r>
      <w:r w:rsidRPr="00414407">
        <w:rPr>
          <w:rFonts w:ascii="Book Antiqua" w:hAnsi="Book Antiqua"/>
          <w:i/>
          <w:kern w:val="2"/>
          <w:sz w:val="24"/>
          <w:szCs w:val="24"/>
          <w:lang w:val="en-US" w:eastAsia="zh-CN"/>
        </w:rPr>
        <w:t>Int J Oral Maxillofac Implants</w:t>
      </w:r>
      <w:r w:rsidRPr="00414407">
        <w:rPr>
          <w:rFonts w:ascii="Book Antiqua" w:hAnsi="Book Antiqua"/>
          <w:kern w:val="2"/>
          <w:sz w:val="24"/>
          <w:szCs w:val="24"/>
          <w:lang w:val="en-US" w:eastAsia="zh-CN"/>
        </w:rPr>
        <w:t xml:space="preserve"> 1998; </w:t>
      </w:r>
      <w:r w:rsidRPr="00414407">
        <w:rPr>
          <w:rFonts w:ascii="Book Antiqua" w:hAnsi="Book Antiqua"/>
          <w:b/>
          <w:kern w:val="2"/>
          <w:sz w:val="24"/>
          <w:szCs w:val="24"/>
          <w:lang w:val="en-US" w:eastAsia="zh-CN"/>
        </w:rPr>
        <w:t xml:space="preserve">13 </w:t>
      </w:r>
      <w:r w:rsidRPr="00414407">
        <w:rPr>
          <w:rFonts w:ascii="Book Antiqua" w:hAnsi="Book Antiqua"/>
          <w:kern w:val="2"/>
          <w:sz w:val="24"/>
          <w:szCs w:val="24"/>
          <w:lang w:val="en-US" w:eastAsia="zh-CN"/>
        </w:rPr>
        <w:t>Suppl: 11-45 [PMID: 9715571]</w:t>
      </w:r>
    </w:p>
    <w:p w14:paraId="0D439662"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34 </w:t>
      </w:r>
      <w:r w:rsidRPr="00414407">
        <w:rPr>
          <w:rFonts w:ascii="Book Antiqua" w:hAnsi="Book Antiqua"/>
          <w:b/>
          <w:kern w:val="2"/>
          <w:sz w:val="24"/>
          <w:szCs w:val="24"/>
          <w:lang w:val="en-US" w:eastAsia="zh-CN"/>
        </w:rPr>
        <w:t>Eda T,</w:t>
      </w:r>
      <w:r w:rsidRPr="00414407">
        <w:rPr>
          <w:rFonts w:ascii="Book Antiqua" w:hAnsi="Book Antiqua"/>
          <w:i/>
          <w:kern w:val="2"/>
          <w:sz w:val="24"/>
          <w:szCs w:val="24"/>
          <w:lang w:val="en-US" w:eastAsia="zh-CN"/>
        </w:rPr>
        <w:t xml:space="preserve"> </w:t>
      </w:r>
      <w:r w:rsidRPr="00414407">
        <w:rPr>
          <w:rFonts w:ascii="Book Antiqua" w:hAnsi="Book Antiqua"/>
          <w:kern w:val="2"/>
          <w:sz w:val="24"/>
          <w:szCs w:val="24"/>
          <w:lang w:val="en-US" w:eastAsia="zh-CN"/>
        </w:rPr>
        <w:t xml:space="preserve">Takahashi K, Kanao S, Aoki A, Ogura N, Ito K, Tsukahara H, Suemitsu M, Kuyama K, Kondoh T. Comparison study between plasma rich in growth factors and platelet-rich plasma for osteoconduction in rat calvaria. </w:t>
      </w:r>
      <w:r w:rsidRPr="00414407">
        <w:rPr>
          <w:rFonts w:ascii="Book Antiqua" w:hAnsi="Book Antiqua"/>
          <w:i/>
          <w:kern w:val="2"/>
          <w:sz w:val="24"/>
          <w:szCs w:val="24"/>
          <w:lang w:val="en-US" w:eastAsia="zh-CN"/>
        </w:rPr>
        <w:t>J Oral Maxillofac Surg Med Pathol</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29</w:t>
      </w:r>
      <w:r w:rsidRPr="00414407">
        <w:rPr>
          <w:rFonts w:ascii="Book Antiqua" w:hAnsi="Book Antiqua"/>
          <w:kern w:val="2"/>
          <w:sz w:val="24"/>
          <w:szCs w:val="24"/>
          <w:lang w:val="en-US" w:eastAsia="zh-CN"/>
        </w:rPr>
        <w:t>: 563-569 [DOI: 10.1016/j.ajoms.2017.06.011]</w:t>
      </w:r>
    </w:p>
    <w:p w14:paraId="74ECE053"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35 </w:t>
      </w:r>
      <w:r w:rsidRPr="00414407">
        <w:rPr>
          <w:rFonts w:ascii="Book Antiqua" w:hAnsi="Book Antiqua"/>
          <w:b/>
          <w:kern w:val="2"/>
          <w:sz w:val="24"/>
          <w:szCs w:val="24"/>
          <w:lang w:val="en-US" w:eastAsia="zh-CN"/>
        </w:rPr>
        <w:t>Parnia F</w:t>
      </w:r>
      <w:r w:rsidRPr="00414407">
        <w:rPr>
          <w:rFonts w:ascii="Book Antiqua" w:hAnsi="Book Antiqua"/>
          <w:kern w:val="2"/>
          <w:sz w:val="24"/>
          <w:szCs w:val="24"/>
          <w:lang w:val="en-US" w:eastAsia="zh-CN"/>
        </w:rPr>
        <w:t xml:space="preserve">, Yazdani J, Maleki Dizaj S. Applications of Mesenchymal Stem Cells in Sinus Lift Augmentation as a Dental Implant Technology. </w:t>
      </w:r>
      <w:r w:rsidRPr="00414407">
        <w:rPr>
          <w:rFonts w:ascii="Book Antiqua" w:hAnsi="Book Antiqua"/>
          <w:i/>
          <w:kern w:val="2"/>
          <w:sz w:val="24"/>
          <w:szCs w:val="24"/>
          <w:lang w:val="en-US" w:eastAsia="zh-CN"/>
        </w:rPr>
        <w:t>Stem Cells Int</w:t>
      </w:r>
      <w:r w:rsidRPr="00414407">
        <w:rPr>
          <w:rFonts w:ascii="Book Antiqua" w:hAnsi="Book Antiqua"/>
          <w:kern w:val="2"/>
          <w:sz w:val="24"/>
          <w:szCs w:val="24"/>
          <w:lang w:val="en-US" w:eastAsia="zh-CN"/>
        </w:rPr>
        <w:t xml:space="preserve"> 2018; </w:t>
      </w:r>
      <w:r w:rsidRPr="00414407">
        <w:rPr>
          <w:rFonts w:ascii="Book Antiqua" w:hAnsi="Book Antiqua"/>
          <w:b/>
          <w:kern w:val="2"/>
          <w:sz w:val="24"/>
          <w:szCs w:val="24"/>
          <w:lang w:val="en-US" w:eastAsia="zh-CN"/>
        </w:rPr>
        <w:t>2018</w:t>
      </w:r>
      <w:r w:rsidRPr="00414407">
        <w:rPr>
          <w:rFonts w:ascii="Book Antiqua" w:hAnsi="Book Antiqua"/>
          <w:kern w:val="2"/>
          <w:sz w:val="24"/>
          <w:szCs w:val="24"/>
          <w:lang w:val="en-US" w:eastAsia="zh-CN"/>
        </w:rPr>
        <w:t>: 3080139 [PMID: 29760723 DOI: 10.1155/2018/3080139]</w:t>
      </w:r>
    </w:p>
    <w:p w14:paraId="3E66CF3B"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36 </w:t>
      </w:r>
      <w:r w:rsidRPr="00414407">
        <w:rPr>
          <w:rFonts w:ascii="Book Antiqua" w:hAnsi="Book Antiqua"/>
          <w:b/>
          <w:kern w:val="2"/>
          <w:sz w:val="24"/>
          <w:szCs w:val="24"/>
          <w:lang w:val="en-US" w:eastAsia="zh-CN"/>
        </w:rPr>
        <w:t>Niño-Sandoval TC</w:t>
      </w:r>
      <w:r w:rsidRPr="00414407">
        <w:rPr>
          <w:rFonts w:ascii="Book Antiqua" w:hAnsi="Book Antiqua"/>
          <w:kern w:val="2"/>
          <w:sz w:val="24"/>
          <w:szCs w:val="24"/>
          <w:lang w:val="en-US" w:eastAsia="zh-CN"/>
        </w:rPr>
        <w:t xml:space="preserve">, Vasconcelos BC, D Moraes SL, A Lemos CA, Pellizzer EP. Efficacy of stem cells in maxillary sinus floor augmentation: systematic review and meta-analysis. </w:t>
      </w:r>
      <w:r w:rsidRPr="00414407">
        <w:rPr>
          <w:rFonts w:ascii="Book Antiqua" w:hAnsi="Book Antiqua"/>
          <w:i/>
          <w:kern w:val="2"/>
          <w:sz w:val="24"/>
          <w:szCs w:val="24"/>
          <w:lang w:val="en-US" w:eastAsia="zh-CN"/>
        </w:rPr>
        <w:t>Int J Oral Maxillofac Surg</w:t>
      </w:r>
      <w:r w:rsidRPr="00414407">
        <w:rPr>
          <w:rFonts w:ascii="Book Antiqua" w:hAnsi="Book Antiqua"/>
          <w:kern w:val="2"/>
          <w:sz w:val="24"/>
          <w:szCs w:val="24"/>
          <w:lang w:val="en-US" w:eastAsia="zh-CN"/>
        </w:rPr>
        <w:t xml:space="preserve"> 2018</w:t>
      </w:r>
      <w:r w:rsidRPr="00414407">
        <w:rPr>
          <w:rFonts w:ascii="Book Antiqua" w:hAnsi="Book Antiqua" w:hint="eastAsia"/>
          <w:kern w:val="2"/>
          <w:sz w:val="24"/>
          <w:szCs w:val="24"/>
          <w:lang w:val="en-US" w:eastAsia="zh-CN"/>
        </w:rPr>
        <w:t xml:space="preserve"> </w:t>
      </w:r>
      <w:r w:rsidRPr="00414407">
        <w:rPr>
          <w:rFonts w:ascii="Book Antiqua" w:hAnsi="Book Antiqua"/>
          <w:kern w:val="2"/>
          <w:sz w:val="24"/>
          <w:szCs w:val="24"/>
          <w:lang w:val="en-US" w:eastAsia="zh-CN"/>
        </w:rPr>
        <w:t xml:space="preserve">[PMID: </w:t>
      </w:r>
      <w:bookmarkStart w:id="178" w:name="OLE_LINK157"/>
      <w:r w:rsidRPr="00414407">
        <w:rPr>
          <w:rFonts w:ascii="Book Antiqua" w:hAnsi="Book Antiqua"/>
          <w:kern w:val="2"/>
          <w:sz w:val="24"/>
          <w:szCs w:val="24"/>
          <w:lang w:val="en-US" w:eastAsia="zh-CN"/>
        </w:rPr>
        <w:t xml:space="preserve">29759309 </w:t>
      </w:r>
      <w:bookmarkEnd w:id="178"/>
      <w:r w:rsidRPr="00414407">
        <w:rPr>
          <w:rFonts w:ascii="Book Antiqua" w:hAnsi="Book Antiqua"/>
          <w:kern w:val="2"/>
          <w:sz w:val="24"/>
          <w:szCs w:val="24"/>
          <w:lang w:val="en-US" w:eastAsia="zh-CN"/>
        </w:rPr>
        <w:t>DOI: 10.1016/j.ijom.2018.04.022]</w:t>
      </w:r>
    </w:p>
    <w:p w14:paraId="0928E6AD"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37 </w:t>
      </w:r>
      <w:r w:rsidRPr="00414407">
        <w:rPr>
          <w:rFonts w:ascii="Book Antiqua" w:hAnsi="Book Antiqua"/>
          <w:b/>
          <w:kern w:val="2"/>
          <w:sz w:val="24"/>
          <w:szCs w:val="24"/>
          <w:lang w:val="en-US" w:eastAsia="zh-CN"/>
        </w:rPr>
        <w:t>Miguita L</w:t>
      </w:r>
      <w:r w:rsidRPr="00414407">
        <w:rPr>
          <w:rFonts w:ascii="Book Antiqua" w:hAnsi="Book Antiqua"/>
          <w:kern w:val="2"/>
          <w:sz w:val="24"/>
          <w:szCs w:val="24"/>
          <w:lang w:val="en-US" w:eastAsia="zh-CN"/>
        </w:rPr>
        <w:t xml:space="preserve">, Mantesso A, Pannuti CM, Deboni MCZ. Can stem cells enhance bone formation in the human edentulous alveolar ridge? A systematic review and meta-analysis. </w:t>
      </w:r>
      <w:r w:rsidRPr="00414407">
        <w:rPr>
          <w:rFonts w:ascii="Book Antiqua" w:hAnsi="Book Antiqua"/>
          <w:i/>
          <w:kern w:val="2"/>
          <w:sz w:val="24"/>
          <w:szCs w:val="24"/>
          <w:lang w:val="en-US" w:eastAsia="zh-CN"/>
        </w:rPr>
        <w:t>Cell Tissue Bank</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18</w:t>
      </w:r>
      <w:r w:rsidRPr="00414407">
        <w:rPr>
          <w:rFonts w:ascii="Book Antiqua" w:hAnsi="Book Antiqua"/>
          <w:kern w:val="2"/>
          <w:sz w:val="24"/>
          <w:szCs w:val="24"/>
          <w:lang w:val="en-US" w:eastAsia="zh-CN"/>
        </w:rPr>
        <w:t>: 217-228 [PMID: 28233169 DOI: 10.1007/s10561-017-9612-y]</w:t>
      </w:r>
    </w:p>
    <w:p w14:paraId="01261EF8"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38 </w:t>
      </w:r>
      <w:r w:rsidRPr="00414407">
        <w:rPr>
          <w:rFonts w:ascii="Book Antiqua" w:hAnsi="Book Antiqua"/>
          <w:b/>
          <w:kern w:val="2"/>
          <w:sz w:val="24"/>
          <w:szCs w:val="24"/>
          <w:lang w:val="en-US" w:eastAsia="zh-CN"/>
        </w:rPr>
        <w:t>Barba M</w:t>
      </w:r>
      <w:r w:rsidRPr="00414407">
        <w:rPr>
          <w:rFonts w:ascii="Book Antiqua" w:hAnsi="Book Antiqua"/>
          <w:kern w:val="2"/>
          <w:sz w:val="24"/>
          <w:szCs w:val="24"/>
          <w:lang w:val="en-US" w:eastAsia="zh-CN"/>
        </w:rPr>
        <w:t xml:space="preserve">, Di Taranto G, Lattanzi W. Adipose-derived stem cell therapies for bone </w:t>
      </w:r>
      <w:r w:rsidRPr="00414407">
        <w:rPr>
          <w:rFonts w:ascii="Book Antiqua" w:hAnsi="Book Antiqua"/>
          <w:kern w:val="2"/>
          <w:sz w:val="24"/>
          <w:szCs w:val="24"/>
          <w:lang w:val="en-US" w:eastAsia="zh-CN"/>
        </w:rPr>
        <w:lastRenderedPageBreak/>
        <w:t xml:space="preserve">regeneration. </w:t>
      </w:r>
      <w:r w:rsidRPr="00414407">
        <w:rPr>
          <w:rFonts w:ascii="Book Antiqua" w:hAnsi="Book Antiqua"/>
          <w:i/>
          <w:kern w:val="2"/>
          <w:sz w:val="24"/>
          <w:szCs w:val="24"/>
          <w:lang w:val="en-US" w:eastAsia="zh-CN"/>
        </w:rPr>
        <w:t>Expert Opin Biol Ther</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17</w:t>
      </w:r>
      <w:r w:rsidRPr="00414407">
        <w:rPr>
          <w:rFonts w:ascii="Book Antiqua" w:hAnsi="Book Antiqua"/>
          <w:kern w:val="2"/>
          <w:sz w:val="24"/>
          <w:szCs w:val="24"/>
          <w:lang w:val="en-US" w:eastAsia="zh-CN"/>
        </w:rPr>
        <w:t>: 677-689 [PMID: 28374644 DOI: 10.1080/14712598.2017.1315403]</w:t>
      </w:r>
    </w:p>
    <w:p w14:paraId="2E7EB256"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39 </w:t>
      </w:r>
      <w:r w:rsidRPr="00414407">
        <w:rPr>
          <w:rFonts w:ascii="Book Antiqua" w:hAnsi="Book Antiqua"/>
          <w:b/>
          <w:kern w:val="2"/>
          <w:sz w:val="24"/>
          <w:szCs w:val="24"/>
          <w:lang w:val="en-US" w:eastAsia="zh-CN"/>
        </w:rPr>
        <w:t>Bhattacharya I</w:t>
      </w:r>
      <w:r w:rsidRPr="00414407">
        <w:rPr>
          <w:rFonts w:ascii="Book Antiqua" w:hAnsi="Book Antiqua"/>
          <w:kern w:val="2"/>
          <w:sz w:val="24"/>
          <w:szCs w:val="24"/>
          <w:lang w:val="en-US" w:eastAsia="zh-CN"/>
        </w:rPr>
        <w:t xml:space="preserve">, Ghayor C, Weber FE. The Use of Adipose Tissue-Derived Progenitors in Bone Tissue Engineering - a Review. </w:t>
      </w:r>
      <w:r w:rsidRPr="00414407">
        <w:rPr>
          <w:rFonts w:ascii="Book Antiqua" w:hAnsi="Book Antiqua"/>
          <w:i/>
          <w:kern w:val="2"/>
          <w:sz w:val="24"/>
          <w:szCs w:val="24"/>
          <w:lang w:val="en-US" w:eastAsia="zh-CN"/>
        </w:rPr>
        <w:t>Transfus Med Hemother</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43</w:t>
      </w:r>
      <w:r w:rsidRPr="00414407">
        <w:rPr>
          <w:rFonts w:ascii="Book Antiqua" w:hAnsi="Book Antiqua"/>
          <w:kern w:val="2"/>
          <w:sz w:val="24"/>
          <w:szCs w:val="24"/>
          <w:lang w:val="en-US" w:eastAsia="zh-CN"/>
        </w:rPr>
        <w:t>: 336-343 [PMID: 27781021 DOI: 10.1159/000447494]</w:t>
      </w:r>
    </w:p>
    <w:p w14:paraId="4D8C6775"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40 </w:t>
      </w:r>
      <w:r w:rsidRPr="00414407">
        <w:rPr>
          <w:rFonts w:ascii="Book Antiqua" w:hAnsi="Book Antiqua"/>
          <w:b/>
          <w:kern w:val="2"/>
          <w:sz w:val="24"/>
          <w:szCs w:val="24"/>
          <w:lang w:val="en-US" w:eastAsia="zh-CN"/>
        </w:rPr>
        <w:t>Han DS</w:t>
      </w:r>
      <w:r w:rsidRPr="00414407">
        <w:rPr>
          <w:rFonts w:ascii="Book Antiqua" w:hAnsi="Book Antiqua"/>
          <w:kern w:val="2"/>
          <w:sz w:val="24"/>
          <w:szCs w:val="24"/>
          <w:lang w:val="en-US" w:eastAsia="zh-CN"/>
        </w:rPr>
        <w:t xml:space="preserve">, Chang HK, Kim KR, Woo SM. Consideration of bone regeneration effect of stem cells: comparison of bone regeneration between bone marrow stem cells and adipose-derived stem cells. </w:t>
      </w:r>
      <w:r w:rsidRPr="00414407">
        <w:rPr>
          <w:rFonts w:ascii="Book Antiqua" w:hAnsi="Book Antiqua"/>
          <w:i/>
          <w:kern w:val="2"/>
          <w:sz w:val="24"/>
          <w:szCs w:val="24"/>
          <w:lang w:val="en-US" w:eastAsia="zh-CN"/>
        </w:rPr>
        <w:t>J Craniofac Surg</w:t>
      </w:r>
      <w:r w:rsidRPr="00414407">
        <w:rPr>
          <w:rFonts w:ascii="Book Antiqua" w:hAnsi="Book Antiqua"/>
          <w:kern w:val="2"/>
          <w:sz w:val="24"/>
          <w:szCs w:val="24"/>
          <w:lang w:val="en-US" w:eastAsia="zh-CN"/>
        </w:rPr>
        <w:t xml:space="preserve"> 2014; </w:t>
      </w:r>
      <w:r w:rsidRPr="00414407">
        <w:rPr>
          <w:rFonts w:ascii="Book Antiqua" w:hAnsi="Book Antiqua"/>
          <w:b/>
          <w:kern w:val="2"/>
          <w:sz w:val="24"/>
          <w:szCs w:val="24"/>
          <w:lang w:val="en-US" w:eastAsia="zh-CN"/>
        </w:rPr>
        <w:t>25</w:t>
      </w:r>
      <w:r w:rsidRPr="00414407">
        <w:rPr>
          <w:rFonts w:ascii="Book Antiqua" w:hAnsi="Book Antiqua"/>
          <w:kern w:val="2"/>
          <w:sz w:val="24"/>
          <w:szCs w:val="24"/>
          <w:lang w:val="en-US" w:eastAsia="zh-CN"/>
        </w:rPr>
        <w:t>: 196-201 [PMID: 24406577 DOI: 10.1097/SCS.0000000000000378]</w:t>
      </w:r>
    </w:p>
    <w:p w14:paraId="1E69CD28"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41 </w:t>
      </w:r>
      <w:r w:rsidRPr="00414407">
        <w:rPr>
          <w:rFonts w:ascii="Book Antiqua" w:hAnsi="Book Antiqua"/>
          <w:b/>
          <w:kern w:val="2"/>
          <w:sz w:val="24"/>
          <w:szCs w:val="24"/>
          <w:lang w:val="en-US" w:eastAsia="zh-CN"/>
        </w:rPr>
        <w:t>Hayashi O</w:t>
      </w:r>
      <w:r w:rsidRPr="00414407">
        <w:rPr>
          <w:rFonts w:ascii="Book Antiqua" w:hAnsi="Book Antiqua"/>
          <w:kern w:val="2"/>
          <w:sz w:val="24"/>
          <w:szCs w:val="24"/>
          <w:lang w:val="en-US" w:eastAsia="zh-CN"/>
        </w:rPr>
        <w:t xml:space="preserve">, Katsube Y, Hirose M, Ohgushi H, Ito H. Comparison of osteogenic ability of rat mesenchymal stem cells from bone marrow, periosteum, and adipose tissue. </w:t>
      </w:r>
      <w:r w:rsidRPr="00414407">
        <w:rPr>
          <w:rFonts w:ascii="Book Antiqua" w:hAnsi="Book Antiqua"/>
          <w:i/>
          <w:kern w:val="2"/>
          <w:sz w:val="24"/>
          <w:szCs w:val="24"/>
          <w:lang w:val="en-US" w:eastAsia="zh-CN"/>
        </w:rPr>
        <w:t>Calcif Tissue Int</w:t>
      </w:r>
      <w:r w:rsidRPr="00414407">
        <w:rPr>
          <w:rFonts w:ascii="Book Antiqua" w:hAnsi="Book Antiqua"/>
          <w:kern w:val="2"/>
          <w:sz w:val="24"/>
          <w:szCs w:val="24"/>
          <w:lang w:val="en-US" w:eastAsia="zh-CN"/>
        </w:rPr>
        <w:t xml:space="preserve"> 2008; </w:t>
      </w:r>
      <w:r w:rsidRPr="00414407">
        <w:rPr>
          <w:rFonts w:ascii="Book Antiqua" w:hAnsi="Book Antiqua"/>
          <w:b/>
          <w:kern w:val="2"/>
          <w:sz w:val="24"/>
          <w:szCs w:val="24"/>
          <w:lang w:val="en-US" w:eastAsia="zh-CN"/>
        </w:rPr>
        <w:t>82</w:t>
      </w:r>
      <w:r w:rsidRPr="00414407">
        <w:rPr>
          <w:rFonts w:ascii="Book Antiqua" w:hAnsi="Book Antiqua"/>
          <w:kern w:val="2"/>
          <w:sz w:val="24"/>
          <w:szCs w:val="24"/>
          <w:lang w:val="en-US" w:eastAsia="zh-CN"/>
        </w:rPr>
        <w:t>: 238-247 [PMID: 18305886 DOI: 10.1007/s00223-008-9112-y]</w:t>
      </w:r>
    </w:p>
    <w:p w14:paraId="5BF04B00"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42 </w:t>
      </w:r>
      <w:r w:rsidRPr="00414407">
        <w:rPr>
          <w:rFonts w:ascii="Book Antiqua" w:hAnsi="Book Antiqua"/>
          <w:b/>
          <w:kern w:val="2"/>
          <w:sz w:val="24"/>
          <w:szCs w:val="24"/>
          <w:lang w:val="en-US" w:eastAsia="zh-CN"/>
        </w:rPr>
        <w:t>Zhang W</w:t>
      </w:r>
      <w:r w:rsidRPr="00414407">
        <w:rPr>
          <w:rFonts w:ascii="Book Antiqua" w:hAnsi="Book Antiqua"/>
          <w:kern w:val="2"/>
          <w:sz w:val="24"/>
          <w:szCs w:val="24"/>
          <w:lang w:val="en-US" w:eastAsia="zh-CN"/>
        </w:rPr>
        <w:t xml:space="preserve">, Zhang X, Wang S, Xu L, Zhang M, Wang G, Jin Y, Zhang X, Jiang X. Comparison of the use of adipose tissue-derived and bone marrow-derived stem cells for rapid bone regeneration. </w:t>
      </w:r>
      <w:r w:rsidRPr="00414407">
        <w:rPr>
          <w:rFonts w:ascii="Book Antiqua" w:hAnsi="Book Antiqua"/>
          <w:i/>
          <w:kern w:val="2"/>
          <w:sz w:val="24"/>
          <w:szCs w:val="24"/>
          <w:lang w:val="en-US" w:eastAsia="zh-CN"/>
        </w:rPr>
        <w:t>J Dent Res</w:t>
      </w:r>
      <w:r w:rsidRPr="00414407">
        <w:rPr>
          <w:rFonts w:ascii="Book Antiqua" w:hAnsi="Book Antiqua"/>
          <w:kern w:val="2"/>
          <w:sz w:val="24"/>
          <w:szCs w:val="24"/>
          <w:lang w:val="en-US" w:eastAsia="zh-CN"/>
        </w:rPr>
        <w:t xml:space="preserve"> 2013; </w:t>
      </w:r>
      <w:r w:rsidRPr="00414407">
        <w:rPr>
          <w:rFonts w:ascii="Book Antiqua" w:hAnsi="Book Antiqua"/>
          <w:b/>
          <w:kern w:val="2"/>
          <w:sz w:val="24"/>
          <w:szCs w:val="24"/>
          <w:lang w:val="en-US" w:eastAsia="zh-CN"/>
        </w:rPr>
        <w:t>92</w:t>
      </w:r>
      <w:r w:rsidRPr="00414407">
        <w:rPr>
          <w:rFonts w:ascii="Book Antiqua" w:hAnsi="Book Antiqua"/>
          <w:kern w:val="2"/>
          <w:sz w:val="24"/>
          <w:szCs w:val="24"/>
          <w:lang w:val="en-US" w:eastAsia="zh-CN"/>
        </w:rPr>
        <w:t>: 1136-1141 [PMID: 24097853 DOI: 10.1177/0022034513507581]</w:t>
      </w:r>
    </w:p>
    <w:p w14:paraId="2C7A262E"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43 </w:t>
      </w:r>
      <w:r w:rsidRPr="00414407">
        <w:rPr>
          <w:rFonts w:ascii="Book Antiqua" w:hAnsi="Book Antiqua"/>
          <w:b/>
          <w:kern w:val="2"/>
          <w:sz w:val="24"/>
          <w:szCs w:val="24"/>
          <w:lang w:val="en-US" w:eastAsia="zh-CN"/>
        </w:rPr>
        <w:t>Yu H</w:t>
      </w:r>
      <w:r w:rsidRPr="00414407">
        <w:rPr>
          <w:rFonts w:ascii="Book Antiqua" w:hAnsi="Book Antiqua"/>
          <w:kern w:val="2"/>
          <w:sz w:val="24"/>
          <w:szCs w:val="24"/>
          <w:lang w:val="en-US" w:eastAsia="zh-CN"/>
        </w:rPr>
        <w:t xml:space="preserve">, Lu K, Zhu J, Wang J. Stem cell therapy for ischemic heart diseases. </w:t>
      </w:r>
      <w:r w:rsidRPr="00414407">
        <w:rPr>
          <w:rFonts w:ascii="Book Antiqua" w:hAnsi="Book Antiqua"/>
          <w:i/>
          <w:kern w:val="2"/>
          <w:sz w:val="24"/>
          <w:szCs w:val="24"/>
          <w:lang w:val="en-US" w:eastAsia="zh-CN"/>
        </w:rPr>
        <w:t>Br Med Bull</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121</w:t>
      </w:r>
      <w:r w:rsidRPr="00414407">
        <w:rPr>
          <w:rFonts w:ascii="Book Antiqua" w:hAnsi="Book Antiqua"/>
          <w:kern w:val="2"/>
          <w:sz w:val="24"/>
          <w:szCs w:val="24"/>
          <w:lang w:val="en-US" w:eastAsia="zh-CN"/>
        </w:rPr>
        <w:t>: 135-154 [PMID: 28164211 DOI: 10.1093/bmb/ldw059]</w:t>
      </w:r>
    </w:p>
    <w:p w14:paraId="65176AC1"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44 </w:t>
      </w:r>
      <w:r w:rsidRPr="00414407">
        <w:rPr>
          <w:rFonts w:ascii="Book Antiqua" w:hAnsi="Book Antiqua"/>
          <w:b/>
          <w:kern w:val="2"/>
          <w:sz w:val="24"/>
          <w:szCs w:val="24"/>
          <w:lang w:val="en-US" w:eastAsia="zh-CN"/>
        </w:rPr>
        <w:t>Fraser JK</w:t>
      </w:r>
      <w:r w:rsidRPr="00414407">
        <w:rPr>
          <w:rFonts w:ascii="Book Antiqua" w:hAnsi="Book Antiqua"/>
          <w:kern w:val="2"/>
          <w:sz w:val="24"/>
          <w:szCs w:val="24"/>
          <w:lang w:val="en-US" w:eastAsia="zh-CN"/>
        </w:rPr>
        <w:t xml:space="preserve">, Wulur I, Alfonso Z, Hedrick MH. Fat tissue: an underappreciated source of stem cells for biotechnology. </w:t>
      </w:r>
      <w:r w:rsidRPr="00414407">
        <w:rPr>
          <w:rFonts w:ascii="Book Antiqua" w:hAnsi="Book Antiqua"/>
          <w:i/>
          <w:kern w:val="2"/>
          <w:sz w:val="24"/>
          <w:szCs w:val="24"/>
          <w:lang w:val="en-US" w:eastAsia="zh-CN"/>
        </w:rPr>
        <w:t>Trends Biotechnol</w:t>
      </w:r>
      <w:r w:rsidRPr="00414407">
        <w:rPr>
          <w:rFonts w:ascii="Book Antiqua" w:hAnsi="Book Antiqua"/>
          <w:kern w:val="2"/>
          <w:sz w:val="24"/>
          <w:szCs w:val="24"/>
          <w:lang w:val="en-US" w:eastAsia="zh-CN"/>
        </w:rPr>
        <w:t xml:space="preserve"> 2006; </w:t>
      </w:r>
      <w:r w:rsidRPr="00414407">
        <w:rPr>
          <w:rFonts w:ascii="Book Antiqua" w:hAnsi="Book Antiqua"/>
          <w:b/>
          <w:kern w:val="2"/>
          <w:sz w:val="24"/>
          <w:szCs w:val="24"/>
          <w:lang w:val="en-US" w:eastAsia="zh-CN"/>
        </w:rPr>
        <w:t>24</w:t>
      </w:r>
      <w:r w:rsidRPr="00414407">
        <w:rPr>
          <w:rFonts w:ascii="Book Antiqua" w:hAnsi="Book Antiqua"/>
          <w:kern w:val="2"/>
          <w:sz w:val="24"/>
          <w:szCs w:val="24"/>
          <w:lang w:val="en-US" w:eastAsia="zh-CN"/>
        </w:rPr>
        <w:t>: 150-154 [PMID: 16488036 DOI: 10.1016/j.tibtech.2006.01.010]</w:t>
      </w:r>
    </w:p>
    <w:p w14:paraId="4E676938"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45 </w:t>
      </w:r>
      <w:r w:rsidRPr="00414407">
        <w:rPr>
          <w:rFonts w:ascii="Book Antiqua" w:hAnsi="Book Antiqua"/>
          <w:b/>
          <w:kern w:val="2"/>
          <w:sz w:val="24"/>
          <w:szCs w:val="24"/>
          <w:lang w:val="en-US" w:eastAsia="zh-CN"/>
        </w:rPr>
        <w:t>Aust L</w:t>
      </w:r>
      <w:r w:rsidRPr="00414407">
        <w:rPr>
          <w:rFonts w:ascii="Book Antiqua" w:hAnsi="Book Antiqua"/>
          <w:kern w:val="2"/>
          <w:sz w:val="24"/>
          <w:szCs w:val="24"/>
          <w:lang w:val="en-US" w:eastAsia="zh-CN"/>
        </w:rPr>
        <w:t xml:space="preserve">, Devlin B, Foster SJ, Halvorsen YD, Hicok K, du Laney T, Sen A, Willingmyre GD, Gimble JM. Yield of human adipose-derived adult stem cells from liposuction aspirates. </w:t>
      </w:r>
      <w:r w:rsidRPr="00414407">
        <w:rPr>
          <w:rFonts w:ascii="Book Antiqua" w:hAnsi="Book Antiqua"/>
          <w:i/>
          <w:kern w:val="2"/>
          <w:sz w:val="24"/>
          <w:szCs w:val="24"/>
          <w:lang w:val="en-US" w:eastAsia="zh-CN"/>
        </w:rPr>
        <w:t>Cytotherapy</w:t>
      </w:r>
      <w:r w:rsidRPr="00414407">
        <w:rPr>
          <w:rFonts w:ascii="Book Antiqua" w:hAnsi="Book Antiqua"/>
          <w:kern w:val="2"/>
          <w:sz w:val="24"/>
          <w:szCs w:val="24"/>
          <w:lang w:val="en-US" w:eastAsia="zh-CN"/>
        </w:rPr>
        <w:t xml:space="preserve"> 2004; </w:t>
      </w:r>
      <w:r w:rsidRPr="00414407">
        <w:rPr>
          <w:rFonts w:ascii="Book Antiqua" w:hAnsi="Book Antiqua"/>
          <w:b/>
          <w:kern w:val="2"/>
          <w:sz w:val="24"/>
          <w:szCs w:val="24"/>
          <w:lang w:val="en-US" w:eastAsia="zh-CN"/>
        </w:rPr>
        <w:t>6</w:t>
      </w:r>
      <w:r w:rsidRPr="00414407">
        <w:rPr>
          <w:rFonts w:ascii="Book Antiqua" w:hAnsi="Book Antiqua"/>
          <w:kern w:val="2"/>
          <w:sz w:val="24"/>
          <w:szCs w:val="24"/>
          <w:lang w:val="en-US" w:eastAsia="zh-CN"/>
        </w:rPr>
        <w:t>: 7-14 [PMID: 14985162 DOI: 10.1080/14653240310004539]</w:t>
      </w:r>
    </w:p>
    <w:p w14:paraId="703C73E4"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46 </w:t>
      </w:r>
      <w:r w:rsidRPr="00414407">
        <w:rPr>
          <w:rFonts w:ascii="Book Antiqua" w:hAnsi="Book Antiqua"/>
          <w:b/>
          <w:kern w:val="2"/>
          <w:sz w:val="24"/>
          <w:szCs w:val="24"/>
          <w:lang w:val="en-US" w:eastAsia="zh-CN"/>
        </w:rPr>
        <w:t>Tajima S</w:t>
      </w:r>
      <w:r w:rsidRPr="00414407">
        <w:rPr>
          <w:rFonts w:ascii="Book Antiqua" w:hAnsi="Book Antiqua"/>
          <w:kern w:val="2"/>
          <w:sz w:val="24"/>
          <w:szCs w:val="24"/>
          <w:lang w:val="en-US" w:eastAsia="zh-CN"/>
        </w:rPr>
        <w:t xml:space="preserve">, Tobita M, Mizuno H. Current status of bone regeneration using adipose-derived stem cells. </w:t>
      </w:r>
      <w:r w:rsidRPr="00414407">
        <w:rPr>
          <w:rFonts w:ascii="Book Antiqua" w:hAnsi="Book Antiqua"/>
          <w:i/>
          <w:kern w:val="2"/>
          <w:sz w:val="24"/>
          <w:szCs w:val="24"/>
          <w:lang w:val="en-US" w:eastAsia="zh-CN"/>
        </w:rPr>
        <w:t>Histol Histopathol</w:t>
      </w:r>
      <w:r w:rsidRPr="00414407">
        <w:rPr>
          <w:rFonts w:ascii="Book Antiqua" w:hAnsi="Book Antiqua"/>
          <w:kern w:val="2"/>
          <w:sz w:val="24"/>
          <w:szCs w:val="24"/>
          <w:lang w:val="en-US" w:eastAsia="zh-CN"/>
        </w:rPr>
        <w:t xml:space="preserve"> 2018; </w:t>
      </w:r>
      <w:r w:rsidRPr="00414407">
        <w:rPr>
          <w:rFonts w:ascii="Book Antiqua" w:hAnsi="Book Antiqua"/>
          <w:b/>
          <w:kern w:val="2"/>
          <w:sz w:val="24"/>
          <w:szCs w:val="24"/>
          <w:lang w:val="en-US" w:eastAsia="zh-CN"/>
        </w:rPr>
        <w:t>33</w:t>
      </w:r>
      <w:r w:rsidRPr="00414407">
        <w:rPr>
          <w:rFonts w:ascii="Book Antiqua" w:hAnsi="Book Antiqua"/>
          <w:kern w:val="2"/>
          <w:sz w:val="24"/>
          <w:szCs w:val="24"/>
          <w:lang w:val="en-US" w:eastAsia="zh-CN"/>
        </w:rPr>
        <w:t>: 619-627 [PMID: 29094748 DOI: 10.14670/HH-11-942]</w:t>
      </w:r>
    </w:p>
    <w:p w14:paraId="5A36D6E8"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47 </w:t>
      </w:r>
      <w:r w:rsidRPr="00414407">
        <w:rPr>
          <w:rFonts w:ascii="Book Antiqua" w:hAnsi="Book Antiqua"/>
          <w:b/>
          <w:kern w:val="2"/>
          <w:sz w:val="24"/>
          <w:szCs w:val="24"/>
          <w:lang w:val="en-US" w:eastAsia="zh-CN"/>
        </w:rPr>
        <w:t>Romagnoli C</w:t>
      </w:r>
      <w:r w:rsidRPr="00414407">
        <w:rPr>
          <w:rFonts w:ascii="Book Antiqua" w:hAnsi="Book Antiqua"/>
          <w:kern w:val="2"/>
          <w:sz w:val="24"/>
          <w:szCs w:val="24"/>
          <w:lang w:val="en-US" w:eastAsia="zh-CN"/>
        </w:rPr>
        <w:t xml:space="preserve">, Brandi ML. Adipose mesenchymal stem cells in the field of bone tissue engineering. </w:t>
      </w:r>
      <w:r w:rsidRPr="00414407">
        <w:rPr>
          <w:rFonts w:ascii="Book Antiqua" w:hAnsi="Book Antiqua"/>
          <w:i/>
          <w:kern w:val="2"/>
          <w:sz w:val="24"/>
          <w:szCs w:val="24"/>
          <w:lang w:val="en-US" w:eastAsia="zh-CN"/>
        </w:rPr>
        <w:t>World J Stem Cells</w:t>
      </w:r>
      <w:r w:rsidRPr="00414407">
        <w:rPr>
          <w:rFonts w:ascii="Book Antiqua" w:hAnsi="Book Antiqua"/>
          <w:kern w:val="2"/>
          <w:sz w:val="24"/>
          <w:szCs w:val="24"/>
          <w:lang w:val="en-US" w:eastAsia="zh-CN"/>
        </w:rPr>
        <w:t xml:space="preserve"> 2014; </w:t>
      </w:r>
      <w:r w:rsidRPr="00414407">
        <w:rPr>
          <w:rFonts w:ascii="Book Antiqua" w:hAnsi="Book Antiqua"/>
          <w:b/>
          <w:kern w:val="2"/>
          <w:sz w:val="24"/>
          <w:szCs w:val="24"/>
          <w:lang w:val="en-US" w:eastAsia="zh-CN"/>
        </w:rPr>
        <w:t>6</w:t>
      </w:r>
      <w:r w:rsidRPr="00414407">
        <w:rPr>
          <w:rFonts w:ascii="Book Antiqua" w:hAnsi="Book Antiqua"/>
          <w:kern w:val="2"/>
          <w:sz w:val="24"/>
          <w:szCs w:val="24"/>
          <w:lang w:val="en-US" w:eastAsia="zh-CN"/>
        </w:rPr>
        <w:t>: 144-152 [PMID: 24772241 DOI: 10.4252/wjsc.v6.i2.144]</w:t>
      </w:r>
    </w:p>
    <w:p w14:paraId="04DF5D79"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lastRenderedPageBreak/>
        <w:t xml:space="preserve">48 </w:t>
      </w:r>
      <w:r w:rsidRPr="00414407">
        <w:rPr>
          <w:rFonts w:ascii="Book Antiqua" w:hAnsi="Book Antiqua"/>
          <w:b/>
          <w:kern w:val="2"/>
          <w:sz w:val="24"/>
          <w:szCs w:val="24"/>
          <w:lang w:val="en-US" w:eastAsia="zh-CN"/>
        </w:rPr>
        <w:t>Zanetti AS</w:t>
      </w:r>
      <w:r w:rsidRPr="00414407">
        <w:rPr>
          <w:rFonts w:ascii="Book Antiqua" w:hAnsi="Book Antiqua"/>
          <w:kern w:val="2"/>
          <w:sz w:val="24"/>
          <w:szCs w:val="24"/>
          <w:lang w:val="en-US" w:eastAsia="zh-CN"/>
        </w:rPr>
        <w:t xml:space="preserve">, Sabliov C, Gimble JM, Hayes DJ. Human adipose-derived stem cells and three-dimensional scaffold constructs: a review of the biomaterials and models currently used for bone regeneration. </w:t>
      </w:r>
      <w:r w:rsidRPr="00414407">
        <w:rPr>
          <w:rFonts w:ascii="Book Antiqua" w:hAnsi="Book Antiqua"/>
          <w:i/>
          <w:kern w:val="2"/>
          <w:sz w:val="24"/>
          <w:szCs w:val="24"/>
          <w:lang w:val="en-US" w:eastAsia="zh-CN"/>
        </w:rPr>
        <w:t>J Biomed Mater Res B Appl Biomater</w:t>
      </w:r>
      <w:r w:rsidRPr="00414407">
        <w:rPr>
          <w:rFonts w:ascii="Book Antiqua" w:hAnsi="Book Antiqua"/>
          <w:kern w:val="2"/>
          <w:sz w:val="24"/>
          <w:szCs w:val="24"/>
          <w:lang w:val="en-US" w:eastAsia="zh-CN"/>
        </w:rPr>
        <w:t xml:space="preserve"> 2013; </w:t>
      </w:r>
      <w:r w:rsidRPr="00414407">
        <w:rPr>
          <w:rFonts w:ascii="Book Antiqua" w:hAnsi="Book Antiqua"/>
          <w:b/>
          <w:kern w:val="2"/>
          <w:sz w:val="24"/>
          <w:szCs w:val="24"/>
          <w:lang w:val="en-US" w:eastAsia="zh-CN"/>
        </w:rPr>
        <w:t>101</w:t>
      </w:r>
      <w:r w:rsidRPr="00414407">
        <w:rPr>
          <w:rFonts w:ascii="Book Antiqua" w:hAnsi="Book Antiqua"/>
          <w:kern w:val="2"/>
          <w:sz w:val="24"/>
          <w:szCs w:val="24"/>
          <w:lang w:val="en-US" w:eastAsia="zh-CN"/>
        </w:rPr>
        <w:t>: 187-199 [PMID: 22997152 DOI: 10.1002/jbm.b.32817]</w:t>
      </w:r>
    </w:p>
    <w:p w14:paraId="0811A09C"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49 </w:t>
      </w:r>
      <w:r w:rsidRPr="00414407">
        <w:rPr>
          <w:rFonts w:ascii="Book Antiqua" w:hAnsi="Book Antiqua"/>
          <w:b/>
          <w:kern w:val="2"/>
          <w:sz w:val="24"/>
          <w:szCs w:val="24"/>
          <w:lang w:val="en-US" w:eastAsia="zh-CN"/>
        </w:rPr>
        <w:t>Oberbauer E</w:t>
      </w:r>
      <w:r w:rsidRPr="00414407">
        <w:rPr>
          <w:rFonts w:ascii="Book Antiqua" w:hAnsi="Book Antiqua"/>
          <w:kern w:val="2"/>
          <w:sz w:val="24"/>
          <w:szCs w:val="24"/>
          <w:lang w:val="en-US" w:eastAsia="zh-CN"/>
        </w:rPr>
        <w:t xml:space="preserve">, Steffenhagen C, Wurzer C, Gabriel C, Redl H, Wolbank S. Enzymatic and non-enzymatic isolation systems for adipose tissue-derived cells: current state of the art. </w:t>
      </w:r>
      <w:r w:rsidRPr="00414407">
        <w:rPr>
          <w:rFonts w:ascii="Book Antiqua" w:hAnsi="Book Antiqua"/>
          <w:i/>
          <w:kern w:val="2"/>
          <w:sz w:val="24"/>
          <w:szCs w:val="24"/>
          <w:lang w:val="en-US" w:eastAsia="zh-CN"/>
        </w:rPr>
        <w:t>Cell Regen (Lond)</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4</w:t>
      </w:r>
      <w:r w:rsidRPr="00414407">
        <w:rPr>
          <w:rFonts w:ascii="Book Antiqua" w:hAnsi="Book Antiqua"/>
          <w:kern w:val="2"/>
          <w:sz w:val="24"/>
          <w:szCs w:val="24"/>
          <w:lang w:val="en-US" w:eastAsia="zh-CN"/>
        </w:rPr>
        <w:t>: 7 [PMID: 26435835 DOI: 10.1186/s13619-015-0020-0]</w:t>
      </w:r>
    </w:p>
    <w:p w14:paraId="274B363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50 </w:t>
      </w:r>
      <w:r w:rsidRPr="00414407">
        <w:rPr>
          <w:rFonts w:ascii="Book Antiqua" w:hAnsi="Book Antiqua"/>
          <w:b/>
          <w:kern w:val="2"/>
          <w:sz w:val="24"/>
          <w:szCs w:val="24"/>
          <w:lang w:val="en-US" w:eastAsia="zh-CN"/>
        </w:rPr>
        <w:t>van Dongen JA</w:t>
      </w:r>
      <w:r w:rsidRPr="00414407">
        <w:rPr>
          <w:rFonts w:ascii="Book Antiqua" w:hAnsi="Book Antiqua"/>
          <w:kern w:val="2"/>
          <w:sz w:val="24"/>
          <w:szCs w:val="24"/>
          <w:lang w:val="en-US" w:eastAsia="zh-CN"/>
        </w:rPr>
        <w:t xml:space="preserve">, Tuin AJ, Spiekman M, Jansma J, van der Lei B, Harmsen MC. Comparison of intraoperative procedures for isolation of clinical grade stromal vascular fraction for regenerative purposes: a systematic review. </w:t>
      </w:r>
      <w:r w:rsidRPr="00414407">
        <w:rPr>
          <w:rFonts w:ascii="Book Antiqua" w:hAnsi="Book Antiqua"/>
          <w:i/>
          <w:kern w:val="2"/>
          <w:sz w:val="24"/>
          <w:szCs w:val="24"/>
          <w:lang w:val="en-US" w:eastAsia="zh-CN"/>
        </w:rPr>
        <w:t>J Tissue Eng Regen Med</w:t>
      </w:r>
      <w:r w:rsidRPr="00414407">
        <w:rPr>
          <w:rFonts w:ascii="Book Antiqua" w:hAnsi="Book Antiqua"/>
          <w:kern w:val="2"/>
          <w:sz w:val="24"/>
          <w:szCs w:val="24"/>
          <w:lang w:val="en-US" w:eastAsia="zh-CN"/>
        </w:rPr>
        <w:t xml:space="preserve"> 2018; </w:t>
      </w:r>
      <w:r w:rsidRPr="00414407">
        <w:rPr>
          <w:rFonts w:ascii="Book Antiqua" w:hAnsi="Book Antiqua"/>
          <w:b/>
          <w:kern w:val="2"/>
          <w:sz w:val="24"/>
          <w:szCs w:val="24"/>
          <w:lang w:val="en-US" w:eastAsia="zh-CN"/>
        </w:rPr>
        <w:t>12</w:t>
      </w:r>
      <w:r w:rsidRPr="00414407">
        <w:rPr>
          <w:rFonts w:ascii="Book Antiqua" w:hAnsi="Book Antiqua"/>
          <w:kern w:val="2"/>
          <w:sz w:val="24"/>
          <w:szCs w:val="24"/>
          <w:lang w:val="en-US" w:eastAsia="zh-CN"/>
        </w:rPr>
        <w:t>: e261-e274 [PMID: 28084666 DOI: 10.1002/term.2407]</w:t>
      </w:r>
    </w:p>
    <w:p w14:paraId="0B6CE3DC"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51 </w:t>
      </w:r>
      <w:r w:rsidRPr="00414407">
        <w:rPr>
          <w:rFonts w:ascii="Book Antiqua" w:hAnsi="Book Antiqua"/>
          <w:b/>
          <w:kern w:val="2"/>
          <w:sz w:val="24"/>
          <w:szCs w:val="24"/>
          <w:lang w:val="en-US" w:eastAsia="zh-CN"/>
        </w:rPr>
        <w:t>Condé-Green A</w:t>
      </w:r>
      <w:r w:rsidRPr="00414407">
        <w:rPr>
          <w:rFonts w:ascii="Book Antiqua" w:hAnsi="Book Antiqua"/>
          <w:kern w:val="2"/>
          <w:sz w:val="24"/>
          <w:szCs w:val="24"/>
          <w:lang w:val="en-US" w:eastAsia="zh-CN"/>
        </w:rPr>
        <w:t xml:space="preserve">, Kotamarti VS, Sherman LS, Keith JD, Lee ES, Granick MS, Rameshwar P. Shift toward Mechanical Isolation of Adipose-derived Stromal Vascular Fraction: Review of Upcoming Techniques. </w:t>
      </w:r>
      <w:r w:rsidRPr="00414407">
        <w:rPr>
          <w:rFonts w:ascii="Book Antiqua" w:hAnsi="Book Antiqua"/>
          <w:i/>
          <w:kern w:val="2"/>
          <w:sz w:val="24"/>
          <w:szCs w:val="24"/>
          <w:lang w:val="en-US" w:eastAsia="zh-CN"/>
        </w:rPr>
        <w:t>Plast Reconstr Surg Glob Open</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4</w:t>
      </w:r>
      <w:r w:rsidRPr="00414407">
        <w:rPr>
          <w:rFonts w:ascii="Book Antiqua" w:hAnsi="Book Antiqua"/>
          <w:kern w:val="2"/>
          <w:sz w:val="24"/>
          <w:szCs w:val="24"/>
          <w:lang w:val="en-US" w:eastAsia="zh-CN"/>
        </w:rPr>
        <w:t>: e1017 [PMID: 27757339 DOI: 10.1097/GOX.0000000000001017]</w:t>
      </w:r>
    </w:p>
    <w:p w14:paraId="6B6E21A5"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52 </w:t>
      </w:r>
      <w:r w:rsidRPr="00414407">
        <w:rPr>
          <w:rFonts w:ascii="Book Antiqua" w:hAnsi="Book Antiqua"/>
          <w:b/>
          <w:kern w:val="2"/>
          <w:sz w:val="24"/>
          <w:szCs w:val="24"/>
          <w:lang w:val="en-US" w:eastAsia="zh-CN"/>
        </w:rPr>
        <w:t>Aronowitz JA</w:t>
      </w:r>
      <w:r w:rsidRPr="00414407">
        <w:rPr>
          <w:rFonts w:ascii="Book Antiqua" w:hAnsi="Book Antiqua"/>
          <w:kern w:val="2"/>
          <w:sz w:val="24"/>
          <w:szCs w:val="24"/>
          <w:lang w:val="en-US" w:eastAsia="zh-CN"/>
        </w:rPr>
        <w:t xml:space="preserve">, Lockhart RA, Hakakian CS. Mechanical versus enzymatic isolation of stromal vascular fraction cells from adipose tissue. </w:t>
      </w:r>
      <w:r w:rsidRPr="00414407">
        <w:rPr>
          <w:rFonts w:ascii="Book Antiqua" w:hAnsi="Book Antiqua"/>
          <w:i/>
          <w:kern w:val="2"/>
          <w:sz w:val="24"/>
          <w:szCs w:val="24"/>
          <w:lang w:val="en-US" w:eastAsia="zh-CN"/>
        </w:rPr>
        <w:t>Springerplus</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4</w:t>
      </w:r>
      <w:r w:rsidRPr="00414407">
        <w:rPr>
          <w:rFonts w:ascii="Book Antiqua" w:hAnsi="Book Antiqua"/>
          <w:kern w:val="2"/>
          <w:sz w:val="24"/>
          <w:szCs w:val="24"/>
          <w:lang w:val="en-US" w:eastAsia="zh-CN"/>
        </w:rPr>
        <w:t>: 713 [PMID: 26636001 DOI: 10.1186/s40064-015-1509-2]</w:t>
      </w:r>
    </w:p>
    <w:p w14:paraId="7B0DB604" w14:textId="264AB2B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highlight w:val="yellow"/>
          <w:lang w:val="en-US" w:eastAsia="zh-CN"/>
        </w:rPr>
        <w:t xml:space="preserve">53 </w:t>
      </w:r>
      <w:r w:rsidRPr="00414407">
        <w:rPr>
          <w:rFonts w:ascii="Book Antiqua" w:hAnsi="Book Antiqua"/>
          <w:b/>
          <w:kern w:val="2"/>
          <w:sz w:val="24"/>
          <w:szCs w:val="24"/>
          <w:highlight w:val="yellow"/>
          <w:lang w:val="en-US" w:eastAsia="zh-CN"/>
        </w:rPr>
        <w:t>Valenzuela N,</w:t>
      </w:r>
      <w:r w:rsidRPr="00414407">
        <w:rPr>
          <w:rFonts w:ascii="Book Antiqua" w:hAnsi="Book Antiqua"/>
          <w:i/>
          <w:kern w:val="2"/>
          <w:sz w:val="24"/>
          <w:szCs w:val="24"/>
          <w:highlight w:val="yellow"/>
          <w:lang w:val="en-US" w:eastAsia="zh-CN"/>
        </w:rPr>
        <w:t xml:space="preserve"> </w:t>
      </w:r>
      <w:r w:rsidRPr="00414407">
        <w:rPr>
          <w:rFonts w:ascii="Book Antiqua" w:hAnsi="Book Antiqua"/>
          <w:kern w:val="2"/>
          <w:sz w:val="24"/>
          <w:szCs w:val="24"/>
          <w:highlight w:val="yellow"/>
          <w:lang w:val="en-US" w:eastAsia="zh-CN"/>
        </w:rPr>
        <w:t xml:space="preserve">Alt C, Winnier GE, Alt EU. </w:t>
      </w:r>
      <w:bookmarkStart w:id="179" w:name="OLE_LINK160"/>
      <w:bookmarkStart w:id="180" w:name="OLE_LINK161"/>
      <w:r w:rsidRPr="00414407">
        <w:rPr>
          <w:rFonts w:ascii="Book Antiqua" w:hAnsi="Book Antiqua"/>
          <w:kern w:val="2"/>
          <w:sz w:val="24"/>
          <w:szCs w:val="24"/>
          <w:highlight w:val="yellow"/>
          <w:lang w:val="en-US" w:eastAsia="zh-CN"/>
        </w:rPr>
        <w:t xml:space="preserve">Isolation of adipose tissue derived </w:t>
      </w:r>
      <w:r w:rsidRPr="00152B29">
        <w:rPr>
          <w:rFonts w:ascii="Book Antiqua" w:hAnsi="Book Antiqua"/>
          <w:kern w:val="2"/>
          <w:sz w:val="24"/>
          <w:szCs w:val="24"/>
          <w:highlight w:val="yellow"/>
          <w:lang w:val="en-US" w:eastAsia="zh-CN"/>
        </w:rPr>
        <w:t>regenerative cells from human subcutaneous tissue with or without the use of enzymatic reagent</w:t>
      </w:r>
      <w:bookmarkEnd w:id="179"/>
      <w:bookmarkEnd w:id="180"/>
      <w:r w:rsidRPr="00152B29">
        <w:rPr>
          <w:rFonts w:ascii="Book Antiqua" w:hAnsi="Book Antiqua"/>
          <w:kern w:val="2"/>
          <w:sz w:val="24"/>
          <w:szCs w:val="24"/>
          <w:highlight w:val="yellow"/>
          <w:lang w:val="en-US" w:eastAsia="zh-CN"/>
        </w:rPr>
        <w:t xml:space="preserve">. </w:t>
      </w:r>
      <w:r w:rsidR="00152B29" w:rsidRPr="00152B29">
        <w:rPr>
          <w:rFonts w:ascii="Book Antiqua" w:hAnsi="Book Antiqua"/>
          <w:kern w:val="2"/>
          <w:sz w:val="24"/>
          <w:szCs w:val="24"/>
          <w:highlight w:val="yellow"/>
          <w:lang w:val="en-US" w:eastAsia="zh-CN"/>
        </w:rPr>
        <w:t>2018 Preprint.</w:t>
      </w:r>
      <w:r w:rsidR="00152B29" w:rsidRPr="00152B29">
        <w:rPr>
          <w:rFonts w:ascii="Book Antiqua" w:hAnsi="Book Antiqua" w:hint="eastAsia"/>
          <w:kern w:val="2"/>
          <w:sz w:val="24"/>
          <w:szCs w:val="24"/>
          <w:highlight w:val="yellow"/>
          <w:lang w:val="en-US" w:eastAsia="zh-CN"/>
        </w:rPr>
        <w:t xml:space="preserve"> </w:t>
      </w:r>
      <w:r w:rsidR="00152B29" w:rsidRPr="00152B29">
        <w:rPr>
          <w:rFonts w:ascii="Book Antiqua" w:hAnsi="Book Antiqua"/>
          <w:kern w:val="2"/>
          <w:sz w:val="24"/>
          <w:szCs w:val="24"/>
          <w:highlight w:val="yellow"/>
          <w:lang w:val="en-US" w:eastAsia="zh-CN"/>
        </w:rPr>
        <w:t>Available from:</w:t>
      </w:r>
      <w:r w:rsidR="00152B29" w:rsidRPr="00152B29">
        <w:rPr>
          <w:rFonts w:ascii="Book Antiqua" w:hAnsi="Book Antiqua" w:hint="eastAsia"/>
          <w:kern w:val="2"/>
          <w:sz w:val="24"/>
          <w:szCs w:val="24"/>
          <w:highlight w:val="yellow"/>
          <w:lang w:val="en-US" w:eastAsia="zh-CN"/>
        </w:rPr>
        <w:t xml:space="preserve"> </w:t>
      </w:r>
      <w:r w:rsidRPr="00152B29">
        <w:rPr>
          <w:rFonts w:ascii="Book Antiqua" w:hAnsi="Book Antiqua" w:hint="eastAsia"/>
          <w:kern w:val="2"/>
          <w:sz w:val="24"/>
          <w:szCs w:val="24"/>
          <w:highlight w:val="yellow"/>
          <w:lang w:val="en-US" w:eastAsia="zh-CN"/>
        </w:rPr>
        <w:t>bioRxiv</w:t>
      </w:r>
      <w:r w:rsidR="00152B29" w:rsidRPr="00152B29">
        <w:rPr>
          <w:rFonts w:ascii="Book Antiqua" w:hAnsi="Book Antiqua" w:hint="eastAsia"/>
          <w:kern w:val="2"/>
          <w:sz w:val="24"/>
          <w:szCs w:val="24"/>
          <w:highlight w:val="yellow"/>
          <w:lang w:val="en-US" w:eastAsia="zh-CN"/>
        </w:rPr>
        <w:t>:</w:t>
      </w:r>
      <w:r w:rsidRPr="00152B29">
        <w:rPr>
          <w:rFonts w:ascii="Book Antiqua" w:hAnsi="Book Antiqua" w:hint="eastAsia"/>
          <w:kern w:val="2"/>
          <w:sz w:val="24"/>
          <w:szCs w:val="24"/>
          <w:highlight w:val="yellow"/>
          <w:lang w:val="en-US" w:eastAsia="zh-CN"/>
        </w:rPr>
        <w:t xml:space="preserve">485318 </w:t>
      </w:r>
      <w:r w:rsidRPr="00152B29">
        <w:rPr>
          <w:rFonts w:ascii="Book Antiqua" w:hAnsi="Book Antiqua"/>
          <w:kern w:val="2"/>
          <w:sz w:val="24"/>
          <w:szCs w:val="24"/>
          <w:highlight w:val="yellow"/>
          <w:lang w:val="en-US" w:eastAsia="zh-CN"/>
        </w:rPr>
        <w:t xml:space="preserve">[DOI: </w:t>
      </w:r>
      <w:bookmarkStart w:id="181" w:name="OLE_LINK162"/>
      <w:r w:rsidRPr="00152B29">
        <w:rPr>
          <w:rFonts w:ascii="Book Antiqua" w:hAnsi="Book Antiqua"/>
          <w:kern w:val="2"/>
          <w:sz w:val="24"/>
          <w:szCs w:val="24"/>
          <w:highlight w:val="yellow"/>
          <w:lang w:val="en-US" w:eastAsia="zh-CN"/>
        </w:rPr>
        <w:t>10.1101/485318</w:t>
      </w:r>
      <w:bookmarkEnd w:id="181"/>
      <w:r w:rsidRPr="00152B29">
        <w:rPr>
          <w:rFonts w:ascii="Book Antiqua" w:hAnsi="Book Antiqua"/>
          <w:kern w:val="2"/>
          <w:sz w:val="24"/>
          <w:szCs w:val="24"/>
          <w:highlight w:val="yellow"/>
          <w:lang w:val="en-US" w:eastAsia="zh-CN"/>
        </w:rPr>
        <w:t>]</w:t>
      </w:r>
    </w:p>
    <w:p w14:paraId="580CBA0D"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54 </w:t>
      </w:r>
      <w:r w:rsidRPr="00414407">
        <w:rPr>
          <w:rFonts w:ascii="Book Antiqua" w:hAnsi="Book Antiqua"/>
          <w:b/>
          <w:kern w:val="2"/>
          <w:sz w:val="24"/>
          <w:szCs w:val="24"/>
          <w:lang w:val="en-US" w:eastAsia="zh-CN"/>
        </w:rPr>
        <w:t>Panés J</w:t>
      </w:r>
      <w:r w:rsidRPr="00414407">
        <w:rPr>
          <w:rFonts w:ascii="Book Antiqua" w:hAnsi="Book Antiqua"/>
          <w:kern w:val="2"/>
          <w:sz w:val="24"/>
          <w:szCs w:val="24"/>
          <w:lang w:val="en-US" w:eastAsia="zh-CN"/>
        </w:rPr>
        <w:t xml:space="preserve">, García-Olmo D, Van Assche G, Colombel JF, Reinisch W, Baumgart DC, Dignass A, Nachury M, Ferrante M, Kazemi-Shirazi L, Grimaud JC, de la Portilla F, Goldin E, Richard MP, Leselbaum A, Danese S; ADMIRE CD Study Group Collaborators. Expanded allogeneic adipose-derived mesenchymal stem cells (Cx601) for complex perianal fistulas in Crohn's disease: a phase 3 randomised, double-blind controlled trial. </w:t>
      </w:r>
      <w:r w:rsidRPr="00414407">
        <w:rPr>
          <w:rFonts w:ascii="Book Antiqua" w:hAnsi="Book Antiqua"/>
          <w:i/>
          <w:kern w:val="2"/>
          <w:sz w:val="24"/>
          <w:szCs w:val="24"/>
          <w:lang w:val="en-US" w:eastAsia="zh-CN"/>
        </w:rPr>
        <w:t>Lancet</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388</w:t>
      </w:r>
      <w:r w:rsidRPr="00414407">
        <w:rPr>
          <w:rFonts w:ascii="Book Antiqua" w:hAnsi="Book Antiqua"/>
          <w:kern w:val="2"/>
          <w:sz w:val="24"/>
          <w:szCs w:val="24"/>
          <w:lang w:val="en-US" w:eastAsia="zh-CN"/>
        </w:rPr>
        <w:t>: 1281-1290 [PMID: 27477896 DOI: 10.1016/S0140-6736(16)31203-X]</w:t>
      </w:r>
    </w:p>
    <w:p w14:paraId="7B4A75A3"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55 </w:t>
      </w:r>
      <w:r w:rsidRPr="00414407">
        <w:rPr>
          <w:rFonts w:ascii="Book Antiqua" w:hAnsi="Book Antiqua"/>
          <w:b/>
          <w:kern w:val="2"/>
          <w:sz w:val="24"/>
          <w:szCs w:val="24"/>
          <w:lang w:val="en-US" w:eastAsia="zh-CN"/>
        </w:rPr>
        <w:t>Álvaro-Gracia JM</w:t>
      </w:r>
      <w:r w:rsidRPr="00414407">
        <w:rPr>
          <w:rFonts w:ascii="Book Antiqua" w:hAnsi="Book Antiqua"/>
          <w:kern w:val="2"/>
          <w:sz w:val="24"/>
          <w:szCs w:val="24"/>
          <w:lang w:val="en-US" w:eastAsia="zh-CN"/>
        </w:rPr>
        <w:t xml:space="preserve">, Jover JA, García-Vicuña R, Carreño L, Alonso A, Marsal S, Blanco F, Martínez-Taboada VM, Taylor P, Martín-Martín C, DelaRosa O, Tagarro I, Díaz-González F. Intravenous administration of expanded allogeneic adipose-derived </w:t>
      </w:r>
      <w:r w:rsidRPr="00414407">
        <w:rPr>
          <w:rFonts w:ascii="Book Antiqua" w:hAnsi="Book Antiqua"/>
          <w:kern w:val="2"/>
          <w:sz w:val="24"/>
          <w:szCs w:val="24"/>
          <w:lang w:val="en-US" w:eastAsia="zh-CN"/>
        </w:rPr>
        <w:lastRenderedPageBreak/>
        <w:t xml:space="preserve">mesenchymal stem cells in refractory rheumatoid arthritis (Cx611): results of a multicentre, dose escalation, randomised, single-blind, placebo-controlled phase Ib/IIa clinical trial. </w:t>
      </w:r>
      <w:r w:rsidRPr="00414407">
        <w:rPr>
          <w:rFonts w:ascii="Book Antiqua" w:hAnsi="Book Antiqua"/>
          <w:i/>
          <w:kern w:val="2"/>
          <w:sz w:val="24"/>
          <w:szCs w:val="24"/>
          <w:lang w:val="en-US" w:eastAsia="zh-CN"/>
        </w:rPr>
        <w:t>Ann Rheum Dis</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76</w:t>
      </w:r>
      <w:r w:rsidRPr="00414407">
        <w:rPr>
          <w:rFonts w:ascii="Book Antiqua" w:hAnsi="Book Antiqua"/>
          <w:kern w:val="2"/>
          <w:sz w:val="24"/>
          <w:szCs w:val="24"/>
          <w:lang w:val="en-US" w:eastAsia="zh-CN"/>
        </w:rPr>
        <w:t>: 196-202 [PMID: 27269294 DOI: 10.1136/annrheumdis-2015-208918]</w:t>
      </w:r>
    </w:p>
    <w:p w14:paraId="728FE426"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56 </w:t>
      </w:r>
      <w:r w:rsidRPr="00414407">
        <w:rPr>
          <w:rFonts w:ascii="Book Antiqua" w:hAnsi="Book Antiqua"/>
          <w:b/>
          <w:kern w:val="2"/>
          <w:sz w:val="24"/>
          <w:szCs w:val="24"/>
          <w:lang w:val="en-US" w:eastAsia="zh-CN"/>
        </w:rPr>
        <w:t>Schmitz C</w:t>
      </w:r>
      <w:r w:rsidRPr="00414407">
        <w:rPr>
          <w:rFonts w:ascii="Book Antiqua" w:hAnsi="Book Antiqua"/>
          <w:kern w:val="2"/>
          <w:sz w:val="24"/>
          <w:szCs w:val="24"/>
          <w:lang w:val="en-US" w:eastAsia="zh-CN"/>
        </w:rPr>
        <w:t xml:space="preserve">, Hof PR. Design-based stereology in neuroscience. </w:t>
      </w:r>
      <w:r w:rsidRPr="00414407">
        <w:rPr>
          <w:rFonts w:ascii="Book Antiqua" w:hAnsi="Book Antiqua"/>
          <w:i/>
          <w:kern w:val="2"/>
          <w:sz w:val="24"/>
          <w:szCs w:val="24"/>
          <w:lang w:val="en-US" w:eastAsia="zh-CN"/>
        </w:rPr>
        <w:t>Neuroscience</w:t>
      </w:r>
      <w:r w:rsidRPr="00414407">
        <w:rPr>
          <w:rFonts w:ascii="Book Antiqua" w:hAnsi="Book Antiqua"/>
          <w:kern w:val="2"/>
          <w:sz w:val="24"/>
          <w:szCs w:val="24"/>
          <w:lang w:val="en-US" w:eastAsia="zh-CN"/>
        </w:rPr>
        <w:t xml:space="preserve"> 2005; </w:t>
      </w:r>
      <w:r w:rsidRPr="00414407">
        <w:rPr>
          <w:rFonts w:ascii="Book Antiqua" w:hAnsi="Book Antiqua"/>
          <w:b/>
          <w:kern w:val="2"/>
          <w:sz w:val="24"/>
          <w:szCs w:val="24"/>
          <w:lang w:val="en-US" w:eastAsia="zh-CN"/>
        </w:rPr>
        <w:t>130</w:t>
      </w:r>
      <w:r w:rsidRPr="00414407">
        <w:rPr>
          <w:rFonts w:ascii="Book Antiqua" w:hAnsi="Book Antiqua"/>
          <w:kern w:val="2"/>
          <w:sz w:val="24"/>
          <w:szCs w:val="24"/>
          <w:lang w:val="en-US" w:eastAsia="zh-CN"/>
        </w:rPr>
        <w:t>: 813-831 [PMID: 15652981 DOI: 10.1016/j.neuroscience.2004.08.050]</w:t>
      </w:r>
    </w:p>
    <w:p w14:paraId="15308243"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57 </w:t>
      </w:r>
      <w:r w:rsidRPr="00414407">
        <w:rPr>
          <w:rFonts w:ascii="Book Antiqua" w:hAnsi="Book Antiqua"/>
          <w:b/>
          <w:kern w:val="2"/>
          <w:sz w:val="24"/>
          <w:szCs w:val="24"/>
          <w:lang w:val="en-US" w:eastAsia="zh-CN"/>
        </w:rPr>
        <w:t>Klein JA</w:t>
      </w:r>
      <w:r w:rsidRPr="00414407">
        <w:rPr>
          <w:rFonts w:ascii="Book Antiqua" w:hAnsi="Book Antiqua"/>
          <w:kern w:val="2"/>
          <w:sz w:val="24"/>
          <w:szCs w:val="24"/>
          <w:lang w:val="en-US" w:eastAsia="zh-CN"/>
        </w:rPr>
        <w:t xml:space="preserve">. Tumescent technique for local anesthesia improves safety in large-volume liposuction. </w:t>
      </w:r>
      <w:r w:rsidRPr="00414407">
        <w:rPr>
          <w:rFonts w:ascii="Book Antiqua" w:hAnsi="Book Antiqua"/>
          <w:i/>
          <w:kern w:val="2"/>
          <w:sz w:val="24"/>
          <w:szCs w:val="24"/>
          <w:lang w:val="en-US" w:eastAsia="zh-CN"/>
        </w:rPr>
        <w:t>Plast Reconstr Surg</w:t>
      </w:r>
      <w:r w:rsidRPr="00414407">
        <w:rPr>
          <w:rFonts w:ascii="Book Antiqua" w:hAnsi="Book Antiqua"/>
          <w:kern w:val="2"/>
          <w:sz w:val="24"/>
          <w:szCs w:val="24"/>
          <w:lang w:val="en-US" w:eastAsia="zh-CN"/>
        </w:rPr>
        <w:t xml:space="preserve"> 1993; </w:t>
      </w:r>
      <w:r w:rsidRPr="00414407">
        <w:rPr>
          <w:rFonts w:ascii="Book Antiqua" w:hAnsi="Book Antiqua"/>
          <w:b/>
          <w:kern w:val="2"/>
          <w:sz w:val="24"/>
          <w:szCs w:val="24"/>
          <w:lang w:val="en-US" w:eastAsia="zh-CN"/>
        </w:rPr>
        <w:t>92</w:t>
      </w:r>
      <w:r w:rsidRPr="00414407">
        <w:rPr>
          <w:rFonts w:ascii="Book Antiqua" w:hAnsi="Book Antiqua"/>
          <w:kern w:val="2"/>
          <w:sz w:val="24"/>
          <w:szCs w:val="24"/>
          <w:lang w:val="en-US" w:eastAsia="zh-CN"/>
        </w:rPr>
        <w:t>: 1085-98; discussion 1099-100 [PMID: 8234507</w:t>
      </w:r>
      <w:r w:rsidRPr="00414407">
        <w:rPr>
          <w:rFonts w:ascii="Book Antiqua" w:hAnsi="Book Antiqua" w:hint="eastAsia"/>
          <w:kern w:val="2"/>
          <w:sz w:val="24"/>
          <w:szCs w:val="24"/>
          <w:lang w:val="en-US" w:eastAsia="zh-CN"/>
        </w:rPr>
        <w:t xml:space="preserve"> DOI: 10.1097/00006534-199311000-00014</w:t>
      </w:r>
      <w:r w:rsidRPr="00414407">
        <w:rPr>
          <w:rFonts w:ascii="Book Antiqua" w:hAnsi="Book Antiqua"/>
          <w:kern w:val="2"/>
          <w:sz w:val="24"/>
          <w:szCs w:val="24"/>
          <w:lang w:val="en-US" w:eastAsia="zh-CN"/>
        </w:rPr>
        <w:t>]</w:t>
      </w:r>
    </w:p>
    <w:p w14:paraId="010212F2"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58 </w:t>
      </w:r>
      <w:r w:rsidRPr="00414407">
        <w:rPr>
          <w:rFonts w:ascii="Book Antiqua" w:hAnsi="Book Antiqua"/>
          <w:b/>
          <w:kern w:val="2"/>
          <w:sz w:val="24"/>
          <w:szCs w:val="24"/>
          <w:lang w:val="en-US" w:eastAsia="zh-CN"/>
        </w:rPr>
        <w:t>Coleman WP 4th</w:t>
      </w:r>
      <w:r w:rsidRPr="00414407">
        <w:rPr>
          <w:rFonts w:ascii="Book Antiqua" w:hAnsi="Book Antiqua"/>
          <w:kern w:val="2"/>
          <w:sz w:val="24"/>
          <w:szCs w:val="24"/>
          <w:lang w:val="en-US" w:eastAsia="zh-CN"/>
        </w:rPr>
        <w:t xml:space="preserve">, Hendry SL 2nd. Principles of liposuction. </w:t>
      </w:r>
      <w:r w:rsidRPr="00414407">
        <w:rPr>
          <w:rFonts w:ascii="Book Antiqua" w:hAnsi="Book Antiqua"/>
          <w:i/>
          <w:kern w:val="2"/>
          <w:sz w:val="24"/>
          <w:szCs w:val="24"/>
          <w:lang w:val="en-US" w:eastAsia="zh-CN"/>
        </w:rPr>
        <w:t>Semin Cutan Med Surg</w:t>
      </w:r>
      <w:r w:rsidRPr="00414407">
        <w:rPr>
          <w:rFonts w:ascii="Book Antiqua" w:hAnsi="Book Antiqua"/>
          <w:kern w:val="2"/>
          <w:sz w:val="24"/>
          <w:szCs w:val="24"/>
          <w:lang w:val="en-US" w:eastAsia="zh-CN"/>
        </w:rPr>
        <w:t xml:space="preserve"> 2006; </w:t>
      </w:r>
      <w:r w:rsidRPr="00414407">
        <w:rPr>
          <w:rFonts w:ascii="Book Antiqua" w:hAnsi="Book Antiqua"/>
          <w:b/>
          <w:kern w:val="2"/>
          <w:sz w:val="24"/>
          <w:szCs w:val="24"/>
          <w:lang w:val="en-US" w:eastAsia="zh-CN"/>
        </w:rPr>
        <w:t>25</w:t>
      </w:r>
      <w:r w:rsidRPr="00414407">
        <w:rPr>
          <w:rFonts w:ascii="Book Antiqua" w:hAnsi="Book Antiqua"/>
          <w:kern w:val="2"/>
          <w:sz w:val="24"/>
          <w:szCs w:val="24"/>
          <w:lang w:val="en-US" w:eastAsia="zh-CN"/>
        </w:rPr>
        <w:t>: 138-144 [PMID: 17055393 DOI: 10.1016/j.sder.2006.06.006]</w:t>
      </w:r>
    </w:p>
    <w:p w14:paraId="479D6FC8"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59 </w:t>
      </w:r>
      <w:r w:rsidRPr="00414407">
        <w:rPr>
          <w:rFonts w:ascii="Book Antiqua" w:hAnsi="Book Antiqua"/>
          <w:b/>
          <w:kern w:val="2"/>
          <w:sz w:val="24"/>
          <w:szCs w:val="24"/>
          <w:lang w:val="en-US" w:eastAsia="zh-CN"/>
        </w:rPr>
        <w:t>Tatum H Jr</w:t>
      </w:r>
      <w:r w:rsidRPr="00414407">
        <w:rPr>
          <w:rFonts w:ascii="Book Antiqua" w:hAnsi="Book Antiqua"/>
          <w:kern w:val="2"/>
          <w:sz w:val="24"/>
          <w:szCs w:val="24"/>
          <w:lang w:val="en-US" w:eastAsia="zh-CN"/>
        </w:rPr>
        <w:t xml:space="preserve">. Maxillary and sinus implant reconstructions. </w:t>
      </w:r>
      <w:r w:rsidRPr="00414407">
        <w:rPr>
          <w:rFonts w:ascii="Book Antiqua" w:hAnsi="Book Antiqua"/>
          <w:i/>
          <w:kern w:val="2"/>
          <w:sz w:val="24"/>
          <w:szCs w:val="24"/>
          <w:lang w:val="en-US" w:eastAsia="zh-CN"/>
        </w:rPr>
        <w:t>Dent Clin North Am</w:t>
      </w:r>
      <w:r w:rsidRPr="00414407">
        <w:rPr>
          <w:rFonts w:ascii="Book Antiqua" w:hAnsi="Book Antiqua"/>
          <w:kern w:val="2"/>
          <w:sz w:val="24"/>
          <w:szCs w:val="24"/>
          <w:lang w:val="en-US" w:eastAsia="zh-CN"/>
        </w:rPr>
        <w:t xml:space="preserve"> 1986; </w:t>
      </w:r>
      <w:r w:rsidRPr="00414407">
        <w:rPr>
          <w:rFonts w:ascii="Book Antiqua" w:hAnsi="Book Antiqua"/>
          <w:b/>
          <w:kern w:val="2"/>
          <w:sz w:val="24"/>
          <w:szCs w:val="24"/>
          <w:lang w:val="en-US" w:eastAsia="zh-CN"/>
        </w:rPr>
        <w:t>30</w:t>
      </w:r>
      <w:r w:rsidRPr="00414407">
        <w:rPr>
          <w:rFonts w:ascii="Book Antiqua" w:hAnsi="Book Antiqua"/>
          <w:kern w:val="2"/>
          <w:sz w:val="24"/>
          <w:szCs w:val="24"/>
          <w:lang w:val="en-US" w:eastAsia="zh-CN"/>
        </w:rPr>
        <w:t>: 207-229 [PMID: 3516738</w:t>
      </w:r>
      <w:r w:rsidRPr="00414407">
        <w:rPr>
          <w:rFonts w:ascii="Book Antiqua" w:hAnsi="Book Antiqua" w:hint="eastAsia"/>
          <w:kern w:val="2"/>
          <w:sz w:val="24"/>
          <w:szCs w:val="24"/>
          <w:lang w:val="en-US" w:eastAsia="zh-CN"/>
        </w:rPr>
        <w:t xml:space="preserve"> DOI: 10.1016/0011-3840(86)90013-4</w:t>
      </w:r>
      <w:r w:rsidRPr="00414407">
        <w:rPr>
          <w:rFonts w:ascii="Book Antiqua" w:hAnsi="Book Antiqua"/>
          <w:kern w:val="2"/>
          <w:sz w:val="24"/>
          <w:szCs w:val="24"/>
          <w:lang w:val="en-US" w:eastAsia="zh-CN"/>
        </w:rPr>
        <w:t>]</w:t>
      </w:r>
    </w:p>
    <w:p w14:paraId="7DD62964"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60 </w:t>
      </w:r>
      <w:r w:rsidRPr="00414407">
        <w:rPr>
          <w:rFonts w:ascii="Book Antiqua" w:hAnsi="Book Antiqua"/>
          <w:b/>
          <w:kern w:val="2"/>
          <w:sz w:val="24"/>
          <w:szCs w:val="24"/>
          <w:lang w:val="en-US" w:eastAsia="zh-CN"/>
        </w:rPr>
        <w:t>El Chaar ES</w:t>
      </w:r>
      <w:r w:rsidRPr="00414407">
        <w:rPr>
          <w:rFonts w:ascii="Book Antiqua" w:hAnsi="Book Antiqua"/>
          <w:kern w:val="2"/>
          <w:sz w:val="24"/>
          <w:szCs w:val="24"/>
          <w:lang w:val="en-US" w:eastAsia="zh-CN"/>
        </w:rPr>
        <w:t xml:space="preserve">. Soft tissue closure of grafted extraction sockets in the posterior maxilla: the rotated pedicle palatal connective tissue flap technique. </w:t>
      </w:r>
      <w:r w:rsidRPr="00414407">
        <w:rPr>
          <w:rFonts w:ascii="Book Antiqua" w:hAnsi="Book Antiqua"/>
          <w:i/>
          <w:kern w:val="2"/>
          <w:sz w:val="24"/>
          <w:szCs w:val="24"/>
          <w:lang w:val="en-US" w:eastAsia="zh-CN"/>
        </w:rPr>
        <w:t>Implant Dent</w:t>
      </w:r>
      <w:r w:rsidRPr="00414407">
        <w:rPr>
          <w:rFonts w:ascii="Book Antiqua" w:hAnsi="Book Antiqua"/>
          <w:kern w:val="2"/>
          <w:sz w:val="24"/>
          <w:szCs w:val="24"/>
          <w:lang w:val="en-US" w:eastAsia="zh-CN"/>
        </w:rPr>
        <w:t xml:space="preserve"> 2010; </w:t>
      </w:r>
      <w:r w:rsidRPr="00414407">
        <w:rPr>
          <w:rFonts w:ascii="Book Antiqua" w:hAnsi="Book Antiqua"/>
          <w:b/>
          <w:kern w:val="2"/>
          <w:sz w:val="24"/>
          <w:szCs w:val="24"/>
          <w:lang w:val="en-US" w:eastAsia="zh-CN"/>
        </w:rPr>
        <w:t>19</w:t>
      </w:r>
      <w:r w:rsidRPr="00414407">
        <w:rPr>
          <w:rFonts w:ascii="Book Antiqua" w:hAnsi="Book Antiqua"/>
          <w:kern w:val="2"/>
          <w:sz w:val="24"/>
          <w:szCs w:val="24"/>
          <w:lang w:val="en-US" w:eastAsia="zh-CN"/>
        </w:rPr>
        <w:t>: 370-377 [PMID: 20881807 DOI: 10.1097/ID.0b013e3181ed06cd]</w:t>
      </w:r>
    </w:p>
    <w:p w14:paraId="1BFECF8D"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61 </w:t>
      </w:r>
      <w:r w:rsidRPr="00414407">
        <w:rPr>
          <w:rFonts w:ascii="Book Antiqua" w:hAnsi="Book Antiqua"/>
          <w:b/>
          <w:kern w:val="2"/>
          <w:sz w:val="24"/>
          <w:szCs w:val="24"/>
          <w:lang w:val="en-US" w:eastAsia="zh-CN"/>
        </w:rPr>
        <w:t>Ronda M</w:t>
      </w:r>
      <w:r w:rsidRPr="00414407">
        <w:rPr>
          <w:rFonts w:ascii="Book Antiqua" w:hAnsi="Book Antiqua"/>
          <w:kern w:val="2"/>
          <w:sz w:val="24"/>
          <w:szCs w:val="24"/>
          <w:lang w:val="en-US" w:eastAsia="zh-CN"/>
        </w:rPr>
        <w:t xml:space="preserve">, Stacchi C. A Novel Approach for the Coronal Advancement of the Buccal Flap. </w:t>
      </w:r>
      <w:r w:rsidRPr="00414407">
        <w:rPr>
          <w:rFonts w:ascii="Book Antiqua" w:hAnsi="Book Antiqua"/>
          <w:i/>
          <w:kern w:val="2"/>
          <w:sz w:val="24"/>
          <w:szCs w:val="24"/>
          <w:lang w:val="en-US" w:eastAsia="zh-CN"/>
        </w:rPr>
        <w:t>Int J Periodontics Restorative Dent</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35</w:t>
      </w:r>
      <w:r w:rsidRPr="00414407">
        <w:rPr>
          <w:rFonts w:ascii="Book Antiqua" w:hAnsi="Book Antiqua"/>
          <w:kern w:val="2"/>
          <w:sz w:val="24"/>
          <w:szCs w:val="24"/>
          <w:lang w:val="en-US" w:eastAsia="zh-CN"/>
        </w:rPr>
        <w:t>: 795-801 [PMID: 26509982</w:t>
      </w:r>
      <w:r w:rsidRPr="00414407">
        <w:rPr>
          <w:rFonts w:ascii="Book Antiqua" w:hAnsi="Book Antiqua" w:hint="eastAsia"/>
          <w:kern w:val="2"/>
          <w:sz w:val="24"/>
          <w:szCs w:val="24"/>
          <w:lang w:val="en-US" w:eastAsia="zh-CN"/>
        </w:rPr>
        <w:t xml:space="preserve"> DOI: 10.11607/prd.2232</w:t>
      </w:r>
      <w:r w:rsidRPr="00414407">
        <w:rPr>
          <w:rFonts w:ascii="Book Antiqua" w:hAnsi="Book Antiqua"/>
          <w:kern w:val="2"/>
          <w:sz w:val="24"/>
          <w:szCs w:val="24"/>
          <w:lang w:val="en-US" w:eastAsia="zh-CN"/>
        </w:rPr>
        <w:t>]</w:t>
      </w:r>
    </w:p>
    <w:p w14:paraId="196D0F32"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62 </w:t>
      </w:r>
      <w:r w:rsidRPr="00414407">
        <w:rPr>
          <w:rFonts w:ascii="Book Antiqua" w:hAnsi="Book Antiqua"/>
          <w:b/>
          <w:kern w:val="2"/>
          <w:sz w:val="24"/>
          <w:szCs w:val="24"/>
          <w:lang w:val="en-US" w:eastAsia="zh-CN"/>
        </w:rPr>
        <w:t>Mangano FG</w:t>
      </w:r>
      <w:r w:rsidRPr="00414407">
        <w:rPr>
          <w:rFonts w:ascii="Book Antiqua" w:hAnsi="Book Antiqua"/>
          <w:kern w:val="2"/>
          <w:sz w:val="24"/>
          <w:szCs w:val="24"/>
          <w:lang w:val="en-US" w:eastAsia="zh-CN"/>
        </w:rPr>
        <w:t xml:space="preserve">, Tettamanti L, Sammons RL, Azzi L, Caprioglio A, Macchi A, Mangano C. Maxillary sinus augmentation with adult mesenchymal stem cells: a review of the current literature. </w:t>
      </w:r>
      <w:r w:rsidRPr="00414407">
        <w:rPr>
          <w:rFonts w:ascii="Book Antiqua" w:hAnsi="Book Antiqua"/>
          <w:i/>
          <w:kern w:val="2"/>
          <w:sz w:val="24"/>
          <w:szCs w:val="24"/>
          <w:lang w:val="en-US" w:eastAsia="zh-CN"/>
        </w:rPr>
        <w:t>Oral Surg Oral Med Oral Pathol Oral Radiol</w:t>
      </w:r>
      <w:r w:rsidRPr="00414407">
        <w:rPr>
          <w:rFonts w:ascii="Book Antiqua" w:hAnsi="Book Antiqua"/>
          <w:kern w:val="2"/>
          <w:sz w:val="24"/>
          <w:szCs w:val="24"/>
          <w:lang w:val="en-US" w:eastAsia="zh-CN"/>
        </w:rPr>
        <w:t xml:space="preserve"> 2013; </w:t>
      </w:r>
      <w:r w:rsidRPr="00414407">
        <w:rPr>
          <w:rFonts w:ascii="Book Antiqua" w:hAnsi="Book Antiqua"/>
          <w:b/>
          <w:kern w:val="2"/>
          <w:sz w:val="24"/>
          <w:szCs w:val="24"/>
          <w:lang w:val="en-US" w:eastAsia="zh-CN"/>
        </w:rPr>
        <w:t>115</w:t>
      </w:r>
      <w:r w:rsidRPr="00414407">
        <w:rPr>
          <w:rFonts w:ascii="Book Antiqua" w:hAnsi="Book Antiqua"/>
          <w:kern w:val="2"/>
          <w:sz w:val="24"/>
          <w:szCs w:val="24"/>
          <w:lang w:val="en-US" w:eastAsia="zh-CN"/>
        </w:rPr>
        <w:t>: 717-723 [PMID: 23313230 DOI: 10.1016/j.oooo.2012.09.087]</w:t>
      </w:r>
    </w:p>
    <w:p w14:paraId="07ECA2C5"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63 </w:t>
      </w:r>
      <w:r w:rsidRPr="00414407">
        <w:rPr>
          <w:rFonts w:ascii="Book Antiqua" w:hAnsi="Book Antiqua"/>
          <w:b/>
          <w:kern w:val="2"/>
          <w:sz w:val="24"/>
          <w:szCs w:val="24"/>
          <w:lang w:val="en-US" w:eastAsia="zh-CN"/>
        </w:rPr>
        <w:t>Mangano FG</w:t>
      </w:r>
      <w:r w:rsidRPr="00414407">
        <w:rPr>
          <w:rFonts w:ascii="Book Antiqua" w:hAnsi="Book Antiqua"/>
          <w:kern w:val="2"/>
          <w:sz w:val="24"/>
          <w:szCs w:val="24"/>
          <w:lang w:val="en-US" w:eastAsia="zh-CN"/>
        </w:rPr>
        <w:t xml:space="preserve">, Colombo M, Veronesi G, Caprioglio A, Mangano C. Mesenchymal stem cells in maxillary sinus augmentation: A systematic review with meta-analysis. </w:t>
      </w:r>
      <w:r w:rsidRPr="00414407">
        <w:rPr>
          <w:rFonts w:ascii="Book Antiqua" w:hAnsi="Book Antiqua"/>
          <w:i/>
          <w:kern w:val="2"/>
          <w:sz w:val="24"/>
          <w:szCs w:val="24"/>
          <w:lang w:val="en-US" w:eastAsia="zh-CN"/>
        </w:rPr>
        <w:t>World J Stem Cells</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7</w:t>
      </w:r>
      <w:r w:rsidRPr="00414407">
        <w:rPr>
          <w:rFonts w:ascii="Book Antiqua" w:hAnsi="Book Antiqua"/>
          <w:kern w:val="2"/>
          <w:sz w:val="24"/>
          <w:szCs w:val="24"/>
          <w:lang w:val="en-US" w:eastAsia="zh-CN"/>
        </w:rPr>
        <w:t>: 976-991 [PMID: 26240683 DOI: 10.4252/wjsc.v7.i6.976]</w:t>
      </w:r>
    </w:p>
    <w:p w14:paraId="1C2D1C7C"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64 </w:t>
      </w:r>
      <w:r w:rsidRPr="00414407">
        <w:rPr>
          <w:rFonts w:ascii="Book Antiqua" w:hAnsi="Book Antiqua"/>
          <w:b/>
          <w:kern w:val="2"/>
          <w:sz w:val="24"/>
          <w:szCs w:val="24"/>
          <w:lang w:val="en-US" w:eastAsia="zh-CN"/>
        </w:rPr>
        <w:t>Correia F</w:t>
      </w:r>
      <w:r w:rsidRPr="00414407">
        <w:rPr>
          <w:rFonts w:ascii="Book Antiqua" w:hAnsi="Book Antiqua"/>
          <w:kern w:val="2"/>
          <w:sz w:val="24"/>
          <w:szCs w:val="24"/>
          <w:lang w:val="en-US" w:eastAsia="zh-CN"/>
        </w:rPr>
        <w:t xml:space="preserve">, Pozza DH, Gouveia S, Felino A, Faria E Almeida R. The applications of regenerative medicine in sinus lift procedures: A systematic review. </w:t>
      </w:r>
      <w:r w:rsidRPr="00414407">
        <w:rPr>
          <w:rFonts w:ascii="Book Antiqua" w:hAnsi="Book Antiqua"/>
          <w:i/>
          <w:kern w:val="2"/>
          <w:sz w:val="24"/>
          <w:szCs w:val="24"/>
          <w:lang w:val="en-US" w:eastAsia="zh-CN"/>
        </w:rPr>
        <w:t>Clin Implant Dent Relat Res</w:t>
      </w:r>
      <w:r w:rsidRPr="00414407">
        <w:rPr>
          <w:rFonts w:ascii="Book Antiqua" w:hAnsi="Book Antiqua"/>
          <w:kern w:val="2"/>
          <w:sz w:val="24"/>
          <w:szCs w:val="24"/>
          <w:lang w:val="en-US" w:eastAsia="zh-CN"/>
        </w:rPr>
        <w:t xml:space="preserve"> 2018; </w:t>
      </w:r>
      <w:r w:rsidRPr="00414407">
        <w:rPr>
          <w:rFonts w:ascii="Book Antiqua" w:hAnsi="Book Antiqua"/>
          <w:b/>
          <w:kern w:val="2"/>
          <w:sz w:val="24"/>
          <w:szCs w:val="24"/>
          <w:lang w:val="en-US" w:eastAsia="zh-CN"/>
        </w:rPr>
        <w:t>20</w:t>
      </w:r>
      <w:r w:rsidRPr="00414407">
        <w:rPr>
          <w:rFonts w:ascii="Book Antiqua" w:hAnsi="Book Antiqua"/>
          <w:kern w:val="2"/>
          <w:sz w:val="24"/>
          <w:szCs w:val="24"/>
          <w:lang w:val="en-US" w:eastAsia="zh-CN"/>
        </w:rPr>
        <w:t>: 229-242 [PMID: 29205768 DOI: 10.1111/cid.12561]</w:t>
      </w:r>
    </w:p>
    <w:p w14:paraId="09AA8E60"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65 </w:t>
      </w:r>
      <w:r w:rsidRPr="00414407">
        <w:rPr>
          <w:rFonts w:ascii="Book Antiqua" w:hAnsi="Book Antiqua"/>
          <w:b/>
          <w:kern w:val="2"/>
          <w:sz w:val="24"/>
          <w:szCs w:val="24"/>
          <w:lang w:val="en-US" w:eastAsia="zh-CN"/>
        </w:rPr>
        <w:t>Wildburger A</w:t>
      </w:r>
      <w:r w:rsidRPr="00414407">
        <w:rPr>
          <w:rFonts w:ascii="Book Antiqua" w:hAnsi="Book Antiqua"/>
          <w:kern w:val="2"/>
          <w:sz w:val="24"/>
          <w:szCs w:val="24"/>
          <w:lang w:val="en-US" w:eastAsia="zh-CN"/>
        </w:rPr>
        <w:t xml:space="preserve">, Payer M, Jakse N, Strunk D, Etchard-Liechtenstein N, Sauerbier S. </w:t>
      </w:r>
      <w:r w:rsidRPr="00414407">
        <w:rPr>
          <w:rFonts w:ascii="Book Antiqua" w:hAnsi="Book Antiqua"/>
          <w:kern w:val="2"/>
          <w:sz w:val="24"/>
          <w:szCs w:val="24"/>
          <w:lang w:val="en-US" w:eastAsia="zh-CN"/>
        </w:rPr>
        <w:lastRenderedPageBreak/>
        <w:t xml:space="preserve">Impact of autogenous concentrated bone marrow aspirate on bone regeneration after sinus floor augmentation with a bovine bone substitute--a split-mouth pilot study. </w:t>
      </w:r>
      <w:r w:rsidRPr="00414407">
        <w:rPr>
          <w:rFonts w:ascii="Book Antiqua" w:hAnsi="Book Antiqua"/>
          <w:i/>
          <w:kern w:val="2"/>
          <w:sz w:val="24"/>
          <w:szCs w:val="24"/>
          <w:lang w:val="en-US" w:eastAsia="zh-CN"/>
        </w:rPr>
        <w:t>Clin Oral Implants Res</w:t>
      </w:r>
      <w:r w:rsidRPr="00414407">
        <w:rPr>
          <w:rFonts w:ascii="Book Antiqua" w:hAnsi="Book Antiqua"/>
          <w:kern w:val="2"/>
          <w:sz w:val="24"/>
          <w:szCs w:val="24"/>
          <w:lang w:val="en-US" w:eastAsia="zh-CN"/>
        </w:rPr>
        <w:t xml:space="preserve"> 2014; </w:t>
      </w:r>
      <w:r w:rsidRPr="00414407">
        <w:rPr>
          <w:rFonts w:ascii="Book Antiqua" w:hAnsi="Book Antiqua"/>
          <w:b/>
          <w:kern w:val="2"/>
          <w:sz w:val="24"/>
          <w:szCs w:val="24"/>
          <w:lang w:val="en-US" w:eastAsia="zh-CN"/>
        </w:rPr>
        <w:t>25</w:t>
      </w:r>
      <w:r w:rsidRPr="00414407">
        <w:rPr>
          <w:rFonts w:ascii="Book Antiqua" w:hAnsi="Book Antiqua"/>
          <w:kern w:val="2"/>
          <w:sz w:val="24"/>
          <w:szCs w:val="24"/>
          <w:lang w:val="en-US" w:eastAsia="zh-CN"/>
        </w:rPr>
        <w:t>: 1175-1181 [PMID: 23875876 DOI: 10.1111/clr.12228]</w:t>
      </w:r>
    </w:p>
    <w:p w14:paraId="6F24BDBB"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66 </w:t>
      </w:r>
      <w:r w:rsidRPr="00414407">
        <w:rPr>
          <w:rFonts w:ascii="Book Antiqua" w:hAnsi="Book Antiqua"/>
          <w:b/>
          <w:kern w:val="2"/>
          <w:sz w:val="24"/>
          <w:szCs w:val="24"/>
          <w:lang w:val="en-US" w:eastAsia="zh-CN"/>
        </w:rPr>
        <w:t>Pasquali PJ</w:t>
      </w:r>
      <w:r w:rsidRPr="00414407">
        <w:rPr>
          <w:rFonts w:ascii="Book Antiqua" w:hAnsi="Book Antiqua"/>
          <w:kern w:val="2"/>
          <w:sz w:val="24"/>
          <w:szCs w:val="24"/>
          <w:lang w:val="en-US" w:eastAsia="zh-CN"/>
        </w:rPr>
        <w:t xml:space="preserve">, Teixeira ML, de Oliveira TA, de Macedo LG, Aloise AC, Pelegrine AA. Maxillary Sinus Augmentation Combining Bio-Oss with the Bone Marrow Aspirate Concentrate: A Histomorphometric Study in Humans. </w:t>
      </w:r>
      <w:r w:rsidRPr="00414407">
        <w:rPr>
          <w:rFonts w:ascii="Book Antiqua" w:hAnsi="Book Antiqua"/>
          <w:i/>
          <w:kern w:val="2"/>
          <w:sz w:val="24"/>
          <w:szCs w:val="24"/>
          <w:lang w:val="en-US" w:eastAsia="zh-CN"/>
        </w:rPr>
        <w:t>Int J Biomater</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2015</w:t>
      </w:r>
      <w:r w:rsidRPr="00414407">
        <w:rPr>
          <w:rFonts w:ascii="Book Antiqua" w:hAnsi="Book Antiqua"/>
          <w:kern w:val="2"/>
          <w:sz w:val="24"/>
          <w:szCs w:val="24"/>
          <w:lang w:val="en-US" w:eastAsia="zh-CN"/>
        </w:rPr>
        <w:t>: 121286 [PMID: 26543482 DOI: 10.1155/2015/121286]</w:t>
      </w:r>
    </w:p>
    <w:p w14:paraId="6F8FAC5C"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67 </w:t>
      </w:r>
      <w:r w:rsidRPr="00414407">
        <w:rPr>
          <w:rFonts w:ascii="Book Antiqua" w:hAnsi="Book Antiqua"/>
          <w:b/>
          <w:kern w:val="2"/>
          <w:sz w:val="24"/>
          <w:szCs w:val="24"/>
          <w:lang w:val="en-US" w:eastAsia="zh-CN"/>
        </w:rPr>
        <w:t>Parisien M</w:t>
      </w:r>
      <w:r w:rsidRPr="00414407">
        <w:rPr>
          <w:rFonts w:ascii="Book Antiqua" w:hAnsi="Book Antiqua"/>
          <w:kern w:val="2"/>
          <w:sz w:val="24"/>
          <w:szCs w:val="24"/>
          <w:lang w:val="en-US" w:eastAsia="zh-CN"/>
        </w:rPr>
        <w:t xml:space="preserve">, Cosman F, Morgan D, Schnitzer M, Liang X, Nieves J, Forese L, Luckey M, Meier D, Shen V, Lindsay R, Dempster DW. Histomorphometric assessment of bone mass, structure, and remodeling: a comparison between healthy black and white premenopausal women. </w:t>
      </w:r>
      <w:r w:rsidRPr="00414407">
        <w:rPr>
          <w:rFonts w:ascii="Book Antiqua" w:hAnsi="Book Antiqua"/>
          <w:i/>
          <w:kern w:val="2"/>
          <w:sz w:val="24"/>
          <w:szCs w:val="24"/>
          <w:lang w:val="en-US" w:eastAsia="zh-CN"/>
        </w:rPr>
        <w:t>J Bone Miner Res</w:t>
      </w:r>
      <w:r w:rsidRPr="00414407">
        <w:rPr>
          <w:rFonts w:ascii="Book Antiqua" w:hAnsi="Book Antiqua"/>
          <w:kern w:val="2"/>
          <w:sz w:val="24"/>
          <w:szCs w:val="24"/>
          <w:lang w:val="en-US" w:eastAsia="zh-CN"/>
        </w:rPr>
        <w:t xml:space="preserve"> 1997; </w:t>
      </w:r>
      <w:r w:rsidRPr="00414407">
        <w:rPr>
          <w:rFonts w:ascii="Book Antiqua" w:hAnsi="Book Antiqua"/>
          <w:b/>
          <w:kern w:val="2"/>
          <w:sz w:val="24"/>
          <w:szCs w:val="24"/>
          <w:lang w:val="en-US" w:eastAsia="zh-CN"/>
        </w:rPr>
        <w:t>12</w:t>
      </w:r>
      <w:r w:rsidRPr="00414407">
        <w:rPr>
          <w:rFonts w:ascii="Book Antiqua" w:hAnsi="Book Antiqua"/>
          <w:kern w:val="2"/>
          <w:sz w:val="24"/>
          <w:szCs w:val="24"/>
          <w:lang w:val="en-US" w:eastAsia="zh-CN"/>
        </w:rPr>
        <w:t>: 948-957 [PMID: 9169355 DOI: 10.1359/jbmr.1997.12.6.948]</w:t>
      </w:r>
    </w:p>
    <w:p w14:paraId="75D4482B"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68 </w:t>
      </w:r>
      <w:r w:rsidRPr="00414407">
        <w:rPr>
          <w:rFonts w:ascii="Book Antiqua" w:hAnsi="Book Antiqua"/>
          <w:b/>
          <w:kern w:val="2"/>
          <w:sz w:val="24"/>
          <w:szCs w:val="24"/>
          <w:lang w:val="en-US" w:eastAsia="zh-CN"/>
        </w:rPr>
        <w:t>Hynes K</w:t>
      </w:r>
      <w:r w:rsidRPr="00414407">
        <w:rPr>
          <w:rFonts w:ascii="Book Antiqua" w:hAnsi="Book Antiqua"/>
          <w:kern w:val="2"/>
          <w:sz w:val="24"/>
          <w:szCs w:val="24"/>
          <w:lang w:val="en-US" w:eastAsia="zh-CN"/>
        </w:rPr>
        <w:t xml:space="preserve">, Menicanin D, Gronthos S, Bartold PM. Clinical utility of stem cells for periodontal regeneration. </w:t>
      </w:r>
      <w:r w:rsidRPr="00414407">
        <w:rPr>
          <w:rFonts w:ascii="Book Antiqua" w:hAnsi="Book Antiqua"/>
          <w:i/>
          <w:kern w:val="2"/>
          <w:sz w:val="24"/>
          <w:szCs w:val="24"/>
          <w:lang w:val="en-US" w:eastAsia="zh-CN"/>
        </w:rPr>
        <w:t>Periodontol 2000</w:t>
      </w:r>
      <w:r w:rsidRPr="00414407">
        <w:rPr>
          <w:rFonts w:ascii="Book Antiqua" w:hAnsi="Book Antiqua"/>
          <w:kern w:val="2"/>
          <w:sz w:val="24"/>
          <w:szCs w:val="24"/>
          <w:lang w:val="en-US" w:eastAsia="zh-CN"/>
        </w:rPr>
        <w:t xml:space="preserve"> 2012; </w:t>
      </w:r>
      <w:r w:rsidRPr="00414407">
        <w:rPr>
          <w:rFonts w:ascii="Book Antiqua" w:hAnsi="Book Antiqua"/>
          <w:b/>
          <w:kern w:val="2"/>
          <w:sz w:val="24"/>
          <w:szCs w:val="24"/>
          <w:lang w:val="en-US" w:eastAsia="zh-CN"/>
        </w:rPr>
        <w:t>59</w:t>
      </w:r>
      <w:r w:rsidRPr="00414407">
        <w:rPr>
          <w:rFonts w:ascii="Book Antiqua" w:hAnsi="Book Antiqua"/>
          <w:kern w:val="2"/>
          <w:sz w:val="24"/>
          <w:szCs w:val="24"/>
          <w:lang w:val="en-US" w:eastAsia="zh-CN"/>
        </w:rPr>
        <w:t>: 203-227 [PMID: 22507067 DOI: 10.1111/j.1600-0757.2012.00443.x]</w:t>
      </w:r>
    </w:p>
    <w:p w14:paraId="6BE19879"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69 </w:t>
      </w:r>
      <w:r w:rsidRPr="00414407">
        <w:rPr>
          <w:rFonts w:ascii="Book Antiqua" w:hAnsi="Book Antiqua"/>
          <w:b/>
          <w:kern w:val="2"/>
          <w:sz w:val="24"/>
          <w:szCs w:val="24"/>
          <w:lang w:val="en-US" w:eastAsia="zh-CN"/>
        </w:rPr>
        <w:t>Egusa H</w:t>
      </w:r>
      <w:r w:rsidRPr="00414407">
        <w:rPr>
          <w:rFonts w:ascii="Book Antiqua" w:hAnsi="Book Antiqua"/>
          <w:kern w:val="2"/>
          <w:sz w:val="24"/>
          <w:szCs w:val="24"/>
          <w:lang w:val="en-US" w:eastAsia="zh-CN"/>
        </w:rPr>
        <w:t xml:space="preserve">, Sonoyama W, Nishimura M, Atsuta I, Akiyama K. Stem cells in dentistry--part I: stem cell sources. </w:t>
      </w:r>
      <w:r w:rsidRPr="00414407">
        <w:rPr>
          <w:rFonts w:ascii="Book Antiqua" w:hAnsi="Book Antiqua"/>
          <w:i/>
          <w:kern w:val="2"/>
          <w:sz w:val="24"/>
          <w:szCs w:val="24"/>
          <w:lang w:val="en-US" w:eastAsia="zh-CN"/>
        </w:rPr>
        <w:t>J Prosthodont Res</w:t>
      </w:r>
      <w:r w:rsidRPr="00414407">
        <w:rPr>
          <w:rFonts w:ascii="Book Antiqua" w:hAnsi="Book Antiqua"/>
          <w:kern w:val="2"/>
          <w:sz w:val="24"/>
          <w:szCs w:val="24"/>
          <w:lang w:val="en-US" w:eastAsia="zh-CN"/>
        </w:rPr>
        <w:t xml:space="preserve"> 2012; </w:t>
      </w:r>
      <w:r w:rsidRPr="00414407">
        <w:rPr>
          <w:rFonts w:ascii="Book Antiqua" w:hAnsi="Book Antiqua"/>
          <w:b/>
          <w:kern w:val="2"/>
          <w:sz w:val="24"/>
          <w:szCs w:val="24"/>
          <w:lang w:val="en-US" w:eastAsia="zh-CN"/>
        </w:rPr>
        <w:t>56</w:t>
      </w:r>
      <w:r w:rsidRPr="00414407">
        <w:rPr>
          <w:rFonts w:ascii="Book Antiqua" w:hAnsi="Book Antiqua"/>
          <w:kern w:val="2"/>
          <w:sz w:val="24"/>
          <w:szCs w:val="24"/>
          <w:lang w:val="en-US" w:eastAsia="zh-CN"/>
        </w:rPr>
        <w:t>: 151-165 [PMID: 22796367 DOI: 10.1016/j.jpor.2012.06.001]</w:t>
      </w:r>
    </w:p>
    <w:p w14:paraId="48A347BA"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70 </w:t>
      </w:r>
      <w:r w:rsidRPr="00414407">
        <w:rPr>
          <w:rFonts w:ascii="Book Antiqua" w:hAnsi="Book Antiqua"/>
          <w:b/>
          <w:kern w:val="2"/>
          <w:sz w:val="24"/>
          <w:szCs w:val="24"/>
          <w:lang w:val="en-US" w:eastAsia="zh-CN"/>
        </w:rPr>
        <w:t>Ahmed RP</w:t>
      </w:r>
      <w:r w:rsidRPr="00414407">
        <w:rPr>
          <w:rFonts w:ascii="Book Antiqua" w:hAnsi="Book Antiqua"/>
          <w:kern w:val="2"/>
          <w:sz w:val="24"/>
          <w:szCs w:val="24"/>
          <w:lang w:val="en-US" w:eastAsia="zh-CN"/>
        </w:rPr>
        <w:t xml:space="preserve">, Ashraf M, Buccini S, Shujia J, Haider HKh. Cardiac tumorigenic potential of induced pluripotent stem cells in an immunocompetent host with myocardial infarction. </w:t>
      </w:r>
      <w:r w:rsidRPr="00414407">
        <w:rPr>
          <w:rFonts w:ascii="Book Antiqua" w:hAnsi="Book Antiqua"/>
          <w:i/>
          <w:kern w:val="2"/>
          <w:sz w:val="24"/>
          <w:szCs w:val="24"/>
          <w:lang w:val="en-US" w:eastAsia="zh-CN"/>
        </w:rPr>
        <w:t>Regen Med</w:t>
      </w:r>
      <w:r w:rsidRPr="00414407">
        <w:rPr>
          <w:rFonts w:ascii="Book Antiqua" w:hAnsi="Book Antiqua"/>
          <w:kern w:val="2"/>
          <w:sz w:val="24"/>
          <w:szCs w:val="24"/>
          <w:lang w:val="en-US" w:eastAsia="zh-CN"/>
        </w:rPr>
        <w:t xml:space="preserve"> 2011; </w:t>
      </w:r>
      <w:r w:rsidRPr="00414407">
        <w:rPr>
          <w:rFonts w:ascii="Book Antiqua" w:hAnsi="Book Antiqua"/>
          <w:b/>
          <w:kern w:val="2"/>
          <w:sz w:val="24"/>
          <w:szCs w:val="24"/>
          <w:lang w:val="en-US" w:eastAsia="zh-CN"/>
        </w:rPr>
        <w:t>6</w:t>
      </w:r>
      <w:r w:rsidRPr="00414407">
        <w:rPr>
          <w:rFonts w:ascii="Book Antiqua" w:hAnsi="Book Antiqua"/>
          <w:kern w:val="2"/>
          <w:sz w:val="24"/>
          <w:szCs w:val="24"/>
          <w:lang w:val="en-US" w:eastAsia="zh-CN"/>
        </w:rPr>
        <w:t>: 171-178 [PMID: 21391851 DOI: 10.2217/rme.10.103]</w:t>
      </w:r>
    </w:p>
    <w:p w14:paraId="3B038875"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71 </w:t>
      </w:r>
      <w:r w:rsidRPr="00414407">
        <w:rPr>
          <w:rFonts w:ascii="Book Antiqua" w:hAnsi="Book Antiqua"/>
          <w:b/>
          <w:kern w:val="2"/>
          <w:sz w:val="24"/>
          <w:szCs w:val="24"/>
          <w:lang w:val="en-US" w:eastAsia="zh-CN"/>
        </w:rPr>
        <w:t>Zhang Y</w:t>
      </w:r>
      <w:r w:rsidRPr="00414407">
        <w:rPr>
          <w:rFonts w:ascii="Book Antiqua" w:hAnsi="Book Antiqua"/>
          <w:kern w:val="2"/>
          <w:sz w:val="24"/>
          <w:szCs w:val="24"/>
          <w:lang w:val="en-US" w:eastAsia="zh-CN"/>
        </w:rPr>
        <w:t xml:space="preserve">, Wang D, Chen M, Yang B, Zhang F, Cao K. Intramyocardial transplantation of undifferentiated rat induced pluripotent stem cells causes tumorigenesis in the heart. </w:t>
      </w:r>
      <w:r w:rsidRPr="00414407">
        <w:rPr>
          <w:rFonts w:ascii="Book Antiqua" w:hAnsi="Book Antiqua"/>
          <w:i/>
          <w:kern w:val="2"/>
          <w:sz w:val="24"/>
          <w:szCs w:val="24"/>
          <w:lang w:val="en-US" w:eastAsia="zh-CN"/>
        </w:rPr>
        <w:t>PLoS One</w:t>
      </w:r>
      <w:r w:rsidRPr="00414407">
        <w:rPr>
          <w:rFonts w:ascii="Book Antiqua" w:hAnsi="Book Antiqua"/>
          <w:kern w:val="2"/>
          <w:sz w:val="24"/>
          <w:szCs w:val="24"/>
          <w:lang w:val="en-US" w:eastAsia="zh-CN"/>
        </w:rPr>
        <w:t xml:space="preserve"> 2011; </w:t>
      </w:r>
      <w:r w:rsidRPr="00414407">
        <w:rPr>
          <w:rFonts w:ascii="Book Antiqua" w:hAnsi="Book Antiqua"/>
          <w:b/>
          <w:kern w:val="2"/>
          <w:sz w:val="24"/>
          <w:szCs w:val="24"/>
          <w:lang w:val="en-US" w:eastAsia="zh-CN"/>
        </w:rPr>
        <w:t>6</w:t>
      </w:r>
      <w:r w:rsidRPr="00414407">
        <w:rPr>
          <w:rFonts w:ascii="Book Antiqua" w:hAnsi="Book Antiqua"/>
          <w:kern w:val="2"/>
          <w:sz w:val="24"/>
          <w:szCs w:val="24"/>
          <w:lang w:val="en-US" w:eastAsia="zh-CN"/>
        </w:rPr>
        <w:t>: e19012 [PMID: 21552563 DOI: 10.1371/journal.pone.0019012]</w:t>
      </w:r>
    </w:p>
    <w:p w14:paraId="1196BAD6"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72 </w:t>
      </w:r>
      <w:r w:rsidRPr="00414407">
        <w:rPr>
          <w:rFonts w:ascii="Book Antiqua" w:hAnsi="Book Antiqua"/>
          <w:b/>
          <w:kern w:val="2"/>
          <w:sz w:val="24"/>
          <w:szCs w:val="24"/>
          <w:lang w:val="en-US" w:eastAsia="zh-CN"/>
        </w:rPr>
        <w:t>Schmelzeisen R</w:t>
      </w:r>
      <w:r w:rsidRPr="00414407">
        <w:rPr>
          <w:rFonts w:ascii="Book Antiqua" w:hAnsi="Book Antiqua"/>
          <w:kern w:val="2"/>
          <w:sz w:val="24"/>
          <w:szCs w:val="24"/>
          <w:lang w:val="en-US" w:eastAsia="zh-CN"/>
        </w:rPr>
        <w:t xml:space="preserve">, Gutwald R, Oshima T, Nagursky H, Vogeler M, Sauerbier S. Making bone II: maxillary sinus augmentation with mononuclear cells--case report with a new clinical method. </w:t>
      </w:r>
      <w:r w:rsidRPr="00414407">
        <w:rPr>
          <w:rFonts w:ascii="Book Antiqua" w:hAnsi="Book Antiqua"/>
          <w:i/>
          <w:kern w:val="2"/>
          <w:sz w:val="24"/>
          <w:szCs w:val="24"/>
          <w:lang w:val="en-US" w:eastAsia="zh-CN"/>
        </w:rPr>
        <w:t>Br J Oral Maxillofac Surg</w:t>
      </w:r>
      <w:r w:rsidRPr="00414407">
        <w:rPr>
          <w:rFonts w:ascii="Book Antiqua" w:hAnsi="Book Antiqua"/>
          <w:kern w:val="2"/>
          <w:sz w:val="24"/>
          <w:szCs w:val="24"/>
          <w:lang w:val="en-US" w:eastAsia="zh-CN"/>
        </w:rPr>
        <w:t xml:space="preserve"> 2011; </w:t>
      </w:r>
      <w:r w:rsidRPr="00414407">
        <w:rPr>
          <w:rFonts w:ascii="Book Antiqua" w:hAnsi="Book Antiqua"/>
          <w:b/>
          <w:kern w:val="2"/>
          <w:sz w:val="24"/>
          <w:szCs w:val="24"/>
          <w:lang w:val="en-US" w:eastAsia="zh-CN"/>
        </w:rPr>
        <w:t>49</w:t>
      </w:r>
      <w:r w:rsidRPr="00414407">
        <w:rPr>
          <w:rFonts w:ascii="Book Antiqua" w:hAnsi="Book Antiqua"/>
          <w:kern w:val="2"/>
          <w:sz w:val="24"/>
          <w:szCs w:val="24"/>
          <w:lang w:val="en-US" w:eastAsia="zh-CN"/>
        </w:rPr>
        <w:t>: 480-482 [PMID: 20678831 DOI: 10.1016/j.bjoms.2010.06.020]</w:t>
      </w:r>
    </w:p>
    <w:p w14:paraId="5E8A5E69"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73 </w:t>
      </w:r>
      <w:r w:rsidRPr="00414407">
        <w:rPr>
          <w:rFonts w:ascii="Book Antiqua" w:hAnsi="Book Antiqua"/>
          <w:b/>
          <w:kern w:val="2"/>
          <w:sz w:val="24"/>
          <w:szCs w:val="24"/>
          <w:lang w:val="en-US" w:eastAsia="zh-CN"/>
        </w:rPr>
        <w:t>Sauerbier S</w:t>
      </w:r>
      <w:r w:rsidRPr="00414407">
        <w:rPr>
          <w:rFonts w:ascii="Book Antiqua" w:hAnsi="Book Antiqua"/>
          <w:kern w:val="2"/>
          <w:sz w:val="24"/>
          <w:szCs w:val="24"/>
          <w:lang w:val="en-US" w:eastAsia="zh-CN"/>
        </w:rPr>
        <w:t xml:space="preserve">, Rickert D, Gutwald R, Nagursky H, Oshima T, Xavier SP, Christmann J, Kurz P, Menne D, Vissink A, Raghoebar G, Schmelzeisen R, Wagner W, Koch FP. Bone </w:t>
      </w:r>
      <w:r w:rsidRPr="00414407">
        <w:rPr>
          <w:rFonts w:ascii="Book Antiqua" w:hAnsi="Book Antiqua"/>
          <w:kern w:val="2"/>
          <w:sz w:val="24"/>
          <w:szCs w:val="24"/>
          <w:lang w:val="en-US" w:eastAsia="zh-CN"/>
        </w:rPr>
        <w:lastRenderedPageBreak/>
        <w:t xml:space="preserve">marrow concentrate and bovine bone mineral for sinus floor augmentation: a controlled, randomized, single-blinded clinical and histological trial--per-protocol analysis. </w:t>
      </w:r>
      <w:r w:rsidRPr="00414407">
        <w:rPr>
          <w:rFonts w:ascii="Book Antiqua" w:hAnsi="Book Antiqua"/>
          <w:i/>
          <w:kern w:val="2"/>
          <w:sz w:val="24"/>
          <w:szCs w:val="24"/>
          <w:lang w:val="en-US" w:eastAsia="zh-CN"/>
        </w:rPr>
        <w:t>Tissue Eng Part A</w:t>
      </w:r>
      <w:r w:rsidRPr="00414407">
        <w:rPr>
          <w:rFonts w:ascii="Book Antiqua" w:hAnsi="Book Antiqua"/>
          <w:kern w:val="2"/>
          <w:sz w:val="24"/>
          <w:szCs w:val="24"/>
          <w:lang w:val="en-US" w:eastAsia="zh-CN"/>
        </w:rPr>
        <w:t xml:space="preserve"> 2011; </w:t>
      </w:r>
      <w:r w:rsidRPr="00414407">
        <w:rPr>
          <w:rFonts w:ascii="Book Antiqua" w:hAnsi="Book Antiqua"/>
          <w:b/>
          <w:kern w:val="2"/>
          <w:sz w:val="24"/>
          <w:szCs w:val="24"/>
          <w:lang w:val="en-US" w:eastAsia="zh-CN"/>
        </w:rPr>
        <w:t>17</w:t>
      </w:r>
      <w:r w:rsidRPr="00414407">
        <w:rPr>
          <w:rFonts w:ascii="Book Antiqua" w:hAnsi="Book Antiqua"/>
          <w:kern w:val="2"/>
          <w:sz w:val="24"/>
          <w:szCs w:val="24"/>
          <w:lang w:val="en-US" w:eastAsia="zh-CN"/>
        </w:rPr>
        <w:t>: 2187-2197 [PMID: 21529247 DOI: 10.1089/ten.TEA.2010.0516]</w:t>
      </w:r>
    </w:p>
    <w:p w14:paraId="7D54C499"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74 </w:t>
      </w:r>
      <w:r w:rsidRPr="00414407">
        <w:rPr>
          <w:rFonts w:ascii="Book Antiqua" w:hAnsi="Book Antiqua"/>
          <w:b/>
          <w:kern w:val="2"/>
          <w:sz w:val="24"/>
          <w:szCs w:val="24"/>
          <w:lang w:val="en-US" w:eastAsia="zh-CN"/>
        </w:rPr>
        <w:t>Götz W</w:t>
      </w:r>
      <w:r w:rsidRPr="00414407">
        <w:rPr>
          <w:rFonts w:ascii="Book Antiqua" w:hAnsi="Book Antiqua"/>
          <w:kern w:val="2"/>
          <w:sz w:val="24"/>
          <w:szCs w:val="24"/>
          <w:lang w:val="en-US" w:eastAsia="zh-CN"/>
        </w:rPr>
        <w:t xml:space="preserve">, Gerber T, Michel B, Lossdörfer S, Henkel KO, Heinemann F. Immunohistochemical characterization of nanocrystalline hydroxyapatite silica gel (NanoBone(r)) osteogenesis: a study on biopsies from human jaws. </w:t>
      </w:r>
      <w:r w:rsidRPr="00414407">
        <w:rPr>
          <w:rFonts w:ascii="Book Antiqua" w:hAnsi="Book Antiqua"/>
          <w:i/>
          <w:kern w:val="2"/>
          <w:sz w:val="24"/>
          <w:szCs w:val="24"/>
          <w:lang w:val="en-US" w:eastAsia="zh-CN"/>
        </w:rPr>
        <w:t>Clin Oral Implants Res</w:t>
      </w:r>
      <w:r w:rsidRPr="00414407">
        <w:rPr>
          <w:rFonts w:ascii="Book Antiqua" w:hAnsi="Book Antiqua"/>
          <w:kern w:val="2"/>
          <w:sz w:val="24"/>
          <w:szCs w:val="24"/>
          <w:lang w:val="en-US" w:eastAsia="zh-CN"/>
        </w:rPr>
        <w:t xml:space="preserve"> 2008; </w:t>
      </w:r>
      <w:r w:rsidRPr="00414407">
        <w:rPr>
          <w:rFonts w:ascii="Book Antiqua" w:hAnsi="Book Antiqua"/>
          <w:b/>
          <w:kern w:val="2"/>
          <w:sz w:val="24"/>
          <w:szCs w:val="24"/>
          <w:lang w:val="en-US" w:eastAsia="zh-CN"/>
        </w:rPr>
        <w:t>19</w:t>
      </w:r>
      <w:r w:rsidRPr="00414407">
        <w:rPr>
          <w:rFonts w:ascii="Book Antiqua" w:hAnsi="Book Antiqua"/>
          <w:kern w:val="2"/>
          <w:sz w:val="24"/>
          <w:szCs w:val="24"/>
          <w:lang w:val="en-US" w:eastAsia="zh-CN"/>
        </w:rPr>
        <w:t>: 1016-1026 [PMID: 18828818 DOI: 10.1111/j.1600-0501.2008.01569.x]</w:t>
      </w:r>
    </w:p>
    <w:p w14:paraId="38071559"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75 </w:t>
      </w:r>
      <w:r w:rsidRPr="00414407">
        <w:rPr>
          <w:rFonts w:ascii="Book Antiqua" w:hAnsi="Book Antiqua"/>
          <w:b/>
          <w:kern w:val="2"/>
          <w:sz w:val="24"/>
          <w:szCs w:val="24"/>
          <w:lang w:val="en-US" w:eastAsia="zh-CN"/>
        </w:rPr>
        <w:t>Friedmann A</w:t>
      </w:r>
      <w:r w:rsidRPr="00414407">
        <w:rPr>
          <w:rFonts w:ascii="Book Antiqua" w:hAnsi="Book Antiqua"/>
          <w:kern w:val="2"/>
          <w:sz w:val="24"/>
          <w:szCs w:val="24"/>
          <w:lang w:val="en-US" w:eastAsia="zh-CN"/>
        </w:rPr>
        <w:t xml:space="preserve">, Gissel K, Konermann A, Götz W. Tissue reactions after simultaneous alveolar ridge augmentation with biphasic calcium phosphate and implant insertion--histological and immunohistochemical evaluation in humans. </w:t>
      </w:r>
      <w:r w:rsidRPr="00414407">
        <w:rPr>
          <w:rFonts w:ascii="Book Antiqua" w:hAnsi="Book Antiqua"/>
          <w:i/>
          <w:kern w:val="2"/>
          <w:sz w:val="24"/>
          <w:szCs w:val="24"/>
          <w:lang w:val="en-US" w:eastAsia="zh-CN"/>
        </w:rPr>
        <w:t>Clin Oral Investig</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19</w:t>
      </w:r>
      <w:r w:rsidRPr="00414407">
        <w:rPr>
          <w:rFonts w:ascii="Book Antiqua" w:hAnsi="Book Antiqua"/>
          <w:kern w:val="2"/>
          <w:sz w:val="24"/>
          <w:szCs w:val="24"/>
          <w:lang w:val="en-US" w:eastAsia="zh-CN"/>
        </w:rPr>
        <w:t>: 1595-1603 [PMID: 25511386 DOI: 10.1007/s00784-014-1385-0]</w:t>
      </w:r>
    </w:p>
    <w:p w14:paraId="02CAC33D"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76 </w:t>
      </w:r>
      <w:r w:rsidRPr="00414407">
        <w:rPr>
          <w:rFonts w:ascii="Book Antiqua" w:hAnsi="Book Antiqua"/>
          <w:b/>
          <w:kern w:val="2"/>
          <w:sz w:val="24"/>
          <w:szCs w:val="24"/>
          <w:lang w:val="en-US" w:eastAsia="zh-CN"/>
        </w:rPr>
        <w:t>Hawthorne AC</w:t>
      </w:r>
      <w:r w:rsidRPr="00414407">
        <w:rPr>
          <w:rFonts w:ascii="Book Antiqua" w:hAnsi="Book Antiqua"/>
          <w:kern w:val="2"/>
          <w:sz w:val="24"/>
          <w:szCs w:val="24"/>
          <w:lang w:val="en-US" w:eastAsia="zh-CN"/>
        </w:rPr>
        <w:t xml:space="preserve">, Xavier SP, Okamoto R, Salvador SL, Antunes AA, Salata LA. Immunohistochemical, tomographic, and histological study on onlay bone graft remodeling. Part III: allografts. </w:t>
      </w:r>
      <w:r w:rsidRPr="00414407">
        <w:rPr>
          <w:rFonts w:ascii="Book Antiqua" w:hAnsi="Book Antiqua"/>
          <w:i/>
          <w:kern w:val="2"/>
          <w:sz w:val="24"/>
          <w:szCs w:val="24"/>
          <w:lang w:val="en-US" w:eastAsia="zh-CN"/>
        </w:rPr>
        <w:t>Clin Oral Implants Res</w:t>
      </w:r>
      <w:r w:rsidRPr="00414407">
        <w:rPr>
          <w:rFonts w:ascii="Book Antiqua" w:hAnsi="Book Antiqua"/>
          <w:kern w:val="2"/>
          <w:sz w:val="24"/>
          <w:szCs w:val="24"/>
          <w:lang w:val="en-US" w:eastAsia="zh-CN"/>
        </w:rPr>
        <w:t xml:space="preserve"> 2013; </w:t>
      </w:r>
      <w:r w:rsidRPr="00414407">
        <w:rPr>
          <w:rFonts w:ascii="Book Antiqua" w:hAnsi="Book Antiqua"/>
          <w:b/>
          <w:kern w:val="2"/>
          <w:sz w:val="24"/>
          <w:szCs w:val="24"/>
          <w:lang w:val="en-US" w:eastAsia="zh-CN"/>
        </w:rPr>
        <w:t>24</w:t>
      </w:r>
      <w:r w:rsidRPr="00414407">
        <w:rPr>
          <w:rFonts w:ascii="Book Antiqua" w:hAnsi="Book Antiqua"/>
          <w:kern w:val="2"/>
          <w:sz w:val="24"/>
          <w:szCs w:val="24"/>
          <w:lang w:val="en-US" w:eastAsia="zh-CN"/>
        </w:rPr>
        <w:t>: 1164-1172 [PMID: 22775764 DOI: 10.1111/j.1600-0501.2012.02528.x]</w:t>
      </w:r>
    </w:p>
    <w:p w14:paraId="37B0AEB6"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77 </w:t>
      </w:r>
      <w:r w:rsidRPr="00414407">
        <w:rPr>
          <w:rFonts w:ascii="Book Antiqua" w:hAnsi="Book Antiqua"/>
          <w:b/>
          <w:kern w:val="2"/>
          <w:sz w:val="24"/>
          <w:szCs w:val="24"/>
          <w:lang w:val="en-US" w:eastAsia="zh-CN"/>
        </w:rPr>
        <w:t>Brunel G</w:t>
      </w:r>
      <w:r w:rsidRPr="00414407">
        <w:rPr>
          <w:rFonts w:ascii="Book Antiqua" w:hAnsi="Book Antiqua"/>
          <w:kern w:val="2"/>
          <w:sz w:val="24"/>
          <w:szCs w:val="24"/>
          <w:lang w:val="en-US" w:eastAsia="zh-CN"/>
        </w:rPr>
        <w:t xml:space="preserve">, Brocard D, Duffort JF, Jacquet E, Justumus P, Simonet T, Benqué E. Bioabsorbable materials for guided bone regeneration prior to implant placement and 7-year follow-up: report of 14 cases. </w:t>
      </w:r>
      <w:r w:rsidRPr="00414407">
        <w:rPr>
          <w:rFonts w:ascii="Book Antiqua" w:hAnsi="Book Antiqua"/>
          <w:i/>
          <w:kern w:val="2"/>
          <w:sz w:val="24"/>
          <w:szCs w:val="24"/>
          <w:lang w:val="en-US" w:eastAsia="zh-CN"/>
        </w:rPr>
        <w:t>J Periodontol</w:t>
      </w:r>
      <w:r w:rsidRPr="00414407">
        <w:rPr>
          <w:rFonts w:ascii="Book Antiqua" w:hAnsi="Book Antiqua"/>
          <w:kern w:val="2"/>
          <w:sz w:val="24"/>
          <w:szCs w:val="24"/>
          <w:lang w:val="en-US" w:eastAsia="zh-CN"/>
        </w:rPr>
        <w:t xml:space="preserve"> 2001; </w:t>
      </w:r>
      <w:r w:rsidRPr="00414407">
        <w:rPr>
          <w:rFonts w:ascii="Book Antiqua" w:hAnsi="Book Antiqua"/>
          <w:b/>
          <w:kern w:val="2"/>
          <w:sz w:val="24"/>
          <w:szCs w:val="24"/>
          <w:lang w:val="en-US" w:eastAsia="zh-CN"/>
        </w:rPr>
        <w:t>72</w:t>
      </w:r>
      <w:r w:rsidRPr="00414407">
        <w:rPr>
          <w:rFonts w:ascii="Book Antiqua" w:hAnsi="Book Antiqua"/>
          <w:kern w:val="2"/>
          <w:sz w:val="24"/>
          <w:szCs w:val="24"/>
          <w:lang w:val="en-US" w:eastAsia="zh-CN"/>
        </w:rPr>
        <w:t>: 257-264 [PMID: 11288801 DOI: 10.1902/jop.2001.72.2.257]</w:t>
      </w:r>
    </w:p>
    <w:p w14:paraId="102B54C3"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78 </w:t>
      </w:r>
      <w:r w:rsidRPr="00414407">
        <w:rPr>
          <w:rFonts w:ascii="Book Antiqua" w:hAnsi="Book Antiqua"/>
          <w:b/>
          <w:kern w:val="2"/>
          <w:sz w:val="24"/>
          <w:szCs w:val="24"/>
          <w:lang w:val="en-US" w:eastAsia="zh-CN"/>
        </w:rPr>
        <w:t>Mordenfeld A</w:t>
      </w:r>
      <w:r w:rsidRPr="00414407">
        <w:rPr>
          <w:rFonts w:ascii="Book Antiqua" w:hAnsi="Book Antiqua"/>
          <w:kern w:val="2"/>
          <w:sz w:val="24"/>
          <w:szCs w:val="24"/>
          <w:lang w:val="en-US" w:eastAsia="zh-CN"/>
        </w:rPr>
        <w:t xml:space="preserve">, Hallman M, Johansson CB, Albrektsson T. Histological and histomorphometrical analyses of biopsies harvested 11 years after maxillary sinus floor augmentation with deproteinized bovine and autogenous bone. </w:t>
      </w:r>
      <w:r w:rsidRPr="00414407">
        <w:rPr>
          <w:rFonts w:ascii="Book Antiqua" w:hAnsi="Book Antiqua"/>
          <w:i/>
          <w:kern w:val="2"/>
          <w:sz w:val="24"/>
          <w:szCs w:val="24"/>
          <w:lang w:val="en-US" w:eastAsia="zh-CN"/>
        </w:rPr>
        <w:t>Clin Oral Implants Res</w:t>
      </w:r>
      <w:r w:rsidRPr="00414407">
        <w:rPr>
          <w:rFonts w:ascii="Book Antiqua" w:hAnsi="Book Antiqua"/>
          <w:kern w:val="2"/>
          <w:sz w:val="24"/>
          <w:szCs w:val="24"/>
          <w:lang w:val="en-US" w:eastAsia="zh-CN"/>
        </w:rPr>
        <w:t xml:space="preserve"> 2010; </w:t>
      </w:r>
      <w:r w:rsidRPr="00414407">
        <w:rPr>
          <w:rFonts w:ascii="Book Antiqua" w:hAnsi="Book Antiqua"/>
          <w:b/>
          <w:kern w:val="2"/>
          <w:sz w:val="24"/>
          <w:szCs w:val="24"/>
          <w:lang w:val="en-US" w:eastAsia="zh-CN"/>
        </w:rPr>
        <w:t>21</w:t>
      </w:r>
      <w:r w:rsidRPr="00414407">
        <w:rPr>
          <w:rFonts w:ascii="Book Antiqua" w:hAnsi="Book Antiqua"/>
          <w:kern w:val="2"/>
          <w:sz w:val="24"/>
          <w:szCs w:val="24"/>
          <w:lang w:val="en-US" w:eastAsia="zh-CN"/>
        </w:rPr>
        <w:t>: 961-970 [PMID: 20497443 DOI: 10.1111/j.1600-0501.2010.01939.x]</w:t>
      </w:r>
    </w:p>
    <w:p w14:paraId="695F82B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79 </w:t>
      </w:r>
      <w:r w:rsidRPr="00414407">
        <w:rPr>
          <w:rFonts w:ascii="Book Antiqua" w:hAnsi="Book Antiqua"/>
          <w:b/>
          <w:kern w:val="2"/>
          <w:sz w:val="24"/>
          <w:szCs w:val="24"/>
          <w:lang w:val="en-US" w:eastAsia="zh-CN"/>
        </w:rPr>
        <w:t>Tian T</w:t>
      </w:r>
      <w:r w:rsidRPr="00414407">
        <w:rPr>
          <w:rFonts w:ascii="Book Antiqua" w:hAnsi="Book Antiqua"/>
          <w:kern w:val="2"/>
          <w:sz w:val="24"/>
          <w:szCs w:val="24"/>
          <w:lang w:val="en-US" w:eastAsia="zh-CN"/>
        </w:rPr>
        <w:t xml:space="preserve">, Zhang T, Lin Y, Cai X. Vascularization in Craniofacial Bone Tissue Engineering. </w:t>
      </w:r>
      <w:r w:rsidRPr="00414407">
        <w:rPr>
          <w:rFonts w:ascii="Book Antiqua" w:hAnsi="Book Antiqua"/>
          <w:i/>
          <w:kern w:val="2"/>
          <w:sz w:val="24"/>
          <w:szCs w:val="24"/>
          <w:lang w:val="en-US" w:eastAsia="zh-CN"/>
        </w:rPr>
        <w:t>J Dent Res</w:t>
      </w:r>
      <w:r w:rsidRPr="00414407">
        <w:rPr>
          <w:rFonts w:ascii="Book Antiqua" w:hAnsi="Book Antiqua"/>
          <w:kern w:val="2"/>
          <w:sz w:val="24"/>
          <w:szCs w:val="24"/>
          <w:lang w:val="en-US" w:eastAsia="zh-CN"/>
        </w:rPr>
        <w:t xml:space="preserve"> 2018; </w:t>
      </w:r>
      <w:r w:rsidRPr="00414407">
        <w:rPr>
          <w:rFonts w:ascii="Book Antiqua" w:hAnsi="Book Antiqua"/>
          <w:b/>
          <w:kern w:val="2"/>
          <w:sz w:val="24"/>
          <w:szCs w:val="24"/>
          <w:lang w:val="en-US" w:eastAsia="zh-CN"/>
        </w:rPr>
        <w:t>97</w:t>
      </w:r>
      <w:r w:rsidRPr="00414407">
        <w:rPr>
          <w:rFonts w:ascii="Book Antiqua" w:hAnsi="Book Antiqua"/>
          <w:kern w:val="2"/>
          <w:sz w:val="24"/>
          <w:szCs w:val="24"/>
          <w:lang w:val="en-US" w:eastAsia="zh-CN"/>
        </w:rPr>
        <w:t>: 969-976 [PMID: 29608865 DOI: 10.1177/0022034518767120]</w:t>
      </w:r>
    </w:p>
    <w:p w14:paraId="1027C549"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80 </w:t>
      </w:r>
      <w:r w:rsidRPr="00414407">
        <w:rPr>
          <w:rFonts w:ascii="Book Antiqua" w:hAnsi="Book Antiqua"/>
          <w:b/>
          <w:kern w:val="2"/>
          <w:sz w:val="24"/>
          <w:szCs w:val="24"/>
          <w:lang w:val="en-US" w:eastAsia="zh-CN"/>
        </w:rPr>
        <w:t>Bourin P</w:t>
      </w:r>
      <w:r w:rsidRPr="00414407">
        <w:rPr>
          <w:rFonts w:ascii="Book Antiqua" w:hAnsi="Book Antiqua"/>
          <w:kern w:val="2"/>
          <w:sz w:val="24"/>
          <w:szCs w:val="24"/>
          <w:lang w:val="en-US" w:eastAsia="zh-CN"/>
        </w:rPr>
        <w:t xml:space="preserve">, Bunnell BA, Casteilla L, Dominici M, Katz AJ, March KL, Redl H, Rubin JP, Yoshimura K, Gimble JM. Stromal cells from the adipose tissue-derived stromal vascular fraction and culture expanded adipose tissue-derived stromal/stem cells: a joint statement of the International Federation for Adipose Therapeutics and Science (IFATS) and the International Society for Cellular Therapy (ISCT). </w:t>
      </w:r>
      <w:r w:rsidRPr="00414407">
        <w:rPr>
          <w:rFonts w:ascii="Book Antiqua" w:hAnsi="Book Antiqua"/>
          <w:i/>
          <w:kern w:val="2"/>
          <w:sz w:val="24"/>
          <w:szCs w:val="24"/>
          <w:lang w:val="en-US" w:eastAsia="zh-CN"/>
        </w:rPr>
        <w:t>Cytotherapy</w:t>
      </w:r>
      <w:r w:rsidRPr="00414407">
        <w:rPr>
          <w:rFonts w:ascii="Book Antiqua" w:hAnsi="Book Antiqua"/>
          <w:kern w:val="2"/>
          <w:sz w:val="24"/>
          <w:szCs w:val="24"/>
          <w:lang w:val="en-US" w:eastAsia="zh-CN"/>
        </w:rPr>
        <w:t xml:space="preserve"> 2013; </w:t>
      </w:r>
      <w:r w:rsidRPr="00414407">
        <w:rPr>
          <w:rFonts w:ascii="Book Antiqua" w:hAnsi="Book Antiqua"/>
          <w:b/>
          <w:kern w:val="2"/>
          <w:sz w:val="24"/>
          <w:szCs w:val="24"/>
          <w:lang w:val="en-US" w:eastAsia="zh-CN"/>
        </w:rPr>
        <w:t>15</w:t>
      </w:r>
      <w:r w:rsidRPr="00414407">
        <w:rPr>
          <w:rFonts w:ascii="Book Antiqua" w:hAnsi="Book Antiqua"/>
          <w:kern w:val="2"/>
          <w:sz w:val="24"/>
          <w:szCs w:val="24"/>
          <w:lang w:val="en-US" w:eastAsia="zh-CN"/>
        </w:rPr>
        <w:t xml:space="preserve">: </w:t>
      </w:r>
      <w:r w:rsidRPr="00414407">
        <w:rPr>
          <w:rFonts w:ascii="Book Antiqua" w:hAnsi="Book Antiqua"/>
          <w:kern w:val="2"/>
          <w:sz w:val="24"/>
          <w:szCs w:val="24"/>
          <w:lang w:val="en-US" w:eastAsia="zh-CN"/>
        </w:rPr>
        <w:lastRenderedPageBreak/>
        <w:t>641-648 [PMID: 23570660 DOI: 10.1016/j.jcyt.2013.02.006]</w:t>
      </w:r>
    </w:p>
    <w:p w14:paraId="60C84A93"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81 </w:t>
      </w:r>
      <w:r w:rsidRPr="00414407">
        <w:rPr>
          <w:rFonts w:ascii="Book Antiqua" w:hAnsi="Book Antiqua"/>
          <w:b/>
          <w:kern w:val="2"/>
          <w:sz w:val="24"/>
          <w:szCs w:val="24"/>
          <w:lang w:val="en-US" w:eastAsia="zh-CN"/>
        </w:rPr>
        <w:t>Rezza A</w:t>
      </w:r>
      <w:r w:rsidRPr="00414407">
        <w:rPr>
          <w:rFonts w:ascii="Book Antiqua" w:hAnsi="Book Antiqua"/>
          <w:kern w:val="2"/>
          <w:sz w:val="24"/>
          <w:szCs w:val="24"/>
          <w:lang w:val="en-US" w:eastAsia="zh-CN"/>
        </w:rPr>
        <w:t xml:space="preserve">, Sennett R, Rendl M. Adult stem cell niches: cellular and molecular components. </w:t>
      </w:r>
      <w:r w:rsidRPr="00414407">
        <w:rPr>
          <w:rFonts w:ascii="Book Antiqua" w:hAnsi="Book Antiqua"/>
          <w:i/>
          <w:kern w:val="2"/>
          <w:sz w:val="24"/>
          <w:szCs w:val="24"/>
          <w:lang w:val="en-US" w:eastAsia="zh-CN"/>
        </w:rPr>
        <w:t>Curr Top Dev Biol</w:t>
      </w:r>
      <w:r w:rsidRPr="00414407">
        <w:rPr>
          <w:rFonts w:ascii="Book Antiqua" w:hAnsi="Book Antiqua"/>
          <w:kern w:val="2"/>
          <w:sz w:val="24"/>
          <w:szCs w:val="24"/>
          <w:lang w:val="en-US" w:eastAsia="zh-CN"/>
        </w:rPr>
        <w:t xml:space="preserve"> 2014; </w:t>
      </w:r>
      <w:r w:rsidRPr="00414407">
        <w:rPr>
          <w:rFonts w:ascii="Book Antiqua" w:hAnsi="Book Antiqua"/>
          <w:b/>
          <w:kern w:val="2"/>
          <w:sz w:val="24"/>
          <w:szCs w:val="24"/>
          <w:lang w:val="en-US" w:eastAsia="zh-CN"/>
        </w:rPr>
        <w:t>107</w:t>
      </w:r>
      <w:r w:rsidRPr="00414407">
        <w:rPr>
          <w:rFonts w:ascii="Book Antiqua" w:hAnsi="Book Antiqua"/>
          <w:kern w:val="2"/>
          <w:sz w:val="24"/>
          <w:szCs w:val="24"/>
          <w:lang w:val="en-US" w:eastAsia="zh-CN"/>
        </w:rPr>
        <w:t>: 333-372 [PMID: 24439812 DOI: 10.1016/B978-0-12-416022-4.00012-3]</w:t>
      </w:r>
    </w:p>
    <w:p w14:paraId="7EE1C70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82 </w:t>
      </w:r>
      <w:r w:rsidRPr="00414407">
        <w:rPr>
          <w:rFonts w:ascii="Book Antiqua" w:hAnsi="Book Antiqua"/>
          <w:b/>
          <w:kern w:val="2"/>
          <w:sz w:val="24"/>
          <w:szCs w:val="24"/>
          <w:lang w:val="en-US" w:eastAsia="zh-CN"/>
        </w:rPr>
        <w:t>Dong L</w:t>
      </w:r>
      <w:r w:rsidRPr="00414407">
        <w:rPr>
          <w:rFonts w:ascii="Book Antiqua" w:hAnsi="Book Antiqua"/>
          <w:kern w:val="2"/>
          <w:sz w:val="24"/>
          <w:szCs w:val="24"/>
          <w:lang w:val="en-US" w:eastAsia="zh-CN"/>
        </w:rPr>
        <w:t xml:space="preserve">, Hao H, Han W, Fu X. The role of the microenvironment on the fate of adult stem cells. </w:t>
      </w:r>
      <w:r w:rsidRPr="00414407">
        <w:rPr>
          <w:rFonts w:ascii="Book Antiqua" w:hAnsi="Book Antiqua"/>
          <w:i/>
          <w:kern w:val="2"/>
          <w:sz w:val="24"/>
          <w:szCs w:val="24"/>
          <w:lang w:val="en-US" w:eastAsia="zh-CN"/>
        </w:rPr>
        <w:t>Sci China Life Sci</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58</w:t>
      </w:r>
      <w:r w:rsidRPr="00414407">
        <w:rPr>
          <w:rFonts w:ascii="Book Antiqua" w:hAnsi="Book Antiqua"/>
          <w:kern w:val="2"/>
          <w:sz w:val="24"/>
          <w:szCs w:val="24"/>
          <w:lang w:val="en-US" w:eastAsia="zh-CN"/>
        </w:rPr>
        <w:t>: 639-648 [PMID: 25985755 DOI: 10.1007/s11427-015-4865-9]</w:t>
      </w:r>
    </w:p>
    <w:p w14:paraId="369E8C9A"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83 </w:t>
      </w:r>
      <w:r w:rsidRPr="00414407">
        <w:rPr>
          <w:rFonts w:ascii="Book Antiqua" w:hAnsi="Book Antiqua"/>
          <w:b/>
          <w:kern w:val="2"/>
          <w:sz w:val="24"/>
          <w:szCs w:val="24"/>
          <w:lang w:val="en-US" w:eastAsia="zh-CN"/>
        </w:rPr>
        <w:t>Wabik A</w:t>
      </w:r>
      <w:r w:rsidRPr="00414407">
        <w:rPr>
          <w:rFonts w:ascii="Book Antiqua" w:hAnsi="Book Antiqua"/>
          <w:kern w:val="2"/>
          <w:sz w:val="24"/>
          <w:szCs w:val="24"/>
          <w:lang w:val="en-US" w:eastAsia="zh-CN"/>
        </w:rPr>
        <w:t xml:space="preserve">, Jones PH. Switching roles: the functional plasticity of adult tissue stem cells. </w:t>
      </w:r>
      <w:r w:rsidRPr="00414407">
        <w:rPr>
          <w:rFonts w:ascii="Book Antiqua" w:hAnsi="Book Antiqua"/>
          <w:i/>
          <w:kern w:val="2"/>
          <w:sz w:val="24"/>
          <w:szCs w:val="24"/>
          <w:lang w:val="en-US" w:eastAsia="zh-CN"/>
        </w:rPr>
        <w:t>EMBO J</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34</w:t>
      </w:r>
      <w:r w:rsidRPr="00414407">
        <w:rPr>
          <w:rFonts w:ascii="Book Antiqua" w:hAnsi="Book Antiqua"/>
          <w:kern w:val="2"/>
          <w:sz w:val="24"/>
          <w:szCs w:val="24"/>
          <w:lang w:val="en-US" w:eastAsia="zh-CN"/>
        </w:rPr>
        <w:t>: 1164-1179 [PMID: 25812989 DOI: 10.15252/embj.201490386]</w:t>
      </w:r>
    </w:p>
    <w:p w14:paraId="7B84B70D"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84 </w:t>
      </w:r>
      <w:r w:rsidRPr="00414407">
        <w:rPr>
          <w:rFonts w:ascii="Book Antiqua" w:hAnsi="Book Antiqua"/>
          <w:b/>
          <w:kern w:val="2"/>
          <w:sz w:val="24"/>
          <w:szCs w:val="24"/>
          <w:lang w:val="en-US" w:eastAsia="zh-CN"/>
        </w:rPr>
        <w:t>Trosko JE</w:t>
      </w:r>
      <w:r w:rsidRPr="00414407">
        <w:rPr>
          <w:rFonts w:ascii="Book Antiqua" w:hAnsi="Book Antiqua"/>
          <w:kern w:val="2"/>
          <w:sz w:val="24"/>
          <w:szCs w:val="24"/>
          <w:lang w:val="en-US" w:eastAsia="zh-CN"/>
        </w:rPr>
        <w:t xml:space="preserve">. Induction of iPS cells and of cancer stem cells: the stem cell or reprogramming hypothesis of cancer? </w:t>
      </w:r>
      <w:r w:rsidRPr="00414407">
        <w:rPr>
          <w:rFonts w:ascii="Book Antiqua" w:hAnsi="Book Antiqua"/>
          <w:i/>
          <w:kern w:val="2"/>
          <w:sz w:val="24"/>
          <w:szCs w:val="24"/>
          <w:lang w:val="en-US" w:eastAsia="zh-CN"/>
        </w:rPr>
        <w:t>Anat Rec (Hoboken)</w:t>
      </w:r>
      <w:r w:rsidRPr="00414407">
        <w:rPr>
          <w:rFonts w:ascii="Book Antiqua" w:hAnsi="Book Antiqua"/>
          <w:kern w:val="2"/>
          <w:sz w:val="24"/>
          <w:szCs w:val="24"/>
          <w:lang w:val="en-US" w:eastAsia="zh-CN"/>
        </w:rPr>
        <w:t xml:space="preserve"> 2014; </w:t>
      </w:r>
      <w:r w:rsidRPr="00414407">
        <w:rPr>
          <w:rFonts w:ascii="Book Antiqua" w:hAnsi="Book Antiqua"/>
          <w:b/>
          <w:kern w:val="2"/>
          <w:sz w:val="24"/>
          <w:szCs w:val="24"/>
          <w:lang w:val="en-US" w:eastAsia="zh-CN"/>
        </w:rPr>
        <w:t>297</w:t>
      </w:r>
      <w:r w:rsidRPr="00414407">
        <w:rPr>
          <w:rFonts w:ascii="Book Antiqua" w:hAnsi="Book Antiqua"/>
          <w:kern w:val="2"/>
          <w:sz w:val="24"/>
          <w:szCs w:val="24"/>
          <w:lang w:val="en-US" w:eastAsia="zh-CN"/>
        </w:rPr>
        <w:t>: 161-173 [PMID: 24293264 DOI: 10.1002/ar.22793]</w:t>
      </w:r>
    </w:p>
    <w:p w14:paraId="2D6F5606"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85 </w:t>
      </w:r>
      <w:r w:rsidRPr="00414407">
        <w:rPr>
          <w:rFonts w:ascii="Book Antiqua" w:hAnsi="Book Antiqua"/>
          <w:b/>
          <w:kern w:val="2"/>
          <w:sz w:val="24"/>
          <w:szCs w:val="24"/>
          <w:lang w:val="en-US" w:eastAsia="zh-CN"/>
        </w:rPr>
        <w:t>Zhang B</w:t>
      </w:r>
      <w:r w:rsidRPr="00414407">
        <w:rPr>
          <w:rFonts w:ascii="Book Antiqua" w:hAnsi="Book Antiqua"/>
          <w:kern w:val="2"/>
          <w:sz w:val="24"/>
          <w:szCs w:val="24"/>
          <w:lang w:val="en-US" w:eastAsia="zh-CN"/>
        </w:rPr>
        <w:t xml:space="preserve">, Wang M, Gong A, Zhang X, Wu X, Zhu Y, Shi H, Wu L, Zhu W, Qian H, Xu W. HucMSC-Exosome Mediated-Wnt4 Signaling Is Required for Cutaneous Wound Healing. </w:t>
      </w:r>
      <w:r w:rsidRPr="00414407">
        <w:rPr>
          <w:rFonts w:ascii="Book Antiqua" w:hAnsi="Book Antiqua"/>
          <w:i/>
          <w:kern w:val="2"/>
          <w:sz w:val="24"/>
          <w:szCs w:val="24"/>
          <w:lang w:val="en-US" w:eastAsia="zh-CN"/>
        </w:rPr>
        <w:t>Stem Cells</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33</w:t>
      </w:r>
      <w:r w:rsidRPr="00414407">
        <w:rPr>
          <w:rFonts w:ascii="Book Antiqua" w:hAnsi="Book Antiqua"/>
          <w:kern w:val="2"/>
          <w:sz w:val="24"/>
          <w:szCs w:val="24"/>
          <w:lang w:val="en-US" w:eastAsia="zh-CN"/>
        </w:rPr>
        <w:t>: 2158-2168 [PMID: 24964196 DOI: 10.1002/stem.1771]</w:t>
      </w:r>
    </w:p>
    <w:p w14:paraId="2343F807"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86 </w:t>
      </w:r>
      <w:r w:rsidRPr="00414407">
        <w:rPr>
          <w:rFonts w:ascii="Book Antiqua" w:hAnsi="Book Antiqua"/>
          <w:b/>
          <w:kern w:val="2"/>
          <w:sz w:val="24"/>
          <w:szCs w:val="24"/>
          <w:lang w:val="en-US" w:eastAsia="zh-CN"/>
        </w:rPr>
        <w:t>Phinney DG</w:t>
      </w:r>
      <w:r w:rsidRPr="00414407">
        <w:rPr>
          <w:rFonts w:ascii="Book Antiqua" w:hAnsi="Book Antiqua"/>
          <w:kern w:val="2"/>
          <w:sz w:val="24"/>
          <w:szCs w:val="24"/>
          <w:lang w:val="en-US" w:eastAsia="zh-CN"/>
        </w:rPr>
        <w:t xml:space="preserve">, Prockop DJ. Concise review: mesenchymal stem/multipotent stromal cells: the state of transdifferentiation and modes of tissue repair--current views. </w:t>
      </w:r>
      <w:r w:rsidRPr="00414407">
        <w:rPr>
          <w:rFonts w:ascii="Book Antiqua" w:hAnsi="Book Antiqua"/>
          <w:i/>
          <w:kern w:val="2"/>
          <w:sz w:val="24"/>
          <w:szCs w:val="24"/>
          <w:lang w:val="en-US" w:eastAsia="zh-CN"/>
        </w:rPr>
        <w:t>Stem Cells</w:t>
      </w:r>
      <w:r w:rsidRPr="00414407">
        <w:rPr>
          <w:rFonts w:ascii="Book Antiqua" w:hAnsi="Book Antiqua"/>
          <w:kern w:val="2"/>
          <w:sz w:val="24"/>
          <w:szCs w:val="24"/>
          <w:lang w:val="en-US" w:eastAsia="zh-CN"/>
        </w:rPr>
        <w:t xml:space="preserve"> 2007; </w:t>
      </w:r>
      <w:r w:rsidRPr="00414407">
        <w:rPr>
          <w:rFonts w:ascii="Book Antiqua" w:hAnsi="Book Antiqua"/>
          <w:b/>
          <w:kern w:val="2"/>
          <w:sz w:val="24"/>
          <w:szCs w:val="24"/>
          <w:lang w:val="en-US" w:eastAsia="zh-CN"/>
        </w:rPr>
        <w:t>25</w:t>
      </w:r>
      <w:r w:rsidRPr="00414407">
        <w:rPr>
          <w:rFonts w:ascii="Book Antiqua" w:hAnsi="Book Antiqua"/>
          <w:kern w:val="2"/>
          <w:sz w:val="24"/>
          <w:szCs w:val="24"/>
          <w:lang w:val="en-US" w:eastAsia="zh-CN"/>
        </w:rPr>
        <w:t>: 2896-2902 [PMID: 17901396 DOI: 10.1634/stemcells.2007-0637]</w:t>
      </w:r>
    </w:p>
    <w:p w14:paraId="018EE1D7"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87 </w:t>
      </w:r>
      <w:r w:rsidRPr="00414407">
        <w:rPr>
          <w:rFonts w:ascii="Book Antiqua" w:hAnsi="Book Antiqua"/>
          <w:b/>
          <w:kern w:val="2"/>
          <w:sz w:val="24"/>
          <w:szCs w:val="24"/>
          <w:lang w:val="en-US" w:eastAsia="zh-CN"/>
        </w:rPr>
        <w:t>Kara RJ</w:t>
      </w:r>
      <w:r w:rsidRPr="00414407">
        <w:rPr>
          <w:rFonts w:ascii="Book Antiqua" w:hAnsi="Book Antiqua"/>
          <w:kern w:val="2"/>
          <w:sz w:val="24"/>
          <w:szCs w:val="24"/>
          <w:lang w:val="en-US" w:eastAsia="zh-CN"/>
        </w:rPr>
        <w:t xml:space="preserve">, Bolli P, Karakikes I, Matsunaga I, Tripodi J, Tanweer O, Altman P, Shachter NS, Nakano A, Najfeld V, Chaudhry HW. Fetal cells traffic to injured maternal myocardium and undergo cardiac differentiation. </w:t>
      </w:r>
      <w:r w:rsidRPr="00414407">
        <w:rPr>
          <w:rFonts w:ascii="Book Antiqua" w:hAnsi="Book Antiqua"/>
          <w:i/>
          <w:kern w:val="2"/>
          <w:sz w:val="24"/>
          <w:szCs w:val="24"/>
          <w:lang w:val="en-US" w:eastAsia="zh-CN"/>
        </w:rPr>
        <w:t>Circ Res</w:t>
      </w:r>
      <w:r w:rsidRPr="00414407">
        <w:rPr>
          <w:rFonts w:ascii="Book Antiqua" w:hAnsi="Book Antiqua"/>
          <w:kern w:val="2"/>
          <w:sz w:val="24"/>
          <w:szCs w:val="24"/>
          <w:lang w:val="en-US" w:eastAsia="zh-CN"/>
        </w:rPr>
        <w:t xml:space="preserve"> 2012; </w:t>
      </w:r>
      <w:r w:rsidRPr="00414407">
        <w:rPr>
          <w:rFonts w:ascii="Book Antiqua" w:hAnsi="Book Antiqua"/>
          <w:b/>
          <w:kern w:val="2"/>
          <w:sz w:val="24"/>
          <w:szCs w:val="24"/>
          <w:lang w:val="en-US" w:eastAsia="zh-CN"/>
        </w:rPr>
        <w:t>110</w:t>
      </w:r>
      <w:r w:rsidRPr="00414407">
        <w:rPr>
          <w:rFonts w:ascii="Book Antiqua" w:hAnsi="Book Antiqua"/>
          <w:kern w:val="2"/>
          <w:sz w:val="24"/>
          <w:szCs w:val="24"/>
          <w:lang w:val="en-US" w:eastAsia="zh-CN"/>
        </w:rPr>
        <w:t>: 82-93 [PMID: 22082491 DOI: 10.1161/CIRCRESAHA.111.249037]</w:t>
      </w:r>
    </w:p>
    <w:p w14:paraId="617A988B"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88 </w:t>
      </w:r>
      <w:r w:rsidRPr="00414407">
        <w:rPr>
          <w:rFonts w:ascii="Book Antiqua" w:hAnsi="Book Antiqua"/>
          <w:b/>
          <w:kern w:val="2"/>
          <w:sz w:val="24"/>
          <w:szCs w:val="24"/>
          <w:lang w:val="en-US" w:eastAsia="zh-CN"/>
        </w:rPr>
        <w:t>Malliaras K</w:t>
      </w:r>
      <w:r w:rsidRPr="00414407">
        <w:rPr>
          <w:rFonts w:ascii="Book Antiqua" w:hAnsi="Book Antiqua"/>
          <w:kern w:val="2"/>
          <w:sz w:val="24"/>
          <w:szCs w:val="24"/>
          <w:lang w:val="en-US" w:eastAsia="zh-CN"/>
        </w:rPr>
        <w:t xml:space="preserve">, Zhang Y, Seinfeld J, Galang G, Tseliou E, Cheng K, Sun B, Aminzadeh M, Marbán E. Cardiomyocyte proliferation and progenitor cell recruitment underlie therapeutic regeneration after myocardial infarction in the adult mouse heart. </w:t>
      </w:r>
      <w:r w:rsidRPr="00414407">
        <w:rPr>
          <w:rFonts w:ascii="Book Antiqua" w:hAnsi="Book Antiqua"/>
          <w:i/>
          <w:kern w:val="2"/>
          <w:sz w:val="24"/>
          <w:szCs w:val="24"/>
          <w:lang w:val="en-US" w:eastAsia="zh-CN"/>
        </w:rPr>
        <w:t>EMBO Mol Med</w:t>
      </w:r>
      <w:r w:rsidRPr="00414407">
        <w:rPr>
          <w:rFonts w:ascii="Book Antiqua" w:hAnsi="Book Antiqua"/>
          <w:kern w:val="2"/>
          <w:sz w:val="24"/>
          <w:szCs w:val="24"/>
          <w:lang w:val="en-US" w:eastAsia="zh-CN"/>
        </w:rPr>
        <w:t xml:space="preserve"> 2013; </w:t>
      </w:r>
      <w:r w:rsidRPr="00414407">
        <w:rPr>
          <w:rFonts w:ascii="Book Antiqua" w:hAnsi="Book Antiqua"/>
          <w:b/>
          <w:kern w:val="2"/>
          <w:sz w:val="24"/>
          <w:szCs w:val="24"/>
          <w:lang w:val="en-US" w:eastAsia="zh-CN"/>
        </w:rPr>
        <w:t>5</w:t>
      </w:r>
      <w:r w:rsidRPr="00414407">
        <w:rPr>
          <w:rFonts w:ascii="Book Antiqua" w:hAnsi="Book Antiqua"/>
          <w:kern w:val="2"/>
          <w:sz w:val="24"/>
          <w:szCs w:val="24"/>
          <w:lang w:val="en-US" w:eastAsia="zh-CN"/>
        </w:rPr>
        <w:t>: 191-209 [PMID: 23255322 DOI: 10.1002/emmm.201201737]</w:t>
      </w:r>
    </w:p>
    <w:p w14:paraId="373B097A"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89 </w:t>
      </w:r>
      <w:r w:rsidRPr="00414407">
        <w:rPr>
          <w:rFonts w:ascii="Book Antiqua" w:hAnsi="Book Antiqua"/>
          <w:b/>
          <w:kern w:val="2"/>
          <w:sz w:val="24"/>
          <w:szCs w:val="24"/>
          <w:lang w:val="en-US" w:eastAsia="zh-CN"/>
        </w:rPr>
        <w:t>Ra JC</w:t>
      </w:r>
      <w:r w:rsidRPr="00414407">
        <w:rPr>
          <w:rFonts w:ascii="Book Antiqua" w:hAnsi="Book Antiqua"/>
          <w:kern w:val="2"/>
          <w:sz w:val="24"/>
          <w:szCs w:val="24"/>
          <w:lang w:val="en-US" w:eastAsia="zh-CN"/>
        </w:rPr>
        <w:t xml:space="preserve">, Shin IS, Kim SH, Kang SK, Kang BC, Lee HY, Kim YJ, Jo JY, Yoon EJ, Choi HJ, Kwon E. Safety of intravenous infusion of human adipose tissue-derived mesenchymal stem cells in animals and humans. </w:t>
      </w:r>
      <w:r w:rsidRPr="00414407">
        <w:rPr>
          <w:rFonts w:ascii="Book Antiqua" w:hAnsi="Book Antiqua"/>
          <w:i/>
          <w:kern w:val="2"/>
          <w:sz w:val="24"/>
          <w:szCs w:val="24"/>
          <w:lang w:val="en-US" w:eastAsia="zh-CN"/>
        </w:rPr>
        <w:t>Stem Cells Dev</w:t>
      </w:r>
      <w:r w:rsidRPr="00414407">
        <w:rPr>
          <w:rFonts w:ascii="Book Antiqua" w:hAnsi="Book Antiqua"/>
          <w:kern w:val="2"/>
          <w:sz w:val="24"/>
          <w:szCs w:val="24"/>
          <w:lang w:val="en-US" w:eastAsia="zh-CN"/>
        </w:rPr>
        <w:t xml:space="preserve"> 2011; </w:t>
      </w:r>
      <w:r w:rsidRPr="00414407">
        <w:rPr>
          <w:rFonts w:ascii="Book Antiqua" w:hAnsi="Book Antiqua"/>
          <w:b/>
          <w:kern w:val="2"/>
          <w:sz w:val="24"/>
          <w:szCs w:val="24"/>
          <w:lang w:val="en-US" w:eastAsia="zh-CN"/>
        </w:rPr>
        <w:t>20</w:t>
      </w:r>
      <w:r w:rsidRPr="00414407">
        <w:rPr>
          <w:rFonts w:ascii="Book Antiqua" w:hAnsi="Book Antiqua"/>
          <w:kern w:val="2"/>
          <w:sz w:val="24"/>
          <w:szCs w:val="24"/>
          <w:lang w:val="en-US" w:eastAsia="zh-CN"/>
        </w:rPr>
        <w:t>: 1297-1308 [PMID: 21303266 DOI: 10.1089/scd.2010.0466]</w:t>
      </w:r>
    </w:p>
    <w:p w14:paraId="6EE771B9"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lastRenderedPageBreak/>
        <w:t xml:space="preserve">90 </w:t>
      </w:r>
      <w:r w:rsidRPr="00414407">
        <w:rPr>
          <w:rFonts w:ascii="Book Antiqua" w:hAnsi="Book Antiqua"/>
          <w:b/>
          <w:kern w:val="2"/>
          <w:sz w:val="24"/>
          <w:szCs w:val="24"/>
          <w:lang w:val="en-US" w:eastAsia="zh-CN"/>
        </w:rPr>
        <w:t>Hoffman AM</w:t>
      </w:r>
      <w:r w:rsidRPr="00414407">
        <w:rPr>
          <w:rFonts w:ascii="Book Antiqua" w:hAnsi="Book Antiqua"/>
          <w:kern w:val="2"/>
          <w:sz w:val="24"/>
          <w:szCs w:val="24"/>
          <w:lang w:val="en-US" w:eastAsia="zh-CN"/>
        </w:rPr>
        <w:t xml:space="preserve">, Dow SW. Concise Review: Stem Cell Trials Using Companion Animal Disease Models. </w:t>
      </w:r>
      <w:r w:rsidRPr="00414407">
        <w:rPr>
          <w:rFonts w:ascii="Book Antiqua" w:hAnsi="Book Antiqua"/>
          <w:i/>
          <w:kern w:val="2"/>
          <w:sz w:val="24"/>
          <w:szCs w:val="24"/>
          <w:lang w:val="en-US" w:eastAsia="zh-CN"/>
        </w:rPr>
        <w:t>Stem Cells</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34</w:t>
      </w:r>
      <w:r w:rsidRPr="00414407">
        <w:rPr>
          <w:rFonts w:ascii="Book Antiqua" w:hAnsi="Book Antiqua"/>
          <w:kern w:val="2"/>
          <w:sz w:val="24"/>
          <w:szCs w:val="24"/>
          <w:lang w:val="en-US" w:eastAsia="zh-CN"/>
        </w:rPr>
        <w:t>: 1709-1729 [PMID: 27066769 DOI: 10.1002/stem.2377]</w:t>
      </w:r>
    </w:p>
    <w:p w14:paraId="4002AF55"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91 </w:t>
      </w:r>
      <w:r w:rsidRPr="00414407">
        <w:rPr>
          <w:rFonts w:ascii="Book Antiqua" w:hAnsi="Book Antiqua"/>
          <w:b/>
          <w:kern w:val="2"/>
          <w:sz w:val="24"/>
          <w:szCs w:val="24"/>
          <w:lang w:val="en-US" w:eastAsia="zh-CN"/>
        </w:rPr>
        <w:t>Toyserkani NM</w:t>
      </w:r>
      <w:r w:rsidRPr="00414407">
        <w:rPr>
          <w:rFonts w:ascii="Book Antiqua" w:hAnsi="Book Antiqua"/>
          <w:kern w:val="2"/>
          <w:sz w:val="24"/>
          <w:szCs w:val="24"/>
          <w:lang w:val="en-US" w:eastAsia="zh-CN"/>
        </w:rPr>
        <w:t xml:space="preserve">, Jørgensen MG, Tabatabaeifar S, Jensen CH, Sheikh SP, Sørensen JA. Concise Review: A Safety Assessment of Adipose-Derived Cell Therapy in Clinical Trials: A Systematic Review of Reported Adverse Events. </w:t>
      </w:r>
      <w:r w:rsidRPr="00414407">
        <w:rPr>
          <w:rFonts w:ascii="Book Antiqua" w:hAnsi="Book Antiqua"/>
          <w:i/>
          <w:kern w:val="2"/>
          <w:sz w:val="24"/>
          <w:szCs w:val="24"/>
          <w:lang w:val="en-US" w:eastAsia="zh-CN"/>
        </w:rPr>
        <w:t>Stem Cells Transl Med</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6</w:t>
      </w:r>
      <w:r w:rsidRPr="00414407">
        <w:rPr>
          <w:rFonts w:ascii="Book Antiqua" w:hAnsi="Book Antiqua"/>
          <w:kern w:val="2"/>
          <w:sz w:val="24"/>
          <w:szCs w:val="24"/>
          <w:lang w:val="en-US" w:eastAsia="zh-CN"/>
        </w:rPr>
        <w:t>: 1786-1794 [PMID: 28722289 DOI: 10.1002/sctm.17-0031]</w:t>
      </w:r>
    </w:p>
    <w:p w14:paraId="420D23B9"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92 </w:t>
      </w:r>
      <w:r w:rsidRPr="00414407">
        <w:rPr>
          <w:rFonts w:ascii="Book Antiqua" w:hAnsi="Book Antiqua"/>
          <w:b/>
          <w:kern w:val="2"/>
          <w:sz w:val="24"/>
          <w:szCs w:val="24"/>
          <w:lang w:val="en-US" w:eastAsia="zh-CN"/>
        </w:rPr>
        <w:t>Røsland GV</w:t>
      </w:r>
      <w:r w:rsidRPr="00414407">
        <w:rPr>
          <w:rFonts w:ascii="Book Antiqua" w:hAnsi="Book Antiqua"/>
          <w:kern w:val="2"/>
          <w:sz w:val="24"/>
          <w:szCs w:val="24"/>
          <w:lang w:val="en-US" w:eastAsia="zh-CN"/>
        </w:rPr>
        <w:t xml:space="preserve">, Svendsen A, Torsvik A, Sobala E, McCormack E, Immervoll H, Mysliwietz J, Tonn JC, Goldbrunner R, Lønning PE, Bjerkvig R, Schichor C. Long-term cultures of bone marrow-derived human mesenchymal stem cells frequently undergo spontaneous malignant transformation. </w:t>
      </w:r>
      <w:r w:rsidRPr="00414407">
        <w:rPr>
          <w:rFonts w:ascii="Book Antiqua" w:hAnsi="Book Antiqua"/>
          <w:i/>
          <w:kern w:val="2"/>
          <w:sz w:val="24"/>
          <w:szCs w:val="24"/>
          <w:lang w:val="en-US" w:eastAsia="zh-CN"/>
        </w:rPr>
        <w:t>Cancer Res</w:t>
      </w:r>
      <w:r w:rsidRPr="00414407">
        <w:rPr>
          <w:rFonts w:ascii="Book Antiqua" w:hAnsi="Book Antiqua"/>
          <w:kern w:val="2"/>
          <w:sz w:val="24"/>
          <w:szCs w:val="24"/>
          <w:lang w:val="en-US" w:eastAsia="zh-CN"/>
        </w:rPr>
        <w:t xml:space="preserve"> 2009; </w:t>
      </w:r>
      <w:r w:rsidRPr="00414407">
        <w:rPr>
          <w:rFonts w:ascii="Book Antiqua" w:hAnsi="Book Antiqua"/>
          <w:b/>
          <w:kern w:val="2"/>
          <w:sz w:val="24"/>
          <w:szCs w:val="24"/>
          <w:lang w:val="en-US" w:eastAsia="zh-CN"/>
        </w:rPr>
        <w:t>69</w:t>
      </w:r>
      <w:r w:rsidRPr="00414407">
        <w:rPr>
          <w:rFonts w:ascii="Book Antiqua" w:hAnsi="Book Antiqua"/>
          <w:kern w:val="2"/>
          <w:sz w:val="24"/>
          <w:szCs w:val="24"/>
          <w:lang w:val="en-US" w:eastAsia="zh-CN"/>
        </w:rPr>
        <w:t>: 5331-5339 [PMID: 19509230 DOI: 10.1158/0008-5472.CAN-08-4630]</w:t>
      </w:r>
    </w:p>
    <w:p w14:paraId="0D2053DD"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bookmarkStart w:id="182" w:name="OLE_LINK165"/>
      <w:bookmarkStart w:id="183" w:name="OLE_LINK166"/>
      <w:r w:rsidRPr="00414407">
        <w:rPr>
          <w:rFonts w:ascii="Book Antiqua" w:hAnsi="Book Antiqua"/>
          <w:kern w:val="2"/>
          <w:sz w:val="24"/>
          <w:szCs w:val="24"/>
          <w:lang w:val="en-US" w:eastAsia="zh-CN"/>
        </w:rPr>
        <w:t xml:space="preserve">93 </w:t>
      </w:r>
      <w:bookmarkEnd w:id="182"/>
      <w:bookmarkEnd w:id="183"/>
      <w:r w:rsidRPr="00414407">
        <w:rPr>
          <w:rFonts w:ascii="Book Antiqua" w:hAnsi="Book Antiqua"/>
          <w:b/>
          <w:bCs/>
          <w:kern w:val="2"/>
          <w:sz w:val="24"/>
          <w:szCs w:val="24"/>
          <w:lang w:val="en-US" w:eastAsia="zh-CN"/>
        </w:rPr>
        <w:t>Xu S</w:t>
      </w:r>
      <w:r w:rsidRPr="00414407">
        <w:rPr>
          <w:rFonts w:ascii="Book Antiqua" w:hAnsi="Book Antiqua"/>
          <w:kern w:val="2"/>
          <w:sz w:val="24"/>
          <w:szCs w:val="24"/>
          <w:lang w:val="en-US" w:eastAsia="zh-CN"/>
        </w:rPr>
        <w:t xml:space="preserve">, De Becker A, De Raeve H, Van Camp B, Vanderkerken K, Van Riet I. In vitro expanded bone marrow-derived murine (C57Bl/KaLwRij) mesenchymal stem cells can acquire CD34 expression and induce sarcoma formation in vivo. </w:t>
      </w:r>
      <w:r w:rsidRPr="00414407">
        <w:rPr>
          <w:rFonts w:ascii="Book Antiqua" w:hAnsi="Book Antiqua"/>
          <w:i/>
          <w:iCs/>
          <w:kern w:val="2"/>
          <w:sz w:val="24"/>
          <w:szCs w:val="24"/>
          <w:lang w:val="en-US" w:eastAsia="zh-CN"/>
        </w:rPr>
        <w:t>Biochem Biophys Res Commun</w:t>
      </w:r>
      <w:r w:rsidRPr="00414407">
        <w:rPr>
          <w:rFonts w:ascii="Book Antiqua" w:hAnsi="Book Antiqua"/>
          <w:kern w:val="2"/>
          <w:sz w:val="24"/>
          <w:szCs w:val="24"/>
          <w:lang w:val="en-US" w:eastAsia="zh-CN"/>
        </w:rPr>
        <w:t xml:space="preserve"> 2012; </w:t>
      </w:r>
      <w:r w:rsidRPr="00414407">
        <w:rPr>
          <w:rFonts w:ascii="Book Antiqua" w:hAnsi="Book Antiqua"/>
          <w:b/>
          <w:bCs/>
          <w:kern w:val="2"/>
          <w:sz w:val="24"/>
          <w:szCs w:val="24"/>
          <w:lang w:val="en-US" w:eastAsia="zh-CN"/>
        </w:rPr>
        <w:t>424</w:t>
      </w:r>
      <w:r w:rsidRPr="00414407">
        <w:rPr>
          <w:rFonts w:ascii="Book Antiqua" w:hAnsi="Book Antiqua"/>
          <w:kern w:val="2"/>
          <w:sz w:val="24"/>
          <w:szCs w:val="24"/>
          <w:lang w:val="en-US" w:eastAsia="zh-CN"/>
        </w:rPr>
        <w:t>: 391-397 [PMID: 22771324 DOI: 10.1016/j.bbrc.2012.06.118]</w:t>
      </w:r>
    </w:p>
    <w:p w14:paraId="2C3E0F17"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94 </w:t>
      </w:r>
      <w:r w:rsidRPr="00414407">
        <w:rPr>
          <w:rFonts w:ascii="Book Antiqua" w:hAnsi="Book Antiqua"/>
          <w:b/>
          <w:kern w:val="2"/>
          <w:sz w:val="24"/>
          <w:szCs w:val="24"/>
          <w:lang w:val="en-US" w:eastAsia="zh-CN"/>
        </w:rPr>
        <w:t>Pan Q</w:t>
      </w:r>
      <w:r w:rsidRPr="00414407">
        <w:rPr>
          <w:rFonts w:ascii="Book Antiqua" w:hAnsi="Book Antiqua"/>
          <w:kern w:val="2"/>
          <w:sz w:val="24"/>
          <w:szCs w:val="24"/>
          <w:lang w:val="en-US" w:eastAsia="zh-CN"/>
        </w:rPr>
        <w:t xml:space="preserve">, Fouraschen SM, de Ruiter PE, Dinjens WN, Kwekkeboom J, Tilanus HW, van der Laan LJ. Detection of spontaneous tumorigenic transformation during culture expansion of human mesenchymal stromal cells. </w:t>
      </w:r>
      <w:r w:rsidRPr="00414407">
        <w:rPr>
          <w:rFonts w:ascii="Book Antiqua" w:hAnsi="Book Antiqua"/>
          <w:i/>
          <w:kern w:val="2"/>
          <w:sz w:val="24"/>
          <w:szCs w:val="24"/>
          <w:lang w:val="en-US" w:eastAsia="zh-CN"/>
        </w:rPr>
        <w:t xml:space="preserve">Exp Biol Med </w:t>
      </w:r>
      <w:r w:rsidRPr="00414407">
        <w:rPr>
          <w:rFonts w:ascii="Book Antiqua" w:hAnsi="Book Antiqua"/>
          <w:kern w:val="2"/>
          <w:sz w:val="24"/>
          <w:szCs w:val="24"/>
          <w:lang w:val="en-US" w:eastAsia="zh-CN"/>
        </w:rPr>
        <w:t xml:space="preserve">(Maywood) 2014; </w:t>
      </w:r>
      <w:r w:rsidRPr="00414407">
        <w:rPr>
          <w:rFonts w:ascii="Book Antiqua" w:hAnsi="Book Antiqua"/>
          <w:b/>
          <w:kern w:val="2"/>
          <w:sz w:val="24"/>
          <w:szCs w:val="24"/>
          <w:lang w:val="en-US" w:eastAsia="zh-CN"/>
        </w:rPr>
        <w:t>239</w:t>
      </w:r>
      <w:r w:rsidRPr="00414407">
        <w:rPr>
          <w:rFonts w:ascii="Book Antiqua" w:hAnsi="Book Antiqua"/>
          <w:kern w:val="2"/>
          <w:sz w:val="24"/>
          <w:szCs w:val="24"/>
          <w:lang w:val="en-US" w:eastAsia="zh-CN"/>
        </w:rPr>
        <w:t>: 105-115 [PMID: 24227633 DOI: 10.1177/1535370213506802]</w:t>
      </w:r>
    </w:p>
    <w:p w14:paraId="63D5BBF9" w14:textId="0A857A28"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152B29">
        <w:rPr>
          <w:rFonts w:ascii="Book Antiqua" w:hAnsi="Book Antiqua"/>
          <w:kern w:val="2"/>
          <w:sz w:val="24"/>
          <w:szCs w:val="24"/>
          <w:highlight w:val="yellow"/>
          <w:lang w:val="en-US" w:eastAsia="zh-CN"/>
        </w:rPr>
        <w:t xml:space="preserve">95 </w:t>
      </w:r>
      <w:r w:rsidRPr="00152B29">
        <w:rPr>
          <w:rFonts w:ascii="Book Antiqua" w:hAnsi="Book Antiqua"/>
          <w:b/>
          <w:kern w:val="2"/>
          <w:sz w:val="24"/>
          <w:szCs w:val="24"/>
          <w:highlight w:val="yellow"/>
          <w:lang w:val="en-US" w:eastAsia="zh-CN"/>
        </w:rPr>
        <w:t>Haenel A,</w:t>
      </w:r>
      <w:r w:rsidRPr="00152B29">
        <w:rPr>
          <w:rFonts w:ascii="Book Antiqua" w:hAnsi="Book Antiqua"/>
          <w:i/>
          <w:kern w:val="2"/>
          <w:sz w:val="24"/>
          <w:szCs w:val="24"/>
          <w:highlight w:val="yellow"/>
          <w:lang w:val="en-US" w:eastAsia="zh-CN"/>
        </w:rPr>
        <w:t xml:space="preserve"> </w:t>
      </w:r>
      <w:r w:rsidRPr="00152B29">
        <w:rPr>
          <w:rFonts w:ascii="Book Antiqua" w:hAnsi="Book Antiqua"/>
          <w:kern w:val="2"/>
          <w:sz w:val="24"/>
          <w:szCs w:val="24"/>
          <w:highlight w:val="yellow"/>
          <w:lang w:val="en-US" w:eastAsia="zh-CN"/>
        </w:rPr>
        <w:t xml:space="preserve">Ghosn M, Karimi T, Vykoukal J, Kettlun C, Shah D, Dave A, Valderrrabano M, Schulz D, Azares A, Raizner A, Alt E. </w:t>
      </w:r>
      <w:bookmarkStart w:id="184" w:name="OLE_LINK163"/>
      <w:bookmarkStart w:id="185" w:name="OLE_LINK164"/>
      <w:r w:rsidRPr="00152B29">
        <w:rPr>
          <w:rFonts w:ascii="Book Antiqua" w:hAnsi="Book Antiqua"/>
          <w:kern w:val="2"/>
          <w:sz w:val="24"/>
          <w:szCs w:val="24"/>
          <w:highlight w:val="yellow"/>
          <w:lang w:val="en-US" w:eastAsia="zh-CN"/>
        </w:rPr>
        <w:t xml:space="preserve">Unmodified, autologous adipose-derived regenerative cells improve cardiac function, structure and revascularization in a porcine model of chronic myocardial infarction. </w:t>
      </w:r>
      <w:bookmarkEnd w:id="184"/>
      <w:bookmarkEnd w:id="185"/>
      <w:r w:rsidR="00152B29" w:rsidRPr="00152B29">
        <w:rPr>
          <w:rFonts w:ascii="Book Antiqua" w:hAnsi="Book Antiqua"/>
          <w:kern w:val="2"/>
          <w:sz w:val="24"/>
          <w:szCs w:val="24"/>
          <w:highlight w:val="yellow"/>
          <w:lang w:val="en-US" w:eastAsia="zh-CN"/>
        </w:rPr>
        <w:t>2018 Preprint.</w:t>
      </w:r>
      <w:r w:rsidR="00152B29" w:rsidRPr="00152B29">
        <w:rPr>
          <w:rFonts w:ascii="Book Antiqua" w:hAnsi="Book Antiqua" w:hint="eastAsia"/>
          <w:kern w:val="2"/>
          <w:sz w:val="24"/>
          <w:szCs w:val="24"/>
          <w:highlight w:val="yellow"/>
          <w:lang w:val="en-US" w:eastAsia="zh-CN"/>
        </w:rPr>
        <w:t xml:space="preserve"> </w:t>
      </w:r>
      <w:r w:rsidR="00152B29" w:rsidRPr="00152B29">
        <w:rPr>
          <w:rFonts w:ascii="Book Antiqua" w:hAnsi="Book Antiqua"/>
          <w:kern w:val="2"/>
          <w:sz w:val="24"/>
          <w:szCs w:val="24"/>
          <w:highlight w:val="yellow"/>
          <w:lang w:val="en-US" w:eastAsia="zh-CN"/>
        </w:rPr>
        <w:t>B</w:t>
      </w:r>
      <w:r w:rsidRPr="00152B29">
        <w:rPr>
          <w:rFonts w:ascii="Book Antiqua" w:hAnsi="Book Antiqua" w:hint="eastAsia"/>
          <w:kern w:val="2"/>
          <w:sz w:val="24"/>
          <w:szCs w:val="24"/>
          <w:highlight w:val="yellow"/>
          <w:lang w:val="en-US" w:eastAsia="zh-CN"/>
        </w:rPr>
        <w:t>io</w:t>
      </w:r>
      <w:r w:rsidRPr="00152B29">
        <w:rPr>
          <w:rFonts w:ascii="Book Antiqua" w:hAnsi="Book Antiqua" w:hint="eastAsia"/>
          <w:caps/>
          <w:kern w:val="2"/>
          <w:sz w:val="24"/>
          <w:szCs w:val="24"/>
          <w:highlight w:val="yellow"/>
          <w:lang w:val="en-US" w:eastAsia="zh-CN"/>
        </w:rPr>
        <w:t>r</w:t>
      </w:r>
      <w:r w:rsidR="00152B29" w:rsidRPr="00152B29">
        <w:rPr>
          <w:rFonts w:ascii="Book Antiqua" w:hAnsi="Book Antiqua" w:hint="eastAsia"/>
          <w:kern w:val="2"/>
          <w:sz w:val="24"/>
          <w:szCs w:val="24"/>
          <w:highlight w:val="yellow"/>
          <w:lang w:val="en-US" w:eastAsia="zh-CN"/>
        </w:rPr>
        <w:t>xiv:</w:t>
      </w:r>
      <w:r w:rsidRPr="00152B29">
        <w:rPr>
          <w:rFonts w:ascii="Book Antiqua" w:hAnsi="Book Antiqua"/>
          <w:kern w:val="2"/>
          <w:sz w:val="24"/>
          <w:szCs w:val="24"/>
          <w:highlight w:val="yellow"/>
          <w:lang w:val="en-US" w:eastAsia="zh-CN"/>
        </w:rPr>
        <w:t>286468 [DOI: 10.1101/286468]</w:t>
      </w:r>
    </w:p>
    <w:p w14:paraId="19991866"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96 </w:t>
      </w:r>
      <w:r w:rsidRPr="00414407">
        <w:rPr>
          <w:rFonts w:ascii="Book Antiqua" w:hAnsi="Book Antiqua"/>
          <w:b/>
          <w:kern w:val="2"/>
          <w:sz w:val="24"/>
          <w:szCs w:val="24"/>
          <w:lang w:val="en-US" w:eastAsia="zh-CN"/>
        </w:rPr>
        <w:t>Badimon L</w:t>
      </w:r>
      <w:r w:rsidRPr="00414407">
        <w:rPr>
          <w:rFonts w:ascii="Book Antiqua" w:hAnsi="Book Antiqua"/>
          <w:kern w:val="2"/>
          <w:sz w:val="24"/>
          <w:szCs w:val="24"/>
          <w:lang w:val="en-US" w:eastAsia="zh-CN"/>
        </w:rPr>
        <w:t xml:space="preserve">, Oñate B, Vilahur G. Adipose-derived Mesenchymal Stem Cells and Their Reparative Potential in Ischemic Heart Disease. </w:t>
      </w:r>
      <w:r w:rsidRPr="00414407">
        <w:rPr>
          <w:rFonts w:ascii="Book Antiqua" w:hAnsi="Book Antiqua"/>
          <w:i/>
          <w:kern w:val="2"/>
          <w:sz w:val="24"/>
          <w:szCs w:val="24"/>
          <w:lang w:val="en-US" w:eastAsia="zh-CN"/>
        </w:rPr>
        <w:t xml:space="preserve">Rev Esp Cardiol </w:t>
      </w:r>
      <w:r w:rsidRPr="00414407">
        <w:rPr>
          <w:rFonts w:ascii="Book Antiqua" w:hAnsi="Book Antiqua"/>
          <w:kern w:val="2"/>
          <w:sz w:val="24"/>
          <w:szCs w:val="24"/>
          <w:lang w:val="en-US" w:eastAsia="zh-CN"/>
        </w:rPr>
        <w:t xml:space="preserve">(Engl Ed) 2015; </w:t>
      </w:r>
      <w:r w:rsidRPr="00414407">
        <w:rPr>
          <w:rFonts w:ascii="Book Antiqua" w:hAnsi="Book Antiqua"/>
          <w:b/>
          <w:kern w:val="2"/>
          <w:sz w:val="24"/>
          <w:szCs w:val="24"/>
          <w:lang w:val="en-US" w:eastAsia="zh-CN"/>
        </w:rPr>
        <w:t>68</w:t>
      </w:r>
      <w:r w:rsidRPr="00414407">
        <w:rPr>
          <w:rFonts w:ascii="Book Antiqua" w:hAnsi="Book Antiqua"/>
          <w:kern w:val="2"/>
          <w:sz w:val="24"/>
          <w:szCs w:val="24"/>
          <w:lang w:val="en-US" w:eastAsia="zh-CN"/>
        </w:rPr>
        <w:t>: 599-611 [PMID: 26028258 DOI: 10.1016/j.rec.2015.02.025]</w:t>
      </w:r>
    </w:p>
    <w:p w14:paraId="2149CBD6"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97 </w:t>
      </w:r>
      <w:r w:rsidRPr="00414407">
        <w:rPr>
          <w:rFonts w:ascii="Book Antiqua" w:hAnsi="Book Antiqua"/>
          <w:b/>
          <w:kern w:val="2"/>
          <w:sz w:val="24"/>
          <w:szCs w:val="24"/>
          <w:lang w:val="en-US" w:eastAsia="zh-CN"/>
        </w:rPr>
        <w:t>Lombardi G</w:t>
      </w:r>
      <w:r w:rsidRPr="00414407">
        <w:rPr>
          <w:rFonts w:ascii="Book Antiqua" w:hAnsi="Book Antiqua"/>
          <w:kern w:val="2"/>
          <w:sz w:val="24"/>
          <w:szCs w:val="24"/>
          <w:lang w:val="en-US" w:eastAsia="zh-CN"/>
        </w:rPr>
        <w:t xml:space="preserve">, Perego S, Luzi L, Banfi G. A four-season molecule: osteocalcin. Updates in its physiological roles. </w:t>
      </w:r>
      <w:r w:rsidRPr="00414407">
        <w:rPr>
          <w:rFonts w:ascii="Book Antiqua" w:hAnsi="Book Antiqua"/>
          <w:i/>
          <w:kern w:val="2"/>
          <w:sz w:val="24"/>
          <w:szCs w:val="24"/>
          <w:lang w:val="en-US" w:eastAsia="zh-CN"/>
        </w:rPr>
        <w:t>Endocrine</w:t>
      </w:r>
      <w:r w:rsidRPr="00414407">
        <w:rPr>
          <w:rFonts w:ascii="Book Antiqua" w:hAnsi="Book Antiqua"/>
          <w:kern w:val="2"/>
          <w:sz w:val="24"/>
          <w:szCs w:val="24"/>
          <w:lang w:val="en-US" w:eastAsia="zh-CN"/>
        </w:rPr>
        <w:t xml:space="preserve"> 2015; </w:t>
      </w:r>
      <w:r w:rsidRPr="00414407">
        <w:rPr>
          <w:rFonts w:ascii="Book Antiqua" w:hAnsi="Book Antiqua"/>
          <w:b/>
          <w:kern w:val="2"/>
          <w:sz w:val="24"/>
          <w:szCs w:val="24"/>
          <w:lang w:val="en-US" w:eastAsia="zh-CN"/>
        </w:rPr>
        <w:t>48</w:t>
      </w:r>
      <w:r w:rsidRPr="00414407">
        <w:rPr>
          <w:rFonts w:ascii="Book Antiqua" w:hAnsi="Book Antiqua"/>
          <w:kern w:val="2"/>
          <w:sz w:val="24"/>
          <w:szCs w:val="24"/>
          <w:lang w:val="en-US" w:eastAsia="zh-CN"/>
        </w:rPr>
        <w:t>: 394-404 [PMID: 25158976 DOI: 10.1007/s12020-014-0401-0]</w:t>
      </w:r>
    </w:p>
    <w:p w14:paraId="271D8EDC"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lastRenderedPageBreak/>
        <w:t xml:space="preserve">98 </w:t>
      </w:r>
      <w:r w:rsidRPr="00414407">
        <w:rPr>
          <w:rFonts w:ascii="Book Antiqua" w:hAnsi="Book Antiqua"/>
          <w:b/>
          <w:kern w:val="2"/>
          <w:sz w:val="24"/>
          <w:szCs w:val="24"/>
          <w:lang w:val="en-US" w:eastAsia="zh-CN"/>
        </w:rPr>
        <w:t>Anitua E</w:t>
      </w:r>
      <w:r w:rsidRPr="00414407">
        <w:rPr>
          <w:rFonts w:ascii="Book Antiqua" w:hAnsi="Book Antiqua"/>
          <w:kern w:val="2"/>
          <w:sz w:val="24"/>
          <w:szCs w:val="24"/>
          <w:lang w:val="en-US" w:eastAsia="zh-CN"/>
        </w:rPr>
        <w:t xml:space="preserve">, Tejero R, Zalduendo MM, Orive G. Plasma rich in growth factors promotes bone tissue regeneration by stimulating proliferation, migration, and autocrine secretion in primary human osteoblasts. </w:t>
      </w:r>
      <w:r w:rsidRPr="00414407">
        <w:rPr>
          <w:rFonts w:ascii="Book Antiqua" w:hAnsi="Book Antiqua"/>
          <w:i/>
          <w:kern w:val="2"/>
          <w:sz w:val="24"/>
          <w:szCs w:val="24"/>
          <w:lang w:val="en-US" w:eastAsia="zh-CN"/>
        </w:rPr>
        <w:t>J Periodontol</w:t>
      </w:r>
      <w:r w:rsidRPr="00414407">
        <w:rPr>
          <w:rFonts w:ascii="Book Antiqua" w:hAnsi="Book Antiqua"/>
          <w:kern w:val="2"/>
          <w:sz w:val="24"/>
          <w:szCs w:val="24"/>
          <w:lang w:val="en-US" w:eastAsia="zh-CN"/>
        </w:rPr>
        <w:t xml:space="preserve"> 2013; </w:t>
      </w:r>
      <w:r w:rsidRPr="00414407">
        <w:rPr>
          <w:rFonts w:ascii="Book Antiqua" w:hAnsi="Book Antiqua"/>
          <w:b/>
          <w:kern w:val="2"/>
          <w:sz w:val="24"/>
          <w:szCs w:val="24"/>
          <w:lang w:val="en-US" w:eastAsia="zh-CN"/>
        </w:rPr>
        <w:t>84</w:t>
      </w:r>
      <w:r w:rsidRPr="00414407">
        <w:rPr>
          <w:rFonts w:ascii="Book Antiqua" w:hAnsi="Book Antiqua"/>
          <w:kern w:val="2"/>
          <w:sz w:val="24"/>
          <w:szCs w:val="24"/>
          <w:lang w:val="en-US" w:eastAsia="zh-CN"/>
        </w:rPr>
        <w:t>: 1180-1190 [PMID: 23088531 DOI: 10.1902/jop.2012.120292]</w:t>
      </w:r>
    </w:p>
    <w:p w14:paraId="33FE57A7"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99 </w:t>
      </w:r>
      <w:r w:rsidRPr="00414407">
        <w:rPr>
          <w:rFonts w:ascii="Book Antiqua" w:hAnsi="Book Antiqua"/>
          <w:b/>
          <w:kern w:val="2"/>
          <w:sz w:val="24"/>
          <w:szCs w:val="24"/>
          <w:lang w:val="en-US" w:eastAsia="zh-CN"/>
        </w:rPr>
        <w:t>Anitua E</w:t>
      </w:r>
      <w:r w:rsidRPr="00414407">
        <w:rPr>
          <w:rFonts w:ascii="Book Antiqua" w:hAnsi="Book Antiqua"/>
          <w:kern w:val="2"/>
          <w:sz w:val="24"/>
          <w:szCs w:val="24"/>
          <w:lang w:val="en-US" w:eastAsia="zh-CN"/>
        </w:rPr>
        <w:t xml:space="preserve">, Prado R, Orive G. A lateral approach for sinus elevation using PRGF technology. </w:t>
      </w:r>
      <w:r w:rsidRPr="00414407">
        <w:rPr>
          <w:rFonts w:ascii="Book Antiqua" w:hAnsi="Book Antiqua"/>
          <w:i/>
          <w:kern w:val="2"/>
          <w:sz w:val="24"/>
          <w:szCs w:val="24"/>
          <w:lang w:val="en-US" w:eastAsia="zh-CN"/>
        </w:rPr>
        <w:t>Clin Implant Dent Relat Res</w:t>
      </w:r>
      <w:r w:rsidRPr="00414407">
        <w:rPr>
          <w:rFonts w:ascii="Book Antiqua" w:hAnsi="Book Antiqua"/>
          <w:kern w:val="2"/>
          <w:sz w:val="24"/>
          <w:szCs w:val="24"/>
          <w:lang w:val="en-US" w:eastAsia="zh-CN"/>
        </w:rPr>
        <w:t xml:space="preserve"> 2009; </w:t>
      </w:r>
      <w:r w:rsidRPr="00414407">
        <w:rPr>
          <w:rFonts w:ascii="Book Antiqua" w:hAnsi="Book Antiqua"/>
          <w:b/>
          <w:kern w:val="2"/>
          <w:sz w:val="24"/>
          <w:szCs w:val="24"/>
          <w:lang w:val="en-US" w:eastAsia="zh-CN"/>
        </w:rPr>
        <w:t>11</w:t>
      </w:r>
      <w:r w:rsidRPr="00414407">
        <w:rPr>
          <w:rFonts w:ascii="Book Antiqua" w:hAnsi="Book Antiqua"/>
          <w:kern w:val="2"/>
          <w:sz w:val="24"/>
          <w:szCs w:val="24"/>
          <w:lang w:val="en-US" w:eastAsia="zh-CN"/>
        </w:rPr>
        <w:t xml:space="preserve"> Suppl 1: e23-e31 [PMID: 19438953 DOI: 10.1111/j.1708-8208.2009.00159.x]</w:t>
      </w:r>
    </w:p>
    <w:p w14:paraId="3F757151"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100 </w:t>
      </w:r>
      <w:r w:rsidRPr="00414407">
        <w:rPr>
          <w:rFonts w:ascii="Book Antiqua" w:hAnsi="Book Antiqua"/>
          <w:b/>
          <w:kern w:val="2"/>
          <w:sz w:val="24"/>
          <w:szCs w:val="24"/>
          <w:lang w:val="en-US" w:eastAsia="zh-CN"/>
        </w:rPr>
        <w:t>Taschieri S</w:t>
      </w:r>
      <w:r w:rsidRPr="00414407">
        <w:rPr>
          <w:rFonts w:ascii="Book Antiqua" w:hAnsi="Book Antiqua"/>
          <w:kern w:val="2"/>
          <w:sz w:val="24"/>
          <w:szCs w:val="24"/>
          <w:lang w:val="en-US" w:eastAsia="zh-CN"/>
        </w:rPr>
        <w:t xml:space="preserve">, Corbella S, Del Fabbro M. Use of plasma rich in growth factor for schneiderian membrane management during maxillary sinus augmentation procedure. </w:t>
      </w:r>
      <w:r w:rsidRPr="00414407">
        <w:rPr>
          <w:rFonts w:ascii="Book Antiqua" w:hAnsi="Book Antiqua"/>
          <w:i/>
          <w:kern w:val="2"/>
          <w:sz w:val="24"/>
          <w:szCs w:val="24"/>
          <w:lang w:val="en-US" w:eastAsia="zh-CN"/>
        </w:rPr>
        <w:t>J Oral Implantol</w:t>
      </w:r>
      <w:r w:rsidRPr="00414407">
        <w:rPr>
          <w:rFonts w:ascii="Book Antiqua" w:hAnsi="Book Antiqua"/>
          <w:kern w:val="2"/>
          <w:sz w:val="24"/>
          <w:szCs w:val="24"/>
          <w:lang w:val="en-US" w:eastAsia="zh-CN"/>
        </w:rPr>
        <w:t xml:space="preserve"> 2012; </w:t>
      </w:r>
      <w:r w:rsidRPr="00414407">
        <w:rPr>
          <w:rFonts w:ascii="Book Antiqua" w:hAnsi="Book Antiqua"/>
          <w:b/>
          <w:kern w:val="2"/>
          <w:sz w:val="24"/>
          <w:szCs w:val="24"/>
          <w:lang w:val="en-US" w:eastAsia="zh-CN"/>
        </w:rPr>
        <w:t>38</w:t>
      </w:r>
      <w:r w:rsidRPr="00414407">
        <w:rPr>
          <w:rFonts w:ascii="Book Antiqua" w:hAnsi="Book Antiqua"/>
          <w:kern w:val="2"/>
          <w:sz w:val="24"/>
          <w:szCs w:val="24"/>
          <w:lang w:val="en-US" w:eastAsia="zh-CN"/>
        </w:rPr>
        <w:t>: 621-627 [PMID: 23072223 DOI: 10.1563/AAID-JOI-D-12-00009]</w:t>
      </w:r>
    </w:p>
    <w:p w14:paraId="17890D7D"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101 </w:t>
      </w:r>
      <w:r w:rsidRPr="00414407">
        <w:rPr>
          <w:rFonts w:ascii="Book Antiqua" w:hAnsi="Book Antiqua"/>
          <w:b/>
          <w:kern w:val="2"/>
          <w:sz w:val="24"/>
          <w:szCs w:val="24"/>
          <w:lang w:val="en-US" w:eastAsia="zh-CN"/>
        </w:rPr>
        <w:t>Khouly I</w:t>
      </w:r>
      <w:r w:rsidRPr="00414407">
        <w:rPr>
          <w:rFonts w:ascii="Book Antiqua" w:hAnsi="Book Antiqua"/>
          <w:kern w:val="2"/>
          <w:sz w:val="24"/>
          <w:szCs w:val="24"/>
          <w:lang w:val="en-US" w:eastAsia="zh-CN"/>
        </w:rPr>
        <w:t xml:space="preserve">, Pardiñas López S, Aliaga I, Froum SJ. Long-Term Implant Survival After 100 Maxillary Sinus Augmentations Using Plasma Rich in Growth Factors. </w:t>
      </w:r>
      <w:r w:rsidRPr="00414407">
        <w:rPr>
          <w:rFonts w:ascii="Book Antiqua" w:hAnsi="Book Antiqua"/>
          <w:i/>
          <w:kern w:val="2"/>
          <w:sz w:val="24"/>
          <w:szCs w:val="24"/>
          <w:lang w:val="en-US" w:eastAsia="zh-CN"/>
        </w:rPr>
        <w:t>Implant Dent</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26</w:t>
      </w:r>
      <w:r w:rsidRPr="00414407">
        <w:rPr>
          <w:rFonts w:ascii="Book Antiqua" w:hAnsi="Book Antiqua"/>
          <w:kern w:val="2"/>
          <w:sz w:val="24"/>
          <w:szCs w:val="24"/>
          <w:lang w:val="en-US" w:eastAsia="zh-CN"/>
        </w:rPr>
        <w:t>: 199-208 [PMID: 28207599 DOI: 10.1097/ID.0000000000000561]</w:t>
      </w:r>
    </w:p>
    <w:p w14:paraId="7FD73EC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102 </w:t>
      </w:r>
      <w:r w:rsidRPr="00414407">
        <w:rPr>
          <w:rFonts w:ascii="Book Antiqua" w:hAnsi="Book Antiqua"/>
          <w:b/>
          <w:kern w:val="2"/>
          <w:sz w:val="24"/>
          <w:szCs w:val="24"/>
          <w:lang w:val="en-US" w:eastAsia="zh-CN"/>
        </w:rPr>
        <w:t>Salgado AJ</w:t>
      </w:r>
      <w:r w:rsidRPr="00414407">
        <w:rPr>
          <w:rFonts w:ascii="Book Antiqua" w:hAnsi="Book Antiqua"/>
          <w:kern w:val="2"/>
          <w:sz w:val="24"/>
          <w:szCs w:val="24"/>
          <w:lang w:val="en-US" w:eastAsia="zh-CN"/>
        </w:rPr>
        <w:t xml:space="preserve">, Reis RL, Sousa NJ, Gimble JM. Adipose tissue derived stem cells secretome: soluble factors and their roles in regenerative medicine. </w:t>
      </w:r>
      <w:r w:rsidRPr="00414407">
        <w:rPr>
          <w:rFonts w:ascii="Book Antiqua" w:hAnsi="Book Antiqua"/>
          <w:i/>
          <w:kern w:val="2"/>
          <w:sz w:val="24"/>
          <w:szCs w:val="24"/>
          <w:lang w:val="en-US" w:eastAsia="zh-CN"/>
        </w:rPr>
        <w:t>Curr Stem Cell Res Ther</w:t>
      </w:r>
      <w:r w:rsidRPr="00414407">
        <w:rPr>
          <w:rFonts w:ascii="Book Antiqua" w:hAnsi="Book Antiqua"/>
          <w:kern w:val="2"/>
          <w:sz w:val="24"/>
          <w:szCs w:val="24"/>
          <w:lang w:val="en-US" w:eastAsia="zh-CN"/>
        </w:rPr>
        <w:t xml:space="preserve"> 2010; </w:t>
      </w:r>
      <w:r w:rsidRPr="00414407">
        <w:rPr>
          <w:rFonts w:ascii="Book Antiqua" w:hAnsi="Book Antiqua"/>
          <w:b/>
          <w:kern w:val="2"/>
          <w:sz w:val="24"/>
          <w:szCs w:val="24"/>
          <w:lang w:val="en-US" w:eastAsia="zh-CN"/>
        </w:rPr>
        <w:t>5</w:t>
      </w:r>
      <w:r w:rsidRPr="00414407">
        <w:rPr>
          <w:rFonts w:ascii="Book Antiqua" w:hAnsi="Book Antiqua"/>
          <w:kern w:val="2"/>
          <w:sz w:val="24"/>
          <w:szCs w:val="24"/>
          <w:lang w:val="en-US" w:eastAsia="zh-CN"/>
        </w:rPr>
        <w:t>: 103-110 [PMID: 19941460</w:t>
      </w:r>
      <w:r w:rsidRPr="00414407">
        <w:rPr>
          <w:rFonts w:ascii="Book Antiqua" w:hAnsi="Book Antiqua" w:hint="eastAsia"/>
          <w:kern w:val="2"/>
          <w:sz w:val="24"/>
          <w:szCs w:val="24"/>
          <w:lang w:val="en-US" w:eastAsia="zh-CN"/>
        </w:rPr>
        <w:t xml:space="preserve"> </w:t>
      </w:r>
      <w:r w:rsidRPr="00414407">
        <w:rPr>
          <w:rFonts w:ascii="Book Antiqua" w:hAnsi="Book Antiqua"/>
          <w:kern w:val="2"/>
          <w:sz w:val="24"/>
          <w:szCs w:val="24"/>
          <w:lang w:val="en-US" w:eastAsia="zh-CN"/>
        </w:rPr>
        <w:t>DOI: 10.2174/157488810791268564]</w:t>
      </w:r>
    </w:p>
    <w:p w14:paraId="7F91998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103 </w:t>
      </w:r>
      <w:r w:rsidRPr="00414407">
        <w:rPr>
          <w:rFonts w:ascii="Book Antiqua" w:hAnsi="Book Antiqua"/>
          <w:b/>
          <w:kern w:val="2"/>
          <w:sz w:val="24"/>
          <w:szCs w:val="24"/>
          <w:lang w:val="en-US" w:eastAsia="zh-CN"/>
        </w:rPr>
        <w:t>Mellado-López M</w:t>
      </w:r>
      <w:r w:rsidRPr="00414407">
        <w:rPr>
          <w:rFonts w:ascii="Book Antiqua" w:hAnsi="Book Antiqua"/>
          <w:kern w:val="2"/>
          <w:sz w:val="24"/>
          <w:szCs w:val="24"/>
          <w:lang w:val="en-US" w:eastAsia="zh-CN"/>
        </w:rPr>
        <w:t xml:space="preserve">, Griffeth RJ, Meseguer-Ripolles J, Cugat R, García M, Moreno-Manzano V. Plasma Rich in Growth Factors Induces Cell Proliferation, Migration, Differentiation, and Cell Survival of Adipose-Derived Stem Cells. </w:t>
      </w:r>
      <w:r w:rsidRPr="00414407">
        <w:rPr>
          <w:rFonts w:ascii="Book Antiqua" w:hAnsi="Book Antiqua"/>
          <w:i/>
          <w:kern w:val="2"/>
          <w:sz w:val="24"/>
          <w:szCs w:val="24"/>
          <w:lang w:val="en-US" w:eastAsia="zh-CN"/>
        </w:rPr>
        <w:t>Stem Cells Int</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2017</w:t>
      </w:r>
      <w:r w:rsidRPr="00414407">
        <w:rPr>
          <w:rFonts w:ascii="Book Antiqua" w:hAnsi="Book Antiqua"/>
          <w:kern w:val="2"/>
          <w:sz w:val="24"/>
          <w:szCs w:val="24"/>
          <w:lang w:val="en-US" w:eastAsia="zh-CN"/>
        </w:rPr>
        <w:t>: 5946527 [PMID: 29270200 DOI: 10.1155/2017/5946527]</w:t>
      </w:r>
    </w:p>
    <w:p w14:paraId="0FBD07A7"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104 </w:t>
      </w:r>
      <w:r w:rsidRPr="00414407">
        <w:rPr>
          <w:rFonts w:ascii="Book Antiqua" w:hAnsi="Book Antiqua"/>
          <w:b/>
          <w:kern w:val="2"/>
          <w:sz w:val="24"/>
          <w:szCs w:val="24"/>
          <w:lang w:val="en-US" w:eastAsia="zh-CN"/>
        </w:rPr>
        <w:t>Bai X</w:t>
      </w:r>
      <w:r w:rsidRPr="00414407">
        <w:rPr>
          <w:rFonts w:ascii="Book Antiqua" w:hAnsi="Book Antiqua"/>
          <w:kern w:val="2"/>
          <w:sz w:val="24"/>
          <w:szCs w:val="24"/>
          <w:lang w:val="en-US" w:eastAsia="zh-CN"/>
        </w:rPr>
        <w:t xml:space="preserve">, Sadat S, Gehmert S, Alt E, Song YH. VEGF receptor Flk-1 plays an important role in c-kit expression in adipose tissue derived stem cells. </w:t>
      </w:r>
      <w:r w:rsidRPr="00414407">
        <w:rPr>
          <w:rFonts w:ascii="Book Antiqua" w:hAnsi="Book Antiqua"/>
          <w:i/>
          <w:kern w:val="2"/>
          <w:sz w:val="24"/>
          <w:szCs w:val="24"/>
          <w:lang w:val="en-US" w:eastAsia="zh-CN"/>
        </w:rPr>
        <w:t>FEBS Lett</w:t>
      </w:r>
      <w:r w:rsidRPr="00414407">
        <w:rPr>
          <w:rFonts w:ascii="Book Antiqua" w:hAnsi="Book Antiqua"/>
          <w:kern w:val="2"/>
          <w:sz w:val="24"/>
          <w:szCs w:val="24"/>
          <w:lang w:val="en-US" w:eastAsia="zh-CN"/>
        </w:rPr>
        <w:t xml:space="preserve"> 2007; </w:t>
      </w:r>
      <w:r w:rsidRPr="00414407">
        <w:rPr>
          <w:rFonts w:ascii="Book Antiqua" w:hAnsi="Book Antiqua"/>
          <w:b/>
          <w:kern w:val="2"/>
          <w:sz w:val="24"/>
          <w:szCs w:val="24"/>
          <w:lang w:val="en-US" w:eastAsia="zh-CN"/>
        </w:rPr>
        <w:t>581</w:t>
      </w:r>
      <w:r w:rsidRPr="00414407">
        <w:rPr>
          <w:rFonts w:ascii="Book Antiqua" w:hAnsi="Book Antiqua"/>
          <w:kern w:val="2"/>
          <w:sz w:val="24"/>
          <w:szCs w:val="24"/>
          <w:lang w:val="en-US" w:eastAsia="zh-CN"/>
        </w:rPr>
        <w:t>: 4681-4684 [PMID: 17850794 DOI: 10.1016/j.febslet.2007.08.063]</w:t>
      </w:r>
    </w:p>
    <w:p w14:paraId="61DB3927"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105 </w:t>
      </w:r>
      <w:r w:rsidRPr="00414407">
        <w:rPr>
          <w:rFonts w:ascii="Book Antiqua" w:hAnsi="Book Antiqua"/>
          <w:b/>
          <w:kern w:val="2"/>
          <w:sz w:val="24"/>
          <w:szCs w:val="24"/>
          <w:lang w:val="en-US" w:eastAsia="zh-CN"/>
        </w:rPr>
        <w:t>Kusuma GD</w:t>
      </w:r>
      <w:r w:rsidRPr="00414407">
        <w:rPr>
          <w:rFonts w:ascii="Book Antiqua" w:hAnsi="Book Antiqua"/>
          <w:kern w:val="2"/>
          <w:sz w:val="24"/>
          <w:szCs w:val="24"/>
          <w:lang w:val="en-US" w:eastAsia="zh-CN"/>
        </w:rPr>
        <w:t xml:space="preserve">, Carthew J, Lim R, Frith JE. Effect of the Microenvironment on Mesenchymal Stem Cell Paracrine Signaling: Opportunities to Engineer the Therapeutic Effect. </w:t>
      </w:r>
      <w:r w:rsidRPr="00414407">
        <w:rPr>
          <w:rFonts w:ascii="Book Antiqua" w:hAnsi="Book Antiqua"/>
          <w:i/>
          <w:kern w:val="2"/>
          <w:sz w:val="24"/>
          <w:szCs w:val="24"/>
          <w:lang w:val="en-US" w:eastAsia="zh-CN"/>
        </w:rPr>
        <w:t>Stem Cells Dev</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26</w:t>
      </w:r>
      <w:r w:rsidRPr="00414407">
        <w:rPr>
          <w:rFonts w:ascii="Book Antiqua" w:hAnsi="Book Antiqua"/>
          <w:kern w:val="2"/>
          <w:sz w:val="24"/>
          <w:szCs w:val="24"/>
          <w:lang w:val="en-US" w:eastAsia="zh-CN"/>
        </w:rPr>
        <w:t>: 617-631 [PMID: 28186467 DOI: 10.1089/scd.2016.0349]</w:t>
      </w:r>
    </w:p>
    <w:p w14:paraId="322C82CE"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106 </w:t>
      </w:r>
      <w:r w:rsidRPr="00414407">
        <w:rPr>
          <w:rFonts w:ascii="Book Antiqua" w:hAnsi="Book Antiqua"/>
          <w:b/>
          <w:kern w:val="2"/>
          <w:sz w:val="24"/>
          <w:szCs w:val="24"/>
          <w:lang w:val="en-US" w:eastAsia="zh-CN"/>
        </w:rPr>
        <w:t>Hegde R</w:t>
      </w:r>
      <w:r w:rsidRPr="00414407">
        <w:rPr>
          <w:rFonts w:ascii="Book Antiqua" w:hAnsi="Book Antiqua"/>
          <w:kern w:val="2"/>
          <w:sz w:val="24"/>
          <w:szCs w:val="24"/>
          <w:lang w:val="en-US" w:eastAsia="zh-CN"/>
        </w:rPr>
        <w:t xml:space="preserve">, Prasad K, Shroff KK. Maxillary sinus augmentation using sinus membrane elevation without grafts - A Systematic Review. </w:t>
      </w:r>
      <w:r w:rsidRPr="00414407">
        <w:rPr>
          <w:rFonts w:ascii="Book Antiqua" w:hAnsi="Book Antiqua"/>
          <w:i/>
          <w:kern w:val="2"/>
          <w:sz w:val="24"/>
          <w:szCs w:val="24"/>
          <w:lang w:val="en-US" w:eastAsia="zh-CN"/>
        </w:rPr>
        <w:t>J Indian Prosthodont Soc</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16</w:t>
      </w:r>
      <w:r w:rsidRPr="00414407">
        <w:rPr>
          <w:rFonts w:ascii="Book Antiqua" w:hAnsi="Book Antiqua"/>
          <w:kern w:val="2"/>
          <w:sz w:val="24"/>
          <w:szCs w:val="24"/>
          <w:lang w:val="en-US" w:eastAsia="zh-CN"/>
        </w:rPr>
        <w:t>: 317-322 [PMID: 27746593 DOI: 10.4103/0972-4052.191289]</w:t>
      </w:r>
    </w:p>
    <w:p w14:paraId="70A2F96A"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107 </w:t>
      </w:r>
      <w:r w:rsidRPr="00414407">
        <w:rPr>
          <w:rFonts w:ascii="Book Antiqua" w:hAnsi="Book Antiqua"/>
          <w:b/>
          <w:kern w:val="2"/>
          <w:sz w:val="24"/>
          <w:szCs w:val="24"/>
          <w:lang w:val="en-US" w:eastAsia="zh-CN"/>
        </w:rPr>
        <w:t>Tong DC</w:t>
      </w:r>
      <w:r w:rsidRPr="00414407">
        <w:rPr>
          <w:rFonts w:ascii="Book Antiqua" w:hAnsi="Book Antiqua"/>
          <w:kern w:val="2"/>
          <w:sz w:val="24"/>
          <w:szCs w:val="24"/>
          <w:lang w:val="en-US" w:eastAsia="zh-CN"/>
        </w:rPr>
        <w:t xml:space="preserve">, Rioux K, Drangsholt M, Beirne OR. A review of survival rates for implants </w:t>
      </w:r>
      <w:r w:rsidRPr="00414407">
        <w:rPr>
          <w:rFonts w:ascii="Book Antiqua" w:hAnsi="Book Antiqua"/>
          <w:kern w:val="2"/>
          <w:sz w:val="24"/>
          <w:szCs w:val="24"/>
          <w:lang w:val="en-US" w:eastAsia="zh-CN"/>
        </w:rPr>
        <w:lastRenderedPageBreak/>
        <w:t xml:space="preserve">placed in grafted maxillary sinuses using meta-analysis. </w:t>
      </w:r>
      <w:r w:rsidRPr="00414407">
        <w:rPr>
          <w:rFonts w:ascii="Book Antiqua" w:hAnsi="Book Antiqua"/>
          <w:i/>
          <w:kern w:val="2"/>
          <w:sz w:val="24"/>
          <w:szCs w:val="24"/>
          <w:lang w:val="en-US" w:eastAsia="zh-CN"/>
        </w:rPr>
        <w:t>Int J Oral Maxillofac Implants</w:t>
      </w:r>
      <w:r w:rsidRPr="00414407">
        <w:rPr>
          <w:rFonts w:ascii="Book Antiqua" w:hAnsi="Book Antiqua"/>
          <w:kern w:val="2"/>
          <w:sz w:val="24"/>
          <w:szCs w:val="24"/>
          <w:lang w:val="en-US" w:eastAsia="zh-CN"/>
        </w:rPr>
        <w:t xml:space="preserve"> 1998; </w:t>
      </w:r>
      <w:r w:rsidRPr="00414407">
        <w:rPr>
          <w:rFonts w:ascii="Book Antiqua" w:hAnsi="Book Antiqua"/>
          <w:b/>
          <w:kern w:val="2"/>
          <w:sz w:val="24"/>
          <w:szCs w:val="24"/>
          <w:lang w:val="en-US" w:eastAsia="zh-CN"/>
        </w:rPr>
        <w:t>13</w:t>
      </w:r>
      <w:r w:rsidRPr="00414407">
        <w:rPr>
          <w:rFonts w:ascii="Book Antiqua" w:hAnsi="Book Antiqua"/>
          <w:kern w:val="2"/>
          <w:sz w:val="24"/>
          <w:szCs w:val="24"/>
          <w:lang w:val="en-US" w:eastAsia="zh-CN"/>
        </w:rPr>
        <w:t>: 175-182 [PMID: 9581402</w:t>
      </w:r>
      <w:r w:rsidRPr="00414407">
        <w:rPr>
          <w:rFonts w:ascii="Book Antiqua" w:hAnsi="Book Antiqua" w:hint="eastAsia"/>
          <w:kern w:val="2"/>
          <w:sz w:val="24"/>
          <w:szCs w:val="24"/>
          <w:lang w:val="en-US" w:eastAsia="zh-CN"/>
        </w:rPr>
        <w:t xml:space="preserve"> DOI: 10.1016/S0020-1383(98)00055-2</w:t>
      </w:r>
      <w:r w:rsidRPr="00414407">
        <w:rPr>
          <w:rFonts w:ascii="Book Antiqua" w:hAnsi="Book Antiqua"/>
          <w:kern w:val="2"/>
          <w:sz w:val="24"/>
          <w:szCs w:val="24"/>
          <w:lang w:val="en-US" w:eastAsia="zh-CN"/>
        </w:rPr>
        <w:t>]</w:t>
      </w:r>
    </w:p>
    <w:p w14:paraId="37475CE2"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108 </w:t>
      </w:r>
      <w:r w:rsidRPr="00414407">
        <w:rPr>
          <w:rFonts w:ascii="Book Antiqua" w:hAnsi="Book Antiqua"/>
          <w:b/>
          <w:kern w:val="2"/>
          <w:sz w:val="24"/>
          <w:szCs w:val="24"/>
          <w:lang w:val="en-US" w:eastAsia="zh-CN"/>
        </w:rPr>
        <w:t>Klijn RJ</w:t>
      </w:r>
      <w:r w:rsidRPr="00414407">
        <w:rPr>
          <w:rFonts w:ascii="Book Antiqua" w:hAnsi="Book Antiqua"/>
          <w:kern w:val="2"/>
          <w:sz w:val="24"/>
          <w:szCs w:val="24"/>
          <w:lang w:val="en-US" w:eastAsia="zh-CN"/>
        </w:rPr>
        <w:t xml:space="preserve">, Meijer GJ, Bronkhorst EM, Jansen JA. A meta-analysis of histomorphometric results and graft healing time of various biomaterials compared to autologous bone used as sinus floor augmentation material in humans. </w:t>
      </w:r>
      <w:r w:rsidRPr="00414407">
        <w:rPr>
          <w:rFonts w:ascii="Book Antiqua" w:hAnsi="Book Antiqua"/>
          <w:i/>
          <w:kern w:val="2"/>
          <w:sz w:val="24"/>
          <w:szCs w:val="24"/>
          <w:lang w:val="en-US" w:eastAsia="zh-CN"/>
        </w:rPr>
        <w:t>Tissue Eng Part B Rev</w:t>
      </w:r>
      <w:r w:rsidRPr="00414407">
        <w:rPr>
          <w:rFonts w:ascii="Book Antiqua" w:hAnsi="Book Antiqua"/>
          <w:kern w:val="2"/>
          <w:sz w:val="24"/>
          <w:szCs w:val="24"/>
          <w:lang w:val="en-US" w:eastAsia="zh-CN"/>
        </w:rPr>
        <w:t xml:space="preserve"> 2010; </w:t>
      </w:r>
      <w:r w:rsidRPr="00414407">
        <w:rPr>
          <w:rFonts w:ascii="Book Antiqua" w:hAnsi="Book Antiqua"/>
          <w:b/>
          <w:kern w:val="2"/>
          <w:sz w:val="24"/>
          <w:szCs w:val="24"/>
          <w:lang w:val="en-US" w:eastAsia="zh-CN"/>
        </w:rPr>
        <w:t>16</w:t>
      </w:r>
      <w:r w:rsidRPr="00414407">
        <w:rPr>
          <w:rFonts w:ascii="Book Antiqua" w:hAnsi="Book Antiqua"/>
          <w:kern w:val="2"/>
          <w:sz w:val="24"/>
          <w:szCs w:val="24"/>
          <w:lang w:val="en-US" w:eastAsia="zh-CN"/>
        </w:rPr>
        <w:t>: 493-507 [PMID: 20334505 DOI: 10.1089/ten.TEB.2010.0035]</w:t>
      </w:r>
    </w:p>
    <w:p w14:paraId="47C309DE"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109 </w:t>
      </w:r>
      <w:r w:rsidRPr="00414407">
        <w:rPr>
          <w:rFonts w:ascii="Book Antiqua" w:hAnsi="Book Antiqua"/>
          <w:b/>
          <w:kern w:val="2"/>
          <w:sz w:val="24"/>
          <w:szCs w:val="24"/>
          <w:lang w:val="en-US" w:eastAsia="zh-CN"/>
        </w:rPr>
        <w:t>Silva LD</w:t>
      </w:r>
      <w:r w:rsidRPr="00414407">
        <w:rPr>
          <w:rFonts w:ascii="Book Antiqua" w:hAnsi="Book Antiqua"/>
          <w:kern w:val="2"/>
          <w:sz w:val="24"/>
          <w:szCs w:val="24"/>
          <w:lang w:val="en-US" w:eastAsia="zh-CN"/>
        </w:rPr>
        <w:t xml:space="preserve">, de Lima VN, Faverani LP, de Mendonça MR, Okamoto R, Pellizzer EP. Maxillary sinus lift surgery-with or without graft material? A systematic review. </w:t>
      </w:r>
      <w:r w:rsidRPr="00414407">
        <w:rPr>
          <w:rFonts w:ascii="Book Antiqua" w:hAnsi="Book Antiqua"/>
          <w:i/>
          <w:kern w:val="2"/>
          <w:sz w:val="24"/>
          <w:szCs w:val="24"/>
          <w:lang w:val="en-US" w:eastAsia="zh-CN"/>
        </w:rPr>
        <w:t>Int J Oral Maxillofac Surg</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45</w:t>
      </w:r>
      <w:r w:rsidRPr="00414407">
        <w:rPr>
          <w:rFonts w:ascii="Book Antiqua" w:hAnsi="Book Antiqua"/>
          <w:kern w:val="2"/>
          <w:sz w:val="24"/>
          <w:szCs w:val="24"/>
          <w:lang w:val="en-US" w:eastAsia="zh-CN"/>
        </w:rPr>
        <w:t>: 1570-1576 [PMID: 27765427 DOI: 10.1016/j.ijom.2016.09.023]</w:t>
      </w:r>
    </w:p>
    <w:p w14:paraId="205E533B"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110 </w:t>
      </w:r>
      <w:r w:rsidRPr="00414407">
        <w:rPr>
          <w:rFonts w:ascii="Book Antiqua" w:hAnsi="Book Antiqua"/>
          <w:b/>
          <w:kern w:val="2"/>
          <w:sz w:val="24"/>
          <w:szCs w:val="24"/>
          <w:lang w:val="en-US" w:eastAsia="zh-CN"/>
        </w:rPr>
        <w:t>Hosseinpour S</w:t>
      </w:r>
      <w:r w:rsidRPr="00414407">
        <w:rPr>
          <w:rFonts w:ascii="Book Antiqua" w:hAnsi="Book Antiqua"/>
          <w:kern w:val="2"/>
          <w:sz w:val="24"/>
          <w:szCs w:val="24"/>
          <w:lang w:val="en-US" w:eastAsia="zh-CN"/>
        </w:rPr>
        <w:t xml:space="preserve">, Ghazizadeh Ahsaie M, Rezai Rad M, Baghani MT, Motamedian SR, Khojasteh A. Application of selected scaffolds for bone tissue engineering: a systematic review. </w:t>
      </w:r>
      <w:r w:rsidRPr="00414407">
        <w:rPr>
          <w:rFonts w:ascii="Book Antiqua" w:hAnsi="Book Antiqua"/>
          <w:i/>
          <w:kern w:val="2"/>
          <w:sz w:val="24"/>
          <w:szCs w:val="24"/>
          <w:lang w:val="en-US" w:eastAsia="zh-CN"/>
        </w:rPr>
        <w:t>Oral Maxillofac Surg</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21</w:t>
      </w:r>
      <w:r w:rsidRPr="00414407">
        <w:rPr>
          <w:rFonts w:ascii="Book Antiqua" w:hAnsi="Book Antiqua"/>
          <w:kern w:val="2"/>
          <w:sz w:val="24"/>
          <w:szCs w:val="24"/>
          <w:lang w:val="en-US" w:eastAsia="zh-CN"/>
        </w:rPr>
        <w:t>: 109-129 [PMID: 28194530 DOI: 10.1007/s10006-017-0608-3]</w:t>
      </w:r>
    </w:p>
    <w:p w14:paraId="5DABC025" w14:textId="3FE78038"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152B29">
        <w:rPr>
          <w:rFonts w:ascii="Book Antiqua" w:hAnsi="Book Antiqua"/>
          <w:kern w:val="2"/>
          <w:sz w:val="24"/>
          <w:szCs w:val="24"/>
          <w:highlight w:val="yellow"/>
          <w:lang w:val="en-US" w:eastAsia="zh-CN"/>
        </w:rPr>
        <w:t xml:space="preserve">111 </w:t>
      </w:r>
      <w:bookmarkStart w:id="186" w:name="OLE_LINK167"/>
      <w:r w:rsidR="00152B29" w:rsidRPr="00152B29">
        <w:rPr>
          <w:rFonts w:ascii="Book Antiqua" w:hAnsi="Book Antiqua"/>
          <w:b/>
          <w:kern w:val="2"/>
          <w:sz w:val="24"/>
          <w:szCs w:val="24"/>
          <w:highlight w:val="yellow"/>
          <w:lang w:val="en-US" w:eastAsia="zh-CN"/>
        </w:rPr>
        <w:t>Destatis Statistisches Bundesamt</w:t>
      </w:r>
      <w:r w:rsidR="00152B29" w:rsidRPr="00152B29">
        <w:rPr>
          <w:rFonts w:ascii="Book Antiqua" w:hAnsi="Book Antiqua" w:hint="eastAsia"/>
          <w:kern w:val="2"/>
          <w:sz w:val="24"/>
          <w:szCs w:val="24"/>
          <w:highlight w:val="yellow"/>
          <w:lang w:val="en-US" w:eastAsia="zh-CN"/>
        </w:rPr>
        <w:t>.</w:t>
      </w:r>
      <w:r w:rsidR="00152B29" w:rsidRPr="00152B29">
        <w:rPr>
          <w:rFonts w:ascii="Book Antiqua" w:hAnsi="Book Antiqua"/>
          <w:kern w:val="2"/>
          <w:sz w:val="24"/>
          <w:szCs w:val="24"/>
          <w:highlight w:val="yellow"/>
          <w:lang w:val="en-US" w:eastAsia="zh-CN"/>
        </w:rPr>
        <w:t xml:space="preserve"> </w:t>
      </w:r>
      <w:r w:rsidRPr="00152B29">
        <w:rPr>
          <w:rFonts w:ascii="Book Antiqua" w:hAnsi="Book Antiqua"/>
          <w:kern w:val="2"/>
          <w:sz w:val="24"/>
          <w:szCs w:val="24"/>
          <w:highlight w:val="yellow"/>
          <w:lang w:val="en-US" w:eastAsia="zh-CN"/>
        </w:rPr>
        <w:t>Die Angeforderte Seite I</w:t>
      </w:r>
      <w:r w:rsidRPr="00152B29">
        <w:rPr>
          <w:rFonts w:ascii="Book Antiqua" w:hAnsi="Book Antiqua"/>
          <w:caps/>
          <w:kern w:val="2"/>
          <w:sz w:val="24"/>
          <w:szCs w:val="24"/>
          <w:highlight w:val="yellow"/>
          <w:lang w:val="en-US" w:eastAsia="zh-CN"/>
        </w:rPr>
        <w:t>st</w:t>
      </w:r>
      <w:r w:rsidRPr="00152B29">
        <w:rPr>
          <w:rFonts w:ascii="Book Antiqua" w:hAnsi="Book Antiqua"/>
          <w:kern w:val="2"/>
          <w:sz w:val="24"/>
          <w:szCs w:val="24"/>
          <w:highlight w:val="yellow"/>
          <w:lang w:val="en-US" w:eastAsia="zh-CN"/>
        </w:rPr>
        <w:t xml:space="preserve"> Nicht Verfügbar. </w:t>
      </w:r>
      <w:r w:rsidRPr="00152B29">
        <w:rPr>
          <w:rFonts w:ascii="Book Antiqua" w:hAnsi="Book Antiqua" w:hint="eastAsia"/>
          <w:kern w:val="2"/>
          <w:sz w:val="24"/>
          <w:szCs w:val="24"/>
          <w:highlight w:val="yellow"/>
          <w:lang w:val="en-US" w:eastAsia="zh-CN"/>
        </w:rPr>
        <w:t xml:space="preserve">2018. Available from: URL: </w:t>
      </w:r>
      <w:r w:rsidRPr="00152B29">
        <w:rPr>
          <w:rFonts w:ascii="Book Antiqua" w:hAnsi="Book Antiqua"/>
          <w:kern w:val="2"/>
          <w:sz w:val="24"/>
          <w:szCs w:val="24"/>
          <w:highlight w:val="yellow"/>
          <w:lang w:val="en-US" w:eastAsia="zh-CN"/>
        </w:rPr>
        <w:t>https://www.destatis.de/DE/ZahlenFakten/GesellschaftStaat/Bevoelkerung/Sterbefaelle/Tabellen/Lebenserwartung.pdf</w:t>
      </w:r>
      <w:bookmarkEnd w:id="186"/>
    </w:p>
    <w:p w14:paraId="20F730B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112 </w:t>
      </w:r>
      <w:r w:rsidRPr="00414407">
        <w:rPr>
          <w:rFonts w:ascii="Book Antiqua" w:hAnsi="Book Antiqua"/>
          <w:b/>
          <w:kern w:val="2"/>
          <w:sz w:val="24"/>
          <w:szCs w:val="24"/>
          <w:lang w:val="en-US" w:eastAsia="zh-CN"/>
        </w:rPr>
        <w:t>Kokai LE</w:t>
      </w:r>
      <w:r w:rsidRPr="00414407">
        <w:rPr>
          <w:rFonts w:ascii="Book Antiqua" w:hAnsi="Book Antiqua"/>
          <w:kern w:val="2"/>
          <w:sz w:val="24"/>
          <w:szCs w:val="24"/>
          <w:lang w:val="en-US" w:eastAsia="zh-CN"/>
        </w:rPr>
        <w:t xml:space="preserve">, Traktuev DO, Zhang L, Merfeld-Clauss S, DiBernardo G, Lu H, Marra KG, Donnenberg A, Donnenberg V, Meyer EM, Fodor PB, March KL, Rubin JP. Adipose Stem Cell Function Maintained with Age: An Intra-Subject Study of Long-Term Cryopreserved Cells. </w:t>
      </w:r>
      <w:r w:rsidRPr="00414407">
        <w:rPr>
          <w:rFonts w:ascii="Book Antiqua" w:hAnsi="Book Antiqua"/>
          <w:i/>
          <w:kern w:val="2"/>
          <w:sz w:val="24"/>
          <w:szCs w:val="24"/>
          <w:lang w:val="en-US" w:eastAsia="zh-CN"/>
        </w:rPr>
        <w:t>Aesthet Surg J</w:t>
      </w:r>
      <w:r w:rsidRPr="00414407">
        <w:rPr>
          <w:rFonts w:ascii="Book Antiqua" w:hAnsi="Book Antiqua"/>
          <w:kern w:val="2"/>
          <w:sz w:val="24"/>
          <w:szCs w:val="24"/>
          <w:lang w:val="en-US" w:eastAsia="zh-CN"/>
        </w:rPr>
        <w:t xml:space="preserve"> 2017; </w:t>
      </w:r>
      <w:r w:rsidRPr="00414407">
        <w:rPr>
          <w:rFonts w:ascii="Book Antiqua" w:hAnsi="Book Antiqua"/>
          <w:b/>
          <w:kern w:val="2"/>
          <w:sz w:val="24"/>
          <w:szCs w:val="24"/>
          <w:lang w:val="en-US" w:eastAsia="zh-CN"/>
        </w:rPr>
        <w:t>37</w:t>
      </w:r>
      <w:r w:rsidRPr="00414407">
        <w:rPr>
          <w:rFonts w:ascii="Book Antiqua" w:hAnsi="Book Antiqua"/>
          <w:kern w:val="2"/>
          <w:sz w:val="24"/>
          <w:szCs w:val="24"/>
          <w:lang w:val="en-US" w:eastAsia="zh-CN"/>
        </w:rPr>
        <w:t>: 454-463 [PMID: 28364523 DOI: 10.1093/asj/sjw197]</w:t>
      </w:r>
    </w:p>
    <w:p w14:paraId="4615D90B"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113 </w:t>
      </w:r>
      <w:r w:rsidRPr="00414407">
        <w:rPr>
          <w:rFonts w:ascii="Book Antiqua" w:hAnsi="Book Antiqua"/>
          <w:b/>
          <w:kern w:val="2"/>
          <w:sz w:val="24"/>
          <w:szCs w:val="24"/>
          <w:lang w:val="en-US" w:eastAsia="zh-CN"/>
        </w:rPr>
        <w:t>Alt EU</w:t>
      </w:r>
      <w:r w:rsidRPr="00414407">
        <w:rPr>
          <w:rFonts w:ascii="Book Antiqua" w:hAnsi="Book Antiqua"/>
          <w:kern w:val="2"/>
          <w:sz w:val="24"/>
          <w:szCs w:val="24"/>
          <w:lang w:val="en-US" w:eastAsia="zh-CN"/>
        </w:rPr>
        <w:t xml:space="preserve">, Senst C, Murthy SN, Slakey DP, Dupin CL, Chaffin AE, Kadowitz PJ, Izadpanah R. Aging alters tissue resident mesenchymal stem cell properties. </w:t>
      </w:r>
      <w:r w:rsidRPr="00414407">
        <w:rPr>
          <w:rFonts w:ascii="Book Antiqua" w:hAnsi="Book Antiqua"/>
          <w:i/>
          <w:kern w:val="2"/>
          <w:sz w:val="24"/>
          <w:szCs w:val="24"/>
          <w:lang w:val="en-US" w:eastAsia="zh-CN"/>
        </w:rPr>
        <w:t>Stem Cell Res</w:t>
      </w:r>
      <w:r w:rsidRPr="00414407">
        <w:rPr>
          <w:rFonts w:ascii="Book Antiqua" w:hAnsi="Book Antiqua"/>
          <w:kern w:val="2"/>
          <w:sz w:val="24"/>
          <w:szCs w:val="24"/>
          <w:lang w:val="en-US" w:eastAsia="zh-CN"/>
        </w:rPr>
        <w:t xml:space="preserve"> 2012; </w:t>
      </w:r>
      <w:r w:rsidRPr="00414407">
        <w:rPr>
          <w:rFonts w:ascii="Book Antiqua" w:hAnsi="Book Antiqua"/>
          <w:b/>
          <w:kern w:val="2"/>
          <w:sz w:val="24"/>
          <w:szCs w:val="24"/>
          <w:lang w:val="en-US" w:eastAsia="zh-CN"/>
        </w:rPr>
        <w:t>8</w:t>
      </w:r>
      <w:r w:rsidRPr="00414407">
        <w:rPr>
          <w:rFonts w:ascii="Book Antiqua" w:hAnsi="Book Antiqua"/>
          <w:kern w:val="2"/>
          <w:sz w:val="24"/>
          <w:szCs w:val="24"/>
          <w:lang w:val="en-US" w:eastAsia="zh-CN"/>
        </w:rPr>
        <w:t>: 215-225 [PMID: 22265741 DOI: 10.1016/j.scr.2011.11.002]</w:t>
      </w:r>
    </w:p>
    <w:p w14:paraId="4F3443AD"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114 </w:t>
      </w:r>
      <w:r w:rsidRPr="00414407">
        <w:rPr>
          <w:rFonts w:ascii="Book Antiqua" w:hAnsi="Book Antiqua"/>
          <w:b/>
          <w:kern w:val="2"/>
          <w:sz w:val="24"/>
          <w:szCs w:val="24"/>
          <w:lang w:val="en-US" w:eastAsia="zh-CN"/>
        </w:rPr>
        <w:t>Kim SW</w:t>
      </w:r>
      <w:r w:rsidRPr="00414407">
        <w:rPr>
          <w:rFonts w:ascii="Book Antiqua" w:hAnsi="Book Antiqua"/>
          <w:kern w:val="2"/>
          <w:sz w:val="24"/>
          <w:szCs w:val="24"/>
          <w:lang w:val="en-US" w:eastAsia="zh-CN"/>
        </w:rPr>
        <w:t xml:space="preserve">, Choi JW, Lee CY, Lee J, Shin S, Lim S, Lee S, Kim IK, Lee HB, Hwang KC. Effects of donor age on human adipose-derived adherent stromal cells under oxidative stress conditions. </w:t>
      </w:r>
      <w:r w:rsidRPr="00414407">
        <w:rPr>
          <w:rFonts w:ascii="Book Antiqua" w:hAnsi="Book Antiqua"/>
          <w:i/>
          <w:kern w:val="2"/>
          <w:sz w:val="24"/>
          <w:szCs w:val="24"/>
          <w:lang w:val="en-US" w:eastAsia="zh-CN"/>
        </w:rPr>
        <w:t>J Int Med Res</w:t>
      </w:r>
      <w:r w:rsidRPr="00414407">
        <w:rPr>
          <w:rFonts w:ascii="Book Antiqua" w:hAnsi="Book Antiqua"/>
          <w:kern w:val="2"/>
          <w:sz w:val="24"/>
          <w:szCs w:val="24"/>
          <w:lang w:val="en-US" w:eastAsia="zh-CN"/>
        </w:rPr>
        <w:t xml:space="preserve"> 2018; </w:t>
      </w:r>
      <w:r w:rsidRPr="00414407">
        <w:rPr>
          <w:rFonts w:ascii="Book Antiqua" w:hAnsi="Book Antiqua"/>
          <w:b/>
          <w:kern w:val="2"/>
          <w:sz w:val="24"/>
          <w:szCs w:val="24"/>
          <w:lang w:val="en-US" w:eastAsia="zh-CN"/>
        </w:rPr>
        <w:t>46</w:t>
      </w:r>
      <w:r w:rsidRPr="00414407">
        <w:rPr>
          <w:rFonts w:ascii="Book Antiqua" w:hAnsi="Book Antiqua"/>
          <w:kern w:val="2"/>
          <w:sz w:val="24"/>
          <w:szCs w:val="24"/>
          <w:lang w:val="en-US" w:eastAsia="zh-CN"/>
        </w:rPr>
        <w:t>: 951-964 [PMID: 28984178 DOI: 10.1177/0300060517731684]</w:t>
      </w:r>
    </w:p>
    <w:p w14:paraId="23152508"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115 </w:t>
      </w:r>
      <w:r w:rsidRPr="00414407">
        <w:rPr>
          <w:rFonts w:ascii="Book Antiqua" w:hAnsi="Book Antiqua"/>
          <w:b/>
          <w:kern w:val="2"/>
          <w:sz w:val="24"/>
          <w:szCs w:val="24"/>
          <w:lang w:val="en-US" w:eastAsia="zh-CN"/>
        </w:rPr>
        <w:t>Egusa H</w:t>
      </w:r>
      <w:r w:rsidRPr="00414407">
        <w:rPr>
          <w:rFonts w:ascii="Book Antiqua" w:hAnsi="Book Antiqua"/>
          <w:kern w:val="2"/>
          <w:sz w:val="24"/>
          <w:szCs w:val="24"/>
          <w:lang w:val="en-US" w:eastAsia="zh-CN"/>
        </w:rPr>
        <w:t xml:space="preserve">, Sonoyama W, Nishimura M, Atsuta I, Akiyama K. Stem cells in dentistry--Part II: Clinical applications. </w:t>
      </w:r>
      <w:r w:rsidRPr="00414407">
        <w:rPr>
          <w:rFonts w:ascii="Book Antiqua" w:hAnsi="Book Antiqua"/>
          <w:i/>
          <w:kern w:val="2"/>
          <w:sz w:val="24"/>
          <w:szCs w:val="24"/>
          <w:lang w:val="en-US" w:eastAsia="zh-CN"/>
        </w:rPr>
        <w:t>J Prosthodont Res</w:t>
      </w:r>
      <w:r w:rsidRPr="00414407">
        <w:rPr>
          <w:rFonts w:ascii="Book Antiqua" w:hAnsi="Book Antiqua"/>
          <w:kern w:val="2"/>
          <w:sz w:val="24"/>
          <w:szCs w:val="24"/>
          <w:lang w:val="en-US" w:eastAsia="zh-CN"/>
        </w:rPr>
        <w:t xml:space="preserve"> 2012; </w:t>
      </w:r>
      <w:r w:rsidRPr="00414407">
        <w:rPr>
          <w:rFonts w:ascii="Book Antiqua" w:hAnsi="Book Antiqua"/>
          <w:b/>
          <w:kern w:val="2"/>
          <w:sz w:val="24"/>
          <w:szCs w:val="24"/>
          <w:lang w:val="en-US" w:eastAsia="zh-CN"/>
        </w:rPr>
        <w:t>56</w:t>
      </w:r>
      <w:r w:rsidRPr="00414407">
        <w:rPr>
          <w:rFonts w:ascii="Book Antiqua" w:hAnsi="Book Antiqua"/>
          <w:kern w:val="2"/>
          <w:sz w:val="24"/>
          <w:szCs w:val="24"/>
          <w:lang w:val="en-US" w:eastAsia="zh-CN"/>
        </w:rPr>
        <w:t xml:space="preserve">: 229-248 [PMID: 23137671 DOI: </w:t>
      </w:r>
      <w:r w:rsidRPr="00414407">
        <w:rPr>
          <w:rFonts w:ascii="Book Antiqua" w:hAnsi="Book Antiqua"/>
          <w:kern w:val="2"/>
          <w:sz w:val="24"/>
          <w:szCs w:val="24"/>
          <w:lang w:val="en-US" w:eastAsia="zh-CN"/>
        </w:rPr>
        <w:lastRenderedPageBreak/>
        <w:t>10.1016/j.jpor.2012.10.001]</w:t>
      </w:r>
    </w:p>
    <w:p w14:paraId="7D3A6DEF"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116 </w:t>
      </w:r>
      <w:r w:rsidRPr="00414407">
        <w:rPr>
          <w:rFonts w:ascii="Book Antiqua" w:hAnsi="Book Antiqua"/>
          <w:b/>
          <w:kern w:val="2"/>
          <w:sz w:val="24"/>
          <w:szCs w:val="24"/>
          <w:lang w:val="en-US" w:eastAsia="zh-CN"/>
        </w:rPr>
        <w:t>Miran S</w:t>
      </w:r>
      <w:r w:rsidRPr="00414407">
        <w:rPr>
          <w:rFonts w:ascii="Book Antiqua" w:hAnsi="Book Antiqua"/>
          <w:kern w:val="2"/>
          <w:sz w:val="24"/>
          <w:szCs w:val="24"/>
          <w:lang w:val="en-US" w:eastAsia="zh-CN"/>
        </w:rPr>
        <w:t xml:space="preserve">, Mitsiadis TA, Pagella P. Innovative Dental Stem Cell-Based Research Approaches: The Future of Dentistry. </w:t>
      </w:r>
      <w:r w:rsidRPr="00414407">
        <w:rPr>
          <w:rFonts w:ascii="Book Antiqua" w:hAnsi="Book Antiqua"/>
          <w:i/>
          <w:kern w:val="2"/>
          <w:sz w:val="24"/>
          <w:szCs w:val="24"/>
          <w:lang w:val="en-US" w:eastAsia="zh-CN"/>
        </w:rPr>
        <w:t>Stem Cells Int</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2016</w:t>
      </w:r>
      <w:r w:rsidRPr="00414407">
        <w:rPr>
          <w:rFonts w:ascii="Book Antiqua" w:hAnsi="Book Antiqua"/>
          <w:kern w:val="2"/>
          <w:sz w:val="24"/>
          <w:szCs w:val="24"/>
          <w:lang w:val="en-US" w:eastAsia="zh-CN"/>
        </w:rPr>
        <w:t>: 7231038 [PMID: 27648076 DOI: 10.1155/2016/7231038]</w:t>
      </w:r>
    </w:p>
    <w:p w14:paraId="45985559" w14:textId="77777777" w:rsidR="00414407" w:rsidRPr="00414407" w:rsidRDefault="00414407" w:rsidP="00D048E9">
      <w:pPr>
        <w:widowControl w:val="0"/>
        <w:adjustRightInd w:val="0"/>
        <w:snapToGrid w:val="0"/>
        <w:spacing w:after="0" w:line="360" w:lineRule="auto"/>
        <w:jc w:val="both"/>
        <w:rPr>
          <w:rFonts w:ascii="Book Antiqua" w:hAnsi="Book Antiqua"/>
          <w:kern w:val="2"/>
          <w:sz w:val="24"/>
          <w:szCs w:val="24"/>
          <w:lang w:val="en-US" w:eastAsia="zh-CN"/>
        </w:rPr>
      </w:pPr>
      <w:r w:rsidRPr="00414407">
        <w:rPr>
          <w:rFonts w:ascii="Book Antiqua" w:hAnsi="Book Antiqua"/>
          <w:kern w:val="2"/>
          <w:sz w:val="24"/>
          <w:szCs w:val="24"/>
          <w:lang w:val="en-US" w:eastAsia="zh-CN"/>
        </w:rPr>
        <w:t xml:space="preserve">117 </w:t>
      </w:r>
      <w:r w:rsidRPr="00414407">
        <w:rPr>
          <w:rFonts w:ascii="Book Antiqua" w:hAnsi="Book Antiqua"/>
          <w:b/>
          <w:kern w:val="2"/>
          <w:sz w:val="24"/>
          <w:szCs w:val="24"/>
          <w:lang w:val="en-US" w:eastAsia="zh-CN"/>
        </w:rPr>
        <w:t>Amrollahi P</w:t>
      </w:r>
      <w:r w:rsidRPr="00414407">
        <w:rPr>
          <w:rFonts w:ascii="Book Antiqua" w:hAnsi="Book Antiqua"/>
          <w:kern w:val="2"/>
          <w:sz w:val="24"/>
          <w:szCs w:val="24"/>
          <w:lang w:val="en-US" w:eastAsia="zh-CN"/>
        </w:rPr>
        <w:t xml:space="preserve">, Shah B, Seifi A, Tayebi L. Recent advancements in regenerative dentistry: A review. </w:t>
      </w:r>
      <w:r w:rsidRPr="00414407">
        <w:rPr>
          <w:rFonts w:ascii="Book Antiqua" w:hAnsi="Book Antiqua"/>
          <w:i/>
          <w:kern w:val="2"/>
          <w:sz w:val="24"/>
          <w:szCs w:val="24"/>
          <w:lang w:val="en-US" w:eastAsia="zh-CN"/>
        </w:rPr>
        <w:t>Mater Sci Eng C Mater Biol Appl</w:t>
      </w:r>
      <w:r w:rsidRPr="00414407">
        <w:rPr>
          <w:rFonts w:ascii="Book Antiqua" w:hAnsi="Book Antiqua"/>
          <w:kern w:val="2"/>
          <w:sz w:val="24"/>
          <w:szCs w:val="24"/>
          <w:lang w:val="en-US" w:eastAsia="zh-CN"/>
        </w:rPr>
        <w:t xml:space="preserve"> 2016; </w:t>
      </w:r>
      <w:r w:rsidRPr="00414407">
        <w:rPr>
          <w:rFonts w:ascii="Book Antiqua" w:hAnsi="Book Antiqua"/>
          <w:b/>
          <w:kern w:val="2"/>
          <w:sz w:val="24"/>
          <w:szCs w:val="24"/>
          <w:lang w:val="en-US" w:eastAsia="zh-CN"/>
        </w:rPr>
        <w:t>69</w:t>
      </w:r>
      <w:r w:rsidRPr="00414407">
        <w:rPr>
          <w:rFonts w:ascii="Book Antiqua" w:hAnsi="Book Antiqua"/>
          <w:kern w:val="2"/>
          <w:sz w:val="24"/>
          <w:szCs w:val="24"/>
          <w:lang w:val="en-US" w:eastAsia="zh-CN"/>
        </w:rPr>
        <w:t>: 1383-1390 [PMID: 27612840 DOI: 10.1016/j.msec.2016.08.045]</w:t>
      </w:r>
    </w:p>
    <w:p w14:paraId="667EC826" w14:textId="77777777" w:rsidR="00BC7526" w:rsidRDefault="00BC7526" w:rsidP="00D048E9">
      <w:pPr>
        <w:adjustRightInd w:val="0"/>
        <w:snapToGrid w:val="0"/>
        <w:spacing w:after="0" w:line="360" w:lineRule="auto"/>
        <w:jc w:val="right"/>
        <w:rPr>
          <w:rFonts w:ascii="Book Antiqua" w:hAnsi="Book Antiqua"/>
          <w:b/>
          <w:bCs/>
          <w:sz w:val="24"/>
          <w:szCs w:val="24"/>
        </w:rPr>
      </w:pPr>
      <w:bookmarkStart w:id="187" w:name="OLE_LINK62"/>
      <w:bookmarkStart w:id="188" w:name="OLE_LINK63"/>
      <w:bookmarkStart w:id="189" w:name="OLE_LINK68"/>
      <w:bookmarkStart w:id="190" w:name="OLE_LINK115"/>
      <w:bookmarkStart w:id="191" w:name="OLE_LINK93"/>
      <w:bookmarkStart w:id="192" w:name="OLE_LINK96"/>
      <w:bookmarkStart w:id="193" w:name="OLE_LINK140"/>
      <w:bookmarkStart w:id="194" w:name="OLE_LINK112"/>
      <w:bookmarkStart w:id="195" w:name="OLE_LINK174"/>
      <w:bookmarkStart w:id="196" w:name="OLE_LINK183"/>
      <w:bookmarkStart w:id="197" w:name="OLE_LINK194"/>
      <w:bookmarkStart w:id="198" w:name="OLE_LINK173"/>
      <w:bookmarkStart w:id="199" w:name="OLE_LINK192"/>
      <w:bookmarkStart w:id="200" w:name="OLE_LINK224"/>
      <w:bookmarkStart w:id="201" w:name="OLE_LINK243"/>
      <w:bookmarkStart w:id="202" w:name="OLE_LINK337"/>
      <w:bookmarkStart w:id="203" w:name="OLE_LINK212"/>
      <w:bookmarkStart w:id="204" w:name="OLE_LINK244"/>
      <w:bookmarkStart w:id="205" w:name="OLE_LINK214"/>
      <w:bookmarkStart w:id="206" w:name="OLE_LINK220"/>
      <w:bookmarkStart w:id="207" w:name="OLE_LINK228"/>
      <w:bookmarkStart w:id="208" w:name="OLE_LINK100"/>
      <w:bookmarkStart w:id="209" w:name="OLE_LINK177"/>
      <w:bookmarkStart w:id="210" w:name="OLE_LINK305"/>
      <w:bookmarkStart w:id="211" w:name="OLE_LINK445"/>
    </w:p>
    <w:p w14:paraId="43622903" w14:textId="7E498BA2" w:rsidR="00414407" w:rsidRPr="00356DDD" w:rsidRDefault="00414407" w:rsidP="00D048E9">
      <w:pPr>
        <w:adjustRightInd w:val="0"/>
        <w:snapToGrid w:val="0"/>
        <w:spacing w:after="0" w:line="360" w:lineRule="auto"/>
        <w:jc w:val="right"/>
        <w:rPr>
          <w:rFonts w:ascii="Book Antiqua" w:hAnsi="Book Antiqua"/>
          <w:b/>
          <w:bCs/>
          <w:sz w:val="24"/>
          <w:szCs w:val="24"/>
        </w:rPr>
      </w:pPr>
      <w:r w:rsidRPr="00356DDD">
        <w:rPr>
          <w:rFonts w:ascii="Book Antiqua" w:hAnsi="Book Antiqua"/>
          <w:b/>
          <w:bCs/>
          <w:sz w:val="24"/>
          <w:szCs w:val="24"/>
        </w:rPr>
        <w:t xml:space="preserve">P-Reviewer: </w:t>
      </w:r>
      <w:r w:rsidR="009B0D88" w:rsidRPr="009B0D88">
        <w:rPr>
          <w:rFonts w:ascii="Book Antiqua" w:hAnsi="Book Antiqua"/>
          <w:bCs/>
          <w:sz w:val="24"/>
          <w:szCs w:val="24"/>
        </w:rPr>
        <w:t>Fatkhudinov</w:t>
      </w:r>
      <w:r w:rsidR="009B0D88" w:rsidRPr="009B0D88">
        <w:rPr>
          <w:rFonts w:ascii="Book Antiqua" w:hAnsi="Book Antiqua" w:hint="eastAsia"/>
          <w:bCs/>
          <w:sz w:val="24"/>
          <w:szCs w:val="24"/>
          <w:lang w:eastAsia="zh-CN"/>
        </w:rPr>
        <w:t xml:space="preserve"> T, </w:t>
      </w:r>
      <w:r w:rsidR="009B0D88" w:rsidRPr="009B0D88">
        <w:rPr>
          <w:rFonts w:ascii="Book Antiqua" w:hAnsi="Book Antiqua"/>
          <w:bCs/>
          <w:sz w:val="24"/>
          <w:szCs w:val="24"/>
          <w:lang w:eastAsia="zh-CN"/>
        </w:rPr>
        <w:t>He</w:t>
      </w:r>
      <w:r w:rsidR="009B0D88" w:rsidRPr="009B0D88">
        <w:rPr>
          <w:rFonts w:ascii="Book Antiqua" w:hAnsi="Book Antiqua" w:hint="eastAsia"/>
          <w:bCs/>
          <w:sz w:val="24"/>
          <w:szCs w:val="24"/>
          <w:lang w:eastAsia="zh-CN"/>
        </w:rPr>
        <w:t xml:space="preserve"> </w:t>
      </w:r>
      <w:proofErr w:type="gramStart"/>
      <w:r w:rsidR="009B0D88" w:rsidRPr="009B0D88">
        <w:rPr>
          <w:rFonts w:ascii="Book Antiqua" w:hAnsi="Book Antiqua" w:hint="eastAsia"/>
          <w:bCs/>
          <w:sz w:val="24"/>
          <w:szCs w:val="24"/>
          <w:lang w:eastAsia="zh-CN"/>
        </w:rPr>
        <w:t>SQ</w:t>
      </w:r>
      <w:r w:rsidRPr="009B0D88">
        <w:rPr>
          <w:rFonts w:ascii="Book Antiqua" w:hAnsi="Book Antiqua" w:hint="eastAsia"/>
          <w:bCs/>
          <w:sz w:val="24"/>
          <w:szCs w:val="24"/>
        </w:rPr>
        <w:t xml:space="preserve">,  </w:t>
      </w:r>
      <w:r w:rsidR="009B0D88" w:rsidRPr="009B0D88">
        <w:rPr>
          <w:rFonts w:ascii="Book Antiqua" w:hAnsi="Book Antiqua"/>
          <w:bCs/>
          <w:sz w:val="24"/>
          <w:szCs w:val="24"/>
        </w:rPr>
        <w:t>Zheng</w:t>
      </w:r>
      <w:proofErr w:type="gramEnd"/>
      <w:r w:rsidR="009B0D88" w:rsidRPr="009B0D88">
        <w:rPr>
          <w:rFonts w:ascii="Book Antiqua" w:hAnsi="Book Antiqua" w:hint="eastAsia"/>
          <w:bCs/>
          <w:sz w:val="24"/>
          <w:szCs w:val="24"/>
          <w:lang w:eastAsia="zh-CN"/>
        </w:rPr>
        <w:t xml:space="preserve"> YW</w:t>
      </w:r>
      <w:r w:rsidR="009B0D88">
        <w:rPr>
          <w:rFonts w:ascii="Book Antiqua" w:hAnsi="Book Antiqua" w:hint="eastAsia"/>
          <w:b/>
          <w:bCs/>
          <w:sz w:val="24"/>
          <w:szCs w:val="24"/>
          <w:lang w:eastAsia="zh-CN"/>
        </w:rPr>
        <w:t xml:space="preserve"> </w:t>
      </w:r>
      <w:r w:rsidRPr="00356DDD">
        <w:rPr>
          <w:rFonts w:ascii="Book Antiqua" w:hAnsi="Book Antiqua"/>
          <w:b/>
          <w:bCs/>
          <w:sz w:val="24"/>
          <w:szCs w:val="24"/>
        </w:rPr>
        <w:t>S-Editor:</w:t>
      </w:r>
      <w:r w:rsidRPr="00356DDD">
        <w:rPr>
          <w:rFonts w:ascii="Book Antiqua" w:hAnsi="Book Antiqua"/>
          <w:sz w:val="24"/>
          <w:szCs w:val="24"/>
        </w:rPr>
        <w:t xml:space="preserve"> </w:t>
      </w:r>
      <w:r w:rsidRPr="00356DDD">
        <w:rPr>
          <w:rFonts w:ascii="Book Antiqua" w:hAnsi="Book Antiqua" w:hint="eastAsia"/>
          <w:sz w:val="24"/>
          <w:szCs w:val="24"/>
        </w:rPr>
        <w:t xml:space="preserve">Ma YJ </w:t>
      </w:r>
      <w:r w:rsidRPr="00356DDD">
        <w:rPr>
          <w:rFonts w:ascii="Book Antiqua" w:hAnsi="Book Antiqua"/>
          <w:b/>
          <w:bCs/>
          <w:sz w:val="24"/>
          <w:szCs w:val="24"/>
        </w:rPr>
        <w:t>L-Editor:</w:t>
      </w:r>
      <w:r w:rsidRPr="00356DDD">
        <w:rPr>
          <w:rFonts w:ascii="Book Antiqua" w:hAnsi="Book Antiqua"/>
          <w:sz w:val="24"/>
          <w:szCs w:val="24"/>
        </w:rPr>
        <w:t xml:space="preserve"> </w:t>
      </w:r>
      <w:r w:rsidRPr="00356DDD">
        <w:rPr>
          <w:rFonts w:ascii="Book Antiqua" w:hAnsi="Book Antiqua" w:hint="eastAsia"/>
          <w:sz w:val="24"/>
          <w:szCs w:val="24"/>
        </w:rPr>
        <w:t xml:space="preserve"> </w:t>
      </w:r>
      <w:r w:rsidRPr="00356DDD">
        <w:rPr>
          <w:rFonts w:ascii="Book Antiqua" w:hAnsi="Book Antiqua"/>
          <w:sz w:val="24"/>
          <w:szCs w:val="24"/>
        </w:rPr>
        <w:t xml:space="preserve"> </w:t>
      </w:r>
      <w:r w:rsidRPr="00356DDD">
        <w:rPr>
          <w:rFonts w:ascii="Book Antiqua" w:hAnsi="Book Antiqua"/>
          <w:b/>
          <w:bCs/>
          <w:sz w:val="24"/>
          <w:szCs w:val="24"/>
        </w:rPr>
        <w:t>E-Editor:</w:t>
      </w:r>
    </w:p>
    <w:p w14:paraId="27CC2172" w14:textId="77777777" w:rsidR="00414407" w:rsidRPr="00356DDD" w:rsidRDefault="00414407" w:rsidP="00D048E9">
      <w:pPr>
        <w:adjustRightInd w:val="0"/>
        <w:snapToGrid w:val="0"/>
        <w:spacing w:after="0" w:line="360" w:lineRule="auto"/>
        <w:rPr>
          <w:rFonts w:ascii="Arial" w:hAnsi="Arial" w:cs="Arial"/>
          <w:b/>
          <w:bCs/>
          <w:color w:val="2B2B2B"/>
          <w:sz w:val="24"/>
          <w:szCs w:val="24"/>
          <w:shd w:val="clear" w:color="auto" w:fill="FAFAFA"/>
        </w:rPr>
      </w:pPr>
    </w:p>
    <w:p w14:paraId="5D2BE595" w14:textId="61E073A7" w:rsidR="00414407" w:rsidRPr="00356DDD" w:rsidRDefault="00414407" w:rsidP="00D048E9">
      <w:pPr>
        <w:shd w:val="clear" w:color="auto" w:fill="FFFFFF"/>
        <w:adjustRightInd w:val="0"/>
        <w:snapToGrid w:val="0"/>
        <w:spacing w:after="0" w:line="360" w:lineRule="auto"/>
        <w:rPr>
          <w:rFonts w:ascii="Book Antiqua" w:hAnsi="Book Antiqua" w:cs="Helvetica"/>
          <w:b/>
          <w:sz w:val="24"/>
          <w:szCs w:val="24"/>
        </w:rPr>
      </w:pPr>
      <w:r w:rsidRPr="00356DDD">
        <w:rPr>
          <w:rFonts w:ascii="Book Antiqua" w:hAnsi="Book Antiqua" w:cs="Helvetica"/>
          <w:b/>
          <w:sz w:val="24"/>
          <w:szCs w:val="24"/>
        </w:rPr>
        <w:t xml:space="preserve">Specialty type: </w:t>
      </w:r>
      <w:bookmarkStart w:id="212" w:name="OLE_LINK264"/>
      <w:bookmarkStart w:id="213" w:name="OLE_LINK265"/>
      <w:r w:rsidR="00DE3571" w:rsidRPr="00E700C2">
        <w:rPr>
          <w:rFonts w:ascii="Book Antiqua" w:eastAsia="Microsoft YaHei" w:hAnsi="Book Antiqua" w:cs="SimSun"/>
          <w:sz w:val="24"/>
          <w:szCs w:val="24"/>
        </w:rPr>
        <w:t>Cell and tissue engineering</w:t>
      </w:r>
      <w:bookmarkEnd w:id="212"/>
      <w:bookmarkEnd w:id="213"/>
    </w:p>
    <w:p w14:paraId="781376CB" w14:textId="19E5DFB2" w:rsidR="00414407" w:rsidRPr="00356DDD" w:rsidRDefault="00414407" w:rsidP="00D048E9">
      <w:pPr>
        <w:shd w:val="clear" w:color="auto" w:fill="FFFFFF"/>
        <w:adjustRightInd w:val="0"/>
        <w:snapToGrid w:val="0"/>
        <w:spacing w:after="0" w:line="360" w:lineRule="auto"/>
        <w:rPr>
          <w:rFonts w:ascii="Book Antiqua" w:hAnsi="Book Antiqua" w:cs="Helvetica"/>
          <w:sz w:val="24"/>
          <w:szCs w:val="24"/>
        </w:rPr>
      </w:pPr>
      <w:r w:rsidRPr="00356DDD">
        <w:rPr>
          <w:rFonts w:ascii="Book Antiqua" w:hAnsi="Book Antiqua" w:cs="Helvetica"/>
          <w:b/>
          <w:sz w:val="24"/>
          <w:szCs w:val="24"/>
        </w:rPr>
        <w:t>Country of origin:</w:t>
      </w:r>
      <w:r w:rsidRPr="00356DDD">
        <w:rPr>
          <w:rFonts w:ascii="Book Antiqua" w:hAnsi="Book Antiqua" w:cs="Helvetica"/>
          <w:sz w:val="24"/>
          <w:szCs w:val="24"/>
        </w:rPr>
        <w:t xml:space="preserve"> </w:t>
      </w:r>
      <w:r w:rsidR="007D5CF7" w:rsidRPr="007D5CF7">
        <w:rPr>
          <w:rFonts w:ascii="Book Antiqua" w:hAnsi="Book Antiqua" w:cs="Helvetica"/>
          <w:sz w:val="24"/>
          <w:szCs w:val="24"/>
        </w:rPr>
        <w:t>Germany</w:t>
      </w:r>
    </w:p>
    <w:p w14:paraId="1DC138A4" w14:textId="77777777" w:rsidR="00414407" w:rsidRPr="00356DDD" w:rsidRDefault="00414407" w:rsidP="00D048E9">
      <w:pPr>
        <w:shd w:val="clear" w:color="auto" w:fill="FFFFFF"/>
        <w:adjustRightInd w:val="0"/>
        <w:snapToGrid w:val="0"/>
        <w:spacing w:after="0" w:line="360" w:lineRule="auto"/>
        <w:rPr>
          <w:rFonts w:ascii="Book Antiqua" w:hAnsi="Book Antiqua" w:cs="Helvetica"/>
          <w:b/>
          <w:sz w:val="24"/>
          <w:szCs w:val="24"/>
        </w:rPr>
      </w:pPr>
      <w:r w:rsidRPr="00356DDD">
        <w:rPr>
          <w:rFonts w:ascii="Book Antiqua" w:hAnsi="Book Antiqua" w:cs="Helvetica"/>
          <w:b/>
          <w:sz w:val="24"/>
          <w:szCs w:val="24"/>
        </w:rPr>
        <w:t>Peer-review report classification</w:t>
      </w:r>
    </w:p>
    <w:p w14:paraId="18A6BED4" w14:textId="77777777" w:rsidR="00414407" w:rsidRPr="00356DDD" w:rsidRDefault="00414407" w:rsidP="00D048E9">
      <w:pPr>
        <w:shd w:val="clear" w:color="auto" w:fill="FFFFFF"/>
        <w:adjustRightInd w:val="0"/>
        <w:snapToGrid w:val="0"/>
        <w:spacing w:after="0" w:line="360" w:lineRule="auto"/>
        <w:rPr>
          <w:rFonts w:ascii="Book Antiqua" w:hAnsi="Book Antiqua" w:cs="Helvetica"/>
          <w:sz w:val="24"/>
          <w:szCs w:val="24"/>
        </w:rPr>
      </w:pPr>
      <w:r w:rsidRPr="00356DDD">
        <w:rPr>
          <w:rFonts w:ascii="Book Antiqua" w:hAnsi="Book Antiqua" w:cs="Helvetica"/>
          <w:sz w:val="24"/>
          <w:szCs w:val="24"/>
        </w:rPr>
        <w:t xml:space="preserve">Grade A (Excellent): </w:t>
      </w:r>
      <w:r w:rsidRPr="00356DDD">
        <w:rPr>
          <w:rFonts w:ascii="Book Antiqua" w:hAnsi="Book Antiqua" w:cs="Helvetica" w:hint="eastAsia"/>
          <w:sz w:val="24"/>
          <w:szCs w:val="24"/>
        </w:rPr>
        <w:t>0</w:t>
      </w:r>
    </w:p>
    <w:p w14:paraId="4FF376EC" w14:textId="38F896FB" w:rsidR="00414407" w:rsidRPr="00356DDD" w:rsidRDefault="00414407" w:rsidP="00D048E9">
      <w:pPr>
        <w:shd w:val="clear" w:color="auto" w:fill="FFFFFF"/>
        <w:adjustRightInd w:val="0"/>
        <w:snapToGrid w:val="0"/>
        <w:spacing w:after="0" w:line="360" w:lineRule="auto"/>
        <w:rPr>
          <w:rFonts w:ascii="Book Antiqua" w:hAnsi="Book Antiqua" w:cs="Helvetica"/>
          <w:sz w:val="24"/>
          <w:szCs w:val="24"/>
        </w:rPr>
      </w:pPr>
      <w:r w:rsidRPr="00356DDD">
        <w:rPr>
          <w:rFonts w:ascii="Book Antiqua" w:hAnsi="Book Antiqua" w:cs="Helvetica"/>
          <w:sz w:val="24"/>
          <w:szCs w:val="24"/>
        </w:rPr>
        <w:t xml:space="preserve">Grade B (Very good): </w:t>
      </w:r>
      <w:r w:rsidRPr="00356DDD">
        <w:rPr>
          <w:rFonts w:ascii="Book Antiqua" w:hAnsi="Book Antiqua" w:cs="Helvetica" w:hint="eastAsia"/>
          <w:sz w:val="24"/>
          <w:szCs w:val="24"/>
        </w:rPr>
        <w:t>B</w:t>
      </w:r>
      <w:r>
        <w:rPr>
          <w:rFonts w:ascii="Book Antiqua" w:hAnsi="Book Antiqua" w:cs="Helvetica" w:hint="eastAsia"/>
          <w:sz w:val="24"/>
          <w:szCs w:val="24"/>
        </w:rPr>
        <w:t>, B</w:t>
      </w:r>
    </w:p>
    <w:p w14:paraId="4A262682" w14:textId="77777777" w:rsidR="00414407" w:rsidRPr="00356DDD" w:rsidRDefault="00414407" w:rsidP="00D048E9">
      <w:pPr>
        <w:shd w:val="clear" w:color="auto" w:fill="FFFFFF"/>
        <w:adjustRightInd w:val="0"/>
        <w:snapToGrid w:val="0"/>
        <w:spacing w:after="0" w:line="360" w:lineRule="auto"/>
        <w:rPr>
          <w:rFonts w:ascii="Book Antiqua" w:hAnsi="Book Antiqua" w:cs="Helvetica"/>
          <w:sz w:val="24"/>
          <w:szCs w:val="24"/>
        </w:rPr>
      </w:pPr>
      <w:r w:rsidRPr="00356DDD">
        <w:rPr>
          <w:rFonts w:ascii="Book Antiqua" w:hAnsi="Book Antiqua" w:cs="Helvetica"/>
          <w:sz w:val="24"/>
          <w:szCs w:val="24"/>
        </w:rPr>
        <w:t xml:space="preserve">Grade C (Good): </w:t>
      </w:r>
      <w:r>
        <w:rPr>
          <w:rFonts w:ascii="Book Antiqua" w:hAnsi="Book Antiqua" w:cs="Helvetica" w:hint="eastAsia"/>
          <w:sz w:val="24"/>
          <w:szCs w:val="24"/>
        </w:rPr>
        <w:t>C</w:t>
      </w:r>
    </w:p>
    <w:p w14:paraId="34A01CD9" w14:textId="77777777" w:rsidR="00414407" w:rsidRPr="00356DDD" w:rsidRDefault="00414407" w:rsidP="00D048E9">
      <w:pPr>
        <w:shd w:val="clear" w:color="auto" w:fill="FFFFFF"/>
        <w:adjustRightInd w:val="0"/>
        <w:snapToGrid w:val="0"/>
        <w:spacing w:after="0" w:line="360" w:lineRule="auto"/>
        <w:rPr>
          <w:rFonts w:ascii="Book Antiqua" w:hAnsi="Book Antiqua" w:cs="Helvetica"/>
          <w:sz w:val="24"/>
          <w:szCs w:val="24"/>
        </w:rPr>
      </w:pPr>
      <w:r w:rsidRPr="00356DDD">
        <w:rPr>
          <w:rFonts w:ascii="Book Antiqua" w:hAnsi="Book Antiqua" w:cs="Helvetica"/>
          <w:sz w:val="24"/>
          <w:szCs w:val="24"/>
        </w:rPr>
        <w:t xml:space="preserve">Grade D (Fair): </w:t>
      </w:r>
      <w:r w:rsidRPr="00356DDD">
        <w:rPr>
          <w:rFonts w:ascii="Book Antiqua" w:hAnsi="Book Antiqua" w:cs="Helvetica" w:hint="eastAsia"/>
          <w:sz w:val="24"/>
          <w:szCs w:val="24"/>
        </w:rPr>
        <w:t>0</w:t>
      </w:r>
    </w:p>
    <w:p w14:paraId="7D7F7F94" w14:textId="77777777" w:rsidR="00414407" w:rsidRPr="00356DDD" w:rsidRDefault="00414407" w:rsidP="00D048E9">
      <w:pPr>
        <w:adjustRightInd w:val="0"/>
        <w:snapToGrid w:val="0"/>
        <w:spacing w:after="0" w:line="360" w:lineRule="auto"/>
        <w:rPr>
          <w:rFonts w:ascii="Book Antiqua" w:hAnsi="Book Antiqua" w:cs="Helvetica"/>
          <w:sz w:val="24"/>
          <w:szCs w:val="24"/>
        </w:rPr>
      </w:pPr>
      <w:r w:rsidRPr="00356DDD">
        <w:rPr>
          <w:rFonts w:ascii="Book Antiqua" w:hAnsi="Book Antiqua" w:cs="Helvetica"/>
          <w:sz w:val="24"/>
          <w:szCs w:val="24"/>
        </w:rPr>
        <w:t xml:space="preserve">Grade E (Poor): </w:t>
      </w:r>
      <w:r w:rsidRPr="00356DDD">
        <w:rPr>
          <w:rFonts w:ascii="Book Antiqua" w:hAnsi="Book Antiqua" w:cs="Helvetica" w:hint="eastAsia"/>
          <w:sz w:val="24"/>
          <w:szCs w:val="24"/>
        </w:rPr>
        <w:t>0</w:t>
      </w:r>
    </w:p>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p w14:paraId="08D63BEA" w14:textId="77777777"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br w:type="page"/>
      </w:r>
    </w:p>
    <w:p w14:paraId="56E0D322" w14:textId="708854AB" w:rsidR="00A37FD9" w:rsidRPr="00E7615A" w:rsidRDefault="005E1B8A"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Pr>
          <w:rFonts w:ascii="Book Antiqua" w:hAnsi="Book Antiqua"/>
          <w:b/>
          <w:color w:val="000000" w:themeColor="text1"/>
          <w:sz w:val="24"/>
          <w:szCs w:val="24"/>
          <w:lang w:val="en-US"/>
        </w:rPr>
        <w:lastRenderedPageBreak/>
        <w:t>Table 1</w:t>
      </w:r>
      <w:r w:rsidR="00A37FD9" w:rsidRPr="005E1B8A">
        <w:rPr>
          <w:rFonts w:ascii="Book Antiqua" w:hAnsi="Book Antiqua"/>
          <w:b/>
          <w:color w:val="000000" w:themeColor="text1"/>
          <w:sz w:val="24"/>
          <w:szCs w:val="24"/>
          <w:lang w:val="en-US"/>
        </w:rPr>
        <w:t xml:space="preserve"> Overview on the treatments performed in the present study.</w:t>
      </w:r>
      <w:r w:rsidR="00C678D2" w:rsidRPr="005E1B8A">
        <w:rPr>
          <w:rFonts w:ascii="Book Antiqua" w:hAnsi="Book Antiqua"/>
          <w:b/>
          <w:color w:val="000000" w:themeColor="text1"/>
          <w:sz w:val="24"/>
          <w:szCs w:val="24"/>
          <w:lang w:val="en-US"/>
        </w:rPr>
        <w:t xml:space="preserve"> In order to prevent potential identification of the</w:t>
      </w:r>
      <w:r w:rsidRPr="005E1B8A">
        <w:rPr>
          <w:rFonts w:ascii="Book Antiqua" w:hAnsi="Book Antiqua"/>
          <w:b/>
          <w:color w:val="000000" w:themeColor="text1"/>
          <w:sz w:val="24"/>
          <w:szCs w:val="24"/>
          <w:lang w:val="en-US"/>
        </w:rPr>
        <w:t xml:space="preserve"> patient the timeline was coded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46"/>
        <w:gridCol w:w="2576"/>
        <w:gridCol w:w="5238"/>
      </w:tblGrid>
      <w:tr w:rsidR="00A37FD9" w:rsidRPr="00E7615A" w14:paraId="6D2AB70C" w14:textId="77777777" w:rsidTr="0075552A">
        <w:tc>
          <w:tcPr>
            <w:tcW w:w="1548" w:type="dxa"/>
            <w:tcBorders>
              <w:top w:val="single" w:sz="12" w:space="0" w:color="auto"/>
              <w:bottom w:val="single" w:sz="12" w:space="0" w:color="auto"/>
            </w:tcBorders>
          </w:tcPr>
          <w:p w14:paraId="0A10A123" w14:textId="77777777" w:rsidR="00A37FD9" w:rsidRPr="00E7615A" w:rsidRDefault="00A37FD9" w:rsidP="00D048E9">
            <w:pPr>
              <w:widowControl w:val="0"/>
              <w:adjustRightInd w:val="0"/>
              <w:snapToGrid w:val="0"/>
              <w:spacing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Treatments</w:t>
            </w:r>
          </w:p>
        </w:tc>
        <w:tc>
          <w:tcPr>
            <w:tcW w:w="2610" w:type="dxa"/>
            <w:tcBorders>
              <w:top w:val="single" w:sz="12" w:space="0" w:color="auto"/>
              <w:bottom w:val="single" w:sz="12" w:space="0" w:color="auto"/>
            </w:tcBorders>
          </w:tcPr>
          <w:p w14:paraId="3B0270C4" w14:textId="77777777" w:rsidR="00A37FD9" w:rsidRPr="00E7615A" w:rsidRDefault="00A37FD9" w:rsidP="00D048E9">
            <w:pPr>
              <w:widowControl w:val="0"/>
              <w:adjustRightInd w:val="0"/>
              <w:snapToGrid w:val="0"/>
              <w:spacing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Timepoint</w:t>
            </w:r>
          </w:p>
        </w:tc>
        <w:tc>
          <w:tcPr>
            <w:tcW w:w="5342" w:type="dxa"/>
            <w:tcBorders>
              <w:top w:val="single" w:sz="12" w:space="0" w:color="auto"/>
              <w:bottom w:val="single" w:sz="12" w:space="0" w:color="auto"/>
            </w:tcBorders>
          </w:tcPr>
          <w:p w14:paraId="67ACD9C1" w14:textId="77777777" w:rsidR="00A37FD9" w:rsidRPr="00E7615A" w:rsidRDefault="00A37FD9" w:rsidP="00D048E9">
            <w:pPr>
              <w:widowControl w:val="0"/>
              <w:adjustRightInd w:val="0"/>
              <w:snapToGrid w:val="0"/>
              <w:spacing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Procedures</w:t>
            </w:r>
          </w:p>
        </w:tc>
      </w:tr>
      <w:tr w:rsidR="00A37FD9" w:rsidRPr="00E7615A" w14:paraId="40D6E12A" w14:textId="77777777" w:rsidTr="0075552A">
        <w:tc>
          <w:tcPr>
            <w:tcW w:w="1548" w:type="dxa"/>
            <w:tcBorders>
              <w:top w:val="single" w:sz="12" w:space="0" w:color="auto"/>
            </w:tcBorders>
          </w:tcPr>
          <w:p w14:paraId="1ABD43D1"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Pre-phase</w:t>
            </w:r>
          </w:p>
        </w:tc>
        <w:tc>
          <w:tcPr>
            <w:tcW w:w="2610" w:type="dxa"/>
            <w:tcBorders>
              <w:top w:val="single" w:sz="12" w:space="0" w:color="auto"/>
            </w:tcBorders>
          </w:tcPr>
          <w:p w14:paraId="69DF7786"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T0</w:t>
            </w:r>
          </w:p>
        </w:tc>
        <w:tc>
          <w:tcPr>
            <w:tcW w:w="5342" w:type="dxa"/>
            <w:tcBorders>
              <w:top w:val="single" w:sz="12" w:space="0" w:color="auto"/>
            </w:tcBorders>
          </w:tcPr>
          <w:p w14:paraId="3CF93E46"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Evaluation of the patient</w:t>
            </w:r>
          </w:p>
        </w:tc>
      </w:tr>
      <w:tr w:rsidR="00A37FD9" w:rsidRPr="00E7615A" w14:paraId="4D711105" w14:textId="77777777" w:rsidTr="0075552A">
        <w:tc>
          <w:tcPr>
            <w:tcW w:w="1548" w:type="dxa"/>
          </w:tcPr>
          <w:p w14:paraId="0E88EB04"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Preparatory steps</w:t>
            </w:r>
          </w:p>
        </w:tc>
        <w:tc>
          <w:tcPr>
            <w:tcW w:w="2610" w:type="dxa"/>
          </w:tcPr>
          <w:p w14:paraId="35ACBB5D"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T1 (4 months after T0)</w:t>
            </w:r>
          </w:p>
        </w:tc>
        <w:tc>
          <w:tcPr>
            <w:tcW w:w="5342" w:type="dxa"/>
          </w:tcPr>
          <w:p w14:paraId="3E9CC07E"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Preparation of plasma rich in growth factors (PRGF-2)</w:t>
            </w:r>
          </w:p>
          <w:p w14:paraId="1E917638"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Isolation of unmodified, autologous adipose derived regenerative cells (UA-ADRCs)</w:t>
            </w:r>
          </w:p>
        </w:tc>
      </w:tr>
      <w:tr w:rsidR="00A37FD9" w:rsidRPr="00E7615A" w14:paraId="13329F76" w14:textId="77777777" w:rsidTr="0075552A">
        <w:tc>
          <w:tcPr>
            <w:tcW w:w="1548" w:type="dxa"/>
          </w:tcPr>
          <w:p w14:paraId="05A6BC05"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1</w:t>
            </w:r>
          </w:p>
        </w:tc>
        <w:tc>
          <w:tcPr>
            <w:tcW w:w="2610" w:type="dxa"/>
          </w:tcPr>
          <w:p w14:paraId="6887BF11"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T1 (GBR-MSA)</w:t>
            </w:r>
          </w:p>
        </w:tc>
        <w:tc>
          <w:tcPr>
            <w:tcW w:w="5342" w:type="dxa"/>
          </w:tcPr>
          <w:p w14:paraId="3AB9D24E"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Extraction of tooth # 14</w:t>
            </w:r>
          </w:p>
          <w:p w14:paraId="05C5E018"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Ridge preservation and external sinus lift procedures</w:t>
            </w:r>
          </w:p>
        </w:tc>
      </w:tr>
      <w:tr w:rsidR="00A37FD9" w:rsidRPr="00E7615A" w14:paraId="01CDA934" w14:textId="77777777" w:rsidTr="0075552A">
        <w:tc>
          <w:tcPr>
            <w:tcW w:w="1548" w:type="dxa"/>
          </w:tcPr>
          <w:p w14:paraId="181C21D3"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2</w:t>
            </w:r>
          </w:p>
        </w:tc>
        <w:tc>
          <w:tcPr>
            <w:tcW w:w="2610" w:type="dxa"/>
          </w:tcPr>
          <w:p w14:paraId="0A4A58B9" w14:textId="0284ED39" w:rsidR="00A37FD9" w:rsidRPr="00E7615A" w:rsidRDefault="00DE7DB2"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T2 (6 wk</w:t>
            </w:r>
            <w:r w:rsidR="00A37FD9" w:rsidRPr="00E7615A">
              <w:rPr>
                <w:rFonts w:ascii="Book Antiqua" w:hAnsi="Book Antiqua"/>
                <w:color w:val="000000" w:themeColor="text1"/>
                <w:sz w:val="24"/>
                <w:szCs w:val="24"/>
                <w:lang w:val="en-US"/>
              </w:rPr>
              <w:t xml:space="preserve"> after T1)</w:t>
            </w:r>
          </w:p>
        </w:tc>
        <w:tc>
          <w:tcPr>
            <w:tcW w:w="5342" w:type="dxa"/>
          </w:tcPr>
          <w:p w14:paraId="613A661B"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Extraction of teeth # 11, #12 and #22</w:t>
            </w:r>
          </w:p>
          <w:p w14:paraId="186BFCCB"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Collection of the first biopsies</w:t>
            </w:r>
          </w:p>
        </w:tc>
      </w:tr>
      <w:tr w:rsidR="00A37FD9" w:rsidRPr="00E7615A" w14:paraId="4DFADAC3" w14:textId="77777777" w:rsidTr="0075552A">
        <w:tc>
          <w:tcPr>
            <w:tcW w:w="1548" w:type="dxa"/>
          </w:tcPr>
          <w:p w14:paraId="49E0DEDF"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3</w:t>
            </w:r>
          </w:p>
        </w:tc>
        <w:tc>
          <w:tcPr>
            <w:tcW w:w="2610" w:type="dxa"/>
          </w:tcPr>
          <w:p w14:paraId="52D2E695" w14:textId="276E2CC8" w:rsidR="00A37FD9" w:rsidRPr="00E7615A" w:rsidRDefault="00DE7DB2"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T3 (34 wk</w:t>
            </w:r>
            <w:r w:rsidR="00A37FD9" w:rsidRPr="00E7615A">
              <w:rPr>
                <w:rFonts w:ascii="Book Antiqua" w:hAnsi="Book Antiqua"/>
                <w:color w:val="000000" w:themeColor="text1"/>
                <w:sz w:val="24"/>
                <w:szCs w:val="24"/>
                <w:lang w:val="en-US"/>
              </w:rPr>
              <w:t xml:space="preserve"> after T1)</w:t>
            </w:r>
          </w:p>
          <w:p w14:paraId="7FE4BD3D"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 </w:t>
            </w:r>
          </w:p>
        </w:tc>
        <w:tc>
          <w:tcPr>
            <w:tcW w:w="5342" w:type="dxa"/>
          </w:tcPr>
          <w:p w14:paraId="053CC892"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Placement of implants</w:t>
            </w:r>
          </w:p>
          <w:p w14:paraId="07E742D0"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Collection of the second biopsies</w:t>
            </w:r>
          </w:p>
        </w:tc>
      </w:tr>
      <w:tr w:rsidR="00A37FD9" w:rsidRPr="00E7615A" w14:paraId="55F63E1C" w14:textId="77777777" w:rsidTr="0075552A">
        <w:tc>
          <w:tcPr>
            <w:tcW w:w="1548" w:type="dxa"/>
          </w:tcPr>
          <w:p w14:paraId="2BA74355"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4</w:t>
            </w:r>
          </w:p>
        </w:tc>
        <w:tc>
          <w:tcPr>
            <w:tcW w:w="2610" w:type="dxa"/>
          </w:tcPr>
          <w:p w14:paraId="4ACEDB36" w14:textId="5C52ED8E" w:rsidR="00A37FD9" w:rsidRPr="00E7615A" w:rsidRDefault="00DE7DB2"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T4 (1 y</w:t>
            </w:r>
            <w:r w:rsidR="00A37FD9" w:rsidRPr="00E7615A">
              <w:rPr>
                <w:rFonts w:ascii="Book Antiqua" w:hAnsi="Book Antiqua"/>
                <w:color w:val="000000" w:themeColor="text1"/>
                <w:sz w:val="24"/>
                <w:szCs w:val="24"/>
                <w:lang w:val="en-US"/>
              </w:rPr>
              <w:t>r after T3)</w:t>
            </w:r>
          </w:p>
        </w:tc>
        <w:tc>
          <w:tcPr>
            <w:tcW w:w="5342" w:type="dxa"/>
          </w:tcPr>
          <w:p w14:paraId="7CBC7D75"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Extraction of tooth #18</w:t>
            </w:r>
          </w:p>
          <w:p w14:paraId="6625DF59"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Placement of healing abutments</w:t>
            </w:r>
          </w:p>
        </w:tc>
      </w:tr>
      <w:tr w:rsidR="00A37FD9" w:rsidRPr="00E7615A" w14:paraId="40259D7E" w14:textId="77777777" w:rsidTr="0075552A">
        <w:tc>
          <w:tcPr>
            <w:tcW w:w="1548" w:type="dxa"/>
          </w:tcPr>
          <w:p w14:paraId="62B99DC6"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5</w:t>
            </w:r>
          </w:p>
        </w:tc>
        <w:tc>
          <w:tcPr>
            <w:tcW w:w="2610" w:type="dxa"/>
          </w:tcPr>
          <w:p w14:paraId="05E69A76" w14:textId="1D5C7292"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T5 (</w:t>
            </w:r>
            <w:r w:rsidR="00DE7DB2" w:rsidRPr="00E7615A">
              <w:rPr>
                <w:rFonts w:ascii="Book Antiqua" w:hAnsi="Book Antiqua"/>
                <w:color w:val="000000" w:themeColor="text1"/>
                <w:sz w:val="24"/>
                <w:szCs w:val="24"/>
                <w:lang w:val="en-US" w:eastAsia="zh-CN"/>
              </w:rPr>
              <w:t>6</w:t>
            </w:r>
            <w:r w:rsidR="00DE7DB2" w:rsidRPr="00E7615A">
              <w:rPr>
                <w:rFonts w:ascii="Book Antiqua" w:hAnsi="Book Antiqua"/>
                <w:color w:val="000000" w:themeColor="text1"/>
                <w:sz w:val="24"/>
                <w:szCs w:val="24"/>
                <w:lang w:val="en-US"/>
              </w:rPr>
              <w:t xml:space="preserve"> wk</w:t>
            </w:r>
            <w:r w:rsidRPr="00E7615A">
              <w:rPr>
                <w:rFonts w:ascii="Book Antiqua" w:hAnsi="Book Antiqua"/>
                <w:color w:val="000000" w:themeColor="text1"/>
                <w:sz w:val="24"/>
                <w:szCs w:val="24"/>
                <w:lang w:val="en-US"/>
              </w:rPr>
              <w:t xml:space="preserve"> after T4)</w:t>
            </w:r>
          </w:p>
        </w:tc>
        <w:tc>
          <w:tcPr>
            <w:tcW w:w="5342" w:type="dxa"/>
          </w:tcPr>
          <w:p w14:paraId="7AC0590F"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Placement of the definitive prosthetic telescopic bridge</w:t>
            </w:r>
          </w:p>
        </w:tc>
      </w:tr>
      <w:tr w:rsidR="00A37FD9" w:rsidRPr="00E7615A" w14:paraId="3FA171DB" w14:textId="77777777" w:rsidTr="0075552A">
        <w:tc>
          <w:tcPr>
            <w:tcW w:w="1548" w:type="dxa"/>
            <w:tcBorders>
              <w:bottom w:val="single" w:sz="12" w:space="0" w:color="auto"/>
            </w:tcBorders>
          </w:tcPr>
          <w:p w14:paraId="7E17CD27"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p>
        </w:tc>
        <w:tc>
          <w:tcPr>
            <w:tcW w:w="2610" w:type="dxa"/>
            <w:tcBorders>
              <w:bottom w:val="single" w:sz="12" w:space="0" w:color="auto"/>
            </w:tcBorders>
          </w:tcPr>
          <w:p w14:paraId="72263DF6" w14:textId="7EA40541"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T6 (32 mo after T1)</w:t>
            </w:r>
          </w:p>
        </w:tc>
        <w:tc>
          <w:tcPr>
            <w:tcW w:w="5342" w:type="dxa"/>
            <w:tcBorders>
              <w:bottom w:val="single" w:sz="12" w:space="0" w:color="auto"/>
            </w:tcBorders>
          </w:tcPr>
          <w:p w14:paraId="4023FCAE" w14:textId="7777777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Last radiologic follow-up</w:t>
            </w:r>
          </w:p>
        </w:tc>
      </w:tr>
    </w:tbl>
    <w:p w14:paraId="2F99C5D0" w14:textId="77777777"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p>
    <w:p w14:paraId="39467B94" w14:textId="77777777"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br w:type="page"/>
      </w:r>
    </w:p>
    <w:p w14:paraId="5FFFAD63" w14:textId="4C800828" w:rsidR="00A37FD9" w:rsidRPr="005E1B8A" w:rsidRDefault="00A37FD9" w:rsidP="00D048E9">
      <w:pPr>
        <w:widowControl w:val="0"/>
        <w:adjustRightInd w:val="0"/>
        <w:snapToGrid w:val="0"/>
        <w:spacing w:after="0" w:line="360" w:lineRule="auto"/>
        <w:jc w:val="both"/>
        <w:rPr>
          <w:rFonts w:ascii="Book Antiqua" w:hAnsi="Book Antiqua"/>
          <w:b/>
          <w:color w:val="000000" w:themeColor="text1"/>
          <w:sz w:val="24"/>
          <w:szCs w:val="24"/>
          <w:lang w:val="en-US" w:eastAsia="zh-CN"/>
        </w:rPr>
      </w:pPr>
      <w:r w:rsidRPr="005E1B8A">
        <w:rPr>
          <w:rFonts w:ascii="Book Antiqua" w:hAnsi="Book Antiqua"/>
          <w:b/>
          <w:color w:val="000000" w:themeColor="text1"/>
          <w:sz w:val="24"/>
          <w:szCs w:val="24"/>
          <w:lang w:val="en-US"/>
        </w:rPr>
        <w:lastRenderedPageBreak/>
        <w:t>Table 2</w:t>
      </w:r>
      <w:r w:rsidR="005E1B8A" w:rsidRPr="005E1B8A">
        <w:rPr>
          <w:rFonts w:ascii="Book Antiqua" w:hAnsi="Book Antiqua" w:hint="eastAsia"/>
          <w:b/>
          <w:color w:val="000000" w:themeColor="text1"/>
          <w:sz w:val="24"/>
          <w:szCs w:val="24"/>
          <w:lang w:val="en-US" w:eastAsia="zh-CN"/>
        </w:rPr>
        <w:t xml:space="preserve"> </w:t>
      </w:r>
      <w:r w:rsidRPr="005E1B8A">
        <w:rPr>
          <w:rFonts w:ascii="Book Antiqua" w:hAnsi="Book Antiqua"/>
          <w:b/>
          <w:color w:val="000000" w:themeColor="text1"/>
          <w:sz w:val="24"/>
          <w:szCs w:val="24"/>
          <w:lang w:val="en-US"/>
        </w:rPr>
        <w:t>Details of antibodies and incubation prot</w:t>
      </w:r>
      <w:r w:rsidR="005E1B8A" w:rsidRPr="005E1B8A">
        <w:rPr>
          <w:rFonts w:ascii="Book Antiqua" w:hAnsi="Book Antiqua"/>
          <w:b/>
          <w:color w:val="000000" w:themeColor="text1"/>
          <w:sz w:val="24"/>
          <w:szCs w:val="24"/>
          <w:lang w:val="en-US"/>
        </w:rPr>
        <w:t>ocols used in the present study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8"/>
        <w:gridCol w:w="1958"/>
        <w:gridCol w:w="2574"/>
        <w:gridCol w:w="2590"/>
      </w:tblGrid>
      <w:tr w:rsidR="005E1B8A" w:rsidRPr="00E7615A" w14:paraId="3669B102" w14:textId="77777777" w:rsidTr="0075552A">
        <w:tc>
          <w:tcPr>
            <w:tcW w:w="2268" w:type="dxa"/>
            <w:tcBorders>
              <w:top w:val="single" w:sz="12" w:space="0" w:color="auto"/>
              <w:bottom w:val="single" w:sz="12" w:space="0" w:color="auto"/>
            </w:tcBorders>
          </w:tcPr>
          <w:p w14:paraId="6EAB99E3" w14:textId="77777777" w:rsidR="00A37FD9" w:rsidRPr="00E7615A" w:rsidRDefault="00A37FD9" w:rsidP="00D048E9">
            <w:pPr>
              <w:widowControl w:val="0"/>
              <w:adjustRightInd w:val="0"/>
              <w:snapToGrid w:val="0"/>
              <w:spacing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Antibody</w:t>
            </w:r>
          </w:p>
        </w:tc>
        <w:tc>
          <w:tcPr>
            <w:tcW w:w="1980" w:type="dxa"/>
            <w:tcBorders>
              <w:top w:val="single" w:sz="12" w:space="0" w:color="auto"/>
              <w:bottom w:val="single" w:sz="12" w:space="0" w:color="auto"/>
            </w:tcBorders>
          </w:tcPr>
          <w:p w14:paraId="483B7B05" w14:textId="77777777" w:rsidR="00A37FD9" w:rsidRPr="00E7615A" w:rsidRDefault="00A37FD9" w:rsidP="00D048E9">
            <w:pPr>
              <w:widowControl w:val="0"/>
              <w:adjustRightInd w:val="0"/>
              <w:snapToGrid w:val="0"/>
              <w:spacing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Isotype</w:t>
            </w:r>
          </w:p>
        </w:tc>
        <w:tc>
          <w:tcPr>
            <w:tcW w:w="2610" w:type="dxa"/>
            <w:tcBorders>
              <w:top w:val="single" w:sz="12" w:space="0" w:color="auto"/>
              <w:bottom w:val="single" w:sz="12" w:space="0" w:color="auto"/>
            </w:tcBorders>
          </w:tcPr>
          <w:p w14:paraId="2CEB5BB0" w14:textId="77777777" w:rsidR="00A37FD9" w:rsidRPr="00E7615A" w:rsidRDefault="00A37FD9" w:rsidP="00D048E9">
            <w:pPr>
              <w:widowControl w:val="0"/>
              <w:adjustRightInd w:val="0"/>
              <w:snapToGrid w:val="0"/>
              <w:spacing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Manufacturer</w:t>
            </w:r>
          </w:p>
        </w:tc>
        <w:tc>
          <w:tcPr>
            <w:tcW w:w="2642" w:type="dxa"/>
            <w:tcBorders>
              <w:top w:val="single" w:sz="12" w:space="0" w:color="auto"/>
              <w:bottom w:val="single" w:sz="12" w:space="0" w:color="auto"/>
            </w:tcBorders>
          </w:tcPr>
          <w:p w14:paraId="5C2945DA" w14:textId="77777777" w:rsidR="00A37FD9" w:rsidRPr="00E7615A" w:rsidRDefault="00A37FD9" w:rsidP="00D048E9">
            <w:pPr>
              <w:widowControl w:val="0"/>
              <w:adjustRightInd w:val="0"/>
              <w:snapToGrid w:val="0"/>
              <w:spacing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t>Dilution / incubation</w:t>
            </w:r>
          </w:p>
        </w:tc>
      </w:tr>
      <w:tr w:rsidR="005E1B8A" w:rsidRPr="00E7615A" w14:paraId="69716F76" w14:textId="77777777" w:rsidTr="0075552A">
        <w:tc>
          <w:tcPr>
            <w:tcW w:w="2268" w:type="dxa"/>
          </w:tcPr>
          <w:p w14:paraId="0FB87A63"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runX2</w:t>
            </w:r>
          </w:p>
        </w:tc>
        <w:tc>
          <w:tcPr>
            <w:tcW w:w="1980" w:type="dxa"/>
          </w:tcPr>
          <w:p w14:paraId="333BE794"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Goat polyclonal</w:t>
            </w:r>
          </w:p>
        </w:tc>
        <w:tc>
          <w:tcPr>
            <w:tcW w:w="2610" w:type="dxa"/>
          </w:tcPr>
          <w:p w14:paraId="1C2FFAC6"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Santa Cruz Biotechnology</w:t>
            </w:r>
          </w:p>
          <w:p w14:paraId="77B447E1" w14:textId="346C1FC1"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(Dallas, TX, U</w:t>
            </w:r>
            <w:r w:rsidR="00321C02">
              <w:rPr>
                <w:rFonts w:ascii="Book Antiqua" w:hAnsi="Book Antiqua" w:hint="eastAsia"/>
                <w:color w:val="000000" w:themeColor="text1"/>
                <w:sz w:val="24"/>
                <w:szCs w:val="24"/>
                <w:lang w:val="en-US" w:eastAsia="zh-CN"/>
              </w:rPr>
              <w:t>nited States</w:t>
            </w:r>
            <w:r w:rsidRPr="00E7615A">
              <w:rPr>
                <w:rFonts w:ascii="Book Antiqua" w:hAnsi="Book Antiqua"/>
                <w:color w:val="000000" w:themeColor="text1"/>
                <w:sz w:val="24"/>
                <w:szCs w:val="24"/>
                <w:lang w:val="en-US"/>
              </w:rPr>
              <w:t>)</w:t>
            </w:r>
          </w:p>
        </w:tc>
        <w:tc>
          <w:tcPr>
            <w:tcW w:w="2642" w:type="dxa"/>
          </w:tcPr>
          <w:p w14:paraId="5A368DA7" w14:textId="18C0EF46"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1:30</w:t>
            </w:r>
            <w:r w:rsidR="008E271A" w:rsidRPr="00E7615A">
              <w:rPr>
                <w:rFonts w:ascii="Book Antiqua" w:hAnsi="Book Antiqua"/>
                <w:color w:val="000000" w:themeColor="text1"/>
                <w:sz w:val="24"/>
                <w:szCs w:val="24"/>
                <w:lang w:val="en-US"/>
              </w:rPr>
              <w:t>, 4° C, ON</w:t>
            </w:r>
          </w:p>
          <w:p w14:paraId="79E536BA" w14:textId="24066775"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p>
        </w:tc>
      </w:tr>
      <w:tr w:rsidR="005E1B8A" w:rsidRPr="00E7615A" w14:paraId="797BD314" w14:textId="77777777" w:rsidTr="0075552A">
        <w:tc>
          <w:tcPr>
            <w:tcW w:w="2268" w:type="dxa"/>
          </w:tcPr>
          <w:p w14:paraId="3FCDDF4E"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Collagen Type I</w:t>
            </w:r>
          </w:p>
        </w:tc>
        <w:tc>
          <w:tcPr>
            <w:tcW w:w="1980" w:type="dxa"/>
          </w:tcPr>
          <w:p w14:paraId="57FC7A38"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Rabbit monoclonal</w:t>
            </w:r>
          </w:p>
        </w:tc>
        <w:tc>
          <w:tcPr>
            <w:tcW w:w="2610" w:type="dxa"/>
          </w:tcPr>
          <w:p w14:paraId="0BE989BE" w14:textId="31590929"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Abcam (Cambridge, </w:t>
            </w:r>
            <w:r w:rsidR="00507B1D" w:rsidRPr="00E7615A">
              <w:rPr>
                <w:rFonts w:ascii="Book Antiqua" w:hAnsi="Book Antiqua"/>
                <w:color w:val="000000" w:themeColor="text1"/>
                <w:sz w:val="24"/>
                <w:szCs w:val="24"/>
                <w:lang w:val="en-US"/>
              </w:rPr>
              <w:t>U</w:t>
            </w:r>
            <w:r w:rsidR="00507B1D">
              <w:rPr>
                <w:rFonts w:ascii="Book Antiqua" w:hAnsi="Book Antiqua" w:hint="eastAsia"/>
                <w:color w:val="000000" w:themeColor="text1"/>
                <w:sz w:val="24"/>
                <w:szCs w:val="24"/>
                <w:lang w:val="en-US" w:eastAsia="zh-CN"/>
              </w:rPr>
              <w:t xml:space="preserve">nited </w:t>
            </w:r>
            <w:r w:rsidRPr="00E7615A">
              <w:rPr>
                <w:rFonts w:ascii="Book Antiqua" w:hAnsi="Book Antiqua"/>
                <w:color w:val="000000" w:themeColor="text1"/>
                <w:sz w:val="24"/>
                <w:szCs w:val="24"/>
                <w:lang w:val="en-US"/>
              </w:rPr>
              <w:t>K</w:t>
            </w:r>
            <w:r w:rsidR="00507B1D">
              <w:rPr>
                <w:rFonts w:ascii="Book Antiqua" w:hAnsi="Book Antiqua" w:hint="eastAsia"/>
                <w:color w:val="000000" w:themeColor="text1"/>
                <w:sz w:val="24"/>
                <w:szCs w:val="24"/>
                <w:lang w:val="en-US" w:eastAsia="zh-CN"/>
              </w:rPr>
              <w:t>ingdom</w:t>
            </w:r>
            <w:r w:rsidRPr="00E7615A">
              <w:rPr>
                <w:rFonts w:ascii="Book Antiqua" w:hAnsi="Book Antiqua"/>
                <w:color w:val="000000" w:themeColor="text1"/>
                <w:sz w:val="24"/>
                <w:szCs w:val="24"/>
                <w:lang w:val="en-US"/>
              </w:rPr>
              <w:t>)</w:t>
            </w:r>
          </w:p>
        </w:tc>
        <w:tc>
          <w:tcPr>
            <w:tcW w:w="2642" w:type="dxa"/>
          </w:tcPr>
          <w:p w14:paraId="1212E22F" w14:textId="4E101C35"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1:400</w:t>
            </w:r>
            <w:r w:rsidR="008E271A" w:rsidRPr="00E7615A">
              <w:rPr>
                <w:rFonts w:ascii="Book Antiqua" w:hAnsi="Book Antiqua"/>
                <w:color w:val="000000" w:themeColor="text1"/>
                <w:sz w:val="24"/>
                <w:szCs w:val="24"/>
                <w:lang w:val="en-US"/>
              </w:rPr>
              <w:t>, RT, 1 h</w:t>
            </w:r>
          </w:p>
        </w:tc>
      </w:tr>
      <w:tr w:rsidR="005E1B8A" w:rsidRPr="00E7615A" w14:paraId="73D4CA1B" w14:textId="77777777" w:rsidTr="0075552A">
        <w:tc>
          <w:tcPr>
            <w:tcW w:w="2268" w:type="dxa"/>
          </w:tcPr>
          <w:p w14:paraId="1E5D9456"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Alkaline phosphatase</w:t>
            </w:r>
          </w:p>
        </w:tc>
        <w:tc>
          <w:tcPr>
            <w:tcW w:w="1980" w:type="dxa"/>
          </w:tcPr>
          <w:p w14:paraId="07107AA4"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Rabbit polyclonal</w:t>
            </w:r>
          </w:p>
        </w:tc>
        <w:tc>
          <w:tcPr>
            <w:tcW w:w="2610" w:type="dxa"/>
          </w:tcPr>
          <w:p w14:paraId="1E3D9F6D"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Quartett (Berlin, Germany)</w:t>
            </w:r>
          </w:p>
        </w:tc>
        <w:tc>
          <w:tcPr>
            <w:tcW w:w="2642" w:type="dxa"/>
          </w:tcPr>
          <w:p w14:paraId="23043793" w14:textId="1DAA2785"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Ready to use</w:t>
            </w:r>
            <w:r w:rsidR="008E271A" w:rsidRPr="00E7615A">
              <w:rPr>
                <w:rFonts w:ascii="Book Antiqua" w:hAnsi="Book Antiqua"/>
                <w:color w:val="000000" w:themeColor="text1"/>
                <w:sz w:val="24"/>
                <w:szCs w:val="24"/>
                <w:lang w:val="en-US"/>
              </w:rPr>
              <w:t>, 4° C, ON</w:t>
            </w:r>
          </w:p>
        </w:tc>
      </w:tr>
      <w:tr w:rsidR="005E1B8A" w:rsidRPr="00E7615A" w14:paraId="692744EB" w14:textId="77777777" w:rsidTr="0075552A">
        <w:tc>
          <w:tcPr>
            <w:tcW w:w="2268" w:type="dxa"/>
          </w:tcPr>
          <w:p w14:paraId="455A677E"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Von Willebrand Factor</w:t>
            </w:r>
          </w:p>
        </w:tc>
        <w:tc>
          <w:tcPr>
            <w:tcW w:w="1980" w:type="dxa"/>
          </w:tcPr>
          <w:p w14:paraId="38412604"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Rabbit polyclonal</w:t>
            </w:r>
          </w:p>
        </w:tc>
        <w:tc>
          <w:tcPr>
            <w:tcW w:w="2610" w:type="dxa"/>
          </w:tcPr>
          <w:p w14:paraId="365C27BE"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Linaris (Dossenheim, Germany)</w:t>
            </w:r>
          </w:p>
        </w:tc>
        <w:tc>
          <w:tcPr>
            <w:tcW w:w="2642" w:type="dxa"/>
          </w:tcPr>
          <w:p w14:paraId="086D7806" w14:textId="17B0EE94"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1:200</w:t>
            </w:r>
            <w:r w:rsidR="008E271A" w:rsidRPr="00E7615A">
              <w:rPr>
                <w:rFonts w:ascii="Book Antiqua" w:hAnsi="Book Antiqua"/>
                <w:color w:val="000000" w:themeColor="text1"/>
                <w:sz w:val="24"/>
                <w:szCs w:val="24"/>
                <w:lang w:val="en-US"/>
              </w:rPr>
              <w:t>, RT, 1h</w:t>
            </w:r>
          </w:p>
          <w:p w14:paraId="6AA2230B" w14:textId="23BAD376" w:rsidR="00A37FD9" w:rsidRPr="00E7615A" w:rsidRDefault="00A37FD9" w:rsidP="00D048E9">
            <w:pPr>
              <w:pStyle w:val="ListParagraph"/>
              <w:widowControl w:val="0"/>
              <w:adjustRightInd w:val="0"/>
              <w:snapToGrid w:val="0"/>
              <w:spacing w:line="360" w:lineRule="auto"/>
              <w:ind w:left="0"/>
              <w:contextualSpacing w:val="0"/>
              <w:jc w:val="both"/>
              <w:rPr>
                <w:rFonts w:ascii="Book Antiqua" w:hAnsi="Book Antiqua"/>
                <w:color w:val="000000" w:themeColor="text1"/>
                <w:sz w:val="24"/>
                <w:szCs w:val="24"/>
                <w:lang w:val="en-US"/>
              </w:rPr>
            </w:pPr>
          </w:p>
        </w:tc>
      </w:tr>
      <w:tr w:rsidR="005E1B8A" w:rsidRPr="00E7615A" w14:paraId="35A0602F" w14:textId="77777777" w:rsidTr="0075552A">
        <w:tc>
          <w:tcPr>
            <w:tcW w:w="2268" w:type="dxa"/>
          </w:tcPr>
          <w:p w14:paraId="228BE91A"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CD146</w:t>
            </w:r>
          </w:p>
        </w:tc>
        <w:tc>
          <w:tcPr>
            <w:tcW w:w="1980" w:type="dxa"/>
          </w:tcPr>
          <w:p w14:paraId="6C7A5C57"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Rabbit monoclonal</w:t>
            </w:r>
          </w:p>
        </w:tc>
        <w:tc>
          <w:tcPr>
            <w:tcW w:w="2610" w:type="dxa"/>
          </w:tcPr>
          <w:p w14:paraId="2D3563E7"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Abcam</w:t>
            </w:r>
          </w:p>
        </w:tc>
        <w:tc>
          <w:tcPr>
            <w:tcW w:w="2642" w:type="dxa"/>
          </w:tcPr>
          <w:p w14:paraId="744656C7" w14:textId="14489AD7"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1:50</w:t>
            </w:r>
            <w:r w:rsidR="008E271A" w:rsidRPr="00E7615A">
              <w:rPr>
                <w:rFonts w:ascii="Book Antiqua" w:hAnsi="Book Antiqua"/>
                <w:color w:val="000000" w:themeColor="text1"/>
                <w:sz w:val="24"/>
                <w:szCs w:val="24"/>
                <w:lang w:val="en-US"/>
              </w:rPr>
              <w:t>, RT, 1h</w:t>
            </w:r>
          </w:p>
          <w:p w14:paraId="497C0388" w14:textId="514F2DE8" w:rsidR="00A37FD9" w:rsidRPr="00E7615A" w:rsidRDefault="00A37FD9" w:rsidP="00D048E9">
            <w:pPr>
              <w:pStyle w:val="ListParagraph"/>
              <w:widowControl w:val="0"/>
              <w:adjustRightInd w:val="0"/>
              <w:snapToGrid w:val="0"/>
              <w:spacing w:line="360" w:lineRule="auto"/>
              <w:ind w:left="0"/>
              <w:contextualSpacing w:val="0"/>
              <w:jc w:val="both"/>
              <w:rPr>
                <w:rFonts w:ascii="Book Antiqua" w:hAnsi="Book Antiqua"/>
                <w:color w:val="000000" w:themeColor="text1"/>
                <w:sz w:val="24"/>
                <w:szCs w:val="24"/>
                <w:lang w:val="en-US"/>
              </w:rPr>
            </w:pPr>
          </w:p>
        </w:tc>
      </w:tr>
      <w:tr w:rsidR="005E1B8A" w:rsidRPr="00E7615A" w14:paraId="071CDD21" w14:textId="77777777" w:rsidTr="0075552A">
        <w:tc>
          <w:tcPr>
            <w:tcW w:w="2268" w:type="dxa"/>
          </w:tcPr>
          <w:p w14:paraId="6496B481"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CD73</w:t>
            </w:r>
          </w:p>
        </w:tc>
        <w:tc>
          <w:tcPr>
            <w:tcW w:w="1980" w:type="dxa"/>
          </w:tcPr>
          <w:p w14:paraId="04979302"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Mouse monoclonal</w:t>
            </w:r>
          </w:p>
        </w:tc>
        <w:tc>
          <w:tcPr>
            <w:tcW w:w="2610" w:type="dxa"/>
          </w:tcPr>
          <w:p w14:paraId="45EF548C" w14:textId="438B3A9C"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 xml:space="preserve">Antibodies-online (Atlanta, GA, </w:t>
            </w:r>
            <w:r w:rsidR="004B4437" w:rsidRPr="00E7615A">
              <w:rPr>
                <w:rFonts w:ascii="Book Antiqua" w:hAnsi="Book Antiqua"/>
                <w:color w:val="000000" w:themeColor="text1"/>
                <w:sz w:val="24"/>
                <w:szCs w:val="24"/>
                <w:lang w:val="en-US"/>
              </w:rPr>
              <w:t>U</w:t>
            </w:r>
            <w:r w:rsidR="004B4437">
              <w:rPr>
                <w:rFonts w:ascii="Book Antiqua" w:hAnsi="Book Antiqua" w:hint="eastAsia"/>
                <w:color w:val="000000" w:themeColor="text1"/>
                <w:sz w:val="24"/>
                <w:szCs w:val="24"/>
                <w:lang w:val="en-US" w:eastAsia="zh-CN"/>
              </w:rPr>
              <w:t>nited States</w:t>
            </w:r>
            <w:r w:rsidRPr="00E7615A">
              <w:rPr>
                <w:rFonts w:ascii="Book Antiqua" w:hAnsi="Book Antiqua"/>
                <w:color w:val="000000" w:themeColor="text1"/>
                <w:sz w:val="24"/>
                <w:szCs w:val="24"/>
                <w:lang w:val="en-US"/>
              </w:rPr>
              <w:t>)</w:t>
            </w:r>
          </w:p>
        </w:tc>
        <w:tc>
          <w:tcPr>
            <w:tcW w:w="2642" w:type="dxa"/>
          </w:tcPr>
          <w:p w14:paraId="098B47C5" w14:textId="00FB105B"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1:100</w:t>
            </w:r>
            <w:r w:rsidR="008E271A" w:rsidRPr="00E7615A">
              <w:rPr>
                <w:rFonts w:ascii="Book Antiqua" w:hAnsi="Book Antiqua"/>
                <w:color w:val="000000" w:themeColor="text1"/>
                <w:sz w:val="24"/>
                <w:szCs w:val="24"/>
                <w:lang w:val="en-US"/>
              </w:rPr>
              <w:t>, 4° C, ON</w:t>
            </w:r>
          </w:p>
          <w:p w14:paraId="3F4CF9ED" w14:textId="65A10787" w:rsidR="00A37FD9" w:rsidRPr="00E7615A" w:rsidRDefault="00A37FD9" w:rsidP="00D048E9">
            <w:pPr>
              <w:pStyle w:val="ListParagraph"/>
              <w:widowControl w:val="0"/>
              <w:adjustRightInd w:val="0"/>
              <w:snapToGrid w:val="0"/>
              <w:spacing w:line="360" w:lineRule="auto"/>
              <w:ind w:left="0"/>
              <w:contextualSpacing w:val="0"/>
              <w:jc w:val="both"/>
              <w:rPr>
                <w:rFonts w:ascii="Book Antiqua" w:hAnsi="Book Antiqua"/>
                <w:color w:val="000000" w:themeColor="text1"/>
                <w:sz w:val="24"/>
                <w:szCs w:val="24"/>
                <w:lang w:val="en-US"/>
              </w:rPr>
            </w:pPr>
          </w:p>
        </w:tc>
      </w:tr>
      <w:tr w:rsidR="005E1B8A" w:rsidRPr="00E7615A" w14:paraId="060906E5" w14:textId="77777777" w:rsidTr="0075552A">
        <w:tc>
          <w:tcPr>
            <w:tcW w:w="2268" w:type="dxa"/>
            <w:tcBorders>
              <w:bottom w:val="single" w:sz="12" w:space="0" w:color="auto"/>
            </w:tcBorders>
          </w:tcPr>
          <w:p w14:paraId="795C0145"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PPARγ</w:t>
            </w:r>
          </w:p>
        </w:tc>
        <w:tc>
          <w:tcPr>
            <w:tcW w:w="1980" w:type="dxa"/>
            <w:tcBorders>
              <w:bottom w:val="single" w:sz="12" w:space="0" w:color="auto"/>
            </w:tcBorders>
          </w:tcPr>
          <w:p w14:paraId="59A99C71"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Mouse monoclonal</w:t>
            </w:r>
          </w:p>
        </w:tc>
        <w:tc>
          <w:tcPr>
            <w:tcW w:w="2610" w:type="dxa"/>
            <w:tcBorders>
              <w:bottom w:val="single" w:sz="12" w:space="0" w:color="auto"/>
            </w:tcBorders>
          </w:tcPr>
          <w:p w14:paraId="5AE375F0" w14:textId="77777777" w:rsidR="00A37FD9" w:rsidRPr="00E7615A" w:rsidRDefault="00A37FD9" w:rsidP="00D048E9">
            <w:pPr>
              <w:widowControl w:val="0"/>
              <w:adjustRightInd w:val="0"/>
              <w:snapToGrid w:val="0"/>
              <w:spacing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Santa Cruz Biotechnology</w:t>
            </w:r>
          </w:p>
        </w:tc>
        <w:tc>
          <w:tcPr>
            <w:tcW w:w="2642" w:type="dxa"/>
            <w:tcBorders>
              <w:bottom w:val="single" w:sz="12" w:space="0" w:color="auto"/>
            </w:tcBorders>
          </w:tcPr>
          <w:p w14:paraId="51AD725C" w14:textId="49060D45" w:rsidR="00A37FD9" w:rsidRPr="00E7615A" w:rsidRDefault="00A37FD9" w:rsidP="00D048E9">
            <w:pPr>
              <w:pStyle w:val="ListParagraph"/>
              <w:widowControl w:val="0"/>
              <w:numPr>
                <w:ilvl w:val="0"/>
                <w:numId w:val="4"/>
              </w:numPr>
              <w:adjustRightInd w:val="0"/>
              <w:snapToGrid w:val="0"/>
              <w:spacing w:line="360" w:lineRule="auto"/>
              <w:ind w:left="0" w:hanging="216"/>
              <w:contextualSpacing w:val="0"/>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t>1:25</w:t>
            </w:r>
            <w:r w:rsidR="008E271A" w:rsidRPr="00E7615A">
              <w:rPr>
                <w:rFonts w:ascii="Book Antiqua" w:hAnsi="Book Antiqua"/>
                <w:color w:val="000000" w:themeColor="text1"/>
                <w:sz w:val="24"/>
                <w:szCs w:val="24"/>
                <w:lang w:val="en-US"/>
              </w:rPr>
              <w:t>, 4° C, ON</w:t>
            </w:r>
          </w:p>
        </w:tc>
      </w:tr>
    </w:tbl>
    <w:p w14:paraId="235A4002" w14:textId="741C1A66" w:rsidR="00A37FD9" w:rsidRPr="00E7615A" w:rsidRDefault="005E1B8A"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color w:val="000000" w:themeColor="text1"/>
          <w:sz w:val="24"/>
          <w:szCs w:val="24"/>
          <w:lang w:val="en-US"/>
        </w:rPr>
        <w:t>ON</w:t>
      </w:r>
      <w:r w:rsidR="00321C02">
        <w:rPr>
          <w:rFonts w:ascii="Book Antiqua" w:hAnsi="Book Antiqua" w:hint="eastAsia"/>
          <w:color w:val="000000" w:themeColor="text1"/>
          <w:sz w:val="24"/>
          <w:szCs w:val="24"/>
          <w:lang w:val="en-US" w:eastAsia="zh-CN"/>
        </w:rPr>
        <w:t>:</w:t>
      </w:r>
      <w:r w:rsidRPr="00E7615A">
        <w:rPr>
          <w:rFonts w:ascii="Book Antiqua" w:hAnsi="Book Antiqua"/>
          <w:color w:val="000000" w:themeColor="text1"/>
          <w:sz w:val="24"/>
          <w:szCs w:val="24"/>
          <w:lang w:val="en-US"/>
        </w:rPr>
        <w:t xml:space="preserve"> </w:t>
      </w:r>
      <w:r w:rsidRPr="00321C02">
        <w:rPr>
          <w:rFonts w:ascii="Book Antiqua" w:hAnsi="Book Antiqua"/>
          <w:caps/>
          <w:color w:val="000000" w:themeColor="text1"/>
          <w:sz w:val="24"/>
          <w:szCs w:val="24"/>
          <w:lang w:val="en-US"/>
        </w:rPr>
        <w:t>o</w:t>
      </w:r>
      <w:r w:rsidRPr="00E7615A">
        <w:rPr>
          <w:rFonts w:ascii="Book Antiqua" w:hAnsi="Book Antiqua"/>
          <w:color w:val="000000" w:themeColor="text1"/>
          <w:sz w:val="24"/>
          <w:szCs w:val="24"/>
          <w:lang w:val="en-US"/>
        </w:rPr>
        <w:t>vernight; RT</w:t>
      </w:r>
      <w:r w:rsidR="00321C02">
        <w:rPr>
          <w:rFonts w:ascii="Book Antiqua" w:hAnsi="Book Antiqua" w:hint="eastAsia"/>
          <w:color w:val="000000" w:themeColor="text1"/>
          <w:sz w:val="24"/>
          <w:szCs w:val="24"/>
          <w:lang w:val="en-US" w:eastAsia="zh-CN"/>
        </w:rPr>
        <w:t>:</w:t>
      </w:r>
      <w:r w:rsidRPr="00E7615A">
        <w:rPr>
          <w:rFonts w:ascii="Book Antiqua" w:hAnsi="Book Antiqua"/>
          <w:color w:val="000000" w:themeColor="text1"/>
          <w:sz w:val="24"/>
          <w:szCs w:val="24"/>
          <w:lang w:val="en-US"/>
        </w:rPr>
        <w:t xml:space="preserve"> </w:t>
      </w:r>
      <w:r w:rsidRPr="00321C02">
        <w:rPr>
          <w:rFonts w:ascii="Book Antiqua" w:hAnsi="Book Antiqua"/>
          <w:caps/>
          <w:color w:val="000000" w:themeColor="text1"/>
          <w:sz w:val="24"/>
          <w:szCs w:val="24"/>
          <w:lang w:val="en-US"/>
        </w:rPr>
        <w:t>r</w:t>
      </w:r>
      <w:r w:rsidRPr="00E7615A">
        <w:rPr>
          <w:rFonts w:ascii="Book Antiqua" w:hAnsi="Book Antiqua"/>
          <w:color w:val="000000" w:themeColor="text1"/>
          <w:sz w:val="24"/>
          <w:szCs w:val="24"/>
          <w:lang w:val="en-US"/>
        </w:rPr>
        <w:t>oom temperature.</w:t>
      </w:r>
      <w:r w:rsidR="00321C02">
        <w:rPr>
          <w:rFonts w:ascii="Book Antiqua" w:hAnsi="Book Antiqua" w:hint="eastAsia"/>
          <w:color w:val="000000" w:themeColor="text1"/>
          <w:sz w:val="24"/>
          <w:szCs w:val="24"/>
          <w:lang w:val="en-US" w:eastAsia="zh-CN"/>
        </w:rPr>
        <w:t xml:space="preserve"> </w:t>
      </w:r>
    </w:p>
    <w:p w14:paraId="585644C6" w14:textId="77777777"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color w:val="000000" w:themeColor="text1"/>
          <w:sz w:val="24"/>
          <w:szCs w:val="24"/>
          <w:lang w:val="en-US"/>
        </w:rPr>
        <w:br w:type="page"/>
      </w:r>
    </w:p>
    <w:p w14:paraId="01BE4DA9" w14:textId="77777777"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eastAsia="zh-CN"/>
        </w:rPr>
      </w:pPr>
    </w:p>
    <w:p w14:paraId="7CB60975" w14:textId="04381EE7"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noProof/>
          <w:color w:val="000000" w:themeColor="text1"/>
          <w:sz w:val="24"/>
          <w:szCs w:val="24"/>
          <w:lang w:val="en-US" w:eastAsia="zh-CN"/>
        </w:rPr>
        <w:drawing>
          <wp:inline distT="0" distB="0" distL="0" distR="0" wp14:anchorId="78062568" wp14:editId="564707E8">
            <wp:extent cx="5943600" cy="3305175"/>
            <wp:effectExtent l="0" t="0" r="0" b="952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1.jpg"/>
                    <pic:cNvPicPr/>
                  </pic:nvPicPr>
                  <pic:blipFill>
                    <a:blip r:embed="rId9">
                      <a:extLst>
                        <a:ext uri="{28A0092B-C50C-407E-A947-70E740481C1C}">
                          <a14:useLocalDpi xmlns:a14="http://schemas.microsoft.com/office/drawing/2010/main" val="0"/>
                        </a:ext>
                      </a:extLst>
                    </a:blip>
                    <a:stretch>
                      <a:fillRect/>
                    </a:stretch>
                  </pic:blipFill>
                  <pic:spPr>
                    <a:xfrm>
                      <a:off x="0" y="0"/>
                      <a:ext cx="5943600" cy="3305175"/>
                    </a:xfrm>
                    <a:prstGeom prst="rect">
                      <a:avLst/>
                    </a:prstGeom>
                  </pic:spPr>
                </pic:pic>
              </a:graphicData>
            </a:graphic>
          </wp:inline>
        </w:drawing>
      </w:r>
    </w:p>
    <w:p w14:paraId="0767022A" w14:textId="081DAE8C"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r w:rsidRPr="00E7615A">
        <w:rPr>
          <w:rFonts w:ascii="Book Antiqua" w:hAnsi="Book Antiqua"/>
          <w:b/>
          <w:color w:val="000000" w:themeColor="text1"/>
          <w:sz w:val="24"/>
          <w:szCs w:val="24"/>
          <w:lang w:val="en-US"/>
        </w:rPr>
        <w:t>Figure 1 Panoramic radiograph at T0</w:t>
      </w:r>
      <w:r w:rsidRPr="00E7615A">
        <w:rPr>
          <w:rFonts w:ascii="Book Antiqua" w:hAnsi="Book Antiqua"/>
          <w:color w:val="000000" w:themeColor="text1"/>
          <w:sz w:val="24"/>
          <w:szCs w:val="24"/>
          <w:lang w:val="en-US"/>
        </w:rPr>
        <w:t xml:space="preserve">. </w:t>
      </w:r>
      <w:r w:rsidR="00A67371" w:rsidRPr="00E7615A">
        <w:rPr>
          <w:rFonts w:ascii="Book Antiqua" w:hAnsi="Book Antiqua"/>
          <w:color w:val="000000" w:themeColor="text1"/>
          <w:sz w:val="24"/>
          <w:szCs w:val="24"/>
          <w:lang w:val="en-US"/>
        </w:rPr>
        <w:t xml:space="preserve">The yellow arrows indicate the reduced bone height of the edentulous posterior maxilla below the antrum and the ridge crest of less than 3 mm on both sides. </w:t>
      </w:r>
      <w:bookmarkStart w:id="214" w:name="OLE_LINK1"/>
      <w:r w:rsidR="00A67371" w:rsidRPr="00E7615A">
        <w:rPr>
          <w:rFonts w:ascii="Book Antiqua" w:hAnsi="Book Antiqua"/>
          <w:color w:val="000000" w:themeColor="text1"/>
          <w:sz w:val="24"/>
          <w:szCs w:val="24"/>
          <w:lang w:val="en-US"/>
        </w:rPr>
        <w:t>R</w:t>
      </w:r>
      <w:r w:rsidR="003D0F86">
        <w:rPr>
          <w:rFonts w:ascii="Book Antiqua" w:hAnsi="Book Antiqua" w:hint="eastAsia"/>
          <w:color w:val="000000" w:themeColor="text1"/>
          <w:sz w:val="24"/>
          <w:szCs w:val="24"/>
          <w:lang w:val="en-US" w:eastAsia="zh-CN"/>
        </w:rPr>
        <w:t>:</w:t>
      </w:r>
      <w:r w:rsidR="00A67371" w:rsidRPr="00E7615A">
        <w:rPr>
          <w:rFonts w:ascii="Book Antiqua" w:hAnsi="Book Antiqua"/>
          <w:color w:val="000000" w:themeColor="text1"/>
          <w:sz w:val="24"/>
          <w:szCs w:val="24"/>
          <w:lang w:val="en-US"/>
        </w:rPr>
        <w:t xml:space="preserve"> </w:t>
      </w:r>
      <w:r w:rsidR="00A67371" w:rsidRPr="003D0F86">
        <w:rPr>
          <w:rFonts w:ascii="Book Antiqua" w:hAnsi="Book Antiqua"/>
          <w:caps/>
          <w:color w:val="000000" w:themeColor="text1"/>
          <w:sz w:val="24"/>
          <w:szCs w:val="24"/>
          <w:lang w:val="en-US"/>
        </w:rPr>
        <w:t>r</w:t>
      </w:r>
      <w:r w:rsidR="00A67371" w:rsidRPr="00E7615A">
        <w:rPr>
          <w:rFonts w:ascii="Book Antiqua" w:hAnsi="Book Antiqua"/>
          <w:color w:val="000000" w:themeColor="text1"/>
          <w:sz w:val="24"/>
          <w:szCs w:val="24"/>
          <w:lang w:val="en-US"/>
        </w:rPr>
        <w:t>ight; L</w:t>
      </w:r>
      <w:r w:rsidR="003D0F86">
        <w:rPr>
          <w:rFonts w:ascii="Book Antiqua" w:hAnsi="Book Antiqua" w:hint="eastAsia"/>
          <w:color w:val="000000" w:themeColor="text1"/>
          <w:sz w:val="24"/>
          <w:szCs w:val="24"/>
          <w:lang w:val="en-US" w:eastAsia="zh-CN"/>
        </w:rPr>
        <w:t>:</w:t>
      </w:r>
      <w:r w:rsidR="00A67371" w:rsidRPr="00E7615A">
        <w:rPr>
          <w:rFonts w:ascii="Book Antiqua" w:hAnsi="Book Antiqua"/>
          <w:color w:val="000000" w:themeColor="text1"/>
          <w:sz w:val="24"/>
          <w:szCs w:val="24"/>
          <w:lang w:val="en-US"/>
        </w:rPr>
        <w:t xml:space="preserve"> </w:t>
      </w:r>
      <w:r w:rsidR="00A67371" w:rsidRPr="003D0F86">
        <w:rPr>
          <w:rFonts w:ascii="Book Antiqua" w:hAnsi="Book Antiqua"/>
          <w:caps/>
          <w:color w:val="000000" w:themeColor="text1"/>
          <w:sz w:val="24"/>
          <w:szCs w:val="24"/>
          <w:lang w:val="en-US"/>
        </w:rPr>
        <w:t>l</w:t>
      </w:r>
      <w:r w:rsidR="00A67371" w:rsidRPr="00E7615A">
        <w:rPr>
          <w:rFonts w:ascii="Book Antiqua" w:hAnsi="Book Antiqua"/>
          <w:color w:val="000000" w:themeColor="text1"/>
          <w:sz w:val="24"/>
          <w:szCs w:val="24"/>
          <w:lang w:val="en-US"/>
        </w:rPr>
        <w:t>eft.</w:t>
      </w:r>
    </w:p>
    <w:bookmarkEnd w:id="214"/>
    <w:p w14:paraId="1416DF32" w14:textId="3B30CBF2" w:rsidR="00782FF8" w:rsidRPr="00E7615A" w:rsidRDefault="00782FF8" w:rsidP="00D048E9">
      <w:pPr>
        <w:widowControl w:val="0"/>
        <w:adjustRightInd w:val="0"/>
        <w:snapToGrid w:val="0"/>
        <w:spacing w:after="0" w:line="360" w:lineRule="auto"/>
        <w:jc w:val="both"/>
        <w:rPr>
          <w:rFonts w:ascii="Book Antiqua" w:hAnsi="Book Antiqua"/>
          <w:b/>
          <w:color w:val="000000" w:themeColor="text1"/>
          <w:sz w:val="24"/>
          <w:szCs w:val="24"/>
          <w:lang w:val="en-US"/>
        </w:rPr>
      </w:pPr>
    </w:p>
    <w:p w14:paraId="7792AFF6" w14:textId="77777777"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br w:type="page"/>
      </w:r>
    </w:p>
    <w:p w14:paraId="51755C0A" w14:textId="4EB94356"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noProof/>
          <w:color w:val="000000" w:themeColor="text1"/>
          <w:sz w:val="24"/>
          <w:szCs w:val="24"/>
          <w:lang w:val="en-US" w:eastAsia="zh-CN"/>
        </w:rPr>
        <w:lastRenderedPageBreak/>
        <w:drawing>
          <wp:inline distT="0" distB="0" distL="0" distR="0" wp14:anchorId="345910C9" wp14:editId="6BCC3F16">
            <wp:extent cx="5943600" cy="1038860"/>
            <wp:effectExtent l="0" t="0" r="0" b="889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2.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1038860"/>
                    </a:xfrm>
                    <a:prstGeom prst="rect">
                      <a:avLst/>
                    </a:prstGeom>
                  </pic:spPr>
                </pic:pic>
              </a:graphicData>
            </a:graphic>
          </wp:inline>
        </w:drawing>
      </w:r>
    </w:p>
    <w:p w14:paraId="26A1392E" w14:textId="66A04504" w:rsidR="00022AB2" w:rsidRPr="00022AB2"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b/>
          <w:color w:val="000000" w:themeColor="text1"/>
          <w:sz w:val="24"/>
          <w:szCs w:val="24"/>
          <w:lang w:val="en-US"/>
        </w:rPr>
        <w:t>Figure 2</w:t>
      </w:r>
      <w:r w:rsidR="00957E7A" w:rsidRPr="00E7615A">
        <w:rPr>
          <w:rFonts w:ascii="Book Antiqua" w:hAnsi="Book Antiqua"/>
          <w:b/>
          <w:color w:val="000000" w:themeColor="text1"/>
          <w:sz w:val="24"/>
          <w:szCs w:val="24"/>
          <w:lang w:val="en-US"/>
        </w:rPr>
        <w:t xml:space="preserve"> </w:t>
      </w:r>
      <w:r w:rsidRPr="00E7615A">
        <w:rPr>
          <w:rFonts w:ascii="Book Antiqua" w:hAnsi="Book Antiqua"/>
          <w:b/>
          <w:color w:val="000000" w:themeColor="text1"/>
          <w:sz w:val="24"/>
          <w:szCs w:val="24"/>
          <w:lang w:val="en-US"/>
        </w:rPr>
        <w:t>Details of the procedures performed immediately before and during the first treatment (</w:t>
      </w:r>
      <w:r w:rsidR="00022AB2" w:rsidRPr="00022AB2">
        <w:rPr>
          <w:rFonts w:ascii="Book Antiqua" w:hAnsi="Book Antiqua"/>
          <w:b/>
          <w:color w:val="000000" w:themeColor="text1"/>
          <w:sz w:val="24"/>
          <w:szCs w:val="24"/>
          <w:lang w:val="en-US" w:eastAsia="zh-CN"/>
        </w:rPr>
        <w:t>guided bone regeneration</w:t>
      </w:r>
      <w:r w:rsidR="00022AB2" w:rsidRPr="00022AB2">
        <w:rPr>
          <w:rFonts w:ascii="Book Antiqua" w:hAnsi="Book Antiqua"/>
          <w:b/>
          <w:color w:val="000000" w:themeColor="text1"/>
          <w:sz w:val="24"/>
          <w:szCs w:val="24"/>
          <w:lang w:val="en-US"/>
        </w:rPr>
        <w:t xml:space="preserve"> </w:t>
      </w:r>
      <w:r w:rsidRPr="00022AB2">
        <w:rPr>
          <w:rFonts w:ascii="Book Antiqua" w:hAnsi="Book Antiqua"/>
          <w:b/>
          <w:color w:val="000000" w:themeColor="text1"/>
          <w:sz w:val="24"/>
          <w:szCs w:val="24"/>
          <w:lang w:val="en-US"/>
        </w:rPr>
        <w:t>-</w:t>
      </w:r>
      <w:r w:rsidR="00022AB2" w:rsidRPr="00022AB2">
        <w:rPr>
          <w:rFonts w:ascii="Book Antiqua" w:hAnsi="Book Antiqua"/>
          <w:b/>
          <w:color w:val="000000" w:themeColor="text1"/>
          <w:sz w:val="24"/>
          <w:szCs w:val="24"/>
          <w:lang w:val="en-US" w:eastAsia="zh-CN"/>
        </w:rPr>
        <w:t xml:space="preserve"> maxillary sinus augmentation</w:t>
      </w:r>
      <w:r w:rsidRPr="00E7615A">
        <w:rPr>
          <w:rFonts w:ascii="Book Antiqua" w:hAnsi="Book Antiqua"/>
          <w:b/>
          <w:color w:val="000000" w:themeColor="text1"/>
          <w:sz w:val="24"/>
          <w:szCs w:val="24"/>
          <w:lang w:val="en-US"/>
        </w:rPr>
        <w:t>).</w:t>
      </w:r>
      <w:r w:rsidRPr="00E7615A">
        <w:rPr>
          <w:rFonts w:ascii="Book Antiqua" w:hAnsi="Book Antiqua"/>
          <w:color w:val="000000" w:themeColor="text1"/>
          <w:sz w:val="24"/>
          <w:szCs w:val="24"/>
          <w:lang w:val="en-US"/>
        </w:rPr>
        <w:t xml:space="preserve"> A</w:t>
      </w:r>
      <w:r w:rsidR="00957E7A"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Rehydration of the MCBPA with PRGF-2 and UA-ADRCs. B</w:t>
      </w:r>
      <w:r w:rsidR="00957E7A"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Preparation of the right maxillary sinus with a lateral external window after atraumatic extraction of tooth # 14 (the Schneiderian membrane was elevated). C</w:t>
      </w:r>
      <w:r w:rsidR="00957E7A"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Filling of the right sinus cavity with loosely packed MCBPA/PRGF-2/UA-ADRCs. D</w:t>
      </w:r>
      <w:r w:rsidR="00957E7A"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Achievement of primary closure without tension on the right side using horizontal mattress as well as a</w:t>
      </w:r>
      <w:r w:rsidR="00683D8C" w:rsidRPr="00E7615A">
        <w:rPr>
          <w:rFonts w:ascii="Book Antiqua" w:hAnsi="Book Antiqua"/>
          <w:color w:val="000000" w:themeColor="text1"/>
          <w:sz w:val="24"/>
          <w:szCs w:val="24"/>
          <w:lang w:val="en-US"/>
        </w:rPr>
        <w:t xml:space="preserve"> continuous half-hitch </w:t>
      </w:r>
      <w:proofErr w:type="gramStart"/>
      <w:r w:rsidR="00683D8C" w:rsidRPr="00E7615A">
        <w:rPr>
          <w:rFonts w:ascii="Book Antiqua" w:hAnsi="Book Antiqua"/>
          <w:color w:val="000000" w:themeColor="text1"/>
          <w:sz w:val="24"/>
          <w:szCs w:val="24"/>
          <w:lang w:val="en-US"/>
        </w:rPr>
        <w:t>sutures</w:t>
      </w:r>
      <w:proofErr w:type="gramEnd"/>
      <w:r w:rsidR="00683D8C" w:rsidRPr="00E7615A">
        <w:rPr>
          <w:rFonts w:ascii="Book Antiqua" w:hAnsi="Book Antiqua"/>
          <w:color w:val="000000" w:themeColor="text1"/>
          <w:sz w:val="24"/>
          <w:szCs w:val="24"/>
          <w:lang w:val="en-US"/>
        </w:rPr>
        <w:t>.</w:t>
      </w:r>
      <w:r w:rsidR="00022AB2">
        <w:rPr>
          <w:rFonts w:ascii="Book Antiqua" w:hAnsi="Book Antiqua" w:hint="eastAsia"/>
          <w:color w:val="000000" w:themeColor="text1"/>
          <w:sz w:val="24"/>
          <w:szCs w:val="24"/>
          <w:lang w:val="en-US" w:eastAsia="zh-CN"/>
        </w:rPr>
        <w:t xml:space="preserve"> </w:t>
      </w:r>
      <w:r w:rsidR="00022AB2" w:rsidRPr="00E7615A">
        <w:rPr>
          <w:rFonts w:ascii="Book Antiqua" w:hAnsi="Book Antiqua"/>
          <w:color w:val="000000" w:themeColor="text1"/>
          <w:sz w:val="24"/>
          <w:szCs w:val="24"/>
          <w:lang w:val="en-US"/>
        </w:rPr>
        <w:t>MCBPA</w:t>
      </w:r>
      <w:r w:rsidR="00022AB2">
        <w:rPr>
          <w:rFonts w:ascii="Book Antiqua" w:hAnsi="Book Antiqua" w:hint="eastAsia"/>
          <w:color w:val="000000" w:themeColor="text1"/>
          <w:sz w:val="24"/>
          <w:szCs w:val="24"/>
          <w:lang w:val="en-US" w:eastAsia="zh-CN"/>
        </w:rPr>
        <w:t>:</w:t>
      </w:r>
      <w:r w:rsidR="00022AB2" w:rsidRPr="00E7615A">
        <w:rPr>
          <w:rFonts w:ascii="Book Antiqua" w:hAnsi="Book Antiqua"/>
          <w:color w:val="000000" w:themeColor="text1"/>
          <w:sz w:val="24"/>
          <w:szCs w:val="24"/>
          <w:lang w:val="en-US"/>
        </w:rPr>
        <w:t xml:space="preserve"> </w:t>
      </w:r>
      <w:r w:rsidR="00022AB2" w:rsidRPr="00022AB2">
        <w:rPr>
          <w:rFonts w:ascii="Book Antiqua" w:hAnsi="Book Antiqua"/>
          <w:caps/>
          <w:color w:val="000000" w:themeColor="text1"/>
          <w:sz w:val="24"/>
          <w:szCs w:val="24"/>
          <w:lang w:val="en-US"/>
        </w:rPr>
        <w:t>m</w:t>
      </w:r>
      <w:r w:rsidR="00022AB2" w:rsidRPr="00E7615A">
        <w:rPr>
          <w:rFonts w:ascii="Book Antiqua" w:hAnsi="Book Antiqua"/>
          <w:color w:val="000000" w:themeColor="text1"/>
          <w:sz w:val="24"/>
          <w:szCs w:val="24"/>
          <w:lang w:val="en-US"/>
        </w:rPr>
        <w:t>ineralized cancellous bone particulate allograft</w:t>
      </w:r>
      <w:r w:rsidR="00022AB2">
        <w:rPr>
          <w:rFonts w:ascii="Book Antiqua" w:hAnsi="Book Antiqua" w:hint="eastAsia"/>
          <w:color w:val="000000" w:themeColor="text1"/>
          <w:sz w:val="24"/>
          <w:szCs w:val="24"/>
          <w:lang w:val="en-US" w:eastAsia="zh-CN"/>
        </w:rPr>
        <w:t xml:space="preserve">; </w:t>
      </w:r>
      <w:r w:rsidR="0067163E" w:rsidRPr="0067163E">
        <w:rPr>
          <w:rFonts w:ascii="Book Antiqua" w:hAnsi="Book Antiqua"/>
          <w:color w:val="000000" w:themeColor="text1"/>
          <w:sz w:val="24"/>
          <w:szCs w:val="24"/>
          <w:lang w:val="en-US" w:eastAsia="zh-CN"/>
        </w:rPr>
        <w:t>PRGF-2</w:t>
      </w:r>
      <w:r w:rsidR="0067163E">
        <w:rPr>
          <w:rFonts w:ascii="Book Antiqua" w:hAnsi="Book Antiqua" w:hint="eastAsia"/>
          <w:color w:val="000000" w:themeColor="text1"/>
          <w:sz w:val="24"/>
          <w:szCs w:val="24"/>
          <w:lang w:val="en-US" w:eastAsia="zh-CN"/>
        </w:rPr>
        <w:t xml:space="preserve">: </w:t>
      </w:r>
      <w:r w:rsidR="0067163E" w:rsidRPr="0067163E">
        <w:rPr>
          <w:rFonts w:ascii="Book Antiqua" w:hAnsi="Book Antiqua"/>
          <w:caps/>
          <w:color w:val="000000" w:themeColor="text1"/>
          <w:sz w:val="24"/>
          <w:szCs w:val="24"/>
          <w:lang w:val="en-US" w:eastAsia="zh-CN"/>
        </w:rPr>
        <w:t>f</w:t>
      </w:r>
      <w:r w:rsidR="0067163E" w:rsidRPr="0067163E">
        <w:rPr>
          <w:rFonts w:ascii="Book Antiqua" w:hAnsi="Book Antiqua"/>
          <w:color w:val="000000" w:themeColor="text1"/>
          <w:sz w:val="24"/>
          <w:szCs w:val="24"/>
          <w:lang w:val="en-US" w:eastAsia="zh-CN"/>
        </w:rPr>
        <w:t>raction 2 of plasma rich in growth factors</w:t>
      </w:r>
      <w:r w:rsidR="0067163E">
        <w:rPr>
          <w:rFonts w:ascii="Book Antiqua" w:hAnsi="Book Antiqua" w:hint="eastAsia"/>
          <w:color w:val="000000" w:themeColor="text1"/>
          <w:sz w:val="24"/>
          <w:szCs w:val="24"/>
          <w:lang w:val="en-US" w:eastAsia="zh-CN"/>
        </w:rPr>
        <w:t>;</w:t>
      </w:r>
      <w:r w:rsidR="0067163E" w:rsidRPr="0067163E">
        <w:rPr>
          <w:rFonts w:ascii="Book Antiqua" w:hAnsi="Book Antiqua"/>
          <w:color w:val="000000" w:themeColor="text1"/>
          <w:sz w:val="24"/>
          <w:szCs w:val="24"/>
          <w:lang w:val="en-US" w:eastAsia="zh-CN"/>
        </w:rPr>
        <w:t xml:space="preserve"> UA-ADRCs</w:t>
      </w:r>
      <w:r w:rsidR="0067163E">
        <w:rPr>
          <w:rFonts w:ascii="Book Antiqua" w:hAnsi="Book Antiqua" w:hint="eastAsia"/>
          <w:color w:val="000000" w:themeColor="text1"/>
          <w:sz w:val="24"/>
          <w:szCs w:val="24"/>
          <w:lang w:val="en-US" w:eastAsia="zh-CN"/>
        </w:rPr>
        <w:t>:</w:t>
      </w:r>
      <w:r w:rsidR="0067163E" w:rsidRPr="0067163E">
        <w:rPr>
          <w:rFonts w:ascii="Book Antiqua" w:hAnsi="Book Antiqua"/>
          <w:color w:val="000000" w:themeColor="text1"/>
          <w:sz w:val="24"/>
          <w:szCs w:val="24"/>
          <w:lang w:val="en-US" w:eastAsia="zh-CN"/>
        </w:rPr>
        <w:t xml:space="preserve"> </w:t>
      </w:r>
      <w:r w:rsidR="0067163E" w:rsidRPr="0067163E">
        <w:rPr>
          <w:rFonts w:ascii="Book Antiqua" w:hAnsi="Book Antiqua"/>
          <w:caps/>
          <w:color w:val="000000" w:themeColor="text1"/>
          <w:sz w:val="24"/>
          <w:szCs w:val="24"/>
          <w:lang w:val="en-US" w:eastAsia="zh-CN"/>
        </w:rPr>
        <w:t>u</w:t>
      </w:r>
      <w:r w:rsidR="0067163E" w:rsidRPr="0067163E">
        <w:rPr>
          <w:rFonts w:ascii="Book Antiqua" w:hAnsi="Book Antiqua"/>
          <w:color w:val="000000" w:themeColor="text1"/>
          <w:sz w:val="24"/>
          <w:szCs w:val="24"/>
          <w:lang w:val="en-US" w:eastAsia="zh-CN"/>
        </w:rPr>
        <w:t>nmodified autologous adipose-derived regenerative cells</w:t>
      </w:r>
      <w:r w:rsidR="0067163E">
        <w:rPr>
          <w:rFonts w:ascii="Book Antiqua" w:hAnsi="Book Antiqua" w:hint="eastAsia"/>
          <w:color w:val="000000" w:themeColor="text1"/>
          <w:sz w:val="24"/>
          <w:szCs w:val="24"/>
          <w:lang w:val="en-US" w:eastAsia="zh-CN"/>
        </w:rPr>
        <w:t>.</w:t>
      </w:r>
    </w:p>
    <w:p w14:paraId="7847653D" w14:textId="399C9D6F" w:rsidR="00A37FD9" w:rsidRPr="00E7615A" w:rsidRDefault="00A37FD9" w:rsidP="00D048E9">
      <w:pPr>
        <w:widowControl w:val="0"/>
        <w:adjustRightInd w:val="0"/>
        <w:snapToGrid w:val="0"/>
        <w:spacing w:after="0" w:line="360" w:lineRule="auto"/>
        <w:jc w:val="both"/>
        <w:rPr>
          <w:rFonts w:ascii="Book Antiqua" w:hAnsi="Book Antiqua"/>
          <w:b/>
          <w:i/>
          <w:color w:val="000000" w:themeColor="text1"/>
          <w:sz w:val="24"/>
          <w:szCs w:val="24"/>
          <w:lang w:val="en-US" w:eastAsia="zh-CN"/>
        </w:rPr>
      </w:pPr>
    </w:p>
    <w:p w14:paraId="4C7D2BDF" w14:textId="336B6C91" w:rsidR="00782FF8" w:rsidRPr="00E7615A" w:rsidRDefault="00782FF8" w:rsidP="00D048E9">
      <w:pPr>
        <w:widowControl w:val="0"/>
        <w:adjustRightInd w:val="0"/>
        <w:snapToGrid w:val="0"/>
        <w:spacing w:after="0" w:line="360" w:lineRule="auto"/>
        <w:jc w:val="both"/>
        <w:rPr>
          <w:rFonts w:ascii="Book Antiqua" w:hAnsi="Book Antiqua"/>
          <w:b/>
          <w:color w:val="000000" w:themeColor="text1"/>
          <w:sz w:val="24"/>
          <w:szCs w:val="24"/>
          <w:lang w:val="en-US"/>
        </w:rPr>
      </w:pPr>
    </w:p>
    <w:p w14:paraId="484578A3" w14:textId="77777777"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br w:type="page"/>
      </w:r>
    </w:p>
    <w:p w14:paraId="2C31E75F" w14:textId="5CA3EEBA"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noProof/>
          <w:color w:val="000000" w:themeColor="text1"/>
          <w:sz w:val="24"/>
          <w:szCs w:val="24"/>
          <w:lang w:val="en-US" w:eastAsia="zh-CN"/>
        </w:rPr>
        <w:lastRenderedPageBreak/>
        <w:drawing>
          <wp:inline distT="0" distB="0" distL="0" distR="0" wp14:anchorId="180A4D62" wp14:editId="7530BF94">
            <wp:extent cx="4166616" cy="6300216"/>
            <wp:effectExtent l="0" t="0" r="5715" b="571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3.jpg"/>
                    <pic:cNvPicPr/>
                  </pic:nvPicPr>
                  <pic:blipFill>
                    <a:blip r:embed="rId11">
                      <a:extLst>
                        <a:ext uri="{28A0092B-C50C-407E-A947-70E740481C1C}">
                          <a14:useLocalDpi xmlns:a14="http://schemas.microsoft.com/office/drawing/2010/main" val="0"/>
                        </a:ext>
                      </a:extLst>
                    </a:blip>
                    <a:stretch>
                      <a:fillRect/>
                    </a:stretch>
                  </pic:blipFill>
                  <pic:spPr>
                    <a:xfrm>
                      <a:off x="0" y="0"/>
                      <a:ext cx="4166616" cy="6300216"/>
                    </a:xfrm>
                    <a:prstGeom prst="rect">
                      <a:avLst/>
                    </a:prstGeom>
                  </pic:spPr>
                </pic:pic>
              </a:graphicData>
            </a:graphic>
          </wp:inline>
        </w:drawing>
      </w:r>
    </w:p>
    <w:p w14:paraId="32CC08C2" w14:textId="13904F13" w:rsidR="00A37FD9" w:rsidRPr="00A70DD0"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b/>
          <w:color w:val="000000" w:themeColor="text1"/>
          <w:sz w:val="24"/>
          <w:szCs w:val="24"/>
          <w:lang w:val="en-US"/>
        </w:rPr>
        <w:t>Figure 3</w:t>
      </w:r>
      <w:r w:rsidR="00957E7A" w:rsidRPr="00E7615A">
        <w:rPr>
          <w:rFonts w:ascii="Book Antiqua" w:hAnsi="Book Antiqua"/>
          <w:b/>
          <w:color w:val="000000" w:themeColor="text1"/>
          <w:sz w:val="24"/>
          <w:szCs w:val="24"/>
          <w:lang w:val="en-US"/>
        </w:rPr>
        <w:t xml:space="preserve"> Clinical findings.</w:t>
      </w:r>
      <w:r w:rsidR="00957E7A" w:rsidRPr="00E7615A">
        <w:rPr>
          <w:rFonts w:ascii="Book Antiqua" w:hAnsi="Book Antiqua"/>
          <w:color w:val="000000" w:themeColor="text1"/>
          <w:sz w:val="24"/>
          <w:szCs w:val="24"/>
          <w:lang w:val="en-US"/>
        </w:rPr>
        <w:t xml:space="preserve"> A: Panoramic radiograph taken </w:t>
      </w:r>
      <w:r w:rsidRPr="00E7615A">
        <w:rPr>
          <w:rFonts w:ascii="Book Antiqua" w:hAnsi="Book Antiqua"/>
          <w:color w:val="000000" w:themeColor="text1"/>
          <w:sz w:val="24"/>
          <w:szCs w:val="24"/>
          <w:lang w:val="en-US"/>
        </w:rPr>
        <w:t>immediately after the first treatment (GBR-MSA)</w:t>
      </w:r>
      <w:r w:rsidR="00957E7A"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w:t>
      </w:r>
      <w:r w:rsidR="00345B8B" w:rsidRPr="00E7615A">
        <w:rPr>
          <w:rFonts w:ascii="Book Antiqua" w:hAnsi="Book Antiqua"/>
          <w:color w:val="000000" w:themeColor="text1"/>
          <w:sz w:val="24"/>
          <w:szCs w:val="24"/>
          <w:lang w:val="en-US"/>
        </w:rPr>
        <w:t xml:space="preserve">The yellow arrows indicate the restored bone height of the edentulous posterior maxilla on both sides. </w:t>
      </w:r>
      <w:r w:rsidRPr="00E7615A">
        <w:rPr>
          <w:rFonts w:ascii="Book Antiqua" w:hAnsi="Book Antiqua"/>
          <w:color w:val="000000" w:themeColor="text1"/>
          <w:sz w:val="24"/>
          <w:szCs w:val="24"/>
          <w:lang w:val="en-US"/>
        </w:rPr>
        <w:t>B</w:t>
      </w:r>
      <w:r w:rsidR="00957E7A" w:rsidRPr="00E7615A">
        <w:rPr>
          <w:rFonts w:ascii="Book Antiqua" w:hAnsi="Book Antiqua"/>
          <w:color w:val="000000" w:themeColor="text1"/>
          <w:sz w:val="24"/>
          <w:szCs w:val="24"/>
          <w:lang w:val="en-US"/>
        </w:rPr>
        <w:t xml:space="preserve">: Panoramic radiograph taken after </w:t>
      </w:r>
      <w:r w:rsidRPr="00E7615A">
        <w:rPr>
          <w:rFonts w:ascii="Book Antiqua" w:hAnsi="Book Antiqua"/>
          <w:color w:val="000000" w:themeColor="text1"/>
          <w:sz w:val="24"/>
          <w:szCs w:val="24"/>
          <w:lang w:val="en-US"/>
        </w:rPr>
        <w:t xml:space="preserve">the third treatment </w:t>
      </w:r>
      <w:r w:rsidR="00DE7DB2" w:rsidRPr="00E7615A">
        <w:rPr>
          <w:rFonts w:ascii="Book Antiqua" w:hAnsi="Book Antiqua"/>
          <w:color w:val="000000" w:themeColor="text1"/>
          <w:sz w:val="24"/>
          <w:szCs w:val="24"/>
          <w:lang w:val="en-US"/>
        </w:rPr>
        <w:t>(placement of implants at 34 wk</w:t>
      </w:r>
      <w:r w:rsidRPr="00E7615A">
        <w:rPr>
          <w:rFonts w:ascii="Book Antiqua" w:hAnsi="Book Antiqua"/>
          <w:color w:val="000000" w:themeColor="text1"/>
          <w:sz w:val="24"/>
          <w:szCs w:val="24"/>
          <w:lang w:val="en-US"/>
        </w:rPr>
        <w:t xml:space="preserve"> after GBR-MSA)</w:t>
      </w:r>
      <w:r w:rsidR="00957E7A"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C</w:t>
      </w:r>
      <w:r w:rsidR="00957E7A" w:rsidRPr="00E7615A">
        <w:rPr>
          <w:rFonts w:ascii="Book Antiqua" w:hAnsi="Book Antiqua"/>
          <w:color w:val="000000" w:themeColor="text1"/>
          <w:sz w:val="24"/>
          <w:szCs w:val="24"/>
          <w:lang w:val="en-US"/>
        </w:rPr>
        <w:t xml:space="preserve">: Panoramic radiograph taken </w:t>
      </w:r>
      <w:r w:rsidRPr="00E7615A">
        <w:rPr>
          <w:rFonts w:ascii="Book Antiqua" w:hAnsi="Book Antiqua"/>
          <w:color w:val="000000" w:themeColor="text1"/>
          <w:sz w:val="24"/>
          <w:szCs w:val="24"/>
          <w:lang w:val="en-US"/>
        </w:rPr>
        <w:t>at 32 mo after the first treatment. Details are provided in the main text.</w:t>
      </w:r>
      <w:r w:rsidR="00A70DD0">
        <w:rPr>
          <w:rFonts w:ascii="Book Antiqua" w:hAnsi="Book Antiqua" w:hint="eastAsia"/>
          <w:color w:val="000000" w:themeColor="text1"/>
          <w:sz w:val="24"/>
          <w:szCs w:val="24"/>
          <w:lang w:val="en-US" w:eastAsia="zh-CN"/>
        </w:rPr>
        <w:t xml:space="preserve"> </w:t>
      </w:r>
      <w:r w:rsidR="00A70DD0" w:rsidRPr="00E7615A">
        <w:rPr>
          <w:rFonts w:ascii="Book Antiqua" w:hAnsi="Book Antiqua"/>
          <w:color w:val="000000" w:themeColor="text1"/>
          <w:sz w:val="24"/>
          <w:szCs w:val="24"/>
          <w:lang w:val="en-US"/>
        </w:rPr>
        <w:t>R</w:t>
      </w:r>
      <w:r w:rsidR="00A70DD0">
        <w:rPr>
          <w:rFonts w:ascii="Book Antiqua" w:hAnsi="Book Antiqua" w:hint="eastAsia"/>
          <w:color w:val="000000" w:themeColor="text1"/>
          <w:sz w:val="24"/>
          <w:szCs w:val="24"/>
          <w:lang w:val="en-US" w:eastAsia="zh-CN"/>
        </w:rPr>
        <w:t>:</w:t>
      </w:r>
      <w:r w:rsidR="00A70DD0" w:rsidRPr="00E7615A">
        <w:rPr>
          <w:rFonts w:ascii="Book Antiqua" w:hAnsi="Book Antiqua"/>
          <w:color w:val="000000" w:themeColor="text1"/>
          <w:sz w:val="24"/>
          <w:szCs w:val="24"/>
          <w:lang w:val="en-US"/>
        </w:rPr>
        <w:t xml:space="preserve"> </w:t>
      </w:r>
      <w:r w:rsidR="00A70DD0" w:rsidRPr="003D0F86">
        <w:rPr>
          <w:rFonts w:ascii="Book Antiqua" w:hAnsi="Book Antiqua"/>
          <w:caps/>
          <w:color w:val="000000" w:themeColor="text1"/>
          <w:sz w:val="24"/>
          <w:szCs w:val="24"/>
          <w:lang w:val="en-US"/>
        </w:rPr>
        <w:t>r</w:t>
      </w:r>
      <w:r w:rsidR="00A70DD0" w:rsidRPr="00E7615A">
        <w:rPr>
          <w:rFonts w:ascii="Book Antiqua" w:hAnsi="Book Antiqua"/>
          <w:color w:val="000000" w:themeColor="text1"/>
          <w:sz w:val="24"/>
          <w:szCs w:val="24"/>
          <w:lang w:val="en-US"/>
        </w:rPr>
        <w:t>ight; L</w:t>
      </w:r>
      <w:r w:rsidR="00A70DD0">
        <w:rPr>
          <w:rFonts w:ascii="Book Antiqua" w:hAnsi="Book Antiqua" w:hint="eastAsia"/>
          <w:color w:val="000000" w:themeColor="text1"/>
          <w:sz w:val="24"/>
          <w:szCs w:val="24"/>
          <w:lang w:val="en-US" w:eastAsia="zh-CN"/>
        </w:rPr>
        <w:t>:</w:t>
      </w:r>
      <w:r w:rsidR="00A70DD0" w:rsidRPr="00E7615A">
        <w:rPr>
          <w:rFonts w:ascii="Book Antiqua" w:hAnsi="Book Antiqua"/>
          <w:color w:val="000000" w:themeColor="text1"/>
          <w:sz w:val="24"/>
          <w:szCs w:val="24"/>
          <w:lang w:val="en-US"/>
        </w:rPr>
        <w:t xml:space="preserve"> </w:t>
      </w:r>
      <w:r w:rsidR="00A70DD0" w:rsidRPr="003D0F86">
        <w:rPr>
          <w:rFonts w:ascii="Book Antiqua" w:hAnsi="Book Antiqua"/>
          <w:caps/>
          <w:color w:val="000000" w:themeColor="text1"/>
          <w:sz w:val="24"/>
          <w:szCs w:val="24"/>
          <w:lang w:val="en-US"/>
        </w:rPr>
        <w:t>l</w:t>
      </w:r>
      <w:r w:rsidR="00A70DD0">
        <w:rPr>
          <w:rFonts w:ascii="Book Antiqua" w:hAnsi="Book Antiqua"/>
          <w:color w:val="000000" w:themeColor="text1"/>
          <w:sz w:val="24"/>
          <w:szCs w:val="24"/>
          <w:lang w:val="en-US"/>
        </w:rPr>
        <w:t>eft</w:t>
      </w:r>
      <w:r w:rsidR="00A70DD0">
        <w:rPr>
          <w:rFonts w:ascii="Book Antiqua" w:hAnsi="Book Antiqua" w:hint="eastAsia"/>
          <w:color w:val="000000" w:themeColor="text1"/>
          <w:sz w:val="24"/>
          <w:szCs w:val="24"/>
          <w:lang w:val="en-US" w:eastAsia="zh-CN"/>
        </w:rPr>
        <w:t xml:space="preserve">; </w:t>
      </w:r>
      <w:r w:rsidR="00A70DD0" w:rsidRPr="00E7615A">
        <w:rPr>
          <w:rFonts w:ascii="Book Antiqua" w:hAnsi="Book Antiqua"/>
          <w:color w:val="000000" w:themeColor="text1"/>
          <w:sz w:val="24"/>
          <w:szCs w:val="24"/>
          <w:lang w:val="en-US"/>
        </w:rPr>
        <w:t>GBR</w:t>
      </w:r>
      <w:r w:rsidR="00A70DD0">
        <w:rPr>
          <w:rFonts w:ascii="Book Antiqua" w:hAnsi="Book Antiqua" w:hint="eastAsia"/>
          <w:color w:val="000000" w:themeColor="text1"/>
          <w:sz w:val="24"/>
          <w:szCs w:val="24"/>
          <w:lang w:val="en-US" w:eastAsia="zh-CN"/>
        </w:rPr>
        <w:t>:</w:t>
      </w:r>
      <w:r w:rsidR="00A70DD0" w:rsidRPr="00022AB2">
        <w:rPr>
          <w:rFonts w:ascii="Book Antiqua" w:hAnsi="Book Antiqua"/>
          <w:b/>
          <w:color w:val="000000" w:themeColor="text1"/>
          <w:sz w:val="24"/>
          <w:szCs w:val="24"/>
          <w:lang w:val="en-US" w:eastAsia="zh-CN"/>
        </w:rPr>
        <w:t xml:space="preserve"> </w:t>
      </w:r>
      <w:r w:rsidR="00A70DD0" w:rsidRPr="00A70DD0">
        <w:rPr>
          <w:rFonts w:ascii="Book Antiqua" w:hAnsi="Book Antiqua"/>
          <w:caps/>
          <w:color w:val="000000" w:themeColor="text1"/>
          <w:sz w:val="24"/>
          <w:szCs w:val="24"/>
          <w:lang w:val="en-US" w:eastAsia="zh-CN"/>
        </w:rPr>
        <w:t>g</w:t>
      </w:r>
      <w:r w:rsidR="00A70DD0" w:rsidRPr="00A70DD0">
        <w:rPr>
          <w:rFonts w:ascii="Book Antiqua" w:hAnsi="Book Antiqua"/>
          <w:color w:val="000000" w:themeColor="text1"/>
          <w:sz w:val="24"/>
          <w:szCs w:val="24"/>
          <w:lang w:val="en-US" w:eastAsia="zh-CN"/>
        </w:rPr>
        <w:t>uided bone regeneration</w:t>
      </w:r>
      <w:r w:rsidR="00A70DD0" w:rsidRPr="00A70DD0">
        <w:rPr>
          <w:rFonts w:ascii="Book Antiqua" w:hAnsi="Book Antiqua" w:hint="eastAsia"/>
          <w:color w:val="000000" w:themeColor="text1"/>
          <w:sz w:val="24"/>
          <w:szCs w:val="24"/>
          <w:lang w:val="en-US" w:eastAsia="zh-CN"/>
        </w:rPr>
        <w:t xml:space="preserve">; </w:t>
      </w:r>
      <w:r w:rsidR="00A70DD0" w:rsidRPr="00A70DD0">
        <w:rPr>
          <w:rFonts w:ascii="Book Antiqua" w:hAnsi="Book Antiqua"/>
          <w:color w:val="000000" w:themeColor="text1"/>
          <w:sz w:val="24"/>
          <w:szCs w:val="24"/>
          <w:lang w:val="en-US"/>
        </w:rPr>
        <w:t>MSA</w:t>
      </w:r>
      <w:r w:rsidR="00A70DD0" w:rsidRPr="00A70DD0">
        <w:rPr>
          <w:rFonts w:ascii="Book Antiqua" w:hAnsi="Book Antiqua" w:hint="eastAsia"/>
          <w:color w:val="000000" w:themeColor="text1"/>
          <w:sz w:val="24"/>
          <w:szCs w:val="24"/>
          <w:lang w:val="en-US" w:eastAsia="zh-CN"/>
        </w:rPr>
        <w:t>:</w:t>
      </w:r>
      <w:r w:rsidR="00A70DD0" w:rsidRPr="00A70DD0">
        <w:rPr>
          <w:rFonts w:ascii="Book Antiqua" w:hAnsi="Book Antiqua"/>
          <w:color w:val="000000" w:themeColor="text1"/>
          <w:sz w:val="24"/>
          <w:szCs w:val="24"/>
          <w:lang w:val="en-US" w:eastAsia="zh-CN"/>
        </w:rPr>
        <w:t xml:space="preserve"> </w:t>
      </w:r>
      <w:r w:rsidR="00A70DD0" w:rsidRPr="00A70DD0">
        <w:rPr>
          <w:rFonts w:ascii="Book Antiqua" w:hAnsi="Book Antiqua"/>
          <w:caps/>
          <w:color w:val="000000" w:themeColor="text1"/>
          <w:sz w:val="24"/>
          <w:szCs w:val="24"/>
          <w:lang w:val="en-US" w:eastAsia="zh-CN"/>
        </w:rPr>
        <w:t>m</w:t>
      </w:r>
      <w:r w:rsidR="00A70DD0" w:rsidRPr="00A70DD0">
        <w:rPr>
          <w:rFonts w:ascii="Book Antiqua" w:hAnsi="Book Antiqua"/>
          <w:color w:val="000000" w:themeColor="text1"/>
          <w:sz w:val="24"/>
          <w:szCs w:val="24"/>
          <w:lang w:val="en-US" w:eastAsia="zh-CN"/>
        </w:rPr>
        <w:t>axillary sinus augmentation</w:t>
      </w:r>
      <w:r w:rsidR="00A70DD0" w:rsidRPr="00A70DD0">
        <w:rPr>
          <w:rFonts w:ascii="Book Antiqua" w:hAnsi="Book Antiqua" w:hint="eastAsia"/>
          <w:color w:val="000000" w:themeColor="text1"/>
          <w:sz w:val="24"/>
          <w:szCs w:val="24"/>
          <w:lang w:val="en-US" w:eastAsia="zh-CN"/>
        </w:rPr>
        <w:t>.</w:t>
      </w:r>
    </w:p>
    <w:p w14:paraId="36E53E35" w14:textId="77777777" w:rsidR="00A70DD0" w:rsidRPr="00E7615A" w:rsidRDefault="00A70DD0"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p>
    <w:p w14:paraId="7908F861" w14:textId="2EA8C605" w:rsidR="00782FF8"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noProof/>
          <w:color w:val="000000" w:themeColor="text1"/>
          <w:sz w:val="24"/>
          <w:szCs w:val="24"/>
          <w:lang w:val="en-US" w:eastAsia="zh-CN"/>
        </w:rPr>
        <w:drawing>
          <wp:inline distT="0" distB="0" distL="0" distR="0" wp14:anchorId="1BC17FCA" wp14:editId="4565A943">
            <wp:extent cx="5943600" cy="3454400"/>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4.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3454400"/>
                    </a:xfrm>
                    <a:prstGeom prst="rect">
                      <a:avLst/>
                    </a:prstGeom>
                  </pic:spPr>
                </pic:pic>
              </a:graphicData>
            </a:graphic>
          </wp:inline>
        </w:drawing>
      </w:r>
    </w:p>
    <w:p w14:paraId="07C62E9E" w14:textId="77777777" w:rsidR="00CD5572" w:rsidRPr="00022AB2"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b/>
          <w:color w:val="000000" w:themeColor="text1"/>
          <w:sz w:val="24"/>
          <w:szCs w:val="24"/>
          <w:lang w:val="en-US"/>
        </w:rPr>
        <w:t>Figure 4 Digital volume tomography radiographs taken after the fourth treatment</w:t>
      </w:r>
      <w:r w:rsidRPr="00E7615A">
        <w:rPr>
          <w:rFonts w:ascii="Book Antiqua" w:hAnsi="Book Antiqua"/>
          <w:color w:val="000000" w:themeColor="text1"/>
          <w:sz w:val="24"/>
          <w:szCs w:val="24"/>
          <w:lang w:val="en-US"/>
        </w:rPr>
        <w:t xml:space="preserve"> </w:t>
      </w:r>
      <w:r w:rsidRPr="00CD5572">
        <w:rPr>
          <w:rFonts w:ascii="Book Antiqua" w:hAnsi="Book Antiqua"/>
          <w:b/>
          <w:color w:val="000000" w:themeColor="text1"/>
          <w:sz w:val="24"/>
          <w:szCs w:val="24"/>
          <w:lang w:val="en-US"/>
        </w:rPr>
        <w:t xml:space="preserve">(one year after the placement of implants and 20 mo after </w:t>
      </w:r>
      <w:r w:rsidR="00CD5572" w:rsidRPr="00022AB2">
        <w:rPr>
          <w:rFonts w:ascii="Book Antiqua" w:hAnsi="Book Antiqua"/>
          <w:b/>
          <w:color w:val="000000" w:themeColor="text1"/>
          <w:sz w:val="24"/>
          <w:szCs w:val="24"/>
          <w:lang w:val="en-US" w:eastAsia="zh-CN"/>
        </w:rPr>
        <w:t>guided bone regeneration</w:t>
      </w:r>
      <w:r w:rsidR="00CD5572" w:rsidRPr="00022AB2">
        <w:rPr>
          <w:rFonts w:ascii="Book Antiqua" w:hAnsi="Book Antiqua"/>
          <w:b/>
          <w:color w:val="000000" w:themeColor="text1"/>
          <w:sz w:val="24"/>
          <w:szCs w:val="24"/>
          <w:lang w:val="en-US"/>
        </w:rPr>
        <w:t xml:space="preserve"> -</w:t>
      </w:r>
      <w:r w:rsidR="00CD5572" w:rsidRPr="00022AB2">
        <w:rPr>
          <w:rFonts w:ascii="Book Antiqua" w:hAnsi="Book Antiqua"/>
          <w:b/>
          <w:color w:val="000000" w:themeColor="text1"/>
          <w:sz w:val="24"/>
          <w:szCs w:val="24"/>
          <w:lang w:val="en-US" w:eastAsia="zh-CN"/>
        </w:rPr>
        <w:t xml:space="preserve"> maxillary sinus augmentation</w:t>
      </w:r>
      <w:r w:rsidRPr="00CD5572">
        <w:rPr>
          <w:rFonts w:ascii="Book Antiqua" w:hAnsi="Book Antiqua"/>
          <w:b/>
          <w:color w:val="000000" w:themeColor="text1"/>
          <w:sz w:val="24"/>
          <w:szCs w:val="24"/>
          <w:lang w:val="en-US"/>
        </w:rPr>
        <w:t xml:space="preserve">). </w:t>
      </w:r>
      <w:r w:rsidRPr="00E7615A">
        <w:rPr>
          <w:rFonts w:ascii="Book Antiqua" w:hAnsi="Book Antiqua"/>
          <w:color w:val="000000" w:themeColor="text1"/>
          <w:sz w:val="24"/>
          <w:szCs w:val="24"/>
          <w:lang w:val="en-US"/>
        </w:rPr>
        <w:t>A</w:t>
      </w:r>
      <w:r w:rsidR="00957E7A"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Panoramic view</w:t>
      </w:r>
      <w:r w:rsidR="00CD5572">
        <w:rPr>
          <w:rFonts w:ascii="Book Antiqua" w:hAnsi="Book Antiqua" w:hint="eastAsia"/>
          <w:color w:val="000000" w:themeColor="text1"/>
          <w:sz w:val="24"/>
          <w:szCs w:val="24"/>
          <w:lang w:val="en-US" w:eastAsia="zh-CN"/>
        </w:rPr>
        <w:t>;</w:t>
      </w:r>
      <w:r w:rsidRPr="00E7615A">
        <w:rPr>
          <w:rFonts w:ascii="Book Antiqua" w:hAnsi="Book Antiqua"/>
          <w:color w:val="000000" w:themeColor="text1"/>
          <w:sz w:val="24"/>
          <w:szCs w:val="24"/>
          <w:lang w:val="en-US"/>
        </w:rPr>
        <w:t xml:space="preserve"> B-E</w:t>
      </w:r>
      <w:r w:rsidR="00957E7A"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Detailed view on selected regions 15 (B), 16 (C), 25 (D) and 26 (E). </w:t>
      </w:r>
      <w:bookmarkStart w:id="215" w:name="_Hlk514333190"/>
      <w:r w:rsidRPr="00E7615A">
        <w:rPr>
          <w:rFonts w:ascii="Book Antiqua" w:hAnsi="Book Antiqua"/>
          <w:color w:val="000000" w:themeColor="text1"/>
          <w:sz w:val="24"/>
          <w:szCs w:val="24"/>
          <w:lang w:val="en-US"/>
        </w:rPr>
        <w:t>With the application of UA-ADRCs the bone around the implants in regions 15 and 16 appeared larger in area and more dense (arrows in B,</w:t>
      </w:r>
      <w:r w:rsidR="00CD5572">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C) than without the application of UA-ADRCs in regions 25 and 26 (arrowheads in D,</w:t>
      </w:r>
      <w:r w:rsidR="00CD5572">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E).</w:t>
      </w:r>
      <w:r w:rsidR="00CD5572">
        <w:rPr>
          <w:rFonts w:ascii="Book Antiqua" w:hAnsi="Book Antiqua" w:hint="eastAsia"/>
          <w:color w:val="000000" w:themeColor="text1"/>
          <w:sz w:val="24"/>
          <w:szCs w:val="24"/>
          <w:lang w:val="en-US" w:eastAsia="zh-CN"/>
        </w:rPr>
        <w:t xml:space="preserve"> </w:t>
      </w:r>
      <w:r w:rsidR="00CD5572" w:rsidRPr="0067163E">
        <w:rPr>
          <w:rFonts w:ascii="Book Antiqua" w:hAnsi="Book Antiqua"/>
          <w:color w:val="000000" w:themeColor="text1"/>
          <w:sz w:val="24"/>
          <w:szCs w:val="24"/>
          <w:lang w:val="en-US" w:eastAsia="zh-CN"/>
        </w:rPr>
        <w:t>UA-ADRCs</w:t>
      </w:r>
      <w:r w:rsidR="00CD5572">
        <w:rPr>
          <w:rFonts w:ascii="Book Antiqua" w:hAnsi="Book Antiqua" w:hint="eastAsia"/>
          <w:color w:val="000000" w:themeColor="text1"/>
          <w:sz w:val="24"/>
          <w:szCs w:val="24"/>
          <w:lang w:val="en-US" w:eastAsia="zh-CN"/>
        </w:rPr>
        <w:t>:</w:t>
      </w:r>
      <w:r w:rsidR="00CD5572" w:rsidRPr="0067163E">
        <w:rPr>
          <w:rFonts w:ascii="Book Antiqua" w:hAnsi="Book Antiqua"/>
          <w:color w:val="000000" w:themeColor="text1"/>
          <w:sz w:val="24"/>
          <w:szCs w:val="24"/>
          <w:lang w:val="en-US" w:eastAsia="zh-CN"/>
        </w:rPr>
        <w:t xml:space="preserve"> </w:t>
      </w:r>
      <w:r w:rsidR="00CD5572" w:rsidRPr="0067163E">
        <w:rPr>
          <w:rFonts w:ascii="Book Antiqua" w:hAnsi="Book Antiqua"/>
          <w:caps/>
          <w:color w:val="000000" w:themeColor="text1"/>
          <w:sz w:val="24"/>
          <w:szCs w:val="24"/>
          <w:lang w:val="en-US" w:eastAsia="zh-CN"/>
        </w:rPr>
        <w:t>u</w:t>
      </w:r>
      <w:r w:rsidR="00CD5572" w:rsidRPr="0067163E">
        <w:rPr>
          <w:rFonts w:ascii="Book Antiqua" w:hAnsi="Book Antiqua"/>
          <w:color w:val="000000" w:themeColor="text1"/>
          <w:sz w:val="24"/>
          <w:szCs w:val="24"/>
          <w:lang w:val="en-US" w:eastAsia="zh-CN"/>
        </w:rPr>
        <w:t>nmodified autologous adipose-derived regenerative cells</w:t>
      </w:r>
      <w:r w:rsidR="00CD5572">
        <w:rPr>
          <w:rFonts w:ascii="Book Antiqua" w:hAnsi="Book Antiqua" w:hint="eastAsia"/>
          <w:color w:val="000000" w:themeColor="text1"/>
          <w:sz w:val="24"/>
          <w:szCs w:val="24"/>
          <w:lang w:val="en-US" w:eastAsia="zh-CN"/>
        </w:rPr>
        <w:t>.</w:t>
      </w:r>
    </w:p>
    <w:p w14:paraId="2E2E1C55" w14:textId="7C51B1C8"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p>
    <w:bookmarkEnd w:id="215"/>
    <w:p w14:paraId="3A01B635" w14:textId="77777777" w:rsidR="00A37FD9" w:rsidRPr="00E7615A" w:rsidRDefault="00A37FD9" w:rsidP="00D048E9">
      <w:pPr>
        <w:widowControl w:val="0"/>
        <w:adjustRightInd w:val="0"/>
        <w:snapToGrid w:val="0"/>
        <w:spacing w:after="0" w:line="360" w:lineRule="auto"/>
        <w:ind w:firstLine="216"/>
        <w:jc w:val="both"/>
        <w:rPr>
          <w:rFonts w:ascii="Book Antiqua" w:hAnsi="Book Antiqua"/>
          <w:color w:val="000000" w:themeColor="text1"/>
          <w:sz w:val="24"/>
          <w:szCs w:val="24"/>
          <w:lang w:val="en-US"/>
        </w:rPr>
      </w:pPr>
    </w:p>
    <w:p w14:paraId="4F357755" w14:textId="72E4E723" w:rsidR="00A37FD9" w:rsidRPr="00E7615A" w:rsidRDefault="00A37FD9" w:rsidP="00D048E9">
      <w:pPr>
        <w:widowControl w:val="0"/>
        <w:adjustRightInd w:val="0"/>
        <w:snapToGrid w:val="0"/>
        <w:spacing w:after="0" w:line="360" w:lineRule="auto"/>
        <w:jc w:val="both"/>
        <w:rPr>
          <w:rFonts w:ascii="Book Antiqua" w:hAnsi="Book Antiqua"/>
          <w:b/>
          <w:color w:val="000000" w:themeColor="text1"/>
          <w:sz w:val="24"/>
          <w:szCs w:val="24"/>
          <w:lang w:val="en-US"/>
        </w:rPr>
      </w:pPr>
    </w:p>
    <w:p w14:paraId="77F0511B" w14:textId="77777777"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br w:type="page"/>
      </w:r>
    </w:p>
    <w:p w14:paraId="59647A5C" w14:textId="4C421922"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noProof/>
          <w:color w:val="000000" w:themeColor="text1"/>
          <w:sz w:val="24"/>
          <w:szCs w:val="24"/>
          <w:lang w:val="en-US" w:eastAsia="zh-CN"/>
        </w:rPr>
        <w:lastRenderedPageBreak/>
        <w:drawing>
          <wp:inline distT="0" distB="0" distL="0" distR="0" wp14:anchorId="1ECAFE34" wp14:editId="0919BC78">
            <wp:extent cx="5943600" cy="72771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5.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727710"/>
                    </a:xfrm>
                    <a:prstGeom prst="rect">
                      <a:avLst/>
                    </a:prstGeom>
                  </pic:spPr>
                </pic:pic>
              </a:graphicData>
            </a:graphic>
          </wp:inline>
        </w:drawing>
      </w:r>
    </w:p>
    <w:p w14:paraId="512FD04B" w14:textId="499CFC98"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b/>
          <w:color w:val="000000" w:themeColor="text1"/>
          <w:sz w:val="24"/>
          <w:szCs w:val="24"/>
          <w:lang w:val="en-US"/>
        </w:rPr>
        <w:t>Figure 5</w:t>
      </w:r>
      <w:r w:rsidR="00957E7A" w:rsidRPr="00E7615A">
        <w:rPr>
          <w:rFonts w:ascii="Book Antiqua" w:hAnsi="Book Antiqua"/>
          <w:b/>
          <w:color w:val="000000" w:themeColor="text1"/>
          <w:sz w:val="24"/>
          <w:szCs w:val="24"/>
          <w:lang w:val="en-US"/>
        </w:rPr>
        <w:t xml:space="preserve"> Documentation of clinical outcome.</w:t>
      </w:r>
      <w:r w:rsidRPr="00E7615A">
        <w:rPr>
          <w:rFonts w:ascii="Book Antiqua" w:hAnsi="Book Antiqua"/>
          <w:color w:val="000000" w:themeColor="text1"/>
          <w:sz w:val="24"/>
          <w:szCs w:val="24"/>
          <w:lang w:val="en-US"/>
        </w:rPr>
        <w:t xml:space="preserve"> A,</w:t>
      </w:r>
      <w:r w:rsidR="00CD5572">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B</w:t>
      </w:r>
      <w:r w:rsidR="00957E7A"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Intraoral ventral (A) and occlusal (B) views on the healing abutments in regions 12, 14, 15, 16, 22, 25 and 26 after the fourth treatment (one year after the placement of implants and 20 months after GBR-MSA). Note that the teeth # 13, 21, 23 and 24 are crowned</w:t>
      </w:r>
      <w:r w:rsidR="00CD5572">
        <w:rPr>
          <w:rFonts w:ascii="Book Antiqua" w:hAnsi="Book Antiqua" w:hint="eastAsia"/>
          <w:color w:val="000000" w:themeColor="text1"/>
          <w:sz w:val="24"/>
          <w:szCs w:val="24"/>
          <w:lang w:val="en-US" w:eastAsia="zh-CN"/>
        </w:rPr>
        <w:t>;</w:t>
      </w:r>
      <w:r w:rsidRPr="00E7615A">
        <w:rPr>
          <w:rFonts w:ascii="Book Antiqua" w:hAnsi="Book Antiqua"/>
          <w:color w:val="000000" w:themeColor="text1"/>
          <w:sz w:val="24"/>
          <w:szCs w:val="24"/>
          <w:lang w:val="en-US"/>
        </w:rPr>
        <w:t xml:space="preserve"> C,</w:t>
      </w:r>
      <w:r w:rsidR="00CD5572">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D</w:t>
      </w:r>
      <w:r w:rsidR="00957E7A" w:rsidRPr="00E7615A">
        <w:rPr>
          <w:rFonts w:ascii="Book Antiqua" w:hAnsi="Book Antiqua"/>
          <w:color w:val="000000" w:themeColor="text1"/>
          <w:sz w:val="24"/>
          <w:szCs w:val="24"/>
          <w:lang w:val="en-US"/>
        </w:rPr>
        <w:t>:</w:t>
      </w:r>
      <w:r w:rsidR="00683D8C"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Exter</w:t>
      </w:r>
      <w:r w:rsidR="00683D8C" w:rsidRPr="00E7615A">
        <w:rPr>
          <w:rFonts w:ascii="Book Antiqua" w:hAnsi="Book Antiqua"/>
          <w:color w:val="000000" w:themeColor="text1"/>
          <w:sz w:val="24"/>
          <w:szCs w:val="24"/>
          <w:lang w:val="en-US"/>
        </w:rPr>
        <w:t>nal (C) and internal (D) view of</w:t>
      </w:r>
      <w:r w:rsidRPr="00E7615A">
        <w:rPr>
          <w:rFonts w:ascii="Book Antiqua" w:hAnsi="Book Antiqua"/>
          <w:color w:val="000000" w:themeColor="text1"/>
          <w:sz w:val="24"/>
          <w:szCs w:val="24"/>
          <w:lang w:val="en-US"/>
        </w:rPr>
        <w:t xml:space="preserve"> the prosthetic telescopic bridge</w:t>
      </w:r>
      <w:r w:rsidR="00CD5572">
        <w:rPr>
          <w:rFonts w:ascii="Book Antiqua" w:hAnsi="Book Antiqua" w:hint="eastAsia"/>
          <w:color w:val="000000" w:themeColor="text1"/>
          <w:sz w:val="24"/>
          <w:szCs w:val="24"/>
          <w:lang w:val="en-US" w:eastAsia="zh-CN"/>
        </w:rPr>
        <w:t>;</w:t>
      </w:r>
      <w:r w:rsidRPr="00E7615A">
        <w:rPr>
          <w:rFonts w:ascii="Book Antiqua" w:hAnsi="Book Antiqua"/>
          <w:color w:val="000000" w:themeColor="text1"/>
          <w:sz w:val="24"/>
          <w:szCs w:val="24"/>
          <w:lang w:val="en-US"/>
        </w:rPr>
        <w:t xml:space="preserve"> E</w:t>
      </w:r>
      <w:r w:rsidR="00957E7A" w:rsidRPr="00E7615A">
        <w:rPr>
          <w:rFonts w:ascii="Book Antiqua" w:hAnsi="Book Antiqua"/>
          <w:color w:val="000000" w:themeColor="text1"/>
          <w:sz w:val="24"/>
          <w:szCs w:val="24"/>
          <w:lang w:val="en-US"/>
        </w:rPr>
        <w:t>:</w:t>
      </w:r>
      <w:r w:rsidRPr="00E7615A">
        <w:rPr>
          <w:rFonts w:ascii="Book Antiqua" w:hAnsi="Book Antiqua"/>
          <w:color w:val="000000" w:themeColor="text1"/>
          <w:sz w:val="24"/>
          <w:szCs w:val="24"/>
          <w:lang w:val="en-US"/>
        </w:rPr>
        <w:t xml:space="preserve"> Intraoral view of the final prosthetic reconstruction.</w:t>
      </w:r>
      <w:r w:rsidR="00CD5572">
        <w:rPr>
          <w:rFonts w:ascii="Book Antiqua" w:hAnsi="Book Antiqua" w:hint="eastAsia"/>
          <w:color w:val="000000" w:themeColor="text1"/>
          <w:sz w:val="24"/>
          <w:szCs w:val="24"/>
          <w:lang w:val="en-US" w:eastAsia="zh-CN"/>
        </w:rPr>
        <w:t xml:space="preserve"> </w:t>
      </w:r>
      <w:r w:rsidR="00CD5572" w:rsidRPr="00E7615A">
        <w:rPr>
          <w:rFonts w:ascii="Book Antiqua" w:hAnsi="Book Antiqua"/>
          <w:color w:val="000000" w:themeColor="text1"/>
          <w:sz w:val="24"/>
          <w:szCs w:val="24"/>
          <w:lang w:val="en-US"/>
        </w:rPr>
        <w:t>GBR</w:t>
      </w:r>
      <w:r w:rsidR="00CD5572">
        <w:rPr>
          <w:rFonts w:ascii="Book Antiqua" w:hAnsi="Book Antiqua" w:hint="eastAsia"/>
          <w:color w:val="000000" w:themeColor="text1"/>
          <w:sz w:val="24"/>
          <w:szCs w:val="24"/>
          <w:lang w:val="en-US" w:eastAsia="zh-CN"/>
        </w:rPr>
        <w:t>:</w:t>
      </w:r>
      <w:r w:rsidR="00CD5572" w:rsidRPr="00022AB2">
        <w:rPr>
          <w:rFonts w:ascii="Book Antiqua" w:hAnsi="Book Antiqua"/>
          <w:b/>
          <w:color w:val="000000" w:themeColor="text1"/>
          <w:sz w:val="24"/>
          <w:szCs w:val="24"/>
          <w:lang w:val="en-US" w:eastAsia="zh-CN"/>
        </w:rPr>
        <w:t xml:space="preserve"> </w:t>
      </w:r>
      <w:r w:rsidR="00CD5572" w:rsidRPr="00A70DD0">
        <w:rPr>
          <w:rFonts w:ascii="Book Antiqua" w:hAnsi="Book Antiqua"/>
          <w:caps/>
          <w:color w:val="000000" w:themeColor="text1"/>
          <w:sz w:val="24"/>
          <w:szCs w:val="24"/>
          <w:lang w:val="en-US" w:eastAsia="zh-CN"/>
        </w:rPr>
        <w:t>g</w:t>
      </w:r>
      <w:r w:rsidR="00CD5572" w:rsidRPr="00A70DD0">
        <w:rPr>
          <w:rFonts w:ascii="Book Antiqua" w:hAnsi="Book Antiqua"/>
          <w:color w:val="000000" w:themeColor="text1"/>
          <w:sz w:val="24"/>
          <w:szCs w:val="24"/>
          <w:lang w:val="en-US" w:eastAsia="zh-CN"/>
        </w:rPr>
        <w:t>uided bone regeneration</w:t>
      </w:r>
      <w:r w:rsidR="00CD5572" w:rsidRPr="00A70DD0">
        <w:rPr>
          <w:rFonts w:ascii="Book Antiqua" w:hAnsi="Book Antiqua" w:hint="eastAsia"/>
          <w:color w:val="000000" w:themeColor="text1"/>
          <w:sz w:val="24"/>
          <w:szCs w:val="24"/>
          <w:lang w:val="en-US" w:eastAsia="zh-CN"/>
        </w:rPr>
        <w:t xml:space="preserve">; </w:t>
      </w:r>
      <w:r w:rsidR="00CD5572" w:rsidRPr="00A70DD0">
        <w:rPr>
          <w:rFonts w:ascii="Book Antiqua" w:hAnsi="Book Antiqua"/>
          <w:color w:val="000000" w:themeColor="text1"/>
          <w:sz w:val="24"/>
          <w:szCs w:val="24"/>
          <w:lang w:val="en-US"/>
        </w:rPr>
        <w:t>MSA</w:t>
      </w:r>
      <w:r w:rsidR="00CD5572" w:rsidRPr="00A70DD0">
        <w:rPr>
          <w:rFonts w:ascii="Book Antiqua" w:hAnsi="Book Antiqua" w:hint="eastAsia"/>
          <w:color w:val="000000" w:themeColor="text1"/>
          <w:sz w:val="24"/>
          <w:szCs w:val="24"/>
          <w:lang w:val="en-US" w:eastAsia="zh-CN"/>
        </w:rPr>
        <w:t>:</w:t>
      </w:r>
      <w:r w:rsidR="00CD5572" w:rsidRPr="00A70DD0">
        <w:rPr>
          <w:rFonts w:ascii="Book Antiqua" w:hAnsi="Book Antiqua"/>
          <w:color w:val="000000" w:themeColor="text1"/>
          <w:sz w:val="24"/>
          <w:szCs w:val="24"/>
          <w:lang w:val="en-US" w:eastAsia="zh-CN"/>
        </w:rPr>
        <w:t xml:space="preserve"> </w:t>
      </w:r>
      <w:r w:rsidR="00CD5572" w:rsidRPr="00A70DD0">
        <w:rPr>
          <w:rFonts w:ascii="Book Antiqua" w:hAnsi="Book Antiqua"/>
          <w:caps/>
          <w:color w:val="000000" w:themeColor="text1"/>
          <w:sz w:val="24"/>
          <w:szCs w:val="24"/>
          <w:lang w:val="en-US" w:eastAsia="zh-CN"/>
        </w:rPr>
        <w:t>m</w:t>
      </w:r>
      <w:r w:rsidR="00CD5572" w:rsidRPr="00A70DD0">
        <w:rPr>
          <w:rFonts w:ascii="Book Antiqua" w:hAnsi="Book Antiqua"/>
          <w:color w:val="000000" w:themeColor="text1"/>
          <w:sz w:val="24"/>
          <w:szCs w:val="24"/>
          <w:lang w:val="en-US" w:eastAsia="zh-CN"/>
        </w:rPr>
        <w:t>axillary sinus augmentation</w:t>
      </w:r>
      <w:r w:rsidR="00CD5572" w:rsidRPr="00A70DD0">
        <w:rPr>
          <w:rFonts w:ascii="Book Antiqua" w:hAnsi="Book Antiqua" w:hint="eastAsia"/>
          <w:color w:val="000000" w:themeColor="text1"/>
          <w:sz w:val="24"/>
          <w:szCs w:val="24"/>
          <w:lang w:val="en-US" w:eastAsia="zh-CN"/>
        </w:rPr>
        <w:t>.</w:t>
      </w:r>
    </w:p>
    <w:p w14:paraId="03F22058" w14:textId="5BC014A5"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p>
    <w:p w14:paraId="6F37D04A" w14:textId="77777777"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br w:type="page"/>
      </w:r>
    </w:p>
    <w:p w14:paraId="4B3EA67C" w14:textId="509A8BE4"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noProof/>
          <w:color w:val="000000" w:themeColor="text1"/>
          <w:sz w:val="24"/>
          <w:szCs w:val="24"/>
          <w:lang w:val="en-US" w:eastAsia="zh-CN"/>
        </w:rPr>
        <w:lastRenderedPageBreak/>
        <w:drawing>
          <wp:inline distT="0" distB="0" distL="0" distR="0" wp14:anchorId="53F5974C" wp14:editId="32E17B11">
            <wp:extent cx="5943600" cy="7401560"/>
            <wp:effectExtent l="0" t="0" r="0" b="889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6.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401560"/>
                    </a:xfrm>
                    <a:prstGeom prst="rect">
                      <a:avLst/>
                    </a:prstGeom>
                  </pic:spPr>
                </pic:pic>
              </a:graphicData>
            </a:graphic>
          </wp:inline>
        </w:drawing>
      </w:r>
    </w:p>
    <w:p w14:paraId="26EC8433" w14:textId="77777777" w:rsidR="00CD5572" w:rsidRPr="00022AB2"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b/>
          <w:color w:val="000000" w:themeColor="text1"/>
          <w:sz w:val="24"/>
          <w:szCs w:val="24"/>
          <w:lang w:val="en-US"/>
        </w:rPr>
        <w:t xml:space="preserve">Figure 6 </w:t>
      </w:r>
      <w:r w:rsidR="00957E7A" w:rsidRPr="00E7615A">
        <w:rPr>
          <w:rFonts w:ascii="Book Antiqua" w:hAnsi="Book Antiqua"/>
          <w:b/>
          <w:color w:val="000000" w:themeColor="text1"/>
          <w:sz w:val="24"/>
          <w:szCs w:val="24"/>
          <w:lang w:val="en-US"/>
        </w:rPr>
        <w:t xml:space="preserve">Histological findings. </w:t>
      </w:r>
      <w:r w:rsidRPr="00E7615A">
        <w:rPr>
          <w:rFonts w:ascii="Book Antiqua" w:hAnsi="Book Antiqua"/>
          <w:color w:val="000000" w:themeColor="text1"/>
          <w:sz w:val="24"/>
          <w:szCs w:val="24"/>
          <w:lang w:val="en-US"/>
        </w:rPr>
        <w:t xml:space="preserve">Representative </w:t>
      </w:r>
      <w:bookmarkStart w:id="216" w:name="_Hlk514327754"/>
      <w:r w:rsidRPr="00E7615A">
        <w:rPr>
          <w:rFonts w:ascii="Book Antiqua" w:hAnsi="Book Antiqua"/>
          <w:color w:val="000000" w:themeColor="text1"/>
          <w:sz w:val="24"/>
          <w:szCs w:val="24"/>
          <w:lang w:val="en-US"/>
        </w:rPr>
        <w:t xml:space="preserve">photomicrographs of 3 µm thick paraffin sections stained with hematoxylin and eosin stain of </w:t>
      </w:r>
      <w:bookmarkStart w:id="217" w:name="_Hlk514262089"/>
      <w:bookmarkStart w:id="218" w:name="_Hlk514299443"/>
      <w:r w:rsidRPr="00E7615A">
        <w:rPr>
          <w:rFonts w:ascii="Book Antiqua" w:hAnsi="Book Antiqua"/>
          <w:color w:val="000000" w:themeColor="text1"/>
          <w:sz w:val="24"/>
          <w:szCs w:val="24"/>
          <w:lang w:val="en-US"/>
        </w:rPr>
        <w:t xml:space="preserve">biopsies that were collected at </w:t>
      </w:r>
      <w:r w:rsidR="00DE7DB2" w:rsidRPr="00E7615A">
        <w:rPr>
          <w:rFonts w:ascii="Book Antiqua" w:hAnsi="Book Antiqua"/>
          <w:color w:val="000000" w:themeColor="text1"/>
          <w:sz w:val="24"/>
          <w:szCs w:val="24"/>
          <w:lang w:val="en-US" w:eastAsia="zh-CN"/>
        </w:rPr>
        <w:t>6</w:t>
      </w:r>
      <w:r w:rsidR="00DE7DB2" w:rsidRPr="00E7615A">
        <w:rPr>
          <w:rFonts w:ascii="Book Antiqua" w:hAnsi="Book Antiqua"/>
          <w:color w:val="000000" w:themeColor="text1"/>
          <w:sz w:val="24"/>
          <w:szCs w:val="24"/>
          <w:lang w:val="en-US"/>
        </w:rPr>
        <w:t xml:space="preserve"> wk</w:t>
      </w:r>
      <w:r w:rsidR="00DE7DB2" w:rsidRPr="00E7615A">
        <w:rPr>
          <w:rFonts w:ascii="Book Antiqua" w:hAnsi="Book Antiqua"/>
          <w:color w:val="000000" w:themeColor="text1"/>
          <w:sz w:val="24"/>
          <w:szCs w:val="24"/>
          <w:lang w:val="en-US" w:eastAsia="zh-CN"/>
        </w:rPr>
        <w:t xml:space="preserve"> </w:t>
      </w:r>
      <w:r w:rsidRPr="00E7615A">
        <w:rPr>
          <w:rFonts w:ascii="Book Antiqua" w:hAnsi="Book Antiqua"/>
          <w:color w:val="000000" w:themeColor="text1"/>
          <w:sz w:val="24"/>
          <w:szCs w:val="24"/>
          <w:lang w:val="en-US"/>
        </w:rPr>
        <w:lastRenderedPageBreak/>
        <w:t>(A,</w:t>
      </w:r>
      <w:r w:rsidR="00CD5572">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B</w:t>
      </w:r>
      <w:r w:rsidR="008E58FA" w:rsidRPr="00E7615A">
        <w:rPr>
          <w:rFonts w:ascii="Book Antiqua" w:hAnsi="Book Antiqua"/>
          <w:color w:val="000000" w:themeColor="text1"/>
          <w:sz w:val="24"/>
          <w:szCs w:val="24"/>
          <w:lang w:val="en-US"/>
        </w:rPr>
        <w:t>,</w:t>
      </w:r>
      <w:r w:rsidR="00CD5572">
        <w:rPr>
          <w:rFonts w:ascii="Book Antiqua" w:hAnsi="Book Antiqua" w:hint="eastAsia"/>
          <w:color w:val="000000" w:themeColor="text1"/>
          <w:sz w:val="24"/>
          <w:szCs w:val="24"/>
          <w:lang w:val="en-US" w:eastAsia="zh-CN"/>
        </w:rPr>
        <w:t xml:space="preserve"> </w:t>
      </w:r>
      <w:r w:rsidR="008E58FA" w:rsidRPr="00E7615A">
        <w:rPr>
          <w:rFonts w:ascii="Book Antiqua" w:hAnsi="Book Antiqua"/>
          <w:color w:val="000000" w:themeColor="text1"/>
          <w:sz w:val="24"/>
          <w:szCs w:val="24"/>
          <w:lang w:val="en-US"/>
        </w:rPr>
        <w:t>E,</w:t>
      </w:r>
      <w:r w:rsidR="00CD5572">
        <w:rPr>
          <w:rFonts w:ascii="Book Antiqua" w:hAnsi="Book Antiqua" w:hint="eastAsia"/>
          <w:color w:val="000000" w:themeColor="text1"/>
          <w:sz w:val="24"/>
          <w:szCs w:val="24"/>
          <w:lang w:val="en-US" w:eastAsia="zh-CN"/>
        </w:rPr>
        <w:t xml:space="preserve"> </w:t>
      </w:r>
      <w:r w:rsidR="008E58FA" w:rsidRPr="00E7615A">
        <w:rPr>
          <w:rFonts w:ascii="Book Antiqua" w:hAnsi="Book Antiqua"/>
          <w:color w:val="000000" w:themeColor="text1"/>
          <w:sz w:val="24"/>
          <w:szCs w:val="24"/>
          <w:lang w:val="en-US"/>
        </w:rPr>
        <w:t>F</w:t>
      </w:r>
      <w:r w:rsidR="00DE7DB2" w:rsidRPr="00E7615A">
        <w:rPr>
          <w:rFonts w:ascii="Book Antiqua" w:hAnsi="Book Antiqua"/>
          <w:color w:val="000000" w:themeColor="text1"/>
          <w:sz w:val="24"/>
          <w:szCs w:val="24"/>
          <w:lang w:val="en-US"/>
        </w:rPr>
        <w:t>) or 34 wk</w:t>
      </w:r>
      <w:r w:rsidRPr="00E7615A">
        <w:rPr>
          <w:rFonts w:ascii="Book Antiqua" w:hAnsi="Book Antiqua"/>
          <w:color w:val="000000" w:themeColor="text1"/>
          <w:sz w:val="24"/>
          <w:szCs w:val="24"/>
          <w:lang w:val="en-US"/>
        </w:rPr>
        <w:t xml:space="preserve"> (C,</w:t>
      </w:r>
      <w:r w:rsidR="00CD5572">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D</w:t>
      </w:r>
      <w:r w:rsidR="008E58FA" w:rsidRPr="00E7615A">
        <w:rPr>
          <w:rFonts w:ascii="Book Antiqua" w:hAnsi="Book Antiqua"/>
          <w:color w:val="000000" w:themeColor="text1"/>
          <w:sz w:val="24"/>
          <w:szCs w:val="24"/>
          <w:lang w:val="en-US"/>
        </w:rPr>
        <w:t>,</w:t>
      </w:r>
      <w:r w:rsidR="00CD5572">
        <w:rPr>
          <w:rFonts w:ascii="Book Antiqua" w:hAnsi="Book Antiqua" w:hint="eastAsia"/>
          <w:color w:val="000000" w:themeColor="text1"/>
          <w:sz w:val="24"/>
          <w:szCs w:val="24"/>
          <w:lang w:val="en-US" w:eastAsia="zh-CN"/>
        </w:rPr>
        <w:t xml:space="preserve"> </w:t>
      </w:r>
      <w:r w:rsidR="008E58FA" w:rsidRPr="00E7615A">
        <w:rPr>
          <w:rFonts w:ascii="Book Antiqua" w:hAnsi="Book Antiqua"/>
          <w:color w:val="000000" w:themeColor="text1"/>
          <w:sz w:val="24"/>
          <w:szCs w:val="24"/>
          <w:lang w:val="en-US"/>
        </w:rPr>
        <w:t>G,</w:t>
      </w:r>
      <w:r w:rsidR="00CD5572">
        <w:rPr>
          <w:rFonts w:ascii="Book Antiqua" w:hAnsi="Book Antiqua" w:hint="eastAsia"/>
          <w:color w:val="000000" w:themeColor="text1"/>
          <w:sz w:val="24"/>
          <w:szCs w:val="24"/>
          <w:lang w:val="en-US" w:eastAsia="zh-CN"/>
        </w:rPr>
        <w:t xml:space="preserve"> </w:t>
      </w:r>
      <w:r w:rsidR="008E58FA" w:rsidRPr="00E7615A">
        <w:rPr>
          <w:rFonts w:ascii="Book Antiqua" w:hAnsi="Book Antiqua"/>
          <w:color w:val="000000" w:themeColor="text1"/>
          <w:sz w:val="24"/>
          <w:szCs w:val="24"/>
          <w:lang w:val="en-US"/>
        </w:rPr>
        <w:t>H</w:t>
      </w:r>
      <w:r w:rsidRPr="00E7615A">
        <w:rPr>
          <w:rFonts w:ascii="Book Antiqua" w:hAnsi="Book Antiqua"/>
          <w:color w:val="000000" w:themeColor="text1"/>
          <w:sz w:val="24"/>
          <w:szCs w:val="24"/>
          <w:lang w:val="en-US"/>
        </w:rPr>
        <w:t>) after GBR-MSA with the application of UA-ADRCs (A,</w:t>
      </w:r>
      <w:r w:rsidR="00CD5572">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C</w:t>
      </w:r>
      <w:r w:rsidR="008E58FA" w:rsidRPr="00E7615A">
        <w:rPr>
          <w:rFonts w:ascii="Book Antiqua" w:hAnsi="Book Antiqua"/>
          <w:color w:val="000000" w:themeColor="text1"/>
          <w:sz w:val="24"/>
          <w:szCs w:val="24"/>
          <w:lang w:val="en-US"/>
        </w:rPr>
        <w:t>,</w:t>
      </w:r>
      <w:r w:rsidR="00CD5572">
        <w:rPr>
          <w:rFonts w:ascii="Book Antiqua" w:hAnsi="Book Antiqua" w:hint="eastAsia"/>
          <w:color w:val="000000" w:themeColor="text1"/>
          <w:sz w:val="24"/>
          <w:szCs w:val="24"/>
          <w:lang w:val="en-US" w:eastAsia="zh-CN"/>
        </w:rPr>
        <w:t xml:space="preserve"> </w:t>
      </w:r>
      <w:r w:rsidR="008E58FA" w:rsidRPr="00E7615A">
        <w:rPr>
          <w:rFonts w:ascii="Book Antiqua" w:hAnsi="Book Antiqua"/>
          <w:color w:val="000000" w:themeColor="text1"/>
          <w:sz w:val="24"/>
          <w:szCs w:val="24"/>
          <w:lang w:val="en-US"/>
        </w:rPr>
        <w:t>E,</w:t>
      </w:r>
      <w:r w:rsidR="00CD5572">
        <w:rPr>
          <w:rFonts w:ascii="Book Antiqua" w:hAnsi="Book Antiqua" w:hint="eastAsia"/>
          <w:color w:val="000000" w:themeColor="text1"/>
          <w:sz w:val="24"/>
          <w:szCs w:val="24"/>
          <w:lang w:val="en-US" w:eastAsia="zh-CN"/>
        </w:rPr>
        <w:t xml:space="preserve"> </w:t>
      </w:r>
      <w:r w:rsidR="008E58FA" w:rsidRPr="00E7615A">
        <w:rPr>
          <w:rFonts w:ascii="Book Antiqua" w:hAnsi="Book Antiqua"/>
          <w:color w:val="000000" w:themeColor="text1"/>
          <w:sz w:val="24"/>
          <w:szCs w:val="24"/>
          <w:lang w:val="en-US"/>
        </w:rPr>
        <w:t>G</w:t>
      </w:r>
      <w:r w:rsidRPr="00E7615A">
        <w:rPr>
          <w:rFonts w:ascii="Book Antiqua" w:hAnsi="Book Antiqua"/>
          <w:color w:val="000000" w:themeColor="text1"/>
          <w:sz w:val="24"/>
          <w:szCs w:val="24"/>
          <w:lang w:val="en-US"/>
        </w:rPr>
        <w:t>) or without UA-ADRCs (B,</w:t>
      </w:r>
      <w:r w:rsidR="00CD5572">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D</w:t>
      </w:r>
      <w:r w:rsidR="008E58FA" w:rsidRPr="00E7615A">
        <w:rPr>
          <w:rFonts w:ascii="Book Antiqua" w:hAnsi="Book Antiqua"/>
          <w:color w:val="000000" w:themeColor="text1"/>
          <w:sz w:val="24"/>
          <w:szCs w:val="24"/>
          <w:lang w:val="en-US"/>
        </w:rPr>
        <w:t>,</w:t>
      </w:r>
      <w:r w:rsidR="00CD5572">
        <w:rPr>
          <w:rFonts w:ascii="Book Antiqua" w:hAnsi="Book Antiqua" w:hint="eastAsia"/>
          <w:color w:val="000000" w:themeColor="text1"/>
          <w:sz w:val="24"/>
          <w:szCs w:val="24"/>
          <w:lang w:val="en-US" w:eastAsia="zh-CN"/>
        </w:rPr>
        <w:t xml:space="preserve"> </w:t>
      </w:r>
      <w:r w:rsidR="008E58FA" w:rsidRPr="00E7615A">
        <w:rPr>
          <w:rFonts w:ascii="Book Antiqua" w:hAnsi="Book Antiqua"/>
          <w:color w:val="000000" w:themeColor="text1"/>
          <w:sz w:val="24"/>
          <w:szCs w:val="24"/>
          <w:lang w:val="en-US"/>
        </w:rPr>
        <w:t>F,</w:t>
      </w:r>
      <w:r w:rsidR="00CD5572">
        <w:rPr>
          <w:rFonts w:ascii="Book Antiqua" w:hAnsi="Book Antiqua" w:hint="eastAsia"/>
          <w:color w:val="000000" w:themeColor="text1"/>
          <w:sz w:val="24"/>
          <w:szCs w:val="24"/>
          <w:lang w:val="en-US" w:eastAsia="zh-CN"/>
        </w:rPr>
        <w:t xml:space="preserve"> </w:t>
      </w:r>
      <w:r w:rsidR="008E58FA" w:rsidRPr="00E7615A">
        <w:rPr>
          <w:rFonts w:ascii="Book Antiqua" w:hAnsi="Book Antiqua"/>
          <w:color w:val="000000" w:themeColor="text1"/>
          <w:sz w:val="24"/>
          <w:szCs w:val="24"/>
          <w:lang w:val="en-US"/>
        </w:rPr>
        <w:t>H</w:t>
      </w:r>
      <w:r w:rsidRPr="00E7615A">
        <w:rPr>
          <w:rFonts w:ascii="Book Antiqua" w:hAnsi="Book Antiqua"/>
          <w:color w:val="000000" w:themeColor="text1"/>
          <w:sz w:val="24"/>
          <w:szCs w:val="24"/>
          <w:lang w:val="en-US"/>
        </w:rPr>
        <w:t>).</w:t>
      </w:r>
      <w:bookmarkEnd w:id="217"/>
      <w:r w:rsidRPr="00E7615A">
        <w:rPr>
          <w:rFonts w:ascii="Book Antiqua" w:hAnsi="Book Antiqua"/>
          <w:color w:val="000000" w:themeColor="text1"/>
          <w:sz w:val="24"/>
          <w:szCs w:val="24"/>
          <w:lang w:val="en-US"/>
        </w:rPr>
        <w:t xml:space="preserve"> </w:t>
      </w:r>
      <w:bookmarkEnd w:id="216"/>
      <w:bookmarkEnd w:id="218"/>
      <w:r w:rsidRPr="00E7615A">
        <w:rPr>
          <w:rFonts w:ascii="Book Antiqua" w:hAnsi="Book Antiqua"/>
          <w:color w:val="000000" w:themeColor="text1"/>
          <w:sz w:val="24"/>
          <w:szCs w:val="24"/>
          <w:lang w:val="en-US"/>
        </w:rPr>
        <w:t>In A-D the asterisks indicate newly formed bone and the arrows empty osteocyte lacunae in allogenic fragments. Furthermore, in A,</w:t>
      </w:r>
      <w:r w:rsidR="00CD5572">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B the arrowheads point to osteoblasts with underlying osteoid, while in C,</w:t>
      </w:r>
      <w:r w:rsidR="00CD5572">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 xml:space="preserve">D the arrowheads indicate adipocytes. </w:t>
      </w:r>
      <w:r w:rsidR="008E58FA" w:rsidRPr="00E7615A">
        <w:rPr>
          <w:rFonts w:ascii="Book Antiqua" w:hAnsi="Book Antiqua"/>
          <w:color w:val="000000" w:themeColor="text1"/>
          <w:sz w:val="24"/>
          <w:szCs w:val="24"/>
          <w:lang w:val="en-US"/>
        </w:rPr>
        <w:t>In E-H the arrows indicate cells on the surface of newly formed bone. The scale bar in H represents 150 µm in A-D and 75 µm in E-H.</w:t>
      </w:r>
      <w:r w:rsidR="00CD5572">
        <w:rPr>
          <w:rFonts w:ascii="Book Antiqua" w:hAnsi="Book Antiqua" w:hint="eastAsia"/>
          <w:color w:val="000000" w:themeColor="text1"/>
          <w:sz w:val="24"/>
          <w:szCs w:val="24"/>
          <w:lang w:val="en-US" w:eastAsia="zh-CN"/>
        </w:rPr>
        <w:t xml:space="preserve"> </w:t>
      </w:r>
      <w:r w:rsidR="00CD5572" w:rsidRPr="00E7615A">
        <w:rPr>
          <w:rFonts w:ascii="Book Antiqua" w:hAnsi="Book Antiqua"/>
          <w:color w:val="000000" w:themeColor="text1"/>
          <w:sz w:val="24"/>
          <w:szCs w:val="24"/>
          <w:lang w:val="en-US"/>
        </w:rPr>
        <w:t>GBR</w:t>
      </w:r>
      <w:r w:rsidR="00CD5572">
        <w:rPr>
          <w:rFonts w:ascii="Book Antiqua" w:hAnsi="Book Antiqua" w:hint="eastAsia"/>
          <w:color w:val="000000" w:themeColor="text1"/>
          <w:sz w:val="24"/>
          <w:szCs w:val="24"/>
          <w:lang w:val="en-US" w:eastAsia="zh-CN"/>
        </w:rPr>
        <w:t>:</w:t>
      </w:r>
      <w:r w:rsidR="00CD5572" w:rsidRPr="00022AB2">
        <w:rPr>
          <w:rFonts w:ascii="Book Antiqua" w:hAnsi="Book Antiqua"/>
          <w:b/>
          <w:color w:val="000000" w:themeColor="text1"/>
          <w:sz w:val="24"/>
          <w:szCs w:val="24"/>
          <w:lang w:val="en-US" w:eastAsia="zh-CN"/>
        </w:rPr>
        <w:t xml:space="preserve"> </w:t>
      </w:r>
      <w:r w:rsidR="00CD5572" w:rsidRPr="00A70DD0">
        <w:rPr>
          <w:rFonts w:ascii="Book Antiqua" w:hAnsi="Book Antiqua"/>
          <w:caps/>
          <w:color w:val="000000" w:themeColor="text1"/>
          <w:sz w:val="24"/>
          <w:szCs w:val="24"/>
          <w:lang w:val="en-US" w:eastAsia="zh-CN"/>
        </w:rPr>
        <w:t>g</w:t>
      </w:r>
      <w:r w:rsidR="00CD5572" w:rsidRPr="00A70DD0">
        <w:rPr>
          <w:rFonts w:ascii="Book Antiqua" w:hAnsi="Book Antiqua"/>
          <w:color w:val="000000" w:themeColor="text1"/>
          <w:sz w:val="24"/>
          <w:szCs w:val="24"/>
          <w:lang w:val="en-US" w:eastAsia="zh-CN"/>
        </w:rPr>
        <w:t>uided bone regeneration</w:t>
      </w:r>
      <w:r w:rsidR="00CD5572" w:rsidRPr="00A70DD0">
        <w:rPr>
          <w:rFonts w:ascii="Book Antiqua" w:hAnsi="Book Antiqua" w:hint="eastAsia"/>
          <w:color w:val="000000" w:themeColor="text1"/>
          <w:sz w:val="24"/>
          <w:szCs w:val="24"/>
          <w:lang w:val="en-US" w:eastAsia="zh-CN"/>
        </w:rPr>
        <w:t xml:space="preserve">; </w:t>
      </w:r>
      <w:r w:rsidR="00CD5572" w:rsidRPr="00A70DD0">
        <w:rPr>
          <w:rFonts w:ascii="Book Antiqua" w:hAnsi="Book Antiqua"/>
          <w:color w:val="000000" w:themeColor="text1"/>
          <w:sz w:val="24"/>
          <w:szCs w:val="24"/>
          <w:lang w:val="en-US"/>
        </w:rPr>
        <w:t>MSA</w:t>
      </w:r>
      <w:r w:rsidR="00CD5572" w:rsidRPr="00A70DD0">
        <w:rPr>
          <w:rFonts w:ascii="Book Antiqua" w:hAnsi="Book Antiqua" w:hint="eastAsia"/>
          <w:color w:val="000000" w:themeColor="text1"/>
          <w:sz w:val="24"/>
          <w:szCs w:val="24"/>
          <w:lang w:val="en-US" w:eastAsia="zh-CN"/>
        </w:rPr>
        <w:t>:</w:t>
      </w:r>
      <w:r w:rsidR="00CD5572" w:rsidRPr="00A70DD0">
        <w:rPr>
          <w:rFonts w:ascii="Book Antiqua" w:hAnsi="Book Antiqua"/>
          <w:color w:val="000000" w:themeColor="text1"/>
          <w:sz w:val="24"/>
          <w:szCs w:val="24"/>
          <w:lang w:val="en-US" w:eastAsia="zh-CN"/>
        </w:rPr>
        <w:t xml:space="preserve"> </w:t>
      </w:r>
      <w:r w:rsidR="00CD5572" w:rsidRPr="00A70DD0">
        <w:rPr>
          <w:rFonts w:ascii="Book Antiqua" w:hAnsi="Book Antiqua"/>
          <w:caps/>
          <w:color w:val="000000" w:themeColor="text1"/>
          <w:sz w:val="24"/>
          <w:szCs w:val="24"/>
          <w:lang w:val="en-US" w:eastAsia="zh-CN"/>
        </w:rPr>
        <w:t>m</w:t>
      </w:r>
      <w:r w:rsidR="00CD5572" w:rsidRPr="00A70DD0">
        <w:rPr>
          <w:rFonts w:ascii="Book Antiqua" w:hAnsi="Book Antiqua"/>
          <w:color w:val="000000" w:themeColor="text1"/>
          <w:sz w:val="24"/>
          <w:szCs w:val="24"/>
          <w:lang w:val="en-US" w:eastAsia="zh-CN"/>
        </w:rPr>
        <w:t>axillary sinus augmentation</w:t>
      </w:r>
      <w:r w:rsidR="00CD5572">
        <w:rPr>
          <w:rFonts w:ascii="Book Antiqua" w:hAnsi="Book Antiqua" w:hint="eastAsia"/>
          <w:color w:val="000000" w:themeColor="text1"/>
          <w:sz w:val="24"/>
          <w:szCs w:val="24"/>
          <w:lang w:val="en-US" w:eastAsia="zh-CN"/>
        </w:rPr>
        <w:t xml:space="preserve">; </w:t>
      </w:r>
      <w:r w:rsidR="00CD5572" w:rsidRPr="0067163E">
        <w:rPr>
          <w:rFonts w:ascii="Book Antiqua" w:hAnsi="Book Antiqua"/>
          <w:color w:val="000000" w:themeColor="text1"/>
          <w:sz w:val="24"/>
          <w:szCs w:val="24"/>
          <w:lang w:val="en-US" w:eastAsia="zh-CN"/>
        </w:rPr>
        <w:t>UA-ADRCs</w:t>
      </w:r>
      <w:r w:rsidR="00CD5572">
        <w:rPr>
          <w:rFonts w:ascii="Book Antiqua" w:hAnsi="Book Antiqua" w:hint="eastAsia"/>
          <w:color w:val="000000" w:themeColor="text1"/>
          <w:sz w:val="24"/>
          <w:szCs w:val="24"/>
          <w:lang w:val="en-US" w:eastAsia="zh-CN"/>
        </w:rPr>
        <w:t>:</w:t>
      </w:r>
      <w:r w:rsidR="00CD5572" w:rsidRPr="0067163E">
        <w:rPr>
          <w:rFonts w:ascii="Book Antiqua" w:hAnsi="Book Antiqua"/>
          <w:color w:val="000000" w:themeColor="text1"/>
          <w:sz w:val="24"/>
          <w:szCs w:val="24"/>
          <w:lang w:val="en-US" w:eastAsia="zh-CN"/>
        </w:rPr>
        <w:t xml:space="preserve"> </w:t>
      </w:r>
      <w:r w:rsidR="00CD5572" w:rsidRPr="0067163E">
        <w:rPr>
          <w:rFonts w:ascii="Book Antiqua" w:hAnsi="Book Antiqua"/>
          <w:caps/>
          <w:color w:val="000000" w:themeColor="text1"/>
          <w:sz w:val="24"/>
          <w:szCs w:val="24"/>
          <w:lang w:val="en-US" w:eastAsia="zh-CN"/>
        </w:rPr>
        <w:t>u</w:t>
      </w:r>
      <w:r w:rsidR="00CD5572" w:rsidRPr="0067163E">
        <w:rPr>
          <w:rFonts w:ascii="Book Antiqua" w:hAnsi="Book Antiqua"/>
          <w:color w:val="000000" w:themeColor="text1"/>
          <w:sz w:val="24"/>
          <w:szCs w:val="24"/>
          <w:lang w:val="en-US" w:eastAsia="zh-CN"/>
        </w:rPr>
        <w:t>nmodified autologous adipose-derived regenerative cells</w:t>
      </w:r>
      <w:r w:rsidR="00CD5572">
        <w:rPr>
          <w:rFonts w:ascii="Book Antiqua" w:hAnsi="Book Antiqua" w:hint="eastAsia"/>
          <w:color w:val="000000" w:themeColor="text1"/>
          <w:sz w:val="24"/>
          <w:szCs w:val="24"/>
          <w:lang w:val="en-US" w:eastAsia="zh-CN"/>
        </w:rPr>
        <w:t>.</w:t>
      </w:r>
    </w:p>
    <w:p w14:paraId="5E0F8A76" w14:textId="26A68767" w:rsidR="00CD5572" w:rsidRPr="00CD5572" w:rsidRDefault="00CD5572"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p>
    <w:p w14:paraId="0CF02E93" w14:textId="478971E5" w:rsidR="008E58FA" w:rsidRPr="00E7615A" w:rsidRDefault="008E58FA"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p>
    <w:p w14:paraId="4C2DA334" w14:textId="3FCAA245"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p>
    <w:p w14:paraId="663AE7CC" w14:textId="77777777"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br w:type="page"/>
      </w:r>
    </w:p>
    <w:p w14:paraId="7CDB7C69" w14:textId="4D1109FF"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noProof/>
          <w:color w:val="000000" w:themeColor="text1"/>
          <w:sz w:val="24"/>
          <w:szCs w:val="24"/>
          <w:lang w:val="en-US" w:eastAsia="zh-CN"/>
        </w:rPr>
        <w:lastRenderedPageBreak/>
        <w:drawing>
          <wp:inline distT="0" distB="0" distL="0" distR="0" wp14:anchorId="21B96BBB" wp14:editId="48AA4334">
            <wp:extent cx="5943600" cy="2317750"/>
            <wp:effectExtent l="0" t="0" r="0" b="635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7.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2317750"/>
                    </a:xfrm>
                    <a:prstGeom prst="rect">
                      <a:avLst/>
                    </a:prstGeom>
                  </pic:spPr>
                </pic:pic>
              </a:graphicData>
            </a:graphic>
          </wp:inline>
        </w:drawing>
      </w:r>
    </w:p>
    <w:p w14:paraId="0B62E65F" w14:textId="77777777" w:rsidR="009F2359" w:rsidRPr="00022AB2"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b/>
          <w:color w:val="000000" w:themeColor="text1"/>
          <w:sz w:val="24"/>
          <w:szCs w:val="24"/>
          <w:lang w:val="en-US"/>
        </w:rPr>
        <w:t xml:space="preserve">Figure </w:t>
      </w:r>
      <w:r w:rsidR="008E58FA" w:rsidRPr="00E7615A">
        <w:rPr>
          <w:rFonts w:ascii="Book Antiqua" w:hAnsi="Book Antiqua"/>
          <w:b/>
          <w:color w:val="000000" w:themeColor="text1"/>
          <w:sz w:val="24"/>
          <w:szCs w:val="24"/>
          <w:lang w:val="en-US"/>
        </w:rPr>
        <w:t>7</w:t>
      </w:r>
      <w:r w:rsidRPr="00E7615A">
        <w:rPr>
          <w:rFonts w:ascii="Book Antiqua" w:hAnsi="Book Antiqua"/>
          <w:b/>
          <w:color w:val="000000" w:themeColor="text1"/>
          <w:sz w:val="24"/>
          <w:szCs w:val="24"/>
          <w:lang w:val="en-US"/>
        </w:rPr>
        <w:t xml:space="preserve"> </w:t>
      </w:r>
      <w:r w:rsidR="00957E7A" w:rsidRPr="00E7615A">
        <w:rPr>
          <w:rFonts w:ascii="Book Antiqua" w:hAnsi="Book Antiqua"/>
          <w:b/>
          <w:color w:val="000000" w:themeColor="text1"/>
          <w:sz w:val="24"/>
          <w:szCs w:val="24"/>
          <w:lang w:val="en-US"/>
        </w:rPr>
        <w:t>Results of histomorphometric analyses.</w:t>
      </w:r>
      <w:r w:rsidR="00957E7A" w:rsidRPr="00E7615A">
        <w:rPr>
          <w:rFonts w:ascii="Book Antiqua" w:hAnsi="Book Antiqua"/>
          <w:color w:val="000000" w:themeColor="text1"/>
          <w:sz w:val="24"/>
          <w:szCs w:val="24"/>
          <w:lang w:val="en-US"/>
        </w:rPr>
        <w:t xml:space="preserve"> </w:t>
      </w:r>
      <w:r w:rsidRPr="00E7615A">
        <w:rPr>
          <w:rFonts w:ascii="Book Antiqua" w:hAnsi="Book Antiqua"/>
          <w:color w:val="000000" w:themeColor="text1"/>
          <w:sz w:val="24"/>
          <w:szCs w:val="24"/>
          <w:lang w:val="en-US"/>
        </w:rPr>
        <w:t>Relative amounts (area/area) of bone (Bo), allograft (Al), fibri</w:t>
      </w:r>
      <w:r w:rsidR="00CD5572">
        <w:rPr>
          <w:rFonts w:ascii="Book Antiqua" w:hAnsi="Book Antiqua"/>
          <w:color w:val="000000" w:themeColor="text1"/>
          <w:sz w:val="24"/>
          <w:szCs w:val="24"/>
          <w:lang w:val="en-US"/>
        </w:rPr>
        <w:t>n and connective tissue (F/</w:t>
      </w:r>
      <w:r w:rsidRPr="00E7615A">
        <w:rPr>
          <w:rFonts w:ascii="Book Antiqua" w:hAnsi="Book Antiqua"/>
          <w:color w:val="000000" w:themeColor="text1"/>
          <w:sz w:val="24"/>
          <w:szCs w:val="24"/>
          <w:lang w:val="en-US"/>
        </w:rPr>
        <w:t xml:space="preserve">CT), adipocytes (Ad), arteries (Ar), veins (Ve) and artifacts (X) in 3 µm thick paraffin sections stained with hematoxylin and eosin stain of biopsies that were collected at </w:t>
      </w:r>
      <w:r w:rsidR="00DE7DB2" w:rsidRPr="00E7615A">
        <w:rPr>
          <w:rFonts w:ascii="Book Antiqua" w:hAnsi="Book Antiqua"/>
          <w:color w:val="000000" w:themeColor="text1"/>
          <w:sz w:val="24"/>
          <w:szCs w:val="24"/>
          <w:lang w:val="en-US" w:eastAsia="zh-CN"/>
        </w:rPr>
        <w:t>6</w:t>
      </w:r>
      <w:r w:rsidR="00DE7DB2" w:rsidRPr="00E7615A">
        <w:rPr>
          <w:rFonts w:ascii="Book Antiqua" w:hAnsi="Book Antiqua"/>
          <w:color w:val="000000" w:themeColor="text1"/>
          <w:sz w:val="24"/>
          <w:szCs w:val="24"/>
          <w:lang w:val="en-US"/>
        </w:rPr>
        <w:t xml:space="preserve"> wk (on the left) or 34 wk</w:t>
      </w:r>
      <w:r w:rsidRPr="00E7615A">
        <w:rPr>
          <w:rFonts w:ascii="Book Antiqua" w:hAnsi="Book Antiqua"/>
          <w:color w:val="000000" w:themeColor="text1"/>
          <w:sz w:val="24"/>
          <w:szCs w:val="24"/>
          <w:lang w:val="en-US"/>
        </w:rPr>
        <w:t xml:space="preserve"> (on the right) after GBR-MSA with the application of UA-ADRCs (closed bars) or without UA-ADRCs (gray bars).</w:t>
      </w:r>
      <w:r w:rsidR="00CD5572">
        <w:rPr>
          <w:rFonts w:ascii="Book Antiqua" w:hAnsi="Book Antiqua" w:hint="eastAsia"/>
          <w:color w:val="000000" w:themeColor="text1"/>
          <w:sz w:val="24"/>
          <w:szCs w:val="24"/>
          <w:lang w:val="en-US" w:eastAsia="zh-CN"/>
        </w:rPr>
        <w:t xml:space="preserve"> </w:t>
      </w:r>
      <w:r w:rsidR="009F2359" w:rsidRPr="00E7615A">
        <w:rPr>
          <w:rFonts w:ascii="Book Antiqua" w:hAnsi="Book Antiqua"/>
          <w:color w:val="000000" w:themeColor="text1"/>
          <w:sz w:val="24"/>
          <w:szCs w:val="24"/>
          <w:lang w:val="en-US"/>
        </w:rPr>
        <w:t>GBR</w:t>
      </w:r>
      <w:r w:rsidR="009F2359">
        <w:rPr>
          <w:rFonts w:ascii="Book Antiqua" w:hAnsi="Book Antiqua" w:hint="eastAsia"/>
          <w:color w:val="000000" w:themeColor="text1"/>
          <w:sz w:val="24"/>
          <w:szCs w:val="24"/>
          <w:lang w:val="en-US" w:eastAsia="zh-CN"/>
        </w:rPr>
        <w:t>:</w:t>
      </w:r>
      <w:r w:rsidR="009F2359" w:rsidRPr="00022AB2">
        <w:rPr>
          <w:rFonts w:ascii="Book Antiqua" w:hAnsi="Book Antiqua"/>
          <w:b/>
          <w:color w:val="000000" w:themeColor="text1"/>
          <w:sz w:val="24"/>
          <w:szCs w:val="24"/>
          <w:lang w:val="en-US" w:eastAsia="zh-CN"/>
        </w:rPr>
        <w:t xml:space="preserve"> </w:t>
      </w:r>
      <w:r w:rsidR="009F2359" w:rsidRPr="00A70DD0">
        <w:rPr>
          <w:rFonts w:ascii="Book Antiqua" w:hAnsi="Book Antiqua"/>
          <w:caps/>
          <w:color w:val="000000" w:themeColor="text1"/>
          <w:sz w:val="24"/>
          <w:szCs w:val="24"/>
          <w:lang w:val="en-US" w:eastAsia="zh-CN"/>
        </w:rPr>
        <w:t>g</w:t>
      </w:r>
      <w:r w:rsidR="009F2359" w:rsidRPr="00A70DD0">
        <w:rPr>
          <w:rFonts w:ascii="Book Antiqua" w:hAnsi="Book Antiqua"/>
          <w:color w:val="000000" w:themeColor="text1"/>
          <w:sz w:val="24"/>
          <w:szCs w:val="24"/>
          <w:lang w:val="en-US" w:eastAsia="zh-CN"/>
        </w:rPr>
        <w:t>uided bone regeneration</w:t>
      </w:r>
      <w:r w:rsidR="009F2359" w:rsidRPr="00A70DD0">
        <w:rPr>
          <w:rFonts w:ascii="Book Antiqua" w:hAnsi="Book Antiqua" w:hint="eastAsia"/>
          <w:color w:val="000000" w:themeColor="text1"/>
          <w:sz w:val="24"/>
          <w:szCs w:val="24"/>
          <w:lang w:val="en-US" w:eastAsia="zh-CN"/>
        </w:rPr>
        <w:t xml:space="preserve">; </w:t>
      </w:r>
      <w:r w:rsidR="009F2359" w:rsidRPr="00A70DD0">
        <w:rPr>
          <w:rFonts w:ascii="Book Antiqua" w:hAnsi="Book Antiqua"/>
          <w:color w:val="000000" w:themeColor="text1"/>
          <w:sz w:val="24"/>
          <w:szCs w:val="24"/>
          <w:lang w:val="en-US"/>
        </w:rPr>
        <w:t>MSA</w:t>
      </w:r>
      <w:r w:rsidR="009F2359" w:rsidRPr="00A70DD0">
        <w:rPr>
          <w:rFonts w:ascii="Book Antiqua" w:hAnsi="Book Antiqua" w:hint="eastAsia"/>
          <w:color w:val="000000" w:themeColor="text1"/>
          <w:sz w:val="24"/>
          <w:szCs w:val="24"/>
          <w:lang w:val="en-US" w:eastAsia="zh-CN"/>
        </w:rPr>
        <w:t>:</w:t>
      </w:r>
      <w:r w:rsidR="009F2359" w:rsidRPr="00A70DD0">
        <w:rPr>
          <w:rFonts w:ascii="Book Antiqua" w:hAnsi="Book Antiqua"/>
          <w:color w:val="000000" w:themeColor="text1"/>
          <w:sz w:val="24"/>
          <w:szCs w:val="24"/>
          <w:lang w:val="en-US" w:eastAsia="zh-CN"/>
        </w:rPr>
        <w:t xml:space="preserve"> </w:t>
      </w:r>
      <w:r w:rsidR="009F2359" w:rsidRPr="00A70DD0">
        <w:rPr>
          <w:rFonts w:ascii="Book Antiqua" w:hAnsi="Book Antiqua"/>
          <w:caps/>
          <w:color w:val="000000" w:themeColor="text1"/>
          <w:sz w:val="24"/>
          <w:szCs w:val="24"/>
          <w:lang w:val="en-US" w:eastAsia="zh-CN"/>
        </w:rPr>
        <w:t>m</w:t>
      </w:r>
      <w:r w:rsidR="009F2359" w:rsidRPr="00A70DD0">
        <w:rPr>
          <w:rFonts w:ascii="Book Antiqua" w:hAnsi="Book Antiqua"/>
          <w:color w:val="000000" w:themeColor="text1"/>
          <w:sz w:val="24"/>
          <w:szCs w:val="24"/>
          <w:lang w:val="en-US" w:eastAsia="zh-CN"/>
        </w:rPr>
        <w:t>axillary sinus augmentation</w:t>
      </w:r>
      <w:r w:rsidR="009F2359">
        <w:rPr>
          <w:rFonts w:ascii="Book Antiqua" w:hAnsi="Book Antiqua" w:hint="eastAsia"/>
          <w:color w:val="000000" w:themeColor="text1"/>
          <w:sz w:val="24"/>
          <w:szCs w:val="24"/>
          <w:lang w:val="en-US" w:eastAsia="zh-CN"/>
        </w:rPr>
        <w:t xml:space="preserve">; </w:t>
      </w:r>
      <w:r w:rsidR="009F2359" w:rsidRPr="0067163E">
        <w:rPr>
          <w:rFonts w:ascii="Book Antiqua" w:hAnsi="Book Antiqua"/>
          <w:color w:val="000000" w:themeColor="text1"/>
          <w:sz w:val="24"/>
          <w:szCs w:val="24"/>
          <w:lang w:val="en-US" w:eastAsia="zh-CN"/>
        </w:rPr>
        <w:t>UA-ADRCs</w:t>
      </w:r>
      <w:r w:rsidR="009F2359">
        <w:rPr>
          <w:rFonts w:ascii="Book Antiqua" w:hAnsi="Book Antiqua" w:hint="eastAsia"/>
          <w:color w:val="000000" w:themeColor="text1"/>
          <w:sz w:val="24"/>
          <w:szCs w:val="24"/>
          <w:lang w:val="en-US" w:eastAsia="zh-CN"/>
        </w:rPr>
        <w:t>:</w:t>
      </w:r>
      <w:r w:rsidR="009F2359" w:rsidRPr="0067163E">
        <w:rPr>
          <w:rFonts w:ascii="Book Antiqua" w:hAnsi="Book Antiqua"/>
          <w:color w:val="000000" w:themeColor="text1"/>
          <w:sz w:val="24"/>
          <w:szCs w:val="24"/>
          <w:lang w:val="en-US" w:eastAsia="zh-CN"/>
        </w:rPr>
        <w:t xml:space="preserve"> </w:t>
      </w:r>
      <w:r w:rsidR="009F2359" w:rsidRPr="0067163E">
        <w:rPr>
          <w:rFonts w:ascii="Book Antiqua" w:hAnsi="Book Antiqua"/>
          <w:caps/>
          <w:color w:val="000000" w:themeColor="text1"/>
          <w:sz w:val="24"/>
          <w:szCs w:val="24"/>
          <w:lang w:val="en-US" w:eastAsia="zh-CN"/>
        </w:rPr>
        <w:t>u</w:t>
      </w:r>
      <w:r w:rsidR="009F2359" w:rsidRPr="0067163E">
        <w:rPr>
          <w:rFonts w:ascii="Book Antiqua" w:hAnsi="Book Antiqua"/>
          <w:color w:val="000000" w:themeColor="text1"/>
          <w:sz w:val="24"/>
          <w:szCs w:val="24"/>
          <w:lang w:val="en-US" w:eastAsia="zh-CN"/>
        </w:rPr>
        <w:t>nmodified autologous adipose-derived regenerative cells</w:t>
      </w:r>
      <w:r w:rsidR="009F2359">
        <w:rPr>
          <w:rFonts w:ascii="Book Antiqua" w:hAnsi="Book Antiqua" w:hint="eastAsia"/>
          <w:color w:val="000000" w:themeColor="text1"/>
          <w:sz w:val="24"/>
          <w:szCs w:val="24"/>
          <w:lang w:val="en-US" w:eastAsia="zh-CN"/>
        </w:rPr>
        <w:t>.</w:t>
      </w:r>
    </w:p>
    <w:p w14:paraId="0DDADE5B" w14:textId="560CEFF3" w:rsidR="00A37FD9" w:rsidRPr="009F2359"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p>
    <w:p w14:paraId="69AD9559" w14:textId="267DB662"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p>
    <w:p w14:paraId="42454E2A" w14:textId="77777777"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br w:type="page"/>
      </w:r>
    </w:p>
    <w:p w14:paraId="77D46F08" w14:textId="44E9102E"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noProof/>
          <w:color w:val="000000" w:themeColor="text1"/>
          <w:sz w:val="24"/>
          <w:szCs w:val="24"/>
          <w:lang w:val="en-US" w:eastAsia="zh-CN"/>
        </w:rPr>
        <w:lastRenderedPageBreak/>
        <w:drawing>
          <wp:inline distT="0" distB="0" distL="0" distR="0" wp14:anchorId="3C1E9A50" wp14:editId="02285C31">
            <wp:extent cx="5943600" cy="3765550"/>
            <wp:effectExtent l="0" t="0" r="0" b="635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8.jpg"/>
                    <pic:cNvPicPr/>
                  </pic:nvPicPr>
                  <pic:blipFill>
                    <a:blip r:embed="rId16">
                      <a:extLst>
                        <a:ext uri="{28A0092B-C50C-407E-A947-70E740481C1C}">
                          <a14:useLocalDpi xmlns:a14="http://schemas.microsoft.com/office/drawing/2010/main" val="0"/>
                        </a:ext>
                      </a:extLst>
                    </a:blip>
                    <a:stretch>
                      <a:fillRect/>
                    </a:stretch>
                  </pic:blipFill>
                  <pic:spPr>
                    <a:xfrm>
                      <a:off x="0" y="0"/>
                      <a:ext cx="5943600" cy="3765550"/>
                    </a:xfrm>
                    <a:prstGeom prst="rect">
                      <a:avLst/>
                    </a:prstGeom>
                  </pic:spPr>
                </pic:pic>
              </a:graphicData>
            </a:graphic>
          </wp:inline>
        </w:drawing>
      </w:r>
    </w:p>
    <w:p w14:paraId="246EBAB9" w14:textId="1DA33226"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b/>
          <w:color w:val="000000" w:themeColor="text1"/>
          <w:sz w:val="24"/>
          <w:szCs w:val="24"/>
          <w:lang w:val="en-US"/>
        </w:rPr>
        <w:t xml:space="preserve">Figure </w:t>
      </w:r>
      <w:r w:rsidR="008E58FA" w:rsidRPr="00E7615A">
        <w:rPr>
          <w:rFonts w:ascii="Book Antiqua" w:hAnsi="Book Antiqua"/>
          <w:b/>
          <w:color w:val="000000" w:themeColor="text1"/>
          <w:sz w:val="24"/>
          <w:szCs w:val="24"/>
          <w:lang w:val="en-US"/>
        </w:rPr>
        <w:t>8</w:t>
      </w:r>
      <w:r w:rsidR="00957E7A" w:rsidRPr="00E7615A">
        <w:rPr>
          <w:rFonts w:ascii="Book Antiqua" w:hAnsi="Book Antiqua"/>
          <w:b/>
          <w:color w:val="000000" w:themeColor="text1"/>
          <w:sz w:val="24"/>
          <w:szCs w:val="24"/>
          <w:lang w:val="en-US"/>
        </w:rPr>
        <w:t xml:space="preserve"> Histological findings. </w:t>
      </w:r>
      <w:r w:rsidRPr="00E7615A">
        <w:rPr>
          <w:rFonts w:ascii="Book Antiqua" w:hAnsi="Book Antiqua"/>
          <w:color w:val="000000" w:themeColor="text1"/>
          <w:sz w:val="24"/>
          <w:szCs w:val="24"/>
          <w:lang w:val="en-US"/>
        </w:rPr>
        <w:t xml:space="preserve">Representative photomicrographs of histochemical detection of tartrate-resistant acid phosphatase (TRAP) (A-D) as well as of immunohistochemical detection of Runt-related transcription factor 2 (runX2) (E-H), collagen 1(Coll 1) (I-L) and alkaline phosphatase (AP) (M-P) in 3 µm thick paraffin sections of biopsies that were collected at </w:t>
      </w:r>
      <w:r w:rsidR="00DE7DB2" w:rsidRPr="00E7615A">
        <w:rPr>
          <w:rFonts w:ascii="Book Antiqua" w:hAnsi="Book Antiqua"/>
          <w:color w:val="000000" w:themeColor="text1"/>
          <w:sz w:val="24"/>
          <w:szCs w:val="24"/>
          <w:lang w:val="en-US" w:eastAsia="zh-CN"/>
        </w:rPr>
        <w:t>6</w:t>
      </w:r>
      <w:r w:rsidR="00DE7DB2" w:rsidRPr="00E7615A">
        <w:rPr>
          <w:rFonts w:ascii="Book Antiqua" w:hAnsi="Book Antiqua"/>
          <w:color w:val="000000" w:themeColor="text1"/>
          <w:sz w:val="24"/>
          <w:szCs w:val="24"/>
          <w:lang w:val="en-US"/>
        </w:rPr>
        <w:t xml:space="preserve"> wk</w:t>
      </w:r>
      <w:r w:rsidRPr="00E7615A">
        <w:rPr>
          <w:rFonts w:ascii="Book Antiqua" w:hAnsi="Book Antiqua"/>
          <w:color w:val="000000" w:themeColor="text1"/>
          <w:sz w:val="24"/>
          <w:szCs w:val="24"/>
          <w:lang w:val="en-US"/>
        </w:rPr>
        <w:t xml:space="preserve"> (A,</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B,</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E,</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F,</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I,</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J,</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M,</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N) or 34 w</w:t>
      </w:r>
      <w:r w:rsidR="00DE7DB2" w:rsidRPr="00E7615A">
        <w:rPr>
          <w:rFonts w:ascii="Book Antiqua" w:hAnsi="Book Antiqua"/>
          <w:color w:val="000000" w:themeColor="text1"/>
          <w:sz w:val="24"/>
          <w:szCs w:val="24"/>
          <w:lang w:val="en-US"/>
        </w:rPr>
        <w:t>k</w:t>
      </w:r>
      <w:r w:rsidR="00DE7DB2" w:rsidRPr="00E7615A">
        <w:rPr>
          <w:rFonts w:ascii="Book Antiqua" w:hAnsi="Book Antiqua"/>
          <w:color w:val="000000" w:themeColor="text1"/>
          <w:sz w:val="24"/>
          <w:szCs w:val="24"/>
          <w:lang w:val="en-US" w:eastAsia="zh-CN"/>
        </w:rPr>
        <w:t xml:space="preserve"> </w:t>
      </w:r>
      <w:r w:rsidRPr="00E7615A">
        <w:rPr>
          <w:rFonts w:ascii="Book Antiqua" w:hAnsi="Book Antiqua"/>
          <w:color w:val="000000" w:themeColor="text1"/>
          <w:sz w:val="24"/>
          <w:szCs w:val="24"/>
          <w:lang w:val="en-US"/>
        </w:rPr>
        <w:t>(C,</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D,</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G,</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H,</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K,</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L,</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O,</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P) after GBR-MSA with the application of UA-ADRCs (A,</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C,</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E,</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G,</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I,</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K,</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M,</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O) or without UA-ADRCs (B,</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D,</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F,</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H,</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J,</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L,</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N,</w:t>
      </w:r>
      <w:r w:rsidR="009F2359">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 xml:space="preserve">P). In A-D the arrows point to osteoclasts, in E to osteoblasts, in I-L to type I collagen in osteoid seams, and in M-P to AP immunostaining found in osteoblasts, osteoblast-like cells and fibroblasts in the intertrabecular connective tissue. Furthermore, in I-L the asterisks indicate type I collagen in the matrix of newly formed bone trabeculae. The scale bar in P represents 200 µm in </w:t>
      </w:r>
      <w:r w:rsidR="00683D8C" w:rsidRPr="00E7615A">
        <w:rPr>
          <w:rFonts w:ascii="Book Antiqua" w:hAnsi="Book Antiqua"/>
          <w:color w:val="000000" w:themeColor="text1"/>
          <w:sz w:val="24"/>
          <w:szCs w:val="24"/>
          <w:lang w:val="en-US"/>
        </w:rPr>
        <w:t>A-D and I-P, and 100 µm in E-H.</w:t>
      </w:r>
      <w:r w:rsidR="009F2359">
        <w:rPr>
          <w:rFonts w:ascii="Book Antiqua" w:hAnsi="Book Antiqua" w:hint="eastAsia"/>
          <w:color w:val="000000" w:themeColor="text1"/>
          <w:sz w:val="24"/>
          <w:szCs w:val="24"/>
          <w:lang w:val="en-US" w:eastAsia="zh-CN"/>
        </w:rPr>
        <w:t xml:space="preserve"> </w:t>
      </w:r>
      <w:r w:rsidR="002412B7" w:rsidRPr="00E7615A">
        <w:rPr>
          <w:rFonts w:ascii="Book Antiqua" w:hAnsi="Book Antiqua"/>
          <w:color w:val="000000" w:themeColor="text1"/>
          <w:sz w:val="24"/>
          <w:szCs w:val="24"/>
          <w:lang w:val="en-US"/>
        </w:rPr>
        <w:t>GBR</w:t>
      </w:r>
      <w:r w:rsidR="002412B7">
        <w:rPr>
          <w:rFonts w:ascii="Book Antiqua" w:hAnsi="Book Antiqua" w:hint="eastAsia"/>
          <w:color w:val="000000" w:themeColor="text1"/>
          <w:sz w:val="24"/>
          <w:szCs w:val="24"/>
          <w:lang w:val="en-US" w:eastAsia="zh-CN"/>
        </w:rPr>
        <w:t>:</w:t>
      </w:r>
      <w:r w:rsidR="002412B7" w:rsidRPr="00022AB2">
        <w:rPr>
          <w:rFonts w:ascii="Book Antiqua" w:hAnsi="Book Antiqua"/>
          <w:b/>
          <w:color w:val="000000" w:themeColor="text1"/>
          <w:sz w:val="24"/>
          <w:szCs w:val="24"/>
          <w:lang w:val="en-US" w:eastAsia="zh-CN"/>
        </w:rPr>
        <w:t xml:space="preserve"> </w:t>
      </w:r>
      <w:r w:rsidR="002412B7" w:rsidRPr="00A70DD0">
        <w:rPr>
          <w:rFonts w:ascii="Book Antiqua" w:hAnsi="Book Antiqua"/>
          <w:caps/>
          <w:color w:val="000000" w:themeColor="text1"/>
          <w:sz w:val="24"/>
          <w:szCs w:val="24"/>
          <w:lang w:val="en-US" w:eastAsia="zh-CN"/>
        </w:rPr>
        <w:t>g</w:t>
      </w:r>
      <w:r w:rsidR="002412B7" w:rsidRPr="00A70DD0">
        <w:rPr>
          <w:rFonts w:ascii="Book Antiqua" w:hAnsi="Book Antiqua"/>
          <w:color w:val="000000" w:themeColor="text1"/>
          <w:sz w:val="24"/>
          <w:szCs w:val="24"/>
          <w:lang w:val="en-US" w:eastAsia="zh-CN"/>
        </w:rPr>
        <w:t>uided bone regeneration</w:t>
      </w:r>
      <w:r w:rsidR="002412B7" w:rsidRPr="00A70DD0">
        <w:rPr>
          <w:rFonts w:ascii="Book Antiqua" w:hAnsi="Book Antiqua" w:hint="eastAsia"/>
          <w:color w:val="000000" w:themeColor="text1"/>
          <w:sz w:val="24"/>
          <w:szCs w:val="24"/>
          <w:lang w:val="en-US" w:eastAsia="zh-CN"/>
        </w:rPr>
        <w:t xml:space="preserve">; </w:t>
      </w:r>
      <w:r w:rsidR="002412B7" w:rsidRPr="00A70DD0">
        <w:rPr>
          <w:rFonts w:ascii="Book Antiqua" w:hAnsi="Book Antiqua"/>
          <w:color w:val="000000" w:themeColor="text1"/>
          <w:sz w:val="24"/>
          <w:szCs w:val="24"/>
          <w:lang w:val="en-US"/>
        </w:rPr>
        <w:t>MSA</w:t>
      </w:r>
      <w:r w:rsidR="002412B7" w:rsidRPr="00A70DD0">
        <w:rPr>
          <w:rFonts w:ascii="Book Antiqua" w:hAnsi="Book Antiqua" w:hint="eastAsia"/>
          <w:color w:val="000000" w:themeColor="text1"/>
          <w:sz w:val="24"/>
          <w:szCs w:val="24"/>
          <w:lang w:val="en-US" w:eastAsia="zh-CN"/>
        </w:rPr>
        <w:t>:</w:t>
      </w:r>
      <w:r w:rsidR="002412B7" w:rsidRPr="00A70DD0">
        <w:rPr>
          <w:rFonts w:ascii="Book Antiqua" w:hAnsi="Book Antiqua"/>
          <w:color w:val="000000" w:themeColor="text1"/>
          <w:sz w:val="24"/>
          <w:szCs w:val="24"/>
          <w:lang w:val="en-US" w:eastAsia="zh-CN"/>
        </w:rPr>
        <w:t xml:space="preserve"> </w:t>
      </w:r>
      <w:r w:rsidR="002412B7" w:rsidRPr="00A70DD0">
        <w:rPr>
          <w:rFonts w:ascii="Book Antiqua" w:hAnsi="Book Antiqua"/>
          <w:caps/>
          <w:color w:val="000000" w:themeColor="text1"/>
          <w:sz w:val="24"/>
          <w:szCs w:val="24"/>
          <w:lang w:val="en-US" w:eastAsia="zh-CN"/>
        </w:rPr>
        <w:t>m</w:t>
      </w:r>
      <w:r w:rsidR="002412B7" w:rsidRPr="00A70DD0">
        <w:rPr>
          <w:rFonts w:ascii="Book Antiqua" w:hAnsi="Book Antiqua"/>
          <w:color w:val="000000" w:themeColor="text1"/>
          <w:sz w:val="24"/>
          <w:szCs w:val="24"/>
          <w:lang w:val="en-US" w:eastAsia="zh-CN"/>
        </w:rPr>
        <w:t>axillary sinus augmentation</w:t>
      </w:r>
      <w:r w:rsidR="002412B7">
        <w:rPr>
          <w:rFonts w:ascii="Book Antiqua" w:hAnsi="Book Antiqua" w:hint="eastAsia"/>
          <w:color w:val="000000" w:themeColor="text1"/>
          <w:sz w:val="24"/>
          <w:szCs w:val="24"/>
          <w:lang w:val="en-US" w:eastAsia="zh-CN"/>
        </w:rPr>
        <w:t>.</w:t>
      </w:r>
    </w:p>
    <w:p w14:paraId="1DA3DD42" w14:textId="471FB55E"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p>
    <w:p w14:paraId="0DE281DB" w14:textId="77777777"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color w:val="000000" w:themeColor="text1"/>
          <w:sz w:val="24"/>
          <w:szCs w:val="24"/>
          <w:lang w:val="en-US"/>
        </w:rPr>
        <w:br w:type="page"/>
      </w:r>
    </w:p>
    <w:p w14:paraId="459C7345" w14:textId="56F84DCB" w:rsidR="00CF3616" w:rsidRPr="00E7615A" w:rsidRDefault="00CF3616" w:rsidP="00D048E9">
      <w:pPr>
        <w:widowControl w:val="0"/>
        <w:adjustRightInd w:val="0"/>
        <w:snapToGrid w:val="0"/>
        <w:spacing w:after="0" w:line="360" w:lineRule="auto"/>
        <w:jc w:val="both"/>
        <w:rPr>
          <w:rFonts w:ascii="Book Antiqua" w:hAnsi="Book Antiqua"/>
          <w:b/>
          <w:color w:val="000000" w:themeColor="text1"/>
          <w:sz w:val="24"/>
          <w:szCs w:val="24"/>
          <w:lang w:val="en-US"/>
        </w:rPr>
      </w:pPr>
      <w:r w:rsidRPr="00E7615A">
        <w:rPr>
          <w:rFonts w:ascii="Book Antiqua" w:hAnsi="Book Antiqua"/>
          <w:b/>
          <w:noProof/>
          <w:color w:val="000000" w:themeColor="text1"/>
          <w:sz w:val="24"/>
          <w:szCs w:val="24"/>
          <w:lang w:val="en-US" w:eastAsia="zh-CN"/>
        </w:rPr>
        <w:lastRenderedPageBreak/>
        <w:drawing>
          <wp:inline distT="0" distB="0" distL="0" distR="0" wp14:anchorId="0ECD3C6A" wp14:editId="1E1F6FD2">
            <wp:extent cx="5943600" cy="3761105"/>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2778-Image File Figure 09.jpg"/>
                    <pic:cNvPicPr/>
                  </pic:nvPicPr>
                  <pic:blipFill>
                    <a:blip r:embed="rId17">
                      <a:extLst>
                        <a:ext uri="{28A0092B-C50C-407E-A947-70E740481C1C}">
                          <a14:useLocalDpi xmlns:a14="http://schemas.microsoft.com/office/drawing/2010/main" val="0"/>
                        </a:ext>
                      </a:extLst>
                    </a:blip>
                    <a:stretch>
                      <a:fillRect/>
                    </a:stretch>
                  </pic:blipFill>
                  <pic:spPr>
                    <a:xfrm>
                      <a:off x="0" y="0"/>
                      <a:ext cx="5943600" cy="3761105"/>
                    </a:xfrm>
                    <a:prstGeom prst="rect">
                      <a:avLst/>
                    </a:prstGeom>
                  </pic:spPr>
                </pic:pic>
              </a:graphicData>
            </a:graphic>
          </wp:inline>
        </w:drawing>
      </w:r>
    </w:p>
    <w:p w14:paraId="7E276EEB" w14:textId="77777777" w:rsidR="00BA01E9" w:rsidRPr="00022AB2"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eastAsia="zh-CN"/>
        </w:rPr>
      </w:pPr>
      <w:r w:rsidRPr="00E7615A">
        <w:rPr>
          <w:rFonts w:ascii="Book Antiqua" w:hAnsi="Book Antiqua"/>
          <w:b/>
          <w:color w:val="000000" w:themeColor="text1"/>
          <w:sz w:val="24"/>
          <w:szCs w:val="24"/>
          <w:lang w:val="en-US"/>
        </w:rPr>
        <w:t xml:space="preserve">Figure </w:t>
      </w:r>
      <w:r w:rsidR="008E58FA" w:rsidRPr="00E7615A">
        <w:rPr>
          <w:rFonts w:ascii="Book Antiqua" w:hAnsi="Book Antiqua"/>
          <w:b/>
          <w:color w:val="000000" w:themeColor="text1"/>
          <w:sz w:val="24"/>
          <w:szCs w:val="24"/>
          <w:lang w:val="en-US"/>
        </w:rPr>
        <w:t>9</w:t>
      </w:r>
      <w:r w:rsidR="00957E7A" w:rsidRPr="00E7615A">
        <w:rPr>
          <w:rFonts w:ascii="Book Antiqua" w:hAnsi="Book Antiqua"/>
          <w:b/>
          <w:color w:val="000000" w:themeColor="text1"/>
          <w:sz w:val="24"/>
          <w:szCs w:val="24"/>
          <w:lang w:val="en-US"/>
        </w:rPr>
        <w:t xml:space="preserve"> Histological findings. </w:t>
      </w:r>
      <w:r w:rsidRPr="00E7615A">
        <w:rPr>
          <w:rFonts w:ascii="Book Antiqua" w:hAnsi="Book Antiqua"/>
          <w:color w:val="000000" w:themeColor="text1"/>
          <w:sz w:val="24"/>
          <w:szCs w:val="24"/>
          <w:lang w:val="en-US"/>
        </w:rPr>
        <w:t>Representative photomicrographs of immunohistochemical detection of von Willebrand factor (vWF) (A-D), CD146 (E-H), CD73 (I-L) and peroxisome proliferator-activated receptor gamma (PPAR</w:t>
      </w:r>
      <w:r w:rsidRPr="00E7615A">
        <w:rPr>
          <w:rFonts w:ascii="Book Antiqua" w:hAnsi="Book Antiqua"/>
          <w:color w:val="000000" w:themeColor="text1"/>
          <w:sz w:val="24"/>
          <w:szCs w:val="24"/>
        </w:rPr>
        <w:sym w:font="Symbol" w:char="F067"/>
      </w:r>
      <w:r w:rsidRPr="00E7615A">
        <w:rPr>
          <w:rFonts w:ascii="Book Antiqua" w:hAnsi="Book Antiqua"/>
          <w:color w:val="000000" w:themeColor="text1"/>
          <w:sz w:val="24"/>
          <w:szCs w:val="24"/>
          <w:lang w:val="en-US"/>
        </w:rPr>
        <w:t xml:space="preserve">) (M-P) in 3 µm thick paraffin sections of biopsies that were collected at </w:t>
      </w:r>
      <w:bookmarkStart w:id="219" w:name="_Hlk531339370"/>
      <w:r w:rsidR="00DE7DB2" w:rsidRPr="00E7615A">
        <w:rPr>
          <w:rFonts w:ascii="Book Antiqua" w:hAnsi="Book Antiqua"/>
          <w:color w:val="000000" w:themeColor="text1"/>
          <w:sz w:val="24"/>
          <w:szCs w:val="24"/>
          <w:lang w:val="en-US" w:eastAsia="zh-CN"/>
        </w:rPr>
        <w:t>6</w:t>
      </w:r>
      <w:r w:rsidRPr="00E7615A">
        <w:rPr>
          <w:rFonts w:ascii="Book Antiqua" w:hAnsi="Book Antiqua"/>
          <w:color w:val="000000" w:themeColor="text1"/>
          <w:sz w:val="24"/>
          <w:szCs w:val="24"/>
          <w:lang w:val="en-US"/>
        </w:rPr>
        <w:t xml:space="preserve"> w</w:t>
      </w:r>
      <w:r w:rsidR="00DE7DB2" w:rsidRPr="00E7615A">
        <w:rPr>
          <w:rFonts w:ascii="Book Antiqua" w:hAnsi="Book Antiqua"/>
          <w:color w:val="000000" w:themeColor="text1"/>
          <w:sz w:val="24"/>
          <w:szCs w:val="24"/>
          <w:lang w:val="en-US"/>
        </w:rPr>
        <w:t>k (A,</w:t>
      </w:r>
      <w:r w:rsidR="002412B7">
        <w:rPr>
          <w:rFonts w:ascii="Book Antiqua" w:hAnsi="Book Antiqua" w:hint="eastAsia"/>
          <w:color w:val="000000" w:themeColor="text1"/>
          <w:sz w:val="24"/>
          <w:szCs w:val="24"/>
          <w:lang w:val="en-US" w:eastAsia="zh-CN"/>
        </w:rPr>
        <w:t xml:space="preserve"> </w:t>
      </w:r>
      <w:r w:rsidR="00DE7DB2" w:rsidRPr="00E7615A">
        <w:rPr>
          <w:rFonts w:ascii="Book Antiqua" w:hAnsi="Book Antiqua"/>
          <w:color w:val="000000" w:themeColor="text1"/>
          <w:sz w:val="24"/>
          <w:szCs w:val="24"/>
          <w:lang w:val="en-US"/>
        </w:rPr>
        <w:t>B,</w:t>
      </w:r>
      <w:r w:rsidR="002412B7">
        <w:rPr>
          <w:rFonts w:ascii="Book Antiqua" w:hAnsi="Book Antiqua" w:hint="eastAsia"/>
          <w:color w:val="000000" w:themeColor="text1"/>
          <w:sz w:val="24"/>
          <w:szCs w:val="24"/>
          <w:lang w:val="en-US" w:eastAsia="zh-CN"/>
        </w:rPr>
        <w:t xml:space="preserve"> </w:t>
      </w:r>
      <w:r w:rsidR="00DE7DB2" w:rsidRPr="00E7615A">
        <w:rPr>
          <w:rFonts w:ascii="Book Antiqua" w:hAnsi="Book Antiqua"/>
          <w:color w:val="000000" w:themeColor="text1"/>
          <w:sz w:val="24"/>
          <w:szCs w:val="24"/>
          <w:lang w:val="en-US"/>
        </w:rPr>
        <w:t>E,</w:t>
      </w:r>
      <w:r w:rsidR="002412B7">
        <w:rPr>
          <w:rFonts w:ascii="Book Antiqua" w:hAnsi="Book Antiqua" w:hint="eastAsia"/>
          <w:color w:val="000000" w:themeColor="text1"/>
          <w:sz w:val="24"/>
          <w:szCs w:val="24"/>
          <w:lang w:val="en-US" w:eastAsia="zh-CN"/>
        </w:rPr>
        <w:t xml:space="preserve"> </w:t>
      </w:r>
      <w:r w:rsidR="00DE7DB2" w:rsidRPr="00E7615A">
        <w:rPr>
          <w:rFonts w:ascii="Book Antiqua" w:hAnsi="Book Antiqua"/>
          <w:color w:val="000000" w:themeColor="text1"/>
          <w:sz w:val="24"/>
          <w:szCs w:val="24"/>
          <w:lang w:val="en-US"/>
        </w:rPr>
        <w:t>F,</w:t>
      </w:r>
      <w:r w:rsidR="002412B7">
        <w:rPr>
          <w:rFonts w:ascii="Book Antiqua" w:hAnsi="Book Antiqua" w:hint="eastAsia"/>
          <w:color w:val="000000" w:themeColor="text1"/>
          <w:sz w:val="24"/>
          <w:szCs w:val="24"/>
          <w:lang w:val="en-US" w:eastAsia="zh-CN"/>
        </w:rPr>
        <w:t xml:space="preserve"> </w:t>
      </w:r>
      <w:r w:rsidR="00DE7DB2" w:rsidRPr="00E7615A">
        <w:rPr>
          <w:rFonts w:ascii="Book Antiqua" w:hAnsi="Book Antiqua"/>
          <w:color w:val="000000" w:themeColor="text1"/>
          <w:sz w:val="24"/>
          <w:szCs w:val="24"/>
          <w:lang w:val="en-US"/>
        </w:rPr>
        <w:t>I,</w:t>
      </w:r>
      <w:r w:rsidR="002412B7">
        <w:rPr>
          <w:rFonts w:ascii="Book Antiqua" w:hAnsi="Book Antiqua" w:hint="eastAsia"/>
          <w:color w:val="000000" w:themeColor="text1"/>
          <w:sz w:val="24"/>
          <w:szCs w:val="24"/>
          <w:lang w:val="en-US" w:eastAsia="zh-CN"/>
        </w:rPr>
        <w:t xml:space="preserve"> </w:t>
      </w:r>
      <w:r w:rsidR="00DE7DB2" w:rsidRPr="00E7615A">
        <w:rPr>
          <w:rFonts w:ascii="Book Antiqua" w:hAnsi="Book Antiqua"/>
          <w:color w:val="000000" w:themeColor="text1"/>
          <w:sz w:val="24"/>
          <w:szCs w:val="24"/>
          <w:lang w:val="en-US"/>
        </w:rPr>
        <w:t>J,</w:t>
      </w:r>
      <w:r w:rsidR="002412B7">
        <w:rPr>
          <w:rFonts w:ascii="Book Antiqua" w:hAnsi="Book Antiqua" w:hint="eastAsia"/>
          <w:color w:val="000000" w:themeColor="text1"/>
          <w:sz w:val="24"/>
          <w:szCs w:val="24"/>
          <w:lang w:val="en-US" w:eastAsia="zh-CN"/>
        </w:rPr>
        <w:t xml:space="preserve"> </w:t>
      </w:r>
      <w:r w:rsidR="00DE7DB2" w:rsidRPr="00E7615A">
        <w:rPr>
          <w:rFonts w:ascii="Book Antiqua" w:hAnsi="Book Antiqua"/>
          <w:color w:val="000000" w:themeColor="text1"/>
          <w:sz w:val="24"/>
          <w:szCs w:val="24"/>
          <w:lang w:val="en-US"/>
        </w:rPr>
        <w:t>M,</w:t>
      </w:r>
      <w:r w:rsidR="002412B7">
        <w:rPr>
          <w:rFonts w:ascii="Book Antiqua" w:hAnsi="Book Antiqua" w:hint="eastAsia"/>
          <w:color w:val="000000" w:themeColor="text1"/>
          <w:sz w:val="24"/>
          <w:szCs w:val="24"/>
          <w:lang w:val="en-US" w:eastAsia="zh-CN"/>
        </w:rPr>
        <w:t xml:space="preserve"> </w:t>
      </w:r>
      <w:r w:rsidR="00DE7DB2" w:rsidRPr="00E7615A">
        <w:rPr>
          <w:rFonts w:ascii="Book Antiqua" w:hAnsi="Book Antiqua"/>
          <w:color w:val="000000" w:themeColor="text1"/>
          <w:sz w:val="24"/>
          <w:szCs w:val="24"/>
          <w:lang w:val="en-US"/>
        </w:rPr>
        <w:t>N) or 34 wk</w:t>
      </w:r>
      <w:r w:rsidRPr="00E7615A">
        <w:rPr>
          <w:rFonts w:ascii="Book Antiqua" w:hAnsi="Book Antiqua"/>
          <w:color w:val="000000" w:themeColor="text1"/>
          <w:sz w:val="24"/>
          <w:szCs w:val="24"/>
          <w:lang w:val="en-US"/>
        </w:rPr>
        <w:t xml:space="preserve"> (C,</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D,</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G,</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H,</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K,</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L,</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O,</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P) after GBR-MSA with the application of UA-ADRCs (A,</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C,</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E,</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G,</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I,</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K,</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M,</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O) or without UA-ADRCs (B,</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D,</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F,</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H,</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J,</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L,</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N,</w:t>
      </w:r>
      <w:r w:rsidR="002412B7">
        <w:rPr>
          <w:rFonts w:ascii="Book Antiqua" w:hAnsi="Book Antiqua" w:hint="eastAsia"/>
          <w:color w:val="000000" w:themeColor="text1"/>
          <w:sz w:val="24"/>
          <w:szCs w:val="24"/>
          <w:lang w:val="en-US" w:eastAsia="zh-CN"/>
        </w:rPr>
        <w:t xml:space="preserve"> </w:t>
      </w:r>
      <w:r w:rsidRPr="00E7615A">
        <w:rPr>
          <w:rFonts w:ascii="Book Antiqua" w:hAnsi="Book Antiqua"/>
          <w:color w:val="000000" w:themeColor="text1"/>
          <w:sz w:val="24"/>
          <w:szCs w:val="24"/>
          <w:lang w:val="en-US"/>
        </w:rPr>
        <w:t xml:space="preserve">P). </w:t>
      </w:r>
      <w:bookmarkEnd w:id="219"/>
      <w:r w:rsidRPr="00E7615A">
        <w:rPr>
          <w:rFonts w:ascii="Book Antiqua" w:hAnsi="Book Antiqua"/>
          <w:color w:val="000000" w:themeColor="text1"/>
          <w:sz w:val="24"/>
          <w:szCs w:val="24"/>
          <w:lang w:val="en-US"/>
        </w:rPr>
        <w:t xml:space="preserve">In all panels the arrows point to vessels. Furthermore, the arrowheads indicate sinusoidal vessels in D, and fibroblasts and osteoblasts in I-L, M and O. The scale bar in P represents 200 µm in A-D and I-P, and 100 µm in E-H. </w:t>
      </w:r>
      <w:r w:rsidR="00BA01E9" w:rsidRPr="00E7615A">
        <w:rPr>
          <w:rFonts w:ascii="Book Antiqua" w:hAnsi="Book Antiqua"/>
          <w:color w:val="000000" w:themeColor="text1"/>
          <w:sz w:val="24"/>
          <w:szCs w:val="24"/>
          <w:lang w:val="en-US"/>
        </w:rPr>
        <w:t>GBR</w:t>
      </w:r>
      <w:r w:rsidR="00BA01E9">
        <w:rPr>
          <w:rFonts w:ascii="Book Antiqua" w:hAnsi="Book Antiqua" w:hint="eastAsia"/>
          <w:color w:val="000000" w:themeColor="text1"/>
          <w:sz w:val="24"/>
          <w:szCs w:val="24"/>
          <w:lang w:val="en-US" w:eastAsia="zh-CN"/>
        </w:rPr>
        <w:t>:</w:t>
      </w:r>
      <w:r w:rsidR="00BA01E9" w:rsidRPr="00022AB2">
        <w:rPr>
          <w:rFonts w:ascii="Book Antiqua" w:hAnsi="Book Antiqua"/>
          <w:b/>
          <w:color w:val="000000" w:themeColor="text1"/>
          <w:sz w:val="24"/>
          <w:szCs w:val="24"/>
          <w:lang w:val="en-US" w:eastAsia="zh-CN"/>
        </w:rPr>
        <w:t xml:space="preserve"> </w:t>
      </w:r>
      <w:r w:rsidR="00BA01E9" w:rsidRPr="00A70DD0">
        <w:rPr>
          <w:rFonts w:ascii="Book Antiqua" w:hAnsi="Book Antiqua"/>
          <w:caps/>
          <w:color w:val="000000" w:themeColor="text1"/>
          <w:sz w:val="24"/>
          <w:szCs w:val="24"/>
          <w:lang w:val="en-US" w:eastAsia="zh-CN"/>
        </w:rPr>
        <w:t>g</w:t>
      </w:r>
      <w:r w:rsidR="00BA01E9" w:rsidRPr="00A70DD0">
        <w:rPr>
          <w:rFonts w:ascii="Book Antiqua" w:hAnsi="Book Antiqua"/>
          <w:color w:val="000000" w:themeColor="text1"/>
          <w:sz w:val="24"/>
          <w:szCs w:val="24"/>
          <w:lang w:val="en-US" w:eastAsia="zh-CN"/>
        </w:rPr>
        <w:t>uided bone regeneration</w:t>
      </w:r>
      <w:r w:rsidR="00BA01E9" w:rsidRPr="00A70DD0">
        <w:rPr>
          <w:rFonts w:ascii="Book Antiqua" w:hAnsi="Book Antiqua" w:hint="eastAsia"/>
          <w:color w:val="000000" w:themeColor="text1"/>
          <w:sz w:val="24"/>
          <w:szCs w:val="24"/>
          <w:lang w:val="en-US" w:eastAsia="zh-CN"/>
        </w:rPr>
        <w:t xml:space="preserve">; </w:t>
      </w:r>
      <w:r w:rsidR="00BA01E9" w:rsidRPr="00A70DD0">
        <w:rPr>
          <w:rFonts w:ascii="Book Antiqua" w:hAnsi="Book Antiqua"/>
          <w:color w:val="000000" w:themeColor="text1"/>
          <w:sz w:val="24"/>
          <w:szCs w:val="24"/>
          <w:lang w:val="en-US"/>
        </w:rPr>
        <w:t>MSA</w:t>
      </w:r>
      <w:r w:rsidR="00BA01E9" w:rsidRPr="00A70DD0">
        <w:rPr>
          <w:rFonts w:ascii="Book Antiqua" w:hAnsi="Book Antiqua" w:hint="eastAsia"/>
          <w:color w:val="000000" w:themeColor="text1"/>
          <w:sz w:val="24"/>
          <w:szCs w:val="24"/>
          <w:lang w:val="en-US" w:eastAsia="zh-CN"/>
        </w:rPr>
        <w:t>:</w:t>
      </w:r>
      <w:r w:rsidR="00BA01E9" w:rsidRPr="00A70DD0">
        <w:rPr>
          <w:rFonts w:ascii="Book Antiqua" w:hAnsi="Book Antiqua"/>
          <w:color w:val="000000" w:themeColor="text1"/>
          <w:sz w:val="24"/>
          <w:szCs w:val="24"/>
          <w:lang w:val="en-US" w:eastAsia="zh-CN"/>
        </w:rPr>
        <w:t xml:space="preserve"> </w:t>
      </w:r>
      <w:r w:rsidR="00BA01E9" w:rsidRPr="00A70DD0">
        <w:rPr>
          <w:rFonts w:ascii="Book Antiqua" w:hAnsi="Book Antiqua"/>
          <w:caps/>
          <w:color w:val="000000" w:themeColor="text1"/>
          <w:sz w:val="24"/>
          <w:szCs w:val="24"/>
          <w:lang w:val="en-US" w:eastAsia="zh-CN"/>
        </w:rPr>
        <w:t>m</w:t>
      </w:r>
      <w:r w:rsidR="00BA01E9" w:rsidRPr="00A70DD0">
        <w:rPr>
          <w:rFonts w:ascii="Book Antiqua" w:hAnsi="Book Antiqua"/>
          <w:color w:val="000000" w:themeColor="text1"/>
          <w:sz w:val="24"/>
          <w:szCs w:val="24"/>
          <w:lang w:val="en-US" w:eastAsia="zh-CN"/>
        </w:rPr>
        <w:t>axillary sinus augmentation</w:t>
      </w:r>
      <w:r w:rsidR="00BA01E9">
        <w:rPr>
          <w:rFonts w:ascii="Book Antiqua" w:hAnsi="Book Antiqua" w:hint="eastAsia"/>
          <w:color w:val="000000" w:themeColor="text1"/>
          <w:sz w:val="24"/>
          <w:szCs w:val="24"/>
          <w:lang w:val="en-US" w:eastAsia="zh-CN"/>
        </w:rPr>
        <w:t xml:space="preserve">; </w:t>
      </w:r>
      <w:r w:rsidR="00BA01E9" w:rsidRPr="0067163E">
        <w:rPr>
          <w:rFonts w:ascii="Book Antiqua" w:hAnsi="Book Antiqua"/>
          <w:color w:val="000000" w:themeColor="text1"/>
          <w:sz w:val="24"/>
          <w:szCs w:val="24"/>
          <w:lang w:val="en-US" w:eastAsia="zh-CN"/>
        </w:rPr>
        <w:t>UA-ADRCs</w:t>
      </w:r>
      <w:r w:rsidR="00BA01E9">
        <w:rPr>
          <w:rFonts w:ascii="Book Antiqua" w:hAnsi="Book Antiqua" w:hint="eastAsia"/>
          <w:color w:val="000000" w:themeColor="text1"/>
          <w:sz w:val="24"/>
          <w:szCs w:val="24"/>
          <w:lang w:val="en-US" w:eastAsia="zh-CN"/>
        </w:rPr>
        <w:t>:</w:t>
      </w:r>
      <w:r w:rsidR="00BA01E9" w:rsidRPr="0067163E">
        <w:rPr>
          <w:rFonts w:ascii="Book Antiqua" w:hAnsi="Book Antiqua"/>
          <w:color w:val="000000" w:themeColor="text1"/>
          <w:sz w:val="24"/>
          <w:szCs w:val="24"/>
          <w:lang w:val="en-US" w:eastAsia="zh-CN"/>
        </w:rPr>
        <w:t xml:space="preserve"> </w:t>
      </w:r>
      <w:r w:rsidR="00BA01E9" w:rsidRPr="0067163E">
        <w:rPr>
          <w:rFonts w:ascii="Book Antiqua" w:hAnsi="Book Antiqua"/>
          <w:caps/>
          <w:color w:val="000000" w:themeColor="text1"/>
          <w:sz w:val="24"/>
          <w:szCs w:val="24"/>
          <w:lang w:val="en-US" w:eastAsia="zh-CN"/>
        </w:rPr>
        <w:t>u</w:t>
      </w:r>
      <w:r w:rsidR="00BA01E9" w:rsidRPr="0067163E">
        <w:rPr>
          <w:rFonts w:ascii="Book Antiqua" w:hAnsi="Book Antiqua"/>
          <w:color w:val="000000" w:themeColor="text1"/>
          <w:sz w:val="24"/>
          <w:szCs w:val="24"/>
          <w:lang w:val="en-US" w:eastAsia="zh-CN"/>
        </w:rPr>
        <w:t>nmodified autologous adipose-derived regenerative cells</w:t>
      </w:r>
      <w:r w:rsidR="00BA01E9">
        <w:rPr>
          <w:rFonts w:ascii="Book Antiqua" w:hAnsi="Book Antiqua" w:hint="eastAsia"/>
          <w:color w:val="000000" w:themeColor="text1"/>
          <w:sz w:val="24"/>
          <w:szCs w:val="24"/>
          <w:lang w:val="en-US" w:eastAsia="zh-CN"/>
        </w:rPr>
        <w:t>.</w:t>
      </w:r>
    </w:p>
    <w:p w14:paraId="326BFF53" w14:textId="3E5C741F" w:rsidR="00A37FD9" w:rsidRPr="00BA01E9"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p>
    <w:p w14:paraId="742EDE87" w14:textId="77777777"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US"/>
        </w:rPr>
      </w:pPr>
    </w:p>
    <w:p w14:paraId="451BD6E8" w14:textId="77777777" w:rsidR="00A37FD9" w:rsidRPr="00E7615A" w:rsidRDefault="00A37FD9" w:rsidP="00D048E9">
      <w:pPr>
        <w:widowControl w:val="0"/>
        <w:adjustRightInd w:val="0"/>
        <w:snapToGrid w:val="0"/>
        <w:spacing w:after="0" w:line="360" w:lineRule="auto"/>
        <w:jc w:val="both"/>
        <w:rPr>
          <w:rFonts w:ascii="Book Antiqua" w:hAnsi="Book Antiqua"/>
          <w:color w:val="000000" w:themeColor="text1"/>
          <w:sz w:val="24"/>
          <w:szCs w:val="24"/>
          <w:lang w:val="en-GB"/>
        </w:rPr>
      </w:pPr>
    </w:p>
    <w:p w14:paraId="5810517B" w14:textId="77777777" w:rsidR="00A37FD9" w:rsidRPr="00E7615A" w:rsidRDefault="00A37FD9" w:rsidP="00D048E9">
      <w:pPr>
        <w:widowControl w:val="0"/>
        <w:tabs>
          <w:tab w:val="left" w:pos="576"/>
        </w:tabs>
        <w:adjustRightInd w:val="0"/>
        <w:snapToGrid w:val="0"/>
        <w:spacing w:after="0" w:line="360" w:lineRule="auto"/>
        <w:ind w:hanging="576"/>
        <w:jc w:val="both"/>
        <w:rPr>
          <w:rFonts w:ascii="Book Antiqua" w:hAnsi="Book Antiqua"/>
          <w:color w:val="000000" w:themeColor="text1"/>
          <w:sz w:val="24"/>
          <w:szCs w:val="24"/>
          <w:lang w:val="en-GB"/>
        </w:rPr>
      </w:pPr>
    </w:p>
    <w:p w14:paraId="74E31F3E" w14:textId="656BE50B" w:rsidR="003B640B" w:rsidRPr="00E7615A" w:rsidRDefault="003B640B" w:rsidP="00D048E9">
      <w:pPr>
        <w:widowControl w:val="0"/>
        <w:adjustRightInd w:val="0"/>
        <w:snapToGrid w:val="0"/>
        <w:spacing w:after="0" w:line="360" w:lineRule="auto"/>
        <w:jc w:val="both"/>
        <w:rPr>
          <w:rFonts w:ascii="Book Antiqua" w:hAnsi="Book Antiqua"/>
          <w:color w:val="000000" w:themeColor="text1"/>
          <w:sz w:val="24"/>
          <w:szCs w:val="24"/>
          <w:lang w:val="en-GB"/>
        </w:rPr>
      </w:pPr>
    </w:p>
    <w:sectPr w:rsidR="003B640B" w:rsidRPr="00E7615A" w:rsidSect="00FD702E">
      <w:footerReference w:type="default" r:id="rId18"/>
      <w:pgSz w:w="12240" w:h="15840" w:code="1"/>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E07018" w14:textId="77777777" w:rsidR="001857E2" w:rsidRDefault="001857E2" w:rsidP="00BD0168">
      <w:pPr>
        <w:spacing w:after="0" w:line="240" w:lineRule="auto"/>
      </w:pPr>
      <w:r>
        <w:separator/>
      </w:r>
    </w:p>
  </w:endnote>
  <w:endnote w:type="continuationSeparator" w:id="0">
    <w:p w14:paraId="73608E20" w14:textId="77777777" w:rsidR="001857E2" w:rsidRDefault="001857E2" w:rsidP="00BD0168">
      <w:pPr>
        <w:spacing w:after="0" w:line="240" w:lineRule="auto"/>
      </w:pPr>
      <w:r>
        <w:continuationSeparator/>
      </w:r>
    </w:p>
  </w:endnote>
  <w:endnote w:type="continuationNotice" w:id="1">
    <w:p w14:paraId="64206E25" w14:textId="77777777" w:rsidR="001857E2" w:rsidRDefault="001857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ヒラギノ角ゴ Pro W3">
    <w:panose1 w:val="020B0300000000000000"/>
    <w:charset w:val="4E"/>
    <w:family w:val="auto"/>
    <w:pitch w:val="variable"/>
    <w:sig w:usb0="E00002FF" w:usb1="7AC7FFFF" w:usb2="00000012" w:usb3="00000000" w:csb0="0002000D"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TimesNewRomanPS-BoldItalicMT">
    <w:altName w:val="Arial Unicode MS"/>
    <w:panose1 w:val="020B0604020202020204"/>
    <w:charset w:val="00"/>
    <w:family w:val="roman"/>
    <w:pitch w:val="default"/>
    <w:sig w:usb0="00000000" w:usb1="00000000" w:usb2="00000010" w:usb3="00000000" w:csb0="00040001" w:csb1="00000000"/>
  </w:font>
  <w:font w:name="Arial Unicode MS">
    <w:panose1 w:val="020B0604020202020204"/>
    <w:charset w:val="80"/>
    <w:family w:val="swiss"/>
    <w:pitch w:val="variable"/>
    <w:sig w:usb0="F7FFAFFF" w:usb1="E9DFFFFF" w:usb2="0000003F" w:usb3="00000000" w:csb0="003F01FF" w:csb1="00000000"/>
  </w:font>
  <w:font w:name="AdvTimes">
    <w:altName w:val="MingLiU"/>
    <w:panose1 w:val="020B0604020202020204"/>
    <w:charset w:val="88"/>
    <w:family w:val="auto"/>
    <w:notTrueType/>
    <w:pitch w:val="default"/>
    <w:sig w:usb0="00000001" w:usb1="08080000" w:usb2="00000010" w:usb3="00000000" w:csb0="00100000" w:csb1="00000000"/>
  </w:font>
  <w:font w:name="DengXian">
    <w:altName w:val="等线"/>
    <w:panose1 w:val="02010600030101010101"/>
    <w:charset w:val="86"/>
    <w:family w:val="auto"/>
    <w:pitch w:val="variable"/>
    <w:sig w:usb0="A00002BF" w:usb1="38CF7CFA" w:usb2="00000016" w:usb3="00000000" w:csb0="0004000F" w:csb1="00000000"/>
  </w:font>
  <w:font w:name="Helvetica">
    <w:panose1 w:val="00000000000000000000"/>
    <w:charset w:val="00"/>
    <w:family w:val="auto"/>
    <w:pitch w:val="variable"/>
    <w:sig w:usb0="E00002FF" w:usb1="5000785B" w:usb2="00000000" w:usb3="00000000" w:csb0="0000019F" w:csb1="00000000"/>
  </w:font>
  <w:font w:name="Microsoft YaHei">
    <w:panose1 w:val="020B0503020204020204"/>
    <w:charset w:val="86"/>
    <w:family w:val="swiss"/>
    <w:pitch w:val="variable"/>
    <w:sig w:usb0="80000287" w:usb1="28CF3C52"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3496272"/>
      <w:docPartObj>
        <w:docPartGallery w:val="Page Numbers (Bottom of Page)"/>
        <w:docPartUnique/>
      </w:docPartObj>
    </w:sdtPr>
    <w:sdtEndPr/>
    <w:sdtContent>
      <w:p w14:paraId="3E188726" w14:textId="77777777" w:rsidR="005E1B8A" w:rsidRDefault="005E1B8A">
        <w:pPr>
          <w:pStyle w:val="Footer"/>
          <w:jc w:val="center"/>
        </w:pPr>
        <w:r w:rsidRPr="00CE336C">
          <w:rPr>
            <w:rFonts w:ascii="Times New Roman"/>
          </w:rPr>
          <w:fldChar w:fldCharType="begin"/>
        </w:r>
        <w:r w:rsidRPr="00CE336C">
          <w:rPr>
            <w:rFonts w:ascii="Times New Roman"/>
          </w:rPr>
          <w:instrText>PAGE   \* MERGEFORMAT</w:instrText>
        </w:r>
        <w:r w:rsidRPr="00CE336C">
          <w:rPr>
            <w:rFonts w:ascii="Times New Roman"/>
          </w:rPr>
          <w:fldChar w:fldCharType="separate"/>
        </w:r>
        <w:r w:rsidR="00152B29">
          <w:rPr>
            <w:rFonts w:ascii="Times New Roman"/>
            <w:noProof/>
          </w:rPr>
          <w:t>3</w:t>
        </w:r>
        <w:r w:rsidRPr="00CE336C">
          <w:rPr>
            <w:rFonts w:ascii="Times New Roman"/>
          </w:rPr>
          <w:fldChar w:fldCharType="end"/>
        </w:r>
      </w:p>
    </w:sdtContent>
  </w:sdt>
  <w:p w14:paraId="4E05870F" w14:textId="77777777" w:rsidR="005E1B8A" w:rsidRDefault="005E1B8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82CF53" w14:textId="47E485DF" w:rsidR="005E1B8A" w:rsidRPr="004961D7" w:rsidRDefault="005E1B8A">
    <w:pPr>
      <w:pStyle w:val="Footer"/>
      <w:jc w:val="center"/>
      <w:rPr>
        <w:rFonts w:ascii="Times New Roman"/>
      </w:rPr>
    </w:pPr>
  </w:p>
  <w:p w14:paraId="0C91EF6D" w14:textId="77777777" w:rsidR="005E1B8A" w:rsidRDefault="005E1B8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70A040C" w14:textId="77777777" w:rsidR="001857E2" w:rsidRDefault="001857E2" w:rsidP="00BD0168">
      <w:pPr>
        <w:spacing w:after="0" w:line="240" w:lineRule="auto"/>
      </w:pPr>
      <w:r>
        <w:separator/>
      </w:r>
    </w:p>
  </w:footnote>
  <w:footnote w:type="continuationSeparator" w:id="0">
    <w:p w14:paraId="33A26AC9" w14:textId="77777777" w:rsidR="001857E2" w:rsidRDefault="001857E2" w:rsidP="00BD0168">
      <w:pPr>
        <w:spacing w:after="0" w:line="240" w:lineRule="auto"/>
      </w:pPr>
      <w:r>
        <w:continuationSeparator/>
      </w:r>
    </w:p>
  </w:footnote>
  <w:footnote w:type="continuationNotice" w:id="1">
    <w:p w14:paraId="642A528A" w14:textId="77777777" w:rsidR="001857E2" w:rsidRDefault="001857E2">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FB9020B"/>
    <w:multiLevelType w:val="hybridMultilevel"/>
    <w:tmpl w:val="68DAFAE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8842FF3"/>
    <w:multiLevelType w:val="hybridMultilevel"/>
    <w:tmpl w:val="7D26AB4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5117207F"/>
    <w:multiLevelType w:val="hybridMultilevel"/>
    <w:tmpl w:val="B0F64E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5F465A89"/>
    <w:multiLevelType w:val="multilevel"/>
    <w:tmpl w:val="088AD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6E661DE4"/>
    <w:multiLevelType w:val="hybridMultilevel"/>
    <w:tmpl w:val="C8D672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bordersDoNotSurroundHeader/>
  <w:bordersDoNotSurroundFooter/>
  <w:proofState w:grammar="clean"/>
  <w:defaultTabStop w:val="706"/>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MTKzMDYwMLY0MTE3MzVS0lEKTi0uzszPAykwqgUAJdmnhCwAAAA="/>
  </w:docVars>
  <w:rsids>
    <w:rsidRoot w:val="00AA5A37"/>
    <w:rsid w:val="0000201C"/>
    <w:rsid w:val="000042BC"/>
    <w:rsid w:val="000129A9"/>
    <w:rsid w:val="000142A1"/>
    <w:rsid w:val="00014543"/>
    <w:rsid w:val="00014B0D"/>
    <w:rsid w:val="00021CD8"/>
    <w:rsid w:val="00022AB2"/>
    <w:rsid w:val="00023118"/>
    <w:rsid w:val="000245AE"/>
    <w:rsid w:val="00024FEC"/>
    <w:rsid w:val="00025B48"/>
    <w:rsid w:val="0003154B"/>
    <w:rsid w:val="00031C9C"/>
    <w:rsid w:val="0003300A"/>
    <w:rsid w:val="000417FA"/>
    <w:rsid w:val="00041C92"/>
    <w:rsid w:val="00042B94"/>
    <w:rsid w:val="00042F0A"/>
    <w:rsid w:val="00044770"/>
    <w:rsid w:val="00045322"/>
    <w:rsid w:val="0005011B"/>
    <w:rsid w:val="0005275D"/>
    <w:rsid w:val="0005339A"/>
    <w:rsid w:val="000535B8"/>
    <w:rsid w:val="0005444C"/>
    <w:rsid w:val="00057154"/>
    <w:rsid w:val="0006015E"/>
    <w:rsid w:val="00062060"/>
    <w:rsid w:val="00070F0B"/>
    <w:rsid w:val="000710FB"/>
    <w:rsid w:val="00071273"/>
    <w:rsid w:val="00071B2C"/>
    <w:rsid w:val="000729EB"/>
    <w:rsid w:val="00075A78"/>
    <w:rsid w:val="00081856"/>
    <w:rsid w:val="00083313"/>
    <w:rsid w:val="00084E2D"/>
    <w:rsid w:val="00092358"/>
    <w:rsid w:val="000935B1"/>
    <w:rsid w:val="00093722"/>
    <w:rsid w:val="00096053"/>
    <w:rsid w:val="000A6439"/>
    <w:rsid w:val="000A78C7"/>
    <w:rsid w:val="000B1AB9"/>
    <w:rsid w:val="000B42BF"/>
    <w:rsid w:val="000B5362"/>
    <w:rsid w:val="000B56CA"/>
    <w:rsid w:val="000B7530"/>
    <w:rsid w:val="000C52FA"/>
    <w:rsid w:val="000C7523"/>
    <w:rsid w:val="000D04FA"/>
    <w:rsid w:val="000D572F"/>
    <w:rsid w:val="000D5E1B"/>
    <w:rsid w:val="000E00E2"/>
    <w:rsid w:val="000E422E"/>
    <w:rsid w:val="000E7CD3"/>
    <w:rsid w:val="000F573D"/>
    <w:rsid w:val="000F57F4"/>
    <w:rsid w:val="000F7823"/>
    <w:rsid w:val="00103D19"/>
    <w:rsid w:val="0010473F"/>
    <w:rsid w:val="00104FED"/>
    <w:rsid w:val="00113041"/>
    <w:rsid w:val="0011470C"/>
    <w:rsid w:val="00114D6B"/>
    <w:rsid w:val="00125707"/>
    <w:rsid w:val="0013032F"/>
    <w:rsid w:val="00131EFE"/>
    <w:rsid w:val="001324EF"/>
    <w:rsid w:val="001361C7"/>
    <w:rsid w:val="0013664E"/>
    <w:rsid w:val="001369AD"/>
    <w:rsid w:val="00136B58"/>
    <w:rsid w:val="001439FF"/>
    <w:rsid w:val="00152B29"/>
    <w:rsid w:val="00153D76"/>
    <w:rsid w:val="00165FCB"/>
    <w:rsid w:val="00166AB8"/>
    <w:rsid w:val="001752EC"/>
    <w:rsid w:val="00175571"/>
    <w:rsid w:val="00177805"/>
    <w:rsid w:val="00180411"/>
    <w:rsid w:val="001807B9"/>
    <w:rsid w:val="00182C55"/>
    <w:rsid w:val="001857E2"/>
    <w:rsid w:val="00191279"/>
    <w:rsid w:val="00192959"/>
    <w:rsid w:val="00195E19"/>
    <w:rsid w:val="001A20AA"/>
    <w:rsid w:val="001A36CD"/>
    <w:rsid w:val="001A3AC3"/>
    <w:rsid w:val="001B2B9F"/>
    <w:rsid w:val="001B34AB"/>
    <w:rsid w:val="001B5708"/>
    <w:rsid w:val="001C2A50"/>
    <w:rsid w:val="001C2C87"/>
    <w:rsid w:val="001C2D7D"/>
    <w:rsid w:val="001C5ECC"/>
    <w:rsid w:val="001D0A8F"/>
    <w:rsid w:val="001D34F7"/>
    <w:rsid w:val="001D6C7F"/>
    <w:rsid w:val="001D6D44"/>
    <w:rsid w:val="001E4D25"/>
    <w:rsid w:val="001F1470"/>
    <w:rsid w:val="001F1F36"/>
    <w:rsid w:val="001F43BA"/>
    <w:rsid w:val="001F5592"/>
    <w:rsid w:val="001F59C3"/>
    <w:rsid w:val="001F631F"/>
    <w:rsid w:val="00212458"/>
    <w:rsid w:val="00213CAF"/>
    <w:rsid w:val="002149DA"/>
    <w:rsid w:val="00217102"/>
    <w:rsid w:val="00221692"/>
    <w:rsid w:val="0022192F"/>
    <w:rsid w:val="002220C8"/>
    <w:rsid w:val="002236AF"/>
    <w:rsid w:val="002236B5"/>
    <w:rsid w:val="002315C6"/>
    <w:rsid w:val="0023344B"/>
    <w:rsid w:val="002346B5"/>
    <w:rsid w:val="002348EA"/>
    <w:rsid w:val="00236623"/>
    <w:rsid w:val="002366B5"/>
    <w:rsid w:val="002412B7"/>
    <w:rsid w:val="00242D3C"/>
    <w:rsid w:val="002469A2"/>
    <w:rsid w:val="00247A05"/>
    <w:rsid w:val="00247BDE"/>
    <w:rsid w:val="0025194B"/>
    <w:rsid w:val="00253453"/>
    <w:rsid w:val="00254617"/>
    <w:rsid w:val="002552AC"/>
    <w:rsid w:val="00256FF5"/>
    <w:rsid w:val="00257A01"/>
    <w:rsid w:val="00257C30"/>
    <w:rsid w:val="00257EB0"/>
    <w:rsid w:val="00260C23"/>
    <w:rsid w:val="0026178E"/>
    <w:rsid w:val="002672EE"/>
    <w:rsid w:val="00274EB0"/>
    <w:rsid w:val="00277196"/>
    <w:rsid w:val="00277830"/>
    <w:rsid w:val="00287DA9"/>
    <w:rsid w:val="00290174"/>
    <w:rsid w:val="00293A03"/>
    <w:rsid w:val="00293EE1"/>
    <w:rsid w:val="00295EDC"/>
    <w:rsid w:val="00297F52"/>
    <w:rsid w:val="002A040F"/>
    <w:rsid w:val="002A0BCB"/>
    <w:rsid w:val="002A1ADE"/>
    <w:rsid w:val="002A2BC1"/>
    <w:rsid w:val="002A61A8"/>
    <w:rsid w:val="002B2767"/>
    <w:rsid w:val="002B2DF5"/>
    <w:rsid w:val="002B5382"/>
    <w:rsid w:val="002C3128"/>
    <w:rsid w:val="002C3FF5"/>
    <w:rsid w:val="002C6D4D"/>
    <w:rsid w:val="002C6E13"/>
    <w:rsid w:val="002D1E7A"/>
    <w:rsid w:val="002D2C92"/>
    <w:rsid w:val="002D428B"/>
    <w:rsid w:val="002D45CD"/>
    <w:rsid w:val="002D7B99"/>
    <w:rsid w:val="002E013A"/>
    <w:rsid w:val="002E3979"/>
    <w:rsid w:val="002E39A0"/>
    <w:rsid w:val="002E41F8"/>
    <w:rsid w:val="002E618F"/>
    <w:rsid w:val="002E7DD7"/>
    <w:rsid w:val="002F175D"/>
    <w:rsid w:val="002F2421"/>
    <w:rsid w:val="002F3CF7"/>
    <w:rsid w:val="002F41DC"/>
    <w:rsid w:val="002F502C"/>
    <w:rsid w:val="002F5DF1"/>
    <w:rsid w:val="002F70E5"/>
    <w:rsid w:val="00302A54"/>
    <w:rsid w:val="0030387D"/>
    <w:rsid w:val="003056C2"/>
    <w:rsid w:val="00310199"/>
    <w:rsid w:val="003125E9"/>
    <w:rsid w:val="003130E2"/>
    <w:rsid w:val="0031743F"/>
    <w:rsid w:val="00321A43"/>
    <w:rsid w:val="00321C02"/>
    <w:rsid w:val="00330E07"/>
    <w:rsid w:val="00331BD4"/>
    <w:rsid w:val="00336A47"/>
    <w:rsid w:val="00337C73"/>
    <w:rsid w:val="00340557"/>
    <w:rsid w:val="00340E4C"/>
    <w:rsid w:val="003421AE"/>
    <w:rsid w:val="00345B8B"/>
    <w:rsid w:val="003553BE"/>
    <w:rsid w:val="003642FA"/>
    <w:rsid w:val="003706F5"/>
    <w:rsid w:val="00373E9F"/>
    <w:rsid w:val="003750B4"/>
    <w:rsid w:val="003754F6"/>
    <w:rsid w:val="00376E4F"/>
    <w:rsid w:val="00380A33"/>
    <w:rsid w:val="00384877"/>
    <w:rsid w:val="003909C2"/>
    <w:rsid w:val="00394164"/>
    <w:rsid w:val="00394583"/>
    <w:rsid w:val="003B1289"/>
    <w:rsid w:val="003B1C3B"/>
    <w:rsid w:val="003B561A"/>
    <w:rsid w:val="003B640B"/>
    <w:rsid w:val="003B6661"/>
    <w:rsid w:val="003C1327"/>
    <w:rsid w:val="003C23CA"/>
    <w:rsid w:val="003D0D5A"/>
    <w:rsid w:val="003D0F86"/>
    <w:rsid w:val="003D1DAF"/>
    <w:rsid w:val="003D3A35"/>
    <w:rsid w:val="003E0C65"/>
    <w:rsid w:val="003E1CCA"/>
    <w:rsid w:val="003E3F3D"/>
    <w:rsid w:val="003E4066"/>
    <w:rsid w:val="003E6BF0"/>
    <w:rsid w:val="003F1D08"/>
    <w:rsid w:val="003F3770"/>
    <w:rsid w:val="00400EF4"/>
    <w:rsid w:val="00402837"/>
    <w:rsid w:val="00405405"/>
    <w:rsid w:val="004111AD"/>
    <w:rsid w:val="00413678"/>
    <w:rsid w:val="00414407"/>
    <w:rsid w:val="004166C5"/>
    <w:rsid w:val="004176BA"/>
    <w:rsid w:val="00420116"/>
    <w:rsid w:val="0042293E"/>
    <w:rsid w:val="00424CF8"/>
    <w:rsid w:val="00425711"/>
    <w:rsid w:val="00425796"/>
    <w:rsid w:val="00432424"/>
    <w:rsid w:val="0044580A"/>
    <w:rsid w:val="00447733"/>
    <w:rsid w:val="00452210"/>
    <w:rsid w:val="00453261"/>
    <w:rsid w:val="00454D19"/>
    <w:rsid w:val="00454F35"/>
    <w:rsid w:val="00455BE8"/>
    <w:rsid w:val="00455FCA"/>
    <w:rsid w:val="00461751"/>
    <w:rsid w:val="00462DAB"/>
    <w:rsid w:val="0046649B"/>
    <w:rsid w:val="00466CA9"/>
    <w:rsid w:val="00470744"/>
    <w:rsid w:val="00471A54"/>
    <w:rsid w:val="00471F59"/>
    <w:rsid w:val="0047548C"/>
    <w:rsid w:val="004757F5"/>
    <w:rsid w:val="004779AE"/>
    <w:rsid w:val="004809CF"/>
    <w:rsid w:val="004958DD"/>
    <w:rsid w:val="004961D7"/>
    <w:rsid w:val="004A54E3"/>
    <w:rsid w:val="004A6A9D"/>
    <w:rsid w:val="004A7088"/>
    <w:rsid w:val="004B39C5"/>
    <w:rsid w:val="004B4437"/>
    <w:rsid w:val="004C0DF0"/>
    <w:rsid w:val="004C6154"/>
    <w:rsid w:val="004C7E4B"/>
    <w:rsid w:val="004D099F"/>
    <w:rsid w:val="004D4049"/>
    <w:rsid w:val="004D4E8D"/>
    <w:rsid w:val="004D78E7"/>
    <w:rsid w:val="004E369D"/>
    <w:rsid w:val="004E4A31"/>
    <w:rsid w:val="004E5084"/>
    <w:rsid w:val="004E56A2"/>
    <w:rsid w:val="004E60D5"/>
    <w:rsid w:val="004F09D1"/>
    <w:rsid w:val="004F0A5D"/>
    <w:rsid w:val="004F138D"/>
    <w:rsid w:val="004F1458"/>
    <w:rsid w:val="004F672D"/>
    <w:rsid w:val="004F6FA9"/>
    <w:rsid w:val="005010DA"/>
    <w:rsid w:val="00501802"/>
    <w:rsid w:val="0050644E"/>
    <w:rsid w:val="00507269"/>
    <w:rsid w:val="005075BC"/>
    <w:rsid w:val="00507B1D"/>
    <w:rsid w:val="0051169F"/>
    <w:rsid w:val="00513258"/>
    <w:rsid w:val="0051366E"/>
    <w:rsid w:val="00513F57"/>
    <w:rsid w:val="00517FC9"/>
    <w:rsid w:val="00520B33"/>
    <w:rsid w:val="00520B9E"/>
    <w:rsid w:val="00523D23"/>
    <w:rsid w:val="00524397"/>
    <w:rsid w:val="005266E4"/>
    <w:rsid w:val="00527AB0"/>
    <w:rsid w:val="00532624"/>
    <w:rsid w:val="00534059"/>
    <w:rsid w:val="0053419E"/>
    <w:rsid w:val="00535131"/>
    <w:rsid w:val="0053594A"/>
    <w:rsid w:val="00535D71"/>
    <w:rsid w:val="0053770B"/>
    <w:rsid w:val="005400E4"/>
    <w:rsid w:val="00543AC9"/>
    <w:rsid w:val="00546097"/>
    <w:rsid w:val="00546453"/>
    <w:rsid w:val="005521FC"/>
    <w:rsid w:val="00556A72"/>
    <w:rsid w:val="00557DE0"/>
    <w:rsid w:val="0056167E"/>
    <w:rsid w:val="00561793"/>
    <w:rsid w:val="00563E71"/>
    <w:rsid w:val="00564D70"/>
    <w:rsid w:val="00566480"/>
    <w:rsid w:val="0056779F"/>
    <w:rsid w:val="005677E5"/>
    <w:rsid w:val="0057447C"/>
    <w:rsid w:val="00577278"/>
    <w:rsid w:val="00577362"/>
    <w:rsid w:val="0058014C"/>
    <w:rsid w:val="005846AF"/>
    <w:rsid w:val="0058715F"/>
    <w:rsid w:val="00591414"/>
    <w:rsid w:val="005920A9"/>
    <w:rsid w:val="00593CE8"/>
    <w:rsid w:val="0059443C"/>
    <w:rsid w:val="00594458"/>
    <w:rsid w:val="00594A3D"/>
    <w:rsid w:val="0059572E"/>
    <w:rsid w:val="00595C55"/>
    <w:rsid w:val="005A0BB6"/>
    <w:rsid w:val="005A1C3F"/>
    <w:rsid w:val="005A297E"/>
    <w:rsid w:val="005A4C10"/>
    <w:rsid w:val="005B42E4"/>
    <w:rsid w:val="005B4691"/>
    <w:rsid w:val="005B5C70"/>
    <w:rsid w:val="005C2091"/>
    <w:rsid w:val="005C69C8"/>
    <w:rsid w:val="005C6A1E"/>
    <w:rsid w:val="005E1B8A"/>
    <w:rsid w:val="005E1CCA"/>
    <w:rsid w:val="005E36A0"/>
    <w:rsid w:val="005E73C6"/>
    <w:rsid w:val="005F1B29"/>
    <w:rsid w:val="005F2857"/>
    <w:rsid w:val="005F3057"/>
    <w:rsid w:val="005F698D"/>
    <w:rsid w:val="006004F9"/>
    <w:rsid w:val="0060146D"/>
    <w:rsid w:val="00602EE9"/>
    <w:rsid w:val="00605244"/>
    <w:rsid w:val="00606B9A"/>
    <w:rsid w:val="0061294C"/>
    <w:rsid w:val="00613065"/>
    <w:rsid w:val="00615216"/>
    <w:rsid w:val="00615746"/>
    <w:rsid w:val="0061715B"/>
    <w:rsid w:val="006242F7"/>
    <w:rsid w:val="00632CA8"/>
    <w:rsid w:val="0064267F"/>
    <w:rsid w:val="006435F2"/>
    <w:rsid w:val="006468F9"/>
    <w:rsid w:val="00650CC2"/>
    <w:rsid w:val="00653F57"/>
    <w:rsid w:val="00661A11"/>
    <w:rsid w:val="00661E75"/>
    <w:rsid w:val="006643C4"/>
    <w:rsid w:val="00666678"/>
    <w:rsid w:val="0067163E"/>
    <w:rsid w:val="00671C85"/>
    <w:rsid w:val="006720EE"/>
    <w:rsid w:val="00677D41"/>
    <w:rsid w:val="0068219F"/>
    <w:rsid w:val="006835F1"/>
    <w:rsid w:val="00683D8C"/>
    <w:rsid w:val="00685797"/>
    <w:rsid w:val="00690DE5"/>
    <w:rsid w:val="006961BE"/>
    <w:rsid w:val="006A01F6"/>
    <w:rsid w:val="006A3543"/>
    <w:rsid w:val="006A7912"/>
    <w:rsid w:val="006B3677"/>
    <w:rsid w:val="006B5389"/>
    <w:rsid w:val="006B7986"/>
    <w:rsid w:val="006C5A02"/>
    <w:rsid w:val="006D2040"/>
    <w:rsid w:val="006D555F"/>
    <w:rsid w:val="006D5705"/>
    <w:rsid w:val="006D60CA"/>
    <w:rsid w:val="006D6C93"/>
    <w:rsid w:val="006E0DB4"/>
    <w:rsid w:val="006E1E19"/>
    <w:rsid w:val="006E5568"/>
    <w:rsid w:val="006F41FF"/>
    <w:rsid w:val="006F5B37"/>
    <w:rsid w:val="006F7BB2"/>
    <w:rsid w:val="007017FA"/>
    <w:rsid w:val="007074EF"/>
    <w:rsid w:val="0071466E"/>
    <w:rsid w:val="00723F22"/>
    <w:rsid w:val="00726975"/>
    <w:rsid w:val="007270AD"/>
    <w:rsid w:val="0073053C"/>
    <w:rsid w:val="00730A92"/>
    <w:rsid w:val="00736F67"/>
    <w:rsid w:val="00737ED3"/>
    <w:rsid w:val="00746FE4"/>
    <w:rsid w:val="00747ECA"/>
    <w:rsid w:val="00750A25"/>
    <w:rsid w:val="00753A8C"/>
    <w:rsid w:val="00754130"/>
    <w:rsid w:val="0075552A"/>
    <w:rsid w:val="007565DE"/>
    <w:rsid w:val="00760C1D"/>
    <w:rsid w:val="00761146"/>
    <w:rsid w:val="007679FB"/>
    <w:rsid w:val="00767D5B"/>
    <w:rsid w:val="0077049E"/>
    <w:rsid w:val="007726AC"/>
    <w:rsid w:val="007773E7"/>
    <w:rsid w:val="007776BF"/>
    <w:rsid w:val="007816BF"/>
    <w:rsid w:val="007818AA"/>
    <w:rsid w:val="00782FF8"/>
    <w:rsid w:val="007837C1"/>
    <w:rsid w:val="0078654A"/>
    <w:rsid w:val="00796897"/>
    <w:rsid w:val="00797F8D"/>
    <w:rsid w:val="007A0C3C"/>
    <w:rsid w:val="007A11D9"/>
    <w:rsid w:val="007A1DA7"/>
    <w:rsid w:val="007A2791"/>
    <w:rsid w:val="007A74D6"/>
    <w:rsid w:val="007C4F07"/>
    <w:rsid w:val="007D1D79"/>
    <w:rsid w:val="007D46A8"/>
    <w:rsid w:val="007D5CF7"/>
    <w:rsid w:val="007E4B1E"/>
    <w:rsid w:val="007F23F8"/>
    <w:rsid w:val="007F5F51"/>
    <w:rsid w:val="007F607D"/>
    <w:rsid w:val="007F63B5"/>
    <w:rsid w:val="007F7451"/>
    <w:rsid w:val="007F7B7F"/>
    <w:rsid w:val="00802B61"/>
    <w:rsid w:val="00804606"/>
    <w:rsid w:val="00805EF4"/>
    <w:rsid w:val="00812CDD"/>
    <w:rsid w:val="00813913"/>
    <w:rsid w:val="008204FF"/>
    <w:rsid w:val="00821FD9"/>
    <w:rsid w:val="0082553E"/>
    <w:rsid w:val="008306B0"/>
    <w:rsid w:val="00830D70"/>
    <w:rsid w:val="00834416"/>
    <w:rsid w:val="00836541"/>
    <w:rsid w:val="008423A8"/>
    <w:rsid w:val="00844344"/>
    <w:rsid w:val="00844D08"/>
    <w:rsid w:val="00847D7E"/>
    <w:rsid w:val="0085255E"/>
    <w:rsid w:val="00853809"/>
    <w:rsid w:val="00862164"/>
    <w:rsid w:val="00864979"/>
    <w:rsid w:val="008672F5"/>
    <w:rsid w:val="00871E63"/>
    <w:rsid w:val="00872BEA"/>
    <w:rsid w:val="0087322A"/>
    <w:rsid w:val="00873BBF"/>
    <w:rsid w:val="008741D5"/>
    <w:rsid w:val="0088126A"/>
    <w:rsid w:val="008854EA"/>
    <w:rsid w:val="008916A7"/>
    <w:rsid w:val="008948AD"/>
    <w:rsid w:val="008A0B49"/>
    <w:rsid w:val="008A6BEB"/>
    <w:rsid w:val="008B09F6"/>
    <w:rsid w:val="008B423B"/>
    <w:rsid w:val="008B760E"/>
    <w:rsid w:val="008C0027"/>
    <w:rsid w:val="008C017E"/>
    <w:rsid w:val="008C0253"/>
    <w:rsid w:val="008C0C4F"/>
    <w:rsid w:val="008C39CA"/>
    <w:rsid w:val="008C6806"/>
    <w:rsid w:val="008C692E"/>
    <w:rsid w:val="008C7AD1"/>
    <w:rsid w:val="008D07E0"/>
    <w:rsid w:val="008D29C1"/>
    <w:rsid w:val="008D3258"/>
    <w:rsid w:val="008D7EFC"/>
    <w:rsid w:val="008D7F09"/>
    <w:rsid w:val="008E271A"/>
    <w:rsid w:val="008E3F8B"/>
    <w:rsid w:val="008E58FA"/>
    <w:rsid w:val="008E617B"/>
    <w:rsid w:val="008F122A"/>
    <w:rsid w:val="008F3C34"/>
    <w:rsid w:val="008F470C"/>
    <w:rsid w:val="008F6ED9"/>
    <w:rsid w:val="008F7DD1"/>
    <w:rsid w:val="0090235A"/>
    <w:rsid w:val="00903D2A"/>
    <w:rsid w:val="009047C6"/>
    <w:rsid w:val="00914862"/>
    <w:rsid w:val="0091538E"/>
    <w:rsid w:val="00915890"/>
    <w:rsid w:val="00917332"/>
    <w:rsid w:val="009215FA"/>
    <w:rsid w:val="00922BE4"/>
    <w:rsid w:val="00924280"/>
    <w:rsid w:val="00926CFA"/>
    <w:rsid w:val="009275AB"/>
    <w:rsid w:val="00927E57"/>
    <w:rsid w:val="00934090"/>
    <w:rsid w:val="009346CD"/>
    <w:rsid w:val="00934B4B"/>
    <w:rsid w:val="009378C2"/>
    <w:rsid w:val="009435E6"/>
    <w:rsid w:val="009456F9"/>
    <w:rsid w:val="00956080"/>
    <w:rsid w:val="00957E7A"/>
    <w:rsid w:val="0096038C"/>
    <w:rsid w:val="009665E7"/>
    <w:rsid w:val="00966E93"/>
    <w:rsid w:val="00976154"/>
    <w:rsid w:val="00976869"/>
    <w:rsid w:val="00976C09"/>
    <w:rsid w:val="0098326E"/>
    <w:rsid w:val="00983531"/>
    <w:rsid w:val="0098391A"/>
    <w:rsid w:val="009879F2"/>
    <w:rsid w:val="00996427"/>
    <w:rsid w:val="00997AD7"/>
    <w:rsid w:val="009A101E"/>
    <w:rsid w:val="009A147A"/>
    <w:rsid w:val="009A1B00"/>
    <w:rsid w:val="009A5DB9"/>
    <w:rsid w:val="009A638F"/>
    <w:rsid w:val="009B0AD6"/>
    <w:rsid w:val="009B0D88"/>
    <w:rsid w:val="009B3269"/>
    <w:rsid w:val="009B340A"/>
    <w:rsid w:val="009B5110"/>
    <w:rsid w:val="009B56D4"/>
    <w:rsid w:val="009B5764"/>
    <w:rsid w:val="009B6EF6"/>
    <w:rsid w:val="009B7BAA"/>
    <w:rsid w:val="009C0D0F"/>
    <w:rsid w:val="009C15DE"/>
    <w:rsid w:val="009C2D68"/>
    <w:rsid w:val="009C65BE"/>
    <w:rsid w:val="009C7E61"/>
    <w:rsid w:val="009D19F0"/>
    <w:rsid w:val="009D4113"/>
    <w:rsid w:val="009D4846"/>
    <w:rsid w:val="009E33EF"/>
    <w:rsid w:val="009E55B5"/>
    <w:rsid w:val="009E5AEB"/>
    <w:rsid w:val="009E6A19"/>
    <w:rsid w:val="009E71A4"/>
    <w:rsid w:val="009E71B8"/>
    <w:rsid w:val="009E76FB"/>
    <w:rsid w:val="009F0CCF"/>
    <w:rsid w:val="009F0DDF"/>
    <w:rsid w:val="009F127B"/>
    <w:rsid w:val="009F2359"/>
    <w:rsid w:val="009F26F8"/>
    <w:rsid w:val="009F2C0E"/>
    <w:rsid w:val="009F2F03"/>
    <w:rsid w:val="009F6E87"/>
    <w:rsid w:val="00A0154C"/>
    <w:rsid w:val="00A01617"/>
    <w:rsid w:val="00A02445"/>
    <w:rsid w:val="00A13E84"/>
    <w:rsid w:val="00A151FC"/>
    <w:rsid w:val="00A16469"/>
    <w:rsid w:val="00A17065"/>
    <w:rsid w:val="00A2088D"/>
    <w:rsid w:val="00A230EC"/>
    <w:rsid w:val="00A231EF"/>
    <w:rsid w:val="00A23AA3"/>
    <w:rsid w:val="00A240D5"/>
    <w:rsid w:val="00A26317"/>
    <w:rsid w:val="00A3105B"/>
    <w:rsid w:val="00A3454C"/>
    <w:rsid w:val="00A346FC"/>
    <w:rsid w:val="00A35F0A"/>
    <w:rsid w:val="00A37FD9"/>
    <w:rsid w:val="00A42877"/>
    <w:rsid w:val="00A444F0"/>
    <w:rsid w:val="00A446A5"/>
    <w:rsid w:val="00A4484F"/>
    <w:rsid w:val="00A4719C"/>
    <w:rsid w:val="00A477A5"/>
    <w:rsid w:val="00A5091B"/>
    <w:rsid w:val="00A5725E"/>
    <w:rsid w:val="00A62B67"/>
    <w:rsid w:val="00A65084"/>
    <w:rsid w:val="00A67371"/>
    <w:rsid w:val="00A70DD0"/>
    <w:rsid w:val="00A710B1"/>
    <w:rsid w:val="00A710DE"/>
    <w:rsid w:val="00A714AB"/>
    <w:rsid w:val="00A71D30"/>
    <w:rsid w:val="00A73562"/>
    <w:rsid w:val="00A76C6C"/>
    <w:rsid w:val="00A76DAF"/>
    <w:rsid w:val="00A77B64"/>
    <w:rsid w:val="00A82FE5"/>
    <w:rsid w:val="00A8734D"/>
    <w:rsid w:val="00A900C4"/>
    <w:rsid w:val="00A9337C"/>
    <w:rsid w:val="00A943FC"/>
    <w:rsid w:val="00A94E54"/>
    <w:rsid w:val="00A955E5"/>
    <w:rsid w:val="00A9612C"/>
    <w:rsid w:val="00A96695"/>
    <w:rsid w:val="00A979DA"/>
    <w:rsid w:val="00AA10AE"/>
    <w:rsid w:val="00AA4258"/>
    <w:rsid w:val="00AA5A37"/>
    <w:rsid w:val="00AA6183"/>
    <w:rsid w:val="00AA6587"/>
    <w:rsid w:val="00AB27D9"/>
    <w:rsid w:val="00AB2C8C"/>
    <w:rsid w:val="00AB2FFF"/>
    <w:rsid w:val="00AB35D7"/>
    <w:rsid w:val="00AB3C9D"/>
    <w:rsid w:val="00AB4307"/>
    <w:rsid w:val="00AB4497"/>
    <w:rsid w:val="00AC4301"/>
    <w:rsid w:val="00AD4ADF"/>
    <w:rsid w:val="00AD5BA5"/>
    <w:rsid w:val="00AD65BC"/>
    <w:rsid w:val="00AD7512"/>
    <w:rsid w:val="00AE0E65"/>
    <w:rsid w:val="00AE1F7B"/>
    <w:rsid w:val="00AE432A"/>
    <w:rsid w:val="00AE7DBE"/>
    <w:rsid w:val="00AF0A9F"/>
    <w:rsid w:val="00AF3ED8"/>
    <w:rsid w:val="00AF4624"/>
    <w:rsid w:val="00AF4A34"/>
    <w:rsid w:val="00AF6CB5"/>
    <w:rsid w:val="00AF7013"/>
    <w:rsid w:val="00AF7ECD"/>
    <w:rsid w:val="00B016DA"/>
    <w:rsid w:val="00B10694"/>
    <w:rsid w:val="00B20B66"/>
    <w:rsid w:val="00B25FF6"/>
    <w:rsid w:val="00B30655"/>
    <w:rsid w:val="00B3260B"/>
    <w:rsid w:val="00B421D6"/>
    <w:rsid w:val="00B43C96"/>
    <w:rsid w:val="00B47181"/>
    <w:rsid w:val="00B50040"/>
    <w:rsid w:val="00B50FFE"/>
    <w:rsid w:val="00B51F70"/>
    <w:rsid w:val="00B53F5E"/>
    <w:rsid w:val="00B56CFF"/>
    <w:rsid w:val="00B62987"/>
    <w:rsid w:val="00B64437"/>
    <w:rsid w:val="00B65735"/>
    <w:rsid w:val="00B65D94"/>
    <w:rsid w:val="00B66965"/>
    <w:rsid w:val="00B67ACF"/>
    <w:rsid w:val="00B67BD8"/>
    <w:rsid w:val="00B715DE"/>
    <w:rsid w:val="00B71933"/>
    <w:rsid w:val="00B726F5"/>
    <w:rsid w:val="00B73254"/>
    <w:rsid w:val="00B74924"/>
    <w:rsid w:val="00B75DD9"/>
    <w:rsid w:val="00B7758C"/>
    <w:rsid w:val="00B80AF7"/>
    <w:rsid w:val="00B81211"/>
    <w:rsid w:val="00B8177D"/>
    <w:rsid w:val="00B8348F"/>
    <w:rsid w:val="00B85F8D"/>
    <w:rsid w:val="00B9098F"/>
    <w:rsid w:val="00B91314"/>
    <w:rsid w:val="00B915CF"/>
    <w:rsid w:val="00B93341"/>
    <w:rsid w:val="00B9335F"/>
    <w:rsid w:val="00B93B44"/>
    <w:rsid w:val="00B94987"/>
    <w:rsid w:val="00B9535C"/>
    <w:rsid w:val="00B955CE"/>
    <w:rsid w:val="00BA0148"/>
    <w:rsid w:val="00BA01E9"/>
    <w:rsid w:val="00BA0255"/>
    <w:rsid w:val="00BA2DDF"/>
    <w:rsid w:val="00BA2FF8"/>
    <w:rsid w:val="00BA43F8"/>
    <w:rsid w:val="00BA79D1"/>
    <w:rsid w:val="00BB6E9E"/>
    <w:rsid w:val="00BC2423"/>
    <w:rsid w:val="00BC38E2"/>
    <w:rsid w:val="00BC7526"/>
    <w:rsid w:val="00BD0168"/>
    <w:rsid w:val="00BD0E00"/>
    <w:rsid w:val="00BD0E0C"/>
    <w:rsid w:val="00BD1B7F"/>
    <w:rsid w:val="00BD6317"/>
    <w:rsid w:val="00BD6C2D"/>
    <w:rsid w:val="00BE1445"/>
    <w:rsid w:val="00BE1554"/>
    <w:rsid w:val="00BE18F9"/>
    <w:rsid w:val="00BE2B83"/>
    <w:rsid w:val="00BE32A7"/>
    <w:rsid w:val="00BE3583"/>
    <w:rsid w:val="00BE55C0"/>
    <w:rsid w:val="00BE7BD0"/>
    <w:rsid w:val="00BF3C2C"/>
    <w:rsid w:val="00C007EB"/>
    <w:rsid w:val="00C01D93"/>
    <w:rsid w:val="00C052F3"/>
    <w:rsid w:val="00C11900"/>
    <w:rsid w:val="00C123B9"/>
    <w:rsid w:val="00C12468"/>
    <w:rsid w:val="00C23908"/>
    <w:rsid w:val="00C260B6"/>
    <w:rsid w:val="00C30BDE"/>
    <w:rsid w:val="00C31428"/>
    <w:rsid w:val="00C34334"/>
    <w:rsid w:val="00C34522"/>
    <w:rsid w:val="00C41276"/>
    <w:rsid w:val="00C4284E"/>
    <w:rsid w:val="00C5234F"/>
    <w:rsid w:val="00C52EFD"/>
    <w:rsid w:val="00C572EE"/>
    <w:rsid w:val="00C579EA"/>
    <w:rsid w:val="00C6089C"/>
    <w:rsid w:val="00C60B5A"/>
    <w:rsid w:val="00C61ECC"/>
    <w:rsid w:val="00C628E4"/>
    <w:rsid w:val="00C65A55"/>
    <w:rsid w:val="00C678D2"/>
    <w:rsid w:val="00C70CF4"/>
    <w:rsid w:val="00C70F4F"/>
    <w:rsid w:val="00C74AAD"/>
    <w:rsid w:val="00C752E3"/>
    <w:rsid w:val="00C773DF"/>
    <w:rsid w:val="00C828A0"/>
    <w:rsid w:val="00C8482F"/>
    <w:rsid w:val="00CA0100"/>
    <w:rsid w:val="00CA4527"/>
    <w:rsid w:val="00CA682E"/>
    <w:rsid w:val="00CB09A5"/>
    <w:rsid w:val="00CB1CD2"/>
    <w:rsid w:val="00CB2FA9"/>
    <w:rsid w:val="00CB3D68"/>
    <w:rsid w:val="00CB524C"/>
    <w:rsid w:val="00CB677E"/>
    <w:rsid w:val="00CC1ACE"/>
    <w:rsid w:val="00CC21EB"/>
    <w:rsid w:val="00CC2CD5"/>
    <w:rsid w:val="00CC3C67"/>
    <w:rsid w:val="00CC47D8"/>
    <w:rsid w:val="00CD3B3D"/>
    <w:rsid w:val="00CD5572"/>
    <w:rsid w:val="00CD636F"/>
    <w:rsid w:val="00CE1F94"/>
    <w:rsid w:val="00CE336C"/>
    <w:rsid w:val="00CE6E76"/>
    <w:rsid w:val="00CF3334"/>
    <w:rsid w:val="00CF3616"/>
    <w:rsid w:val="00CF535D"/>
    <w:rsid w:val="00CF5EB6"/>
    <w:rsid w:val="00CF7175"/>
    <w:rsid w:val="00D03E00"/>
    <w:rsid w:val="00D048E9"/>
    <w:rsid w:val="00D131EA"/>
    <w:rsid w:val="00D139A4"/>
    <w:rsid w:val="00D203BF"/>
    <w:rsid w:val="00D20ECC"/>
    <w:rsid w:val="00D23118"/>
    <w:rsid w:val="00D231A9"/>
    <w:rsid w:val="00D24C66"/>
    <w:rsid w:val="00D26136"/>
    <w:rsid w:val="00D27805"/>
    <w:rsid w:val="00D3310F"/>
    <w:rsid w:val="00D34EFB"/>
    <w:rsid w:val="00D43C0A"/>
    <w:rsid w:val="00D45D73"/>
    <w:rsid w:val="00D46F08"/>
    <w:rsid w:val="00D50793"/>
    <w:rsid w:val="00D528F4"/>
    <w:rsid w:val="00D57174"/>
    <w:rsid w:val="00D573CE"/>
    <w:rsid w:val="00D63121"/>
    <w:rsid w:val="00D6727C"/>
    <w:rsid w:val="00D70511"/>
    <w:rsid w:val="00D7560E"/>
    <w:rsid w:val="00D763AC"/>
    <w:rsid w:val="00D7658C"/>
    <w:rsid w:val="00D81C50"/>
    <w:rsid w:val="00D830B0"/>
    <w:rsid w:val="00D83D5F"/>
    <w:rsid w:val="00D87089"/>
    <w:rsid w:val="00D92DB7"/>
    <w:rsid w:val="00D93CBD"/>
    <w:rsid w:val="00D93F5C"/>
    <w:rsid w:val="00D951A6"/>
    <w:rsid w:val="00D974B0"/>
    <w:rsid w:val="00DA00FC"/>
    <w:rsid w:val="00DA061D"/>
    <w:rsid w:val="00DA1C40"/>
    <w:rsid w:val="00DA2104"/>
    <w:rsid w:val="00DA4B65"/>
    <w:rsid w:val="00DA67CD"/>
    <w:rsid w:val="00DA6CDA"/>
    <w:rsid w:val="00DB08A9"/>
    <w:rsid w:val="00DB4459"/>
    <w:rsid w:val="00DB486E"/>
    <w:rsid w:val="00DB749E"/>
    <w:rsid w:val="00DB756E"/>
    <w:rsid w:val="00DB7680"/>
    <w:rsid w:val="00DC3D48"/>
    <w:rsid w:val="00DC515F"/>
    <w:rsid w:val="00DC542B"/>
    <w:rsid w:val="00DC5659"/>
    <w:rsid w:val="00DC7280"/>
    <w:rsid w:val="00DC73BE"/>
    <w:rsid w:val="00DD427C"/>
    <w:rsid w:val="00DD77AA"/>
    <w:rsid w:val="00DE0244"/>
    <w:rsid w:val="00DE3571"/>
    <w:rsid w:val="00DE438C"/>
    <w:rsid w:val="00DE7DB2"/>
    <w:rsid w:val="00DE7DC0"/>
    <w:rsid w:val="00DF12E7"/>
    <w:rsid w:val="00DF21BC"/>
    <w:rsid w:val="00DF2A75"/>
    <w:rsid w:val="00DF779A"/>
    <w:rsid w:val="00E00F64"/>
    <w:rsid w:val="00E011FF"/>
    <w:rsid w:val="00E019E6"/>
    <w:rsid w:val="00E06DED"/>
    <w:rsid w:val="00E156E4"/>
    <w:rsid w:val="00E15B20"/>
    <w:rsid w:val="00E17448"/>
    <w:rsid w:val="00E2015E"/>
    <w:rsid w:val="00E249EA"/>
    <w:rsid w:val="00E2767A"/>
    <w:rsid w:val="00E30A89"/>
    <w:rsid w:val="00E3139B"/>
    <w:rsid w:val="00E31CBE"/>
    <w:rsid w:val="00E337CA"/>
    <w:rsid w:val="00E33850"/>
    <w:rsid w:val="00E40A64"/>
    <w:rsid w:val="00E43AB5"/>
    <w:rsid w:val="00E4575A"/>
    <w:rsid w:val="00E45AA0"/>
    <w:rsid w:val="00E462AE"/>
    <w:rsid w:val="00E46C8D"/>
    <w:rsid w:val="00E53FD6"/>
    <w:rsid w:val="00E54BD9"/>
    <w:rsid w:val="00E55819"/>
    <w:rsid w:val="00E65043"/>
    <w:rsid w:val="00E6556E"/>
    <w:rsid w:val="00E66E6B"/>
    <w:rsid w:val="00E67340"/>
    <w:rsid w:val="00E73186"/>
    <w:rsid w:val="00E73EF6"/>
    <w:rsid w:val="00E7615A"/>
    <w:rsid w:val="00E8161D"/>
    <w:rsid w:val="00E81B63"/>
    <w:rsid w:val="00E82120"/>
    <w:rsid w:val="00E824FD"/>
    <w:rsid w:val="00E8347A"/>
    <w:rsid w:val="00E838B2"/>
    <w:rsid w:val="00E8482A"/>
    <w:rsid w:val="00E8487B"/>
    <w:rsid w:val="00E85A78"/>
    <w:rsid w:val="00E916F4"/>
    <w:rsid w:val="00E936DA"/>
    <w:rsid w:val="00E95828"/>
    <w:rsid w:val="00E95D78"/>
    <w:rsid w:val="00E974D6"/>
    <w:rsid w:val="00EA10A3"/>
    <w:rsid w:val="00EA3C0F"/>
    <w:rsid w:val="00EA4FBF"/>
    <w:rsid w:val="00EB0F24"/>
    <w:rsid w:val="00EB1D82"/>
    <w:rsid w:val="00EB283E"/>
    <w:rsid w:val="00EB5290"/>
    <w:rsid w:val="00EB61A5"/>
    <w:rsid w:val="00EC0117"/>
    <w:rsid w:val="00EC01A8"/>
    <w:rsid w:val="00EC0F54"/>
    <w:rsid w:val="00EC6C3B"/>
    <w:rsid w:val="00ED058B"/>
    <w:rsid w:val="00ED1BD0"/>
    <w:rsid w:val="00ED1EA9"/>
    <w:rsid w:val="00ED2BA6"/>
    <w:rsid w:val="00ED2F3F"/>
    <w:rsid w:val="00EE0D34"/>
    <w:rsid w:val="00EE1553"/>
    <w:rsid w:val="00EE2D00"/>
    <w:rsid w:val="00EE53F1"/>
    <w:rsid w:val="00EF0E67"/>
    <w:rsid w:val="00EF1782"/>
    <w:rsid w:val="00EF22D1"/>
    <w:rsid w:val="00EF5CC6"/>
    <w:rsid w:val="00EF6203"/>
    <w:rsid w:val="00EF6611"/>
    <w:rsid w:val="00EF67CD"/>
    <w:rsid w:val="00EF7310"/>
    <w:rsid w:val="00EF78AE"/>
    <w:rsid w:val="00F035D9"/>
    <w:rsid w:val="00F048C8"/>
    <w:rsid w:val="00F05F1F"/>
    <w:rsid w:val="00F12DDA"/>
    <w:rsid w:val="00F14C35"/>
    <w:rsid w:val="00F16B99"/>
    <w:rsid w:val="00F2157B"/>
    <w:rsid w:val="00F24C4C"/>
    <w:rsid w:val="00F3000B"/>
    <w:rsid w:val="00F31C0F"/>
    <w:rsid w:val="00F32BC2"/>
    <w:rsid w:val="00F422A7"/>
    <w:rsid w:val="00F4293C"/>
    <w:rsid w:val="00F437E4"/>
    <w:rsid w:val="00F520F0"/>
    <w:rsid w:val="00F54EBA"/>
    <w:rsid w:val="00F65CE1"/>
    <w:rsid w:val="00F65F0A"/>
    <w:rsid w:val="00F668FF"/>
    <w:rsid w:val="00F67C45"/>
    <w:rsid w:val="00F76062"/>
    <w:rsid w:val="00F83325"/>
    <w:rsid w:val="00F83E9F"/>
    <w:rsid w:val="00F9276A"/>
    <w:rsid w:val="00F94149"/>
    <w:rsid w:val="00F9628C"/>
    <w:rsid w:val="00FA0808"/>
    <w:rsid w:val="00FA374B"/>
    <w:rsid w:val="00FA50E3"/>
    <w:rsid w:val="00FA732F"/>
    <w:rsid w:val="00FB05C1"/>
    <w:rsid w:val="00FB0EAE"/>
    <w:rsid w:val="00FB7AA2"/>
    <w:rsid w:val="00FC2FA8"/>
    <w:rsid w:val="00FC58B9"/>
    <w:rsid w:val="00FC5DE9"/>
    <w:rsid w:val="00FD277D"/>
    <w:rsid w:val="00FD382A"/>
    <w:rsid w:val="00FD4C50"/>
    <w:rsid w:val="00FD702E"/>
    <w:rsid w:val="00FD7BC5"/>
    <w:rsid w:val="00FE51E4"/>
    <w:rsid w:val="00FF1C69"/>
    <w:rsid w:val="00FF48DD"/>
    <w:rsid w:val="00FF5ABE"/>
  </w:rsids>
  <m:mathPr>
    <m:mathFont m:val="Cambria Math"/>
    <m:brkBin m:val="before"/>
    <m:brkBinSub m:val="--"/>
    <m:smallFrac m:val="0"/>
    <m:dispDef/>
    <m:lMargin m:val="0"/>
    <m:rMargin m:val="0"/>
    <m:defJc m:val="centerGroup"/>
    <m:wrapIndent m:val="1440"/>
    <m:intLim m:val="subSup"/>
    <m:naryLim m:val="undOvr"/>
  </m:mathPr>
  <w:themeFontLang w:val="de-DE" w:eastAsia="de-DE"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51227A0"/>
  <w15:docId w15:val="{0A6258BE-AF90-294D-BCE6-9B8C3DD64F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imes New Roman" w:cs="Times New Roman"/>
        <w:sz w:val="22"/>
        <w:szCs w:val="22"/>
        <w:lang w:val="de-DE" w:eastAsia="de-D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qFormat/>
    <w:rsid w:val="008948AD"/>
    <w:pPr>
      <w:keepNext/>
      <w:spacing w:after="0" w:line="360" w:lineRule="auto"/>
      <w:outlineLvl w:val="0"/>
    </w:pPr>
    <w:rPr>
      <w:rFonts w:ascii="Arial" w:hAnsi="Arial" w:cs="Arial"/>
      <w:b/>
      <w:bCs/>
      <w:noProof/>
      <w:sz w:val="28"/>
      <w:szCs w:val="24"/>
      <w:lang w:val="en-GB" w:eastAsia="en-US"/>
    </w:rPr>
  </w:style>
  <w:style w:type="paragraph" w:styleId="Heading2">
    <w:name w:val="heading 2"/>
    <w:basedOn w:val="Normal"/>
    <w:next w:val="Normal"/>
    <w:link w:val="Heading2Char"/>
    <w:uiPriority w:val="9"/>
    <w:semiHidden/>
    <w:unhideWhenUsed/>
    <w:qFormat/>
    <w:rsid w:val="008948AD"/>
    <w:pPr>
      <w:keepNext/>
      <w:keepLines/>
      <w:spacing w:before="200" w:after="0"/>
      <w:outlineLvl w:val="1"/>
    </w:pPr>
    <w:rPr>
      <w:rFonts w:asciiTheme="majorHAnsi" w:eastAsiaTheme="majorEastAsia" w:hAnsiTheme="majorHAnsi" w:cstheme="majorBidi"/>
      <w:b/>
      <w:bCs/>
      <w:color w:val="4472C4"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basedOn w:val="Normal"/>
    <w:rsid w:val="00BE3583"/>
    <w:pPr>
      <w:autoSpaceDE w:val="0"/>
      <w:autoSpaceDN w:val="0"/>
      <w:spacing w:after="0" w:line="240" w:lineRule="auto"/>
    </w:pPr>
    <w:rPr>
      <w:rFonts w:ascii="Arial" w:eastAsiaTheme="minorHAnsi" w:hAnsi="Arial" w:cs="Arial"/>
      <w:color w:val="000000"/>
      <w:sz w:val="24"/>
      <w:szCs w:val="24"/>
    </w:rPr>
  </w:style>
  <w:style w:type="paragraph" w:customStyle="1" w:styleId="Standard1">
    <w:name w:val="Standard1"/>
    <w:rsid w:val="00247BD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s>
      <w:spacing w:after="0" w:line="360" w:lineRule="auto"/>
      <w:jc w:val="both"/>
    </w:pPr>
    <w:rPr>
      <w:rFonts w:ascii="Arial" w:eastAsia="ヒラギノ角ゴ Pro W3" w:hAnsi="Arial"/>
      <w:color w:val="000000"/>
      <w:sz w:val="24"/>
      <w:szCs w:val="20"/>
      <w:lang w:val="en-US"/>
    </w:rPr>
  </w:style>
  <w:style w:type="paragraph" w:styleId="Header">
    <w:name w:val="header"/>
    <w:basedOn w:val="Normal"/>
    <w:link w:val="HeaderChar"/>
    <w:uiPriority w:val="99"/>
    <w:unhideWhenUsed/>
    <w:rsid w:val="00BD0168"/>
    <w:pPr>
      <w:tabs>
        <w:tab w:val="center" w:pos="4536"/>
        <w:tab w:val="right" w:pos="9072"/>
      </w:tabs>
      <w:spacing w:after="0" w:line="240" w:lineRule="auto"/>
    </w:pPr>
  </w:style>
  <w:style w:type="character" w:customStyle="1" w:styleId="HeaderChar">
    <w:name w:val="Header Char"/>
    <w:basedOn w:val="DefaultParagraphFont"/>
    <w:link w:val="Header"/>
    <w:uiPriority w:val="99"/>
    <w:rsid w:val="00BD0168"/>
  </w:style>
  <w:style w:type="paragraph" w:styleId="Footer">
    <w:name w:val="footer"/>
    <w:basedOn w:val="Normal"/>
    <w:link w:val="FooterChar"/>
    <w:uiPriority w:val="99"/>
    <w:unhideWhenUsed/>
    <w:rsid w:val="00BD0168"/>
    <w:pPr>
      <w:tabs>
        <w:tab w:val="center" w:pos="4536"/>
        <w:tab w:val="right" w:pos="9072"/>
      </w:tabs>
      <w:spacing w:after="0" w:line="240" w:lineRule="auto"/>
    </w:pPr>
  </w:style>
  <w:style w:type="character" w:customStyle="1" w:styleId="FooterChar">
    <w:name w:val="Footer Char"/>
    <w:basedOn w:val="DefaultParagraphFont"/>
    <w:link w:val="Footer"/>
    <w:uiPriority w:val="99"/>
    <w:rsid w:val="00BD0168"/>
  </w:style>
  <w:style w:type="paragraph" w:styleId="BalloonText">
    <w:name w:val="Balloon Text"/>
    <w:basedOn w:val="Normal"/>
    <w:link w:val="BalloonTextChar"/>
    <w:uiPriority w:val="99"/>
    <w:semiHidden/>
    <w:unhideWhenUsed/>
    <w:rsid w:val="00543AC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43AC9"/>
    <w:rPr>
      <w:rFonts w:ascii="Tahoma" w:hAnsi="Tahoma" w:cs="Tahoma"/>
      <w:sz w:val="16"/>
      <w:szCs w:val="16"/>
    </w:rPr>
  </w:style>
  <w:style w:type="paragraph" w:styleId="NormalWeb">
    <w:name w:val="Normal (Web)"/>
    <w:basedOn w:val="Normal"/>
    <w:uiPriority w:val="99"/>
    <w:semiHidden/>
    <w:unhideWhenUsed/>
    <w:rsid w:val="00543AC9"/>
    <w:pPr>
      <w:spacing w:before="100" w:beforeAutospacing="1" w:after="100" w:afterAutospacing="1" w:line="240" w:lineRule="auto"/>
    </w:pPr>
    <w:rPr>
      <w:rFonts w:ascii="Times New Roman" w:eastAsiaTheme="minorEastAsia"/>
      <w:sz w:val="24"/>
      <w:szCs w:val="24"/>
    </w:rPr>
  </w:style>
  <w:style w:type="character" w:customStyle="1" w:styleId="Heading1Char">
    <w:name w:val="Heading 1 Char"/>
    <w:basedOn w:val="DefaultParagraphFont"/>
    <w:link w:val="Heading1"/>
    <w:rsid w:val="008948AD"/>
    <w:rPr>
      <w:rFonts w:ascii="Arial" w:hAnsi="Arial" w:cs="Arial"/>
      <w:b/>
      <w:bCs/>
      <w:noProof/>
      <w:sz w:val="28"/>
      <w:szCs w:val="24"/>
      <w:lang w:val="en-GB" w:eastAsia="en-US"/>
    </w:rPr>
  </w:style>
  <w:style w:type="paragraph" w:styleId="BodyText">
    <w:name w:val="Body Text"/>
    <w:basedOn w:val="Normal"/>
    <w:link w:val="BodyTextChar"/>
    <w:semiHidden/>
    <w:rsid w:val="008948AD"/>
    <w:pPr>
      <w:spacing w:after="0" w:line="240" w:lineRule="auto"/>
    </w:pPr>
    <w:rPr>
      <w:rFonts w:ascii="Arial" w:hAnsi="Arial" w:cs="Arial"/>
      <w:b/>
      <w:bCs/>
      <w:noProof/>
      <w:sz w:val="24"/>
      <w:szCs w:val="24"/>
      <w:lang w:val="en-GB" w:eastAsia="en-US"/>
    </w:rPr>
  </w:style>
  <w:style w:type="character" w:customStyle="1" w:styleId="BodyTextChar">
    <w:name w:val="Body Text Char"/>
    <w:basedOn w:val="DefaultParagraphFont"/>
    <w:link w:val="BodyText"/>
    <w:semiHidden/>
    <w:rsid w:val="008948AD"/>
    <w:rPr>
      <w:rFonts w:ascii="Arial" w:hAnsi="Arial" w:cs="Arial"/>
      <w:b/>
      <w:bCs/>
      <w:noProof/>
      <w:sz w:val="24"/>
      <w:szCs w:val="24"/>
      <w:lang w:val="en-GB" w:eastAsia="en-US"/>
    </w:rPr>
  </w:style>
  <w:style w:type="character" w:customStyle="1" w:styleId="Heading2Char">
    <w:name w:val="Heading 2 Char"/>
    <w:basedOn w:val="DefaultParagraphFont"/>
    <w:link w:val="Heading2"/>
    <w:uiPriority w:val="9"/>
    <w:semiHidden/>
    <w:rsid w:val="008948AD"/>
    <w:rPr>
      <w:rFonts w:asciiTheme="majorHAnsi" w:eastAsiaTheme="majorEastAsia" w:hAnsiTheme="majorHAnsi" w:cstheme="majorBidi"/>
      <w:b/>
      <w:bCs/>
      <w:color w:val="4472C4" w:themeColor="accent1"/>
      <w:sz w:val="26"/>
      <w:szCs w:val="26"/>
    </w:rPr>
  </w:style>
  <w:style w:type="character" w:styleId="CommentReference">
    <w:name w:val="annotation reference"/>
    <w:basedOn w:val="DefaultParagraphFont"/>
    <w:uiPriority w:val="99"/>
    <w:semiHidden/>
    <w:unhideWhenUsed/>
    <w:rsid w:val="00E936DA"/>
    <w:rPr>
      <w:sz w:val="16"/>
      <w:szCs w:val="16"/>
    </w:rPr>
  </w:style>
  <w:style w:type="paragraph" w:styleId="CommentText">
    <w:name w:val="annotation text"/>
    <w:basedOn w:val="Normal"/>
    <w:link w:val="CommentTextChar"/>
    <w:uiPriority w:val="99"/>
    <w:unhideWhenUsed/>
    <w:qFormat/>
    <w:rsid w:val="00E936DA"/>
    <w:pPr>
      <w:spacing w:line="240" w:lineRule="auto"/>
    </w:pPr>
    <w:rPr>
      <w:sz w:val="20"/>
      <w:szCs w:val="20"/>
    </w:rPr>
  </w:style>
  <w:style w:type="character" w:customStyle="1" w:styleId="CommentTextChar">
    <w:name w:val="Comment Text Char"/>
    <w:basedOn w:val="DefaultParagraphFont"/>
    <w:link w:val="CommentText"/>
    <w:uiPriority w:val="99"/>
    <w:qFormat/>
    <w:rsid w:val="00E936DA"/>
    <w:rPr>
      <w:sz w:val="20"/>
      <w:szCs w:val="20"/>
    </w:rPr>
  </w:style>
  <w:style w:type="paragraph" w:styleId="CommentSubject">
    <w:name w:val="annotation subject"/>
    <w:basedOn w:val="CommentText"/>
    <w:next w:val="CommentText"/>
    <w:link w:val="CommentSubjectChar"/>
    <w:uiPriority w:val="99"/>
    <w:semiHidden/>
    <w:unhideWhenUsed/>
    <w:rsid w:val="00E936DA"/>
    <w:rPr>
      <w:b/>
      <w:bCs/>
    </w:rPr>
  </w:style>
  <w:style w:type="character" w:customStyle="1" w:styleId="CommentSubjectChar">
    <w:name w:val="Comment Subject Char"/>
    <w:basedOn w:val="CommentTextChar"/>
    <w:link w:val="CommentSubject"/>
    <w:uiPriority w:val="99"/>
    <w:semiHidden/>
    <w:rsid w:val="00E936DA"/>
    <w:rPr>
      <w:b/>
      <w:bCs/>
      <w:sz w:val="20"/>
      <w:szCs w:val="20"/>
    </w:rPr>
  </w:style>
  <w:style w:type="table" w:styleId="TableGrid">
    <w:name w:val="Table Grid"/>
    <w:basedOn w:val="TableNormal"/>
    <w:uiPriority w:val="59"/>
    <w:rsid w:val="00934B4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70CF4"/>
    <w:rPr>
      <w:color w:val="0563C1" w:themeColor="hyperlink"/>
      <w:u w:val="single"/>
    </w:rPr>
  </w:style>
  <w:style w:type="paragraph" w:styleId="Revision">
    <w:name w:val="Revision"/>
    <w:hidden/>
    <w:uiPriority w:val="99"/>
    <w:semiHidden/>
    <w:rsid w:val="007270AD"/>
    <w:pPr>
      <w:spacing w:after="0" w:line="240" w:lineRule="auto"/>
    </w:pPr>
  </w:style>
  <w:style w:type="character" w:styleId="FollowedHyperlink">
    <w:name w:val="FollowedHyperlink"/>
    <w:basedOn w:val="DefaultParagraphFont"/>
    <w:uiPriority w:val="99"/>
    <w:semiHidden/>
    <w:unhideWhenUsed/>
    <w:rsid w:val="00217102"/>
    <w:rPr>
      <w:color w:val="954F72" w:themeColor="followedHyperlink"/>
      <w:u w:val="single"/>
    </w:rPr>
  </w:style>
  <w:style w:type="paragraph" w:styleId="ListParagraph">
    <w:name w:val="List Paragraph"/>
    <w:basedOn w:val="Normal"/>
    <w:uiPriority w:val="34"/>
    <w:qFormat/>
    <w:rsid w:val="00E33850"/>
    <w:pPr>
      <w:ind w:left="720"/>
      <w:contextualSpacing/>
    </w:pPr>
  </w:style>
  <w:style w:type="character" w:customStyle="1" w:styleId="NichtaufgelsteErwhnung1">
    <w:name w:val="Nicht aufgelöste Erwähnung1"/>
    <w:basedOn w:val="DefaultParagraphFont"/>
    <w:uiPriority w:val="99"/>
    <w:semiHidden/>
    <w:unhideWhenUsed/>
    <w:rsid w:val="00B7758C"/>
    <w:rPr>
      <w:color w:val="808080"/>
      <w:shd w:val="clear" w:color="auto" w:fill="E6E6E6"/>
    </w:rPr>
  </w:style>
  <w:style w:type="character" w:styleId="LineNumber">
    <w:name w:val="line number"/>
    <w:basedOn w:val="DefaultParagraphFont"/>
    <w:uiPriority w:val="99"/>
    <w:semiHidden/>
    <w:unhideWhenUsed/>
    <w:rsid w:val="00805EF4"/>
  </w:style>
  <w:style w:type="character" w:customStyle="1" w:styleId="NichtaufgelsteErwhnung2">
    <w:name w:val="Nicht aufgelöste Erwähnung2"/>
    <w:basedOn w:val="DefaultParagraphFont"/>
    <w:uiPriority w:val="99"/>
    <w:semiHidden/>
    <w:unhideWhenUsed/>
    <w:rsid w:val="00114D6B"/>
    <w:rPr>
      <w:color w:val="605E5C"/>
      <w:shd w:val="clear" w:color="auto" w:fill="E1DFDD"/>
    </w:rPr>
  </w:style>
  <w:style w:type="character" w:customStyle="1" w:styleId="UnresolvedMention1">
    <w:name w:val="Unresolved Mention1"/>
    <w:basedOn w:val="DefaultParagraphFont"/>
    <w:uiPriority w:val="99"/>
    <w:semiHidden/>
    <w:unhideWhenUsed/>
    <w:rsid w:val="00A231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63538516">
      <w:bodyDiv w:val="1"/>
      <w:marLeft w:val="0"/>
      <w:marRight w:val="0"/>
      <w:marTop w:val="0"/>
      <w:marBottom w:val="0"/>
      <w:divBdr>
        <w:top w:val="none" w:sz="0" w:space="0" w:color="auto"/>
        <w:left w:val="none" w:sz="0" w:space="0" w:color="auto"/>
        <w:bottom w:val="none" w:sz="0" w:space="0" w:color="auto"/>
        <w:right w:val="none" w:sz="0" w:space="0" w:color="auto"/>
      </w:divBdr>
    </w:div>
    <w:div w:id="1462578251">
      <w:bodyDiv w:val="1"/>
      <w:marLeft w:val="0"/>
      <w:marRight w:val="0"/>
      <w:marTop w:val="0"/>
      <w:marBottom w:val="0"/>
      <w:divBdr>
        <w:top w:val="none" w:sz="0" w:space="0" w:color="auto"/>
        <w:left w:val="none" w:sz="0" w:space="0" w:color="auto"/>
        <w:bottom w:val="none" w:sz="0" w:space="0" w:color="auto"/>
        <w:right w:val="none" w:sz="0" w:space="0" w:color="auto"/>
      </w:divBdr>
    </w:div>
    <w:div w:id="1555046468">
      <w:bodyDiv w:val="1"/>
      <w:marLeft w:val="0"/>
      <w:marRight w:val="0"/>
      <w:marTop w:val="0"/>
      <w:marBottom w:val="0"/>
      <w:divBdr>
        <w:top w:val="none" w:sz="0" w:space="0" w:color="auto"/>
        <w:left w:val="none" w:sz="0" w:space="0" w:color="auto"/>
        <w:bottom w:val="none" w:sz="0" w:space="0" w:color="auto"/>
        <w:right w:val="none" w:sz="0" w:space="0" w:color="auto"/>
      </w:divBdr>
      <w:divsChild>
        <w:div w:id="1536043489">
          <w:marLeft w:val="0"/>
          <w:marRight w:val="0"/>
          <w:marTop w:val="0"/>
          <w:marBottom w:val="0"/>
          <w:divBdr>
            <w:top w:val="none" w:sz="0" w:space="0" w:color="auto"/>
            <w:left w:val="none" w:sz="0" w:space="0" w:color="auto"/>
            <w:bottom w:val="none" w:sz="0" w:space="0" w:color="auto"/>
            <w:right w:val="none" w:sz="0" w:space="0" w:color="auto"/>
          </w:divBdr>
        </w:div>
        <w:div w:id="729235620">
          <w:marLeft w:val="0"/>
          <w:marRight w:val="0"/>
          <w:marTop w:val="0"/>
          <w:marBottom w:val="0"/>
          <w:divBdr>
            <w:top w:val="none" w:sz="0" w:space="0" w:color="auto"/>
            <w:left w:val="none" w:sz="0" w:space="0" w:color="auto"/>
            <w:bottom w:val="none" w:sz="0" w:space="0" w:color="auto"/>
            <w:right w:val="none" w:sz="0" w:space="0" w:color="auto"/>
          </w:divBdr>
        </w:div>
      </w:divsChild>
    </w:div>
    <w:div w:id="1724059051">
      <w:bodyDiv w:val="1"/>
      <w:marLeft w:val="0"/>
      <w:marRight w:val="0"/>
      <w:marTop w:val="0"/>
      <w:marBottom w:val="0"/>
      <w:divBdr>
        <w:top w:val="none" w:sz="0" w:space="0" w:color="auto"/>
        <w:left w:val="none" w:sz="0" w:space="0" w:color="auto"/>
        <w:bottom w:val="none" w:sz="0" w:space="0" w:color="auto"/>
        <w:right w:val="none" w:sz="0" w:space="0" w:color="auto"/>
      </w:divBdr>
      <w:divsChild>
        <w:div w:id="294067249">
          <w:marLeft w:val="0"/>
          <w:marRight w:val="0"/>
          <w:marTop w:val="0"/>
          <w:marBottom w:val="0"/>
          <w:divBdr>
            <w:top w:val="none" w:sz="0" w:space="0" w:color="auto"/>
            <w:left w:val="none" w:sz="0" w:space="0" w:color="auto"/>
            <w:bottom w:val="none" w:sz="0" w:space="0" w:color="auto"/>
            <w:right w:val="none" w:sz="0" w:space="0" w:color="auto"/>
          </w:divBdr>
          <w:divsChild>
            <w:div w:id="1536693340">
              <w:marLeft w:val="0"/>
              <w:marRight w:val="0"/>
              <w:marTop w:val="0"/>
              <w:marBottom w:val="0"/>
              <w:divBdr>
                <w:top w:val="none" w:sz="0" w:space="0" w:color="auto"/>
                <w:left w:val="none" w:sz="0" w:space="0" w:color="auto"/>
                <w:bottom w:val="none" w:sz="0" w:space="0" w:color="auto"/>
                <w:right w:val="none" w:sz="0" w:space="0" w:color="auto"/>
              </w:divBdr>
            </w:div>
          </w:divsChild>
        </w:div>
        <w:div w:id="343945566">
          <w:marLeft w:val="0"/>
          <w:marRight w:val="0"/>
          <w:marTop w:val="3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jp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7.jpg"/><Relationship Id="rId10" Type="http://schemas.openxmlformats.org/officeDocument/2006/relationships/image" Target="media/image2.jp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黑体"/>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宋体"/>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632F5D-02A4-9A42-877A-9AD4E4AC7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54</Pages>
  <Words>14251</Words>
  <Characters>81232</Characters>
  <Application>Microsoft Office Word</Application>
  <DocSecurity>0</DocSecurity>
  <Lines>676</Lines>
  <Paragraphs>190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WIMCreator</Company>
  <LinksUpToDate>false</LinksUpToDate>
  <CharactersWithSpaces>95293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Schmitz, Christoph</dc:creator>
  <cp:lastModifiedBy>Li Ma</cp:lastModifiedBy>
  <cp:revision>3</cp:revision>
  <dcterms:created xsi:type="dcterms:W3CDTF">2019-01-11T00:02:00Z</dcterms:created>
  <dcterms:modified xsi:type="dcterms:W3CDTF">2019-01-11T01:00:00Z</dcterms:modified>
</cp:coreProperties>
</file>