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7DED" w14:textId="77777777" w:rsidR="002910A5" w:rsidRPr="002910A5" w:rsidRDefault="002910A5" w:rsidP="00866E07">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3"/>
      <w:bookmarkStart w:id="12" w:name="OLE_LINK373"/>
      <w:r w:rsidRPr="002910A5">
        <w:rPr>
          <w:rFonts w:ascii="Book Antiqua" w:hAnsi="Book Antiqua" w:cs="Times New Roman"/>
          <w:b/>
          <w:sz w:val="24"/>
          <w:szCs w:val="24"/>
          <w:highlight w:val="white"/>
          <w:lang w:val="en-US" w:eastAsia="zh-CN"/>
        </w:rPr>
        <w:t xml:space="preserve">Name of </w:t>
      </w:r>
      <w:r w:rsidRPr="002910A5">
        <w:rPr>
          <w:rFonts w:ascii="Book Antiqua" w:hAnsi="Book Antiqua" w:cs="Times New Roman"/>
          <w:b/>
          <w:caps/>
          <w:sz w:val="24"/>
          <w:szCs w:val="24"/>
          <w:highlight w:val="white"/>
          <w:lang w:val="en-US" w:eastAsia="zh-CN"/>
        </w:rPr>
        <w:t>j</w:t>
      </w:r>
      <w:r w:rsidRPr="002910A5">
        <w:rPr>
          <w:rFonts w:ascii="Book Antiqua" w:hAnsi="Book Antiqua" w:cs="Times New Roman"/>
          <w:b/>
          <w:sz w:val="24"/>
          <w:szCs w:val="24"/>
          <w:highlight w:val="white"/>
          <w:lang w:val="en-US" w:eastAsia="zh-CN"/>
        </w:rPr>
        <w:t xml:space="preserve">ournal: </w:t>
      </w:r>
      <w:bookmarkStart w:id="13" w:name="OLE_LINK718"/>
      <w:bookmarkStart w:id="14" w:name="OLE_LINK719"/>
      <w:r w:rsidRPr="002910A5">
        <w:rPr>
          <w:rFonts w:ascii="Book Antiqua" w:hAnsi="Book Antiqua" w:cs="Times New Roman"/>
          <w:b/>
          <w:i/>
          <w:sz w:val="24"/>
          <w:szCs w:val="24"/>
          <w:highlight w:val="white"/>
          <w:lang w:val="en-US" w:eastAsia="zh-CN"/>
        </w:rPr>
        <w:t>World Journal of Gastroenterology</w:t>
      </w:r>
      <w:bookmarkEnd w:id="13"/>
      <w:bookmarkEnd w:id="14"/>
    </w:p>
    <w:p w14:paraId="1135E3B6" w14:textId="41B48ADF" w:rsidR="002910A5" w:rsidRPr="002910A5" w:rsidRDefault="002910A5" w:rsidP="00866E07">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2910A5">
        <w:rPr>
          <w:rFonts w:ascii="Book Antiqua" w:hAnsi="Book Antiqua" w:cs="Times New Roman"/>
          <w:b/>
          <w:sz w:val="24"/>
          <w:szCs w:val="24"/>
          <w:highlight w:val="white"/>
          <w:lang w:val="en-US" w:eastAsia="zh-CN"/>
        </w:rPr>
        <w:t>Manuscript NO:</w:t>
      </w:r>
      <w:bookmarkEnd w:id="15"/>
      <w:bookmarkEnd w:id="16"/>
      <w:bookmarkEnd w:id="17"/>
      <w:bookmarkEnd w:id="18"/>
      <w:r w:rsidRPr="002910A5">
        <w:rPr>
          <w:rFonts w:ascii="Book Antiqua" w:hAnsi="Book Antiqua" w:cs="Times New Roman"/>
          <w:b/>
          <w:sz w:val="24"/>
          <w:szCs w:val="24"/>
          <w:highlight w:val="white"/>
          <w:lang w:val="en-US" w:eastAsia="zh-CN"/>
        </w:rPr>
        <w:t xml:space="preserve"> </w:t>
      </w:r>
      <w:r w:rsidRPr="002910A5">
        <w:rPr>
          <w:rFonts w:ascii="Book Antiqua" w:hAnsi="Book Antiqua" w:cs="Times New Roman"/>
          <w:b/>
          <w:sz w:val="24"/>
          <w:szCs w:val="24"/>
          <w:lang w:val="en-US" w:eastAsia="zh-CN"/>
        </w:rPr>
        <w:t>44807</w:t>
      </w:r>
    </w:p>
    <w:bookmarkEnd w:id="19"/>
    <w:bookmarkEnd w:id="20"/>
    <w:p w14:paraId="5B6D8532" w14:textId="77777777" w:rsidR="002910A5" w:rsidRPr="002910A5" w:rsidRDefault="002910A5" w:rsidP="00866E07">
      <w:pPr>
        <w:adjustRightInd w:val="0"/>
        <w:snapToGrid w:val="0"/>
        <w:spacing w:line="360" w:lineRule="auto"/>
        <w:outlineLvl w:val="0"/>
        <w:rPr>
          <w:rFonts w:ascii="Book Antiqua" w:hAnsi="Book Antiqua"/>
          <w:b/>
          <w:color w:val="000000"/>
          <w:sz w:val="24"/>
          <w:szCs w:val="24"/>
        </w:rPr>
      </w:pPr>
      <w:r w:rsidRPr="002910A5">
        <w:rPr>
          <w:rFonts w:ascii="Book Antiqua" w:hAnsi="Book Antiqua"/>
          <w:b/>
          <w:color w:val="000000"/>
          <w:sz w:val="24"/>
          <w:szCs w:val="24"/>
          <w:highlight w:val="white"/>
        </w:rPr>
        <w:t xml:space="preserve">Manuscript </w:t>
      </w:r>
      <w:r w:rsidRPr="002910A5">
        <w:rPr>
          <w:rFonts w:ascii="Book Antiqua" w:hAnsi="Book Antiqua"/>
          <w:b/>
          <w:caps/>
          <w:color w:val="000000"/>
          <w:sz w:val="24"/>
          <w:szCs w:val="24"/>
          <w:highlight w:val="white"/>
        </w:rPr>
        <w:t>t</w:t>
      </w:r>
      <w:r w:rsidRPr="002910A5">
        <w:rPr>
          <w:rFonts w:ascii="Book Antiqua" w:hAnsi="Book Antiqua"/>
          <w:b/>
          <w:color w:val="000000"/>
          <w:sz w:val="24"/>
          <w:szCs w:val="24"/>
          <w:highlight w:val="white"/>
        </w:rPr>
        <w:t>ype</w:t>
      </w:r>
      <w:r w:rsidRPr="002910A5">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2910A5">
        <w:rPr>
          <w:rFonts w:ascii="Book Antiqua" w:hAnsi="Book Antiqua"/>
          <w:b/>
          <w:color w:val="000000"/>
          <w:sz w:val="24"/>
          <w:szCs w:val="24"/>
        </w:rPr>
        <w:t xml:space="preserve"> </w:t>
      </w:r>
      <w:bookmarkStart w:id="21" w:name="OLE_LINK12"/>
      <w:bookmarkStart w:id="22" w:name="OLE_LINK13"/>
      <w:r w:rsidRPr="002910A5">
        <w:rPr>
          <w:rFonts w:ascii="Book Antiqua" w:hAnsi="Book Antiqua"/>
          <w:b/>
          <w:color w:val="000000"/>
          <w:sz w:val="24"/>
          <w:szCs w:val="24"/>
        </w:rPr>
        <w:t>ORIGINAL ARTICLE</w:t>
      </w:r>
      <w:bookmarkEnd w:id="21"/>
      <w:bookmarkEnd w:id="22"/>
    </w:p>
    <w:p w14:paraId="139BC554" w14:textId="77777777" w:rsidR="002910A5" w:rsidRPr="002910A5" w:rsidRDefault="002910A5" w:rsidP="002910A5">
      <w:pPr>
        <w:adjustRightInd w:val="0"/>
        <w:snapToGrid w:val="0"/>
        <w:spacing w:line="360" w:lineRule="auto"/>
        <w:rPr>
          <w:rFonts w:ascii="Book Antiqua" w:hAnsi="Book Antiqua"/>
          <w:b/>
          <w:color w:val="000000"/>
          <w:sz w:val="24"/>
          <w:szCs w:val="24"/>
        </w:rPr>
      </w:pPr>
      <w:bookmarkStart w:id="23" w:name="OLE_LINK45"/>
    </w:p>
    <w:bookmarkEnd w:id="23"/>
    <w:p w14:paraId="0AC1BD45" w14:textId="77777777" w:rsidR="002910A5" w:rsidRPr="002910A5" w:rsidRDefault="002910A5" w:rsidP="00866E07">
      <w:pPr>
        <w:adjustRightInd w:val="0"/>
        <w:snapToGrid w:val="0"/>
        <w:spacing w:line="360" w:lineRule="auto"/>
        <w:outlineLvl w:val="0"/>
        <w:rPr>
          <w:rFonts w:ascii="Book Antiqua" w:hAnsi="Book Antiqua" w:cs="Times New Roman"/>
          <w:b/>
          <w:sz w:val="24"/>
          <w:szCs w:val="24"/>
        </w:rPr>
      </w:pPr>
      <w:r w:rsidRPr="002910A5">
        <w:rPr>
          <w:rFonts w:ascii="Book Antiqua" w:eastAsia="YouYuan" w:hAnsi="Book Antiqua"/>
          <w:b/>
          <w:i/>
          <w:sz w:val="24"/>
          <w:szCs w:val="24"/>
        </w:rPr>
        <w:t>Retrospective Study</w:t>
      </w:r>
      <w:bookmarkEnd w:id="11"/>
      <w:bookmarkEnd w:id="12"/>
      <w:r w:rsidRPr="002910A5">
        <w:rPr>
          <w:rFonts w:ascii="Book Antiqua" w:hAnsi="Book Antiqua" w:cs="Times New Roman"/>
          <w:b/>
          <w:sz w:val="24"/>
          <w:szCs w:val="24"/>
        </w:rPr>
        <w:t xml:space="preserve"> </w:t>
      </w:r>
    </w:p>
    <w:p w14:paraId="556C29B2" w14:textId="4586B0FF" w:rsidR="00CC3198" w:rsidRPr="002910A5" w:rsidRDefault="00CC3198" w:rsidP="002910A5">
      <w:pPr>
        <w:adjustRightInd w:val="0"/>
        <w:snapToGrid w:val="0"/>
        <w:spacing w:line="360" w:lineRule="auto"/>
        <w:rPr>
          <w:rFonts w:ascii="Book Antiqua" w:hAnsi="Book Antiqua" w:cs="Times New Roman"/>
          <w:b/>
          <w:sz w:val="24"/>
          <w:szCs w:val="24"/>
        </w:rPr>
      </w:pPr>
      <w:r w:rsidRPr="002910A5">
        <w:rPr>
          <w:rFonts w:ascii="Book Antiqua" w:hAnsi="Book Antiqua" w:cs="Times New Roman"/>
          <w:b/>
          <w:sz w:val="24"/>
          <w:szCs w:val="24"/>
        </w:rPr>
        <w:t xml:space="preserve">Feasibility of gastric endoscopic submucosal dissection with continuous </w:t>
      </w:r>
      <w:r w:rsidR="00F4446B" w:rsidRPr="002910A5">
        <w:rPr>
          <w:rFonts w:ascii="Book Antiqua" w:hAnsi="Book Antiqua" w:cs="Times New Roman"/>
          <w:b/>
          <w:sz w:val="24"/>
          <w:szCs w:val="24"/>
        </w:rPr>
        <w:t>low-dose aspirin for patients receiving</w:t>
      </w:r>
      <w:r w:rsidRPr="002910A5">
        <w:rPr>
          <w:rFonts w:ascii="Book Antiqua" w:hAnsi="Book Antiqua" w:cs="Times New Roman"/>
          <w:b/>
          <w:sz w:val="24"/>
          <w:szCs w:val="24"/>
        </w:rPr>
        <w:t xml:space="preserve"> dual antiplatelet therapy</w:t>
      </w:r>
    </w:p>
    <w:p w14:paraId="556C29B3" w14:textId="3EED2B50" w:rsidR="00CC3198" w:rsidRPr="002910A5" w:rsidRDefault="00CC3198" w:rsidP="002910A5">
      <w:pPr>
        <w:adjustRightInd w:val="0"/>
        <w:snapToGrid w:val="0"/>
        <w:spacing w:line="360" w:lineRule="auto"/>
        <w:rPr>
          <w:rFonts w:ascii="Book Antiqua" w:hAnsi="Book Antiqua" w:cs="Times New Roman"/>
          <w:b/>
          <w:sz w:val="24"/>
          <w:szCs w:val="24"/>
        </w:rPr>
      </w:pPr>
    </w:p>
    <w:p w14:paraId="2BA38124" w14:textId="7C69AEF1" w:rsidR="004F53FE" w:rsidRPr="002910A5" w:rsidRDefault="002910A5" w:rsidP="00866E07">
      <w:pPr>
        <w:adjustRightInd w:val="0"/>
        <w:snapToGrid w:val="0"/>
        <w:spacing w:line="360" w:lineRule="auto"/>
        <w:outlineLvl w:val="0"/>
        <w:rPr>
          <w:rFonts w:ascii="Book Antiqua" w:hAnsi="Book Antiqua" w:cs="Times New Roman"/>
          <w:sz w:val="24"/>
          <w:szCs w:val="24"/>
        </w:rPr>
      </w:pPr>
      <w:r w:rsidRPr="002910A5">
        <w:rPr>
          <w:rFonts w:ascii="Book Antiqua" w:eastAsia="MS Mincho" w:hAnsi="Book Antiqua" w:cs="Times New Roman"/>
          <w:bCs/>
          <w:sz w:val="24"/>
          <w:szCs w:val="24"/>
        </w:rPr>
        <w:t>Harada</w:t>
      </w:r>
      <w:r w:rsidRPr="002910A5">
        <w:rPr>
          <w:rFonts w:ascii="Book Antiqua" w:hAnsi="Book Antiqua" w:cs="Times New Roman"/>
          <w:sz w:val="24"/>
          <w:szCs w:val="24"/>
        </w:rPr>
        <w:t xml:space="preserve"> </w:t>
      </w:r>
      <w:r>
        <w:rPr>
          <w:rFonts w:ascii="Book Antiqua" w:hAnsi="Book Antiqua" w:cs="Times New Roman"/>
          <w:sz w:val="24"/>
          <w:szCs w:val="24"/>
        </w:rPr>
        <w:t xml:space="preserve">H </w:t>
      </w:r>
      <w:r w:rsidRPr="002910A5">
        <w:rPr>
          <w:rFonts w:ascii="Book Antiqua" w:hAnsi="Book Antiqua" w:cs="Times New Roman"/>
          <w:i/>
          <w:sz w:val="24"/>
          <w:szCs w:val="24"/>
        </w:rPr>
        <w:t>et al</w:t>
      </w:r>
      <w:r>
        <w:rPr>
          <w:rFonts w:ascii="Book Antiqua" w:hAnsi="Book Antiqua" w:cs="Times New Roman"/>
          <w:sz w:val="24"/>
          <w:szCs w:val="24"/>
        </w:rPr>
        <w:t xml:space="preserve">. </w:t>
      </w:r>
      <w:r w:rsidR="004F53FE" w:rsidRPr="002910A5">
        <w:rPr>
          <w:rFonts w:ascii="Book Antiqua" w:hAnsi="Book Antiqua" w:cs="Times New Roman"/>
          <w:sz w:val="24"/>
          <w:szCs w:val="24"/>
        </w:rPr>
        <w:t>Effect of DAPT on gastric ESD</w:t>
      </w:r>
    </w:p>
    <w:p w14:paraId="5ED2B5D8" w14:textId="77777777" w:rsidR="004F53FE" w:rsidRPr="002910A5" w:rsidRDefault="004F53FE" w:rsidP="002910A5">
      <w:pPr>
        <w:adjustRightInd w:val="0"/>
        <w:snapToGrid w:val="0"/>
        <w:spacing w:line="360" w:lineRule="auto"/>
        <w:rPr>
          <w:rFonts w:ascii="Book Antiqua" w:hAnsi="Book Antiqua" w:cs="Times New Roman"/>
          <w:b/>
          <w:sz w:val="24"/>
          <w:szCs w:val="24"/>
        </w:rPr>
      </w:pPr>
    </w:p>
    <w:p w14:paraId="556C29B4" w14:textId="2F53118D" w:rsidR="00CC3198" w:rsidRDefault="002910A5" w:rsidP="002910A5">
      <w:pPr>
        <w:adjustRightInd w:val="0"/>
        <w:snapToGrid w:val="0"/>
        <w:spacing w:line="360" w:lineRule="auto"/>
        <w:rPr>
          <w:rFonts w:ascii="Book Antiqua" w:eastAsia="MS Mincho" w:hAnsi="Book Antiqua" w:cs="Times New Roman"/>
          <w:bCs/>
          <w:sz w:val="24"/>
          <w:szCs w:val="24"/>
          <w:vertAlign w:val="superscript"/>
        </w:rPr>
      </w:pPr>
      <w:r w:rsidRPr="002910A5">
        <w:rPr>
          <w:rFonts w:ascii="Book Antiqua" w:eastAsia="MS Mincho" w:hAnsi="Book Antiqua" w:cs="Times New Roman"/>
          <w:bCs/>
          <w:sz w:val="24"/>
          <w:szCs w:val="24"/>
        </w:rPr>
        <w:t>Hideaki Harada,</w:t>
      </w:r>
      <w:r w:rsidRPr="002910A5">
        <w:rPr>
          <w:rFonts w:ascii="Book Antiqua" w:eastAsia="MS Mincho" w:hAnsi="Book Antiqua" w:cs="Times New Roman"/>
          <w:bCs/>
          <w:sz w:val="24"/>
          <w:szCs w:val="24"/>
          <w:vertAlign w:val="superscript"/>
        </w:rPr>
        <w:t xml:space="preserve"> </w:t>
      </w:r>
      <w:r w:rsidRPr="002910A5">
        <w:rPr>
          <w:rFonts w:ascii="Book Antiqua" w:eastAsia="MS Mincho" w:hAnsi="Book Antiqua" w:cs="Times New Roman"/>
          <w:bCs/>
          <w:sz w:val="24"/>
          <w:szCs w:val="24"/>
        </w:rPr>
        <w:t xml:space="preserve">Satoshi </w:t>
      </w:r>
      <w:proofErr w:type="spellStart"/>
      <w:r w:rsidRPr="002910A5">
        <w:rPr>
          <w:rFonts w:ascii="Book Antiqua" w:eastAsia="MS Mincho" w:hAnsi="Book Antiqua" w:cs="Times New Roman"/>
          <w:bCs/>
          <w:sz w:val="24"/>
          <w:szCs w:val="24"/>
        </w:rPr>
        <w:t>Suehiro</w:t>
      </w:r>
      <w:proofErr w:type="spellEnd"/>
      <w:r w:rsidRPr="002910A5">
        <w:rPr>
          <w:rFonts w:ascii="Book Antiqua" w:eastAsia="MS Mincho" w:hAnsi="Book Antiqua" w:cs="Times New Roman"/>
          <w:bCs/>
          <w:sz w:val="24"/>
          <w:szCs w:val="24"/>
        </w:rPr>
        <w:t xml:space="preserve">, Daisuke Murakami, </w:t>
      </w:r>
      <w:proofErr w:type="spellStart"/>
      <w:r w:rsidRPr="002910A5">
        <w:rPr>
          <w:rFonts w:ascii="Book Antiqua" w:eastAsia="MS Mincho" w:hAnsi="Book Antiqua" w:cs="Times New Roman"/>
          <w:bCs/>
          <w:sz w:val="24"/>
          <w:szCs w:val="24"/>
        </w:rPr>
        <w:t>Ryotaro</w:t>
      </w:r>
      <w:proofErr w:type="spellEnd"/>
      <w:r w:rsidRPr="002910A5">
        <w:rPr>
          <w:rFonts w:ascii="Book Antiqua" w:eastAsia="MS Mincho" w:hAnsi="Book Antiqua" w:cs="Times New Roman"/>
          <w:bCs/>
          <w:sz w:val="24"/>
          <w:szCs w:val="24"/>
        </w:rPr>
        <w:t xml:space="preserve"> Nakahara, Takuya </w:t>
      </w:r>
      <w:proofErr w:type="spellStart"/>
      <w:r w:rsidRPr="002910A5">
        <w:rPr>
          <w:rFonts w:ascii="Book Antiqua" w:eastAsia="MS Mincho" w:hAnsi="Book Antiqua" w:cs="Times New Roman"/>
          <w:bCs/>
          <w:sz w:val="24"/>
          <w:szCs w:val="24"/>
        </w:rPr>
        <w:t>Nagasaka</w:t>
      </w:r>
      <w:proofErr w:type="spellEnd"/>
      <w:r w:rsidRPr="002910A5">
        <w:rPr>
          <w:rFonts w:ascii="Book Antiqua" w:eastAsia="MS Mincho" w:hAnsi="Book Antiqua" w:cs="Times New Roman"/>
          <w:bCs/>
          <w:sz w:val="24"/>
          <w:szCs w:val="24"/>
        </w:rPr>
        <w:t xml:space="preserve">, </w:t>
      </w:r>
      <w:proofErr w:type="spellStart"/>
      <w:r w:rsidRPr="002910A5">
        <w:rPr>
          <w:rFonts w:ascii="Book Antiqua" w:eastAsia="MS Mincho" w:hAnsi="Book Antiqua" w:cs="Times New Roman"/>
          <w:bCs/>
          <w:sz w:val="24"/>
          <w:szCs w:val="24"/>
        </w:rPr>
        <w:t>Tetsuro</w:t>
      </w:r>
      <w:proofErr w:type="spellEnd"/>
      <w:r w:rsidRPr="002910A5">
        <w:rPr>
          <w:rFonts w:ascii="Book Antiqua" w:eastAsia="MS Mincho" w:hAnsi="Book Antiqua" w:cs="Times New Roman"/>
          <w:bCs/>
          <w:sz w:val="24"/>
          <w:szCs w:val="24"/>
        </w:rPr>
        <w:t xml:space="preserve"> </w:t>
      </w:r>
      <w:proofErr w:type="spellStart"/>
      <w:r w:rsidRPr="002910A5">
        <w:rPr>
          <w:rFonts w:ascii="Book Antiqua" w:eastAsia="MS Mincho" w:hAnsi="Book Antiqua" w:cs="Times New Roman"/>
          <w:bCs/>
          <w:sz w:val="24"/>
          <w:szCs w:val="24"/>
        </w:rPr>
        <w:t>Ujihara</w:t>
      </w:r>
      <w:proofErr w:type="spellEnd"/>
      <w:r w:rsidRPr="002910A5">
        <w:rPr>
          <w:rFonts w:ascii="Book Antiqua" w:eastAsia="MS Mincho" w:hAnsi="Book Antiqua" w:cs="Times New Roman"/>
          <w:bCs/>
          <w:sz w:val="24"/>
          <w:szCs w:val="24"/>
        </w:rPr>
        <w:t xml:space="preserve">, </w:t>
      </w:r>
      <w:proofErr w:type="spellStart"/>
      <w:r w:rsidRPr="002910A5">
        <w:rPr>
          <w:rFonts w:ascii="Book Antiqua" w:eastAsia="MS Mincho" w:hAnsi="Book Antiqua" w:cs="Times New Roman"/>
          <w:bCs/>
          <w:sz w:val="24"/>
          <w:szCs w:val="24"/>
        </w:rPr>
        <w:t>Ryota</w:t>
      </w:r>
      <w:proofErr w:type="spellEnd"/>
      <w:r w:rsidRPr="002910A5">
        <w:rPr>
          <w:rFonts w:ascii="Book Antiqua" w:eastAsia="MS Mincho" w:hAnsi="Book Antiqua" w:cs="Times New Roman"/>
          <w:bCs/>
          <w:sz w:val="24"/>
          <w:szCs w:val="24"/>
        </w:rPr>
        <w:t xml:space="preserve"> Sagami, Yasushi </w:t>
      </w:r>
      <w:proofErr w:type="spellStart"/>
      <w:r w:rsidRPr="002910A5">
        <w:rPr>
          <w:rFonts w:ascii="Book Antiqua" w:eastAsia="MS Mincho" w:hAnsi="Book Antiqua" w:cs="Times New Roman"/>
          <w:bCs/>
          <w:sz w:val="24"/>
          <w:szCs w:val="24"/>
        </w:rPr>
        <w:t>Katsuyama</w:t>
      </w:r>
      <w:proofErr w:type="spellEnd"/>
      <w:r w:rsidRPr="002910A5">
        <w:rPr>
          <w:rFonts w:ascii="Book Antiqua" w:eastAsia="MS Mincho" w:hAnsi="Book Antiqua" w:cs="Times New Roman"/>
          <w:bCs/>
          <w:sz w:val="24"/>
          <w:szCs w:val="24"/>
        </w:rPr>
        <w:t xml:space="preserve">, Kenji </w:t>
      </w:r>
      <w:proofErr w:type="spellStart"/>
      <w:r w:rsidRPr="002910A5">
        <w:rPr>
          <w:rFonts w:ascii="Book Antiqua" w:eastAsia="MS Mincho" w:hAnsi="Book Antiqua" w:cs="Times New Roman"/>
          <w:bCs/>
          <w:sz w:val="24"/>
          <w:szCs w:val="24"/>
        </w:rPr>
        <w:t>Hayasaka</w:t>
      </w:r>
      <w:proofErr w:type="spellEnd"/>
      <w:r w:rsidRPr="002910A5">
        <w:rPr>
          <w:rFonts w:ascii="Book Antiqua" w:eastAsia="MS Mincho" w:hAnsi="Book Antiqua" w:cs="Times New Roman"/>
          <w:bCs/>
          <w:sz w:val="24"/>
          <w:szCs w:val="24"/>
        </w:rPr>
        <w:t>,</w:t>
      </w:r>
      <w:r>
        <w:rPr>
          <w:rFonts w:ascii="Book Antiqua" w:eastAsia="MS Mincho" w:hAnsi="Book Antiqua" w:cs="Times New Roman"/>
          <w:bCs/>
          <w:sz w:val="24"/>
          <w:szCs w:val="24"/>
        </w:rPr>
        <w:t xml:space="preserve"> </w:t>
      </w:r>
      <w:bookmarkStart w:id="24" w:name="OLE_LINK2"/>
      <w:r w:rsidRPr="002910A5">
        <w:rPr>
          <w:rFonts w:ascii="Book Antiqua" w:eastAsia="MS Mincho" w:hAnsi="Book Antiqua" w:cs="Times New Roman"/>
          <w:bCs/>
          <w:sz w:val="24"/>
          <w:szCs w:val="24"/>
        </w:rPr>
        <w:t>Yuji Amano</w:t>
      </w:r>
      <w:bookmarkEnd w:id="24"/>
    </w:p>
    <w:p w14:paraId="2EEB8023" w14:textId="77777777" w:rsidR="002910A5" w:rsidRPr="002910A5" w:rsidRDefault="002910A5" w:rsidP="002910A5">
      <w:pPr>
        <w:adjustRightInd w:val="0"/>
        <w:snapToGrid w:val="0"/>
        <w:spacing w:line="360" w:lineRule="auto"/>
        <w:rPr>
          <w:rFonts w:ascii="Book Antiqua" w:eastAsia="MS Mincho" w:hAnsi="Book Antiqua" w:cs="Times New Roman"/>
          <w:bCs/>
          <w:sz w:val="24"/>
          <w:szCs w:val="24"/>
        </w:rPr>
      </w:pPr>
    </w:p>
    <w:p w14:paraId="139EA0AE" w14:textId="6EC98FF4" w:rsidR="002910A5" w:rsidRDefault="002910A5" w:rsidP="002910A5">
      <w:pPr>
        <w:adjustRightInd w:val="0"/>
        <w:snapToGrid w:val="0"/>
        <w:spacing w:line="360" w:lineRule="auto"/>
        <w:rPr>
          <w:rFonts w:ascii="Book Antiqua" w:eastAsia="MS Mincho" w:hAnsi="Book Antiqua" w:cs="Times New Roman"/>
          <w:bCs/>
          <w:sz w:val="24"/>
          <w:szCs w:val="24"/>
        </w:rPr>
      </w:pPr>
      <w:r w:rsidRPr="002910A5">
        <w:rPr>
          <w:rFonts w:ascii="Book Antiqua" w:eastAsia="MS Mincho" w:hAnsi="Book Antiqua" w:cs="Times New Roman"/>
          <w:b/>
          <w:bCs/>
          <w:sz w:val="24"/>
          <w:szCs w:val="24"/>
        </w:rPr>
        <w:t xml:space="preserve">Hideaki Harada, Satoshi </w:t>
      </w:r>
      <w:proofErr w:type="spellStart"/>
      <w:r w:rsidRPr="002910A5">
        <w:rPr>
          <w:rFonts w:ascii="Book Antiqua" w:eastAsia="MS Mincho" w:hAnsi="Book Antiqua" w:cs="Times New Roman"/>
          <w:b/>
          <w:bCs/>
          <w:sz w:val="24"/>
          <w:szCs w:val="24"/>
        </w:rPr>
        <w:t>Suehiro</w:t>
      </w:r>
      <w:proofErr w:type="spellEnd"/>
      <w:r w:rsidRPr="002910A5">
        <w:rPr>
          <w:rFonts w:ascii="Book Antiqua" w:eastAsia="MS Mincho" w:hAnsi="Book Antiqua" w:cs="Times New Roman"/>
          <w:b/>
          <w:bCs/>
          <w:sz w:val="24"/>
          <w:szCs w:val="24"/>
        </w:rPr>
        <w:t xml:space="preserve">, Daisuke Murakami, </w:t>
      </w:r>
      <w:proofErr w:type="spellStart"/>
      <w:r w:rsidRPr="002910A5">
        <w:rPr>
          <w:rFonts w:ascii="Book Antiqua" w:eastAsia="MS Mincho" w:hAnsi="Book Antiqua" w:cs="Times New Roman"/>
          <w:b/>
          <w:bCs/>
          <w:sz w:val="24"/>
          <w:szCs w:val="24"/>
        </w:rPr>
        <w:t>Ryotaro</w:t>
      </w:r>
      <w:proofErr w:type="spellEnd"/>
      <w:r w:rsidRPr="002910A5">
        <w:rPr>
          <w:rFonts w:ascii="Book Antiqua" w:eastAsia="MS Mincho" w:hAnsi="Book Antiqua" w:cs="Times New Roman"/>
          <w:b/>
          <w:bCs/>
          <w:sz w:val="24"/>
          <w:szCs w:val="24"/>
        </w:rPr>
        <w:t xml:space="preserve"> Nakahara, Takuya </w:t>
      </w:r>
      <w:proofErr w:type="spellStart"/>
      <w:r w:rsidRPr="002910A5">
        <w:rPr>
          <w:rFonts w:ascii="Book Antiqua" w:eastAsia="MS Mincho" w:hAnsi="Book Antiqua" w:cs="Times New Roman"/>
          <w:b/>
          <w:bCs/>
          <w:sz w:val="24"/>
          <w:szCs w:val="24"/>
        </w:rPr>
        <w:t>Nagasaka</w:t>
      </w:r>
      <w:proofErr w:type="spellEnd"/>
      <w:r w:rsidRPr="002910A5">
        <w:rPr>
          <w:rFonts w:ascii="Book Antiqua" w:eastAsia="MS Mincho" w:hAnsi="Book Antiqua" w:cs="Times New Roman"/>
          <w:b/>
          <w:bCs/>
          <w:sz w:val="24"/>
          <w:szCs w:val="24"/>
        </w:rPr>
        <w:t xml:space="preserve">, </w:t>
      </w:r>
      <w:proofErr w:type="spellStart"/>
      <w:r w:rsidRPr="002910A5">
        <w:rPr>
          <w:rFonts w:ascii="Book Antiqua" w:eastAsia="MS Mincho" w:hAnsi="Book Antiqua" w:cs="Times New Roman"/>
          <w:b/>
          <w:bCs/>
          <w:sz w:val="24"/>
          <w:szCs w:val="24"/>
        </w:rPr>
        <w:t>Tetsuro</w:t>
      </w:r>
      <w:proofErr w:type="spellEnd"/>
      <w:r w:rsidRPr="002910A5">
        <w:rPr>
          <w:rFonts w:ascii="Book Antiqua" w:eastAsia="MS Mincho" w:hAnsi="Book Antiqua" w:cs="Times New Roman"/>
          <w:b/>
          <w:bCs/>
          <w:sz w:val="24"/>
          <w:szCs w:val="24"/>
        </w:rPr>
        <w:t xml:space="preserve"> </w:t>
      </w:r>
      <w:proofErr w:type="spellStart"/>
      <w:r w:rsidRPr="002910A5">
        <w:rPr>
          <w:rFonts w:ascii="Book Antiqua" w:eastAsia="MS Mincho" w:hAnsi="Book Antiqua" w:cs="Times New Roman"/>
          <w:b/>
          <w:bCs/>
          <w:sz w:val="24"/>
          <w:szCs w:val="24"/>
        </w:rPr>
        <w:t>Ujihara</w:t>
      </w:r>
      <w:proofErr w:type="spellEnd"/>
      <w:r w:rsidRPr="002910A5">
        <w:rPr>
          <w:rFonts w:ascii="Book Antiqua" w:eastAsia="MS Mincho" w:hAnsi="Book Antiqua" w:cs="Times New Roman"/>
          <w:b/>
          <w:bCs/>
          <w:sz w:val="24"/>
          <w:szCs w:val="24"/>
        </w:rPr>
        <w:t xml:space="preserve">, </w:t>
      </w:r>
      <w:proofErr w:type="spellStart"/>
      <w:r w:rsidRPr="002910A5">
        <w:rPr>
          <w:rFonts w:ascii="Book Antiqua" w:eastAsia="MS Mincho" w:hAnsi="Book Antiqua" w:cs="Times New Roman"/>
          <w:b/>
          <w:bCs/>
          <w:sz w:val="24"/>
          <w:szCs w:val="24"/>
        </w:rPr>
        <w:t>Ryota</w:t>
      </w:r>
      <w:proofErr w:type="spellEnd"/>
      <w:r w:rsidRPr="002910A5">
        <w:rPr>
          <w:rFonts w:ascii="Book Antiqua" w:eastAsia="MS Mincho" w:hAnsi="Book Antiqua" w:cs="Times New Roman"/>
          <w:b/>
          <w:bCs/>
          <w:sz w:val="24"/>
          <w:szCs w:val="24"/>
        </w:rPr>
        <w:t xml:space="preserve"> Sagami, Yasushi </w:t>
      </w:r>
      <w:proofErr w:type="spellStart"/>
      <w:r w:rsidRPr="002910A5">
        <w:rPr>
          <w:rFonts w:ascii="Book Antiqua" w:eastAsia="MS Mincho" w:hAnsi="Book Antiqua" w:cs="Times New Roman"/>
          <w:b/>
          <w:bCs/>
          <w:sz w:val="24"/>
          <w:szCs w:val="24"/>
        </w:rPr>
        <w:t>Katsuyama</w:t>
      </w:r>
      <w:proofErr w:type="spellEnd"/>
      <w:r w:rsidRPr="002910A5">
        <w:rPr>
          <w:rFonts w:ascii="Book Antiqua" w:eastAsia="MS Mincho" w:hAnsi="Book Antiqua" w:cs="Times New Roman"/>
          <w:b/>
          <w:bCs/>
          <w:sz w:val="24"/>
          <w:szCs w:val="24"/>
        </w:rPr>
        <w:t xml:space="preserve">, Kenji </w:t>
      </w:r>
      <w:proofErr w:type="spellStart"/>
      <w:r w:rsidRPr="002910A5">
        <w:rPr>
          <w:rFonts w:ascii="Book Antiqua" w:eastAsia="MS Mincho" w:hAnsi="Book Antiqua" w:cs="Times New Roman"/>
          <w:b/>
          <w:bCs/>
          <w:sz w:val="24"/>
          <w:szCs w:val="24"/>
        </w:rPr>
        <w:t>Hayasaka</w:t>
      </w:r>
      <w:proofErr w:type="spellEnd"/>
      <w:r w:rsidRPr="002910A5">
        <w:rPr>
          <w:rFonts w:ascii="Book Antiqua" w:eastAsia="MS Mincho" w:hAnsi="Book Antiqua" w:cs="Times New Roman"/>
          <w:b/>
          <w:bCs/>
          <w:sz w:val="24"/>
          <w:szCs w:val="24"/>
        </w:rPr>
        <w:t xml:space="preserve">, </w:t>
      </w:r>
      <w:r w:rsidR="001E6E32" w:rsidRPr="002910A5">
        <w:rPr>
          <w:rFonts w:ascii="Book Antiqua" w:eastAsia="MS Mincho" w:hAnsi="Book Antiqua" w:cs="Times New Roman"/>
          <w:bCs/>
          <w:sz w:val="24"/>
          <w:szCs w:val="24"/>
        </w:rPr>
        <w:t>Department</w:t>
      </w:r>
      <w:r w:rsidR="00CC3198" w:rsidRPr="002910A5">
        <w:rPr>
          <w:rFonts w:ascii="Book Antiqua" w:eastAsia="MS Mincho" w:hAnsi="Book Antiqua" w:cs="Times New Roman"/>
          <w:bCs/>
          <w:sz w:val="24"/>
          <w:szCs w:val="24"/>
        </w:rPr>
        <w:t xml:space="preserve"> of Gastroentero</w:t>
      </w:r>
      <w:r>
        <w:rPr>
          <w:rFonts w:ascii="Book Antiqua" w:eastAsia="MS Mincho" w:hAnsi="Book Antiqua" w:cs="Times New Roman"/>
          <w:bCs/>
          <w:sz w:val="24"/>
          <w:szCs w:val="24"/>
        </w:rPr>
        <w:t xml:space="preserve">logy, New Tokyo Hospital, </w:t>
      </w:r>
      <w:r w:rsidR="00AB0899" w:rsidRPr="002910A5">
        <w:rPr>
          <w:rFonts w:ascii="Book Antiqua" w:eastAsia="MS Mincho" w:hAnsi="Book Antiqua" w:cs="Times New Roman"/>
          <w:kern w:val="0"/>
          <w:sz w:val="24"/>
          <w:szCs w:val="24"/>
          <w:lang w:eastAsia="en-US"/>
        </w:rPr>
        <w:t>Matsudo</w:t>
      </w:r>
      <w:r w:rsidR="00AB0899">
        <w:rPr>
          <w:rFonts w:ascii="Book Antiqua" w:eastAsia="MS Mincho" w:hAnsi="Book Antiqua" w:cs="Times New Roman"/>
          <w:kern w:val="0"/>
          <w:sz w:val="24"/>
          <w:szCs w:val="24"/>
          <w:lang w:eastAsia="en-US"/>
        </w:rPr>
        <w:t xml:space="preserve">, </w:t>
      </w:r>
      <w:r>
        <w:rPr>
          <w:rFonts w:ascii="Book Antiqua" w:eastAsia="MS Mincho" w:hAnsi="Book Antiqua" w:cs="Times New Roman"/>
          <w:bCs/>
          <w:sz w:val="24"/>
          <w:szCs w:val="24"/>
        </w:rPr>
        <w:t>Chiba</w:t>
      </w:r>
      <w:r w:rsidR="001A365D" w:rsidRPr="002910A5">
        <w:rPr>
          <w:rFonts w:ascii="Book Antiqua" w:eastAsia="MS Mincho" w:hAnsi="Book Antiqua" w:cs="Times New Roman"/>
          <w:bCs/>
          <w:sz w:val="24"/>
          <w:szCs w:val="24"/>
        </w:rPr>
        <w:t xml:space="preserve"> 270-2232,</w:t>
      </w:r>
      <w:r>
        <w:rPr>
          <w:rFonts w:ascii="Book Antiqua" w:eastAsia="MS Mincho" w:hAnsi="Book Antiqua" w:cs="Times New Roman"/>
          <w:bCs/>
          <w:sz w:val="24"/>
          <w:szCs w:val="24"/>
        </w:rPr>
        <w:t xml:space="preserve"> Japan</w:t>
      </w:r>
    </w:p>
    <w:p w14:paraId="0275FD97" w14:textId="77777777" w:rsidR="002910A5" w:rsidRDefault="002910A5" w:rsidP="002910A5">
      <w:pPr>
        <w:adjustRightInd w:val="0"/>
        <w:snapToGrid w:val="0"/>
        <w:spacing w:line="360" w:lineRule="auto"/>
        <w:rPr>
          <w:rFonts w:ascii="Book Antiqua" w:hAnsi="Book Antiqua" w:cs="Times New Roman"/>
          <w:bCs/>
          <w:sz w:val="24"/>
          <w:szCs w:val="24"/>
        </w:rPr>
      </w:pPr>
    </w:p>
    <w:p w14:paraId="556C29B5" w14:textId="51911C2A" w:rsidR="00CC3198" w:rsidRPr="002910A5" w:rsidRDefault="002910A5" w:rsidP="002910A5">
      <w:pPr>
        <w:adjustRightInd w:val="0"/>
        <w:snapToGrid w:val="0"/>
        <w:spacing w:line="360" w:lineRule="auto"/>
        <w:rPr>
          <w:rFonts w:ascii="Book Antiqua" w:eastAsia="MS Mincho" w:hAnsi="Book Antiqua" w:cs="Times New Roman"/>
          <w:bCs/>
          <w:sz w:val="24"/>
          <w:szCs w:val="24"/>
        </w:rPr>
      </w:pPr>
      <w:r w:rsidRPr="002910A5">
        <w:rPr>
          <w:rFonts w:ascii="Book Antiqua" w:eastAsia="MS Mincho" w:hAnsi="Book Antiqua" w:cs="Times New Roman"/>
          <w:b/>
          <w:bCs/>
          <w:sz w:val="24"/>
          <w:szCs w:val="24"/>
        </w:rPr>
        <w:t>Yuji Amano,</w:t>
      </w:r>
      <w:r w:rsidRPr="002910A5">
        <w:rPr>
          <w:rFonts w:ascii="Book Antiqua" w:hAnsi="Book Antiqua" w:cs="Times New Roman"/>
          <w:bCs/>
          <w:sz w:val="24"/>
          <w:szCs w:val="24"/>
        </w:rPr>
        <w:t xml:space="preserve"> </w:t>
      </w:r>
      <w:r w:rsidR="00002624" w:rsidRPr="002910A5">
        <w:rPr>
          <w:rFonts w:ascii="Book Antiqua" w:hAnsi="Book Antiqua" w:cs="Times New Roman"/>
          <w:bCs/>
          <w:sz w:val="24"/>
          <w:szCs w:val="24"/>
        </w:rPr>
        <w:t xml:space="preserve">Department of </w:t>
      </w:r>
      <w:r w:rsidR="008C0B78" w:rsidRPr="002910A5">
        <w:rPr>
          <w:rFonts w:ascii="Book Antiqua" w:hAnsi="Book Antiqua" w:cs="Times New Roman"/>
          <w:bCs/>
          <w:sz w:val="24"/>
          <w:szCs w:val="24"/>
        </w:rPr>
        <w:t>Endoscopy</w:t>
      </w:r>
      <w:r w:rsidR="00002624" w:rsidRPr="002910A5">
        <w:rPr>
          <w:rFonts w:ascii="Book Antiqua" w:hAnsi="Book Antiqua" w:cs="Times New Roman"/>
          <w:bCs/>
          <w:sz w:val="24"/>
          <w:szCs w:val="24"/>
        </w:rPr>
        <w:t xml:space="preserve">, </w:t>
      </w:r>
      <w:r w:rsidR="00E76FF5" w:rsidRPr="002910A5">
        <w:rPr>
          <w:rFonts w:ascii="Book Antiqua" w:hAnsi="Book Antiqua" w:cs="Times New Roman"/>
          <w:bCs/>
          <w:sz w:val="24"/>
          <w:szCs w:val="24"/>
        </w:rPr>
        <w:t>New Tokyo Hospital</w:t>
      </w:r>
      <w:r w:rsidR="00424AAC" w:rsidRPr="002910A5">
        <w:rPr>
          <w:rFonts w:ascii="Book Antiqua" w:hAnsi="Book Antiqua" w:cs="Times New Roman"/>
          <w:bCs/>
          <w:sz w:val="24"/>
          <w:szCs w:val="24"/>
        </w:rPr>
        <w:t xml:space="preserve">, </w:t>
      </w:r>
      <w:r w:rsidR="00AB0899" w:rsidRPr="002910A5">
        <w:rPr>
          <w:rFonts w:ascii="Book Antiqua" w:eastAsia="MS Mincho" w:hAnsi="Book Antiqua" w:cs="Times New Roman"/>
          <w:kern w:val="0"/>
          <w:sz w:val="24"/>
          <w:szCs w:val="24"/>
          <w:lang w:eastAsia="en-US"/>
        </w:rPr>
        <w:t>Matsudo</w:t>
      </w:r>
      <w:r w:rsidR="00AB0899">
        <w:rPr>
          <w:rFonts w:ascii="Book Antiqua" w:eastAsia="MS Mincho" w:hAnsi="Book Antiqua" w:cs="Times New Roman"/>
          <w:kern w:val="0"/>
          <w:sz w:val="24"/>
          <w:szCs w:val="24"/>
          <w:lang w:eastAsia="en-US"/>
        </w:rPr>
        <w:t xml:space="preserve">, </w:t>
      </w:r>
      <w:r w:rsidR="00424AAC" w:rsidRPr="002910A5">
        <w:rPr>
          <w:rFonts w:ascii="Book Antiqua" w:hAnsi="Book Antiqua" w:cs="Times New Roman"/>
          <w:bCs/>
          <w:sz w:val="24"/>
          <w:szCs w:val="24"/>
        </w:rPr>
        <w:t>Chiba</w:t>
      </w:r>
      <w:r>
        <w:rPr>
          <w:rFonts w:ascii="Book Antiqua" w:hAnsi="Book Antiqua" w:cs="Times New Roman"/>
          <w:bCs/>
          <w:sz w:val="24"/>
          <w:szCs w:val="24"/>
        </w:rPr>
        <w:t xml:space="preserve"> </w:t>
      </w:r>
      <w:r w:rsidRPr="002910A5">
        <w:rPr>
          <w:rFonts w:ascii="Book Antiqua" w:eastAsia="MS Mincho" w:hAnsi="Book Antiqua" w:cs="Times New Roman"/>
          <w:bCs/>
          <w:sz w:val="24"/>
          <w:szCs w:val="24"/>
        </w:rPr>
        <w:t>270-2232</w:t>
      </w:r>
      <w:r w:rsidR="00424AAC" w:rsidRPr="002910A5">
        <w:rPr>
          <w:rFonts w:ascii="Book Antiqua" w:hAnsi="Book Antiqua" w:cs="Times New Roman"/>
          <w:bCs/>
          <w:sz w:val="24"/>
          <w:szCs w:val="24"/>
        </w:rPr>
        <w:t>, Japan</w:t>
      </w:r>
    </w:p>
    <w:p w14:paraId="556C29B6" w14:textId="77777777" w:rsidR="00CC3198" w:rsidRPr="002910A5" w:rsidRDefault="00CC3198" w:rsidP="002910A5">
      <w:pPr>
        <w:adjustRightInd w:val="0"/>
        <w:snapToGrid w:val="0"/>
        <w:spacing w:line="360" w:lineRule="auto"/>
        <w:rPr>
          <w:rFonts w:ascii="Book Antiqua" w:eastAsia="MS Mincho" w:hAnsi="Book Antiqua" w:cs="Times New Roman"/>
          <w:sz w:val="24"/>
          <w:szCs w:val="24"/>
        </w:rPr>
      </w:pPr>
    </w:p>
    <w:p w14:paraId="556C29B7" w14:textId="1DE74D4A" w:rsidR="00123D40" w:rsidRPr="002910A5" w:rsidRDefault="00C42C52" w:rsidP="002910A5">
      <w:pPr>
        <w:adjustRightInd w:val="0"/>
        <w:snapToGrid w:val="0"/>
        <w:spacing w:line="360" w:lineRule="auto"/>
        <w:rPr>
          <w:rFonts w:ascii="Book Antiqua" w:eastAsia="MS Mincho" w:hAnsi="Book Antiqua" w:cs="Times New Roman"/>
          <w:sz w:val="24"/>
          <w:szCs w:val="24"/>
        </w:rPr>
      </w:pPr>
      <w:r w:rsidRPr="00AB0899">
        <w:rPr>
          <w:rFonts w:ascii="Book Antiqua" w:eastAsia="MS Mincho" w:hAnsi="Book Antiqua" w:cs="Times New Roman"/>
          <w:b/>
          <w:sz w:val="24"/>
          <w:szCs w:val="24"/>
        </w:rPr>
        <w:t>O</w:t>
      </w:r>
      <w:r w:rsidR="00AB0899" w:rsidRPr="00AB0899">
        <w:rPr>
          <w:rFonts w:ascii="Book Antiqua" w:eastAsia="MS Mincho" w:hAnsi="Book Antiqua" w:cs="Times New Roman"/>
          <w:b/>
          <w:sz w:val="24"/>
          <w:szCs w:val="24"/>
        </w:rPr>
        <w:t>R</w:t>
      </w:r>
      <w:r w:rsidRPr="00AB0899">
        <w:rPr>
          <w:rFonts w:ascii="Book Antiqua" w:eastAsia="MS Mincho" w:hAnsi="Book Antiqua" w:cs="Times New Roman"/>
          <w:b/>
          <w:sz w:val="24"/>
          <w:szCs w:val="24"/>
        </w:rPr>
        <w:t>CID number:</w:t>
      </w:r>
      <w:r w:rsidRPr="002910A5">
        <w:rPr>
          <w:rFonts w:ascii="Book Antiqua" w:eastAsia="MS Mincho" w:hAnsi="Book Antiqua" w:cs="Times New Roman"/>
          <w:sz w:val="24"/>
          <w:szCs w:val="24"/>
        </w:rPr>
        <w:t xml:space="preserve"> Hideaki Harada (</w:t>
      </w:r>
      <w:r w:rsidR="00AB0899">
        <w:rPr>
          <w:rFonts w:ascii="Book Antiqua" w:eastAsia="MS Mincho" w:hAnsi="Book Antiqua" w:cs="Times New Roman"/>
          <w:sz w:val="24"/>
          <w:szCs w:val="24"/>
        </w:rPr>
        <w:t>0000-0002-9951-7100);</w:t>
      </w:r>
      <w:r w:rsidR="00306EA5" w:rsidRPr="002910A5">
        <w:rPr>
          <w:rFonts w:ascii="Book Antiqua" w:eastAsia="MS Mincho" w:hAnsi="Book Antiqua" w:cs="Times New Roman"/>
          <w:sz w:val="24"/>
          <w:szCs w:val="24"/>
        </w:rPr>
        <w:t xml:space="preserve"> Satoshi </w:t>
      </w:r>
      <w:proofErr w:type="spellStart"/>
      <w:r w:rsidR="00306EA5" w:rsidRPr="002910A5">
        <w:rPr>
          <w:rFonts w:ascii="Book Antiqua" w:eastAsia="MS Mincho" w:hAnsi="Book Antiqua" w:cs="Times New Roman"/>
          <w:sz w:val="24"/>
          <w:szCs w:val="24"/>
        </w:rPr>
        <w:t>Suehiro</w:t>
      </w:r>
      <w:proofErr w:type="spellEnd"/>
      <w:r w:rsidR="00AB0899">
        <w:rPr>
          <w:rFonts w:ascii="Book Antiqua" w:eastAsia="MS Mincho" w:hAnsi="Book Antiqua" w:cs="Times New Roman"/>
          <w:sz w:val="24"/>
          <w:szCs w:val="24"/>
        </w:rPr>
        <w:t xml:space="preserve"> (0000-0002-6835-1005);</w:t>
      </w:r>
      <w:r w:rsidR="00306EA5" w:rsidRPr="002910A5">
        <w:rPr>
          <w:rFonts w:ascii="Book Antiqua" w:eastAsia="MS Mincho" w:hAnsi="Book Antiqua" w:cs="Times New Roman"/>
          <w:sz w:val="24"/>
          <w:szCs w:val="24"/>
        </w:rPr>
        <w:t xml:space="preserve"> Daisuke</w:t>
      </w:r>
      <w:r w:rsidR="00AB0899">
        <w:rPr>
          <w:rFonts w:ascii="Book Antiqua" w:eastAsia="MS Mincho" w:hAnsi="Book Antiqua" w:cs="Times New Roman"/>
          <w:sz w:val="24"/>
          <w:szCs w:val="24"/>
        </w:rPr>
        <w:t xml:space="preserve"> Murakami (0000-0002-6012-844X);</w:t>
      </w:r>
      <w:r w:rsidR="00306EA5" w:rsidRPr="002910A5">
        <w:rPr>
          <w:rFonts w:ascii="Book Antiqua" w:eastAsia="MS Mincho" w:hAnsi="Book Antiqua" w:cs="Times New Roman"/>
          <w:sz w:val="24"/>
          <w:szCs w:val="24"/>
        </w:rPr>
        <w:t xml:space="preserve"> </w:t>
      </w:r>
      <w:proofErr w:type="spellStart"/>
      <w:r w:rsidR="00306EA5" w:rsidRPr="002910A5">
        <w:rPr>
          <w:rFonts w:ascii="Book Antiqua" w:eastAsia="MS Mincho" w:hAnsi="Book Antiqua" w:cs="Times New Roman"/>
          <w:sz w:val="24"/>
          <w:szCs w:val="24"/>
        </w:rPr>
        <w:t>Ryotaro</w:t>
      </w:r>
      <w:proofErr w:type="spellEnd"/>
      <w:r w:rsidR="00AB0899">
        <w:rPr>
          <w:rFonts w:ascii="Book Antiqua" w:eastAsia="MS Mincho" w:hAnsi="Book Antiqua" w:cs="Times New Roman"/>
          <w:sz w:val="24"/>
          <w:szCs w:val="24"/>
        </w:rPr>
        <w:t xml:space="preserve"> Nakahara (0000-0001-6300-0495);</w:t>
      </w:r>
      <w:r w:rsidR="00306EA5" w:rsidRPr="002910A5">
        <w:rPr>
          <w:rFonts w:ascii="Book Antiqua" w:eastAsia="MS Mincho" w:hAnsi="Book Antiqua" w:cs="Times New Roman"/>
          <w:sz w:val="24"/>
          <w:szCs w:val="24"/>
        </w:rPr>
        <w:t xml:space="preserve"> Takuya</w:t>
      </w:r>
      <w:r w:rsidR="00AB0899">
        <w:rPr>
          <w:rFonts w:ascii="Book Antiqua" w:eastAsia="MS Mincho" w:hAnsi="Book Antiqua" w:cs="Times New Roman"/>
          <w:sz w:val="24"/>
          <w:szCs w:val="24"/>
        </w:rPr>
        <w:t xml:space="preserve"> </w:t>
      </w:r>
      <w:proofErr w:type="spellStart"/>
      <w:r w:rsidR="00AB0899">
        <w:rPr>
          <w:rFonts w:ascii="Book Antiqua" w:eastAsia="MS Mincho" w:hAnsi="Book Antiqua" w:cs="Times New Roman"/>
          <w:sz w:val="24"/>
          <w:szCs w:val="24"/>
        </w:rPr>
        <w:t>Nagasaka</w:t>
      </w:r>
      <w:proofErr w:type="spellEnd"/>
      <w:r w:rsidR="00AB0899">
        <w:rPr>
          <w:rFonts w:ascii="Book Antiqua" w:eastAsia="MS Mincho" w:hAnsi="Book Antiqua" w:cs="Times New Roman"/>
          <w:sz w:val="24"/>
          <w:szCs w:val="24"/>
        </w:rPr>
        <w:t xml:space="preserve"> (0000-0003-4730-5365);</w:t>
      </w:r>
      <w:r w:rsidR="00306EA5" w:rsidRPr="002910A5">
        <w:rPr>
          <w:rFonts w:ascii="Book Antiqua" w:eastAsia="MS Mincho" w:hAnsi="Book Antiqua" w:cs="Times New Roman"/>
          <w:sz w:val="24"/>
          <w:szCs w:val="24"/>
        </w:rPr>
        <w:t xml:space="preserve"> </w:t>
      </w:r>
      <w:proofErr w:type="spellStart"/>
      <w:r w:rsidR="00306EA5" w:rsidRPr="002910A5">
        <w:rPr>
          <w:rFonts w:ascii="Book Antiqua" w:eastAsia="MS Mincho" w:hAnsi="Book Antiqua" w:cs="Times New Roman"/>
          <w:sz w:val="24"/>
          <w:szCs w:val="24"/>
        </w:rPr>
        <w:t>Tetsur</w:t>
      </w:r>
      <w:r w:rsidR="00AB0899">
        <w:rPr>
          <w:rFonts w:ascii="Book Antiqua" w:eastAsia="MS Mincho" w:hAnsi="Book Antiqua" w:cs="Times New Roman"/>
          <w:sz w:val="24"/>
          <w:szCs w:val="24"/>
        </w:rPr>
        <w:t>o</w:t>
      </w:r>
      <w:proofErr w:type="spellEnd"/>
      <w:r w:rsidR="00AB0899">
        <w:rPr>
          <w:rFonts w:ascii="Book Antiqua" w:eastAsia="MS Mincho" w:hAnsi="Book Antiqua" w:cs="Times New Roman"/>
          <w:sz w:val="24"/>
          <w:szCs w:val="24"/>
        </w:rPr>
        <w:t xml:space="preserve"> </w:t>
      </w:r>
      <w:proofErr w:type="spellStart"/>
      <w:r w:rsidR="00AB0899">
        <w:rPr>
          <w:rFonts w:ascii="Book Antiqua" w:eastAsia="MS Mincho" w:hAnsi="Book Antiqua" w:cs="Times New Roman"/>
          <w:sz w:val="24"/>
          <w:szCs w:val="24"/>
        </w:rPr>
        <w:t>Ujihara</w:t>
      </w:r>
      <w:proofErr w:type="spellEnd"/>
      <w:r w:rsidR="00AB0899">
        <w:rPr>
          <w:rFonts w:ascii="Book Antiqua" w:eastAsia="MS Mincho" w:hAnsi="Book Antiqua" w:cs="Times New Roman"/>
          <w:sz w:val="24"/>
          <w:szCs w:val="24"/>
        </w:rPr>
        <w:t xml:space="preserve"> (0000-0003-4292-8432);</w:t>
      </w:r>
      <w:r w:rsidR="00306EA5" w:rsidRPr="002910A5">
        <w:rPr>
          <w:rFonts w:ascii="Book Antiqua" w:eastAsia="MS Mincho" w:hAnsi="Book Antiqua" w:cs="Times New Roman"/>
          <w:sz w:val="24"/>
          <w:szCs w:val="24"/>
        </w:rPr>
        <w:t xml:space="preserve"> </w:t>
      </w:r>
      <w:proofErr w:type="spellStart"/>
      <w:r w:rsidR="00306EA5" w:rsidRPr="002910A5">
        <w:rPr>
          <w:rFonts w:ascii="Book Antiqua" w:eastAsia="MS Mincho" w:hAnsi="Book Antiqua" w:cs="Times New Roman"/>
          <w:sz w:val="24"/>
          <w:szCs w:val="24"/>
        </w:rPr>
        <w:t>Ryo</w:t>
      </w:r>
      <w:r w:rsidR="00AB0899">
        <w:rPr>
          <w:rFonts w:ascii="Book Antiqua" w:eastAsia="MS Mincho" w:hAnsi="Book Antiqua" w:cs="Times New Roman"/>
          <w:sz w:val="24"/>
          <w:szCs w:val="24"/>
        </w:rPr>
        <w:t>ta</w:t>
      </w:r>
      <w:proofErr w:type="spellEnd"/>
      <w:r w:rsidR="00AB0899">
        <w:rPr>
          <w:rFonts w:ascii="Book Antiqua" w:eastAsia="MS Mincho" w:hAnsi="Book Antiqua" w:cs="Times New Roman"/>
          <w:sz w:val="24"/>
          <w:szCs w:val="24"/>
        </w:rPr>
        <w:t xml:space="preserve"> Sagami (0000-0003-4961-3521);</w:t>
      </w:r>
      <w:r w:rsidR="00306EA5" w:rsidRPr="002910A5">
        <w:rPr>
          <w:rFonts w:ascii="Book Antiqua" w:eastAsia="MS Mincho" w:hAnsi="Book Antiqua" w:cs="Times New Roman"/>
          <w:sz w:val="24"/>
          <w:szCs w:val="24"/>
        </w:rPr>
        <w:t xml:space="preserve"> Yasushi </w:t>
      </w:r>
      <w:proofErr w:type="spellStart"/>
      <w:r w:rsidR="00306EA5" w:rsidRPr="002910A5">
        <w:rPr>
          <w:rFonts w:ascii="Book Antiqua" w:eastAsia="MS Mincho" w:hAnsi="Book Antiqua" w:cs="Times New Roman"/>
          <w:sz w:val="24"/>
          <w:szCs w:val="24"/>
        </w:rPr>
        <w:t>Katsuyama</w:t>
      </w:r>
      <w:proofErr w:type="spellEnd"/>
      <w:r w:rsidR="00306EA5" w:rsidRPr="002910A5">
        <w:rPr>
          <w:rFonts w:ascii="Book Antiqua" w:eastAsia="MS Mincho" w:hAnsi="Book Antiqua" w:cs="Times New Roman"/>
          <w:sz w:val="24"/>
          <w:szCs w:val="24"/>
        </w:rPr>
        <w:t xml:space="preserve"> (0000-0002-1861-3142</w:t>
      </w:r>
      <w:r w:rsidR="00AB0899">
        <w:rPr>
          <w:rFonts w:ascii="Book Antiqua" w:eastAsia="MS Mincho" w:hAnsi="Book Antiqua" w:cs="Times New Roman"/>
          <w:sz w:val="24"/>
          <w:szCs w:val="24"/>
        </w:rPr>
        <w:t>);</w:t>
      </w:r>
      <w:r w:rsidR="00306EA5" w:rsidRPr="002910A5">
        <w:rPr>
          <w:rFonts w:ascii="Book Antiqua" w:eastAsia="MS Mincho" w:hAnsi="Book Antiqua" w:cs="Times New Roman"/>
          <w:sz w:val="24"/>
          <w:szCs w:val="24"/>
        </w:rPr>
        <w:t xml:space="preserve"> Kenji</w:t>
      </w:r>
      <w:r w:rsidR="00AB0899">
        <w:rPr>
          <w:rFonts w:ascii="Book Antiqua" w:eastAsia="MS Mincho" w:hAnsi="Book Antiqua" w:cs="Times New Roman"/>
          <w:sz w:val="24"/>
          <w:szCs w:val="24"/>
        </w:rPr>
        <w:t xml:space="preserve"> </w:t>
      </w:r>
      <w:proofErr w:type="spellStart"/>
      <w:r w:rsidR="00AB0899">
        <w:rPr>
          <w:rFonts w:ascii="Book Antiqua" w:eastAsia="MS Mincho" w:hAnsi="Book Antiqua" w:cs="Times New Roman"/>
          <w:sz w:val="24"/>
          <w:szCs w:val="24"/>
        </w:rPr>
        <w:t>Hayasaka</w:t>
      </w:r>
      <w:proofErr w:type="spellEnd"/>
      <w:r w:rsidR="00AB0899">
        <w:rPr>
          <w:rFonts w:ascii="Book Antiqua" w:eastAsia="MS Mincho" w:hAnsi="Book Antiqua" w:cs="Times New Roman"/>
          <w:sz w:val="24"/>
          <w:szCs w:val="24"/>
        </w:rPr>
        <w:t xml:space="preserve"> (0000-0002-1372-9701);</w:t>
      </w:r>
      <w:r w:rsidR="00306EA5" w:rsidRPr="002910A5">
        <w:rPr>
          <w:rFonts w:ascii="Book Antiqua" w:eastAsia="MS Mincho" w:hAnsi="Book Antiqua" w:cs="Times New Roman"/>
          <w:sz w:val="24"/>
          <w:szCs w:val="24"/>
        </w:rPr>
        <w:t xml:space="preserve"> Yuji Amano (0000-0002-4480-3222)</w:t>
      </w:r>
      <w:r w:rsidR="00AB0899">
        <w:rPr>
          <w:rFonts w:ascii="Book Antiqua" w:eastAsia="MS Mincho" w:hAnsi="Book Antiqua" w:cs="Times New Roman"/>
          <w:sz w:val="24"/>
          <w:szCs w:val="24"/>
        </w:rPr>
        <w:t>.</w:t>
      </w:r>
    </w:p>
    <w:p w14:paraId="556C29B8" w14:textId="6CF503C5" w:rsidR="00123D40" w:rsidRPr="002910A5" w:rsidRDefault="00123D40" w:rsidP="002910A5">
      <w:pPr>
        <w:adjustRightInd w:val="0"/>
        <w:snapToGrid w:val="0"/>
        <w:spacing w:line="360" w:lineRule="auto"/>
        <w:rPr>
          <w:rFonts w:ascii="Book Antiqua" w:eastAsia="MS Mincho" w:hAnsi="Book Antiqua" w:cs="Times New Roman"/>
          <w:sz w:val="24"/>
          <w:szCs w:val="24"/>
        </w:rPr>
      </w:pPr>
    </w:p>
    <w:p w14:paraId="556C29B9" w14:textId="77777777" w:rsidR="00204966" w:rsidRPr="002910A5" w:rsidRDefault="00204966" w:rsidP="002910A5">
      <w:pPr>
        <w:adjustRightInd w:val="0"/>
        <w:snapToGrid w:val="0"/>
        <w:spacing w:line="360" w:lineRule="auto"/>
        <w:rPr>
          <w:rFonts w:ascii="Book Antiqua" w:eastAsia="MS Mincho" w:hAnsi="Book Antiqua" w:cs="Times New Roman"/>
          <w:sz w:val="24"/>
          <w:szCs w:val="24"/>
        </w:rPr>
      </w:pPr>
      <w:r w:rsidRPr="002910A5">
        <w:rPr>
          <w:rFonts w:ascii="Book Antiqua" w:eastAsia="MS Mincho" w:hAnsi="Book Antiqua" w:cs="Times New Roman"/>
          <w:b/>
          <w:sz w:val="24"/>
          <w:szCs w:val="24"/>
        </w:rPr>
        <w:t xml:space="preserve">Author contributions: </w:t>
      </w:r>
      <w:r w:rsidRPr="002910A5">
        <w:rPr>
          <w:rFonts w:ascii="Book Antiqua" w:eastAsia="MS Mincho" w:hAnsi="Book Antiqua" w:cs="Times New Roman"/>
          <w:sz w:val="24"/>
          <w:szCs w:val="24"/>
        </w:rPr>
        <w:t xml:space="preserve">Harada H wrote the manuscript and analyzed the data. </w:t>
      </w:r>
      <w:r w:rsidRPr="002910A5">
        <w:rPr>
          <w:rFonts w:ascii="Book Antiqua" w:eastAsia="MS Mincho" w:hAnsi="Book Antiqua" w:cs="Times New Roman"/>
          <w:sz w:val="24"/>
          <w:szCs w:val="24"/>
        </w:rPr>
        <w:lastRenderedPageBreak/>
        <w:t>Amano Y gave the final approval of the manuscript. All the other authors collected the data, check the manuscript, and suggested improvement.</w:t>
      </w:r>
    </w:p>
    <w:p w14:paraId="556C29BA" w14:textId="77777777" w:rsidR="00204966" w:rsidRPr="002910A5" w:rsidRDefault="00204966" w:rsidP="002910A5">
      <w:pPr>
        <w:adjustRightInd w:val="0"/>
        <w:snapToGrid w:val="0"/>
        <w:spacing w:line="360" w:lineRule="auto"/>
        <w:rPr>
          <w:rFonts w:ascii="Book Antiqua" w:eastAsia="MS Mincho" w:hAnsi="Book Antiqua" w:cs="Times New Roman"/>
          <w:b/>
          <w:sz w:val="24"/>
          <w:szCs w:val="24"/>
        </w:rPr>
      </w:pPr>
    </w:p>
    <w:p w14:paraId="556C29BB" w14:textId="77777777" w:rsidR="00CC3198" w:rsidRPr="002910A5" w:rsidRDefault="00CC3198" w:rsidP="002910A5">
      <w:pPr>
        <w:adjustRightInd w:val="0"/>
        <w:snapToGrid w:val="0"/>
        <w:spacing w:line="360" w:lineRule="auto"/>
        <w:rPr>
          <w:rFonts w:ascii="Book Antiqua" w:eastAsia="SimSun" w:hAnsi="Book Antiqua" w:cs="Times New Roman"/>
          <w:spacing w:val="-2"/>
          <w:kern w:val="0"/>
          <w:sz w:val="24"/>
          <w:szCs w:val="24"/>
          <w:lang w:eastAsia="zh-CN"/>
        </w:rPr>
      </w:pPr>
      <w:r w:rsidRPr="002910A5">
        <w:rPr>
          <w:rFonts w:ascii="Book Antiqua" w:eastAsia="MS Mincho" w:hAnsi="Book Antiqua" w:cs="Times New Roman"/>
          <w:b/>
          <w:sz w:val="24"/>
          <w:szCs w:val="24"/>
        </w:rPr>
        <w:t>Institutional review board statement</w:t>
      </w:r>
      <w:r w:rsidRPr="002910A5">
        <w:rPr>
          <w:rFonts w:ascii="Book Antiqua" w:eastAsia="SimSun" w:hAnsi="Book Antiqua" w:cs="Times New Roman"/>
          <w:b/>
          <w:spacing w:val="-2"/>
          <w:kern w:val="0"/>
          <w:sz w:val="24"/>
          <w:szCs w:val="24"/>
          <w:lang w:eastAsia="zh-CN"/>
        </w:rPr>
        <w:t>:</w:t>
      </w:r>
      <w:r w:rsidRPr="002910A5">
        <w:rPr>
          <w:rFonts w:ascii="Book Antiqua" w:eastAsia="SimSun" w:hAnsi="Book Antiqua" w:cs="Times New Roman"/>
          <w:spacing w:val="-2"/>
          <w:kern w:val="0"/>
          <w:sz w:val="24"/>
          <w:szCs w:val="24"/>
          <w:lang w:eastAsia="zh-CN"/>
        </w:rPr>
        <w:t xml:space="preserve"> This study was reviewed and approved by the New Tokyo Hospital Institutional Review Committee.</w:t>
      </w:r>
    </w:p>
    <w:p w14:paraId="556C29BC" w14:textId="77777777" w:rsidR="00CC3198" w:rsidRPr="002910A5" w:rsidRDefault="00CC3198" w:rsidP="002910A5">
      <w:pPr>
        <w:adjustRightInd w:val="0"/>
        <w:snapToGrid w:val="0"/>
        <w:spacing w:line="360" w:lineRule="auto"/>
        <w:rPr>
          <w:rFonts w:ascii="Book Antiqua" w:eastAsia="SimSun" w:hAnsi="Book Antiqua" w:cs="Times New Roman"/>
          <w:spacing w:val="-2"/>
          <w:kern w:val="0"/>
          <w:sz w:val="24"/>
          <w:szCs w:val="24"/>
          <w:lang w:eastAsia="zh-CN"/>
        </w:rPr>
      </w:pPr>
    </w:p>
    <w:p w14:paraId="556C29BD" w14:textId="3C60AC48" w:rsidR="00CC3198" w:rsidRPr="002910A5" w:rsidRDefault="00CC3198" w:rsidP="002910A5">
      <w:pPr>
        <w:widowControl/>
        <w:suppressAutoHyphens/>
        <w:autoSpaceDE w:val="0"/>
        <w:autoSpaceDN w:val="0"/>
        <w:adjustRightInd w:val="0"/>
        <w:snapToGrid w:val="0"/>
        <w:spacing w:line="360" w:lineRule="auto"/>
        <w:textAlignment w:val="center"/>
        <w:rPr>
          <w:rFonts w:ascii="Book Antiqua" w:eastAsia="SimSun" w:hAnsi="Book Antiqua" w:cs="Times New Roman"/>
          <w:spacing w:val="-2"/>
          <w:kern w:val="0"/>
          <w:sz w:val="24"/>
          <w:szCs w:val="24"/>
          <w:lang w:eastAsia="zh-CN"/>
        </w:rPr>
      </w:pPr>
      <w:r w:rsidRPr="002910A5">
        <w:rPr>
          <w:rFonts w:ascii="Book Antiqua" w:eastAsia="SimSun" w:hAnsi="Book Antiqua" w:cs="Times New Roman"/>
          <w:b/>
          <w:spacing w:val="-2"/>
          <w:kern w:val="0"/>
          <w:sz w:val="24"/>
          <w:szCs w:val="24"/>
          <w:lang w:eastAsia="zh-CN"/>
        </w:rPr>
        <w:t>Informed consent</w:t>
      </w:r>
      <w:r w:rsidR="00D62111" w:rsidRPr="002910A5">
        <w:rPr>
          <w:rFonts w:ascii="Book Antiqua" w:eastAsia="SimSun" w:hAnsi="Book Antiqua" w:cs="Times New Roman"/>
          <w:b/>
          <w:spacing w:val="-2"/>
          <w:kern w:val="0"/>
          <w:sz w:val="24"/>
          <w:szCs w:val="24"/>
          <w:lang w:eastAsia="zh-CN"/>
        </w:rPr>
        <w:t xml:space="preserve"> statement</w:t>
      </w:r>
      <w:r w:rsidRPr="002910A5">
        <w:rPr>
          <w:rFonts w:ascii="Book Antiqua" w:eastAsia="SimSun" w:hAnsi="Book Antiqua" w:cs="Times New Roman"/>
          <w:b/>
          <w:spacing w:val="-2"/>
          <w:kern w:val="0"/>
          <w:sz w:val="24"/>
          <w:szCs w:val="24"/>
          <w:lang w:eastAsia="zh-CN"/>
        </w:rPr>
        <w:t>:</w:t>
      </w:r>
      <w:r w:rsidRPr="002910A5">
        <w:rPr>
          <w:rFonts w:ascii="Book Antiqua" w:eastAsia="SimSun" w:hAnsi="Book Antiqua" w:cs="Times New Roman"/>
          <w:spacing w:val="-2"/>
          <w:kern w:val="0"/>
          <w:sz w:val="24"/>
          <w:szCs w:val="24"/>
          <w:lang w:eastAsia="zh-CN"/>
        </w:rPr>
        <w:t xml:space="preserve"> The procedure participant provided informed written consent.</w:t>
      </w:r>
    </w:p>
    <w:p w14:paraId="28582079" w14:textId="57E29CD8" w:rsidR="00483BEA" w:rsidRPr="002910A5" w:rsidRDefault="00483BEA" w:rsidP="002910A5">
      <w:pPr>
        <w:adjustRightInd w:val="0"/>
        <w:snapToGrid w:val="0"/>
        <w:spacing w:line="360" w:lineRule="auto"/>
        <w:rPr>
          <w:rFonts w:ascii="Book Antiqua" w:hAnsi="Book Antiqua" w:cs="Times New Roman"/>
          <w:b/>
          <w:bCs/>
          <w:sz w:val="24"/>
          <w:szCs w:val="24"/>
        </w:rPr>
      </w:pPr>
    </w:p>
    <w:p w14:paraId="2BA7F0F9" w14:textId="59BF82DA" w:rsidR="00483BEA" w:rsidRPr="002910A5" w:rsidRDefault="00483BEA" w:rsidP="00866E07">
      <w:pPr>
        <w:adjustRightInd w:val="0"/>
        <w:snapToGrid w:val="0"/>
        <w:spacing w:line="360" w:lineRule="auto"/>
        <w:outlineLvl w:val="0"/>
        <w:rPr>
          <w:rFonts w:ascii="Book Antiqua" w:hAnsi="Book Antiqua" w:cs="Times New Roman"/>
          <w:bCs/>
          <w:sz w:val="24"/>
          <w:szCs w:val="24"/>
        </w:rPr>
      </w:pPr>
      <w:r w:rsidRPr="002910A5">
        <w:rPr>
          <w:rFonts w:ascii="Book Antiqua" w:hAnsi="Book Antiqua" w:cs="Times New Roman"/>
          <w:b/>
          <w:bCs/>
          <w:sz w:val="24"/>
          <w:szCs w:val="24"/>
        </w:rPr>
        <w:t xml:space="preserve">Conflict-of-interest statement: </w:t>
      </w:r>
      <w:r w:rsidRPr="002910A5">
        <w:rPr>
          <w:rFonts w:ascii="Book Antiqua" w:hAnsi="Book Antiqua" w:cs="Times New Roman"/>
          <w:bCs/>
          <w:sz w:val="24"/>
          <w:szCs w:val="24"/>
        </w:rPr>
        <w:t>There are no conflicts of interest.</w:t>
      </w:r>
    </w:p>
    <w:p w14:paraId="39429E17" w14:textId="4BB7AB87" w:rsidR="00483BEA" w:rsidRPr="002910A5" w:rsidRDefault="00483BEA" w:rsidP="002910A5">
      <w:pPr>
        <w:adjustRightInd w:val="0"/>
        <w:snapToGrid w:val="0"/>
        <w:spacing w:line="360" w:lineRule="auto"/>
        <w:rPr>
          <w:rFonts w:ascii="Book Antiqua" w:hAnsi="Book Antiqua" w:cs="Times New Roman"/>
          <w:b/>
          <w:bCs/>
          <w:sz w:val="24"/>
          <w:szCs w:val="24"/>
        </w:rPr>
      </w:pPr>
    </w:p>
    <w:p w14:paraId="603C2558" w14:textId="19D07ABC" w:rsidR="00483BEA" w:rsidRPr="002910A5" w:rsidRDefault="00483BEA" w:rsidP="00866E07">
      <w:pPr>
        <w:adjustRightInd w:val="0"/>
        <w:snapToGrid w:val="0"/>
        <w:spacing w:line="360" w:lineRule="auto"/>
        <w:outlineLvl w:val="0"/>
        <w:rPr>
          <w:rFonts w:ascii="Book Antiqua" w:hAnsi="Book Antiqua" w:cs="Times New Roman"/>
          <w:bCs/>
          <w:sz w:val="24"/>
          <w:szCs w:val="24"/>
        </w:rPr>
      </w:pPr>
      <w:r w:rsidRPr="002910A5">
        <w:rPr>
          <w:rFonts w:ascii="Book Antiqua" w:hAnsi="Book Antiqua" w:cs="Times New Roman"/>
          <w:b/>
          <w:bCs/>
          <w:sz w:val="24"/>
          <w:szCs w:val="24"/>
        </w:rPr>
        <w:t xml:space="preserve">Data sharing statement: </w:t>
      </w:r>
      <w:r w:rsidRPr="002910A5">
        <w:rPr>
          <w:rFonts w:ascii="Book Antiqua" w:hAnsi="Book Antiqua" w:cs="Times New Roman"/>
          <w:bCs/>
          <w:sz w:val="24"/>
          <w:szCs w:val="24"/>
        </w:rPr>
        <w:t>No additional data are available.</w:t>
      </w:r>
    </w:p>
    <w:p w14:paraId="556C29BE" w14:textId="77777777" w:rsidR="00CC3198" w:rsidRPr="00AB0899" w:rsidRDefault="00CC3198" w:rsidP="00AB0899">
      <w:pPr>
        <w:widowControl/>
        <w:suppressAutoHyphens/>
        <w:autoSpaceDE w:val="0"/>
        <w:autoSpaceDN w:val="0"/>
        <w:adjustRightInd w:val="0"/>
        <w:snapToGrid w:val="0"/>
        <w:spacing w:line="360" w:lineRule="auto"/>
        <w:textAlignment w:val="center"/>
        <w:rPr>
          <w:rFonts w:ascii="Book Antiqua" w:eastAsia="SimSun" w:hAnsi="Book Antiqua" w:cs="Times New Roman"/>
          <w:spacing w:val="-2"/>
          <w:kern w:val="0"/>
          <w:sz w:val="24"/>
          <w:szCs w:val="24"/>
          <w:lang w:eastAsia="zh-CN"/>
        </w:rPr>
      </w:pPr>
    </w:p>
    <w:p w14:paraId="5EA0B239" w14:textId="77777777" w:rsidR="00AB0899" w:rsidRPr="00AB0899" w:rsidRDefault="00AB0899" w:rsidP="00AB0899">
      <w:pPr>
        <w:adjustRightInd w:val="0"/>
        <w:snapToGrid w:val="0"/>
        <w:spacing w:line="360" w:lineRule="auto"/>
        <w:rPr>
          <w:rFonts w:ascii="Book Antiqua" w:hAnsi="Book Antiqua"/>
          <w:sz w:val="24"/>
          <w:szCs w:val="24"/>
        </w:rPr>
      </w:pPr>
      <w:bookmarkStart w:id="25" w:name="OLE_LINK25"/>
      <w:bookmarkStart w:id="26" w:name="OLE_LINK26"/>
      <w:bookmarkStart w:id="27" w:name="OLE_LINK375"/>
      <w:bookmarkStart w:id="28" w:name="OLE_LINK32"/>
      <w:bookmarkStart w:id="29" w:name="OLE_LINK381"/>
      <w:bookmarkStart w:id="30" w:name="OLE_LINK413"/>
      <w:r w:rsidRPr="00AB0899">
        <w:rPr>
          <w:rFonts w:ascii="Book Antiqua" w:hAnsi="Book Antiqua"/>
          <w:b/>
          <w:color w:val="000000"/>
          <w:sz w:val="24"/>
          <w:szCs w:val="24"/>
        </w:rPr>
        <w:t xml:space="preserve">Open-Access: </w:t>
      </w:r>
      <w:r w:rsidRPr="00AB0899">
        <w:rPr>
          <w:rFonts w:ascii="Book Antiqua" w:hAnsi="Book Antiqua"/>
          <w:color w:val="000000"/>
          <w:sz w:val="24"/>
          <w:szCs w:val="24"/>
        </w:rPr>
        <w:t xml:space="preserve">This is an </w:t>
      </w:r>
      <w:r w:rsidRPr="00AB0899">
        <w:rPr>
          <w:rFonts w:ascii="Book Antiqua" w:hAnsi="Book Antiqua" w:cs="SimSun"/>
          <w:sz w:val="24"/>
          <w:szCs w:val="24"/>
        </w:rPr>
        <w:t xml:space="preserve">open-access article that was </w:t>
      </w:r>
      <w:r w:rsidRPr="00AB0899">
        <w:rPr>
          <w:rFonts w:ascii="Book Antiqua" w:hAnsi="Book Antiqua"/>
          <w:sz w:val="24"/>
          <w:szCs w:val="24"/>
        </w:rPr>
        <w:t xml:space="preserve">selected by an in-house editor and fully peer-reviewed by external reviewers. It is </w:t>
      </w:r>
      <w:r w:rsidRPr="00AB0899">
        <w:rPr>
          <w:rFonts w:ascii="Book Antiqua" w:hAnsi="Book Antiqua" w:cs="SimSun"/>
          <w:sz w:val="24"/>
          <w:szCs w:val="24"/>
        </w:rPr>
        <w:t xml:space="preserve">distributed in accordance with </w:t>
      </w:r>
      <w:r w:rsidRPr="00AB089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B0899">
          <w:rPr>
            <w:rStyle w:val="Hyperlink"/>
            <w:rFonts w:ascii="Book Antiqua" w:hAnsi="Book Antiqua"/>
            <w:sz w:val="24"/>
            <w:szCs w:val="24"/>
          </w:rPr>
          <w:t>http://creativecommons.org/licenses/by-nc/4.0/</w:t>
        </w:r>
      </w:hyperlink>
    </w:p>
    <w:p w14:paraId="55E22D55" w14:textId="77777777" w:rsidR="00AB0899" w:rsidRPr="00AB0899" w:rsidRDefault="00AB0899" w:rsidP="00AB0899">
      <w:pPr>
        <w:adjustRightInd w:val="0"/>
        <w:snapToGrid w:val="0"/>
        <w:spacing w:line="360" w:lineRule="auto"/>
        <w:rPr>
          <w:rFonts w:ascii="Book Antiqua" w:hAnsi="Book Antiqua"/>
          <w:sz w:val="24"/>
          <w:szCs w:val="24"/>
        </w:rPr>
      </w:pPr>
    </w:p>
    <w:p w14:paraId="045226A1" w14:textId="31B78C82" w:rsidR="00AB0899" w:rsidRDefault="00AB0899" w:rsidP="00866E07">
      <w:pPr>
        <w:widowControl/>
        <w:suppressAutoHyphens/>
        <w:autoSpaceDE w:val="0"/>
        <w:autoSpaceDN w:val="0"/>
        <w:adjustRightInd w:val="0"/>
        <w:snapToGrid w:val="0"/>
        <w:spacing w:line="360" w:lineRule="auto"/>
        <w:textAlignment w:val="center"/>
        <w:outlineLvl w:val="0"/>
        <w:rPr>
          <w:rFonts w:ascii="Book Antiqua" w:hAnsi="Book Antiqua" w:cs="Times New Roman"/>
          <w:bCs/>
          <w:sz w:val="24"/>
          <w:szCs w:val="24"/>
        </w:rPr>
      </w:pPr>
      <w:bookmarkStart w:id="31" w:name="OLE_LINK11"/>
      <w:r w:rsidRPr="00AB0899">
        <w:rPr>
          <w:rFonts w:ascii="Book Antiqua" w:hAnsi="Book Antiqua" w:cs="Times New Roman"/>
          <w:b/>
          <w:bCs/>
          <w:sz w:val="24"/>
          <w:szCs w:val="24"/>
          <w:highlight w:val="white"/>
        </w:rPr>
        <w:t>Manuscript source:</w:t>
      </w:r>
      <w:r w:rsidRPr="00AB0899">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w:t>
      </w:r>
      <w:r w:rsidRPr="00AB0899">
        <w:rPr>
          <w:rFonts w:ascii="Book Antiqua" w:hAnsi="Book Antiqua" w:cs="Times New Roman"/>
          <w:bCs/>
          <w:sz w:val="24"/>
          <w:szCs w:val="24"/>
          <w:highlight w:val="white"/>
        </w:rPr>
        <w:t>ited manuscript</w:t>
      </w:r>
      <w:bookmarkEnd w:id="25"/>
      <w:bookmarkEnd w:id="26"/>
      <w:bookmarkEnd w:id="27"/>
      <w:bookmarkEnd w:id="28"/>
      <w:bookmarkEnd w:id="29"/>
      <w:bookmarkEnd w:id="30"/>
      <w:bookmarkEnd w:id="31"/>
    </w:p>
    <w:p w14:paraId="72AFC6EF" w14:textId="77777777" w:rsidR="00AB0899" w:rsidRPr="00AB0899" w:rsidRDefault="00AB0899" w:rsidP="00AB0899">
      <w:pPr>
        <w:widowControl/>
        <w:suppressAutoHyphens/>
        <w:autoSpaceDE w:val="0"/>
        <w:autoSpaceDN w:val="0"/>
        <w:adjustRightInd w:val="0"/>
        <w:snapToGrid w:val="0"/>
        <w:spacing w:line="360" w:lineRule="auto"/>
        <w:textAlignment w:val="center"/>
        <w:rPr>
          <w:rFonts w:ascii="Book Antiqua" w:eastAsia="SimSun" w:hAnsi="Book Antiqua" w:cs="Times New Roman"/>
          <w:spacing w:val="-2"/>
          <w:kern w:val="0"/>
          <w:sz w:val="24"/>
          <w:szCs w:val="24"/>
          <w:lang w:eastAsia="zh-CN"/>
        </w:rPr>
      </w:pPr>
    </w:p>
    <w:p w14:paraId="556C29BF" w14:textId="3ED2422C" w:rsidR="00CC3198" w:rsidRPr="002910A5" w:rsidRDefault="00CC3198" w:rsidP="00AB0899">
      <w:pPr>
        <w:adjustRightInd w:val="0"/>
        <w:snapToGrid w:val="0"/>
        <w:spacing w:line="360" w:lineRule="auto"/>
        <w:rPr>
          <w:rFonts w:ascii="Book Antiqua" w:eastAsia="MS Mincho" w:hAnsi="Book Antiqua" w:cs="Times New Roman"/>
          <w:kern w:val="0"/>
          <w:sz w:val="24"/>
          <w:szCs w:val="24"/>
          <w:lang w:eastAsia="en-US"/>
        </w:rPr>
      </w:pPr>
      <w:r w:rsidRPr="00AB0899">
        <w:rPr>
          <w:rFonts w:ascii="Book Antiqua" w:eastAsia="MS Mincho" w:hAnsi="Book Antiqua" w:cs="Times New Roman"/>
          <w:b/>
          <w:sz w:val="24"/>
          <w:szCs w:val="24"/>
        </w:rPr>
        <w:t>Corresponding</w:t>
      </w:r>
      <w:r w:rsidR="00755EBC" w:rsidRPr="00AB0899">
        <w:rPr>
          <w:rFonts w:ascii="Book Antiqua" w:eastAsia="MS Mincho" w:hAnsi="Book Antiqua" w:cs="Times New Roman"/>
          <w:b/>
          <w:sz w:val="24"/>
          <w:szCs w:val="24"/>
        </w:rPr>
        <w:t xml:space="preserve"> author</w:t>
      </w:r>
      <w:r w:rsidRPr="00AB0899">
        <w:rPr>
          <w:rFonts w:ascii="Book Antiqua" w:eastAsia="MS Mincho" w:hAnsi="Book Antiqua" w:cs="Times New Roman"/>
          <w:b/>
          <w:sz w:val="24"/>
          <w:szCs w:val="24"/>
        </w:rPr>
        <w:t>:</w:t>
      </w:r>
      <w:r w:rsidR="00AB0899">
        <w:rPr>
          <w:rFonts w:ascii="Book Antiqua" w:eastAsia="MS Mincho" w:hAnsi="Book Antiqua" w:cs="Times New Roman"/>
          <w:sz w:val="24"/>
          <w:szCs w:val="24"/>
        </w:rPr>
        <w:t xml:space="preserve"> </w:t>
      </w:r>
      <w:r w:rsidR="00AB0899" w:rsidRPr="00AB0899">
        <w:rPr>
          <w:rFonts w:ascii="Book Antiqua" w:eastAsia="MS Mincho" w:hAnsi="Book Antiqua" w:cs="Times New Roman"/>
          <w:b/>
          <w:sz w:val="24"/>
          <w:szCs w:val="24"/>
        </w:rPr>
        <w:t>Hideaki Harada, MD</w:t>
      </w:r>
      <w:r w:rsidRPr="00AB0899">
        <w:rPr>
          <w:rFonts w:ascii="Book Antiqua" w:eastAsia="MS Mincho" w:hAnsi="Book Antiqua" w:cs="Times New Roman"/>
          <w:b/>
          <w:sz w:val="24"/>
          <w:szCs w:val="24"/>
        </w:rPr>
        <w:t>,</w:t>
      </w:r>
      <w:r w:rsidR="00AB0899" w:rsidRPr="00AB0899">
        <w:rPr>
          <w:rFonts w:ascii="Book Antiqua" w:eastAsia="MS Mincho" w:hAnsi="Book Antiqua" w:cs="Times New Roman"/>
          <w:b/>
          <w:sz w:val="24"/>
          <w:szCs w:val="24"/>
        </w:rPr>
        <w:t xml:space="preserve"> Chief Doctor,</w:t>
      </w:r>
      <w:r w:rsidRPr="00AB0899">
        <w:rPr>
          <w:rFonts w:ascii="Book Antiqua" w:eastAsia="MS Mincho" w:hAnsi="Book Antiqua" w:cs="Times New Roman"/>
          <w:b/>
          <w:sz w:val="24"/>
          <w:szCs w:val="24"/>
        </w:rPr>
        <w:t xml:space="preserve"> </w:t>
      </w:r>
      <w:r w:rsidRPr="00AB0899">
        <w:rPr>
          <w:rFonts w:ascii="Book Antiqua" w:eastAsia="MS Mincho" w:hAnsi="Book Antiqua" w:cs="Times New Roman"/>
          <w:kern w:val="0"/>
          <w:sz w:val="24"/>
          <w:szCs w:val="24"/>
          <w:lang w:eastAsia="en-US"/>
        </w:rPr>
        <w:t xml:space="preserve">Department of </w:t>
      </w:r>
      <w:r w:rsidRPr="00AB0899">
        <w:rPr>
          <w:rFonts w:ascii="Book Antiqua" w:eastAsia="MS Mincho" w:hAnsi="Book Antiqua" w:cs="Times New Roman"/>
          <w:kern w:val="0"/>
          <w:sz w:val="24"/>
          <w:szCs w:val="24"/>
        </w:rPr>
        <w:t>Gastroenterology</w:t>
      </w:r>
      <w:r w:rsidRPr="00AB0899">
        <w:rPr>
          <w:rFonts w:ascii="Book Antiqua" w:eastAsia="MS Mincho" w:hAnsi="Book Antiqua" w:cs="Times New Roman"/>
          <w:kern w:val="0"/>
          <w:sz w:val="24"/>
          <w:szCs w:val="24"/>
          <w:lang w:eastAsia="en-US"/>
        </w:rPr>
        <w:t>, New</w:t>
      </w:r>
      <w:r w:rsidRPr="00AB0899">
        <w:rPr>
          <w:rFonts w:ascii="Book Antiqua" w:eastAsia="MS Mincho" w:hAnsi="Book Antiqua" w:cs="Times New Roman"/>
          <w:kern w:val="0"/>
          <w:sz w:val="24"/>
          <w:szCs w:val="24"/>
        </w:rPr>
        <w:t xml:space="preserve"> </w:t>
      </w:r>
      <w:r w:rsidRPr="00AB0899">
        <w:rPr>
          <w:rFonts w:ascii="Book Antiqua" w:eastAsia="MS Mincho" w:hAnsi="Book Antiqua" w:cs="Times New Roman"/>
          <w:kern w:val="0"/>
          <w:sz w:val="24"/>
          <w:szCs w:val="24"/>
          <w:lang w:eastAsia="en-US"/>
        </w:rPr>
        <w:t xml:space="preserve">Tokyo Hospital, 1271 </w:t>
      </w:r>
      <w:proofErr w:type="spellStart"/>
      <w:r w:rsidRPr="00AB0899">
        <w:rPr>
          <w:rFonts w:ascii="Book Antiqua" w:eastAsia="MS Mincho" w:hAnsi="Book Antiqua" w:cs="Times New Roman"/>
          <w:kern w:val="0"/>
          <w:sz w:val="24"/>
          <w:szCs w:val="24"/>
          <w:lang w:eastAsia="en-US"/>
        </w:rPr>
        <w:t>Wana</w:t>
      </w:r>
      <w:r w:rsidRPr="002910A5">
        <w:rPr>
          <w:rFonts w:ascii="Book Antiqua" w:eastAsia="MS Mincho" w:hAnsi="Book Antiqua" w:cs="Times New Roman"/>
          <w:kern w:val="0"/>
          <w:sz w:val="24"/>
          <w:szCs w:val="24"/>
          <w:lang w:eastAsia="en-US"/>
        </w:rPr>
        <w:t>gaya</w:t>
      </w:r>
      <w:proofErr w:type="spellEnd"/>
      <w:r w:rsidRPr="002910A5">
        <w:rPr>
          <w:rFonts w:ascii="Book Antiqua" w:eastAsia="MS Mincho" w:hAnsi="Book Antiqua" w:cs="Times New Roman"/>
          <w:kern w:val="0"/>
          <w:sz w:val="24"/>
          <w:szCs w:val="24"/>
          <w:lang w:eastAsia="en-US"/>
        </w:rPr>
        <w:t xml:space="preserve">, </w:t>
      </w:r>
      <w:bookmarkStart w:id="32" w:name="OLE_LINK3"/>
      <w:r w:rsidRPr="002910A5">
        <w:rPr>
          <w:rFonts w:ascii="Book Antiqua" w:eastAsia="MS Mincho" w:hAnsi="Book Antiqua" w:cs="Times New Roman"/>
          <w:kern w:val="0"/>
          <w:sz w:val="24"/>
          <w:szCs w:val="24"/>
          <w:lang w:eastAsia="en-US"/>
        </w:rPr>
        <w:t>Matsudo</w:t>
      </w:r>
      <w:r w:rsidR="00AB0899">
        <w:rPr>
          <w:rFonts w:ascii="Book Antiqua" w:eastAsia="MS Mincho" w:hAnsi="Book Antiqua" w:cs="Times New Roman"/>
          <w:kern w:val="0"/>
          <w:sz w:val="24"/>
          <w:szCs w:val="24"/>
          <w:lang w:eastAsia="en-US"/>
        </w:rPr>
        <w:t>,</w:t>
      </w:r>
      <w:bookmarkEnd w:id="32"/>
      <w:r w:rsidRPr="002910A5">
        <w:rPr>
          <w:rFonts w:ascii="Book Antiqua" w:eastAsia="MS Mincho" w:hAnsi="Book Antiqua" w:cs="Times New Roman"/>
          <w:kern w:val="0"/>
          <w:sz w:val="24"/>
          <w:szCs w:val="24"/>
          <w:lang w:eastAsia="en-US"/>
        </w:rPr>
        <w:t xml:space="preserve"> Chiba 270-2232, Japan</w:t>
      </w:r>
      <w:r w:rsidR="00AB0899">
        <w:rPr>
          <w:rFonts w:ascii="Book Antiqua" w:eastAsia="MS Mincho" w:hAnsi="Book Antiqua" w:cs="Times New Roman"/>
          <w:kern w:val="0"/>
          <w:sz w:val="24"/>
          <w:szCs w:val="24"/>
          <w:lang w:eastAsia="en-US"/>
        </w:rPr>
        <w:t xml:space="preserve">. </w:t>
      </w:r>
      <w:hyperlink r:id="rId8" w:history="1">
        <w:r w:rsidR="00AB0899" w:rsidRPr="002910A5">
          <w:rPr>
            <w:rStyle w:val="Hyperlink"/>
            <w:rFonts w:ascii="Book Antiqua" w:eastAsia="MS Mincho" w:hAnsi="Book Antiqua" w:cs="Times New Roman"/>
            <w:color w:val="auto"/>
            <w:kern w:val="0"/>
            <w:sz w:val="24"/>
            <w:szCs w:val="24"/>
            <w:u w:val="none"/>
          </w:rPr>
          <w:t>nerimaendo@hotmail.co.jp</w:t>
        </w:r>
      </w:hyperlink>
    </w:p>
    <w:p w14:paraId="390A22C7" w14:textId="77777777" w:rsidR="00AB0899" w:rsidRDefault="00CC3198" w:rsidP="002910A5">
      <w:pPr>
        <w:widowControl/>
        <w:adjustRightInd w:val="0"/>
        <w:snapToGrid w:val="0"/>
        <w:spacing w:line="360" w:lineRule="auto"/>
        <w:rPr>
          <w:rFonts w:ascii="Book Antiqua" w:eastAsia="MS Mincho" w:hAnsi="Book Antiqua" w:cs="Times New Roman"/>
          <w:kern w:val="0"/>
          <w:sz w:val="24"/>
          <w:szCs w:val="24"/>
        </w:rPr>
      </w:pPr>
      <w:r w:rsidRPr="00AB0899">
        <w:rPr>
          <w:rFonts w:ascii="Book Antiqua" w:eastAsia="MS Mincho" w:hAnsi="Book Antiqua" w:cs="Times New Roman"/>
          <w:b/>
          <w:kern w:val="0"/>
          <w:sz w:val="24"/>
          <w:szCs w:val="24"/>
        </w:rPr>
        <w:t>Tel</w:t>
      </w:r>
      <w:r w:rsidR="00AB0899" w:rsidRPr="00AB0899">
        <w:rPr>
          <w:rFonts w:ascii="Book Antiqua" w:eastAsia="MS Mincho" w:hAnsi="Book Antiqua" w:cs="Times New Roman"/>
          <w:b/>
          <w:kern w:val="0"/>
          <w:sz w:val="24"/>
          <w:szCs w:val="24"/>
        </w:rPr>
        <w:t>ephone</w:t>
      </w:r>
      <w:r w:rsidRPr="00AB0899">
        <w:rPr>
          <w:rFonts w:ascii="Book Antiqua" w:eastAsia="MS Mincho" w:hAnsi="Book Antiqua" w:cs="Times New Roman"/>
          <w:b/>
          <w:kern w:val="0"/>
          <w:sz w:val="24"/>
          <w:szCs w:val="24"/>
          <w:lang w:eastAsia="en-US"/>
        </w:rPr>
        <w:t>:</w:t>
      </w:r>
      <w:r w:rsidRPr="00AB0899">
        <w:rPr>
          <w:rFonts w:ascii="Book Antiqua" w:eastAsia="MS Mincho" w:hAnsi="Book Antiqua" w:cs="Times New Roman"/>
          <w:b/>
          <w:kern w:val="0"/>
          <w:sz w:val="24"/>
          <w:szCs w:val="24"/>
        </w:rPr>
        <w:t xml:space="preserve"> </w:t>
      </w:r>
      <w:r w:rsidR="00AB0899">
        <w:rPr>
          <w:rFonts w:ascii="Book Antiqua" w:eastAsia="MS Mincho" w:hAnsi="Book Antiqua" w:cs="Times New Roman"/>
          <w:kern w:val="0"/>
          <w:sz w:val="24"/>
          <w:szCs w:val="24"/>
          <w:lang w:eastAsia="en-US"/>
        </w:rPr>
        <w:t>+81-47-711</w:t>
      </w:r>
      <w:r w:rsidRPr="002910A5">
        <w:rPr>
          <w:rFonts w:ascii="Book Antiqua" w:eastAsia="MS Mincho" w:hAnsi="Book Antiqua" w:cs="Times New Roman"/>
          <w:kern w:val="0"/>
          <w:sz w:val="24"/>
          <w:szCs w:val="24"/>
          <w:lang w:eastAsia="en-US"/>
        </w:rPr>
        <w:t>8700</w:t>
      </w:r>
    </w:p>
    <w:p w14:paraId="556C29C0" w14:textId="173395CC" w:rsidR="00CC3198" w:rsidRPr="002910A5" w:rsidRDefault="00CC3198" w:rsidP="002910A5">
      <w:pPr>
        <w:widowControl/>
        <w:adjustRightInd w:val="0"/>
        <w:snapToGrid w:val="0"/>
        <w:spacing w:line="360" w:lineRule="auto"/>
        <w:rPr>
          <w:rFonts w:ascii="Book Antiqua" w:eastAsia="MS Mincho" w:hAnsi="Book Antiqua" w:cs="Times New Roman"/>
          <w:kern w:val="0"/>
          <w:sz w:val="24"/>
          <w:szCs w:val="24"/>
          <w:lang w:eastAsia="en-US"/>
        </w:rPr>
      </w:pPr>
      <w:r w:rsidRPr="00AB0899">
        <w:rPr>
          <w:rFonts w:ascii="Book Antiqua" w:eastAsia="MS Mincho" w:hAnsi="Book Antiqua" w:cs="Times New Roman"/>
          <w:b/>
          <w:kern w:val="0"/>
          <w:sz w:val="24"/>
          <w:szCs w:val="24"/>
          <w:lang w:eastAsia="en-US"/>
        </w:rPr>
        <w:t>Fax:</w:t>
      </w:r>
      <w:r w:rsidRPr="00AB0899">
        <w:rPr>
          <w:rFonts w:ascii="Book Antiqua" w:eastAsia="MS Mincho" w:hAnsi="Book Antiqua" w:cs="Times New Roman"/>
          <w:b/>
          <w:kern w:val="0"/>
          <w:sz w:val="24"/>
          <w:szCs w:val="24"/>
        </w:rPr>
        <w:t xml:space="preserve"> </w:t>
      </w:r>
      <w:r w:rsidR="00AB0899">
        <w:rPr>
          <w:rFonts w:ascii="Book Antiqua" w:eastAsia="MS Mincho" w:hAnsi="Book Antiqua" w:cs="Times New Roman"/>
          <w:kern w:val="0"/>
          <w:sz w:val="24"/>
          <w:szCs w:val="24"/>
          <w:lang w:eastAsia="en-US"/>
        </w:rPr>
        <w:t>+81-47-392</w:t>
      </w:r>
      <w:r w:rsidRPr="002910A5">
        <w:rPr>
          <w:rFonts w:ascii="Book Antiqua" w:eastAsia="MS Mincho" w:hAnsi="Book Antiqua" w:cs="Times New Roman"/>
          <w:kern w:val="0"/>
          <w:sz w:val="24"/>
          <w:szCs w:val="24"/>
          <w:lang w:eastAsia="en-US"/>
        </w:rPr>
        <w:t>8718</w:t>
      </w:r>
    </w:p>
    <w:p w14:paraId="556C29C4" w14:textId="77777777" w:rsidR="00C31897" w:rsidRPr="00AB0899" w:rsidRDefault="00C31897" w:rsidP="00AB0899">
      <w:pPr>
        <w:adjustRightInd w:val="0"/>
        <w:snapToGrid w:val="0"/>
        <w:spacing w:line="360" w:lineRule="auto"/>
        <w:rPr>
          <w:rFonts w:ascii="Book Antiqua" w:hAnsi="Book Antiqua" w:cs="Times New Roman"/>
          <w:sz w:val="24"/>
          <w:szCs w:val="24"/>
        </w:rPr>
      </w:pPr>
    </w:p>
    <w:p w14:paraId="1428929D" w14:textId="34499356" w:rsidR="00AB0899" w:rsidRPr="00AB0899" w:rsidRDefault="00AB0899" w:rsidP="00866E07">
      <w:pPr>
        <w:adjustRightInd w:val="0"/>
        <w:snapToGrid w:val="0"/>
        <w:spacing w:line="360" w:lineRule="auto"/>
        <w:outlineLvl w:val="0"/>
        <w:rPr>
          <w:rFonts w:ascii="Book Antiqua" w:hAnsi="Book Antiqua"/>
          <w:b/>
          <w:sz w:val="24"/>
          <w:szCs w:val="24"/>
        </w:rPr>
      </w:pPr>
      <w:bookmarkStart w:id="33" w:name="OLE_LINK14"/>
      <w:bookmarkStart w:id="34" w:name="OLE_LINK16"/>
      <w:bookmarkStart w:id="35" w:name="OLE_LINK51"/>
      <w:bookmarkStart w:id="36" w:name="OLE_LINK27"/>
      <w:bookmarkStart w:id="37" w:name="OLE_LINK382"/>
      <w:bookmarkStart w:id="38" w:name="OLE_LINK30"/>
      <w:bookmarkStart w:id="39" w:name="OLE_LINK376"/>
      <w:r w:rsidRPr="00AB0899">
        <w:rPr>
          <w:rFonts w:ascii="Book Antiqua" w:hAnsi="Book Antiqua"/>
          <w:b/>
          <w:sz w:val="24"/>
          <w:szCs w:val="24"/>
        </w:rPr>
        <w:lastRenderedPageBreak/>
        <w:t xml:space="preserve">Received: </w:t>
      </w:r>
      <w:r>
        <w:rPr>
          <w:rFonts w:ascii="Book Antiqua" w:hAnsi="Book Antiqua"/>
          <w:sz w:val="24"/>
          <w:szCs w:val="24"/>
        </w:rPr>
        <w:t>November</w:t>
      </w:r>
      <w:r>
        <w:rPr>
          <w:rFonts w:ascii="Book Antiqua" w:eastAsia="DengXian" w:hAnsi="Book Antiqua"/>
          <w:sz w:val="24"/>
          <w:szCs w:val="24"/>
        </w:rPr>
        <w:t xml:space="preserve"> 29</w:t>
      </w:r>
      <w:r w:rsidRPr="00AB0899">
        <w:rPr>
          <w:rFonts w:ascii="Book Antiqua" w:eastAsia="DengXian" w:hAnsi="Book Antiqua"/>
          <w:sz w:val="24"/>
          <w:szCs w:val="24"/>
        </w:rPr>
        <w:t>, 2018</w:t>
      </w:r>
      <w:r w:rsidRPr="00AB0899">
        <w:rPr>
          <w:rFonts w:ascii="Book Antiqua" w:hAnsi="Book Antiqua"/>
          <w:b/>
          <w:sz w:val="24"/>
          <w:szCs w:val="24"/>
        </w:rPr>
        <w:t xml:space="preserve">  </w:t>
      </w:r>
    </w:p>
    <w:p w14:paraId="738D5B83" w14:textId="487E855B" w:rsidR="00AB0899" w:rsidRPr="00AB0899" w:rsidRDefault="00AB0899" w:rsidP="00866E07">
      <w:pPr>
        <w:adjustRightInd w:val="0"/>
        <w:snapToGrid w:val="0"/>
        <w:spacing w:line="360" w:lineRule="auto"/>
        <w:outlineLvl w:val="0"/>
        <w:rPr>
          <w:rFonts w:ascii="Book Antiqua" w:eastAsia="DengXian" w:hAnsi="Book Antiqua"/>
          <w:b/>
          <w:sz w:val="24"/>
          <w:szCs w:val="24"/>
        </w:rPr>
      </w:pPr>
      <w:r w:rsidRPr="00AB0899">
        <w:rPr>
          <w:rFonts w:ascii="Book Antiqua" w:hAnsi="Book Antiqua"/>
          <w:b/>
          <w:sz w:val="24"/>
          <w:szCs w:val="24"/>
        </w:rPr>
        <w:t>Peer-review started:</w:t>
      </w:r>
      <w:r w:rsidRPr="00AB0899">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29</w:t>
      </w:r>
      <w:r w:rsidRPr="00AB0899">
        <w:rPr>
          <w:rFonts w:ascii="Book Antiqua" w:eastAsia="DengXian" w:hAnsi="Book Antiqua"/>
          <w:sz w:val="24"/>
          <w:szCs w:val="24"/>
        </w:rPr>
        <w:t>, 2018</w:t>
      </w:r>
    </w:p>
    <w:p w14:paraId="10FC9F90" w14:textId="6A9D38F3" w:rsidR="00AB0899" w:rsidRPr="00AB0899" w:rsidRDefault="00AB0899" w:rsidP="00866E07">
      <w:pPr>
        <w:adjustRightInd w:val="0"/>
        <w:snapToGrid w:val="0"/>
        <w:spacing w:line="360" w:lineRule="auto"/>
        <w:outlineLvl w:val="0"/>
        <w:rPr>
          <w:rFonts w:ascii="Book Antiqua" w:eastAsia="DengXian" w:hAnsi="Book Antiqua"/>
          <w:b/>
          <w:sz w:val="24"/>
          <w:szCs w:val="24"/>
        </w:rPr>
      </w:pPr>
      <w:r w:rsidRPr="00AB0899">
        <w:rPr>
          <w:rFonts w:ascii="Book Antiqua" w:hAnsi="Book Antiqua"/>
          <w:b/>
          <w:sz w:val="24"/>
          <w:szCs w:val="24"/>
        </w:rPr>
        <w:t>First decision:</w:t>
      </w:r>
      <w:r w:rsidRPr="00AB0899">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12</w:t>
      </w:r>
      <w:r w:rsidRPr="00AB0899">
        <w:rPr>
          <w:rFonts w:ascii="Book Antiqua" w:eastAsia="DengXian" w:hAnsi="Book Antiqua"/>
          <w:sz w:val="24"/>
          <w:szCs w:val="24"/>
        </w:rPr>
        <w:t>, 2018</w:t>
      </w:r>
    </w:p>
    <w:p w14:paraId="46820B3D" w14:textId="55BF8F01" w:rsidR="00AB0899" w:rsidRPr="00AB0899" w:rsidRDefault="00AB0899" w:rsidP="00AB0899">
      <w:pPr>
        <w:adjustRightInd w:val="0"/>
        <w:snapToGrid w:val="0"/>
        <w:spacing w:line="360" w:lineRule="auto"/>
        <w:rPr>
          <w:rFonts w:ascii="Book Antiqua" w:hAnsi="Book Antiqua"/>
          <w:b/>
          <w:sz w:val="24"/>
          <w:szCs w:val="24"/>
        </w:rPr>
      </w:pPr>
      <w:r w:rsidRPr="00AB0899">
        <w:rPr>
          <w:rFonts w:ascii="Book Antiqua" w:hAnsi="Book Antiqua"/>
          <w:b/>
          <w:sz w:val="24"/>
          <w:szCs w:val="24"/>
        </w:rPr>
        <w:t xml:space="preserve">Revised: </w:t>
      </w:r>
      <w:r>
        <w:rPr>
          <w:rFonts w:ascii="Book Antiqua" w:hAnsi="Book Antiqua"/>
          <w:sz w:val="24"/>
          <w:szCs w:val="24"/>
        </w:rPr>
        <w:t>December</w:t>
      </w:r>
      <w:r>
        <w:rPr>
          <w:rFonts w:ascii="Book Antiqua" w:eastAsia="DengXian" w:hAnsi="Book Antiqua"/>
          <w:sz w:val="24"/>
          <w:szCs w:val="24"/>
        </w:rPr>
        <w:t xml:space="preserve"> 19</w:t>
      </w:r>
      <w:r w:rsidRPr="00AB0899">
        <w:rPr>
          <w:rFonts w:ascii="Book Antiqua" w:hAnsi="Book Antiqua"/>
          <w:sz w:val="24"/>
          <w:szCs w:val="24"/>
        </w:rPr>
        <w:t xml:space="preserve">, 2018 </w:t>
      </w:r>
    </w:p>
    <w:p w14:paraId="05F5F848" w14:textId="4EC6864E" w:rsidR="00AB0899" w:rsidRPr="00AB0899" w:rsidRDefault="00AB0899" w:rsidP="00866E07">
      <w:pPr>
        <w:adjustRightInd w:val="0"/>
        <w:snapToGrid w:val="0"/>
        <w:spacing w:line="360" w:lineRule="auto"/>
        <w:outlineLvl w:val="0"/>
        <w:rPr>
          <w:rFonts w:ascii="Book Antiqua" w:hAnsi="Book Antiqua"/>
          <w:b/>
          <w:sz w:val="24"/>
          <w:szCs w:val="24"/>
        </w:rPr>
      </w:pPr>
      <w:r w:rsidRPr="00AB0899">
        <w:rPr>
          <w:rFonts w:ascii="Book Antiqua" w:hAnsi="Book Antiqua"/>
          <w:b/>
          <w:sz w:val="24"/>
          <w:szCs w:val="24"/>
        </w:rPr>
        <w:t>Accepted:</w:t>
      </w:r>
      <w:r w:rsidR="002F1C18" w:rsidRPr="002F1C18">
        <w:t xml:space="preserve"> </w:t>
      </w:r>
      <w:r w:rsidR="002F1C18" w:rsidRPr="002F1C18">
        <w:rPr>
          <w:rFonts w:ascii="Book Antiqua" w:hAnsi="Book Antiqua"/>
          <w:sz w:val="24"/>
          <w:szCs w:val="24"/>
        </w:rPr>
        <w:t>January 9, 2019</w:t>
      </w:r>
      <w:r w:rsidR="002F1C18" w:rsidRPr="002F1C18">
        <w:rPr>
          <w:rFonts w:ascii="Book Antiqua" w:hAnsi="Book Antiqua"/>
          <w:b/>
          <w:sz w:val="24"/>
          <w:szCs w:val="24"/>
        </w:rPr>
        <w:t xml:space="preserve"> </w:t>
      </w:r>
      <w:r w:rsidRPr="00AB0899">
        <w:rPr>
          <w:rFonts w:ascii="Book Antiqua" w:hAnsi="Book Antiqua"/>
          <w:b/>
          <w:sz w:val="24"/>
          <w:szCs w:val="24"/>
        </w:rPr>
        <w:t xml:space="preserve"> </w:t>
      </w:r>
    </w:p>
    <w:p w14:paraId="4842A2D2" w14:textId="77777777" w:rsidR="00AB0899" w:rsidRPr="00AB0899" w:rsidRDefault="00AB0899" w:rsidP="00866E07">
      <w:pPr>
        <w:adjustRightInd w:val="0"/>
        <w:snapToGrid w:val="0"/>
        <w:spacing w:line="360" w:lineRule="auto"/>
        <w:outlineLvl w:val="0"/>
        <w:rPr>
          <w:rFonts w:ascii="Book Antiqua" w:hAnsi="Book Antiqua"/>
          <w:b/>
          <w:sz w:val="24"/>
          <w:szCs w:val="24"/>
        </w:rPr>
      </w:pPr>
      <w:r w:rsidRPr="00AB0899">
        <w:rPr>
          <w:rFonts w:ascii="Book Antiqua" w:hAnsi="Book Antiqua"/>
          <w:b/>
          <w:sz w:val="24"/>
          <w:szCs w:val="24"/>
        </w:rPr>
        <w:t>Article in press:</w:t>
      </w:r>
    </w:p>
    <w:p w14:paraId="3F6D22C3" w14:textId="77777777" w:rsidR="00AB0899" w:rsidRPr="00AB0899" w:rsidRDefault="00AB0899" w:rsidP="00866E07">
      <w:pPr>
        <w:adjustRightInd w:val="0"/>
        <w:snapToGrid w:val="0"/>
        <w:spacing w:line="360" w:lineRule="auto"/>
        <w:outlineLvl w:val="0"/>
        <w:rPr>
          <w:rFonts w:ascii="Book Antiqua" w:hAnsi="Book Antiqua"/>
          <w:color w:val="000000"/>
          <w:sz w:val="24"/>
          <w:szCs w:val="24"/>
        </w:rPr>
      </w:pPr>
      <w:r w:rsidRPr="00AB0899">
        <w:rPr>
          <w:rFonts w:ascii="Book Antiqua" w:hAnsi="Book Antiqua"/>
          <w:b/>
          <w:sz w:val="24"/>
          <w:szCs w:val="24"/>
        </w:rPr>
        <w:t>Published online:</w:t>
      </w:r>
      <w:bookmarkEnd w:id="33"/>
      <w:bookmarkEnd w:id="34"/>
      <w:bookmarkEnd w:id="35"/>
      <w:bookmarkEnd w:id="36"/>
      <w:bookmarkEnd w:id="37"/>
    </w:p>
    <w:bookmarkEnd w:id="38"/>
    <w:bookmarkEnd w:id="39"/>
    <w:p w14:paraId="5FE3D363" w14:textId="58DB6FD3" w:rsidR="00AB0899" w:rsidRPr="00AB0899" w:rsidRDefault="00AB0899" w:rsidP="00AB0899">
      <w:pPr>
        <w:adjustRightInd w:val="0"/>
        <w:snapToGrid w:val="0"/>
        <w:spacing w:line="360" w:lineRule="auto"/>
        <w:rPr>
          <w:rFonts w:ascii="Book Antiqua" w:hAnsi="Book Antiqua" w:cs="Times New Roman"/>
          <w:sz w:val="24"/>
          <w:szCs w:val="24"/>
        </w:rPr>
      </w:pPr>
      <w:r w:rsidRPr="00AB0899">
        <w:rPr>
          <w:rFonts w:ascii="Book Antiqua" w:hAnsi="Book Antiqua"/>
          <w:sz w:val="24"/>
          <w:szCs w:val="24"/>
        </w:rPr>
        <w:br w:type="page"/>
      </w:r>
    </w:p>
    <w:p w14:paraId="556C29C7" w14:textId="77777777" w:rsidR="00CC3198" w:rsidRPr="002910A5" w:rsidRDefault="00EC13A5"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lastRenderedPageBreak/>
        <w:t>Abstract</w:t>
      </w:r>
    </w:p>
    <w:p w14:paraId="720DCD3E" w14:textId="77777777" w:rsidR="00691E96" w:rsidRDefault="004F2E65"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B</w:t>
      </w:r>
      <w:r w:rsidR="004C3C01" w:rsidRPr="002910A5">
        <w:rPr>
          <w:rFonts w:ascii="Book Antiqua" w:hAnsi="Book Antiqua" w:cs="Times New Roman"/>
          <w:b/>
          <w:i/>
          <w:sz w:val="24"/>
          <w:szCs w:val="24"/>
        </w:rPr>
        <w:t>ACKGROUND</w:t>
      </w:r>
    </w:p>
    <w:p w14:paraId="556C29C8" w14:textId="1687ABC0"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Endoscopic submucosal dissection </w:t>
      </w:r>
      <w:r w:rsidR="00027882" w:rsidRPr="002910A5">
        <w:rPr>
          <w:rFonts w:ascii="Book Antiqua" w:hAnsi="Book Antiqua" w:cs="Times New Roman"/>
          <w:sz w:val="24"/>
          <w:szCs w:val="24"/>
        </w:rPr>
        <w:t>(ESD) for gastric neoplasms during</w:t>
      </w:r>
      <w:r w:rsidRPr="002910A5">
        <w:rPr>
          <w:rFonts w:ascii="Book Antiqua" w:hAnsi="Book Antiqua" w:cs="Times New Roman"/>
          <w:sz w:val="24"/>
          <w:szCs w:val="24"/>
        </w:rPr>
        <w:t xml:space="preserve"> continuous low-dos</w:t>
      </w:r>
      <w:r w:rsidR="00CC7371" w:rsidRPr="002910A5">
        <w:rPr>
          <w:rFonts w:ascii="Book Antiqua" w:hAnsi="Book Antiqua" w:cs="Times New Roman"/>
          <w:sz w:val="24"/>
          <w:szCs w:val="24"/>
        </w:rPr>
        <w:t>e aspirin (LDA)</w:t>
      </w:r>
      <w:r w:rsidR="00027882" w:rsidRPr="002910A5">
        <w:rPr>
          <w:rFonts w:ascii="Book Antiqua" w:hAnsi="Book Antiqua" w:cs="Times New Roman"/>
          <w:sz w:val="24"/>
          <w:szCs w:val="24"/>
        </w:rPr>
        <w:t xml:space="preserve"> administration</w:t>
      </w:r>
      <w:r w:rsidR="00CC7371" w:rsidRPr="002910A5">
        <w:rPr>
          <w:rFonts w:ascii="Book Antiqua" w:hAnsi="Book Antiqua" w:cs="Times New Roman"/>
          <w:sz w:val="24"/>
          <w:szCs w:val="24"/>
        </w:rPr>
        <w:t xml:space="preserve"> is generally</w:t>
      </w:r>
      <w:r w:rsidRPr="002910A5">
        <w:rPr>
          <w:rFonts w:ascii="Book Antiqua" w:hAnsi="Book Antiqua" w:cs="Times New Roman"/>
          <w:sz w:val="24"/>
          <w:szCs w:val="24"/>
        </w:rPr>
        <w:t xml:space="preserve"> acceptable according to recent guidelines. This </w:t>
      </w:r>
      <w:r w:rsidR="000558EA" w:rsidRPr="002910A5">
        <w:rPr>
          <w:rFonts w:ascii="Book Antiqua" w:hAnsi="Book Antiqua" w:cs="Times New Roman"/>
          <w:sz w:val="24"/>
          <w:szCs w:val="24"/>
        </w:rPr>
        <w:t xml:space="preserve">retrospective </w:t>
      </w:r>
      <w:r w:rsidRPr="002910A5">
        <w:rPr>
          <w:rFonts w:ascii="Book Antiqua" w:hAnsi="Book Antiqua" w:cs="Times New Roman"/>
          <w:sz w:val="24"/>
          <w:szCs w:val="24"/>
        </w:rPr>
        <w:t>study aim</w:t>
      </w:r>
      <w:r w:rsidR="00CC7371" w:rsidRPr="002910A5">
        <w:rPr>
          <w:rFonts w:ascii="Book Antiqua" w:hAnsi="Book Antiqua" w:cs="Times New Roman"/>
          <w:sz w:val="24"/>
          <w:szCs w:val="24"/>
        </w:rPr>
        <w:t>ed to investigate</w:t>
      </w:r>
      <w:r w:rsidR="00CA1397" w:rsidRPr="002910A5">
        <w:rPr>
          <w:rFonts w:ascii="Book Antiqua" w:hAnsi="Book Antiqua" w:cs="Times New Roman"/>
          <w:sz w:val="24"/>
          <w:szCs w:val="24"/>
        </w:rPr>
        <w:t xml:space="preserve"> the effect of</w:t>
      </w:r>
      <w:r w:rsidRPr="002910A5">
        <w:rPr>
          <w:rFonts w:ascii="Book Antiqua" w:hAnsi="Book Antiqua" w:cs="Times New Roman"/>
          <w:sz w:val="24"/>
          <w:szCs w:val="24"/>
        </w:rPr>
        <w:t xml:space="preserve"> continuous LDA </w:t>
      </w:r>
      <w:r w:rsidR="00CC7371" w:rsidRPr="002910A5">
        <w:rPr>
          <w:rFonts w:ascii="Book Antiqua" w:hAnsi="Book Antiqua" w:cs="Times New Roman"/>
          <w:sz w:val="24"/>
          <w:szCs w:val="24"/>
        </w:rPr>
        <w:t xml:space="preserve">on the postoperative bleeding after gastric ESD </w:t>
      </w:r>
      <w:r w:rsidR="00F4446B" w:rsidRPr="002910A5">
        <w:rPr>
          <w:rFonts w:ascii="Book Antiqua" w:hAnsi="Book Antiqua" w:cs="Times New Roman"/>
          <w:sz w:val="24"/>
          <w:szCs w:val="24"/>
        </w:rPr>
        <w:t>in patients receiving</w:t>
      </w:r>
      <w:r w:rsidRPr="002910A5">
        <w:rPr>
          <w:rFonts w:ascii="Book Antiqua" w:hAnsi="Book Antiqua" w:cs="Times New Roman"/>
          <w:sz w:val="24"/>
          <w:szCs w:val="24"/>
        </w:rPr>
        <w:t xml:space="preserve"> dual antiplatelet therapy (DAPT).</w:t>
      </w:r>
    </w:p>
    <w:p w14:paraId="6DD4B1B3" w14:textId="77777777" w:rsidR="00691E96" w:rsidRPr="002910A5" w:rsidRDefault="00691E96" w:rsidP="002910A5">
      <w:pPr>
        <w:adjustRightInd w:val="0"/>
        <w:snapToGrid w:val="0"/>
        <w:spacing w:line="360" w:lineRule="auto"/>
        <w:rPr>
          <w:rFonts w:ascii="Book Antiqua" w:hAnsi="Book Antiqua" w:cs="Times New Roman"/>
          <w:sz w:val="24"/>
          <w:szCs w:val="24"/>
        </w:rPr>
      </w:pPr>
    </w:p>
    <w:p w14:paraId="236FC96B" w14:textId="77777777" w:rsidR="00691E96" w:rsidRDefault="004C3C01"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AIM</w:t>
      </w:r>
    </w:p>
    <w:p w14:paraId="5D13723D" w14:textId="128EC94B" w:rsidR="004C3C01" w:rsidRDefault="004C3C01"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To investigate the feasibility of gastric ESD with continuous LDA in patients with DAPT.</w:t>
      </w:r>
    </w:p>
    <w:p w14:paraId="0ACCF74D" w14:textId="77777777" w:rsidR="00691E96" w:rsidRPr="002910A5" w:rsidRDefault="00691E96" w:rsidP="002910A5">
      <w:pPr>
        <w:adjustRightInd w:val="0"/>
        <w:snapToGrid w:val="0"/>
        <w:spacing w:line="360" w:lineRule="auto"/>
        <w:rPr>
          <w:rFonts w:ascii="Book Antiqua" w:hAnsi="Book Antiqua" w:cs="Times New Roman"/>
          <w:sz w:val="24"/>
          <w:szCs w:val="24"/>
        </w:rPr>
      </w:pPr>
    </w:p>
    <w:p w14:paraId="24E424A0" w14:textId="77777777" w:rsidR="00691E96" w:rsidRDefault="004C3C01"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METHODS</w:t>
      </w:r>
    </w:p>
    <w:p w14:paraId="556C29C9" w14:textId="2F9F4AB5" w:rsidR="008642AE" w:rsidRDefault="008642AE"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A total of 597</w:t>
      </w:r>
      <w:r w:rsidR="00CC3198" w:rsidRPr="002910A5">
        <w:rPr>
          <w:rFonts w:ascii="Book Antiqua" w:hAnsi="Book Antiqua" w:cs="Times New Roman"/>
          <w:sz w:val="24"/>
          <w:szCs w:val="24"/>
        </w:rPr>
        <w:t xml:space="preserve"> patients w</w:t>
      </w:r>
      <w:r w:rsidR="00F4446B" w:rsidRPr="002910A5">
        <w:rPr>
          <w:rFonts w:ascii="Book Antiqua" w:hAnsi="Book Antiqua" w:cs="Times New Roman"/>
          <w:sz w:val="24"/>
          <w:szCs w:val="24"/>
        </w:rPr>
        <w:t>ith gastric neoplasms treated with</w:t>
      </w:r>
      <w:r w:rsidR="00CC3198" w:rsidRPr="002910A5">
        <w:rPr>
          <w:rFonts w:ascii="Book Antiqua" w:hAnsi="Book Antiqua" w:cs="Times New Roman"/>
          <w:sz w:val="24"/>
          <w:szCs w:val="24"/>
        </w:rPr>
        <w:t xml:space="preserve"> ESD between January 20</w:t>
      </w:r>
      <w:r w:rsidR="009D0C0C" w:rsidRPr="002910A5">
        <w:rPr>
          <w:rFonts w:ascii="Book Antiqua" w:hAnsi="Book Antiqua" w:cs="Times New Roman"/>
          <w:sz w:val="24"/>
          <w:szCs w:val="24"/>
        </w:rPr>
        <w:t>10</w:t>
      </w:r>
      <w:r w:rsidRPr="002910A5">
        <w:rPr>
          <w:rFonts w:ascii="Book Antiqua" w:hAnsi="Book Antiqua" w:cs="Times New Roman"/>
          <w:sz w:val="24"/>
          <w:szCs w:val="24"/>
        </w:rPr>
        <w:t xml:space="preserve"> and June 2017</w:t>
      </w:r>
      <w:r w:rsidR="00CC3198" w:rsidRPr="002910A5">
        <w:rPr>
          <w:rFonts w:ascii="Book Antiqua" w:hAnsi="Book Antiqua" w:cs="Times New Roman"/>
          <w:sz w:val="24"/>
          <w:szCs w:val="24"/>
        </w:rPr>
        <w:t xml:space="preserve"> were enrolled. The patients were categorized according to </w:t>
      </w:r>
      <w:r w:rsidR="00F4446B" w:rsidRPr="002910A5">
        <w:rPr>
          <w:rFonts w:ascii="Book Antiqua" w:hAnsi="Book Antiqua" w:cs="Times New Roman"/>
          <w:sz w:val="24"/>
          <w:szCs w:val="24"/>
        </w:rPr>
        <w:t>type</w:t>
      </w:r>
      <w:r w:rsidR="00CC7371" w:rsidRPr="002910A5">
        <w:rPr>
          <w:rFonts w:ascii="Book Antiqua" w:hAnsi="Book Antiqua" w:cs="Times New Roman"/>
          <w:sz w:val="24"/>
          <w:szCs w:val="24"/>
        </w:rPr>
        <w:t xml:space="preserve"> of </w:t>
      </w:r>
      <w:r w:rsidR="00691E96">
        <w:rPr>
          <w:rFonts w:ascii="Book Antiqua" w:hAnsi="Book Antiqua" w:cs="Times New Roman"/>
          <w:sz w:val="24"/>
          <w:szCs w:val="24"/>
        </w:rPr>
        <w:t>antiplatelet therapy (APT).</w:t>
      </w:r>
    </w:p>
    <w:p w14:paraId="75E6BAF5" w14:textId="77777777" w:rsidR="00691E96" w:rsidRPr="002910A5" w:rsidRDefault="00691E96" w:rsidP="002910A5">
      <w:pPr>
        <w:adjustRightInd w:val="0"/>
        <w:snapToGrid w:val="0"/>
        <w:spacing w:line="360" w:lineRule="auto"/>
        <w:rPr>
          <w:rFonts w:ascii="Book Antiqua" w:hAnsi="Book Antiqua" w:cs="Times New Roman"/>
          <w:sz w:val="24"/>
          <w:szCs w:val="24"/>
        </w:rPr>
      </w:pPr>
    </w:p>
    <w:p w14:paraId="3866BF95" w14:textId="77777777" w:rsidR="00691E96" w:rsidRDefault="00CC3198"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R</w:t>
      </w:r>
      <w:r w:rsidR="005551DD" w:rsidRPr="002910A5">
        <w:rPr>
          <w:rFonts w:ascii="Book Antiqua" w:hAnsi="Book Antiqua" w:cs="Times New Roman"/>
          <w:b/>
          <w:i/>
          <w:sz w:val="24"/>
          <w:szCs w:val="24"/>
        </w:rPr>
        <w:t>ESULTS</w:t>
      </w:r>
    </w:p>
    <w:p w14:paraId="556C29CA" w14:textId="2CB8BA5D" w:rsidR="002363BA" w:rsidRDefault="00AA7DE8" w:rsidP="002910A5">
      <w:pPr>
        <w:adjustRightInd w:val="0"/>
        <w:snapToGrid w:val="0"/>
        <w:spacing w:line="360" w:lineRule="auto"/>
        <w:rPr>
          <w:rFonts w:ascii="Book Antiqua" w:hAnsi="Book Antiqua" w:cs="Times New Roman"/>
          <w:kern w:val="24"/>
          <w:sz w:val="24"/>
          <w:szCs w:val="24"/>
        </w:rPr>
      </w:pPr>
      <w:r w:rsidRPr="002910A5">
        <w:rPr>
          <w:rFonts w:ascii="Book Antiqua" w:hAnsi="Book Antiqua" w:cs="Times New Roman"/>
          <w:kern w:val="24"/>
          <w:sz w:val="24"/>
          <w:szCs w:val="24"/>
        </w:rPr>
        <w:t xml:space="preserve">The </w:t>
      </w:r>
      <w:r w:rsidRPr="002910A5">
        <w:rPr>
          <w:rFonts w:ascii="Book Antiqua" w:hAnsi="Book Antiqua" w:cs="Times New Roman"/>
          <w:sz w:val="24"/>
          <w:szCs w:val="24"/>
        </w:rPr>
        <w:t>postoperativ</w:t>
      </w:r>
      <w:r w:rsidR="00472445" w:rsidRPr="002910A5">
        <w:rPr>
          <w:rFonts w:ascii="Book Antiqua" w:hAnsi="Book Antiqua" w:cs="Times New Roman"/>
          <w:sz w:val="24"/>
          <w:szCs w:val="24"/>
        </w:rPr>
        <w:t xml:space="preserve">e bleeding rate </w:t>
      </w:r>
      <w:r w:rsidRPr="002910A5">
        <w:rPr>
          <w:rFonts w:ascii="Book Antiqua" w:hAnsi="Book Antiqua" w:cs="Times New Roman"/>
          <w:sz w:val="24"/>
          <w:szCs w:val="24"/>
        </w:rPr>
        <w:t>was 6.9% (41/597)</w:t>
      </w:r>
      <w:r w:rsidR="00472445" w:rsidRPr="002910A5">
        <w:rPr>
          <w:rFonts w:ascii="Book Antiqua" w:hAnsi="Book Antiqua" w:cs="Times New Roman"/>
          <w:sz w:val="24"/>
          <w:szCs w:val="24"/>
        </w:rPr>
        <w:t xml:space="preserve"> in all patients</w:t>
      </w:r>
      <w:r w:rsidRPr="002910A5">
        <w:rPr>
          <w:rFonts w:ascii="Book Antiqua" w:hAnsi="Book Antiqua" w:cs="Times New Roman"/>
          <w:sz w:val="24"/>
          <w:szCs w:val="24"/>
        </w:rPr>
        <w:t xml:space="preserve">. </w:t>
      </w:r>
      <w:r w:rsidR="00F4446B" w:rsidRPr="002910A5">
        <w:rPr>
          <w:rFonts w:ascii="Book Antiqua" w:hAnsi="Book Antiqua" w:cs="Times New Roman"/>
          <w:sz w:val="24"/>
          <w:szCs w:val="24"/>
        </w:rPr>
        <w:t>P</w:t>
      </w:r>
      <w:r w:rsidR="00472445" w:rsidRPr="002910A5">
        <w:rPr>
          <w:rFonts w:ascii="Book Antiqua" w:hAnsi="Book Antiqua" w:cs="Times New Roman"/>
          <w:sz w:val="24"/>
          <w:szCs w:val="24"/>
        </w:rPr>
        <w:t>atients were divided</w:t>
      </w:r>
      <w:r w:rsidR="00CC3198" w:rsidRPr="002910A5">
        <w:rPr>
          <w:rFonts w:ascii="Book Antiqua" w:hAnsi="Book Antiqua" w:cs="Times New Roman"/>
          <w:sz w:val="24"/>
          <w:szCs w:val="24"/>
        </w:rPr>
        <w:t xml:space="preserve"> into </w:t>
      </w:r>
      <w:r w:rsidR="00472445" w:rsidRPr="002910A5">
        <w:rPr>
          <w:rFonts w:ascii="Book Antiqua" w:hAnsi="Book Antiqua" w:cs="Times New Roman"/>
          <w:sz w:val="24"/>
          <w:szCs w:val="24"/>
        </w:rPr>
        <w:t xml:space="preserve">the following </w:t>
      </w:r>
      <w:r w:rsidR="00CC3198" w:rsidRPr="002910A5">
        <w:rPr>
          <w:rFonts w:ascii="Book Antiqua" w:hAnsi="Book Antiqua" w:cs="Times New Roman"/>
          <w:sz w:val="24"/>
          <w:szCs w:val="24"/>
        </w:rPr>
        <w:t>two groups: no APT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443) and APT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154</w:t>
      </w:r>
      <w:r w:rsidR="00CC3198" w:rsidRPr="002910A5">
        <w:rPr>
          <w:rFonts w:ascii="Book Antiqua" w:hAnsi="Book Antiqua" w:cs="Times New Roman"/>
          <w:sz w:val="24"/>
          <w:szCs w:val="24"/>
        </w:rPr>
        <w:t>). APT included</w:t>
      </w:r>
      <w:r w:rsidR="008642AE" w:rsidRPr="002910A5">
        <w:rPr>
          <w:rFonts w:ascii="Book Antiqua" w:hAnsi="Book Antiqua" w:cs="Times New Roman"/>
          <w:sz w:val="24"/>
          <w:szCs w:val="24"/>
        </w:rPr>
        <w:t xml:space="preserve"> single-LDA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95</w:t>
      </w:r>
      <w:r w:rsidR="00CC3198" w:rsidRPr="002910A5">
        <w:rPr>
          <w:rFonts w:ascii="Book Antiqua" w:hAnsi="Book Antiqua" w:cs="Times New Roman"/>
          <w:sz w:val="24"/>
          <w:szCs w:val="24"/>
        </w:rPr>
        <w:t>) and DA</w:t>
      </w:r>
      <w:r w:rsidR="00472445" w:rsidRPr="002910A5">
        <w:rPr>
          <w:rFonts w:ascii="Book Antiqua" w:hAnsi="Book Antiqua" w:cs="Times New Roman"/>
          <w:sz w:val="24"/>
          <w:szCs w:val="24"/>
        </w:rPr>
        <w:t>PT (LDA plus clopidogrel,</w:t>
      </w:r>
      <w:r w:rsidR="008642AE" w:rsidRPr="002910A5">
        <w:rPr>
          <w:rFonts w:ascii="Book Antiqua" w:hAnsi="Book Antiqua" w:cs="Times New Roman"/>
          <w:sz w:val="24"/>
          <w:szCs w:val="24"/>
        </w:rPr>
        <w:t xml:space="preserve">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59</w:t>
      </w:r>
      <w:r w:rsidR="00CC3198" w:rsidRPr="002910A5">
        <w:rPr>
          <w:rFonts w:ascii="Book Antiqua" w:hAnsi="Book Antiqua" w:cs="Times New Roman"/>
          <w:sz w:val="24"/>
          <w:szCs w:val="24"/>
        </w:rPr>
        <w:t>)</w:t>
      </w:r>
      <w:r w:rsidR="00C25C57" w:rsidRPr="002910A5">
        <w:rPr>
          <w:rFonts w:ascii="Book Antiqua" w:hAnsi="Book Antiqua" w:cs="Times New Roman"/>
          <w:sz w:val="24"/>
          <w:szCs w:val="24"/>
        </w:rPr>
        <w:t xml:space="preserve"> subgroup</w:t>
      </w:r>
      <w:r w:rsidR="00F4446B" w:rsidRPr="002910A5">
        <w:rPr>
          <w:rFonts w:ascii="Book Antiqua" w:hAnsi="Book Antiqua" w:cs="Times New Roman"/>
          <w:sz w:val="24"/>
          <w:szCs w:val="24"/>
        </w:rPr>
        <w:t>s</w:t>
      </w:r>
      <w:r w:rsidR="00CC3198" w:rsidRPr="002910A5">
        <w:rPr>
          <w:rFonts w:ascii="Book Antiqua" w:hAnsi="Book Antiqua" w:cs="Times New Roman"/>
          <w:sz w:val="24"/>
          <w:szCs w:val="24"/>
        </w:rPr>
        <w:t xml:space="preserve">. </w:t>
      </w:r>
      <w:r w:rsidR="00C25C57" w:rsidRPr="002910A5">
        <w:rPr>
          <w:rFonts w:ascii="Book Antiqua" w:hAnsi="Book Antiqua" w:cs="Times New Roman"/>
          <w:sz w:val="24"/>
          <w:szCs w:val="24"/>
        </w:rPr>
        <w:t>In</w:t>
      </w:r>
      <w:r w:rsidR="00F73402" w:rsidRPr="002910A5">
        <w:rPr>
          <w:rFonts w:ascii="Book Antiqua" w:hAnsi="Book Antiqua" w:cs="Times New Roman"/>
          <w:sz w:val="24"/>
          <w:szCs w:val="24"/>
        </w:rPr>
        <w:t xml:space="preserve"> </w:t>
      </w:r>
      <w:r w:rsidR="00F4446B" w:rsidRPr="002910A5">
        <w:rPr>
          <w:rFonts w:ascii="Book Antiqua" w:hAnsi="Book Antiqua" w:cs="Times New Roman"/>
          <w:sz w:val="24"/>
          <w:szCs w:val="24"/>
        </w:rPr>
        <w:t xml:space="preserve">the </w:t>
      </w:r>
      <w:r w:rsidR="00F73402" w:rsidRPr="002910A5">
        <w:rPr>
          <w:rFonts w:ascii="Book Antiqua" w:hAnsi="Book Antiqua" w:cs="Times New Roman"/>
          <w:sz w:val="24"/>
          <w:szCs w:val="24"/>
        </w:rPr>
        <w:t>single-LDA</w:t>
      </w:r>
      <w:r w:rsidR="00C25C57" w:rsidRPr="002910A5">
        <w:rPr>
          <w:rFonts w:ascii="Book Antiqua" w:hAnsi="Book Antiqua" w:cs="Times New Roman"/>
          <w:sz w:val="24"/>
          <w:szCs w:val="24"/>
        </w:rPr>
        <w:t xml:space="preserve"> and DAPT subgroups</w:t>
      </w:r>
      <w:r w:rsidR="008642AE" w:rsidRPr="002910A5">
        <w:rPr>
          <w:rFonts w:ascii="Book Antiqua" w:hAnsi="Book Antiqua" w:cs="Times New Roman"/>
          <w:sz w:val="24"/>
          <w:szCs w:val="24"/>
        </w:rPr>
        <w:t xml:space="preserve">, </w:t>
      </w:r>
      <w:r w:rsidR="00F73402" w:rsidRPr="002910A5">
        <w:rPr>
          <w:rFonts w:ascii="Book Antiqua" w:hAnsi="Book Antiqua" w:cs="Times New Roman"/>
          <w:sz w:val="24"/>
          <w:szCs w:val="24"/>
        </w:rPr>
        <w:t>56</w:t>
      </w:r>
      <w:r w:rsidR="00C25C57" w:rsidRPr="002910A5">
        <w:rPr>
          <w:rFonts w:ascii="Book Antiqua" w:hAnsi="Book Antiqua" w:cs="Times New Roman"/>
          <w:sz w:val="24"/>
          <w:szCs w:val="24"/>
        </w:rPr>
        <w:t xml:space="preserve"> and 39 patients were</w:t>
      </w:r>
      <w:r w:rsidR="009D7CC5" w:rsidRPr="002910A5">
        <w:rPr>
          <w:rFonts w:ascii="Book Antiqua" w:hAnsi="Book Antiqua" w:cs="Times New Roman"/>
          <w:sz w:val="24"/>
          <w:szCs w:val="24"/>
        </w:rPr>
        <w:t xml:space="preserve"> received continuous LDA</w:t>
      </w:r>
      <w:r w:rsidR="00C25C57" w:rsidRPr="002910A5">
        <w:rPr>
          <w:rFonts w:ascii="Book Antiqua" w:hAnsi="Book Antiqua" w:cs="Times New Roman"/>
          <w:sz w:val="24"/>
          <w:szCs w:val="24"/>
        </w:rPr>
        <w:t>, respectively</w:t>
      </w:r>
      <w:r w:rsidR="00F73402" w:rsidRPr="002910A5">
        <w:rPr>
          <w:rFonts w:ascii="Book Antiqua" w:hAnsi="Book Antiqua" w:cs="Times New Roman"/>
          <w:sz w:val="24"/>
          <w:szCs w:val="24"/>
        </w:rPr>
        <w:t xml:space="preserve">. </w:t>
      </w:r>
      <w:r w:rsidR="002363BA" w:rsidRPr="002910A5">
        <w:rPr>
          <w:rFonts w:ascii="Book Antiqua" w:hAnsi="Book Antiqua" w:cs="Times New Roman"/>
          <w:kern w:val="24"/>
          <w:sz w:val="24"/>
          <w:szCs w:val="24"/>
        </w:rPr>
        <w:t>The bleeding rate</w:t>
      </w:r>
      <w:r w:rsidR="00C25C57" w:rsidRPr="002910A5">
        <w:rPr>
          <w:rFonts w:ascii="Book Antiqua" w:hAnsi="Book Antiqua" w:cs="Times New Roman"/>
          <w:kern w:val="24"/>
          <w:sz w:val="24"/>
          <w:szCs w:val="24"/>
        </w:rPr>
        <w:t xml:space="preserve"> </w:t>
      </w:r>
      <w:r w:rsidR="005D4154" w:rsidRPr="002910A5">
        <w:rPr>
          <w:rFonts w:ascii="Book Antiqua" w:hAnsi="Book Antiqua" w:cs="Times New Roman"/>
          <w:kern w:val="24"/>
          <w:sz w:val="24"/>
          <w:szCs w:val="24"/>
        </w:rPr>
        <w:t xml:space="preserve">with </w:t>
      </w:r>
      <w:r w:rsidR="002363BA" w:rsidRPr="002910A5">
        <w:rPr>
          <w:rFonts w:ascii="Book Antiqua" w:hAnsi="Book Antiqua" w:cs="Times New Roman"/>
          <w:kern w:val="24"/>
          <w:sz w:val="24"/>
          <w:szCs w:val="24"/>
        </w:rPr>
        <w:t xml:space="preserve">continuous </w:t>
      </w:r>
      <w:r w:rsidR="002B2AD4" w:rsidRPr="002910A5">
        <w:rPr>
          <w:rFonts w:ascii="Book Antiqua" w:hAnsi="Book Antiqua" w:cs="Times New Roman"/>
          <w:kern w:val="24"/>
          <w:sz w:val="24"/>
          <w:szCs w:val="24"/>
        </w:rPr>
        <w:t>single-</w:t>
      </w:r>
      <w:r w:rsidR="005D4154" w:rsidRPr="002910A5">
        <w:rPr>
          <w:rFonts w:ascii="Book Antiqua" w:hAnsi="Book Antiqua" w:cs="Times New Roman"/>
          <w:kern w:val="24"/>
          <w:sz w:val="24"/>
          <w:szCs w:val="24"/>
        </w:rPr>
        <w:t>LDA</w:t>
      </w:r>
      <w:r w:rsidR="00C25C57" w:rsidRPr="002910A5">
        <w:rPr>
          <w:rFonts w:ascii="Book Antiqua" w:hAnsi="Book Antiqua" w:cs="Times New Roman"/>
          <w:kern w:val="24"/>
          <w:sz w:val="24"/>
          <w:szCs w:val="24"/>
        </w:rPr>
        <w:t xml:space="preserve"> (10.7%) was</w:t>
      </w:r>
      <w:r w:rsidR="00F4446B" w:rsidRPr="002910A5">
        <w:rPr>
          <w:rFonts w:ascii="Book Antiqua" w:hAnsi="Book Antiqua" w:cs="Times New Roman"/>
          <w:kern w:val="24"/>
          <w:sz w:val="24"/>
          <w:szCs w:val="24"/>
        </w:rPr>
        <w:t xml:space="preserve"> </w:t>
      </w:r>
      <w:r w:rsidR="003F45C5" w:rsidRPr="002910A5">
        <w:rPr>
          <w:rFonts w:ascii="Book Antiqua" w:hAnsi="Book Antiqua" w:cs="Times New Roman"/>
          <w:kern w:val="24"/>
          <w:sz w:val="24"/>
          <w:szCs w:val="24"/>
        </w:rPr>
        <w:t xml:space="preserve">similar to </w:t>
      </w:r>
      <w:r w:rsidR="005D4154" w:rsidRPr="002910A5">
        <w:rPr>
          <w:rFonts w:ascii="Book Antiqua" w:hAnsi="Book Antiqua" w:cs="Times New Roman"/>
          <w:kern w:val="24"/>
          <w:sz w:val="24"/>
          <w:szCs w:val="24"/>
        </w:rPr>
        <w:t>that with</w:t>
      </w:r>
      <w:r w:rsidR="002363BA" w:rsidRPr="002910A5">
        <w:rPr>
          <w:rFonts w:ascii="Book Antiqua" w:hAnsi="Book Antiqua" w:cs="Times New Roman"/>
          <w:kern w:val="24"/>
          <w:sz w:val="24"/>
          <w:szCs w:val="24"/>
        </w:rPr>
        <w:t xml:space="preserve"> discontinuous </w:t>
      </w:r>
      <w:r w:rsidR="002B2AD4" w:rsidRPr="002910A5">
        <w:rPr>
          <w:rFonts w:ascii="Book Antiqua" w:hAnsi="Book Antiqua" w:cs="Times New Roman"/>
          <w:kern w:val="24"/>
          <w:sz w:val="24"/>
          <w:szCs w:val="24"/>
        </w:rPr>
        <w:t>single-</w:t>
      </w:r>
      <w:r w:rsidR="005D4154" w:rsidRPr="002910A5">
        <w:rPr>
          <w:rFonts w:ascii="Book Antiqua" w:hAnsi="Book Antiqua" w:cs="Times New Roman"/>
          <w:kern w:val="24"/>
          <w:sz w:val="24"/>
          <w:szCs w:val="24"/>
        </w:rPr>
        <w:t>LDA</w:t>
      </w:r>
      <w:r w:rsidR="002363BA" w:rsidRPr="002910A5">
        <w:rPr>
          <w:rFonts w:ascii="Book Antiqua" w:hAnsi="Book Antiqua" w:cs="Times New Roman"/>
          <w:kern w:val="24"/>
          <w:sz w:val="24"/>
          <w:szCs w:val="24"/>
        </w:rPr>
        <w:t xml:space="preserve"> (</w:t>
      </w:r>
      <w:r w:rsidR="001864EE" w:rsidRPr="002910A5">
        <w:rPr>
          <w:rFonts w:ascii="Book Antiqua" w:hAnsi="Book Antiqua" w:cs="Times New Roman"/>
          <w:kern w:val="24"/>
          <w:sz w:val="24"/>
          <w:szCs w:val="24"/>
        </w:rPr>
        <w:t>10.3</w:t>
      </w:r>
      <w:r w:rsidR="002363BA" w:rsidRPr="002910A5">
        <w:rPr>
          <w:rFonts w:ascii="Book Antiqua" w:hAnsi="Book Antiqua" w:cs="Times New Roman"/>
          <w:kern w:val="24"/>
          <w:sz w:val="24"/>
          <w:szCs w:val="24"/>
        </w:rPr>
        <w:t>%) (</w:t>
      </w:r>
      <w:r w:rsidR="002363BA" w:rsidRPr="002910A5">
        <w:rPr>
          <w:rFonts w:ascii="Book Antiqua" w:hAnsi="Book Antiqua" w:cs="Times New Roman"/>
          <w:i/>
          <w:kern w:val="24"/>
          <w:sz w:val="24"/>
          <w:szCs w:val="24"/>
        </w:rPr>
        <w:t>P</w:t>
      </w:r>
      <w:r w:rsidR="002363BA" w:rsidRPr="002910A5">
        <w:rPr>
          <w:rFonts w:ascii="Book Antiqua" w:hAnsi="Book Antiqua" w:cs="Times New Roman"/>
          <w:kern w:val="24"/>
          <w:sz w:val="24"/>
          <w:szCs w:val="24"/>
        </w:rPr>
        <w:t xml:space="preserve"> </w:t>
      </w:r>
      <w:r w:rsidR="002363BA" w:rsidRPr="002910A5">
        <w:rPr>
          <w:rFonts w:ascii="Book Antiqua" w:eastAsia="MS PGothic" w:hAnsi="Book Antiqua" w:cs="Times New Roman"/>
          <w:kern w:val="0"/>
          <w:sz w:val="24"/>
          <w:szCs w:val="24"/>
        </w:rPr>
        <w:t>&gt; 0.99</w:t>
      </w:r>
      <w:r w:rsidR="005D4154" w:rsidRPr="002910A5">
        <w:rPr>
          <w:rFonts w:ascii="Book Antiqua" w:hAnsi="Book Antiqua" w:cs="Times New Roman"/>
          <w:kern w:val="24"/>
          <w:sz w:val="24"/>
          <w:szCs w:val="24"/>
        </w:rPr>
        <w:t xml:space="preserve">). Although the bleeding rate with </w:t>
      </w:r>
      <w:r w:rsidR="002363BA" w:rsidRPr="002910A5">
        <w:rPr>
          <w:rFonts w:ascii="Book Antiqua" w:hAnsi="Book Antiqua" w:cs="Times New Roman"/>
          <w:kern w:val="24"/>
          <w:sz w:val="24"/>
          <w:szCs w:val="24"/>
        </w:rPr>
        <w:t xml:space="preserve">continuous LDA </w:t>
      </w:r>
      <w:r w:rsidR="00F4446B" w:rsidRPr="002910A5">
        <w:rPr>
          <w:rFonts w:ascii="Book Antiqua" w:hAnsi="Book Antiqua" w:cs="Times New Roman"/>
          <w:kern w:val="24"/>
          <w:sz w:val="24"/>
          <w:szCs w:val="24"/>
        </w:rPr>
        <w:t>in patients receiving</w:t>
      </w:r>
      <w:r w:rsidR="00691E96">
        <w:rPr>
          <w:rFonts w:ascii="Book Antiqua" w:hAnsi="Book Antiqua" w:cs="Times New Roman"/>
          <w:kern w:val="24"/>
          <w:sz w:val="24"/>
          <w:szCs w:val="24"/>
        </w:rPr>
        <w:t xml:space="preserve"> DAPT (23.1</w:t>
      </w:r>
      <w:r w:rsidR="002B2AD4" w:rsidRPr="002910A5">
        <w:rPr>
          <w:rFonts w:ascii="Book Antiqua" w:hAnsi="Book Antiqua" w:cs="Times New Roman"/>
          <w:kern w:val="24"/>
          <w:sz w:val="24"/>
          <w:szCs w:val="24"/>
        </w:rPr>
        <w:t xml:space="preserve">%) </w:t>
      </w:r>
      <w:r w:rsidR="005D4154" w:rsidRPr="002910A5">
        <w:rPr>
          <w:rFonts w:ascii="Book Antiqua" w:hAnsi="Book Antiqua" w:cs="Times New Roman"/>
          <w:kern w:val="24"/>
          <w:sz w:val="24"/>
          <w:szCs w:val="24"/>
        </w:rPr>
        <w:t>was higher than that with</w:t>
      </w:r>
      <w:r w:rsidR="002363BA" w:rsidRPr="002910A5">
        <w:rPr>
          <w:rFonts w:ascii="Book Antiqua" w:hAnsi="Book Antiqua" w:cs="Times New Roman"/>
          <w:kern w:val="24"/>
          <w:sz w:val="24"/>
          <w:szCs w:val="24"/>
        </w:rPr>
        <w:t xml:space="preserve"> discontinuous LDA </w:t>
      </w:r>
      <w:r w:rsidR="00F4446B" w:rsidRPr="002910A5">
        <w:rPr>
          <w:rFonts w:ascii="Book Antiqua" w:hAnsi="Book Antiqua" w:cs="Times New Roman"/>
          <w:kern w:val="24"/>
          <w:sz w:val="24"/>
          <w:szCs w:val="24"/>
        </w:rPr>
        <w:t>in patients receiving</w:t>
      </w:r>
      <w:r w:rsidR="00691E96">
        <w:rPr>
          <w:rFonts w:ascii="Book Antiqua" w:hAnsi="Book Antiqua" w:cs="Times New Roman"/>
          <w:kern w:val="24"/>
          <w:sz w:val="24"/>
          <w:szCs w:val="24"/>
        </w:rPr>
        <w:t xml:space="preserve"> DAPT (5.0</w:t>
      </w:r>
      <w:r w:rsidR="002B2AD4" w:rsidRPr="002910A5">
        <w:rPr>
          <w:rFonts w:ascii="Book Antiqua" w:hAnsi="Book Antiqua" w:cs="Times New Roman"/>
          <w:kern w:val="24"/>
          <w:sz w:val="24"/>
          <w:szCs w:val="24"/>
        </w:rPr>
        <w:t>%)</w:t>
      </w:r>
      <w:r w:rsidR="002363BA" w:rsidRPr="002910A5">
        <w:rPr>
          <w:rFonts w:ascii="Book Antiqua" w:hAnsi="Book Antiqua" w:cs="Times New Roman"/>
          <w:kern w:val="24"/>
          <w:sz w:val="24"/>
          <w:szCs w:val="24"/>
        </w:rPr>
        <w:t xml:space="preserve">, no significant </w:t>
      </w:r>
      <w:r w:rsidR="002B2AD4" w:rsidRPr="002910A5">
        <w:rPr>
          <w:rFonts w:ascii="Book Antiqua" w:hAnsi="Book Antiqua" w:cs="Times New Roman"/>
          <w:kern w:val="24"/>
          <w:sz w:val="24"/>
          <w:szCs w:val="24"/>
        </w:rPr>
        <w:t>difference was observed</w:t>
      </w:r>
      <w:r w:rsidR="002363BA" w:rsidRPr="002910A5">
        <w:rPr>
          <w:rFonts w:ascii="Book Antiqua" w:hAnsi="Book Antiqua" w:cs="Times New Roman"/>
          <w:kern w:val="24"/>
          <w:sz w:val="24"/>
          <w:szCs w:val="24"/>
        </w:rPr>
        <w:t xml:space="preserve"> (</w:t>
      </w:r>
      <w:r w:rsidR="002363BA" w:rsidRPr="002910A5">
        <w:rPr>
          <w:rFonts w:ascii="Book Antiqua" w:hAnsi="Book Antiqua" w:cs="Times New Roman"/>
          <w:i/>
          <w:kern w:val="24"/>
          <w:sz w:val="24"/>
          <w:szCs w:val="24"/>
        </w:rPr>
        <w:t>P</w:t>
      </w:r>
      <w:r w:rsidR="002363BA" w:rsidRPr="002910A5">
        <w:rPr>
          <w:rFonts w:ascii="Book Antiqua" w:hAnsi="Book Antiqua" w:cs="Times New Roman"/>
          <w:kern w:val="24"/>
          <w:sz w:val="24"/>
          <w:szCs w:val="24"/>
        </w:rPr>
        <w:t xml:space="preserve"> </w:t>
      </w:r>
      <w:r w:rsidR="002363BA" w:rsidRPr="002910A5">
        <w:rPr>
          <w:rFonts w:ascii="Book Antiqua" w:eastAsia="MS PGothic" w:hAnsi="Book Antiqua" w:cs="Times New Roman"/>
          <w:kern w:val="0"/>
          <w:sz w:val="24"/>
          <w:szCs w:val="24"/>
        </w:rPr>
        <w:t>= 0.141</w:t>
      </w:r>
      <w:r w:rsidR="002363BA" w:rsidRPr="002910A5">
        <w:rPr>
          <w:rFonts w:ascii="Book Antiqua" w:hAnsi="Book Antiqua" w:cs="Times New Roman"/>
          <w:kern w:val="24"/>
          <w:sz w:val="24"/>
          <w:szCs w:val="24"/>
        </w:rPr>
        <w:t>).</w:t>
      </w:r>
    </w:p>
    <w:p w14:paraId="5339B891" w14:textId="77777777" w:rsidR="00691E96" w:rsidRPr="002910A5" w:rsidRDefault="00691E96" w:rsidP="002910A5">
      <w:pPr>
        <w:adjustRightInd w:val="0"/>
        <w:snapToGrid w:val="0"/>
        <w:spacing w:line="360" w:lineRule="auto"/>
        <w:rPr>
          <w:rFonts w:ascii="Book Antiqua" w:hAnsi="Book Antiqua" w:cs="Times New Roman"/>
          <w:kern w:val="24"/>
          <w:sz w:val="24"/>
          <w:szCs w:val="24"/>
        </w:rPr>
      </w:pPr>
    </w:p>
    <w:p w14:paraId="762EBCF2" w14:textId="77777777" w:rsidR="00691E96" w:rsidRDefault="0091109F"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lastRenderedPageBreak/>
        <w:t>C</w:t>
      </w:r>
      <w:r w:rsidR="005551DD" w:rsidRPr="002910A5">
        <w:rPr>
          <w:rFonts w:ascii="Book Antiqua" w:hAnsi="Book Antiqua" w:cs="Times New Roman"/>
          <w:b/>
          <w:i/>
          <w:sz w:val="24"/>
          <w:szCs w:val="24"/>
        </w:rPr>
        <w:t>ONCLUSION</w:t>
      </w:r>
    </w:p>
    <w:p w14:paraId="556C29CB" w14:textId="7A137CC8" w:rsidR="00C25C57" w:rsidRPr="002910A5" w:rsidRDefault="00C25C57"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w:t>
      </w:r>
      <w:r w:rsidR="00BA6A3A" w:rsidRPr="002910A5">
        <w:rPr>
          <w:rFonts w:ascii="Book Antiqua" w:hAnsi="Book Antiqua" w:cs="Times New Roman"/>
          <w:sz w:val="24"/>
          <w:szCs w:val="24"/>
        </w:rPr>
        <w:t xml:space="preserve">he </w:t>
      </w:r>
      <w:r w:rsidRPr="002910A5">
        <w:rPr>
          <w:rFonts w:ascii="Book Antiqua" w:hAnsi="Book Antiqua" w:cs="Times New Roman"/>
          <w:sz w:val="24"/>
          <w:szCs w:val="24"/>
        </w:rPr>
        <w:t>bleeding</w:t>
      </w:r>
      <w:r w:rsidR="002B2AD4" w:rsidRPr="002910A5">
        <w:rPr>
          <w:rFonts w:ascii="Book Antiqua" w:hAnsi="Book Antiqua" w:cs="Times New Roman"/>
          <w:sz w:val="24"/>
          <w:szCs w:val="24"/>
        </w:rPr>
        <w:t xml:space="preserve"> rate</w:t>
      </w:r>
      <w:r w:rsidR="005D4154" w:rsidRPr="002910A5">
        <w:rPr>
          <w:rFonts w:ascii="Book Antiqua" w:hAnsi="Book Antiqua" w:cs="Times New Roman"/>
          <w:sz w:val="24"/>
          <w:szCs w:val="24"/>
        </w:rPr>
        <w:t xml:space="preserve"> with </w:t>
      </w:r>
      <w:r w:rsidRPr="002910A5">
        <w:rPr>
          <w:rFonts w:ascii="Book Antiqua" w:hAnsi="Book Antiqua" w:cs="Times New Roman"/>
          <w:sz w:val="24"/>
          <w:szCs w:val="24"/>
        </w:rPr>
        <w:t xml:space="preserve">continuous LDA </w:t>
      </w:r>
      <w:r w:rsidR="00F4446B" w:rsidRPr="002910A5">
        <w:rPr>
          <w:rFonts w:ascii="Book Antiqua" w:hAnsi="Book Antiqua" w:cs="Times New Roman"/>
          <w:sz w:val="24"/>
          <w:szCs w:val="24"/>
        </w:rPr>
        <w:t>in patients receiving</w:t>
      </w:r>
      <w:r w:rsidR="005D4154" w:rsidRPr="002910A5">
        <w:rPr>
          <w:rFonts w:ascii="Book Antiqua" w:hAnsi="Book Antiqua" w:cs="Times New Roman"/>
          <w:sz w:val="24"/>
          <w:szCs w:val="24"/>
        </w:rPr>
        <w:t xml:space="preserve"> DAPT </w:t>
      </w:r>
      <w:r w:rsidRPr="002910A5">
        <w:rPr>
          <w:rFonts w:ascii="Book Antiqua" w:hAnsi="Book Antiqua" w:cs="Times New Roman"/>
          <w:sz w:val="24"/>
          <w:szCs w:val="24"/>
        </w:rPr>
        <w:t>was not statistically different from</w:t>
      </w:r>
      <w:r w:rsidR="002B2AD4" w:rsidRPr="002910A5">
        <w:rPr>
          <w:rFonts w:ascii="Book Antiqua" w:hAnsi="Book Antiqua" w:cs="Times New Roman"/>
          <w:sz w:val="24"/>
          <w:szCs w:val="24"/>
        </w:rPr>
        <w:t xml:space="preserve"> that</w:t>
      </w:r>
      <w:r w:rsidR="005D4154" w:rsidRPr="002910A5">
        <w:rPr>
          <w:rFonts w:ascii="Book Antiqua" w:hAnsi="Book Antiqua" w:cs="Times New Roman"/>
          <w:sz w:val="24"/>
          <w:szCs w:val="24"/>
        </w:rPr>
        <w:t xml:space="preserve"> with</w:t>
      </w:r>
      <w:r w:rsidR="002B2AD4" w:rsidRPr="002910A5">
        <w:rPr>
          <w:rFonts w:ascii="Book Antiqua" w:hAnsi="Book Antiqua" w:cs="Times New Roman"/>
          <w:kern w:val="24"/>
          <w:sz w:val="24"/>
          <w:szCs w:val="24"/>
        </w:rPr>
        <w:t xml:space="preserve"> discontinuous LDA</w:t>
      </w:r>
      <w:r w:rsidR="00F4446B" w:rsidRPr="002910A5">
        <w:rPr>
          <w:rFonts w:ascii="Book Antiqua" w:hAnsi="Book Antiqua" w:cs="Times New Roman"/>
          <w:kern w:val="24"/>
          <w:sz w:val="24"/>
          <w:szCs w:val="24"/>
        </w:rPr>
        <w:t xml:space="preserve"> in patients receiving</w:t>
      </w:r>
      <w:r w:rsidR="00BA6A3A" w:rsidRPr="002910A5">
        <w:rPr>
          <w:rFonts w:ascii="Book Antiqua" w:hAnsi="Book Antiqua" w:cs="Times New Roman"/>
          <w:kern w:val="24"/>
          <w:sz w:val="24"/>
          <w:szCs w:val="24"/>
        </w:rPr>
        <w:t xml:space="preserve"> DAPT</w:t>
      </w:r>
      <w:r w:rsidR="00F4446B" w:rsidRPr="002910A5">
        <w:rPr>
          <w:rFonts w:ascii="Book Antiqua" w:hAnsi="Book Antiqua" w:cs="Times New Roman"/>
          <w:sz w:val="24"/>
          <w:szCs w:val="24"/>
        </w:rPr>
        <w:t xml:space="preserve">. Therefore, </w:t>
      </w:r>
      <w:r w:rsidRPr="002910A5">
        <w:rPr>
          <w:rFonts w:ascii="Book Antiqua" w:hAnsi="Book Antiqua" w:cs="Times New Roman"/>
          <w:sz w:val="24"/>
          <w:szCs w:val="24"/>
        </w:rPr>
        <w:t xml:space="preserve">continuous LDA administration may be acceptable for ESD in patients </w:t>
      </w:r>
      <w:r w:rsidR="00F4446B" w:rsidRPr="002910A5">
        <w:rPr>
          <w:rFonts w:ascii="Book Antiqua" w:hAnsi="Book Antiqua" w:cs="Times New Roman"/>
          <w:sz w:val="24"/>
          <w:szCs w:val="24"/>
        </w:rPr>
        <w:t>receiving</w:t>
      </w:r>
      <w:r w:rsidRPr="002910A5">
        <w:rPr>
          <w:rFonts w:ascii="Book Antiqua" w:hAnsi="Book Antiqua" w:cs="Times New Roman"/>
          <w:sz w:val="24"/>
          <w:szCs w:val="24"/>
        </w:rPr>
        <w:t xml:space="preserve"> DAPT</w:t>
      </w:r>
      <w:r w:rsidR="00F4446B" w:rsidRPr="002910A5">
        <w:rPr>
          <w:rFonts w:ascii="Book Antiqua" w:hAnsi="Book Antiqua" w:cs="Times New Roman"/>
          <w:sz w:val="24"/>
          <w:szCs w:val="24"/>
        </w:rPr>
        <w:t>,</w:t>
      </w:r>
      <w:r w:rsidRPr="002910A5">
        <w:rPr>
          <w:rFonts w:ascii="Book Antiqua" w:hAnsi="Book Antiqua" w:cs="Times New Roman"/>
          <w:sz w:val="24"/>
          <w:szCs w:val="24"/>
        </w:rPr>
        <w:t xml:space="preserve"> although p</w:t>
      </w:r>
      <w:r w:rsidR="00F4446B" w:rsidRPr="002910A5">
        <w:rPr>
          <w:rFonts w:ascii="Book Antiqua" w:hAnsi="Book Antiqua" w:cs="Times New Roman"/>
          <w:sz w:val="24"/>
          <w:szCs w:val="24"/>
        </w:rPr>
        <w:t xml:space="preserve">atients should be carefully monitored for </w:t>
      </w:r>
      <w:r w:rsidRPr="002910A5">
        <w:rPr>
          <w:rFonts w:ascii="Book Antiqua" w:hAnsi="Book Antiqua" w:cs="Times New Roman"/>
          <w:sz w:val="24"/>
          <w:szCs w:val="24"/>
        </w:rPr>
        <w:t>possible bleeding.</w:t>
      </w:r>
    </w:p>
    <w:p w14:paraId="556C29CC" w14:textId="77777777" w:rsidR="00CC3198" w:rsidRPr="002910A5" w:rsidRDefault="00CC3198" w:rsidP="002910A5">
      <w:pPr>
        <w:adjustRightInd w:val="0"/>
        <w:snapToGrid w:val="0"/>
        <w:spacing w:line="360" w:lineRule="auto"/>
        <w:rPr>
          <w:rFonts w:ascii="Book Antiqua" w:hAnsi="Book Antiqua" w:cs="Times New Roman"/>
          <w:sz w:val="24"/>
          <w:szCs w:val="24"/>
        </w:rPr>
      </w:pPr>
    </w:p>
    <w:p w14:paraId="556C29CF" w14:textId="3B9DB350"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b/>
          <w:sz w:val="24"/>
          <w:szCs w:val="24"/>
        </w:rPr>
        <w:t xml:space="preserve">Key words: </w:t>
      </w:r>
      <w:r w:rsidR="00691E96">
        <w:rPr>
          <w:rFonts w:ascii="Book Antiqua" w:hAnsi="Book Antiqua" w:cs="Times New Roman"/>
          <w:sz w:val="24"/>
          <w:szCs w:val="24"/>
        </w:rPr>
        <w:t>D</w:t>
      </w:r>
      <w:r w:rsidR="00F4446B" w:rsidRPr="002910A5">
        <w:rPr>
          <w:rFonts w:ascii="Book Antiqua" w:hAnsi="Book Antiqua" w:cs="Times New Roman"/>
          <w:sz w:val="24"/>
          <w:szCs w:val="24"/>
        </w:rPr>
        <w:t xml:space="preserve">ual antiplatelet therapy; </w:t>
      </w:r>
      <w:r w:rsidR="00691E96">
        <w:rPr>
          <w:rFonts w:ascii="Book Antiqua" w:hAnsi="Book Antiqua" w:cs="Times New Roman"/>
          <w:sz w:val="24"/>
          <w:szCs w:val="24"/>
        </w:rPr>
        <w:t>E</w:t>
      </w:r>
      <w:r w:rsidRPr="002910A5">
        <w:rPr>
          <w:rFonts w:ascii="Book Antiqua" w:hAnsi="Book Antiqua" w:cs="Times New Roman"/>
          <w:sz w:val="24"/>
          <w:szCs w:val="24"/>
        </w:rPr>
        <w:t>ndoscopic submucosal d</w:t>
      </w:r>
      <w:r w:rsidR="003831B4" w:rsidRPr="002910A5">
        <w:rPr>
          <w:rFonts w:ascii="Book Antiqua" w:hAnsi="Book Antiqua" w:cs="Times New Roman"/>
          <w:sz w:val="24"/>
          <w:szCs w:val="24"/>
        </w:rPr>
        <w:t xml:space="preserve">issection; </w:t>
      </w:r>
      <w:r w:rsidR="00691E96">
        <w:rPr>
          <w:rFonts w:ascii="Book Antiqua" w:hAnsi="Book Antiqua" w:cs="Times New Roman"/>
          <w:sz w:val="24"/>
          <w:szCs w:val="24"/>
        </w:rPr>
        <w:t>L</w:t>
      </w:r>
      <w:r w:rsidR="008B3E9F" w:rsidRPr="002910A5">
        <w:rPr>
          <w:rFonts w:ascii="Book Antiqua" w:hAnsi="Book Antiqua" w:cs="Times New Roman"/>
          <w:sz w:val="24"/>
          <w:szCs w:val="24"/>
        </w:rPr>
        <w:t xml:space="preserve">ow-dose aspirin; </w:t>
      </w:r>
      <w:r w:rsidR="00691E96">
        <w:rPr>
          <w:rFonts w:ascii="Book Antiqua" w:hAnsi="Book Antiqua" w:cs="Times New Roman"/>
          <w:sz w:val="24"/>
          <w:szCs w:val="24"/>
        </w:rPr>
        <w:t>P</w:t>
      </w:r>
      <w:r w:rsidR="003831B4" w:rsidRPr="002910A5">
        <w:rPr>
          <w:rFonts w:ascii="Book Antiqua" w:hAnsi="Book Antiqua" w:cs="Times New Roman"/>
          <w:sz w:val="24"/>
          <w:szCs w:val="24"/>
        </w:rPr>
        <w:t>ostoperative bleeding</w:t>
      </w:r>
      <w:r w:rsidR="00691E96">
        <w:rPr>
          <w:rFonts w:ascii="Book Antiqua" w:hAnsi="Book Antiqua" w:cs="Times New Roman"/>
          <w:sz w:val="24"/>
          <w:szCs w:val="24"/>
        </w:rPr>
        <w:t>; T</w:t>
      </w:r>
      <w:r w:rsidR="00370993" w:rsidRPr="002910A5">
        <w:rPr>
          <w:rFonts w:ascii="Book Antiqua" w:hAnsi="Book Antiqua" w:cs="Times New Roman"/>
          <w:sz w:val="24"/>
          <w:szCs w:val="24"/>
        </w:rPr>
        <w:t>hienopyridine</w:t>
      </w:r>
    </w:p>
    <w:p w14:paraId="2BF4E219" w14:textId="77777777" w:rsidR="00691E96" w:rsidRPr="00691E96" w:rsidRDefault="00691E96" w:rsidP="002910A5">
      <w:pPr>
        <w:adjustRightInd w:val="0"/>
        <w:snapToGrid w:val="0"/>
        <w:spacing w:line="360" w:lineRule="auto"/>
        <w:rPr>
          <w:rFonts w:ascii="Book Antiqua" w:hAnsi="Book Antiqua" w:cs="Times New Roman"/>
          <w:sz w:val="24"/>
          <w:szCs w:val="24"/>
        </w:rPr>
      </w:pPr>
    </w:p>
    <w:p w14:paraId="6C92B158" w14:textId="541765D2" w:rsidR="00691E96" w:rsidRPr="00691E96" w:rsidRDefault="00691E96" w:rsidP="002910A5">
      <w:pPr>
        <w:adjustRightInd w:val="0"/>
        <w:snapToGrid w:val="0"/>
        <w:spacing w:line="360" w:lineRule="auto"/>
        <w:rPr>
          <w:rFonts w:ascii="Book Antiqua" w:hAnsi="Book Antiqua" w:cs="Times New Roman"/>
          <w:sz w:val="24"/>
          <w:szCs w:val="24"/>
        </w:rPr>
      </w:pPr>
      <w:bookmarkStart w:id="40" w:name="OLE_LINK43"/>
      <w:bookmarkStart w:id="41" w:name="OLE_LINK44"/>
      <w:r w:rsidRPr="00691E96">
        <w:rPr>
          <w:rFonts w:ascii="Book Antiqua" w:hAnsi="Book Antiqua"/>
          <w:b/>
          <w:sz w:val="24"/>
          <w:szCs w:val="24"/>
        </w:rPr>
        <w:t>© The Author(s) 201</w:t>
      </w:r>
      <w:r w:rsidRPr="00691E96">
        <w:rPr>
          <w:rFonts w:ascii="Book Antiqua" w:hAnsi="Book Antiqua" w:hint="eastAsia"/>
          <w:b/>
          <w:sz w:val="24"/>
          <w:szCs w:val="24"/>
        </w:rPr>
        <w:t>9</w:t>
      </w:r>
      <w:r w:rsidRPr="00691E96">
        <w:rPr>
          <w:rFonts w:ascii="Book Antiqua" w:hAnsi="Book Antiqua"/>
          <w:b/>
          <w:sz w:val="24"/>
          <w:szCs w:val="24"/>
        </w:rPr>
        <w:t xml:space="preserve">. </w:t>
      </w:r>
      <w:r w:rsidRPr="00691E96">
        <w:rPr>
          <w:rFonts w:ascii="Book Antiqua" w:hAnsi="Book Antiqua"/>
          <w:sz w:val="24"/>
          <w:szCs w:val="24"/>
        </w:rPr>
        <w:t xml:space="preserve">Published by </w:t>
      </w:r>
      <w:proofErr w:type="spellStart"/>
      <w:r w:rsidRPr="00691E96">
        <w:rPr>
          <w:rFonts w:ascii="Book Antiqua" w:hAnsi="Book Antiqua"/>
          <w:sz w:val="24"/>
          <w:szCs w:val="24"/>
        </w:rPr>
        <w:t>Baishideng</w:t>
      </w:r>
      <w:proofErr w:type="spellEnd"/>
      <w:r w:rsidRPr="00691E96">
        <w:rPr>
          <w:rFonts w:ascii="Book Antiqua" w:hAnsi="Book Antiqua"/>
          <w:sz w:val="24"/>
          <w:szCs w:val="24"/>
        </w:rPr>
        <w:t xml:space="preserve"> Publishing Group Inc. All rights reserved.</w:t>
      </w:r>
      <w:bookmarkEnd w:id="40"/>
      <w:bookmarkEnd w:id="41"/>
    </w:p>
    <w:p w14:paraId="556C29D0" w14:textId="77777777" w:rsidR="00CC3198" w:rsidRPr="00691E96" w:rsidRDefault="00CC3198" w:rsidP="002910A5">
      <w:pPr>
        <w:adjustRightInd w:val="0"/>
        <w:snapToGrid w:val="0"/>
        <w:spacing w:line="360" w:lineRule="auto"/>
        <w:rPr>
          <w:rFonts w:ascii="Book Antiqua" w:hAnsi="Book Antiqua" w:cs="Times New Roman"/>
          <w:b/>
          <w:sz w:val="24"/>
          <w:szCs w:val="24"/>
        </w:rPr>
      </w:pPr>
    </w:p>
    <w:p w14:paraId="6A6F0615" w14:textId="20AA1484" w:rsidR="00A56121" w:rsidRPr="002910A5" w:rsidRDefault="00264BEA"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b/>
          <w:sz w:val="24"/>
          <w:szCs w:val="24"/>
        </w:rPr>
        <w:t xml:space="preserve">Core tip: </w:t>
      </w:r>
      <w:r w:rsidRPr="002910A5">
        <w:rPr>
          <w:rFonts w:ascii="Book Antiqua" w:hAnsi="Book Antiqua" w:cs="Times New Roman"/>
          <w:sz w:val="24"/>
          <w:szCs w:val="24"/>
        </w:rPr>
        <w:t>Antithrombotic therapy is considered as an independent risk factor for postoperative bleeding after gastric endoscopic submucosal dissection (ESD).</w:t>
      </w:r>
      <w:r w:rsidR="00EC7F1F" w:rsidRPr="002910A5">
        <w:rPr>
          <w:rFonts w:ascii="Book Antiqua" w:hAnsi="Book Antiqua" w:cs="Times New Roman"/>
          <w:sz w:val="24"/>
          <w:szCs w:val="24"/>
        </w:rPr>
        <w:t xml:space="preserve"> In the latest guideline, </w:t>
      </w:r>
      <w:bookmarkStart w:id="42" w:name="OLE_LINK19"/>
      <w:bookmarkStart w:id="43" w:name="OLE_LINK20"/>
      <w:r w:rsidR="004F7965" w:rsidRPr="002910A5">
        <w:rPr>
          <w:rFonts w:ascii="Book Antiqua" w:hAnsi="Book Antiqua" w:cs="Times New Roman"/>
          <w:sz w:val="24"/>
          <w:szCs w:val="24"/>
        </w:rPr>
        <w:t>low-dose aspirin</w:t>
      </w:r>
      <w:bookmarkEnd w:id="42"/>
      <w:bookmarkEnd w:id="43"/>
      <w:r w:rsidR="004F7965" w:rsidRPr="002910A5">
        <w:rPr>
          <w:rFonts w:ascii="Book Antiqua" w:hAnsi="Book Antiqua" w:cs="Times New Roman"/>
          <w:sz w:val="24"/>
          <w:szCs w:val="24"/>
        </w:rPr>
        <w:t xml:space="preserve"> (</w:t>
      </w:r>
      <w:r w:rsidR="00EC7F1F" w:rsidRPr="002910A5">
        <w:rPr>
          <w:rFonts w:ascii="Book Antiqua" w:hAnsi="Book Antiqua" w:cs="Times New Roman"/>
          <w:sz w:val="24"/>
          <w:szCs w:val="24"/>
        </w:rPr>
        <w:t>LDA</w:t>
      </w:r>
      <w:r w:rsidR="004F7965" w:rsidRPr="002910A5">
        <w:rPr>
          <w:rFonts w:ascii="Book Antiqua" w:hAnsi="Book Antiqua" w:cs="Times New Roman"/>
          <w:sz w:val="24"/>
          <w:szCs w:val="24"/>
        </w:rPr>
        <w:t>)</w:t>
      </w:r>
      <w:r w:rsidR="00EC7F1F" w:rsidRPr="002910A5">
        <w:rPr>
          <w:rFonts w:ascii="Book Antiqua" w:hAnsi="Book Antiqua" w:cs="Times New Roman"/>
          <w:sz w:val="24"/>
          <w:szCs w:val="24"/>
        </w:rPr>
        <w:t xml:space="preserve"> should be continued for patients with a high risk of thrombosis who undergo ESD.</w:t>
      </w:r>
      <w:r w:rsidR="00A56121" w:rsidRPr="002910A5">
        <w:rPr>
          <w:rFonts w:ascii="Book Antiqua" w:hAnsi="Book Antiqua" w:cs="Times New Roman"/>
          <w:sz w:val="24"/>
          <w:szCs w:val="24"/>
        </w:rPr>
        <w:t xml:space="preserve"> In this retrospective study, we aimed to investigate the effect of continuous LDA on postoperative bleeding after gastric ESD in patients receiving dual antiplatelet therapy.</w:t>
      </w:r>
    </w:p>
    <w:p w14:paraId="556C29D1" w14:textId="77777777" w:rsidR="00CC3198" w:rsidRPr="002910A5" w:rsidRDefault="00CC3198" w:rsidP="002910A5">
      <w:pPr>
        <w:adjustRightInd w:val="0"/>
        <w:snapToGrid w:val="0"/>
        <w:spacing w:line="360" w:lineRule="auto"/>
        <w:rPr>
          <w:rFonts w:ascii="Book Antiqua" w:hAnsi="Book Antiqua" w:cs="Times New Roman"/>
          <w:b/>
          <w:sz w:val="24"/>
          <w:szCs w:val="24"/>
        </w:rPr>
      </w:pPr>
    </w:p>
    <w:p w14:paraId="2441A56C" w14:textId="694CC249" w:rsidR="006B58FD" w:rsidRPr="00691E96" w:rsidRDefault="007508F4" w:rsidP="002910A5">
      <w:pPr>
        <w:adjustRightInd w:val="0"/>
        <w:snapToGrid w:val="0"/>
        <w:spacing w:line="360" w:lineRule="auto"/>
        <w:rPr>
          <w:rFonts w:ascii="Book Antiqua" w:hAnsi="Book Antiqua" w:cs="Times New Roman"/>
          <w:sz w:val="24"/>
          <w:szCs w:val="24"/>
        </w:rPr>
      </w:pPr>
      <w:r w:rsidRPr="00691E96">
        <w:rPr>
          <w:rFonts w:ascii="Book Antiqua" w:hAnsi="Book Antiqua" w:cs="Times New Roman"/>
          <w:sz w:val="24"/>
          <w:szCs w:val="24"/>
        </w:rPr>
        <w:t xml:space="preserve">Harada H, </w:t>
      </w:r>
      <w:proofErr w:type="spellStart"/>
      <w:r w:rsidRPr="00691E96">
        <w:rPr>
          <w:rFonts w:ascii="Book Antiqua" w:hAnsi="Book Antiqua" w:cs="Times New Roman"/>
          <w:sz w:val="24"/>
          <w:szCs w:val="24"/>
        </w:rPr>
        <w:t>Suehiro</w:t>
      </w:r>
      <w:proofErr w:type="spellEnd"/>
      <w:r w:rsidRPr="00691E96">
        <w:rPr>
          <w:rFonts w:ascii="Book Antiqua" w:hAnsi="Book Antiqua" w:cs="Times New Roman"/>
          <w:sz w:val="24"/>
          <w:szCs w:val="24"/>
        </w:rPr>
        <w:t xml:space="preserve"> S, Murakami D, Nakahara R, </w:t>
      </w:r>
      <w:proofErr w:type="spellStart"/>
      <w:r w:rsidRPr="00691E96">
        <w:rPr>
          <w:rFonts w:ascii="Book Antiqua" w:hAnsi="Book Antiqua" w:cs="Times New Roman"/>
          <w:sz w:val="24"/>
          <w:szCs w:val="24"/>
        </w:rPr>
        <w:t>Nagasaka</w:t>
      </w:r>
      <w:proofErr w:type="spellEnd"/>
      <w:r w:rsidRPr="00691E96">
        <w:rPr>
          <w:rFonts w:ascii="Book Antiqua" w:hAnsi="Book Antiqua" w:cs="Times New Roman"/>
          <w:sz w:val="24"/>
          <w:szCs w:val="24"/>
        </w:rPr>
        <w:t xml:space="preserve"> T, </w:t>
      </w:r>
      <w:proofErr w:type="spellStart"/>
      <w:r w:rsidRPr="00691E96">
        <w:rPr>
          <w:rFonts w:ascii="Book Antiqua" w:hAnsi="Book Antiqua" w:cs="Times New Roman"/>
          <w:sz w:val="24"/>
          <w:szCs w:val="24"/>
        </w:rPr>
        <w:t>Ujihara</w:t>
      </w:r>
      <w:proofErr w:type="spellEnd"/>
      <w:r w:rsidRPr="00691E96">
        <w:rPr>
          <w:rFonts w:ascii="Book Antiqua" w:hAnsi="Book Antiqua" w:cs="Times New Roman"/>
          <w:sz w:val="24"/>
          <w:szCs w:val="24"/>
        </w:rPr>
        <w:t xml:space="preserve"> T, Sagami R, </w:t>
      </w:r>
      <w:proofErr w:type="spellStart"/>
      <w:r w:rsidRPr="00691E96">
        <w:rPr>
          <w:rFonts w:ascii="Book Antiqua" w:hAnsi="Book Antiqua" w:cs="Times New Roman"/>
          <w:sz w:val="24"/>
          <w:szCs w:val="24"/>
        </w:rPr>
        <w:t>Katsuyama</w:t>
      </w:r>
      <w:proofErr w:type="spellEnd"/>
      <w:r w:rsidRPr="00691E96">
        <w:rPr>
          <w:rFonts w:ascii="Book Antiqua" w:hAnsi="Book Antiqua" w:cs="Times New Roman"/>
          <w:sz w:val="24"/>
          <w:szCs w:val="24"/>
        </w:rPr>
        <w:t xml:space="preserve"> Y, </w:t>
      </w:r>
      <w:proofErr w:type="spellStart"/>
      <w:r w:rsidRPr="00691E96">
        <w:rPr>
          <w:rFonts w:ascii="Book Antiqua" w:hAnsi="Book Antiqua" w:cs="Times New Roman"/>
          <w:sz w:val="24"/>
          <w:szCs w:val="24"/>
        </w:rPr>
        <w:t>Hayasaka</w:t>
      </w:r>
      <w:proofErr w:type="spellEnd"/>
      <w:r w:rsidRPr="00691E96">
        <w:rPr>
          <w:rFonts w:ascii="Book Antiqua" w:hAnsi="Book Antiqua" w:cs="Times New Roman"/>
          <w:sz w:val="24"/>
          <w:szCs w:val="24"/>
        </w:rPr>
        <w:t xml:space="preserve"> K, Amano Y. Feasibility of gastric endoscopic submucosal dissection with continuous low-dose aspirin for patients receiving dual antiplatelet therapy. </w:t>
      </w:r>
      <w:r w:rsidRPr="00691E96">
        <w:rPr>
          <w:rFonts w:ascii="Book Antiqua" w:hAnsi="Book Antiqua" w:cs="Times New Roman"/>
          <w:i/>
          <w:sz w:val="24"/>
          <w:szCs w:val="24"/>
        </w:rPr>
        <w:t>World J Gastroenterol</w:t>
      </w:r>
      <w:r w:rsidR="00691E96">
        <w:rPr>
          <w:rFonts w:ascii="Book Antiqua" w:hAnsi="Book Antiqua" w:cs="Times New Roman"/>
          <w:sz w:val="24"/>
          <w:szCs w:val="24"/>
        </w:rPr>
        <w:t xml:space="preserve"> 2019</w:t>
      </w:r>
      <w:r w:rsidRPr="00691E96">
        <w:rPr>
          <w:rFonts w:ascii="Book Antiqua" w:hAnsi="Book Antiqua" w:cs="Times New Roman"/>
          <w:sz w:val="24"/>
          <w:szCs w:val="24"/>
        </w:rPr>
        <w:t>; In press</w:t>
      </w:r>
    </w:p>
    <w:p w14:paraId="1327B8DA" w14:textId="77777777" w:rsidR="00691E96" w:rsidRDefault="00691E96">
      <w:pPr>
        <w:widowControl/>
        <w:jc w:val="left"/>
        <w:rPr>
          <w:rFonts w:ascii="Book Antiqua" w:hAnsi="Book Antiqua" w:cs="Times New Roman"/>
          <w:b/>
          <w:sz w:val="24"/>
          <w:szCs w:val="24"/>
        </w:rPr>
      </w:pPr>
      <w:r>
        <w:rPr>
          <w:rFonts w:ascii="Book Antiqua" w:hAnsi="Book Antiqua" w:cs="Times New Roman"/>
          <w:b/>
          <w:sz w:val="24"/>
          <w:szCs w:val="24"/>
        </w:rPr>
        <w:br w:type="page"/>
      </w:r>
    </w:p>
    <w:p w14:paraId="556C29D3" w14:textId="40C6513F" w:rsidR="00CC3198" w:rsidRPr="002910A5" w:rsidRDefault="009B11F9"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lastRenderedPageBreak/>
        <w:t>INTRODUCTION</w:t>
      </w:r>
    </w:p>
    <w:p w14:paraId="542E0ACC" w14:textId="0959B81C" w:rsidR="007307CA" w:rsidRPr="002910A5" w:rsidRDefault="00C67E77"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The safety of </w:t>
      </w:r>
      <w:r w:rsidR="00CC3198" w:rsidRPr="002910A5">
        <w:rPr>
          <w:rFonts w:ascii="Book Antiqua" w:hAnsi="Book Antiqua" w:cs="Times New Roman"/>
          <w:sz w:val="24"/>
          <w:szCs w:val="24"/>
        </w:rPr>
        <w:t xml:space="preserve">endoscopic submucosal dissection (ESD) for gastric neoplasms has been </w:t>
      </w:r>
      <w:r w:rsidRPr="002910A5">
        <w:rPr>
          <w:rFonts w:ascii="Book Antiqua" w:hAnsi="Book Antiqua" w:cs="Times New Roman"/>
          <w:sz w:val="24"/>
          <w:szCs w:val="24"/>
        </w:rPr>
        <w:t>fully investigated</w:t>
      </w:r>
      <w:r w:rsidR="00CC3198" w:rsidRPr="002910A5">
        <w:rPr>
          <w:rFonts w:ascii="Book Antiqua" w:hAnsi="Book Antiqua" w:cs="Times New Roman"/>
          <w:sz w:val="24"/>
          <w:szCs w:val="24"/>
        </w:rPr>
        <w:t>,</w:t>
      </w:r>
      <w:r w:rsidR="00E76746" w:rsidRPr="002910A5">
        <w:rPr>
          <w:rFonts w:ascii="Book Antiqua" w:hAnsi="Book Antiqua" w:cs="Times New Roman"/>
          <w:sz w:val="24"/>
          <w:szCs w:val="24"/>
        </w:rPr>
        <w:t xml:space="preserve"> and </w:t>
      </w:r>
      <w:r w:rsidR="00CC3198" w:rsidRPr="002910A5">
        <w:rPr>
          <w:rFonts w:ascii="Book Antiqua" w:hAnsi="Book Antiqua" w:cs="Times New Roman"/>
          <w:sz w:val="24"/>
          <w:szCs w:val="24"/>
        </w:rPr>
        <w:t xml:space="preserve">postoperative bleeding after ESD </w:t>
      </w:r>
      <w:r w:rsidRPr="002910A5">
        <w:rPr>
          <w:rFonts w:ascii="Book Antiqua" w:hAnsi="Book Antiqua" w:cs="Times New Roman"/>
          <w:sz w:val="24"/>
          <w:szCs w:val="24"/>
        </w:rPr>
        <w:t xml:space="preserve">has been proven to be </w:t>
      </w:r>
      <w:r w:rsidR="00CC3198" w:rsidRPr="002910A5">
        <w:rPr>
          <w:rFonts w:ascii="Book Antiqua" w:hAnsi="Book Antiqua" w:cs="Times New Roman"/>
          <w:sz w:val="24"/>
          <w:szCs w:val="24"/>
        </w:rPr>
        <w:t>a major complication. The rates of postoperative bleeding range from 0.9</w:t>
      </w:r>
      <w:r w:rsidR="00866E07">
        <w:rPr>
          <w:rFonts w:ascii="Book Antiqua" w:hAnsi="Book Antiqua" w:cs="Times New Roman"/>
          <w:sz w:val="24"/>
          <w:szCs w:val="24"/>
        </w:rPr>
        <w:t>%</w:t>
      </w:r>
      <w:r w:rsidR="00CC3198" w:rsidRPr="002910A5">
        <w:rPr>
          <w:rFonts w:ascii="Book Antiqua" w:hAnsi="Book Antiqua" w:cs="Times New Roman"/>
          <w:sz w:val="24"/>
          <w:szCs w:val="24"/>
        </w:rPr>
        <w:t xml:space="preserve"> to 15.6%</w:t>
      </w:r>
      <w:r w:rsidR="007307CA" w:rsidRPr="002910A5">
        <w:rPr>
          <w:rFonts w:ascii="Book Antiqua" w:hAnsi="Book Antiqua" w:cs="Times New Roman"/>
          <w:sz w:val="24"/>
          <w:szCs w:val="24"/>
          <w:vertAlign w:val="superscript"/>
        </w:rPr>
        <w:t>[1</w:t>
      </w:r>
      <w:r w:rsidR="00A46860">
        <w:rPr>
          <w:rFonts w:ascii="Book Antiqua" w:eastAsia="Meiryo UI" w:hAnsi="Book Antiqua" w:cs="Times New Roman"/>
          <w:sz w:val="24"/>
          <w:szCs w:val="24"/>
          <w:vertAlign w:val="superscript"/>
        </w:rPr>
        <w:t>-</w:t>
      </w:r>
      <w:r w:rsidR="00E76746" w:rsidRPr="002910A5">
        <w:rPr>
          <w:rFonts w:ascii="Book Antiqua" w:hAnsi="Book Antiqua" w:cs="Times New Roman"/>
          <w:sz w:val="24"/>
          <w:szCs w:val="24"/>
          <w:vertAlign w:val="superscript"/>
        </w:rPr>
        <w:t>16</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and the independent risk factors for postoperative bleeding have been identified as tumor location, tumor size, operation time, and the presence of ulcers</w:t>
      </w:r>
      <w:r w:rsidR="007307CA" w:rsidRPr="002910A5">
        <w:rPr>
          <w:rFonts w:ascii="Book Antiqua" w:hAnsi="Book Antiqua" w:cs="Times New Roman"/>
          <w:sz w:val="24"/>
          <w:szCs w:val="24"/>
          <w:vertAlign w:val="superscript"/>
        </w:rPr>
        <w:t>[1</w:t>
      </w:r>
      <w:r w:rsidR="00E76746" w:rsidRPr="002910A5">
        <w:rPr>
          <w:rFonts w:ascii="Book Antiqua" w:hAnsi="Book Antiqua" w:cs="Times New Roman"/>
          <w:sz w:val="24"/>
          <w:szCs w:val="24"/>
          <w:vertAlign w:val="superscript"/>
        </w:rPr>
        <w:t>,2,17</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w:t>
      </w:r>
    </w:p>
    <w:p w14:paraId="556C29D5" w14:textId="51C0B63F"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 xml:space="preserve">Several reports have also presented antithrombotic therapy as an independent risk factor for postoperative bleeding after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E76746" w:rsidRPr="002910A5">
        <w:rPr>
          <w:rFonts w:ascii="Book Antiqua" w:hAnsi="Book Antiqua" w:cs="Times New Roman"/>
          <w:sz w:val="24"/>
          <w:szCs w:val="24"/>
          <w:vertAlign w:val="superscript"/>
        </w:rPr>
        <w:t>5,16,18</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E76746" w:rsidRPr="002910A5">
        <w:rPr>
          <w:rFonts w:ascii="Book Antiqua" w:hAnsi="Book Antiqua" w:cs="Times New Roman"/>
          <w:sz w:val="24"/>
          <w:szCs w:val="24"/>
        </w:rPr>
        <w:t>A</w:t>
      </w:r>
      <w:r w:rsidR="00CC3198" w:rsidRPr="002910A5">
        <w:rPr>
          <w:rFonts w:ascii="Book Antiqua" w:hAnsi="Book Antiqua" w:cs="Times New Roman"/>
          <w:sz w:val="24"/>
          <w:szCs w:val="24"/>
        </w:rPr>
        <w:t>ntiplatelet agents (APAs) are usually used for the prevention and treatment of cardiovascular disease</w:t>
      </w:r>
      <w:r w:rsidR="00C67E77" w:rsidRPr="002910A5">
        <w:rPr>
          <w:rFonts w:ascii="Book Antiqua" w:hAnsi="Book Antiqua" w:cs="Times New Roman"/>
          <w:sz w:val="24"/>
          <w:szCs w:val="24"/>
        </w:rPr>
        <w:t>s</w:t>
      </w:r>
      <w:r w:rsidR="00CC3198" w:rsidRPr="002910A5">
        <w:rPr>
          <w:rFonts w:ascii="Book Antiqua" w:hAnsi="Book Antiqua" w:cs="Times New Roman"/>
          <w:sz w:val="24"/>
          <w:szCs w:val="24"/>
        </w:rPr>
        <w:t xml:space="preserve">, such as acute coronary syndrome and after </w:t>
      </w:r>
      <w:r w:rsidR="00E76746" w:rsidRPr="002910A5">
        <w:rPr>
          <w:rFonts w:ascii="Book Antiqua" w:hAnsi="Book Antiqua" w:cs="Times New Roman"/>
          <w:sz w:val="24"/>
          <w:szCs w:val="24"/>
        </w:rPr>
        <w:t xml:space="preserve">the </w:t>
      </w:r>
      <w:r w:rsidR="00CC3198" w:rsidRPr="002910A5">
        <w:rPr>
          <w:rFonts w:ascii="Book Antiqua" w:hAnsi="Book Antiqua" w:cs="Times New Roman"/>
          <w:sz w:val="24"/>
          <w:szCs w:val="24"/>
        </w:rPr>
        <w:t>placement of coronary stents</w:t>
      </w:r>
      <w:r w:rsidR="00677E16" w:rsidRPr="002910A5">
        <w:rPr>
          <w:rFonts w:ascii="Book Antiqua" w:hAnsi="Book Antiqua" w:cs="Times New Roman"/>
          <w:sz w:val="24"/>
          <w:szCs w:val="24"/>
        </w:rPr>
        <w:t>,</w:t>
      </w:r>
      <w:r w:rsidR="00CC3198" w:rsidRPr="002910A5">
        <w:rPr>
          <w:rFonts w:ascii="Book Antiqua" w:hAnsi="Book Antiqua" w:cs="Times New Roman"/>
          <w:sz w:val="24"/>
          <w:szCs w:val="24"/>
        </w:rPr>
        <w:t xml:space="preserve"> and aspirin is mandatory to prevent thromboembolic events after </w:t>
      </w:r>
      <w:r w:rsidR="00C67E77" w:rsidRPr="002910A5">
        <w:rPr>
          <w:rFonts w:ascii="Book Antiqua" w:hAnsi="Book Antiqua" w:cs="Times New Roman"/>
          <w:sz w:val="24"/>
          <w:szCs w:val="24"/>
        </w:rPr>
        <w:t xml:space="preserve">the </w:t>
      </w:r>
      <w:r w:rsidR="00CC3198" w:rsidRPr="002910A5">
        <w:rPr>
          <w:rFonts w:ascii="Book Antiqua" w:hAnsi="Book Antiqua" w:cs="Times New Roman"/>
          <w:sz w:val="24"/>
          <w:szCs w:val="24"/>
        </w:rPr>
        <w:t xml:space="preserve">placement of coronary </w:t>
      </w:r>
      <w:proofErr w:type="gramStart"/>
      <w:r w:rsidR="00CC3198" w:rsidRPr="002910A5">
        <w:rPr>
          <w:rFonts w:ascii="Book Antiqua" w:hAnsi="Book Antiqua" w:cs="Times New Roman"/>
          <w:sz w:val="24"/>
          <w:szCs w:val="24"/>
        </w:rPr>
        <w:t>stents</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E76746" w:rsidRPr="002910A5">
        <w:rPr>
          <w:rFonts w:ascii="Book Antiqua" w:hAnsi="Book Antiqua" w:cs="Times New Roman"/>
          <w:sz w:val="24"/>
          <w:szCs w:val="24"/>
          <w:vertAlign w:val="superscript"/>
        </w:rPr>
        <w:t>9</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Patients w</w:t>
      </w:r>
      <w:r w:rsidR="00C67E77" w:rsidRPr="002910A5">
        <w:rPr>
          <w:rFonts w:ascii="Book Antiqua" w:hAnsi="Book Antiqua" w:cs="Times New Roman"/>
          <w:sz w:val="24"/>
          <w:szCs w:val="24"/>
        </w:rPr>
        <w:t>ith drug-eluting stent</w:t>
      </w:r>
      <w:r w:rsidR="00DB7D47" w:rsidRPr="002910A5">
        <w:rPr>
          <w:rFonts w:ascii="Book Antiqua" w:hAnsi="Book Antiqua" w:cs="Times New Roman"/>
          <w:sz w:val="24"/>
          <w:szCs w:val="24"/>
        </w:rPr>
        <w:t>s</w:t>
      </w:r>
      <w:r w:rsidR="00C67E77" w:rsidRPr="002910A5">
        <w:rPr>
          <w:rFonts w:ascii="Book Antiqua" w:hAnsi="Book Antiqua" w:cs="Times New Roman"/>
          <w:sz w:val="24"/>
          <w:szCs w:val="24"/>
        </w:rPr>
        <w:t xml:space="preserve"> (DES) have a</w:t>
      </w:r>
      <w:r w:rsidR="00CC3198" w:rsidRPr="002910A5">
        <w:rPr>
          <w:rFonts w:ascii="Book Antiqua" w:hAnsi="Book Antiqua" w:cs="Times New Roman"/>
          <w:sz w:val="24"/>
          <w:szCs w:val="24"/>
        </w:rPr>
        <w:t xml:space="preserve"> higher risk of stent thrombosis</w:t>
      </w:r>
      <w:r w:rsidR="00C67E77" w:rsidRPr="002910A5">
        <w:rPr>
          <w:rFonts w:ascii="Book Antiqua" w:hAnsi="Book Antiqua" w:cs="Times New Roman"/>
          <w:sz w:val="24"/>
          <w:szCs w:val="24"/>
        </w:rPr>
        <w:t xml:space="preserve"> and</w:t>
      </w:r>
      <w:r w:rsidR="00CC3198" w:rsidRPr="002910A5">
        <w:rPr>
          <w:rFonts w:ascii="Book Antiqua" w:hAnsi="Book Antiqua" w:cs="Times New Roman"/>
          <w:sz w:val="24"/>
          <w:szCs w:val="24"/>
        </w:rPr>
        <w:t xml:space="preserve"> require dual antiplatelet therapy (DAPT; aspirin plus thienopyridine) for 12 </w:t>
      </w:r>
      <w:proofErr w:type="spellStart"/>
      <w:r w:rsidR="00CC3198" w:rsidRPr="002910A5">
        <w:rPr>
          <w:rFonts w:ascii="Book Antiqua" w:hAnsi="Book Antiqua" w:cs="Times New Roman"/>
          <w:sz w:val="24"/>
          <w:szCs w:val="24"/>
        </w:rPr>
        <w:t>mo</w:t>
      </w:r>
      <w:proofErr w:type="spellEnd"/>
      <w:r w:rsidR="00CC3198" w:rsidRPr="002910A5">
        <w:rPr>
          <w:rFonts w:ascii="Book Antiqua" w:hAnsi="Book Antiqua" w:cs="Times New Roman"/>
          <w:sz w:val="24"/>
          <w:szCs w:val="24"/>
        </w:rPr>
        <w:t xml:space="preserve"> after the placement of the </w:t>
      </w:r>
      <w:proofErr w:type="gramStart"/>
      <w:r w:rsidR="00CC3198" w:rsidRPr="002910A5">
        <w:rPr>
          <w:rFonts w:ascii="Book Antiqua" w:hAnsi="Book Antiqua" w:cs="Times New Roman"/>
          <w:sz w:val="24"/>
          <w:szCs w:val="24"/>
        </w:rPr>
        <w:t>DES</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3772BF" w:rsidRPr="002910A5">
        <w:rPr>
          <w:rFonts w:ascii="Book Antiqua" w:hAnsi="Book Antiqua" w:cs="Times New Roman"/>
          <w:sz w:val="24"/>
          <w:szCs w:val="24"/>
          <w:vertAlign w:val="superscript"/>
        </w:rPr>
        <w:t>9</w:t>
      </w:r>
      <w:r w:rsidR="00A46860">
        <w:rPr>
          <w:rFonts w:ascii="Book Antiqua" w:eastAsia="Meiryo UI" w:hAnsi="Book Antiqua" w:cs="Times New Roman"/>
          <w:sz w:val="24"/>
          <w:szCs w:val="24"/>
          <w:vertAlign w:val="superscript"/>
        </w:rPr>
        <w:t>-</w:t>
      </w:r>
      <w:r w:rsidR="003772BF" w:rsidRPr="002910A5">
        <w:rPr>
          <w:rFonts w:ascii="Book Antiqua" w:hAnsi="Book Antiqua" w:cs="Times New Roman"/>
          <w:sz w:val="24"/>
          <w:szCs w:val="24"/>
          <w:vertAlign w:val="superscript"/>
        </w:rPr>
        <w:t>21</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DB7D47" w:rsidRPr="002910A5">
        <w:rPr>
          <w:rFonts w:ascii="Book Antiqua" w:hAnsi="Book Antiqua" w:cs="Times New Roman"/>
          <w:sz w:val="24"/>
          <w:szCs w:val="24"/>
        </w:rPr>
        <w:t>Subsequently, monotherapy with</w:t>
      </w:r>
      <w:r w:rsidR="00CC3198" w:rsidRPr="002910A5">
        <w:rPr>
          <w:rFonts w:ascii="Book Antiqua" w:hAnsi="Book Antiqua" w:cs="Times New Roman"/>
          <w:sz w:val="24"/>
          <w:szCs w:val="24"/>
        </w:rPr>
        <w:t xml:space="preserve"> APAs should be prescribed to</w:t>
      </w:r>
      <w:r>
        <w:rPr>
          <w:rFonts w:ascii="Book Antiqua" w:hAnsi="Book Antiqua" w:cs="Times New Roman"/>
          <w:sz w:val="24"/>
          <w:szCs w:val="24"/>
        </w:rPr>
        <w:t xml:space="preserve"> those patients following DAPT.</w:t>
      </w:r>
    </w:p>
    <w:p w14:paraId="556C29D6" w14:textId="04AD996F"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According to the guidelines of both the American Society for Gastrointestinal Endoscopy (ASGE</w:t>
      </w:r>
      <w:r w:rsidR="00DB7D47" w:rsidRPr="002910A5">
        <w:rPr>
          <w:rFonts w:ascii="Book Antiqua" w:hAnsi="Book Antiqua" w:cs="Times New Roman"/>
          <w:sz w:val="24"/>
          <w:szCs w:val="24"/>
        </w:rPr>
        <w:t>) and the Japan Gastroenterological</w:t>
      </w:r>
      <w:r w:rsidR="00CC3198" w:rsidRPr="002910A5">
        <w:rPr>
          <w:rFonts w:ascii="Book Antiqua" w:hAnsi="Book Antiqua" w:cs="Times New Roman"/>
          <w:sz w:val="24"/>
          <w:szCs w:val="24"/>
        </w:rPr>
        <w:t xml:space="preserve"> Endoscopy Society (JGES), endoscop</w:t>
      </w:r>
      <w:r w:rsidR="00030538" w:rsidRPr="002910A5">
        <w:rPr>
          <w:rFonts w:ascii="Book Antiqua" w:hAnsi="Book Antiqua" w:cs="Times New Roman"/>
          <w:sz w:val="24"/>
          <w:szCs w:val="24"/>
        </w:rPr>
        <w:t xml:space="preserve">ic procedures with a high </w:t>
      </w:r>
      <w:r w:rsidR="00CC3198" w:rsidRPr="002910A5">
        <w:rPr>
          <w:rFonts w:ascii="Book Antiqua" w:hAnsi="Book Antiqua" w:cs="Times New Roman"/>
          <w:sz w:val="24"/>
          <w:szCs w:val="24"/>
        </w:rPr>
        <w:t xml:space="preserve">risk of bleeding, including ESD, do not require the discontinuation </w:t>
      </w:r>
      <w:r w:rsidR="00DB7D47" w:rsidRPr="002910A5">
        <w:rPr>
          <w:rFonts w:ascii="Book Antiqua" w:hAnsi="Book Antiqua" w:cs="Times New Roman"/>
          <w:sz w:val="24"/>
          <w:szCs w:val="24"/>
        </w:rPr>
        <w:t xml:space="preserve">of </w:t>
      </w:r>
      <w:r w:rsidRPr="002910A5">
        <w:rPr>
          <w:rFonts w:ascii="Book Antiqua" w:hAnsi="Book Antiqua" w:cs="Times New Roman"/>
          <w:sz w:val="24"/>
          <w:szCs w:val="24"/>
        </w:rPr>
        <w:t xml:space="preserve">low-dose aspirin </w:t>
      </w:r>
      <w:r>
        <w:rPr>
          <w:rFonts w:ascii="Book Antiqua" w:hAnsi="Book Antiqua" w:cs="Times New Roman"/>
          <w:sz w:val="24"/>
          <w:szCs w:val="24"/>
        </w:rPr>
        <w:t>(</w:t>
      </w:r>
      <w:r w:rsidR="00DB7D47" w:rsidRPr="002910A5">
        <w:rPr>
          <w:rFonts w:ascii="Book Antiqua" w:hAnsi="Book Antiqua" w:cs="Times New Roman"/>
          <w:sz w:val="24"/>
          <w:szCs w:val="24"/>
        </w:rPr>
        <w:t>LDA</w:t>
      </w:r>
      <w:r>
        <w:rPr>
          <w:rFonts w:ascii="Book Antiqua" w:hAnsi="Book Antiqua" w:cs="Times New Roman"/>
          <w:sz w:val="24"/>
          <w:szCs w:val="24"/>
        </w:rPr>
        <w:t>)</w:t>
      </w:r>
      <w:r w:rsidR="00DB7D47" w:rsidRPr="002910A5">
        <w:rPr>
          <w:rFonts w:ascii="Book Antiqua" w:hAnsi="Book Antiqua" w:cs="Times New Roman"/>
          <w:sz w:val="24"/>
          <w:szCs w:val="24"/>
        </w:rPr>
        <w:t xml:space="preserve"> for patients with a high </w:t>
      </w:r>
      <w:r w:rsidR="00CC3198" w:rsidRPr="002910A5">
        <w:rPr>
          <w:rFonts w:ascii="Book Antiqua" w:hAnsi="Book Antiqua" w:cs="Times New Roman"/>
          <w:sz w:val="24"/>
          <w:szCs w:val="24"/>
        </w:rPr>
        <w:t xml:space="preserve">risk of </w:t>
      </w:r>
      <w:proofErr w:type="gramStart"/>
      <w:r w:rsidR="00CC3198" w:rsidRPr="002910A5">
        <w:rPr>
          <w:rFonts w:ascii="Book Antiqua" w:hAnsi="Book Antiqua" w:cs="Times New Roman"/>
          <w:sz w:val="24"/>
          <w:szCs w:val="24"/>
        </w:rPr>
        <w:t>thrombosis</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2</w:t>
      </w:r>
      <w:r w:rsidR="00BD4188" w:rsidRPr="002910A5">
        <w:rPr>
          <w:rFonts w:ascii="Book Antiqua" w:hAnsi="Book Antiqua" w:cs="Times New Roman"/>
          <w:sz w:val="24"/>
          <w:szCs w:val="24"/>
          <w:vertAlign w:val="superscript"/>
        </w:rPr>
        <w:t>2</w:t>
      </w:r>
      <w:r w:rsidR="00A46860">
        <w:rPr>
          <w:rFonts w:ascii="Book Antiqua" w:eastAsia="Meiryo UI" w:hAnsi="Book Antiqua" w:cs="Times New Roman"/>
          <w:sz w:val="24"/>
          <w:szCs w:val="24"/>
          <w:vertAlign w:val="superscript"/>
        </w:rPr>
        <w:t>-</w:t>
      </w:r>
      <w:r w:rsidR="00DB7D47" w:rsidRPr="002910A5">
        <w:rPr>
          <w:rFonts w:ascii="Book Antiqua" w:hAnsi="Book Antiqua" w:cs="Times New Roman"/>
          <w:sz w:val="24"/>
          <w:szCs w:val="24"/>
          <w:vertAlign w:val="superscript"/>
        </w:rPr>
        <w:t>24</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67E77" w:rsidRPr="002910A5">
        <w:rPr>
          <w:rFonts w:ascii="Book Antiqua" w:hAnsi="Book Antiqua" w:cs="Times New Roman"/>
          <w:sz w:val="24"/>
          <w:szCs w:val="24"/>
        </w:rPr>
        <w:t>In the</w:t>
      </w:r>
      <w:r w:rsidR="00CC3198" w:rsidRPr="002910A5">
        <w:rPr>
          <w:rFonts w:ascii="Book Antiqua" w:hAnsi="Book Antiqua" w:cs="Times New Roman"/>
          <w:sz w:val="24"/>
          <w:szCs w:val="24"/>
        </w:rPr>
        <w:t xml:space="preserve"> latest guideline, the European Society for Gastrointestinal Endoscopy (ESGE) recommends that LDA should be c</w:t>
      </w:r>
      <w:r w:rsidR="00DB7D47" w:rsidRPr="002910A5">
        <w:rPr>
          <w:rFonts w:ascii="Book Antiqua" w:hAnsi="Book Antiqua" w:cs="Times New Roman"/>
          <w:sz w:val="24"/>
          <w:szCs w:val="24"/>
        </w:rPr>
        <w:t>ontinued for p</w:t>
      </w:r>
      <w:r w:rsidR="003B0B15" w:rsidRPr="002910A5">
        <w:rPr>
          <w:rFonts w:ascii="Book Antiqua" w:hAnsi="Book Antiqua" w:cs="Times New Roman"/>
          <w:sz w:val="24"/>
          <w:szCs w:val="24"/>
        </w:rPr>
        <w:t>atients with</w:t>
      </w:r>
      <w:r w:rsidR="00DB7D47" w:rsidRPr="002910A5">
        <w:rPr>
          <w:rFonts w:ascii="Book Antiqua" w:hAnsi="Book Antiqua" w:cs="Times New Roman"/>
          <w:sz w:val="24"/>
          <w:szCs w:val="24"/>
        </w:rPr>
        <w:t xml:space="preserve"> a high </w:t>
      </w:r>
      <w:r w:rsidR="00CC3198" w:rsidRPr="002910A5">
        <w:rPr>
          <w:rFonts w:ascii="Book Antiqua" w:hAnsi="Book Antiqua" w:cs="Times New Roman"/>
          <w:sz w:val="24"/>
          <w:szCs w:val="24"/>
        </w:rPr>
        <w:t xml:space="preserve">risk of thrombosis who undergo high-risk endoscopic procedures including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2</w:t>
      </w:r>
      <w:r w:rsidR="00DB7D47" w:rsidRPr="002910A5">
        <w:rPr>
          <w:rFonts w:ascii="Book Antiqua" w:hAnsi="Book Antiqua" w:cs="Times New Roman"/>
          <w:sz w:val="24"/>
          <w:szCs w:val="24"/>
          <w:vertAlign w:val="superscript"/>
        </w:rPr>
        <w:t>5</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 xml:space="preserve">Moreover, </w:t>
      </w:r>
      <w:r w:rsidR="00801E12" w:rsidRPr="002910A5">
        <w:rPr>
          <w:rFonts w:ascii="Book Antiqua" w:hAnsi="Book Antiqua" w:cs="Times New Roman"/>
          <w:sz w:val="24"/>
          <w:szCs w:val="24"/>
        </w:rPr>
        <w:t xml:space="preserve">given that the prescribing physician allows </w:t>
      </w:r>
      <w:r w:rsidR="00DB7D47" w:rsidRPr="002910A5">
        <w:rPr>
          <w:rFonts w:ascii="Book Antiqua" w:hAnsi="Book Antiqua" w:cs="Times New Roman"/>
          <w:sz w:val="24"/>
          <w:szCs w:val="24"/>
        </w:rPr>
        <w:t>cessation of</w:t>
      </w:r>
      <w:r w:rsidR="00801E12" w:rsidRPr="002910A5">
        <w:rPr>
          <w:rFonts w:ascii="Book Antiqua" w:hAnsi="Book Antiqua" w:cs="Times New Roman"/>
          <w:sz w:val="24"/>
          <w:szCs w:val="24"/>
        </w:rPr>
        <w:t xml:space="preserve"> thienopyridine administration, </w:t>
      </w:r>
      <w:r w:rsidR="00CC3198" w:rsidRPr="002910A5">
        <w:rPr>
          <w:rFonts w:ascii="Book Antiqua" w:hAnsi="Book Antiqua" w:cs="Times New Roman"/>
          <w:sz w:val="24"/>
          <w:szCs w:val="24"/>
        </w:rPr>
        <w:t xml:space="preserve">ESGE recommends </w:t>
      </w:r>
      <w:r w:rsidR="00801E12" w:rsidRPr="002910A5">
        <w:rPr>
          <w:rFonts w:ascii="Book Antiqua" w:hAnsi="Book Antiqua" w:cs="Times New Roman"/>
          <w:sz w:val="24"/>
          <w:szCs w:val="24"/>
        </w:rPr>
        <w:t>the continuation of</w:t>
      </w:r>
      <w:r w:rsidR="00CC3198" w:rsidRPr="002910A5">
        <w:rPr>
          <w:rFonts w:ascii="Book Antiqua" w:hAnsi="Book Antiqua" w:cs="Times New Roman"/>
          <w:sz w:val="24"/>
          <w:szCs w:val="24"/>
        </w:rPr>
        <w:t xml:space="preserve"> LDA for patients </w:t>
      </w:r>
      <w:r w:rsidR="00DB7D47" w:rsidRPr="002910A5">
        <w:rPr>
          <w:rFonts w:ascii="Book Antiqua" w:hAnsi="Book Antiqua" w:cs="Times New Roman"/>
          <w:sz w:val="24"/>
          <w:szCs w:val="24"/>
        </w:rPr>
        <w:t>receiving</w:t>
      </w:r>
      <w:r w:rsidR="00C67E77" w:rsidRPr="002910A5">
        <w:rPr>
          <w:rFonts w:ascii="Book Antiqua" w:hAnsi="Book Antiqua" w:cs="Times New Roman"/>
          <w:sz w:val="24"/>
          <w:szCs w:val="24"/>
        </w:rPr>
        <w:t xml:space="preserve"> </w:t>
      </w:r>
      <w:r w:rsidR="00DB7D47" w:rsidRPr="002910A5">
        <w:rPr>
          <w:rFonts w:ascii="Book Antiqua" w:hAnsi="Book Antiqua" w:cs="Times New Roman"/>
          <w:sz w:val="24"/>
          <w:szCs w:val="24"/>
        </w:rPr>
        <w:t>DAPT</w:t>
      </w:r>
      <w:r w:rsidR="00CC3198" w:rsidRPr="002910A5">
        <w:rPr>
          <w:rFonts w:ascii="Book Antiqua" w:hAnsi="Book Antiqua" w:cs="Times New Roman"/>
          <w:sz w:val="24"/>
          <w:szCs w:val="24"/>
        </w:rPr>
        <w:t>.</w:t>
      </w:r>
    </w:p>
    <w:p w14:paraId="556C29D7" w14:textId="13190A4C"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Several studies</w:t>
      </w:r>
      <w:r w:rsidR="00C67E77" w:rsidRPr="002910A5">
        <w:rPr>
          <w:rFonts w:ascii="Book Antiqua" w:hAnsi="Book Antiqua" w:cs="Times New Roman"/>
          <w:sz w:val="24"/>
          <w:szCs w:val="24"/>
        </w:rPr>
        <w:t xml:space="preserve"> have report</w:t>
      </w:r>
      <w:r w:rsidR="00333DAD" w:rsidRPr="002910A5">
        <w:rPr>
          <w:rFonts w:ascii="Book Antiqua" w:hAnsi="Book Antiqua" w:cs="Times New Roman"/>
          <w:sz w:val="24"/>
          <w:szCs w:val="24"/>
        </w:rPr>
        <w:t>ed</w:t>
      </w:r>
      <w:r w:rsidR="00C67E77" w:rsidRPr="002910A5">
        <w:rPr>
          <w:rFonts w:ascii="Book Antiqua" w:hAnsi="Book Antiqua" w:cs="Times New Roman"/>
          <w:sz w:val="24"/>
          <w:szCs w:val="24"/>
        </w:rPr>
        <w:t xml:space="preserve"> that continuous LDA is</w:t>
      </w:r>
      <w:r w:rsidR="00CC3198" w:rsidRPr="002910A5">
        <w:rPr>
          <w:rFonts w:ascii="Book Antiqua" w:hAnsi="Book Antiqua" w:cs="Times New Roman"/>
          <w:sz w:val="24"/>
          <w:szCs w:val="24"/>
        </w:rPr>
        <w:t xml:space="preserve"> not an independent risk factor for postoperative bleeding after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333DAD" w:rsidRPr="002910A5">
        <w:rPr>
          <w:rFonts w:ascii="Book Antiqua" w:hAnsi="Book Antiqua" w:cs="Times New Roman"/>
          <w:sz w:val="24"/>
          <w:szCs w:val="24"/>
          <w:vertAlign w:val="superscript"/>
        </w:rPr>
        <w:t>4,17,26,27</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 xml:space="preserve">On the other hand, </w:t>
      </w:r>
      <w:r w:rsidR="00C67E77" w:rsidRPr="002910A5">
        <w:rPr>
          <w:rFonts w:ascii="Book Antiqua" w:hAnsi="Book Antiqua" w:cs="Times New Roman"/>
          <w:sz w:val="24"/>
          <w:szCs w:val="24"/>
        </w:rPr>
        <w:lastRenderedPageBreak/>
        <w:t xml:space="preserve">only </w:t>
      </w:r>
      <w:r w:rsidR="00CC3198" w:rsidRPr="002910A5">
        <w:rPr>
          <w:rFonts w:ascii="Book Antiqua" w:hAnsi="Book Antiqua" w:cs="Times New Roman"/>
          <w:sz w:val="24"/>
          <w:szCs w:val="24"/>
        </w:rPr>
        <w:t>a few stu</w:t>
      </w:r>
      <w:r w:rsidR="00C67E77" w:rsidRPr="002910A5">
        <w:rPr>
          <w:rFonts w:ascii="Book Antiqua" w:hAnsi="Book Antiqua" w:cs="Times New Roman"/>
          <w:sz w:val="24"/>
          <w:szCs w:val="24"/>
        </w:rPr>
        <w:t>dies have reported that DAPT is</w:t>
      </w:r>
      <w:r w:rsidR="00CC3198" w:rsidRPr="002910A5">
        <w:rPr>
          <w:rFonts w:ascii="Book Antiqua" w:hAnsi="Book Antiqua" w:cs="Times New Roman"/>
          <w:sz w:val="24"/>
          <w:szCs w:val="24"/>
        </w:rPr>
        <w:t xml:space="preserve"> a significant risk factor for postoperative bleeding after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333DAD" w:rsidRPr="002910A5">
        <w:rPr>
          <w:rFonts w:ascii="Book Antiqua" w:hAnsi="Book Antiqua" w:cs="Times New Roman"/>
          <w:sz w:val="24"/>
          <w:szCs w:val="24"/>
          <w:vertAlign w:val="superscript"/>
        </w:rPr>
        <w:t>3,28</w:t>
      </w:r>
      <w:r w:rsidR="005D4D9E" w:rsidRPr="002910A5">
        <w:rPr>
          <w:rFonts w:ascii="Book Antiqua" w:hAnsi="Book Antiqua" w:cs="Times New Roman"/>
          <w:sz w:val="24"/>
          <w:szCs w:val="24"/>
          <w:vertAlign w:val="superscript"/>
        </w:rPr>
        <w:t>,29</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However, several limitations</w:t>
      </w:r>
      <w:r w:rsidR="00C67E77" w:rsidRPr="002910A5">
        <w:rPr>
          <w:rFonts w:ascii="Book Antiqua" w:hAnsi="Book Antiqua" w:cs="Times New Roman"/>
          <w:sz w:val="24"/>
          <w:szCs w:val="24"/>
        </w:rPr>
        <w:t xml:space="preserve"> have been found in these studies</w:t>
      </w:r>
      <w:r w:rsidR="00CC3198" w:rsidRPr="002910A5">
        <w:rPr>
          <w:rFonts w:ascii="Book Antiqua" w:hAnsi="Book Antiqua" w:cs="Times New Roman"/>
          <w:sz w:val="24"/>
          <w:szCs w:val="24"/>
        </w:rPr>
        <w:t>, suc</w:t>
      </w:r>
      <w:r w:rsidR="00333DAD" w:rsidRPr="002910A5">
        <w:rPr>
          <w:rFonts w:ascii="Book Antiqua" w:hAnsi="Book Antiqua" w:cs="Times New Roman"/>
          <w:sz w:val="24"/>
          <w:szCs w:val="24"/>
        </w:rPr>
        <w:t>h as small sample size and use of</w:t>
      </w:r>
      <w:r w:rsidR="00CC3198" w:rsidRPr="002910A5">
        <w:rPr>
          <w:rFonts w:ascii="Book Antiqua" w:hAnsi="Book Antiqua" w:cs="Times New Roman"/>
          <w:sz w:val="24"/>
          <w:szCs w:val="24"/>
        </w:rPr>
        <w:t xml:space="preserve"> other types of thienopyridines, such as ticlopidine. </w:t>
      </w:r>
      <w:r w:rsidR="009359DB" w:rsidRPr="002910A5">
        <w:rPr>
          <w:rFonts w:ascii="Book Antiqua" w:hAnsi="Book Antiqua" w:cs="Times New Roman"/>
          <w:sz w:val="24"/>
          <w:szCs w:val="24"/>
        </w:rPr>
        <w:t xml:space="preserve">In this study, we aimed to </w:t>
      </w:r>
      <w:r w:rsidR="00C67E77" w:rsidRPr="002910A5">
        <w:rPr>
          <w:rFonts w:ascii="Book Antiqua" w:hAnsi="Book Antiqua" w:cs="Times New Roman"/>
          <w:sz w:val="24"/>
          <w:szCs w:val="24"/>
        </w:rPr>
        <w:t>investigate</w:t>
      </w:r>
      <w:r w:rsidR="00CC3198" w:rsidRPr="002910A5">
        <w:rPr>
          <w:rFonts w:ascii="Book Antiqua" w:hAnsi="Book Antiqua" w:cs="Times New Roman"/>
          <w:sz w:val="24"/>
          <w:szCs w:val="24"/>
        </w:rPr>
        <w:t xml:space="preserve"> the </w:t>
      </w:r>
      <w:r w:rsidR="009359DB" w:rsidRPr="002910A5">
        <w:rPr>
          <w:rFonts w:ascii="Book Antiqua" w:hAnsi="Book Antiqua" w:cs="Times New Roman"/>
          <w:sz w:val="24"/>
          <w:szCs w:val="24"/>
        </w:rPr>
        <w:t xml:space="preserve">effect of </w:t>
      </w:r>
      <w:r w:rsidR="00CC3198" w:rsidRPr="002910A5">
        <w:rPr>
          <w:rFonts w:ascii="Book Antiqua" w:hAnsi="Book Antiqua" w:cs="Times New Roman"/>
          <w:sz w:val="24"/>
          <w:szCs w:val="24"/>
        </w:rPr>
        <w:t>continuous LDA on</w:t>
      </w:r>
      <w:r w:rsidR="00333DAD" w:rsidRPr="002910A5">
        <w:rPr>
          <w:rFonts w:ascii="Book Antiqua" w:hAnsi="Book Antiqua" w:cs="Times New Roman"/>
          <w:sz w:val="24"/>
          <w:szCs w:val="24"/>
        </w:rPr>
        <w:t xml:space="preserve"> </w:t>
      </w:r>
      <w:r w:rsidR="00C67E77" w:rsidRPr="002910A5">
        <w:rPr>
          <w:rFonts w:ascii="Book Antiqua" w:hAnsi="Book Antiqua" w:cs="Times New Roman"/>
          <w:sz w:val="24"/>
          <w:szCs w:val="24"/>
        </w:rPr>
        <w:t>postoperative bleeding af</w:t>
      </w:r>
      <w:r w:rsidR="00333DAD" w:rsidRPr="002910A5">
        <w:rPr>
          <w:rFonts w:ascii="Book Antiqua" w:hAnsi="Book Antiqua" w:cs="Times New Roman"/>
          <w:sz w:val="24"/>
          <w:szCs w:val="24"/>
        </w:rPr>
        <w:t>ter gastric ESD in patients receiving</w:t>
      </w:r>
      <w:r w:rsidR="00CC3198" w:rsidRPr="002910A5">
        <w:rPr>
          <w:rFonts w:ascii="Book Antiqua" w:hAnsi="Book Antiqua" w:cs="Times New Roman"/>
          <w:sz w:val="24"/>
          <w:szCs w:val="24"/>
        </w:rPr>
        <w:t xml:space="preserve"> DAPT (LDA plus clopidogrel).</w:t>
      </w:r>
    </w:p>
    <w:p w14:paraId="556C29D8" w14:textId="77777777" w:rsidR="00CC3198" w:rsidRPr="002910A5" w:rsidRDefault="00CC3198" w:rsidP="002910A5">
      <w:pPr>
        <w:adjustRightInd w:val="0"/>
        <w:snapToGrid w:val="0"/>
        <w:spacing w:line="360" w:lineRule="auto"/>
        <w:rPr>
          <w:rFonts w:ascii="Book Antiqua" w:hAnsi="Book Antiqua" w:cs="Times New Roman"/>
          <w:sz w:val="24"/>
          <w:szCs w:val="24"/>
        </w:rPr>
      </w:pPr>
    </w:p>
    <w:p w14:paraId="556C29D9" w14:textId="42ACB56A" w:rsidR="00CC3198" w:rsidRPr="002910A5" w:rsidRDefault="00866E07" w:rsidP="00866E07">
      <w:pPr>
        <w:adjustRightInd w:val="0"/>
        <w:snapToGrid w:val="0"/>
        <w:spacing w:line="360" w:lineRule="auto"/>
        <w:outlineLvl w:val="0"/>
        <w:rPr>
          <w:rFonts w:ascii="Book Antiqua" w:hAnsi="Book Antiqua" w:cs="Times New Roman"/>
          <w:b/>
          <w:sz w:val="24"/>
          <w:szCs w:val="24"/>
        </w:rPr>
      </w:pPr>
      <w:r>
        <w:rPr>
          <w:rFonts w:ascii="Book Antiqua" w:hAnsi="Book Antiqua" w:cs="Times New Roman"/>
          <w:b/>
          <w:sz w:val="24"/>
          <w:szCs w:val="24"/>
        </w:rPr>
        <w:t xml:space="preserve">MATERIALS AND </w:t>
      </w:r>
      <w:r w:rsidR="00EC13A5" w:rsidRPr="002910A5">
        <w:rPr>
          <w:rFonts w:ascii="Book Antiqua" w:hAnsi="Book Antiqua" w:cs="Times New Roman"/>
          <w:b/>
          <w:sz w:val="24"/>
          <w:szCs w:val="24"/>
        </w:rPr>
        <w:t>M</w:t>
      </w:r>
      <w:r w:rsidR="009B11F9" w:rsidRPr="002910A5">
        <w:rPr>
          <w:rFonts w:ascii="Book Antiqua" w:hAnsi="Book Antiqua" w:cs="Times New Roman"/>
          <w:b/>
          <w:sz w:val="24"/>
          <w:szCs w:val="24"/>
        </w:rPr>
        <w:t>ETHODS</w:t>
      </w:r>
    </w:p>
    <w:p w14:paraId="556C29DA" w14:textId="2768699C"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Patients</w:t>
      </w:r>
      <w:r w:rsidR="00532004" w:rsidRPr="002910A5">
        <w:rPr>
          <w:rFonts w:ascii="Book Antiqua" w:hAnsi="Book Antiqua" w:cs="Times New Roman"/>
          <w:b/>
          <w:i/>
          <w:sz w:val="24"/>
          <w:szCs w:val="24"/>
        </w:rPr>
        <w:t xml:space="preserve"> and method</w:t>
      </w:r>
    </w:p>
    <w:p w14:paraId="556C29DB" w14:textId="06C60A95" w:rsidR="00087EDC" w:rsidRPr="002910A5"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This retrospective study was conducted at N</w:t>
      </w:r>
      <w:r w:rsidR="00A378B2" w:rsidRPr="002910A5">
        <w:rPr>
          <w:rFonts w:ascii="Book Antiqua" w:hAnsi="Book Antiqua" w:cs="Times New Roman"/>
          <w:sz w:val="24"/>
          <w:szCs w:val="24"/>
        </w:rPr>
        <w:t>ew Tokyo Hospital. A total of 728</w:t>
      </w:r>
      <w:r w:rsidR="008D1A21" w:rsidRPr="002910A5">
        <w:rPr>
          <w:rFonts w:ascii="Book Antiqua" w:hAnsi="Book Antiqua" w:cs="Times New Roman"/>
          <w:sz w:val="24"/>
          <w:szCs w:val="24"/>
        </w:rPr>
        <w:t xml:space="preserve"> gastric neoplasms</w:t>
      </w:r>
      <w:r w:rsidRPr="002910A5">
        <w:rPr>
          <w:rFonts w:ascii="Book Antiqua" w:hAnsi="Book Antiqua" w:cs="Times New Roman"/>
          <w:sz w:val="24"/>
          <w:szCs w:val="24"/>
        </w:rPr>
        <w:t xml:space="preserve"> were treated with ESD </w:t>
      </w:r>
      <w:r w:rsidR="00A378B2" w:rsidRPr="002910A5">
        <w:rPr>
          <w:rFonts w:ascii="Book Antiqua" w:hAnsi="Book Antiqua" w:cs="Times New Roman"/>
          <w:sz w:val="24"/>
          <w:szCs w:val="24"/>
        </w:rPr>
        <w:t>between January 2010 and June 2017</w:t>
      </w:r>
      <w:r w:rsidRPr="002910A5">
        <w:rPr>
          <w:rFonts w:ascii="Book Antiqua" w:hAnsi="Book Antiqua" w:cs="Times New Roman"/>
          <w:sz w:val="24"/>
          <w:szCs w:val="24"/>
        </w:rPr>
        <w:t xml:space="preserve">. The treatment indications for these patients were based on the guidelines proposed by the Japanese Gastric Cancer Association and included the expanded criteria proposed by </w:t>
      </w:r>
      <w:proofErr w:type="spellStart"/>
      <w:r w:rsidRPr="002910A5">
        <w:rPr>
          <w:rFonts w:ascii="Book Antiqua" w:hAnsi="Book Antiqua" w:cs="Times New Roman"/>
          <w:sz w:val="24"/>
          <w:szCs w:val="24"/>
        </w:rPr>
        <w:t>Gotoda</w:t>
      </w:r>
      <w:proofErr w:type="spellEnd"/>
      <w:r w:rsidRPr="002910A5">
        <w:rPr>
          <w:rFonts w:ascii="Book Antiqua" w:hAnsi="Book Antiqua" w:cs="Times New Roman"/>
          <w:sz w:val="24"/>
          <w:szCs w:val="24"/>
        </w:rPr>
        <w:t xml:space="preserve"> et al</w:t>
      </w:r>
      <w:r w:rsidR="00967247" w:rsidRPr="002910A5">
        <w:rPr>
          <w:rFonts w:ascii="Book Antiqua" w:hAnsi="Book Antiqua" w:cs="Times New Roman"/>
          <w:sz w:val="24"/>
          <w:szCs w:val="24"/>
          <w:vertAlign w:val="superscript"/>
        </w:rPr>
        <w:t>[3</w:t>
      </w:r>
      <w:r w:rsidR="00D60759" w:rsidRPr="002910A5">
        <w:rPr>
          <w:rFonts w:ascii="Book Antiqua" w:hAnsi="Book Antiqua" w:cs="Times New Roman"/>
          <w:sz w:val="24"/>
          <w:szCs w:val="24"/>
          <w:vertAlign w:val="superscript"/>
        </w:rPr>
        <w:t>0</w:t>
      </w:r>
      <w:r w:rsidR="005D4D9E" w:rsidRPr="002910A5">
        <w:rPr>
          <w:rFonts w:ascii="Book Antiqua" w:hAnsi="Book Antiqua" w:cs="Times New Roman"/>
          <w:sz w:val="24"/>
          <w:szCs w:val="24"/>
          <w:vertAlign w:val="superscript"/>
        </w:rPr>
        <w:t>,31</w:t>
      </w:r>
      <w:r w:rsidR="00967247" w:rsidRPr="002910A5">
        <w:rPr>
          <w:rFonts w:ascii="Book Antiqua" w:hAnsi="Book Antiqua" w:cs="Times New Roman"/>
          <w:sz w:val="24"/>
          <w:szCs w:val="24"/>
          <w:vertAlign w:val="superscript"/>
        </w:rPr>
        <w:t>]</w:t>
      </w:r>
      <w:r w:rsidR="00C847E0" w:rsidRPr="002910A5">
        <w:rPr>
          <w:rFonts w:ascii="Book Antiqua" w:hAnsi="Book Antiqua" w:cs="Times New Roman"/>
          <w:sz w:val="24"/>
          <w:szCs w:val="24"/>
        </w:rPr>
        <w:t xml:space="preserve"> as follows: </w:t>
      </w:r>
      <w:r w:rsidR="004B1684" w:rsidRPr="002910A5">
        <w:rPr>
          <w:rFonts w:ascii="Book Antiqua" w:hAnsi="Book Antiqua" w:cs="Times New Roman"/>
          <w:sz w:val="24"/>
          <w:szCs w:val="24"/>
        </w:rPr>
        <w:t xml:space="preserve">(1) differentiated-type mucosal cancer or low-grade to high-grade dysplasia (adenoma), regardless of tumor size; (2) tumor size </w:t>
      </w:r>
      <w:r w:rsidR="00FE648E" w:rsidRPr="002910A5">
        <w:rPr>
          <w:rFonts w:ascii="Book Antiqua" w:hAnsi="Book Antiqua" w:cs="Times New Roman"/>
          <w:sz w:val="24"/>
          <w:szCs w:val="24"/>
        </w:rPr>
        <w:t>≤</w:t>
      </w:r>
      <w:r w:rsidR="00866E07">
        <w:rPr>
          <w:rFonts w:ascii="Book Antiqua" w:hAnsi="Book Antiqua" w:cs="Times New Roman"/>
          <w:sz w:val="24"/>
          <w:szCs w:val="24"/>
        </w:rPr>
        <w:t xml:space="preserve"> </w:t>
      </w:r>
      <w:r w:rsidR="00FE648E" w:rsidRPr="002910A5">
        <w:rPr>
          <w:rFonts w:ascii="Book Antiqua" w:hAnsi="Book Antiqua" w:cs="Times New Roman"/>
          <w:sz w:val="24"/>
          <w:szCs w:val="24"/>
        </w:rPr>
        <w:t xml:space="preserve">3 cm if there was a </w:t>
      </w:r>
      <w:r w:rsidR="004B1684" w:rsidRPr="002910A5">
        <w:rPr>
          <w:rFonts w:ascii="Book Antiqua" w:hAnsi="Book Antiqua" w:cs="Times New Roman"/>
          <w:sz w:val="24"/>
          <w:szCs w:val="24"/>
        </w:rPr>
        <w:t>differentiated-type mucosal cancer with ulcerative findings</w:t>
      </w:r>
      <w:r w:rsidR="00FE648E" w:rsidRPr="002910A5">
        <w:rPr>
          <w:rFonts w:ascii="Book Antiqua" w:hAnsi="Book Antiqua" w:cs="Times New Roman"/>
          <w:sz w:val="24"/>
          <w:szCs w:val="24"/>
        </w:rPr>
        <w:t xml:space="preserve"> or minute submucosal invasion (</w:t>
      </w:r>
      <w:r w:rsidR="00363CAF" w:rsidRPr="002910A5">
        <w:rPr>
          <w:rFonts w:ascii="Book Antiqua" w:eastAsia="MS PGothic" w:hAnsi="Book Antiqua" w:cs="Times New Roman"/>
          <w:kern w:val="0"/>
          <w:sz w:val="24"/>
          <w:szCs w:val="24"/>
        </w:rPr>
        <w:t>&lt;</w:t>
      </w:r>
      <w:r w:rsidR="00866E07">
        <w:rPr>
          <w:rFonts w:ascii="Book Antiqua" w:eastAsia="MS PGothic" w:hAnsi="Book Antiqua" w:cs="Times New Roman"/>
          <w:kern w:val="0"/>
          <w:sz w:val="24"/>
          <w:szCs w:val="24"/>
        </w:rPr>
        <w:t xml:space="preserve"> </w:t>
      </w:r>
      <w:r w:rsidR="00363CAF" w:rsidRPr="002910A5">
        <w:rPr>
          <w:rFonts w:ascii="Book Antiqua" w:eastAsia="MS PGothic" w:hAnsi="Book Antiqua" w:cs="Times New Roman"/>
          <w:kern w:val="0"/>
          <w:sz w:val="24"/>
          <w:szCs w:val="24"/>
        </w:rPr>
        <w:t>500 micron from the muscularis mucosae)</w:t>
      </w:r>
      <w:r w:rsidR="00FE648E" w:rsidRPr="002910A5">
        <w:rPr>
          <w:rFonts w:ascii="Book Antiqua" w:hAnsi="Book Antiqua" w:cs="Times New Roman"/>
          <w:sz w:val="24"/>
          <w:szCs w:val="24"/>
        </w:rPr>
        <w:t xml:space="preserve">; </w:t>
      </w:r>
      <w:r w:rsidR="00866E07">
        <w:rPr>
          <w:rFonts w:ascii="Book Antiqua" w:hAnsi="Book Antiqua" w:cs="Times New Roman"/>
          <w:sz w:val="24"/>
          <w:szCs w:val="24"/>
        </w:rPr>
        <w:t xml:space="preserve">and </w:t>
      </w:r>
      <w:r w:rsidR="00FE648E" w:rsidRPr="002910A5">
        <w:rPr>
          <w:rFonts w:ascii="Book Antiqua" w:hAnsi="Book Antiqua" w:cs="Times New Roman"/>
          <w:sz w:val="24"/>
          <w:szCs w:val="24"/>
        </w:rPr>
        <w:t xml:space="preserve">(3) </w:t>
      </w:r>
      <w:r w:rsidR="00363CAF" w:rsidRPr="002910A5">
        <w:rPr>
          <w:rFonts w:ascii="Book Antiqua" w:hAnsi="Book Antiqua" w:cs="Times New Roman"/>
          <w:sz w:val="24"/>
          <w:szCs w:val="24"/>
        </w:rPr>
        <w:t>tumor size ≤</w:t>
      </w:r>
      <w:r w:rsidR="00866E07">
        <w:rPr>
          <w:rFonts w:ascii="Book Antiqua" w:hAnsi="Book Antiqua" w:cs="Times New Roman"/>
          <w:sz w:val="24"/>
          <w:szCs w:val="24"/>
        </w:rPr>
        <w:t xml:space="preserve"> </w:t>
      </w:r>
      <w:r w:rsidR="00363CAF" w:rsidRPr="002910A5">
        <w:rPr>
          <w:rFonts w:ascii="Book Antiqua" w:hAnsi="Book Antiqua" w:cs="Times New Roman"/>
          <w:sz w:val="24"/>
          <w:szCs w:val="24"/>
        </w:rPr>
        <w:t>2 cm if there was an undifferentiated-type mucosal cancer without ulcerative findings.</w:t>
      </w:r>
    </w:p>
    <w:p w14:paraId="556C29DC" w14:textId="2207E3F3"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 xml:space="preserve">  </w:t>
      </w:r>
      <w:r w:rsidR="00CC3198" w:rsidRPr="002910A5">
        <w:rPr>
          <w:rFonts w:ascii="Book Antiqua" w:hAnsi="Book Antiqua" w:cs="Times New Roman"/>
          <w:kern w:val="24"/>
          <w:sz w:val="24"/>
          <w:szCs w:val="24"/>
        </w:rPr>
        <w:t>Antiplatelet therapy (APT) was defined as follows: ora</w:t>
      </w:r>
      <w:r>
        <w:rPr>
          <w:rFonts w:ascii="Book Antiqua" w:hAnsi="Book Antiqua" w:cs="Times New Roman"/>
          <w:kern w:val="24"/>
          <w:sz w:val="24"/>
          <w:szCs w:val="24"/>
        </w:rPr>
        <w:t>l administration of single-LDA (aspirin 100 mg/d)</w:t>
      </w:r>
      <w:r w:rsidR="00CC3198" w:rsidRPr="002910A5">
        <w:rPr>
          <w:rFonts w:ascii="Book Antiqua" w:hAnsi="Book Antiqua" w:cs="Times New Roman"/>
          <w:kern w:val="24"/>
          <w:sz w:val="24"/>
          <w:szCs w:val="24"/>
        </w:rPr>
        <w:t xml:space="preserve"> or DAPT </w:t>
      </w:r>
      <w:r>
        <w:rPr>
          <w:rFonts w:ascii="Book Antiqua" w:hAnsi="Book Antiqua" w:cs="Times New Roman"/>
          <w:kern w:val="24"/>
          <w:sz w:val="24"/>
          <w:szCs w:val="24"/>
        </w:rPr>
        <w:t>(aspirin 100 mg/d) plus clopidogrel (</w:t>
      </w:r>
      <w:r w:rsidR="00CC3198" w:rsidRPr="002910A5">
        <w:rPr>
          <w:rFonts w:ascii="Book Antiqua" w:hAnsi="Book Antiqua" w:cs="Times New Roman"/>
          <w:kern w:val="24"/>
          <w:sz w:val="24"/>
          <w:szCs w:val="24"/>
        </w:rPr>
        <w:t>7</w:t>
      </w:r>
      <w:r>
        <w:rPr>
          <w:rFonts w:ascii="Book Antiqua" w:hAnsi="Book Antiqua" w:cs="Times New Roman"/>
          <w:kern w:val="24"/>
          <w:sz w:val="24"/>
          <w:szCs w:val="24"/>
        </w:rPr>
        <w:t>5 mg/d</w:t>
      </w:r>
      <w:r w:rsidR="00CC3198" w:rsidRPr="002910A5">
        <w:rPr>
          <w:rFonts w:ascii="Book Antiqua" w:hAnsi="Book Antiqua" w:cs="Times New Roman"/>
          <w:kern w:val="24"/>
          <w:sz w:val="24"/>
          <w:szCs w:val="24"/>
        </w:rPr>
        <w:t xml:space="preserve">). </w:t>
      </w:r>
      <w:r w:rsidR="00CC3198" w:rsidRPr="002910A5">
        <w:rPr>
          <w:rFonts w:ascii="Book Antiqua" w:hAnsi="Book Antiqua" w:cs="Times New Roman"/>
          <w:sz w:val="24"/>
          <w:szCs w:val="24"/>
        </w:rPr>
        <w:t xml:space="preserve">A total of </w:t>
      </w:r>
      <w:r w:rsidR="00B059F7" w:rsidRPr="002910A5">
        <w:rPr>
          <w:rFonts w:ascii="Book Antiqua" w:hAnsi="Book Antiqua" w:cs="Times New Roman"/>
          <w:sz w:val="24"/>
          <w:szCs w:val="24"/>
        </w:rPr>
        <w:t>131</w:t>
      </w:r>
      <w:r w:rsidR="00CC3198" w:rsidRPr="002910A5">
        <w:rPr>
          <w:rFonts w:ascii="Book Antiqua" w:hAnsi="Book Antiqua" w:cs="Times New Roman"/>
          <w:sz w:val="24"/>
          <w:szCs w:val="24"/>
        </w:rPr>
        <w:t xml:space="preserve"> lesions w</w:t>
      </w:r>
      <w:r w:rsidR="008E5535" w:rsidRPr="002910A5">
        <w:rPr>
          <w:rFonts w:ascii="Book Antiqua" w:hAnsi="Book Antiqua" w:cs="Times New Roman"/>
          <w:sz w:val="24"/>
          <w:szCs w:val="24"/>
        </w:rPr>
        <w:t>ere excluded from this study:</w:t>
      </w:r>
      <w:r w:rsidR="006225FB" w:rsidRPr="002910A5">
        <w:rPr>
          <w:rFonts w:ascii="Book Antiqua" w:hAnsi="Book Antiqua" w:cs="Times New Roman"/>
          <w:sz w:val="24"/>
          <w:szCs w:val="24"/>
        </w:rPr>
        <w:t xml:space="preserve"> 73</w:t>
      </w:r>
      <w:r w:rsidR="00CC3198" w:rsidRPr="002910A5">
        <w:rPr>
          <w:rFonts w:ascii="Book Antiqua" w:hAnsi="Book Antiqua" w:cs="Times New Roman"/>
          <w:sz w:val="24"/>
          <w:szCs w:val="24"/>
        </w:rPr>
        <w:t xml:space="preserve"> lesions </w:t>
      </w:r>
      <w:r w:rsidR="00E8790E" w:rsidRPr="002910A5">
        <w:rPr>
          <w:rFonts w:ascii="Book Antiqua" w:hAnsi="Book Antiqua" w:cs="Times New Roman"/>
          <w:sz w:val="24"/>
          <w:szCs w:val="24"/>
        </w:rPr>
        <w:t xml:space="preserve">of </w:t>
      </w:r>
      <w:r w:rsidR="00CC3198" w:rsidRPr="002910A5">
        <w:rPr>
          <w:rFonts w:ascii="Book Antiqua" w:hAnsi="Book Antiqua" w:cs="Times New Roman"/>
          <w:sz w:val="24"/>
          <w:szCs w:val="24"/>
        </w:rPr>
        <w:t xml:space="preserve">anticoagulation therapy; 25 lesions </w:t>
      </w:r>
      <w:r w:rsidR="00E8790E" w:rsidRPr="002910A5">
        <w:rPr>
          <w:rFonts w:ascii="Book Antiqua" w:hAnsi="Book Antiqua" w:cs="Times New Roman"/>
          <w:sz w:val="24"/>
          <w:szCs w:val="24"/>
        </w:rPr>
        <w:t xml:space="preserve">of </w:t>
      </w:r>
      <w:r w:rsidR="008E5535" w:rsidRPr="002910A5">
        <w:rPr>
          <w:rFonts w:ascii="Book Antiqua" w:hAnsi="Book Antiqua" w:cs="Times New Roman"/>
          <w:sz w:val="24"/>
          <w:szCs w:val="24"/>
        </w:rPr>
        <w:t>APT</w:t>
      </w:r>
      <w:r w:rsidR="00CC3198" w:rsidRPr="002910A5">
        <w:rPr>
          <w:rFonts w:ascii="Book Antiqua" w:hAnsi="Book Antiqua" w:cs="Times New Roman"/>
          <w:sz w:val="24"/>
          <w:szCs w:val="24"/>
        </w:rPr>
        <w:t xml:space="preserve"> exclu</w:t>
      </w:r>
      <w:r w:rsidR="00E8790E" w:rsidRPr="002910A5">
        <w:rPr>
          <w:rFonts w:ascii="Book Antiqua" w:hAnsi="Book Antiqua" w:cs="Times New Roman"/>
          <w:sz w:val="24"/>
          <w:szCs w:val="24"/>
        </w:rPr>
        <w:t>ding single-LDA and DAPT</w:t>
      </w:r>
      <w:r w:rsidR="004D451D" w:rsidRPr="002910A5">
        <w:rPr>
          <w:rFonts w:ascii="Book Antiqua" w:hAnsi="Book Antiqua" w:cs="Times New Roman"/>
          <w:sz w:val="24"/>
          <w:szCs w:val="24"/>
        </w:rPr>
        <w:t xml:space="preserve">: cilostazol, </w:t>
      </w:r>
      <w:proofErr w:type="spellStart"/>
      <w:r w:rsidR="004D451D" w:rsidRPr="002910A5">
        <w:rPr>
          <w:rFonts w:ascii="Book Antiqua" w:hAnsi="Book Antiqua" w:cs="Times New Roman"/>
          <w:sz w:val="24"/>
          <w:szCs w:val="24"/>
        </w:rPr>
        <w:t>sarpogrelate</w:t>
      </w:r>
      <w:proofErr w:type="spellEnd"/>
      <w:r w:rsidR="004D451D" w:rsidRPr="002910A5">
        <w:rPr>
          <w:rFonts w:ascii="Book Antiqua" w:hAnsi="Book Antiqua" w:cs="Times New Roman"/>
          <w:sz w:val="24"/>
          <w:szCs w:val="24"/>
        </w:rPr>
        <w:t>, ticl</w:t>
      </w:r>
      <w:r w:rsidR="00EF6B45" w:rsidRPr="002910A5">
        <w:rPr>
          <w:rFonts w:ascii="Book Antiqua" w:hAnsi="Book Antiqua" w:cs="Times New Roman"/>
          <w:sz w:val="24"/>
          <w:szCs w:val="24"/>
        </w:rPr>
        <w:t>opidine, and combined with these</w:t>
      </w:r>
      <w:r w:rsidR="004D451D" w:rsidRPr="002910A5">
        <w:rPr>
          <w:rFonts w:ascii="Book Antiqua" w:hAnsi="Book Antiqua" w:cs="Times New Roman"/>
          <w:sz w:val="24"/>
          <w:szCs w:val="24"/>
        </w:rPr>
        <w:t xml:space="preserve"> drugs</w:t>
      </w:r>
      <w:r w:rsidR="008E5535" w:rsidRPr="002910A5">
        <w:rPr>
          <w:rFonts w:ascii="Book Antiqua" w:hAnsi="Book Antiqua" w:cs="Times New Roman"/>
          <w:sz w:val="24"/>
          <w:szCs w:val="24"/>
        </w:rPr>
        <w:t>,</w:t>
      </w:r>
      <w:r w:rsidR="006225FB" w:rsidRPr="002910A5">
        <w:rPr>
          <w:rFonts w:ascii="Book Antiqua" w:hAnsi="Book Antiqua" w:cs="Times New Roman"/>
          <w:sz w:val="24"/>
          <w:szCs w:val="24"/>
        </w:rPr>
        <w:t xml:space="preserve"> and 33</w:t>
      </w:r>
      <w:r w:rsidR="00E8790E" w:rsidRPr="002910A5">
        <w:rPr>
          <w:rFonts w:ascii="Book Antiqua" w:hAnsi="Book Antiqua" w:cs="Times New Roman"/>
          <w:sz w:val="24"/>
          <w:szCs w:val="24"/>
        </w:rPr>
        <w:t xml:space="preserve"> lesions of</w:t>
      </w:r>
      <w:r w:rsidR="00CC3198" w:rsidRPr="002910A5">
        <w:rPr>
          <w:rFonts w:ascii="Book Antiqua" w:hAnsi="Book Antiqua" w:cs="Times New Roman"/>
          <w:sz w:val="24"/>
          <w:szCs w:val="24"/>
        </w:rPr>
        <w:t xml:space="preserve"> patients who underwent ESD for more than two lesions at the same time</w:t>
      </w:r>
      <w:r w:rsidR="008E5535" w:rsidRPr="002910A5">
        <w:rPr>
          <w:rFonts w:ascii="Book Antiqua" w:hAnsi="Book Antiqua" w:cs="Times New Roman"/>
          <w:kern w:val="24"/>
          <w:sz w:val="24"/>
          <w:szCs w:val="24"/>
        </w:rPr>
        <w:t>. Con</w:t>
      </w:r>
      <w:r w:rsidR="00E8790E" w:rsidRPr="002910A5">
        <w:rPr>
          <w:rFonts w:ascii="Book Antiqua" w:hAnsi="Book Antiqua" w:cs="Times New Roman"/>
          <w:kern w:val="24"/>
          <w:sz w:val="24"/>
          <w:szCs w:val="24"/>
        </w:rPr>
        <w:t>sequently</w:t>
      </w:r>
      <w:r w:rsidR="003A6182" w:rsidRPr="002910A5">
        <w:rPr>
          <w:rFonts w:ascii="Book Antiqua" w:hAnsi="Book Antiqua" w:cs="Times New Roman"/>
          <w:kern w:val="24"/>
          <w:sz w:val="24"/>
          <w:szCs w:val="24"/>
        </w:rPr>
        <w:t>, a total of 597</w:t>
      </w:r>
      <w:r w:rsidR="00CC3198" w:rsidRPr="002910A5">
        <w:rPr>
          <w:rFonts w:ascii="Book Antiqua" w:hAnsi="Book Antiqua" w:cs="Times New Roman"/>
          <w:kern w:val="24"/>
          <w:sz w:val="24"/>
          <w:szCs w:val="24"/>
        </w:rPr>
        <w:t xml:space="preserve"> patients were enrolled in this study. </w:t>
      </w:r>
    </w:p>
    <w:p w14:paraId="556C29DD" w14:textId="49D2F977" w:rsidR="00CC3198" w:rsidRDefault="00304859" w:rsidP="00304859">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 xml:space="preserve">All patients provided written informed consent before undergoing ESD. We retrospectively reviewed their clinical records after obtaining approval from the </w:t>
      </w:r>
      <w:r w:rsidR="00CC3198" w:rsidRPr="002910A5">
        <w:rPr>
          <w:rFonts w:ascii="Book Antiqua" w:hAnsi="Book Antiqua" w:cs="Times New Roman"/>
          <w:sz w:val="24"/>
          <w:szCs w:val="24"/>
        </w:rPr>
        <w:lastRenderedPageBreak/>
        <w:t>institutional review board of New Tokyo Hospital (IRB No. NTH-0102).</w:t>
      </w:r>
    </w:p>
    <w:p w14:paraId="1216EBFD" w14:textId="77777777" w:rsidR="00352C0E" w:rsidRPr="002910A5" w:rsidRDefault="00352C0E" w:rsidP="00352C0E">
      <w:pPr>
        <w:adjustRightInd w:val="0"/>
        <w:snapToGrid w:val="0"/>
        <w:spacing w:line="360" w:lineRule="auto"/>
        <w:ind w:firstLine="240"/>
        <w:rPr>
          <w:rFonts w:ascii="Book Antiqua" w:hAnsi="Book Antiqua" w:cs="Times New Roman"/>
          <w:sz w:val="24"/>
          <w:szCs w:val="24"/>
        </w:rPr>
      </w:pPr>
    </w:p>
    <w:p w14:paraId="556C29DE"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Management of patients receiving APAs</w:t>
      </w:r>
    </w:p>
    <w:p w14:paraId="556C29DF" w14:textId="559D8C66"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For patients on single-LDA who</w:t>
      </w:r>
      <w:r w:rsidR="008E5535" w:rsidRPr="002910A5">
        <w:rPr>
          <w:rFonts w:ascii="Book Antiqua" w:hAnsi="Book Antiqua" w:cs="Times New Roman"/>
          <w:sz w:val="24"/>
          <w:szCs w:val="24"/>
        </w:rPr>
        <w:t xml:space="preserve"> were diagnosed as having a low </w:t>
      </w:r>
      <w:r w:rsidRPr="002910A5">
        <w:rPr>
          <w:rFonts w:ascii="Book Antiqua" w:hAnsi="Book Antiqua" w:cs="Times New Roman"/>
          <w:sz w:val="24"/>
          <w:szCs w:val="24"/>
        </w:rPr>
        <w:t xml:space="preserve">risk of thrombosis, LDA treatment was discontinued more than five days before ESD. Patients on single-LDA who </w:t>
      </w:r>
      <w:r w:rsidR="00AE47C7" w:rsidRPr="002910A5">
        <w:rPr>
          <w:rFonts w:ascii="Book Antiqua" w:hAnsi="Book Antiqua" w:cs="Times New Roman"/>
          <w:sz w:val="24"/>
          <w:szCs w:val="24"/>
        </w:rPr>
        <w:t xml:space="preserve">were diagnosed as having a high </w:t>
      </w:r>
      <w:r w:rsidRPr="002910A5">
        <w:rPr>
          <w:rFonts w:ascii="Book Antiqua" w:hAnsi="Book Antiqua" w:cs="Times New Roman"/>
          <w:sz w:val="24"/>
          <w:szCs w:val="24"/>
        </w:rPr>
        <w:t>risk of thrombosis were treated with uninterrupted LDA. For patients on DAPT who</w:t>
      </w:r>
      <w:r w:rsidR="00AE47C7" w:rsidRPr="002910A5">
        <w:rPr>
          <w:rFonts w:ascii="Book Antiqua" w:hAnsi="Book Antiqua" w:cs="Times New Roman"/>
          <w:sz w:val="24"/>
          <w:szCs w:val="24"/>
        </w:rPr>
        <w:t xml:space="preserve"> were diagnosed as having a low </w:t>
      </w:r>
      <w:r w:rsidRPr="002910A5">
        <w:rPr>
          <w:rFonts w:ascii="Book Antiqua" w:hAnsi="Book Antiqua" w:cs="Times New Roman"/>
          <w:sz w:val="24"/>
          <w:szCs w:val="24"/>
        </w:rPr>
        <w:t>risk of thrombosis, LDA and clopidogrel were discontinued more than fi</w:t>
      </w:r>
      <w:r w:rsidR="00E8790E" w:rsidRPr="002910A5">
        <w:rPr>
          <w:rFonts w:ascii="Book Antiqua" w:hAnsi="Book Antiqua" w:cs="Times New Roman"/>
          <w:sz w:val="24"/>
          <w:szCs w:val="24"/>
        </w:rPr>
        <w:t xml:space="preserve">ve days before ESD. </w:t>
      </w:r>
      <w:r w:rsidR="00AE47C7" w:rsidRPr="002910A5">
        <w:rPr>
          <w:rFonts w:ascii="Book Antiqua" w:hAnsi="Book Antiqua" w:cs="Times New Roman"/>
          <w:sz w:val="24"/>
          <w:szCs w:val="24"/>
        </w:rPr>
        <w:t>P</w:t>
      </w:r>
      <w:r w:rsidR="00E8790E" w:rsidRPr="002910A5">
        <w:rPr>
          <w:rFonts w:ascii="Book Antiqua" w:hAnsi="Book Antiqua" w:cs="Times New Roman"/>
          <w:sz w:val="24"/>
          <w:szCs w:val="24"/>
        </w:rPr>
        <w:t>atients</w:t>
      </w:r>
      <w:r w:rsidR="00AE47C7" w:rsidRPr="002910A5">
        <w:rPr>
          <w:rFonts w:ascii="Book Antiqua" w:hAnsi="Book Antiqua" w:cs="Times New Roman"/>
          <w:sz w:val="24"/>
          <w:szCs w:val="24"/>
        </w:rPr>
        <w:t xml:space="preserve"> on DAPT who were diagnosed as having a high </w:t>
      </w:r>
      <w:r w:rsidRPr="002910A5">
        <w:rPr>
          <w:rFonts w:ascii="Book Antiqua" w:hAnsi="Book Antiqua" w:cs="Times New Roman"/>
          <w:sz w:val="24"/>
          <w:szCs w:val="24"/>
        </w:rPr>
        <w:t>risk of thrombosis were treated with continuous LDA</w:t>
      </w:r>
      <w:r w:rsidR="00E8790E" w:rsidRPr="002910A5">
        <w:rPr>
          <w:rFonts w:ascii="Book Antiqua" w:hAnsi="Book Antiqua" w:cs="Times New Roman"/>
          <w:sz w:val="24"/>
          <w:szCs w:val="24"/>
        </w:rPr>
        <w:t>,</w:t>
      </w:r>
      <w:r w:rsidRPr="002910A5">
        <w:rPr>
          <w:rFonts w:ascii="Book Antiqua" w:hAnsi="Book Antiqua" w:cs="Times New Roman"/>
          <w:sz w:val="24"/>
          <w:szCs w:val="24"/>
        </w:rPr>
        <w:t xml:space="preserve"> </w:t>
      </w:r>
      <w:r w:rsidR="00E8790E" w:rsidRPr="002910A5">
        <w:rPr>
          <w:rFonts w:ascii="Book Antiqua" w:hAnsi="Book Antiqua" w:cs="Times New Roman"/>
          <w:sz w:val="24"/>
          <w:szCs w:val="24"/>
        </w:rPr>
        <w:t>although</w:t>
      </w:r>
      <w:r w:rsidR="00AE47C7" w:rsidRPr="002910A5">
        <w:rPr>
          <w:rFonts w:ascii="Book Antiqua" w:hAnsi="Book Antiqua" w:cs="Times New Roman"/>
          <w:sz w:val="24"/>
          <w:szCs w:val="24"/>
        </w:rPr>
        <w:t xml:space="preserve"> </w:t>
      </w:r>
      <w:r w:rsidRPr="002910A5">
        <w:rPr>
          <w:rFonts w:ascii="Book Antiqua" w:hAnsi="Book Antiqua" w:cs="Times New Roman"/>
          <w:sz w:val="24"/>
          <w:szCs w:val="24"/>
        </w:rPr>
        <w:t>clopidogrel was discontinued for more than five days before ESD. All APAs were r</w:t>
      </w:r>
      <w:r w:rsidR="00E8790E" w:rsidRPr="002910A5">
        <w:rPr>
          <w:rFonts w:ascii="Book Antiqua" w:hAnsi="Book Antiqua" w:cs="Times New Roman"/>
          <w:sz w:val="24"/>
          <w:szCs w:val="24"/>
        </w:rPr>
        <w:t xml:space="preserve">ecommenced on approximately </w:t>
      </w:r>
      <w:r w:rsidRPr="002910A5">
        <w:rPr>
          <w:rFonts w:ascii="Book Antiqua" w:hAnsi="Book Antiqua" w:cs="Times New Roman"/>
          <w:sz w:val="24"/>
          <w:szCs w:val="24"/>
        </w:rPr>
        <w:t>5</w:t>
      </w:r>
      <w:r w:rsidR="00E8790E" w:rsidRPr="002910A5">
        <w:rPr>
          <w:rFonts w:ascii="Book Antiqua" w:hAnsi="Book Antiqua" w:cs="Times New Roman"/>
          <w:sz w:val="24"/>
          <w:szCs w:val="24"/>
        </w:rPr>
        <w:t xml:space="preserve"> d</w:t>
      </w:r>
      <w:r w:rsidR="00E5428B">
        <w:rPr>
          <w:rFonts w:ascii="Book Antiqua" w:hAnsi="Book Antiqua" w:cs="Times New Roman" w:hint="eastAsia"/>
          <w:sz w:val="24"/>
          <w:szCs w:val="24"/>
          <w:lang w:eastAsia="zh-CN"/>
        </w:rPr>
        <w:t xml:space="preserve"> </w:t>
      </w:r>
      <w:r w:rsidRPr="002910A5">
        <w:rPr>
          <w:rFonts w:ascii="Book Antiqua" w:hAnsi="Book Antiqua" w:cs="Times New Roman"/>
          <w:sz w:val="24"/>
          <w:szCs w:val="24"/>
        </w:rPr>
        <w:t xml:space="preserve">after ESD. </w:t>
      </w:r>
      <w:r w:rsidR="00AE62CA" w:rsidRPr="002910A5">
        <w:rPr>
          <w:rFonts w:ascii="Book Antiqua" w:hAnsi="Book Antiqua" w:cs="Times New Roman"/>
          <w:sz w:val="24"/>
          <w:szCs w:val="24"/>
        </w:rPr>
        <w:t xml:space="preserve">The high thrombosis risk was defined as the conditions based on ASGE and JGES </w:t>
      </w:r>
      <w:proofErr w:type="gramStart"/>
      <w:r w:rsidR="00AE62CA" w:rsidRPr="002910A5">
        <w:rPr>
          <w:rFonts w:ascii="Book Antiqua" w:hAnsi="Book Antiqua" w:cs="Times New Roman"/>
          <w:sz w:val="24"/>
          <w:szCs w:val="24"/>
        </w:rPr>
        <w:t>guidelines</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2</w:t>
      </w:r>
      <w:r w:rsidR="00AE62CA" w:rsidRPr="002910A5">
        <w:rPr>
          <w:rFonts w:ascii="Book Antiqua" w:hAnsi="Book Antiqua" w:cs="Times New Roman"/>
          <w:sz w:val="24"/>
          <w:szCs w:val="24"/>
          <w:vertAlign w:val="superscript"/>
        </w:rPr>
        <w:t>2</w:t>
      </w:r>
      <w:r w:rsidR="00A46860">
        <w:rPr>
          <w:rFonts w:ascii="Book Antiqua" w:eastAsia="Meiryo UI" w:hAnsi="Book Antiqua" w:cs="Times New Roman"/>
          <w:sz w:val="24"/>
          <w:szCs w:val="24"/>
          <w:vertAlign w:val="superscript"/>
        </w:rPr>
        <w:t>-</w:t>
      </w:r>
      <w:r w:rsidR="00AE62CA" w:rsidRPr="002910A5">
        <w:rPr>
          <w:rFonts w:ascii="Book Antiqua" w:hAnsi="Book Antiqua" w:cs="Times New Roman"/>
          <w:sz w:val="24"/>
          <w:szCs w:val="24"/>
          <w:vertAlign w:val="superscript"/>
        </w:rPr>
        <w:t>24</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AE62CA" w:rsidRPr="002910A5">
        <w:rPr>
          <w:rFonts w:ascii="Book Antiqua" w:hAnsi="Book Antiqua" w:cs="Times New Roman"/>
          <w:sz w:val="24"/>
          <w:szCs w:val="24"/>
        </w:rPr>
        <w:t xml:space="preserve">We </w:t>
      </w:r>
      <w:r w:rsidRPr="002910A5">
        <w:rPr>
          <w:rFonts w:ascii="Book Antiqua" w:hAnsi="Book Antiqua" w:cs="Times New Roman"/>
          <w:sz w:val="24"/>
          <w:szCs w:val="24"/>
        </w:rPr>
        <w:t>also consulted with the prescribing physician before the procedure to determine whether LDA and/or clopidogrel should be stopped or continued.</w:t>
      </w:r>
    </w:p>
    <w:p w14:paraId="7535E907" w14:textId="77777777" w:rsidR="00352C0E" w:rsidRPr="002910A5" w:rsidRDefault="00352C0E" w:rsidP="002910A5">
      <w:pPr>
        <w:adjustRightInd w:val="0"/>
        <w:snapToGrid w:val="0"/>
        <w:spacing w:line="360" w:lineRule="auto"/>
        <w:rPr>
          <w:rFonts w:ascii="Book Antiqua" w:hAnsi="Book Antiqua" w:cs="Times New Roman"/>
          <w:sz w:val="24"/>
          <w:szCs w:val="24"/>
        </w:rPr>
      </w:pPr>
    </w:p>
    <w:p w14:paraId="556C29E0"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ESD procedure</w:t>
      </w:r>
    </w:p>
    <w:p w14:paraId="556C29E1" w14:textId="163186DE"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ESD was performed with either a single-channel or </w:t>
      </w:r>
      <w:r w:rsidR="00C525EF" w:rsidRPr="002910A5">
        <w:rPr>
          <w:rFonts w:ascii="Book Antiqua" w:hAnsi="Book Antiqua" w:cs="Times New Roman"/>
          <w:sz w:val="24"/>
          <w:szCs w:val="24"/>
        </w:rPr>
        <w:t xml:space="preserve">a </w:t>
      </w:r>
      <w:r w:rsidRPr="002910A5">
        <w:rPr>
          <w:rFonts w:ascii="Book Antiqua" w:hAnsi="Book Antiqua" w:cs="Times New Roman"/>
          <w:sz w:val="24"/>
          <w:szCs w:val="24"/>
        </w:rPr>
        <w:t xml:space="preserve">2-channel endoscope (GIF-Q260J, GIF-H290Z, and GIF-2TQ260M; Olympus, Tokyo, Japan), and with either a </w:t>
      </w:r>
      <w:proofErr w:type="spellStart"/>
      <w:r w:rsidRPr="002910A5">
        <w:rPr>
          <w:rFonts w:ascii="Book Antiqua" w:hAnsi="Book Antiqua" w:cs="Times New Roman"/>
          <w:sz w:val="24"/>
          <w:szCs w:val="24"/>
        </w:rPr>
        <w:t>FlushKnife</w:t>
      </w:r>
      <w:proofErr w:type="spellEnd"/>
      <w:r w:rsidRPr="002910A5">
        <w:rPr>
          <w:rFonts w:ascii="Book Antiqua" w:hAnsi="Book Antiqua" w:cs="Times New Roman"/>
          <w:sz w:val="24"/>
          <w:szCs w:val="24"/>
        </w:rPr>
        <w:t xml:space="preserve"> BT (DK2618JB; Fujifilm, Tokyo, Japan) or a </w:t>
      </w:r>
      <w:proofErr w:type="spellStart"/>
      <w:r w:rsidRPr="002910A5">
        <w:rPr>
          <w:rFonts w:ascii="Book Antiqua" w:hAnsi="Book Antiqua" w:cs="Times New Roman"/>
          <w:sz w:val="24"/>
          <w:szCs w:val="24"/>
        </w:rPr>
        <w:t>DualKnife</w:t>
      </w:r>
      <w:proofErr w:type="spellEnd"/>
      <w:r w:rsidRPr="002910A5">
        <w:rPr>
          <w:rFonts w:ascii="Book Antiqua" w:hAnsi="Book Antiqua" w:cs="Times New Roman"/>
          <w:sz w:val="24"/>
          <w:szCs w:val="24"/>
        </w:rPr>
        <w:t xml:space="preserve"> (KD-650L; Olympus, Tokyo, Japan) as the electrosurgical knife. ESD p</w:t>
      </w:r>
      <w:r w:rsidR="00C525EF" w:rsidRPr="002910A5">
        <w:rPr>
          <w:rFonts w:ascii="Book Antiqua" w:hAnsi="Book Antiqua" w:cs="Times New Roman"/>
          <w:sz w:val="24"/>
          <w:szCs w:val="24"/>
        </w:rPr>
        <w:t>rocedures were</w:t>
      </w:r>
      <w:r w:rsidR="005C08FC" w:rsidRPr="002910A5">
        <w:rPr>
          <w:rFonts w:ascii="Book Antiqua" w:hAnsi="Book Antiqua" w:cs="Times New Roman"/>
          <w:sz w:val="24"/>
          <w:szCs w:val="24"/>
        </w:rPr>
        <w:t xml:space="preserve"> performed</w:t>
      </w:r>
      <w:r w:rsidR="00C525EF" w:rsidRPr="002910A5">
        <w:rPr>
          <w:rFonts w:ascii="Book Antiqua" w:hAnsi="Book Antiqua" w:cs="Times New Roman"/>
          <w:sz w:val="24"/>
          <w:szCs w:val="24"/>
        </w:rPr>
        <w:t xml:space="preserve"> predominantly</w:t>
      </w:r>
      <w:r w:rsidR="005C08FC" w:rsidRPr="002910A5">
        <w:rPr>
          <w:rFonts w:ascii="Book Antiqua" w:hAnsi="Book Antiqua" w:cs="Times New Roman"/>
          <w:sz w:val="24"/>
          <w:szCs w:val="24"/>
        </w:rPr>
        <w:t xml:space="preserve"> by </w:t>
      </w:r>
      <w:r w:rsidR="00B87DE1" w:rsidRPr="002910A5">
        <w:rPr>
          <w:rFonts w:ascii="Book Antiqua" w:hAnsi="Book Antiqua" w:cs="Times New Roman"/>
          <w:sz w:val="24"/>
          <w:szCs w:val="24"/>
        </w:rPr>
        <w:t xml:space="preserve">four </w:t>
      </w:r>
      <w:r w:rsidR="00801E12" w:rsidRPr="002910A5">
        <w:rPr>
          <w:rFonts w:ascii="Book Antiqua" w:hAnsi="Book Antiqua" w:cs="Times New Roman"/>
          <w:sz w:val="24"/>
          <w:szCs w:val="24"/>
        </w:rPr>
        <w:t>expert</w:t>
      </w:r>
      <w:r w:rsidR="00B62879" w:rsidRPr="002910A5">
        <w:rPr>
          <w:rFonts w:ascii="Book Antiqua" w:hAnsi="Book Antiqua" w:cs="Times New Roman"/>
          <w:sz w:val="24"/>
          <w:szCs w:val="24"/>
        </w:rPr>
        <w:t xml:space="preserve"> endoscopists</w:t>
      </w:r>
      <w:r w:rsidR="00E8790E" w:rsidRPr="002910A5">
        <w:rPr>
          <w:rFonts w:ascii="Book Antiqua" w:eastAsia="MS PGothic" w:hAnsi="Book Antiqua" w:cs="Times New Roman"/>
          <w:kern w:val="0"/>
          <w:sz w:val="24"/>
          <w:szCs w:val="24"/>
        </w:rPr>
        <w:t xml:space="preserve"> who have performed more than 300</w:t>
      </w:r>
      <w:r w:rsidR="00C525EF" w:rsidRPr="002910A5">
        <w:rPr>
          <w:rFonts w:ascii="Book Antiqua" w:eastAsia="MS PGothic" w:hAnsi="Book Antiqua" w:cs="Times New Roman"/>
          <w:kern w:val="0"/>
          <w:sz w:val="24"/>
          <w:szCs w:val="24"/>
        </w:rPr>
        <w:t xml:space="preserve"> </w:t>
      </w:r>
      <w:r w:rsidR="00E8790E" w:rsidRPr="002910A5">
        <w:rPr>
          <w:rFonts w:ascii="Book Antiqua" w:eastAsia="MS PGothic" w:hAnsi="Book Antiqua" w:cs="Times New Roman"/>
          <w:kern w:val="0"/>
          <w:sz w:val="24"/>
          <w:szCs w:val="24"/>
        </w:rPr>
        <w:t>gastric ESDs</w:t>
      </w:r>
      <w:r w:rsidRPr="002910A5">
        <w:rPr>
          <w:rFonts w:ascii="Book Antiqua" w:hAnsi="Book Antiqua" w:cs="Times New Roman"/>
          <w:sz w:val="24"/>
          <w:szCs w:val="24"/>
        </w:rPr>
        <w:t>. For the pro</w:t>
      </w:r>
      <w:r w:rsidR="00C525EF" w:rsidRPr="002910A5">
        <w:rPr>
          <w:rFonts w:ascii="Book Antiqua" w:hAnsi="Book Antiqua" w:cs="Times New Roman"/>
          <w:sz w:val="24"/>
          <w:szCs w:val="24"/>
        </w:rPr>
        <w:t>cedure, markings were made with</w:t>
      </w:r>
      <w:r w:rsidRPr="002910A5">
        <w:rPr>
          <w:rFonts w:ascii="Book Antiqua" w:hAnsi="Book Antiqua" w:cs="Times New Roman"/>
          <w:sz w:val="24"/>
          <w:szCs w:val="24"/>
        </w:rPr>
        <w:t xml:space="preserve"> the electrosurgical knife around the lesion. Sodium hyaluronate was injected into the submucosal layer</w:t>
      </w:r>
      <w:r w:rsidR="00C525EF" w:rsidRPr="002910A5">
        <w:rPr>
          <w:rFonts w:ascii="Book Antiqua" w:hAnsi="Book Antiqua" w:cs="Times New Roman"/>
          <w:sz w:val="24"/>
          <w:szCs w:val="24"/>
        </w:rPr>
        <w:t>,</w:t>
      </w:r>
      <w:r w:rsidRPr="002910A5">
        <w:rPr>
          <w:rFonts w:ascii="Book Antiqua" w:hAnsi="Book Antiqua" w:cs="Times New Roman"/>
          <w:sz w:val="24"/>
          <w:szCs w:val="24"/>
        </w:rPr>
        <w:t xml:space="preserve"> and a circumferential mucosal incision outside the markings was made with the electrosu</w:t>
      </w:r>
      <w:r w:rsidR="00C525EF" w:rsidRPr="002910A5">
        <w:rPr>
          <w:rFonts w:ascii="Book Antiqua" w:hAnsi="Book Antiqua" w:cs="Times New Roman"/>
          <w:sz w:val="24"/>
          <w:szCs w:val="24"/>
        </w:rPr>
        <w:t xml:space="preserve">rgical knife. Subsequently, </w:t>
      </w:r>
      <w:r w:rsidRPr="002910A5">
        <w:rPr>
          <w:rFonts w:ascii="Book Antiqua" w:hAnsi="Book Antiqua" w:cs="Times New Roman"/>
          <w:sz w:val="24"/>
          <w:szCs w:val="24"/>
        </w:rPr>
        <w:t xml:space="preserve">submucosal dissection of the lesion was performed, and pre-coagulation of visible vessels with </w:t>
      </w:r>
      <w:r w:rsidR="009E3245">
        <w:rPr>
          <w:rFonts w:ascii="Book Antiqua" w:hAnsi="Book Antiqua" w:cs="Times New Roman"/>
          <w:sz w:val="24"/>
          <w:szCs w:val="24"/>
        </w:rPr>
        <w:t>hemostatic forceps</w:t>
      </w:r>
      <w:r w:rsidRPr="002910A5">
        <w:rPr>
          <w:rFonts w:ascii="Book Antiqua" w:hAnsi="Book Antiqua" w:cs="Times New Roman"/>
          <w:sz w:val="24"/>
          <w:szCs w:val="24"/>
        </w:rPr>
        <w:t xml:space="preserve"> (FD-230U or FD-410LR; Olympus, Tokyo, </w:t>
      </w:r>
      <w:r w:rsidRPr="002910A5">
        <w:rPr>
          <w:rFonts w:ascii="Book Antiqua" w:hAnsi="Book Antiqua" w:cs="Times New Roman"/>
          <w:sz w:val="24"/>
          <w:szCs w:val="24"/>
        </w:rPr>
        <w:lastRenderedPageBreak/>
        <w:t xml:space="preserve">Japan) was performed during the submucosal dissection. After removal of the lesion, all visible vessels on the artificial ulcer bed were coagulated with </w:t>
      </w:r>
      <w:r w:rsidR="009E3245" w:rsidRPr="002910A5">
        <w:rPr>
          <w:rFonts w:ascii="Book Antiqua" w:hAnsi="Book Antiqua" w:cs="Times New Roman"/>
          <w:sz w:val="24"/>
          <w:szCs w:val="24"/>
        </w:rPr>
        <w:t>hemostatic forceps</w:t>
      </w:r>
      <w:r w:rsidRPr="002910A5">
        <w:rPr>
          <w:rFonts w:ascii="Book Antiqua" w:hAnsi="Book Antiqua" w:cs="Times New Roman"/>
          <w:sz w:val="24"/>
          <w:szCs w:val="24"/>
        </w:rPr>
        <w:t>.</w:t>
      </w:r>
      <w:r w:rsidR="00393D2D" w:rsidRPr="002910A5">
        <w:rPr>
          <w:rFonts w:ascii="Book Antiqua" w:hAnsi="Book Antiqua" w:cs="Times New Roman"/>
          <w:sz w:val="24"/>
          <w:szCs w:val="24"/>
        </w:rPr>
        <w:t xml:space="preserve"> Neither endo-clip suturing and poly-glycolic acid sheet patching was done for post-ESD ulcer in this study.</w:t>
      </w:r>
    </w:p>
    <w:p w14:paraId="050FC2E7" w14:textId="77777777" w:rsidR="009E3245" w:rsidRPr="002910A5" w:rsidRDefault="009E3245" w:rsidP="002910A5">
      <w:pPr>
        <w:adjustRightInd w:val="0"/>
        <w:snapToGrid w:val="0"/>
        <w:spacing w:line="360" w:lineRule="auto"/>
        <w:rPr>
          <w:rFonts w:ascii="Book Antiqua" w:hAnsi="Book Antiqua" w:cs="Times New Roman"/>
          <w:sz w:val="24"/>
          <w:szCs w:val="24"/>
        </w:rPr>
      </w:pPr>
    </w:p>
    <w:p w14:paraId="556C29E2"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Treatment after ESD</w:t>
      </w:r>
    </w:p>
    <w:p w14:paraId="556C29E3" w14:textId="081CC817"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Proton pum</w:t>
      </w:r>
      <w:r w:rsidR="00C525EF" w:rsidRPr="002910A5">
        <w:rPr>
          <w:rFonts w:ascii="Book Antiqua" w:hAnsi="Book Antiqua" w:cs="Times New Roman"/>
          <w:sz w:val="24"/>
          <w:szCs w:val="24"/>
        </w:rPr>
        <w:t xml:space="preserve">p inhibitors were </w:t>
      </w:r>
      <w:r w:rsidRPr="002910A5">
        <w:rPr>
          <w:rFonts w:ascii="Book Antiqua" w:hAnsi="Book Antiqua" w:cs="Times New Roman"/>
          <w:sz w:val="24"/>
          <w:szCs w:val="24"/>
        </w:rPr>
        <w:t>administered</w:t>
      </w:r>
      <w:r w:rsidR="00C525EF" w:rsidRPr="002910A5">
        <w:rPr>
          <w:rFonts w:ascii="Book Antiqua" w:hAnsi="Book Antiqua" w:cs="Times New Roman"/>
          <w:sz w:val="24"/>
          <w:szCs w:val="24"/>
        </w:rPr>
        <w:t xml:space="preserve"> intravenously</w:t>
      </w:r>
      <w:r w:rsidRPr="002910A5">
        <w:rPr>
          <w:rFonts w:ascii="Book Antiqua" w:hAnsi="Book Antiqua" w:cs="Times New Roman"/>
          <w:sz w:val="24"/>
          <w:szCs w:val="24"/>
        </w:rPr>
        <w:t xml:space="preserve"> for </w:t>
      </w:r>
      <w:r w:rsidR="006D29AE" w:rsidRPr="002910A5">
        <w:rPr>
          <w:rFonts w:ascii="Book Antiqua" w:hAnsi="Book Antiqua" w:cs="Times New Roman"/>
          <w:sz w:val="24"/>
          <w:szCs w:val="24"/>
        </w:rPr>
        <w:t>two days following the ESD</w:t>
      </w:r>
      <w:r w:rsidRPr="002910A5">
        <w:rPr>
          <w:rFonts w:ascii="Book Antiqua" w:hAnsi="Book Antiqua" w:cs="Times New Roman"/>
          <w:sz w:val="24"/>
          <w:szCs w:val="24"/>
        </w:rPr>
        <w:t xml:space="preserve">. All patients underwent a second-look endoscopy the day after ESD. If </w:t>
      </w:r>
      <w:r w:rsidR="009C2807" w:rsidRPr="002910A5">
        <w:rPr>
          <w:rFonts w:ascii="Book Antiqua" w:hAnsi="Book Antiqua" w:cs="Times New Roman"/>
          <w:sz w:val="24"/>
          <w:szCs w:val="24"/>
        </w:rPr>
        <w:t xml:space="preserve">possible bleeding </w:t>
      </w:r>
      <w:r w:rsidRPr="002910A5">
        <w:rPr>
          <w:rFonts w:ascii="Book Antiqua" w:hAnsi="Book Antiqua" w:cs="Times New Roman"/>
          <w:sz w:val="24"/>
          <w:szCs w:val="24"/>
        </w:rPr>
        <w:t>vessels</w:t>
      </w:r>
      <w:r w:rsidR="00C525EF" w:rsidRPr="002910A5">
        <w:rPr>
          <w:rFonts w:ascii="Book Antiqua" w:hAnsi="Book Antiqua" w:cs="Times New Roman"/>
          <w:sz w:val="24"/>
          <w:szCs w:val="24"/>
        </w:rPr>
        <w:t xml:space="preserve"> were observed</w:t>
      </w:r>
      <w:r w:rsidRPr="002910A5">
        <w:rPr>
          <w:rFonts w:ascii="Book Antiqua" w:hAnsi="Book Antiqua" w:cs="Times New Roman"/>
          <w:sz w:val="24"/>
          <w:szCs w:val="24"/>
        </w:rPr>
        <w:t xml:space="preserve"> in the ulcer bed, prophylactic hemostasis was performed</w:t>
      </w:r>
      <w:r w:rsidR="006343DA" w:rsidRPr="002910A5">
        <w:rPr>
          <w:rFonts w:ascii="Book Antiqua" w:hAnsi="Book Antiqua" w:cs="Times New Roman"/>
          <w:sz w:val="24"/>
          <w:szCs w:val="24"/>
        </w:rPr>
        <w:t xml:space="preserve"> with </w:t>
      </w:r>
      <w:r w:rsidR="00687C55" w:rsidRPr="002910A5">
        <w:rPr>
          <w:rFonts w:ascii="Book Antiqua" w:hAnsi="Book Antiqua" w:cs="Times New Roman"/>
          <w:sz w:val="24"/>
          <w:szCs w:val="24"/>
        </w:rPr>
        <w:t xml:space="preserve">a high-frequency soft coagulation using </w:t>
      </w:r>
      <w:r w:rsidR="006343DA" w:rsidRPr="002910A5">
        <w:rPr>
          <w:rFonts w:ascii="Book Antiqua" w:hAnsi="Book Antiqua" w:cs="Times New Roman"/>
          <w:sz w:val="24"/>
          <w:szCs w:val="24"/>
        </w:rPr>
        <w:t xml:space="preserve">hemostatic forceps or </w:t>
      </w:r>
      <w:r w:rsidR="009E3245" w:rsidRPr="002910A5">
        <w:rPr>
          <w:rFonts w:ascii="Book Antiqua" w:hAnsi="Book Antiqua" w:cs="Times New Roman"/>
          <w:sz w:val="24"/>
          <w:szCs w:val="24"/>
        </w:rPr>
        <w:t>hemostatic clips</w:t>
      </w:r>
      <w:r w:rsidRPr="002910A5">
        <w:rPr>
          <w:rFonts w:ascii="Book Antiqua" w:hAnsi="Book Antiqua" w:cs="Times New Roman"/>
          <w:sz w:val="24"/>
          <w:szCs w:val="24"/>
        </w:rPr>
        <w:t xml:space="preserve">. A liquid diet </w:t>
      </w:r>
      <w:r w:rsidR="009C2807" w:rsidRPr="002910A5">
        <w:rPr>
          <w:rFonts w:ascii="Book Antiqua" w:hAnsi="Book Antiqua" w:cs="Times New Roman"/>
          <w:sz w:val="24"/>
          <w:szCs w:val="24"/>
        </w:rPr>
        <w:t xml:space="preserve">concomitant </w:t>
      </w:r>
      <w:r w:rsidRPr="002910A5">
        <w:rPr>
          <w:rFonts w:ascii="Book Antiqua" w:hAnsi="Book Antiqua" w:cs="Times New Roman"/>
          <w:sz w:val="24"/>
          <w:szCs w:val="24"/>
        </w:rPr>
        <w:t>with oral administration of proton pump inhibitors was started two days after ESD if no signs of postoperative bleeding were confirmed. All patients were</w:t>
      </w:r>
      <w:r w:rsidR="006A37FF" w:rsidRPr="002910A5">
        <w:rPr>
          <w:rFonts w:ascii="Book Antiqua" w:hAnsi="Book Antiqua" w:cs="Times New Roman"/>
          <w:sz w:val="24"/>
          <w:szCs w:val="24"/>
        </w:rPr>
        <w:t xml:space="preserve"> also given</w:t>
      </w:r>
      <w:r w:rsidRPr="002910A5">
        <w:rPr>
          <w:rFonts w:ascii="Book Antiqua" w:hAnsi="Book Antiqua" w:cs="Times New Roman"/>
          <w:sz w:val="24"/>
          <w:szCs w:val="24"/>
        </w:rPr>
        <w:t xml:space="preserve"> </w:t>
      </w:r>
      <w:r w:rsidR="006A37FF" w:rsidRPr="002910A5">
        <w:rPr>
          <w:rFonts w:ascii="Book Antiqua" w:hAnsi="Book Antiqua" w:cs="Times New Roman"/>
          <w:sz w:val="24"/>
          <w:szCs w:val="24"/>
        </w:rPr>
        <w:t>oral</w:t>
      </w:r>
      <w:r w:rsidRPr="002910A5">
        <w:rPr>
          <w:rFonts w:ascii="Book Antiqua" w:hAnsi="Book Antiqua" w:cs="Times New Roman"/>
          <w:sz w:val="24"/>
          <w:szCs w:val="24"/>
        </w:rPr>
        <w:t xml:space="preserve"> proton pump inhibitors for eight weeks following ESD. All adverse events were recorded for 30 d after ESD.</w:t>
      </w:r>
    </w:p>
    <w:p w14:paraId="5334DC84" w14:textId="77777777" w:rsidR="009E3245" w:rsidRPr="002910A5" w:rsidRDefault="009E3245" w:rsidP="002910A5">
      <w:pPr>
        <w:adjustRightInd w:val="0"/>
        <w:snapToGrid w:val="0"/>
        <w:spacing w:line="360" w:lineRule="auto"/>
        <w:rPr>
          <w:rFonts w:ascii="Book Antiqua" w:hAnsi="Book Antiqua" w:cs="Times New Roman"/>
          <w:sz w:val="24"/>
          <w:szCs w:val="24"/>
        </w:rPr>
      </w:pPr>
    </w:p>
    <w:p w14:paraId="556C29E4"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Postoperative bleeding</w:t>
      </w:r>
    </w:p>
    <w:p w14:paraId="556C29E5" w14:textId="7D85F0E9" w:rsidR="00CC3198" w:rsidRDefault="006A37FF"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P</w:t>
      </w:r>
      <w:r w:rsidR="00CC3198" w:rsidRPr="002910A5">
        <w:rPr>
          <w:rFonts w:ascii="Book Antiqua" w:hAnsi="Book Antiqua" w:cs="Times New Roman"/>
          <w:sz w:val="24"/>
          <w:szCs w:val="24"/>
        </w:rPr>
        <w:t xml:space="preserve">ostoperative bleeding was </w:t>
      </w:r>
      <w:r w:rsidRPr="002910A5">
        <w:rPr>
          <w:rFonts w:ascii="Book Antiqua" w:hAnsi="Book Antiqua" w:cs="Times New Roman"/>
          <w:sz w:val="24"/>
          <w:szCs w:val="24"/>
        </w:rPr>
        <w:t xml:space="preserve">defined as </w:t>
      </w:r>
      <w:r w:rsidR="00CC3198" w:rsidRPr="002910A5">
        <w:rPr>
          <w:rFonts w:ascii="Book Antiqua" w:hAnsi="Book Antiqua" w:cs="Times New Roman"/>
          <w:sz w:val="24"/>
          <w:szCs w:val="24"/>
        </w:rPr>
        <w:t>hematemesis/melena or a decrease in blood hemoglobin le</w:t>
      </w:r>
      <w:r w:rsidR="009E3245">
        <w:rPr>
          <w:rFonts w:ascii="Book Antiqua" w:hAnsi="Book Antiqua" w:cs="Times New Roman"/>
          <w:sz w:val="24"/>
          <w:szCs w:val="24"/>
        </w:rPr>
        <w:t>vels by greater than 2 mg/dL</w:t>
      </w:r>
      <w:r w:rsidR="00CC3198" w:rsidRPr="002910A5">
        <w:rPr>
          <w:rFonts w:ascii="Book Antiqua" w:hAnsi="Book Antiqua" w:cs="Times New Roman"/>
          <w:sz w:val="24"/>
          <w:szCs w:val="24"/>
        </w:rPr>
        <w:t xml:space="preserve">. Delayed postoperative bleeding was defined as bleeding after five days post ESD. Emergency EGD and endoscopic hemostasis were performed for patients with </w:t>
      </w:r>
      <w:r w:rsidR="00801E12" w:rsidRPr="002910A5">
        <w:rPr>
          <w:rFonts w:ascii="Book Antiqua" w:hAnsi="Book Antiqua" w:cs="Times New Roman"/>
          <w:sz w:val="24"/>
          <w:szCs w:val="24"/>
        </w:rPr>
        <w:t>postoperative bleeding</w:t>
      </w:r>
      <w:r w:rsidR="00CC3198" w:rsidRPr="002910A5">
        <w:rPr>
          <w:rFonts w:ascii="Book Antiqua" w:hAnsi="Book Antiqua" w:cs="Times New Roman"/>
          <w:sz w:val="24"/>
          <w:szCs w:val="24"/>
        </w:rPr>
        <w:t>. A blood</w:t>
      </w:r>
      <w:r w:rsidRPr="002910A5">
        <w:rPr>
          <w:rFonts w:ascii="Book Antiqua" w:hAnsi="Book Antiqua" w:cs="Times New Roman"/>
          <w:sz w:val="24"/>
          <w:szCs w:val="24"/>
        </w:rPr>
        <w:t xml:space="preserve"> trans</w:t>
      </w:r>
      <w:r w:rsidR="00CC3198" w:rsidRPr="002910A5">
        <w:rPr>
          <w:rFonts w:ascii="Book Antiqua" w:hAnsi="Book Antiqua" w:cs="Times New Roman"/>
          <w:sz w:val="24"/>
          <w:szCs w:val="24"/>
        </w:rPr>
        <w:t>fusion was</w:t>
      </w:r>
      <w:r w:rsidR="00F05210" w:rsidRPr="002910A5">
        <w:rPr>
          <w:rFonts w:ascii="Book Antiqua" w:hAnsi="Book Antiqua" w:cs="Times New Roman"/>
          <w:sz w:val="24"/>
          <w:szCs w:val="24"/>
        </w:rPr>
        <w:t xml:space="preserve"> usually</w:t>
      </w:r>
      <w:r w:rsidR="00CC3198" w:rsidRPr="002910A5">
        <w:rPr>
          <w:rFonts w:ascii="Book Antiqua" w:hAnsi="Book Antiqua" w:cs="Times New Roman"/>
          <w:sz w:val="24"/>
          <w:szCs w:val="24"/>
        </w:rPr>
        <w:t xml:space="preserve"> administered when excessive bleeding</w:t>
      </w:r>
      <w:r w:rsidR="00F05210" w:rsidRPr="002910A5">
        <w:rPr>
          <w:rFonts w:ascii="Book Antiqua" w:hAnsi="Book Antiqua" w:cs="Times New Roman"/>
          <w:sz w:val="24"/>
          <w:szCs w:val="24"/>
        </w:rPr>
        <w:t xml:space="preserve"> with hemorrhagic shock</w:t>
      </w:r>
      <w:r w:rsidR="00CC3198" w:rsidRPr="002910A5">
        <w:rPr>
          <w:rFonts w:ascii="Book Antiqua" w:hAnsi="Book Antiqua" w:cs="Times New Roman"/>
          <w:sz w:val="24"/>
          <w:szCs w:val="24"/>
        </w:rPr>
        <w:t xml:space="preserve"> and</w:t>
      </w:r>
      <w:r w:rsidR="006D29AE" w:rsidRPr="002910A5">
        <w:rPr>
          <w:rFonts w:ascii="Book Antiqua" w:hAnsi="Book Antiqua" w:cs="Times New Roman"/>
          <w:sz w:val="24"/>
          <w:szCs w:val="24"/>
        </w:rPr>
        <w:t>/or marked</w:t>
      </w:r>
      <w:r w:rsidRPr="002910A5">
        <w:rPr>
          <w:rFonts w:ascii="Book Antiqua" w:hAnsi="Book Antiqua" w:cs="Times New Roman"/>
          <w:sz w:val="24"/>
          <w:szCs w:val="24"/>
        </w:rPr>
        <w:t>ly</w:t>
      </w:r>
      <w:r w:rsidR="00CC3198" w:rsidRPr="002910A5">
        <w:rPr>
          <w:rFonts w:ascii="Book Antiqua" w:hAnsi="Book Antiqua" w:cs="Times New Roman"/>
          <w:sz w:val="24"/>
          <w:szCs w:val="24"/>
        </w:rPr>
        <w:t xml:space="preserve"> decreased </w:t>
      </w:r>
      <w:r w:rsidR="00F05210" w:rsidRPr="002910A5">
        <w:rPr>
          <w:rFonts w:ascii="Book Antiqua" w:hAnsi="Book Antiqua" w:cs="Times New Roman"/>
          <w:sz w:val="24"/>
          <w:szCs w:val="24"/>
        </w:rPr>
        <w:t xml:space="preserve">blood </w:t>
      </w:r>
      <w:r w:rsidR="00CC3198" w:rsidRPr="002910A5">
        <w:rPr>
          <w:rFonts w:ascii="Book Antiqua" w:hAnsi="Book Antiqua" w:cs="Times New Roman"/>
          <w:sz w:val="24"/>
          <w:szCs w:val="24"/>
        </w:rPr>
        <w:t>hemoglobin levels</w:t>
      </w:r>
      <w:r w:rsidR="00F05210" w:rsidRPr="002910A5">
        <w:rPr>
          <w:rFonts w:ascii="Book Antiqua" w:hAnsi="Book Antiqua" w:cs="Times New Roman"/>
          <w:sz w:val="24"/>
          <w:szCs w:val="24"/>
        </w:rPr>
        <w:t xml:space="preserve"> </w:t>
      </w:r>
      <w:r w:rsidR="00451C92" w:rsidRPr="002910A5">
        <w:rPr>
          <w:rFonts w:ascii="Book Antiqua" w:hAnsi="Book Antiqua" w:cs="Times New Roman"/>
          <w:sz w:val="24"/>
          <w:szCs w:val="24"/>
        </w:rPr>
        <w:t>(</w:t>
      </w:r>
      <w:r w:rsidR="009E3245">
        <w:rPr>
          <w:rFonts w:ascii="Book Antiqua" w:hAnsi="Book Antiqua" w:cs="Times New Roman"/>
          <w:sz w:val="24"/>
          <w:szCs w:val="24"/>
        </w:rPr>
        <w:t>less than 8 g/dL</w:t>
      </w:r>
      <w:r w:rsidR="00451C92" w:rsidRPr="002910A5">
        <w:rPr>
          <w:rFonts w:ascii="Book Antiqua" w:hAnsi="Book Antiqua" w:cs="Times New Roman"/>
          <w:sz w:val="24"/>
          <w:szCs w:val="24"/>
        </w:rPr>
        <w:t>)</w:t>
      </w:r>
      <w:r w:rsidR="00CC3198" w:rsidRPr="002910A5">
        <w:rPr>
          <w:rFonts w:ascii="Book Antiqua" w:hAnsi="Book Antiqua" w:cs="Times New Roman"/>
          <w:sz w:val="24"/>
          <w:szCs w:val="24"/>
        </w:rPr>
        <w:t xml:space="preserve"> were observed. A</w:t>
      </w:r>
      <w:r w:rsidRPr="002910A5">
        <w:rPr>
          <w:rFonts w:ascii="Book Antiqua" w:hAnsi="Book Antiqua" w:cs="Times New Roman"/>
          <w:sz w:val="24"/>
          <w:szCs w:val="24"/>
        </w:rPr>
        <w:t>n a</w:t>
      </w:r>
      <w:r w:rsidR="006D29AE" w:rsidRPr="002910A5">
        <w:rPr>
          <w:rFonts w:ascii="Book Antiqua" w:hAnsi="Book Antiqua" w:cs="Times New Roman"/>
          <w:sz w:val="24"/>
          <w:szCs w:val="24"/>
        </w:rPr>
        <w:t>dditional</w:t>
      </w:r>
      <w:r w:rsidR="00CC3198" w:rsidRPr="002910A5">
        <w:rPr>
          <w:rFonts w:ascii="Book Antiqua" w:hAnsi="Book Antiqua" w:cs="Times New Roman"/>
          <w:sz w:val="24"/>
          <w:szCs w:val="24"/>
        </w:rPr>
        <w:t xml:space="preserve"> second-look endoscopy was carried out the day after the endoscopic hemostasis.</w:t>
      </w:r>
    </w:p>
    <w:p w14:paraId="167828DC" w14:textId="77777777" w:rsidR="009E3245" w:rsidRPr="002910A5" w:rsidRDefault="009E3245" w:rsidP="002910A5">
      <w:pPr>
        <w:adjustRightInd w:val="0"/>
        <w:snapToGrid w:val="0"/>
        <w:spacing w:line="360" w:lineRule="auto"/>
        <w:rPr>
          <w:rFonts w:ascii="Book Antiqua" w:hAnsi="Book Antiqua" w:cs="Times New Roman"/>
          <w:sz w:val="24"/>
          <w:szCs w:val="24"/>
        </w:rPr>
      </w:pPr>
    </w:p>
    <w:p w14:paraId="556C29E6"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Data analysis</w:t>
      </w:r>
    </w:p>
    <w:p w14:paraId="556C29E7" w14:textId="77777777" w:rsidR="00AE62CA"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Included patients were categorized into </w:t>
      </w:r>
      <w:r w:rsidR="006D29AE" w:rsidRPr="002910A5">
        <w:rPr>
          <w:rFonts w:ascii="Book Antiqua" w:hAnsi="Book Antiqua" w:cs="Times New Roman"/>
          <w:sz w:val="24"/>
          <w:szCs w:val="24"/>
        </w:rPr>
        <w:t xml:space="preserve">the following </w:t>
      </w:r>
      <w:r w:rsidRPr="002910A5">
        <w:rPr>
          <w:rFonts w:ascii="Book Antiqua" w:hAnsi="Book Antiqua" w:cs="Times New Roman"/>
          <w:sz w:val="24"/>
          <w:szCs w:val="24"/>
        </w:rPr>
        <w:t xml:space="preserve">two groups: </w:t>
      </w:r>
      <w:r w:rsidR="006D29AE" w:rsidRPr="002910A5">
        <w:rPr>
          <w:rFonts w:ascii="Book Antiqua" w:hAnsi="Book Antiqua" w:cs="Times New Roman"/>
          <w:sz w:val="24"/>
          <w:szCs w:val="24"/>
        </w:rPr>
        <w:t xml:space="preserve">with </w:t>
      </w:r>
      <w:r w:rsidR="006A37FF" w:rsidRPr="002910A5">
        <w:rPr>
          <w:rFonts w:ascii="Book Antiqua" w:hAnsi="Book Antiqua" w:cs="Times New Roman"/>
          <w:sz w:val="24"/>
          <w:szCs w:val="24"/>
        </w:rPr>
        <w:t xml:space="preserve">APT </w:t>
      </w:r>
      <w:r w:rsidR="006D29AE" w:rsidRPr="002910A5">
        <w:rPr>
          <w:rFonts w:ascii="Book Antiqua" w:hAnsi="Book Antiqua" w:cs="Times New Roman"/>
          <w:sz w:val="24"/>
          <w:szCs w:val="24"/>
        </w:rPr>
        <w:t xml:space="preserve">and without </w:t>
      </w:r>
      <w:r w:rsidRPr="002910A5">
        <w:rPr>
          <w:rFonts w:ascii="Book Antiqua" w:hAnsi="Book Antiqua" w:cs="Times New Roman"/>
          <w:sz w:val="24"/>
          <w:szCs w:val="24"/>
        </w:rPr>
        <w:t>APT group</w:t>
      </w:r>
      <w:r w:rsidR="006D29AE" w:rsidRPr="002910A5">
        <w:rPr>
          <w:rFonts w:ascii="Book Antiqua" w:hAnsi="Book Antiqua" w:cs="Times New Roman"/>
          <w:sz w:val="24"/>
          <w:szCs w:val="24"/>
        </w:rPr>
        <w:t>s</w:t>
      </w:r>
      <w:r w:rsidRPr="002910A5">
        <w:rPr>
          <w:rFonts w:ascii="Book Antiqua" w:hAnsi="Book Antiqua" w:cs="Times New Roman"/>
          <w:sz w:val="24"/>
          <w:szCs w:val="24"/>
        </w:rPr>
        <w:t xml:space="preserve">. The APT group included the single-LDA and the </w:t>
      </w:r>
      <w:r w:rsidRPr="002910A5">
        <w:rPr>
          <w:rFonts w:ascii="Book Antiqua" w:hAnsi="Book Antiqua" w:cs="Times New Roman"/>
          <w:sz w:val="24"/>
          <w:szCs w:val="24"/>
        </w:rPr>
        <w:lastRenderedPageBreak/>
        <w:t xml:space="preserve">DAPT </w:t>
      </w:r>
      <w:r w:rsidR="006A37FF" w:rsidRPr="002910A5">
        <w:rPr>
          <w:rFonts w:ascii="Book Antiqua" w:hAnsi="Book Antiqua" w:cs="Times New Roman"/>
          <w:sz w:val="24"/>
          <w:szCs w:val="24"/>
        </w:rPr>
        <w:t>sub</w:t>
      </w:r>
      <w:r w:rsidRPr="002910A5">
        <w:rPr>
          <w:rFonts w:ascii="Book Antiqua" w:hAnsi="Book Antiqua" w:cs="Times New Roman"/>
          <w:sz w:val="24"/>
          <w:szCs w:val="24"/>
        </w:rPr>
        <w:t xml:space="preserve">groups. </w:t>
      </w:r>
      <w:r w:rsidR="00FF2F51" w:rsidRPr="002910A5">
        <w:rPr>
          <w:rFonts w:ascii="Book Antiqua" w:eastAsia="MS PMincho" w:hAnsi="Book Antiqua" w:cs="Times New Roman"/>
          <w:sz w:val="24"/>
          <w:szCs w:val="24"/>
        </w:rPr>
        <w:t>To investigate the effect of the APT on postoperative bleeding, we performed</w:t>
      </w:r>
      <w:r w:rsidR="006A37FF" w:rsidRPr="002910A5">
        <w:rPr>
          <w:rFonts w:ascii="Book Antiqua" w:eastAsia="MS PMincho" w:hAnsi="Book Antiqua" w:cs="Times New Roman"/>
          <w:sz w:val="24"/>
          <w:szCs w:val="24"/>
        </w:rPr>
        <w:t xml:space="preserve"> a</w:t>
      </w:r>
      <w:r w:rsidR="00FF2F51" w:rsidRPr="002910A5">
        <w:rPr>
          <w:rFonts w:ascii="Book Antiqua" w:eastAsia="MS PMincho" w:hAnsi="Book Antiqua" w:cs="Times New Roman"/>
          <w:sz w:val="24"/>
          <w:szCs w:val="24"/>
        </w:rPr>
        <w:t xml:space="preserve"> subgroup analysis among APT users. </w:t>
      </w:r>
      <w:r w:rsidR="00FF2F51" w:rsidRPr="002910A5">
        <w:rPr>
          <w:rFonts w:ascii="Book Antiqua" w:hAnsi="Book Antiqua" w:cs="Times New Roman"/>
          <w:sz w:val="24"/>
          <w:szCs w:val="24"/>
        </w:rPr>
        <w:t xml:space="preserve">Furthermore, </w:t>
      </w:r>
      <w:r w:rsidR="006A37FF" w:rsidRPr="002910A5">
        <w:rPr>
          <w:rFonts w:ascii="Book Antiqua" w:hAnsi="Book Antiqua" w:cs="Times New Roman"/>
          <w:sz w:val="24"/>
          <w:szCs w:val="24"/>
        </w:rPr>
        <w:t xml:space="preserve">a </w:t>
      </w:r>
      <w:r w:rsidR="00FF2F51" w:rsidRPr="002910A5">
        <w:rPr>
          <w:rFonts w:ascii="Book Antiqua" w:hAnsi="Book Antiqua" w:cs="Times New Roman"/>
          <w:sz w:val="24"/>
          <w:szCs w:val="24"/>
        </w:rPr>
        <w:t xml:space="preserve">subgroup analysis among continuous LDA users was performed to </w:t>
      </w:r>
      <w:r w:rsidR="006D29AE" w:rsidRPr="002910A5">
        <w:rPr>
          <w:rFonts w:ascii="Book Antiqua" w:hAnsi="Book Antiqua" w:cs="Times New Roman"/>
          <w:sz w:val="24"/>
          <w:szCs w:val="24"/>
        </w:rPr>
        <w:t>compare</w:t>
      </w:r>
      <w:r w:rsidR="00FF2F51" w:rsidRPr="002910A5">
        <w:rPr>
          <w:rFonts w:ascii="Book Antiqua" w:hAnsi="Book Antiqua" w:cs="Times New Roman"/>
          <w:sz w:val="24"/>
          <w:szCs w:val="24"/>
        </w:rPr>
        <w:t xml:space="preserve"> the effect of continuous single-LDA and continuous LDA on DAPT.</w:t>
      </w:r>
    </w:p>
    <w:p w14:paraId="1AC45079" w14:textId="77777777" w:rsidR="009E3245" w:rsidRPr="002910A5" w:rsidRDefault="009E3245" w:rsidP="002910A5">
      <w:pPr>
        <w:adjustRightInd w:val="0"/>
        <w:snapToGrid w:val="0"/>
        <w:spacing w:line="360" w:lineRule="auto"/>
        <w:rPr>
          <w:rFonts w:ascii="Book Antiqua" w:eastAsia="MS PMincho" w:hAnsi="Book Antiqua" w:cs="Times New Roman"/>
          <w:sz w:val="24"/>
          <w:szCs w:val="24"/>
        </w:rPr>
      </w:pPr>
    </w:p>
    <w:p w14:paraId="556C29E8"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Statistical analysis</w:t>
      </w:r>
    </w:p>
    <w:p w14:paraId="556C29E9" w14:textId="0A88A619" w:rsidR="00CC3198" w:rsidRPr="002910A5" w:rsidRDefault="00CC3198" w:rsidP="009E3245">
      <w:pPr>
        <w:adjustRightInd w:val="0"/>
        <w:snapToGrid w:val="0"/>
        <w:spacing w:line="360" w:lineRule="auto"/>
        <w:rPr>
          <w:rFonts w:ascii="Book Antiqua" w:hAnsi="Book Antiqua" w:cs="Times New Roman"/>
          <w:sz w:val="24"/>
          <w:szCs w:val="24"/>
        </w:rPr>
      </w:pPr>
      <w:r w:rsidRPr="002910A5">
        <w:rPr>
          <w:rFonts w:ascii="Book Antiqua" w:eastAsia="Meiryo UI" w:hAnsi="Book Antiqua" w:cs="Times New Roman"/>
          <w:kern w:val="0"/>
          <w:sz w:val="24"/>
          <w:szCs w:val="24"/>
        </w:rPr>
        <w:t>Baseline variables were expressed as the mean</w:t>
      </w:r>
      <w:r w:rsidR="009E3245">
        <w:rPr>
          <w:rFonts w:ascii="Book Antiqua" w:eastAsia="Meiryo UI" w:hAnsi="Book Antiqua" w:cs="Times New Roman"/>
          <w:kern w:val="0"/>
          <w:sz w:val="24"/>
          <w:szCs w:val="24"/>
        </w:rPr>
        <w:t xml:space="preserve"> [</w:t>
      </w:r>
      <w:r w:rsidRPr="002910A5">
        <w:rPr>
          <w:rFonts w:ascii="Book Antiqua" w:eastAsia="Meiryo UI" w:hAnsi="Book Antiqua" w:cs="Times New Roman"/>
          <w:kern w:val="0"/>
          <w:sz w:val="24"/>
          <w:szCs w:val="24"/>
        </w:rPr>
        <w:t xml:space="preserve">standard deviation </w:t>
      </w:r>
      <w:r w:rsidR="009E3245">
        <w:rPr>
          <w:rFonts w:ascii="Book Antiqua" w:eastAsia="Meiryo UI" w:hAnsi="Book Antiqua" w:cs="Times New Roman"/>
          <w:kern w:val="0"/>
          <w:sz w:val="24"/>
          <w:szCs w:val="24"/>
        </w:rPr>
        <w:t>(</w:t>
      </w:r>
      <w:r w:rsidR="009E3245">
        <w:rPr>
          <w:rFonts w:ascii="Book Antiqua" w:hAnsi="Book Antiqua" w:cs="Times New Roman"/>
          <w:sz w:val="24"/>
          <w:szCs w:val="24"/>
        </w:rPr>
        <w:t>SD)]</w:t>
      </w:r>
      <w:r w:rsidRPr="002910A5">
        <w:rPr>
          <w:rFonts w:ascii="Book Antiqua" w:hAnsi="Book Antiqua" w:cs="Times New Roman"/>
          <w:sz w:val="24"/>
          <w:szCs w:val="24"/>
        </w:rPr>
        <w:t>.</w:t>
      </w:r>
      <w:r w:rsidR="009E3245">
        <w:rPr>
          <w:rFonts w:ascii="Book Antiqua" w:hAnsi="Book Antiqua" w:cs="Times New Roman"/>
          <w:sz w:val="24"/>
          <w:szCs w:val="24"/>
        </w:rPr>
        <w:t xml:space="preserve"> </w:t>
      </w:r>
      <w:r w:rsidRPr="002910A5">
        <w:rPr>
          <w:rFonts w:ascii="Book Antiqua" w:eastAsia="MS PGothic" w:hAnsi="Book Antiqua" w:cs="Times New Roman"/>
          <w:kern w:val="0"/>
          <w:sz w:val="24"/>
          <w:szCs w:val="24"/>
        </w:rPr>
        <w:t>Cate</w:t>
      </w:r>
      <w:r w:rsidR="006A37FF" w:rsidRPr="002910A5">
        <w:rPr>
          <w:rFonts w:ascii="Book Antiqua" w:eastAsia="MS PGothic" w:hAnsi="Book Antiqua" w:cs="Times New Roman"/>
          <w:kern w:val="0"/>
          <w:sz w:val="24"/>
          <w:szCs w:val="24"/>
        </w:rPr>
        <w:t>gorical data were compared with</w:t>
      </w:r>
      <w:r w:rsidRPr="002910A5">
        <w:rPr>
          <w:rFonts w:ascii="Book Antiqua" w:eastAsia="MS PGothic" w:hAnsi="Book Antiqua" w:cs="Times New Roman"/>
          <w:kern w:val="0"/>
          <w:sz w:val="24"/>
          <w:szCs w:val="24"/>
        </w:rPr>
        <w:t xml:space="preserve"> the Fisher’s exact test or the chi-squared test, and differences in variables be</w:t>
      </w:r>
      <w:r w:rsidR="006A37FF" w:rsidRPr="002910A5">
        <w:rPr>
          <w:rFonts w:ascii="Book Antiqua" w:eastAsia="MS PGothic" w:hAnsi="Book Antiqua" w:cs="Times New Roman"/>
          <w:kern w:val="0"/>
          <w:sz w:val="24"/>
          <w:szCs w:val="24"/>
        </w:rPr>
        <w:t>tween groups were analyzed with the S</w:t>
      </w:r>
      <w:r w:rsidRPr="002910A5">
        <w:rPr>
          <w:rFonts w:ascii="Book Antiqua" w:eastAsia="MS PGothic" w:hAnsi="Book Antiqua" w:cs="Times New Roman"/>
          <w:kern w:val="0"/>
          <w:sz w:val="24"/>
          <w:szCs w:val="24"/>
        </w:rPr>
        <w:t xml:space="preserve">tudent’s </w:t>
      </w:r>
      <w:r w:rsidRPr="002910A5">
        <w:rPr>
          <w:rFonts w:ascii="Book Antiqua" w:eastAsia="MS PGothic" w:hAnsi="Book Antiqua" w:cs="Times New Roman"/>
          <w:i/>
          <w:kern w:val="0"/>
          <w:sz w:val="24"/>
          <w:szCs w:val="24"/>
        </w:rPr>
        <w:t>t</w:t>
      </w:r>
      <w:r w:rsidRPr="002910A5">
        <w:rPr>
          <w:rFonts w:ascii="Book Antiqua" w:eastAsia="MS PGothic" w:hAnsi="Book Antiqua" w:cs="Times New Roman"/>
          <w:kern w:val="0"/>
          <w:sz w:val="24"/>
          <w:szCs w:val="24"/>
        </w:rPr>
        <w:t>-test</w:t>
      </w:r>
      <w:r w:rsidR="004C4329" w:rsidRPr="002910A5">
        <w:rPr>
          <w:rFonts w:ascii="Book Antiqua" w:eastAsia="MS PGothic" w:hAnsi="Book Antiqua" w:cs="Times New Roman"/>
          <w:kern w:val="0"/>
          <w:sz w:val="24"/>
          <w:szCs w:val="24"/>
        </w:rPr>
        <w:t xml:space="preserve"> or the Mann-Whitney </w:t>
      </w:r>
      <w:r w:rsidR="004C4329" w:rsidRPr="002910A5">
        <w:rPr>
          <w:rFonts w:ascii="Book Antiqua" w:eastAsia="MS PGothic" w:hAnsi="Book Antiqua" w:cs="Times New Roman"/>
          <w:i/>
          <w:kern w:val="0"/>
          <w:sz w:val="24"/>
          <w:szCs w:val="24"/>
        </w:rPr>
        <w:t>U</w:t>
      </w:r>
      <w:r w:rsidR="004C4329" w:rsidRPr="002910A5">
        <w:rPr>
          <w:rFonts w:ascii="Book Antiqua" w:eastAsia="MS PGothic" w:hAnsi="Book Antiqua" w:cs="Times New Roman"/>
          <w:kern w:val="0"/>
          <w:sz w:val="24"/>
          <w:szCs w:val="24"/>
        </w:rPr>
        <w:t xml:space="preserve"> test</w:t>
      </w:r>
      <w:r w:rsidRPr="002910A5">
        <w:rPr>
          <w:rFonts w:ascii="Book Antiqua" w:eastAsia="MS PGothic" w:hAnsi="Book Antiqua" w:cs="Times New Roman"/>
          <w:kern w:val="0"/>
          <w:sz w:val="24"/>
          <w:szCs w:val="24"/>
        </w:rPr>
        <w:t xml:space="preserve">. </w:t>
      </w:r>
      <w:r w:rsidRPr="002910A5">
        <w:rPr>
          <w:rFonts w:ascii="Book Antiqua" w:eastAsia="Meiryo UI" w:hAnsi="Book Antiqua" w:cs="Times New Roman"/>
          <w:kern w:val="0"/>
          <w:sz w:val="24"/>
          <w:szCs w:val="24"/>
        </w:rPr>
        <w:t xml:space="preserve">A </w:t>
      </w:r>
      <w:r w:rsidRPr="002910A5">
        <w:rPr>
          <w:rFonts w:ascii="Book Antiqua" w:eastAsia="Meiryo UI" w:hAnsi="Book Antiqua" w:cs="Times New Roman"/>
          <w:i/>
          <w:kern w:val="0"/>
          <w:sz w:val="24"/>
          <w:szCs w:val="24"/>
        </w:rPr>
        <w:t>P</w:t>
      </w:r>
      <w:r w:rsidRPr="002910A5">
        <w:rPr>
          <w:rFonts w:ascii="Book Antiqua" w:eastAsia="Meiryo UI" w:hAnsi="Book Antiqua" w:cs="Times New Roman"/>
          <w:kern w:val="0"/>
          <w:sz w:val="24"/>
          <w:szCs w:val="24"/>
        </w:rPr>
        <w:t xml:space="preserve"> value of </w:t>
      </w:r>
      <w:r w:rsidRPr="002910A5">
        <w:rPr>
          <w:rFonts w:ascii="Book Antiqua" w:eastAsia="MS PGothic" w:hAnsi="Book Antiqua" w:cs="Times New Roman"/>
          <w:kern w:val="0"/>
          <w:sz w:val="24"/>
          <w:szCs w:val="24"/>
        </w:rPr>
        <w:t>&lt; 0.05 was considered statistically significant. All data analyses were</w:t>
      </w:r>
      <w:r w:rsidR="00F001DA" w:rsidRPr="002910A5">
        <w:rPr>
          <w:rFonts w:ascii="Book Antiqua" w:eastAsia="MS PGothic" w:hAnsi="Book Antiqua" w:cs="Times New Roman"/>
          <w:kern w:val="0"/>
          <w:sz w:val="24"/>
          <w:szCs w:val="24"/>
        </w:rPr>
        <w:t xml:space="preserve"> conducted with</w:t>
      </w:r>
      <w:r w:rsidR="00206972" w:rsidRPr="002910A5">
        <w:rPr>
          <w:rFonts w:ascii="Book Antiqua" w:eastAsia="MS PGothic" w:hAnsi="Book Antiqua" w:cs="Times New Roman"/>
          <w:kern w:val="0"/>
          <w:sz w:val="24"/>
          <w:szCs w:val="24"/>
        </w:rPr>
        <w:t xml:space="preserve"> SPSS version 24</w:t>
      </w:r>
      <w:r w:rsidRPr="002910A5">
        <w:rPr>
          <w:rFonts w:ascii="Book Antiqua" w:eastAsia="MS PGothic" w:hAnsi="Book Antiqua" w:cs="Times New Roman"/>
          <w:kern w:val="0"/>
          <w:sz w:val="24"/>
          <w:szCs w:val="24"/>
        </w:rPr>
        <w:t>.0 (Armonk, NY: IBM Corp.).</w:t>
      </w:r>
    </w:p>
    <w:p w14:paraId="556C29EA" w14:textId="77777777" w:rsidR="00CC3198" w:rsidRPr="002910A5" w:rsidRDefault="00CC3198" w:rsidP="002910A5">
      <w:pPr>
        <w:adjustRightInd w:val="0"/>
        <w:snapToGrid w:val="0"/>
        <w:spacing w:line="360" w:lineRule="auto"/>
        <w:rPr>
          <w:rFonts w:ascii="Book Antiqua" w:eastAsia="MS PMincho" w:hAnsi="Book Antiqua" w:cs="Times New Roman"/>
          <w:b/>
          <w:sz w:val="24"/>
          <w:szCs w:val="24"/>
        </w:rPr>
      </w:pPr>
    </w:p>
    <w:p w14:paraId="556C29EB" w14:textId="77777777" w:rsidR="00CC3198" w:rsidRPr="002910A5" w:rsidRDefault="009B11F9" w:rsidP="00866E07">
      <w:pPr>
        <w:adjustRightInd w:val="0"/>
        <w:snapToGrid w:val="0"/>
        <w:spacing w:line="360" w:lineRule="auto"/>
        <w:outlineLvl w:val="0"/>
        <w:rPr>
          <w:rFonts w:ascii="Book Antiqua" w:eastAsia="MS PMincho" w:hAnsi="Book Antiqua" w:cs="Times New Roman"/>
          <w:b/>
          <w:sz w:val="24"/>
          <w:szCs w:val="24"/>
        </w:rPr>
      </w:pPr>
      <w:r w:rsidRPr="002910A5">
        <w:rPr>
          <w:rFonts w:ascii="Book Antiqua" w:eastAsia="MS PMincho" w:hAnsi="Book Antiqua" w:cs="Times New Roman"/>
          <w:b/>
          <w:sz w:val="24"/>
          <w:szCs w:val="24"/>
        </w:rPr>
        <w:t>RESULTS</w:t>
      </w:r>
    </w:p>
    <w:p w14:paraId="556C29EC" w14:textId="2DD8B738" w:rsidR="00CC3198" w:rsidRPr="002910A5" w:rsidRDefault="00A7668E" w:rsidP="002910A5">
      <w:pPr>
        <w:adjustRightInd w:val="0"/>
        <w:snapToGrid w:val="0"/>
        <w:spacing w:line="360" w:lineRule="auto"/>
        <w:rPr>
          <w:rFonts w:ascii="Book Antiqua" w:hAnsi="Book Antiqua" w:cs="Times New Roman"/>
          <w:sz w:val="24"/>
          <w:szCs w:val="24"/>
        </w:rPr>
      </w:pPr>
      <w:r w:rsidRPr="002910A5">
        <w:rPr>
          <w:rFonts w:ascii="Book Antiqua" w:eastAsia="MS PMincho" w:hAnsi="Book Antiqua" w:cs="Times New Roman"/>
          <w:sz w:val="24"/>
          <w:szCs w:val="24"/>
        </w:rPr>
        <w:t>Among the 597</w:t>
      </w:r>
      <w:r w:rsidR="00CC3198" w:rsidRPr="002910A5">
        <w:rPr>
          <w:rFonts w:ascii="Book Antiqua" w:eastAsia="MS PMincho" w:hAnsi="Book Antiqua" w:cs="Times New Roman"/>
          <w:sz w:val="24"/>
          <w:szCs w:val="24"/>
        </w:rPr>
        <w:t xml:space="preserve"> patients</w:t>
      </w:r>
      <w:r w:rsidR="00013871" w:rsidRPr="002910A5">
        <w:rPr>
          <w:rFonts w:ascii="Book Antiqua" w:eastAsia="MS PMincho" w:hAnsi="Book Antiqua" w:cs="Times New Roman"/>
          <w:sz w:val="24"/>
          <w:szCs w:val="24"/>
        </w:rPr>
        <w:t xml:space="preserve"> analyzed</w:t>
      </w:r>
      <w:r w:rsidR="00CC3198" w:rsidRPr="002910A5">
        <w:rPr>
          <w:rFonts w:ascii="Book Antiqua" w:eastAsia="MS PMincho" w:hAnsi="Book Antiqua" w:cs="Times New Roman"/>
          <w:sz w:val="24"/>
          <w:szCs w:val="24"/>
        </w:rPr>
        <w:t xml:space="preserve">, </w:t>
      </w:r>
      <w:r w:rsidR="00A825C4" w:rsidRPr="002910A5">
        <w:rPr>
          <w:rFonts w:ascii="Book Antiqua" w:hAnsi="Book Antiqua" w:cs="Times New Roman"/>
          <w:kern w:val="24"/>
          <w:sz w:val="24"/>
          <w:szCs w:val="24"/>
        </w:rPr>
        <w:t xml:space="preserve">154 </w:t>
      </w:r>
      <w:r w:rsidRPr="002910A5">
        <w:rPr>
          <w:rFonts w:ascii="Book Antiqua" w:hAnsi="Book Antiqua" w:cs="Times New Roman"/>
          <w:kern w:val="24"/>
          <w:sz w:val="24"/>
          <w:szCs w:val="24"/>
        </w:rPr>
        <w:t>(25.8</w:t>
      </w:r>
      <w:r w:rsidR="00CC3198" w:rsidRPr="002910A5">
        <w:rPr>
          <w:rFonts w:ascii="Book Antiqua" w:hAnsi="Book Antiqua" w:cs="Times New Roman"/>
          <w:kern w:val="24"/>
          <w:sz w:val="24"/>
          <w:szCs w:val="24"/>
        </w:rPr>
        <w:t>%)</w:t>
      </w:r>
      <w:r w:rsidR="00A825C4" w:rsidRPr="002910A5">
        <w:rPr>
          <w:rFonts w:ascii="Book Antiqua" w:hAnsi="Book Antiqua" w:cs="Times New Roman"/>
          <w:kern w:val="24"/>
          <w:sz w:val="24"/>
          <w:szCs w:val="24"/>
        </w:rPr>
        <w:t xml:space="preserve"> patients</w:t>
      </w:r>
      <w:r w:rsidR="00CC3198" w:rsidRPr="002910A5">
        <w:rPr>
          <w:rFonts w:ascii="Book Antiqua" w:hAnsi="Book Antiqua" w:cs="Times New Roman"/>
          <w:kern w:val="24"/>
          <w:sz w:val="24"/>
          <w:szCs w:val="24"/>
        </w:rPr>
        <w:t xml:space="preserve"> were receiving APT to p</w:t>
      </w:r>
      <w:r w:rsidR="007F78B3" w:rsidRPr="002910A5">
        <w:rPr>
          <w:rFonts w:ascii="Book Antiqua" w:hAnsi="Book Antiqua" w:cs="Times New Roman"/>
          <w:kern w:val="24"/>
          <w:sz w:val="24"/>
          <w:szCs w:val="24"/>
        </w:rPr>
        <w:t>revent thrombosis. There were 95</w:t>
      </w:r>
      <w:r w:rsidR="00CC3198" w:rsidRPr="002910A5">
        <w:rPr>
          <w:rFonts w:ascii="Book Antiqua" w:hAnsi="Book Antiqua" w:cs="Times New Roman"/>
          <w:kern w:val="24"/>
          <w:sz w:val="24"/>
          <w:szCs w:val="24"/>
        </w:rPr>
        <w:t xml:space="preserve"> </w:t>
      </w:r>
      <w:r w:rsidR="00013871" w:rsidRPr="002910A5">
        <w:rPr>
          <w:rFonts w:ascii="Book Antiqua" w:hAnsi="Book Antiqua" w:cs="Times New Roman"/>
          <w:kern w:val="24"/>
          <w:sz w:val="24"/>
          <w:szCs w:val="24"/>
        </w:rPr>
        <w:t>(15.9</w:t>
      </w:r>
      <w:r w:rsidR="00A825C4" w:rsidRPr="002910A5">
        <w:rPr>
          <w:rFonts w:ascii="Book Antiqua" w:hAnsi="Book Antiqua" w:cs="Times New Roman"/>
          <w:kern w:val="24"/>
          <w:sz w:val="24"/>
          <w:szCs w:val="24"/>
        </w:rPr>
        <w:t xml:space="preserve">%) </w:t>
      </w:r>
      <w:r w:rsidR="00CC3198" w:rsidRPr="002910A5">
        <w:rPr>
          <w:rFonts w:ascii="Book Antiqua" w:hAnsi="Book Antiqua" w:cs="Times New Roman"/>
          <w:kern w:val="24"/>
          <w:sz w:val="24"/>
          <w:szCs w:val="24"/>
        </w:rPr>
        <w:t>patients in the</w:t>
      </w:r>
      <w:r w:rsidR="00A825C4" w:rsidRPr="002910A5">
        <w:rPr>
          <w:rFonts w:ascii="Book Antiqua" w:hAnsi="Book Antiqua" w:cs="Times New Roman"/>
          <w:sz w:val="24"/>
          <w:szCs w:val="24"/>
        </w:rPr>
        <w:t xml:space="preserve"> single-LDA group</w:t>
      </w:r>
      <w:r w:rsidR="007F78B3" w:rsidRPr="002910A5">
        <w:rPr>
          <w:rFonts w:ascii="Book Antiqua" w:hAnsi="Book Antiqua" w:cs="Times New Roman"/>
          <w:sz w:val="24"/>
          <w:szCs w:val="24"/>
        </w:rPr>
        <w:t xml:space="preserve"> and 59</w:t>
      </w:r>
      <w:r w:rsidR="00CC3198" w:rsidRPr="002910A5">
        <w:rPr>
          <w:rFonts w:ascii="Book Antiqua" w:hAnsi="Book Antiqua" w:cs="Times New Roman"/>
          <w:sz w:val="24"/>
          <w:szCs w:val="24"/>
        </w:rPr>
        <w:t xml:space="preserve"> </w:t>
      </w:r>
      <w:r w:rsidR="00013871" w:rsidRPr="002910A5">
        <w:rPr>
          <w:rFonts w:ascii="Book Antiqua" w:hAnsi="Book Antiqua" w:cs="Times New Roman"/>
          <w:sz w:val="24"/>
          <w:szCs w:val="24"/>
        </w:rPr>
        <w:t>(9.9</w:t>
      </w:r>
      <w:r w:rsidR="00A825C4" w:rsidRPr="002910A5">
        <w:rPr>
          <w:rFonts w:ascii="Book Antiqua" w:hAnsi="Book Antiqua" w:cs="Times New Roman"/>
          <w:sz w:val="24"/>
          <w:szCs w:val="24"/>
        </w:rPr>
        <w:t xml:space="preserve">%) </w:t>
      </w:r>
      <w:r w:rsidR="007F78B3" w:rsidRPr="002910A5">
        <w:rPr>
          <w:rFonts w:ascii="Book Antiqua" w:hAnsi="Book Antiqua" w:cs="Times New Roman"/>
          <w:sz w:val="24"/>
          <w:szCs w:val="24"/>
        </w:rPr>
        <w:t>in the DAPT group</w:t>
      </w:r>
      <w:r w:rsidR="00A825C4" w:rsidRPr="002910A5">
        <w:rPr>
          <w:rFonts w:ascii="Book Antiqua" w:hAnsi="Book Antiqua" w:cs="Times New Roman"/>
          <w:sz w:val="24"/>
          <w:szCs w:val="24"/>
        </w:rPr>
        <w:t>.</w:t>
      </w:r>
      <w:r w:rsidR="007F78B3" w:rsidRPr="002910A5">
        <w:rPr>
          <w:rFonts w:ascii="Book Antiqua" w:hAnsi="Book Antiqua" w:cs="Times New Roman"/>
          <w:sz w:val="24"/>
          <w:szCs w:val="24"/>
        </w:rPr>
        <w:t xml:space="preserve"> </w:t>
      </w:r>
      <w:r w:rsidR="00F775E2" w:rsidRPr="002910A5">
        <w:rPr>
          <w:rFonts w:ascii="Book Antiqua" w:eastAsia="MS PGothic" w:hAnsi="Book Antiqua" w:cs="Times New Roman"/>
          <w:kern w:val="0"/>
          <w:sz w:val="24"/>
          <w:szCs w:val="24"/>
        </w:rPr>
        <w:t>The number of patients receiving</w:t>
      </w:r>
      <w:r w:rsidR="00CC3198" w:rsidRPr="002910A5">
        <w:rPr>
          <w:rFonts w:ascii="Book Antiqua" w:eastAsia="MS PGothic" w:hAnsi="Book Antiqua" w:cs="Times New Roman"/>
          <w:kern w:val="0"/>
          <w:sz w:val="24"/>
          <w:szCs w:val="24"/>
        </w:rPr>
        <w:t xml:space="preserve"> single-LDA</w:t>
      </w:r>
      <w:r w:rsidR="00E53835" w:rsidRPr="002910A5">
        <w:rPr>
          <w:rFonts w:ascii="Book Antiqua" w:eastAsia="MS PGothic" w:hAnsi="Book Antiqua" w:cs="Times New Roman"/>
          <w:kern w:val="0"/>
          <w:sz w:val="24"/>
          <w:szCs w:val="24"/>
        </w:rPr>
        <w:t xml:space="preserve"> </w:t>
      </w:r>
      <w:r w:rsidR="00F775E2" w:rsidRPr="002910A5">
        <w:rPr>
          <w:rFonts w:ascii="Book Antiqua" w:eastAsia="MS PGothic" w:hAnsi="Book Antiqua" w:cs="Times New Roman"/>
          <w:kern w:val="0"/>
          <w:sz w:val="24"/>
          <w:szCs w:val="24"/>
        </w:rPr>
        <w:t>with</w:t>
      </w:r>
      <w:r w:rsidR="00E53835" w:rsidRPr="002910A5">
        <w:rPr>
          <w:rFonts w:ascii="Book Antiqua" w:eastAsia="MS PGothic" w:hAnsi="Book Antiqua" w:cs="Times New Roman"/>
          <w:kern w:val="0"/>
          <w:sz w:val="24"/>
          <w:szCs w:val="24"/>
        </w:rPr>
        <w:t xml:space="preserve"> continuous LDA was 56 (9.4</w:t>
      </w:r>
      <w:r w:rsidR="00CC3198" w:rsidRPr="002910A5">
        <w:rPr>
          <w:rFonts w:ascii="Book Antiqua" w:eastAsia="MS PGothic" w:hAnsi="Book Antiqua" w:cs="Times New Roman"/>
          <w:kern w:val="0"/>
          <w:sz w:val="24"/>
          <w:szCs w:val="24"/>
        </w:rPr>
        <w:t xml:space="preserve">%), and </w:t>
      </w:r>
      <w:r w:rsidR="007A605D" w:rsidRPr="002910A5">
        <w:rPr>
          <w:rFonts w:ascii="Book Antiqua" w:eastAsia="MS PGothic" w:hAnsi="Book Antiqua" w:cs="Times New Roman"/>
          <w:kern w:val="0"/>
          <w:sz w:val="24"/>
          <w:szCs w:val="24"/>
        </w:rPr>
        <w:t xml:space="preserve">the number of </w:t>
      </w:r>
      <w:r w:rsidR="00013871" w:rsidRPr="002910A5">
        <w:rPr>
          <w:rFonts w:ascii="Book Antiqua" w:eastAsia="MS PGothic" w:hAnsi="Book Antiqua" w:cs="Times New Roman"/>
          <w:kern w:val="0"/>
          <w:sz w:val="24"/>
          <w:szCs w:val="24"/>
        </w:rPr>
        <w:t>patients receiving</w:t>
      </w:r>
      <w:r w:rsidR="00CC3198" w:rsidRPr="002910A5">
        <w:rPr>
          <w:rFonts w:ascii="Book Antiqua" w:eastAsia="MS PGothic" w:hAnsi="Book Antiqua" w:cs="Times New Roman"/>
          <w:kern w:val="0"/>
          <w:sz w:val="24"/>
          <w:szCs w:val="24"/>
        </w:rPr>
        <w:t xml:space="preserve"> DAPT with continuous LDA and disco</w:t>
      </w:r>
      <w:r w:rsidR="00E53835" w:rsidRPr="002910A5">
        <w:rPr>
          <w:rFonts w:ascii="Book Antiqua" w:eastAsia="MS PGothic" w:hAnsi="Book Antiqua" w:cs="Times New Roman"/>
          <w:kern w:val="0"/>
          <w:sz w:val="24"/>
          <w:szCs w:val="24"/>
        </w:rPr>
        <w:t>ntinuation of clopidogrel was 39 (6.5</w:t>
      </w:r>
      <w:r w:rsidR="00CC3198" w:rsidRPr="002910A5">
        <w:rPr>
          <w:rFonts w:ascii="Book Antiqua" w:eastAsia="MS PGothic" w:hAnsi="Book Antiqua" w:cs="Times New Roman"/>
          <w:kern w:val="0"/>
          <w:sz w:val="24"/>
          <w:szCs w:val="24"/>
        </w:rPr>
        <w:t>%</w:t>
      </w:r>
      <w:r w:rsidR="00A825C4" w:rsidRPr="002910A5">
        <w:rPr>
          <w:rFonts w:ascii="Book Antiqua" w:eastAsia="MS PGothic" w:hAnsi="Book Antiqua" w:cs="Times New Roman"/>
          <w:kern w:val="0"/>
          <w:sz w:val="24"/>
          <w:szCs w:val="24"/>
        </w:rPr>
        <w:t>)</w:t>
      </w:r>
      <w:r w:rsidR="00F775E2" w:rsidRPr="002910A5">
        <w:rPr>
          <w:rFonts w:ascii="Book Antiqua" w:eastAsia="MS PGothic" w:hAnsi="Book Antiqua" w:cs="Times New Roman"/>
          <w:kern w:val="0"/>
          <w:sz w:val="24"/>
          <w:szCs w:val="24"/>
        </w:rPr>
        <w:t>,</w:t>
      </w:r>
      <w:r w:rsidR="00A825C4" w:rsidRPr="002910A5">
        <w:rPr>
          <w:rFonts w:ascii="Book Antiqua" w:eastAsia="MS PGothic" w:hAnsi="Book Antiqua" w:cs="Times New Roman"/>
          <w:kern w:val="0"/>
          <w:sz w:val="24"/>
          <w:szCs w:val="24"/>
        </w:rPr>
        <w:t xml:space="preserve"> as shown in</w:t>
      </w:r>
      <w:r w:rsidR="009E3245">
        <w:rPr>
          <w:rFonts w:ascii="Book Antiqua" w:eastAsia="MS PGothic" w:hAnsi="Book Antiqua" w:cs="Times New Roman"/>
          <w:kern w:val="0"/>
          <w:sz w:val="24"/>
          <w:szCs w:val="24"/>
        </w:rPr>
        <w:t xml:space="preserve"> Figure</w:t>
      </w:r>
      <w:r w:rsidR="00F775E2" w:rsidRPr="002910A5">
        <w:rPr>
          <w:rFonts w:ascii="Book Antiqua" w:eastAsia="MS PGothic" w:hAnsi="Book Antiqua" w:cs="Times New Roman"/>
          <w:kern w:val="0"/>
          <w:sz w:val="24"/>
          <w:szCs w:val="24"/>
        </w:rPr>
        <w:t xml:space="preserve"> </w:t>
      </w:r>
      <w:r w:rsidR="00CC3198" w:rsidRPr="002910A5">
        <w:rPr>
          <w:rFonts w:ascii="Book Antiqua" w:eastAsia="MS PGothic" w:hAnsi="Book Antiqua" w:cs="Times New Roman"/>
          <w:kern w:val="0"/>
          <w:sz w:val="24"/>
          <w:szCs w:val="24"/>
        </w:rPr>
        <w:t xml:space="preserve">1. </w:t>
      </w:r>
    </w:p>
    <w:p w14:paraId="556C29ED" w14:textId="0441CC30" w:rsidR="00CC3198" w:rsidRPr="002910A5" w:rsidRDefault="009E3245" w:rsidP="009E3245">
      <w:pPr>
        <w:adjustRightInd w:val="0"/>
        <w:snapToGrid w:val="0"/>
        <w:spacing w:line="360" w:lineRule="auto"/>
        <w:rPr>
          <w:rFonts w:ascii="Book Antiqua" w:hAnsi="Book Antiqua" w:cs="Times New Roman"/>
          <w:kern w:val="24"/>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 xml:space="preserve">Baseline </w:t>
      </w:r>
      <w:r w:rsidR="008A3022" w:rsidRPr="002910A5">
        <w:rPr>
          <w:rFonts w:ascii="Book Antiqua" w:eastAsia="MS PGothic" w:hAnsi="Book Antiqua" w:cs="Times New Roman"/>
          <w:kern w:val="0"/>
          <w:sz w:val="24"/>
          <w:szCs w:val="24"/>
        </w:rPr>
        <w:t>characteristics</w:t>
      </w:r>
      <w:r w:rsidR="00BE03E3" w:rsidRPr="002910A5">
        <w:rPr>
          <w:rFonts w:ascii="Book Antiqua" w:eastAsia="MS PGothic" w:hAnsi="Book Antiqua" w:cs="Times New Roman"/>
          <w:kern w:val="0"/>
          <w:sz w:val="24"/>
          <w:szCs w:val="24"/>
        </w:rPr>
        <w:t xml:space="preserve"> and therapeutic outcomes</w:t>
      </w:r>
      <w:r w:rsidR="008A3022" w:rsidRPr="002910A5">
        <w:rPr>
          <w:rFonts w:ascii="Book Antiqua" w:eastAsia="MS PGothic" w:hAnsi="Book Antiqua" w:cs="Times New Roman"/>
          <w:kern w:val="0"/>
          <w:sz w:val="24"/>
          <w:szCs w:val="24"/>
        </w:rPr>
        <w:t xml:space="preserve"> in all patients</w:t>
      </w:r>
      <w:r w:rsidR="00CC3198" w:rsidRPr="002910A5">
        <w:rPr>
          <w:rFonts w:ascii="Book Antiqua" w:eastAsia="MS PMincho" w:hAnsi="Book Antiqua" w:cs="Times New Roman"/>
          <w:sz w:val="24"/>
          <w:szCs w:val="24"/>
        </w:rPr>
        <w:t xml:space="preserve"> are shown in Table 1. The mean age of</w:t>
      </w:r>
      <w:r w:rsidR="00F775E2" w:rsidRPr="002910A5">
        <w:rPr>
          <w:rFonts w:ascii="Book Antiqua" w:eastAsia="MS PMincho" w:hAnsi="Book Antiqua" w:cs="Times New Roman"/>
          <w:sz w:val="24"/>
          <w:szCs w:val="24"/>
        </w:rPr>
        <w:t xml:space="preserve"> the </w:t>
      </w:r>
      <w:r w:rsidR="00CC3198" w:rsidRPr="002910A5">
        <w:rPr>
          <w:rFonts w:ascii="Book Antiqua" w:eastAsia="MS PMincho" w:hAnsi="Book Antiqua" w:cs="Times New Roman"/>
          <w:sz w:val="24"/>
          <w:szCs w:val="24"/>
        </w:rPr>
        <w:t xml:space="preserve">patients was </w:t>
      </w:r>
      <w:r w:rsidR="008A3022" w:rsidRPr="002910A5">
        <w:rPr>
          <w:rFonts w:ascii="Book Antiqua" w:eastAsia="MS PMincho" w:hAnsi="Book Antiqua" w:cs="Times New Roman"/>
          <w:sz w:val="24"/>
          <w:szCs w:val="24"/>
        </w:rPr>
        <w:t>72.3</w:t>
      </w:r>
      <w:r w:rsidR="00F775E2" w:rsidRPr="002910A5">
        <w:rPr>
          <w:rFonts w:ascii="Book Antiqua" w:eastAsia="MS PMincho" w:hAnsi="Book Antiqua" w:cs="Times New Roman"/>
          <w:sz w:val="24"/>
          <w:szCs w:val="24"/>
        </w:rPr>
        <w:t xml:space="preserve"> years</w:t>
      </w:r>
      <w:r w:rsidR="008A3022"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The</w:t>
      </w:r>
      <w:r w:rsidR="00CC3198" w:rsidRPr="002910A5">
        <w:rPr>
          <w:rFonts w:ascii="Book Antiqua" w:eastAsia="MS PMincho" w:hAnsi="Book Antiqua" w:cs="Times New Roman"/>
          <w:sz w:val="24"/>
          <w:szCs w:val="24"/>
        </w:rPr>
        <w:t xml:space="preserve"> proportion</w:t>
      </w:r>
      <w:r w:rsidR="00863D0D" w:rsidRPr="002910A5">
        <w:rPr>
          <w:rFonts w:ascii="Book Antiqua" w:eastAsia="MS PMincho" w:hAnsi="Book Antiqua" w:cs="Times New Roman"/>
          <w:sz w:val="24"/>
          <w:szCs w:val="24"/>
        </w:rPr>
        <w:t xml:space="preserve"> of male</w:t>
      </w:r>
      <w:r w:rsidR="00F775E2" w:rsidRPr="002910A5">
        <w:rPr>
          <w:rFonts w:ascii="Book Antiqua" w:eastAsia="MS PMincho" w:hAnsi="Book Antiqua" w:cs="Times New Roman"/>
          <w:sz w:val="24"/>
          <w:szCs w:val="24"/>
        </w:rPr>
        <w:t>s</w:t>
      </w:r>
      <w:r w:rsidR="00863D0D" w:rsidRPr="002910A5">
        <w:rPr>
          <w:rFonts w:ascii="Book Antiqua" w:eastAsia="MS PMincho" w:hAnsi="Book Antiqua" w:cs="Times New Roman"/>
          <w:sz w:val="24"/>
          <w:szCs w:val="24"/>
        </w:rPr>
        <w:t xml:space="preserve"> </w:t>
      </w:r>
      <w:r w:rsidR="00CC3198" w:rsidRPr="002910A5">
        <w:rPr>
          <w:rFonts w:ascii="Book Antiqua" w:eastAsia="MS PMincho" w:hAnsi="Book Antiqua" w:cs="Times New Roman"/>
          <w:sz w:val="24"/>
          <w:szCs w:val="24"/>
        </w:rPr>
        <w:t xml:space="preserve">was </w:t>
      </w:r>
      <w:r w:rsidR="00F775E2" w:rsidRPr="002910A5">
        <w:rPr>
          <w:rFonts w:ascii="Book Antiqua" w:eastAsia="MS PMincho" w:hAnsi="Book Antiqua" w:cs="Times New Roman"/>
          <w:sz w:val="24"/>
          <w:szCs w:val="24"/>
        </w:rPr>
        <w:t>68.9</w:t>
      </w:r>
      <w:r w:rsidR="00002346" w:rsidRPr="002910A5">
        <w:rPr>
          <w:rFonts w:ascii="Book Antiqua" w:eastAsia="MS PMincho" w:hAnsi="Book Antiqua" w:cs="Times New Roman"/>
          <w:sz w:val="24"/>
          <w:szCs w:val="24"/>
        </w:rPr>
        <w:t>% (414/597)</w:t>
      </w:r>
      <w:r w:rsidR="00CC3198"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C</w:t>
      </w:r>
      <w:r w:rsidR="00C91609" w:rsidRPr="002910A5">
        <w:rPr>
          <w:rFonts w:ascii="Book Antiqua" w:eastAsia="MS PMincho" w:hAnsi="Book Antiqua" w:cs="Times New Roman"/>
          <w:sz w:val="24"/>
          <w:szCs w:val="24"/>
        </w:rPr>
        <w:t>oronary artery disease</w:t>
      </w:r>
      <w:r w:rsidR="00863D0D" w:rsidRPr="002910A5">
        <w:rPr>
          <w:rFonts w:ascii="Book Antiqua" w:eastAsia="MS PMincho" w:hAnsi="Book Antiqua" w:cs="Times New Roman"/>
          <w:sz w:val="24"/>
          <w:szCs w:val="24"/>
        </w:rPr>
        <w:t>s were</w:t>
      </w:r>
      <w:r w:rsidR="00002346"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 xml:space="preserve">found in </w:t>
      </w:r>
      <w:r w:rsidR="00F775E2" w:rsidRPr="002910A5">
        <w:rPr>
          <w:rFonts w:ascii="Book Antiqua" w:eastAsia="MS PMincho" w:hAnsi="Book Antiqua" w:cs="Times New Roman"/>
          <w:sz w:val="24"/>
          <w:szCs w:val="24"/>
        </w:rPr>
        <w:t>23.8</w:t>
      </w:r>
      <w:r w:rsidR="00002346" w:rsidRPr="002910A5">
        <w:rPr>
          <w:rFonts w:ascii="Book Antiqua" w:eastAsia="MS PMincho" w:hAnsi="Book Antiqua" w:cs="Times New Roman"/>
          <w:sz w:val="24"/>
          <w:szCs w:val="24"/>
        </w:rPr>
        <w:t>% (142/597)</w:t>
      </w:r>
      <w:r w:rsidR="00863D0D" w:rsidRPr="002910A5">
        <w:rPr>
          <w:rFonts w:ascii="Book Antiqua" w:eastAsia="MS PMincho" w:hAnsi="Book Antiqua" w:cs="Times New Roman"/>
          <w:sz w:val="24"/>
          <w:szCs w:val="24"/>
        </w:rPr>
        <w:t xml:space="preserve"> of the enrolled patients</w:t>
      </w:r>
      <w:r w:rsidR="00002346" w:rsidRPr="002910A5">
        <w:rPr>
          <w:rFonts w:ascii="Book Antiqua" w:eastAsia="MS PMincho" w:hAnsi="Book Antiqua" w:cs="Times New Roman"/>
          <w:sz w:val="24"/>
          <w:szCs w:val="24"/>
        </w:rPr>
        <w:t xml:space="preserve">. The median of specimen size was 32.9 </w:t>
      </w:r>
      <w:r>
        <w:rPr>
          <w:rFonts w:ascii="Book Antiqua" w:eastAsia="MS PMincho" w:hAnsi="Book Antiqua" w:cs="Times New Roman"/>
          <w:sz w:val="24"/>
          <w:szCs w:val="24"/>
        </w:rPr>
        <w:t>(IQR:</w:t>
      </w:r>
      <w:r w:rsidR="00D71F57" w:rsidRPr="002910A5">
        <w:rPr>
          <w:rFonts w:ascii="Book Antiqua" w:eastAsia="MS PMincho" w:hAnsi="Book Antiqua" w:cs="Times New Roman"/>
          <w:sz w:val="24"/>
          <w:szCs w:val="24"/>
        </w:rPr>
        <w:t xml:space="preserve"> 24</w:t>
      </w:r>
      <w:r w:rsidR="00A46860">
        <w:rPr>
          <w:rFonts w:ascii="Book Antiqua" w:eastAsia="Meiryo UI" w:hAnsi="Book Antiqua" w:cs="Times New Roman"/>
          <w:sz w:val="24"/>
          <w:szCs w:val="24"/>
        </w:rPr>
        <w:t>-</w:t>
      </w:r>
      <w:r w:rsidR="00C91609" w:rsidRPr="002910A5">
        <w:rPr>
          <w:rFonts w:ascii="Book Antiqua" w:eastAsia="MS PMincho" w:hAnsi="Book Antiqua" w:cs="Times New Roman"/>
          <w:sz w:val="24"/>
          <w:szCs w:val="24"/>
        </w:rPr>
        <w:t xml:space="preserve">40) </w:t>
      </w:r>
      <w:r w:rsidR="00002346" w:rsidRPr="002910A5">
        <w:rPr>
          <w:rFonts w:ascii="Book Antiqua" w:eastAsia="MS PMincho" w:hAnsi="Book Antiqua" w:cs="Times New Roman"/>
          <w:sz w:val="24"/>
          <w:szCs w:val="24"/>
        </w:rPr>
        <w:t xml:space="preserve">mm. The </w:t>
      </w:r>
      <w:r w:rsidR="00F775E2" w:rsidRPr="002910A5">
        <w:rPr>
          <w:rFonts w:ascii="Book Antiqua" w:eastAsia="MS PMincho" w:hAnsi="Book Antiqua" w:cs="Times New Roman"/>
          <w:sz w:val="24"/>
          <w:szCs w:val="24"/>
        </w:rPr>
        <w:t xml:space="preserve">overall </w:t>
      </w:r>
      <w:r w:rsidR="00002346" w:rsidRPr="002910A5">
        <w:rPr>
          <w:rFonts w:ascii="Book Antiqua" w:eastAsia="MS PMincho" w:hAnsi="Book Antiqua" w:cs="Times New Roman"/>
          <w:sz w:val="24"/>
          <w:szCs w:val="24"/>
        </w:rPr>
        <w:t xml:space="preserve">rate of postoperative bleeding after gastric ESD was </w:t>
      </w:r>
      <w:r w:rsidR="00F775E2" w:rsidRPr="002910A5">
        <w:rPr>
          <w:rFonts w:ascii="Book Antiqua" w:eastAsia="MS PMincho" w:hAnsi="Book Antiqua" w:cs="Times New Roman"/>
          <w:sz w:val="24"/>
          <w:szCs w:val="24"/>
        </w:rPr>
        <w:t>6.9</w:t>
      </w:r>
      <w:r w:rsidR="00002346" w:rsidRPr="002910A5">
        <w:rPr>
          <w:rFonts w:ascii="Book Antiqua" w:eastAsia="MS PMincho" w:hAnsi="Book Antiqua" w:cs="Times New Roman"/>
          <w:sz w:val="24"/>
          <w:szCs w:val="24"/>
        </w:rPr>
        <w:t>% (41/597).</w:t>
      </w:r>
      <w:r w:rsidR="005A36B1" w:rsidRPr="002910A5">
        <w:rPr>
          <w:rFonts w:ascii="Book Antiqua" w:eastAsia="MS PMincho" w:hAnsi="Book Antiqua" w:cs="Times New Roman"/>
          <w:sz w:val="24"/>
          <w:szCs w:val="24"/>
        </w:rPr>
        <w:t xml:space="preserve"> The postoper</w:t>
      </w:r>
      <w:r w:rsidR="00F775E2" w:rsidRPr="002910A5">
        <w:rPr>
          <w:rFonts w:ascii="Book Antiqua" w:eastAsia="MS PMincho" w:hAnsi="Book Antiqua" w:cs="Times New Roman"/>
          <w:sz w:val="24"/>
          <w:szCs w:val="24"/>
        </w:rPr>
        <w:t>ative bleeding rate in patients</w:t>
      </w:r>
      <w:r w:rsidR="005A36B1"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with and without</w:t>
      </w:r>
      <w:r w:rsidR="005A36B1" w:rsidRPr="002910A5">
        <w:rPr>
          <w:rFonts w:ascii="Book Antiqua" w:eastAsia="MS PMincho" w:hAnsi="Book Antiqua" w:cs="Times New Roman"/>
          <w:sz w:val="24"/>
          <w:szCs w:val="24"/>
        </w:rPr>
        <w:t xml:space="preserve"> APT </w:t>
      </w:r>
      <w:r w:rsidR="00F775E2" w:rsidRPr="002910A5">
        <w:rPr>
          <w:rFonts w:ascii="Book Antiqua" w:eastAsia="MS PMincho" w:hAnsi="Book Antiqua" w:cs="Times New Roman"/>
          <w:sz w:val="24"/>
          <w:szCs w:val="24"/>
        </w:rPr>
        <w:t>was 13.0% (20/154) and 4.7</w:t>
      </w:r>
      <w:r w:rsidR="005A36B1" w:rsidRPr="002910A5">
        <w:rPr>
          <w:rFonts w:ascii="Book Antiqua" w:eastAsia="MS PMincho" w:hAnsi="Book Antiqua" w:cs="Times New Roman"/>
          <w:sz w:val="24"/>
          <w:szCs w:val="24"/>
        </w:rPr>
        <w:t>% (21/443)</w:t>
      </w:r>
      <w:r w:rsidR="00863D0D" w:rsidRPr="002910A5">
        <w:rPr>
          <w:rFonts w:ascii="Book Antiqua" w:eastAsia="MS PMincho" w:hAnsi="Book Antiqua" w:cs="Times New Roman"/>
          <w:sz w:val="24"/>
          <w:szCs w:val="24"/>
        </w:rPr>
        <w:t>,</w:t>
      </w:r>
      <w:r w:rsidR="00E43AB5" w:rsidRPr="002910A5">
        <w:rPr>
          <w:rFonts w:ascii="Book Antiqua" w:eastAsia="MS PMincho" w:hAnsi="Book Antiqua" w:cs="Times New Roman"/>
          <w:sz w:val="24"/>
          <w:szCs w:val="24"/>
        </w:rPr>
        <w:t xml:space="preserve"> respectively</w:t>
      </w:r>
      <w:r w:rsidR="00590583" w:rsidRPr="002910A5">
        <w:rPr>
          <w:rFonts w:ascii="Book Antiqua" w:hAnsi="Book Antiqua" w:cs="Times New Roman"/>
          <w:kern w:val="24"/>
          <w:sz w:val="24"/>
          <w:szCs w:val="24"/>
        </w:rPr>
        <w:t xml:space="preserve"> (</w:t>
      </w:r>
      <w:r w:rsidR="00590583" w:rsidRPr="002910A5">
        <w:rPr>
          <w:rFonts w:ascii="Book Antiqua" w:hAnsi="Book Antiqua" w:cs="Times New Roman"/>
          <w:i/>
          <w:kern w:val="24"/>
          <w:sz w:val="24"/>
          <w:szCs w:val="24"/>
        </w:rPr>
        <w:t>P</w:t>
      </w:r>
      <w:r w:rsidR="00590583" w:rsidRPr="002910A5">
        <w:rPr>
          <w:rFonts w:ascii="Book Antiqua" w:hAnsi="Book Antiqua" w:cs="Times New Roman"/>
          <w:kern w:val="24"/>
          <w:sz w:val="24"/>
          <w:szCs w:val="24"/>
        </w:rPr>
        <w:t xml:space="preserve"> = 0.001)</w:t>
      </w:r>
      <w:r w:rsidR="005A36B1" w:rsidRPr="002910A5">
        <w:rPr>
          <w:rFonts w:ascii="Book Antiqua" w:eastAsia="MS PMincho" w:hAnsi="Book Antiqua" w:cs="Times New Roman"/>
          <w:sz w:val="24"/>
          <w:szCs w:val="24"/>
        </w:rPr>
        <w:t>.</w:t>
      </w:r>
      <w:r w:rsidR="00E515C6" w:rsidRPr="002910A5">
        <w:rPr>
          <w:rFonts w:ascii="Book Antiqua" w:eastAsia="MS PMincho" w:hAnsi="Book Antiqua" w:cs="Times New Roman"/>
          <w:sz w:val="24"/>
          <w:szCs w:val="24"/>
        </w:rPr>
        <w:t xml:space="preserve"> </w:t>
      </w:r>
      <w:r w:rsidR="00CE0032" w:rsidRPr="002910A5">
        <w:rPr>
          <w:rFonts w:ascii="Book Antiqua" w:eastAsia="MS PMincho" w:hAnsi="Book Antiqua" w:cs="Times New Roman"/>
          <w:sz w:val="24"/>
          <w:szCs w:val="24"/>
        </w:rPr>
        <w:t>Among the patients with postoperative bleeding, delayed bleeding</w:t>
      </w:r>
      <w:r w:rsidR="009A1EE3" w:rsidRPr="002910A5">
        <w:rPr>
          <w:rFonts w:ascii="Book Antiqua" w:eastAsia="MS PMincho" w:hAnsi="Book Antiqua" w:cs="Times New Roman"/>
          <w:sz w:val="24"/>
          <w:szCs w:val="24"/>
        </w:rPr>
        <w:t xml:space="preserve"> (more than 5 d after ESD)</w:t>
      </w:r>
      <w:r w:rsidR="00CE0032" w:rsidRPr="002910A5">
        <w:rPr>
          <w:rFonts w:ascii="Book Antiqua" w:eastAsia="MS PMincho" w:hAnsi="Book Antiqua" w:cs="Times New Roman"/>
          <w:sz w:val="24"/>
          <w:szCs w:val="24"/>
        </w:rPr>
        <w:t xml:space="preserve"> was found in 2.7% (16/597) of all the enrolled patients. The delayed bleeding rate in </w:t>
      </w:r>
      <w:r w:rsidR="00CE0032" w:rsidRPr="002910A5">
        <w:rPr>
          <w:rFonts w:ascii="Book Antiqua" w:eastAsia="MS PMincho" w:hAnsi="Book Antiqua" w:cs="Times New Roman"/>
          <w:sz w:val="24"/>
          <w:szCs w:val="24"/>
        </w:rPr>
        <w:lastRenderedPageBreak/>
        <w:t>patients with and without APT was 7.1% (11/154) and 1.1% (5/443)</w:t>
      </w:r>
      <w:r w:rsidR="00D904F7" w:rsidRPr="002910A5">
        <w:rPr>
          <w:rFonts w:ascii="Book Antiqua" w:eastAsia="MS PMincho" w:hAnsi="Book Antiqua" w:cs="Times New Roman"/>
          <w:sz w:val="24"/>
          <w:szCs w:val="24"/>
        </w:rPr>
        <w:t>, respectively</w:t>
      </w:r>
      <w:r w:rsidR="00CE0032" w:rsidRPr="002910A5">
        <w:rPr>
          <w:rFonts w:ascii="Book Antiqua" w:eastAsia="MS PMincho" w:hAnsi="Book Antiqua" w:cs="Times New Roman"/>
          <w:sz w:val="24"/>
          <w:szCs w:val="24"/>
        </w:rPr>
        <w:t>. Among the patients with postoperative bleeding, the re-admission patients rate in those with and without APT was 3.2% (5/154) and 0.2% (1/443)</w:t>
      </w:r>
      <w:r w:rsidR="00D904F7" w:rsidRPr="002910A5">
        <w:rPr>
          <w:rFonts w:ascii="Book Antiqua" w:eastAsia="MS PMincho" w:hAnsi="Book Antiqua" w:cs="Times New Roman"/>
          <w:sz w:val="24"/>
          <w:szCs w:val="24"/>
        </w:rPr>
        <w:t>, respectively</w:t>
      </w:r>
      <w:r w:rsidR="00CE0032" w:rsidRPr="002910A5">
        <w:rPr>
          <w:rFonts w:ascii="Book Antiqua" w:eastAsia="MS PMincho" w:hAnsi="Book Antiqua" w:cs="Times New Roman"/>
          <w:sz w:val="24"/>
          <w:szCs w:val="24"/>
        </w:rPr>
        <w:t>. Blood transfusions were required for 1.5% (9/597) of all the patients. Among them, the blood transfusion rates of patients with and without APT were 3.2% (5/154) and 0.9% (4/443), respectively.</w:t>
      </w:r>
    </w:p>
    <w:p w14:paraId="556C29EE" w14:textId="3B8BCC6E" w:rsidR="00D85E14" w:rsidRPr="002910A5" w:rsidRDefault="009E3245" w:rsidP="009E3245">
      <w:pPr>
        <w:adjustRightInd w:val="0"/>
        <w:snapToGrid w:val="0"/>
        <w:spacing w:line="360" w:lineRule="auto"/>
        <w:rPr>
          <w:rFonts w:ascii="Book Antiqua" w:hAnsi="Book Antiqua" w:cs="Times New Roman"/>
          <w:kern w:val="24"/>
          <w:sz w:val="24"/>
          <w:szCs w:val="24"/>
        </w:rPr>
      </w:pPr>
      <w:r>
        <w:rPr>
          <w:rFonts w:ascii="Book Antiqua" w:eastAsia="MS PGothic" w:hAnsi="Book Antiqua" w:cs="Times New Roman"/>
          <w:kern w:val="0"/>
          <w:sz w:val="24"/>
          <w:szCs w:val="24"/>
        </w:rPr>
        <w:t xml:space="preserve">  </w:t>
      </w:r>
      <w:r w:rsidR="00BE03E3" w:rsidRPr="002910A5">
        <w:rPr>
          <w:rFonts w:ascii="Book Antiqua" w:eastAsia="MS PGothic" w:hAnsi="Book Antiqua" w:cs="Times New Roman"/>
          <w:kern w:val="0"/>
          <w:sz w:val="24"/>
          <w:szCs w:val="24"/>
        </w:rPr>
        <w:t xml:space="preserve">Characteristics </w:t>
      </w:r>
      <w:r w:rsidR="00F775E2" w:rsidRPr="002910A5">
        <w:rPr>
          <w:rFonts w:ascii="Book Antiqua" w:eastAsia="MS PGothic" w:hAnsi="Book Antiqua" w:cs="Times New Roman"/>
          <w:kern w:val="0"/>
          <w:sz w:val="24"/>
          <w:szCs w:val="24"/>
        </w:rPr>
        <w:t xml:space="preserve">are compared among </w:t>
      </w:r>
      <w:r w:rsidR="00BE03E3" w:rsidRPr="002910A5">
        <w:rPr>
          <w:rFonts w:ascii="Book Antiqua" w:eastAsia="MS PGothic" w:hAnsi="Book Antiqua" w:cs="Times New Roman"/>
          <w:kern w:val="0"/>
          <w:sz w:val="24"/>
          <w:szCs w:val="24"/>
        </w:rPr>
        <w:t>patients</w:t>
      </w:r>
      <w:r w:rsidR="00F775E2" w:rsidRPr="002910A5">
        <w:rPr>
          <w:rFonts w:ascii="Book Antiqua" w:eastAsia="MS PGothic" w:hAnsi="Book Antiqua" w:cs="Times New Roman"/>
          <w:kern w:val="0"/>
          <w:sz w:val="24"/>
          <w:szCs w:val="24"/>
        </w:rPr>
        <w:t xml:space="preserve"> receiving</w:t>
      </w:r>
      <w:r w:rsidR="005648EC" w:rsidRPr="002910A5">
        <w:rPr>
          <w:rFonts w:ascii="Book Antiqua" w:eastAsia="MS PGothic" w:hAnsi="Book Antiqua" w:cs="Times New Roman"/>
          <w:kern w:val="0"/>
          <w:sz w:val="24"/>
          <w:szCs w:val="24"/>
        </w:rPr>
        <w:t xml:space="preserve"> LDA </w:t>
      </w:r>
      <w:r w:rsidR="00F775E2" w:rsidRPr="002910A5">
        <w:rPr>
          <w:rFonts w:ascii="Book Antiqua" w:eastAsia="MS PGothic" w:hAnsi="Book Antiqua" w:cs="Times New Roman"/>
          <w:kern w:val="0"/>
          <w:sz w:val="24"/>
          <w:szCs w:val="24"/>
        </w:rPr>
        <w:t>in</w:t>
      </w:r>
      <w:r w:rsidR="005648EC" w:rsidRPr="002910A5">
        <w:rPr>
          <w:rFonts w:ascii="Book Antiqua" w:eastAsia="MS PGothic" w:hAnsi="Book Antiqua" w:cs="Times New Roman"/>
          <w:kern w:val="0"/>
          <w:sz w:val="24"/>
          <w:szCs w:val="24"/>
        </w:rPr>
        <w:t xml:space="preserve"> th</w:t>
      </w:r>
      <w:r w:rsidR="00295E51" w:rsidRPr="002910A5">
        <w:rPr>
          <w:rFonts w:ascii="Book Antiqua" w:eastAsia="MS PGothic" w:hAnsi="Book Antiqua" w:cs="Times New Roman"/>
          <w:kern w:val="0"/>
          <w:sz w:val="24"/>
          <w:szCs w:val="24"/>
        </w:rPr>
        <w:t>e continuous LDA group and the discontinuous</w:t>
      </w:r>
      <w:r w:rsidR="00ED6087" w:rsidRPr="002910A5">
        <w:rPr>
          <w:rFonts w:ascii="Book Antiqua" w:eastAsia="MS PGothic" w:hAnsi="Book Antiqua" w:cs="Times New Roman"/>
          <w:kern w:val="0"/>
          <w:sz w:val="24"/>
          <w:szCs w:val="24"/>
        </w:rPr>
        <w:t xml:space="preserve"> LDA</w:t>
      </w:r>
      <w:r w:rsidR="005648EC" w:rsidRPr="002910A5">
        <w:rPr>
          <w:rFonts w:ascii="Book Antiqua" w:eastAsia="MS PGothic" w:hAnsi="Book Antiqua" w:cs="Times New Roman"/>
          <w:kern w:val="0"/>
          <w:sz w:val="24"/>
          <w:szCs w:val="24"/>
        </w:rPr>
        <w:t xml:space="preserve"> group</w:t>
      </w:r>
      <w:r w:rsidR="00BE03E3" w:rsidRPr="002910A5">
        <w:rPr>
          <w:rFonts w:ascii="Book Antiqua" w:eastAsia="MS PGothic" w:hAnsi="Book Antiqua" w:cs="Times New Roman"/>
          <w:kern w:val="0"/>
          <w:sz w:val="24"/>
          <w:szCs w:val="24"/>
        </w:rPr>
        <w:t xml:space="preserve"> </w:t>
      </w:r>
      <w:r w:rsidR="00CC3198" w:rsidRPr="002910A5">
        <w:rPr>
          <w:rFonts w:ascii="Book Antiqua" w:eastAsia="MS PGothic" w:hAnsi="Book Antiqua" w:cs="Times New Roman"/>
          <w:kern w:val="0"/>
          <w:sz w:val="24"/>
          <w:szCs w:val="24"/>
        </w:rPr>
        <w:t xml:space="preserve">in Table 2. </w:t>
      </w:r>
      <w:r w:rsidR="00593E3D" w:rsidRPr="002910A5">
        <w:rPr>
          <w:rFonts w:ascii="Book Antiqua" w:eastAsia="MS PMincho" w:hAnsi="Book Antiqua" w:cs="Times New Roman"/>
          <w:sz w:val="24"/>
          <w:szCs w:val="24"/>
        </w:rPr>
        <w:t>There were no s</w:t>
      </w:r>
      <w:r w:rsidR="00593E3D" w:rsidRPr="002910A5">
        <w:rPr>
          <w:rFonts w:ascii="Book Antiqua" w:hAnsi="Book Antiqua" w:cs="Times New Roman"/>
          <w:kern w:val="24"/>
          <w:sz w:val="24"/>
          <w:szCs w:val="24"/>
        </w:rPr>
        <w:t xml:space="preserve">ignificant differences between groups in </w:t>
      </w:r>
      <w:r w:rsidR="00F775E2" w:rsidRPr="002910A5">
        <w:rPr>
          <w:rFonts w:ascii="Book Antiqua" w:hAnsi="Book Antiqua" w:cs="Times New Roman"/>
          <w:kern w:val="24"/>
          <w:sz w:val="24"/>
          <w:szCs w:val="24"/>
        </w:rPr>
        <w:t>any of these</w:t>
      </w:r>
      <w:r w:rsidR="00593E3D" w:rsidRPr="002910A5">
        <w:rPr>
          <w:rFonts w:ascii="Book Antiqua" w:hAnsi="Book Antiqua" w:cs="Times New Roman"/>
          <w:kern w:val="24"/>
          <w:sz w:val="24"/>
          <w:szCs w:val="24"/>
        </w:rPr>
        <w:t xml:space="preserve"> characteristics.</w:t>
      </w:r>
      <w:r w:rsidR="00340D50" w:rsidRPr="002910A5">
        <w:rPr>
          <w:rFonts w:ascii="Book Antiqua" w:hAnsi="Book Antiqua" w:cs="Times New Roman"/>
          <w:kern w:val="24"/>
          <w:sz w:val="24"/>
          <w:szCs w:val="24"/>
        </w:rPr>
        <w:t xml:space="preserve"> </w:t>
      </w:r>
      <w:r w:rsidR="00F775E2" w:rsidRPr="002910A5">
        <w:rPr>
          <w:rFonts w:ascii="Book Antiqua" w:hAnsi="Book Antiqua" w:cs="Times New Roman"/>
          <w:kern w:val="24"/>
          <w:sz w:val="24"/>
          <w:szCs w:val="24"/>
        </w:rPr>
        <w:t>T</w:t>
      </w:r>
      <w:r w:rsidR="00D85E14" w:rsidRPr="002910A5">
        <w:rPr>
          <w:rFonts w:ascii="Book Antiqua" w:hAnsi="Book Antiqua" w:cs="Times New Roman"/>
          <w:kern w:val="24"/>
          <w:sz w:val="24"/>
          <w:szCs w:val="24"/>
        </w:rPr>
        <w:t xml:space="preserve">herapeutic outcomes </w:t>
      </w:r>
      <w:r w:rsidR="00F775E2" w:rsidRPr="002910A5">
        <w:rPr>
          <w:rFonts w:ascii="Book Antiqua" w:hAnsi="Book Antiqua" w:cs="Times New Roman"/>
          <w:kern w:val="24"/>
          <w:sz w:val="24"/>
          <w:szCs w:val="24"/>
        </w:rPr>
        <w:t>are compared among patients receiving LDA in</w:t>
      </w:r>
      <w:r w:rsidR="004D793C" w:rsidRPr="002910A5">
        <w:rPr>
          <w:rFonts w:ascii="Book Antiqua" w:hAnsi="Book Antiqua" w:cs="Times New Roman"/>
          <w:kern w:val="24"/>
          <w:sz w:val="24"/>
          <w:szCs w:val="24"/>
        </w:rPr>
        <w:t xml:space="preserve"> the continuous LDA</w:t>
      </w:r>
      <w:r w:rsidR="00F775E2" w:rsidRPr="002910A5">
        <w:rPr>
          <w:rFonts w:ascii="Book Antiqua" w:hAnsi="Book Antiqua" w:cs="Times New Roman"/>
          <w:kern w:val="24"/>
          <w:sz w:val="24"/>
          <w:szCs w:val="24"/>
        </w:rPr>
        <w:t xml:space="preserve"> group</w:t>
      </w:r>
      <w:r w:rsidR="004D793C" w:rsidRPr="002910A5">
        <w:rPr>
          <w:rFonts w:ascii="Book Antiqua" w:hAnsi="Book Antiqua" w:cs="Times New Roman"/>
          <w:kern w:val="24"/>
          <w:sz w:val="24"/>
          <w:szCs w:val="24"/>
        </w:rPr>
        <w:t xml:space="preserve"> </w:t>
      </w:r>
      <w:r w:rsidR="00D85E14" w:rsidRPr="002910A5">
        <w:rPr>
          <w:rFonts w:ascii="Book Antiqua" w:hAnsi="Book Antiqua" w:cs="Times New Roman"/>
          <w:kern w:val="24"/>
          <w:sz w:val="24"/>
          <w:szCs w:val="24"/>
        </w:rPr>
        <w:t xml:space="preserve">and the discontinuous LDA group </w:t>
      </w:r>
      <w:r w:rsidR="004D793C" w:rsidRPr="002910A5">
        <w:rPr>
          <w:rFonts w:ascii="Book Antiqua" w:hAnsi="Book Antiqua" w:cs="Times New Roman"/>
          <w:kern w:val="24"/>
          <w:sz w:val="24"/>
          <w:szCs w:val="24"/>
        </w:rPr>
        <w:t>in</w:t>
      </w:r>
      <w:r w:rsidR="00120B64" w:rsidRPr="002910A5">
        <w:rPr>
          <w:rFonts w:ascii="Book Antiqua" w:hAnsi="Book Antiqua" w:cs="Times New Roman"/>
          <w:kern w:val="24"/>
          <w:sz w:val="24"/>
          <w:szCs w:val="24"/>
        </w:rPr>
        <w:t xml:space="preserve"> Table 3. </w:t>
      </w:r>
      <w:r w:rsidR="004D793C" w:rsidRPr="002910A5">
        <w:rPr>
          <w:rFonts w:ascii="Book Antiqua" w:hAnsi="Book Antiqua" w:cs="Times New Roman"/>
          <w:kern w:val="24"/>
          <w:sz w:val="24"/>
          <w:szCs w:val="24"/>
        </w:rPr>
        <w:t>T</w:t>
      </w:r>
      <w:r w:rsidR="00295E51" w:rsidRPr="002910A5">
        <w:rPr>
          <w:rFonts w:ascii="Book Antiqua" w:hAnsi="Book Antiqua" w:cs="Times New Roman"/>
          <w:kern w:val="24"/>
          <w:sz w:val="24"/>
          <w:szCs w:val="24"/>
        </w:rPr>
        <w:t>he postoperative bleeding rate in</w:t>
      </w:r>
      <w:r w:rsidR="00F775E2" w:rsidRPr="002910A5">
        <w:rPr>
          <w:rFonts w:ascii="Book Antiqua" w:hAnsi="Book Antiqua" w:cs="Times New Roman"/>
          <w:kern w:val="24"/>
          <w:sz w:val="24"/>
          <w:szCs w:val="24"/>
        </w:rPr>
        <w:t xml:space="preserve"> the continuous LDA group (15.8</w:t>
      </w:r>
      <w:r w:rsidR="00295E51" w:rsidRPr="002910A5">
        <w:rPr>
          <w:rFonts w:ascii="Book Antiqua" w:hAnsi="Book Antiqua" w:cs="Times New Roman"/>
          <w:kern w:val="24"/>
          <w:sz w:val="24"/>
          <w:szCs w:val="24"/>
        </w:rPr>
        <w:t xml:space="preserve">%) was </w:t>
      </w:r>
      <w:r w:rsidR="00F775E2" w:rsidRPr="002910A5">
        <w:rPr>
          <w:rFonts w:ascii="Book Antiqua" w:hAnsi="Book Antiqua" w:cs="Times New Roman"/>
          <w:kern w:val="24"/>
          <w:sz w:val="24"/>
          <w:szCs w:val="24"/>
        </w:rPr>
        <w:t xml:space="preserve">numerically </w:t>
      </w:r>
      <w:r w:rsidR="00295E51" w:rsidRPr="002910A5">
        <w:rPr>
          <w:rFonts w:ascii="Book Antiqua" w:hAnsi="Book Antiqua" w:cs="Times New Roman"/>
          <w:kern w:val="24"/>
          <w:sz w:val="24"/>
          <w:szCs w:val="24"/>
        </w:rPr>
        <w:t>higher than that in the discon</w:t>
      </w:r>
      <w:r w:rsidR="00F775E2" w:rsidRPr="002910A5">
        <w:rPr>
          <w:rFonts w:ascii="Book Antiqua" w:hAnsi="Book Antiqua" w:cs="Times New Roman"/>
          <w:kern w:val="24"/>
          <w:sz w:val="24"/>
          <w:szCs w:val="24"/>
        </w:rPr>
        <w:t>tinuous LDA group (</w:t>
      </w:r>
      <w:r w:rsidR="00D42F5B" w:rsidRPr="002910A5">
        <w:rPr>
          <w:rFonts w:ascii="Book Antiqua" w:hAnsi="Book Antiqua" w:cs="Times New Roman"/>
          <w:kern w:val="24"/>
          <w:sz w:val="24"/>
          <w:szCs w:val="24"/>
        </w:rPr>
        <w:t>8.5</w:t>
      </w:r>
      <w:r w:rsidR="00295E51" w:rsidRPr="002910A5">
        <w:rPr>
          <w:rFonts w:ascii="Book Antiqua" w:hAnsi="Book Antiqua" w:cs="Times New Roman"/>
          <w:kern w:val="24"/>
          <w:sz w:val="24"/>
          <w:szCs w:val="24"/>
        </w:rPr>
        <w:t xml:space="preserve">%), </w:t>
      </w:r>
      <w:r w:rsidR="004D793C" w:rsidRPr="002910A5">
        <w:rPr>
          <w:rFonts w:ascii="Book Antiqua" w:hAnsi="Book Antiqua" w:cs="Times New Roman"/>
          <w:kern w:val="24"/>
          <w:sz w:val="24"/>
          <w:szCs w:val="24"/>
        </w:rPr>
        <w:t xml:space="preserve">although </w:t>
      </w:r>
      <w:r w:rsidR="00295E51" w:rsidRPr="002910A5">
        <w:rPr>
          <w:rFonts w:ascii="Book Antiqua" w:hAnsi="Book Antiqua" w:cs="Times New Roman"/>
          <w:kern w:val="24"/>
          <w:sz w:val="24"/>
          <w:szCs w:val="24"/>
        </w:rPr>
        <w:t>no significant difference was</w:t>
      </w:r>
      <w:r w:rsidR="004D793C" w:rsidRPr="002910A5">
        <w:rPr>
          <w:rFonts w:ascii="Book Antiqua" w:hAnsi="Book Antiqua" w:cs="Times New Roman"/>
          <w:kern w:val="24"/>
          <w:sz w:val="24"/>
          <w:szCs w:val="24"/>
        </w:rPr>
        <w:t xml:space="preserve"> observed</w:t>
      </w:r>
      <w:r w:rsidR="00295E51" w:rsidRPr="002910A5">
        <w:rPr>
          <w:rFonts w:ascii="Book Antiqua" w:hAnsi="Book Antiqua" w:cs="Times New Roman"/>
          <w:kern w:val="24"/>
          <w:sz w:val="24"/>
          <w:szCs w:val="24"/>
        </w:rPr>
        <w:t xml:space="preserve"> (</w:t>
      </w:r>
      <w:r w:rsidR="00295E51" w:rsidRPr="002910A5">
        <w:rPr>
          <w:rFonts w:ascii="Book Antiqua" w:hAnsi="Book Antiqua" w:cs="Times New Roman"/>
          <w:i/>
          <w:kern w:val="24"/>
          <w:sz w:val="24"/>
          <w:szCs w:val="24"/>
        </w:rPr>
        <w:t>P</w:t>
      </w:r>
      <w:r w:rsidR="00295E51" w:rsidRPr="002910A5">
        <w:rPr>
          <w:rFonts w:ascii="Book Antiqua" w:hAnsi="Book Antiqua" w:cs="Times New Roman"/>
          <w:kern w:val="24"/>
          <w:sz w:val="24"/>
          <w:szCs w:val="24"/>
        </w:rPr>
        <w:t xml:space="preserve"> = 0.</w:t>
      </w:r>
      <w:r w:rsidR="00D42F5B" w:rsidRPr="002910A5">
        <w:rPr>
          <w:rFonts w:ascii="Book Antiqua" w:hAnsi="Book Antiqua" w:cs="Times New Roman"/>
          <w:kern w:val="24"/>
          <w:sz w:val="24"/>
          <w:szCs w:val="24"/>
        </w:rPr>
        <w:t>225</w:t>
      </w:r>
      <w:r w:rsidR="00295E51" w:rsidRPr="002910A5">
        <w:rPr>
          <w:rFonts w:ascii="Book Antiqua" w:hAnsi="Book Antiqua" w:cs="Times New Roman"/>
          <w:kern w:val="24"/>
          <w:sz w:val="24"/>
          <w:szCs w:val="24"/>
        </w:rPr>
        <w:t>).</w:t>
      </w:r>
    </w:p>
    <w:p w14:paraId="556C29EF" w14:textId="7D2E7EC2" w:rsidR="00295E51" w:rsidRPr="002910A5" w:rsidRDefault="009E3245" w:rsidP="009E3245">
      <w:pPr>
        <w:adjustRightInd w:val="0"/>
        <w:snapToGrid w:val="0"/>
        <w:spacing w:line="360" w:lineRule="auto"/>
        <w:rPr>
          <w:rFonts w:ascii="Book Antiqua" w:hAnsi="Book Antiqua" w:cs="Times New Roman"/>
          <w:kern w:val="24"/>
          <w:sz w:val="24"/>
          <w:szCs w:val="24"/>
        </w:rPr>
      </w:pPr>
      <w:r>
        <w:rPr>
          <w:rFonts w:ascii="Book Antiqua" w:eastAsia="MS PGothic" w:hAnsi="Book Antiqua" w:cs="Times New Roman"/>
          <w:kern w:val="0"/>
          <w:sz w:val="24"/>
          <w:szCs w:val="24"/>
        </w:rPr>
        <w:t xml:space="preserve">  </w:t>
      </w:r>
      <w:r w:rsidR="00295E51" w:rsidRPr="002910A5">
        <w:rPr>
          <w:rFonts w:ascii="Book Antiqua" w:eastAsia="MS PGothic" w:hAnsi="Book Antiqua" w:cs="Times New Roman"/>
          <w:kern w:val="0"/>
          <w:sz w:val="24"/>
          <w:szCs w:val="24"/>
        </w:rPr>
        <w:t xml:space="preserve">Characteristics </w:t>
      </w:r>
      <w:r w:rsidR="00AE542D" w:rsidRPr="002910A5">
        <w:rPr>
          <w:rFonts w:ascii="Book Antiqua" w:eastAsia="MS PGothic" w:hAnsi="Book Antiqua" w:cs="Times New Roman"/>
          <w:kern w:val="0"/>
          <w:sz w:val="24"/>
          <w:szCs w:val="24"/>
        </w:rPr>
        <w:t xml:space="preserve">are compared among </w:t>
      </w:r>
      <w:r w:rsidR="00295E51" w:rsidRPr="002910A5">
        <w:rPr>
          <w:rFonts w:ascii="Book Antiqua" w:eastAsia="MS PGothic" w:hAnsi="Book Antiqua" w:cs="Times New Roman"/>
          <w:kern w:val="0"/>
          <w:sz w:val="24"/>
          <w:szCs w:val="24"/>
        </w:rPr>
        <w:t xml:space="preserve">patients </w:t>
      </w:r>
      <w:r w:rsidR="00AE542D" w:rsidRPr="002910A5">
        <w:rPr>
          <w:rFonts w:ascii="Book Antiqua" w:eastAsia="MS PGothic" w:hAnsi="Book Antiqua" w:cs="Times New Roman"/>
          <w:kern w:val="0"/>
          <w:sz w:val="24"/>
          <w:szCs w:val="24"/>
        </w:rPr>
        <w:t>receiving single-LDA in</w:t>
      </w:r>
      <w:r w:rsidR="00326B21" w:rsidRPr="002910A5">
        <w:rPr>
          <w:rFonts w:ascii="Book Antiqua" w:eastAsia="MS PGothic" w:hAnsi="Book Antiqua" w:cs="Times New Roman"/>
          <w:kern w:val="0"/>
          <w:sz w:val="24"/>
          <w:szCs w:val="24"/>
        </w:rPr>
        <w:t xml:space="preserve"> the continuous LDA</w:t>
      </w:r>
      <w:r w:rsidR="00AE542D" w:rsidRPr="002910A5">
        <w:rPr>
          <w:rFonts w:ascii="Book Antiqua" w:eastAsia="MS PGothic" w:hAnsi="Book Antiqua" w:cs="Times New Roman"/>
          <w:kern w:val="0"/>
          <w:sz w:val="24"/>
          <w:szCs w:val="24"/>
        </w:rPr>
        <w:t xml:space="preserve"> group</w:t>
      </w:r>
      <w:r w:rsidR="00326B21" w:rsidRPr="002910A5">
        <w:rPr>
          <w:rFonts w:ascii="Book Antiqua" w:eastAsia="MS PGothic" w:hAnsi="Book Antiqua" w:cs="Times New Roman"/>
          <w:kern w:val="0"/>
          <w:sz w:val="24"/>
          <w:szCs w:val="24"/>
        </w:rPr>
        <w:t xml:space="preserve"> </w:t>
      </w:r>
      <w:r w:rsidR="00295E51" w:rsidRPr="002910A5">
        <w:rPr>
          <w:rFonts w:ascii="Book Antiqua" w:eastAsia="MS PGothic" w:hAnsi="Book Antiqua" w:cs="Times New Roman"/>
          <w:kern w:val="0"/>
          <w:sz w:val="24"/>
          <w:szCs w:val="24"/>
        </w:rPr>
        <w:t xml:space="preserve">and the discontinuous </w:t>
      </w:r>
      <w:r w:rsidR="00ED6087" w:rsidRPr="002910A5">
        <w:rPr>
          <w:rFonts w:ascii="Book Antiqua" w:eastAsia="MS PGothic" w:hAnsi="Book Antiqua" w:cs="Times New Roman"/>
          <w:kern w:val="0"/>
          <w:sz w:val="24"/>
          <w:szCs w:val="24"/>
        </w:rPr>
        <w:t xml:space="preserve">LDA </w:t>
      </w:r>
      <w:r w:rsidR="00295E51" w:rsidRPr="002910A5">
        <w:rPr>
          <w:rFonts w:ascii="Book Antiqua" w:eastAsia="MS PGothic" w:hAnsi="Book Antiqua" w:cs="Times New Roman"/>
          <w:kern w:val="0"/>
          <w:sz w:val="24"/>
          <w:szCs w:val="24"/>
        </w:rPr>
        <w:t xml:space="preserve">group </w:t>
      </w:r>
      <w:r w:rsidR="00AE542D" w:rsidRPr="002910A5">
        <w:rPr>
          <w:rFonts w:ascii="Book Antiqua" w:eastAsia="MS PGothic" w:hAnsi="Book Antiqua" w:cs="Times New Roman"/>
          <w:kern w:val="0"/>
          <w:sz w:val="24"/>
          <w:szCs w:val="24"/>
        </w:rPr>
        <w:t>are</w:t>
      </w:r>
      <w:r w:rsidR="00295E51" w:rsidRPr="002910A5">
        <w:rPr>
          <w:rFonts w:ascii="Book Antiqua" w:eastAsia="MS PGothic" w:hAnsi="Book Antiqua" w:cs="Times New Roman"/>
          <w:kern w:val="0"/>
          <w:sz w:val="24"/>
          <w:szCs w:val="24"/>
        </w:rPr>
        <w:t xml:space="preserve"> in Table 4. </w:t>
      </w:r>
      <w:r w:rsidR="00295E51" w:rsidRPr="002910A5">
        <w:rPr>
          <w:rFonts w:ascii="Book Antiqua" w:eastAsia="MS PMincho" w:hAnsi="Book Antiqua" w:cs="Times New Roman"/>
          <w:sz w:val="24"/>
          <w:szCs w:val="24"/>
        </w:rPr>
        <w:t>There were no s</w:t>
      </w:r>
      <w:r w:rsidR="00295E51" w:rsidRPr="002910A5">
        <w:rPr>
          <w:rFonts w:ascii="Book Antiqua" w:hAnsi="Book Antiqua" w:cs="Times New Roman"/>
          <w:kern w:val="24"/>
          <w:sz w:val="24"/>
          <w:szCs w:val="24"/>
        </w:rPr>
        <w:t>ignificant di</w:t>
      </w:r>
      <w:r w:rsidR="00AE542D" w:rsidRPr="002910A5">
        <w:rPr>
          <w:rFonts w:ascii="Book Antiqua" w:hAnsi="Book Antiqua" w:cs="Times New Roman"/>
          <w:kern w:val="24"/>
          <w:sz w:val="24"/>
          <w:szCs w:val="24"/>
        </w:rPr>
        <w:t xml:space="preserve">fferences between </w:t>
      </w:r>
      <w:r w:rsidR="00295E51" w:rsidRPr="002910A5">
        <w:rPr>
          <w:rFonts w:ascii="Book Antiqua" w:hAnsi="Book Antiqua" w:cs="Times New Roman"/>
          <w:kern w:val="24"/>
          <w:sz w:val="24"/>
          <w:szCs w:val="24"/>
        </w:rPr>
        <w:t xml:space="preserve">groups in </w:t>
      </w:r>
      <w:r w:rsidR="00AE542D" w:rsidRPr="002910A5">
        <w:rPr>
          <w:rFonts w:ascii="Book Antiqua" w:hAnsi="Book Antiqua" w:cs="Times New Roman"/>
          <w:kern w:val="24"/>
          <w:sz w:val="24"/>
          <w:szCs w:val="24"/>
        </w:rPr>
        <w:t>any of these</w:t>
      </w:r>
      <w:r w:rsidR="00295E51" w:rsidRPr="002910A5">
        <w:rPr>
          <w:rFonts w:ascii="Book Antiqua" w:hAnsi="Book Antiqua" w:cs="Times New Roman"/>
          <w:kern w:val="24"/>
          <w:sz w:val="24"/>
          <w:szCs w:val="24"/>
        </w:rPr>
        <w:t xml:space="preserve"> characteristics</w:t>
      </w:r>
      <w:r w:rsidR="003B3F89" w:rsidRPr="002910A5">
        <w:rPr>
          <w:rFonts w:ascii="Book Antiqua" w:hAnsi="Book Antiqua" w:cs="Times New Roman"/>
          <w:kern w:val="24"/>
          <w:sz w:val="24"/>
          <w:szCs w:val="24"/>
        </w:rPr>
        <w:t>, ex</w:t>
      </w:r>
      <w:r w:rsidR="002A0864" w:rsidRPr="002910A5">
        <w:rPr>
          <w:rFonts w:ascii="Book Antiqua" w:hAnsi="Book Antiqua" w:cs="Times New Roman"/>
          <w:kern w:val="24"/>
          <w:sz w:val="24"/>
          <w:szCs w:val="24"/>
        </w:rPr>
        <w:t>cept BMI</w:t>
      </w:r>
      <w:r w:rsidR="00295E51" w:rsidRPr="002910A5">
        <w:rPr>
          <w:rFonts w:ascii="Book Antiqua" w:hAnsi="Book Antiqua" w:cs="Times New Roman"/>
          <w:kern w:val="24"/>
          <w:sz w:val="24"/>
          <w:szCs w:val="24"/>
        </w:rPr>
        <w:t xml:space="preserve">. </w:t>
      </w:r>
      <w:r w:rsidR="00ED6087" w:rsidRPr="002910A5">
        <w:rPr>
          <w:rFonts w:ascii="Book Antiqua" w:hAnsi="Book Antiqua" w:cs="Times New Roman"/>
          <w:kern w:val="24"/>
          <w:sz w:val="24"/>
          <w:szCs w:val="24"/>
        </w:rPr>
        <w:t>T</w:t>
      </w:r>
      <w:r w:rsidR="00295E51" w:rsidRPr="002910A5">
        <w:rPr>
          <w:rFonts w:ascii="Book Antiqua" w:hAnsi="Book Antiqua" w:cs="Times New Roman"/>
          <w:kern w:val="24"/>
          <w:sz w:val="24"/>
          <w:szCs w:val="24"/>
        </w:rPr>
        <w:t xml:space="preserve">herapeutic outcomes </w:t>
      </w:r>
      <w:r w:rsidR="00AE542D" w:rsidRPr="002910A5">
        <w:rPr>
          <w:rFonts w:ascii="Book Antiqua" w:hAnsi="Book Antiqua" w:cs="Times New Roman"/>
          <w:kern w:val="24"/>
          <w:sz w:val="24"/>
          <w:szCs w:val="24"/>
        </w:rPr>
        <w:t>are compared among</w:t>
      </w:r>
      <w:r w:rsidR="00295E51" w:rsidRPr="002910A5">
        <w:rPr>
          <w:rFonts w:ascii="Book Antiqua" w:hAnsi="Book Antiqua" w:cs="Times New Roman"/>
          <w:kern w:val="24"/>
          <w:sz w:val="24"/>
          <w:szCs w:val="24"/>
        </w:rPr>
        <w:t xml:space="preserve"> patients </w:t>
      </w:r>
      <w:r w:rsidR="00AE542D" w:rsidRPr="002910A5">
        <w:rPr>
          <w:rFonts w:ascii="Book Antiqua" w:hAnsi="Book Antiqua" w:cs="Times New Roman"/>
          <w:kern w:val="24"/>
          <w:sz w:val="24"/>
          <w:szCs w:val="24"/>
        </w:rPr>
        <w:t>receiving</w:t>
      </w:r>
      <w:r w:rsidR="00295E51" w:rsidRPr="002910A5">
        <w:rPr>
          <w:rFonts w:ascii="Book Antiqua" w:hAnsi="Book Antiqua" w:cs="Times New Roman"/>
          <w:kern w:val="24"/>
          <w:sz w:val="24"/>
          <w:szCs w:val="24"/>
        </w:rPr>
        <w:t xml:space="preserve"> single-LDA </w:t>
      </w:r>
      <w:r w:rsidR="00AE542D" w:rsidRPr="002910A5">
        <w:rPr>
          <w:rFonts w:ascii="Book Antiqua" w:hAnsi="Book Antiqua" w:cs="Times New Roman"/>
          <w:kern w:val="24"/>
          <w:sz w:val="24"/>
          <w:szCs w:val="24"/>
        </w:rPr>
        <w:t>in</w:t>
      </w:r>
      <w:r w:rsidR="00326B21" w:rsidRPr="002910A5">
        <w:rPr>
          <w:rFonts w:ascii="Book Antiqua" w:hAnsi="Book Antiqua" w:cs="Times New Roman"/>
          <w:kern w:val="24"/>
          <w:sz w:val="24"/>
          <w:szCs w:val="24"/>
        </w:rPr>
        <w:t xml:space="preserve"> the continuous LDA</w:t>
      </w:r>
      <w:r w:rsidR="00295E51" w:rsidRPr="002910A5">
        <w:rPr>
          <w:rFonts w:ascii="Book Antiqua" w:hAnsi="Book Antiqua" w:cs="Times New Roman"/>
          <w:kern w:val="24"/>
          <w:sz w:val="24"/>
          <w:szCs w:val="24"/>
        </w:rPr>
        <w:t xml:space="preserve"> </w:t>
      </w:r>
      <w:r w:rsidR="00F641EB" w:rsidRPr="002910A5">
        <w:rPr>
          <w:rFonts w:ascii="Book Antiqua" w:hAnsi="Book Antiqua" w:cs="Times New Roman"/>
          <w:kern w:val="24"/>
          <w:sz w:val="24"/>
          <w:szCs w:val="24"/>
        </w:rPr>
        <w:t xml:space="preserve">group </w:t>
      </w:r>
      <w:r w:rsidR="00295E51" w:rsidRPr="002910A5">
        <w:rPr>
          <w:rFonts w:ascii="Book Antiqua" w:hAnsi="Book Antiqua" w:cs="Times New Roman"/>
          <w:kern w:val="24"/>
          <w:sz w:val="24"/>
          <w:szCs w:val="24"/>
        </w:rPr>
        <w:t>and the d</w:t>
      </w:r>
      <w:r w:rsidR="00F641EB" w:rsidRPr="002910A5">
        <w:rPr>
          <w:rFonts w:ascii="Book Antiqua" w:hAnsi="Book Antiqua" w:cs="Times New Roman"/>
          <w:kern w:val="24"/>
          <w:sz w:val="24"/>
          <w:szCs w:val="24"/>
        </w:rPr>
        <w:t>iscontinuous LDA group</w:t>
      </w:r>
      <w:r w:rsidR="00326B21" w:rsidRPr="002910A5">
        <w:rPr>
          <w:rFonts w:ascii="Book Antiqua" w:hAnsi="Book Antiqua" w:cs="Times New Roman"/>
          <w:kern w:val="24"/>
          <w:sz w:val="24"/>
          <w:szCs w:val="24"/>
        </w:rPr>
        <w:t xml:space="preserve"> in</w:t>
      </w:r>
      <w:r w:rsidR="00295E51" w:rsidRPr="002910A5">
        <w:rPr>
          <w:rFonts w:ascii="Book Antiqua" w:hAnsi="Book Antiqua" w:cs="Times New Roman"/>
          <w:kern w:val="24"/>
          <w:sz w:val="24"/>
          <w:szCs w:val="24"/>
        </w:rPr>
        <w:t xml:space="preserve"> Table 5. </w:t>
      </w:r>
      <w:r w:rsidR="00D06A05" w:rsidRPr="002910A5">
        <w:rPr>
          <w:rFonts w:ascii="Book Antiqua" w:hAnsi="Book Antiqua" w:cs="Times New Roman"/>
          <w:kern w:val="24"/>
          <w:sz w:val="24"/>
          <w:szCs w:val="24"/>
        </w:rPr>
        <w:t>T</w:t>
      </w:r>
      <w:r w:rsidR="00295E51" w:rsidRPr="002910A5">
        <w:rPr>
          <w:rFonts w:ascii="Book Antiqua" w:hAnsi="Book Antiqua" w:cs="Times New Roman"/>
          <w:kern w:val="24"/>
          <w:sz w:val="24"/>
          <w:szCs w:val="24"/>
        </w:rPr>
        <w:t>he postoperative bleeding rate in</w:t>
      </w:r>
      <w:r w:rsidR="00F641EB" w:rsidRPr="002910A5">
        <w:rPr>
          <w:rFonts w:ascii="Book Antiqua" w:hAnsi="Book Antiqua" w:cs="Times New Roman"/>
          <w:kern w:val="24"/>
          <w:sz w:val="24"/>
          <w:szCs w:val="24"/>
        </w:rPr>
        <w:t xml:space="preserve"> the continuous LDA group (10.7</w:t>
      </w:r>
      <w:r w:rsidR="00295E51" w:rsidRPr="002910A5">
        <w:rPr>
          <w:rFonts w:ascii="Book Antiqua" w:hAnsi="Book Antiqua" w:cs="Times New Roman"/>
          <w:kern w:val="24"/>
          <w:sz w:val="24"/>
          <w:szCs w:val="24"/>
        </w:rPr>
        <w:t>%) was</w:t>
      </w:r>
      <w:r w:rsidR="00F641EB" w:rsidRPr="002910A5">
        <w:rPr>
          <w:rFonts w:ascii="Book Antiqua" w:hAnsi="Book Antiqua" w:cs="Times New Roman"/>
          <w:kern w:val="24"/>
          <w:sz w:val="24"/>
          <w:szCs w:val="24"/>
        </w:rPr>
        <w:t xml:space="preserve"> numerically</w:t>
      </w:r>
      <w:r w:rsidR="00295E51" w:rsidRPr="002910A5">
        <w:rPr>
          <w:rFonts w:ascii="Book Antiqua" w:hAnsi="Book Antiqua" w:cs="Times New Roman"/>
          <w:kern w:val="24"/>
          <w:sz w:val="24"/>
          <w:szCs w:val="24"/>
        </w:rPr>
        <w:t xml:space="preserve"> higher than that in t</w:t>
      </w:r>
      <w:r w:rsidR="00F641EB" w:rsidRPr="002910A5">
        <w:rPr>
          <w:rFonts w:ascii="Book Antiqua" w:hAnsi="Book Antiqua" w:cs="Times New Roman"/>
          <w:kern w:val="24"/>
          <w:sz w:val="24"/>
          <w:szCs w:val="24"/>
        </w:rPr>
        <w:t>he discontinuous LDA group (</w:t>
      </w:r>
      <w:r w:rsidR="008D3E2F" w:rsidRPr="002910A5">
        <w:rPr>
          <w:rFonts w:ascii="Book Antiqua" w:hAnsi="Book Antiqua" w:cs="Times New Roman"/>
          <w:kern w:val="24"/>
          <w:sz w:val="24"/>
          <w:szCs w:val="24"/>
        </w:rPr>
        <w:t>10.3</w:t>
      </w:r>
      <w:r w:rsidR="00295E51" w:rsidRPr="002910A5">
        <w:rPr>
          <w:rFonts w:ascii="Book Antiqua" w:hAnsi="Book Antiqua" w:cs="Times New Roman"/>
          <w:kern w:val="24"/>
          <w:sz w:val="24"/>
          <w:szCs w:val="24"/>
        </w:rPr>
        <w:t xml:space="preserve">%), </w:t>
      </w:r>
      <w:r w:rsidR="00D06A05" w:rsidRPr="002910A5">
        <w:rPr>
          <w:rFonts w:ascii="Book Antiqua" w:hAnsi="Book Antiqua" w:cs="Times New Roman"/>
          <w:kern w:val="24"/>
          <w:sz w:val="24"/>
          <w:szCs w:val="24"/>
        </w:rPr>
        <w:t xml:space="preserve">although </w:t>
      </w:r>
      <w:r w:rsidR="00295E51" w:rsidRPr="002910A5">
        <w:rPr>
          <w:rFonts w:ascii="Book Antiqua" w:hAnsi="Book Antiqua" w:cs="Times New Roman"/>
          <w:kern w:val="24"/>
          <w:sz w:val="24"/>
          <w:szCs w:val="24"/>
        </w:rPr>
        <w:t>no significant difference was observed (</w:t>
      </w:r>
      <w:r w:rsidR="00295E51" w:rsidRPr="002910A5">
        <w:rPr>
          <w:rFonts w:ascii="Book Antiqua" w:hAnsi="Book Antiqua" w:cs="Times New Roman"/>
          <w:i/>
          <w:kern w:val="24"/>
          <w:sz w:val="24"/>
          <w:szCs w:val="24"/>
        </w:rPr>
        <w:t>P</w:t>
      </w:r>
      <w:r w:rsidR="006841DC" w:rsidRPr="002910A5">
        <w:rPr>
          <w:rFonts w:ascii="Book Antiqua" w:hAnsi="Book Antiqua" w:cs="Times New Roman"/>
          <w:kern w:val="24"/>
          <w:sz w:val="24"/>
          <w:szCs w:val="24"/>
        </w:rPr>
        <w:t xml:space="preserve"> </w:t>
      </w:r>
      <w:r w:rsidR="006841DC" w:rsidRPr="002910A5">
        <w:rPr>
          <w:rFonts w:ascii="Book Antiqua" w:eastAsia="MS PGothic" w:hAnsi="Book Antiqua" w:cs="Times New Roman"/>
          <w:kern w:val="0"/>
          <w:sz w:val="24"/>
          <w:szCs w:val="24"/>
        </w:rPr>
        <w:t>&gt; 0.99</w:t>
      </w:r>
      <w:r w:rsidR="00295E51" w:rsidRPr="002910A5">
        <w:rPr>
          <w:rFonts w:ascii="Book Antiqua" w:hAnsi="Book Antiqua" w:cs="Times New Roman"/>
          <w:kern w:val="24"/>
          <w:sz w:val="24"/>
          <w:szCs w:val="24"/>
        </w:rPr>
        <w:t>).</w:t>
      </w:r>
    </w:p>
    <w:p w14:paraId="556C29F0" w14:textId="3714B660" w:rsidR="00593E3D" w:rsidRPr="002910A5" w:rsidRDefault="009E3245" w:rsidP="009E3245">
      <w:pPr>
        <w:adjustRightInd w:val="0"/>
        <w:snapToGrid w:val="0"/>
        <w:spacing w:line="360" w:lineRule="auto"/>
        <w:rPr>
          <w:rFonts w:ascii="Book Antiqua" w:eastAsia="MS PGothic" w:hAnsi="Book Antiqua" w:cs="Times New Roman"/>
          <w:kern w:val="0"/>
          <w:sz w:val="24"/>
          <w:szCs w:val="24"/>
          <w:lang w:eastAsia="zh-CN"/>
        </w:rPr>
      </w:pPr>
      <w:r>
        <w:rPr>
          <w:rFonts w:ascii="Book Antiqua" w:eastAsia="MS PGothic" w:hAnsi="Book Antiqua" w:cs="Times New Roman"/>
          <w:kern w:val="0"/>
          <w:sz w:val="24"/>
          <w:szCs w:val="24"/>
        </w:rPr>
        <w:t xml:space="preserve">  </w:t>
      </w:r>
      <w:r w:rsidR="00E53198" w:rsidRPr="002910A5">
        <w:rPr>
          <w:rFonts w:ascii="Book Antiqua" w:eastAsia="MS PGothic" w:hAnsi="Book Antiqua" w:cs="Times New Roman"/>
          <w:kern w:val="0"/>
          <w:sz w:val="24"/>
          <w:szCs w:val="24"/>
        </w:rPr>
        <w:t xml:space="preserve">Characteristics </w:t>
      </w:r>
      <w:r w:rsidR="00F641EB" w:rsidRPr="002910A5">
        <w:rPr>
          <w:rFonts w:ascii="Book Antiqua" w:eastAsia="MS PGothic" w:hAnsi="Book Antiqua" w:cs="Times New Roman"/>
          <w:kern w:val="0"/>
          <w:sz w:val="24"/>
          <w:szCs w:val="24"/>
        </w:rPr>
        <w:t>are compared among patients receiving</w:t>
      </w:r>
      <w:r w:rsidR="00E53198" w:rsidRPr="002910A5">
        <w:rPr>
          <w:rFonts w:ascii="Book Antiqua" w:eastAsia="MS PGothic" w:hAnsi="Book Antiqua" w:cs="Times New Roman"/>
          <w:kern w:val="0"/>
          <w:sz w:val="24"/>
          <w:szCs w:val="24"/>
        </w:rPr>
        <w:t xml:space="preserve"> DAPT </w:t>
      </w:r>
      <w:r w:rsidR="00F641EB" w:rsidRPr="002910A5">
        <w:rPr>
          <w:rFonts w:ascii="Book Antiqua" w:eastAsia="MS PGothic" w:hAnsi="Book Antiqua" w:cs="Times New Roman"/>
          <w:kern w:val="0"/>
          <w:sz w:val="24"/>
          <w:szCs w:val="24"/>
        </w:rPr>
        <w:t>in</w:t>
      </w:r>
      <w:r w:rsidR="00D06A05" w:rsidRPr="002910A5">
        <w:rPr>
          <w:rFonts w:ascii="Book Antiqua" w:eastAsia="MS PGothic" w:hAnsi="Book Antiqua" w:cs="Times New Roman"/>
          <w:kern w:val="0"/>
          <w:sz w:val="24"/>
          <w:szCs w:val="24"/>
        </w:rPr>
        <w:t xml:space="preserve"> the continuous LDA</w:t>
      </w:r>
      <w:r w:rsidR="00F641EB" w:rsidRPr="002910A5">
        <w:rPr>
          <w:rFonts w:ascii="Book Antiqua" w:eastAsia="MS PGothic" w:hAnsi="Book Antiqua" w:cs="Times New Roman"/>
          <w:kern w:val="0"/>
          <w:sz w:val="24"/>
          <w:szCs w:val="24"/>
        </w:rPr>
        <w:t xml:space="preserve"> group</w:t>
      </w:r>
      <w:r w:rsidR="00E53198" w:rsidRPr="002910A5">
        <w:rPr>
          <w:rFonts w:ascii="Book Antiqua" w:eastAsia="MS PGothic" w:hAnsi="Book Antiqua" w:cs="Times New Roman"/>
          <w:kern w:val="0"/>
          <w:sz w:val="24"/>
          <w:szCs w:val="24"/>
        </w:rPr>
        <w:t xml:space="preserve"> and the discontinuous</w:t>
      </w:r>
      <w:r w:rsidR="00ED6087" w:rsidRPr="002910A5">
        <w:rPr>
          <w:rFonts w:ascii="Book Antiqua" w:eastAsia="MS PGothic" w:hAnsi="Book Antiqua" w:cs="Times New Roman"/>
          <w:kern w:val="0"/>
          <w:sz w:val="24"/>
          <w:szCs w:val="24"/>
        </w:rPr>
        <w:t xml:space="preserve"> LDA</w:t>
      </w:r>
      <w:r w:rsidR="00E53198" w:rsidRPr="002910A5">
        <w:rPr>
          <w:rFonts w:ascii="Book Antiqua" w:eastAsia="MS PGothic" w:hAnsi="Book Antiqua" w:cs="Times New Roman"/>
          <w:kern w:val="0"/>
          <w:sz w:val="24"/>
          <w:szCs w:val="24"/>
        </w:rPr>
        <w:t xml:space="preserve"> group in Table 6. </w:t>
      </w:r>
      <w:r w:rsidR="00E53198" w:rsidRPr="002910A5">
        <w:rPr>
          <w:rFonts w:ascii="Book Antiqua" w:eastAsia="MS PMincho" w:hAnsi="Book Antiqua" w:cs="Times New Roman"/>
          <w:sz w:val="24"/>
          <w:szCs w:val="24"/>
        </w:rPr>
        <w:t>There were no s</w:t>
      </w:r>
      <w:r w:rsidR="00E53198" w:rsidRPr="002910A5">
        <w:rPr>
          <w:rFonts w:ascii="Book Antiqua" w:hAnsi="Book Antiqua" w:cs="Times New Roman"/>
          <w:kern w:val="24"/>
          <w:sz w:val="24"/>
          <w:szCs w:val="24"/>
        </w:rPr>
        <w:t>ignific</w:t>
      </w:r>
      <w:r w:rsidR="00F641EB" w:rsidRPr="002910A5">
        <w:rPr>
          <w:rFonts w:ascii="Book Antiqua" w:hAnsi="Book Antiqua" w:cs="Times New Roman"/>
          <w:kern w:val="24"/>
          <w:sz w:val="24"/>
          <w:szCs w:val="24"/>
        </w:rPr>
        <w:t xml:space="preserve">ant differences between </w:t>
      </w:r>
      <w:r w:rsidR="00E53198" w:rsidRPr="002910A5">
        <w:rPr>
          <w:rFonts w:ascii="Book Antiqua" w:hAnsi="Book Antiqua" w:cs="Times New Roman"/>
          <w:kern w:val="24"/>
          <w:sz w:val="24"/>
          <w:szCs w:val="24"/>
        </w:rPr>
        <w:t xml:space="preserve">groups in </w:t>
      </w:r>
      <w:r w:rsidR="00F641EB" w:rsidRPr="002910A5">
        <w:rPr>
          <w:rFonts w:ascii="Book Antiqua" w:hAnsi="Book Antiqua" w:cs="Times New Roman"/>
          <w:kern w:val="24"/>
          <w:sz w:val="24"/>
          <w:szCs w:val="24"/>
        </w:rPr>
        <w:t>any of these</w:t>
      </w:r>
      <w:r w:rsidR="00E53198" w:rsidRPr="002910A5">
        <w:rPr>
          <w:rFonts w:ascii="Book Antiqua" w:hAnsi="Book Antiqua" w:cs="Times New Roman"/>
          <w:kern w:val="24"/>
          <w:sz w:val="24"/>
          <w:szCs w:val="24"/>
        </w:rPr>
        <w:t xml:space="preserve"> characteristics. </w:t>
      </w:r>
      <w:r w:rsidR="00F641EB" w:rsidRPr="002910A5">
        <w:rPr>
          <w:rFonts w:ascii="Book Antiqua" w:hAnsi="Book Antiqua" w:cs="Times New Roman"/>
          <w:kern w:val="24"/>
          <w:sz w:val="24"/>
          <w:szCs w:val="24"/>
        </w:rPr>
        <w:t>T</w:t>
      </w:r>
      <w:r w:rsidR="00E53198" w:rsidRPr="002910A5">
        <w:rPr>
          <w:rFonts w:ascii="Book Antiqua" w:hAnsi="Book Antiqua" w:cs="Times New Roman"/>
          <w:kern w:val="24"/>
          <w:sz w:val="24"/>
          <w:szCs w:val="24"/>
        </w:rPr>
        <w:t>herapeutic outcomes</w:t>
      </w:r>
      <w:r w:rsidR="00F641EB" w:rsidRPr="002910A5">
        <w:rPr>
          <w:rFonts w:ascii="Book Antiqua" w:hAnsi="Book Antiqua" w:cs="Times New Roman"/>
          <w:kern w:val="24"/>
          <w:sz w:val="24"/>
          <w:szCs w:val="24"/>
        </w:rPr>
        <w:t xml:space="preserve"> are compared among patients receiving</w:t>
      </w:r>
      <w:r w:rsidR="00E53198" w:rsidRPr="002910A5">
        <w:rPr>
          <w:rFonts w:ascii="Book Antiqua" w:hAnsi="Book Antiqua" w:cs="Times New Roman"/>
          <w:kern w:val="24"/>
          <w:sz w:val="24"/>
          <w:szCs w:val="24"/>
        </w:rPr>
        <w:t xml:space="preserve"> DAPT </w:t>
      </w:r>
      <w:r w:rsidR="00F641EB" w:rsidRPr="002910A5">
        <w:rPr>
          <w:rFonts w:ascii="Book Antiqua" w:hAnsi="Book Antiqua" w:cs="Times New Roman"/>
          <w:kern w:val="24"/>
          <w:sz w:val="24"/>
          <w:szCs w:val="24"/>
        </w:rPr>
        <w:t>in</w:t>
      </w:r>
      <w:r w:rsidR="00D06A05" w:rsidRPr="002910A5">
        <w:rPr>
          <w:rFonts w:ascii="Book Antiqua" w:hAnsi="Book Antiqua" w:cs="Times New Roman"/>
          <w:kern w:val="24"/>
          <w:sz w:val="24"/>
          <w:szCs w:val="24"/>
        </w:rPr>
        <w:t xml:space="preserve"> the continuous LDA</w:t>
      </w:r>
      <w:r w:rsidR="00E53198" w:rsidRPr="002910A5">
        <w:rPr>
          <w:rFonts w:ascii="Book Antiqua" w:hAnsi="Book Antiqua" w:cs="Times New Roman"/>
          <w:kern w:val="24"/>
          <w:sz w:val="24"/>
          <w:szCs w:val="24"/>
        </w:rPr>
        <w:t xml:space="preserve"> </w:t>
      </w:r>
      <w:r w:rsidR="00F641EB" w:rsidRPr="002910A5">
        <w:rPr>
          <w:rFonts w:ascii="Book Antiqua" w:hAnsi="Book Antiqua" w:cs="Times New Roman"/>
          <w:kern w:val="24"/>
          <w:sz w:val="24"/>
          <w:szCs w:val="24"/>
        </w:rPr>
        <w:t xml:space="preserve">group </w:t>
      </w:r>
      <w:r w:rsidR="00E53198" w:rsidRPr="002910A5">
        <w:rPr>
          <w:rFonts w:ascii="Book Antiqua" w:hAnsi="Book Antiqua" w:cs="Times New Roman"/>
          <w:kern w:val="24"/>
          <w:sz w:val="24"/>
          <w:szCs w:val="24"/>
        </w:rPr>
        <w:t>and the di</w:t>
      </w:r>
      <w:r w:rsidR="00F641EB" w:rsidRPr="002910A5">
        <w:rPr>
          <w:rFonts w:ascii="Book Antiqua" w:hAnsi="Book Antiqua" w:cs="Times New Roman"/>
          <w:kern w:val="24"/>
          <w:sz w:val="24"/>
          <w:szCs w:val="24"/>
        </w:rPr>
        <w:t xml:space="preserve">scontinuous LDA group </w:t>
      </w:r>
      <w:r w:rsidR="00D06A05" w:rsidRPr="002910A5">
        <w:rPr>
          <w:rFonts w:ascii="Book Antiqua" w:hAnsi="Book Antiqua" w:cs="Times New Roman"/>
          <w:kern w:val="24"/>
          <w:sz w:val="24"/>
          <w:szCs w:val="24"/>
        </w:rPr>
        <w:t xml:space="preserve">in </w:t>
      </w:r>
      <w:r w:rsidR="00E53198" w:rsidRPr="002910A5">
        <w:rPr>
          <w:rFonts w:ascii="Book Antiqua" w:hAnsi="Book Antiqua" w:cs="Times New Roman"/>
          <w:kern w:val="24"/>
          <w:sz w:val="24"/>
          <w:szCs w:val="24"/>
        </w:rPr>
        <w:t xml:space="preserve">Table 7. </w:t>
      </w:r>
      <w:r w:rsidR="00D06A05" w:rsidRPr="002910A5">
        <w:rPr>
          <w:rFonts w:ascii="Book Antiqua" w:hAnsi="Book Antiqua" w:cs="Times New Roman"/>
          <w:kern w:val="24"/>
          <w:sz w:val="24"/>
          <w:szCs w:val="24"/>
        </w:rPr>
        <w:t>T</w:t>
      </w:r>
      <w:r w:rsidR="00E53198" w:rsidRPr="002910A5">
        <w:rPr>
          <w:rFonts w:ascii="Book Antiqua" w:hAnsi="Book Antiqua" w:cs="Times New Roman"/>
          <w:kern w:val="24"/>
          <w:sz w:val="24"/>
          <w:szCs w:val="24"/>
        </w:rPr>
        <w:t xml:space="preserve">he postoperative bleeding rate in </w:t>
      </w:r>
      <w:r w:rsidR="00F641EB" w:rsidRPr="002910A5">
        <w:rPr>
          <w:rFonts w:ascii="Book Antiqua" w:hAnsi="Book Antiqua" w:cs="Times New Roman"/>
          <w:kern w:val="24"/>
          <w:sz w:val="24"/>
          <w:szCs w:val="24"/>
        </w:rPr>
        <w:t>the continuous LDA group (23.1</w:t>
      </w:r>
      <w:r w:rsidR="000372AA" w:rsidRPr="002910A5">
        <w:rPr>
          <w:rFonts w:ascii="Book Antiqua" w:hAnsi="Book Antiqua" w:cs="Times New Roman"/>
          <w:kern w:val="24"/>
          <w:sz w:val="24"/>
          <w:szCs w:val="24"/>
        </w:rPr>
        <w:t>%</w:t>
      </w:r>
      <w:r w:rsidR="00E53198" w:rsidRPr="002910A5">
        <w:rPr>
          <w:rFonts w:ascii="Book Antiqua" w:hAnsi="Book Antiqua" w:cs="Times New Roman"/>
          <w:kern w:val="24"/>
          <w:sz w:val="24"/>
          <w:szCs w:val="24"/>
        </w:rPr>
        <w:t>) was</w:t>
      </w:r>
      <w:r w:rsidR="00F641EB" w:rsidRPr="002910A5">
        <w:rPr>
          <w:rFonts w:ascii="Book Antiqua" w:hAnsi="Book Antiqua" w:cs="Times New Roman"/>
          <w:kern w:val="24"/>
          <w:sz w:val="24"/>
          <w:szCs w:val="24"/>
        </w:rPr>
        <w:t xml:space="preserve"> numerically</w:t>
      </w:r>
      <w:r w:rsidR="00E53198" w:rsidRPr="002910A5">
        <w:rPr>
          <w:rFonts w:ascii="Book Antiqua" w:hAnsi="Book Antiqua" w:cs="Times New Roman"/>
          <w:kern w:val="24"/>
          <w:sz w:val="24"/>
          <w:szCs w:val="24"/>
        </w:rPr>
        <w:t xml:space="preserve"> higher than that in </w:t>
      </w:r>
      <w:r w:rsidR="000372AA" w:rsidRPr="002910A5">
        <w:rPr>
          <w:rFonts w:ascii="Book Antiqua" w:hAnsi="Book Antiqua" w:cs="Times New Roman"/>
          <w:kern w:val="24"/>
          <w:sz w:val="24"/>
          <w:szCs w:val="24"/>
        </w:rPr>
        <w:t>the discontinuous LDA group (5.0</w:t>
      </w:r>
      <w:r w:rsidR="00E53198" w:rsidRPr="002910A5">
        <w:rPr>
          <w:rFonts w:ascii="Book Antiqua" w:hAnsi="Book Antiqua" w:cs="Times New Roman"/>
          <w:kern w:val="24"/>
          <w:sz w:val="24"/>
          <w:szCs w:val="24"/>
        </w:rPr>
        <w:t xml:space="preserve">%), </w:t>
      </w:r>
      <w:r w:rsidR="00D06A05" w:rsidRPr="002910A5">
        <w:rPr>
          <w:rFonts w:ascii="Book Antiqua" w:hAnsi="Book Antiqua" w:cs="Times New Roman"/>
          <w:kern w:val="24"/>
          <w:sz w:val="24"/>
          <w:szCs w:val="24"/>
        </w:rPr>
        <w:t xml:space="preserve">although </w:t>
      </w:r>
      <w:r w:rsidR="00E53198" w:rsidRPr="002910A5">
        <w:rPr>
          <w:rFonts w:ascii="Book Antiqua" w:hAnsi="Book Antiqua" w:cs="Times New Roman"/>
          <w:kern w:val="24"/>
          <w:sz w:val="24"/>
          <w:szCs w:val="24"/>
        </w:rPr>
        <w:lastRenderedPageBreak/>
        <w:t>no significant difference was observed (</w:t>
      </w:r>
      <w:r w:rsidR="00E53198" w:rsidRPr="002910A5">
        <w:rPr>
          <w:rFonts w:ascii="Book Antiqua" w:hAnsi="Book Antiqua" w:cs="Times New Roman"/>
          <w:i/>
          <w:kern w:val="24"/>
          <w:sz w:val="24"/>
          <w:szCs w:val="24"/>
        </w:rPr>
        <w:t>P</w:t>
      </w:r>
      <w:r w:rsidR="00E53198" w:rsidRPr="002910A5">
        <w:rPr>
          <w:rFonts w:ascii="Book Antiqua" w:hAnsi="Book Antiqua" w:cs="Times New Roman"/>
          <w:kern w:val="24"/>
          <w:sz w:val="24"/>
          <w:szCs w:val="24"/>
        </w:rPr>
        <w:t xml:space="preserve"> </w:t>
      </w:r>
      <w:r w:rsidR="000372AA" w:rsidRPr="002910A5">
        <w:rPr>
          <w:rFonts w:ascii="Book Antiqua" w:eastAsia="MS PGothic" w:hAnsi="Book Antiqua" w:cs="Times New Roman"/>
          <w:kern w:val="0"/>
          <w:sz w:val="24"/>
          <w:szCs w:val="24"/>
        </w:rPr>
        <w:t>= 0.141</w:t>
      </w:r>
      <w:r w:rsidR="00E53198" w:rsidRPr="002910A5">
        <w:rPr>
          <w:rFonts w:ascii="Book Antiqua" w:hAnsi="Book Antiqua" w:cs="Times New Roman"/>
          <w:kern w:val="24"/>
          <w:sz w:val="24"/>
          <w:szCs w:val="24"/>
        </w:rPr>
        <w:t>).</w:t>
      </w:r>
    </w:p>
    <w:p w14:paraId="556C29F1" w14:textId="77777777" w:rsidR="00123D40" w:rsidRPr="002910A5" w:rsidRDefault="00123D40" w:rsidP="002910A5">
      <w:pPr>
        <w:adjustRightInd w:val="0"/>
        <w:snapToGrid w:val="0"/>
        <w:spacing w:line="360" w:lineRule="auto"/>
        <w:rPr>
          <w:rFonts w:ascii="Book Antiqua" w:hAnsi="Book Antiqua" w:cs="Times New Roman"/>
          <w:b/>
          <w:sz w:val="24"/>
          <w:szCs w:val="24"/>
        </w:rPr>
      </w:pPr>
    </w:p>
    <w:p w14:paraId="556C29F2" w14:textId="77777777" w:rsidR="00CC3198" w:rsidRPr="002910A5" w:rsidRDefault="009B11F9"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t>DISCUSSION</w:t>
      </w:r>
    </w:p>
    <w:p w14:paraId="556C29F3" w14:textId="05A655C0" w:rsidR="00123D40" w:rsidRPr="002910A5" w:rsidRDefault="009C4A4B"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Treatment of p</w:t>
      </w:r>
      <w:r w:rsidR="006B3439" w:rsidRPr="002910A5">
        <w:rPr>
          <w:rFonts w:ascii="Book Antiqua" w:hAnsi="Book Antiqua" w:cs="Times New Roman"/>
          <w:sz w:val="24"/>
          <w:szCs w:val="24"/>
        </w:rPr>
        <w:t>atients with antithrombotic agents</w:t>
      </w:r>
      <w:r w:rsidRPr="002910A5">
        <w:rPr>
          <w:rFonts w:ascii="Book Antiqua" w:hAnsi="Book Antiqua" w:cs="Times New Roman"/>
          <w:sz w:val="24"/>
          <w:szCs w:val="24"/>
        </w:rPr>
        <w:t xml:space="preserve"> is common</w:t>
      </w:r>
      <w:r w:rsidR="006B3439" w:rsidRPr="002910A5">
        <w:rPr>
          <w:rFonts w:ascii="Book Antiqua" w:hAnsi="Book Antiqua" w:cs="Times New Roman"/>
          <w:sz w:val="24"/>
          <w:szCs w:val="24"/>
        </w:rPr>
        <w:t xml:space="preserve"> because of </w:t>
      </w:r>
      <w:r w:rsidRPr="002910A5">
        <w:rPr>
          <w:rFonts w:ascii="Book Antiqua" w:hAnsi="Book Antiqua" w:cs="Times New Roman"/>
          <w:sz w:val="24"/>
          <w:szCs w:val="24"/>
        </w:rPr>
        <w:t>the increasing</w:t>
      </w:r>
      <w:r w:rsidR="00801E12" w:rsidRPr="002910A5">
        <w:rPr>
          <w:rFonts w:ascii="Book Antiqua" w:hAnsi="Book Antiqua" w:cs="Times New Roman"/>
          <w:sz w:val="24"/>
          <w:szCs w:val="24"/>
        </w:rPr>
        <w:t xml:space="preserve"> </w:t>
      </w:r>
      <w:r w:rsidRPr="002910A5">
        <w:rPr>
          <w:rFonts w:ascii="Book Antiqua" w:hAnsi="Book Antiqua" w:cs="Times New Roman"/>
          <w:sz w:val="24"/>
          <w:szCs w:val="24"/>
        </w:rPr>
        <w:t xml:space="preserve">numbers </w:t>
      </w:r>
      <w:r w:rsidR="00801E12" w:rsidRPr="002910A5">
        <w:rPr>
          <w:rFonts w:ascii="Book Antiqua" w:hAnsi="Book Antiqua" w:cs="Times New Roman"/>
          <w:sz w:val="24"/>
          <w:szCs w:val="24"/>
        </w:rPr>
        <w:t xml:space="preserve">of elderly patients </w:t>
      </w:r>
      <w:r w:rsidR="006B3439" w:rsidRPr="002910A5">
        <w:rPr>
          <w:rFonts w:ascii="Book Antiqua" w:hAnsi="Book Antiqua" w:cs="Times New Roman"/>
          <w:sz w:val="24"/>
          <w:szCs w:val="24"/>
        </w:rPr>
        <w:t xml:space="preserve">and </w:t>
      </w:r>
      <w:r w:rsidR="00F66786" w:rsidRPr="002910A5">
        <w:rPr>
          <w:rFonts w:ascii="Book Antiqua" w:hAnsi="Book Antiqua" w:cs="Times New Roman"/>
          <w:sz w:val="24"/>
          <w:szCs w:val="24"/>
        </w:rPr>
        <w:t>the</w:t>
      </w:r>
      <w:r w:rsidR="00801E12" w:rsidRPr="002910A5">
        <w:rPr>
          <w:rFonts w:ascii="Book Antiqua" w:hAnsi="Book Antiqua" w:cs="Times New Roman"/>
          <w:sz w:val="24"/>
          <w:szCs w:val="24"/>
        </w:rPr>
        <w:t xml:space="preserve"> consequent</w:t>
      </w:r>
      <w:r w:rsidR="00F66786" w:rsidRPr="002910A5">
        <w:rPr>
          <w:rFonts w:ascii="Book Antiqua" w:hAnsi="Book Antiqua" w:cs="Times New Roman"/>
          <w:sz w:val="24"/>
          <w:szCs w:val="24"/>
        </w:rPr>
        <w:t xml:space="preserve"> increase</w:t>
      </w:r>
      <w:r w:rsidR="00801E12" w:rsidRPr="002910A5">
        <w:rPr>
          <w:rFonts w:ascii="Book Antiqua" w:hAnsi="Book Antiqua" w:cs="Times New Roman"/>
          <w:sz w:val="24"/>
          <w:szCs w:val="24"/>
        </w:rPr>
        <w:t>s</w:t>
      </w:r>
      <w:r w:rsidR="00F66786" w:rsidRPr="002910A5">
        <w:rPr>
          <w:rFonts w:ascii="Book Antiqua" w:hAnsi="Book Antiqua" w:cs="Times New Roman"/>
          <w:sz w:val="24"/>
          <w:szCs w:val="24"/>
        </w:rPr>
        <w:t xml:space="preserve"> </w:t>
      </w:r>
      <w:r w:rsidRPr="002910A5">
        <w:rPr>
          <w:rFonts w:ascii="Book Antiqua" w:hAnsi="Book Antiqua" w:cs="Times New Roman"/>
          <w:sz w:val="24"/>
          <w:szCs w:val="24"/>
        </w:rPr>
        <w:t xml:space="preserve">in the incidence </w:t>
      </w:r>
      <w:r w:rsidR="00F66786" w:rsidRPr="002910A5">
        <w:rPr>
          <w:rFonts w:ascii="Book Antiqua" w:hAnsi="Book Antiqua" w:cs="Times New Roman"/>
          <w:sz w:val="24"/>
          <w:szCs w:val="24"/>
        </w:rPr>
        <w:t>of</w:t>
      </w:r>
      <w:r w:rsidR="006B3439" w:rsidRPr="002910A5">
        <w:rPr>
          <w:rFonts w:ascii="Book Antiqua" w:hAnsi="Book Antiqua" w:cs="Times New Roman"/>
          <w:sz w:val="24"/>
          <w:szCs w:val="24"/>
        </w:rPr>
        <w:t xml:space="preserve"> cardio</w:t>
      </w:r>
      <w:r w:rsidR="00801E12" w:rsidRPr="002910A5">
        <w:rPr>
          <w:rFonts w:ascii="Book Antiqua" w:hAnsi="Book Antiqua" w:cs="Times New Roman"/>
          <w:sz w:val="24"/>
          <w:szCs w:val="24"/>
        </w:rPr>
        <w:t xml:space="preserve">- and </w:t>
      </w:r>
      <w:proofErr w:type="spellStart"/>
      <w:r w:rsidR="00801E12" w:rsidRPr="002910A5">
        <w:rPr>
          <w:rFonts w:ascii="Book Antiqua" w:hAnsi="Book Antiqua" w:cs="Times New Roman"/>
          <w:sz w:val="24"/>
          <w:szCs w:val="24"/>
        </w:rPr>
        <w:t>cerebro</w:t>
      </w:r>
      <w:proofErr w:type="spellEnd"/>
      <w:r w:rsidR="00801E12" w:rsidRPr="002910A5">
        <w:rPr>
          <w:rFonts w:ascii="Book Antiqua" w:hAnsi="Book Antiqua" w:cs="Times New Roman"/>
          <w:sz w:val="24"/>
          <w:szCs w:val="24"/>
        </w:rPr>
        <w:t>-</w:t>
      </w:r>
      <w:r w:rsidR="006B3439" w:rsidRPr="002910A5">
        <w:rPr>
          <w:rFonts w:ascii="Book Antiqua" w:hAnsi="Book Antiqua" w:cs="Times New Roman"/>
          <w:sz w:val="24"/>
          <w:szCs w:val="24"/>
        </w:rPr>
        <w:t xml:space="preserve">vascular diseases. </w:t>
      </w:r>
      <w:r w:rsidRPr="002910A5">
        <w:rPr>
          <w:rFonts w:ascii="Book Antiqua" w:hAnsi="Book Antiqua" w:cs="Times New Roman"/>
          <w:sz w:val="24"/>
          <w:szCs w:val="24"/>
        </w:rPr>
        <w:t>W</w:t>
      </w:r>
      <w:r w:rsidR="006B3439" w:rsidRPr="002910A5">
        <w:rPr>
          <w:rFonts w:ascii="Book Antiqua" w:hAnsi="Book Antiqua" w:cs="Times New Roman"/>
          <w:sz w:val="24"/>
          <w:szCs w:val="24"/>
        </w:rPr>
        <w:t xml:space="preserve">e </w:t>
      </w:r>
      <w:r w:rsidR="00801E12" w:rsidRPr="002910A5">
        <w:rPr>
          <w:rFonts w:ascii="Book Antiqua" w:hAnsi="Book Antiqua" w:cs="Times New Roman"/>
          <w:sz w:val="24"/>
          <w:szCs w:val="24"/>
        </w:rPr>
        <w:t>have evaluated the influence</w:t>
      </w:r>
      <w:r w:rsidRPr="002910A5">
        <w:rPr>
          <w:rFonts w:ascii="Book Antiqua" w:hAnsi="Book Antiqua" w:cs="Times New Roman"/>
          <w:sz w:val="24"/>
          <w:szCs w:val="24"/>
        </w:rPr>
        <w:t xml:space="preserve"> of anticoagulant therapy</w:t>
      </w:r>
      <w:r w:rsidR="00801E12" w:rsidRPr="002910A5">
        <w:rPr>
          <w:rFonts w:ascii="Book Antiqua" w:hAnsi="Book Antiqua" w:cs="Times New Roman"/>
          <w:sz w:val="24"/>
          <w:szCs w:val="24"/>
        </w:rPr>
        <w:t xml:space="preserve"> on g</w:t>
      </w:r>
      <w:r w:rsidR="006B3439" w:rsidRPr="002910A5">
        <w:rPr>
          <w:rFonts w:ascii="Book Antiqua" w:hAnsi="Book Antiqua" w:cs="Times New Roman"/>
          <w:sz w:val="24"/>
          <w:szCs w:val="24"/>
        </w:rPr>
        <w:t xml:space="preserve">astric ESD </w:t>
      </w:r>
      <w:r w:rsidRPr="002910A5">
        <w:rPr>
          <w:rFonts w:ascii="Book Antiqua" w:hAnsi="Book Antiqua" w:cs="Times New Roman"/>
          <w:sz w:val="24"/>
          <w:szCs w:val="24"/>
        </w:rPr>
        <w:t xml:space="preserve">in patients treated with </w:t>
      </w:r>
      <w:r w:rsidR="006B3439" w:rsidRPr="002910A5">
        <w:rPr>
          <w:rFonts w:ascii="Book Antiqua" w:hAnsi="Book Antiqua" w:cs="Times New Roman"/>
          <w:sz w:val="24"/>
          <w:szCs w:val="24"/>
        </w:rPr>
        <w:t>continuous low-dose warfarin</w:t>
      </w:r>
      <w:r w:rsidR="00801E12" w:rsidRPr="002910A5">
        <w:rPr>
          <w:rFonts w:ascii="Book Antiqua" w:hAnsi="Book Antiqua" w:cs="Times New Roman"/>
          <w:sz w:val="24"/>
          <w:szCs w:val="24"/>
        </w:rPr>
        <w:t xml:space="preserve">, and </w:t>
      </w:r>
      <w:r w:rsidRPr="002910A5">
        <w:rPr>
          <w:rFonts w:ascii="Book Antiqua" w:hAnsi="Book Antiqua" w:cs="Times New Roman"/>
          <w:sz w:val="24"/>
          <w:szCs w:val="24"/>
        </w:rPr>
        <w:t xml:space="preserve">we </w:t>
      </w:r>
      <w:r w:rsidR="00801E12" w:rsidRPr="002910A5">
        <w:rPr>
          <w:rFonts w:ascii="Book Antiqua" w:hAnsi="Book Antiqua" w:cs="Times New Roman"/>
          <w:sz w:val="24"/>
          <w:szCs w:val="24"/>
        </w:rPr>
        <w:t>reported</w:t>
      </w:r>
      <w:r w:rsidR="00F66786" w:rsidRPr="002910A5">
        <w:rPr>
          <w:rFonts w:ascii="Book Antiqua" w:hAnsi="Book Antiqua" w:cs="Times New Roman"/>
          <w:sz w:val="24"/>
          <w:szCs w:val="24"/>
        </w:rPr>
        <w:t xml:space="preserve"> that the postoperative bleeding rate with continu</w:t>
      </w:r>
      <w:r w:rsidRPr="002910A5">
        <w:rPr>
          <w:rFonts w:ascii="Book Antiqua" w:hAnsi="Book Antiqua" w:cs="Times New Roman"/>
          <w:sz w:val="24"/>
          <w:szCs w:val="24"/>
        </w:rPr>
        <w:t>ous low-dose warfarin was</w:t>
      </w:r>
      <w:r w:rsidR="00F66786" w:rsidRPr="002910A5">
        <w:rPr>
          <w:rFonts w:ascii="Book Antiqua" w:hAnsi="Book Antiqua" w:cs="Times New Roman"/>
          <w:sz w:val="24"/>
          <w:szCs w:val="24"/>
        </w:rPr>
        <w:t xml:space="preserve"> lower than that with heparin bridge </w:t>
      </w:r>
      <w:proofErr w:type="gramStart"/>
      <w:r w:rsidR="00F66786" w:rsidRPr="002910A5">
        <w:rPr>
          <w:rFonts w:ascii="Book Antiqua" w:hAnsi="Book Antiqua" w:cs="Times New Roman"/>
          <w:sz w:val="24"/>
          <w:szCs w:val="24"/>
        </w:rPr>
        <w:t>therapy</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3</w:t>
      </w:r>
      <w:r w:rsidR="00AB47CD" w:rsidRPr="002910A5">
        <w:rPr>
          <w:rFonts w:ascii="Book Antiqua" w:hAnsi="Book Antiqua" w:cs="Times New Roman"/>
          <w:sz w:val="24"/>
          <w:szCs w:val="24"/>
          <w:vertAlign w:val="superscript"/>
        </w:rPr>
        <w:t>2</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FF64A0" w:rsidRPr="002910A5">
        <w:rPr>
          <w:rFonts w:ascii="Book Antiqua" w:hAnsi="Book Antiqua" w:cs="Times New Roman"/>
          <w:sz w:val="24"/>
          <w:szCs w:val="24"/>
        </w:rPr>
        <w:t>On the other hand</w:t>
      </w:r>
      <w:r w:rsidR="00123D40" w:rsidRPr="002910A5">
        <w:rPr>
          <w:rFonts w:ascii="Book Antiqua" w:hAnsi="Book Antiqua" w:cs="Times New Roman"/>
          <w:sz w:val="24"/>
          <w:szCs w:val="24"/>
        </w:rPr>
        <w:t>,</w:t>
      </w:r>
      <w:r w:rsidRPr="002910A5">
        <w:rPr>
          <w:rFonts w:ascii="Book Antiqua" w:hAnsi="Book Antiqua" w:cs="Times New Roman"/>
          <w:sz w:val="24"/>
          <w:szCs w:val="24"/>
        </w:rPr>
        <w:t xml:space="preserve"> with regard to</w:t>
      </w:r>
      <w:r w:rsidR="00FF64A0" w:rsidRPr="002910A5">
        <w:rPr>
          <w:rFonts w:ascii="Book Antiqua" w:hAnsi="Book Antiqua" w:cs="Times New Roman"/>
          <w:sz w:val="24"/>
          <w:szCs w:val="24"/>
        </w:rPr>
        <w:t xml:space="preserve"> APA,</w:t>
      </w:r>
      <w:r w:rsidRPr="002910A5">
        <w:rPr>
          <w:rFonts w:ascii="Book Antiqua" w:hAnsi="Book Antiqua" w:cs="Times New Roman"/>
          <w:sz w:val="24"/>
          <w:szCs w:val="24"/>
        </w:rPr>
        <w:t xml:space="preserve"> </w:t>
      </w:r>
      <w:r w:rsidR="00206648" w:rsidRPr="002910A5">
        <w:rPr>
          <w:rFonts w:ascii="Book Antiqua" w:hAnsi="Book Antiqua" w:cs="Times New Roman"/>
          <w:sz w:val="24"/>
          <w:szCs w:val="24"/>
        </w:rPr>
        <w:t>rates of postoperative bleeding</w:t>
      </w:r>
      <w:r w:rsidR="008843F9" w:rsidRPr="002910A5">
        <w:rPr>
          <w:rFonts w:ascii="Book Antiqua" w:hAnsi="Book Antiqua" w:cs="Times New Roman"/>
          <w:sz w:val="24"/>
          <w:szCs w:val="24"/>
        </w:rPr>
        <w:t xml:space="preserve"> after gastric ESD in patients</w:t>
      </w:r>
      <w:r w:rsidRPr="002910A5">
        <w:rPr>
          <w:rFonts w:ascii="Book Antiqua" w:hAnsi="Book Antiqua" w:cs="Times New Roman"/>
          <w:sz w:val="24"/>
          <w:szCs w:val="24"/>
        </w:rPr>
        <w:t xml:space="preserve"> receiving</w:t>
      </w:r>
      <w:r w:rsidR="00206648" w:rsidRPr="002910A5">
        <w:rPr>
          <w:rFonts w:ascii="Book Antiqua" w:hAnsi="Book Antiqua" w:cs="Times New Roman"/>
          <w:sz w:val="24"/>
          <w:szCs w:val="24"/>
        </w:rPr>
        <w:t xml:space="preserve"> continuous LDA have been reported </w:t>
      </w:r>
      <w:r w:rsidR="00FF64A0" w:rsidRPr="002910A5">
        <w:rPr>
          <w:rFonts w:ascii="Book Antiqua" w:hAnsi="Book Antiqua" w:cs="Times New Roman"/>
          <w:sz w:val="24"/>
          <w:szCs w:val="24"/>
        </w:rPr>
        <w:t>to range</w:t>
      </w:r>
      <w:r w:rsidR="00206648" w:rsidRPr="002910A5">
        <w:rPr>
          <w:rFonts w:ascii="Book Antiqua" w:hAnsi="Book Antiqua" w:cs="Times New Roman"/>
          <w:sz w:val="24"/>
          <w:szCs w:val="24"/>
        </w:rPr>
        <w:t xml:space="preserve"> from 3.6</w:t>
      </w:r>
      <w:r w:rsidR="009E3245">
        <w:rPr>
          <w:rFonts w:ascii="Book Antiqua" w:hAnsi="Book Antiqua" w:cs="Times New Roman"/>
          <w:sz w:val="24"/>
          <w:szCs w:val="24"/>
        </w:rPr>
        <w:t>%</w:t>
      </w:r>
      <w:r w:rsidR="00206648" w:rsidRPr="002910A5">
        <w:rPr>
          <w:rFonts w:ascii="Book Antiqua" w:hAnsi="Book Antiqua" w:cs="Times New Roman"/>
          <w:sz w:val="24"/>
          <w:szCs w:val="24"/>
        </w:rPr>
        <w:t xml:space="preserve"> to 21.1</w:t>
      </w:r>
      <w:proofErr w:type="gramStart"/>
      <w:r w:rsidR="00206648" w:rsidRPr="002910A5">
        <w:rPr>
          <w:rFonts w:ascii="Book Antiqua" w:hAnsi="Book Antiqua" w:cs="Times New Roman"/>
          <w:sz w:val="24"/>
          <w:szCs w:val="24"/>
        </w:rPr>
        <w:t>%</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00206648" w:rsidRPr="002910A5">
        <w:rPr>
          <w:rFonts w:ascii="Book Antiqua" w:hAnsi="Book Antiqua" w:cs="Times New Roman"/>
          <w:sz w:val="24"/>
          <w:szCs w:val="24"/>
          <w:vertAlign w:val="superscript"/>
        </w:rPr>
        <w:t>3</w:t>
      </w:r>
      <w:r w:rsidR="00A46860">
        <w:rPr>
          <w:rFonts w:ascii="Book Antiqua" w:eastAsia="Meiryo UI" w:hAnsi="Book Antiqua" w:cs="Times New Roman"/>
          <w:sz w:val="24"/>
          <w:szCs w:val="24"/>
          <w:vertAlign w:val="superscript"/>
        </w:rPr>
        <w:t>-</w:t>
      </w:r>
      <w:r w:rsidR="00CA1FC3" w:rsidRPr="002910A5">
        <w:rPr>
          <w:rFonts w:ascii="Book Antiqua" w:hAnsi="Book Antiqua" w:cs="Times New Roman"/>
          <w:sz w:val="24"/>
          <w:szCs w:val="24"/>
          <w:vertAlign w:val="superscript"/>
        </w:rPr>
        <w:t>15,</w:t>
      </w:r>
      <w:r w:rsidR="00047C40" w:rsidRPr="002910A5">
        <w:rPr>
          <w:rFonts w:ascii="Book Antiqua" w:hAnsi="Book Antiqua" w:cs="Times New Roman"/>
          <w:sz w:val="24"/>
          <w:szCs w:val="24"/>
          <w:vertAlign w:val="superscript"/>
        </w:rPr>
        <w:t>27</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FF64A0" w:rsidRPr="002910A5">
        <w:rPr>
          <w:rFonts w:ascii="Book Antiqua" w:hAnsi="Book Antiqua" w:cs="Times New Roman"/>
          <w:sz w:val="24"/>
          <w:szCs w:val="24"/>
        </w:rPr>
        <w:t>However, nowadays, some dual antiplatelet therapies are applied for not a few cases with cardiovascular disease. Therefore, w</w:t>
      </w:r>
      <w:r w:rsidR="000E2F33" w:rsidRPr="002910A5">
        <w:rPr>
          <w:rFonts w:ascii="Book Antiqua" w:hAnsi="Book Antiqua" w:cs="Times New Roman"/>
          <w:sz w:val="24"/>
          <w:szCs w:val="24"/>
        </w:rPr>
        <w:t>e suggest that</w:t>
      </w:r>
      <w:r w:rsidR="00123D40" w:rsidRPr="002910A5">
        <w:rPr>
          <w:rFonts w:ascii="Book Antiqua" w:hAnsi="Book Antiqua" w:cs="Times New Roman"/>
          <w:sz w:val="24"/>
          <w:szCs w:val="24"/>
        </w:rPr>
        <w:t xml:space="preserve"> </w:t>
      </w:r>
      <w:r w:rsidR="00744400" w:rsidRPr="002910A5">
        <w:rPr>
          <w:rFonts w:ascii="Book Antiqua" w:hAnsi="Book Antiqua" w:cs="Times New Roman"/>
          <w:sz w:val="24"/>
          <w:szCs w:val="24"/>
        </w:rPr>
        <w:t>further</w:t>
      </w:r>
      <w:r w:rsidR="00123D40" w:rsidRPr="002910A5">
        <w:rPr>
          <w:rFonts w:ascii="Book Antiqua" w:hAnsi="Book Antiqua" w:cs="Times New Roman"/>
          <w:sz w:val="24"/>
          <w:szCs w:val="24"/>
        </w:rPr>
        <w:t xml:space="preserve"> investigations of the </w:t>
      </w:r>
      <w:r w:rsidR="000E2F33" w:rsidRPr="002910A5">
        <w:rPr>
          <w:rFonts w:ascii="Book Antiqua" w:hAnsi="Book Antiqua" w:cs="Times New Roman"/>
          <w:sz w:val="24"/>
          <w:szCs w:val="24"/>
        </w:rPr>
        <w:t xml:space="preserve">effect of continuous LDA on </w:t>
      </w:r>
      <w:r w:rsidR="00123D40" w:rsidRPr="002910A5">
        <w:rPr>
          <w:rFonts w:ascii="Book Antiqua" w:hAnsi="Book Antiqua" w:cs="Times New Roman"/>
          <w:sz w:val="24"/>
          <w:szCs w:val="24"/>
        </w:rPr>
        <w:t xml:space="preserve">postoperative bleeding in patients with </w:t>
      </w:r>
      <w:r w:rsidR="00FF64A0" w:rsidRPr="002910A5">
        <w:rPr>
          <w:rFonts w:ascii="Book Antiqua" w:hAnsi="Book Antiqua" w:cs="Times New Roman"/>
          <w:sz w:val="24"/>
          <w:szCs w:val="24"/>
        </w:rPr>
        <w:t>dual antiplatelet therapies</w:t>
      </w:r>
      <w:r w:rsidR="000E2F33" w:rsidRPr="002910A5">
        <w:rPr>
          <w:rFonts w:ascii="Book Antiqua" w:hAnsi="Book Antiqua" w:cs="Times New Roman"/>
          <w:sz w:val="24"/>
          <w:szCs w:val="24"/>
        </w:rPr>
        <w:t>,</w:t>
      </w:r>
      <w:r w:rsidR="00FF64A0" w:rsidRPr="002910A5">
        <w:rPr>
          <w:rFonts w:ascii="Book Antiqua" w:hAnsi="Book Antiqua" w:cs="Times New Roman"/>
          <w:sz w:val="24"/>
          <w:szCs w:val="24"/>
        </w:rPr>
        <w:t xml:space="preserve"> such as the combination of LDA and clopidogrel</w:t>
      </w:r>
      <w:r w:rsidR="000E2F33" w:rsidRPr="002910A5">
        <w:rPr>
          <w:rFonts w:ascii="Book Antiqua" w:hAnsi="Book Antiqua" w:cs="Times New Roman"/>
          <w:sz w:val="24"/>
          <w:szCs w:val="24"/>
        </w:rPr>
        <w:t>, are needed</w:t>
      </w:r>
      <w:r w:rsidR="009E3245">
        <w:rPr>
          <w:rFonts w:ascii="Book Antiqua" w:hAnsi="Book Antiqua" w:cs="Times New Roman"/>
          <w:sz w:val="24"/>
          <w:szCs w:val="24"/>
        </w:rPr>
        <w:t>.</w:t>
      </w:r>
    </w:p>
    <w:p w14:paraId="556C29F4" w14:textId="22206F2F" w:rsidR="00206648" w:rsidRPr="002910A5" w:rsidRDefault="00206648" w:rsidP="009E3245">
      <w:pPr>
        <w:adjustRightInd w:val="0"/>
        <w:snapToGrid w:val="0"/>
        <w:spacing w:line="360" w:lineRule="auto"/>
        <w:ind w:firstLine="240"/>
        <w:rPr>
          <w:rFonts w:ascii="Book Antiqua" w:hAnsi="Book Antiqua" w:cs="Times New Roman"/>
          <w:sz w:val="24"/>
          <w:szCs w:val="24"/>
        </w:rPr>
      </w:pPr>
      <w:r w:rsidRPr="002910A5">
        <w:rPr>
          <w:rFonts w:ascii="Book Antiqua" w:hAnsi="Book Antiqua" w:cs="Times New Roman"/>
          <w:sz w:val="24"/>
          <w:szCs w:val="24"/>
        </w:rPr>
        <w:t xml:space="preserve">In this study, </w:t>
      </w:r>
      <w:r w:rsidR="00FF64A0" w:rsidRPr="002910A5">
        <w:rPr>
          <w:rFonts w:ascii="Book Antiqua" w:hAnsi="Book Antiqua" w:cs="Times New Roman"/>
          <w:sz w:val="24"/>
          <w:szCs w:val="24"/>
        </w:rPr>
        <w:t xml:space="preserve">first, it was proven that </w:t>
      </w:r>
      <w:r w:rsidR="00ED6087" w:rsidRPr="002910A5">
        <w:rPr>
          <w:rFonts w:ascii="Book Antiqua" w:hAnsi="Book Antiqua" w:cs="Times New Roman"/>
          <w:sz w:val="24"/>
          <w:szCs w:val="24"/>
        </w:rPr>
        <w:t xml:space="preserve">the postoperative bleeding rate of </w:t>
      </w:r>
      <w:r w:rsidR="000E2F33" w:rsidRPr="002910A5">
        <w:rPr>
          <w:rFonts w:ascii="Book Antiqua" w:hAnsi="Book Antiqua" w:cs="Times New Roman"/>
          <w:sz w:val="24"/>
          <w:szCs w:val="24"/>
        </w:rPr>
        <w:t xml:space="preserve">the </w:t>
      </w:r>
      <w:r w:rsidRPr="002910A5">
        <w:rPr>
          <w:rFonts w:ascii="Book Antiqua" w:hAnsi="Book Antiqua" w:cs="Times New Roman"/>
          <w:sz w:val="24"/>
          <w:szCs w:val="24"/>
        </w:rPr>
        <w:t>continuous LDA</w:t>
      </w:r>
      <w:r w:rsidR="00FF64A0" w:rsidRPr="002910A5">
        <w:rPr>
          <w:rFonts w:ascii="Book Antiqua" w:hAnsi="Book Antiqua" w:cs="Times New Roman"/>
          <w:sz w:val="24"/>
          <w:szCs w:val="24"/>
        </w:rPr>
        <w:t xml:space="preserve"> group</w:t>
      </w:r>
      <w:r w:rsidRPr="002910A5">
        <w:rPr>
          <w:rFonts w:ascii="Book Antiqua" w:hAnsi="Book Antiqua" w:cs="Times New Roman"/>
          <w:sz w:val="24"/>
          <w:szCs w:val="24"/>
        </w:rPr>
        <w:t xml:space="preserve"> was not a </w:t>
      </w:r>
      <w:r w:rsidR="00ED6087" w:rsidRPr="002910A5">
        <w:rPr>
          <w:rFonts w:ascii="Book Antiqua" w:hAnsi="Book Antiqua" w:cs="Times New Roman"/>
          <w:sz w:val="24"/>
          <w:szCs w:val="24"/>
        </w:rPr>
        <w:t>significant</w:t>
      </w:r>
      <w:r w:rsidR="000E2F33" w:rsidRPr="002910A5">
        <w:rPr>
          <w:rFonts w:ascii="Book Antiqua" w:hAnsi="Book Antiqua" w:cs="Times New Roman"/>
          <w:sz w:val="24"/>
          <w:szCs w:val="24"/>
        </w:rPr>
        <w:t>ly different</w:t>
      </w:r>
      <w:r w:rsidR="00ED6087" w:rsidRPr="002910A5">
        <w:rPr>
          <w:rFonts w:ascii="Book Antiqua" w:hAnsi="Book Antiqua" w:cs="Times New Roman"/>
          <w:sz w:val="24"/>
          <w:szCs w:val="24"/>
        </w:rPr>
        <w:t xml:space="preserve"> </w:t>
      </w:r>
      <w:r w:rsidR="000E2F33" w:rsidRPr="002910A5">
        <w:rPr>
          <w:rFonts w:ascii="Book Antiqua" w:hAnsi="Book Antiqua" w:cs="Times New Roman"/>
          <w:sz w:val="24"/>
          <w:szCs w:val="24"/>
        </w:rPr>
        <w:t xml:space="preserve">from </w:t>
      </w:r>
      <w:r w:rsidR="00ED6087" w:rsidRPr="002910A5">
        <w:rPr>
          <w:rFonts w:ascii="Book Antiqua" w:hAnsi="Book Antiqua" w:cs="Times New Roman"/>
          <w:sz w:val="24"/>
          <w:szCs w:val="24"/>
        </w:rPr>
        <w:t xml:space="preserve">that of </w:t>
      </w:r>
      <w:r w:rsidR="000E2F33" w:rsidRPr="002910A5">
        <w:rPr>
          <w:rFonts w:ascii="Book Antiqua" w:hAnsi="Book Antiqua" w:cs="Times New Roman"/>
          <w:sz w:val="24"/>
          <w:szCs w:val="24"/>
        </w:rPr>
        <w:t xml:space="preserve">the </w:t>
      </w:r>
      <w:r w:rsidR="00ED6087" w:rsidRPr="002910A5">
        <w:rPr>
          <w:rFonts w:ascii="Book Antiqua" w:hAnsi="Book Antiqua" w:cs="Times New Roman"/>
          <w:sz w:val="24"/>
          <w:szCs w:val="24"/>
        </w:rPr>
        <w:t>discontinuous LDA</w:t>
      </w:r>
      <w:r w:rsidR="00FF64A0" w:rsidRPr="002910A5">
        <w:rPr>
          <w:rFonts w:ascii="Book Antiqua" w:hAnsi="Book Antiqua" w:cs="Times New Roman"/>
          <w:sz w:val="24"/>
          <w:szCs w:val="24"/>
        </w:rPr>
        <w:t xml:space="preserve"> group</w:t>
      </w:r>
      <w:r w:rsidRPr="002910A5">
        <w:rPr>
          <w:rFonts w:ascii="Book Antiqua" w:hAnsi="Book Antiqua" w:cs="Times New Roman"/>
          <w:sz w:val="24"/>
          <w:szCs w:val="24"/>
        </w:rPr>
        <w:t xml:space="preserve">. </w:t>
      </w:r>
      <w:r w:rsidR="000E2F33" w:rsidRPr="002910A5">
        <w:rPr>
          <w:rFonts w:ascii="Book Antiqua" w:hAnsi="Book Antiqua" w:cs="Times New Roman"/>
          <w:sz w:val="24"/>
          <w:szCs w:val="24"/>
        </w:rPr>
        <w:t>Thus</w:t>
      </w:r>
      <w:r w:rsidR="008843F9" w:rsidRPr="002910A5">
        <w:rPr>
          <w:rFonts w:ascii="Book Antiqua" w:hAnsi="Book Antiqua" w:cs="Times New Roman"/>
          <w:sz w:val="24"/>
          <w:szCs w:val="24"/>
        </w:rPr>
        <w:t xml:space="preserve">, we confirmed that </w:t>
      </w:r>
      <w:r w:rsidRPr="002910A5">
        <w:rPr>
          <w:rFonts w:ascii="Book Antiqua" w:hAnsi="Book Antiqua" w:cs="Times New Roman"/>
          <w:sz w:val="24"/>
          <w:szCs w:val="24"/>
        </w:rPr>
        <w:t>continuous LDA is not a risk factor for postoperative bleeding</w:t>
      </w:r>
      <w:r w:rsidR="008843F9" w:rsidRPr="002910A5">
        <w:rPr>
          <w:rFonts w:ascii="Book Antiqua" w:hAnsi="Book Antiqua" w:cs="Times New Roman"/>
          <w:sz w:val="24"/>
          <w:szCs w:val="24"/>
        </w:rPr>
        <w:t xml:space="preserve"> as shown in previous </w:t>
      </w:r>
      <w:proofErr w:type="gramStart"/>
      <w:r w:rsidR="008843F9" w:rsidRPr="002910A5">
        <w:rPr>
          <w:rFonts w:ascii="Book Antiqua" w:hAnsi="Book Antiqua" w:cs="Times New Roman"/>
          <w:sz w:val="24"/>
          <w:szCs w:val="24"/>
        </w:rPr>
        <w:t>reports</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004B62C0" w:rsidRPr="002910A5">
        <w:rPr>
          <w:rFonts w:ascii="Book Antiqua" w:hAnsi="Book Antiqua" w:cs="Times New Roman"/>
          <w:sz w:val="24"/>
          <w:szCs w:val="24"/>
          <w:vertAlign w:val="superscript"/>
        </w:rPr>
        <w:t>4,15,</w:t>
      </w:r>
      <w:r w:rsidR="00047C40" w:rsidRPr="002910A5">
        <w:rPr>
          <w:rFonts w:ascii="Book Antiqua" w:hAnsi="Book Antiqua" w:cs="Times New Roman"/>
          <w:sz w:val="24"/>
          <w:szCs w:val="24"/>
          <w:vertAlign w:val="superscript"/>
        </w:rPr>
        <w:t>27</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8843F9" w:rsidRPr="002910A5">
        <w:rPr>
          <w:rFonts w:ascii="Book Antiqua" w:hAnsi="Book Antiqua" w:cs="Times New Roman"/>
          <w:sz w:val="24"/>
          <w:szCs w:val="24"/>
        </w:rPr>
        <w:t>Second</w:t>
      </w:r>
      <w:r w:rsidRPr="002910A5">
        <w:rPr>
          <w:rFonts w:ascii="Book Antiqua" w:hAnsi="Book Antiqua" w:cs="Times New Roman"/>
          <w:sz w:val="24"/>
          <w:szCs w:val="24"/>
        </w:rPr>
        <w:t>, we assessed postoperative bleeding and clinical outcomes after ESD with continuous LDA</w:t>
      </w:r>
      <w:r w:rsidR="00542B70" w:rsidRPr="002910A5">
        <w:rPr>
          <w:rFonts w:ascii="Book Antiqua" w:hAnsi="Book Antiqua" w:cs="Times New Roman"/>
          <w:sz w:val="24"/>
          <w:szCs w:val="24"/>
        </w:rPr>
        <w:t xml:space="preserve"> in patients receiving</w:t>
      </w:r>
      <w:r w:rsidRPr="002910A5">
        <w:rPr>
          <w:rFonts w:ascii="Book Antiqua" w:hAnsi="Book Antiqua" w:cs="Times New Roman"/>
          <w:sz w:val="24"/>
          <w:szCs w:val="24"/>
        </w:rPr>
        <w:t xml:space="preserve"> DAPT</w:t>
      </w:r>
      <w:r w:rsidR="008843F9" w:rsidRPr="002910A5">
        <w:rPr>
          <w:rFonts w:ascii="Book Antiqua" w:hAnsi="Book Antiqua" w:cs="Times New Roman"/>
          <w:sz w:val="24"/>
          <w:szCs w:val="24"/>
        </w:rPr>
        <w:t>, this being suggestive of the most important issue to be clarified by the present study</w:t>
      </w:r>
      <w:r w:rsidRPr="002910A5">
        <w:rPr>
          <w:rFonts w:ascii="Book Antiqua" w:hAnsi="Book Antiqua" w:cs="Times New Roman"/>
          <w:sz w:val="24"/>
          <w:szCs w:val="24"/>
        </w:rPr>
        <w:t xml:space="preserve">. We found that </w:t>
      </w:r>
      <w:r w:rsidR="000372AA" w:rsidRPr="002910A5">
        <w:rPr>
          <w:rFonts w:ascii="Book Antiqua" w:hAnsi="Book Antiqua" w:cs="Times New Roman"/>
          <w:sz w:val="24"/>
          <w:szCs w:val="24"/>
        </w:rPr>
        <w:t xml:space="preserve">the postoperative bleeding rate of </w:t>
      </w:r>
      <w:r w:rsidR="00FF64A0" w:rsidRPr="002910A5">
        <w:rPr>
          <w:rFonts w:ascii="Book Antiqua" w:hAnsi="Book Antiqua" w:cs="Times New Roman"/>
          <w:sz w:val="24"/>
          <w:szCs w:val="24"/>
        </w:rPr>
        <w:t>this group</w:t>
      </w:r>
      <w:r w:rsidRPr="002910A5">
        <w:rPr>
          <w:rFonts w:ascii="Book Antiqua" w:hAnsi="Book Antiqua" w:cs="Times New Roman"/>
          <w:sz w:val="24"/>
          <w:szCs w:val="24"/>
        </w:rPr>
        <w:t xml:space="preserve"> was not </w:t>
      </w:r>
      <w:r w:rsidR="000372AA" w:rsidRPr="002910A5">
        <w:rPr>
          <w:rFonts w:ascii="Book Antiqua" w:hAnsi="Book Antiqua" w:cs="Times New Roman"/>
          <w:sz w:val="24"/>
          <w:szCs w:val="24"/>
        </w:rPr>
        <w:t>significant</w:t>
      </w:r>
      <w:r w:rsidR="00FF64A0" w:rsidRPr="002910A5">
        <w:rPr>
          <w:rFonts w:ascii="Book Antiqua" w:hAnsi="Book Antiqua" w:cs="Times New Roman"/>
          <w:sz w:val="24"/>
          <w:szCs w:val="24"/>
        </w:rPr>
        <w:t>ly different from</w:t>
      </w:r>
      <w:r w:rsidR="00542B70" w:rsidRPr="002910A5">
        <w:rPr>
          <w:rFonts w:ascii="Book Antiqua" w:hAnsi="Book Antiqua" w:cs="Times New Roman"/>
          <w:sz w:val="24"/>
          <w:szCs w:val="24"/>
        </w:rPr>
        <w:t xml:space="preserve"> that with discontinuous LDA in patients receiving</w:t>
      </w:r>
      <w:r w:rsidR="000372AA" w:rsidRPr="002910A5">
        <w:rPr>
          <w:rFonts w:ascii="Book Antiqua" w:hAnsi="Book Antiqua" w:cs="Times New Roman"/>
          <w:sz w:val="24"/>
          <w:szCs w:val="24"/>
        </w:rPr>
        <w:t xml:space="preserve"> DAPT</w:t>
      </w:r>
      <w:r w:rsidRPr="002910A5">
        <w:rPr>
          <w:rFonts w:ascii="Book Antiqua" w:hAnsi="Book Antiqua" w:cs="Times New Roman"/>
          <w:sz w:val="24"/>
          <w:szCs w:val="24"/>
        </w:rPr>
        <w:t>. ESGE recommend th</w:t>
      </w:r>
      <w:r w:rsidR="00542B70" w:rsidRPr="002910A5">
        <w:rPr>
          <w:rFonts w:ascii="Book Antiqua" w:hAnsi="Book Antiqua" w:cs="Times New Roman"/>
          <w:sz w:val="24"/>
          <w:szCs w:val="24"/>
        </w:rPr>
        <w:t xml:space="preserve">at DAPT should be replaced by </w:t>
      </w:r>
      <w:r w:rsidRPr="002910A5">
        <w:rPr>
          <w:rFonts w:ascii="Book Antiqua" w:hAnsi="Book Antiqua" w:cs="Times New Roman"/>
          <w:sz w:val="24"/>
          <w:szCs w:val="24"/>
        </w:rPr>
        <w:t xml:space="preserve">monotherapy with continuous aspirin for patients undergoing </w:t>
      </w:r>
      <w:proofErr w:type="gramStart"/>
      <w:r w:rsidRPr="002910A5">
        <w:rPr>
          <w:rFonts w:ascii="Book Antiqua" w:hAnsi="Book Antiqua" w:cs="Times New Roman"/>
          <w:sz w:val="24"/>
          <w:szCs w:val="24"/>
        </w:rPr>
        <w:t>ESD</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2</w:t>
      </w:r>
      <w:r w:rsidR="00542B70" w:rsidRPr="002910A5">
        <w:rPr>
          <w:rFonts w:ascii="Book Antiqua" w:hAnsi="Book Antiqua" w:cs="Times New Roman"/>
          <w:sz w:val="24"/>
          <w:szCs w:val="24"/>
          <w:vertAlign w:val="superscript"/>
        </w:rPr>
        <w:t>5</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542B70" w:rsidRPr="002910A5">
        <w:rPr>
          <w:rFonts w:ascii="Book Antiqua" w:hAnsi="Book Antiqua" w:cs="Times New Roman"/>
          <w:sz w:val="24"/>
          <w:szCs w:val="24"/>
        </w:rPr>
        <w:t>According</w:t>
      </w:r>
      <w:r w:rsidR="00FF64A0" w:rsidRPr="002910A5">
        <w:rPr>
          <w:rFonts w:ascii="Book Antiqua" w:hAnsi="Book Antiqua" w:cs="Times New Roman"/>
          <w:sz w:val="24"/>
          <w:szCs w:val="24"/>
        </w:rPr>
        <w:t xml:space="preserve"> to the ESGE guideline, w</w:t>
      </w:r>
      <w:r w:rsidRPr="002910A5">
        <w:rPr>
          <w:rFonts w:ascii="Book Antiqua" w:hAnsi="Book Antiqua" w:cs="Times New Roman"/>
          <w:sz w:val="24"/>
          <w:szCs w:val="24"/>
        </w:rPr>
        <w:t>e</w:t>
      </w:r>
      <w:r w:rsidR="00542B70" w:rsidRPr="002910A5">
        <w:rPr>
          <w:rFonts w:ascii="Book Antiqua" w:hAnsi="Book Antiqua" w:cs="Times New Roman"/>
          <w:sz w:val="24"/>
          <w:szCs w:val="24"/>
        </w:rPr>
        <w:t xml:space="preserve"> </w:t>
      </w:r>
      <w:r w:rsidRPr="002910A5">
        <w:rPr>
          <w:rFonts w:ascii="Book Antiqua" w:hAnsi="Book Antiqua" w:cs="Times New Roman"/>
          <w:sz w:val="24"/>
          <w:szCs w:val="24"/>
        </w:rPr>
        <w:t>performed ESD with continuous LDA as a substitution fo</w:t>
      </w:r>
      <w:r w:rsidR="00542B70" w:rsidRPr="002910A5">
        <w:rPr>
          <w:rFonts w:ascii="Book Antiqua" w:hAnsi="Book Antiqua" w:cs="Times New Roman"/>
          <w:sz w:val="24"/>
          <w:szCs w:val="24"/>
        </w:rPr>
        <w:t xml:space="preserve">r DAPT for patients with a high </w:t>
      </w:r>
      <w:r w:rsidRPr="002910A5">
        <w:rPr>
          <w:rFonts w:ascii="Book Antiqua" w:hAnsi="Book Antiqua" w:cs="Times New Roman"/>
          <w:sz w:val="24"/>
          <w:szCs w:val="24"/>
        </w:rPr>
        <w:lastRenderedPageBreak/>
        <w:t xml:space="preserve">risk of thrombosis. </w:t>
      </w:r>
      <w:r w:rsidR="00FF64A0" w:rsidRPr="002910A5">
        <w:rPr>
          <w:rFonts w:ascii="Book Antiqua" w:hAnsi="Book Antiqua" w:cs="Times New Roman"/>
          <w:sz w:val="24"/>
          <w:szCs w:val="24"/>
        </w:rPr>
        <w:t xml:space="preserve">However, </w:t>
      </w:r>
      <w:r w:rsidRPr="002910A5">
        <w:rPr>
          <w:rFonts w:ascii="Book Antiqua" w:hAnsi="Book Antiqua" w:cs="Times New Roman"/>
          <w:sz w:val="24"/>
          <w:szCs w:val="24"/>
        </w:rPr>
        <w:t xml:space="preserve">few studies </w:t>
      </w:r>
      <w:r w:rsidR="00542B70" w:rsidRPr="002910A5">
        <w:rPr>
          <w:rFonts w:ascii="Book Antiqua" w:hAnsi="Book Antiqua" w:cs="Times New Roman"/>
          <w:sz w:val="24"/>
          <w:szCs w:val="24"/>
        </w:rPr>
        <w:t xml:space="preserve">have assessed </w:t>
      </w:r>
      <w:r w:rsidR="00FF64A0" w:rsidRPr="002910A5">
        <w:rPr>
          <w:rFonts w:ascii="Book Antiqua" w:hAnsi="Book Antiqua" w:cs="Times New Roman"/>
          <w:sz w:val="24"/>
          <w:szCs w:val="24"/>
        </w:rPr>
        <w:t>postoperative bleeding in</w:t>
      </w:r>
      <w:r w:rsidR="00542B70" w:rsidRPr="002910A5">
        <w:rPr>
          <w:rFonts w:ascii="Book Antiqua" w:hAnsi="Book Antiqua" w:cs="Times New Roman"/>
          <w:sz w:val="24"/>
          <w:szCs w:val="24"/>
        </w:rPr>
        <w:t xml:space="preserve"> patients receiving</w:t>
      </w:r>
      <w:r w:rsidRPr="002910A5">
        <w:rPr>
          <w:rFonts w:ascii="Book Antiqua" w:hAnsi="Book Antiqua" w:cs="Times New Roman"/>
          <w:sz w:val="24"/>
          <w:szCs w:val="24"/>
        </w:rPr>
        <w:t xml:space="preserve"> DAPT</w:t>
      </w:r>
      <w:r w:rsidR="008843F9" w:rsidRPr="002910A5">
        <w:rPr>
          <w:rFonts w:ascii="Book Antiqua" w:hAnsi="Book Antiqua" w:cs="Times New Roman"/>
          <w:sz w:val="24"/>
          <w:szCs w:val="24"/>
        </w:rPr>
        <w:t xml:space="preserve">. </w:t>
      </w:r>
      <w:r w:rsidR="00FF64A0" w:rsidRPr="002910A5">
        <w:rPr>
          <w:rFonts w:ascii="Book Antiqua" w:hAnsi="Book Antiqua" w:cs="Times New Roman"/>
          <w:sz w:val="24"/>
          <w:szCs w:val="24"/>
        </w:rPr>
        <w:t xml:space="preserve">It </w:t>
      </w:r>
      <w:r w:rsidR="00542B70" w:rsidRPr="002910A5">
        <w:rPr>
          <w:rFonts w:ascii="Book Antiqua" w:hAnsi="Book Antiqua" w:cs="Times New Roman"/>
          <w:sz w:val="24"/>
          <w:szCs w:val="24"/>
        </w:rPr>
        <w:t>remains</w:t>
      </w:r>
      <w:r w:rsidR="00FF64A0" w:rsidRPr="002910A5">
        <w:rPr>
          <w:rFonts w:ascii="Book Antiqua" w:hAnsi="Book Antiqua" w:cs="Times New Roman"/>
          <w:sz w:val="24"/>
          <w:szCs w:val="24"/>
        </w:rPr>
        <w:t xml:space="preserve"> controversial whether there is an association</w:t>
      </w:r>
      <w:r w:rsidRPr="002910A5">
        <w:rPr>
          <w:rFonts w:ascii="Book Antiqua" w:hAnsi="Book Antiqua" w:cs="Times New Roman"/>
          <w:sz w:val="24"/>
          <w:szCs w:val="24"/>
        </w:rPr>
        <w:t xml:space="preserve"> </w:t>
      </w:r>
      <w:r w:rsidR="00FF64A0" w:rsidRPr="002910A5">
        <w:rPr>
          <w:rFonts w:ascii="Book Antiqua" w:hAnsi="Book Antiqua" w:cs="Times New Roman"/>
          <w:sz w:val="24"/>
          <w:szCs w:val="24"/>
        </w:rPr>
        <w:t xml:space="preserve">between the risk of postoperative </w:t>
      </w:r>
      <w:r w:rsidR="00EF1308" w:rsidRPr="002910A5">
        <w:rPr>
          <w:rFonts w:ascii="Book Antiqua" w:hAnsi="Book Antiqua" w:cs="Times New Roman"/>
          <w:sz w:val="24"/>
          <w:szCs w:val="24"/>
        </w:rPr>
        <w:t xml:space="preserve">bleeding and DAPT </w:t>
      </w:r>
      <w:proofErr w:type="gramStart"/>
      <w:r w:rsidR="00EF1308" w:rsidRPr="002910A5">
        <w:rPr>
          <w:rFonts w:ascii="Book Antiqua" w:hAnsi="Book Antiqua" w:cs="Times New Roman"/>
          <w:sz w:val="24"/>
          <w:szCs w:val="24"/>
        </w:rPr>
        <w:t>administration</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Pr="002910A5">
        <w:rPr>
          <w:rFonts w:ascii="Book Antiqua" w:hAnsi="Book Antiqua" w:cs="Times New Roman"/>
          <w:sz w:val="24"/>
          <w:szCs w:val="24"/>
          <w:vertAlign w:val="superscript"/>
        </w:rPr>
        <w:t>3</w:t>
      </w:r>
      <w:r w:rsidR="005D66D6" w:rsidRPr="002910A5">
        <w:rPr>
          <w:rFonts w:ascii="Book Antiqua" w:hAnsi="Book Antiqua" w:cs="Times New Roman"/>
          <w:sz w:val="24"/>
          <w:szCs w:val="24"/>
          <w:vertAlign w:val="superscript"/>
        </w:rPr>
        <w:t>,</w:t>
      </w:r>
      <w:r w:rsidR="00EF1308" w:rsidRPr="002910A5">
        <w:rPr>
          <w:rFonts w:ascii="Book Antiqua" w:hAnsi="Book Antiqua" w:cs="Times New Roman"/>
          <w:sz w:val="24"/>
          <w:szCs w:val="24"/>
          <w:vertAlign w:val="superscript"/>
        </w:rPr>
        <w:t>14</w:t>
      </w:r>
      <w:r w:rsidRPr="002910A5">
        <w:rPr>
          <w:rFonts w:ascii="Book Antiqua" w:hAnsi="Book Antiqua" w:cs="Times New Roman"/>
          <w:sz w:val="24"/>
          <w:szCs w:val="24"/>
          <w:vertAlign w:val="superscript"/>
        </w:rPr>
        <w:t>,</w:t>
      </w:r>
      <w:r w:rsidR="00047C40" w:rsidRPr="002910A5">
        <w:rPr>
          <w:rFonts w:ascii="Book Antiqua" w:hAnsi="Book Antiqua" w:cs="Times New Roman"/>
          <w:sz w:val="24"/>
          <w:szCs w:val="24"/>
          <w:vertAlign w:val="superscript"/>
        </w:rPr>
        <w:t>27,</w:t>
      </w:r>
      <w:r w:rsidRPr="002910A5">
        <w:rPr>
          <w:rFonts w:ascii="Book Antiqua" w:hAnsi="Book Antiqua" w:cs="Times New Roman"/>
          <w:sz w:val="24"/>
          <w:szCs w:val="24"/>
          <w:vertAlign w:val="superscript"/>
        </w:rPr>
        <w:t>28</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8843F9" w:rsidRPr="002910A5">
        <w:rPr>
          <w:rFonts w:ascii="Book Antiqua" w:hAnsi="Book Antiqua" w:cs="Times New Roman"/>
          <w:sz w:val="24"/>
          <w:szCs w:val="24"/>
        </w:rPr>
        <w:t xml:space="preserve">In this study, </w:t>
      </w:r>
      <w:r w:rsidRPr="002910A5">
        <w:rPr>
          <w:rFonts w:ascii="Book Antiqua" w:hAnsi="Book Antiqua" w:cs="Times New Roman"/>
          <w:sz w:val="24"/>
          <w:szCs w:val="24"/>
        </w:rPr>
        <w:t>th</w:t>
      </w:r>
      <w:r w:rsidR="00542B70" w:rsidRPr="002910A5">
        <w:rPr>
          <w:rFonts w:ascii="Book Antiqua" w:hAnsi="Book Antiqua" w:cs="Times New Roman"/>
          <w:sz w:val="24"/>
          <w:szCs w:val="24"/>
        </w:rPr>
        <w:t>e postoperative bleeding rate with</w:t>
      </w:r>
      <w:r w:rsidRPr="002910A5">
        <w:rPr>
          <w:rFonts w:ascii="Book Antiqua" w:hAnsi="Book Antiqua" w:cs="Times New Roman"/>
          <w:sz w:val="24"/>
          <w:szCs w:val="24"/>
        </w:rPr>
        <w:t xml:space="preserve"> continuous LDA </w:t>
      </w:r>
      <w:r w:rsidR="00542B70" w:rsidRPr="002910A5">
        <w:rPr>
          <w:rFonts w:ascii="Book Antiqua" w:hAnsi="Book Antiqua" w:cs="Times New Roman"/>
          <w:sz w:val="24"/>
          <w:szCs w:val="24"/>
        </w:rPr>
        <w:t>in patients receiving</w:t>
      </w:r>
      <w:r w:rsidRPr="002910A5">
        <w:rPr>
          <w:rFonts w:ascii="Book Antiqua" w:hAnsi="Book Antiqua" w:cs="Times New Roman"/>
          <w:sz w:val="24"/>
          <w:szCs w:val="24"/>
        </w:rPr>
        <w:t xml:space="preserve"> DAPT was </w:t>
      </w:r>
      <w:r w:rsidR="00542B70" w:rsidRPr="002910A5">
        <w:rPr>
          <w:rFonts w:ascii="Book Antiqua" w:hAnsi="Book Antiqua" w:cs="Times New Roman"/>
          <w:sz w:val="24"/>
          <w:szCs w:val="24"/>
        </w:rPr>
        <w:t xml:space="preserve">numerically </w:t>
      </w:r>
      <w:r w:rsidRPr="002910A5">
        <w:rPr>
          <w:rFonts w:ascii="Book Antiqua" w:hAnsi="Book Antiqua" w:cs="Times New Roman"/>
          <w:sz w:val="24"/>
          <w:szCs w:val="24"/>
        </w:rPr>
        <w:t>higher than</w:t>
      </w:r>
      <w:r w:rsidR="00542B70" w:rsidRPr="002910A5">
        <w:rPr>
          <w:rFonts w:ascii="Book Antiqua" w:hAnsi="Book Antiqua" w:cs="Times New Roman"/>
          <w:sz w:val="24"/>
          <w:szCs w:val="24"/>
        </w:rPr>
        <w:t xml:space="preserve"> that with</w:t>
      </w:r>
      <w:r w:rsidRPr="002910A5">
        <w:rPr>
          <w:rFonts w:ascii="Book Antiqua" w:hAnsi="Book Antiqua" w:cs="Times New Roman"/>
          <w:sz w:val="24"/>
          <w:szCs w:val="24"/>
        </w:rPr>
        <w:t xml:space="preserve"> </w:t>
      </w:r>
      <w:r w:rsidR="00542B70" w:rsidRPr="002910A5">
        <w:rPr>
          <w:rFonts w:ascii="Book Antiqua" w:hAnsi="Book Antiqua" w:cs="Times New Roman"/>
          <w:sz w:val="24"/>
          <w:szCs w:val="24"/>
        </w:rPr>
        <w:t>discontinuous LDA in patients receiving</w:t>
      </w:r>
      <w:r w:rsidR="00E85457" w:rsidRPr="002910A5">
        <w:rPr>
          <w:rFonts w:ascii="Book Antiqua" w:hAnsi="Book Antiqua" w:cs="Times New Roman"/>
          <w:sz w:val="24"/>
          <w:szCs w:val="24"/>
        </w:rPr>
        <w:t xml:space="preserve"> DAPT</w:t>
      </w:r>
      <w:r w:rsidRPr="002910A5">
        <w:rPr>
          <w:rFonts w:ascii="Book Antiqua" w:hAnsi="Book Antiqua" w:cs="Times New Roman"/>
          <w:sz w:val="24"/>
          <w:szCs w:val="24"/>
        </w:rPr>
        <w:t xml:space="preserve">, </w:t>
      </w:r>
      <w:r w:rsidR="008843F9" w:rsidRPr="002910A5">
        <w:rPr>
          <w:rFonts w:ascii="Book Antiqua" w:hAnsi="Book Antiqua" w:cs="Times New Roman"/>
          <w:sz w:val="24"/>
          <w:szCs w:val="24"/>
        </w:rPr>
        <w:t xml:space="preserve">although </w:t>
      </w:r>
      <w:r w:rsidR="00542B70" w:rsidRPr="002910A5">
        <w:rPr>
          <w:rFonts w:ascii="Book Antiqua" w:hAnsi="Book Antiqua" w:cs="Times New Roman"/>
          <w:sz w:val="24"/>
          <w:szCs w:val="24"/>
        </w:rPr>
        <w:t>the difference was not</w:t>
      </w:r>
      <w:r w:rsidR="00C218F2" w:rsidRPr="002910A5">
        <w:rPr>
          <w:rFonts w:ascii="Book Antiqua" w:hAnsi="Book Antiqua" w:cs="Times New Roman"/>
          <w:sz w:val="24"/>
          <w:szCs w:val="24"/>
        </w:rPr>
        <w:t xml:space="preserve"> significant</w:t>
      </w:r>
      <w:r w:rsidR="00E85457" w:rsidRPr="002910A5">
        <w:rPr>
          <w:rFonts w:ascii="Book Antiqua" w:hAnsi="Book Antiqua" w:cs="Times New Roman"/>
          <w:sz w:val="24"/>
          <w:szCs w:val="24"/>
        </w:rPr>
        <w:t>.</w:t>
      </w:r>
      <w:r w:rsidR="008843F9" w:rsidRPr="002910A5">
        <w:rPr>
          <w:rFonts w:ascii="Book Antiqua" w:hAnsi="Book Antiqua" w:cs="Times New Roman"/>
          <w:sz w:val="24"/>
          <w:szCs w:val="24"/>
        </w:rPr>
        <w:t xml:space="preserve"> Th</w:t>
      </w:r>
      <w:r w:rsidR="00542B70" w:rsidRPr="002910A5">
        <w:rPr>
          <w:rFonts w:ascii="Book Antiqua" w:hAnsi="Book Antiqua" w:cs="Times New Roman"/>
          <w:sz w:val="24"/>
          <w:szCs w:val="24"/>
        </w:rPr>
        <w:t xml:space="preserve">erefore, </w:t>
      </w:r>
      <w:r w:rsidR="00C218F2" w:rsidRPr="002910A5">
        <w:rPr>
          <w:rFonts w:ascii="Book Antiqua" w:hAnsi="Book Antiqua" w:cs="Times New Roman"/>
          <w:sz w:val="24"/>
          <w:szCs w:val="24"/>
        </w:rPr>
        <w:t>continuous LDA administration</w:t>
      </w:r>
      <w:r w:rsidR="008843F9" w:rsidRPr="002910A5">
        <w:rPr>
          <w:rFonts w:ascii="Book Antiqua" w:hAnsi="Book Antiqua" w:cs="Times New Roman"/>
          <w:sz w:val="24"/>
          <w:szCs w:val="24"/>
        </w:rPr>
        <w:t xml:space="preserve"> may be acc</w:t>
      </w:r>
      <w:r w:rsidR="00542B70" w:rsidRPr="002910A5">
        <w:rPr>
          <w:rFonts w:ascii="Book Antiqua" w:hAnsi="Book Antiqua" w:cs="Times New Roman"/>
          <w:sz w:val="24"/>
          <w:szCs w:val="24"/>
        </w:rPr>
        <w:t>eptable for ESD in patients receiving</w:t>
      </w:r>
      <w:r w:rsidR="008843F9" w:rsidRPr="002910A5">
        <w:rPr>
          <w:rFonts w:ascii="Book Antiqua" w:hAnsi="Book Antiqua" w:cs="Times New Roman"/>
          <w:sz w:val="24"/>
          <w:szCs w:val="24"/>
        </w:rPr>
        <w:t xml:space="preserve"> DAPT.</w:t>
      </w:r>
      <w:r w:rsidRPr="002910A5">
        <w:rPr>
          <w:rFonts w:ascii="Book Antiqua" w:hAnsi="Book Antiqua" w:cs="Times New Roman"/>
          <w:sz w:val="24"/>
          <w:szCs w:val="24"/>
        </w:rPr>
        <w:t xml:space="preserve"> </w:t>
      </w:r>
      <w:r w:rsidR="00CE0032" w:rsidRPr="002910A5">
        <w:rPr>
          <w:rFonts w:ascii="Book Antiqua" w:hAnsi="Book Antiqua" w:cs="Times New Roman"/>
          <w:sz w:val="24"/>
          <w:szCs w:val="24"/>
        </w:rPr>
        <w:t>However, the postoperative bleeding rate of patients with continuous LDA receiving DAPT was higher comp</w:t>
      </w:r>
      <w:r w:rsidR="009E3245">
        <w:rPr>
          <w:rFonts w:ascii="Book Antiqua" w:hAnsi="Book Antiqua" w:cs="Times New Roman"/>
          <w:sz w:val="24"/>
          <w:szCs w:val="24"/>
        </w:rPr>
        <w:t>ared that of those without APT [</w:t>
      </w:r>
      <w:r w:rsidR="00CE0032" w:rsidRPr="002910A5">
        <w:rPr>
          <w:rFonts w:ascii="Book Antiqua" w:hAnsi="Book Antiqua" w:cs="Times New Roman"/>
          <w:sz w:val="24"/>
          <w:szCs w:val="24"/>
        </w:rPr>
        <w:t xml:space="preserve">23.1% </w:t>
      </w:r>
      <w:r w:rsidR="009E3245">
        <w:rPr>
          <w:rFonts w:ascii="Book Antiqua" w:hAnsi="Book Antiqua" w:cs="Times New Roman"/>
          <w:sz w:val="24"/>
          <w:szCs w:val="24"/>
        </w:rPr>
        <w:t xml:space="preserve">(9/39) </w:t>
      </w:r>
      <w:r w:rsidR="009E3245" w:rsidRPr="009E3245">
        <w:rPr>
          <w:rFonts w:ascii="Book Antiqua" w:hAnsi="Book Antiqua" w:cs="Times New Roman"/>
          <w:i/>
          <w:sz w:val="24"/>
          <w:szCs w:val="24"/>
        </w:rPr>
        <w:t>vs</w:t>
      </w:r>
      <w:r w:rsidR="00CE0032" w:rsidRPr="009E3245">
        <w:rPr>
          <w:rFonts w:ascii="Book Antiqua" w:hAnsi="Book Antiqua" w:cs="Times New Roman"/>
          <w:i/>
          <w:sz w:val="24"/>
          <w:szCs w:val="24"/>
        </w:rPr>
        <w:t xml:space="preserve"> </w:t>
      </w:r>
      <w:r w:rsidR="009E3245">
        <w:rPr>
          <w:rFonts w:ascii="Book Antiqua" w:eastAsia="MS PMincho" w:hAnsi="Book Antiqua" w:cs="Times New Roman"/>
          <w:sz w:val="24"/>
          <w:szCs w:val="24"/>
        </w:rPr>
        <w:t>4.7% (21/443</w:t>
      </w:r>
      <w:r w:rsidR="00CE0032" w:rsidRPr="002910A5">
        <w:rPr>
          <w:rFonts w:ascii="Book Antiqua" w:eastAsia="MS PMincho" w:hAnsi="Book Antiqua" w:cs="Times New Roman"/>
          <w:sz w:val="24"/>
          <w:szCs w:val="24"/>
        </w:rPr>
        <w:t>)</w:t>
      </w:r>
      <w:r w:rsidR="009E3245">
        <w:rPr>
          <w:rFonts w:ascii="Book Antiqua" w:eastAsia="MS PMincho" w:hAnsi="Book Antiqua" w:cs="Times New Roman"/>
          <w:sz w:val="24"/>
          <w:szCs w:val="24"/>
        </w:rPr>
        <w:t>]</w:t>
      </w:r>
      <w:r w:rsidR="00CE0032" w:rsidRPr="002910A5">
        <w:rPr>
          <w:rFonts w:ascii="Book Antiqua" w:eastAsia="MS PMincho" w:hAnsi="Book Antiqua" w:cs="Times New Roman"/>
          <w:sz w:val="24"/>
          <w:szCs w:val="24"/>
        </w:rPr>
        <w:t xml:space="preserve">. </w:t>
      </w:r>
      <w:r w:rsidR="009833AD" w:rsidRPr="002910A5">
        <w:rPr>
          <w:rFonts w:ascii="Book Antiqua" w:hAnsi="Book Antiqua" w:cs="Times New Roman"/>
          <w:sz w:val="24"/>
          <w:szCs w:val="24"/>
        </w:rPr>
        <w:t xml:space="preserve">Hence, meticulous </w:t>
      </w:r>
      <w:r w:rsidRPr="002910A5">
        <w:rPr>
          <w:rFonts w:ascii="Book Antiqua" w:hAnsi="Book Antiqua" w:cs="Times New Roman"/>
          <w:sz w:val="24"/>
          <w:szCs w:val="24"/>
        </w:rPr>
        <w:t>observation of postope</w:t>
      </w:r>
      <w:r w:rsidR="00542B70" w:rsidRPr="002910A5">
        <w:rPr>
          <w:rFonts w:ascii="Book Antiqua" w:hAnsi="Book Antiqua" w:cs="Times New Roman"/>
          <w:sz w:val="24"/>
          <w:szCs w:val="24"/>
        </w:rPr>
        <w:t>rative bleeding in patients receiving</w:t>
      </w:r>
      <w:r w:rsidR="00E85457" w:rsidRPr="002910A5">
        <w:rPr>
          <w:rFonts w:ascii="Book Antiqua" w:hAnsi="Book Antiqua" w:cs="Times New Roman"/>
          <w:sz w:val="24"/>
          <w:szCs w:val="24"/>
        </w:rPr>
        <w:t xml:space="preserve"> continuous LDA on</w:t>
      </w:r>
      <w:r w:rsidRPr="002910A5">
        <w:rPr>
          <w:rFonts w:ascii="Book Antiqua" w:hAnsi="Book Antiqua" w:cs="Times New Roman"/>
          <w:sz w:val="24"/>
          <w:szCs w:val="24"/>
        </w:rPr>
        <w:t xml:space="preserve"> DAPT</w:t>
      </w:r>
      <w:r w:rsidR="008843F9" w:rsidRPr="002910A5">
        <w:rPr>
          <w:rFonts w:ascii="Book Antiqua" w:hAnsi="Book Antiqua" w:cs="Times New Roman"/>
          <w:sz w:val="24"/>
          <w:szCs w:val="24"/>
        </w:rPr>
        <w:t xml:space="preserve"> </w:t>
      </w:r>
      <w:r w:rsidR="00D70ED7" w:rsidRPr="002910A5">
        <w:rPr>
          <w:rFonts w:ascii="Book Antiqua" w:hAnsi="Book Antiqua" w:cs="Times New Roman"/>
          <w:sz w:val="24"/>
          <w:szCs w:val="24"/>
        </w:rPr>
        <w:t xml:space="preserve">must </w:t>
      </w:r>
      <w:r w:rsidR="008843F9" w:rsidRPr="002910A5">
        <w:rPr>
          <w:rFonts w:ascii="Book Antiqua" w:hAnsi="Book Antiqua" w:cs="Times New Roman"/>
          <w:sz w:val="24"/>
          <w:szCs w:val="24"/>
        </w:rPr>
        <w:t>be still required</w:t>
      </w:r>
      <w:r w:rsidRPr="002910A5">
        <w:rPr>
          <w:rFonts w:ascii="Book Antiqua" w:hAnsi="Book Antiqua" w:cs="Times New Roman"/>
          <w:sz w:val="24"/>
          <w:szCs w:val="24"/>
        </w:rPr>
        <w:t>.</w:t>
      </w:r>
    </w:p>
    <w:p w14:paraId="556C29F5" w14:textId="49E62430" w:rsidR="00401658" w:rsidRPr="002910A5" w:rsidRDefault="009E3245" w:rsidP="009E3245">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8843F9" w:rsidRPr="002910A5">
        <w:rPr>
          <w:rFonts w:ascii="Book Antiqua" w:hAnsi="Book Antiqua" w:cs="Times New Roman"/>
          <w:sz w:val="24"/>
          <w:szCs w:val="24"/>
        </w:rPr>
        <w:t>Previous studies</w:t>
      </w:r>
      <w:r w:rsidR="00112762" w:rsidRPr="002910A5">
        <w:rPr>
          <w:rFonts w:ascii="Book Antiqua" w:hAnsi="Book Antiqua" w:cs="Times New Roman"/>
          <w:sz w:val="24"/>
          <w:szCs w:val="24"/>
        </w:rPr>
        <w:t xml:space="preserve"> reported that most of the postoperative bleeding occurred within 72 h after gastric </w:t>
      </w:r>
      <w:proofErr w:type="gramStart"/>
      <w:r w:rsidR="00112762" w:rsidRPr="002910A5">
        <w:rPr>
          <w:rFonts w:ascii="Book Antiqua" w:hAnsi="Book Antiqua" w:cs="Times New Roman"/>
          <w:sz w:val="24"/>
          <w:szCs w:val="24"/>
        </w:rPr>
        <w:t>ESD</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00FC3304" w:rsidRPr="002910A5">
        <w:rPr>
          <w:rFonts w:ascii="Book Antiqua" w:hAnsi="Book Antiqua" w:cs="Times New Roman"/>
          <w:sz w:val="24"/>
          <w:szCs w:val="24"/>
          <w:vertAlign w:val="superscript"/>
        </w:rPr>
        <w:t>,</w:t>
      </w:r>
      <w:r w:rsidR="00112762" w:rsidRPr="002910A5">
        <w:rPr>
          <w:rFonts w:ascii="Book Antiqua" w:hAnsi="Book Antiqua" w:cs="Times New Roman"/>
          <w:sz w:val="24"/>
          <w:szCs w:val="24"/>
          <w:vertAlign w:val="superscript"/>
        </w:rPr>
        <w:t>5</w:t>
      </w:r>
      <w:r w:rsidR="00FC3304" w:rsidRPr="002910A5">
        <w:rPr>
          <w:rFonts w:ascii="Book Antiqua" w:hAnsi="Book Antiqua" w:cs="Times New Roman"/>
          <w:sz w:val="24"/>
          <w:szCs w:val="24"/>
          <w:vertAlign w:val="superscript"/>
        </w:rPr>
        <w:t>,11,12,</w:t>
      </w:r>
      <w:r w:rsidR="00112762" w:rsidRPr="002910A5">
        <w:rPr>
          <w:rFonts w:ascii="Book Antiqua" w:hAnsi="Book Antiqua" w:cs="Times New Roman"/>
          <w:sz w:val="24"/>
          <w:szCs w:val="24"/>
          <w:vertAlign w:val="superscript"/>
        </w:rPr>
        <w:t>16</w:t>
      </w:r>
      <w:r w:rsidR="00FC3304" w:rsidRPr="002910A5">
        <w:rPr>
          <w:rFonts w:ascii="Book Antiqua" w:hAnsi="Book Antiqua" w:cs="Times New Roman"/>
          <w:sz w:val="24"/>
          <w:szCs w:val="24"/>
          <w:vertAlign w:val="superscript"/>
        </w:rPr>
        <w:t>,3</w:t>
      </w:r>
      <w:r w:rsidR="00AB47CD" w:rsidRPr="002910A5">
        <w:rPr>
          <w:rFonts w:ascii="Book Antiqua" w:hAnsi="Book Antiqua" w:cs="Times New Roman"/>
          <w:sz w:val="24"/>
          <w:szCs w:val="24"/>
          <w:vertAlign w:val="superscript"/>
        </w:rPr>
        <w:t>3</w:t>
      </w:r>
      <w:r w:rsidR="00FC3304" w:rsidRPr="002910A5">
        <w:rPr>
          <w:rFonts w:ascii="Book Antiqua" w:hAnsi="Book Antiqua" w:cs="Times New Roman"/>
          <w:sz w:val="24"/>
          <w:szCs w:val="24"/>
          <w:vertAlign w:val="superscript"/>
        </w:rPr>
        <w:t>,</w:t>
      </w:r>
      <w:r w:rsidR="000A7445" w:rsidRPr="002910A5">
        <w:rPr>
          <w:rFonts w:ascii="Book Antiqua" w:hAnsi="Book Antiqua" w:cs="Times New Roman"/>
          <w:sz w:val="24"/>
          <w:szCs w:val="24"/>
          <w:vertAlign w:val="superscript"/>
        </w:rPr>
        <w:t>3</w:t>
      </w:r>
      <w:r w:rsidR="00AB47CD" w:rsidRPr="002910A5">
        <w:rPr>
          <w:rFonts w:ascii="Book Antiqua" w:hAnsi="Book Antiqua" w:cs="Times New Roman"/>
          <w:sz w:val="24"/>
          <w:szCs w:val="24"/>
          <w:vertAlign w:val="superscript"/>
        </w:rPr>
        <w:t>4</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112762" w:rsidRPr="002910A5">
        <w:rPr>
          <w:rFonts w:ascii="Book Antiqua" w:hAnsi="Book Antiqua" w:cs="Times New Roman"/>
          <w:sz w:val="24"/>
          <w:szCs w:val="24"/>
        </w:rPr>
        <w:t xml:space="preserve">In this study, </w:t>
      </w:r>
      <w:r w:rsidR="00EF1308" w:rsidRPr="002910A5">
        <w:rPr>
          <w:rFonts w:ascii="Book Antiqua" w:hAnsi="Book Antiqua" w:cs="Times New Roman"/>
          <w:sz w:val="24"/>
          <w:szCs w:val="24"/>
        </w:rPr>
        <w:t xml:space="preserve">the rate of </w:t>
      </w:r>
      <w:r w:rsidR="00144784" w:rsidRPr="002910A5">
        <w:rPr>
          <w:rFonts w:ascii="Book Antiqua" w:hAnsi="Book Antiqua" w:cs="Times New Roman"/>
          <w:sz w:val="24"/>
          <w:szCs w:val="24"/>
        </w:rPr>
        <w:t>delayed</w:t>
      </w:r>
      <w:r w:rsidR="00112762" w:rsidRPr="002910A5">
        <w:rPr>
          <w:rFonts w:ascii="Book Antiqua" w:hAnsi="Book Antiqua" w:cs="Times New Roman"/>
          <w:sz w:val="24"/>
          <w:szCs w:val="24"/>
        </w:rPr>
        <w:t xml:space="preserve"> bleeding</w:t>
      </w:r>
      <w:r w:rsidR="00EF1308" w:rsidRPr="002910A5">
        <w:rPr>
          <w:rFonts w:ascii="Book Antiqua" w:hAnsi="Book Antiqua" w:cs="Times New Roman"/>
          <w:sz w:val="24"/>
          <w:szCs w:val="24"/>
        </w:rPr>
        <w:t>,</w:t>
      </w:r>
      <w:r w:rsidR="00112762" w:rsidRPr="002910A5">
        <w:rPr>
          <w:rFonts w:ascii="Book Antiqua" w:hAnsi="Book Antiqua" w:cs="Times New Roman"/>
          <w:sz w:val="24"/>
          <w:szCs w:val="24"/>
        </w:rPr>
        <w:t xml:space="preserve"> </w:t>
      </w:r>
      <w:r w:rsidR="008934D1" w:rsidRPr="002910A5">
        <w:rPr>
          <w:rFonts w:ascii="Book Antiqua" w:hAnsi="Book Antiqua" w:cs="Times New Roman"/>
          <w:sz w:val="24"/>
          <w:szCs w:val="24"/>
        </w:rPr>
        <w:t>after fiv</w:t>
      </w:r>
      <w:r w:rsidR="00994A3B" w:rsidRPr="002910A5">
        <w:rPr>
          <w:rFonts w:ascii="Book Antiqua" w:hAnsi="Book Antiqua" w:cs="Times New Roman"/>
          <w:sz w:val="24"/>
          <w:szCs w:val="24"/>
        </w:rPr>
        <w:t>e days of gastric ESD in</w:t>
      </w:r>
      <w:r w:rsidR="00104537" w:rsidRPr="002910A5">
        <w:rPr>
          <w:rFonts w:ascii="Book Antiqua" w:hAnsi="Book Antiqua" w:cs="Times New Roman"/>
          <w:sz w:val="24"/>
          <w:szCs w:val="24"/>
        </w:rPr>
        <w:t xml:space="preserve"> the</w:t>
      </w:r>
      <w:r w:rsidR="00F7120C" w:rsidRPr="002910A5">
        <w:rPr>
          <w:rFonts w:ascii="Book Antiqua" w:hAnsi="Book Antiqua" w:cs="Times New Roman"/>
          <w:sz w:val="24"/>
          <w:szCs w:val="24"/>
        </w:rPr>
        <w:t xml:space="preserve"> </w:t>
      </w:r>
      <w:r w:rsidR="008934D1" w:rsidRPr="002910A5">
        <w:rPr>
          <w:rFonts w:ascii="Book Antiqua" w:hAnsi="Book Antiqua" w:cs="Times New Roman"/>
          <w:sz w:val="24"/>
          <w:szCs w:val="24"/>
        </w:rPr>
        <w:t>APT group</w:t>
      </w:r>
      <w:r w:rsidR="00EF1308" w:rsidRPr="002910A5">
        <w:rPr>
          <w:rFonts w:ascii="Book Antiqua" w:hAnsi="Book Antiqua" w:cs="Times New Roman"/>
          <w:sz w:val="24"/>
          <w:szCs w:val="24"/>
        </w:rPr>
        <w:t xml:space="preserve"> was more than twice those</w:t>
      </w:r>
      <w:r w:rsidR="00994A3B" w:rsidRPr="002910A5">
        <w:rPr>
          <w:rFonts w:ascii="Book Antiqua" w:hAnsi="Book Antiqua" w:cs="Times New Roman"/>
          <w:sz w:val="24"/>
          <w:szCs w:val="24"/>
        </w:rPr>
        <w:t xml:space="preserve"> in </w:t>
      </w:r>
      <w:r w:rsidR="00104537" w:rsidRPr="002910A5">
        <w:rPr>
          <w:rFonts w:ascii="Book Antiqua" w:hAnsi="Book Antiqua" w:cs="Times New Roman"/>
          <w:sz w:val="24"/>
          <w:szCs w:val="24"/>
        </w:rPr>
        <w:t xml:space="preserve">the group </w:t>
      </w:r>
      <w:r w:rsidR="00994A3B" w:rsidRPr="002910A5">
        <w:rPr>
          <w:rFonts w:ascii="Book Antiqua" w:hAnsi="Book Antiqua" w:cs="Times New Roman"/>
          <w:sz w:val="24"/>
          <w:szCs w:val="24"/>
        </w:rPr>
        <w:t>without</w:t>
      </w:r>
      <w:r>
        <w:rPr>
          <w:rFonts w:ascii="Book Antiqua" w:hAnsi="Book Antiqua" w:cs="Times New Roman"/>
          <w:sz w:val="24"/>
          <w:szCs w:val="24"/>
        </w:rPr>
        <w:t xml:space="preserve"> APT [</w:t>
      </w:r>
      <w:r w:rsidR="007A5DD4" w:rsidRPr="002910A5">
        <w:rPr>
          <w:rFonts w:ascii="Book Antiqua" w:hAnsi="Book Antiqua" w:cs="Times New Roman"/>
          <w:sz w:val="24"/>
          <w:szCs w:val="24"/>
        </w:rPr>
        <w:t>55.0%</w:t>
      </w:r>
      <w:r>
        <w:rPr>
          <w:rFonts w:ascii="Book Antiqua" w:hAnsi="Book Antiqua" w:cs="Times New Roman"/>
          <w:sz w:val="24"/>
          <w:szCs w:val="24"/>
        </w:rPr>
        <w:t xml:space="preserve"> (11/20)</w:t>
      </w:r>
      <w:r w:rsidR="00104537" w:rsidRPr="002910A5">
        <w:rPr>
          <w:rFonts w:ascii="Book Antiqua" w:hAnsi="Book Antiqua" w:cs="Times New Roman"/>
          <w:sz w:val="24"/>
          <w:szCs w:val="24"/>
        </w:rPr>
        <w:t xml:space="preserve"> </w:t>
      </w:r>
      <w:r w:rsidR="00104537" w:rsidRPr="009E3245">
        <w:rPr>
          <w:rFonts w:ascii="Book Antiqua" w:hAnsi="Book Antiqua" w:cs="Times New Roman"/>
          <w:i/>
          <w:sz w:val="24"/>
          <w:szCs w:val="24"/>
        </w:rPr>
        <w:t>vs</w:t>
      </w:r>
      <w:r w:rsidR="00104537" w:rsidRPr="002910A5">
        <w:rPr>
          <w:rFonts w:ascii="Book Antiqua" w:hAnsi="Book Antiqua" w:cs="Times New Roman"/>
          <w:sz w:val="24"/>
          <w:szCs w:val="24"/>
        </w:rPr>
        <w:t xml:space="preserve"> 23.8</w:t>
      </w:r>
      <w:r w:rsidR="007A5DD4" w:rsidRPr="002910A5">
        <w:rPr>
          <w:rFonts w:ascii="Book Antiqua" w:hAnsi="Book Antiqua" w:cs="Times New Roman"/>
          <w:sz w:val="24"/>
          <w:szCs w:val="24"/>
        </w:rPr>
        <w:t>%</w:t>
      </w:r>
      <w:r>
        <w:rPr>
          <w:rFonts w:ascii="Book Antiqua" w:hAnsi="Book Antiqua" w:cs="Times New Roman"/>
          <w:sz w:val="24"/>
          <w:szCs w:val="24"/>
        </w:rPr>
        <w:t xml:space="preserve"> (5/21)</w:t>
      </w:r>
      <w:r w:rsidR="00104537" w:rsidRPr="002910A5">
        <w:rPr>
          <w:rFonts w:ascii="Book Antiqua" w:hAnsi="Book Antiqua" w:cs="Times New Roman"/>
          <w:sz w:val="24"/>
          <w:szCs w:val="24"/>
        </w:rPr>
        <w:t>, respectively</w:t>
      </w:r>
      <w:r>
        <w:rPr>
          <w:rFonts w:ascii="Book Antiqua" w:hAnsi="Book Antiqua" w:cs="Times New Roman"/>
          <w:sz w:val="24"/>
          <w:szCs w:val="24"/>
        </w:rPr>
        <w:t>]</w:t>
      </w:r>
      <w:r w:rsidR="008934D1" w:rsidRPr="002910A5">
        <w:rPr>
          <w:rFonts w:ascii="Book Antiqua" w:hAnsi="Book Antiqua" w:cs="Times New Roman"/>
          <w:sz w:val="24"/>
          <w:szCs w:val="24"/>
        </w:rPr>
        <w:t xml:space="preserve">. </w:t>
      </w:r>
      <w:r w:rsidR="00104537" w:rsidRPr="002910A5">
        <w:rPr>
          <w:rFonts w:ascii="Book Antiqua" w:hAnsi="Book Antiqua" w:cs="Times New Roman"/>
          <w:sz w:val="24"/>
          <w:szCs w:val="24"/>
        </w:rPr>
        <w:t>O</w:t>
      </w:r>
      <w:r w:rsidR="00994A3B" w:rsidRPr="002910A5">
        <w:rPr>
          <w:rFonts w:ascii="Book Antiqua" w:hAnsi="Book Antiqua" w:cs="Times New Roman"/>
          <w:sz w:val="24"/>
          <w:szCs w:val="24"/>
        </w:rPr>
        <w:t>ur results</w:t>
      </w:r>
      <w:r w:rsidR="00104537" w:rsidRPr="002910A5">
        <w:rPr>
          <w:rFonts w:ascii="Book Antiqua" w:hAnsi="Book Antiqua" w:cs="Times New Roman"/>
          <w:sz w:val="24"/>
          <w:szCs w:val="24"/>
        </w:rPr>
        <w:t xml:space="preserve"> suggest</w:t>
      </w:r>
      <w:r w:rsidR="008370FE" w:rsidRPr="002910A5">
        <w:rPr>
          <w:rFonts w:ascii="Book Antiqua" w:hAnsi="Book Antiqua" w:cs="Times New Roman"/>
          <w:sz w:val="24"/>
          <w:szCs w:val="24"/>
        </w:rPr>
        <w:t xml:space="preserve"> that patients </w:t>
      </w:r>
      <w:r w:rsidR="00104537" w:rsidRPr="002910A5">
        <w:rPr>
          <w:rFonts w:ascii="Book Antiqua" w:hAnsi="Book Antiqua" w:cs="Times New Roman"/>
          <w:sz w:val="24"/>
          <w:szCs w:val="24"/>
        </w:rPr>
        <w:t>receiving</w:t>
      </w:r>
      <w:r w:rsidR="008370FE" w:rsidRPr="002910A5">
        <w:rPr>
          <w:rFonts w:ascii="Book Antiqua" w:hAnsi="Book Antiqua" w:cs="Times New Roman"/>
          <w:sz w:val="24"/>
          <w:szCs w:val="24"/>
        </w:rPr>
        <w:t xml:space="preserve"> APT should be carefully observed and managed </w:t>
      </w:r>
      <w:r w:rsidR="00994A3B" w:rsidRPr="002910A5">
        <w:rPr>
          <w:rFonts w:ascii="Book Antiqua" w:hAnsi="Book Antiqua" w:cs="Times New Roman"/>
          <w:sz w:val="24"/>
          <w:szCs w:val="24"/>
        </w:rPr>
        <w:t>with a long</w:t>
      </w:r>
      <w:bookmarkStart w:id="44" w:name="_GoBack"/>
      <w:bookmarkEnd w:id="44"/>
      <w:r w:rsidR="00994A3B" w:rsidRPr="002910A5">
        <w:rPr>
          <w:rFonts w:ascii="Book Antiqua" w:hAnsi="Book Antiqua" w:cs="Times New Roman"/>
          <w:sz w:val="24"/>
          <w:szCs w:val="24"/>
        </w:rPr>
        <w:t>er follow-up period</w:t>
      </w:r>
      <w:r w:rsidR="00C218F2" w:rsidRPr="002910A5">
        <w:rPr>
          <w:rFonts w:ascii="Book Antiqua" w:hAnsi="Book Antiqua" w:cs="Times New Roman"/>
          <w:sz w:val="24"/>
          <w:szCs w:val="24"/>
        </w:rPr>
        <w:t xml:space="preserve">. </w:t>
      </w:r>
      <w:r w:rsidR="00401658" w:rsidRPr="002910A5">
        <w:rPr>
          <w:rFonts w:ascii="Book Antiqua" w:hAnsi="Book Antiqua" w:cs="Times New Roman"/>
          <w:sz w:val="24"/>
          <w:szCs w:val="24"/>
        </w:rPr>
        <w:t xml:space="preserve">Several studies reported that multiple APAs therapy was associated with post-ESD </w:t>
      </w:r>
      <w:proofErr w:type="gramStart"/>
      <w:r w:rsidR="00401658" w:rsidRPr="002910A5">
        <w:rPr>
          <w:rFonts w:ascii="Book Antiqua" w:hAnsi="Book Antiqua" w:cs="Times New Roman"/>
          <w:sz w:val="24"/>
          <w:szCs w:val="24"/>
        </w:rPr>
        <w:t>bleeding</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2</w:t>
      </w:r>
      <w:r w:rsidR="00401658" w:rsidRPr="002910A5">
        <w:rPr>
          <w:rFonts w:ascii="Book Antiqua" w:hAnsi="Book Antiqua" w:cs="Times New Roman"/>
          <w:sz w:val="24"/>
          <w:szCs w:val="24"/>
          <w:vertAlign w:val="superscript"/>
        </w:rPr>
        <w:t>7</w:t>
      </w:r>
      <w:r w:rsidR="00A46860">
        <w:rPr>
          <w:rFonts w:ascii="Book Antiqua" w:eastAsia="Meiryo UI" w:hAnsi="Book Antiqua" w:cs="Times New Roman"/>
          <w:sz w:val="24"/>
          <w:szCs w:val="24"/>
          <w:vertAlign w:val="superscript"/>
        </w:rPr>
        <w:t>-</w:t>
      </w:r>
      <w:r w:rsidR="00401658" w:rsidRPr="002910A5">
        <w:rPr>
          <w:rFonts w:ascii="Book Antiqua" w:eastAsia="Meiryo UI" w:hAnsi="Book Antiqua" w:cs="Times New Roman"/>
          <w:sz w:val="24"/>
          <w:szCs w:val="24"/>
          <w:vertAlign w:val="superscript"/>
        </w:rPr>
        <w:t>29</w:t>
      </w:r>
      <w:r w:rsidR="00967247" w:rsidRPr="002910A5">
        <w:rPr>
          <w:rFonts w:ascii="Book Antiqua" w:eastAsia="Meiryo UI" w:hAnsi="Book Antiqua" w:cs="Times New Roman"/>
          <w:sz w:val="24"/>
          <w:szCs w:val="24"/>
          <w:vertAlign w:val="superscript"/>
        </w:rPr>
        <w:t>]</w:t>
      </w:r>
      <w:r w:rsidR="00967247" w:rsidRPr="002910A5">
        <w:rPr>
          <w:rFonts w:ascii="Book Antiqua" w:hAnsi="Book Antiqua" w:cs="Times New Roman"/>
          <w:sz w:val="24"/>
          <w:szCs w:val="24"/>
        </w:rPr>
        <w:t xml:space="preserve">. </w:t>
      </w:r>
      <w:r w:rsidR="00401658" w:rsidRPr="002910A5">
        <w:rPr>
          <w:rFonts w:ascii="Book Antiqua" w:hAnsi="Book Antiqua" w:cs="Times New Roman"/>
          <w:sz w:val="24"/>
          <w:szCs w:val="24"/>
        </w:rPr>
        <w:t xml:space="preserve">In our study, the incidence of postoperative bleeding in patients with discontinuous LDA </w:t>
      </w:r>
      <w:r w:rsidR="0030374E" w:rsidRPr="002910A5">
        <w:rPr>
          <w:rFonts w:ascii="Book Antiqua" w:hAnsi="Book Antiqua" w:cs="Times New Roman"/>
          <w:sz w:val="24"/>
          <w:szCs w:val="24"/>
        </w:rPr>
        <w:t>on DAPT was only one patient of which</w:t>
      </w:r>
      <w:r w:rsidR="00401658" w:rsidRPr="002910A5">
        <w:rPr>
          <w:rFonts w:ascii="Book Antiqua" w:hAnsi="Book Antiqua" w:cs="Times New Roman"/>
          <w:sz w:val="24"/>
          <w:szCs w:val="24"/>
        </w:rPr>
        <w:t xml:space="preserve"> bleeding occurred within 24 h. On the other hand, delayed bleeding was found in 6 out of 10 patients with postoperative bleeding on DAPT. Similarly, delayed bleeding was found in 6 out of 10 patients with postoperati</w:t>
      </w:r>
      <w:r w:rsidR="0030374E" w:rsidRPr="002910A5">
        <w:rPr>
          <w:rFonts w:ascii="Book Antiqua" w:hAnsi="Book Antiqua" w:cs="Times New Roman"/>
          <w:sz w:val="24"/>
          <w:szCs w:val="24"/>
        </w:rPr>
        <w:t>ve bleeding on single-LDA. Therefore</w:t>
      </w:r>
      <w:r w:rsidR="00401658" w:rsidRPr="002910A5">
        <w:rPr>
          <w:rFonts w:ascii="Book Antiqua" w:hAnsi="Book Antiqua" w:cs="Times New Roman"/>
          <w:sz w:val="24"/>
          <w:szCs w:val="24"/>
        </w:rPr>
        <w:t>,</w:t>
      </w:r>
      <w:r w:rsidR="0030374E" w:rsidRPr="002910A5">
        <w:rPr>
          <w:rFonts w:ascii="Book Antiqua" w:hAnsi="Book Antiqua" w:cs="Times New Roman"/>
          <w:sz w:val="24"/>
          <w:szCs w:val="24"/>
        </w:rPr>
        <w:t xml:space="preserve"> the</w:t>
      </w:r>
      <w:r w:rsidR="00401658" w:rsidRPr="002910A5">
        <w:rPr>
          <w:rFonts w:ascii="Book Antiqua" w:hAnsi="Book Antiqua" w:cs="Times New Roman"/>
          <w:sz w:val="24"/>
          <w:szCs w:val="24"/>
        </w:rPr>
        <w:t xml:space="preserve"> delayed bleeding might be associated with the reinitiating of LDA or clopidogrel rather than the number of APAs.</w:t>
      </w:r>
    </w:p>
    <w:p w14:paraId="556C29F6" w14:textId="26269727" w:rsidR="002310C9" w:rsidRPr="002910A5" w:rsidRDefault="009E3245" w:rsidP="009E3245">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962029" w:rsidRPr="002910A5">
        <w:rPr>
          <w:rFonts w:ascii="Book Antiqua" w:hAnsi="Book Antiqua" w:cs="Times New Roman"/>
          <w:sz w:val="24"/>
          <w:szCs w:val="24"/>
        </w:rPr>
        <w:t xml:space="preserve">Delayed bleeding was found in 6 patients in the continuous LDA on DAPT group: 5 out </w:t>
      </w:r>
      <w:r w:rsidR="001E0339" w:rsidRPr="002910A5">
        <w:rPr>
          <w:rFonts w:ascii="Book Antiqua" w:hAnsi="Book Antiqua" w:cs="Times New Roman"/>
          <w:sz w:val="24"/>
          <w:szCs w:val="24"/>
        </w:rPr>
        <w:t xml:space="preserve">of </w:t>
      </w:r>
      <w:r w:rsidR="00962029" w:rsidRPr="002910A5">
        <w:rPr>
          <w:rFonts w:ascii="Book Antiqua" w:hAnsi="Book Antiqua" w:cs="Times New Roman"/>
          <w:sz w:val="24"/>
          <w:szCs w:val="24"/>
        </w:rPr>
        <w:t>6</w:t>
      </w:r>
      <w:r w:rsidR="004018BF" w:rsidRPr="002910A5">
        <w:rPr>
          <w:rFonts w:ascii="Book Antiqua" w:hAnsi="Book Antiqua" w:cs="Times New Roman"/>
          <w:sz w:val="24"/>
          <w:szCs w:val="24"/>
        </w:rPr>
        <w:t xml:space="preserve"> patients</w:t>
      </w:r>
      <w:r w:rsidR="00962029" w:rsidRPr="002910A5">
        <w:rPr>
          <w:rFonts w:ascii="Book Antiqua" w:hAnsi="Book Antiqua" w:cs="Times New Roman"/>
          <w:sz w:val="24"/>
          <w:szCs w:val="24"/>
        </w:rPr>
        <w:t xml:space="preserve"> after 10 d and the remaining one on 9</w:t>
      </w:r>
      <w:r w:rsidR="00962029" w:rsidRPr="009E3245">
        <w:rPr>
          <w:rFonts w:ascii="Book Antiqua" w:hAnsi="Book Antiqua" w:cs="Times New Roman"/>
          <w:sz w:val="24"/>
          <w:szCs w:val="24"/>
          <w:vertAlign w:val="superscript"/>
        </w:rPr>
        <w:t>th</w:t>
      </w:r>
      <w:r w:rsidR="00962029" w:rsidRPr="002910A5">
        <w:rPr>
          <w:rFonts w:ascii="Book Antiqua" w:hAnsi="Book Antiqua" w:cs="Times New Roman"/>
          <w:sz w:val="24"/>
          <w:szCs w:val="24"/>
        </w:rPr>
        <w:t xml:space="preserve"> day after ESD. As clopidogrel is recommenced on approximately 5 d after ESD, the effect of </w:t>
      </w:r>
      <w:r w:rsidR="00962029" w:rsidRPr="002910A5">
        <w:rPr>
          <w:rFonts w:ascii="Book Antiqua" w:hAnsi="Book Antiqua" w:cs="Times New Roman"/>
          <w:sz w:val="24"/>
          <w:szCs w:val="24"/>
        </w:rPr>
        <w:lastRenderedPageBreak/>
        <w:t xml:space="preserve">clopidogrel might cause the delayed bleeding in the continuous LDA group on DAPT. The postoperative bleeding in patients on DAPT excluding the above 6 patients was observed on less than 48 h. On the other hand, in other patients on DAPT, the rate after 10 d in the continuous single-LDA group was almost similar to that in the </w:t>
      </w:r>
      <w:r>
        <w:rPr>
          <w:rFonts w:ascii="Book Antiqua" w:hAnsi="Book Antiqua" w:cs="Times New Roman"/>
          <w:sz w:val="24"/>
          <w:szCs w:val="24"/>
        </w:rPr>
        <w:t>discontinuous single-LDA group [33.3% (2/6)</w:t>
      </w:r>
      <w:r w:rsidR="00962029" w:rsidRPr="002910A5">
        <w:rPr>
          <w:rFonts w:ascii="Book Antiqua" w:hAnsi="Book Antiqua" w:cs="Times New Roman"/>
          <w:sz w:val="24"/>
          <w:szCs w:val="24"/>
        </w:rPr>
        <w:t xml:space="preserve"> </w:t>
      </w:r>
      <w:r w:rsidR="00962029" w:rsidRPr="009E3245">
        <w:rPr>
          <w:rFonts w:ascii="Book Antiqua" w:hAnsi="Book Antiqua" w:cs="Times New Roman"/>
          <w:i/>
          <w:sz w:val="24"/>
          <w:szCs w:val="24"/>
        </w:rPr>
        <w:t>vs</w:t>
      </w:r>
      <w:r>
        <w:rPr>
          <w:rFonts w:ascii="Book Antiqua" w:hAnsi="Book Antiqua" w:cs="Times New Roman"/>
          <w:sz w:val="24"/>
          <w:szCs w:val="24"/>
        </w:rPr>
        <w:t xml:space="preserve"> 25.0% (1/4</w:t>
      </w:r>
      <w:r w:rsidR="00962029" w:rsidRPr="002910A5">
        <w:rPr>
          <w:rFonts w:ascii="Book Antiqua" w:hAnsi="Book Antiqua" w:cs="Times New Roman"/>
          <w:sz w:val="24"/>
          <w:szCs w:val="24"/>
        </w:rPr>
        <w:t>)</w:t>
      </w:r>
      <w:r>
        <w:rPr>
          <w:rFonts w:ascii="Book Antiqua" w:hAnsi="Book Antiqua" w:cs="Times New Roman"/>
          <w:sz w:val="24"/>
          <w:szCs w:val="24"/>
        </w:rPr>
        <w:t>]</w:t>
      </w:r>
      <w:r w:rsidR="00962029" w:rsidRPr="002910A5">
        <w:rPr>
          <w:rFonts w:ascii="Book Antiqua" w:hAnsi="Book Antiqua" w:cs="Times New Roman"/>
          <w:sz w:val="24"/>
          <w:szCs w:val="24"/>
        </w:rPr>
        <w:t>. Hence, the present study suggests that the reinitiating of clopidogrel may be associated with the increasing risk of delayed bleeding after 5</w:t>
      </w:r>
      <w:r w:rsidR="00962029" w:rsidRPr="009E3245">
        <w:rPr>
          <w:rFonts w:ascii="Book Antiqua" w:hAnsi="Book Antiqua" w:cs="Times New Roman"/>
          <w:sz w:val="24"/>
          <w:szCs w:val="24"/>
          <w:vertAlign w:val="superscript"/>
        </w:rPr>
        <w:t>th</w:t>
      </w:r>
      <w:r w:rsidR="00962029" w:rsidRPr="002910A5">
        <w:rPr>
          <w:rFonts w:ascii="Book Antiqua" w:hAnsi="Book Antiqua" w:cs="Times New Roman"/>
          <w:sz w:val="24"/>
          <w:szCs w:val="24"/>
        </w:rPr>
        <w:t xml:space="preserve"> day from the reinitiating.</w:t>
      </w:r>
      <w:r w:rsidR="00872894" w:rsidRPr="002910A5">
        <w:rPr>
          <w:rFonts w:ascii="Book Antiqua" w:hAnsi="Book Antiqua" w:cs="Times New Roman"/>
          <w:sz w:val="24"/>
          <w:szCs w:val="24"/>
        </w:rPr>
        <w:t xml:space="preserve"> </w:t>
      </w:r>
      <w:r w:rsidR="00104537" w:rsidRPr="002910A5">
        <w:rPr>
          <w:rFonts w:ascii="Book Antiqua" w:hAnsi="Book Antiqua" w:cs="Times New Roman"/>
          <w:sz w:val="24"/>
          <w:szCs w:val="24"/>
        </w:rPr>
        <w:t>Patients receiving</w:t>
      </w:r>
      <w:r w:rsidR="002310C9" w:rsidRPr="002910A5">
        <w:rPr>
          <w:rFonts w:ascii="Book Antiqua" w:hAnsi="Book Antiqua" w:cs="Times New Roman"/>
          <w:sz w:val="24"/>
          <w:szCs w:val="24"/>
        </w:rPr>
        <w:t xml:space="preserve"> continuous LDA on DAPT </w:t>
      </w:r>
      <w:r w:rsidR="00104537" w:rsidRPr="002910A5">
        <w:rPr>
          <w:rFonts w:ascii="Book Antiqua" w:hAnsi="Book Antiqua" w:cs="Times New Roman"/>
          <w:sz w:val="24"/>
          <w:szCs w:val="24"/>
        </w:rPr>
        <w:t xml:space="preserve">may require </w:t>
      </w:r>
      <w:r w:rsidR="002310C9" w:rsidRPr="002910A5">
        <w:rPr>
          <w:rFonts w:ascii="Book Antiqua" w:hAnsi="Book Antiqua" w:cs="Times New Roman"/>
          <w:sz w:val="24"/>
          <w:szCs w:val="24"/>
        </w:rPr>
        <w:t xml:space="preserve">extended hospitalization </w:t>
      </w:r>
      <w:r w:rsidR="00EF1308" w:rsidRPr="002910A5">
        <w:rPr>
          <w:rFonts w:ascii="Book Antiqua" w:hAnsi="Book Antiqua" w:cs="Times New Roman"/>
          <w:sz w:val="24"/>
          <w:szCs w:val="24"/>
        </w:rPr>
        <w:t>and/</w:t>
      </w:r>
      <w:r w:rsidR="002310C9" w:rsidRPr="002910A5">
        <w:rPr>
          <w:rFonts w:ascii="Book Antiqua" w:hAnsi="Book Antiqua" w:cs="Times New Roman"/>
          <w:sz w:val="24"/>
          <w:szCs w:val="24"/>
        </w:rPr>
        <w:t xml:space="preserve">or </w:t>
      </w:r>
      <w:r w:rsidR="00104537" w:rsidRPr="002910A5">
        <w:rPr>
          <w:rFonts w:ascii="Book Antiqua" w:hAnsi="Book Antiqua" w:cs="Times New Roman"/>
          <w:sz w:val="24"/>
          <w:szCs w:val="24"/>
        </w:rPr>
        <w:t xml:space="preserve">need </w:t>
      </w:r>
      <w:r w:rsidR="002310C9" w:rsidRPr="002910A5">
        <w:rPr>
          <w:rFonts w:ascii="Book Antiqua" w:hAnsi="Book Antiqua" w:cs="Times New Roman"/>
          <w:sz w:val="24"/>
          <w:szCs w:val="24"/>
        </w:rPr>
        <w:t xml:space="preserve">to be </w:t>
      </w:r>
      <w:r w:rsidR="00104537" w:rsidRPr="002910A5">
        <w:rPr>
          <w:rFonts w:ascii="Book Antiqua" w:hAnsi="Book Antiqua" w:cs="Times New Roman"/>
          <w:sz w:val="24"/>
          <w:szCs w:val="24"/>
        </w:rPr>
        <w:t xml:space="preserve">managed on an </w:t>
      </w:r>
      <w:r w:rsidR="002310C9" w:rsidRPr="002910A5">
        <w:rPr>
          <w:rFonts w:ascii="Book Antiqua" w:hAnsi="Book Antiqua" w:cs="Times New Roman"/>
          <w:sz w:val="24"/>
          <w:szCs w:val="24"/>
        </w:rPr>
        <w:t xml:space="preserve">outpatient </w:t>
      </w:r>
      <w:r w:rsidR="00104537" w:rsidRPr="002910A5">
        <w:rPr>
          <w:rFonts w:ascii="Book Antiqua" w:hAnsi="Book Antiqua" w:cs="Times New Roman"/>
          <w:sz w:val="24"/>
          <w:szCs w:val="24"/>
        </w:rPr>
        <w:t xml:space="preserve">basis </w:t>
      </w:r>
      <w:r w:rsidR="00EF1308" w:rsidRPr="002910A5">
        <w:rPr>
          <w:rFonts w:ascii="Book Antiqua" w:hAnsi="Book Antiqua" w:cs="Times New Roman"/>
          <w:sz w:val="24"/>
          <w:szCs w:val="24"/>
        </w:rPr>
        <w:t>for</w:t>
      </w:r>
      <w:r w:rsidR="00104537" w:rsidRPr="002910A5">
        <w:rPr>
          <w:rFonts w:ascii="Book Antiqua" w:hAnsi="Book Antiqua" w:cs="Times New Roman"/>
          <w:sz w:val="24"/>
          <w:szCs w:val="24"/>
        </w:rPr>
        <w:t xml:space="preserve"> a</w:t>
      </w:r>
      <w:r w:rsidR="00EF1308" w:rsidRPr="002910A5">
        <w:rPr>
          <w:rFonts w:ascii="Book Antiqua" w:hAnsi="Book Antiqua" w:cs="Times New Roman"/>
          <w:sz w:val="24"/>
          <w:szCs w:val="24"/>
        </w:rPr>
        <w:t xml:space="preserve"> longer time</w:t>
      </w:r>
      <w:r w:rsidR="002310C9" w:rsidRPr="002910A5">
        <w:rPr>
          <w:rFonts w:ascii="Book Antiqua" w:hAnsi="Book Antiqua" w:cs="Times New Roman"/>
          <w:sz w:val="24"/>
          <w:szCs w:val="24"/>
        </w:rPr>
        <w:t>.</w:t>
      </w:r>
    </w:p>
    <w:p w14:paraId="556C29F7" w14:textId="0939C1E3" w:rsidR="00206648" w:rsidRPr="002910A5" w:rsidRDefault="009E3245" w:rsidP="009E3245">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DD7267" w:rsidRPr="002910A5">
        <w:rPr>
          <w:rFonts w:ascii="Book Antiqua" w:hAnsi="Book Antiqua" w:cs="Times New Roman"/>
          <w:sz w:val="24"/>
          <w:szCs w:val="24"/>
        </w:rPr>
        <w:t>This study has some</w:t>
      </w:r>
      <w:r w:rsidR="002310C9" w:rsidRPr="002910A5">
        <w:rPr>
          <w:rFonts w:ascii="Book Antiqua" w:hAnsi="Book Antiqua" w:cs="Times New Roman"/>
          <w:sz w:val="24"/>
          <w:szCs w:val="24"/>
        </w:rPr>
        <w:t xml:space="preserve"> limitations. First, this was a retrospective study done at a single institution. Second, the numbers of patients </w:t>
      </w:r>
      <w:r w:rsidR="00EF1308" w:rsidRPr="002910A5">
        <w:rPr>
          <w:rFonts w:ascii="Book Antiqua" w:hAnsi="Book Antiqua" w:cs="Times New Roman"/>
          <w:sz w:val="24"/>
          <w:szCs w:val="24"/>
        </w:rPr>
        <w:t>with postoperative bleeding might be</w:t>
      </w:r>
      <w:r w:rsidR="002310C9" w:rsidRPr="002910A5">
        <w:rPr>
          <w:rFonts w:ascii="Book Antiqua" w:hAnsi="Book Antiqua" w:cs="Times New Roman"/>
          <w:sz w:val="24"/>
          <w:szCs w:val="24"/>
        </w:rPr>
        <w:t xml:space="preserve"> comparatively small. </w:t>
      </w:r>
      <w:r w:rsidR="000512AE" w:rsidRPr="002910A5">
        <w:rPr>
          <w:rFonts w:ascii="Book Antiqua" w:hAnsi="Book Antiqua" w:cs="Times New Roman"/>
          <w:sz w:val="24"/>
          <w:szCs w:val="24"/>
        </w:rPr>
        <w:t xml:space="preserve">The postoperative bleeding rate in the continuous single-LDA group was similar to that in the discontinuous single-LDA group. On the other hand, the postoperative bleeding rate in </w:t>
      </w:r>
      <w:r w:rsidR="00104537" w:rsidRPr="002910A5">
        <w:rPr>
          <w:rFonts w:ascii="Book Antiqua" w:hAnsi="Book Antiqua" w:cs="Times New Roman"/>
          <w:sz w:val="24"/>
          <w:szCs w:val="24"/>
        </w:rPr>
        <w:t xml:space="preserve">patients receiving </w:t>
      </w:r>
      <w:r w:rsidR="000512AE" w:rsidRPr="002910A5">
        <w:rPr>
          <w:rFonts w:ascii="Book Antiqua" w:hAnsi="Book Antiqua" w:cs="Times New Roman"/>
          <w:sz w:val="24"/>
          <w:szCs w:val="24"/>
        </w:rPr>
        <w:t>continuous LDA on DAPT was four times</w:t>
      </w:r>
      <w:r w:rsidR="00104537" w:rsidRPr="002910A5">
        <w:rPr>
          <w:rFonts w:ascii="Book Antiqua" w:hAnsi="Book Antiqua" w:cs="Times New Roman"/>
          <w:sz w:val="24"/>
          <w:szCs w:val="24"/>
        </w:rPr>
        <w:t xml:space="preserve"> higher</w:t>
      </w:r>
      <w:r w:rsidR="000512AE" w:rsidRPr="002910A5">
        <w:rPr>
          <w:rFonts w:ascii="Book Antiqua" w:hAnsi="Book Antiqua" w:cs="Times New Roman"/>
          <w:sz w:val="24"/>
          <w:szCs w:val="24"/>
        </w:rPr>
        <w:t xml:space="preserve"> than that in </w:t>
      </w:r>
      <w:r w:rsidR="00104537" w:rsidRPr="002910A5">
        <w:rPr>
          <w:rFonts w:ascii="Book Antiqua" w:hAnsi="Book Antiqua" w:cs="Times New Roman"/>
          <w:sz w:val="24"/>
          <w:szCs w:val="24"/>
        </w:rPr>
        <w:t xml:space="preserve">patients receiving </w:t>
      </w:r>
      <w:r w:rsidR="000512AE" w:rsidRPr="002910A5">
        <w:rPr>
          <w:rFonts w:ascii="Book Antiqua" w:hAnsi="Book Antiqua" w:cs="Times New Roman"/>
          <w:sz w:val="24"/>
          <w:szCs w:val="24"/>
        </w:rPr>
        <w:t xml:space="preserve">discontinuous LDA on DAPT. </w:t>
      </w:r>
      <w:r w:rsidR="00FC2BC5" w:rsidRPr="002910A5">
        <w:rPr>
          <w:rFonts w:ascii="Book Antiqua" w:hAnsi="Book Antiqua" w:cs="Times New Roman"/>
          <w:sz w:val="24"/>
          <w:szCs w:val="24"/>
        </w:rPr>
        <w:t xml:space="preserve">This may be </w:t>
      </w:r>
      <w:r w:rsidR="00994A3B" w:rsidRPr="002910A5">
        <w:rPr>
          <w:rFonts w:ascii="Book Antiqua" w:hAnsi="Book Antiqua" w:cs="Times New Roman"/>
          <w:sz w:val="24"/>
          <w:szCs w:val="24"/>
        </w:rPr>
        <w:t xml:space="preserve">derived from the small number </w:t>
      </w:r>
      <w:r w:rsidR="00104537" w:rsidRPr="002910A5">
        <w:rPr>
          <w:rFonts w:ascii="Book Antiqua" w:hAnsi="Book Antiqua" w:cs="Times New Roman"/>
          <w:sz w:val="24"/>
          <w:szCs w:val="24"/>
        </w:rPr>
        <w:t xml:space="preserve">of </w:t>
      </w:r>
      <w:r w:rsidR="00994A3B" w:rsidRPr="002910A5">
        <w:rPr>
          <w:rFonts w:ascii="Book Antiqua" w:hAnsi="Book Antiqua" w:cs="Times New Roman"/>
          <w:sz w:val="24"/>
          <w:szCs w:val="24"/>
        </w:rPr>
        <w:t xml:space="preserve">cases </w:t>
      </w:r>
      <w:r w:rsidR="00104537" w:rsidRPr="002910A5">
        <w:rPr>
          <w:rFonts w:ascii="Book Antiqua" w:hAnsi="Book Antiqua" w:cs="Times New Roman"/>
          <w:sz w:val="24"/>
          <w:szCs w:val="24"/>
        </w:rPr>
        <w:t>receiv</w:t>
      </w:r>
      <w:r w:rsidR="00DD7267" w:rsidRPr="002910A5">
        <w:rPr>
          <w:rFonts w:ascii="Book Antiqua" w:hAnsi="Book Antiqua" w:cs="Times New Roman"/>
          <w:sz w:val="24"/>
          <w:szCs w:val="24"/>
        </w:rPr>
        <w:t>i</w:t>
      </w:r>
      <w:r w:rsidR="00104537" w:rsidRPr="002910A5">
        <w:rPr>
          <w:rFonts w:ascii="Book Antiqua" w:hAnsi="Book Antiqua" w:cs="Times New Roman"/>
          <w:sz w:val="24"/>
          <w:szCs w:val="24"/>
        </w:rPr>
        <w:t>ng</w:t>
      </w:r>
      <w:r w:rsidR="00FC2BC5" w:rsidRPr="002910A5">
        <w:rPr>
          <w:rFonts w:ascii="Book Antiqua" w:hAnsi="Book Antiqua" w:cs="Times New Roman"/>
          <w:sz w:val="24"/>
          <w:szCs w:val="24"/>
        </w:rPr>
        <w:t xml:space="preserve"> discontinuous LDA on DAPT. </w:t>
      </w:r>
      <w:r w:rsidR="00EF1308" w:rsidRPr="002910A5">
        <w:rPr>
          <w:rFonts w:ascii="Book Antiqua" w:hAnsi="Book Antiqua" w:cs="Times New Roman"/>
          <w:sz w:val="24"/>
          <w:szCs w:val="24"/>
        </w:rPr>
        <w:t xml:space="preserve">In the near future, it is mandatory to accumulate cases of gastric ESD on DAPT and to clarify the risks of the postoperative bleeding. </w:t>
      </w:r>
      <w:r w:rsidR="00104537" w:rsidRPr="002910A5">
        <w:rPr>
          <w:rFonts w:ascii="Book Antiqua" w:hAnsi="Book Antiqua" w:cs="Times New Roman"/>
          <w:sz w:val="24"/>
          <w:szCs w:val="24"/>
        </w:rPr>
        <w:t>However, patients receiving</w:t>
      </w:r>
      <w:r w:rsidR="00FC2BC5" w:rsidRPr="002910A5">
        <w:rPr>
          <w:rFonts w:ascii="Book Antiqua" w:hAnsi="Book Antiqua" w:cs="Times New Roman"/>
          <w:sz w:val="24"/>
          <w:szCs w:val="24"/>
        </w:rPr>
        <w:t xml:space="preserve"> DAPT </w:t>
      </w:r>
      <w:r w:rsidR="00AE5235" w:rsidRPr="002910A5">
        <w:rPr>
          <w:rFonts w:ascii="Book Antiqua" w:hAnsi="Book Antiqua" w:cs="Times New Roman"/>
          <w:sz w:val="24"/>
          <w:szCs w:val="24"/>
        </w:rPr>
        <w:t>usually</w:t>
      </w:r>
      <w:r w:rsidR="00104537" w:rsidRPr="002910A5">
        <w:rPr>
          <w:rFonts w:ascii="Book Antiqua" w:hAnsi="Book Antiqua" w:cs="Times New Roman"/>
          <w:sz w:val="24"/>
          <w:szCs w:val="24"/>
        </w:rPr>
        <w:t xml:space="preserve"> have</w:t>
      </w:r>
      <w:r w:rsidR="00AE5235" w:rsidRPr="002910A5">
        <w:rPr>
          <w:rFonts w:ascii="Book Antiqua" w:hAnsi="Book Antiqua" w:cs="Times New Roman"/>
          <w:sz w:val="24"/>
          <w:szCs w:val="24"/>
        </w:rPr>
        <w:t xml:space="preserve"> </w:t>
      </w:r>
      <w:r w:rsidR="00104537" w:rsidRPr="002910A5">
        <w:rPr>
          <w:rFonts w:ascii="Book Antiqua" w:hAnsi="Book Antiqua" w:cs="Times New Roman"/>
          <w:sz w:val="24"/>
          <w:szCs w:val="24"/>
        </w:rPr>
        <w:t xml:space="preserve">a </w:t>
      </w:r>
      <w:r w:rsidR="00AE5235" w:rsidRPr="002910A5">
        <w:rPr>
          <w:rFonts w:ascii="Book Antiqua" w:hAnsi="Book Antiqua" w:cs="Times New Roman"/>
          <w:sz w:val="24"/>
          <w:szCs w:val="24"/>
        </w:rPr>
        <w:t xml:space="preserve">high </w:t>
      </w:r>
      <w:r w:rsidR="00104537" w:rsidRPr="002910A5">
        <w:rPr>
          <w:rFonts w:ascii="Book Antiqua" w:hAnsi="Book Antiqua" w:cs="Times New Roman"/>
          <w:sz w:val="24"/>
          <w:szCs w:val="24"/>
        </w:rPr>
        <w:t>risk</w:t>
      </w:r>
      <w:r w:rsidR="00EF1308" w:rsidRPr="002910A5">
        <w:rPr>
          <w:rFonts w:ascii="Book Antiqua" w:hAnsi="Book Antiqua" w:cs="Times New Roman"/>
          <w:sz w:val="24"/>
          <w:szCs w:val="24"/>
        </w:rPr>
        <w:t xml:space="preserve"> </w:t>
      </w:r>
      <w:r w:rsidR="00104537" w:rsidRPr="002910A5">
        <w:rPr>
          <w:rFonts w:ascii="Book Antiqua" w:hAnsi="Book Antiqua" w:cs="Times New Roman"/>
          <w:sz w:val="24"/>
          <w:szCs w:val="24"/>
        </w:rPr>
        <w:t xml:space="preserve">of </w:t>
      </w:r>
      <w:r w:rsidR="00EF1308" w:rsidRPr="002910A5">
        <w:rPr>
          <w:rFonts w:ascii="Book Antiqua" w:hAnsi="Book Antiqua" w:cs="Times New Roman"/>
          <w:sz w:val="24"/>
          <w:szCs w:val="24"/>
        </w:rPr>
        <w:t>thrombosis via the discontinuation of APAs</w:t>
      </w:r>
      <w:r w:rsidR="005175D5" w:rsidRPr="002910A5">
        <w:rPr>
          <w:rFonts w:ascii="Book Antiqua" w:hAnsi="Book Antiqua" w:cs="Times New Roman"/>
          <w:sz w:val="24"/>
          <w:szCs w:val="24"/>
        </w:rPr>
        <w:t>. Thus, it may be</w:t>
      </w:r>
      <w:r w:rsidR="00AE5235" w:rsidRPr="002910A5">
        <w:rPr>
          <w:rFonts w:ascii="Book Antiqua" w:hAnsi="Book Antiqua" w:cs="Times New Roman"/>
          <w:sz w:val="24"/>
          <w:szCs w:val="24"/>
        </w:rPr>
        <w:t xml:space="preserve"> difficult to perform a randomized control</w:t>
      </w:r>
      <w:r w:rsidR="00104537" w:rsidRPr="002910A5">
        <w:rPr>
          <w:rFonts w:ascii="Book Antiqua" w:hAnsi="Book Antiqua" w:cs="Times New Roman"/>
          <w:sz w:val="24"/>
          <w:szCs w:val="24"/>
        </w:rPr>
        <w:t>led</w:t>
      </w:r>
      <w:r w:rsidR="00AE5235" w:rsidRPr="002910A5">
        <w:rPr>
          <w:rFonts w:ascii="Book Antiqua" w:hAnsi="Book Antiqua" w:cs="Times New Roman"/>
          <w:sz w:val="24"/>
          <w:szCs w:val="24"/>
        </w:rPr>
        <w:t xml:space="preserve"> study </w:t>
      </w:r>
      <w:r w:rsidR="00104537" w:rsidRPr="002910A5">
        <w:rPr>
          <w:rFonts w:ascii="Book Antiqua" w:hAnsi="Book Antiqua" w:cs="Times New Roman"/>
          <w:sz w:val="24"/>
          <w:szCs w:val="24"/>
        </w:rPr>
        <w:t>due</w:t>
      </w:r>
      <w:r w:rsidR="005175D5" w:rsidRPr="002910A5">
        <w:rPr>
          <w:rFonts w:ascii="Book Antiqua" w:hAnsi="Book Antiqua" w:cs="Times New Roman"/>
          <w:sz w:val="24"/>
          <w:szCs w:val="24"/>
        </w:rPr>
        <w:t xml:space="preserve"> to</w:t>
      </w:r>
      <w:r w:rsidR="00AE5235" w:rsidRPr="002910A5">
        <w:rPr>
          <w:rFonts w:ascii="Book Antiqua" w:hAnsi="Book Antiqua" w:cs="Times New Roman"/>
          <w:sz w:val="24"/>
          <w:szCs w:val="24"/>
        </w:rPr>
        <w:t xml:space="preserve"> </w:t>
      </w:r>
      <w:r w:rsidR="00186E1A" w:rsidRPr="002910A5">
        <w:rPr>
          <w:rFonts w:ascii="Book Antiqua" w:hAnsi="Book Antiqua" w:cs="Times New Roman"/>
          <w:sz w:val="24"/>
          <w:szCs w:val="24"/>
        </w:rPr>
        <w:t>ethical issue</w:t>
      </w:r>
      <w:r w:rsidR="00104537" w:rsidRPr="002910A5">
        <w:rPr>
          <w:rFonts w:ascii="Book Antiqua" w:hAnsi="Book Antiqua" w:cs="Times New Roman"/>
          <w:sz w:val="24"/>
          <w:szCs w:val="24"/>
        </w:rPr>
        <w:t>s</w:t>
      </w:r>
      <w:r w:rsidR="00186E1A" w:rsidRPr="002910A5">
        <w:rPr>
          <w:rFonts w:ascii="Book Antiqua" w:hAnsi="Book Antiqua" w:cs="Times New Roman"/>
          <w:sz w:val="24"/>
          <w:szCs w:val="24"/>
        </w:rPr>
        <w:t>.</w:t>
      </w:r>
    </w:p>
    <w:p w14:paraId="556C29F8" w14:textId="6E8F443D" w:rsidR="002310C9" w:rsidRPr="002910A5" w:rsidRDefault="009E3245" w:rsidP="002910A5">
      <w:pPr>
        <w:pStyle w:val="CommentText"/>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2310C9" w:rsidRPr="002910A5">
        <w:rPr>
          <w:rFonts w:ascii="Book Antiqua" w:hAnsi="Book Antiqua" w:cs="Times New Roman"/>
          <w:sz w:val="24"/>
          <w:szCs w:val="24"/>
        </w:rPr>
        <w:t xml:space="preserve">In conclusion, the continuous LDA administration may be acceptable for gastric ESD in patients </w:t>
      </w:r>
      <w:r w:rsidR="006E20EE" w:rsidRPr="002910A5">
        <w:rPr>
          <w:rFonts w:ascii="Book Antiqua" w:hAnsi="Book Antiqua" w:cs="Times New Roman"/>
          <w:sz w:val="24"/>
          <w:szCs w:val="24"/>
        </w:rPr>
        <w:t>receiving</w:t>
      </w:r>
      <w:r w:rsidR="002310C9" w:rsidRPr="002910A5">
        <w:rPr>
          <w:rFonts w:ascii="Book Antiqua" w:hAnsi="Book Antiqua" w:cs="Times New Roman"/>
          <w:sz w:val="24"/>
          <w:szCs w:val="24"/>
        </w:rPr>
        <w:t xml:space="preserve"> DAPT</w:t>
      </w:r>
      <w:r w:rsidR="006E20EE" w:rsidRPr="002910A5">
        <w:rPr>
          <w:rFonts w:ascii="Book Antiqua" w:hAnsi="Book Antiqua" w:cs="Times New Roman"/>
          <w:sz w:val="24"/>
          <w:szCs w:val="24"/>
        </w:rPr>
        <w:t>,</w:t>
      </w:r>
      <w:r w:rsidR="002310C9" w:rsidRPr="002910A5">
        <w:rPr>
          <w:rFonts w:ascii="Book Antiqua" w:hAnsi="Book Antiqua" w:cs="Times New Roman"/>
          <w:sz w:val="24"/>
          <w:szCs w:val="24"/>
        </w:rPr>
        <w:t xml:space="preserve"> although p</w:t>
      </w:r>
      <w:r w:rsidR="006E20EE" w:rsidRPr="002910A5">
        <w:rPr>
          <w:rFonts w:ascii="Book Antiqua" w:hAnsi="Book Antiqua" w:cs="Times New Roman"/>
          <w:sz w:val="24"/>
          <w:szCs w:val="24"/>
        </w:rPr>
        <w:t xml:space="preserve">atients should be carefully monitored for </w:t>
      </w:r>
      <w:r w:rsidR="002310C9" w:rsidRPr="002910A5">
        <w:rPr>
          <w:rFonts w:ascii="Book Antiqua" w:hAnsi="Book Antiqua" w:cs="Times New Roman"/>
          <w:sz w:val="24"/>
          <w:szCs w:val="24"/>
        </w:rPr>
        <w:t>possible</w:t>
      </w:r>
      <w:r w:rsidR="005175D5" w:rsidRPr="002910A5">
        <w:rPr>
          <w:rFonts w:ascii="Book Antiqua" w:hAnsi="Book Antiqua" w:cs="Times New Roman"/>
          <w:sz w:val="24"/>
          <w:szCs w:val="24"/>
        </w:rPr>
        <w:t xml:space="preserve"> postoperative</w:t>
      </w:r>
      <w:r w:rsidR="002310C9" w:rsidRPr="002910A5">
        <w:rPr>
          <w:rFonts w:ascii="Book Antiqua" w:hAnsi="Book Antiqua" w:cs="Times New Roman"/>
          <w:sz w:val="24"/>
          <w:szCs w:val="24"/>
        </w:rPr>
        <w:t xml:space="preserve"> bleeding.</w:t>
      </w:r>
    </w:p>
    <w:p w14:paraId="556C29F9" w14:textId="09E05D12" w:rsidR="002310C9" w:rsidRPr="002910A5" w:rsidRDefault="002310C9" w:rsidP="002910A5">
      <w:pPr>
        <w:adjustRightInd w:val="0"/>
        <w:snapToGrid w:val="0"/>
        <w:spacing w:line="360" w:lineRule="auto"/>
        <w:rPr>
          <w:rFonts w:ascii="Book Antiqua" w:hAnsi="Book Antiqua" w:cs="Times New Roman"/>
          <w:sz w:val="24"/>
          <w:szCs w:val="24"/>
        </w:rPr>
      </w:pPr>
    </w:p>
    <w:p w14:paraId="20B7D943" w14:textId="39B2FDCE" w:rsidR="00F27DA2" w:rsidRPr="002910A5" w:rsidRDefault="00E377FA" w:rsidP="00866E07">
      <w:pPr>
        <w:adjustRightInd w:val="0"/>
        <w:snapToGrid w:val="0"/>
        <w:spacing w:line="360" w:lineRule="auto"/>
        <w:outlineLvl w:val="0"/>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ARTICLE HIGHLIGHTS</w:t>
      </w:r>
    </w:p>
    <w:p w14:paraId="22BF9397" w14:textId="6D3FDBEB" w:rsidR="00E377FA" w:rsidRPr="002910A5" w:rsidRDefault="00E377FA" w:rsidP="00866E07">
      <w:pPr>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background</w:t>
      </w:r>
    </w:p>
    <w:p w14:paraId="2613FCC9" w14:textId="0EA678C1" w:rsidR="00F27DA2" w:rsidRDefault="00E377FA" w:rsidP="002910A5">
      <w:pPr>
        <w:widowControl/>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lastRenderedPageBreak/>
        <w:t>The postoperative bleeding after gastric endoscopic submucosal dissection (ESD) with continuous low dose aspirin (LDA) in patients with dual antiplatelet therapy (DAPT) is unclear.</w:t>
      </w:r>
    </w:p>
    <w:p w14:paraId="07CFE055"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044E497F" w14:textId="45F76A3B" w:rsidR="00F27DA2" w:rsidRPr="002910A5" w:rsidRDefault="00E377FA"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motivation</w:t>
      </w:r>
    </w:p>
    <w:p w14:paraId="4F0BE13E" w14:textId="4CDDDF91" w:rsidR="00F27DA2" w:rsidRDefault="00E377FA" w:rsidP="002910A5">
      <w:pPr>
        <w:widowControl/>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Previous studies have had several limitations, such as small sample size and use of other types of thienopyridines, such as ticlopidine. We </w:t>
      </w:r>
      <w:r w:rsidR="00596CD0" w:rsidRPr="002910A5">
        <w:rPr>
          <w:rFonts w:ascii="Book Antiqua" w:hAnsi="Book Antiqua" w:cs="Times New Roman"/>
          <w:sz w:val="24"/>
          <w:szCs w:val="24"/>
        </w:rPr>
        <w:t>investigated the effect of only clopidogrel as thienopyridine.</w:t>
      </w:r>
    </w:p>
    <w:p w14:paraId="76D68A79"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70617948" w14:textId="73DAA6F1" w:rsidR="00F27DA2"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objectives</w:t>
      </w:r>
    </w:p>
    <w:p w14:paraId="39204004" w14:textId="365FB662" w:rsidR="00206D90" w:rsidRDefault="00807E70"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Evaluate the postoperative bleeding for the effect of continuous LDA in patients with DAPT.</w:t>
      </w:r>
    </w:p>
    <w:p w14:paraId="1F8B4B21" w14:textId="77777777" w:rsidR="009E3245" w:rsidRPr="002910A5" w:rsidRDefault="009E3245" w:rsidP="002910A5">
      <w:pPr>
        <w:widowControl/>
        <w:adjustRightInd w:val="0"/>
        <w:snapToGrid w:val="0"/>
        <w:spacing w:line="360" w:lineRule="auto"/>
        <w:rPr>
          <w:rFonts w:ascii="Book Antiqua" w:eastAsia="MS PGothic" w:hAnsi="Book Antiqua" w:cs="Times New Roman"/>
          <w:kern w:val="0"/>
          <w:sz w:val="24"/>
          <w:szCs w:val="24"/>
        </w:rPr>
      </w:pPr>
    </w:p>
    <w:p w14:paraId="10E49F0D" w14:textId="637BB02A" w:rsidR="00807E70"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methods</w:t>
      </w:r>
    </w:p>
    <w:p w14:paraId="1B221480" w14:textId="41D8C295" w:rsidR="00807E70" w:rsidRDefault="00807E70"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hAnsi="Book Antiqua" w:cs="Times New Roman"/>
          <w:sz w:val="24"/>
          <w:szCs w:val="24"/>
        </w:rPr>
        <w:t>A total of 597 patients with gastric neoplasms treated with ESD between January 2010 and June 2017 were enrolled.</w:t>
      </w:r>
      <w:r w:rsidRPr="002910A5">
        <w:rPr>
          <w:rFonts w:ascii="Book Antiqua" w:eastAsia="MS PGothic" w:hAnsi="Book Antiqua" w:cs="Times New Roman"/>
          <w:kern w:val="0"/>
          <w:sz w:val="24"/>
          <w:szCs w:val="24"/>
        </w:rPr>
        <w:t xml:space="preserve"> Among them, we analyzed 59 patients receiving DAPT. The main outcome was the postoperative bleeding after ESD.</w:t>
      </w:r>
    </w:p>
    <w:p w14:paraId="3DCDFE8A"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72D1D299" w14:textId="32BCC34D" w:rsidR="00F27DA2"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results</w:t>
      </w:r>
    </w:p>
    <w:p w14:paraId="2922BA7B" w14:textId="615C7942" w:rsidR="00807E70" w:rsidRDefault="00807E70" w:rsidP="002910A5">
      <w:pPr>
        <w:widowControl/>
        <w:adjustRightInd w:val="0"/>
        <w:snapToGrid w:val="0"/>
        <w:spacing w:line="360" w:lineRule="auto"/>
        <w:rPr>
          <w:rFonts w:ascii="Book Antiqua" w:hAnsi="Book Antiqua" w:cs="Times New Roman"/>
          <w:kern w:val="24"/>
          <w:sz w:val="24"/>
          <w:szCs w:val="24"/>
        </w:rPr>
      </w:pPr>
      <w:r w:rsidRPr="002910A5">
        <w:rPr>
          <w:rFonts w:ascii="Book Antiqua" w:hAnsi="Book Antiqua" w:cs="Times New Roman"/>
          <w:kern w:val="24"/>
          <w:sz w:val="24"/>
          <w:szCs w:val="24"/>
        </w:rPr>
        <w:t>The bleeding rate with continuous LDA i</w:t>
      </w:r>
      <w:r w:rsidR="009E3245">
        <w:rPr>
          <w:rFonts w:ascii="Book Antiqua" w:hAnsi="Book Antiqua" w:cs="Times New Roman"/>
          <w:kern w:val="24"/>
          <w:sz w:val="24"/>
          <w:szCs w:val="24"/>
        </w:rPr>
        <w:t>n patients receiving DAPT (23.1</w:t>
      </w:r>
      <w:r w:rsidRPr="002910A5">
        <w:rPr>
          <w:rFonts w:ascii="Book Antiqua" w:hAnsi="Book Antiqua" w:cs="Times New Roman"/>
          <w:kern w:val="24"/>
          <w:sz w:val="24"/>
          <w:szCs w:val="24"/>
        </w:rPr>
        <w:t xml:space="preserve">%) was higher than that with discontinuous LDA </w:t>
      </w:r>
      <w:r w:rsidR="009E3245">
        <w:rPr>
          <w:rFonts w:ascii="Book Antiqua" w:hAnsi="Book Antiqua" w:cs="Times New Roman"/>
          <w:kern w:val="24"/>
          <w:sz w:val="24"/>
          <w:szCs w:val="24"/>
        </w:rPr>
        <w:t>in patients receiving DAPT (5.0</w:t>
      </w:r>
      <w:r w:rsidRPr="002910A5">
        <w:rPr>
          <w:rFonts w:ascii="Book Antiqua" w:hAnsi="Book Antiqua" w:cs="Times New Roman"/>
          <w:kern w:val="24"/>
          <w:sz w:val="24"/>
          <w:szCs w:val="24"/>
        </w:rPr>
        <w:t>%).</w:t>
      </w:r>
    </w:p>
    <w:p w14:paraId="33A4CE9D"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41F6C3A3" w14:textId="1FAA07EB" w:rsidR="00807E70"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conclusions</w:t>
      </w:r>
    </w:p>
    <w:p w14:paraId="58FE78EB" w14:textId="54B5D71C" w:rsidR="00807E70" w:rsidRDefault="00A81E3D" w:rsidP="002910A5">
      <w:pPr>
        <w:widowControl/>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The bleeding rate with continuous LDA in patients receiving DAPT was not statistically different from that with</w:t>
      </w:r>
      <w:r w:rsidRPr="002910A5">
        <w:rPr>
          <w:rFonts w:ascii="Book Antiqua" w:hAnsi="Book Antiqua" w:cs="Times New Roman"/>
          <w:kern w:val="24"/>
          <w:sz w:val="24"/>
          <w:szCs w:val="24"/>
        </w:rPr>
        <w:t xml:space="preserve"> discontinuous LDA in patients receiving DAPT</w:t>
      </w:r>
      <w:r w:rsidRPr="002910A5">
        <w:rPr>
          <w:rFonts w:ascii="Book Antiqua" w:hAnsi="Book Antiqua" w:cs="Times New Roman"/>
          <w:sz w:val="24"/>
          <w:szCs w:val="24"/>
        </w:rPr>
        <w:t>.</w:t>
      </w:r>
    </w:p>
    <w:p w14:paraId="54973D9E" w14:textId="77777777" w:rsidR="009E3245" w:rsidRPr="002910A5" w:rsidRDefault="009E3245" w:rsidP="002910A5">
      <w:pPr>
        <w:widowControl/>
        <w:adjustRightInd w:val="0"/>
        <w:snapToGrid w:val="0"/>
        <w:spacing w:line="360" w:lineRule="auto"/>
        <w:rPr>
          <w:rFonts w:ascii="Book Antiqua" w:hAnsi="Book Antiqua" w:cs="Times New Roman"/>
          <w:sz w:val="24"/>
          <w:szCs w:val="24"/>
        </w:rPr>
      </w:pPr>
    </w:p>
    <w:p w14:paraId="5F0A32FF" w14:textId="625D4EE3" w:rsidR="00A81E3D" w:rsidRPr="002910A5" w:rsidRDefault="00A81E3D"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perspectives</w:t>
      </w:r>
    </w:p>
    <w:p w14:paraId="4232BE85" w14:textId="03058605" w:rsidR="00A81E3D" w:rsidRPr="002910A5" w:rsidRDefault="00A81E3D" w:rsidP="002910A5">
      <w:pPr>
        <w:pStyle w:val="CommentText"/>
        <w:adjustRightInd w:val="0"/>
        <w:snapToGrid w:val="0"/>
        <w:spacing w:line="360" w:lineRule="auto"/>
        <w:jc w:val="both"/>
        <w:rPr>
          <w:rFonts w:ascii="Book Antiqua" w:hAnsi="Book Antiqua" w:cs="Times New Roman"/>
          <w:sz w:val="24"/>
          <w:szCs w:val="24"/>
        </w:rPr>
      </w:pPr>
      <w:r w:rsidRPr="002910A5">
        <w:rPr>
          <w:rFonts w:ascii="Book Antiqua" w:hAnsi="Book Antiqua" w:cs="Times New Roman"/>
          <w:sz w:val="24"/>
          <w:szCs w:val="24"/>
        </w:rPr>
        <w:t xml:space="preserve">The continuous LDA administration may be acceptable for gastric ESD in </w:t>
      </w:r>
      <w:r w:rsidRPr="002910A5">
        <w:rPr>
          <w:rFonts w:ascii="Book Antiqua" w:hAnsi="Book Antiqua" w:cs="Times New Roman"/>
          <w:sz w:val="24"/>
          <w:szCs w:val="24"/>
        </w:rPr>
        <w:lastRenderedPageBreak/>
        <w:t>patients receiving DAPT, although patients should be carefully monitored for possible postoperative bleeding.</w:t>
      </w:r>
    </w:p>
    <w:p w14:paraId="79F33CE8" w14:textId="77777777" w:rsidR="009E3245" w:rsidRDefault="009E3245">
      <w:pPr>
        <w:widowControl/>
        <w:jc w:val="left"/>
        <w:rPr>
          <w:rFonts w:ascii="Book Antiqua" w:eastAsia="MS PGothic" w:hAnsi="Book Antiqua" w:cs="Times New Roman"/>
          <w:b/>
          <w:kern w:val="0"/>
          <w:sz w:val="24"/>
          <w:szCs w:val="24"/>
        </w:rPr>
      </w:pPr>
      <w:r>
        <w:rPr>
          <w:rFonts w:ascii="Book Antiqua" w:eastAsia="MS PGothic" w:hAnsi="Book Antiqua" w:cs="Times New Roman"/>
          <w:b/>
          <w:kern w:val="0"/>
          <w:sz w:val="24"/>
          <w:szCs w:val="24"/>
        </w:rPr>
        <w:br w:type="page"/>
      </w:r>
    </w:p>
    <w:p w14:paraId="556C29FD" w14:textId="4923B568" w:rsidR="00CC3198" w:rsidRPr="002910A5" w:rsidRDefault="007B55B0"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lastRenderedPageBreak/>
        <w:t>REFERENCES</w:t>
      </w:r>
    </w:p>
    <w:p w14:paraId="6D31E1D5"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1 </w:t>
      </w:r>
      <w:r w:rsidRPr="004B0C7E">
        <w:rPr>
          <w:rFonts w:ascii="Book Antiqua" w:hAnsi="Book Antiqua" w:cs="Times New Roman"/>
          <w:b/>
          <w:bCs/>
          <w:sz w:val="24"/>
          <w:szCs w:val="24"/>
        </w:rPr>
        <w:t>Takizawa K</w:t>
      </w:r>
      <w:r w:rsidRPr="004B0C7E">
        <w:rPr>
          <w:rFonts w:ascii="Book Antiqua" w:hAnsi="Book Antiqua" w:cs="Times New Roman"/>
          <w:sz w:val="24"/>
          <w:szCs w:val="24"/>
        </w:rPr>
        <w:t xml:space="preserve">, Oda I, </w:t>
      </w:r>
      <w:proofErr w:type="spellStart"/>
      <w:r w:rsidRPr="004B0C7E">
        <w:rPr>
          <w:rFonts w:ascii="Book Antiqua" w:hAnsi="Book Antiqua" w:cs="Times New Roman"/>
          <w:sz w:val="24"/>
          <w:szCs w:val="24"/>
        </w:rPr>
        <w:t>Gotoda</w:t>
      </w:r>
      <w:proofErr w:type="spellEnd"/>
      <w:r w:rsidRPr="004B0C7E">
        <w:rPr>
          <w:rFonts w:ascii="Book Antiqua" w:hAnsi="Book Antiqua" w:cs="Times New Roman"/>
          <w:sz w:val="24"/>
          <w:szCs w:val="24"/>
        </w:rPr>
        <w:t xml:space="preserve"> T, Yokoi C, Matsuda T, Saito Y, Saito D, Ono H. Routine coagulation of visible vessels may prevent delayed bleeding after endoscopic submucosal dissection--an analysis of risk factors. </w:t>
      </w:r>
      <w:r w:rsidRPr="004B0C7E">
        <w:rPr>
          <w:rFonts w:ascii="Book Antiqua" w:hAnsi="Book Antiqua" w:cs="Times New Roman"/>
          <w:i/>
          <w:iCs/>
          <w:sz w:val="24"/>
          <w:szCs w:val="24"/>
        </w:rPr>
        <w:t>Endoscopy</w:t>
      </w:r>
      <w:r w:rsidRPr="004B0C7E">
        <w:rPr>
          <w:rFonts w:ascii="Book Antiqua" w:hAnsi="Book Antiqua" w:cs="Times New Roman"/>
          <w:sz w:val="24"/>
          <w:szCs w:val="24"/>
        </w:rPr>
        <w:t> 2008; </w:t>
      </w:r>
      <w:r w:rsidRPr="004B0C7E">
        <w:rPr>
          <w:rFonts w:ascii="Book Antiqua" w:hAnsi="Book Antiqua" w:cs="Times New Roman"/>
          <w:b/>
          <w:bCs/>
          <w:sz w:val="24"/>
          <w:szCs w:val="24"/>
        </w:rPr>
        <w:t>40</w:t>
      </w:r>
      <w:r w:rsidRPr="004B0C7E">
        <w:rPr>
          <w:rFonts w:ascii="Book Antiqua" w:hAnsi="Book Antiqua" w:cs="Times New Roman"/>
          <w:sz w:val="24"/>
          <w:szCs w:val="24"/>
        </w:rPr>
        <w:t>: 179-183 [PMID: 18322872 DOI: 10.1055/s-2007-995530]</w:t>
      </w:r>
    </w:p>
    <w:p w14:paraId="2DB1946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2 </w:t>
      </w:r>
      <w:r w:rsidRPr="004B0C7E">
        <w:rPr>
          <w:rFonts w:ascii="Book Antiqua" w:hAnsi="Book Antiqua" w:cs="Times New Roman"/>
          <w:b/>
          <w:bCs/>
          <w:sz w:val="24"/>
          <w:szCs w:val="24"/>
        </w:rPr>
        <w:t>Chung IK</w:t>
      </w:r>
      <w:r w:rsidRPr="004B0C7E">
        <w:rPr>
          <w:rFonts w:ascii="Book Antiqua" w:hAnsi="Book Antiqua" w:cs="Times New Roman"/>
          <w:sz w:val="24"/>
          <w:szCs w:val="24"/>
        </w:rPr>
        <w:t xml:space="preserve">, Lee JH, Lee SH, Kim SJ, Cho JY, Cho WY, </w:t>
      </w:r>
      <w:proofErr w:type="spellStart"/>
      <w:r w:rsidRPr="004B0C7E">
        <w:rPr>
          <w:rFonts w:ascii="Book Antiqua" w:hAnsi="Book Antiqua" w:cs="Times New Roman"/>
          <w:sz w:val="24"/>
          <w:szCs w:val="24"/>
        </w:rPr>
        <w:t>Hwangbo</w:t>
      </w:r>
      <w:proofErr w:type="spellEnd"/>
      <w:r w:rsidRPr="004B0C7E">
        <w:rPr>
          <w:rFonts w:ascii="Book Antiqua" w:hAnsi="Book Antiqua" w:cs="Times New Roman"/>
          <w:sz w:val="24"/>
          <w:szCs w:val="24"/>
        </w:rPr>
        <w:t xml:space="preserve"> Y, </w:t>
      </w:r>
      <w:proofErr w:type="spellStart"/>
      <w:r w:rsidRPr="004B0C7E">
        <w:rPr>
          <w:rFonts w:ascii="Book Antiqua" w:hAnsi="Book Antiqua" w:cs="Times New Roman"/>
          <w:sz w:val="24"/>
          <w:szCs w:val="24"/>
        </w:rPr>
        <w:t>Keum</w:t>
      </w:r>
      <w:proofErr w:type="spellEnd"/>
      <w:r w:rsidRPr="004B0C7E">
        <w:rPr>
          <w:rFonts w:ascii="Book Antiqua" w:hAnsi="Book Antiqua" w:cs="Times New Roman"/>
          <w:sz w:val="24"/>
          <w:szCs w:val="24"/>
        </w:rPr>
        <w:t xml:space="preserve"> BR, Park JJ, Chun HJ, Kim HJ, Kim JJ, Ji SR, </w:t>
      </w:r>
      <w:proofErr w:type="spellStart"/>
      <w:r w:rsidRPr="004B0C7E">
        <w:rPr>
          <w:rFonts w:ascii="Book Antiqua" w:hAnsi="Book Antiqua" w:cs="Times New Roman"/>
          <w:sz w:val="24"/>
          <w:szCs w:val="24"/>
        </w:rPr>
        <w:t>Seol</w:t>
      </w:r>
      <w:proofErr w:type="spellEnd"/>
      <w:r w:rsidRPr="004B0C7E">
        <w:rPr>
          <w:rFonts w:ascii="Book Antiqua" w:hAnsi="Book Antiqua" w:cs="Times New Roman"/>
          <w:sz w:val="24"/>
          <w:szCs w:val="24"/>
        </w:rPr>
        <w:t xml:space="preserve"> SY. Therapeutic outcomes in 1000 cases of endoscopic submucosal dissection for early gastric neoplasms: Korean ESD Study Group multicenter study.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2009; </w:t>
      </w:r>
      <w:r w:rsidRPr="004B0C7E">
        <w:rPr>
          <w:rFonts w:ascii="Book Antiqua" w:hAnsi="Book Antiqua" w:cs="Times New Roman"/>
          <w:b/>
          <w:bCs/>
          <w:sz w:val="24"/>
          <w:szCs w:val="24"/>
        </w:rPr>
        <w:t>69</w:t>
      </w:r>
      <w:r w:rsidRPr="004B0C7E">
        <w:rPr>
          <w:rFonts w:ascii="Book Antiqua" w:hAnsi="Book Antiqua" w:cs="Times New Roman"/>
          <w:sz w:val="24"/>
          <w:szCs w:val="24"/>
        </w:rPr>
        <w:t>: 1228-1235 [PMID: 19249769 DOI: 10.1016/j.gie.2008.09.027]</w:t>
      </w:r>
    </w:p>
    <w:p w14:paraId="1097F0BE"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3 </w:t>
      </w:r>
      <w:r w:rsidRPr="004B0C7E">
        <w:rPr>
          <w:rFonts w:ascii="Book Antiqua" w:hAnsi="Book Antiqua" w:cs="Times New Roman"/>
          <w:b/>
          <w:bCs/>
          <w:sz w:val="24"/>
          <w:szCs w:val="24"/>
        </w:rPr>
        <w:t>Yamaguchi N</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Isomoto</w:t>
      </w:r>
      <w:proofErr w:type="spellEnd"/>
      <w:r w:rsidRPr="004B0C7E">
        <w:rPr>
          <w:rFonts w:ascii="Book Antiqua" w:hAnsi="Book Antiqua" w:cs="Times New Roman"/>
          <w:sz w:val="24"/>
          <w:szCs w:val="24"/>
        </w:rPr>
        <w:t xml:space="preserve"> H, Fukuda E, Ikeda K, Nishiyama H, Akiyama M, Ozawa E, </w:t>
      </w:r>
      <w:proofErr w:type="spellStart"/>
      <w:r w:rsidRPr="004B0C7E">
        <w:rPr>
          <w:rFonts w:ascii="Book Antiqua" w:hAnsi="Book Antiqua" w:cs="Times New Roman"/>
          <w:sz w:val="24"/>
          <w:szCs w:val="24"/>
        </w:rPr>
        <w:t>Ohnita</w:t>
      </w:r>
      <w:proofErr w:type="spellEnd"/>
      <w:r w:rsidRPr="004B0C7E">
        <w:rPr>
          <w:rFonts w:ascii="Book Antiqua" w:hAnsi="Book Antiqua" w:cs="Times New Roman"/>
          <w:sz w:val="24"/>
          <w:szCs w:val="24"/>
        </w:rPr>
        <w:t xml:space="preserve"> K, Hayashi T, Nakao K, Kohno S, </w:t>
      </w:r>
      <w:proofErr w:type="spellStart"/>
      <w:r w:rsidRPr="004B0C7E">
        <w:rPr>
          <w:rFonts w:ascii="Book Antiqua" w:hAnsi="Book Antiqua" w:cs="Times New Roman"/>
          <w:sz w:val="24"/>
          <w:szCs w:val="24"/>
        </w:rPr>
        <w:t>Shikuwa</w:t>
      </w:r>
      <w:proofErr w:type="spellEnd"/>
      <w:r w:rsidRPr="004B0C7E">
        <w:rPr>
          <w:rFonts w:ascii="Book Antiqua" w:hAnsi="Book Antiqua" w:cs="Times New Roman"/>
          <w:sz w:val="24"/>
          <w:szCs w:val="24"/>
        </w:rPr>
        <w:t xml:space="preserve"> S. Clinical outcomes of endoscopic submucosal dissection for early gastric cancer by indication criteria. </w:t>
      </w:r>
      <w:r w:rsidRPr="004B0C7E">
        <w:rPr>
          <w:rFonts w:ascii="Book Antiqua" w:hAnsi="Book Antiqua" w:cs="Times New Roman"/>
          <w:i/>
          <w:iCs/>
          <w:sz w:val="24"/>
          <w:szCs w:val="24"/>
        </w:rPr>
        <w:t>Digestion</w:t>
      </w:r>
      <w:r w:rsidRPr="004B0C7E">
        <w:rPr>
          <w:rFonts w:ascii="Book Antiqua" w:hAnsi="Book Antiqua" w:cs="Times New Roman"/>
          <w:sz w:val="24"/>
          <w:szCs w:val="24"/>
        </w:rPr>
        <w:t> 2009; </w:t>
      </w:r>
      <w:r w:rsidRPr="004B0C7E">
        <w:rPr>
          <w:rFonts w:ascii="Book Antiqua" w:hAnsi="Book Antiqua" w:cs="Times New Roman"/>
          <w:b/>
          <w:bCs/>
          <w:sz w:val="24"/>
          <w:szCs w:val="24"/>
        </w:rPr>
        <w:t>80</w:t>
      </w:r>
      <w:r w:rsidRPr="004B0C7E">
        <w:rPr>
          <w:rFonts w:ascii="Book Antiqua" w:hAnsi="Book Antiqua" w:cs="Times New Roman"/>
          <w:sz w:val="24"/>
          <w:szCs w:val="24"/>
        </w:rPr>
        <w:t>: 173-181 [PMID: 19776581 DOI: 10.1159/000215388]</w:t>
      </w:r>
    </w:p>
    <w:p w14:paraId="2FFB6604" w14:textId="77777777" w:rsidR="004B0C7E" w:rsidRPr="006E2E49"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4 </w:t>
      </w:r>
      <w:proofErr w:type="spellStart"/>
      <w:r w:rsidRPr="004B0C7E">
        <w:rPr>
          <w:rFonts w:ascii="Book Antiqua" w:hAnsi="Book Antiqua" w:cs="Times New Roman"/>
          <w:b/>
          <w:bCs/>
          <w:sz w:val="24"/>
          <w:szCs w:val="24"/>
        </w:rPr>
        <w:t>Goto</w:t>
      </w:r>
      <w:proofErr w:type="spellEnd"/>
      <w:r w:rsidRPr="004B0C7E">
        <w:rPr>
          <w:rFonts w:ascii="Book Antiqua" w:hAnsi="Book Antiqua" w:cs="Times New Roman"/>
          <w:b/>
          <w:bCs/>
          <w:sz w:val="24"/>
          <w:szCs w:val="24"/>
        </w:rPr>
        <w:t xml:space="preserve"> O</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Fujishiro</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Kodashima</w:t>
      </w:r>
      <w:proofErr w:type="spellEnd"/>
      <w:r w:rsidRPr="004B0C7E">
        <w:rPr>
          <w:rFonts w:ascii="Book Antiqua" w:hAnsi="Book Antiqua" w:cs="Times New Roman"/>
          <w:sz w:val="24"/>
          <w:szCs w:val="24"/>
        </w:rPr>
        <w:t xml:space="preserve"> S, Ono S, </w:t>
      </w:r>
      <w:proofErr w:type="spellStart"/>
      <w:r w:rsidRPr="004B0C7E">
        <w:rPr>
          <w:rFonts w:ascii="Book Antiqua" w:hAnsi="Book Antiqua" w:cs="Times New Roman"/>
          <w:sz w:val="24"/>
          <w:szCs w:val="24"/>
        </w:rPr>
        <w:t>Niimi</w:t>
      </w:r>
      <w:proofErr w:type="spellEnd"/>
      <w:r w:rsidRPr="004B0C7E">
        <w:rPr>
          <w:rFonts w:ascii="Book Antiqua" w:hAnsi="Book Antiqua" w:cs="Times New Roman"/>
          <w:sz w:val="24"/>
          <w:szCs w:val="24"/>
        </w:rPr>
        <w:t xml:space="preserve"> K, Hirano K, </w:t>
      </w:r>
      <w:proofErr w:type="spellStart"/>
      <w:r w:rsidRPr="004B0C7E">
        <w:rPr>
          <w:rFonts w:ascii="Book Antiqua" w:hAnsi="Book Antiqua" w:cs="Times New Roman"/>
          <w:sz w:val="24"/>
          <w:szCs w:val="24"/>
        </w:rPr>
        <w:t>Yamamichi</w:t>
      </w:r>
      <w:proofErr w:type="spellEnd"/>
      <w:r w:rsidRPr="004B0C7E">
        <w:rPr>
          <w:rFonts w:ascii="Book Antiqua" w:hAnsi="Book Antiqua" w:cs="Times New Roman"/>
          <w:sz w:val="24"/>
          <w:szCs w:val="24"/>
        </w:rPr>
        <w:t xml:space="preserve"> N, Koike K. A second-look endoscopy after endoscopic submucosal dissection for gastric epithelial neoplasm may be unnecessary: a retrospective analysis of </w:t>
      </w:r>
      <w:proofErr w:type="spellStart"/>
      <w:r w:rsidRPr="004B0C7E">
        <w:rPr>
          <w:rFonts w:ascii="Book Antiqua" w:hAnsi="Book Antiqua" w:cs="Times New Roman"/>
          <w:sz w:val="24"/>
          <w:szCs w:val="24"/>
        </w:rPr>
        <w:t>postendoscopic</w:t>
      </w:r>
      <w:proofErr w:type="spellEnd"/>
      <w:r w:rsidRPr="004B0C7E">
        <w:rPr>
          <w:rFonts w:ascii="Book Antiqua" w:hAnsi="Book Antiqua" w:cs="Times New Roman"/>
          <w:sz w:val="24"/>
          <w:szCs w:val="24"/>
        </w:rPr>
        <w:t xml:space="preserve"> submucosal dissection bleeding.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2010; </w:t>
      </w:r>
      <w:r w:rsidRPr="004B0C7E">
        <w:rPr>
          <w:rFonts w:ascii="Book Antiqua" w:hAnsi="Book Antiqua" w:cs="Times New Roman"/>
          <w:b/>
          <w:bCs/>
          <w:sz w:val="24"/>
          <w:szCs w:val="24"/>
        </w:rPr>
        <w:t>71</w:t>
      </w:r>
      <w:r w:rsidRPr="004B0C7E">
        <w:rPr>
          <w:rFonts w:ascii="Book Antiqua" w:hAnsi="Book Antiqua" w:cs="Times New Roman"/>
          <w:sz w:val="24"/>
          <w:szCs w:val="24"/>
        </w:rPr>
        <w:t xml:space="preserve">: </w:t>
      </w:r>
      <w:r w:rsidRPr="006E2E49">
        <w:rPr>
          <w:rFonts w:ascii="Book Antiqua" w:hAnsi="Book Antiqua" w:cs="Times New Roman"/>
          <w:sz w:val="24"/>
          <w:szCs w:val="24"/>
        </w:rPr>
        <w:t>241-248 [PMID: 19922919 DOI: 10.1016/j.gie.2009.08.030]</w:t>
      </w:r>
    </w:p>
    <w:p w14:paraId="5A857BBF" w14:textId="26E7DC84" w:rsidR="004B0C7E" w:rsidRPr="004B0C7E" w:rsidRDefault="004B0C7E" w:rsidP="004B0C7E">
      <w:pPr>
        <w:adjustRightInd w:val="0"/>
        <w:snapToGrid w:val="0"/>
        <w:spacing w:line="360" w:lineRule="auto"/>
        <w:rPr>
          <w:rFonts w:ascii="Book Antiqua" w:hAnsi="Book Antiqua" w:cs="Times New Roman"/>
          <w:sz w:val="24"/>
          <w:szCs w:val="24"/>
        </w:rPr>
      </w:pPr>
      <w:r w:rsidRPr="006E2E49">
        <w:rPr>
          <w:rFonts w:ascii="Book Antiqua" w:hAnsi="Book Antiqua" w:cs="Times New Roman"/>
          <w:sz w:val="24"/>
          <w:szCs w:val="24"/>
        </w:rPr>
        <w:t>5 </w:t>
      </w:r>
      <w:r w:rsidRPr="006E2E49">
        <w:rPr>
          <w:rFonts w:ascii="Book Antiqua" w:hAnsi="Book Antiqua" w:cs="Times New Roman"/>
          <w:b/>
          <w:bCs/>
          <w:sz w:val="24"/>
          <w:szCs w:val="24"/>
        </w:rPr>
        <w:t>Tsuji Y</w:t>
      </w:r>
      <w:r w:rsidRPr="006E2E49">
        <w:rPr>
          <w:rFonts w:ascii="Book Antiqua" w:hAnsi="Book Antiqua" w:cs="Times New Roman"/>
          <w:sz w:val="24"/>
          <w:szCs w:val="24"/>
        </w:rPr>
        <w:t xml:space="preserve">, Ohata K, Ito T, Chiba H, </w:t>
      </w:r>
      <w:proofErr w:type="spellStart"/>
      <w:r w:rsidRPr="006E2E49">
        <w:rPr>
          <w:rFonts w:ascii="Book Antiqua" w:hAnsi="Book Antiqua" w:cs="Times New Roman"/>
          <w:sz w:val="24"/>
          <w:szCs w:val="24"/>
        </w:rPr>
        <w:t>Ohya</w:t>
      </w:r>
      <w:proofErr w:type="spellEnd"/>
      <w:r w:rsidRPr="006E2E49">
        <w:rPr>
          <w:rFonts w:ascii="Book Antiqua" w:hAnsi="Book Antiqua" w:cs="Times New Roman"/>
          <w:sz w:val="24"/>
          <w:szCs w:val="24"/>
        </w:rPr>
        <w:t xml:space="preserve"> T, </w:t>
      </w:r>
      <w:proofErr w:type="spellStart"/>
      <w:r w:rsidRPr="006E2E49">
        <w:rPr>
          <w:rFonts w:ascii="Book Antiqua" w:hAnsi="Book Antiqua" w:cs="Times New Roman"/>
          <w:sz w:val="24"/>
          <w:szCs w:val="24"/>
        </w:rPr>
        <w:t>Gunji</w:t>
      </w:r>
      <w:proofErr w:type="spellEnd"/>
      <w:r w:rsidRPr="006E2E49">
        <w:rPr>
          <w:rFonts w:ascii="Book Antiqua" w:hAnsi="Book Antiqua" w:cs="Times New Roman"/>
          <w:sz w:val="24"/>
          <w:szCs w:val="24"/>
        </w:rPr>
        <w:t xml:space="preserve"> T, </w:t>
      </w:r>
      <w:proofErr w:type="spellStart"/>
      <w:r w:rsidRPr="006E2E49">
        <w:rPr>
          <w:rFonts w:ascii="Book Antiqua" w:hAnsi="Book Antiqua" w:cs="Times New Roman"/>
          <w:sz w:val="24"/>
          <w:szCs w:val="24"/>
        </w:rPr>
        <w:t>Matsuhashi</w:t>
      </w:r>
      <w:proofErr w:type="spellEnd"/>
      <w:r w:rsidRPr="006E2E49">
        <w:rPr>
          <w:rFonts w:ascii="Book Antiqua" w:hAnsi="Book Antiqua" w:cs="Times New Roman"/>
          <w:sz w:val="24"/>
          <w:szCs w:val="24"/>
        </w:rPr>
        <w:t xml:space="preserve"> N. Risk factors for bleeding after endoscopic submucosal dissection for gastric lesions. </w:t>
      </w:r>
      <w:r w:rsidRPr="006E2E49">
        <w:rPr>
          <w:rFonts w:ascii="Book Antiqua" w:hAnsi="Book Antiqua" w:cs="Times New Roman"/>
          <w:i/>
          <w:iCs/>
          <w:sz w:val="24"/>
          <w:szCs w:val="24"/>
        </w:rPr>
        <w:t xml:space="preserve">World J Gastroenterol </w:t>
      </w:r>
      <w:r w:rsidRPr="006E2E49">
        <w:rPr>
          <w:rFonts w:ascii="Book Antiqua" w:hAnsi="Book Antiqua" w:cs="Times New Roman"/>
          <w:sz w:val="24"/>
          <w:szCs w:val="24"/>
        </w:rPr>
        <w:t>2010; </w:t>
      </w:r>
      <w:r w:rsidRPr="006E2E49">
        <w:rPr>
          <w:rFonts w:ascii="Book Antiqua" w:hAnsi="Book Antiqua" w:cs="Times New Roman"/>
          <w:b/>
          <w:bCs/>
          <w:sz w:val="24"/>
          <w:szCs w:val="24"/>
        </w:rPr>
        <w:t>16</w:t>
      </w:r>
      <w:r w:rsidRPr="006E2E49">
        <w:rPr>
          <w:rFonts w:ascii="Book Antiqua" w:hAnsi="Book Antiqua" w:cs="Times New Roman"/>
          <w:sz w:val="24"/>
          <w:szCs w:val="24"/>
        </w:rPr>
        <w:t>: 2913-2917 [PMID: 20556838</w:t>
      </w:r>
      <w:r w:rsidR="006E2E49" w:rsidRPr="006E2E49">
        <w:rPr>
          <w:rFonts w:ascii="Book Antiqua" w:hAnsi="Book Antiqua" w:cs="Times New Roman"/>
          <w:sz w:val="24"/>
          <w:szCs w:val="24"/>
        </w:rPr>
        <w:t xml:space="preserve"> DOI:</w:t>
      </w:r>
      <w:r w:rsidR="006E2E49" w:rsidRPr="006E2E49">
        <w:t xml:space="preserve"> </w:t>
      </w:r>
      <w:r w:rsidR="006E2E49" w:rsidRPr="006E2E49">
        <w:rPr>
          <w:rFonts w:ascii="Book Antiqua" w:hAnsi="Book Antiqua" w:cs="Times New Roman"/>
          <w:sz w:val="24"/>
          <w:szCs w:val="24"/>
        </w:rPr>
        <w:t>10.3748/wjg.v16.i23.2913</w:t>
      </w:r>
      <w:r w:rsidRPr="006E2E49">
        <w:rPr>
          <w:rFonts w:ascii="Book Antiqua" w:hAnsi="Book Antiqua" w:cs="Times New Roman"/>
          <w:sz w:val="24"/>
          <w:szCs w:val="24"/>
        </w:rPr>
        <w:t>]</w:t>
      </w:r>
    </w:p>
    <w:p w14:paraId="4DE9357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6 </w:t>
      </w:r>
      <w:proofErr w:type="spellStart"/>
      <w:r w:rsidRPr="004B0C7E">
        <w:rPr>
          <w:rFonts w:ascii="Book Antiqua" w:hAnsi="Book Antiqua" w:cs="Times New Roman"/>
          <w:b/>
          <w:bCs/>
          <w:sz w:val="24"/>
          <w:szCs w:val="24"/>
        </w:rPr>
        <w:t>Mannen</w:t>
      </w:r>
      <w:proofErr w:type="spellEnd"/>
      <w:r w:rsidRPr="004B0C7E">
        <w:rPr>
          <w:rFonts w:ascii="Book Antiqua" w:hAnsi="Book Antiqua" w:cs="Times New Roman"/>
          <w:b/>
          <w:bCs/>
          <w:sz w:val="24"/>
          <w:szCs w:val="24"/>
        </w:rPr>
        <w:t xml:space="preserve">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Tsunada</w:t>
      </w:r>
      <w:proofErr w:type="spellEnd"/>
      <w:r w:rsidRPr="004B0C7E">
        <w:rPr>
          <w:rFonts w:ascii="Book Antiqua" w:hAnsi="Book Antiqua" w:cs="Times New Roman"/>
          <w:sz w:val="24"/>
          <w:szCs w:val="24"/>
        </w:rPr>
        <w:t xml:space="preserve"> S, Hara M, Yamaguchi K, Sakata Y, </w:t>
      </w:r>
      <w:proofErr w:type="spellStart"/>
      <w:r w:rsidRPr="004B0C7E">
        <w:rPr>
          <w:rFonts w:ascii="Book Antiqua" w:hAnsi="Book Antiqua" w:cs="Times New Roman"/>
          <w:sz w:val="24"/>
          <w:szCs w:val="24"/>
        </w:rPr>
        <w:t>Fujise</w:t>
      </w:r>
      <w:proofErr w:type="spellEnd"/>
      <w:r w:rsidRPr="004B0C7E">
        <w:rPr>
          <w:rFonts w:ascii="Book Antiqua" w:hAnsi="Book Antiqua" w:cs="Times New Roman"/>
          <w:sz w:val="24"/>
          <w:szCs w:val="24"/>
        </w:rPr>
        <w:t xml:space="preserve"> T, Noda T, </w:t>
      </w:r>
      <w:proofErr w:type="spellStart"/>
      <w:r w:rsidRPr="004B0C7E">
        <w:rPr>
          <w:rFonts w:ascii="Book Antiqua" w:hAnsi="Book Antiqua" w:cs="Times New Roman"/>
          <w:sz w:val="24"/>
          <w:szCs w:val="24"/>
        </w:rPr>
        <w:t>Shimoda</w:t>
      </w:r>
      <w:proofErr w:type="spellEnd"/>
      <w:r w:rsidRPr="004B0C7E">
        <w:rPr>
          <w:rFonts w:ascii="Book Antiqua" w:hAnsi="Book Antiqua" w:cs="Times New Roman"/>
          <w:sz w:val="24"/>
          <w:szCs w:val="24"/>
        </w:rPr>
        <w:t xml:space="preserve"> R, Sakata H, Ogata S, </w:t>
      </w:r>
      <w:proofErr w:type="spellStart"/>
      <w:r w:rsidRPr="004B0C7E">
        <w:rPr>
          <w:rFonts w:ascii="Book Antiqua" w:hAnsi="Book Antiqua" w:cs="Times New Roman"/>
          <w:sz w:val="24"/>
          <w:szCs w:val="24"/>
        </w:rPr>
        <w:t>Iwakiri</w:t>
      </w:r>
      <w:proofErr w:type="spellEnd"/>
      <w:r w:rsidRPr="004B0C7E">
        <w:rPr>
          <w:rFonts w:ascii="Book Antiqua" w:hAnsi="Book Antiqua" w:cs="Times New Roman"/>
          <w:sz w:val="24"/>
          <w:szCs w:val="24"/>
        </w:rPr>
        <w:t xml:space="preserve"> R, Fujimoto K. Risk factors for complications of endoscopic submucosal dissection in gastric tumors: analysis of 478 lesions. </w:t>
      </w:r>
      <w:r w:rsidRPr="004B0C7E">
        <w:rPr>
          <w:rFonts w:ascii="Book Antiqua" w:hAnsi="Book Antiqua" w:cs="Times New Roman"/>
          <w:i/>
          <w:iCs/>
          <w:sz w:val="24"/>
          <w:szCs w:val="24"/>
        </w:rPr>
        <w:t>J Gastroenterol</w:t>
      </w:r>
      <w:r w:rsidRPr="004B0C7E">
        <w:rPr>
          <w:rFonts w:ascii="Book Antiqua" w:hAnsi="Book Antiqua" w:cs="Times New Roman"/>
          <w:sz w:val="24"/>
          <w:szCs w:val="24"/>
        </w:rPr>
        <w:t> 2010; </w:t>
      </w:r>
      <w:r w:rsidRPr="004B0C7E">
        <w:rPr>
          <w:rFonts w:ascii="Book Antiqua" w:hAnsi="Book Antiqua" w:cs="Times New Roman"/>
          <w:b/>
          <w:bCs/>
          <w:sz w:val="24"/>
          <w:szCs w:val="24"/>
        </w:rPr>
        <w:t>45</w:t>
      </w:r>
      <w:r w:rsidRPr="004B0C7E">
        <w:rPr>
          <w:rFonts w:ascii="Book Antiqua" w:hAnsi="Book Antiqua" w:cs="Times New Roman"/>
          <w:sz w:val="24"/>
          <w:szCs w:val="24"/>
        </w:rPr>
        <w:t xml:space="preserve">: 30-36 [PMID: 19760133 DOI: </w:t>
      </w:r>
      <w:r w:rsidRPr="004B0C7E">
        <w:rPr>
          <w:rFonts w:ascii="Book Antiqua" w:hAnsi="Book Antiqua" w:cs="Times New Roman"/>
          <w:sz w:val="24"/>
          <w:szCs w:val="24"/>
        </w:rPr>
        <w:lastRenderedPageBreak/>
        <w:t>10.1007/s00535-009-0137-4]</w:t>
      </w:r>
    </w:p>
    <w:p w14:paraId="06B5D3DB"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7 </w:t>
      </w:r>
      <w:r w:rsidRPr="004B0C7E">
        <w:rPr>
          <w:rFonts w:ascii="Book Antiqua" w:hAnsi="Book Antiqua" w:cs="Times New Roman"/>
          <w:b/>
          <w:bCs/>
          <w:sz w:val="24"/>
          <w:szCs w:val="24"/>
        </w:rPr>
        <w:t>Hirasawa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Kokawa</w:t>
      </w:r>
      <w:proofErr w:type="spellEnd"/>
      <w:r w:rsidRPr="004B0C7E">
        <w:rPr>
          <w:rFonts w:ascii="Book Antiqua" w:hAnsi="Book Antiqua" w:cs="Times New Roman"/>
          <w:sz w:val="24"/>
          <w:szCs w:val="24"/>
        </w:rPr>
        <w:t xml:space="preserve"> A, Oka H, </w:t>
      </w:r>
      <w:proofErr w:type="spellStart"/>
      <w:r w:rsidRPr="004B0C7E">
        <w:rPr>
          <w:rFonts w:ascii="Book Antiqua" w:hAnsi="Book Antiqua" w:cs="Times New Roman"/>
          <w:sz w:val="24"/>
          <w:szCs w:val="24"/>
        </w:rPr>
        <w:t>Yahara</w:t>
      </w:r>
      <w:proofErr w:type="spellEnd"/>
      <w:r w:rsidRPr="004B0C7E">
        <w:rPr>
          <w:rFonts w:ascii="Book Antiqua" w:hAnsi="Book Antiqua" w:cs="Times New Roman"/>
          <w:sz w:val="24"/>
          <w:szCs w:val="24"/>
        </w:rPr>
        <w:t xml:space="preserve"> S, Sasaki T, Nozawa A, Morimoto M, </w:t>
      </w:r>
      <w:proofErr w:type="spellStart"/>
      <w:r w:rsidRPr="004B0C7E">
        <w:rPr>
          <w:rFonts w:ascii="Book Antiqua" w:hAnsi="Book Antiqua" w:cs="Times New Roman"/>
          <w:sz w:val="24"/>
          <w:szCs w:val="24"/>
        </w:rPr>
        <w:t>Numata</w:t>
      </w:r>
      <w:proofErr w:type="spellEnd"/>
      <w:r w:rsidRPr="004B0C7E">
        <w:rPr>
          <w:rFonts w:ascii="Book Antiqua" w:hAnsi="Book Antiqua" w:cs="Times New Roman"/>
          <w:sz w:val="24"/>
          <w:szCs w:val="24"/>
        </w:rPr>
        <w:t xml:space="preserve"> K, Taguri M, Morita S, Maeda S, Tanaka K. Risk assessment chart for curability of early gastric cancer with endoscopic submucosal dissection.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2011; </w:t>
      </w:r>
      <w:r w:rsidRPr="004B0C7E">
        <w:rPr>
          <w:rFonts w:ascii="Book Antiqua" w:hAnsi="Book Antiqua" w:cs="Times New Roman"/>
          <w:b/>
          <w:bCs/>
          <w:sz w:val="24"/>
          <w:szCs w:val="24"/>
        </w:rPr>
        <w:t>74</w:t>
      </w:r>
      <w:r w:rsidRPr="004B0C7E">
        <w:rPr>
          <w:rFonts w:ascii="Book Antiqua" w:hAnsi="Book Antiqua" w:cs="Times New Roman"/>
          <w:sz w:val="24"/>
          <w:szCs w:val="24"/>
        </w:rPr>
        <w:t>: 1268-1275 [PMID: 22015001 DOI: 10.1016/j.gie.2011.07.067]</w:t>
      </w:r>
    </w:p>
    <w:p w14:paraId="088D2B1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8 </w:t>
      </w:r>
      <w:r w:rsidRPr="004B0C7E">
        <w:rPr>
          <w:rFonts w:ascii="Book Antiqua" w:hAnsi="Book Antiqua" w:cs="Times New Roman"/>
          <w:b/>
          <w:bCs/>
          <w:sz w:val="24"/>
          <w:szCs w:val="24"/>
        </w:rPr>
        <w:t>Okada K</w:t>
      </w:r>
      <w:r w:rsidRPr="004B0C7E">
        <w:rPr>
          <w:rFonts w:ascii="Book Antiqua" w:hAnsi="Book Antiqua" w:cs="Times New Roman"/>
          <w:sz w:val="24"/>
          <w:szCs w:val="24"/>
        </w:rPr>
        <w:t xml:space="preserve">, Yamamoto Y, </w:t>
      </w:r>
      <w:proofErr w:type="spellStart"/>
      <w:r w:rsidRPr="004B0C7E">
        <w:rPr>
          <w:rFonts w:ascii="Book Antiqua" w:hAnsi="Book Antiqua" w:cs="Times New Roman"/>
          <w:sz w:val="24"/>
          <w:szCs w:val="24"/>
        </w:rPr>
        <w:t>Kasuga</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Omae</w:t>
      </w:r>
      <w:proofErr w:type="spellEnd"/>
      <w:r w:rsidRPr="004B0C7E">
        <w:rPr>
          <w:rFonts w:ascii="Book Antiqua" w:hAnsi="Book Antiqua" w:cs="Times New Roman"/>
          <w:sz w:val="24"/>
          <w:szCs w:val="24"/>
        </w:rPr>
        <w:t xml:space="preserve"> M, Kubota M, Hirasawa T, Ishiyama A, Chino A, </w:t>
      </w:r>
      <w:proofErr w:type="spellStart"/>
      <w:r w:rsidRPr="004B0C7E">
        <w:rPr>
          <w:rFonts w:ascii="Book Antiqua" w:hAnsi="Book Antiqua" w:cs="Times New Roman"/>
          <w:sz w:val="24"/>
          <w:szCs w:val="24"/>
        </w:rPr>
        <w:t>Tsuchida</w:t>
      </w:r>
      <w:proofErr w:type="spellEnd"/>
      <w:r w:rsidRPr="004B0C7E">
        <w:rPr>
          <w:rFonts w:ascii="Book Antiqua" w:hAnsi="Book Antiqua" w:cs="Times New Roman"/>
          <w:sz w:val="24"/>
          <w:szCs w:val="24"/>
        </w:rPr>
        <w:t xml:space="preserve"> T, Fujisaki J, Nakajima A, Hoshino E, Igarashi M. Risk factors for delayed bleeding after endoscopic submucosal dissection for gastric neoplasm. </w:t>
      </w:r>
      <w:r w:rsidRPr="004B0C7E">
        <w:rPr>
          <w:rFonts w:ascii="Book Antiqua" w:hAnsi="Book Antiqua" w:cs="Times New Roman"/>
          <w:i/>
          <w:iCs/>
          <w:sz w:val="24"/>
          <w:szCs w:val="24"/>
        </w:rPr>
        <w:t xml:space="preserve">Surg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2011; </w:t>
      </w:r>
      <w:r w:rsidRPr="004B0C7E">
        <w:rPr>
          <w:rFonts w:ascii="Book Antiqua" w:hAnsi="Book Antiqua" w:cs="Times New Roman"/>
          <w:b/>
          <w:bCs/>
          <w:sz w:val="24"/>
          <w:szCs w:val="24"/>
        </w:rPr>
        <w:t>25</w:t>
      </w:r>
      <w:r w:rsidRPr="004B0C7E">
        <w:rPr>
          <w:rFonts w:ascii="Book Antiqua" w:hAnsi="Book Antiqua" w:cs="Times New Roman"/>
          <w:sz w:val="24"/>
          <w:szCs w:val="24"/>
        </w:rPr>
        <w:t>: 98-107 [PMID: 20549245 DOI: 10.1007/s00464-010-1137-4]</w:t>
      </w:r>
    </w:p>
    <w:p w14:paraId="2AB9C8A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9 </w:t>
      </w:r>
      <w:r w:rsidRPr="004B0C7E">
        <w:rPr>
          <w:rFonts w:ascii="Book Antiqua" w:hAnsi="Book Antiqua" w:cs="Times New Roman"/>
          <w:b/>
          <w:bCs/>
          <w:sz w:val="24"/>
          <w:szCs w:val="24"/>
        </w:rPr>
        <w:t>Higashiyama M</w:t>
      </w:r>
      <w:r w:rsidRPr="004B0C7E">
        <w:rPr>
          <w:rFonts w:ascii="Book Antiqua" w:hAnsi="Book Antiqua" w:cs="Times New Roman"/>
          <w:sz w:val="24"/>
          <w:szCs w:val="24"/>
        </w:rPr>
        <w:t xml:space="preserve">, Oka S, Tanaka S, </w:t>
      </w:r>
      <w:proofErr w:type="spellStart"/>
      <w:r w:rsidRPr="004B0C7E">
        <w:rPr>
          <w:rFonts w:ascii="Book Antiqua" w:hAnsi="Book Antiqua" w:cs="Times New Roman"/>
          <w:sz w:val="24"/>
          <w:szCs w:val="24"/>
        </w:rPr>
        <w:t>Sanomura</w:t>
      </w:r>
      <w:proofErr w:type="spellEnd"/>
      <w:r w:rsidRPr="004B0C7E">
        <w:rPr>
          <w:rFonts w:ascii="Book Antiqua" w:hAnsi="Book Antiqua" w:cs="Times New Roman"/>
          <w:sz w:val="24"/>
          <w:szCs w:val="24"/>
        </w:rPr>
        <w:t xml:space="preserve"> Y, </w:t>
      </w:r>
      <w:proofErr w:type="spellStart"/>
      <w:r w:rsidRPr="004B0C7E">
        <w:rPr>
          <w:rFonts w:ascii="Book Antiqua" w:hAnsi="Book Antiqua" w:cs="Times New Roman"/>
          <w:sz w:val="24"/>
          <w:szCs w:val="24"/>
        </w:rPr>
        <w:t>Imagawa</w:t>
      </w:r>
      <w:proofErr w:type="spellEnd"/>
      <w:r w:rsidRPr="004B0C7E">
        <w:rPr>
          <w:rFonts w:ascii="Book Antiqua" w:hAnsi="Book Antiqua" w:cs="Times New Roman"/>
          <w:sz w:val="24"/>
          <w:szCs w:val="24"/>
        </w:rPr>
        <w:t xml:space="preserve"> H, Shishido T, Yoshida S, </w:t>
      </w:r>
      <w:proofErr w:type="spellStart"/>
      <w:r w:rsidRPr="004B0C7E">
        <w:rPr>
          <w:rFonts w:ascii="Book Antiqua" w:hAnsi="Book Antiqua" w:cs="Times New Roman"/>
          <w:sz w:val="24"/>
          <w:szCs w:val="24"/>
        </w:rPr>
        <w:t>Chayama</w:t>
      </w:r>
      <w:proofErr w:type="spellEnd"/>
      <w:r w:rsidRPr="004B0C7E">
        <w:rPr>
          <w:rFonts w:ascii="Book Antiqua" w:hAnsi="Book Antiqua" w:cs="Times New Roman"/>
          <w:sz w:val="24"/>
          <w:szCs w:val="24"/>
        </w:rPr>
        <w:t xml:space="preserve"> K. Risk factors for bleeding after endoscopic submucosal dissection of gastric epithelial neoplasm.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2011; </w:t>
      </w:r>
      <w:r w:rsidRPr="004B0C7E">
        <w:rPr>
          <w:rFonts w:ascii="Book Antiqua" w:hAnsi="Book Antiqua" w:cs="Times New Roman"/>
          <w:b/>
          <w:bCs/>
          <w:sz w:val="24"/>
          <w:szCs w:val="24"/>
        </w:rPr>
        <w:t>23</w:t>
      </w:r>
      <w:r w:rsidRPr="004B0C7E">
        <w:rPr>
          <w:rFonts w:ascii="Book Antiqua" w:hAnsi="Book Antiqua" w:cs="Times New Roman"/>
          <w:sz w:val="24"/>
          <w:szCs w:val="24"/>
        </w:rPr>
        <w:t>: 290-295 [PMID: 21951088 DOI: 10.1111/j.1443-1661.2011.01151.x]</w:t>
      </w:r>
    </w:p>
    <w:p w14:paraId="3452645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10 </w:t>
      </w:r>
      <w:r w:rsidRPr="004B0C7E">
        <w:rPr>
          <w:rFonts w:ascii="Book Antiqua" w:hAnsi="Book Antiqua" w:cs="Times New Roman"/>
          <w:b/>
          <w:bCs/>
          <w:sz w:val="24"/>
          <w:szCs w:val="24"/>
        </w:rPr>
        <w:t>Toyokawa T</w:t>
      </w:r>
      <w:r w:rsidRPr="004B0C7E">
        <w:rPr>
          <w:rFonts w:ascii="Book Antiqua" w:hAnsi="Book Antiqua" w:cs="Times New Roman"/>
          <w:sz w:val="24"/>
          <w:szCs w:val="24"/>
        </w:rPr>
        <w:t xml:space="preserve">, Inaba T, </w:t>
      </w:r>
      <w:proofErr w:type="spellStart"/>
      <w:r w:rsidRPr="004B0C7E">
        <w:rPr>
          <w:rFonts w:ascii="Book Antiqua" w:hAnsi="Book Antiqua" w:cs="Times New Roman"/>
          <w:sz w:val="24"/>
          <w:szCs w:val="24"/>
        </w:rPr>
        <w:t>Omote</w:t>
      </w:r>
      <w:proofErr w:type="spellEnd"/>
      <w:r w:rsidRPr="004B0C7E">
        <w:rPr>
          <w:rFonts w:ascii="Book Antiqua" w:hAnsi="Book Antiqua" w:cs="Times New Roman"/>
          <w:sz w:val="24"/>
          <w:szCs w:val="24"/>
        </w:rPr>
        <w:t xml:space="preserve"> S, Okamoto A, </w:t>
      </w:r>
      <w:proofErr w:type="spellStart"/>
      <w:r w:rsidRPr="004B0C7E">
        <w:rPr>
          <w:rFonts w:ascii="Book Antiqua" w:hAnsi="Book Antiqua" w:cs="Times New Roman"/>
          <w:sz w:val="24"/>
          <w:szCs w:val="24"/>
        </w:rPr>
        <w:t>Miyasaka</w:t>
      </w:r>
      <w:proofErr w:type="spellEnd"/>
      <w:r w:rsidRPr="004B0C7E">
        <w:rPr>
          <w:rFonts w:ascii="Book Antiqua" w:hAnsi="Book Antiqua" w:cs="Times New Roman"/>
          <w:sz w:val="24"/>
          <w:szCs w:val="24"/>
        </w:rPr>
        <w:t xml:space="preserve"> R, Watanabe K, </w:t>
      </w:r>
      <w:proofErr w:type="spellStart"/>
      <w:r w:rsidRPr="004B0C7E">
        <w:rPr>
          <w:rFonts w:ascii="Book Antiqua" w:hAnsi="Book Antiqua" w:cs="Times New Roman"/>
          <w:sz w:val="24"/>
          <w:szCs w:val="24"/>
        </w:rPr>
        <w:t>Izumikawa</w:t>
      </w:r>
      <w:proofErr w:type="spellEnd"/>
      <w:r w:rsidRPr="004B0C7E">
        <w:rPr>
          <w:rFonts w:ascii="Book Antiqua" w:hAnsi="Book Antiqua" w:cs="Times New Roman"/>
          <w:sz w:val="24"/>
          <w:szCs w:val="24"/>
        </w:rPr>
        <w:t xml:space="preserve"> K, Horii J, Fujita I, Ishikawa S, Morikawa T, Murakami T, </w:t>
      </w:r>
      <w:proofErr w:type="spellStart"/>
      <w:r w:rsidRPr="004B0C7E">
        <w:rPr>
          <w:rFonts w:ascii="Book Antiqua" w:hAnsi="Book Antiqua" w:cs="Times New Roman"/>
          <w:sz w:val="24"/>
          <w:szCs w:val="24"/>
        </w:rPr>
        <w:t>Tomoda</w:t>
      </w:r>
      <w:proofErr w:type="spellEnd"/>
      <w:r w:rsidRPr="004B0C7E">
        <w:rPr>
          <w:rFonts w:ascii="Book Antiqua" w:hAnsi="Book Antiqua" w:cs="Times New Roman"/>
          <w:sz w:val="24"/>
          <w:szCs w:val="24"/>
        </w:rPr>
        <w:t xml:space="preserve"> J. Risk factors for perforation and delayed bleeding associated with endoscopic submucosal dissection for early gastric neoplasms: analysis of 1123 lesions. </w:t>
      </w:r>
      <w:r w:rsidRPr="004B0C7E">
        <w:rPr>
          <w:rFonts w:ascii="Book Antiqua" w:hAnsi="Book Antiqua" w:cs="Times New Roman"/>
          <w:i/>
          <w:iCs/>
          <w:sz w:val="24"/>
          <w:szCs w:val="24"/>
        </w:rPr>
        <w:t xml:space="preserve">J Gastroenterol </w:t>
      </w:r>
      <w:proofErr w:type="spellStart"/>
      <w:r w:rsidRPr="004B0C7E">
        <w:rPr>
          <w:rFonts w:ascii="Book Antiqua" w:hAnsi="Book Antiqua" w:cs="Times New Roman"/>
          <w:i/>
          <w:iCs/>
          <w:sz w:val="24"/>
          <w:szCs w:val="24"/>
        </w:rPr>
        <w:t>Hepatol</w:t>
      </w:r>
      <w:proofErr w:type="spellEnd"/>
      <w:r w:rsidRPr="004B0C7E">
        <w:rPr>
          <w:rFonts w:ascii="Book Antiqua" w:hAnsi="Book Antiqua" w:cs="Times New Roman"/>
          <w:sz w:val="24"/>
          <w:szCs w:val="24"/>
        </w:rPr>
        <w:t> 2012; </w:t>
      </w:r>
      <w:r w:rsidRPr="004B0C7E">
        <w:rPr>
          <w:rFonts w:ascii="Book Antiqua" w:hAnsi="Book Antiqua" w:cs="Times New Roman"/>
          <w:b/>
          <w:bCs/>
          <w:sz w:val="24"/>
          <w:szCs w:val="24"/>
        </w:rPr>
        <w:t>27</w:t>
      </w:r>
      <w:r w:rsidRPr="004B0C7E">
        <w:rPr>
          <w:rFonts w:ascii="Book Antiqua" w:hAnsi="Book Antiqua" w:cs="Times New Roman"/>
          <w:sz w:val="24"/>
          <w:szCs w:val="24"/>
        </w:rPr>
        <w:t>: 907-912 [PMID: 22142449 DOI: 10.1111/j.1440-1746.2011.07039.x]</w:t>
      </w:r>
    </w:p>
    <w:p w14:paraId="57E10D24"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11 </w:t>
      </w:r>
      <w:r w:rsidRPr="004B0C7E">
        <w:rPr>
          <w:rFonts w:ascii="Book Antiqua" w:hAnsi="Book Antiqua" w:cs="Times New Roman"/>
          <w:b/>
          <w:bCs/>
          <w:sz w:val="24"/>
          <w:szCs w:val="24"/>
        </w:rPr>
        <w:t>Nakamura M</w:t>
      </w:r>
      <w:r w:rsidRPr="004B0C7E">
        <w:rPr>
          <w:rFonts w:ascii="Book Antiqua" w:hAnsi="Book Antiqua" w:cs="Times New Roman"/>
          <w:sz w:val="24"/>
          <w:szCs w:val="24"/>
        </w:rPr>
        <w:t xml:space="preserve">, Nishikawa J, </w:t>
      </w:r>
      <w:proofErr w:type="spellStart"/>
      <w:r w:rsidRPr="004B0C7E">
        <w:rPr>
          <w:rFonts w:ascii="Book Antiqua" w:hAnsi="Book Antiqua" w:cs="Times New Roman"/>
          <w:sz w:val="24"/>
          <w:szCs w:val="24"/>
        </w:rPr>
        <w:t>Hamabe</w:t>
      </w:r>
      <w:proofErr w:type="spellEnd"/>
      <w:r w:rsidRPr="004B0C7E">
        <w:rPr>
          <w:rFonts w:ascii="Book Antiqua" w:hAnsi="Book Antiqua" w:cs="Times New Roman"/>
          <w:sz w:val="24"/>
          <w:szCs w:val="24"/>
        </w:rPr>
        <w:t xml:space="preserve"> K, Nishimura J, </w:t>
      </w:r>
      <w:proofErr w:type="spellStart"/>
      <w:r w:rsidRPr="004B0C7E">
        <w:rPr>
          <w:rFonts w:ascii="Book Antiqua" w:hAnsi="Book Antiqua" w:cs="Times New Roman"/>
          <w:sz w:val="24"/>
          <w:szCs w:val="24"/>
        </w:rPr>
        <w:t>Satake</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Goto</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Kiyotoki</w:t>
      </w:r>
      <w:proofErr w:type="spellEnd"/>
      <w:r w:rsidRPr="004B0C7E">
        <w:rPr>
          <w:rFonts w:ascii="Book Antiqua" w:hAnsi="Book Antiqua" w:cs="Times New Roman"/>
          <w:sz w:val="24"/>
          <w:szCs w:val="24"/>
        </w:rPr>
        <w:t xml:space="preserve"> S, Saito M, </w:t>
      </w:r>
      <w:proofErr w:type="spellStart"/>
      <w:r w:rsidRPr="004B0C7E">
        <w:rPr>
          <w:rFonts w:ascii="Book Antiqua" w:hAnsi="Book Antiqua" w:cs="Times New Roman"/>
          <w:sz w:val="24"/>
          <w:szCs w:val="24"/>
        </w:rPr>
        <w:t>Fukagawa</w:t>
      </w:r>
      <w:proofErr w:type="spellEnd"/>
      <w:r w:rsidRPr="004B0C7E">
        <w:rPr>
          <w:rFonts w:ascii="Book Antiqua" w:hAnsi="Book Antiqua" w:cs="Times New Roman"/>
          <w:sz w:val="24"/>
          <w:szCs w:val="24"/>
        </w:rPr>
        <w:t xml:space="preserve"> Y, Shirai Y, Okamoto T, </w:t>
      </w:r>
      <w:proofErr w:type="spellStart"/>
      <w:r w:rsidRPr="004B0C7E">
        <w:rPr>
          <w:rFonts w:ascii="Book Antiqua" w:hAnsi="Book Antiqua" w:cs="Times New Roman"/>
          <w:sz w:val="24"/>
          <w:szCs w:val="24"/>
        </w:rPr>
        <w:t>Sakaida</w:t>
      </w:r>
      <w:proofErr w:type="spellEnd"/>
      <w:r w:rsidRPr="004B0C7E">
        <w:rPr>
          <w:rFonts w:ascii="Book Antiqua" w:hAnsi="Book Antiqua" w:cs="Times New Roman"/>
          <w:sz w:val="24"/>
          <w:szCs w:val="24"/>
        </w:rPr>
        <w:t xml:space="preserve"> I. Risk factors for delayed bleeding from endoscopic submucosal dissection of gastric neoplasms. </w:t>
      </w:r>
      <w:proofErr w:type="spellStart"/>
      <w:r w:rsidRPr="004B0C7E">
        <w:rPr>
          <w:rFonts w:ascii="Book Antiqua" w:hAnsi="Book Antiqua" w:cs="Times New Roman"/>
          <w:i/>
          <w:iCs/>
          <w:sz w:val="24"/>
          <w:szCs w:val="24"/>
        </w:rPr>
        <w:t>Scand</w:t>
      </w:r>
      <w:proofErr w:type="spellEnd"/>
      <w:r w:rsidRPr="004B0C7E">
        <w:rPr>
          <w:rFonts w:ascii="Book Antiqua" w:hAnsi="Book Antiqua" w:cs="Times New Roman"/>
          <w:i/>
          <w:iCs/>
          <w:sz w:val="24"/>
          <w:szCs w:val="24"/>
        </w:rPr>
        <w:t xml:space="preserve"> J Gastroenterol</w:t>
      </w:r>
      <w:r w:rsidRPr="004B0C7E">
        <w:rPr>
          <w:rFonts w:ascii="Book Antiqua" w:hAnsi="Book Antiqua" w:cs="Times New Roman"/>
          <w:sz w:val="24"/>
          <w:szCs w:val="24"/>
        </w:rPr>
        <w:t> 2012; </w:t>
      </w:r>
      <w:r w:rsidRPr="004B0C7E">
        <w:rPr>
          <w:rFonts w:ascii="Book Antiqua" w:hAnsi="Book Antiqua" w:cs="Times New Roman"/>
          <w:b/>
          <w:bCs/>
          <w:sz w:val="24"/>
          <w:szCs w:val="24"/>
        </w:rPr>
        <w:t>47</w:t>
      </w:r>
      <w:r w:rsidRPr="004B0C7E">
        <w:rPr>
          <w:rFonts w:ascii="Book Antiqua" w:hAnsi="Book Antiqua" w:cs="Times New Roman"/>
          <w:sz w:val="24"/>
          <w:szCs w:val="24"/>
        </w:rPr>
        <w:t>: 1108-1114 [PMID: 22783937 DOI: 10.3109/00365521.2012.699550]</w:t>
      </w:r>
    </w:p>
    <w:p w14:paraId="6FC1F13F"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12 </w:t>
      </w:r>
      <w:r w:rsidRPr="004B0C7E">
        <w:rPr>
          <w:rFonts w:ascii="Book Antiqua" w:hAnsi="Book Antiqua" w:cs="Times New Roman"/>
          <w:b/>
          <w:bCs/>
          <w:sz w:val="24"/>
          <w:szCs w:val="24"/>
        </w:rPr>
        <w:t>Kim HH</w:t>
      </w:r>
      <w:r w:rsidRPr="004B0C7E">
        <w:rPr>
          <w:rFonts w:ascii="Book Antiqua" w:hAnsi="Book Antiqua" w:cs="Times New Roman"/>
          <w:sz w:val="24"/>
          <w:szCs w:val="24"/>
        </w:rPr>
        <w:t>, Park SJ, Park MI, Moon W. Clinical impact of second-look endoscopy after endoscopic submucosal dissection of gastric neoplasms. </w:t>
      </w:r>
      <w:r w:rsidRPr="004B0C7E">
        <w:rPr>
          <w:rFonts w:ascii="Book Antiqua" w:hAnsi="Book Antiqua" w:cs="Times New Roman"/>
          <w:i/>
          <w:iCs/>
          <w:sz w:val="24"/>
          <w:szCs w:val="24"/>
        </w:rPr>
        <w:t>Gut Liver</w:t>
      </w:r>
      <w:r w:rsidRPr="004B0C7E">
        <w:rPr>
          <w:rFonts w:ascii="Book Antiqua" w:hAnsi="Book Antiqua" w:cs="Times New Roman"/>
          <w:sz w:val="24"/>
          <w:szCs w:val="24"/>
        </w:rPr>
        <w:t> 2012; </w:t>
      </w:r>
      <w:r w:rsidRPr="004B0C7E">
        <w:rPr>
          <w:rFonts w:ascii="Book Antiqua" w:hAnsi="Book Antiqua" w:cs="Times New Roman"/>
          <w:b/>
          <w:bCs/>
          <w:sz w:val="24"/>
          <w:szCs w:val="24"/>
        </w:rPr>
        <w:t>6</w:t>
      </w:r>
      <w:r w:rsidRPr="004B0C7E">
        <w:rPr>
          <w:rFonts w:ascii="Book Antiqua" w:hAnsi="Book Antiqua" w:cs="Times New Roman"/>
          <w:sz w:val="24"/>
          <w:szCs w:val="24"/>
        </w:rPr>
        <w:t>: 316-320 [PMID: 22844558 DOI: 10.5009/gnl.2012.6.3.316]</w:t>
      </w:r>
    </w:p>
    <w:p w14:paraId="7E50EF8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lastRenderedPageBreak/>
        <w:t>13 </w:t>
      </w:r>
      <w:r w:rsidRPr="004B0C7E">
        <w:rPr>
          <w:rFonts w:ascii="Book Antiqua" w:hAnsi="Book Antiqua" w:cs="Times New Roman"/>
          <w:b/>
          <w:bCs/>
          <w:sz w:val="24"/>
          <w:szCs w:val="24"/>
        </w:rPr>
        <w:t>Cho SJ</w:t>
      </w:r>
      <w:r w:rsidRPr="004B0C7E">
        <w:rPr>
          <w:rFonts w:ascii="Book Antiqua" w:hAnsi="Book Antiqua" w:cs="Times New Roman"/>
          <w:sz w:val="24"/>
          <w:szCs w:val="24"/>
        </w:rPr>
        <w:t>, Choi IJ, Kim CG, Lee JY, Nam BH, Kwak MH, Kim HJ, Ryu KW, Lee JH, Kim YW. Aspirin use and bleeding risk after endoscopic submucosal dissection in patients with gastric neoplasms. </w:t>
      </w:r>
      <w:r w:rsidRPr="004B0C7E">
        <w:rPr>
          <w:rFonts w:ascii="Book Antiqua" w:hAnsi="Book Antiqua" w:cs="Times New Roman"/>
          <w:i/>
          <w:iCs/>
          <w:sz w:val="24"/>
          <w:szCs w:val="24"/>
        </w:rPr>
        <w:t>Endoscopy</w:t>
      </w:r>
      <w:r w:rsidRPr="004B0C7E">
        <w:rPr>
          <w:rFonts w:ascii="Book Antiqua" w:hAnsi="Book Antiqua" w:cs="Times New Roman"/>
          <w:sz w:val="24"/>
          <w:szCs w:val="24"/>
        </w:rPr>
        <w:t> 2012; </w:t>
      </w:r>
      <w:r w:rsidRPr="004B0C7E">
        <w:rPr>
          <w:rFonts w:ascii="Book Antiqua" w:hAnsi="Book Antiqua" w:cs="Times New Roman"/>
          <w:b/>
          <w:bCs/>
          <w:sz w:val="24"/>
          <w:szCs w:val="24"/>
        </w:rPr>
        <w:t>44</w:t>
      </w:r>
      <w:r w:rsidRPr="004B0C7E">
        <w:rPr>
          <w:rFonts w:ascii="Book Antiqua" w:hAnsi="Book Antiqua" w:cs="Times New Roman"/>
          <w:sz w:val="24"/>
          <w:szCs w:val="24"/>
        </w:rPr>
        <w:t>: 114-121 [PMID: 22271021 DOI: 10.1055/s-0031-1291459]</w:t>
      </w:r>
    </w:p>
    <w:p w14:paraId="0202E332"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14 </w:t>
      </w:r>
      <w:r w:rsidRPr="004B0C7E">
        <w:rPr>
          <w:rFonts w:ascii="Book Antiqua" w:hAnsi="Book Antiqua" w:cs="Times New Roman"/>
          <w:b/>
          <w:bCs/>
          <w:sz w:val="24"/>
          <w:szCs w:val="24"/>
        </w:rPr>
        <w:t>Lim JH</w:t>
      </w:r>
      <w:r w:rsidRPr="004B0C7E">
        <w:rPr>
          <w:rFonts w:ascii="Book Antiqua" w:hAnsi="Book Antiqua" w:cs="Times New Roman"/>
          <w:sz w:val="24"/>
          <w:szCs w:val="24"/>
        </w:rPr>
        <w:t xml:space="preserve">, Kim SG, Kim JW, Choi YJ, Kwon J, Kim JY, Lee YB, Choi J, </w:t>
      </w:r>
      <w:proofErr w:type="spellStart"/>
      <w:r w:rsidRPr="004B0C7E">
        <w:rPr>
          <w:rFonts w:ascii="Book Antiqua" w:hAnsi="Book Antiqua" w:cs="Times New Roman"/>
          <w:sz w:val="24"/>
          <w:szCs w:val="24"/>
        </w:rPr>
        <w:t>Im</w:t>
      </w:r>
      <w:proofErr w:type="spellEnd"/>
      <w:r w:rsidRPr="004B0C7E">
        <w:rPr>
          <w:rFonts w:ascii="Book Antiqua" w:hAnsi="Book Antiqua" w:cs="Times New Roman"/>
          <w:sz w:val="24"/>
          <w:szCs w:val="24"/>
        </w:rPr>
        <w:t xml:space="preserve"> JP, Kim JS, Jung HC, Song IS. Do antiplatelets increase the risk of bleeding after endoscopic submucosal dissection of gastric neoplasms?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2012; </w:t>
      </w:r>
      <w:r w:rsidRPr="004B0C7E">
        <w:rPr>
          <w:rFonts w:ascii="Book Antiqua" w:hAnsi="Book Antiqua" w:cs="Times New Roman"/>
          <w:b/>
          <w:bCs/>
          <w:sz w:val="24"/>
          <w:szCs w:val="24"/>
        </w:rPr>
        <w:t>75</w:t>
      </w:r>
      <w:r w:rsidRPr="004B0C7E">
        <w:rPr>
          <w:rFonts w:ascii="Book Antiqua" w:hAnsi="Book Antiqua" w:cs="Times New Roman"/>
          <w:sz w:val="24"/>
          <w:szCs w:val="24"/>
        </w:rPr>
        <w:t>: 719-727 [PMID: 22317881 DOI: 10.1016/j.gie.2011.11.034]</w:t>
      </w:r>
    </w:p>
    <w:p w14:paraId="43D2A917"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15 </w:t>
      </w:r>
      <w:r w:rsidRPr="004B0C7E">
        <w:rPr>
          <w:rFonts w:ascii="Book Antiqua" w:hAnsi="Book Antiqua" w:cs="Times New Roman"/>
          <w:b/>
          <w:bCs/>
          <w:sz w:val="24"/>
          <w:szCs w:val="24"/>
        </w:rPr>
        <w:t>Matsumura T</w:t>
      </w:r>
      <w:r w:rsidRPr="004B0C7E">
        <w:rPr>
          <w:rFonts w:ascii="Book Antiqua" w:hAnsi="Book Antiqua" w:cs="Times New Roman"/>
          <w:sz w:val="24"/>
          <w:szCs w:val="24"/>
        </w:rPr>
        <w:t xml:space="preserve">, Arai M, </w:t>
      </w:r>
      <w:proofErr w:type="spellStart"/>
      <w:r w:rsidRPr="004B0C7E">
        <w:rPr>
          <w:rFonts w:ascii="Book Antiqua" w:hAnsi="Book Antiqua" w:cs="Times New Roman"/>
          <w:sz w:val="24"/>
          <w:szCs w:val="24"/>
        </w:rPr>
        <w:t>Maruoka</w:t>
      </w:r>
      <w:proofErr w:type="spellEnd"/>
      <w:r w:rsidRPr="004B0C7E">
        <w:rPr>
          <w:rFonts w:ascii="Book Antiqua" w:hAnsi="Book Antiqua" w:cs="Times New Roman"/>
          <w:sz w:val="24"/>
          <w:szCs w:val="24"/>
        </w:rPr>
        <w:t xml:space="preserve"> D, </w:t>
      </w:r>
      <w:proofErr w:type="spellStart"/>
      <w:r w:rsidRPr="004B0C7E">
        <w:rPr>
          <w:rFonts w:ascii="Book Antiqua" w:hAnsi="Book Antiqua" w:cs="Times New Roman"/>
          <w:sz w:val="24"/>
          <w:szCs w:val="24"/>
        </w:rPr>
        <w:t>Okimoto</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Minemura</w:t>
      </w:r>
      <w:proofErr w:type="spellEnd"/>
      <w:r w:rsidRPr="004B0C7E">
        <w:rPr>
          <w:rFonts w:ascii="Book Antiqua" w:hAnsi="Book Antiqua" w:cs="Times New Roman"/>
          <w:sz w:val="24"/>
          <w:szCs w:val="24"/>
        </w:rPr>
        <w:t xml:space="preserve"> S, </w:t>
      </w:r>
      <w:proofErr w:type="spellStart"/>
      <w:r w:rsidRPr="004B0C7E">
        <w:rPr>
          <w:rFonts w:ascii="Book Antiqua" w:hAnsi="Book Antiqua" w:cs="Times New Roman"/>
          <w:sz w:val="24"/>
          <w:szCs w:val="24"/>
        </w:rPr>
        <w:t>Ishigami</w:t>
      </w:r>
      <w:proofErr w:type="spellEnd"/>
      <w:r w:rsidRPr="004B0C7E">
        <w:rPr>
          <w:rFonts w:ascii="Book Antiqua" w:hAnsi="Book Antiqua" w:cs="Times New Roman"/>
          <w:sz w:val="24"/>
          <w:szCs w:val="24"/>
        </w:rPr>
        <w:t xml:space="preserve"> H, Saito K, Nakagawa T, </w:t>
      </w:r>
      <w:proofErr w:type="spellStart"/>
      <w:r w:rsidRPr="004B0C7E">
        <w:rPr>
          <w:rFonts w:ascii="Book Antiqua" w:hAnsi="Book Antiqua" w:cs="Times New Roman"/>
          <w:sz w:val="24"/>
          <w:szCs w:val="24"/>
        </w:rPr>
        <w:t>Katsuno</w:t>
      </w:r>
      <w:proofErr w:type="spellEnd"/>
      <w:r w:rsidRPr="004B0C7E">
        <w:rPr>
          <w:rFonts w:ascii="Book Antiqua" w:hAnsi="Book Antiqua" w:cs="Times New Roman"/>
          <w:sz w:val="24"/>
          <w:szCs w:val="24"/>
        </w:rPr>
        <w:t xml:space="preserve"> T, Yokosuka O. Risk factors for early and delayed post-operative bleeding after endoscopic submucosal dissection of gastric neoplasms, including patients with continued use of antithrombotic agents. </w:t>
      </w:r>
      <w:r w:rsidRPr="004B0C7E">
        <w:rPr>
          <w:rFonts w:ascii="Book Antiqua" w:hAnsi="Book Antiqua" w:cs="Times New Roman"/>
          <w:i/>
          <w:iCs/>
          <w:sz w:val="24"/>
          <w:szCs w:val="24"/>
        </w:rPr>
        <w:t>BMC Gastroenterol</w:t>
      </w:r>
      <w:r w:rsidRPr="004B0C7E">
        <w:rPr>
          <w:rFonts w:ascii="Book Antiqua" w:hAnsi="Book Antiqua" w:cs="Times New Roman"/>
          <w:sz w:val="24"/>
          <w:szCs w:val="24"/>
        </w:rPr>
        <w:t> 2014; </w:t>
      </w:r>
      <w:r w:rsidRPr="004B0C7E">
        <w:rPr>
          <w:rFonts w:ascii="Book Antiqua" w:hAnsi="Book Antiqua" w:cs="Times New Roman"/>
          <w:b/>
          <w:bCs/>
          <w:sz w:val="24"/>
          <w:szCs w:val="24"/>
        </w:rPr>
        <w:t>14</w:t>
      </w:r>
      <w:r w:rsidRPr="004B0C7E">
        <w:rPr>
          <w:rFonts w:ascii="Book Antiqua" w:hAnsi="Book Antiqua" w:cs="Times New Roman"/>
          <w:sz w:val="24"/>
          <w:szCs w:val="24"/>
        </w:rPr>
        <w:t>: 172 [PMID: 25280756 DOI: 10.1186/1471-230X-14-172]</w:t>
      </w:r>
    </w:p>
    <w:p w14:paraId="03ADAC7B"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16 </w:t>
      </w:r>
      <w:r w:rsidRPr="004B0C7E">
        <w:rPr>
          <w:rFonts w:ascii="Book Antiqua" w:hAnsi="Book Antiqua" w:cs="Times New Roman"/>
          <w:b/>
          <w:bCs/>
          <w:sz w:val="24"/>
          <w:szCs w:val="24"/>
        </w:rPr>
        <w:t>Koh R</w:t>
      </w:r>
      <w:r w:rsidRPr="004B0C7E">
        <w:rPr>
          <w:rFonts w:ascii="Book Antiqua" w:hAnsi="Book Antiqua" w:cs="Times New Roman"/>
          <w:sz w:val="24"/>
          <w:szCs w:val="24"/>
        </w:rPr>
        <w:t xml:space="preserve">, Hirasawa K, </w:t>
      </w:r>
      <w:proofErr w:type="spellStart"/>
      <w:r w:rsidRPr="004B0C7E">
        <w:rPr>
          <w:rFonts w:ascii="Book Antiqua" w:hAnsi="Book Antiqua" w:cs="Times New Roman"/>
          <w:sz w:val="24"/>
          <w:szCs w:val="24"/>
        </w:rPr>
        <w:t>Yahara</w:t>
      </w:r>
      <w:proofErr w:type="spellEnd"/>
      <w:r w:rsidRPr="004B0C7E">
        <w:rPr>
          <w:rFonts w:ascii="Book Antiqua" w:hAnsi="Book Antiqua" w:cs="Times New Roman"/>
          <w:sz w:val="24"/>
          <w:szCs w:val="24"/>
        </w:rPr>
        <w:t xml:space="preserve"> S, Oka H, </w:t>
      </w:r>
      <w:proofErr w:type="spellStart"/>
      <w:r w:rsidRPr="004B0C7E">
        <w:rPr>
          <w:rFonts w:ascii="Book Antiqua" w:hAnsi="Book Antiqua" w:cs="Times New Roman"/>
          <w:sz w:val="24"/>
          <w:szCs w:val="24"/>
        </w:rPr>
        <w:t>Sugimori</w:t>
      </w:r>
      <w:proofErr w:type="spellEnd"/>
      <w:r w:rsidRPr="004B0C7E">
        <w:rPr>
          <w:rFonts w:ascii="Book Antiqua" w:hAnsi="Book Antiqua" w:cs="Times New Roman"/>
          <w:sz w:val="24"/>
          <w:szCs w:val="24"/>
        </w:rPr>
        <w:t xml:space="preserve"> K, Morimoto M, </w:t>
      </w:r>
      <w:proofErr w:type="spellStart"/>
      <w:r w:rsidRPr="004B0C7E">
        <w:rPr>
          <w:rFonts w:ascii="Book Antiqua" w:hAnsi="Book Antiqua" w:cs="Times New Roman"/>
          <w:sz w:val="24"/>
          <w:szCs w:val="24"/>
        </w:rPr>
        <w:t>Numata</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Kokawa</w:t>
      </w:r>
      <w:proofErr w:type="spellEnd"/>
      <w:r w:rsidRPr="004B0C7E">
        <w:rPr>
          <w:rFonts w:ascii="Book Antiqua" w:hAnsi="Book Antiqua" w:cs="Times New Roman"/>
          <w:sz w:val="24"/>
          <w:szCs w:val="24"/>
        </w:rPr>
        <w:t xml:space="preserve"> A, Sasaki T, Nozawa A, Taguri M, Morita S, Maeda S, Tanaka K. Antithrombotic drugs are risk factors for delayed postoperative bleeding after endoscopic submucosal dissection for gastric neoplasms.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2013; </w:t>
      </w:r>
      <w:r w:rsidRPr="004B0C7E">
        <w:rPr>
          <w:rFonts w:ascii="Book Antiqua" w:hAnsi="Book Antiqua" w:cs="Times New Roman"/>
          <w:b/>
          <w:bCs/>
          <w:sz w:val="24"/>
          <w:szCs w:val="24"/>
        </w:rPr>
        <w:t>78</w:t>
      </w:r>
      <w:r w:rsidRPr="004B0C7E">
        <w:rPr>
          <w:rFonts w:ascii="Book Antiqua" w:hAnsi="Book Antiqua" w:cs="Times New Roman"/>
          <w:sz w:val="24"/>
          <w:szCs w:val="24"/>
        </w:rPr>
        <w:t>: 476-483 [PMID: 23622974 DOI: 10.1016/j.gie.2013.03.008]</w:t>
      </w:r>
    </w:p>
    <w:p w14:paraId="38BE9BF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17 </w:t>
      </w:r>
      <w:proofErr w:type="spellStart"/>
      <w:r w:rsidRPr="004B0C7E">
        <w:rPr>
          <w:rFonts w:ascii="Book Antiqua" w:hAnsi="Book Antiqua" w:cs="Times New Roman"/>
          <w:b/>
          <w:bCs/>
          <w:sz w:val="24"/>
          <w:szCs w:val="24"/>
        </w:rPr>
        <w:t>Uedo</w:t>
      </w:r>
      <w:proofErr w:type="spellEnd"/>
      <w:r w:rsidRPr="004B0C7E">
        <w:rPr>
          <w:rFonts w:ascii="Book Antiqua" w:hAnsi="Book Antiqua" w:cs="Times New Roman"/>
          <w:b/>
          <w:bCs/>
          <w:sz w:val="24"/>
          <w:szCs w:val="24"/>
        </w:rPr>
        <w:t xml:space="preserve"> N</w:t>
      </w:r>
      <w:r w:rsidRPr="004B0C7E">
        <w:rPr>
          <w:rFonts w:ascii="Book Antiqua" w:hAnsi="Book Antiqua" w:cs="Times New Roman"/>
          <w:sz w:val="24"/>
          <w:szCs w:val="24"/>
        </w:rPr>
        <w:t xml:space="preserve">, Takeuchi Y, Yamada T, Ishihara R, </w:t>
      </w:r>
      <w:proofErr w:type="spellStart"/>
      <w:r w:rsidRPr="004B0C7E">
        <w:rPr>
          <w:rFonts w:ascii="Book Antiqua" w:hAnsi="Book Antiqua" w:cs="Times New Roman"/>
          <w:sz w:val="24"/>
          <w:szCs w:val="24"/>
        </w:rPr>
        <w:t>Ogiyama</w:t>
      </w:r>
      <w:proofErr w:type="spellEnd"/>
      <w:r w:rsidRPr="004B0C7E">
        <w:rPr>
          <w:rFonts w:ascii="Book Antiqua" w:hAnsi="Book Antiqua" w:cs="Times New Roman"/>
          <w:sz w:val="24"/>
          <w:szCs w:val="24"/>
        </w:rPr>
        <w:t xml:space="preserve"> H, Yamamoto S, Kato M, Tatsumi K, Masuda E, Tamai C, Yamamoto S, </w:t>
      </w:r>
      <w:proofErr w:type="spellStart"/>
      <w:r w:rsidRPr="004B0C7E">
        <w:rPr>
          <w:rFonts w:ascii="Book Antiqua" w:hAnsi="Book Antiqua" w:cs="Times New Roman"/>
          <w:sz w:val="24"/>
          <w:szCs w:val="24"/>
        </w:rPr>
        <w:t>Higashino</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Iishi</w:t>
      </w:r>
      <w:proofErr w:type="spellEnd"/>
      <w:r w:rsidRPr="004B0C7E">
        <w:rPr>
          <w:rFonts w:ascii="Book Antiqua" w:hAnsi="Book Antiqua" w:cs="Times New Roman"/>
          <w:sz w:val="24"/>
          <w:szCs w:val="24"/>
        </w:rPr>
        <w:t xml:space="preserve"> H, Tatsuta M. Effect of a proton pump inhibitor or an H2-receptor antagonist on prevention of bleeding from ulcer after endoscopic submucosal dissection of early gastric cancer: a prospective randomized controlled trial. </w:t>
      </w:r>
      <w:r w:rsidRPr="004B0C7E">
        <w:rPr>
          <w:rFonts w:ascii="Book Antiqua" w:hAnsi="Book Antiqua" w:cs="Times New Roman"/>
          <w:i/>
          <w:iCs/>
          <w:sz w:val="24"/>
          <w:szCs w:val="24"/>
        </w:rPr>
        <w:t>Am J Gastroenterol</w:t>
      </w:r>
      <w:r w:rsidRPr="004B0C7E">
        <w:rPr>
          <w:rFonts w:ascii="Book Antiqua" w:hAnsi="Book Antiqua" w:cs="Times New Roman"/>
          <w:sz w:val="24"/>
          <w:szCs w:val="24"/>
        </w:rPr>
        <w:t> 2007; </w:t>
      </w:r>
      <w:r w:rsidRPr="004B0C7E">
        <w:rPr>
          <w:rFonts w:ascii="Book Antiqua" w:hAnsi="Book Antiqua" w:cs="Times New Roman"/>
          <w:b/>
          <w:bCs/>
          <w:sz w:val="24"/>
          <w:szCs w:val="24"/>
        </w:rPr>
        <w:t>102</w:t>
      </w:r>
      <w:r w:rsidRPr="004B0C7E">
        <w:rPr>
          <w:rFonts w:ascii="Book Antiqua" w:hAnsi="Book Antiqua" w:cs="Times New Roman"/>
          <w:sz w:val="24"/>
          <w:szCs w:val="24"/>
        </w:rPr>
        <w:t>: 1610-1616 [PMID: 17403076 DOI: 10.1111/j.1572-0241.2007.01197.x]</w:t>
      </w:r>
    </w:p>
    <w:p w14:paraId="03730052" w14:textId="5395C4A4"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18 </w:t>
      </w:r>
      <w:r w:rsidRPr="004B0C7E">
        <w:rPr>
          <w:rFonts w:ascii="Book Antiqua" w:hAnsi="Book Antiqua" w:cs="Times New Roman"/>
          <w:b/>
          <w:bCs/>
          <w:sz w:val="24"/>
          <w:szCs w:val="24"/>
        </w:rPr>
        <w:t>Takeuchi T</w:t>
      </w:r>
      <w:r w:rsidRPr="004B0C7E">
        <w:rPr>
          <w:rFonts w:ascii="Book Antiqua" w:hAnsi="Book Antiqua" w:cs="Times New Roman"/>
          <w:sz w:val="24"/>
          <w:szCs w:val="24"/>
        </w:rPr>
        <w:t xml:space="preserve">, Ota K, Harada S, Edogawa S, Kojima Y, </w:t>
      </w:r>
      <w:proofErr w:type="spellStart"/>
      <w:r w:rsidRPr="004B0C7E">
        <w:rPr>
          <w:rFonts w:ascii="Book Antiqua" w:hAnsi="Book Antiqua" w:cs="Times New Roman"/>
          <w:sz w:val="24"/>
          <w:szCs w:val="24"/>
        </w:rPr>
        <w:t>Tokioka</w:t>
      </w:r>
      <w:proofErr w:type="spellEnd"/>
      <w:r w:rsidRPr="004B0C7E">
        <w:rPr>
          <w:rFonts w:ascii="Book Antiqua" w:hAnsi="Book Antiqua" w:cs="Times New Roman"/>
          <w:sz w:val="24"/>
          <w:szCs w:val="24"/>
        </w:rPr>
        <w:t xml:space="preserve"> S, </w:t>
      </w:r>
      <w:proofErr w:type="spellStart"/>
      <w:r w:rsidRPr="004B0C7E">
        <w:rPr>
          <w:rFonts w:ascii="Book Antiqua" w:hAnsi="Book Antiqua" w:cs="Times New Roman"/>
          <w:sz w:val="24"/>
          <w:szCs w:val="24"/>
        </w:rPr>
        <w:t>Umegaki</w:t>
      </w:r>
      <w:proofErr w:type="spellEnd"/>
      <w:r w:rsidRPr="004B0C7E">
        <w:rPr>
          <w:rFonts w:ascii="Book Antiqua" w:hAnsi="Book Antiqua" w:cs="Times New Roman"/>
          <w:sz w:val="24"/>
          <w:szCs w:val="24"/>
        </w:rPr>
        <w:t xml:space="preserve"> E, Higuchi K. The postoperative bleeding rate and its risk factors in patients on antithrombotic therapy who undergo gastric endoscopic submucosal </w:t>
      </w:r>
      <w:r w:rsidRPr="004B0C7E">
        <w:rPr>
          <w:rFonts w:ascii="Book Antiqua" w:hAnsi="Book Antiqua" w:cs="Times New Roman"/>
          <w:sz w:val="24"/>
          <w:szCs w:val="24"/>
        </w:rPr>
        <w:lastRenderedPageBreak/>
        <w:t>dissection. </w:t>
      </w:r>
      <w:r w:rsidRPr="004B0C7E">
        <w:rPr>
          <w:rFonts w:ascii="Book Antiqua" w:hAnsi="Book Antiqua" w:cs="Times New Roman"/>
          <w:i/>
          <w:iCs/>
          <w:sz w:val="24"/>
          <w:szCs w:val="24"/>
        </w:rPr>
        <w:t>BMC Gastroenterol</w:t>
      </w:r>
      <w:r w:rsidR="004D0EC1">
        <w:rPr>
          <w:rFonts w:ascii="Book Antiqua" w:hAnsi="Book Antiqua" w:cs="Times New Roman" w:hint="eastAsia"/>
          <w:sz w:val="24"/>
          <w:szCs w:val="24"/>
          <w:lang w:eastAsia="zh-CN"/>
        </w:rPr>
        <w:t xml:space="preserve"> </w:t>
      </w:r>
      <w:r w:rsidRPr="004B0C7E">
        <w:rPr>
          <w:rFonts w:ascii="Book Antiqua" w:hAnsi="Book Antiqua" w:cs="Times New Roman"/>
          <w:sz w:val="24"/>
          <w:szCs w:val="24"/>
        </w:rPr>
        <w:t>2013; </w:t>
      </w:r>
      <w:r w:rsidRPr="004B0C7E">
        <w:rPr>
          <w:rFonts w:ascii="Book Antiqua" w:hAnsi="Book Antiqua" w:cs="Times New Roman"/>
          <w:b/>
          <w:bCs/>
          <w:sz w:val="24"/>
          <w:szCs w:val="24"/>
        </w:rPr>
        <w:t>13</w:t>
      </w:r>
      <w:r w:rsidRPr="004B0C7E">
        <w:rPr>
          <w:rFonts w:ascii="Book Antiqua" w:hAnsi="Book Antiqua" w:cs="Times New Roman"/>
          <w:sz w:val="24"/>
          <w:szCs w:val="24"/>
        </w:rPr>
        <w:t>: 136 [PMID: 24010587 DOI: 10.1186/1471-230X-13-136]</w:t>
      </w:r>
    </w:p>
    <w:p w14:paraId="6DE0013C"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19 </w:t>
      </w:r>
      <w:proofErr w:type="spellStart"/>
      <w:r w:rsidRPr="004B0C7E">
        <w:rPr>
          <w:rFonts w:ascii="Book Antiqua" w:hAnsi="Book Antiqua" w:cs="Times New Roman"/>
          <w:b/>
          <w:bCs/>
          <w:sz w:val="24"/>
          <w:szCs w:val="24"/>
        </w:rPr>
        <w:t>Iakovou</w:t>
      </w:r>
      <w:proofErr w:type="spellEnd"/>
      <w:r w:rsidRPr="004B0C7E">
        <w:rPr>
          <w:rFonts w:ascii="Book Antiqua" w:hAnsi="Book Antiqua" w:cs="Times New Roman"/>
          <w:b/>
          <w:bCs/>
          <w:sz w:val="24"/>
          <w:szCs w:val="24"/>
        </w:rPr>
        <w:t xml:space="preserve"> I</w:t>
      </w:r>
      <w:r w:rsidRPr="004B0C7E">
        <w:rPr>
          <w:rFonts w:ascii="Book Antiqua" w:hAnsi="Book Antiqua" w:cs="Times New Roman"/>
          <w:sz w:val="24"/>
          <w:szCs w:val="24"/>
        </w:rPr>
        <w:t xml:space="preserve">, Schmidt T, </w:t>
      </w:r>
      <w:proofErr w:type="spellStart"/>
      <w:r w:rsidRPr="004B0C7E">
        <w:rPr>
          <w:rFonts w:ascii="Book Antiqua" w:hAnsi="Book Antiqua" w:cs="Times New Roman"/>
          <w:sz w:val="24"/>
          <w:szCs w:val="24"/>
        </w:rPr>
        <w:t>Bonizzoni</w:t>
      </w:r>
      <w:proofErr w:type="spellEnd"/>
      <w:r w:rsidRPr="004B0C7E">
        <w:rPr>
          <w:rFonts w:ascii="Book Antiqua" w:hAnsi="Book Antiqua" w:cs="Times New Roman"/>
          <w:sz w:val="24"/>
          <w:szCs w:val="24"/>
        </w:rPr>
        <w:t xml:space="preserve"> E, Ge L, </w:t>
      </w:r>
      <w:proofErr w:type="spellStart"/>
      <w:r w:rsidRPr="004B0C7E">
        <w:rPr>
          <w:rFonts w:ascii="Book Antiqua" w:hAnsi="Book Antiqua" w:cs="Times New Roman"/>
          <w:sz w:val="24"/>
          <w:szCs w:val="24"/>
        </w:rPr>
        <w:t>Sangiorgi</w:t>
      </w:r>
      <w:proofErr w:type="spellEnd"/>
      <w:r w:rsidRPr="004B0C7E">
        <w:rPr>
          <w:rFonts w:ascii="Book Antiqua" w:hAnsi="Book Antiqua" w:cs="Times New Roman"/>
          <w:sz w:val="24"/>
          <w:szCs w:val="24"/>
        </w:rPr>
        <w:t xml:space="preserve"> GM, Stankovic G, </w:t>
      </w:r>
      <w:proofErr w:type="spellStart"/>
      <w:r w:rsidRPr="004B0C7E">
        <w:rPr>
          <w:rFonts w:ascii="Book Antiqua" w:hAnsi="Book Antiqua" w:cs="Times New Roman"/>
          <w:sz w:val="24"/>
          <w:szCs w:val="24"/>
        </w:rPr>
        <w:t>Airoldi</w:t>
      </w:r>
      <w:proofErr w:type="spellEnd"/>
      <w:r w:rsidRPr="004B0C7E">
        <w:rPr>
          <w:rFonts w:ascii="Book Antiqua" w:hAnsi="Book Antiqua" w:cs="Times New Roman"/>
          <w:sz w:val="24"/>
          <w:szCs w:val="24"/>
        </w:rPr>
        <w:t xml:space="preserve"> F, </w:t>
      </w:r>
      <w:proofErr w:type="spellStart"/>
      <w:r w:rsidRPr="004B0C7E">
        <w:rPr>
          <w:rFonts w:ascii="Book Antiqua" w:hAnsi="Book Antiqua" w:cs="Times New Roman"/>
          <w:sz w:val="24"/>
          <w:szCs w:val="24"/>
        </w:rPr>
        <w:t>Chieffo</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Montorfano</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Carlino</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Michev</w:t>
      </w:r>
      <w:proofErr w:type="spellEnd"/>
      <w:r w:rsidRPr="004B0C7E">
        <w:rPr>
          <w:rFonts w:ascii="Book Antiqua" w:hAnsi="Book Antiqua" w:cs="Times New Roman"/>
          <w:sz w:val="24"/>
          <w:szCs w:val="24"/>
        </w:rPr>
        <w:t xml:space="preserve"> I, </w:t>
      </w:r>
      <w:proofErr w:type="spellStart"/>
      <w:r w:rsidRPr="004B0C7E">
        <w:rPr>
          <w:rFonts w:ascii="Book Antiqua" w:hAnsi="Book Antiqua" w:cs="Times New Roman"/>
          <w:sz w:val="24"/>
          <w:szCs w:val="24"/>
        </w:rPr>
        <w:t>Corvaja</w:t>
      </w:r>
      <w:proofErr w:type="spellEnd"/>
      <w:r w:rsidRPr="004B0C7E">
        <w:rPr>
          <w:rFonts w:ascii="Book Antiqua" w:hAnsi="Book Antiqua" w:cs="Times New Roman"/>
          <w:sz w:val="24"/>
          <w:szCs w:val="24"/>
        </w:rPr>
        <w:t xml:space="preserve"> N, </w:t>
      </w:r>
      <w:proofErr w:type="spellStart"/>
      <w:r w:rsidRPr="004B0C7E">
        <w:rPr>
          <w:rFonts w:ascii="Book Antiqua" w:hAnsi="Book Antiqua" w:cs="Times New Roman"/>
          <w:sz w:val="24"/>
          <w:szCs w:val="24"/>
        </w:rPr>
        <w:t>Briguori</w:t>
      </w:r>
      <w:proofErr w:type="spellEnd"/>
      <w:r w:rsidRPr="004B0C7E">
        <w:rPr>
          <w:rFonts w:ascii="Book Antiqua" w:hAnsi="Book Antiqua" w:cs="Times New Roman"/>
          <w:sz w:val="24"/>
          <w:szCs w:val="24"/>
        </w:rPr>
        <w:t xml:space="preserve"> C, </w:t>
      </w:r>
      <w:proofErr w:type="spellStart"/>
      <w:r w:rsidRPr="004B0C7E">
        <w:rPr>
          <w:rFonts w:ascii="Book Antiqua" w:hAnsi="Book Antiqua" w:cs="Times New Roman"/>
          <w:sz w:val="24"/>
          <w:szCs w:val="24"/>
        </w:rPr>
        <w:t>Gerckens</w:t>
      </w:r>
      <w:proofErr w:type="spellEnd"/>
      <w:r w:rsidRPr="004B0C7E">
        <w:rPr>
          <w:rFonts w:ascii="Book Antiqua" w:hAnsi="Book Antiqua" w:cs="Times New Roman"/>
          <w:sz w:val="24"/>
          <w:szCs w:val="24"/>
        </w:rPr>
        <w:t xml:space="preserve"> U, Grube E, Colombo A. Incidence, predictors, and outcome of thrombosis after successful implantation of drug-eluting stents. </w:t>
      </w:r>
      <w:r w:rsidRPr="004B0C7E">
        <w:rPr>
          <w:rFonts w:ascii="Book Antiqua" w:hAnsi="Book Antiqua" w:cs="Times New Roman"/>
          <w:i/>
          <w:iCs/>
          <w:sz w:val="24"/>
          <w:szCs w:val="24"/>
        </w:rPr>
        <w:t>JAMA</w:t>
      </w:r>
      <w:r w:rsidRPr="004B0C7E">
        <w:rPr>
          <w:rFonts w:ascii="Book Antiqua" w:hAnsi="Book Antiqua" w:cs="Times New Roman"/>
          <w:sz w:val="24"/>
          <w:szCs w:val="24"/>
        </w:rPr>
        <w:t> 2005; </w:t>
      </w:r>
      <w:r w:rsidRPr="004B0C7E">
        <w:rPr>
          <w:rFonts w:ascii="Book Antiqua" w:hAnsi="Book Antiqua" w:cs="Times New Roman"/>
          <w:b/>
          <w:bCs/>
          <w:sz w:val="24"/>
          <w:szCs w:val="24"/>
        </w:rPr>
        <w:t>293</w:t>
      </w:r>
      <w:r w:rsidRPr="004B0C7E">
        <w:rPr>
          <w:rFonts w:ascii="Book Antiqua" w:hAnsi="Book Antiqua" w:cs="Times New Roman"/>
          <w:sz w:val="24"/>
          <w:szCs w:val="24"/>
        </w:rPr>
        <w:t>: 2126-2130 [PMID: 15870416 DOI: 10.1001/jama.293.17.2126]</w:t>
      </w:r>
    </w:p>
    <w:p w14:paraId="459C4485"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20 </w:t>
      </w:r>
      <w:proofErr w:type="spellStart"/>
      <w:r w:rsidRPr="004B0C7E">
        <w:rPr>
          <w:rFonts w:ascii="Book Antiqua" w:hAnsi="Book Antiqua" w:cs="Times New Roman"/>
          <w:b/>
          <w:bCs/>
          <w:sz w:val="24"/>
          <w:szCs w:val="24"/>
        </w:rPr>
        <w:t>Grines</w:t>
      </w:r>
      <w:proofErr w:type="spellEnd"/>
      <w:r w:rsidRPr="004B0C7E">
        <w:rPr>
          <w:rFonts w:ascii="Book Antiqua" w:hAnsi="Book Antiqua" w:cs="Times New Roman"/>
          <w:b/>
          <w:bCs/>
          <w:sz w:val="24"/>
          <w:szCs w:val="24"/>
        </w:rPr>
        <w:t xml:space="preserve"> CL</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Bonow</w:t>
      </w:r>
      <w:proofErr w:type="spellEnd"/>
      <w:r w:rsidRPr="004B0C7E">
        <w:rPr>
          <w:rFonts w:ascii="Book Antiqua" w:hAnsi="Book Antiqua" w:cs="Times New Roman"/>
          <w:sz w:val="24"/>
          <w:szCs w:val="24"/>
        </w:rPr>
        <w:t xml:space="preserve"> RO, Casey DE Jr, Gardner TJ, Lockhart PB, </w:t>
      </w:r>
      <w:proofErr w:type="spellStart"/>
      <w:r w:rsidRPr="004B0C7E">
        <w:rPr>
          <w:rFonts w:ascii="Book Antiqua" w:hAnsi="Book Antiqua" w:cs="Times New Roman"/>
          <w:sz w:val="24"/>
          <w:szCs w:val="24"/>
        </w:rPr>
        <w:t>Moliterno</w:t>
      </w:r>
      <w:proofErr w:type="spellEnd"/>
      <w:r w:rsidRPr="004B0C7E">
        <w:rPr>
          <w:rFonts w:ascii="Book Antiqua" w:hAnsi="Book Antiqua" w:cs="Times New Roman"/>
          <w:sz w:val="24"/>
          <w:szCs w:val="24"/>
        </w:rPr>
        <w:t xml:space="preserve"> DJ, O'Gara P, Whitlow P; American Heart Association; American College of Cardiology; Society for Cardiovascular Angiography and Interventions; American College of Surgeons; American Dental Association; American College of Physicians. Prevention of premature discontinuation of dual antiplatelet therapy in patients with coronary artery stents: a science advisory from the American Heart Association, American College of Cardiology, Society for Cardiovascular Angiography and Interventions, American College of Surgeons, and American Dental Association, with representation from the American College of Physicians. </w:t>
      </w:r>
      <w:r w:rsidRPr="004B0C7E">
        <w:rPr>
          <w:rFonts w:ascii="Book Antiqua" w:hAnsi="Book Antiqua" w:cs="Times New Roman"/>
          <w:i/>
          <w:iCs/>
          <w:sz w:val="24"/>
          <w:szCs w:val="24"/>
        </w:rPr>
        <w:t>Circulation</w:t>
      </w:r>
      <w:r w:rsidRPr="004B0C7E">
        <w:rPr>
          <w:rFonts w:ascii="Book Antiqua" w:hAnsi="Book Antiqua" w:cs="Times New Roman"/>
          <w:sz w:val="24"/>
          <w:szCs w:val="24"/>
        </w:rPr>
        <w:t> 2007; </w:t>
      </w:r>
      <w:r w:rsidRPr="004B0C7E">
        <w:rPr>
          <w:rFonts w:ascii="Book Antiqua" w:hAnsi="Book Antiqua" w:cs="Times New Roman"/>
          <w:b/>
          <w:bCs/>
          <w:sz w:val="24"/>
          <w:szCs w:val="24"/>
        </w:rPr>
        <w:t>115</w:t>
      </w:r>
      <w:r w:rsidRPr="004B0C7E">
        <w:rPr>
          <w:rFonts w:ascii="Book Antiqua" w:hAnsi="Book Antiqua" w:cs="Times New Roman"/>
          <w:sz w:val="24"/>
          <w:szCs w:val="24"/>
        </w:rPr>
        <w:t>: 813-818 [PMID: 17224480 DOI: 10.1161/CIRCULATIONAHA.106.180944]</w:t>
      </w:r>
    </w:p>
    <w:p w14:paraId="16FD878C" w14:textId="280375AB"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21 </w:t>
      </w:r>
      <w:r w:rsidRPr="004B0C7E">
        <w:rPr>
          <w:rFonts w:ascii="Book Antiqua" w:hAnsi="Book Antiqua" w:cs="Times New Roman"/>
          <w:b/>
          <w:bCs/>
          <w:sz w:val="24"/>
          <w:szCs w:val="24"/>
        </w:rPr>
        <w:t>Kushner FG</w:t>
      </w:r>
      <w:r w:rsidRPr="004B0C7E">
        <w:rPr>
          <w:rFonts w:ascii="Book Antiqua" w:hAnsi="Book Antiqua" w:cs="Times New Roman"/>
          <w:sz w:val="24"/>
          <w:szCs w:val="24"/>
        </w:rPr>
        <w:t xml:space="preserve">, Hand M, Smith SC Jr, King SB 3rd, Anderson JL, Antman EM, Bailey SR, Bates ER, Blankenship JC, Casey DE Jr, Green LA, Hochman JS, Jacobs AK, </w:t>
      </w:r>
      <w:proofErr w:type="spellStart"/>
      <w:r w:rsidRPr="004B0C7E">
        <w:rPr>
          <w:rFonts w:ascii="Book Antiqua" w:hAnsi="Book Antiqua" w:cs="Times New Roman"/>
          <w:sz w:val="24"/>
          <w:szCs w:val="24"/>
        </w:rPr>
        <w:t>Krumholz</w:t>
      </w:r>
      <w:proofErr w:type="spellEnd"/>
      <w:r w:rsidRPr="004B0C7E">
        <w:rPr>
          <w:rFonts w:ascii="Book Antiqua" w:hAnsi="Book Antiqua" w:cs="Times New Roman"/>
          <w:sz w:val="24"/>
          <w:szCs w:val="24"/>
        </w:rPr>
        <w:t xml:space="preserve"> HM, Morrison DA, </w:t>
      </w:r>
      <w:proofErr w:type="spellStart"/>
      <w:r w:rsidRPr="004B0C7E">
        <w:rPr>
          <w:rFonts w:ascii="Book Antiqua" w:hAnsi="Book Antiqua" w:cs="Times New Roman"/>
          <w:sz w:val="24"/>
          <w:szCs w:val="24"/>
        </w:rPr>
        <w:t>Ornato</w:t>
      </w:r>
      <w:proofErr w:type="spellEnd"/>
      <w:r w:rsidRPr="004B0C7E">
        <w:rPr>
          <w:rFonts w:ascii="Book Antiqua" w:hAnsi="Book Antiqua" w:cs="Times New Roman"/>
          <w:sz w:val="24"/>
          <w:szCs w:val="24"/>
        </w:rPr>
        <w:t xml:space="preserve"> JP, Pearle DL, Peterson ED, Sloan MA, Whitlow PL, Williams DO.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w:t>
      </w:r>
      <w:r w:rsidRPr="004B0C7E">
        <w:rPr>
          <w:rFonts w:ascii="Book Antiqua" w:hAnsi="Book Antiqua" w:cs="Times New Roman"/>
          <w:i/>
          <w:iCs/>
          <w:sz w:val="24"/>
          <w:szCs w:val="24"/>
        </w:rPr>
        <w:t xml:space="preserve">J Am Coll </w:t>
      </w:r>
      <w:proofErr w:type="spellStart"/>
      <w:r w:rsidRPr="004B0C7E">
        <w:rPr>
          <w:rFonts w:ascii="Book Antiqua" w:hAnsi="Book Antiqua" w:cs="Times New Roman"/>
          <w:i/>
          <w:iCs/>
          <w:sz w:val="24"/>
          <w:szCs w:val="24"/>
        </w:rPr>
        <w:t>Cardiol</w:t>
      </w:r>
      <w:proofErr w:type="spellEnd"/>
      <w:r w:rsidR="006E2E49">
        <w:rPr>
          <w:rFonts w:ascii="Book Antiqua" w:hAnsi="Book Antiqua" w:cs="Times New Roman"/>
          <w:i/>
          <w:iCs/>
          <w:sz w:val="24"/>
          <w:szCs w:val="24"/>
        </w:rPr>
        <w:t xml:space="preserve"> </w:t>
      </w:r>
      <w:r w:rsidRPr="004B0C7E">
        <w:rPr>
          <w:rFonts w:ascii="Book Antiqua" w:hAnsi="Book Antiqua" w:cs="Times New Roman"/>
          <w:sz w:val="24"/>
          <w:szCs w:val="24"/>
        </w:rPr>
        <w:t>2009; </w:t>
      </w:r>
      <w:r w:rsidRPr="004B0C7E">
        <w:rPr>
          <w:rFonts w:ascii="Book Antiqua" w:hAnsi="Book Antiqua" w:cs="Times New Roman"/>
          <w:b/>
          <w:bCs/>
          <w:sz w:val="24"/>
          <w:szCs w:val="24"/>
        </w:rPr>
        <w:t>54</w:t>
      </w:r>
      <w:r w:rsidRPr="004B0C7E">
        <w:rPr>
          <w:rFonts w:ascii="Book Antiqua" w:hAnsi="Book Antiqua" w:cs="Times New Roman"/>
          <w:sz w:val="24"/>
          <w:szCs w:val="24"/>
        </w:rPr>
        <w:t xml:space="preserve">: 2205-2241 [PMID: 19942100 DOI: </w:t>
      </w:r>
      <w:r w:rsidRPr="004B0C7E">
        <w:rPr>
          <w:rFonts w:ascii="Book Antiqua" w:hAnsi="Book Antiqua" w:cs="Times New Roman"/>
          <w:sz w:val="24"/>
          <w:szCs w:val="24"/>
        </w:rPr>
        <w:lastRenderedPageBreak/>
        <w:t>10.1016/j.jacc.2009.10.015]</w:t>
      </w:r>
    </w:p>
    <w:p w14:paraId="1745C88C" w14:textId="27C5E010"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22 </w:t>
      </w:r>
      <w:r w:rsidRPr="004B0C7E">
        <w:rPr>
          <w:rFonts w:ascii="Book Antiqua" w:hAnsi="Book Antiqua" w:cs="Times New Roman"/>
          <w:b/>
          <w:bCs/>
          <w:sz w:val="24"/>
          <w:szCs w:val="24"/>
        </w:rPr>
        <w:t>ASGE Standards of Practice Committee</w:t>
      </w:r>
      <w:r w:rsidRPr="004B0C7E">
        <w:rPr>
          <w:rFonts w:ascii="Book Antiqua" w:hAnsi="Book Antiqua" w:cs="Times New Roman"/>
          <w:sz w:val="24"/>
          <w:szCs w:val="24"/>
        </w:rPr>
        <w:t xml:space="preserve">, Anderson MA, Ben-Menachem T, Gan SI, </w:t>
      </w:r>
      <w:proofErr w:type="spellStart"/>
      <w:r w:rsidRPr="004B0C7E">
        <w:rPr>
          <w:rFonts w:ascii="Book Antiqua" w:hAnsi="Book Antiqua" w:cs="Times New Roman"/>
          <w:sz w:val="24"/>
          <w:szCs w:val="24"/>
        </w:rPr>
        <w:t>Appalaneni</w:t>
      </w:r>
      <w:proofErr w:type="spellEnd"/>
      <w:r w:rsidRPr="004B0C7E">
        <w:rPr>
          <w:rFonts w:ascii="Book Antiqua" w:hAnsi="Book Antiqua" w:cs="Times New Roman"/>
          <w:sz w:val="24"/>
          <w:szCs w:val="24"/>
        </w:rPr>
        <w:t xml:space="preserve"> V, Banerjee S, Cash BD, Fisher L, Harrison ME, Fanelli RD, </w:t>
      </w:r>
      <w:proofErr w:type="spellStart"/>
      <w:r w:rsidRPr="004B0C7E">
        <w:rPr>
          <w:rFonts w:ascii="Book Antiqua" w:hAnsi="Book Antiqua" w:cs="Times New Roman"/>
          <w:sz w:val="24"/>
          <w:szCs w:val="24"/>
        </w:rPr>
        <w:t>Fukami</w:t>
      </w:r>
      <w:proofErr w:type="spellEnd"/>
      <w:r w:rsidRPr="004B0C7E">
        <w:rPr>
          <w:rFonts w:ascii="Book Antiqua" w:hAnsi="Book Antiqua" w:cs="Times New Roman"/>
          <w:sz w:val="24"/>
          <w:szCs w:val="24"/>
        </w:rPr>
        <w:t xml:space="preserve"> N, </w:t>
      </w:r>
      <w:proofErr w:type="spellStart"/>
      <w:r w:rsidRPr="004B0C7E">
        <w:rPr>
          <w:rFonts w:ascii="Book Antiqua" w:hAnsi="Book Antiqua" w:cs="Times New Roman"/>
          <w:sz w:val="24"/>
          <w:szCs w:val="24"/>
        </w:rPr>
        <w:t>Ikenberry</w:t>
      </w:r>
      <w:proofErr w:type="spellEnd"/>
      <w:r w:rsidRPr="004B0C7E">
        <w:rPr>
          <w:rFonts w:ascii="Book Antiqua" w:hAnsi="Book Antiqua" w:cs="Times New Roman"/>
          <w:sz w:val="24"/>
          <w:szCs w:val="24"/>
        </w:rPr>
        <w:t xml:space="preserve"> SO, Jain R, Khan K, </w:t>
      </w:r>
      <w:proofErr w:type="spellStart"/>
      <w:r w:rsidRPr="004B0C7E">
        <w:rPr>
          <w:rFonts w:ascii="Book Antiqua" w:hAnsi="Book Antiqua" w:cs="Times New Roman"/>
          <w:sz w:val="24"/>
          <w:szCs w:val="24"/>
        </w:rPr>
        <w:t>Krinsky</w:t>
      </w:r>
      <w:proofErr w:type="spellEnd"/>
      <w:r w:rsidRPr="004B0C7E">
        <w:rPr>
          <w:rFonts w:ascii="Book Antiqua" w:hAnsi="Book Antiqua" w:cs="Times New Roman"/>
          <w:sz w:val="24"/>
          <w:szCs w:val="24"/>
        </w:rPr>
        <w:t xml:space="preserve"> ML, Lichtenstein DR, Maple JT, Shen B, </w:t>
      </w:r>
      <w:proofErr w:type="spellStart"/>
      <w:r w:rsidRPr="004B0C7E">
        <w:rPr>
          <w:rFonts w:ascii="Book Antiqua" w:hAnsi="Book Antiqua" w:cs="Times New Roman"/>
          <w:sz w:val="24"/>
          <w:szCs w:val="24"/>
        </w:rPr>
        <w:t>Strohmeyer</w:t>
      </w:r>
      <w:proofErr w:type="spellEnd"/>
      <w:r w:rsidRPr="004B0C7E">
        <w:rPr>
          <w:rFonts w:ascii="Book Antiqua" w:hAnsi="Book Antiqua" w:cs="Times New Roman"/>
          <w:sz w:val="24"/>
          <w:szCs w:val="24"/>
        </w:rPr>
        <w:t xml:space="preserve"> L, Baron T, </w:t>
      </w:r>
      <w:proofErr w:type="spellStart"/>
      <w:r w:rsidRPr="004B0C7E">
        <w:rPr>
          <w:rFonts w:ascii="Book Antiqua" w:hAnsi="Book Antiqua" w:cs="Times New Roman"/>
          <w:sz w:val="24"/>
          <w:szCs w:val="24"/>
        </w:rPr>
        <w:t>Dominitz</w:t>
      </w:r>
      <w:proofErr w:type="spellEnd"/>
      <w:r w:rsidRPr="004B0C7E">
        <w:rPr>
          <w:rFonts w:ascii="Book Antiqua" w:hAnsi="Book Antiqua" w:cs="Times New Roman"/>
          <w:sz w:val="24"/>
          <w:szCs w:val="24"/>
        </w:rPr>
        <w:t xml:space="preserve"> JA. Management of antithrombotic agents for endoscopic procedures.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2009; </w:t>
      </w:r>
      <w:r w:rsidRPr="004B0C7E">
        <w:rPr>
          <w:rFonts w:ascii="Book Antiqua" w:hAnsi="Book Antiqua" w:cs="Times New Roman"/>
          <w:b/>
          <w:bCs/>
          <w:sz w:val="24"/>
          <w:szCs w:val="24"/>
        </w:rPr>
        <w:t>70</w:t>
      </w:r>
      <w:r w:rsidRPr="004B0C7E">
        <w:rPr>
          <w:rFonts w:ascii="Book Antiqua" w:hAnsi="Book Antiqua" w:cs="Times New Roman"/>
          <w:sz w:val="24"/>
          <w:szCs w:val="24"/>
        </w:rPr>
        <w:t>: 1060-1070 [PMID: 19889407 DOI: 10.1016/j.gie.2009.09.040]</w:t>
      </w:r>
    </w:p>
    <w:p w14:paraId="6B2B6FA9" w14:textId="6D318F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23 </w:t>
      </w:r>
      <w:r w:rsidRPr="004B0C7E">
        <w:rPr>
          <w:rFonts w:ascii="Book Antiqua" w:hAnsi="Book Antiqua" w:cs="Times New Roman"/>
          <w:b/>
          <w:bCs/>
          <w:sz w:val="24"/>
          <w:szCs w:val="24"/>
        </w:rPr>
        <w:t>ASGE Standards of Practice Committee</w:t>
      </w:r>
      <w:r w:rsidRPr="004B0C7E">
        <w:rPr>
          <w:rFonts w:ascii="Book Antiqua" w:hAnsi="Book Antiqua" w:cs="Times New Roman"/>
          <w:sz w:val="24"/>
          <w:szCs w:val="24"/>
        </w:rPr>
        <w:t xml:space="preserve">, Acosta RD, Abraham NS, Chandrasekhara V, </w:t>
      </w:r>
      <w:proofErr w:type="spellStart"/>
      <w:r w:rsidRPr="004B0C7E">
        <w:rPr>
          <w:rFonts w:ascii="Book Antiqua" w:hAnsi="Book Antiqua" w:cs="Times New Roman"/>
          <w:sz w:val="24"/>
          <w:szCs w:val="24"/>
        </w:rPr>
        <w:t>Chathadi</w:t>
      </w:r>
      <w:proofErr w:type="spellEnd"/>
      <w:r w:rsidRPr="004B0C7E">
        <w:rPr>
          <w:rFonts w:ascii="Book Antiqua" w:hAnsi="Book Antiqua" w:cs="Times New Roman"/>
          <w:sz w:val="24"/>
          <w:szCs w:val="24"/>
        </w:rPr>
        <w:t xml:space="preserve"> KV, Early DS, </w:t>
      </w:r>
      <w:proofErr w:type="spellStart"/>
      <w:r w:rsidRPr="004B0C7E">
        <w:rPr>
          <w:rFonts w:ascii="Book Antiqua" w:hAnsi="Book Antiqua" w:cs="Times New Roman"/>
          <w:sz w:val="24"/>
          <w:szCs w:val="24"/>
        </w:rPr>
        <w:t>Eloubeidi</w:t>
      </w:r>
      <w:proofErr w:type="spellEnd"/>
      <w:r w:rsidRPr="004B0C7E">
        <w:rPr>
          <w:rFonts w:ascii="Book Antiqua" w:hAnsi="Book Antiqua" w:cs="Times New Roman"/>
          <w:sz w:val="24"/>
          <w:szCs w:val="24"/>
        </w:rPr>
        <w:t xml:space="preserve"> MA, Evans JA, </w:t>
      </w:r>
      <w:proofErr w:type="spellStart"/>
      <w:r w:rsidRPr="004B0C7E">
        <w:rPr>
          <w:rFonts w:ascii="Book Antiqua" w:hAnsi="Book Antiqua" w:cs="Times New Roman"/>
          <w:sz w:val="24"/>
          <w:szCs w:val="24"/>
        </w:rPr>
        <w:t>Faulx</w:t>
      </w:r>
      <w:proofErr w:type="spellEnd"/>
      <w:r w:rsidRPr="004B0C7E">
        <w:rPr>
          <w:rFonts w:ascii="Book Antiqua" w:hAnsi="Book Antiqua" w:cs="Times New Roman"/>
          <w:sz w:val="24"/>
          <w:szCs w:val="24"/>
        </w:rPr>
        <w:t xml:space="preserve"> AL, Fisher DA, </w:t>
      </w:r>
      <w:proofErr w:type="spellStart"/>
      <w:r w:rsidRPr="004B0C7E">
        <w:rPr>
          <w:rFonts w:ascii="Book Antiqua" w:hAnsi="Book Antiqua" w:cs="Times New Roman"/>
          <w:sz w:val="24"/>
          <w:szCs w:val="24"/>
        </w:rPr>
        <w:t>Fonkalsrud</w:t>
      </w:r>
      <w:proofErr w:type="spellEnd"/>
      <w:r w:rsidRPr="004B0C7E">
        <w:rPr>
          <w:rFonts w:ascii="Book Antiqua" w:hAnsi="Book Antiqua" w:cs="Times New Roman"/>
          <w:sz w:val="24"/>
          <w:szCs w:val="24"/>
        </w:rPr>
        <w:t xml:space="preserve"> L, Hwang JH, </w:t>
      </w:r>
      <w:proofErr w:type="spellStart"/>
      <w:r w:rsidRPr="004B0C7E">
        <w:rPr>
          <w:rFonts w:ascii="Book Antiqua" w:hAnsi="Book Antiqua" w:cs="Times New Roman"/>
          <w:sz w:val="24"/>
          <w:szCs w:val="24"/>
        </w:rPr>
        <w:t>Khashab</w:t>
      </w:r>
      <w:proofErr w:type="spellEnd"/>
      <w:r w:rsidRPr="004B0C7E">
        <w:rPr>
          <w:rFonts w:ascii="Book Antiqua" w:hAnsi="Book Antiqua" w:cs="Times New Roman"/>
          <w:sz w:val="24"/>
          <w:szCs w:val="24"/>
        </w:rPr>
        <w:t xml:space="preserve"> MA, </w:t>
      </w:r>
      <w:proofErr w:type="spellStart"/>
      <w:r w:rsidRPr="004B0C7E">
        <w:rPr>
          <w:rFonts w:ascii="Book Antiqua" w:hAnsi="Book Antiqua" w:cs="Times New Roman"/>
          <w:sz w:val="24"/>
          <w:szCs w:val="24"/>
        </w:rPr>
        <w:t>Lightdale</w:t>
      </w:r>
      <w:proofErr w:type="spellEnd"/>
      <w:r w:rsidRPr="004B0C7E">
        <w:rPr>
          <w:rFonts w:ascii="Book Antiqua" w:hAnsi="Book Antiqua" w:cs="Times New Roman"/>
          <w:sz w:val="24"/>
          <w:szCs w:val="24"/>
        </w:rPr>
        <w:t xml:space="preserve"> JR, Muthusamy VR, Pasha SF, Saltzman JR, Shaukat A, </w:t>
      </w:r>
      <w:proofErr w:type="spellStart"/>
      <w:r w:rsidRPr="004B0C7E">
        <w:rPr>
          <w:rFonts w:ascii="Book Antiqua" w:hAnsi="Book Antiqua" w:cs="Times New Roman"/>
          <w:sz w:val="24"/>
          <w:szCs w:val="24"/>
        </w:rPr>
        <w:t>Shergill</w:t>
      </w:r>
      <w:proofErr w:type="spellEnd"/>
      <w:r w:rsidRPr="004B0C7E">
        <w:rPr>
          <w:rFonts w:ascii="Book Antiqua" w:hAnsi="Book Antiqua" w:cs="Times New Roman"/>
          <w:sz w:val="24"/>
          <w:szCs w:val="24"/>
        </w:rPr>
        <w:t xml:space="preserve"> AK, Wang A, Cash BD, DeWitt JM. The management of antithrombotic agents for patients undergoing GI endoscopy.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2016; </w:t>
      </w:r>
      <w:r w:rsidRPr="004B0C7E">
        <w:rPr>
          <w:rFonts w:ascii="Book Antiqua" w:hAnsi="Book Antiqua" w:cs="Times New Roman"/>
          <w:b/>
          <w:bCs/>
          <w:sz w:val="24"/>
          <w:szCs w:val="24"/>
        </w:rPr>
        <w:t>83</w:t>
      </w:r>
      <w:r w:rsidRPr="004B0C7E">
        <w:rPr>
          <w:rFonts w:ascii="Book Antiqua" w:hAnsi="Book Antiqua" w:cs="Times New Roman"/>
          <w:sz w:val="24"/>
          <w:szCs w:val="24"/>
        </w:rPr>
        <w:t>: 3-16 [PMID: 26621548 DOI: 10.1016/j.gie.2015.09.035]</w:t>
      </w:r>
    </w:p>
    <w:p w14:paraId="7C678733"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24 </w:t>
      </w:r>
      <w:r w:rsidRPr="004B0C7E">
        <w:rPr>
          <w:rFonts w:ascii="Book Antiqua" w:hAnsi="Book Antiqua" w:cs="Times New Roman"/>
          <w:b/>
          <w:bCs/>
          <w:sz w:val="24"/>
          <w:szCs w:val="24"/>
        </w:rPr>
        <w:t>Fujimoto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Fujishiro</w:t>
      </w:r>
      <w:proofErr w:type="spellEnd"/>
      <w:r w:rsidRPr="004B0C7E">
        <w:rPr>
          <w:rFonts w:ascii="Book Antiqua" w:hAnsi="Book Antiqua" w:cs="Times New Roman"/>
          <w:sz w:val="24"/>
          <w:szCs w:val="24"/>
        </w:rPr>
        <w:t xml:space="preserve"> M, Kato M, Higuchi K, </w:t>
      </w:r>
      <w:proofErr w:type="spellStart"/>
      <w:r w:rsidRPr="004B0C7E">
        <w:rPr>
          <w:rFonts w:ascii="Book Antiqua" w:hAnsi="Book Antiqua" w:cs="Times New Roman"/>
          <w:sz w:val="24"/>
          <w:szCs w:val="24"/>
        </w:rPr>
        <w:t>Iwakiri</w:t>
      </w:r>
      <w:proofErr w:type="spellEnd"/>
      <w:r w:rsidRPr="004B0C7E">
        <w:rPr>
          <w:rFonts w:ascii="Book Antiqua" w:hAnsi="Book Antiqua" w:cs="Times New Roman"/>
          <w:sz w:val="24"/>
          <w:szCs w:val="24"/>
        </w:rPr>
        <w:t xml:space="preserve"> R, Sakamoto C, Uchiyama S, </w:t>
      </w:r>
      <w:proofErr w:type="spellStart"/>
      <w:r w:rsidRPr="004B0C7E">
        <w:rPr>
          <w:rFonts w:ascii="Book Antiqua" w:hAnsi="Book Antiqua" w:cs="Times New Roman"/>
          <w:sz w:val="24"/>
          <w:szCs w:val="24"/>
        </w:rPr>
        <w:t>Kashiwagi</w:t>
      </w:r>
      <w:proofErr w:type="spellEnd"/>
      <w:r w:rsidRPr="004B0C7E">
        <w:rPr>
          <w:rFonts w:ascii="Book Antiqua" w:hAnsi="Book Antiqua" w:cs="Times New Roman"/>
          <w:sz w:val="24"/>
          <w:szCs w:val="24"/>
        </w:rPr>
        <w:t xml:space="preserve"> A, Ogawa H, Murakami K, Mine T, Yoshino J, Kinoshita Y, Ichinose M, Matsui T; Japan Gastroenterological Endoscopy Society. Guidelines for gastroenterological endoscopy in patients undergoing antithrombotic treatment.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2014; </w:t>
      </w:r>
      <w:r w:rsidRPr="004B0C7E">
        <w:rPr>
          <w:rFonts w:ascii="Book Antiqua" w:hAnsi="Book Antiqua" w:cs="Times New Roman"/>
          <w:b/>
          <w:bCs/>
          <w:sz w:val="24"/>
          <w:szCs w:val="24"/>
        </w:rPr>
        <w:t>26</w:t>
      </w:r>
      <w:r w:rsidRPr="004B0C7E">
        <w:rPr>
          <w:rFonts w:ascii="Book Antiqua" w:hAnsi="Book Antiqua" w:cs="Times New Roman"/>
          <w:sz w:val="24"/>
          <w:szCs w:val="24"/>
        </w:rPr>
        <w:t>: 1-14 [PMID: 24215155 DOI: 10.1111/den.12183]</w:t>
      </w:r>
    </w:p>
    <w:p w14:paraId="2ABAA371"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25 </w:t>
      </w:r>
      <w:r w:rsidRPr="004B0C7E">
        <w:rPr>
          <w:rFonts w:ascii="Book Antiqua" w:hAnsi="Book Antiqua" w:cs="Times New Roman"/>
          <w:b/>
          <w:bCs/>
          <w:sz w:val="24"/>
          <w:szCs w:val="24"/>
        </w:rPr>
        <w:t>Veitch AM</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Vanbiervliet</w:t>
      </w:r>
      <w:proofErr w:type="spellEnd"/>
      <w:r w:rsidRPr="004B0C7E">
        <w:rPr>
          <w:rFonts w:ascii="Book Antiqua" w:hAnsi="Book Antiqua" w:cs="Times New Roman"/>
          <w:sz w:val="24"/>
          <w:szCs w:val="24"/>
        </w:rPr>
        <w:t xml:space="preserve"> G, </w:t>
      </w:r>
      <w:proofErr w:type="spellStart"/>
      <w:r w:rsidRPr="004B0C7E">
        <w:rPr>
          <w:rFonts w:ascii="Book Antiqua" w:hAnsi="Book Antiqua" w:cs="Times New Roman"/>
          <w:sz w:val="24"/>
          <w:szCs w:val="24"/>
        </w:rPr>
        <w:t>Gershlick</w:t>
      </w:r>
      <w:proofErr w:type="spellEnd"/>
      <w:r w:rsidRPr="004B0C7E">
        <w:rPr>
          <w:rFonts w:ascii="Book Antiqua" w:hAnsi="Book Antiqua" w:cs="Times New Roman"/>
          <w:sz w:val="24"/>
          <w:szCs w:val="24"/>
        </w:rPr>
        <w:t xml:space="preserve"> AH, </w:t>
      </w:r>
      <w:proofErr w:type="spellStart"/>
      <w:r w:rsidRPr="004B0C7E">
        <w:rPr>
          <w:rFonts w:ascii="Book Antiqua" w:hAnsi="Book Antiqua" w:cs="Times New Roman"/>
          <w:sz w:val="24"/>
          <w:szCs w:val="24"/>
        </w:rPr>
        <w:t>Boustiere</w:t>
      </w:r>
      <w:proofErr w:type="spellEnd"/>
      <w:r w:rsidRPr="004B0C7E">
        <w:rPr>
          <w:rFonts w:ascii="Book Antiqua" w:hAnsi="Book Antiqua" w:cs="Times New Roman"/>
          <w:sz w:val="24"/>
          <w:szCs w:val="24"/>
        </w:rPr>
        <w:t xml:space="preserve"> C, </w:t>
      </w:r>
      <w:proofErr w:type="spellStart"/>
      <w:r w:rsidRPr="004B0C7E">
        <w:rPr>
          <w:rFonts w:ascii="Book Antiqua" w:hAnsi="Book Antiqua" w:cs="Times New Roman"/>
          <w:sz w:val="24"/>
          <w:szCs w:val="24"/>
        </w:rPr>
        <w:t>Baglin</w:t>
      </w:r>
      <w:proofErr w:type="spellEnd"/>
      <w:r w:rsidRPr="004B0C7E">
        <w:rPr>
          <w:rFonts w:ascii="Book Antiqua" w:hAnsi="Book Antiqua" w:cs="Times New Roman"/>
          <w:sz w:val="24"/>
          <w:szCs w:val="24"/>
        </w:rPr>
        <w:t xml:space="preserve"> TP, Smith LA, </w:t>
      </w:r>
      <w:proofErr w:type="spellStart"/>
      <w:r w:rsidRPr="004B0C7E">
        <w:rPr>
          <w:rFonts w:ascii="Book Antiqua" w:hAnsi="Book Antiqua" w:cs="Times New Roman"/>
          <w:sz w:val="24"/>
          <w:szCs w:val="24"/>
        </w:rPr>
        <w:t>Radaelli</w:t>
      </w:r>
      <w:proofErr w:type="spellEnd"/>
      <w:r w:rsidRPr="004B0C7E">
        <w:rPr>
          <w:rFonts w:ascii="Book Antiqua" w:hAnsi="Book Antiqua" w:cs="Times New Roman"/>
          <w:sz w:val="24"/>
          <w:szCs w:val="24"/>
        </w:rPr>
        <w:t xml:space="preserve"> F, Knight E, </w:t>
      </w:r>
      <w:proofErr w:type="spellStart"/>
      <w:r w:rsidRPr="004B0C7E">
        <w:rPr>
          <w:rFonts w:ascii="Book Antiqua" w:hAnsi="Book Antiqua" w:cs="Times New Roman"/>
          <w:sz w:val="24"/>
          <w:szCs w:val="24"/>
        </w:rPr>
        <w:t>Gralnek</w:t>
      </w:r>
      <w:proofErr w:type="spellEnd"/>
      <w:r w:rsidRPr="004B0C7E">
        <w:rPr>
          <w:rFonts w:ascii="Book Antiqua" w:hAnsi="Book Antiqua" w:cs="Times New Roman"/>
          <w:sz w:val="24"/>
          <w:szCs w:val="24"/>
        </w:rPr>
        <w:t xml:space="preserve"> IM, Hassan C, </w:t>
      </w:r>
      <w:proofErr w:type="spellStart"/>
      <w:r w:rsidRPr="004B0C7E">
        <w:rPr>
          <w:rFonts w:ascii="Book Antiqua" w:hAnsi="Book Antiqua" w:cs="Times New Roman"/>
          <w:sz w:val="24"/>
          <w:szCs w:val="24"/>
        </w:rPr>
        <w:t>Dumonceau</w:t>
      </w:r>
      <w:proofErr w:type="spellEnd"/>
      <w:r w:rsidRPr="004B0C7E">
        <w:rPr>
          <w:rFonts w:ascii="Book Antiqua" w:hAnsi="Book Antiqua" w:cs="Times New Roman"/>
          <w:sz w:val="24"/>
          <w:szCs w:val="24"/>
        </w:rPr>
        <w:t xml:space="preserve"> JM. Endoscopy in patients on antiplatelet or anticoagulant therapy, including direct oral anticoagulants: British Society of Gastroenterology (BSG) and European Society of Gastrointestinal Endoscopy (ESGE) guidelines. </w:t>
      </w:r>
      <w:r w:rsidRPr="004B0C7E">
        <w:rPr>
          <w:rFonts w:ascii="Book Antiqua" w:hAnsi="Book Antiqua" w:cs="Times New Roman"/>
          <w:i/>
          <w:iCs/>
          <w:sz w:val="24"/>
          <w:szCs w:val="24"/>
        </w:rPr>
        <w:t>Endoscopy</w:t>
      </w:r>
      <w:r w:rsidRPr="004B0C7E">
        <w:rPr>
          <w:rFonts w:ascii="Book Antiqua" w:hAnsi="Book Antiqua" w:cs="Times New Roman"/>
          <w:sz w:val="24"/>
          <w:szCs w:val="24"/>
        </w:rPr>
        <w:t> 2016; </w:t>
      </w:r>
      <w:r w:rsidRPr="004B0C7E">
        <w:rPr>
          <w:rFonts w:ascii="Book Antiqua" w:hAnsi="Book Antiqua" w:cs="Times New Roman"/>
          <w:b/>
          <w:bCs/>
          <w:sz w:val="24"/>
          <w:szCs w:val="24"/>
        </w:rPr>
        <w:t>48</w:t>
      </w:r>
      <w:r w:rsidRPr="004B0C7E">
        <w:rPr>
          <w:rFonts w:ascii="Book Antiqua" w:hAnsi="Book Antiqua" w:cs="Times New Roman"/>
          <w:sz w:val="24"/>
          <w:szCs w:val="24"/>
        </w:rPr>
        <w:t>: 385-402 [PMID: 26890676 DOI: 10.1055/s-0042-102652]</w:t>
      </w:r>
    </w:p>
    <w:p w14:paraId="551CFFE4"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26 </w:t>
      </w:r>
      <w:proofErr w:type="spellStart"/>
      <w:r w:rsidRPr="004B0C7E">
        <w:rPr>
          <w:rFonts w:ascii="Book Antiqua" w:hAnsi="Book Antiqua" w:cs="Times New Roman"/>
          <w:b/>
          <w:bCs/>
          <w:sz w:val="24"/>
          <w:szCs w:val="24"/>
        </w:rPr>
        <w:t>Shindo</w:t>
      </w:r>
      <w:proofErr w:type="spellEnd"/>
      <w:r w:rsidRPr="004B0C7E">
        <w:rPr>
          <w:rFonts w:ascii="Book Antiqua" w:hAnsi="Book Antiqua" w:cs="Times New Roman"/>
          <w:b/>
          <w:bCs/>
          <w:sz w:val="24"/>
          <w:szCs w:val="24"/>
        </w:rPr>
        <w:t xml:space="preserve"> Y</w:t>
      </w:r>
      <w:r w:rsidRPr="004B0C7E">
        <w:rPr>
          <w:rFonts w:ascii="Book Antiqua" w:hAnsi="Book Antiqua" w:cs="Times New Roman"/>
          <w:sz w:val="24"/>
          <w:szCs w:val="24"/>
        </w:rPr>
        <w:t xml:space="preserve">, Matsumoto S, </w:t>
      </w:r>
      <w:proofErr w:type="spellStart"/>
      <w:r w:rsidRPr="004B0C7E">
        <w:rPr>
          <w:rFonts w:ascii="Book Antiqua" w:hAnsi="Book Antiqua" w:cs="Times New Roman"/>
          <w:sz w:val="24"/>
          <w:szCs w:val="24"/>
        </w:rPr>
        <w:t>Miyatani</w:t>
      </w:r>
      <w:proofErr w:type="spellEnd"/>
      <w:r w:rsidRPr="004B0C7E">
        <w:rPr>
          <w:rFonts w:ascii="Book Antiqua" w:hAnsi="Book Antiqua" w:cs="Times New Roman"/>
          <w:sz w:val="24"/>
          <w:szCs w:val="24"/>
        </w:rPr>
        <w:t xml:space="preserve"> H, Yoshida Y, </w:t>
      </w:r>
      <w:proofErr w:type="spellStart"/>
      <w:r w:rsidRPr="004B0C7E">
        <w:rPr>
          <w:rFonts w:ascii="Book Antiqua" w:hAnsi="Book Antiqua" w:cs="Times New Roman"/>
          <w:sz w:val="24"/>
          <w:szCs w:val="24"/>
        </w:rPr>
        <w:t>Mashima</w:t>
      </w:r>
      <w:proofErr w:type="spellEnd"/>
      <w:r w:rsidRPr="004B0C7E">
        <w:rPr>
          <w:rFonts w:ascii="Book Antiqua" w:hAnsi="Book Antiqua" w:cs="Times New Roman"/>
          <w:sz w:val="24"/>
          <w:szCs w:val="24"/>
        </w:rPr>
        <w:t xml:space="preserve"> H. Risk factors for postoperative bleeding after gastric endoscopic submucosal dissection in patients under </w:t>
      </w:r>
      <w:proofErr w:type="spellStart"/>
      <w:r w:rsidRPr="004B0C7E">
        <w:rPr>
          <w:rFonts w:ascii="Book Antiqua" w:hAnsi="Book Antiqua" w:cs="Times New Roman"/>
          <w:sz w:val="24"/>
          <w:szCs w:val="24"/>
        </w:rPr>
        <w:t>antithrombotics</w:t>
      </w:r>
      <w:proofErr w:type="spellEnd"/>
      <w:r w:rsidRPr="004B0C7E">
        <w:rPr>
          <w:rFonts w:ascii="Book Antiqua" w:hAnsi="Book Antiqua" w:cs="Times New Roman"/>
          <w:sz w:val="24"/>
          <w:szCs w:val="24"/>
        </w:rPr>
        <w:t>. </w:t>
      </w:r>
      <w:r w:rsidRPr="004B0C7E">
        <w:rPr>
          <w:rFonts w:ascii="Book Antiqua" w:hAnsi="Book Antiqua" w:cs="Times New Roman"/>
          <w:i/>
          <w:iCs/>
          <w:sz w:val="24"/>
          <w:szCs w:val="24"/>
        </w:rPr>
        <w:t xml:space="preserve">World J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2016; </w:t>
      </w:r>
      <w:r w:rsidRPr="004B0C7E">
        <w:rPr>
          <w:rFonts w:ascii="Book Antiqua" w:hAnsi="Book Antiqua" w:cs="Times New Roman"/>
          <w:b/>
          <w:bCs/>
          <w:sz w:val="24"/>
          <w:szCs w:val="24"/>
        </w:rPr>
        <w:t>8</w:t>
      </w:r>
      <w:r w:rsidRPr="004B0C7E">
        <w:rPr>
          <w:rFonts w:ascii="Book Antiqua" w:hAnsi="Book Antiqua" w:cs="Times New Roman"/>
          <w:sz w:val="24"/>
          <w:szCs w:val="24"/>
        </w:rPr>
        <w:t xml:space="preserve">: 349-356 </w:t>
      </w:r>
      <w:r w:rsidRPr="004B0C7E">
        <w:rPr>
          <w:rFonts w:ascii="Book Antiqua" w:hAnsi="Book Antiqua" w:cs="Times New Roman"/>
          <w:sz w:val="24"/>
          <w:szCs w:val="24"/>
        </w:rPr>
        <w:lastRenderedPageBreak/>
        <w:t>[PMID: 27076874 DOI: 10.4253/wjge.v8.i7.349]</w:t>
      </w:r>
    </w:p>
    <w:p w14:paraId="54919F8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27 </w:t>
      </w:r>
      <w:proofErr w:type="spellStart"/>
      <w:r w:rsidRPr="004B0C7E">
        <w:rPr>
          <w:rFonts w:ascii="Book Antiqua" w:hAnsi="Book Antiqua" w:cs="Times New Roman"/>
          <w:b/>
          <w:bCs/>
          <w:sz w:val="24"/>
          <w:szCs w:val="24"/>
        </w:rPr>
        <w:t>Sanomura</w:t>
      </w:r>
      <w:proofErr w:type="spellEnd"/>
      <w:r w:rsidRPr="004B0C7E">
        <w:rPr>
          <w:rFonts w:ascii="Book Antiqua" w:hAnsi="Book Antiqua" w:cs="Times New Roman"/>
          <w:b/>
          <w:bCs/>
          <w:sz w:val="24"/>
          <w:szCs w:val="24"/>
        </w:rPr>
        <w:t xml:space="preserve"> Y</w:t>
      </w:r>
      <w:r w:rsidRPr="004B0C7E">
        <w:rPr>
          <w:rFonts w:ascii="Book Antiqua" w:hAnsi="Book Antiqua" w:cs="Times New Roman"/>
          <w:sz w:val="24"/>
          <w:szCs w:val="24"/>
        </w:rPr>
        <w:t xml:space="preserve">, Oka S, Tanaka S, </w:t>
      </w:r>
      <w:proofErr w:type="spellStart"/>
      <w:r w:rsidRPr="004B0C7E">
        <w:rPr>
          <w:rFonts w:ascii="Book Antiqua" w:hAnsi="Book Antiqua" w:cs="Times New Roman"/>
          <w:sz w:val="24"/>
          <w:szCs w:val="24"/>
        </w:rPr>
        <w:t>Numata</w:t>
      </w:r>
      <w:proofErr w:type="spellEnd"/>
      <w:r w:rsidRPr="004B0C7E">
        <w:rPr>
          <w:rFonts w:ascii="Book Antiqua" w:hAnsi="Book Antiqua" w:cs="Times New Roman"/>
          <w:sz w:val="24"/>
          <w:szCs w:val="24"/>
        </w:rPr>
        <w:t xml:space="preserve"> N, Higashiyama M, </w:t>
      </w:r>
      <w:proofErr w:type="spellStart"/>
      <w:r w:rsidRPr="004B0C7E">
        <w:rPr>
          <w:rFonts w:ascii="Book Antiqua" w:hAnsi="Book Antiqua" w:cs="Times New Roman"/>
          <w:sz w:val="24"/>
          <w:szCs w:val="24"/>
        </w:rPr>
        <w:t>Kanao</w:t>
      </w:r>
      <w:proofErr w:type="spellEnd"/>
      <w:r w:rsidRPr="004B0C7E">
        <w:rPr>
          <w:rFonts w:ascii="Book Antiqua" w:hAnsi="Book Antiqua" w:cs="Times New Roman"/>
          <w:sz w:val="24"/>
          <w:szCs w:val="24"/>
        </w:rPr>
        <w:t xml:space="preserve"> H, Yoshida S, Ueno Y, </w:t>
      </w:r>
      <w:proofErr w:type="spellStart"/>
      <w:r w:rsidRPr="004B0C7E">
        <w:rPr>
          <w:rFonts w:ascii="Book Antiqua" w:hAnsi="Book Antiqua" w:cs="Times New Roman"/>
          <w:sz w:val="24"/>
          <w:szCs w:val="24"/>
        </w:rPr>
        <w:t>Chayama</w:t>
      </w:r>
      <w:proofErr w:type="spellEnd"/>
      <w:r w:rsidRPr="004B0C7E">
        <w:rPr>
          <w:rFonts w:ascii="Book Antiqua" w:hAnsi="Book Antiqua" w:cs="Times New Roman"/>
          <w:sz w:val="24"/>
          <w:szCs w:val="24"/>
        </w:rPr>
        <w:t xml:space="preserve"> K. Continued use of low-dose aspirin does not increase the risk of bleeding during or after endoscopic submucosal dissection for early gastric cancer. </w:t>
      </w:r>
      <w:r w:rsidRPr="004B0C7E">
        <w:rPr>
          <w:rFonts w:ascii="Book Antiqua" w:hAnsi="Book Antiqua" w:cs="Times New Roman"/>
          <w:i/>
          <w:iCs/>
          <w:sz w:val="24"/>
          <w:szCs w:val="24"/>
        </w:rPr>
        <w:t>Gastric Cancer</w:t>
      </w:r>
      <w:r w:rsidRPr="004B0C7E">
        <w:rPr>
          <w:rFonts w:ascii="Book Antiqua" w:hAnsi="Book Antiqua" w:cs="Times New Roman"/>
          <w:sz w:val="24"/>
          <w:szCs w:val="24"/>
        </w:rPr>
        <w:t> 2014; </w:t>
      </w:r>
      <w:r w:rsidRPr="004B0C7E">
        <w:rPr>
          <w:rFonts w:ascii="Book Antiqua" w:hAnsi="Book Antiqua" w:cs="Times New Roman"/>
          <w:b/>
          <w:bCs/>
          <w:sz w:val="24"/>
          <w:szCs w:val="24"/>
        </w:rPr>
        <w:t>17</w:t>
      </w:r>
      <w:r w:rsidRPr="004B0C7E">
        <w:rPr>
          <w:rFonts w:ascii="Book Antiqua" w:hAnsi="Book Antiqua" w:cs="Times New Roman"/>
          <w:sz w:val="24"/>
          <w:szCs w:val="24"/>
        </w:rPr>
        <w:t>: 489-496 [PMID: 24142107 DOI: 10.1007/s10120-013-0305-3]</w:t>
      </w:r>
    </w:p>
    <w:p w14:paraId="71A0CAE3"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28 </w:t>
      </w:r>
      <w:proofErr w:type="spellStart"/>
      <w:r w:rsidRPr="004B0C7E">
        <w:rPr>
          <w:rFonts w:ascii="Book Antiqua" w:hAnsi="Book Antiqua" w:cs="Times New Roman"/>
          <w:b/>
          <w:bCs/>
          <w:sz w:val="24"/>
          <w:szCs w:val="24"/>
        </w:rPr>
        <w:t>Tounou</w:t>
      </w:r>
      <w:proofErr w:type="spellEnd"/>
      <w:r w:rsidRPr="004B0C7E">
        <w:rPr>
          <w:rFonts w:ascii="Book Antiqua" w:hAnsi="Book Antiqua" w:cs="Times New Roman"/>
          <w:b/>
          <w:bCs/>
          <w:sz w:val="24"/>
          <w:szCs w:val="24"/>
        </w:rPr>
        <w:t xml:space="preserve"> S</w:t>
      </w:r>
      <w:r w:rsidRPr="004B0C7E">
        <w:rPr>
          <w:rFonts w:ascii="Book Antiqua" w:hAnsi="Book Antiqua" w:cs="Times New Roman"/>
          <w:sz w:val="24"/>
          <w:szCs w:val="24"/>
        </w:rPr>
        <w:t xml:space="preserve">, Morita Y, </w:t>
      </w:r>
      <w:proofErr w:type="spellStart"/>
      <w:r w:rsidRPr="004B0C7E">
        <w:rPr>
          <w:rFonts w:ascii="Book Antiqua" w:hAnsi="Book Antiqua" w:cs="Times New Roman"/>
          <w:sz w:val="24"/>
          <w:szCs w:val="24"/>
        </w:rPr>
        <w:t>Hosono</w:t>
      </w:r>
      <w:proofErr w:type="spellEnd"/>
      <w:r w:rsidRPr="004B0C7E">
        <w:rPr>
          <w:rFonts w:ascii="Book Antiqua" w:hAnsi="Book Antiqua" w:cs="Times New Roman"/>
          <w:sz w:val="24"/>
          <w:szCs w:val="24"/>
        </w:rPr>
        <w:t xml:space="preserve"> T. Continuous aspirin use does not increase post-endoscopic dissection bleeding risk for gastric neoplasms in patients on antiplatelet therapy.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i/>
          <w:iCs/>
          <w:sz w:val="24"/>
          <w:szCs w:val="24"/>
        </w:rPr>
        <w:t xml:space="preserve"> Int Open</w:t>
      </w:r>
      <w:r w:rsidRPr="004B0C7E">
        <w:rPr>
          <w:rFonts w:ascii="Book Antiqua" w:hAnsi="Book Antiqua" w:cs="Times New Roman"/>
          <w:sz w:val="24"/>
          <w:szCs w:val="24"/>
        </w:rPr>
        <w:t> 2015; </w:t>
      </w:r>
      <w:r w:rsidRPr="004B0C7E">
        <w:rPr>
          <w:rFonts w:ascii="Book Antiqua" w:hAnsi="Book Antiqua" w:cs="Times New Roman"/>
          <w:b/>
          <w:bCs/>
          <w:sz w:val="24"/>
          <w:szCs w:val="24"/>
        </w:rPr>
        <w:t>3</w:t>
      </w:r>
      <w:r w:rsidRPr="004B0C7E">
        <w:rPr>
          <w:rFonts w:ascii="Book Antiqua" w:hAnsi="Book Antiqua" w:cs="Times New Roman"/>
          <w:sz w:val="24"/>
          <w:szCs w:val="24"/>
        </w:rPr>
        <w:t>: E31-E38 [PMID: 26134769 DOI: 10.1055/s-0034-1390764]</w:t>
      </w:r>
    </w:p>
    <w:p w14:paraId="40945B0E"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29 </w:t>
      </w:r>
      <w:r w:rsidRPr="004B0C7E">
        <w:rPr>
          <w:rFonts w:ascii="Book Antiqua" w:hAnsi="Book Antiqua" w:cs="Times New Roman"/>
          <w:b/>
          <w:bCs/>
          <w:sz w:val="24"/>
          <w:szCs w:val="24"/>
        </w:rPr>
        <w:t>Ono S</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Fujishiro</w:t>
      </w:r>
      <w:proofErr w:type="spellEnd"/>
      <w:r w:rsidRPr="004B0C7E">
        <w:rPr>
          <w:rFonts w:ascii="Book Antiqua" w:hAnsi="Book Antiqua" w:cs="Times New Roman"/>
          <w:sz w:val="24"/>
          <w:szCs w:val="24"/>
        </w:rPr>
        <w:t xml:space="preserve"> M, Yoshida N, </w:t>
      </w:r>
      <w:proofErr w:type="spellStart"/>
      <w:r w:rsidRPr="004B0C7E">
        <w:rPr>
          <w:rFonts w:ascii="Book Antiqua" w:hAnsi="Book Antiqua" w:cs="Times New Roman"/>
          <w:sz w:val="24"/>
          <w:szCs w:val="24"/>
        </w:rPr>
        <w:t>Doyama</w:t>
      </w:r>
      <w:proofErr w:type="spellEnd"/>
      <w:r w:rsidRPr="004B0C7E">
        <w:rPr>
          <w:rFonts w:ascii="Book Antiqua" w:hAnsi="Book Antiqua" w:cs="Times New Roman"/>
          <w:sz w:val="24"/>
          <w:szCs w:val="24"/>
        </w:rPr>
        <w:t xml:space="preserve"> H, </w:t>
      </w:r>
      <w:proofErr w:type="spellStart"/>
      <w:r w:rsidRPr="004B0C7E">
        <w:rPr>
          <w:rFonts w:ascii="Book Antiqua" w:hAnsi="Book Antiqua" w:cs="Times New Roman"/>
          <w:sz w:val="24"/>
          <w:szCs w:val="24"/>
        </w:rPr>
        <w:t>Kamoshida</w:t>
      </w:r>
      <w:proofErr w:type="spellEnd"/>
      <w:r w:rsidRPr="004B0C7E">
        <w:rPr>
          <w:rFonts w:ascii="Book Antiqua" w:hAnsi="Book Antiqua" w:cs="Times New Roman"/>
          <w:sz w:val="24"/>
          <w:szCs w:val="24"/>
        </w:rPr>
        <w:t xml:space="preserve"> T, Hirai S, </w:t>
      </w:r>
      <w:proofErr w:type="spellStart"/>
      <w:r w:rsidRPr="004B0C7E">
        <w:rPr>
          <w:rFonts w:ascii="Book Antiqua" w:hAnsi="Book Antiqua" w:cs="Times New Roman"/>
          <w:sz w:val="24"/>
          <w:szCs w:val="24"/>
        </w:rPr>
        <w:t>Kishihara</w:t>
      </w:r>
      <w:proofErr w:type="spellEnd"/>
      <w:r w:rsidRPr="004B0C7E">
        <w:rPr>
          <w:rFonts w:ascii="Book Antiqua" w:hAnsi="Book Antiqua" w:cs="Times New Roman"/>
          <w:sz w:val="24"/>
          <w:szCs w:val="24"/>
        </w:rPr>
        <w:t xml:space="preserve"> T, Yamamoto Y, Sakae H, </w:t>
      </w:r>
      <w:proofErr w:type="spellStart"/>
      <w:r w:rsidRPr="004B0C7E">
        <w:rPr>
          <w:rFonts w:ascii="Book Antiqua" w:hAnsi="Book Antiqua" w:cs="Times New Roman"/>
          <w:sz w:val="24"/>
          <w:szCs w:val="24"/>
        </w:rPr>
        <w:t>Imagawa</w:t>
      </w:r>
      <w:proofErr w:type="spellEnd"/>
      <w:r w:rsidRPr="004B0C7E">
        <w:rPr>
          <w:rFonts w:ascii="Book Antiqua" w:hAnsi="Book Antiqua" w:cs="Times New Roman"/>
          <w:sz w:val="24"/>
          <w:szCs w:val="24"/>
        </w:rPr>
        <w:t xml:space="preserve"> A, Hirano M, Koike K. Thienopyridine derivatives as risk factors for bleeding following high risk endoscopic treatments: Safe Treatment on Antiplatelets (STRAP) study. </w:t>
      </w:r>
      <w:r w:rsidRPr="004B0C7E">
        <w:rPr>
          <w:rFonts w:ascii="Book Antiqua" w:hAnsi="Book Antiqua" w:cs="Times New Roman"/>
          <w:i/>
          <w:iCs/>
          <w:sz w:val="24"/>
          <w:szCs w:val="24"/>
        </w:rPr>
        <w:t>Endoscopy</w:t>
      </w:r>
      <w:r w:rsidRPr="004B0C7E">
        <w:rPr>
          <w:rFonts w:ascii="Book Antiqua" w:hAnsi="Book Antiqua" w:cs="Times New Roman"/>
          <w:sz w:val="24"/>
          <w:szCs w:val="24"/>
        </w:rPr>
        <w:t> 2015; </w:t>
      </w:r>
      <w:r w:rsidRPr="004B0C7E">
        <w:rPr>
          <w:rFonts w:ascii="Book Antiqua" w:hAnsi="Book Antiqua" w:cs="Times New Roman"/>
          <w:b/>
          <w:bCs/>
          <w:sz w:val="24"/>
          <w:szCs w:val="24"/>
        </w:rPr>
        <w:t>47</w:t>
      </w:r>
      <w:r w:rsidRPr="004B0C7E">
        <w:rPr>
          <w:rFonts w:ascii="Book Antiqua" w:hAnsi="Book Antiqua" w:cs="Times New Roman"/>
          <w:sz w:val="24"/>
          <w:szCs w:val="24"/>
        </w:rPr>
        <w:t>: 632-637 [PMID: 25590184 DOI: 10.1055/s-0034-1391354]</w:t>
      </w:r>
    </w:p>
    <w:p w14:paraId="1675F3D7" w14:textId="2159B747" w:rsidR="004B0C7E" w:rsidRPr="006E2E49"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3</w:t>
      </w:r>
      <w:r w:rsidRPr="006E2E49">
        <w:rPr>
          <w:rFonts w:ascii="Book Antiqua" w:hAnsi="Book Antiqua" w:cs="Times New Roman"/>
          <w:sz w:val="24"/>
          <w:szCs w:val="24"/>
        </w:rPr>
        <w:t>0 </w:t>
      </w:r>
      <w:r w:rsidRPr="006E2E49">
        <w:rPr>
          <w:rFonts w:ascii="Book Antiqua" w:hAnsi="Book Antiqua" w:cs="Times New Roman"/>
          <w:b/>
          <w:bCs/>
          <w:sz w:val="24"/>
          <w:szCs w:val="24"/>
        </w:rPr>
        <w:t>Japanese Gastric Cancer Association</w:t>
      </w:r>
      <w:r w:rsidRPr="006E2E49">
        <w:rPr>
          <w:rFonts w:ascii="Book Antiqua" w:hAnsi="Book Antiqua" w:cs="Times New Roman"/>
          <w:sz w:val="24"/>
          <w:szCs w:val="24"/>
        </w:rPr>
        <w:t>. Japanese gastric cancer treatment guidelines 2014 (ver. 4). </w:t>
      </w:r>
      <w:r w:rsidRPr="006E2E49">
        <w:rPr>
          <w:rFonts w:ascii="Book Antiqua" w:hAnsi="Book Antiqua" w:cs="Times New Roman"/>
          <w:i/>
          <w:iCs/>
          <w:sz w:val="24"/>
          <w:szCs w:val="24"/>
        </w:rPr>
        <w:t>Gastric Cancer</w:t>
      </w:r>
      <w:r w:rsidRPr="006E2E49">
        <w:rPr>
          <w:rFonts w:ascii="Book Antiqua" w:hAnsi="Book Antiqua" w:cs="Times New Roman"/>
          <w:sz w:val="24"/>
          <w:szCs w:val="24"/>
        </w:rPr>
        <w:t> 2017; </w:t>
      </w:r>
      <w:r w:rsidRPr="006E2E49">
        <w:rPr>
          <w:rFonts w:ascii="Book Antiqua" w:hAnsi="Book Antiqua" w:cs="Times New Roman"/>
          <w:b/>
          <w:bCs/>
          <w:sz w:val="24"/>
          <w:szCs w:val="24"/>
        </w:rPr>
        <w:t>20</w:t>
      </w:r>
      <w:r w:rsidRPr="006E2E49">
        <w:rPr>
          <w:rFonts w:ascii="Book Antiqua" w:hAnsi="Book Antiqua" w:cs="Times New Roman"/>
          <w:sz w:val="24"/>
          <w:szCs w:val="24"/>
        </w:rPr>
        <w:t>: 1-19 [PMID: 27342689 DOI: 10.1007/s10120-016-0622-4]</w:t>
      </w:r>
    </w:p>
    <w:p w14:paraId="46184B15" w14:textId="33AF61FD" w:rsidR="004B0C7E" w:rsidRPr="006E2E49" w:rsidRDefault="004B0C7E" w:rsidP="004B0C7E">
      <w:pPr>
        <w:adjustRightInd w:val="0"/>
        <w:snapToGrid w:val="0"/>
        <w:spacing w:line="360" w:lineRule="auto"/>
        <w:rPr>
          <w:rFonts w:ascii="Book Antiqua" w:hAnsi="Book Antiqua" w:cs="Times New Roman"/>
          <w:sz w:val="24"/>
          <w:szCs w:val="24"/>
        </w:rPr>
      </w:pPr>
      <w:r w:rsidRPr="006E2E49">
        <w:rPr>
          <w:rFonts w:ascii="Book Antiqua" w:hAnsi="Book Antiqua" w:cs="Times New Roman"/>
          <w:sz w:val="24"/>
          <w:szCs w:val="24"/>
        </w:rPr>
        <w:t>31 </w:t>
      </w:r>
      <w:proofErr w:type="spellStart"/>
      <w:r w:rsidRPr="006E2E49">
        <w:rPr>
          <w:rFonts w:ascii="Book Antiqua" w:hAnsi="Book Antiqua" w:cs="Times New Roman"/>
          <w:b/>
          <w:bCs/>
          <w:sz w:val="24"/>
          <w:szCs w:val="24"/>
        </w:rPr>
        <w:t>Gotoda</w:t>
      </w:r>
      <w:proofErr w:type="spellEnd"/>
      <w:r w:rsidRPr="006E2E49">
        <w:rPr>
          <w:rFonts w:ascii="Book Antiqua" w:hAnsi="Book Antiqua" w:cs="Times New Roman"/>
          <w:b/>
          <w:bCs/>
          <w:sz w:val="24"/>
          <w:szCs w:val="24"/>
        </w:rPr>
        <w:t xml:space="preserve"> T</w:t>
      </w:r>
      <w:r w:rsidRPr="006E2E49">
        <w:rPr>
          <w:rFonts w:ascii="Book Antiqua" w:hAnsi="Book Antiqua" w:cs="Times New Roman"/>
          <w:sz w:val="24"/>
          <w:szCs w:val="24"/>
        </w:rPr>
        <w:t xml:space="preserve">, Yanagisawa A, </w:t>
      </w:r>
      <w:proofErr w:type="spellStart"/>
      <w:r w:rsidRPr="006E2E49">
        <w:rPr>
          <w:rFonts w:ascii="Book Antiqua" w:hAnsi="Book Antiqua" w:cs="Times New Roman"/>
          <w:sz w:val="24"/>
          <w:szCs w:val="24"/>
        </w:rPr>
        <w:t>Sasako</w:t>
      </w:r>
      <w:proofErr w:type="spellEnd"/>
      <w:r w:rsidRPr="006E2E49">
        <w:rPr>
          <w:rFonts w:ascii="Book Antiqua" w:hAnsi="Book Antiqua" w:cs="Times New Roman"/>
          <w:sz w:val="24"/>
          <w:szCs w:val="24"/>
        </w:rPr>
        <w:t xml:space="preserve"> M, Ono H, Nakanishi Y, </w:t>
      </w:r>
      <w:proofErr w:type="spellStart"/>
      <w:r w:rsidRPr="006E2E49">
        <w:rPr>
          <w:rFonts w:ascii="Book Antiqua" w:hAnsi="Book Antiqua" w:cs="Times New Roman"/>
          <w:sz w:val="24"/>
          <w:szCs w:val="24"/>
        </w:rPr>
        <w:t>Shimoda</w:t>
      </w:r>
      <w:proofErr w:type="spellEnd"/>
      <w:r w:rsidRPr="006E2E49">
        <w:rPr>
          <w:rFonts w:ascii="Book Antiqua" w:hAnsi="Book Antiqua" w:cs="Times New Roman"/>
          <w:sz w:val="24"/>
          <w:szCs w:val="24"/>
        </w:rPr>
        <w:t xml:space="preserve"> T, Kato Y. Incidence of lymph node metastasis from early gastric cancer: estimation with a large number of cases at two large centers. </w:t>
      </w:r>
      <w:r w:rsidRPr="006E2E49">
        <w:rPr>
          <w:rFonts w:ascii="Book Antiqua" w:hAnsi="Book Antiqua" w:cs="Times New Roman"/>
          <w:i/>
          <w:iCs/>
          <w:sz w:val="24"/>
          <w:szCs w:val="24"/>
        </w:rPr>
        <w:t>Gastric Cancer</w:t>
      </w:r>
      <w:r w:rsidRPr="006E2E49">
        <w:rPr>
          <w:rFonts w:ascii="Book Antiqua" w:hAnsi="Book Antiqua" w:cs="Times New Roman"/>
          <w:sz w:val="24"/>
          <w:szCs w:val="24"/>
        </w:rPr>
        <w:t> 2000; </w:t>
      </w:r>
      <w:r w:rsidRPr="006E2E49">
        <w:rPr>
          <w:rFonts w:ascii="Book Antiqua" w:hAnsi="Book Antiqua" w:cs="Times New Roman"/>
          <w:b/>
          <w:bCs/>
          <w:sz w:val="24"/>
          <w:szCs w:val="24"/>
        </w:rPr>
        <w:t>3</w:t>
      </w:r>
      <w:r w:rsidRPr="006E2E49">
        <w:rPr>
          <w:rFonts w:ascii="Book Antiqua" w:hAnsi="Book Antiqua" w:cs="Times New Roman"/>
          <w:sz w:val="24"/>
          <w:szCs w:val="24"/>
        </w:rPr>
        <w:t>: 219-225 [PMID: 11984739</w:t>
      </w:r>
      <w:r w:rsidR="006E2E49">
        <w:rPr>
          <w:rFonts w:ascii="Book Antiqua" w:hAnsi="Book Antiqua" w:cs="Times New Roman"/>
          <w:sz w:val="24"/>
          <w:szCs w:val="24"/>
        </w:rPr>
        <w:t xml:space="preserve"> DOI: </w:t>
      </w:r>
      <w:r w:rsidR="006E2E49" w:rsidRPr="006E2E49">
        <w:rPr>
          <w:rFonts w:ascii="Book Antiqua" w:hAnsi="Book Antiqua" w:cs="Times New Roman"/>
          <w:sz w:val="24"/>
          <w:szCs w:val="24"/>
        </w:rPr>
        <w:t>10.1007/PL00011720</w:t>
      </w:r>
      <w:r w:rsidRPr="006E2E49">
        <w:rPr>
          <w:rFonts w:ascii="Book Antiqua" w:hAnsi="Book Antiqua" w:cs="Times New Roman"/>
          <w:sz w:val="24"/>
          <w:szCs w:val="24"/>
        </w:rPr>
        <w:t>]</w:t>
      </w:r>
    </w:p>
    <w:p w14:paraId="2D054583"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6E2E49">
        <w:rPr>
          <w:rFonts w:ascii="Book Antiqua" w:hAnsi="Book Antiqua" w:cs="Times New Roman"/>
          <w:sz w:val="24"/>
          <w:szCs w:val="24"/>
        </w:rPr>
        <w:t>32 </w:t>
      </w:r>
      <w:r w:rsidRPr="006E2E49">
        <w:rPr>
          <w:rFonts w:ascii="Book Antiqua" w:hAnsi="Book Antiqua" w:cs="Times New Roman"/>
          <w:b/>
          <w:bCs/>
          <w:sz w:val="24"/>
          <w:szCs w:val="24"/>
        </w:rPr>
        <w:t>Harada H</w:t>
      </w:r>
      <w:r w:rsidRPr="006E2E49">
        <w:rPr>
          <w:rFonts w:ascii="Book Antiqua" w:hAnsi="Book Antiqua" w:cs="Times New Roman"/>
          <w:sz w:val="24"/>
          <w:szCs w:val="24"/>
        </w:rPr>
        <w:t xml:space="preserve">, </w:t>
      </w:r>
      <w:proofErr w:type="spellStart"/>
      <w:r w:rsidRPr="006E2E49">
        <w:rPr>
          <w:rFonts w:ascii="Book Antiqua" w:hAnsi="Book Antiqua" w:cs="Times New Roman"/>
          <w:sz w:val="24"/>
          <w:szCs w:val="24"/>
        </w:rPr>
        <w:t>Suehiro</w:t>
      </w:r>
      <w:proofErr w:type="spellEnd"/>
      <w:r w:rsidRPr="006E2E49">
        <w:rPr>
          <w:rFonts w:ascii="Book Antiqua" w:hAnsi="Book Antiqua" w:cs="Times New Roman"/>
          <w:sz w:val="24"/>
          <w:szCs w:val="24"/>
        </w:rPr>
        <w:t xml:space="preserve"> S,</w:t>
      </w:r>
      <w:r w:rsidRPr="004B0C7E">
        <w:rPr>
          <w:rFonts w:ascii="Book Antiqua" w:hAnsi="Book Antiqua" w:cs="Times New Roman"/>
          <w:sz w:val="24"/>
          <w:szCs w:val="24"/>
        </w:rPr>
        <w:t xml:space="preserve"> Murakami D, Shimizu T, Nakahara R, </w:t>
      </w:r>
      <w:proofErr w:type="spellStart"/>
      <w:r w:rsidRPr="004B0C7E">
        <w:rPr>
          <w:rFonts w:ascii="Book Antiqua" w:hAnsi="Book Antiqua" w:cs="Times New Roman"/>
          <w:sz w:val="24"/>
          <w:szCs w:val="24"/>
        </w:rPr>
        <w:t>Katsuyama</w:t>
      </w:r>
      <w:proofErr w:type="spellEnd"/>
      <w:r w:rsidRPr="004B0C7E">
        <w:rPr>
          <w:rFonts w:ascii="Book Antiqua" w:hAnsi="Book Antiqua" w:cs="Times New Roman"/>
          <w:sz w:val="24"/>
          <w:szCs w:val="24"/>
        </w:rPr>
        <w:t xml:space="preserve"> Y, Miyama Y, </w:t>
      </w:r>
      <w:proofErr w:type="spellStart"/>
      <w:r w:rsidRPr="004B0C7E">
        <w:rPr>
          <w:rFonts w:ascii="Book Antiqua" w:hAnsi="Book Antiqua" w:cs="Times New Roman"/>
          <w:sz w:val="24"/>
          <w:szCs w:val="24"/>
        </w:rPr>
        <w:t>Tounou</w:t>
      </w:r>
      <w:proofErr w:type="spellEnd"/>
      <w:r w:rsidRPr="004B0C7E">
        <w:rPr>
          <w:rFonts w:ascii="Book Antiqua" w:hAnsi="Book Antiqua" w:cs="Times New Roman"/>
          <w:sz w:val="24"/>
          <w:szCs w:val="24"/>
        </w:rPr>
        <w:t xml:space="preserve"> S, </w:t>
      </w:r>
      <w:proofErr w:type="spellStart"/>
      <w:r w:rsidRPr="004B0C7E">
        <w:rPr>
          <w:rFonts w:ascii="Book Antiqua" w:hAnsi="Book Antiqua" w:cs="Times New Roman"/>
          <w:sz w:val="24"/>
          <w:szCs w:val="24"/>
        </w:rPr>
        <w:t>Hayasaka</w:t>
      </w:r>
      <w:proofErr w:type="spellEnd"/>
      <w:r w:rsidRPr="004B0C7E">
        <w:rPr>
          <w:rFonts w:ascii="Book Antiqua" w:hAnsi="Book Antiqua" w:cs="Times New Roman"/>
          <w:sz w:val="24"/>
          <w:szCs w:val="24"/>
        </w:rPr>
        <w:t xml:space="preserve"> K. Continuous use of low-dose warfarin for gastric endoscopic submucosal dissection: a prospective study.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i/>
          <w:iCs/>
          <w:sz w:val="24"/>
          <w:szCs w:val="24"/>
        </w:rPr>
        <w:t xml:space="preserve"> Int Open</w:t>
      </w:r>
      <w:r w:rsidRPr="004B0C7E">
        <w:rPr>
          <w:rFonts w:ascii="Book Antiqua" w:hAnsi="Book Antiqua" w:cs="Times New Roman"/>
          <w:sz w:val="24"/>
          <w:szCs w:val="24"/>
        </w:rPr>
        <w:t> 2017; </w:t>
      </w:r>
      <w:r w:rsidRPr="004B0C7E">
        <w:rPr>
          <w:rFonts w:ascii="Book Antiqua" w:hAnsi="Book Antiqua" w:cs="Times New Roman"/>
          <w:b/>
          <w:bCs/>
          <w:sz w:val="24"/>
          <w:szCs w:val="24"/>
        </w:rPr>
        <w:t>5</w:t>
      </w:r>
      <w:r w:rsidRPr="004B0C7E">
        <w:rPr>
          <w:rFonts w:ascii="Book Antiqua" w:hAnsi="Book Antiqua" w:cs="Times New Roman"/>
          <w:sz w:val="24"/>
          <w:szCs w:val="24"/>
        </w:rPr>
        <w:t>: E348-E353 [PMID: 28484736 DOI: 10.1055/s-0043-105493]</w:t>
      </w:r>
    </w:p>
    <w:p w14:paraId="3E48871C"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33 </w:t>
      </w:r>
      <w:r w:rsidRPr="004B0C7E">
        <w:rPr>
          <w:rFonts w:ascii="Book Antiqua" w:hAnsi="Book Antiqua" w:cs="Times New Roman"/>
          <w:b/>
          <w:bCs/>
          <w:sz w:val="24"/>
          <w:szCs w:val="24"/>
        </w:rPr>
        <w:t>Ono S</w:t>
      </w:r>
      <w:r w:rsidRPr="004B0C7E">
        <w:rPr>
          <w:rFonts w:ascii="Book Antiqua" w:hAnsi="Book Antiqua" w:cs="Times New Roman"/>
          <w:sz w:val="24"/>
          <w:szCs w:val="24"/>
        </w:rPr>
        <w:t>, Koike K. Endoscopists should keep up with the current trends of antithrombotic therapy in other fields.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2017; </w:t>
      </w:r>
      <w:r w:rsidRPr="004B0C7E">
        <w:rPr>
          <w:rFonts w:ascii="Book Antiqua" w:hAnsi="Book Antiqua" w:cs="Times New Roman"/>
          <w:b/>
          <w:bCs/>
          <w:sz w:val="24"/>
          <w:szCs w:val="24"/>
        </w:rPr>
        <w:t>29</w:t>
      </w:r>
      <w:r w:rsidRPr="004B0C7E">
        <w:rPr>
          <w:rFonts w:ascii="Book Antiqua" w:hAnsi="Book Antiqua" w:cs="Times New Roman"/>
          <w:sz w:val="24"/>
          <w:szCs w:val="24"/>
        </w:rPr>
        <w:t>: 676-677 [PMID: 28459505 DOI: 10.1111/den.12891]</w:t>
      </w:r>
    </w:p>
    <w:p w14:paraId="7F7412D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lastRenderedPageBreak/>
        <w:t>34 </w:t>
      </w:r>
      <w:r w:rsidRPr="004B0C7E">
        <w:rPr>
          <w:rFonts w:ascii="Book Antiqua" w:hAnsi="Book Antiqua" w:cs="Times New Roman"/>
          <w:b/>
          <w:bCs/>
          <w:sz w:val="24"/>
          <w:szCs w:val="24"/>
        </w:rPr>
        <w:t>Yoshio T</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Tomida</w:t>
      </w:r>
      <w:proofErr w:type="spellEnd"/>
      <w:r w:rsidRPr="004B0C7E">
        <w:rPr>
          <w:rFonts w:ascii="Book Antiqua" w:hAnsi="Book Antiqua" w:cs="Times New Roman"/>
          <w:sz w:val="24"/>
          <w:szCs w:val="24"/>
        </w:rPr>
        <w:t xml:space="preserve"> H, Iwasaki R, Horiuchi Y, </w:t>
      </w:r>
      <w:proofErr w:type="spellStart"/>
      <w:r w:rsidRPr="004B0C7E">
        <w:rPr>
          <w:rFonts w:ascii="Book Antiqua" w:hAnsi="Book Antiqua" w:cs="Times New Roman"/>
          <w:sz w:val="24"/>
          <w:szCs w:val="24"/>
        </w:rPr>
        <w:t>Omae</w:t>
      </w:r>
      <w:proofErr w:type="spellEnd"/>
      <w:r w:rsidRPr="004B0C7E">
        <w:rPr>
          <w:rFonts w:ascii="Book Antiqua" w:hAnsi="Book Antiqua" w:cs="Times New Roman"/>
          <w:sz w:val="24"/>
          <w:szCs w:val="24"/>
        </w:rPr>
        <w:t xml:space="preserve"> M, Ishiyama A, Hirasawa T, Yamamoto Y, </w:t>
      </w:r>
      <w:proofErr w:type="spellStart"/>
      <w:r w:rsidRPr="004B0C7E">
        <w:rPr>
          <w:rFonts w:ascii="Book Antiqua" w:hAnsi="Book Antiqua" w:cs="Times New Roman"/>
          <w:sz w:val="24"/>
          <w:szCs w:val="24"/>
        </w:rPr>
        <w:t>Tsuchida</w:t>
      </w:r>
      <w:proofErr w:type="spellEnd"/>
      <w:r w:rsidRPr="004B0C7E">
        <w:rPr>
          <w:rFonts w:ascii="Book Antiqua" w:hAnsi="Book Antiqua" w:cs="Times New Roman"/>
          <w:sz w:val="24"/>
          <w:szCs w:val="24"/>
        </w:rPr>
        <w:t xml:space="preserve"> T, Fujisaki J, Yamada T, </w:t>
      </w:r>
      <w:proofErr w:type="spellStart"/>
      <w:r w:rsidRPr="004B0C7E">
        <w:rPr>
          <w:rFonts w:ascii="Book Antiqua" w:hAnsi="Book Antiqua" w:cs="Times New Roman"/>
          <w:sz w:val="24"/>
          <w:szCs w:val="24"/>
        </w:rPr>
        <w:t>Mita</w:t>
      </w:r>
      <w:proofErr w:type="spellEnd"/>
      <w:r w:rsidRPr="004B0C7E">
        <w:rPr>
          <w:rFonts w:ascii="Book Antiqua" w:hAnsi="Book Antiqua" w:cs="Times New Roman"/>
          <w:sz w:val="24"/>
          <w:szCs w:val="24"/>
        </w:rPr>
        <w:t xml:space="preserve"> E, Ninomiya T, </w:t>
      </w:r>
      <w:proofErr w:type="spellStart"/>
      <w:r w:rsidRPr="004B0C7E">
        <w:rPr>
          <w:rFonts w:ascii="Book Antiqua" w:hAnsi="Book Antiqua" w:cs="Times New Roman"/>
          <w:sz w:val="24"/>
          <w:szCs w:val="24"/>
        </w:rPr>
        <w:t>Michitaka</w:t>
      </w:r>
      <w:proofErr w:type="spellEnd"/>
      <w:r w:rsidRPr="004B0C7E">
        <w:rPr>
          <w:rFonts w:ascii="Book Antiqua" w:hAnsi="Book Antiqua" w:cs="Times New Roman"/>
          <w:sz w:val="24"/>
          <w:szCs w:val="24"/>
        </w:rPr>
        <w:t xml:space="preserve"> K, Igarashi M. Effect of direct oral anticoagulants on the risk of delayed bleeding after gastric endoscopic submucosal dissection.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2017; </w:t>
      </w:r>
      <w:r w:rsidRPr="004B0C7E">
        <w:rPr>
          <w:rFonts w:ascii="Book Antiqua" w:hAnsi="Book Antiqua" w:cs="Times New Roman"/>
          <w:b/>
          <w:bCs/>
          <w:sz w:val="24"/>
          <w:szCs w:val="24"/>
        </w:rPr>
        <w:t>29</w:t>
      </w:r>
      <w:r w:rsidRPr="004B0C7E">
        <w:rPr>
          <w:rFonts w:ascii="Book Antiqua" w:hAnsi="Book Antiqua" w:cs="Times New Roman"/>
          <w:sz w:val="24"/>
          <w:szCs w:val="24"/>
        </w:rPr>
        <w:t>: 686-694 [PMID: 28295638 DOI: 10.1111/den.12859]</w:t>
      </w:r>
    </w:p>
    <w:p w14:paraId="79143DB9" w14:textId="396777A1" w:rsidR="009F3190" w:rsidRPr="009F3190" w:rsidRDefault="009F3190" w:rsidP="009F3190">
      <w:pPr>
        <w:wordWrap w:val="0"/>
        <w:adjustRightInd w:val="0"/>
        <w:snapToGrid w:val="0"/>
        <w:spacing w:line="360" w:lineRule="auto"/>
        <w:jc w:val="right"/>
        <w:rPr>
          <w:rFonts w:ascii="Book Antiqua" w:hAnsi="Book Antiqua"/>
          <w:b/>
          <w:bCs/>
          <w:sz w:val="24"/>
          <w:szCs w:val="24"/>
        </w:rPr>
      </w:pPr>
      <w:bookmarkStart w:id="45" w:name="OLE_LINK148"/>
      <w:bookmarkStart w:id="46" w:name="OLE_LINK320"/>
      <w:bookmarkStart w:id="47" w:name="OLE_LINK387"/>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386"/>
      <w:bookmarkStart w:id="145" w:name="OLE_LINK33"/>
      <w:bookmarkStart w:id="146" w:name="OLE_LINK34"/>
      <w:r w:rsidRPr="009F3190">
        <w:rPr>
          <w:rFonts w:ascii="Book Antiqua" w:hAnsi="Book Antiqua"/>
          <w:b/>
          <w:bCs/>
          <w:sz w:val="24"/>
          <w:szCs w:val="24"/>
        </w:rPr>
        <w:t>P-Reviewer:</w:t>
      </w:r>
      <w:r w:rsidRPr="009F3190">
        <w:rPr>
          <w:rFonts w:ascii="Book Antiqua" w:hAnsi="Book Antiqua" w:hint="eastAsia"/>
          <w:b/>
          <w:bCs/>
          <w:sz w:val="24"/>
          <w:szCs w:val="24"/>
        </w:rPr>
        <w:t xml:space="preserve"> </w:t>
      </w:r>
      <w:proofErr w:type="spellStart"/>
      <w:r>
        <w:rPr>
          <w:rFonts w:ascii="Book Antiqua" w:hAnsi="Book Antiqua"/>
          <w:bCs/>
          <w:sz w:val="24"/>
          <w:szCs w:val="24"/>
        </w:rPr>
        <w:t>Crino</w:t>
      </w:r>
      <w:proofErr w:type="spellEnd"/>
      <w:r>
        <w:rPr>
          <w:rFonts w:ascii="Book Antiqua" w:hAnsi="Book Antiqua"/>
          <w:bCs/>
          <w:sz w:val="24"/>
          <w:szCs w:val="24"/>
        </w:rPr>
        <w:t xml:space="preserve"> S, Jun C</w:t>
      </w:r>
    </w:p>
    <w:p w14:paraId="1890E496" w14:textId="77777777" w:rsidR="009F3190" w:rsidRPr="009F3190" w:rsidRDefault="009F3190" w:rsidP="009F3190">
      <w:pPr>
        <w:adjustRightInd w:val="0"/>
        <w:snapToGrid w:val="0"/>
        <w:spacing w:line="360" w:lineRule="auto"/>
        <w:jc w:val="right"/>
        <w:rPr>
          <w:rFonts w:ascii="Book Antiqua" w:hAnsi="Book Antiqua"/>
          <w:sz w:val="24"/>
          <w:szCs w:val="24"/>
        </w:rPr>
      </w:pPr>
      <w:r w:rsidRPr="009F3190">
        <w:rPr>
          <w:rFonts w:ascii="Book Antiqua" w:hAnsi="Book Antiqua"/>
          <w:b/>
          <w:bCs/>
          <w:sz w:val="24"/>
          <w:szCs w:val="24"/>
        </w:rPr>
        <w:t>S-Editor:</w:t>
      </w:r>
      <w:r w:rsidRPr="009F3190">
        <w:rPr>
          <w:rFonts w:ascii="Book Antiqua" w:hAnsi="Book Antiqua" w:hint="eastAsia"/>
          <w:sz w:val="24"/>
          <w:szCs w:val="24"/>
        </w:rPr>
        <w:t xml:space="preserve"> </w:t>
      </w:r>
      <w:r w:rsidRPr="009F3190">
        <w:rPr>
          <w:rFonts w:ascii="Book Antiqua" w:hAnsi="Book Antiqua"/>
          <w:sz w:val="24"/>
          <w:szCs w:val="24"/>
        </w:rPr>
        <w:t>Ma</w:t>
      </w:r>
      <w:r w:rsidRPr="009F3190">
        <w:rPr>
          <w:rFonts w:ascii="Book Antiqua" w:hAnsi="Book Antiqua" w:hint="eastAsia"/>
          <w:sz w:val="24"/>
          <w:szCs w:val="24"/>
        </w:rPr>
        <w:t xml:space="preserve"> </w:t>
      </w:r>
      <w:r w:rsidRPr="009F3190">
        <w:rPr>
          <w:rFonts w:ascii="Book Antiqua" w:hAnsi="Book Antiqua"/>
          <w:sz w:val="24"/>
          <w:szCs w:val="24"/>
        </w:rPr>
        <w:t>RY</w:t>
      </w:r>
      <w:r w:rsidRPr="009F3190">
        <w:rPr>
          <w:rFonts w:ascii="Book Antiqua" w:hAnsi="Book Antiqua" w:hint="eastAsia"/>
          <w:sz w:val="24"/>
          <w:szCs w:val="24"/>
        </w:rPr>
        <w:t xml:space="preserve"> </w:t>
      </w:r>
      <w:r w:rsidRPr="009F3190">
        <w:rPr>
          <w:rFonts w:ascii="Book Antiqua" w:hAnsi="Book Antiqua"/>
          <w:b/>
          <w:bCs/>
          <w:sz w:val="24"/>
          <w:szCs w:val="24"/>
        </w:rPr>
        <w:t>L-Editor:</w:t>
      </w:r>
      <w:r w:rsidRPr="009F3190">
        <w:rPr>
          <w:rFonts w:ascii="Book Antiqua" w:hAnsi="Book Antiqua"/>
          <w:sz w:val="24"/>
          <w:szCs w:val="24"/>
        </w:rPr>
        <w:t xml:space="preserve"> </w:t>
      </w:r>
      <w:r w:rsidRPr="009F3190">
        <w:rPr>
          <w:rFonts w:ascii="Book Antiqua" w:hAnsi="Book Antiqua"/>
          <w:b/>
          <w:bCs/>
          <w:sz w:val="24"/>
          <w:szCs w:val="24"/>
        </w:rPr>
        <w:t>E-Editor:</w:t>
      </w:r>
    </w:p>
    <w:p w14:paraId="099E0412" w14:textId="77777777" w:rsidR="009F3190" w:rsidRPr="009F3190" w:rsidRDefault="009F3190" w:rsidP="009F3190">
      <w:pPr>
        <w:shd w:val="clear" w:color="auto" w:fill="FFFFFF"/>
        <w:adjustRightInd w:val="0"/>
        <w:snapToGrid w:val="0"/>
        <w:spacing w:line="360" w:lineRule="auto"/>
        <w:rPr>
          <w:rFonts w:ascii="Book Antiqua" w:hAnsi="Book Antiqua" w:cs="Helvetica"/>
          <w:b/>
          <w:sz w:val="24"/>
          <w:szCs w:val="24"/>
        </w:rPr>
      </w:pPr>
      <w:bookmarkStart w:id="147" w:name="OLE_LINK880"/>
      <w:bookmarkStart w:id="148" w:name="OLE_LINK8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9F3190">
        <w:rPr>
          <w:rFonts w:ascii="Book Antiqua" w:hAnsi="Book Antiqua" w:cs="Helvetica"/>
          <w:b/>
          <w:sz w:val="24"/>
          <w:szCs w:val="24"/>
        </w:rPr>
        <w:t xml:space="preserve">Specialty type: </w:t>
      </w:r>
      <w:r w:rsidRPr="009F3190">
        <w:rPr>
          <w:rFonts w:ascii="Book Antiqua" w:hAnsi="Book Antiqua" w:cs="Helvetica"/>
          <w:sz w:val="24"/>
          <w:szCs w:val="24"/>
        </w:rPr>
        <w:t>Gastroenterology and</w:t>
      </w:r>
      <w:r w:rsidRPr="009F3190">
        <w:rPr>
          <w:rFonts w:ascii="Book Antiqua" w:hAnsi="Book Antiqua" w:cs="Helvetica" w:hint="eastAsia"/>
          <w:sz w:val="24"/>
          <w:szCs w:val="24"/>
        </w:rPr>
        <w:t xml:space="preserve"> </w:t>
      </w:r>
      <w:r w:rsidRPr="009F3190">
        <w:rPr>
          <w:rFonts w:ascii="Book Antiqua" w:hAnsi="Book Antiqua" w:cs="Helvetica"/>
          <w:sz w:val="24"/>
          <w:szCs w:val="24"/>
        </w:rPr>
        <w:t>hepatology</w:t>
      </w:r>
    </w:p>
    <w:p w14:paraId="0E0ED526" w14:textId="448F6F63" w:rsidR="009F3190" w:rsidRPr="009F3190" w:rsidRDefault="009F3190" w:rsidP="009F3190">
      <w:pPr>
        <w:shd w:val="clear" w:color="auto" w:fill="FFFFFF"/>
        <w:adjustRightInd w:val="0"/>
        <w:snapToGrid w:val="0"/>
        <w:spacing w:line="360" w:lineRule="auto"/>
        <w:rPr>
          <w:rFonts w:ascii="Book Antiqua" w:hAnsi="Book Antiqua" w:cs="Helvetica"/>
          <w:b/>
          <w:sz w:val="24"/>
          <w:szCs w:val="24"/>
        </w:rPr>
      </w:pPr>
      <w:r w:rsidRPr="009F3190">
        <w:rPr>
          <w:rFonts w:ascii="Book Antiqua" w:hAnsi="Book Antiqua" w:cs="Helvetica"/>
          <w:b/>
          <w:sz w:val="24"/>
          <w:szCs w:val="24"/>
        </w:rPr>
        <w:t xml:space="preserve">Country of origin: </w:t>
      </w:r>
      <w:r>
        <w:rPr>
          <w:rFonts w:ascii="Book Antiqua" w:hAnsi="Book Antiqua" w:cs="Helvetica"/>
          <w:sz w:val="24"/>
          <w:szCs w:val="24"/>
          <w:lang w:val="en-CA"/>
        </w:rPr>
        <w:t>Japan</w:t>
      </w:r>
    </w:p>
    <w:p w14:paraId="6A13C587" w14:textId="77777777" w:rsidR="009F3190" w:rsidRPr="009F3190" w:rsidRDefault="009F3190" w:rsidP="009F3190">
      <w:pPr>
        <w:shd w:val="clear" w:color="auto" w:fill="FFFFFF"/>
        <w:adjustRightInd w:val="0"/>
        <w:snapToGrid w:val="0"/>
        <w:spacing w:line="360" w:lineRule="auto"/>
        <w:rPr>
          <w:rFonts w:ascii="Book Antiqua" w:hAnsi="Book Antiqua" w:cs="Helvetica"/>
          <w:b/>
          <w:sz w:val="24"/>
          <w:szCs w:val="24"/>
        </w:rPr>
      </w:pPr>
      <w:r w:rsidRPr="009F3190">
        <w:rPr>
          <w:rFonts w:ascii="Book Antiqua" w:hAnsi="Book Antiqua" w:cs="Helvetica"/>
          <w:b/>
          <w:sz w:val="24"/>
          <w:szCs w:val="24"/>
        </w:rPr>
        <w:t>Peer-review report classification</w:t>
      </w:r>
    </w:p>
    <w:p w14:paraId="138DCB20" w14:textId="77777777"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A (Excellent): </w:t>
      </w:r>
      <w:r w:rsidRPr="009F3190">
        <w:rPr>
          <w:rFonts w:ascii="Book Antiqua" w:hAnsi="Book Antiqua" w:cs="Helvetica" w:hint="eastAsia"/>
          <w:sz w:val="24"/>
          <w:szCs w:val="24"/>
        </w:rPr>
        <w:t>0</w:t>
      </w:r>
    </w:p>
    <w:p w14:paraId="41B64080" w14:textId="77777777"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B (Very good): </w:t>
      </w:r>
      <w:r w:rsidRPr="009F3190">
        <w:rPr>
          <w:rFonts w:ascii="Book Antiqua" w:hAnsi="Book Antiqua" w:cs="Helvetica" w:hint="eastAsia"/>
          <w:sz w:val="24"/>
          <w:szCs w:val="24"/>
        </w:rPr>
        <w:t>B</w:t>
      </w:r>
    </w:p>
    <w:p w14:paraId="07D538FC" w14:textId="1D1B4F9C"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C (Good): </w:t>
      </w:r>
      <w:r>
        <w:rPr>
          <w:rFonts w:ascii="Book Antiqua" w:hAnsi="Book Antiqua" w:cs="Helvetica" w:hint="eastAsia"/>
          <w:sz w:val="24"/>
          <w:szCs w:val="24"/>
        </w:rPr>
        <w:t>C</w:t>
      </w:r>
    </w:p>
    <w:p w14:paraId="19F7BDCB" w14:textId="77777777"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D (Fair): </w:t>
      </w:r>
      <w:r w:rsidRPr="009F3190">
        <w:rPr>
          <w:rFonts w:ascii="Book Antiqua" w:hAnsi="Book Antiqua" w:cs="Helvetica" w:hint="eastAsia"/>
          <w:sz w:val="24"/>
          <w:szCs w:val="24"/>
        </w:rPr>
        <w:t>0</w:t>
      </w:r>
    </w:p>
    <w:p w14:paraId="5038C899" w14:textId="77777777" w:rsidR="009F3190" w:rsidRPr="009F3190" w:rsidRDefault="009F3190" w:rsidP="009F3190">
      <w:pPr>
        <w:adjustRightInd w:val="0"/>
        <w:snapToGrid w:val="0"/>
        <w:spacing w:line="360" w:lineRule="auto"/>
        <w:rPr>
          <w:rFonts w:ascii="Book Antiqua" w:hAnsi="Book Antiqua"/>
          <w:b/>
          <w:iCs/>
          <w:sz w:val="24"/>
          <w:szCs w:val="24"/>
        </w:rPr>
      </w:pPr>
      <w:r w:rsidRPr="009F3190">
        <w:rPr>
          <w:rFonts w:ascii="Book Antiqua" w:hAnsi="Book Antiqua" w:cs="Helvetica"/>
          <w:sz w:val="24"/>
          <w:szCs w:val="24"/>
        </w:rPr>
        <w:t xml:space="preserve">Grade E (Poor): </w:t>
      </w:r>
      <w:r w:rsidRPr="009F3190">
        <w:rPr>
          <w:rFonts w:ascii="Book Antiqua" w:hAnsi="Book Antiqua" w:cs="Helvetica" w:hint="eastAsia"/>
          <w:sz w:val="24"/>
          <w:szCs w:val="24"/>
        </w:rPr>
        <w:t>0</w:t>
      </w:r>
      <w:bookmarkEnd w:id="144"/>
      <w:bookmarkEnd w:id="147"/>
      <w:bookmarkEnd w:id="148"/>
    </w:p>
    <w:bookmarkEnd w:id="145"/>
    <w:bookmarkEnd w:id="146"/>
    <w:p w14:paraId="2DADA357" w14:textId="51653241" w:rsidR="009F3190" w:rsidRDefault="009F3190">
      <w:pPr>
        <w:widowControl/>
        <w:jc w:val="left"/>
        <w:rPr>
          <w:rFonts w:ascii="Book Antiqua" w:hAnsi="Book Antiqua" w:cs="Times New Roman"/>
          <w:b/>
          <w:kern w:val="24"/>
          <w:sz w:val="24"/>
          <w:szCs w:val="24"/>
        </w:rPr>
      </w:pPr>
      <w:r>
        <w:rPr>
          <w:rFonts w:ascii="Book Antiqua" w:hAnsi="Book Antiqua" w:cs="Times New Roman"/>
          <w:b/>
          <w:kern w:val="24"/>
          <w:sz w:val="24"/>
          <w:szCs w:val="24"/>
        </w:rPr>
        <w:br w:type="page"/>
      </w:r>
    </w:p>
    <w:p w14:paraId="3245CE7E" w14:textId="2B7171AE" w:rsidR="009F3190" w:rsidRPr="009F3190" w:rsidRDefault="00D34476" w:rsidP="009F3190">
      <w:pPr>
        <w:widowControl/>
        <w:adjustRightInd w:val="0"/>
        <w:snapToGrid w:val="0"/>
        <w:spacing w:line="360" w:lineRule="auto"/>
        <w:outlineLvl w:val="0"/>
        <w:rPr>
          <w:rFonts w:ascii="Book Antiqua" w:hAnsi="Book Antiqua" w:cs="Times New Roman"/>
          <w:b/>
          <w:kern w:val="24"/>
          <w:sz w:val="24"/>
          <w:szCs w:val="24"/>
        </w:rPr>
      </w:pPr>
      <w:r w:rsidRPr="002910A5">
        <w:rPr>
          <w:rFonts w:ascii="Book Antiqua" w:hAnsi="Book Antiqua" w:cs="Times New Roman"/>
          <w:noProof/>
          <w:kern w:val="24"/>
          <w:sz w:val="24"/>
          <w:szCs w:val="24"/>
          <w:lang w:eastAsia="zh-CN"/>
        </w:rPr>
        <w:lastRenderedPageBreak/>
        <w:drawing>
          <wp:inline distT="0" distB="0" distL="0" distR="0" wp14:anchorId="3A22F0C2" wp14:editId="0FAC96A5">
            <wp:extent cx="5400040" cy="3037206"/>
            <wp:effectExtent l="0" t="0" r="10160" b="1079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7206"/>
                    </a:xfrm>
                    <a:prstGeom prst="rect">
                      <a:avLst/>
                    </a:prstGeom>
                    <a:noFill/>
                    <a:ln>
                      <a:noFill/>
                    </a:ln>
                  </pic:spPr>
                </pic:pic>
              </a:graphicData>
            </a:graphic>
          </wp:inline>
        </w:drawing>
      </w:r>
    </w:p>
    <w:p w14:paraId="556C2A35" w14:textId="5FD5B861" w:rsidR="000B23B3" w:rsidRPr="002910A5" w:rsidRDefault="009F2B87" w:rsidP="009F3190">
      <w:pPr>
        <w:widowControl/>
        <w:adjustRightInd w:val="0"/>
        <w:snapToGrid w:val="0"/>
        <w:spacing w:line="360" w:lineRule="auto"/>
        <w:rPr>
          <w:rFonts w:ascii="Book Antiqua" w:hAnsi="Book Antiqua" w:cs="Times New Roman"/>
          <w:kern w:val="24"/>
          <w:sz w:val="24"/>
          <w:szCs w:val="24"/>
        </w:rPr>
      </w:pPr>
      <w:r w:rsidRPr="009F3190">
        <w:rPr>
          <w:rFonts w:ascii="Book Antiqua" w:hAnsi="Book Antiqua" w:cs="Times New Roman"/>
          <w:b/>
          <w:kern w:val="24"/>
          <w:sz w:val="24"/>
          <w:szCs w:val="24"/>
        </w:rPr>
        <w:t>Figure 1</w:t>
      </w:r>
      <w:r w:rsidR="00B411D2" w:rsidRPr="009F3190">
        <w:rPr>
          <w:rFonts w:ascii="Book Antiqua" w:hAnsi="Book Antiqua" w:cs="Times New Roman"/>
          <w:b/>
          <w:kern w:val="24"/>
          <w:sz w:val="24"/>
          <w:szCs w:val="24"/>
        </w:rPr>
        <w:t xml:space="preserve"> Consort diagram showing the number of enrolled patients in this study</w:t>
      </w:r>
      <w:r w:rsidRPr="009F3190">
        <w:rPr>
          <w:rFonts w:ascii="Book Antiqua" w:hAnsi="Book Antiqua" w:cs="Times New Roman"/>
          <w:b/>
          <w:kern w:val="24"/>
          <w:sz w:val="24"/>
          <w:szCs w:val="24"/>
        </w:rPr>
        <w:t>.</w:t>
      </w:r>
      <w:r w:rsidR="00D34476">
        <w:rPr>
          <w:rFonts w:ascii="Book Antiqua" w:hAnsi="Book Antiqua" w:cs="Times New Roman"/>
          <w:kern w:val="24"/>
          <w:sz w:val="24"/>
          <w:szCs w:val="24"/>
        </w:rPr>
        <w:t xml:space="preserve"> APT: A</w:t>
      </w:r>
      <w:r w:rsidRPr="009F3190">
        <w:rPr>
          <w:rFonts w:ascii="Book Antiqua" w:hAnsi="Book Antiqua" w:cs="Times New Roman"/>
          <w:kern w:val="24"/>
          <w:sz w:val="24"/>
          <w:szCs w:val="24"/>
        </w:rPr>
        <w:t>ntiplatelet therapy</w:t>
      </w:r>
      <w:r w:rsidRPr="009F3190">
        <w:rPr>
          <w:rFonts w:ascii="Book Antiqua" w:hAnsi="Book Antiqua" w:cs="Times New Roman"/>
          <w:sz w:val="24"/>
          <w:szCs w:val="24"/>
        </w:rPr>
        <w:t xml:space="preserve">; </w:t>
      </w:r>
      <w:r w:rsidR="00D34476">
        <w:rPr>
          <w:rFonts w:ascii="Book Antiqua" w:hAnsi="Book Antiqua" w:cs="Times New Roman"/>
          <w:sz w:val="24"/>
          <w:szCs w:val="24"/>
        </w:rPr>
        <w:t>DAPT: D</w:t>
      </w:r>
      <w:r w:rsidRPr="002910A5">
        <w:rPr>
          <w:rFonts w:ascii="Book Antiqua" w:hAnsi="Book Antiqua" w:cs="Times New Roman"/>
          <w:sz w:val="24"/>
          <w:szCs w:val="24"/>
        </w:rPr>
        <w:t>ual antiplatelet therapy</w:t>
      </w:r>
      <w:r w:rsidR="00D34476">
        <w:rPr>
          <w:rFonts w:ascii="Book Antiqua" w:hAnsi="Book Antiqua" w:cs="Times New Roman"/>
          <w:kern w:val="24"/>
          <w:sz w:val="24"/>
          <w:szCs w:val="24"/>
        </w:rPr>
        <w:t>; ESD: E</w:t>
      </w:r>
      <w:r w:rsidR="00B97083" w:rsidRPr="002910A5">
        <w:rPr>
          <w:rFonts w:ascii="Book Antiqua" w:hAnsi="Book Antiqua" w:cs="Times New Roman"/>
          <w:kern w:val="24"/>
          <w:sz w:val="24"/>
          <w:szCs w:val="24"/>
        </w:rPr>
        <w:t xml:space="preserve">ndoscopic submucosal dissection; </w:t>
      </w:r>
      <w:r w:rsidR="00D34476">
        <w:rPr>
          <w:rFonts w:ascii="Book Antiqua" w:hAnsi="Book Antiqua" w:cs="Times New Roman"/>
          <w:sz w:val="24"/>
          <w:szCs w:val="24"/>
        </w:rPr>
        <w:t>LDA: L</w:t>
      </w:r>
      <w:r w:rsidR="00B97083" w:rsidRPr="002910A5">
        <w:rPr>
          <w:rFonts w:ascii="Book Antiqua" w:hAnsi="Book Antiqua" w:cs="Times New Roman"/>
          <w:sz w:val="24"/>
          <w:szCs w:val="24"/>
        </w:rPr>
        <w:t>ow-dose aspirin</w:t>
      </w:r>
      <w:r w:rsidRPr="002910A5">
        <w:rPr>
          <w:rFonts w:ascii="Book Antiqua" w:hAnsi="Book Antiqua" w:cs="Times New Roman"/>
          <w:kern w:val="24"/>
          <w:sz w:val="24"/>
          <w:szCs w:val="24"/>
        </w:rPr>
        <w:t>.</w:t>
      </w:r>
    </w:p>
    <w:p w14:paraId="57767C1D" w14:textId="77777777" w:rsidR="00D34476" w:rsidRDefault="00D34476">
      <w:pPr>
        <w:widowControl/>
        <w:jc w:val="left"/>
        <w:rPr>
          <w:rFonts w:ascii="Book Antiqua" w:hAnsi="Book Antiqua" w:cs="Times New Roman"/>
          <w:kern w:val="24"/>
          <w:sz w:val="24"/>
          <w:szCs w:val="24"/>
        </w:rPr>
      </w:pPr>
      <w:r>
        <w:rPr>
          <w:rFonts w:ascii="Book Antiqua" w:hAnsi="Book Antiqua" w:cs="Times New Roman"/>
          <w:kern w:val="24"/>
          <w:sz w:val="24"/>
          <w:szCs w:val="24"/>
        </w:rPr>
        <w:br w:type="page"/>
      </w:r>
    </w:p>
    <w:p w14:paraId="78F8DEAD" w14:textId="250F4FD6"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1 Baseline </w:t>
      </w:r>
      <w:r w:rsidRPr="002910A5">
        <w:rPr>
          <w:rFonts w:ascii="Book Antiqua" w:eastAsia="MS PGothic" w:hAnsi="Book Antiqua" w:cs="Times New Roman"/>
          <w:b/>
          <w:kern w:val="0"/>
          <w:sz w:val="24"/>
          <w:szCs w:val="24"/>
        </w:rPr>
        <w:t xml:space="preserve">characteristics and therapeutic outcomes in all patients who underwent gastric </w:t>
      </w:r>
      <w:r w:rsidR="00E54D9A" w:rsidRPr="002910A5">
        <w:rPr>
          <w:rFonts w:ascii="Book Antiqua" w:eastAsia="MS PGothic" w:hAnsi="Book Antiqua" w:cs="Times New Roman"/>
          <w:b/>
          <w:kern w:val="0"/>
          <w:sz w:val="24"/>
          <w:szCs w:val="24"/>
        </w:rPr>
        <w:t>endoscopic submucosal dissection</w:t>
      </w:r>
    </w:p>
    <w:tbl>
      <w:tblPr>
        <w:tblW w:w="7200" w:type="dxa"/>
        <w:tblCellMar>
          <w:left w:w="99" w:type="dxa"/>
          <w:right w:w="99" w:type="dxa"/>
        </w:tblCellMar>
        <w:tblLook w:val="04A0" w:firstRow="1" w:lastRow="0" w:firstColumn="1" w:lastColumn="0" w:noHBand="0" w:noVBand="1"/>
      </w:tblPr>
      <w:tblGrid>
        <w:gridCol w:w="4360"/>
        <w:gridCol w:w="2840"/>
      </w:tblGrid>
      <w:tr w:rsidR="003D229F" w:rsidRPr="002910A5" w14:paraId="7BD75770" w14:textId="77777777" w:rsidTr="00C42C52">
        <w:trPr>
          <w:trHeight w:val="308"/>
        </w:trPr>
        <w:tc>
          <w:tcPr>
            <w:tcW w:w="4360" w:type="dxa"/>
            <w:tcBorders>
              <w:top w:val="single" w:sz="4" w:space="0" w:color="auto"/>
              <w:left w:val="nil"/>
              <w:bottom w:val="single" w:sz="4" w:space="0" w:color="auto"/>
              <w:right w:val="nil"/>
            </w:tcBorders>
            <w:shd w:val="clear" w:color="auto" w:fill="auto"/>
            <w:noWrap/>
            <w:vAlign w:val="center"/>
            <w:hideMark/>
          </w:tcPr>
          <w:p w14:paraId="7E838915" w14:textId="335D582F" w:rsidR="003D229F" w:rsidRPr="002910A5" w:rsidRDefault="003D229F" w:rsidP="002910A5">
            <w:pPr>
              <w:widowControl/>
              <w:adjustRightInd w:val="0"/>
              <w:snapToGrid w:val="0"/>
              <w:spacing w:line="360" w:lineRule="auto"/>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 xml:space="preserve">　</w:t>
            </w:r>
          </w:p>
        </w:tc>
        <w:tc>
          <w:tcPr>
            <w:tcW w:w="2840" w:type="dxa"/>
            <w:tcBorders>
              <w:top w:val="single" w:sz="4" w:space="0" w:color="auto"/>
              <w:left w:val="nil"/>
              <w:bottom w:val="single" w:sz="4" w:space="0" w:color="auto"/>
              <w:right w:val="nil"/>
            </w:tcBorders>
            <w:shd w:val="clear" w:color="auto" w:fill="auto"/>
            <w:vAlign w:val="center"/>
            <w:hideMark/>
          </w:tcPr>
          <w:p w14:paraId="172EDCBF"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All patients (</w:t>
            </w:r>
            <w:r w:rsidRPr="002910A5">
              <w:rPr>
                <w:rFonts w:ascii="Book Antiqua" w:eastAsia="MS PGothic" w:hAnsi="Book Antiqua" w:cs="Times New Roman"/>
                <w:b/>
                <w:i/>
                <w:iCs/>
                <w:kern w:val="0"/>
                <w:sz w:val="24"/>
                <w:szCs w:val="24"/>
              </w:rPr>
              <w:t>n</w:t>
            </w:r>
            <w:r w:rsidRPr="002910A5">
              <w:rPr>
                <w:rFonts w:ascii="Book Antiqua" w:eastAsia="MS PGothic" w:hAnsi="Book Antiqua" w:cs="Times New Roman"/>
                <w:b/>
                <w:kern w:val="0"/>
                <w:sz w:val="24"/>
                <w:szCs w:val="24"/>
              </w:rPr>
              <w:t xml:space="preserve"> = 597)</w:t>
            </w:r>
          </w:p>
        </w:tc>
      </w:tr>
      <w:tr w:rsidR="003D229F" w:rsidRPr="002910A5" w14:paraId="5071A02A" w14:textId="77777777" w:rsidTr="00C42C52">
        <w:trPr>
          <w:trHeight w:val="308"/>
        </w:trPr>
        <w:tc>
          <w:tcPr>
            <w:tcW w:w="4360" w:type="dxa"/>
            <w:tcBorders>
              <w:top w:val="nil"/>
              <w:left w:val="nil"/>
              <w:bottom w:val="nil"/>
              <w:right w:val="nil"/>
            </w:tcBorders>
            <w:shd w:val="clear" w:color="auto" w:fill="auto"/>
            <w:noWrap/>
            <w:vAlign w:val="center"/>
            <w:hideMark/>
          </w:tcPr>
          <w:p w14:paraId="0F424B8B" w14:textId="33F9E28F"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5A7FB6">
              <w:rPr>
                <w:rFonts w:ascii="Book Antiqua" w:eastAsia="MS PGothic" w:hAnsi="Book Antiqua" w:cs="Times New Roman"/>
                <w:kern w:val="0"/>
                <w:sz w:val="24"/>
                <w:szCs w:val="24"/>
              </w:rPr>
              <w:t>r</w:t>
            </w:r>
            <w:proofErr w:type="spellEnd"/>
          </w:p>
        </w:tc>
        <w:tc>
          <w:tcPr>
            <w:tcW w:w="2840" w:type="dxa"/>
            <w:tcBorders>
              <w:top w:val="nil"/>
              <w:left w:val="nil"/>
              <w:bottom w:val="nil"/>
              <w:right w:val="nil"/>
            </w:tcBorders>
            <w:shd w:val="clear" w:color="auto" w:fill="auto"/>
            <w:noWrap/>
            <w:vAlign w:val="center"/>
            <w:hideMark/>
          </w:tcPr>
          <w:p w14:paraId="7D58BDAD"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72.3 (8.815)</w:t>
            </w:r>
          </w:p>
        </w:tc>
      </w:tr>
      <w:tr w:rsidR="003D229F" w:rsidRPr="002910A5" w14:paraId="08217103" w14:textId="77777777" w:rsidTr="00C42C52">
        <w:trPr>
          <w:trHeight w:val="308"/>
        </w:trPr>
        <w:tc>
          <w:tcPr>
            <w:tcW w:w="4360" w:type="dxa"/>
            <w:tcBorders>
              <w:top w:val="nil"/>
              <w:left w:val="nil"/>
              <w:bottom w:val="nil"/>
              <w:right w:val="nil"/>
            </w:tcBorders>
            <w:shd w:val="clear" w:color="auto" w:fill="auto"/>
            <w:noWrap/>
            <w:vAlign w:val="center"/>
            <w:hideMark/>
          </w:tcPr>
          <w:p w14:paraId="321A5116"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36A58D10"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414 (69.1)</w:t>
            </w:r>
          </w:p>
        </w:tc>
      </w:tr>
      <w:tr w:rsidR="003D229F" w:rsidRPr="002910A5" w14:paraId="1A541A2F" w14:textId="77777777" w:rsidTr="00C42C52">
        <w:trPr>
          <w:trHeight w:val="308"/>
        </w:trPr>
        <w:tc>
          <w:tcPr>
            <w:tcW w:w="4360" w:type="dxa"/>
            <w:tcBorders>
              <w:top w:val="nil"/>
              <w:left w:val="nil"/>
              <w:bottom w:val="nil"/>
              <w:right w:val="nil"/>
            </w:tcBorders>
            <w:shd w:val="clear" w:color="auto" w:fill="auto"/>
            <w:noWrap/>
            <w:vAlign w:val="center"/>
            <w:hideMark/>
          </w:tcPr>
          <w:p w14:paraId="05F93D89" w14:textId="14755AE6"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5A7FB6">
              <w:rPr>
                <w:rFonts w:ascii="Book Antiqua" w:eastAsia="MS PGothic" w:hAnsi="Book Antiqua" w:cs="Times New Roman"/>
                <w:kern w:val="0"/>
                <w:sz w:val="24"/>
                <w:szCs w:val="24"/>
              </w:rPr>
              <w:t>r</w:t>
            </w:r>
            <w:proofErr w:type="spellEnd"/>
          </w:p>
        </w:tc>
        <w:tc>
          <w:tcPr>
            <w:tcW w:w="2840" w:type="dxa"/>
            <w:tcBorders>
              <w:top w:val="nil"/>
              <w:left w:val="nil"/>
              <w:bottom w:val="nil"/>
              <w:right w:val="nil"/>
            </w:tcBorders>
            <w:shd w:val="clear" w:color="auto" w:fill="auto"/>
            <w:noWrap/>
            <w:vAlign w:val="center"/>
            <w:hideMark/>
          </w:tcPr>
          <w:p w14:paraId="45BA6226"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22.6 (3.424)</w:t>
            </w:r>
          </w:p>
        </w:tc>
      </w:tr>
      <w:tr w:rsidR="003D229F" w:rsidRPr="002910A5" w14:paraId="619DF0CC" w14:textId="77777777" w:rsidTr="00C42C52">
        <w:trPr>
          <w:trHeight w:val="308"/>
        </w:trPr>
        <w:tc>
          <w:tcPr>
            <w:tcW w:w="4360" w:type="dxa"/>
            <w:tcBorders>
              <w:top w:val="nil"/>
              <w:left w:val="nil"/>
              <w:bottom w:val="nil"/>
              <w:right w:val="nil"/>
            </w:tcBorders>
            <w:shd w:val="clear" w:color="auto" w:fill="auto"/>
            <w:vAlign w:val="center"/>
            <w:hideMark/>
          </w:tcPr>
          <w:p w14:paraId="277D3067"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Comorbidity, </w:t>
            </w:r>
            <w:r w:rsidRPr="002910A5">
              <w:rPr>
                <w:rFonts w:ascii="Book Antiqua" w:eastAsia="MS PGothic" w:hAnsi="Book Antiqua" w:cs="Times New Roman"/>
                <w:i/>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08B6A328"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379 (63.5)</w:t>
            </w:r>
          </w:p>
        </w:tc>
      </w:tr>
      <w:tr w:rsidR="003D229F" w:rsidRPr="002910A5" w14:paraId="17F2EDBB" w14:textId="77777777" w:rsidTr="00C42C52">
        <w:trPr>
          <w:trHeight w:val="308"/>
        </w:trPr>
        <w:tc>
          <w:tcPr>
            <w:tcW w:w="4360" w:type="dxa"/>
            <w:tcBorders>
              <w:top w:val="nil"/>
              <w:left w:val="nil"/>
              <w:bottom w:val="nil"/>
              <w:right w:val="nil"/>
            </w:tcBorders>
            <w:shd w:val="clear" w:color="auto" w:fill="auto"/>
            <w:vAlign w:val="center"/>
            <w:hideMark/>
          </w:tcPr>
          <w:p w14:paraId="032BB5F4" w14:textId="55986889"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Hypertension</w:t>
            </w:r>
          </w:p>
        </w:tc>
        <w:tc>
          <w:tcPr>
            <w:tcW w:w="2840" w:type="dxa"/>
            <w:tcBorders>
              <w:top w:val="nil"/>
              <w:left w:val="nil"/>
              <w:bottom w:val="nil"/>
              <w:right w:val="nil"/>
            </w:tcBorders>
            <w:shd w:val="clear" w:color="auto" w:fill="auto"/>
            <w:vAlign w:val="center"/>
            <w:hideMark/>
          </w:tcPr>
          <w:p w14:paraId="3EEFFE13"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307 (51.4)</w:t>
            </w:r>
          </w:p>
        </w:tc>
      </w:tr>
      <w:tr w:rsidR="003D229F" w:rsidRPr="002910A5" w14:paraId="667975F0" w14:textId="77777777" w:rsidTr="00C42C52">
        <w:trPr>
          <w:trHeight w:val="308"/>
        </w:trPr>
        <w:tc>
          <w:tcPr>
            <w:tcW w:w="4360" w:type="dxa"/>
            <w:tcBorders>
              <w:top w:val="nil"/>
              <w:left w:val="nil"/>
              <w:bottom w:val="nil"/>
              <w:right w:val="nil"/>
            </w:tcBorders>
            <w:shd w:val="clear" w:color="auto" w:fill="auto"/>
            <w:vAlign w:val="center"/>
            <w:hideMark/>
          </w:tcPr>
          <w:p w14:paraId="5D96ECB5" w14:textId="3AF6E489"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Diabetes mellitus</w:t>
            </w:r>
          </w:p>
        </w:tc>
        <w:tc>
          <w:tcPr>
            <w:tcW w:w="2840" w:type="dxa"/>
            <w:tcBorders>
              <w:top w:val="nil"/>
              <w:left w:val="nil"/>
              <w:bottom w:val="nil"/>
              <w:right w:val="nil"/>
            </w:tcBorders>
            <w:shd w:val="clear" w:color="auto" w:fill="auto"/>
            <w:vAlign w:val="center"/>
            <w:hideMark/>
          </w:tcPr>
          <w:p w14:paraId="0203CA6D"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114 (19.1)</w:t>
            </w:r>
          </w:p>
        </w:tc>
      </w:tr>
      <w:tr w:rsidR="003D229F" w:rsidRPr="002910A5" w14:paraId="388810AC" w14:textId="77777777" w:rsidTr="00C42C52">
        <w:trPr>
          <w:trHeight w:val="308"/>
        </w:trPr>
        <w:tc>
          <w:tcPr>
            <w:tcW w:w="4360" w:type="dxa"/>
            <w:tcBorders>
              <w:top w:val="nil"/>
              <w:left w:val="nil"/>
              <w:bottom w:val="nil"/>
              <w:right w:val="nil"/>
            </w:tcBorders>
            <w:shd w:val="clear" w:color="auto" w:fill="auto"/>
            <w:vAlign w:val="center"/>
            <w:hideMark/>
          </w:tcPr>
          <w:p w14:paraId="5CAE56D3" w14:textId="1886F6F8"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Renal failure</w:t>
            </w:r>
          </w:p>
        </w:tc>
        <w:tc>
          <w:tcPr>
            <w:tcW w:w="2840" w:type="dxa"/>
            <w:tcBorders>
              <w:top w:val="nil"/>
              <w:left w:val="nil"/>
              <w:bottom w:val="nil"/>
              <w:right w:val="nil"/>
            </w:tcBorders>
            <w:shd w:val="clear" w:color="auto" w:fill="auto"/>
            <w:vAlign w:val="center"/>
            <w:hideMark/>
          </w:tcPr>
          <w:p w14:paraId="2745B6F1"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17 (2.8)</w:t>
            </w:r>
          </w:p>
        </w:tc>
      </w:tr>
      <w:tr w:rsidR="003D229F" w:rsidRPr="002910A5" w14:paraId="433009C7" w14:textId="77777777" w:rsidTr="00C42C52">
        <w:trPr>
          <w:trHeight w:val="308"/>
        </w:trPr>
        <w:tc>
          <w:tcPr>
            <w:tcW w:w="4360" w:type="dxa"/>
            <w:tcBorders>
              <w:top w:val="nil"/>
              <w:left w:val="nil"/>
              <w:bottom w:val="nil"/>
              <w:right w:val="nil"/>
            </w:tcBorders>
            <w:shd w:val="clear" w:color="auto" w:fill="auto"/>
            <w:vAlign w:val="center"/>
            <w:hideMark/>
          </w:tcPr>
          <w:p w14:paraId="56F45725" w14:textId="529D61F8"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Coronary artery diseases</w:t>
            </w:r>
          </w:p>
        </w:tc>
        <w:tc>
          <w:tcPr>
            <w:tcW w:w="2840" w:type="dxa"/>
            <w:tcBorders>
              <w:top w:val="nil"/>
              <w:left w:val="nil"/>
              <w:bottom w:val="nil"/>
              <w:right w:val="nil"/>
            </w:tcBorders>
            <w:shd w:val="clear" w:color="auto" w:fill="auto"/>
            <w:vAlign w:val="center"/>
            <w:hideMark/>
          </w:tcPr>
          <w:p w14:paraId="76C01D46"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142 (23.8)</w:t>
            </w:r>
          </w:p>
        </w:tc>
      </w:tr>
      <w:tr w:rsidR="003D229F" w:rsidRPr="002910A5" w14:paraId="339D7F2C" w14:textId="77777777" w:rsidTr="00C42C52">
        <w:trPr>
          <w:trHeight w:val="1230"/>
        </w:trPr>
        <w:tc>
          <w:tcPr>
            <w:tcW w:w="4360" w:type="dxa"/>
            <w:tcBorders>
              <w:top w:val="nil"/>
              <w:left w:val="nil"/>
              <w:bottom w:val="nil"/>
              <w:right w:val="nil"/>
            </w:tcBorders>
            <w:shd w:val="clear" w:color="auto" w:fill="auto"/>
            <w:vAlign w:val="center"/>
            <w:hideMark/>
          </w:tcPr>
          <w:p w14:paraId="24F4012B" w14:textId="665164F1"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5A7FB6">
              <w:rPr>
                <w:rFonts w:ascii="Book Antiqua" w:eastAsia="MS PGothic" w:hAnsi="Book Antiqua" w:cs="Times New Roman"/>
                <w:kern w:val="0"/>
                <w:sz w:val="24"/>
                <w:szCs w:val="24"/>
              </w:rPr>
              <w:t xml:space="preserve"> (%)</w:t>
            </w:r>
            <w:r w:rsidR="005A7FB6">
              <w:rPr>
                <w:rFonts w:ascii="Book Antiqua" w:eastAsia="MS PGothic" w:hAnsi="Book Antiqua" w:cs="Times New Roman"/>
                <w:kern w:val="0"/>
                <w:sz w:val="24"/>
                <w:szCs w:val="24"/>
              </w:rPr>
              <w:br/>
              <w:t xml:space="preserve"> Upper</w:t>
            </w:r>
            <w:r w:rsidR="005A7FB6">
              <w:rPr>
                <w:rFonts w:ascii="Book Antiqua" w:eastAsia="MS PGothic" w:hAnsi="Book Antiqua" w:cs="Times New Roman"/>
                <w:kern w:val="0"/>
                <w:sz w:val="24"/>
                <w:szCs w:val="24"/>
              </w:rPr>
              <w:br/>
              <w:t xml:space="preserve"> Middle</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2840" w:type="dxa"/>
            <w:tcBorders>
              <w:top w:val="nil"/>
              <w:left w:val="nil"/>
              <w:bottom w:val="nil"/>
              <w:right w:val="nil"/>
            </w:tcBorders>
            <w:shd w:val="clear" w:color="auto" w:fill="auto"/>
            <w:vAlign w:val="center"/>
            <w:hideMark/>
          </w:tcPr>
          <w:p w14:paraId="3FDD9B59"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90 (15.1)</w:t>
            </w:r>
            <w:r w:rsidRPr="002910A5">
              <w:rPr>
                <w:rFonts w:ascii="Book Antiqua" w:eastAsia="MS PGothic" w:hAnsi="Book Antiqua" w:cs="Times New Roman"/>
                <w:kern w:val="0"/>
                <w:sz w:val="24"/>
                <w:szCs w:val="24"/>
              </w:rPr>
              <w:br/>
              <w:t>250 (41.9)</w:t>
            </w:r>
            <w:r w:rsidRPr="002910A5">
              <w:rPr>
                <w:rFonts w:ascii="Book Antiqua" w:eastAsia="MS PGothic" w:hAnsi="Book Antiqua" w:cs="Times New Roman"/>
                <w:kern w:val="0"/>
                <w:sz w:val="24"/>
                <w:szCs w:val="24"/>
              </w:rPr>
              <w:br/>
              <w:t>257 (43.0)</w:t>
            </w:r>
          </w:p>
        </w:tc>
      </w:tr>
      <w:tr w:rsidR="003D229F" w:rsidRPr="002910A5" w14:paraId="44DF1776" w14:textId="77777777" w:rsidTr="00C42C52">
        <w:trPr>
          <w:trHeight w:val="923"/>
        </w:trPr>
        <w:tc>
          <w:tcPr>
            <w:tcW w:w="4360" w:type="dxa"/>
            <w:tcBorders>
              <w:top w:val="nil"/>
              <w:left w:val="nil"/>
              <w:bottom w:val="nil"/>
              <w:right w:val="nil"/>
            </w:tcBorders>
            <w:shd w:val="clear" w:color="auto" w:fill="auto"/>
            <w:vAlign w:val="center"/>
            <w:hideMark/>
          </w:tcPr>
          <w:p w14:paraId="3C248CA8" w14:textId="026F5CAB"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Macroscopic findings, </w:t>
            </w:r>
            <w:r w:rsidRPr="002910A5">
              <w:rPr>
                <w:rFonts w:ascii="Book Antiqua" w:eastAsia="MS PGothic" w:hAnsi="Book Antiqua" w:cs="Times New Roman"/>
                <w:i/>
                <w:iCs/>
                <w:kern w:val="0"/>
                <w:sz w:val="24"/>
                <w:szCs w:val="24"/>
              </w:rPr>
              <w:t>n</w:t>
            </w:r>
            <w:r w:rsidR="005A7FB6">
              <w:rPr>
                <w:rFonts w:ascii="Book Antiqua" w:eastAsia="MS PGothic" w:hAnsi="Book Antiqua" w:cs="Times New Roman"/>
                <w:kern w:val="0"/>
                <w:sz w:val="24"/>
                <w:szCs w:val="24"/>
              </w:rPr>
              <w:t xml:space="preserve"> (%)</w:t>
            </w:r>
            <w:r w:rsidR="005A7FB6">
              <w:rPr>
                <w:rFonts w:ascii="Book Antiqua" w:eastAsia="MS PGothic" w:hAnsi="Book Antiqua" w:cs="Times New Roman"/>
                <w:kern w:val="0"/>
                <w:sz w:val="24"/>
                <w:szCs w:val="24"/>
              </w:rPr>
              <w:br/>
              <w:t xml:space="preserve"> Depressed</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Non-depressed</w:t>
            </w:r>
          </w:p>
        </w:tc>
        <w:tc>
          <w:tcPr>
            <w:tcW w:w="2840" w:type="dxa"/>
            <w:tcBorders>
              <w:top w:val="nil"/>
              <w:left w:val="nil"/>
              <w:bottom w:val="nil"/>
              <w:right w:val="nil"/>
            </w:tcBorders>
            <w:shd w:val="clear" w:color="auto" w:fill="auto"/>
            <w:vAlign w:val="center"/>
            <w:hideMark/>
          </w:tcPr>
          <w:p w14:paraId="6134E26B"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275 (46.1)</w:t>
            </w:r>
            <w:r w:rsidRPr="002910A5">
              <w:rPr>
                <w:rFonts w:ascii="Book Antiqua" w:eastAsia="MS PGothic" w:hAnsi="Book Antiqua" w:cs="Times New Roman"/>
                <w:kern w:val="0"/>
                <w:sz w:val="24"/>
                <w:szCs w:val="24"/>
              </w:rPr>
              <w:br/>
              <w:t>322 (53.9)</w:t>
            </w:r>
          </w:p>
        </w:tc>
      </w:tr>
      <w:tr w:rsidR="003D229F" w:rsidRPr="002910A5" w14:paraId="4F64338B" w14:textId="77777777" w:rsidTr="00C42C52">
        <w:trPr>
          <w:trHeight w:val="923"/>
        </w:trPr>
        <w:tc>
          <w:tcPr>
            <w:tcW w:w="4360" w:type="dxa"/>
            <w:tcBorders>
              <w:top w:val="nil"/>
              <w:left w:val="nil"/>
              <w:bottom w:val="nil"/>
              <w:right w:val="nil"/>
            </w:tcBorders>
            <w:shd w:val="clear" w:color="auto" w:fill="auto"/>
            <w:vAlign w:val="center"/>
            <w:hideMark/>
          </w:tcPr>
          <w:p w14:paraId="3D93D59F" w14:textId="6EC159F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Pathological findings,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r w:rsidR="00FA2B3E" w:rsidRPr="002910A5">
              <w:rPr>
                <w:rFonts w:ascii="Book Antiqua" w:hAnsi="Book Antiqua" w:cs="Times New Roman"/>
                <w:sz w:val="24"/>
                <w:szCs w:val="24"/>
                <w:vertAlign w:val="superscript"/>
              </w:rPr>
              <w:t>1</w:t>
            </w:r>
            <w:r w:rsidR="005A7FB6">
              <w:rPr>
                <w:rFonts w:ascii="Book Antiqua" w:eastAsia="MS PGothic" w:hAnsi="Book Antiqua" w:cs="Times New Roman"/>
                <w:kern w:val="0"/>
                <w:sz w:val="24"/>
                <w:szCs w:val="24"/>
              </w:rPr>
              <w:br/>
              <w:t xml:space="preserve"> Differentiated</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Undifferentiated</w:t>
            </w:r>
          </w:p>
        </w:tc>
        <w:tc>
          <w:tcPr>
            <w:tcW w:w="2840" w:type="dxa"/>
            <w:tcBorders>
              <w:top w:val="nil"/>
              <w:left w:val="nil"/>
              <w:bottom w:val="nil"/>
              <w:right w:val="nil"/>
            </w:tcBorders>
            <w:shd w:val="clear" w:color="auto" w:fill="auto"/>
            <w:vAlign w:val="center"/>
            <w:hideMark/>
          </w:tcPr>
          <w:p w14:paraId="6B7700BD"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578 (96.8)</w:t>
            </w:r>
            <w:r w:rsidRPr="002910A5">
              <w:rPr>
                <w:rFonts w:ascii="Book Antiqua" w:eastAsia="MS PGothic" w:hAnsi="Book Antiqua" w:cs="Times New Roman"/>
                <w:kern w:val="0"/>
                <w:sz w:val="24"/>
                <w:szCs w:val="24"/>
              </w:rPr>
              <w:br/>
              <w:t>19 (3.2)</w:t>
            </w:r>
          </w:p>
        </w:tc>
      </w:tr>
      <w:tr w:rsidR="003D229F" w:rsidRPr="002910A5" w14:paraId="77B1F70C" w14:textId="77777777" w:rsidTr="00C42C52">
        <w:trPr>
          <w:trHeight w:val="923"/>
        </w:trPr>
        <w:tc>
          <w:tcPr>
            <w:tcW w:w="4360" w:type="dxa"/>
            <w:tcBorders>
              <w:top w:val="nil"/>
              <w:left w:val="nil"/>
              <w:bottom w:val="nil"/>
              <w:right w:val="nil"/>
            </w:tcBorders>
            <w:shd w:val="clear" w:color="auto" w:fill="auto"/>
            <w:vAlign w:val="center"/>
            <w:hideMark/>
          </w:tcPr>
          <w:p w14:paraId="521A3017" w14:textId="662B6B62"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Depth of invasion, </w:t>
            </w:r>
            <w:r w:rsidRPr="002910A5">
              <w:rPr>
                <w:rFonts w:ascii="Book Antiqua" w:eastAsia="MS PGothic" w:hAnsi="Book Antiqua" w:cs="Times New Roman"/>
                <w:i/>
                <w:iCs/>
                <w:kern w:val="0"/>
                <w:sz w:val="24"/>
                <w:szCs w:val="24"/>
              </w:rPr>
              <w:t>n</w:t>
            </w:r>
            <w:r w:rsidR="005A7FB6">
              <w:rPr>
                <w:rFonts w:ascii="Book Antiqua" w:eastAsia="MS PGothic" w:hAnsi="Book Antiqua" w:cs="Times New Roman"/>
                <w:kern w:val="0"/>
                <w:sz w:val="24"/>
                <w:szCs w:val="24"/>
              </w:rPr>
              <w:t xml:space="preserve"> (%)</w:t>
            </w:r>
            <w:r w:rsidR="005A7FB6">
              <w:rPr>
                <w:rFonts w:ascii="Book Antiqua" w:eastAsia="MS PGothic" w:hAnsi="Book Antiqua" w:cs="Times New Roman"/>
                <w:kern w:val="0"/>
                <w:sz w:val="24"/>
                <w:szCs w:val="24"/>
              </w:rPr>
              <w:br/>
              <w:t xml:space="preserve"> Mucosa</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Submucosa</w:t>
            </w:r>
          </w:p>
        </w:tc>
        <w:tc>
          <w:tcPr>
            <w:tcW w:w="2840" w:type="dxa"/>
            <w:tcBorders>
              <w:top w:val="nil"/>
              <w:left w:val="nil"/>
              <w:bottom w:val="nil"/>
              <w:right w:val="nil"/>
            </w:tcBorders>
            <w:shd w:val="clear" w:color="auto" w:fill="auto"/>
            <w:vAlign w:val="center"/>
            <w:hideMark/>
          </w:tcPr>
          <w:p w14:paraId="51B3BEF7"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530 (88.8)</w:t>
            </w:r>
            <w:r w:rsidRPr="002910A5">
              <w:rPr>
                <w:rFonts w:ascii="Book Antiqua" w:eastAsia="MS PGothic" w:hAnsi="Book Antiqua" w:cs="Times New Roman"/>
                <w:kern w:val="0"/>
                <w:sz w:val="24"/>
                <w:szCs w:val="24"/>
              </w:rPr>
              <w:br/>
              <w:t>67 (11.2)</w:t>
            </w:r>
          </w:p>
        </w:tc>
      </w:tr>
      <w:tr w:rsidR="003D229F" w:rsidRPr="002910A5" w14:paraId="694DF1E9" w14:textId="77777777" w:rsidTr="00C42C52">
        <w:trPr>
          <w:trHeight w:val="308"/>
        </w:trPr>
        <w:tc>
          <w:tcPr>
            <w:tcW w:w="4360" w:type="dxa"/>
            <w:tcBorders>
              <w:top w:val="nil"/>
              <w:left w:val="nil"/>
              <w:bottom w:val="nil"/>
              <w:right w:val="nil"/>
            </w:tcBorders>
            <w:shd w:val="clear" w:color="auto" w:fill="auto"/>
            <w:vAlign w:val="center"/>
            <w:hideMark/>
          </w:tcPr>
          <w:p w14:paraId="015F8817"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LDA intake,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48F4903B"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154 (25.8)</w:t>
            </w:r>
          </w:p>
        </w:tc>
      </w:tr>
      <w:tr w:rsidR="003D229F" w:rsidRPr="002910A5" w14:paraId="6E5D01BE" w14:textId="77777777" w:rsidTr="00C42C52">
        <w:trPr>
          <w:trHeight w:val="308"/>
        </w:trPr>
        <w:tc>
          <w:tcPr>
            <w:tcW w:w="4360" w:type="dxa"/>
            <w:tcBorders>
              <w:top w:val="nil"/>
              <w:left w:val="nil"/>
              <w:bottom w:val="nil"/>
              <w:right w:val="nil"/>
            </w:tcBorders>
            <w:shd w:val="clear" w:color="auto" w:fill="auto"/>
            <w:vAlign w:val="center"/>
            <w:hideMark/>
          </w:tcPr>
          <w:p w14:paraId="6E467213" w14:textId="297E5B34"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Continuous LDA</w:t>
            </w:r>
          </w:p>
        </w:tc>
        <w:tc>
          <w:tcPr>
            <w:tcW w:w="2840" w:type="dxa"/>
            <w:tcBorders>
              <w:top w:val="nil"/>
              <w:left w:val="nil"/>
              <w:bottom w:val="nil"/>
              <w:right w:val="nil"/>
            </w:tcBorders>
            <w:shd w:val="clear" w:color="auto" w:fill="auto"/>
            <w:vAlign w:val="center"/>
            <w:hideMark/>
          </w:tcPr>
          <w:p w14:paraId="1F933B77"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95 (16.4)</w:t>
            </w:r>
          </w:p>
        </w:tc>
      </w:tr>
      <w:tr w:rsidR="003D229F" w:rsidRPr="002910A5" w14:paraId="7FA4754E" w14:textId="77777777" w:rsidTr="00C42C52">
        <w:trPr>
          <w:trHeight w:val="308"/>
        </w:trPr>
        <w:tc>
          <w:tcPr>
            <w:tcW w:w="4360" w:type="dxa"/>
            <w:tcBorders>
              <w:top w:val="nil"/>
              <w:left w:val="nil"/>
              <w:bottom w:val="nil"/>
              <w:right w:val="nil"/>
            </w:tcBorders>
            <w:shd w:val="clear" w:color="auto" w:fill="auto"/>
            <w:vAlign w:val="center"/>
            <w:hideMark/>
          </w:tcPr>
          <w:p w14:paraId="0118DB1A" w14:textId="3FA7D52E"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Continuous single-LDA</w:t>
            </w:r>
          </w:p>
        </w:tc>
        <w:tc>
          <w:tcPr>
            <w:tcW w:w="2840" w:type="dxa"/>
            <w:tcBorders>
              <w:top w:val="nil"/>
              <w:left w:val="nil"/>
              <w:bottom w:val="nil"/>
              <w:right w:val="nil"/>
            </w:tcBorders>
            <w:shd w:val="clear" w:color="auto" w:fill="auto"/>
            <w:vAlign w:val="center"/>
            <w:hideMark/>
          </w:tcPr>
          <w:p w14:paraId="319A1856"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56 (9.3)</w:t>
            </w:r>
          </w:p>
        </w:tc>
      </w:tr>
      <w:tr w:rsidR="003D229F" w:rsidRPr="002910A5" w14:paraId="754CABA3" w14:textId="77777777" w:rsidTr="00C42C52">
        <w:trPr>
          <w:trHeight w:val="308"/>
        </w:trPr>
        <w:tc>
          <w:tcPr>
            <w:tcW w:w="4360" w:type="dxa"/>
            <w:tcBorders>
              <w:top w:val="nil"/>
              <w:left w:val="nil"/>
              <w:bottom w:val="nil"/>
              <w:right w:val="nil"/>
            </w:tcBorders>
            <w:shd w:val="clear" w:color="auto" w:fill="auto"/>
            <w:vAlign w:val="center"/>
            <w:hideMark/>
          </w:tcPr>
          <w:p w14:paraId="6335236A"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DAPT (LDA with clopidogrel),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089C754C"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59 (9.9)</w:t>
            </w:r>
          </w:p>
        </w:tc>
      </w:tr>
      <w:tr w:rsidR="003D229F" w:rsidRPr="002910A5" w14:paraId="367008D3" w14:textId="77777777" w:rsidTr="00C42C52">
        <w:trPr>
          <w:trHeight w:val="308"/>
        </w:trPr>
        <w:tc>
          <w:tcPr>
            <w:tcW w:w="4360" w:type="dxa"/>
            <w:tcBorders>
              <w:top w:val="nil"/>
              <w:left w:val="nil"/>
              <w:bottom w:val="nil"/>
              <w:right w:val="nil"/>
            </w:tcBorders>
            <w:shd w:val="clear" w:color="auto" w:fill="auto"/>
            <w:vAlign w:val="center"/>
            <w:hideMark/>
          </w:tcPr>
          <w:p w14:paraId="196193EA"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Continuous LDA on DAPT,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4F7429AF"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39 (6.5)</w:t>
            </w:r>
          </w:p>
        </w:tc>
      </w:tr>
      <w:tr w:rsidR="003D229F" w:rsidRPr="002910A5" w14:paraId="6A168214" w14:textId="77777777" w:rsidTr="00C42C52">
        <w:trPr>
          <w:trHeight w:val="308"/>
        </w:trPr>
        <w:tc>
          <w:tcPr>
            <w:tcW w:w="4360" w:type="dxa"/>
            <w:tcBorders>
              <w:top w:val="nil"/>
              <w:left w:val="nil"/>
              <w:bottom w:val="nil"/>
              <w:right w:val="nil"/>
            </w:tcBorders>
            <w:shd w:val="clear" w:color="auto" w:fill="auto"/>
            <w:noWrap/>
            <w:vAlign w:val="center"/>
            <w:hideMark/>
          </w:tcPr>
          <w:p w14:paraId="030F4FDD"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lastRenderedPageBreak/>
              <w:t>Specimen size, median (IQR), mm</w:t>
            </w:r>
          </w:p>
        </w:tc>
        <w:tc>
          <w:tcPr>
            <w:tcW w:w="2840" w:type="dxa"/>
            <w:tcBorders>
              <w:top w:val="nil"/>
              <w:left w:val="nil"/>
              <w:bottom w:val="nil"/>
              <w:right w:val="nil"/>
            </w:tcBorders>
            <w:shd w:val="clear" w:color="auto" w:fill="auto"/>
            <w:noWrap/>
            <w:vAlign w:val="center"/>
            <w:hideMark/>
          </w:tcPr>
          <w:p w14:paraId="7D777027" w14:textId="36A668B0"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32.9 (24</w:t>
            </w:r>
            <w:r w:rsidR="00A46860">
              <w:rPr>
                <w:rFonts w:ascii="Book Antiqua" w:eastAsia="Meiryo UI" w:hAnsi="Book Antiqua" w:cs="Times New Roman"/>
                <w:sz w:val="24"/>
                <w:szCs w:val="24"/>
              </w:rPr>
              <w:t>-</w:t>
            </w:r>
            <w:r w:rsidRPr="002910A5">
              <w:rPr>
                <w:rFonts w:ascii="Book Antiqua" w:eastAsia="MS PGothic" w:hAnsi="Book Antiqua" w:cs="Times New Roman"/>
                <w:kern w:val="0"/>
                <w:sz w:val="24"/>
                <w:szCs w:val="24"/>
              </w:rPr>
              <w:t>40)</w:t>
            </w:r>
          </w:p>
        </w:tc>
      </w:tr>
      <w:tr w:rsidR="003D229F" w:rsidRPr="002910A5" w14:paraId="06DBC8DC" w14:textId="77777777" w:rsidTr="00C42C52">
        <w:trPr>
          <w:trHeight w:val="308"/>
        </w:trPr>
        <w:tc>
          <w:tcPr>
            <w:tcW w:w="4360" w:type="dxa"/>
            <w:tcBorders>
              <w:top w:val="nil"/>
              <w:left w:val="nil"/>
              <w:bottom w:val="nil"/>
              <w:right w:val="nil"/>
            </w:tcBorders>
            <w:shd w:val="clear" w:color="auto" w:fill="auto"/>
            <w:noWrap/>
            <w:vAlign w:val="center"/>
            <w:hideMark/>
          </w:tcPr>
          <w:p w14:paraId="7C89180C"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Complete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326C7BF2"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557 (93.3)</w:t>
            </w:r>
          </w:p>
        </w:tc>
      </w:tr>
      <w:tr w:rsidR="003D229F" w:rsidRPr="002910A5" w14:paraId="5401B8D3" w14:textId="77777777" w:rsidTr="00C42C52">
        <w:trPr>
          <w:trHeight w:val="308"/>
        </w:trPr>
        <w:tc>
          <w:tcPr>
            <w:tcW w:w="4360" w:type="dxa"/>
            <w:tcBorders>
              <w:top w:val="nil"/>
              <w:left w:val="nil"/>
              <w:bottom w:val="nil"/>
              <w:right w:val="nil"/>
            </w:tcBorders>
            <w:shd w:val="clear" w:color="auto" w:fill="auto"/>
            <w:noWrap/>
            <w:vAlign w:val="center"/>
            <w:hideMark/>
          </w:tcPr>
          <w:p w14:paraId="38B56083"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Curative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21444B19"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524 (87.8)</w:t>
            </w:r>
          </w:p>
        </w:tc>
      </w:tr>
      <w:tr w:rsidR="003D229F" w:rsidRPr="002910A5" w14:paraId="19B4CF10" w14:textId="77777777" w:rsidTr="00C42C52">
        <w:trPr>
          <w:trHeight w:val="308"/>
        </w:trPr>
        <w:tc>
          <w:tcPr>
            <w:tcW w:w="4360" w:type="dxa"/>
            <w:tcBorders>
              <w:top w:val="nil"/>
              <w:left w:val="nil"/>
              <w:bottom w:val="nil"/>
              <w:right w:val="nil"/>
            </w:tcBorders>
            <w:shd w:val="clear" w:color="auto" w:fill="auto"/>
            <w:noWrap/>
            <w:vAlign w:val="center"/>
            <w:hideMark/>
          </w:tcPr>
          <w:p w14:paraId="611C6013"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Postoperative bleeding,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189EA88C"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 (6.9)</w:t>
            </w:r>
          </w:p>
        </w:tc>
      </w:tr>
      <w:tr w:rsidR="003D229F" w:rsidRPr="002910A5" w14:paraId="16695E32" w14:textId="77777777" w:rsidTr="00C42C52">
        <w:trPr>
          <w:trHeight w:val="308"/>
        </w:trPr>
        <w:tc>
          <w:tcPr>
            <w:tcW w:w="4360" w:type="dxa"/>
            <w:tcBorders>
              <w:top w:val="nil"/>
              <w:left w:val="nil"/>
              <w:bottom w:val="single" w:sz="4" w:space="0" w:color="auto"/>
              <w:right w:val="nil"/>
            </w:tcBorders>
            <w:shd w:val="clear" w:color="auto" w:fill="auto"/>
            <w:noWrap/>
            <w:vAlign w:val="center"/>
          </w:tcPr>
          <w:p w14:paraId="4878683C" w14:textId="2F60A0B0"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Delayed bleeding</w:t>
            </w:r>
          </w:p>
        </w:tc>
        <w:tc>
          <w:tcPr>
            <w:tcW w:w="2840" w:type="dxa"/>
            <w:tcBorders>
              <w:top w:val="nil"/>
              <w:left w:val="nil"/>
              <w:bottom w:val="single" w:sz="4" w:space="0" w:color="auto"/>
              <w:right w:val="nil"/>
            </w:tcBorders>
            <w:shd w:val="clear" w:color="auto" w:fill="auto"/>
            <w:noWrap/>
            <w:vAlign w:val="center"/>
          </w:tcPr>
          <w:p w14:paraId="4E43B451"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16 (2.7)</w:t>
            </w:r>
          </w:p>
        </w:tc>
      </w:tr>
    </w:tbl>
    <w:p w14:paraId="634F64AD" w14:textId="0EA988BC" w:rsidR="003D229F" w:rsidRPr="002910A5" w:rsidRDefault="009901B3" w:rsidP="002910A5">
      <w:pPr>
        <w:adjustRightInd w:val="0"/>
        <w:snapToGrid w:val="0"/>
        <w:spacing w:line="360" w:lineRule="auto"/>
        <w:rPr>
          <w:rFonts w:ascii="Book Antiqua" w:eastAsia="MS PGothic" w:hAnsi="Book Antiqua" w:cs="Times New Roman"/>
          <w:kern w:val="0"/>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hAnsi="Book Antiqua" w:cs="Times New Roman"/>
          <w:kern w:val="24"/>
          <w:sz w:val="24"/>
          <w:szCs w:val="24"/>
        </w:rPr>
        <w:t>BMI: Body mass index; DAPT: D</w:t>
      </w:r>
      <w:r w:rsidR="003D229F" w:rsidRPr="002910A5">
        <w:rPr>
          <w:rFonts w:ascii="Book Antiqua" w:hAnsi="Book Antiqua" w:cs="Times New Roman"/>
          <w:kern w:val="24"/>
          <w:sz w:val="24"/>
          <w:szCs w:val="24"/>
        </w:rPr>
        <w:t>ual antiplatelet therapy</w:t>
      </w:r>
      <w:r w:rsidR="003D229F" w:rsidRPr="002910A5">
        <w:rPr>
          <w:rFonts w:ascii="Book Antiqua" w:eastAsia="MS PGothic" w:hAnsi="Book Antiqua" w:cs="Times New Roman"/>
          <w:kern w:val="0"/>
          <w:sz w:val="24"/>
          <w:szCs w:val="24"/>
        </w:rPr>
        <w:t xml:space="preserve">; </w:t>
      </w:r>
      <w:r>
        <w:rPr>
          <w:rFonts w:ascii="Book Antiqua" w:hAnsi="Book Antiqua" w:cs="Times New Roman"/>
          <w:kern w:val="24"/>
          <w:sz w:val="24"/>
          <w:szCs w:val="24"/>
        </w:rPr>
        <w:t>ESD: E</w:t>
      </w:r>
      <w:r w:rsidR="003D229F" w:rsidRPr="002910A5">
        <w:rPr>
          <w:rFonts w:ascii="Book Antiqua" w:hAnsi="Book Antiqua" w:cs="Times New Roman"/>
          <w:kern w:val="24"/>
          <w:sz w:val="24"/>
          <w:szCs w:val="24"/>
        </w:rPr>
        <w:t xml:space="preserve">ndoscopic submucosal dissection; </w:t>
      </w:r>
      <w:r>
        <w:rPr>
          <w:rFonts w:ascii="Book Antiqua" w:eastAsia="MS PGothic" w:hAnsi="Book Antiqua" w:cs="Times New Roman"/>
          <w:kern w:val="0"/>
          <w:sz w:val="24"/>
          <w:szCs w:val="24"/>
        </w:rPr>
        <w:t>IQR: I</w:t>
      </w:r>
      <w:r w:rsidR="003D229F" w:rsidRPr="002910A5">
        <w:rPr>
          <w:rFonts w:ascii="Book Antiqua" w:eastAsia="MS PGothic" w:hAnsi="Book Antiqua" w:cs="Times New Roman"/>
          <w:kern w:val="0"/>
          <w:sz w:val="24"/>
          <w:szCs w:val="24"/>
        </w:rPr>
        <w:t>nterquartile range</w:t>
      </w:r>
      <w:r>
        <w:rPr>
          <w:rFonts w:ascii="Book Antiqua" w:hAnsi="Book Antiqua" w:cs="Times New Roman"/>
          <w:kern w:val="24"/>
          <w:sz w:val="24"/>
          <w:szCs w:val="24"/>
        </w:rPr>
        <w:t>;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2DF1F07E" w14:textId="77777777" w:rsidR="009901B3" w:rsidRDefault="009901B3">
      <w:pPr>
        <w:widowControl/>
        <w:jc w:val="left"/>
        <w:rPr>
          <w:rFonts w:ascii="Book Antiqua" w:hAnsi="Book Antiqua" w:cs="Times New Roman"/>
          <w:sz w:val="24"/>
          <w:szCs w:val="24"/>
        </w:rPr>
      </w:pPr>
      <w:r>
        <w:rPr>
          <w:rFonts w:ascii="Book Antiqua" w:hAnsi="Book Antiqua" w:cs="Times New Roman"/>
          <w:sz w:val="24"/>
          <w:szCs w:val="24"/>
        </w:rPr>
        <w:br w:type="page"/>
      </w:r>
    </w:p>
    <w:p w14:paraId="0552973F" w14:textId="18EF4334"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Table 2 Comparison of c</w:t>
      </w:r>
      <w:r w:rsidRPr="002910A5">
        <w:rPr>
          <w:rFonts w:ascii="Book Antiqua" w:eastAsia="MS PGothic" w:hAnsi="Book Antiqua" w:cs="Times New Roman"/>
          <w:b/>
          <w:kern w:val="0"/>
          <w:sz w:val="24"/>
          <w:szCs w:val="24"/>
        </w:rPr>
        <w:t xml:space="preserve">haracteristics among patients receiving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in the 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060" w:type="dxa"/>
        <w:tblCellMar>
          <w:left w:w="99" w:type="dxa"/>
          <w:right w:w="99" w:type="dxa"/>
        </w:tblCellMar>
        <w:tblLook w:val="04A0" w:firstRow="1" w:lastRow="0" w:firstColumn="1" w:lastColumn="0" w:noHBand="0" w:noVBand="1"/>
      </w:tblPr>
      <w:tblGrid>
        <w:gridCol w:w="3300"/>
        <w:gridCol w:w="1700"/>
        <w:gridCol w:w="2000"/>
        <w:gridCol w:w="1060"/>
      </w:tblGrid>
      <w:tr w:rsidR="003D229F" w:rsidRPr="002910A5" w14:paraId="7E3B7A7C" w14:textId="77777777" w:rsidTr="00C42C52">
        <w:trPr>
          <w:trHeight w:val="615"/>
        </w:trPr>
        <w:tc>
          <w:tcPr>
            <w:tcW w:w="3300" w:type="dxa"/>
            <w:tcBorders>
              <w:top w:val="single" w:sz="4" w:space="0" w:color="auto"/>
              <w:left w:val="nil"/>
              <w:bottom w:val="single" w:sz="4" w:space="0" w:color="auto"/>
              <w:right w:val="nil"/>
            </w:tcBorders>
            <w:shd w:val="clear" w:color="auto" w:fill="auto"/>
            <w:noWrap/>
            <w:vAlign w:val="center"/>
            <w:hideMark/>
          </w:tcPr>
          <w:p w14:paraId="4C810CED"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700" w:type="dxa"/>
            <w:tcBorders>
              <w:top w:val="single" w:sz="4" w:space="0" w:color="auto"/>
              <w:left w:val="nil"/>
              <w:bottom w:val="single" w:sz="4" w:space="0" w:color="auto"/>
              <w:right w:val="nil"/>
            </w:tcBorders>
            <w:shd w:val="clear" w:color="auto" w:fill="auto"/>
            <w:vAlign w:val="center"/>
            <w:hideMark/>
          </w:tcPr>
          <w:p w14:paraId="0DD9AD0D" w14:textId="7F8E349B" w:rsidR="003D229F" w:rsidRPr="002910A5" w:rsidRDefault="001B090D" w:rsidP="00AD5284">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95)</w:t>
            </w:r>
          </w:p>
        </w:tc>
        <w:tc>
          <w:tcPr>
            <w:tcW w:w="2000" w:type="dxa"/>
            <w:tcBorders>
              <w:top w:val="single" w:sz="4" w:space="0" w:color="auto"/>
              <w:left w:val="nil"/>
              <w:bottom w:val="single" w:sz="4" w:space="0" w:color="auto"/>
              <w:right w:val="nil"/>
            </w:tcBorders>
            <w:shd w:val="clear" w:color="auto" w:fill="auto"/>
            <w:vAlign w:val="center"/>
            <w:hideMark/>
          </w:tcPr>
          <w:p w14:paraId="72D0941A" w14:textId="79BE8457" w:rsidR="003D229F" w:rsidRPr="002910A5" w:rsidRDefault="001B090D" w:rsidP="00AD5284">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w:t>
            </w:r>
            <w:r w:rsidR="00510A73"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1060" w:type="dxa"/>
            <w:tcBorders>
              <w:top w:val="single" w:sz="4" w:space="0" w:color="auto"/>
              <w:left w:val="nil"/>
              <w:bottom w:val="single" w:sz="4" w:space="0" w:color="auto"/>
              <w:right w:val="nil"/>
            </w:tcBorders>
            <w:shd w:val="clear" w:color="auto" w:fill="auto"/>
            <w:noWrap/>
            <w:vAlign w:val="center"/>
            <w:hideMark/>
          </w:tcPr>
          <w:p w14:paraId="46CE951E"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7747120A" w14:textId="77777777" w:rsidTr="00C42C52">
        <w:trPr>
          <w:trHeight w:val="308"/>
        </w:trPr>
        <w:tc>
          <w:tcPr>
            <w:tcW w:w="3300" w:type="dxa"/>
            <w:tcBorders>
              <w:top w:val="nil"/>
              <w:left w:val="nil"/>
              <w:bottom w:val="nil"/>
              <w:right w:val="nil"/>
            </w:tcBorders>
            <w:shd w:val="clear" w:color="auto" w:fill="auto"/>
            <w:noWrap/>
            <w:vAlign w:val="center"/>
            <w:hideMark/>
          </w:tcPr>
          <w:p w14:paraId="4AD6D80A" w14:textId="4870C219"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AD5284">
              <w:rPr>
                <w:rFonts w:ascii="Book Antiqua" w:eastAsia="MS PGothic" w:hAnsi="Book Antiqua" w:cs="Times New Roman"/>
                <w:kern w:val="0"/>
                <w:sz w:val="24"/>
                <w:szCs w:val="24"/>
              </w:rPr>
              <w:t>r</w:t>
            </w:r>
            <w:proofErr w:type="spellEnd"/>
          </w:p>
        </w:tc>
        <w:tc>
          <w:tcPr>
            <w:tcW w:w="1700" w:type="dxa"/>
            <w:tcBorders>
              <w:top w:val="nil"/>
              <w:left w:val="nil"/>
              <w:bottom w:val="nil"/>
              <w:right w:val="nil"/>
            </w:tcBorders>
            <w:shd w:val="clear" w:color="auto" w:fill="auto"/>
            <w:noWrap/>
            <w:vAlign w:val="center"/>
            <w:hideMark/>
          </w:tcPr>
          <w:p w14:paraId="2F2ACE2D"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75.5 (6.841)</w:t>
            </w:r>
          </w:p>
        </w:tc>
        <w:tc>
          <w:tcPr>
            <w:tcW w:w="2000" w:type="dxa"/>
            <w:tcBorders>
              <w:top w:val="nil"/>
              <w:left w:val="nil"/>
              <w:bottom w:val="nil"/>
              <w:right w:val="nil"/>
            </w:tcBorders>
            <w:shd w:val="clear" w:color="auto" w:fill="auto"/>
            <w:noWrap/>
            <w:vAlign w:val="center"/>
            <w:hideMark/>
          </w:tcPr>
          <w:p w14:paraId="18346652"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75.7 (7.684)</w:t>
            </w:r>
          </w:p>
        </w:tc>
        <w:tc>
          <w:tcPr>
            <w:tcW w:w="1060" w:type="dxa"/>
            <w:tcBorders>
              <w:top w:val="nil"/>
              <w:left w:val="nil"/>
              <w:bottom w:val="nil"/>
              <w:right w:val="nil"/>
            </w:tcBorders>
            <w:shd w:val="clear" w:color="auto" w:fill="auto"/>
            <w:vAlign w:val="center"/>
            <w:hideMark/>
          </w:tcPr>
          <w:p w14:paraId="2D4626B1" w14:textId="64C8CC69"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0.856</w:t>
            </w:r>
          </w:p>
        </w:tc>
      </w:tr>
      <w:tr w:rsidR="003D229F" w:rsidRPr="002910A5" w14:paraId="7462D482" w14:textId="77777777" w:rsidTr="00C42C52">
        <w:trPr>
          <w:trHeight w:val="308"/>
        </w:trPr>
        <w:tc>
          <w:tcPr>
            <w:tcW w:w="3300" w:type="dxa"/>
            <w:tcBorders>
              <w:top w:val="nil"/>
              <w:left w:val="nil"/>
              <w:bottom w:val="nil"/>
              <w:right w:val="nil"/>
            </w:tcBorders>
            <w:shd w:val="clear" w:color="auto" w:fill="auto"/>
            <w:noWrap/>
            <w:vAlign w:val="center"/>
            <w:hideMark/>
          </w:tcPr>
          <w:p w14:paraId="7C8BFD3E"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700" w:type="dxa"/>
            <w:tcBorders>
              <w:top w:val="nil"/>
              <w:left w:val="nil"/>
              <w:bottom w:val="nil"/>
              <w:right w:val="nil"/>
            </w:tcBorders>
            <w:shd w:val="clear" w:color="auto" w:fill="auto"/>
            <w:noWrap/>
            <w:vAlign w:val="center"/>
            <w:hideMark/>
          </w:tcPr>
          <w:p w14:paraId="217F3E38"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71 (74.7)</w:t>
            </w:r>
          </w:p>
        </w:tc>
        <w:tc>
          <w:tcPr>
            <w:tcW w:w="2000" w:type="dxa"/>
            <w:tcBorders>
              <w:top w:val="nil"/>
              <w:left w:val="nil"/>
              <w:bottom w:val="nil"/>
              <w:right w:val="nil"/>
            </w:tcBorders>
            <w:shd w:val="clear" w:color="auto" w:fill="auto"/>
            <w:noWrap/>
            <w:vAlign w:val="center"/>
            <w:hideMark/>
          </w:tcPr>
          <w:p w14:paraId="2982A637" w14:textId="1371C04A"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w:t>
            </w:r>
            <w:r w:rsidR="007D0D11" w:rsidRPr="002910A5">
              <w:rPr>
                <w:rFonts w:ascii="Book Antiqua" w:eastAsia="MS PGothic" w:hAnsi="Book Antiqua" w:cs="Times New Roman"/>
                <w:kern w:val="0"/>
                <w:sz w:val="24"/>
                <w:szCs w:val="24"/>
              </w:rPr>
              <w:t>6</w:t>
            </w:r>
            <w:r w:rsidRPr="002910A5">
              <w:rPr>
                <w:rFonts w:ascii="Book Antiqua" w:eastAsia="MS PGothic" w:hAnsi="Book Antiqua" w:cs="Times New Roman"/>
                <w:kern w:val="0"/>
                <w:sz w:val="24"/>
                <w:szCs w:val="24"/>
              </w:rPr>
              <w:t xml:space="preserve"> (7</w:t>
            </w:r>
            <w:r w:rsidR="00DF0F59" w:rsidRPr="002910A5">
              <w:rPr>
                <w:rFonts w:ascii="Book Antiqua" w:eastAsia="MS PGothic" w:hAnsi="Book Antiqua" w:cs="Times New Roman"/>
                <w:kern w:val="0"/>
                <w:sz w:val="24"/>
                <w:szCs w:val="24"/>
              </w:rPr>
              <w:t>8.0</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142F447B" w14:textId="675FC8CD" w:rsidR="003D229F" w:rsidRPr="002910A5" w:rsidRDefault="007D0D11"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0.701</w:t>
            </w:r>
          </w:p>
        </w:tc>
      </w:tr>
      <w:tr w:rsidR="003D229F" w:rsidRPr="002910A5" w14:paraId="72369518" w14:textId="77777777" w:rsidTr="00C42C52">
        <w:trPr>
          <w:trHeight w:val="308"/>
        </w:trPr>
        <w:tc>
          <w:tcPr>
            <w:tcW w:w="3300" w:type="dxa"/>
            <w:tcBorders>
              <w:top w:val="nil"/>
              <w:left w:val="nil"/>
              <w:bottom w:val="nil"/>
              <w:right w:val="nil"/>
            </w:tcBorders>
            <w:shd w:val="clear" w:color="auto" w:fill="auto"/>
            <w:noWrap/>
            <w:vAlign w:val="center"/>
            <w:hideMark/>
          </w:tcPr>
          <w:p w14:paraId="0E7F776A" w14:textId="28D323A2"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AD5284">
              <w:rPr>
                <w:rFonts w:ascii="Book Antiqua" w:eastAsia="MS PGothic" w:hAnsi="Book Antiqua" w:cs="Times New Roman"/>
                <w:kern w:val="0"/>
                <w:sz w:val="24"/>
                <w:szCs w:val="24"/>
              </w:rPr>
              <w:t>r</w:t>
            </w:r>
            <w:proofErr w:type="spellEnd"/>
          </w:p>
        </w:tc>
        <w:tc>
          <w:tcPr>
            <w:tcW w:w="1700" w:type="dxa"/>
            <w:tcBorders>
              <w:top w:val="nil"/>
              <w:left w:val="nil"/>
              <w:bottom w:val="nil"/>
              <w:right w:val="nil"/>
            </w:tcBorders>
            <w:shd w:val="clear" w:color="auto" w:fill="auto"/>
            <w:vAlign w:val="center"/>
            <w:hideMark/>
          </w:tcPr>
          <w:p w14:paraId="4B14DE78"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22.7 (3.395)</w:t>
            </w:r>
          </w:p>
        </w:tc>
        <w:tc>
          <w:tcPr>
            <w:tcW w:w="2000" w:type="dxa"/>
            <w:tcBorders>
              <w:top w:val="nil"/>
              <w:left w:val="nil"/>
              <w:bottom w:val="nil"/>
              <w:right w:val="nil"/>
            </w:tcBorders>
            <w:shd w:val="clear" w:color="auto" w:fill="auto"/>
            <w:vAlign w:val="center"/>
            <w:hideMark/>
          </w:tcPr>
          <w:p w14:paraId="7AA78DF0" w14:textId="17BF4081"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23.1 (3.</w:t>
            </w:r>
            <w:r w:rsidR="00AA4265" w:rsidRPr="002910A5">
              <w:rPr>
                <w:rFonts w:ascii="Book Antiqua" w:eastAsia="MS PGothic" w:hAnsi="Book Antiqua" w:cs="Times New Roman"/>
                <w:kern w:val="0"/>
                <w:sz w:val="24"/>
                <w:szCs w:val="24"/>
              </w:rPr>
              <w:t>079</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08FD230E" w14:textId="0656B2BD"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AA4265" w:rsidRPr="002910A5">
              <w:rPr>
                <w:rFonts w:ascii="Book Antiqua" w:eastAsia="MS PGothic" w:hAnsi="Book Antiqua" w:cs="Times New Roman"/>
                <w:kern w:val="0"/>
                <w:sz w:val="24"/>
                <w:szCs w:val="24"/>
              </w:rPr>
              <w:t>382</w:t>
            </w:r>
          </w:p>
        </w:tc>
      </w:tr>
      <w:tr w:rsidR="003D229F" w:rsidRPr="002910A5" w14:paraId="4BCAA96D" w14:textId="77777777" w:rsidTr="00C42C52">
        <w:trPr>
          <w:trHeight w:val="308"/>
        </w:trPr>
        <w:tc>
          <w:tcPr>
            <w:tcW w:w="3300" w:type="dxa"/>
            <w:tcBorders>
              <w:top w:val="nil"/>
              <w:left w:val="nil"/>
              <w:bottom w:val="nil"/>
              <w:right w:val="nil"/>
            </w:tcBorders>
            <w:shd w:val="clear" w:color="auto" w:fill="auto"/>
            <w:vAlign w:val="center"/>
            <w:hideMark/>
          </w:tcPr>
          <w:p w14:paraId="33029EB9"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Comorbidity, </w:t>
            </w:r>
            <w:r w:rsidRPr="00AD5284">
              <w:rPr>
                <w:rFonts w:ascii="Book Antiqua" w:eastAsia="MS PGothic" w:hAnsi="Book Antiqua" w:cs="Times New Roman"/>
                <w:i/>
                <w:kern w:val="0"/>
                <w:sz w:val="24"/>
                <w:szCs w:val="24"/>
              </w:rPr>
              <w:t>n</w:t>
            </w:r>
            <w:r w:rsidRPr="002910A5">
              <w:rPr>
                <w:rFonts w:ascii="Book Antiqua" w:eastAsia="MS PGothic" w:hAnsi="Book Antiqua" w:cs="Times New Roman"/>
                <w:kern w:val="0"/>
                <w:sz w:val="24"/>
                <w:szCs w:val="24"/>
              </w:rPr>
              <w:t xml:space="preserve"> (%)</w:t>
            </w:r>
          </w:p>
        </w:tc>
        <w:tc>
          <w:tcPr>
            <w:tcW w:w="1700" w:type="dxa"/>
            <w:tcBorders>
              <w:top w:val="nil"/>
              <w:left w:val="nil"/>
              <w:bottom w:val="nil"/>
              <w:right w:val="nil"/>
            </w:tcBorders>
            <w:shd w:val="clear" w:color="auto" w:fill="auto"/>
            <w:noWrap/>
            <w:vAlign w:val="center"/>
            <w:hideMark/>
          </w:tcPr>
          <w:p w14:paraId="068FF35B"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p>
        </w:tc>
        <w:tc>
          <w:tcPr>
            <w:tcW w:w="2000" w:type="dxa"/>
            <w:tcBorders>
              <w:top w:val="nil"/>
              <w:left w:val="nil"/>
              <w:bottom w:val="nil"/>
              <w:right w:val="nil"/>
            </w:tcBorders>
            <w:shd w:val="clear" w:color="auto" w:fill="auto"/>
            <w:noWrap/>
            <w:vAlign w:val="center"/>
            <w:hideMark/>
          </w:tcPr>
          <w:p w14:paraId="5B779CDC" w14:textId="77777777" w:rsidR="003D229F" w:rsidRPr="002910A5" w:rsidRDefault="003D229F" w:rsidP="00AD5284">
            <w:pPr>
              <w:widowControl/>
              <w:adjustRightInd w:val="0"/>
              <w:snapToGrid w:val="0"/>
              <w:spacing w:line="360" w:lineRule="auto"/>
              <w:jc w:val="center"/>
              <w:rPr>
                <w:rFonts w:ascii="Book Antiqua" w:eastAsia="Times New Roman" w:hAnsi="Book Antiqua" w:cs="Times New Roman"/>
                <w:kern w:val="0"/>
                <w:sz w:val="24"/>
                <w:szCs w:val="24"/>
              </w:rPr>
            </w:pPr>
          </w:p>
        </w:tc>
        <w:tc>
          <w:tcPr>
            <w:tcW w:w="1060" w:type="dxa"/>
            <w:tcBorders>
              <w:top w:val="nil"/>
              <w:left w:val="nil"/>
              <w:bottom w:val="nil"/>
              <w:right w:val="nil"/>
            </w:tcBorders>
            <w:shd w:val="clear" w:color="auto" w:fill="auto"/>
            <w:noWrap/>
            <w:vAlign w:val="center"/>
            <w:hideMark/>
          </w:tcPr>
          <w:p w14:paraId="16C9839C" w14:textId="77777777" w:rsidR="003D229F" w:rsidRPr="002910A5" w:rsidRDefault="003D229F" w:rsidP="00AD5284">
            <w:pPr>
              <w:widowControl/>
              <w:adjustRightInd w:val="0"/>
              <w:snapToGrid w:val="0"/>
              <w:spacing w:line="360" w:lineRule="auto"/>
              <w:jc w:val="center"/>
              <w:rPr>
                <w:rFonts w:ascii="Book Antiqua" w:eastAsia="Times New Roman" w:hAnsi="Book Antiqua" w:cs="Times New Roman"/>
                <w:kern w:val="0"/>
                <w:sz w:val="24"/>
                <w:szCs w:val="24"/>
              </w:rPr>
            </w:pPr>
          </w:p>
        </w:tc>
      </w:tr>
      <w:tr w:rsidR="003D229F" w:rsidRPr="002910A5" w14:paraId="56532C35" w14:textId="77777777" w:rsidTr="00C42C52">
        <w:trPr>
          <w:trHeight w:val="308"/>
        </w:trPr>
        <w:tc>
          <w:tcPr>
            <w:tcW w:w="3300" w:type="dxa"/>
            <w:tcBorders>
              <w:top w:val="nil"/>
              <w:left w:val="nil"/>
              <w:bottom w:val="nil"/>
              <w:right w:val="nil"/>
            </w:tcBorders>
            <w:shd w:val="clear" w:color="auto" w:fill="auto"/>
            <w:vAlign w:val="center"/>
            <w:hideMark/>
          </w:tcPr>
          <w:p w14:paraId="38D28574" w14:textId="01F0E1CB"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Hypertension</w:t>
            </w:r>
          </w:p>
        </w:tc>
        <w:tc>
          <w:tcPr>
            <w:tcW w:w="1700" w:type="dxa"/>
            <w:tcBorders>
              <w:top w:val="nil"/>
              <w:left w:val="nil"/>
              <w:bottom w:val="nil"/>
              <w:right w:val="nil"/>
            </w:tcBorders>
            <w:shd w:val="clear" w:color="auto" w:fill="auto"/>
            <w:noWrap/>
            <w:vAlign w:val="center"/>
            <w:hideMark/>
          </w:tcPr>
          <w:p w14:paraId="7F567839"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70 (73.7)</w:t>
            </w:r>
          </w:p>
        </w:tc>
        <w:tc>
          <w:tcPr>
            <w:tcW w:w="2000" w:type="dxa"/>
            <w:tcBorders>
              <w:top w:val="nil"/>
              <w:left w:val="nil"/>
              <w:bottom w:val="nil"/>
              <w:right w:val="nil"/>
            </w:tcBorders>
            <w:shd w:val="clear" w:color="auto" w:fill="auto"/>
            <w:noWrap/>
            <w:vAlign w:val="center"/>
            <w:hideMark/>
          </w:tcPr>
          <w:p w14:paraId="334F0EAE" w14:textId="690668F5"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39 (</w:t>
            </w:r>
            <w:r w:rsidR="0024016F" w:rsidRPr="002910A5">
              <w:rPr>
                <w:rFonts w:ascii="Book Antiqua" w:eastAsia="MS PGothic" w:hAnsi="Book Antiqua" w:cs="Times New Roman"/>
                <w:kern w:val="0"/>
                <w:sz w:val="24"/>
                <w:szCs w:val="24"/>
              </w:rPr>
              <w:t>66.1</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7AF2F94E" w14:textId="4713A0ED"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0925C2" w:rsidRPr="002910A5">
              <w:rPr>
                <w:rFonts w:ascii="Book Antiqua" w:eastAsia="MS PGothic" w:hAnsi="Book Antiqua" w:cs="Times New Roman"/>
                <w:kern w:val="0"/>
                <w:sz w:val="24"/>
                <w:szCs w:val="24"/>
              </w:rPr>
              <w:t>364</w:t>
            </w:r>
          </w:p>
        </w:tc>
      </w:tr>
      <w:tr w:rsidR="003D229F" w:rsidRPr="002910A5" w14:paraId="11405070" w14:textId="77777777" w:rsidTr="00C42C52">
        <w:trPr>
          <w:trHeight w:val="308"/>
        </w:trPr>
        <w:tc>
          <w:tcPr>
            <w:tcW w:w="3300" w:type="dxa"/>
            <w:tcBorders>
              <w:top w:val="nil"/>
              <w:left w:val="nil"/>
              <w:bottom w:val="nil"/>
              <w:right w:val="nil"/>
            </w:tcBorders>
            <w:shd w:val="clear" w:color="auto" w:fill="auto"/>
            <w:vAlign w:val="center"/>
            <w:hideMark/>
          </w:tcPr>
          <w:p w14:paraId="4FD3C54B" w14:textId="1ADF50A9"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Diabetes mellitus</w:t>
            </w:r>
          </w:p>
        </w:tc>
        <w:tc>
          <w:tcPr>
            <w:tcW w:w="1700" w:type="dxa"/>
            <w:tcBorders>
              <w:top w:val="nil"/>
              <w:left w:val="nil"/>
              <w:bottom w:val="nil"/>
              <w:right w:val="nil"/>
            </w:tcBorders>
            <w:shd w:val="clear" w:color="auto" w:fill="auto"/>
            <w:noWrap/>
            <w:vAlign w:val="center"/>
            <w:hideMark/>
          </w:tcPr>
          <w:p w14:paraId="0A44B87F" w14:textId="25DE810B"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32 (</w:t>
            </w:r>
            <w:r w:rsidR="0024016F" w:rsidRPr="002910A5">
              <w:rPr>
                <w:rFonts w:ascii="Book Antiqua" w:eastAsia="MS PGothic" w:hAnsi="Book Antiqua" w:cs="Times New Roman"/>
                <w:kern w:val="0"/>
                <w:sz w:val="24"/>
                <w:szCs w:val="24"/>
              </w:rPr>
              <w:t>33.7</w:t>
            </w:r>
            <w:r w:rsidRPr="002910A5">
              <w:rPr>
                <w:rFonts w:ascii="Book Antiqua" w:eastAsia="MS PGothic" w:hAnsi="Book Antiqua" w:cs="Times New Roman"/>
                <w:kern w:val="0"/>
                <w:sz w:val="24"/>
                <w:szCs w:val="24"/>
              </w:rPr>
              <w:t>)</w:t>
            </w:r>
          </w:p>
        </w:tc>
        <w:tc>
          <w:tcPr>
            <w:tcW w:w="2000" w:type="dxa"/>
            <w:tcBorders>
              <w:top w:val="nil"/>
              <w:left w:val="nil"/>
              <w:bottom w:val="nil"/>
              <w:right w:val="nil"/>
            </w:tcBorders>
            <w:shd w:val="clear" w:color="auto" w:fill="auto"/>
            <w:noWrap/>
            <w:vAlign w:val="center"/>
            <w:hideMark/>
          </w:tcPr>
          <w:p w14:paraId="0966A958" w14:textId="01A34EA0" w:rsidR="003D229F" w:rsidRPr="002910A5" w:rsidRDefault="0069477A"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21</w:t>
            </w:r>
            <w:r w:rsidR="003D229F" w:rsidRPr="002910A5">
              <w:rPr>
                <w:rFonts w:ascii="Book Antiqua" w:eastAsia="MS PGothic" w:hAnsi="Book Antiqua" w:cs="Times New Roman"/>
                <w:kern w:val="0"/>
                <w:sz w:val="24"/>
                <w:szCs w:val="24"/>
              </w:rPr>
              <w:t xml:space="preserve"> (</w:t>
            </w:r>
            <w:r w:rsidR="0024016F" w:rsidRPr="002910A5">
              <w:rPr>
                <w:rFonts w:ascii="Book Antiqua" w:eastAsia="MS PGothic" w:hAnsi="Book Antiqua" w:cs="Times New Roman"/>
                <w:kern w:val="0"/>
                <w:sz w:val="24"/>
                <w:szCs w:val="24"/>
              </w:rPr>
              <w:t>35.6</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427B5A34" w14:textId="7C885851" w:rsidR="003D229F" w:rsidRPr="002910A5" w:rsidRDefault="0069477A"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0.862</w:t>
            </w:r>
          </w:p>
        </w:tc>
      </w:tr>
      <w:tr w:rsidR="003D229F" w:rsidRPr="002910A5" w14:paraId="307009E0" w14:textId="77777777" w:rsidTr="00C42C52">
        <w:trPr>
          <w:trHeight w:val="308"/>
        </w:trPr>
        <w:tc>
          <w:tcPr>
            <w:tcW w:w="3300" w:type="dxa"/>
            <w:tcBorders>
              <w:top w:val="nil"/>
              <w:left w:val="nil"/>
              <w:bottom w:val="nil"/>
              <w:right w:val="nil"/>
            </w:tcBorders>
            <w:shd w:val="clear" w:color="auto" w:fill="auto"/>
            <w:vAlign w:val="center"/>
            <w:hideMark/>
          </w:tcPr>
          <w:p w14:paraId="6B5AA077" w14:textId="46F17C09"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Renal failure</w:t>
            </w:r>
          </w:p>
        </w:tc>
        <w:tc>
          <w:tcPr>
            <w:tcW w:w="1700" w:type="dxa"/>
            <w:tcBorders>
              <w:top w:val="nil"/>
              <w:left w:val="nil"/>
              <w:bottom w:val="nil"/>
              <w:right w:val="nil"/>
            </w:tcBorders>
            <w:shd w:val="clear" w:color="auto" w:fill="auto"/>
            <w:noWrap/>
            <w:vAlign w:val="center"/>
            <w:hideMark/>
          </w:tcPr>
          <w:p w14:paraId="0ECAF5E3"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 (7.4)</w:t>
            </w:r>
          </w:p>
        </w:tc>
        <w:tc>
          <w:tcPr>
            <w:tcW w:w="2000" w:type="dxa"/>
            <w:tcBorders>
              <w:top w:val="nil"/>
              <w:left w:val="nil"/>
              <w:bottom w:val="nil"/>
              <w:right w:val="nil"/>
            </w:tcBorders>
            <w:shd w:val="clear" w:color="auto" w:fill="auto"/>
            <w:noWrap/>
            <w:vAlign w:val="center"/>
            <w:hideMark/>
          </w:tcPr>
          <w:p w14:paraId="1B47B44C" w14:textId="19EDE65C"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 (</w:t>
            </w:r>
            <w:r w:rsidR="003D022B" w:rsidRPr="002910A5">
              <w:rPr>
                <w:rFonts w:ascii="Book Antiqua" w:eastAsia="MS PGothic" w:hAnsi="Book Antiqua" w:cs="Times New Roman"/>
                <w:kern w:val="0"/>
                <w:sz w:val="24"/>
                <w:szCs w:val="24"/>
              </w:rPr>
              <w:t>6.8</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28DC8F3E" w14:textId="0E0F85BF" w:rsidR="003D229F" w:rsidRPr="002910A5" w:rsidRDefault="003D229F" w:rsidP="00B91C9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&gt;</w:t>
            </w:r>
            <w:r w:rsidR="00B91C97">
              <w:rPr>
                <w:rFonts w:ascii="Book Antiqua" w:hAnsi="Book Antiqua" w:cs="Times New Roman" w:hint="eastAsia"/>
                <w:kern w:val="0"/>
                <w:sz w:val="24"/>
                <w:szCs w:val="24"/>
                <w:lang w:eastAsia="zh-CN"/>
              </w:rPr>
              <w:t xml:space="preserve"> </w:t>
            </w:r>
            <w:r w:rsidRPr="002910A5">
              <w:rPr>
                <w:rFonts w:ascii="Book Antiqua" w:eastAsia="MS PGothic" w:hAnsi="Book Antiqua" w:cs="Times New Roman"/>
                <w:kern w:val="0"/>
                <w:sz w:val="24"/>
                <w:szCs w:val="24"/>
              </w:rPr>
              <w:t>0.99</w:t>
            </w:r>
          </w:p>
        </w:tc>
      </w:tr>
      <w:tr w:rsidR="003D229F" w:rsidRPr="002910A5" w14:paraId="1C98D6F2" w14:textId="77777777" w:rsidTr="00C42C52">
        <w:trPr>
          <w:trHeight w:val="308"/>
        </w:trPr>
        <w:tc>
          <w:tcPr>
            <w:tcW w:w="3300" w:type="dxa"/>
            <w:tcBorders>
              <w:top w:val="nil"/>
              <w:left w:val="nil"/>
              <w:bottom w:val="nil"/>
              <w:right w:val="nil"/>
            </w:tcBorders>
            <w:shd w:val="clear" w:color="auto" w:fill="auto"/>
            <w:vAlign w:val="center"/>
            <w:hideMark/>
          </w:tcPr>
          <w:p w14:paraId="5537B3BC" w14:textId="083D2604"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Coronary artery diseases</w:t>
            </w:r>
          </w:p>
        </w:tc>
        <w:tc>
          <w:tcPr>
            <w:tcW w:w="1700" w:type="dxa"/>
            <w:tcBorders>
              <w:top w:val="nil"/>
              <w:left w:val="nil"/>
              <w:bottom w:val="nil"/>
              <w:right w:val="nil"/>
            </w:tcBorders>
            <w:shd w:val="clear" w:color="auto" w:fill="auto"/>
            <w:noWrap/>
            <w:vAlign w:val="center"/>
            <w:hideMark/>
          </w:tcPr>
          <w:p w14:paraId="54F71993"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78 (82.1)</w:t>
            </w:r>
          </w:p>
        </w:tc>
        <w:tc>
          <w:tcPr>
            <w:tcW w:w="2000" w:type="dxa"/>
            <w:tcBorders>
              <w:top w:val="nil"/>
              <w:left w:val="nil"/>
              <w:bottom w:val="nil"/>
              <w:right w:val="nil"/>
            </w:tcBorders>
            <w:shd w:val="clear" w:color="auto" w:fill="auto"/>
            <w:noWrap/>
            <w:vAlign w:val="center"/>
            <w:hideMark/>
          </w:tcPr>
          <w:p w14:paraId="269CF3EC" w14:textId="2574B1B9"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42 (7</w:t>
            </w:r>
            <w:r w:rsidR="003D022B" w:rsidRPr="002910A5">
              <w:rPr>
                <w:rFonts w:ascii="Book Antiqua" w:eastAsia="MS PGothic" w:hAnsi="Book Antiqua" w:cs="Times New Roman"/>
                <w:kern w:val="0"/>
                <w:sz w:val="24"/>
                <w:szCs w:val="24"/>
              </w:rPr>
              <w:t>1.2</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6E465E34" w14:textId="0DB5B153"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995A59" w:rsidRPr="002910A5">
              <w:rPr>
                <w:rFonts w:ascii="Book Antiqua" w:eastAsia="MS PGothic" w:hAnsi="Book Antiqua" w:cs="Times New Roman"/>
                <w:kern w:val="0"/>
                <w:sz w:val="24"/>
                <w:szCs w:val="24"/>
              </w:rPr>
              <w:t>161</w:t>
            </w:r>
          </w:p>
        </w:tc>
      </w:tr>
      <w:tr w:rsidR="003D229F" w:rsidRPr="002910A5" w14:paraId="7829409C" w14:textId="77777777" w:rsidTr="00C42C52">
        <w:trPr>
          <w:trHeight w:val="1230"/>
        </w:trPr>
        <w:tc>
          <w:tcPr>
            <w:tcW w:w="3300" w:type="dxa"/>
            <w:tcBorders>
              <w:top w:val="nil"/>
              <w:left w:val="nil"/>
              <w:bottom w:val="nil"/>
              <w:right w:val="nil"/>
            </w:tcBorders>
            <w:shd w:val="clear" w:color="auto" w:fill="auto"/>
            <w:vAlign w:val="center"/>
            <w:hideMark/>
          </w:tcPr>
          <w:p w14:paraId="2E7AC4AD" w14:textId="4E9D343C"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AD5284">
              <w:rPr>
                <w:rFonts w:ascii="Book Antiqua" w:eastAsia="MS PGothic" w:hAnsi="Book Antiqua" w:cs="Times New Roman"/>
                <w:kern w:val="0"/>
                <w:sz w:val="24"/>
                <w:szCs w:val="24"/>
              </w:rPr>
              <w:t xml:space="preserve"> (%)</w:t>
            </w:r>
            <w:r w:rsidR="00AD5284">
              <w:rPr>
                <w:rFonts w:ascii="Book Antiqua" w:eastAsia="MS PGothic" w:hAnsi="Book Antiqua" w:cs="Times New Roman"/>
                <w:kern w:val="0"/>
                <w:sz w:val="24"/>
                <w:szCs w:val="24"/>
              </w:rPr>
              <w:br/>
              <w:t xml:space="preserve"> Upper</w:t>
            </w:r>
            <w:r w:rsidR="00AD5284">
              <w:rPr>
                <w:rFonts w:ascii="Book Antiqua" w:eastAsia="MS PGothic" w:hAnsi="Book Antiqua" w:cs="Times New Roman"/>
                <w:kern w:val="0"/>
                <w:sz w:val="24"/>
                <w:szCs w:val="24"/>
              </w:rPr>
              <w:br/>
              <w:t xml:space="preserve"> Middle</w:t>
            </w:r>
            <w:r w:rsidR="00AD5284">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1700" w:type="dxa"/>
            <w:tcBorders>
              <w:top w:val="nil"/>
              <w:left w:val="nil"/>
              <w:bottom w:val="nil"/>
              <w:right w:val="nil"/>
            </w:tcBorders>
            <w:shd w:val="clear" w:color="auto" w:fill="auto"/>
            <w:vAlign w:val="center"/>
            <w:hideMark/>
          </w:tcPr>
          <w:p w14:paraId="36D7F49E"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18 (18.9)</w:t>
            </w:r>
            <w:r w:rsidRPr="002910A5">
              <w:rPr>
                <w:rFonts w:ascii="Book Antiqua" w:eastAsia="MS PGothic" w:hAnsi="Book Antiqua" w:cs="Times New Roman"/>
                <w:kern w:val="0"/>
                <w:sz w:val="24"/>
                <w:szCs w:val="24"/>
              </w:rPr>
              <w:br/>
              <w:t>40 (42.1)</w:t>
            </w:r>
            <w:r w:rsidRPr="002910A5">
              <w:rPr>
                <w:rFonts w:ascii="Book Antiqua" w:eastAsia="MS PGothic" w:hAnsi="Book Antiqua" w:cs="Times New Roman"/>
                <w:kern w:val="0"/>
                <w:sz w:val="24"/>
                <w:szCs w:val="24"/>
              </w:rPr>
              <w:br/>
              <w:t>37 (39.0)</w:t>
            </w:r>
          </w:p>
        </w:tc>
        <w:tc>
          <w:tcPr>
            <w:tcW w:w="2000" w:type="dxa"/>
            <w:tcBorders>
              <w:top w:val="nil"/>
              <w:left w:val="nil"/>
              <w:bottom w:val="nil"/>
              <w:right w:val="nil"/>
            </w:tcBorders>
            <w:shd w:val="clear" w:color="auto" w:fill="auto"/>
            <w:vAlign w:val="center"/>
            <w:hideMark/>
          </w:tcPr>
          <w:p w14:paraId="15D02E16" w14:textId="29D0FA8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7 (1</w:t>
            </w:r>
            <w:r w:rsidR="003D022B" w:rsidRPr="002910A5">
              <w:rPr>
                <w:rFonts w:ascii="Book Antiqua" w:eastAsia="MS PGothic" w:hAnsi="Book Antiqua" w:cs="Times New Roman"/>
                <w:kern w:val="0"/>
                <w:sz w:val="24"/>
                <w:szCs w:val="24"/>
              </w:rPr>
              <w:t>1.9</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24 (4</w:t>
            </w:r>
            <w:r w:rsidR="00C407A5" w:rsidRPr="002910A5">
              <w:rPr>
                <w:rFonts w:ascii="Book Antiqua" w:eastAsia="MS PGothic" w:hAnsi="Book Antiqua" w:cs="Times New Roman"/>
                <w:kern w:val="0"/>
                <w:sz w:val="24"/>
                <w:szCs w:val="24"/>
              </w:rPr>
              <w:t>0.7</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2</w:t>
            </w:r>
            <w:r w:rsidR="00B65F10"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(4</w:t>
            </w:r>
            <w:r w:rsidR="00C407A5" w:rsidRPr="002910A5">
              <w:rPr>
                <w:rFonts w:ascii="Book Antiqua" w:eastAsia="MS PGothic" w:hAnsi="Book Antiqua" w:cs="Times New Roman"/>
                <w:kern w:val="0"/>
                <w:sz w:val="24"/>
                <w:szCs w:val="24"/>
              </w:rPr>
              <w:t>7.5</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E84CFEA" w14:textId="1968778A"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B65F10" w:rsidRPr="002910A5">
              <w:rPr>
                <w:rFonts w:ascii="Book Antiqua" w:eastAsia="MS PGothic" w:hAnsi="Book Antiqua" w:cs="Times New Roman"/>
                <w:kern w:val="0"/>
                <w:sz w:val="24"/>
                <w:szCs w:val="24"/>
              </w:rPr>
              <w:t>429</w:t>
            </w:r>
            <w:r w:rsidRPr="002910A5">
              <w:rPr>
                <w:rFonts w:ascii="Book Antiqua" w:eastAsia="MS PGothic" w:hAnsi="Book Antiqua" w:cs="Times New Roman"/>
                <w:kern w:val="0"/>
                <w:sz w:val="24"/>
                <w:szCs w:val="24"/>
              </w:rPr>
              <w:br/>
            </w:r>
          </w:p>
        </w:tc>
      </w:tr>
      <w:tr w:rsidR="003D229F" w:rsidRPr="002910A5" w14:paraId="731C5F22" w14:textId="77777777" w:rsidTr="00C42C52">
        <w:trPr>
          <w:trHeight w:val="923"/>
        </w:trPr>
        <w:tc>
          <w:tcPr>
            <w:tcW w:w="3300" w:type="dxa"/>
            <w:tcBorders>
              <w:top w:val="nil"/>
              <w:left w:val="nil"/>
              <w:bottom w:val="single" w:sz="4" w:space="0" w:color="auto"/>
              <w:right w:val="nil"/>
            </w:tcBorders>
            <w:shd w:val="clear" w:color="auto" w:fill="auto"/>
            <w:vAlign w:val="center"/>
            <w:hideMark/>
          </w:tcPr>
          <w:p w14:paraId="61A0A392" w14:textId="711658CE"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Macroscopic findings, </w:t>
            </w:r>
            <w:r w:rsidRPr="002910A5">
              <w:rPr>
                <w:rFonts w:ascii="Book Antiqua" w:eastAsia="MS PGothic" w:hAnsi="Book Antiqua" w:cs="Times New Roman"/>
                <w:i/>
                <w:iCs/>
                <w:kern w:val="0"/>
                <w:sz w:val="24"/>
                <w:szCs w:val="24"/>
              </w:rPr>
              <w:t>n</w:t>
            </w:r>
            <w:r w:rsidR="00AD5284">
              <w:rPr>
                <w:rFonts w:ascii="Book Antiqua" w:eastAsia="MS PGothic" w:hAnsi="Book Antiqua" w:cs="Times New Roman"/>
                <w:kern w:val="0"/>
                <w:sz w:val="24"/>
                <w:szCs w:val="24"/>
              </w:rPr>
              <w:t xml:space="preserve"> (%)</w:t>
            </w:r>
            <w:r w:rsidR="00AD5284">
              <w:rPr>
                <w:rFonts w:ascii="Book Antiqua" w:eastAsia="MS PGothic" w:hAnsi="Book Antiqua" w:cs="Times New Roman"/>
                <w:kern w:val="0"/>
                <w:sz w:val="24"/>
                <w:szCs w:val="24"/>
              </w:rPr>
              <w:br/>
              <w:t xml:space="preserve"> Depressed</w:t>
            </w:r>
            <w:r w:rsidR="00AD5284">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Non-depressed</w:t>
            </w:r>
          </w:p>
        </w:tc>
        <w:tc>
          <w:tcPr>
            <w:tcW w:w="1700" w:type="dxa"/>
            <w:tcBorders>
              <w:top w:val="nil"/>
              <w:left w:val="nil"/>
              <w:bottom w:val="single" w:sz="4" w:space="0" w:color="auto"/>
              <w:right w:val="nil"/>
            </w:tcBorders>
            <w:shd w:val="clear" w:color="auto" w:fill="auto"/>
            <w:vAlign w:val="center"/>
            <w:hideMark/>
          </w:tcPr>
          <w:p w14:paraId="6AAFFE77"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31 (32.6)</w:t>
            </w:r>
            <w:r w:rsidRPr="002910A5">
              <w:rPr>
                <w:rFonts w:ascii="Book Antiqua" w:eastAsia="MS PGothic" w:hAnsi="Book Antiqua" w:cs="Times New Roman"/>
                <w:kern w:val="0"/>
                <w:sz w:val="24"/>
                <w:szCs w:val="24"/>
              </w:rPr>
              <w:br/>
              <w:t>64 (67.4)</w:t>
            </w:r>
          </w:p>
        </w:tc>
        <w:tc>
          <w:tcPr>
            <w:tcW w:w="2000" w:type="dxa"/>
            <w:tcBorders>
              <w:top w:val="nil"/>
              <w:left w:val="nil"/>
              <w:bottom w:val="single" w:sz="4" w:space="0" w:color="auto"/>
              <w:right w:val="nil"/>
            </w:tcBorders>
            <w:shd w:val="clear" w:color="auto" w:fill="auto"/>
            <w:vAlign w:val="center"/>
            <w:hideMark/>
          </w:tcPr>
          <w:p w14:paraId="7CC200AE" w14:textId="27E77B74"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2</w:t>
            </w:r>
            <w:r w:rsidR="00090320" w:rsidRPr="002910A5">
              <w:rPr>
                <w:rFonts w:ascii="Book Antiqua" w:eastAsia="MS PGothic" w:hAnsi="Book Antiqua" w:cs="Times New Roman"/>
                <w:kern w:val="0"/>
                <w:sz w:val="24"/>
                <w:szCs w:val="24"/>
              </w:rPr>
              <w:t>1</w:t>
            </w:r>
            <w:r w:rsidRPr="002910A5">
              <w:rPr>
                <w:rFonts w:ascii="Book Antiqua" w:eastAsia="MS PGothic" w:hAnsi="Book Antiqua" w:cs="Times New Roman"/>
                <w:kern w:val="0"/>
                <w:sz w:val="24"/>
                <w:szCs w:val="24"/>
              </w:rPr>
              <w:t xml:space="preserve"> (3</w:t>
            </w:r>
            <w:r w:rsidR="00C407A5" w:rsidRPr="002910A5">
              <w:rPr>
                <w:rFonts w:ascii="Book Antiqua" w:eastAsia="MS PGothic" w:hAnsi="Book Antiqua" w:cs="Times New Roman"/>
                <w:kern w:val="0"/>
                <w:sz w:val="24"/>
                <w:szCs w:val="24"/>
              </w:rPr>
              <w:t>5.6</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3</w:t>
            </w:r>
            <w:r w:rsidR="00090320"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(6</w:t>
            </w:r>
            <w:r w:rsidR="00855F7B" w:rsidRPr="002910A5">
              <w:rPr>
                <w:rFonts w:ascii="Book Antiqua" w:eastAsia="MS PGothic" w:hAnsi="Book Antiqua" w:cs="Times New Roman"/>
                <w:kern w:val="0"/>
                <w:sz w:val="24"/>
                <w:szCs w:val="24"/>
              </w:rPr>
              <w:t>4.4</w:t>
            </w:r>
            <w:r w:rsidRPr="002910A5">
              <w:rPr>
                <w:rFonts w:ascii="Book Antiqua" w:eastAsia="MS PGothic" w:hAnsi="Book Antiqua" w:cs="Times New Roman"/>
                <w:kern w:val="0"/>
                <w:sz w:val="24"/>
                <w:szCs w:val="24"/>
              </w:rPr>
              <w:t>)</w:t>
            </w:r>
          </w:p>
        </w:tc>
        <w:tc>
          <w:tcPr>
            <w:tcW w:w="1060" w:type="dxa"/>
            <w:tcBorders>
              <w:top w:val="nil"/>
              <w:left w:val="nil"/>
              <w:bottom w:val="single" w:sz="4" w:space="0" w:color="auto"/>
              <w:right w:val="nil"/>
            </w:tcBorders>
            <w:shd w:val="clear" w:color="auto" w:fill="auto"/>
            <w:vAlign w:val="center"/>
            <w:hideMark/>
          </w:tcPr>
          <w:p w14:paraId="39A1112B" w14:textId="68B5A9F4"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0.7</w:t>
            </w:r>
            <w:r w:rsidR="00090320" w:rsidRPr="002910A5">
              <w:rPr>
                <w:rFonts w:ascii="Book Antiqua" w:eastAsia="MS PGothic" w:hAnsi="Book Antiqua" w:cs="Times New Roman"/>
                <w:kern w:val="0"/>
                <w:sz w:val="24"/>
                <w:szCs w:val="24"/>
              </w:rPr>
              <w:t>29</w:t>
            </w:r>
          </w:p>
        </w:tc>
      </w:tr>
    </w:tbl>
    <w:p w14:paraId="227A8441" w14:textId="2D9C2481" w:rsidR="003D229F" w:rsidRPr="002910A5" w:rsidRDefault="00AD5284" w:rsidP="002910A5">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BMI: Body mass index; LDA: Low 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2C8B7F93" w14:textId="77777777" w:rsidR="00AD5284" w:rsidRDefault="00AD5284">
      <w:pPr>
        <w:widowControl/>
        <w:jc w:val="left"/>
        <w:rPr>
          <w:rFonts w:ascii="Book Antiqua" w:hAnsi="Book Antiqua" w:cs="Times New Roman"/>
          <w:kern w:val="24"/>
          <w:sz w:val="24"/>
          <w:szCs w:val="24"/>
        </w:rPr>
      </w:pPr>
      <w:r>
        <w:rPr>
          <w:rFonts w:ascii="Book Antiqua" w:hAnsi="Book Antiqua" w:cs="Times New Roman"/>
          <w:kern w:val="24"/>
          <w:sz w:val="24"/>
          <w:szCs w:val="24"/>
        </w:rPr>
        <w:br w:type="page"/>
      </w:r>
    </w:p>
    <w:p w14:paraId="729A82F6" w14:textId="5A313357"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3 Comparison of therapeutic outcomes </w:t>
      </w:r>
      <w:r w:rsidRPr="002910A5">
        <w:rPr>
          <w:rFonts w:ascii="Book Antiqua" w:eastAsia="MS PGothic" w:hAnsi="Book Antiqua" w:cs="Times New Roman"/>
          <w:b/>
          <w:kern w:val="0"/>
          <w:sz w:val="24"/>
          <w:szCs w:val="24"/>
        </w:rPr>
        <w:t xml:space="preserve">among patients receiving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in the 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780" w:type="dxa"/>
        <w:tblCellMar>
          <w:left w:w="99" w:type="dxa"/>
          <w:right w:w="99" w:type="dxa"/>
        </w:tblCellMar>
        <w:tblLook w:val="04A0" w:firstRow="1" w:lastRow="0" w:firstColumn="1" w:lastColumn="0" w:noHBand="0" w:noVBand="1"/>
      </w:tblPr>
      <w:tblGrid>
        <w:gridCol w:w="3660"/>
        <w:gridCol w:w="1880"/>
        <w:gridCol w:w="2280"/>
        <w:gridCol w:w="960"/>
      </w:tblGrid>
      <w:tr w:rsidR="003D229F" w:rsidRPr="002910A5" w14:paraId="188B6C1A" w14:textId="77777777" w:rsidTr="00C42C52">
        <w:trPr>
          <w:trHeight w:val="615"/>
        </w:trPr>
        <w:tc>
          <w:tcPr>
            <w:tcW w:w="3660" w:type="dxa"/>
            <w:tcBorders>
              <w:top w:val="single" w:sz="4" w:space="0" w:color="auto"/>
              <w:left w:val="nil"/>
              <w:bottom w:val="single" w:sz="4" w:space="0" w:color="auto"/>
              <w:right w:val="nil"/>
            </w:tcBorders>
            <w:shd w:val="clear" w:color="auto" w:fill="auto"/>
            <w:noWrap/>
            <w:vAlign w:val="center"/>
            <w:hideMark/>
          </w:tcPr>
          <w:p w14:paraId="2C9F1672"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880" w:type="dxa"/>
            <w:tcBorders>
              <w:top w:val="single" w:sz="4" w:space="0" w:color="auto"/>
              <w:left w:val="nil"/>
              <w:bottom w:val="single" w:sz="4" w:space="0" w:color="auto"/>
              <w:right w:val="nil"/>
            </w:tcBorders>
            <w:shd w:val="clear" w:color="auto" w:fill="auto"/>
            <w:vAlign w:val="center"/>
            <w:hideMark/>
          </w:tcPr>
          <w:p w14:paraId="6E2CEFA6" w14:textId="430173F2" w:rsidR="003D229F" w:rsidRPr="002910A5" w:rsidRDefault="00B91C97" w:rsidP="00A46860">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95)</w:t>
            </w:r>
          </w:p>
        </w:tc>
        <w:tc>
          <w:tcPr>
            <w:tcW w:w="2280" w:type="dxa"/>
            <w:tcBorders>
              <w:top w:val="single" w:sz="4" w:space="0" w:color="auto"/>
              <w:left w:val="nil"/>
              <w:bottom w:val="single" w:sz="4" w:space="0" w:color="auto"/>
              <w:right w:val="nil"/>
            </w:tcBorders>
            <w:shd w:val="clear" w:color="auto" w:fill="auto"/>
            <w:vAlign w:val="center"/>
            <w:hideMark/>
          </w:tcPr>
          <w:p w14:paraId="4CF2A425" w14:textId="4BD8F113" w:rsidR="003D229F" w:rsidRPr="002910A5" w:rsidRDefault="00B91C97" w:rsidP="00A46860">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w:t>
            </w:r>
            <w:r w:rsidR="00B65F10"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960" w:type="dxa"/>
            <w:tcBorders>
              <w:top w:val="single" w:sz="4" w:space="0" w:color="auto"/>
              <w:left w:val="nil"/>
              <w:bottom w:val="single" w:sz="4" w:space="0" w:color="auto"/>
              <w:right w:val="nil"/>
            </w:tcBorders>
            <w:shd w:val="clear" w:color="auto" w:fill="auto"/>
            <w:noWrap/>
            <w:vAlign w:val="center"/>
            <w:hideMark/>
          </w:tcPr>
          <w:p w14:paraId="13900E90"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7CDA0C4A" w14:textId="77777777" w:rsidTr="00C42C52">
        <w:trPr>
          <w:trHeight w:val="923"/>
        </w:trPr>
        <w:tc>
          <w:tcPr>
            <w:tcW w:w="3660" w:type="dxa"/>
            <w:tcBorders>
              <w:top w:val="nil"/>
              <w:left w:val="nil"/>
              <w:bottom w:val="nil"/>
              <w:right w:val="nil"/>
            </w:tcBorders>
            <w:shd w:val="clear" w:color="auto" w:fill="auto"/>
            <w:vAlign w:val="center"/>
            <w:hideMark/>
          </w:tcPr>
          <w:p w14:paraId="37BEE75B" w14:textId="72F36A11"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Pathological findings,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r w:rsidR="00FA2B3E" w:rsidRPr="002910A5">
              <w:rPr>
                <w:rFonts w:ascii="Book Antiqua" w:hAnsi="Book Antiqua" w:cs="Times New Roman"/>
                <w:sz w:val="24"/>
                <w:szCs w:val="24"/>
                <w:vertAlign w:val="superscript"/>
              </w:rPr>
              <w:t>1</w:t>
            </w:r>
            <w:r w:rsidR="00A46860">
              <w:rPr>
                <w:rFonts w:ascii="Book Antiqua" w:eastAsia="MS PGothic" w:hAnsi="Book Antiqua" w:cs="Times New Roman"/>
                <w:kern w:val="0"/>
                <w:sz w:val="24"/>
                <w:szCs w:val="24"/>
              </w:rPr>
              <w:br/>
              <w:t xml:space="preserve"> Differentiated</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Undifferentiated</w:t>
            </w:r>
          </w:p>
        </w:tc>
        <w:tc>
          <w:tcPr>
            <w:tcW w:w="1880" w:type="dxa"/>
            <w:tcBorders>
              <w:top w:val="nil"/>
              <w:left w:val="nil"/>
              <w:bottom w:val="nil"/>
              <w:right w:val="nil"/>
            </w:tcBorders>
            <w:shd w:val="clear" w:color="auto" w:fill="auto"/>
            <w:vAlign w:val="center"/>
            <w:hideMark/>
          </w:tcPr>
          <w:p w14:paraId="31BE5398"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94 (98.9)</w:t>
            </w:r>
            <w:r w:rsidRPr="002910A5">
              <w:rPr>
                <w:rFonts w:ascii="Book Antiqua" w:eastAsia="MS PGothic" w:hAnsi="Book Antiqua" w:cs="Times New Roman"/>
                <w:kern w:val="0"/>
                <w:sz w:val="24"/>
                <w:szCs w:val="24"/>
              </w:rPr>
              <w:br/>
              <w:t>1 (1.1)</w:t>
            </w:r>
          </w:p>
        </w:tc>
        <w:tc>
          <w:tcPr>
            <w:tcW w:w="2280" w:type="dxa"/>
            <w:tcBorders>
              <w:top w:val="nil"/>
              <w:left w:val="nil"/>
              <w:bottom w:val="nil"/>
              <w:right w:val="nil"/>
            </w:tcBorders>
            <w:shd w:val="clear" w:color="auto" w:fill="auto"/>
            <w:vAlign w:val="center"/>
            <w:hideMark/>
          </w:tcPr>
          <w:p w14:paraId="6D99B745" w14:textId="276A7108"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w:t>
            </w:r>
            <w:r w:rsidR="00205EFD"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(98.</w:t>
            </w:r>
            <w:r w:rsidR="00855F7B" w:rsidRPr="002910A5">
              <w:rPr>
                <w:rFonts w:ascii="Book Antiqua" w:eastAsia="MS PGothic" w:hAnsi="Book Antiqua" w:cs="Times New Roman"/>
                <w:kern w:val="0"/>
                <w:sz w:val="24"/>
                <w:szCs w:val="24"/>
              </w:rPr>
              <w:t>3</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1 (1.</w:t>
            </w:r>
            <w:r w:rsidR="00855F7B" w:rsidRPr="002910A5">
              <w:rPr>
                <w:rFonts w:ascii="Book Antiqua" w:eastAsia="MS PGothic" w:hAnsi="Book Antiqua" w:cs="Times New Roman"/>
                <w:kern w:val="0"/>
                <w:sz w:val="24"/>
                <w:szCs w:val="24"/>
              </w:rPr>
              <w:t>7</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vAlign w:val="center"/>
            <w:hideMark/>
          </w:tcPr>
          <w:p w14:paraId="3D18D617" w14:textId="31C2A315" w:rsidR="003D229F" w:rsidRPr="002910A5" w:rsidRDefault="003D229F" w:rsidP="001D5F29">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&gt;</w:t>
            </w:r>
            <w:r w:rsidR="001D5F29">
              <w:rPr>
                <w:rFonts w:ascii="Book Antiqua" w:hAnsi="Book Antiqua" w:cs="Times New Roman" w:hint="eastAsia"/>
                <w:kern w:val="0"/>
                <w:sz w:val="24"/>
                <w:szCs w:val="24"/>
                <w:lang w:eastAsia="zh-CN"/>
              </w:rPr>
              <w:t xml:space="preserve"> </w:t>
            </w:r>
            <w:r w:rsidRPr="002910A5">
              <w:rPr>
                <w:rFonts w:ascii="Book Antiqua" w:eastAsia="MS PGothic" w:hAnsi="Book Antiqua" w:cs="Times New Roman"/>
                <w:kern w:val="0"/>
                <w:sz w:val="24"/>
                <w:szCs w:val="24"/>
              </w:rPr>
              <w:t>0.99</w:t>
            </w:r>
          </w:p>
        </w:tc>
      </w:tr>
      <w:tr w:rsidR="003D229F" w:rsidRPr="002910A5" w14:paraId="247DCED3" w14:textId="77777777" w:rsidTr="00C42C52">
        <w:trPr>
          <w:trHeight w:val="923"/>
        </w:trPr>
        <w:tc>
          <w:tcPr>
            <w:tcW w:w="3660" w:type="dxa"/>
            <w:tcBorders>
              <w:top w:val="nil"/>
              <w:left w:val="nil"/>
              <w:bottom w:val="nil"/>
              <w:right w:val="nil"/>
            </w:tcBorders>
            <w:shd w:val="clear" w:color="auto" w:fill="auto"/>
            <w:vAlign w:val="center"/>
            <w:hideMark/>
          </w:tcPr>
          <w:p w14:paraId="54166E37" w14:textId="6A96A5AB"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Depth of invasion, </w:t>
            </w:r>
            <w:r w:rsidRPr="002910A5">
              <w:rPr>
                <w:rFonts w:ascii="Book Antiqua" w:eastAsia="MS PGothic" w:hAnsi="Book Antiqua" w:cs="Times New Roman"/>
                <w:i/>
                <w:iCs/>
                <w:kern w:val="0"/>
                <w:sz w:val="24"/>
                <w:szCs w:val="24"/>
              </w:rPr>
              <w:t>n</w:t>
            </w:r>
            <w:r w:rsidR="00A46860">
              <w:rPr>
                <w:rFonts w:ascii="Book Antiqua" w:eastAsia="MS PGothic" w:hAnsi="Book Antiqua" w:cs="Times New Roman"/>
                <w:kern w:val="0"/>
                <w:sz w:val="24"/>
                <w:szCs w:val="24"/>
              </w:rPr>
              <w:t xml:space="preserve"> (%)</w:t>
            </w:r>
            <w:r w:rsidR="00A46860">
              <w:rPr>
                <w:rFonts w:ascii="Book Antiqua" w:eastAsia="MS PGothic" w:hAnsi="Book Antiqua" w:cs="Times New Roman"/>
                <w:kern w:val="0"/>
                <w:sz w:val="24"/>
                <w:szCs w:val="24"/>
              </w:rPr>
              <w:br/>
              <w:t xml:space="preserve"> Mucosa</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Submucosa</w:t>
            </w:r>
          </w:p>
        </w:tc>
        <w:tc>
          <w:tcPr>
            <w:tcW w:w="1880" w:type="dxa"/>
            <w:tcBorders>
              <w:top w:val="nil"/>
              <w:left w:val="nil"/>
              <w:bottom w:val="nil"/>
              <w:right w:val="nil"/>
            </w:tcBorders>
            <w:shd w:val="clear" w:color="auto" w:fill="auto"/>
            <w:vAlign w:val="center"/>
            <w:hideMark/>
          </w:tcPr>
          <w:p w14:paraId="7B8F0D37"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80 (84.2)</w:t>
            </w:r>
            <w:r w:rsidRPr="002910A5">
              <w:rPr>
                <w:rFonts w:ascii="Book Antiqua" w:eastAsia="MS PGothic" w:hAnsi="Book Antiqua" w:cs="Times New Roman"/>
                <w:kern w:val="0"/>
                <w:sz w:val="24"/>
                <w:szCs w:val="24"/>
              </w:rPr>
              <w:br/>
              <w:t>15 (15.8)</w:t>
            </w:r>
          </w:p>
        </w:tc>
        <w:tc>
          <w:tcPr>
            <w:tcW w:w="2280" w:type="dxa"/>
            <w:tcBorders>
              <w:top w:val="nil"/>
              <w:left w:val="nil"/>
              <w:bottom w:val="nil"/>
              <w:right w:val="nil"/>
            </w:tcBorders>
            <w:shd w:val="clear" w:color="auto" w:fill="auto"/>
            <w:vAlign w:val="center"/>
            <w:hideMark/>
          </w:tcPr>
          <w:p w14:paraId="39FB03FF" w14:textId="25392845"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w:t>
            </w:r>
            <w:r w:rsidR="00205EFD" w:rsidRPr="002910A5">
              <w:rPr>
                <w:rFonts w:ascii="Book Antiqua" w:eastAsia="MS PGothic" w:hAnsi="Book Antiqua" w:cs="Times New Roman"/>
                <w:kern w:val="0"/>
                <w:sz w:val="24"/>
                <w:szCs w:val="24"/>
              </w:rPr>
              <w:t>2</w:t>
            </w:r>
            <w:r w:rsidRPr="002910A5">
              <w:rPr>
                <w:rFonts w:ascii="Book Antiqua" w:eastAsia="MS PGothic" w:hAnsi="Book Antiqua" w:cs="Times New Roman"/>
                <w:kern w:val="0"/>
                <w:sz w:val="24"/>
                <w:szCs w:val="24"/>
              </w:rPr>
              <w:t xml:space="preserve"> (</w:t>
            </w:r>
            <w:r w:rsidR="006060D8" w:rsidRPr="002910A5">
              <w:rPr>
                <w:rFonts w:ascii="Book Antiqua" w:eastAsia="MS PGothic" w:hAnsi="Book Antiqua" w:cs="Times New Roman"/>
                <w:kern w:val="0"/>
                <w:sz w:val="24"/>
                <w:szCs w:val="24"/>
              </w:rPr>
              <w:t>88.1</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r>
            <w:r w:rsidR="00205EFD" w:rsidRPr="002910A5">
              <w:rPr>
                <w:rFonts w:ascii="Book Antiqua" w:eastAsia="MS PGothic" w:hAnsi="Book Antiqua" w:cs="Times New Roman"/>
                <w:kern w:val="0"/>
                <w:sz w:val="24"/>
                <w:szCs w:val="24"/>
              </w:rPr>
              <w:t>7</w:t>
            </w:r>
            <w:r w:rsidRPr="002910A5">
              <w:rPr>
                <w:rFonts w:ascii="Book Antiqua" w:eastAsia="MS PGothic" w:hAnsi="Book Antiqua" w:cs="Times New Roman"/>
                <w:kern w:val="0"/>
                <w:sz w:val="24"/>
                <w:szCs w:val="24"/>
              </w:rPr>
              <w:t xml:space="preserve"> (</w:t>
            </w:r>
            <w:r w:rsidR="006060D8" w:rsidRPr="002910A5">
              <w:rPr>
                <w:rFonts w:ascii="Book Antiqua" w:eastAsia="MS PGothic" w:hAnsi="Book Antiqua" w:cs="Times New Roman"/>
                <w:kern w:val="0"/>
                <w:sz w:val="24"/>
                <w:szCs w:val="24"/>
              </w:rPr>
              <w:t>11.9</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vAlign w:val="center"/>
            <w:hideMark/>
          </w:tcPr>
          <w:p w14:paraId="6DD521C7" w14:textId="2811B0A6"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205EFD" w:rsidRPr="002910A5">
              <w:rPr>
                <w:rFonts w:ascii="Book Antiqua" w:eastAsia="MS PGothic" w:hAnsi="Book Antiqua" w:cs="Times New Roman"/>
                <w:kern w:val="0"/>
                <w:sz w:val="24"/>
                <w:szCs w:val="24"/>
              </w:rPr>
              <w:t>637</w:t>
            </w:r>
          </w:p>
        </w:tc>
      </w:tr>
      <w:tr w:rsidR="003D229F" w:rsidRPr="002910A5" w14:paraId="5331A628" w14:textId="77777777" w:rsidTr="00C42C52">
        <w:trPr>
          <w:trHeight w:val="308"/>
        </w:trPr>
        <w:tc>
          <w:tcPr>
            <w:tcW w:w="3660" w:type="dxa"/>
            <w:tcBorders>
              <w:top w:val="nil"/>
              <w:left w:val="nil"/>
              <w:bottom w:val="nil"/>
              <w:right w:val="nil"/>
            </w:tcBorders>
            <w:shd w:val="clear" w:color="auto" w:fill="auto"/>
            <w:noWrap/>
            <w:vAlign w:val="center"/>
            <w:hideMark/>
          </w:tcPr>
          <w:p w14:paraId="09742E20"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Specimen size, median (IQR), mm</w:t>
            </w:r>
          </w:p>
        </w:tc>
        <w:tc>
          <w:tcPr>
            <w:tcW w:w="1880" w:type="dxa"/>
            <w:tcBorders>
              <w:top w:val="nil"/>
              <w:left w:val="nil"/>
              <w:bottom w:val="nil"/>
              <w:right w:val="nil"/>
            </w:tcBorders>
            <w:shd w:val="clear" w:color="auto" w:fill="auto"/>
            <w:noWrap/>
            <w:vAlign w:val="center"/>
            <w:hideMark/>
          </w:tcPr>
          <w:p w14:paraId="491A4150" w14:textId="069719FA"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30 (25</w:t>
            </w:r>
            <w:r w:rsidR="00A46860">
              <w:rPr>
                <w:rFonts w:ascii="Book Antiqua" w:eastAsia="Meiryo UI" w:hAnsi="Book Antiqua" w:cs="Times New Roman"/>
                <w:sz w:val="24"/>
                <w:szCs w:val="24"/>
              </w:rPr>
              <w:t>-</w:t>
            </w:r>
            <w:r w:rsidRPr="002910A5">
              <w:rPr>
                <w:rFonts w:ascii="Book Antiqua" w:eastAsia="MS PGothic" w:hAnsi="Book Antiqua" w:cs="Times New Roman"/>
                <w:kern w:val="0"/>
                <w:sz w:val="24"/>
                <w:szCs w:val="24"/>
              </w:rPr>
              <w:t>39)</w:t>
            </w:r>
          </w:p>
        </w:tc>
        <w:tc>
          <w:tcPr>
            <w:tcW w:w="2280" w:type="dxa"/>
            <w:tcBorders>
              <w:top w:val="nil"/>
              <w:left w:val="nil"/>
              <w:bottom w:val="nil"/>
              <w:right w:val="nil"/>
            </w:tcBorders>
            <w:shd w:val="clear" w:color="auto" w:fill="auto"/>
            <w:noWrap/>
            <w:vAlign w:val="center"/>
            <w:hideMark/>
          </w:tcPr>
          <w:p w14:paraId="0F48830A" w14:textId="4FE7354E"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w:t>
            </w:r>
            <w:r w:rsidR="00EB138B" w:rsidRPr="002910A5">
              <w:rPr>
                <w:rFonts w:ascii="Book Antiqua" w:eastAsia="MS PGothic" w:hAnsi="Book Antiqua" w:cs="Times New Roman"/>
                <w:kern w:val="0"/>
                <w:sz w:val="24"/>
                <w:szCs w:val="24"/>
              </w:rPr>
              <w:t>3</w:t>
            </w:r>
            <w:r w:rsidRPr="002910A5">
              <w:rPr>
                <w:rFonts w:ascii="Book Antiqua" w:eastAsia="MS PGothic" w:hAnsi="Book Antiqua" w:cs="Times New Roman"/>
                <w:kern w:val="0"/>
                <w:sz w:val="24"/>
                <w:szCs w:val="24"/>
              </w:rPr>
              <w:t xml:space="preserve"> (2</w:t>
            </w:r>
            <w:r w:rsidR="00EB138B" w:rsidRPr="002910A5">
              <w:rPr>
                <w:rFonts w:ascii="Book Antiqua" w:eastAsia="MS PGothic" w:hAnsi="Book Antiqua" w:cs="Times New Roman"/>
                <w:kern w:val="0"/>
                <w:sz w:val="24"/>
                <w:szCs w:val="24"/>
              </w:rPr>
              <w:t>5</w:t>
            </w:r>
            <w:r w:rsidR="00A46860">
              <w:rPr>
                <w:rFonts w:ascii="Book Antiqua" w:eastAsia="Meiryo UI" w:hAnsi="Book Antiqua" w:cs="Times New Roman"/>
                <w:sz w:val="24"/>
                <w:szCs w:val="24"/>
              </w:rPr>
              <w:t>-</w:t>
            </w:r>
            <w:r w:rsidR="00B75436" w:rsidRPr="002910A5">
              <w:rPr>
                <w:rFonts w:ascii="Book Antiqua" w:eastAsia="Meiryo UI" w:hAnsi="Book Antiqua" w:cs="Times New Roman"/>
                <w:sz w:val="24"/>
                <w:szCs w:val="24"/>
              </w:rPr>
              <w:t>41.5</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noWrap/>
            <w:vAlign w:val="center"/>
            <w:hideMark/>
          </w:tcPr>
          <w:p w14:paraId="6BD7DC77" w14:textId="129045B2"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B75436" w:rsidRPr="002910A5">
              <w:rPr>
                <w:rFonts w:ascii="Book Antiqua" w:eastAsia="MS PGothic" w:hAnsi="Book Antiqua" w:cs="Times New Roman"/>
                <w:kern w:val="0"/>
                <w:sz w:val="24"/>
                <w:szCs w:val="24"/>
              </w:rPr>
              <w:t>944</w:t>
            </w:r>
          </w:p>
        </w:tc>
      </w:tr>
      <w:tr w:rsidR="003D229F" w:rsidRPr="002910A5" w14:paraId="2A254231" w14:textId="77777777" w:rsidTr="00C42C52">
        <w:trPr>
          <w:trHeight w:val="308"/>
        </w:trPr>
        <w:tc>
          <w:tcPr>
            <w:tcW w:w="3660" w:type="dxa"/>
            <w:tcBorders>
              <w:top w:val="nil"/>
              <w:left w:val="nil"/>
              <w:bottom w:val="nil"/>
              <w:right w:val="nil"/>
            </w:tcBorders>
            <w:shd w:val="clear" w:color="auto" w:fill="auto"/>
            <w:noWrap/>
            <w:vAlign w:val="center"/>
            <w:hideMark/>
          </w:tcPr>
          <w:p w14:paraId="32C04026"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Complete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1469AFB3"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91 (95.8)</w:t>
            </w:r>
          </w:p>
        </w:tc>
        <w:tc>
          <w:tcPr>
            <w:tcW w:w="2280" w:type="dxa"/>
            <w:tcBorders>
              <w:top w:val="nil"/>
              <w:left w:val="nil"/>
              <w:bottom w:val="nil"/>
              <w:right w:val="nil"/>
            </w:tcBorders>
            <w:shd w:val="clear" w:color="auto" w:fill="auto"/>
            <w:noWrap/>
            <w:vAlign w:val="center"/>
            <w:hideMark/>
          </w:tcPr>
          <w:p w14:paraId="35861ADA" w14:textId="0BC429DD"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w:t>
            </w:r>
            <w:r w:rsidR="00D45404" w:rsidRPr="002910A5">
              <w:rPr>
                <w:rFonts w:ascii="Book Antiqua" w:eastAsia="MS PGothic" w:hAnsi="Book Antiqua" w:cs="Times New Roman"/>
                <w:kern w:val="0"/>
                <w:sz w:val="24"/>
                <w:szCs w:val="24"/>
              </w:rPr>
              <w:t>7</w:t>
            </w:r>
            <w:r w:rsidRPr="002910A5">
              <w:rPr>
                <w:rFonts w:ascii="Book Antiqua" w:eastAsia="MS PGothic" w:hAnsi="Book Antiqua" w:cs="Times New Roman"/>
                <w:kern w:val="0"/>
                <w:sz w:val="24"/>
                <w:szCs w:val="24"/>
              </w:rPr>
              <w:t xml:space="preserve"> (9</w:t>
            </w:r>
            <w:r w:rsidR="006060D8" w:rsidRPr="002910A5">
              <w:rPr>
                <w:rFonts w:ascii="Book Antiqua" w:eastAsia="MS PGothic" w:hAnsi="Book Antiqua" w:cs="Times New Roman"/>
                <w:kern w:val="0"/>
                <w:sz w:val="24"/>
                <w:szCs w:val="24"/>
              </w:rPr>
              <w:t>6.6</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noWrap/>
            <w:vAlign w:val="center"/>
            <w:hideMark/>
          </w:tcPr>
          <w:p w14:paraId="74C0F934" w14:textId="4AC67CF9" w:rsidR="003D229F" w:rsidRPr="002910A5" w:rsidRDefault="00D45404"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&gt; 0.99</w:t>
            </w:r>
          </w:p>
        </w:tc>
      </w:tr>
      <w:tr w:rsidR="003D229F" w:rsidRPr="002910A5" w14:paraId="3396E7C2" w14:textId="77777777" w:rsidTr="00C42C52">
        <w:trPr>
          <w:trHeight w:val="308"/>
        </w:trPr>
        <w:tc>
          <w:tcPr>
            <w:tcW w:w="3660" w:type="dxa"/>
            <w:tcBorders>
              <w:top w:val="nil"/>
              <w:left w:val="nil"/>
              <w:bottom w:val="nil"/>
              <w:right w:val="nil"/>
            </w:tcBorders>
            <w:shd w:val="clear" w:color="auto" w:fill="auto"/>
            <w:noWrap/>
            <w:vAlign w:val="center"/>
            <w:hideMark/>
          </w:tcPr>
          <w:p w14:paraId="726926D7"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Curative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47040C87"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85 (89.5)</w:t>
            </w:r>
          </w:p>
        </w:tc>
        <w:tc>
          <w:tcPr>
            <w:tcW w:w="2280" w:type="dxa"/>
            <w:tcBorders>
              <w:top w:val="nil"/>
              <w:left w:val="nil"/>
              <w:bottom w:val="nil"/>
              <w:right w:val="nil"/>
            </w:tcBorders>
            <w:shd w:val="clear" w:color="auto" w:fill="auto"/>
            <w:noWrap/>
            <w:vAlign w:val="center"/>
            <w:hideMark/>
          </w:tcPr>
          <w:p w14:paraId="01616BCA" w14:textId="6E972696"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w:t>
            </w:r>
            <w:r w:rsidR="009E71E4" w:rsidRPr="002910A5">
              <w:rPr>
                <w:rFonts w:ascii="Book Antiqua" w:eastAsia="MS PGothic" w:hAnsi="Book Antiqua" w:cs="Times New Roman"/>
                <w:kern w:val="0"/>
                <w:sz w:val="24"/>
                <w:szCs w:val="24"/>
              </w:rPr>
              <w:t>4</w:t>
            </w:r>
            <w:r w:rsidRPr="002910A5">
              <w:rPr>
                <w:rFonts w:ascii="Book Antiqua" w:eastAsia="MS PGothic" w:hAnsi="Book Antiqua" w:cs="Times New Roman"/>
                <w:kern w:val="0"/>
                <w:sz w:val="24"/>
                <w:szCs w:val="24"/>
              </w:rPr>
              <w:t xml:space="preserve"> (9</w:t>
            </w:r>
            <w:r w:rsidR="00D90CD5" w:rsidRPr="002910A5">
              <w:rPr>
                <w:rFonts w:ascii="Book Antiqua" w:eastAsia="MS PGothic" w:hAnsi="Book Antiqua" w:cs="Times New Roman"/>
                <w:kern w:val="0"/>
                <w:sz w:val="24"/>
                <w:szCs w:val="24"/>
              </w:rPr>
              <w:t>1.5</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noWrap/>
            <w:vAlign w:val="center"/>
            <w:hideMark/>
          </w:tcPr>
          <w:p w14:paraId="1170E892" w14:textId="1F87868E"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9E71E4" w:rsidRPr="002910A5">
              <w:rPr>
                <w:rFonts w:ascii="Book Antiqua" w:eastAsia="MS PGothic" w:hAnsi="Book Antiqua" w:cs="Times New Roman"/>
                <w:kern w:val="0"/>
                <w:sz w:val="24"/>
                <w:szCs w:val="24"/>
              </w:rPr>
              <w:t>785</w:t>
            </w:r>
          </w:p>
        </w:tc>
      </w:tr>
      <w:tr w:rsidR="003D229F" w:rsidRPr="002910A5" w14:paraId="6C2E9742" w14:textId="77777777" w:rsidTr="00C42C52">
        <w:trPr>
          <w:trHeight w:val="308"/>
        </w:trPr>
        <w:tc>
          <w:tcPr>
            <w:tcW w:w="3660" w:type="dxa"/>
            <w:tcBorders>
              <w:top w:val="nil"/>
              <w:left w:val="nil"/>
              <w:bottom w:val="single" w:sz="4" w:space="0" w:color="auto"/>
              <w:right w:val="nil"/>
            </w:tcBorders>
            <w:shd w:val="clear" w:color="auto" w:fill="auto"/>
            <w:noWrap/>
            <w:vAlign w:val="center"/>
            <w:hideMark/>
          </w:tcPr>
          <w:p w14:paraId="3F45BDBA"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Postoperative bleeding,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single" w:sz="4" w:space="0" w:color="auto"/>
              <w:right w:val="nil"/>
            </w:tcBorders>
            <w:shd w:val="clear" w:color="auto" w:fill="auto"/>
            <w:noWrap/>
            <w:vAlign w:val="center"/>
            <w:hideMark/>
          </w:tcPr>
          <w:p w14:paraId="718C6C42"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15 (15.8)</w:t>
            </w:r>
          </w:p>
        </w:tc>
        <w:tc>
          <w:tcPr>
            <w:tcW w:w="2280" w:type="dxa"/>
            <w:tcBorders>
              <w:top w:val="nil"/>
              <w:left w:val="nil"/>
              <w:bottom w:val="single" w:sz="4" w:space="0" w:color="auto"/>
              <w:right w:val="nil"/>
            </w:tcBorders>
            <w:shd w:val="clear" w:color="auto" w:fill="auto"/>
            <w:noWrap/>
            <w:vAlign w:val="center"/>
            <w:hideMark/>
          </w:tcPr>
          <w:p w14:paraId="332226D9" w14:textId="3B84EF32"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 (</w:t>
            </w:r>
            <w:r w:rsidR="00D90CD5" w:rsidRPr="002910A5">
              <w:rPr>
                <w:rFonts w:ascii="Book Antiqua" w:eastAsia="MS PGothic" w:hAnsi="Book Antiqua" w:cs="Times New Roman"/>
                <w:kern w:val="0"/>
                <w:sz w:val="24"/>
                <w:szCs w:val="24"/>
              </w:rPr>
              <w:t>8.5</w:t>
            </w:r>
            <w:r w:rsidRPr="002910A5">
              <w:rPr>
                <w:rFonts w:ascii="Book Antiqua" w:eastAsia="MS PGothic" w:hAnsi="Book Antiqua" w:cs="Times New Roman"/>
                <w:kern w:val="0"/>
                <w:sz w:val="24"/>
                <w:szCs w:val="24"/>
              </w:rPr>
              <w:t>)</w:t>
            </w:r>
          </w:p>
        </w:tc>
        <w:tc>
          <w:tcPr>
            <w:tcW w:w="960" w:type="dxa"/>
            <w:tcBorders>
              <w:top w:val="nil"/>
              <w:left w:val="nil"/>
              <w:bottom w:val="single" w:sz="4" w:space="0" w:color="auto"/>
              <w:right w:val="nil"/>
            </w:tcBorders>
            <w:shd w:val="clear" w:color="auto" w:fill="auto"/>
            <w:noWrap/>
            <w:vAlign w:val="center"/>
            <w:hideMark/>
          </w:tcPr>
          <w:p w14:paraId="40392AE0" w14:textId="3FAF6402"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9E71E4" w:rsidRPr="002910A5">
              <w:rPr>
                <w:rFonts w:ascii="Book Antiqua" w:eastAsia="MS PGothic" w:hAnsi="Book Antiqua" w:cs="Times New Roman"/>
                <w:kern w:val="0"/>
                <w:sz w:val="24"/>
                <w:szCs w:val="24"/>
              </w:rPr>
              <w:t>225</w:t>
            </w:r>
          </w:p>
        </w:tc>
      </w:tr>
    </w:tbl>
    <w:p w14:paraId="526DAE8B" w14:textId="15F26F14" w:rsidR="003D229F" w:rsidRPr="002910A5" w:rsidRDefault="00A46860"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eastAsia="MS PGothic" w:hAnsi="Book Antiqua" w:cs="Times New Roman"/>
          <w:kern w:val="0"/>
          <w:sz w:val="24"/>
          <w:szCs w:val="24"/>
        </w:rPr>
        <w:t>IQR: I</w:t>
      </w:r>
      <w:r w:rsidR="003D229F" w:rsidRPr="002910A5">
        <w:rPr>
          <w:rFonts w:ascii="Book Antiqua" w:eastAsia="MS PGothic" w:hAnsi="Book Antiqua" w:cs="Times New Roman"/>
          <w:kern w:val="0"/>
          <w:sz w:val="24"/>
          <w:szCs w:val="24"/>
        </w:rPr>
        <w:t>nterquartile range</w:t>
      </w:r>
      <w:r>
        <w:rPr>
          <w:rFonts w:ascii="Book Antiqua" w:eastAsia="MS PGothic" w:hAnsi="Book Antiqua" w:cs="Times New Roman"/>
          <w:kern w:val="0"/>
          <w:sz w:val="24"/>
          <w:szCs w:val="24"/>
        </w:rPr>
        <w:t>;</w:t>
      </w:r>
      <w:r>
        <w:rPr>
          <w:rFonts w:ascii="Book Antiqua" w:hAnsi="Book Antiqua" w:cs="Times New Roman"/>
          <w:kern w:val="24"/>
          <w:sz w:val="24"/>
          <w:szCs w:val="24"/>
        </w:rPr>
        <w:t xml:space="preserve">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4F01FFC3" w14:textId="77777777" w:rsidR="00A46860" w:rsidRDefault="00A46860">
      <w:pPr>
        <w:widowControl/>
        <w:jc w:val="left"/>
        <w:rPr>
          <w:rFonts w:ascii="Book Antiqua" w:hAnsi="Book Antiqua" w:cs="Times New Roman"/>
          <w:sz w:val="24"/>
          <w:szCs w:val="24"/>
        </w:rPr>
      </w:pPr>
      <w:r>
        <w:rPr>
          <w:rFonts w:ascii="Book Antiqua" w:hAnsi="Book Antiqua" w:cs="Times New Roman"/>
          <w:sz w:val="24"/>
          <w:szCs w:val="24"/>
        </w:rPr>
        <w:br w:type="page"/>
      </w:r>
    </w:p>
    <w:p w14:paraId="465CDFFF" w14:textId="1ABDAD70"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Table 4 Comparison of c</w:t>
      </w:r>
      <w:r w:rsidRPr="002910A5">
        <w:rPr>
          <w:rFonts w:ascii="Book Antiqua" w:eastAsia="MS PGothic" w:hAnsi="Book Antiqua" w:cs="Times New Roman"/>
          <w:b/>
          <w:kern w:val="0"/>
          <w:sz w:val="24"/>
          <w:szCs w:val="24"/>
        </w:rPr>
        <w:t>haracteristics adjusted among patients receiving single-</w:t>
      </w:r>
      <w:r w:rsidR="00F410D5"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in the continuous </w:t>
      </w:r>
      <w:r w:rsidR="00F410D5"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F410D5"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500" w:type="dxa"/>
        <w:tblCellMar>
          <w:left w:w="99" w:type="dxa"/>
          <w:right w:w="99" w:type="dxa"/>
        </w:tblCellMar>
        <w:tblLook w:val="04A0" w:firstRow="1" w:lastRow="0" w:firstColumn="1" w:lastColumn="0" w:noHBand="0" w:noVBand="1"/>
      </w:tblPr>
      <w:tblGrid>
        <w:gridCol w:w="3300"/>
        <w:gridCol w:w="1880"/>
        <w:gridCol w:w="2260"/>
        <w:gridCol w:w="1060"/>
      </w:tblGrid>
      <w:tr w:rsidR="003D229F" w:rsidRPr="002910A5" w14:paraId="52741E24" w14:textId="77777777" w:rsidTr="00C42C52">
        <w:trPr>
          <w:trHeight w:val="615"/>
        </w:trPr>
        <w:tc>
          <w:tcPr>
            <w:tcW w:w="3300" w:type="dxa"/>
            <w:tcBorders>
              <w:top w:val="single" w:sz="4" w:space="0" w:color="auto"/>
              <w:left w:val="nil"/>
              <w:bottom w:val="single" w:sz="4" w:space="0" w:color="auto"/>
              <w:right w:val="nil"/>
            </w:tcBorders>
            <w:shd w:val="clear" w:color="auto" w:fill="auto"/>
            <w:noWrap/>
            <w:vAlign w:val="center"/>
            <w:hideMark/>
          </w:tcPr>
          <w:p w14:paraId="740A0610"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880" w:type="dxa"/>
            <w:tcBorders>
              <w:top w:val="single" w:sz="4" w:space="0" w:color="auto"/>
              <w:left w:val="nil"/>
              <w:bottom w:val="single" w:sz="4" w:space="0" w:color="auto"/>
              <w:right w:val="nil"/>
            </w:tcBorders>
            <w:shd w:val="clear" w:color="auto" w:fill="auto"/>
            <w:vAlign w:val="center"/>
            <w:hideMark/>
          </w:tcPr>
          <w:p w14:paraId="3F977824" w14:textId="4492B5E7" w:rsidR="003D229F" w:rsidRPr="002910A5" w:rsidRDefault="001D5F29" w:rsidP="00AE0987">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56)</w:t>
            </w:r>
          </w:p>
        </w:tc>
        <w:tc>
          <w:tcPr>
            <w:tcW w:w="2260" w:type="dxa"/>
            <w:tcBorders>
              <w:top w:val="single" w:sz="4" w:space="0" w:color="auto"/>
              <w:left w:val="nil"/>
              <w:bottom w:val="single" w:sz="4" w:space="0" w:color="auto"/>
              <w:right w:val="nil"/>
            </w:tcBorders>
            <w:shd w:val="clear" w:color="auto" w:fill="auto"/>
            <w:vAlign w:val="center"/>
            <w:hideMark/>
          </w:tcPr>
          <w:p w14:paraId="30E8DF4F" w14:textId="04360238" w:rsidR="003D229F" w:rsidRPr="002910A5" w:rsidRDefault="001D5F29" w:rsidP="00AE0987">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3</w:t>
            </w:r>
            <w:r w:rsidR="002A64A9"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1060" w:type="dxa"/>
            <w:tcBorders>
              <w:top w:val="single" w:sz="4" w:space="0" w:color="auto"/>
              <w:left w:val="nil"/>
              <w:bottom w:val="single" w:sz="4" w:space="0" w:color="auto"/>
              <w:right w:val="nil"/>
            </w:tcBorders>
            <w:shd w:val="clear" w:color="auto" w:fill="auto"/>
            <w:noWrap/>
            <w:vAlign w:val="center"/>
            <w:hideMark/>
          </w:tcPr>
          <w:p w14:paraId="70CBB88E"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2D5BB263" w14:textId="77777777" w:rsidTr="00C42C52">
        <w:trPr>
          <w:trHeight w:val="308"/>
        </w:trPr>
        <w:tc>
          <w:tcPr>
            <w:tcW w:w="3300" w:type="dxa"/>
            <w:tcBorders>
              <w:top w:val="nil"/>
              <w:left w:val="nil"/>
              <w:bottom w:val="nil"/>
              <w:right w:val="nil"/>
            </w:tcBorders>
            <w:shd w:val="clear" w:color="auto" w:fill="auto"/>
            <w:noWrap/>
            <w:vAlign w:val="center"/>
            <w:hideMark/>
          </w:tcPr>
          <w:p w14:paraId="4BB51CF9" w14:textId="78E8EB4A"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A46860">
              <w:rPr>
                <w:rFonts w:ascii="Book Antiqua" w:eastAsia="MS PGothic" w:hAnsi="Book Antiqua" w:cs="Times New Roman"/>
                <w:kern w:val="0"/>
                <w:sz w:val="24"/>
                <w:szCs w:val="24"/>
              </w:rPr>
              <w:t>r</w:t>
            </w:r>
            <w:proofErr w:type="spellEnd"/>
          </w:p>
        </w:tc>
        <w:tc>
          <w:tcPr>
            <w:tcW w:w="1880" w:type="dxa"/>
            <w:tcBorders>
              <w:top w:val="nil"/>
              <w:left w:val="nil"/>
              <w:bottom w:val="nil"/>
              <w:right w:val="nil"/>
            </w:tcBorders>
            <w:shd w:val="clear" w:color="auto" w:fill="auto"/>
            <w:noWrap/>
            <w:vAlign w:val="center"/>
            <w:hideMark/>
          </w:tcPr>
          <w:p w14:paraId="7E256ABF"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76.5 (7.628)</w:t>
            </w:r>
          </w:p>
        </w:tc>
        <w:tc>
          <w:tcPr>
            <w:tcW w:w="2260" w:type="dxa"/>
            <w:tcBorders>
              <w:top w:val="nil"/>
              <w:left w:val="nil"/>
              <w:bottom w:val="nil"/>
              <w:right w:val="nil"/>
            </w:tcBorders>
            <w:shd w:val="clear" w:color="auto" w:fill="auto"/>
            <w:noWrap/>
            <w:vAlign w:val="center"/>
            <w:hideMark/>
          </w:tcPr>
          <w:p w14:paraId="7C7D2FF9" w14:textId="0AEA0A3C"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w:t>
            </w:r>
            <w:r w:rsidR="00CF7520" w:rsidRPr="002910A5">
              <w:rPr>
                <w:rFonts w:ascii="Book Antiqua" w:eastAsia="MS PGothic" w:hAnsi="Book Antiqua" w:cs="Times New Roman"/>
                <w:kern w:val="0"/>
                <w:sz w:val="24"/>
                <w:szCs w:val="24"/>
              </w:rPr>
              <w:t>4.8</w:t>
            </w:r>
            <w:r w:rsidRPr="002910A5">
              <w:rPr>
                <w:rFonts w:ascii="Book Antiqua" w:eastAsia="MS PGothic" w:hAnsi="Book Antiqua" w:cs="Times New Roman"/>
                <w:kern w:val="0"/>
                <w:sz w:val="24"/>
                <w:szCs w:val="24"/>
              </w:rPr>
              <w:t xml:space="preserve"> (</w:t>
            </w:r>
            <w:r w:rsidR="000F4029" w:rsidRPr="002910A5">
              <w:rPr>
                <w:rFonts w:ascii="Book Antiqua" w:eastAsia="MS PGothic" w:hAnsi="Book Antiqua" w:cs="Times New Roman"/>
                <w:kern w:val="0"/>
                <w:sz w:val="24"/>
                <w:szCs w:val="24"/>
              </w:rPr>
              <w:t>5.961</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9A656C5" w14:textId="2C64CC82"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0F4029" w:rsidRPr="002910A5">
              <w:rPr>
                <w:rFonts w:ascii="Book Antiqua" w:eastAsia="MS PGothic" w:hAnsi="Book Antiqua" w:cs="Times New Roman"/>
                <w:kern w:val="0"/>
                <w:sz w:val="24"/>
                <w:szCs w:val="24"/>
              </w:rPr>
              <w:t>255</w:t>
            </w:r>
          </w:p>
        </w:tc>
      </w:tr>
      <w:tr w:rsidR="003D229F" w:rsidRPr="002910A5" w14:paraId="374E3C17" w14:textId="77777777" w:rsidTr="00C42C52">
        <w:trPr>
          <w:trHeight w:val="308"/>
        </w:trPr>
        <w:tc>
          <w:tcPr>
            <w:tcW w:w="3300" w:type="dxa"/>
            <w:tcBorders>
              <w:top w:val="nil"/>
              <w:left w:val="nil"/>
              <w:bottom w:val="nil"/>
              <w:right w:val="nil"/>
            </w:tcBorders>
            <w:shd w:val="clear" w:color="auto" w:fill="auto"/>
            <w:noWrap/>
            <w:vAlign w:val="center"/>
            <w:hideMark/>
          </w:tcPr>
          <w:p w14:paraId="31D74C3E"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2B94BCEB"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37 (66.1)</w:t>
            </w:r>
          </w:p>
        </w:tc>
        <w:tc>
          <w:tcPr>
            <w:tcW w:w="2260" w:type="dxa"/>
            <w:tcBorders>
              <w:top w:val="nil"/>
              <w:left w:val="nil"/>
              <w:bottom w:val="nil"/>
              <w:right w:val="nil"/>
            </w:tcBorders>
            <w:shd w:val="clear" w:color="auto" w:fill="auto"/>
            <w:noWrap/>
            <w:vAlign w:val="center"/>
            <w:hideMark/>
          </w:tcPr>
          <w:p w14:paraId="04204769" w14:textId="23C91A5A" w:rsidR="003D229F" w:rsidRPr="002910A5" w:rsidRDefault="002A64A9"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32</w:t>
            </w:r>
            <w:r w:rsidR="003D229F" w:rsidRPr="002910A5">
              <w:rPr>
                <w:rFonts w:ascii="Book Antiqua" w:eastAsia="MS PGothic" w:hAnsi="Book Antiqua" w:cs="Times New Roman"/>
                <w:kern w:val="0"/>
                <w:sz w:val="24"/>
                <w:szCs w:val="24"/>
              </w:rPr>
              <w:t xml:space="preserve"> (</w:t>
            </w:r>
            <w:r w:rsidR="00855E6B" w:rsidRPr="002910A5">
              <w:rPr>
                <w:rFonts w:ascii="Book Antiqua" w:eastAsia="MS PGothic" w:hAnsi="Book Antiqua" w:cs="Times New Roman"/>
                <w:kern w:val="0"/>
                <w:sz w:val="24"/>
                <w:szCs w:val="24"/>
              </w:rPr>
              <w:t>82.1</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56037EC" w14:textId="320666E0"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2A64A9" w:rsidRPr="002910A5">
              <w:rPr>
                <w:rFonts w:ascii="Book Antiqua" w:eastAsia="MS PGothic" w:hAnsi="Book Antiqua" w:cs="Times New Roman"/>
                <w:kern w:val="0"/>
                <w:sz w:val="24"/>
                <w:szCs w:val="24"/>
              </w:rPr>
              <w:t>105</w:t>
            </w:r>
          </w:p>
        </w:tc>
      </w:tr>
      <w:tr w:rsidR="003D229F" w:rsidRPr="002910A5" w14:paraId="1B89EC37" w14:textId="77777777" w:rsidTr="00C42C52">
        <w:trPr>
          <w:trHeight w:val="308"/>
        </w:trPr>
        <w:tc>
          <w:tcPr>
            <w:tcW w:w="3300" w:type="dxa"/>
            <w:tcBorders>
              <w:top w:val="nil"/>
              <w:left w:val="nil"/>
              <w:bottom w:val="nil"/>
              <w:right w:val="nil"/>
            </w:tcBorders>
            <w:shd w:val="clear" w:color="auto" w:fill="auto"/>
            <w:noWrap/>
            <w:vAlign w:val="center"/>
            <w:hideMark/>
          </w:tcPr>
          <w:p w14:paraId="4F6412A6" w14:textId="1A9777D0"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A46860">
              <w:rPr>
                <w:rFonts w:ascii="Book Antiqua" w:eastAsia="MS PGothic" w:hAnsi="Book Antiqua" w:cs="Times New Roman"/>
                <w:kern w:val="0"/>
                <w:sz w:val="24"/>
                <w:szCs w:val="24"/>
              </w:rPr>
              <w:t>r</w:t>
            </w:r>
            <w:proofErr w:type="spellEnd"/>
          </w:p>
        </w:tc>
        <w:tc>
          <w:tcPr>
            <w:tcW w:w="1880" w:type="dxa"/>
            <w:tcBorders>
              <w:top w:val="nil"/>
              <w:left w:val="nil"/>
              <w:bottom w:val="nil"/>
              <w:right w:val="nil"/>
            </w:tcBorders>
            <w:shd w:val="clear" w:color="auto" w:fill="auto"/>
            <w:vAlign w:val="center"/>
            <w:hideMark/>
          </w:tcPr>
          <w:p w14:paraId="4D2C5168"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22.2 (3.029)</w:t>
            </w:r>
          </w:p>
        </w:tc>
        <w:tc>
          <w:tcPr>
            <w:tcW w:w="2260" w:type="dxa"/>
            <w:tcBorders>
              <w:top w:val="nil"/>
              <w:left w:val="nil"/>
              <w:bottom w:val="nil"/>
              <w:right w:val="nil"/>
            </w:tcBorders>
            <w:shd w:val="clear" w:color="auto" w:fill="auto"/>
            <w:vAlign w:val="center"/>
            <w:hideMark/>
          </w:tcPr>
          <w:p w14:paraId="383BDA39" w14:textId="1DAF4418"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23.</w:t>
            </w:r>
            <w:r w:rsidR="006A7EDD" w:rsidRPr="002910A5">
              <w:rPr>
                <w:rFonts w:ascii="Book Antiqua" w:eastAsia="MS PGothic" w:hAnsi="Book Antiqua" w:cs="Times New Roman"/>
                <w:kern w:val="0"/>
                <w:sz w:val="24"/>
                <w:szCs w:val="24"/>
              </w:rPr>
              <w:t>6</w:t>
            </w:r>
            <w:r w:rsidRPr="002910A5">
              <w:rPr>
                <w:rFonts w:ascii="Book Antiqua" w:eastAsia="MS PGothic" w:hAnsi="Book Antiqua" w:cs="Times New Roman"/>
                <w:kern w:val="0"/>
                <w:sz w:val="24"/>
                <w:szCs w:val="24"/>
              </w:rPr>
              <w:t xml:space="preserve"> (</w:t>
            </w:r>
            <w:r w:rsidR="006A7EDD" w:rsidRPr="002910A5">
              <w:rPr>
                <w:rFonts w:ascii="Book Antiqua" w:eastAsia="MS PGothic" w:hAnsi="Book Antiqua" w:cs="Times New Roman"/>
                <w:kern w:val="0"/>
                <w:sz w:val="24"/>
                <w:szCs w:val="24"/>
              </w:rPr>
              <w:t>2.958</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B2F9592" w14:textId="3AA57C70"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0.0</w:t>
            </w:r>
            <w:r w:rsidR="006A7EDD" w:rsidRPr="002910A5">
              <w:rPr>
                <w:rFonts w:ascii="Book Antiqua" w:eastAsia="MS PGothic" w:hAnsi="Book Antiqua" w:cs="Times New Roman"/>
                <w:kern w:val="0"/>
                <w:sz w:val="24"/>
                <w:szCs w:val="24"/>
              </w:rPr>
              <w:t>25</w:t>
            </w:r>
          </w:p>
        </w:tc>
      </w:tr>
      <w:tr w:rsidR="003D229F" w:rsidRPr="002910A5" w14:paraId="5B199147" w14:textId="77777777" w:rsidTr="00C42C52">
        <w:trPr>
          <w:trHeight w:val="308"/>
        </w:trPr>
        <w:tc>
          <w:tcPr>
            <w:tcW w:w="3300" w:type="dxa"/>
            <w:tcBorders>
              <w:top w:val="nil"/>
              <w:left w:val="nil"/>
              <w:bottom w:val="nil"/>
              <w:right w:val="nil"/>
            </w:tcBorders>
            <w:shd w:val="clear" w:color="auto" w:fill="auto"/>
            <w:vAlign w:val="center"/>
            <w:hideMark/>
          </w:tcPr>
          <w:p w14:paraId="1537BC4C"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Comorbidity, </w:t>
            </w:r>
            <w:r w:rsidRPr="002910A5">
              <w:rPr>
                <w:rFonts w:ascii="Book Antiqua" w:eastAsia="MS PGothic" w:hAnsi="Book Antiqua" w:cs="Times New Roman"/>
                <w:i/>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163F5992"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p>
        </w:tc>
        <w:tc>
          <w:tcPr>
            <w:tcW w:w="2260" w:type="dxa"/>
            <w:tcBorders>
              <w:top w:val="nil"/>
              <w:left w:val="nil"/>
              <w:bottom w:val="nil"/>
              <w:right w:val="nil"/>
            </w:tcBorders>
            <w:shd w:val="clear" w:color="auto" w:fill="auto"/>
            <w:noWrap/>
            <w:vAlign w:val="center"/>
            <w:hideMark/>
          </w:tcPr>
          <w:p w14:paraId="175C0517" w14:textId="77777777" w:rsidR="003D229F" w:rsidRPr="002910A5" w:rsidRDefault="003D229F" w:rsidP="00AE0987">
            <w:pPr>
              <w:widowControl/>
              <w:adjustRightInd w:val="0"/>
              <w:snapToGrid w:val="0"/>
              <w:spacing w:line="360" w:lineRule="auto"/>
              <w:jc w:val="center"/>
              <w:rPr>
                <w:rFonts w:ascii="Book Antiqua" w:eastAsia="Times New Roman" w:hAnsi="Book Antiqua" w:cs="Times New Roman"/>
                <w:kern w:val="0"/>
                <w:sz w:val="24"/>
                <w:szCs w:val="24"/>
              </w:rPr>
            </w:pPr>
          </w:p>
        </w:tc>
        <w:tc>
          <w:tcPr>
            <w:tcW w:w="1060" w:type="dxa"/>
            <w:tcBorders>
              <w:top w:val="nil"/>
              <w:left w:val="nil"/>
              <w:bottom w:val="nil"/>
              <w:right w:val="nil"/>
            </w:tcBorders>
            <w:shd w:val="clear" w:color="auto" w:fill="auto"/>
            <w:noWrap/>
            <w:vAlign w:val="center"/>
            <w:hideMark/>
          </w:tcPr>
          <w:p w14:paraId="403C0F09" w14:textId="77777777" w:rsidR="003D229F" w:rsidRPr="002910A5" w:rsidRDefault="003D229F" w:rsidP="00AE0987">
            <w:pPr>
              <w:widowControl/>
              <w:adjustRightInd w:val="0"/>
              <w:snapToGrid w:val="0"/>
              <w:spacing w:line="360" w:lineRule="auto"/>
              <w:jc w:val="center"/>
              <w:rPr>
                <w:rFonts w:ascii="Book Antiqua" w:eastAsia="Times New Roman" w:hAnsi="Book Antiqua" w:cs="Times New Roman"/>
                <w:kern w:val="0"/>
                <w:sz w:val="24"/>
                <w:szCs w:val="24"/>
              </w:rPr>
            </w:pPr>
          </w:p>
        </w:tc>
      </w:tr>
      <w:tr w:rsidR="003D229F" w:rsidRPr="002910A5" w14:paraId="5C590ED3" w14:textId="77777777" w:rsidTr="00C42C52">
        <w:trPr>
          <w:trHeight w:val="308"/>
        </w:trPr>
        <w:tc>
          <w:tcPr>
            <w:tcW w:w="3300" w:type="dxa"/>
            <w:tcBorders>
              <w:top w:val="nil"/>
              <w:left w:val="nil"/>
              <w:bottom w:val="nil"/>
              <w:right w:val="nil"/>
            </w:tcBorders>
            <w:shd w:val="clear" w:color="auto" w:fill="auto"/>
            <w:vAlign w:val="center"/>
            <w:hideMark/>
          </w:tcPr>
          <w:p w14:paraId="7EE735CB" w14:textId="79B1C55F"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Hypertension</w:t>
            </w:r>
          </w:p>
        </w:tc>
        <w:tc>
          <w:tcPr>
            <w:tcW w:w="1880" w:type="dxa"/>
            <w:tcBorders>
              <w:top w:val="nil"/>
              <w:left w:val="nil"/>
              <w:bottom w:val="nil"/>
              <w:right w:val="nil"/>
            </w:tcBorders>
            <w:shd w:val="clear" w:color="auto" w:fill="auto"/>
            <w:noWrap/>
            <w:vAlign w:val="center"/>
            <w:hideMark/>
          </w:tcPr>
          <w:p w14:paraId="0707A742"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 (73.2)</w:t>
            </w:r>
          </w:p>
        </w:tc>
        <w:tc>
          <w:tcPr>
            <w:tcW w:w="2260" w:type="dxa"/>
            <w:tcBorders>
              <w:top w:val="nil"/>
              <w:left w:val="nil"/>
              <w:bottom w:val="nil"/>
              <w:right w:val="nil"/>
            </w:tcBorders>
            <w:shd w:val="clear" w:color="auto" w:fill="auto"/>
            <w:noWrap/>
            <w:vAlign w:val="center"/>
            <w:hideMark/>
          </w:tcPr>
          <w:p w14:paraId="4BA841DA" w14:textId="7B107B46" w:rsidR="003D229F" w:rsidRPr="002910A5" w:rsidRDefault="009331EB"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24</w:t>
            </w:r>
            <w:r w:rsidR="003D229F" w:rsidRPr="002910A5">
              <w:rPr>
                <w:rFonts w:ascii="Book Antiqua" w:eastAsia="MS PGothic" w:hAnsi="Book Antiqua" w:cs="Times New Roman"/>
                <w:kern w:val="0"/>
                <w:sz w:val="24"/>
                <w:szCs w:val="24"/>
              </w:rPr>
              <w:t xml:space="preserve"> (6</w:t>
            </w:r>
            <w:r w:rsidR="008070B9" w:rsidRPr="002910A5">
              <w:rPr>
                <w:rFonts w:ascii="Book Antiqua" w:eastAsia="MS PGothic" w:hAnsi="Book Antiqua" w:cs="Times New Roman"/>
                <w:kern w:val="0"/>
                <w:sz w:val="24"/>
                <w:szCs w:val="24"/>
              </w:rPr>
              <w:t>1.5</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10F32EDA" w14:textId="79A39F1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0.2</w:t>
            </w:r>
            <w:r w:rsidR="009331EB" w:rsidRPr="002910A5">
              <w:rPr>
                <w:rFonts w:ascii="Book Antiqua" w:eastAsia="MS PGothic" w:hAnsi="Book Antiqua" w:cs="Times New Roman"/>
                <w:kern w:val="0"/>
                <w:sz w:val="24"/>
                <w:szCs w:val="24"/>
              </w:rPr>
              <w:t>66</w:t>
            </w:r>
          </w:p>
        </w:tc>
      </w:tr>
      <w:tr w:rsidR="003D229F" w:rsidRPr="002910A5" w14:paraId="70C20589" w14:textId="77777777" w:rsidTr="00C42C52">
        <w:trPr>
          <w:trHeight w:val="308"/>
        </w:trPr>
        <w:tc>
          <w:tcPr>
            <w:tcW w:w="3300" w:type="dxa"/>
            <w:tcBorders>
              <w:top w:val="nil"/>
              <w:left w:val="nil"/>
              <w:bottom w:val="nil"/>
              <w:right w:val="nil"/>
            </w:tcBorders>
            <w:shd w:val="clear" w:color="auto" w:fill="auto"/>
            <w:vAlign w:val="center"/>
            <w:hideMark/>
          </w:tcPr>
          <w:p w14:paraId="5F9AA63E" w14:textId="434A8AA0"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Diabetes mellitus</w:t>
            </w:r>
          </w:p>
        </w:tc>
        <w:tc>
          <w:tcPr>
            <w:tcW w:w="1880" w:type="dxa"/>
            <w:tcBorders>
              <w:top w:val="nil"/>
              <w:left w:val="nil"/>
              <w:bottom w:val="nil"/>
              <w:right w:val="nil"/>
            </w:tcBorders>
            <w:shd w:val="clear" w:color="auto" w:fill="auto"/>
            <w:noWrap/>
            <w:vAlign w:val="center"/>
            <w:hideMark/>
          </w:tcPr>
          <w:p w14:paraId="4AE88073"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13 (23.2)</w:t>
            </w:r>
          </w:p>
        </w:tc>
        <w:tc>
          <w:tcPr>
            <w:tcW w:w="2260" w:type="dxa"/>
            <w:tcBorders>
              <w:top w:val="nil"/>
              <w:left w:val="nil"/>
              <w:bottom w:val="nil"/>
              <w:right w:val="nil"/>
            </w:tcBorders>
            <w:shd w:val="clear" w:color="auto" w:fill="auto"/>
            <w:noWrap/>
            <w:vAlign w:val="center"/>
            <w:hideMark/>
          </w:tcPr>
          <w:p w14:paraId="54949325" w14:textId="30B5BF20" w:rsidR="003D229F" w:rsidRPr="002910A5" w:rsidRDefault="005150E3"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13</w:t>
            </w:r>
            <w:r w:rsidR="003D229F" w:rsidRPr="002910A5">
              <w:rPr>
                <w:rFonts w:ascii="Book Antiqua" w:eastAsia="MS PGothic" w:hAnsi="Book Antiqua" w:cs="Times New Roman"/>
                <w:kern w:val="0"/>
                <w:sz w:val="24"/>
                <w:szCs w:val="24"/>
              </w:rPr>
              <w:t xml:space="preserve"> (</w:t>
            </w:r>
            <w:r w:rsidR="008070B9" w:rsidRPr="002910A5">
              <w:rPr>
                <w:rFonts w:ascii="Book Antiqua" w:eastAsia="MS PGothic" w:hAnsi="Book Antiqua" w:cs="Times New Roman"/>
                <w:kern w:val="0"/>
                <w:sz w:val="24"/>
                <w:szCs w:val="24"/>
              </w:rPr>
              <w:t>33.3</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2DDC456" w14:textId="151B1D5C"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5150E3" w:rsidRPr="002910A5">
              <w:rPr>
                <w:rFonts w:ascii="Book Antiqua" w:eastAsia="MS PGothic" w:hAnsi="Book Antiqua" w:cs="Times New Roman"/>
                <w:kern w:val="0"/>
                <w:sz w:val="24"/>
                <w:szCs w:val="24"/>
              </w:rPr>
              <w:t>351</w:t>
            </w:r>
          </w:p>
        </w:tc>
      </w:tr>
      <w:tr w:rsidR="003D229F" w:rsidRPr="002910A5" w14:paraId="1798FADA" w14:textId="77777777" w:rsidTr="00C42C52">
        <w:trPr>
          <w:trHeight w:val="308"/>
        </w:trPr>
        <w:tc>
          <w:tcPr>
            <w:tcW w:w="3300" w:type="dxa"/>
            <w:tcBorders>
              <w:top w:val="nil"/>
              <w:left w:val="nil"/>
              <w:bottom w:val="nil"/>
              <w:right w:val="nil"/>
            </w:tcBorders>
            <w:shd w:val="clear" w:color="auto" w:fill="auto"/>
            <w:vAlign w:val="center"/>
            <w:hideMark/>
          </w:tcPr>
          <w:p w14:paraId="5E5B40FE" w14:textId="43EDA3A6"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Renal failure</w:t>
            </w:r>
          </w:p>
        </w:tc>
        <w:tc>
          <w:tcPr>
            <w:tcW w:w="1880" w:type="dxa"/>
            <w:tcBorders>
              <w:top w:val="nil"/>
              <w:left w:val="nil"/>
              <w:bottom w:val="nil"/>
              <w:right w:val="nil"/>
            </w:tcBorders>
            <w:shd w:val="clear" w:color="auto" w:fill="auto"/>
            <w:noWrap/>
            <w:vAlign w:val="center"/>
            <w:hideMark/>
          </w:tcPr>
          <w:p w14:paraId="6DD94396"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 (5.4)</w:t>
            </w:r>
          </w:p>
        </w:tc>
        <w:tc>
          <w:tcPr>
            <w:tcW w:w="2260" w:type="dxa"/>
            <w:tcBorders>
              <w:top w:val="nil"/>
              <w:left w:val="nil"/>
              <w:bottom w:val="nil"/>
              <w:right w:val="nil"/>
            </w:tcBorders>
            <w:shd w:val="clear" w:color="auto" w:fill="auto"/>
            <w:noWrap/>
            <w:vAlign w:val="center"/>
            <w:hideMark/>
          </w:tcPr>
          <w:p w14:paraId="4302C03D" w14:textId="014E9A7E"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 (</w:t>
            </w:r>
            <w:r w:rsidR="006B3FDA" w:rsidRPr="002910A5">
              <w:rPr>
                <w:rFonts w:ascii="Book Antiqua" w:eastAsia="MS PGothic" w:hAnsi="Book Antiqua" w:cs="Times New Roman"/>
                <w:kern w:val="0"/>
                <w:sz w:val="24"/>
                <w:szCs w:val="24"/>
              </w:rPr>
              <w:t>2.6</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5B95A99E" w14:textId="26E1939A" w:rsidR="003D229F" w:rsidRPr="002910A5" w:rsidRDefault="000F11A8"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0.642</w:t>
            </w:r>
          </w:p>
        </w:tc>
      </w:tr>
      <w:tr w:rsidR="003D229F" w:rsidRPr="002910A5" w14:paraId="37C66C3C" w14:textId="77777777" w:rsidTr="00C42C52">
        <w:trPr>
          <w:trHeight w:val="308"/>
        </w:trPr>
        <w:tc>
          <w:tcPr>
            <w:tcW w:w="3300" w:type="dxa"/>
            <w:tcBorders>
              <w:top w:val="nil"/>
              <w:left w:val="nil"/>
              <w:bottom w:val="nil"/>
              <w:right w:val="nil"/>
            </w:tcBorders>
            <w:shd w:val="clear" w:color="auto" w:fill="auto"/>
            <w:vAlign w:val="center"/>
            <w:hideMark/>
          </w:tcPr>
          <w:p w14:paraId="62DC389D" w14:textId="77AD6ED3"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Coronary artery diseases</w:t>
            </w:r>
          </w:p>
        </w:tc>
        <w:tc>
          <w:tcPr>
            <w:tcW w:w="1880" w:type="dxa"/>
            <w:tcBorders>
              <w:top w:val="nil"/>
              <w:left w:val="nil"/>
              <w:bottom w:val="nil"/>
              <w:right w:val="nil"/>
            </w:tcBorders>
            <w:shd w:val="clear" w:color="auto" w:fill="auto"/>
            <w:noWrap/>
            <w:vAlign w:val="center"/>
            <w:hideMark/>
          </w:tcPr>
          <w:p w14:paraId="3574BA73"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 (73.2)</w:t>
            </w:r>
          </w:p>
        </w:tc>
        <w:tc>
          <w:tcPr>
            <w:tcW w:w="2260" w:type="dxa"/>
            <w:tcBorders>
              <w:top w:val="nil"/>
              <w:left w:val="nil"/>
              <w:bottom w:val="nil"/>
              <w:right w:val="nil"/>
            </w:tcBorders>
            <w:shd w:val="clear" w:color="auto" w:fill="auto"/>
            <w:noWrap/>
            <w:vAlign w:val="center"/>
            <w:hideMark/>
          </w:tcPr>
          <w:p w14:paraId="5A219854" w14:textId="65015F90" w:rsidR="003D229F" w:rsidRPr="002910A5" w:rsidRDefault="00471474"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25</w:t>
            </w:r>
            <w:r w:rsidR="003D229F" w:rsidRPr="002910A5">
              <w:rPr>
                <w:rFonts w:ascii="Book Antiqua" w:eastAsia="MS PGothic" w:hAnsi="Book Antiqua" w:cs="Times New Roman"/>
                <w:kern w:val="0"/>
                <w:sz w:val="24"/>
                <w:szCs w:val="24"/>
              </w:rPr>
              <w:t xml:space="preserve"> (6</w:t>
            </w:r>
            <w:r w:rsidR="006B3FDA" w:rsidRPr="002910A5">
              <w:rPr>
                <w:rFonts w:ascii="Book Antiqua" w:eastAsia="MS PGothic" w:hAnsi="Book Antiqua" w:cs="Times New Roman"/>
                <w:kern w:val="0"/>
                <w:sz w:val="24"/>
                <w:szCs w:val="24"/>
              </w:rPr>
              <w:t>4.1</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55DDC474" w14:textId="4C420A65"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471474" w:rsidRPr="002910A5">
              <w:rPr>
                <w:rFonts w:ascii="Book Antiqua" w:eastAsia="MS PGothic" w:hAnsi="Book Antiqua" w:cs="Times New Roman"/>
                <w:kern w:val="0"/>
                <w:sz w:val="24"/>
                <w:szCs w:val="24"/>
              </w:rPr>
              <w:t>372</w:t>
            </w:r>
          </w:p>
        </w:tc>
      </w:tr>
      <w:tr w:rsidR="003D229F" w:rsidRPr="002910A5" w14:paraId="6DEEE30D" w14:textId="77777777" w:rsidTr="00C42C52">
        <w:trPr>
          <w:trHeight w:val="1230"/>
        </w:trPr>
        <w:tc>
          <w:tcPr>
            <w:tcW w:w="3300" w:type="dxa"/>
            <w:tcBorders>
              <w:top w:val="nil"/>
              <w:left w:val="nil"/>
              <w:bottom w:val="nil"/>
              <w:right w:val="nil"/>
            </w:tcBorders>
            <w:shd w:val="clear" w:color="auto" w:fill="auto"/>
            <w:vAlign w:val="center"/>
            <w:hideMark/>
          </w:tcPr>
          <w:p w14:paraId="52330852" w14:textId="7AE3C715"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A46860">
              <w:rPr>
                <w:rFonts w:ascii="Book Antiqua" w:eastAsia="MS PGothic" w:hAnsi="Book Antiqua" w:cs="Times New Roman"/>
                <w:kern w:val="0"/>
                <w:sz w:val="24"/>
                <w:szCs w:val="24"/>
              </w:rPr>
              <w:t xml:space="preserve"> (%)</w:t>
            </w:r>
            <w:r w:rsidR="00A46860">
              <w:rPr>
                <w:rFonts w:ascii="Book Antiqua" w:eastAsia="MS PGothic" w:hAnsi="Book Antiqua" w:cs="Times New Roman"/>
                <w:kern w:val="0"/>
                <w:sz w:val="24"/>
                <w:szCs w:val="24"/>
              </w:rPr>
              <w:br/>
              <w:t xml:space="preserve"> Upper</w:t>
            </w:r>
            <w:r w:rsidR="00A46860">
              <w:rPr>
                <w:rFonts w:ascii="Book Antiqua" w:eastAsia="MS PGothic" w:hAnsi="Book Antiqua" w:cs="Times New Roman"/>
                <w:kern w:val="0"/>
                <w:sz w:val="24"/>
                <w:szCs w:val="24"/>
              </w:rPr>
              <w:br/>
              <w:t xml:space="preserve"> Middle</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1880" w:type="dxa"/>
            <w:tcBorders>
              <w:top w:val="nil"/>
              <w:left w:val="nil"/>
              <w:bottom w:val="nil"/>
              <w:right w:val="nil"/>
            </w:tcBorders>
            <w:shd w:val="clear" w:color="auto" w:fill="auto"/>
            <w:vAlign w:val="center"/>
            <w:hideMark/>
          </w:tcPr>
          <w:p w14:paraId="0AD3196B"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8 (14.3)</w:t>
            </w:r>
            <w:r w:rsidRPr="002910A5">
              <w:rPr>
                <w:rFonts w:ascii="Book Antiqua" w:eastAsia="MS PGothic" w:hAnsi="Book Antiqua" w:cs="Times New Roman"/>
                <w:kern w:val="0"/>
                <w:sz w:val="24"/>
                <w:szCs w:val="24"/>
              </w:rPr>
              <w:br/>
              <w:t>28 (50.0)</w:t>
            </w:r>
            <w:r w:rsidRPr="002910A5">
              <w:rPr>
                <w:rFonts w:ascii="Book Antiqua" w:eastAsia="MS PGothic" w:hAnsi="Book Antiqua" w:cs="Times New Roman"/>
                <w:kern w:val="0"/>
                <w:sz w:val="24"/>
                <w:szCs w:val="24"/>
              </w:rPr>
              <w:br/>
              <w:t>20 (35.7)</w:t>
            </w:r>
          </w:p>
        </w:tc>
        <w:tc>
          <w:tcPr>
            <w:tcW w:w="2260" w:type="dxa"/>
            <w:tcBorders>
              <w:top w:val="nil"/>
              <w:left w:val="nil"/>
              <w:bottom w:val="nil"/>
              <w:right w:val="nil"/>
            </w:tcBorders>
            <w:shd w:val="clear" w:color="auto" w:fill="auto"/>
            <w:vAlign w:val="center"/>
            <w:hideMark/>
          </w:tcPr>
          <w:p w14:paraId="5F82D95D" w14:textId="1FE4B92D"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r>
            <w:r w:rsidR="001A49D3" w:rsidRPr="002910A5">
              <w:rPr>
                <w:rFonts w:ascii="Book Antiqua" w:eastAsia="MS PGothic" w:hAnsi="Book Antiqua" w:cs="Times New Roman"/>
                <w:kern w:val="0"/>
                <w:sz w:val="24"/>
                <w:szCs w:val="24"/>
              </w:rPr>
              <w:t>4</w:t>
            </w:r>
            <w:r w:rsidRPr="002910A5">
              <w:rPr>
                <w:rFonts w:ascii="Book Antiqua" w:eastAsia="MS PGothic" w:hAnsi="Book Antiqua" w:cs="Times New Roman"/>
                <w:kern w:val="0"/>
                <w:sz w:val="24"/>
                <w:szCs w:val="24"/>
              </w:rPr>
              <w:t xml:space="preserve"> (1</w:t>
            </w:r>
            <w:r w:rsidR="006B3FDA" w:rsidRPr="002910A5">
              <w:rPr>
                <w:rFonts w:ascii="Book Antiqua" w:eastAsia="MS PGothic" w:hAnsi="Book Antiqua" w:cs="Times New Roman"/>
                <w:kern w:val="0"/>
                <w:sz w:val="24"/>
                <w:szCs w:val="24"/>
              </w:rPr>
              <w:t>0.3</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r>
            <w:r w:rsidR="001A49D3" w:rsidRPr="002910A5">
              <w:rPr>
                <w:rFonts w:ascii="Book Antiqua" w:eastAsia="MS PGothic" w:hAnsi="Book Antiqua" w:cs="Times New Roman"/>
                <w:kern w:val="0"/>
                <w:sz w:val="24"/>
                <w:szCs w:val="24"/>
              </w:rPr>
              <w:t>17</w:t>
            </w:r>
            <w:r w:rsidRPr="002910A5">
              <w:rPr>
                <w:rFonts w:ascii="Book Antiqua" w:eastAsia="MS PGothic" w:hAnsi="Book Antiqua" w:cs="Times New Roman"/>
                <w:kern w:val="0"/>
                <w:sz w:val="24"/>
                <w:szCs w:val="24"/>
              </w:rPr>
              <w:t xml:space="preserve"> (4</w:t>
            </w:r>
            <w:r w:rsidR="006B3FDA" w:rsidRPr="002910A5">
              <w:rPr>
                <w:rFonts w:ascii="Book Antiqua" w:eastAsia="MS PGothic" w:hAnsi="Book Antiqua" w:cs="Times New Roman"/>
                <w:kern w:val="0"/>
                <w:sz w:val="24"/>
                <w:szCs w:val="24"/>
              </w:rPr>
              <w:t>3.6</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1</w:t>
            </w:r>
            <w:r w:rsidR="001A49D3"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(4</w:t>
            </w:r>
            <w:r w:rsidR="00E92B37" w:rsidRPr="002910A5">
              <w:rPr>
                <w:rFonts w:ascii="Book Antiqua" w:eastAsia="MS PGothic" w:hAnsi="Book Antiqua" w:cs="Times New Roman"/>
                <w:kern w:val="0"/>
                <w:sz w:val="24"/>
                <w:szCs w:val="24"/>
              </w:rPr>
              <w:t>6.2</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39D9A72B" w14:textId="44009443" w:rsidR="003D229F" w:rsidRPr="002910A5" w:rsidRDefault="00845619"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0.643</w:t>
            </w:r>
            <w:r w:rsidR="003D229F" w:rsidRPr="002910A5">
              <w:rPr>
                <w:rFonts w:ascii="Book Antiqua" w:eastAsia="MS PGothic" w:hAnsi="Book Antiqua" w:cs="Times New Roman"/>
                <w:kern w:val="0"/>
                <w:sz w:val="24"/>
                <w:szCs w:val="24"/>
              </w:rPr>
              <w:br/>
            </w:r>
          </w:p>
        </w:tc>
      </w:tr>
      <w:tr w:rsidR="003D229F" w:rsidRPr="002910A5" w14:paraId="6058A3D4" w14:textId="77777777" w:rsidTr="00C42C52">
        <w:trPr>
          <w:trHeight w:val="923"/>
        </w:trPr>
        <w:tc>
          <w:tcPr>
            <w:tcW w:w="3300" w:type="dxa"/>
            <w:tcBorders>
              <w:top w:val="nil"/>
              <w:left w:val="nil"/>
              <w:bottom w:val="single" w:sz="4" w:space="0" w:color="auto"/>
              <w:right w:val="nil"/>
            </w:tcBorders>
            <w:shd w:val="clear" w:color="auto" w:fill="auto"/>
            <w:vAlign w:val="center"/>
            <w:hideMark/>
          </w:tcPr>
          <w:p w14:paraId="0089600A" w14:textId="4D2D8F9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Macroscopic findings, </w:t>
            </w:r>
            <w:r w:rsidRPr="002910A5">
              <w:rPr>
                <w:rFonts w:ascii="Book Antiqua" w:eastAsia="MS PGothic" w:hAnsi="Book Antiqua" w:cs="Times New Roman"/>
                <w:i/>
                <w:iCs/>
                <w:kern w:val="0"/>
                <w:sz w:val="24"/>
                <w:szCs w:val="24"/>
              </w:rPr>
              <w:t>n</w:t>
            </w:r>
            <w:r w:rsidR="00A46860">
              <w:rPr>
                <w:rFonts w:ascii="Book Antiqua" w:eastAsia="MS PGothic" w:hAnsi="Book Antiqua" w:cs="Times New Roman"/>
                <w:kern w:val="0"/>
                <w:sz w:val="24"/>
                <w:szCs w:val="24"/>
              </w:rPr>
              <w:t xml:space="preserve"> (%)</w:t>
            </w:r>
            <w:r w:rsidR="00A46860">
              <w:rPr>
                <w:rFonts w:ascii="Book Antiqua" w:eastAsia="MS PGothic" w:hAnsi="Book Antiqua" w:cs="Times New Roman"/>
                <w:kern w:val="0"/>
                <w:sz w:val="24"/>
                <w:szCs w:val="24"/>
              </w:rPr>
              <w:br/>
              <w:t xml:space="preserve"> Depressed</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Non-depressed</w:t>
            </w:r>
          </w:p>
        </w:tc>
        <w:tc>
          <w:tcPr>
            <w:tcW w:w="1880" w:type="dxa"/>
            <w:tcBorders>
              <w:top w:val="nil"/>
              <w:left w:val="nil"/>
              <w:bottom w:val="single" w:sz="4" w:space="0" w:color="auto"/>
              <w:right w:val="nil"/>
            </w:tcBorders>
            <w:shd w:val="clear" w:color="auto" w:fill="auto"/>
            <w:vAlign w:val="center"/>
            <w:hideMark/>
          </w:tcPr>
          <w:p w14:paraId="31360BEB"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20 (35.7)</w:t>
            </w:r>
            <w:r w:rsidRPr="002910A5">
              <w:rPr>
                <w:rFonts w:ascii="Book Antiqua" w:eastAsia="MS PGothic" w:hAnsi="Book Antiqua" w:cs="Times New Roman"/>
                <w:kern w:val="0"/>
                <w:sz w:val="24"/>
                <w:szCs w:val="24"/>
              </w:rPr>
              <w:br/>
              <w:t>36 (64.3)</w:t>
            </w:r>
          </w:p>
        </w:tc>
        <w:tc>
          <w:tcPr>
            <w:tcW w:w="2260" w:type="dxa"/>
            <w:tcBorders>
              <w:top w:val="nil"/>
              <w:left w:val="nil"/>
              <w:bottom w:val="single" w:sz="4" w:space="0" w:color="auto"/>
              <w:right w:val="nil"/>
            </w:tcBorders>
            <w:shd w:val="clear" w:color="auto" w:fill="auto"/>
            <w:vAlign w:val="center"/>
            <w:hideMark/>
          </w:tcPr>
          <w:p w14:paraId="0173F744" w14:textId="30A1078D"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1</w:t>
            </w:r>
            <w:r w:rsidR="00845619" w:rsidRPr="002910A5">
              <w:rPr>
                <w:rFonts w:ascii="Book Antiqua" w:eastAsia="MS PGothic" w:hAnsi="Book Antiqua" w:cs="Times New Roman"/>
                <w:kern w:val="0"/>
                <w:sz w:val="24"/>
                <w:szCs w:val="24"/>
              </w:rPr>
              <w:t>6</w:t>
            </w:r>
            <w:r w:rsidRPr="002910A5">
              <w:rPr>
                <w:rFonts w:ascii="Book Antiqua" w:eastAsia="MS PGothic" w:hAnsi="Book Antiqua" w:cs="Times New Roman"/>
                <w:kern w:val="0"/>
                <w:sz w:val="24"/>
                <w:szCs w:val="24"/>
              </w:rPr>
              <w:t xml:space="preserve"> (</w:t>
            </w:r>
            <w:r w:rsidR="00F07790" w:rsidRPr="002910A5">
              <w:rPr>
                <w:rFonts w:ascii="Book Antiqua" w:eastAsia="MS PGothic" w:hAnsi="Book Antiqua" w:cs="Times New Roman"/>
                <w:kern w:val="0"/>
                <w:sz w:val="24"/>
                <w:szCs w:val="24"/>
              </w:rPr>
              <w:t>41.</w:t>
            </w:r>
            <w:r w:rsidR="002569C9" w:rsidRPr="002910A5">
              <w:rPr>
                <w:rFonts w:ascii="Book Antiqua" w:eastAsia="MS PGothic" w:hAnsi="Book Antiqua" w:cs="Times New Roman"/>
                <w:kern w:val="0"/>
                <w:sz w:val="24"/>
                <w:szCs w:val="24"/>
              </w:rPr>
              <w:t>0</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2</w:t>
            </w:r>
            <w:r w:rsidR="00845619" w:rsidRPr="002910A5">
              <w:rPr>
                <w:rFonts w:ascii="Book Antiqua" w:eastAsia="MS PGothic" w:hAnsi="Book Antiqua" w:cs="Times New Roman"/>
                <w:kern w:val="0"/>
                <w:sz w:val="24"/>
                <w:szCs w:val="24"/>
              </w:rPr>
              <w:t>3</w:t>
            </w:r>
            <w:r w:rsidRPr="002910A5">
              <w:rPr>
                <w:rFonts w:ascii="Book Antiqua" w:eastAsia="MS PGothic" w:hAnsi="Book Antiqua" w:cs="Times New Roman"/>
                <w:kern w:val="0"/>
                <w:sz w:val="24"/>
                <w:szCs w:val="24"/>
              </w:rPr>
              <w:t xml:space="preserve"> (</w:t>
            </w:r>
            <w:r w:rsidR="002569C9" w:rsidRPr="002910A5">
              <w:rPr>
                <w:rFonts w:ascii="Book Antiqua" w:eastAsia="MS PGothic" w:hAnsi="Book Antiqua" w:cs="Times New Roman"/>
                <w:kern w:val="0"/>
                <w:sz w:val="24"/>
                <w:szCs w:val="24"/>
              </w:rPr>
              <w:t>59.0</w:t>
            </w:r>
            <w:r w:rsidRPr="002910A5">
              <w:rPr>
                <w:rFonts w:ascii="Book Antiqua" w:eastAsia="MS PGothic" w:hAnsi="Book Antiqua" w:cs="Times New Roman"/>
                <w:kern w:val="0"/>
                <w:sz w:val="24"/>
                <w:szCs w:val="24"/>
              </w:rPr>
              <w:t>)</w:t>
            </w:r>
          </w:p>
        </w:tc>
        <w:tc>
          <w:tcPr>
            <w:tcW w:w="1060" w:type="dxa"/>
            <w:tcBorders>
              <w:top w:val="nil"/>
              <w:left w:val="nil"/>
              <w:bottom w:val="single" w:sz="4" w:space="0" w:color="auto"/>
              <w:right w:val="nil"/>
            </w:tcBorders>
            <w:shd w:val="clear" w:color="auto" w:fill="auto"/>
            <w:vAlign w:val="center"/>
            <w:hideMark/>
          </w:tcPr>
          <w:p w14:paraId="58E18FDB" w14:textId="62D58C45" w:rsidR="003D229F" w:rsidRPr="002910A5" w:rsidRDefault="00845619"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0.669</w:t>
            </w:r>
          </w:p>
        </w:tc>
      </w:tr>
    </w:tbl>
    <w:p w14:paraId="4391F2DA" w14:textId="2E809727" w:rsidR="003D229F" w:rsidRPr="002910A5" w:rsidRDefault="00AE0987" w:rsidP="002910A5">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BMI: Body mass index;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53730EDD" w14:textId="77777777" w:rsidR="00AE0987" w:rsidRDefault="00AE0987">
      <w:pPr>
        <w:widowControl/>
        <w:jc w:val="left"/>
        <w:rPr>
          <w:rFonts w:ascii="Book Antiqua" w:hAnsi="Book Antiqua" w:cs="Times New Roman"/>
          <w:kern w:val="24"/>
          <w:sz w:val="24"/>
          <w:szCs w:val="24"/>
        </w:rPr>
      </w:pPr>
      <w:r>
        <w:rPr>
          <w:rFonts w:ascii="Book Antiqua" w:hAnsi="Book Antiqua" w:cs="Times New Roman"/>
          <w:kern w:val="24"/>
          <w:sz w:val="24"/>
          <w:szCs w:val="24"/>
        </w:rPr>
        <w:br w:type="page"/>
      </w:r>
    </w:p>
    <w:p w14:paraId="3278539C" w14:textId="163391F5"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5 Comparison of therapeutic outcomes </w:t>
      </w:r>
      <w:r w:rsidRPr="002910A5">
        <w:rPr>
          <w:rFonts w:ascii="Book Antiqua" w:eastAsia="MS PGothic" w:hAnsi="Book Antiqua" w:cs="Times New Roman"/>
          <w:b/>
          <w:kern w:val="0"/>
          <w:sz w:val="24"/>
          <w:szCs w:val="24"/>
        </w:rPr>
        <w:t>among patients receiving single-</w:t>
      </w:r>
      <w:r w:rsidR="00BB1194" w:rsidRPr="002910A5">
        <w:rPr>
          <w:rFonts w:ascii="Book Antiqua" w:eastAsia="MS PGothic" w:hAnsi="Book Antiqua" w:cs="Times New Roman"/>
          <w:b/>
          <w:kern w:val="0"/>
          <w:sz w:val="24"/>
          <w:szCs w:val="24"/>
        </w:rPr>
        <w:t xml:space="preserve"> low-dose aspirin</w:t>
      </w:r>
      <w:r w:rsidRPr="002910A5">
        <w:rPr>
          <w:rFonts w:ascii="Book Antiqua" w:eastAsia="MS PGothic" w:hAnsi="Book Antiqua" w:cs="Times New Roman"/>
          <w:b/>
          <w:kern w:val="0"/>
          <w:sz w:val="24"/>
          <w:szCs w:val="24"/>
        </w:rPr>
        <w:t xml:space="preserve"> in the continuous </w:t>
      </w:r>
      <w:r w:rsidR="00BB1194"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BB1194"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9040" w:type="dxa"/>
        <w:tblCellMar>
          <w:left w:w="99" w:type="dxa"/>
          <w:right w:w="99" w:type="dxa"/>
        </w:tblCellMar>
        <w:tblLook w:val="04A0" w:firstRow="1" w:lastRow="0" w:firstColumn="1" w:lastColumn="0" w:noHBand="0" w:noVBand="1"/>
      </w:tblPr>
      <w:tblGrid>
        <w:gridCol w:w="3660"/>
        <w:gridCol w:w="2100"/>
        <w:gridCol w:w="2320"/>
        <w:gridCol w:w="960"/>
      </w:tblGrid>
      <w:tr w:rsidR="003D229F" w:rsidRPr="002910A5" w14:paraId="647CC2CF" w14:textId="77777777" w:rsidTr="00C42C52">
        <w:trPr>
          <w:trHeight w:val="615"/>
        </w:trPr>
        <w:tc>
          <w:tcPr>
            <w:tcW w:w="3660" w:type="dxa"/>
            <w:tcBorders>
              <w:top w:val="single" w:sz="4" w:space="0" w:color="auto"/>
              <w:left w:val="nil"/>
              <w:bottom w:val="single" w:sz="4" w:space="0" w:color="auto"/>
              <w:right w:val="nil"/>
            </w:tcBorders>
            <w:shd w:val="clear" w:color="auto" w:fill="auto"/>
            <w:noWrap/>
            <w:vAlign w:val="center"/>
            <w:hideMark/>
          </w:tcPr>
          <w:p w14:paraId="4D2C4689"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2100" w:type="dxa"/>
            <w:tcBorders>
              <w:top w:val="single" w:sz="4" w:space="0" w:color="auto"/>
              <w:left w:val="nil"/>
              <w:bottom w:val="single" w:sz="4" w:space="0" w:color="auto"/>
              <w:right w:val="nil"/>
            </w:tcBorders>
            <w:shd w:val="clear" w:color="auto" w:fill="auto"/>
            <w:vAlign w:val="center"/>
            <w:hideMark/>
          </w:tcPr>
          <w:p w14:paraId="369ADED2" w14:textId="282B4C80" w:rsidR="003D229F" w:rsidRPr="002910A5" w:rsidRDefault="004514E6" w:rsidP="004D6E8B">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56)</w:t>
            </w:r>
          </w:p>
        </w:tc>
        <w:tc>
          <w:tcPr>
            <w:tcW w:w="2320" w:type="dxa"/>
            <w:tcBorders>
              <w:top w:val="single" w:sz="4" w:space="0" w:color="auto"/>
              <w:left w:val="nil"/>
              <w:bottom w:val="single" w:sz="4" w:space="0" w:color="auto"/>
              <w:right w:val="nil"/>
            </w:tcBorders>
            <w:shd w:val="clear" w:color="auto" w:fill="auto"/>
            <w:vAlign w:val="center"/>
            <w:hideMark/>
          </w:tcPr>
          <w:p w14:paraId="6E62EB17" w14:textId="13CB172B" w:rsidR="003D229F" w:rsidRPr="002910A5" w:rsidRDefault="004514E6" w:rsidP="004D6E8B">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3</w:t>
            </w:r>
            <w:r w:rsidR="00845619"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960" w:type="dxa"/>
            <w:tcBorders>
              <w:top w:val="single" w:sz="4" w:space="0" w:color="auto"/>
              <w:left w:val="nil"/>
              <w:bottom w:val="single" w:sz="4" w:space="0" w:color="auto"/>
              <w:right w:val="nil"/>
            </w:tcBorders>
            <w:shd w:val="clear" w:color="auto" w:fill="auto"/>
            <w:noWrap/>
            <w:vAlign w:val="center"/>
            <w:hideMark/>
          </w:tcPr>
          <w:p w14:paraId="63E1B229"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47792E7E" w14:textId="77777777" w:rsidTr="00C42C52">
        <w:trPr>
          <w:trHeight w:val="923"/>
        </w:trPr>
        <w:tc>
          <w:tcPr>
            <w:tcW w:w="3660" w:type="dxa"/>
            <w:tcBorders>
              <w:top w:val="nil"/>
              <w:left w:val="nil"/>
              <w:bottom w:val="nil"/>
              <w:right w:val="nil"/>
            </w:tcBorders>
            <w:shd w:val="clear" w:color="auto" w:fill="auto"/>
            <w:vAlign w:val="center"/>
            <w:hideMark/>
          </w:tcPr>
          <w:p w14:paraId="214A58F7" w14:textId="1286443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Pathological findings,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r w:rsidR="00BB1194" w:rsidRPr="002910A5">
              <w:rPr>
                <w:rFonts w:ascii="Book Antiqua" w:hAnsi="Book Antiqua" w:cs="Times New Roman"/>
                <w:sz w:val="24"/>
                <w:szCs w:val="24"/>
                <w:vertAlign w:val="superscript"/>
              </w:rPr>
              <w:t>1</w:t>
            </w:r>
            <w:r w:rsidR="004D6E8B">
              <w:rPr>
                <w:rFonts w:ascii="Book Antiqua" w:eastAsia="MS PGothic" w:hAnsi="Book Antiqua" w:cs="Times New Roman"/>
                <w:color w:val="000000"/>
                <w:kern w:val="0"/>
                <w:sz w:val="24"/>
                <w:szCs w:val="24"/>
              </w:rPr>
              <w:br/>
              <w:t xml:space="preserve"> Differentiated</w:t>
            </w:r>
            <w:r w:rsidR="004D6E8B">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Undifferentiated</w:t>
            </w:r>
          </w:p>
        </w:tc>
        <w:tc>
          <w:tcPr>
            <w:tcW w:w="2100" w:type="dxa"/>
            <w:tcBorders>
              <w:top w:val="nil"/>
              <w:left w:val="nil"/>
              <w:bottom w:val="nil"/>
              <w:right w:val="nil"/>
            </w:tcBorders>
            <w:shd w:val="clear" w:color="auto" w:fill="auto"/>
            <w:vAlign w:val="center"/>
            <w:hideMark/>
          </w:tcPr>
          <w:p w14:paraId="3C43C66F"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55 (98.2)</w:t>
            </w:r>
            <w:r w:rsidRPr="002910A5">
              <w:rPr>
                <w:rFonts w:ascii="Book Antiqua" w:eastAsia="MS PGothic" w:hAnsi="Book Antiqua" w:cs="Times New Roman"/>
                <w:color w:val="000000"/>
                <w:kern w:val="0"/>
                <w:sz w:val="24"/>
                <w:szCs w:val="24"/>
              </w:rPr>
              <w:br/>
              <w:t>1 (1.8)</w:t>
            </w:r>
          </w:p>
        </w:tc>
        <w:tc>
          <w:tcPr>
            <w:tcW w:w="2320" w:type="dxa"/>
            <w:tcBorders>
              <w:top w:val="nil"/>
              <w:left w:val="nil"/>
              <w:bottom w:val="nil"/>
              <w:right w:val="nil"/>
            </w:tcBorders>
            <w:shd w:val="clear" w:color="auto" w:fill="auto"/>
            <w:vAlign w:val="center"/>
            <w:hideMark/>
          </w:tcPr>
          <w:p w14:paraId="0F206DD7" w14:textId="511DF05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w:t>
            </w:r>
            <w:r w:rsidR="009F713D" w:rsidRPr="002910A5">
              <w:rPr>
                <w:rFonts w:ascii="Book Antiqua" w:eastAsia="MS PGothic" w:hAnsi="Book Antiqua" w:cs="Times New Roman"/>
                <w:color w:val="000000"/>
                <w:kern w:val="0"/>
                <w:sz w:val="24"/>
                <w:szCs w:val="24"/>
              </w:rPr>
              <w:t>9</w:t>
            </w:r>
            <w:r w:rsidRPr="002910A5">
              <w:rPr>
                <w:rFonts w:ascii="Book Antiqua" w:eastAsia="MS PGothic" w:hAnsi="Book Antiqua" w:cs="Times New Roman"/>
                <w:color w:val="000000"/>
                <w:kern w:val="0"/>
                <w:sz w:val="24"/>
                <w:szCs w:val="24"/>
              </w:rPr>
              <w:t xml:space="preserve"> (100)</w:t>
            </w:r>
            <w:r w:rsidRPr="002910A5">
              <w:rPr>
                <w:rFonts w:ascii="Book Antiqua" w:eastAsia="MS PGothic" w:hAnsi="Book Antiqua" w:cs="Times New Roman"/>
                <w:color w:val="000000"/>
                <w:kern w:val="0"/>
                <w:sz w:val="24"/>
                <w:szCs w:val="24"/>
              </w:rPr>
              <w:br/>
              <w:t>0 (0)</w:t>
            </w:r>
          </w:p>
        </w:tc>
        <w:tc>
          <w:tcPr>
            <w:tcW w:w="960" w:type="dxa"/>
            <w:tcBorders>
              <w:top w:val="nil"/>
              <w:left w:val="nil"/>
              <w:bottom w:val="nil"/>
              <w:right w:val="nil"/>
            </w:tcBorders>
            <w:shd w:val="clear" w:color="auto" w:fill="auto"/>
            <w:vAlign w:val="center"/>
            <w:hideMark/>
          </w:tcPr>
          <w:p w14:paraId="6A22789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r w:rsidR="003D229F" w:rsidRPr="002910A5" w14:paraId="455BF215" w14:textId="77777777" w:rsidTr="00C42C52">
        <w:trPr>
          <w:trHeight w:val="923"/>
        </w:trPr>
        <w:tc>
          <w:tcPr>
            <w:tcW w:w="3660" w:type="dxa"/>
            <w:tcBorders>
              <w:top w:val="nil"/>
              <w:left w:val="nil"/>
              <w:bottom w:val="nil"/>
              <w:right w:val="nil"/>
            </w:tcBorders>
            <w:shd w:val="clear" w:color="auto" w:fill="auto"/>
            <w:vAlign w:val="center"/>
            <w:hideMark/>
          </w:tcPr>
          <w:p w14:paraId="0EF9785C" w14:textId="3C0FDBCA"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Depth of invasion, </w:t>
            </w:r>
            <w:r w:rsidRPr="002910A5">
              <w:rPr>
                <w:rFonts w:ascii="Book Antiqua" w:eastAsia="MS PGothic" w:hAnsi="Book Antiqua" w:cs="Times New Roman"/>
                <w:i/>
                <w:iCs/>
                <w:color w:val="000000"/>
                <w:kern w:val="0"/>
                <w:sz w:val="24"/>
                <w:szCs w:val="24"/>
              </w:rPr>
              <w:t>n</w:t>
            </w:r>
            <w:r w:rsidR="004D6E8B">
              <w:rPr>
                <w:rFonts w:ascii="Book Antiqua" w:eastAsia="MS PGothic" w:hAnsi="Book Antiqua" w:cs="Times New Roman"/>
                <w:color w:val="000000"/>
                <w:kern w:val="0"/>
                <w:sz w:val="24"/>
                <w:szCs w:val="24"/>
              </w:rPr>
              <w:t xml:space="preserve"> (%)</w:t>
            </w:r>
            <w:r w:rsidR="004D6E8B">
              <w:rPr>
                <w:rFonts w:ascii="Book Antiqua" w:eastAsia="MS PGothic" w:hAnsi="Book Antiqua" w:cs="Times New Roman"/>
                <w:color w:val="000000"/>
                <w:kern w:val="0"/>
                <w:sz w:val="24"/>
                <w:szCs w:val="24"/>
              </w:rPr>
              <w:br/>
              <w:t xml:space="preserve"> Mucosa</w:t>
            </w:r>
            <w:r w:rsidR="004D6E8B">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Submucosa</w:t>
            </w:r>
          </w:p>
        </w:tc>
        <w:tc>
          <w:tcPr>
            <w:tcW w:w="2100" w:type="dxa"/>
            <w:tcBorders>
              <w:top w:val="nil"/>
              <w:left w:val="nil"/>
              <w:bottom w:val="nil"/>
              <w:right w:val="nil"/>
            </w:tcBorders>
            <w:shd w:val="clear" w:color="auto" w:fill="auto"/>
            <w:vAlign w:val="center"/>
            <w:hideMark/>
          </w:tcPr>
          <w:p w14:paraId="138B1A12"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50 (89.3)</w:t>
            </w:r>
            <w:r w:rsidRPr="002910A5">
              <w:rPr>
                <w:rFonts w:ascii="Book Antiqua" w:eastAsia="MS PGothic" w:hAnsi="Book Antiqua" w:cs="Times New Roman"/>
                <w:color w:val="000000"/>
                <w:kern w:val="0"/>
                <w:sz w:val="24"/>
                <w:szCs w:val="24"/>
              </w:rPr>
              <w:br/>
              <w:t>6 (10.7)</w:t>
            </w:r>
          </w:p>
        </w:tc>
        <w:tc>
          <w:tcPr>
            <w:tcW w:w="2320" w:type="dxa"/>
            <w:tcBorders>
              <w:top w:val="nil"/>
              <w:left w:val="nil"/>
              <w:bottom w:val="nil"/>
              <w:right w:val="nil"/>
            </w:tcBorders>
            <w:shd w:val="clear" w:color="auto" w:fill="auto"/>
            <w:vAlign w:val="center"/>
            <w:hideMark/>
          </w:tcPr>
          <w:p w14:paraId="5A73E44D" w14:textId="38B4B144"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r>
            <w:r w:rsidR="009F713D" w:rsidRPr="002910A5">
              <w:rPr>
                <w:rFonts w:ascii="Book Antiqua" w:eastAsia="MS PGothic" w:hAnsi="Book Antiqua" w:cs="Times New Roman"/>
                <w:color w:val="000000"/>
                <w:kern w:val="0"/>
                <w:sz w:val="24"/>
                <w:szCs w:val="24"/>
              </w:rPr>
              <w:t>33</w:t>
            </w:r>
            <w:r w:rsidRPr="002910A5">
              <w:rPr>
                <w:rFonts w:ascii="Book Antiqua" w:eastAsia="MS PGothic" w:hAnsi="Book Antiqua" w:cs="Times New Roman"/>
                <w:color w:val="000000"/>
                <w:kern w:val="0"/>
                <w:sz w:val="24"/>
                <w:szCs w:val="24"/>
              </w:rPr>
              <w:t xml:space="preserve"> (8</w:t>
            </w:r>
            <w:r w:rsidR="00A46C30" w:rsidRPr="002910A5">
              <w:rPr>
                <w:rFonts w:ascii="Book Antiqua" w:eastAsia="MS PGothic" w:hAnsi="Book Antiqua" w:cs="Times New Roman"/>
                <w:color w:val="000000"/>
                <w:kern w:val="0"/>
                <w:sz w:val="24"/>
                <w:szCs w:val="24"/>
              </w:rPr>
              <w:t>4.6</w:t>
            </w:r>
            <w:r w:rsidRPr="002910A5">
              <w:rPr>
                <w:rFonts w:ascii="Book Antiqua" w:eastAsia="MS PGothic" w:hAnsi="Book Antiqua" w:cs="Times New Roman"/>
                <w:color w:val="000000"/>
                <w:kern w:val="0"/>
                <w:sz w:val="24"/>
                <w:szCs w:val="24"/>
              </w:rPr>
              <w:t>)</w:t>
            </w:r>
            <w:r w:rsidRPr="002910A5">
              <w:rPr>
                <w:rFonts w:ascii="Book Antiqua" w:eastAsia="MS PGothic" w:hAnsi="Book Antiqua" w:cs="Times New Roman"/>
                <w:color w:val="000000"/>
                <w:kern w:val="0"/>
                <w:sz w:val="24"/>
                <w:szCs w:val="24"/>
              </w:rPr>
              <w:br/>
            </w:r>
            <w:r w:rsidR="009F713D" w:rsidRPr="002910A5">
              <w:rPr>
                <w:rFonts w:ascii="Book Antiqua" w:eastAsia="MS PGothic" w:hAnsi="Book Antiqua" w:cs="Times New Roman"/>
                <w:color w:val="000000"/>
                <w:kern w:val="0"/>
                <w:sz w:val="24"/>
                <w:szCs w:val="24"/>
              </w:rPr>
              <w:t>6</w:t>
            </w:r>
            <w:r w:rsidRPr="002910A5">
              <w:rPr>
                <w:rFonts w:ascii="Book Antiqua" w:eastAsia="MS PGothic" w:hAnsi="Book Antiqua" w:cs="Times New Roman"/>
                <w:color w:val="000000"/>
                <w:kern w:val="0"/>
                <w:sz w:val="24"/>
                <w:szCs w:val="24"/>
              </w:rPr>
              <w:t xml:space="preserve"> (1</w:t>
            </w:r>
            <w:r w:rsidR="00A46C30" w:rsidRPr="002910A5">
              <w:rPr>
                <w:rFonts w:ascii="Book Antiqua" w:eastAsia="MS PGothic" w:hAnsi="Book Antiqua" w:cs="Times New Roman"/>
                <w:color w:val="000000"/>
                <w:kern w:val="0"/>
                <w:sz w:val="24"/>
                <w:szCs w:val="24"/>
              </w:rPr>
              <w:t>5.4</w:t>
            </w:r>
            <w:r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vAlign w:val="center"/>
            <w:hideMark/>
          </w:tcPr>
          <w:p w14:paraId="2B0A4DEB" w14:textId="569F11F9"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w:t>
            </w:r>
            <w:r w:rsidR="009F713D" w:rsidRPr="002910A5">
              <w:rPr>
                <w:rFonts w:ascii="Book Antiqua" w:eastAsia="MS PGothic" w:hAnsi="Book Antiqua" w:cs="Times New Roman"/>
                <w:color w:val="000000"/>
                <w:kern w:val="0"/>
                <w:sz w:val="24"/>
                <w:szCs w:val="24"/>
              </w:rPr>
              <w:t>542</w:t>
            </w:r>
          </w:p>
        </w:tc>
      </w:tr>
      <w:tr w:rsidR="003D229F" w:rsidRPr="002910A5" w14:paraId="2F6B5304" w14:textId="77777777" w:rsidTr="00C42C52">
        <w:trPr>
          <w:trHeight w:val="308"/>
        </w:trPr>
        <w:tc>
          <w:tcPr>
            <w:tcW w:w="3660" w:type="dxa"/>
            <w:tcBorders>
              <w:top w:val="nil"/>
              <w:left w:val="nil"/>
              <w:bottom w:val="nil"/>
              <w:right w:val="nil"/>
            </w:tcBorders>
            <w:shd w:val="clear" w:color="auto" w:fill="auto"/>
            <w:noWrap/>
            <w:vAlign w:val="center"/>
            <w:hideMark/>
          </w:tcPr>
          <w:p w14:paraId="7362F4EE"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Specimen size, median (IQR), mm</w:t>
            </w:r>
          </w:p>
        </w:tc>
        <w:tc>
          <w:tcPr>
            <w:tcW w:w="2100" w:type="dxa"/>
            <w:tcBorders>
              <w:top w:val="nil"/>
              <w:left w:val="nil"/>
              <w:bottom w:val="nil"/>
              <w:right w:val="nil"/>
            </w:tcBorders>
            <w:shd w:val="clear" w:color="auto" w:fill="auto"/>
            <w:noWrap/>
            <w:vAlign w:val="center"/>
            <w:hideMark/>
          </w:tcPr>
          <w:p w14:paraId="365B3E7B" w14:textId="141FEC9F"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28 (22</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37.3)</w:t>
            </w:r>
          </w:p>
        </w:tc>
        <w:tc>
          <w:tcPr>
            <w:tcW w:w="2320" w:type="dxa"/>
            <w:tcBorders>
              <w:top w:val="nil"/>
              <w:left w:val="nil"/>
              <w:bottom w:val="nil"/>
              <w:right w:val="nil"/>
            </w:tcBorders>
            <w:shd w:val="clear" w:color="auto" w:fill="auto"/>
            <w:noWrap/>
            <w:vAlign w:val="center"/>
            <w:hideMark/>
          </w:tcPr>
          <w:p w14:paraId="6578BD70" w14:textId="5812B16A"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31 (25</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4</w:t>
            </w:r>
            <w:r w:rsidR="002E6367" w:rsidRPr="002910A5">
              <w:rPr>
                <w:rFonts w:ascii="Book Antiqua" w:eastAsia="MS PGothic" w:hAnsi="Book Antiqua" w:cs="Times New Roman"/>
                <w:color w:val="000000"/>
                <w:kern w:val="0"/>
                <w:sz w:val="24"/>
                <w:szCs w:val="24"/>
              </w:rPr>
              <w:t>3.5</w:t>
            </w:r>
            <w:r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noWrap/>
            <w:vAlign w:val="center"/>
            <w:hideMark/>
          </w:tcPr>
          <w:p w14:paraId="640859D6" w14:textId="713958EC"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w:t>
            </w:r>
            <w:r w:rsidR="002E6367" w:rsidRPr="002910A5">
              <w:rPr>
                <w:rFonts w:ascii="Book Antiqua" w:eastAsia="MS PGothic" w:hAnsi="Book Antiqua" w:cs="Times New Roman"/>
                <w:color w:val="000000"/>
                <w:kern w:val="0"/>
                <w:sz w:val="24"/>
                <w:szCs w:val="24"/>
              </w:rPr>
              <w:t>440</w:t>
            </w:r>
          </w:p>
        </w:tc>
      </w:tr>
      <w:tr w:rsidR="003D229F" w:rsidRPr="002910A5" w14:paraId="539E7601" w14:textId="77777777" w:rsidTr="00C42C52">
        <w:trPr>
          <w:trHeight w:val="308"/>
        </w:trPr>
        <w:tc>
          <w:tcPr>
            <w:tcW w:w="3660" w:type="dxa"/>
            <w:tcBorders>
              <w:top w:val="nil"/>
              <w:left w:val="nil"/>
              <w:bottom w:val="nil"/>
              <w:right w:val="nil"/>
            </w:tcBorders>
            <w:shd w:val="clear" w:color="auto" w:fill="auto"/>
            <w:noWrap/>
            <w:vAlign w:val="center"/>
            <w:hideMark/>
          </w:tcPr>
          <w:p w14:paraId="435C85FD"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Complete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2100" w:type="dxa"/>
            <w:tcBorders>
              <w:top w:val="nil"/>
              <w:left w:val="nil"/>
              <w:bottom w:val="nil"/>
              <w:right w:val="nil"/>
            </w:tcBorders>
            <w:shd w:val="clear" w:color="auto" w:fill="auto"/>
            <w:noWrap/>
            <w:vAlign w:val="center"/>
            <w:hideMark/>
          </w:tcPr>
          <w:p w14:paraId="4F8D03F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53 (94.6)</w:t>
            </w:r>
          </w:p>
        </w:tc>
        <w:tc>
          <w:tcPr>
            <w:tcW w:w="2320" w:type="dxa"/>
            <w:tcBorders>
              <w:top w:val="nil"/>
              <w:left w:val="nil"/>
              <w:bottom w:val="nil"/>
              <w:right w:val="nil"/>
            </w:tcBorders>
            <w:shd w:val="clear" w:color="auto" w:fill="auto"/>
            <w:noWrap/>
            <w:vAlign w:val="center"/>
            <w:hideMark/>
          </w:tcPr>
          <w:p w14:paraId="6FDDF863" w14:textId="261E2015" w:rsidR="003D229F" w:rsidRPr="002910A5" w:rsidRDefault="004F262D"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37</w:t>
            </w:r>
            <w:r w:rsidR="003D229F" w:rsidRPr="002910A5">
              <w:rPr>
                <w:rFonts w:ascii="Book Antiqua" w:eastAsia="MS PGothic" w:hAnsi="Book Antiqua" w:cs="Times New Roman"/>
                <w:color w:val="000000"/>
                <w:kern w:val="0"/>
                <w:sz w:val="24"/>
                <w:szCs w:val="24"/>
              </w:rPr>
              <w:t xml:space="preserve"> (9</w:t>
            </w:r>
            <w:r w:rsidR="00A46C30" w:rsidRPr="002910A5">
              <w:rPr>
                <w:rFonts w:ascii="Book Antiqua" w:eastAsia="MS PGothic" w:hAnsi="Book Antiqua" w:cs="Times New Roman"/>
                <w:color w:val="000000"/>
                <w:kern w:val="0"/>
                <w:sz w:val="24"/>
                <w:szCs w:val="24"/>
              </w:rPr>
              <w:t>4.9</w:t>
            </w:r>
            <w:r w:rsidR="003D229F"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vAlign w:val="center"/>
            <w:hideMark/>
          </w:tcPr>
          <w:p w14:paraId="318EF01E"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r w:rsidR="003D229F" w:rsidRPr="002910A5" w14:paraId="6EDD3D83" w14:textId="77777777" w:rsidTr="00C42C52">
        <w:trPr>
          <w:trHeight w:val="308"/>
        </w:trPr>
        <w:tc>
          <w:tcPr>
            <w:tcW w:w="3660" w:type="dxa"/>
            <w:tcBorders>
              <w:top w:val="nil"/>
              <w:left w:val="nil"/>
              <w:bottom w:val="nil"/>
              <w:right w:val="nil"/>
            </w:tcBorders>
            <w:shd w:val="clear" w:color="auto" w:fill="auto"/>
            <w:noWrap/>
            <w:vAlign w:val="center"/>
            <w:hideMark/>
          </w:tcPr>
          <w:p w14:paraId="0121ECAB"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Curative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2100" w:type="dxa"/>
            <w:tcBorders>
              <w:top w:val="nil"/>
              <w:left w:val="nil"/>
              <w:bottom w:val="nil"/>
              <w:right w:val="nil"/>
            </w:tcBorders>
            <w:shd w:val="clear" w:color="auto" w:fill="auto"/>
            <w:noWrap/>
            <w:vAlign w:val="center"/>
            <w:hideMark/>
          </w:tcPr>
          <w:p w14:paraId="0D81099B"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52 (92.9)</w:t>
            </w:r>
          </w:p>
        </w:tc>
        <w:tc>
          <w:tcPr>
            <w:tcW w:w="2320" w:type="dxa"/>
            <w:tcBorders>
              <w:top w:val="nil"/>
              <w:left w:val="nil"/>
              <w:bottom w:val="nil"/>
              <w:right w:val="nil"/>
            </w:tcBorders>
            <w:shd w:val="clear" w:color="auto" w:fill="auto"/>
            <w:noWrap/>
            <w:vAlign w:val="center"/>
            <w:hideMark/>
          </w:tcPr>
          <w:p w14:paraId="2A5A3C9A" w14:textId="183C249D" w:rsidR="003D229F" w:rsidRPr="002910A5" w:rsidRDefault="004F262D"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34</w:t>
            </w:r>
            <w:r w:rsidR="003D229F" w:rsidRPr="002910A5">
              <w:rPr>
                <w:rFonts w:ascii="Book Antiqua" w:eastAsia="MS PGothic" w:hAnsi="Book Antiqua" w:cs="Times New Roman"/>
                <w:color w:val="000000"/>
                <w:kern w:val="0"/>
                <w:sz w:val="24"/>
                <w:szCs w:val="24"/>
              </w:rPr>
              <w:t xml:space="preserve"> (</w:t>
            </w:r>
            <w:r w:rsidR="00A46C30" w:rsidRPr="002910A5">
              <w:rPr>
                <w:rFonts w:ascii="Book Antiqua" w:eastAsia="MS PGothic" w:hAnsi="Book Antiqua" w:cs="Times New Roman"/>
                <w:color w:val="000000"/>
                <w:kern w:val="0"/>
                <w:sz w:val="24"/>
                <w:szCs w:val="24"/>
              </w:rPr>
              <w:t>87.2</w:t>
            </w:r>
            <w:r w:rsidR="003D229F"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noWrap/>
            <w:vAlign w:val="center"/>
            <w:hideMark/>
          </w:tcPr>
          <w:p w14:paraId="62D3B540" w14:textId="09FFB021"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w:t>
            </w:r>
            <w:r w:rsidR="004F262D" w:rsidRPr="002910A5">
              <w:rPr>
                <w:rFonts w:ascii="Book Antiqua" w:eastAsia="MS PGothic" w:hAnsi="Book Antiqua" w:cs="Times New Roman"/>
                <w:color w:val="000000"/>
                <w:kern w:val="0"/>
                <w:sz w:val="24"/>
                <w:szCs w:val="24"/>
              </w:rPr>
              <w:t>480</w:t>
            </w:r>
          </w:p>
        </w:tc>
      </w:tr>
      <w:tr w:rsidR="003D229F" w:rsidRPr="002910A5" w14:paraId="7128A7D8" w14:textId="77777777" w:rsidTr="00C42C52">
        <w:trPr>
          <w:trHeight w:val="308"/>
        </w:trPr>
        <w:tc>
          <w:tcPr>
            <w:tcW w:w="3660" w:type="dxa"/>
            <w:tcBorders>
              <w:top w:val="nil"/>
              <w:left w:val="nil"/>
              <w:bottom w:val="single" w:sz="4" w:space="0" w:color="auto"/>
              <w:right w:val="nil"/>
            </w:tcBorders>
            <w:shd w:val="clear" w:color="auto" w:fill="auto"/>
            <w:noWrap/>
            <w:vAlign w:val="center"/>
            <w:hideMark/>
          </w:tcPr>
          <w:p w14:paraId="388DCA45"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Postoperative bleeding,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2100" w:type="dxa"/>
            <w:tcBorders>
              <w:top w:val="nil"/>
              <w:left w:val="nil"/>
              <w:bottom w:val="single" w:sz="4" w:space="0" w:color="auto"/>
              <w:right w:val="nil"/>
            </w:tcBorders>
            <w:shd w:val="clear" w:color="auto" w:fill="auto"/>
            <w:noWrap/>
            <w:vAlign w:val="center"/>
            <w:hideMark/>
          </w:tcPr>
          <w:p w14:paraId="32958053"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6 (10.7)</w:t>
            </w:r>
          </w:p>
        </w:tc>
        <w:tc>
          <w:tcPr>
            <w:tcW w:w="2320" w:type="dxa"/>
            <w:tcBorders>
              <w:top w:val="nil"/>
              <w:left w:val="nil"/>
              <w:bottom w:val="single" w:sz="4" w:space="0" w:color="auto"/>
              <w:right w:val="nil"/>
            </w:tcBorders>
            <w:shd w:val="clear" w:color="auto" w:fill="auto"/>
            <w:noWrap/>
            <w:vAlign w:val="center"/>
            <w:hideMark/>
          </w:tcPr>
          <w:p w14:paraId="2C68C007" w14:textId="156E4E8B" w:rsidR="003D229F" w:rsidRPr="002910A5" w:rsidRDefault="00A36BF5"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4</w:t>
            </w:r>
            <w:r w:rsidR="003D229F" w:rsidRPr="002910A5">
              <w:rPr>
                <w:rFonts w:ascii="Book Antiqua" w:eastAsia="MS PGothic" w:hAnsi="Book Antiqua" w:cs="Times New Roman"/>
                <w:color w:val="000000"/>
                <w:kern w:val="0"/>
                <w:sz w:val="24"/>
                <w:szCs w:val="24"/>
              </w:rPr>
              <w:t xml:space="preserve"> (</w:t>
            </w:r>
            <w:r w:rsidR="002A2299" w:rsidRPr="002910A5">
              <w:rPr>
                <w:rFonts w:ascii="Book Antiqua" w:eastAsia="MS PGothic" w:hAnsi="Book Antiqua" w:cs="Times New Roman"/>
                <w:color w:val="000000"/>
                <w:kern w:val="0"/>
                <w:sz w:val="24"/>
                <w:szCs w:val="24"/>
              </w:rPr>
              <w:t>10.3</w:t>
            </w:r>
            <w:r w:rsidR="003D229F" w:rsidRPr="002910A5">
              <w:rPr>
                <w:rFonts w:ascii="Book Antiqua" w:eastAsia="MS PGothic" w:hAnsi="Book Antiqua" w:cs="Times New Roman"/>
                <w:color w:val="000000"/>
                <w:kern w:val="0"/>
                <w:sz w:val="24"/>
                <w:szCs w:val="24"/>
              </w:rPr>
              <w:t>)</w:t>
            </w:r>
          </w:p>
        </w:tc>
        <w:tc>
          <w:tcPr>
            <w:tcW w:w="960" w:type="dxa"/>
            <w:tcBorders>
              <w:top w:val="nil"/>
              <w:left w:val="nil"/>
              <w:bottom w:val="single" w:sz="4" w:space="0" w:color="auto"/>
              <w:right w:val="nil"/>
            </w:tcBorders>
            <w:shd w:val="clear" w:color="auto" w:fill="auto"/>
            <w:vAlign w:val="center"/>
            <w:hideMark/>
          </w:tcPr>
          <w:p w14:paraId="499B982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bl>
    <w:p w14:paraId="3FBBF298" w14:textId="2510CE06" w:rsidR="003D229F" w:rsidRPr="002910A5" w:rsidRDefault="004D6E8B"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eastAsia="MS PGothic" w:hAnsi="Book Antiqua" w:cs="Times New Roman"/>
          <w:color w:val="000000" w:themeColor="text1"/>
          <w:kern w:val="0"/>
          <w:sz w:val="24"/>
          <w:szCs w:val="24"/>
        </w:rPr>
        <w:t>IQR: I</w:t>
      </w:r>
      <w:r w:rsidR="003D229F" w:rsidRPr="002910A5">
        <w:rPr>
          <w:rFonts w:ascii="Book Antiqua" w:eastAsia="MS PGothic" w:hAnsi="Book Antiqua" w:cs="Times New Roman"/>
          <w:color w:val="000000" w:themeColor="text1"/>
          <w:kern w:val="0"/>
          <w:sz w:val="24"/>
          <w:szCs w:val="24"/>
        </w:rPr>
        <w:t>nterquartile range;</w:t>
      </w:r>
      <w:r>
        <w:rPr>
          <w:rFonts w:ascii="Book Antiqua" w:hAnsi="Book Antiqua" w:cs="Times New Roman"/>
          <w:kern w:val="24"/>
          <w:sz w:val="24"/>
          <w:szCs w:val="24"/>
        </w:rPr>
        <w:t xml:space="preserve"> LDA: L</w:t>
      </w:r>
      <w:r w:rsidR="003D229F" w:rsidRPr="002910A5">
        <w:rPr>
          <w:rFonts w:ascii="Book Antiqua" w:hAnsi="Book Antiqua" w:cs="Times New Roman"/>
          <w:kern w:val="24"/>
          <w:sz w:val="24"/>
          <w:szCs w:val="24"/>
        </w:rPr>
        <w:t>ow-dose aspirin</w:t>
      </w:r>
      <w:r>
        <w:rPr>
          <w:rFonts w:ascii="Book Antiqua" w:hAnsi="Book Antiqua" w:cs="Times New Roman"/>
          <w:kern w:val="24"/>
          <w:sz w:val="24"/>
          <w:szCs w:val="24"/>
        </w:rPr>
        <w:t>.</w:t>
      </w:r>
    </w:p>
    <w:p w14:paraId="2C24E2E3" w14:textId="77777777" w:rsidR="004D6E8B" w:rsidRDefault="004D6E8B">
      <w:pPr>
        <w:widowControl/>
        <w:jc w:val="left"/>
        <w:rPr>
          <w:rFonts w:ascii="Book Antiqua" w:hAnsi="Book Antiqua" w:cs="Times New Roman"/>
          <w:sz w:val="24"/>
          <w:szCs w:val="24"/>
        </w:rPr>
      </w:pPr>
      <w:r>
        <w:rPr>
          <w:rFonts w:ascii="Book Antiqua" w:hAnsi="Book Antiqua" w:cs="Times New Roman"/>
          <w:sz w:val="24"/>
          <w:szCs w:val="24"/>
        </w:rPr>
        <w:br w:type="page"/>
      </w:r>
    </w:p>
    <w:p w14:paraId="3261F9E3" w14:textId="10BC8AC8"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Table 6 Comparison of c</w:t>
      </w:r>
      <w:r w:rsidRPr="002910A5">
        <w:rPr>
          <w:rFonts w:ascii="Book Antiqua" w:eastAsia="MS PGothic" w:hAnsi="Book Antiqua" w:cs="Times New Roman"/>
          <w:b/>
          <w:kern w:val="0"/>
          <w:sz w:val="24"/>
          <w:szCs w:val="24"/>
        </w:rPr>
        <w:t xml:space="preserve">haracteristics among patients receiving </w:t>
      </w:r>
      <w:r w:rsidR="00756331" w:rsidRPr="002910A5">
        <w:rPr>
          <w:rFonts w:ascii="Book Antiqua" w:eastAsia="MS PGothic" w:hAnsi="Book Antiqua" w:cs="Times New Roman"/>
          <w:b/>
          <w:kern w:val="0"/>
          <w:sz w:val="24"/>
          <w:szCs w:val="24"/>
        </w:rPr>
        <w:t>dual antiplatelet therapy</w:t>
      </w:r>
      <w:r w:rsidRPr="002910A5">
        <w:rPr>
          <w:rFonts w:ascii="Book Antiqua" w:eastAsia="MS PGothic" w:hAnsi="Book Antiqua" w:cs="Times New Roman"/>
          <w:b/>
          <w:kern w:val="0"/>
          <w:sz w:val="24"/>
          <w:szCs w:val="24"/>
        </w:rPr>
        <w:t xml:space="preserve"> in the 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580" w:type="dxa"/>
        <w:tblCellMar>
          <w:left w:w="99" w:type="dxa"/>
          <w:right w:w="99" w:type="dxa"/>
        </w:tblCellMar>
        <w:tblLook w:val="04A0" w:firstRow="1" w:lastRow="0" w:firstColumn="1" w:lastColumn="0" w:noHBand="0" w:noVBand="1"/>
      </w:tblPr>
      <w:tblGrid>
        <w:gridCol w:w="3660"/>
        <w:gridCol w:w="1780"/>
        <w:gridCol w:w="2100"/>
        <w:gridCol w:w="1040"/>
      </w:tblGrid>
      <w:tr w:rsidR="003D229F" w:rsidRPr="002910A5" w14:paraId="1E2259B4" w14:textId="77777777" w:rsidTr="00C42C52">
        <w:trPr>
          <w:trHeight w:val="615"/>
        </w:trPr>
        <w:tc>
          <w:tcPr>
            <w:tcW w:w="3660" w:type="dxa"/>
            <w:tcBorders>
              <w:top w:val="single" w:sz="4" w:space="0" w:color="auto"/>
              <w:left w:val="nil"/>
              <w:bottom w:val="single" w:sz="4" w:space="0" w:color="auto"/>
              <w:right w:val="nil"/>
            </w:tcBorders>
            <w:shd w:val="clear" w:color="auto" w:fill="auto"/>
            <w:noWrap/>
            <w:vAlign w:val="center"/>
            <w:hideMark/>
          </w:tcPr>
          <w:p w14:paraId="73BC41EB"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780" w:type="dxa"/>
            <w:tcBorders>
              <w:top w:val="single" w:sz="4" w:space="0" w:color="auto"/>
              <w:left w:val="nil"/>
              <w:bottom w:val="single" w:sz="4" w:space="0" w:color="auto"/>
              <w:right w:val="nil"/>
            </w:tcBorders>
            <w:shd w:val="clear" w:color="auto" w:fill="auto"/>
            <w:vAlign w:val="center"/>
            <w:hideMark/>
          </w:tcPr>
          <w:p w14:paraId="1839C704" w14:textId="2042F3C8" w:rsidR="003D229F" w:rsidRPr="002910A5" w:rsidRDefault="003D229F" w:rsidP="004D6E8B">
            <w:pPr>
              <w:widowControl/>
              <w:adjustRightInd w:val="0"/>
              <w:snapToGrid w:val="0"/>
              <w:spacing w:line="360" w:lineRule="auto"/>
              <w:jc w:val="center"/>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 xml:space="preserve">Continuous </w:t>
            </w:r>
            <w:r w:rsidR="00E34F3A">
              <w:rPr>
                <w:rFonts w:ascii="Book Antiqua" w:eastAsia="MS PGothic" w:hAnsi="Book Antiqua" w:cs="Times New Roman"/>
                <w:b/>
                <w:kern w:val="0"/>
                <w:sz w:val="24"/>
                <w:szCs w:val="24"/>
              </w:rPr>
              <w:t>LDA</w:t>
            </w:r>
            <w:r w:rsidR="00E34F3A">
              <w:rPr>
                <w:rFonts w:ascii="Book Antiqua" w:hAnsi="Book Antiqua" w:cs="Times New Roman" w:hint="eastAsia"/>
                <w:b/>
                <w:kern w:val="0"/>
                <w:sz w:val="24"/>
                <w:szCs w:val="24"/>
                <w:lang w:eastAsia="zh-CN"/>
              </w:rPr>
              <w:t xml:space="preserve"> </w:t>
            </w:r>
            <w:r w:rsidRPr="002910A5">
              <w:rPr>
                <w:rFonts w:ascii="Book Antiqua" w:eastAsia="MS PGothic" w:hAnsi="Book Antiqua" w:cs="Times New Roman"/>
                <w:b/>
                <w:kern w:val="0"/>
                <w:sz w:val="24"/>
                <w:szCs w:val="24"/>
              </w:rPr>
              <w:t>(</w:t>
            </w:r>
            <w:r w:rsidRPr="002910A5">
              <w:rPr>
                <w:rFonts w:ascii="Book Antiqua" w:eastAsia="MS PGothic" w:hAnsi="Book Antiqua" w:cs="Times New Roman"/>
                <w:b/>
                <w:i/>
                <w:iCs/>
                <w:kern w:val="0"/>
                <w:sz w:val="24"/>
                <w:szCs w:val="24"/>
              </w:rPr>
              <w:t>n</w:t>
            </w:r>
            <w:r w:rsidRPr="002910A5">
              <w:rPr>
                <w:rFonts w:ascii="Book Antiqua" w:eastAsia="MS PGothic" w:hAnsi="Book Antiqua" w:cs="Times New Roman"/>
                <w:b/>
                <w:kern w:val="0"/>
                <w:sz w:val="24"/>
                <w:szCs w:val="24"/>
              </w:rPr>
              <w:t xml:space="preserve"> = 39)</w:t>
            </w:r>
          </w:p>
        </w:tc>
        <w:tc>
          <w:tcPr>
            <w:tcW w:w="2100" w:type="dxa"/>
            <w:tcBorders>
              <w:top w:val="single" w:sz="4" w:space="0" w:color="auto"/>
              <w:left w:val="nil"/>
              <w:bottom w:val="single" w:sz="4" w:space="0" w:color="auto"/>
              <w:right w:val="nil"/>
            </w:tcBorders>
            <w:shd w:val="clear" w:color="auto" w:fill="auto"/>
            <w:vAlign w:val="center"/>
            <w:hideMark/>
          </w:tcPr>
          <w:p w14:paraId="7B9494A1" w14:textId="1E056178" w:rsidR="003D229F" w:rsidRPr="002910A5" w:rsidRDefault="00E34F3A" w:rsidP="004D6E8B">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20)</w:t>
            </w:r>
          </w:p>
        </w:tc>
        <w:tc>
          <w:tcPr>
            <w:tcW w:w="1040" w:type="dxa"/>
            <w:tcBorders>
              <w:top w:val="single" w:sz="4" w:space="0" w:color="auto"/>
              <w:left w:val="nil"/>
              <w:bottom w:val="single" w:sz="4" w:space="0" w:color="auto"/>
              <w:right w:val="nil"/>
            </w:tcBorders>
            <w:shd w:val="clear" w:color="auto" w:fill="auto"/>
            <w:noWrap/>
            <w:vAlign w:val="center"/>
            <w:hideMark/>
          </w:tcPr>
          <w:p w14:paraId="0E16DCD4"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171DE321" w14:textId="77777777" w:rsidTr="00C42C52">
        <w:trPr>
          <w:trHeight w:val="308"/>
        </w:trPr>
        <w:tc>
          <w:tcPr>
            <w:tcW w:w="3660" w:type="dxa"/>
            <w:tcBorders>
              <w:top w:val="nil"/>
              <w:left w:val="nil"/>
              <w:bottom w:val="nil"/>
              <w:right w:val="nil"/>
            </w:tcBorders>
            <w:shd w:val="clear" w:color="auto" w:fill="auto"/>
            <w:noWrap/>
            <w:vAlign w:val="center"/>
            <w:hideMark/>
          </w:tcPr>
          <w:p w14:paraId="26D81A12" w14:textId="32ABADE0"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4D6E8B">
              <w:rPr>
                <w:rFonts w:ascii="Book Antiqua" w:eastAsia="MS PGothic" w:hAnsi="Book Antiqua" w:cs="Times New Roman"/>
                <w:kern w:val="0"/>
                <w:sz w:val="24"/>
                <w:szCs w:val="24"/>
              </w:rPr>
              <w:t>r</w:t>
            </w:r>
            <w:proofErr w:type="spellEnd"/>
          </w:p>
        </w:tc>
        <w:tc>
          <w:tcPr>
            <w:tcW w:w="1780" w:type="dxa"/>
            <w:tcBorders>
              <w:top w:val="nil"/>
              <w:left w:val="nil"/>
              <w:bottom w:val="nil"/>
              <w:right w:val="nil"/>
            </w:tcBorders>
            <w:shd w:val="clear" w:color="auto" w:fill="auto"/>
            <w:noWrap/>
            <w:vAlign w:val="center"/>
            <w:hideMark/>
          </w:tcPr>
          <w:p w14:paraId="4B6CE98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74.7 (7.743)</w:t>
            </w:r>
          </w:p>
        </w:tc>
        <w:tc>
          <w:tcPr>
            <w:tcW w:w="2100" w:type="dxa"/>
            <w:tcBorders>
              <w:top w:val="nil"/>
              <w:left w:val="nil"/>
              <w:bottom w:val="nil"/>
              <w:right w:val="nil"/>
            </w:tcBorders>
            <w:shd w:val="clear" w:color="auto" w:fill="auto"/>
            <w:noWrap/>
            <w:vAlign w:val="center"/>
            <w:hideMark/>
          </w:tcPr>
          <w:p w14:paraId="2C4884DD"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77.4 (7.665)</w:t>
            </w:r>
          </w:p>
        </w:tc>
        <w:tc>
          <w:tcPr>
            <w:tcW w:w="1040" w:type="dxa"/>
            <w:tcBorders>
              <w:top w:val="nil"/>
              <w:left w:val="nil"/>
              <w:bottom w:val="nil"/>
              <w:right w:val="nil"/>
            </w:tcBorders>
            <w:shd w:val="clear" w:color="auto" w:fill="auto"/>
            <w:vAlign w:val="center"/>
            <w:hideMark/>
          </w:tcPr>
          <w:p w14:paraId="751DE66D" w14:textId="1E20FC34"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0.216</w:t>
            </w:r>
          </w:p>
        </w:tc>
      </w:tr>
      <w:tr w:rsidR="003D229F" w:rsidRPr="002910A5" w14:paraId="77DE8E26" w14:textId="77777777" w:rsidTr="00C42C52">
        <w:trPr>
          <w:trHeight w:val="308"/>
        </w:trPr>
        <w:tc>
          <w:tcPr>
            <w:tcW w:w="3660" w:type="dxa"/>
            <w:tcBorders>
              <w:top w:val="nil"/>
              <w:left w:val="nil"/>
              <w:bottom w:val="nil"/>
              <w:right w:val="nil"/>
            </w:tcBorders>
            <w:shd w:val="clear" w:color="auto" w:fill="auto"/>
            <w:noWrap/>
            <w:vAlign w:val="center"/>
            <w:hideMark/>
          </w:tcPr>
          <w:p w14:paraId="709F2275"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780" w:type="dxa"/>
            <w:tcBorders>
              <w:top w:val="nil"/>
              <w:left w:val="nil"/>
              <w:bottom w:val="nil"/>
              <w:right w:val="nil"/>
            </w:tcBorders>
            <w:shd w:val="clear" w:color="auto" w:fill="auto"/>
            <w:noWrap/>
            <w:vAlign w:val="center"/>
            <w:hideMark/>
          </w:tcPr>
          <w:p w14:paraId="23F9C88F"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34 (87.2)</w:t>
            </w:r>
          </w:p>
        </w:tc>
        <w:tc>
          <w:tcPr>
            <w:tcW w:w="2100" w:type="dxa"/>
            <w:tcBorders>
              <w:top w:val="nil"/>
              <w:left w:val="nil"/>
              <w:bottom w:val="nil"/>
              <w:right w:val="nil"/>
            </w:tcBorders>
            <w:shd w:val="clear" w:color="auto" w:fill="auto"/>
            <w:noWrap/>
            <w:vAlign w:val="center"/>
            <w:hideMark/>
          </w:tcPr>
          <w:p w14:paraId="408FD8B6"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14 (70.0)</w:t>
            </w:r>
          </w:p>
        </w:tc>
        <w:tc>
          <w:tcPr>
            <w:tcW w:w="1040" w:type="dxa"/>
            <w:tcBorders>
              <w:top w:val="nil"/>
              <w:left w:val="nil"/>
              <w:bottom w:val="nil"/>
              <w:right w:val="nil"/>
            </w:tcBorders>
            <w:shd w:val="clear" w:color="auto" w:fill="auto"/>
            <w:noWrap/>
            <w:vAlign w:val="center"/>
            <w:hideMark/>
          </w:tcPr>
          <w:p w14:paraId="697991E3" w14:textId="72781348"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0.159</w:t>
            </w:r>
          </w:p>
        </w:tc>
      </w:tr>
      <w:tr w:rsidR="003D229F" w:rsidRPr="002910A5" w14:paraId="00E222AA" w14:textId="77777777" w:rsidTr="00C42C52">
        <w:trPr>
          <w:trHeight w:val="308"/>
        </w:trPr>
        <w:tc>
          <w:tcPr>
            <w:tcW w:w="3660" w:type="dxa"/>
            <w:tcBorders>
              <w:top w:val="nil"/>
              <w:left w:val="nil"/>
              <w:bottom w:val="nil"/>
              <w:right w:val="nil"/>
            </w:tcBorders>
            <w:shd w:val="clear" w:color="auto" w:fill="auto"/>
            <w:noWrap/>
            <w:vAlign w:val="center"/>
            <w:hideMark/>
          </w:tcPr>
          <w:p w14:paraId="30003C18" w14:textId="12D4001A"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4D6E8B">
              <w:rPr>
                <w:rFonts w:ascii="Book Antiqua" w:eastAsia="MS PGothic" w:hAnsi="Book Antiqua" w:cs="Times New Roman"/>
                <w:kern w:val="0"/>
                <w:sz w:val="24"/>
                <w:szCs w:val="24"/>
              </w:rPr>
              <w:t>r</w:t>
            </w:r>
            <w:proofErr w:type="spellEnd"/>
          </w:p>
        </w:tc>
        <w:tc>
          <w:tcPr>
            <w:tcW w:w="1780" w:type="dxa"/>
            <w:tcBorders>
              <w:top w:val="nil"/>
              <w:left w:val="nil"/>
              <w:bottom w:val="nil"/>
              <w:right w:val="nil"/>
            </w:tcBorders>
            <w:shd w:val="clear" w:color="auto" w:fill="auto"/>
            <w:vAlign w:val="center"/>
            <w:hideMark/>
          </w:tcPr>
          <w:p w14:paraId="140E3AF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23.5 (3.765)</w:t>
            </w:r>
          </w:p>
        </w:tc>
        <w:tc>
          <w:tcPr>
            <w:tcW w:w="2100" w:type="dxa"/>
            <w:tcBorders>
              <w:top w:val="nil"/>
              <w:left w:val="nil"/>
              <w:bottom w:val="nil"/>
              <w:right w:val="nil"/>
            </w:tcBorders>
            <w:shd w:val="clear" w:color="auto" w:fill="auto"/>
            <w:vAlign w:val="center"/>
            <w:hideMark/>
          </w:tcPr>
          <w:p w14:paraId="00F8CBD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22.4 (3.232)</w:t>
            </w:r>
          </w:p>
        </w:tc>
        <w:tc>
          <w:tcPr>
            <w:tcW w:w="1040" w:type="dxa"/>
            <w:tcBorders>
              <w:top w:val="nil"/>
              <w:left w:val="nil"/>
              <w:bottom w:val="nil"/>
              <w:right w:val="nil"/>
            </w:tcBorders>
            <w:shd w:val="clear" w:color="auto" w:fill="auto"/>
            <w:vAlign w:val="center"/>
            <w:hideMark/>
          </w:tcPr>
          <w:p w14:paraId="63B06366" w14:textId="03889A6F"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0.273</w:t>
            </w:r>
          </w:p>
        </w:tc>
      </w:tr>
      <w:tr w:rsidR="003D229F" w:rsidRPr="002910A5" w14:paraId="49D78292" w14:textId="77777777" w:rsidTr="00C42C52">
        <w:trPr>
          <w:trHeight w:val="308"/>
        </w:trPr>
        <w:tc>
          <w:tcPr>
            <w:tcW w:w="3660" w:type="dxa"/>
            <w:tcBorders>
              <w:top w:val="nil"/>
              <w:left w:val="nil"/>
              <w:bottom w:val="nil"/>
              <w:right w:val="nil"/>
            </w:tcBorders>
            <w:shd w:val="clear" w:color="auto" w:fill="auto"/>
            <w:vAlign w:val="center"/>
            <w:hideMark/>
          </w:tcPr>
          <w:p w14:paraId="7E589431"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Comorbidity, </w:t>
            </w:r>
            <w:r w:rsidRPr="002910A5">
              <w:rPr>
                <w:rFonts w:ascii="Book Antiqua" w:eastAsia="MS PGothic" w:hAnsi="Book Antiqua" w:cs="Times New Roman"/>
                <w:i/>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780" w:type="dxa"/>
            <w:tcBorders>
              <w:top w:val="nil"/>
              <w:left w:val="nil"/>
              <w:bottom w:val="nil"/>
              <w:right w:val="nil"/>
            </w:tcBorders>
            <w:shd w:val="clear" w:color="auto" w:fill="auto"/>
            <w:noWrap/>
            <w:vAlign w:val="center"/>
            <w:hideMark/>
          </w:tcPr>
          <w:p w14:paraId="273A2419"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p>
        </w:tc>
        <w:tc>
          <w:tcPr>
            <w:tcW w:w="2100" w:type="dxa"/>
            <w:tcBorders>
              <w:top w:val="nil"/>
              <w:left w:val="nil"/>
              <w:bottom w:val="nil"/>
              <w:right w:val="nil"/>
            </w:tcBorders>
            <w:shd w:val="clear" w:color="auto" w:fill="auto"/>
            <w:noWrap/>
            <w:vAlign w:val="center"/>
            <w:hideMark/>
          </w:tcPr>
          <w:p w14:paraId="7C87A1AE" w14:textId="77777777" w:rsidR="003D229F" w:rsidRPr="002910A5" w:rsidRDefault="003D229F" w:rsidP="004D6E8B">
            <w:pPr>
              <w:widowControl/>
              <w:adjustRightInd w:val="0"/>
              <w:snapToGrid w:val="0"/>
              <w:spacing w:line="360" w:lineRule="auto"/>
              <w:jc w:val="center"/>
              <w:rPr>
                <w:rFonts w:ascii="Book Antiqua" w:eastAsia="Times New Roman" w:hAnsi="Book Antiqua" w:cs="Times New Roman"/>
                <w:kern w:val="0"/>
                <w:sz w:val="24"/>
                <w:szCs w:val="24"/>
              </w:rPr>
            </w:pPr>
          </w:p>
        </w:tc>
        <w:tc>
          <w:tcPr>
            <w:tcW w:w="1040" w:type="dxa"/>
            <w:tcBorders>
              <w:top w:val="nil"/>
              <w:left w:val="nil"/>
              <w:bottom w:val="nil"/>
              <w:right w:val="nil"/>
            </w:tcBorders>
            <w:shd w:val="clear" w:color="auto" w:fill="auto"/>
            <w:noWrap/>
            <w:vAlign w:val="center"/>
            <w:hideMark/>
          </w:tcPr>
          <w:p w14:paraId="7A527ECD" w14:textId="77777777" w:rsidR="003D229F" w:rsidRPr="002910A5" w:rsidRDefault="003D229F" w:rsidP="004D6E8B">
            <w:pPr>
              <w:widowControl/>
              <w:adjustRightInd w:val="0"/>
              <w:snapToGrid w:val="0"/>
              <w:spacing w:line="360" w:lineRule="auto"/>
              <w:jc w:val="center"/>
              <w:rPr>
                <w:rFonts w:ascii="Book Antiqua" w:eastAsia="Times New Roman" w:hAnsi="Book Antiqua" w:cs="Times New Roman"/>
                <w:kern w:val="0"/>
                <w:sz w:val="24"/>
                <w:szCs w:val="24"/>
              </w:rPr>
            </w:pPr>
          </w:p>
        </w:tc>
      </w:tr>
      <w:tr w:rsidR="003D229F" w:rsidRPr="002910A5" w14:paraId="196C8974" w14:textId="77777777" w:rsidTr="00C42C52">
        <w:trPr>
          <w:trHeight w:val="308"/>
        </w:trPr>
        <w:tc>
          <w:tcPr>
            <w:tcW w:w="3660" w:type="dxa"/>
            <w:tcBorders>
              <w:top w:val="nil"/>
              <w:left w:val="nil"/>
              <w:bottom w:val="nil"/>
              <w:right w:val="nil"/>
            </w:tcBorders>
            <w:shd w:val="clear" w:color="auto" w:fill="auto"/>
            <w:vAlign w:val="center"/>
            <w:hideMark/>
          </w:tcPr>
          <w:p w14:paraId="6BB8FDDE" w14:textId="75A8EE11"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Hypertension</w:t>
            </w:r>
          </w:p>
        </w:tc>
        <w:tc>
          <w:tcPr>
            <w:tcW w:w="1780" w:type="dxa"/>
            <w:tcBorders>
              <w:top w:val="nil"/>
              <w:left w:val="nil"/>
              <w:bottom w:val="nil"/>
              <w:right w:val="nil"/>
            </w:tcBorders>
            <w:shd w:val="clear" w:color="auto" w:fill="auto"/>
            <w:noWrap/>
            <w:vAlign w:val="center"/>
            <w:hideMark/>
          </w:tcPr>
          <w:p w14:paraId="32F01DE4"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29 (74.4)</w:t>
            </w:r>
          </w:p>
        </w:tc>
        <w:tc>
          <w:tcPr>
            <w:tcW w:w="2100" w:type="dxa"/>
            <w:tcBorders>
              <w:top w:val="nil"/>
              <w:left w:val="nil"/>
              <w:bottom w:val="nil"/>
              <w:right w:val="nil"/>
            </w:tcBorders>
            <w:shd w:val="clear" w:color="auto" w:fill="auto"/>
            <w:noWrap/>
            <w:vAlign w:val="center"/>
            <w:hideMark/>
          </w:tcPr>
          <w:p w14:paraId="40B79190"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15 (75.0)</w:t>
            </w:r>
          </w:p>
        </w:tc>
        <w:tc>
          <w:tcPr>
            <w:tcW w:w="1040" w:type="dxa"/>
            <w:tcBorders>
              <w:top w:val="nil"/>
              <w:left w:val="nil"/>
              <w:bottom w:val="nil"/>
              <w:right w:val="nil"/>
            </w:tcBorders>
            <w:shd w:val="clear" w:color="auto" w:fill="auto"/>
            <w:vAlign w:val="center"/>
            <w:hideMark/>
          </w:tcPr>
          <w:p w14:paraId="5D582411" w14:textId="2657C5B7" w:rsidR="003D229F" w:rsidRPr="002910A5" w:rsidRDefault="003D229F" w:rsidP="009A3CFA">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w:t>
            </w:r>
            <w:r w:rsidR="009A3CFA">
              <w:rPr>
                <w:rFonts w:ascii="Book Antiqua" w:hAnsi="Book Antiqua" w:cs="Times New Roman" w:hint="eastAsia"/>
                <w:color w:val="000000"/>
                <w:kern w:val="0"/>
                <w:sz w:val="24"/>
                <w:szCs w:val="24"/>
                <w:lang w:eastAsia="zh-CN"/>
              </w:rPr>
              <w:t xml:space="preserve"> </w:t>
            </w:r>
            <w:r w:rsidRPr="002910A5">
              <w:rPr>
                <w:rFonts w:ascii="Book Antiqua" w:eastAsia="MS PGothic" w:hAnsi="Book Antiqua" w:cs="Times New Roman"/>
                <w:color w:val="000000"/>
                <w:kern w:val="0"/>
                <w:sz w:val="24"/>
                <w:szCs w:val="24"/>
              </w:rPr>
              <w:t>0.99</w:t>
            </w:r>
          </w:p>
        </w:tc>
      </w:tr>
      <w:tr w:rsidR="003D229F" w:rsidRPr="002910A5" w14:paraId="33AC1B7A" w14:textId="77777777" w:rsidTr="00C42C52">
        <w:trPr>
          <w:trHeight w:val="308"/>
        </w:trPr>
        <w:tc>
          <w:tcPr>
            <w:tcW w:w="3660" w:type="dxa"/>
            <w:tcBorders>
              <w:top w:val="nil"/>
              <w:left w:val="nil"/>
              <w:bottom w:val="nil"/>
              <w:right w:val="nil"/>
            </w:tcBorders>
            <w:shd w:val="clear" w:color="auto" w:fill="auto"/>
            <w:vAlign w:val="center"/>
            <w:hideMark/>
          </w:tcPr>
          <w:p w14:paraId="73E1E27B" w14:textId="6B2F85FB"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Diabetes mellitus</w:t>
            </w:r>
          </w:p>
        </w:tc>
        <w:tc>
          <w:tcPr>
            <w:tcW w:w="1780" w:type="dxa"/>
            <w:tcBorders>
              <w:top w:val="nil"/>
              <w:left w:val="nil"/>
              <w:bottom w:val="nil"/>
              <w:right w:val="nil"/>
            </w:tcBorders>
            <w:shd w:val="clear" w:color="auto" w:fill="auto"/>
            <w:noWrap/>
            <w:vAlign w:val="center"/>
            <w:hideMark/>
          </w:tcPr>
          <w:p w14:paraId="3BBA837E"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19 (48.7)</w:t>
            </w:r>
          </w:p>
        </w:tc>
        <w:tc>
          <w:tcPr>
            <w:tcW w:w="2100" w:type="dxa"/>
            <w:tcBorders>
              <w:top w:val="nil"/>
              <w:left w:val="nil"/>
              <w:bottom w:val="nil"/>
              <w:right w:val="nil"/>
            </w:tcBorders>
            <w:shd w:val="clear" w:color="auto" w:fill="auto"/>
            <w:noWrap/>
            <w:vAlign w:val="center"/>
            <w:hideMark/>
          </w:tcPr>
          <w:p w14:paraId="7D53478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8 (40.0)</w:t>
            </w:r>
          </w:p>
        </w:tc>
        <w:tc>
          <w:tcPr>
            <w:tcW w:w="1040" w:type="dxa"/>
            <w:tcBorders>
              <w:top w:val="nil"/>
              <w:left w:val="nil"/>
              <w:bottom w:val="nil"/>
              <w:right w:val="nil"/>
            </w:tcBorders>
            <w:shd w:val="clear" w:color="auto" w:fill="auto"/>
            <w:noWrap/>
            <w:vAlign w:val="center"/>
            <w:hideMark/>
          </w:tcPr>
          <w:p w14:paraId="7EEBB5D8" w14:textId="2A994FBE"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0.589</w:t>
            </w:r>
          </w:p>
        </w:tc>
      </w:tr>
      <w:tr w:rsidR="003D229F" w:rsidRPr="002910A5" w14:paraId="5AAE9FA1" w14:textId="77777777" w:rsidTr="00C42C52">
        <w:trPr>
          <w:trHeight w:val="308"/>
        </w:trPr>
        <w:tc>
          <w:tcPr>
            <w:tcW w:w="3660" w:type="dxa"/>
            <w:tcBorders>
              <w:top w:val="nil"/>
              <w:left w:val="nil"/>
              <w:bottom w:val="nil"/>
              <w:right w:val="nil"/>
            </w:tcBorders>
            <w:shd w:val="clear" w:color="auto" w:fill="auto"/>
            <w:vAlign w:val="center"/>
            <w:hideMark/>
          </w:tcPr>
          <w:p w14:paraId="6CA6E279" w14:textId="76A3B0D9"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Renal failure</w:t>
            </w:r>
          </w:p>
        </w:tc>
        <w:tc>
          <w:tcPr>
            <w:tcW w:w="1780" w:type="dxa"/>
            <w:tcBorders>
              <w:top w:val="nil"/>
              <w:left w:val="nil"/>
              <w:bottom w:val="nil"/>
              <w:right w:val="nil"/>
            </w:tcBorders>
            <w:shd w:val="clear" w:color="auto" w:fill="auto"/>
            <w:noWrap/>
            <w:vAlign w:val="center"/>
            <w:hideMark/>
          </w:tcPr>
          <w:p w14:paraId="594B1CEA"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4 (10.3)</w:t>
            </w:r>
          </w:p>
        </w:tc>
        <w:tc>
          <w:tcPr>
            <w:tcW w:w="2100" w:type="dxa"/>
            <w:tcBorders>
              <w:top w:val="nil"/>
              <w:left w:val="nil"/>
              <w:bottom w:val="nil"/>
              <w:right w:val="nil"/>
            </w:tcBorders>
            <w:shd w:val="clear" w:color="auto" w:fill="auto"/>
            <w:noWrap/>
            <w:vAlign w:val="center"/>
            <w:hideMark/>
          </w:tcPr>
          <w:p w14:paraId="31A118A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 (15.0)</w:t>
            </w:r>
          </w:p>
        </w:tc>
        <w:tc>
          <w:tcPr>
            <w:tcW w:w="1040" w:type="dxa"/>
            <w:tcBorders>
              <w:top w:val="nil"/>
              <w:left w:val="nil"/>
              <w:bottom w:val="nil"/>
              <w:right w:val="nil"/>
            </w:tcBorders>
            <w:shd w:val="clear" w:color="auto" w:fill="auto"/>
            <w:noWrap/>
            <w:vAlign w:val="center"/>
            <w:hideMark/>
          </w:tcPr>
          <w:p w14:paraId="0C3B5167" w14:textId="5695076F"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0.679</w:t>
            </w:r>
          </w:p>
        </w:tc>
      </w:tr>
      <w:tr w:rsidR="003D229F" w:rsidRPr="002910A5" w14:paraId="4772A440" w14:textId="77777777" w:rsidTr="00C42C52">
        <w:trPr>
          <w:trHeight w:val="308"/>
        </w:trPr>
        <w:tc>
          <w:tcPr>
            <w:tcW w:w="3660" w:type="dxa"/>
            <w:tcBorders>
              <w:top w:val="nil"/>
              <w:left w:val="nil"/>
              <w:bottom w:val="nil"/>
              <w:right w:val="nil"/>
            </w:tcBorders>
            <w:shd w:val="clear" w:color="auto" w:fill="auto"/>
            <w:vAlign w:val="center"/>
            <w:hideMark/>
          </w:tcPr>
          <w:p w14:paraId="782EBAB4" w14:textId="0C2F4791"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Coronary artery diseases</w:t>
            </w:r>
          </w:p>
        </w:tc>
        <w:tc>
          <w:tcPr>
            <w:tcW w:w="1780" w:type="dxa"/>
            <w:tcBorders>
              <w:top w:val="nil"/>
              <w:left w:val="nil"/>
              <w:bottom w:val="nil"/>
              <w:right w:val="nil"/>
            </w:tcBorders>
            <w:shd w:val="clear" w:color="auto" w:fill="auto"/>
            <w:noWrap/>
            <w:vAlign w:val="center"/>
            <w:hideMark/>
          </w:tcPr>
          <w:p w14:paraId="33BD75B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37 (94.9)</w:t>
            </w:r>
          </w:p>
        </w:tc>
        <w:tc>
          <w:tcPr>
            <w:tcW w:w="2100" w:type="dxa"/>
            <w:tcBorders>
              <w:top w:val="nil"/>
              <w:left w:val="nil"/>
              <w:bottom w:val="nil"/>
              <w:right w:val="nil"/>
            </w:tcBorders>
            <w:shd w:val="clear" w:color="auto" w:fill="auto"/>
            <w:noWrap/>
            <w:vAlign w:val="center"/>
            <w:hideMark/>
          </w:tcPr>
          <w:p w14:paraId="0659BDB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17 (85.0)</w:t>
            </w:r>
          </w:p>
        </w:tc>
        <w:tc>
          <w:tcPr>
            <w:tcW w:w="1040" w:type="dxa"/>
            <w:tcBorders>
              <w:top w:val="nil"/>
              <w:left w:val="nil"/>
              <w:bottom w:val="nil"/>
              <w:right w:val="nil"/>
            </w:tcBorders>
            <w:shd w:val="clear" w:color="auto" w:fill="auto"/>
            <w:noWrap/>
            <w:vAlign w:val="center"/>
            <w:hideMark/>
          </w:tcPr>
          <w:p w14:paraId="3BD07704"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0.325</w:t>
            </w:r>
          </w:p>
        </w:tc>
      </w:tr>
      <w:tr w:rsidR="003D229F" w:rsidRPr="002910A5" w14:paraId="56F95EF9" w14:textId="77777777" w:rsidTr="00C42C52">
        <w:trPr>
          <w:trHeight w:val="1230"/>
        </w:trPr>
        <w:tc>
          <w:tcPr>
            <w:tcW w:w="3660" w:type="dxa"/>
            <w:tcBorders>
              <w:top w:val="nil"/>
              <w:left w:val="nil"/>
              <w:bottom w:val="nil"/>
              <w:right w:val="nil"/>
            </w:tcBorders>
            <w:shd w:val="clear" w:color="auto" w:fill="auto"/>
            <w:vAlign w:val="center"/>
            <w:hideMark/>
          </w:tcPr>
          <w:p w14:paraId="14141640" w14:textId="326C45D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4D6E8B">
              <w:rPr>
                <w:rFonts w:ascii="Book Antiqua" w:eastAsia="MS PGothic" w:hAnsi="Book Antiqua" w:cs="Times New Roman"/>
                <w:kern w:val="0"/>
                <w:sz w:val="24"/>
                <w:szCs w:val="24"/>
              </w:rPr>
              <w:t xml:space="preserve"> (%)</w:t>
            </w:r>
            <w:r w:rsidR="004D6E8B">
              <w:rPr>
                <w:rFonts w:ascii="Book Antiqua" w:eastAsia="MS PGothic" w:hAnsi="Book Antiqua" w:cs="Times New Roman"/>
                <w:kern w:val="0"/>
                <w:sz w:val="24"/>
                <w:szCs w:val="24"/>
              </w:rPr>
              <w:br/>
              <w:t xml:space="preserve"> Upper</w:t>
            </w:r>
            <w:r w:rsidR="004D6E8B">
              <w:rPr>
                <w:rFonts w:ascii="Book Antiqua" w:eastAsia="MS PGothic" w:hAnsi="Book Antiqua" w:cs="Times New Roman"/>
                <w:kern w:val="0"/>
                <w:sz w:val="24"/>
                <w:szCs w:val="24"/>
              </w:rPr>
              <w:br/>
              <w:t xml:space="preserve"> Middle</w:t>
            </w:r>
            <w:r w:rsidR="004D6E8B">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1780" w:type="dxa"/>
            <w:tcBorders>
              <w:top w:val="nil"/>
              <w:left w:val="nil"/>
              <w:bottom w:val="nil"/>
              <w:right w:val="nil"/>
            </w:tcBorders>
            <w:shd w:val="clear" w:color="auto" w:fill="auto"/>
            <w:vAlign w:val="center"/>
            <w:hideMark/>
          </w:tcPr>
          <w:p w14:paraId="61A65769"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10 (25.6)</w:t>
            </w:r>
            <w:r w:rsidRPr="002910A5">
              <w:rPr>
                <w:rFonts w:ascii="Book Antiqua" w:eastAsia="MS PGothic" w:hAnsi="Book Antiqua" w:cs="Times New Roman"/>
                <w:color w:val="000000"/>
                <w:kern w:val="0"/>
                <w:sz w:val="24"/>
                <w:szCs w:val="24"/>
              </w:rPr>
              <w:br/>
              <w:t>12 (30.8)</w:t>
            </w:r>
            <w:r w:rsidRPr="002910A5">
              <w:rPr>
                <w:rFonts w:ascii="Book Antiqua" w:eastAsia="MS PGothic" w:hAnsi="Book Antiqua" w:cs="Times New Roman"/>
                <w:color w:val="000000"/>
                <w:kern w:val="0"/>
                <w:sz w:val="24"/>
                <w:szCs w:val="24"/>
              </w:rPr>
              <w:br/>
              <w:t>17 (43.6)</w:t>
            </w:r>
          </w:p>
        </w:tc>
        <w:tc>
          <w:tcPr>
            <w:tcW w:w="2100" w:type="dxa"/>
            <w:tcBorders>
              <w:top w:val="nil"/>
              <w:left w:val="nil"/>
              <w:bottom w:val="nil"/>
              <w:right w:val="nil"/>
            </w:tcBorders>
            <w:shd w:val="clear" w:color="auto" w:fill="auto"/>
            <w:vAlign w:val="center"/>
            <w:hideMark/>
          </w:tcPr>
          <w:p w14:paraId="45743FE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 (15.0)</w:t>
            </w:r>
            <w:r w:rsidRPr="002910A5">
              <w:rPr>
                <w:rFonts w:ascii="Book Antiqua" w:eastAsia="MS PGothic" w:hAnsi="Book Antiqua" w:cs="Times New Roman"/>
                <w:color w:val="000000"/>
                <w:kern w:val="0"/>
                <w:sz w:val="24"/>
                <w:szCs w:val="24"/>
              </w:rPr>
              <w:br/>
              <w:t>7 (35.0)</w:t>
            </w:r>
            <w:r w:rsidRPr="002910A5">
              <w:rPr>
                <w:rFonts w:ascii="Book Antiqua" w:eastAsia="MS PGothic" w:hAnsi="Book Antiqua" w:cs="Times New Roman"/>
                <w:color w:val="000000"/>
                <w:kern w:val="0"/>
                <w:sz w:val="24"/>
                <w:szCs w:val="24"/>
              </w:rPr>
              <w:br/>
              <w:t>10 (50.0)</w:t>
            </w:r>
          </w:p>
        </w:tc>
        <w:tc>
          <w:tcPr>
            <w:tcW w:w="1040" w:type="dxa"/>
            <w:tcBorders>
              <w:top w:val="nil"/>
              <w:left w:val="nil"/>
              <w:bottom w:val="nil"/>
              <w:right w:val="nil"/>
            </w:tcBorders>
            <w:shd w:val="clear" w:color="auto" w:fill="auto"/>
            <w:vAlign w:val="center"/>
            <w:hideMark/>
          </w:tcPr>
          <w:p w14:paraId="17C40B7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0.726</w:t>
            </w:r>
            <w:r w:rsidRPr="002910A5">
              <w:rPr>
                <w:rFonts w:ascii="Book Antiqua" w:eastAsia="MS PGothic" w:hAnsi="Book Antiqua" w:cs="Times New Roman"/>
                <w:color w:val="000000"/>
                <w:kern w:val="0"/>
                <w:sz w:val="24"/>
                <w:szCs w:val="24"/>
              </w:rPr>
              <w:br/>
            </w:r>
          </w:p>
        </w:tc>
      </w:tr>
      <w:tr w:rsidR="003D229F" w:rsidRPr="002910A5" w14:paraId="1AC841A6" w14:textId="77777777" w:rsidTr="00C42C52">
        <w:trPr>
          <w:trHeight w:val="923"/>
        </w:trPr>
        <w:tc>
          <w:tcPr>
            <w:tcW w:w="3660" w:type="dxa"/>
            <w:tcBorders>
              <w:top w:val="nil"/>
              <w:left w:val="nil"/>
              <w:bottom w:val="single" w:sz="4" w:space="0" w:color="auto"/>
              <w:right w:val="nil"/>
            </w:tcBorders>
            <w:shd w:val="clear" w:color="auto" w:fill="auto"/>
            <w:vAlign w:val="center"/>
            <w:hideMark/>
          </w:tcPr>
          <w:p w14:paraId="37BD68E0" w14:textId="2365A465"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Macroscopic findings, </w:t>
            </w:r>
            <w:r w:rsidRPr="002910A5">
              <w:rPr>
                <w:rFonts w:ascii="Book Antiqua" w:eastAsia="MS PGothic" w:hAnsi="Book Antiqua" w:cs="Times New Roman"/>
                <w:i/>
                <w:iCs/>
                <w:color w:val="000000"/>
                <w:kern w:val="0"/>
                <w:sz w:val="24"/>
                <w:szCs w:val="24"/>
              </w:rPr>
              <w:t>n</w:t>
            </w:r>
            <w:r w:rsidR="004D6E8B">
              <w:rPr>
                <w:rFonts w:ascii="Book Antiqua" w:eastAsia="MS PGothic" w:hAnsi="Book Antiqua" w:cs="Times New Roman"/>
                <w:color w:val="000000"/>
                <w:kern w:val="0"/>
                <w:sz w:val="24"/>
                <w:szCs w:val="24"/>
              </w:rPr>
              <w:t xml:space="preserve"> (%)</w:t>
            </w:r>
            <w:r w:rsidR="004D6E8B">
              <w:rPr>
                <w:rFonts w:ascii="Book Antiqua" w:eastAsia="MS PGothic" w:hAnsi="Book Antiqua" w:cs="Times New Roman"/>
                <w:color w:val="000000"/>
                <w:kern w:val="0"/>
                <w:sz w:val="24"/>
                <w:szCs w:val="24"/>
              </w:rPr>
              <w:br/>
              <w:t xml:space="preserve"> Depressed</w:t>
            </w:r>
            <w:r w:rsidR="004D6E8B">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Non-depressed</w:t>
            </w:r>
          </w:p>
        </w:tc>
        <w:tc>
          <w:tcPr>
            <w:tcW w:w="1780" w:type="dxa"/>
            <w:tcBorders>
              <w:top w:val="nil"/>
              <w:left w:val="nil"/>
              <w:bottom w:val="single" w:sz="4" w:space="0" w:color="auto"/>
              <w:right w:val="nil"/>
            </w:tcBorders>
            <w:shd w:val="clear" w:color="auto" w:fill="auto"/>
            <w:vAlign w:val="center"/>
            <w:hideMark/>
          </w:tcPr>
          <w:p w14:paraId="786D1AD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11 (28.2)</w:t>
            </w:r>
            <w:r w:rsidRPr="002910A5">
              <w:rPr>
                <w:rFonts w:ascii="Book Antiqua" w:eastAsia="MS PGothic" w:hAnsi="Book Antiqua" w:cs="Times New Roman"/>
                <w:color w:val="000000"/>
                <w:kern w:val="0"/>
                <w:sz w:val="24"/>
                <w:szCs w:val="24"/>
              </w:rPr>
              <w:br/>
              <w:t>28 (71.8)</w:t>
            </w:r>
          </w:p>
        </w:tc>
        <w:tc>
          <w:tcPr>
            <w:tcW w:w="2100" w:type="dxa"/>
            <w:tcBorders>
              <w:top w:val="nil"/>
              <w:left w:val="nil"/>
              <w:bottom w:val="single" w:sz="4" w:space="0" w:color="auto"/>
              <w:right w:val="nil"/>
            </w:tcBorders>
            <w:shd w:val="clear" w:color="auto" w:fill="auto"/>
            <w:vAlign w:val="center"/>
            <w:hideMark/>
          </w:tcPr>
          <w:p w14:paraId="0CAC60B0"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5 (25.0)</w:t>
            </w:r>
            <w:r w:rsidRPr="002910A5">
              <w:rPr>
                <w:rFonts w:ascii="Book Antiqua" w:eastAsia="MS PGothic" w:hAnsi="Book Antiqua" w:cs="Times New Roman"/>
                <w:color w:val="000000"/>
                <w:kern w:val="0"/>
                <w:sz w:val="24"/>
                <w:szCs w:val="24"/>
              </w:rPr>
              <w:br/>
              <w:t>15 (75.0)</w:t>
            </w:r>
          </w:p>
        </w:tc>
        <w:tc>
          <w:tcPr>
            <w:tcW w:w="1040" w:type="dxa"/>
            <w:tcBorders>
              <w:top w:val="nil"/>
              <w:left w:val="nil"/>
              <w:bottom w:val="single" w:sz="4" w:space="0" w:color="auto"/>
              <w:right w:val="nil"/>
            </w:tcBorders>
            <w:shd w:val="clear" w:color="auto" w:fill="auto"/>
            <w:vAlign w:val="center"/>
            <w:hideMark/>
          </w:tcPr>
          <w:p w14:paraId="4C05EFAB"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bl>
    <w:p w14:paraId="0F8B3E92" w14:textId="48EEF396" w:rsidR="003D229F" w:rsidRPr="002910A5" w:rsidRDefault="004D6E8B" w:rsidP="002910A5">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BMI: Body mass index; DAPT: Dual antiplatelet therapy;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2D2077EF" w14:textId="77777777" w:rsidR="004D6E8B" w:rsidRDefault="004D6E8B">
      <w:pPr>
        <w:widowControl/>
        <w:jc w:val="left"/>
        <w:rPr>
          <w:rFonts w:ascii="Book Antiqua" w:hAnsi="Book Antiqua"/>
          <w:sz w:val="24"/>
          <w:szCs w:val="24"/>
        </w:rPr>
      </w:pPr>
      <w:r>
        <w:rPr>
          <w:rFonts w:ascii="Book Antiqua" w:hAnsi="Book Antiqua"/>
          <w:sz w:val="24"/>
          <w:szCs w:val="24"/>
        </w:rPr>
        <w:br w:type="page"/>
      </w:r>
    </w:p>
    <w:p w14:paraId="23B21AF9" w14:textId="12038C0D"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7 Comparison of therapeutic outcomes </w:t>
      </w:r>
      <w:r w:rsidRPr="002910A5">
        <w:rPr>
          <w:rFonts w:ascii="Book Antiqua" w:eastAsia="MS PGothic" w:hAnsi="Book Antiqua" w:cs="Times New Roman"/>
          <w:b/>
          <w:kern w:val="0"/>
          <w:sz w:val="24"/>
          <w:szCs w:val="24"/>
        </w:rPr>
        <w:t xml:space="preserve">among patients receiving </w:t>
      </w:r>
      <w:r w:rsidR="00756331" w:rsidRPr="002910A5">
        <w:rPr>
          <w:rFonts w:ascii="Book Antiqua" w:eastAsia="MS PGothic" w:hAnsi="Book Antiqua" w:cs="Times New Roman"/>
          <w:b/>
          <w:kern w:val="0"/>
          <w:sz w:val="24"/>
          <w:szCs w:val="24"/>
        </w:rPr>
        <w:t>dual antiplatelet therapy</w:t>
      </w:r>
      <w:r w:rsidRPr="002910A5">
        <w:rPr>
          <w:rFonts w:ascii="Book Antiqua" w:eastAsia="MS PGothic" w:hAnsi="Book Antiqua" w:cs="Times New Roman"/>
          <w:b/>
          <w:kern w:val="0"/>
          <w:sz w:val="24"/>
          <w:szCs w:val="24"/>
        </w:rPr>
        <w:t xml:space="preserve"> in the 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9248" w:type="dxa"/>
        <w:tblInd w:w="-468" w:type="dxa"/>
        <w:tblCellMar>
          <w:left w:w="99" w:type="dxa"/>
          <w:right w:w="99" w:type="dxa"/>
        </w:tblCellMar>
        <w:tblLook w:val="04A0" w:firstRow="1" w:lastRow="0" w:firstColumn="1" w:lastColumn="0" w:noHBand="0" w:noVBand="1"/>
      </w:tblPr>
      <w:tblGrid>
        <w:gridCol w:w="4128"/>
        <w:gridCol w:w="1900"/>
        <w:gridCol w:w="2280"/>
        <w:gridCol w:w="940"/>
      </w:tblGrid>
      <w:tr w:rsidR="003D229F" w:rsidRPr="002910A5" w14:paraId="73D1C332" w14:textId="77777777" w:rsidTr="0008077E">
        <w:trPr>
          <w:trHeight w:val="615"/>
        </w:trPr>
        <w:tc>
          <w:tcPr>
            <w:tcW w:w="4128" w:type="dxa"/>
            <w:tcBorders>
              <w:top w:val="single" w:sz="4" w:space="0" w:color="auto"/>
              <w:left w:val="nil"/>
              <w:bottom w:val="single" w:sz="4" w:space="0" w:color="auto"/>
              <w:right w:val="nil"/>
            </w:tcBorders>
            <w:shd w:val="clear" w:color="auto" w:fill="auto"/>
            <w:noWrap/>
            <w:vAlign w:val="center"/>
            <w:hideMark/>
          </w:tcPr>
          <w:p w14:paraId="02C1879F"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900" w:type="dxa"/>
            <w:tcBorders>
              <w:top w:val="single" w:sz="4" w:space="0" w:color="auto"/>
              <w:left w:val="nil"/>
              <w:bottom w:val="single" w:sz="4" w:space="0" w:color="auto"/>
              <w:right w:val="nil"/>
            </w:tcBorders>
            <w:shd w:val="clear" w:color="auto" w:fill="auto"/>
            <w:vAlign w:val="center"/>
            <w:hideMark/>
          </w:tcPr>
          <w:p w14:paraId="557C84F9" w14:textId="28504489" w:rsidR="003D229F" w:rsidRPr="002910A5" w:rsidRDefault="009A3CFA" w:rsidP="000E7DDE">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39)</w:t>
            </w:r>
          </w:p>
        </w:tc>
        <w:tc>
          <w:tcPr>
            <w:tcW w:w="2280" w:type="dxa"/>
            <w:tcBorders>
              <w:top w:val="single" w:sz="4" w:space="0" w:color="auto"/>
              <w:left w:val="nil"/>
              <w:bottom w:val="single" w:sz="4" w:space="0" w:color="auto"/>
              <w:right w:val="nil"/>
            </w:tcBorders>
            <w:shd w:val="clear" w:color="auto" w:fill="auto"/>
            <w:vAlign w:val="center"/>
            <w:hideMark/>
          </w:tcPr>
          <w:p w14:paraId="250636BA" w14:textId="051AF2B8" w:rsidR="003D229F" w:rsidRPr="002910A5" w:rsidRDefault="009A3CFA" w:rsidP="000E7DDE">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20)</w:t>
            </w:r>
          </w:p>
        </w:tc>
        <w:tc>
          <w:tcPr>
            <w:tcW w:w="940" w:type="dxa"/>
            <w:tcBorders>
              <w:top w:val="single" w:sz="4" w:space="0" w:color="auto"/>
              <w:left w:val="nil"/>
              <w:bottom w:val="single" w:sz="4" w:space="0" w:color="auto"/>
              <w:right w:val="nil"/>
            </w:tcBorders>
            <w:shd w:val="clear" w:color="auto" w:fill="auto"/>
            <w:noWrap/>
            <w:vAlign w:val="center"/>
            <w:hideMark/>
          </w:tcPr>
          <w:p w14:paraId="7A6E481F"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5930C0EE" w14:textId="77777777" w:rsidTr="0008077E">
        <w:trPr>
          <w:trHeight w:val="923"/>
        </w:trPr>
        <w:tc>
          <w:tcPr>
            <w:tcW w:w="4128" w:type="dxa"/>
            <w:tcBorders>
              <w:top w:val="nil"/>
              <w:left w:val="nil"/>
              <w:bottom w:val="nil"/>
              <w:right w:val="nil"/>
            </w:tcBorders>
            <w:shd w:val="clear" w:color="auto" w:fill="auto"/>
            <w:vAlign w:val="center"/>
            <w:hideMark/>
          </w:tcPr>
          <w:p w14:paraId="2988FCFC" w14:textId="77777777" w:rsidR="0008077E" w:rsidRDefault="003D229F" w:rsidP="002910A5">
            <w:pPr>
              <w:widowControl/>
              <w:adjustRightInd w:val="0"/>
              <w:snapToGrid w:val="0"/>
              <w:spacing w:line="360" w:lineRule="auto"/>
              <w:rPr>
                <w:rFonts w:ascii="Book Antiqua" w:hAnsi="Book Antiqua" w:cs="Times New Roman"/>
                <w:color w:val="000000"/>
                <w:kern w:val="0"/>
                <w:sz w:val="24"/>
                <w:szCs w:val="24"/>
                <w:lang w:eastAsia="zh-CN"/>
              </w:rPr>
            </w:pPr>
            <w:r w:rsidRPr="002910A5">
              <w:rPr>
                <w:rFonts w:ascii="Book Antiqua" w:eastAsia="MS PGothic" w:hAnsi="Book Antiqua" w:cs="Times New Roman"/>
                <w:color w:val="000000"/>
                <w:kern w:val="0"/>
                <w:sz w:val="24"/>
                <w:szCs w:val="24"/>
              </w:rPr>
              <w:t xml:space="preserve">Pathological findings,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r w:rsidR="00756331" w:rsidRPr="002910A5">
              <w:rPr>
                <w:rFonts w:ascii="Book Antiqua" w:hAnsi="Book Antiqua" w:cs="Times New Roman"/>
                <w:sz w:val="24"/>
                <w:szCs w:val="24"/>
                <w:vertAlign w:val="superscript"/>
              </w:rPr>
              <w:t>1</w:t>
            </w:r>
            <w:r w:rsidR="000E7DDE">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D</w:t>
            </w:r>
            <w:r w:rsidR="000E7DDE">
              <w:rPr>
                <w:rFonts w:ascii="Book Antiqua" w:eastAsia="MS PGothic" w:hAnsi="Book Antiqua" w:cs="Times New Roman"/>
                <w:color w:val="000000"/>
                <w:kern w:val="0"/>
                <w:sz w:val="24"/>
                <w:szCs w:val="24"/>
              </w:rPr>
              <w:t>ifferentiated</w:t>
            </w:r>
          </w:p>
          <w:p w14:paraId="513A51C5" w14:textId="3DE020C1" w:rsidR="003D229F" w:rsidRPr="002910A5" w:rsidRDefault="000E7DDE"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Undifferentiated</w:t>
            </w:r>
          </w:p>
        </w:tc>
        <w:tc>
          <w:tcPr>
            <w:tcW w:w="1900" w:type="dxa"/>
            <w:tcBorders>
              <w:top w:val="nil"/>
              <w:left w:val="nil"/>
              <w:bottom w:val="nil"/>
              <w:right w:val="nil"/>
            </w:tcBorders>
            <w:shd w:val="clear" w:color="auto" w:fill="auto"/>
            <w:vAlign w:val="center"/>
            <w:hideMark/>
          </w:tcPr>
          <w:p w14:paraId="455FCF1A"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39 (100)</w:t>
            </w:r>
            <w:r w:rsidRPr="002910A5">
              <w:rPr>
                <w:rFonts w:ascii="Book Antiqua" w:eastAsia="MS PGothic" w:hAnsi="Book Antiqua" w:cs="Times New Roman"/>
                <w:color w:val="000000"/>
                <w:kern w:val="0"/>
                <w:sz w:val="24"/>
                <w:szCs w:val="24"/>
              </w:rPr>
              <w:br/>
              <w:t>0 (0)</w:t>
            </w:r>
          </w:p>
        </w:tc>
        <w:tc>
          <w:tcPr>
            <w:tcW w:w="2280" w:type="dxa"/>
            <w:tcBorders>
              <w:top w:val="nil"/>
              <w:left w:val="nil"/>
              <w:bottom w:val="nil"/>
              <w:right w:val="nil"/>
            </w:tcBorders>
            <w:shd w:val="clear" w:color="auto" w:fill="auto"/>
            <w:vAlign w:val="center"/>
            <w:hideMark/>
          </w:tcPr>
          <w:p w14:paraId="0798FECD"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19 (95.0)</w:t>
            </w:r>
            <w:r w:rsidRPr="002910A5">
              <w:rPr>
                <w:rFonts w:ascii="Book Antiqua" w:eastAsia="MS PGothic" w:hAnsi="Book Antiqua" w:cs="Times New Roman"/>
                <w:color w:val="000000"/>
                <w:kern w:val="0"/>
                <w:sz w:val="24"/>
                <w:szCs w:val="24"/>
              </w:rPr>
              <w:br/>
              <w:t>1 (5.0)</w:t>
            </w:r>
          </w:p>
        </w:tc>
        <w:tc>
          <w:tcPr>
            <w:tcW w:w="940" w:type="dxa"/>
            <w:tcBorders>
              <w:top w:val="nil"/>
              <w:left w:val="nil"/>
              <w:bottom w:val="nil"/>
              <w:right w:val="nil"/>
            </w:tcBorders>
            <w:shd w:val="clear" w:color="auto" w:fill="auto"/>
            <w:vAlign w:val="center"/>
            <w:hideMark/>
          </w:tcPr>
          <w:p w14:paraId="1373B699"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0.339</w:t>
            </w:r>
          </w:p>
        </w:tc>
      </w:tr>
      <w:tr w:rsidR="003D229F" w:rsidRPr="002910A5" w14:paraId="78FD426B" w14:textId="77777777" w:rsidTr="0008077E">
        <w:trPr>
          <w:trHeight w:val="923"/>
        </w:trPr>
        <w:tc>
          <w:tcPr>
            <w:tcW w:w="4128" w:type="dxa"/>
            <w:tcBorders>
              <w:top w:val="nil"/>
              <w:left w:val="nil"/>
              <w:bottom w:val="nil"/>
              <w:right w:val="nil"/>
            </w:tcBorders>
            <w:shd w:val="clear" w:color="auto" w:fill="auto"/>
            <w:vAlign w:val="center"/>
            <w:hideMark/>
          </w:tcPr>
          <w:p w14:paraId="095B932A" w14:textId="77777777" w:rsidR="0008077E" w:rsidRDefault="003D229F" w:rsidP="002910A5">
            <w:pPr>
              <w:widowControl/>
              <w:adjustRightInd w:val="0"/>
              <w:snapToGrid w:val="0"/>
              <w:spacing w:line="360" w:lineRule="auto"/>
              <w:rPr>
                <w:rFonts w:ascii="Book Antiqua" w:hAnsi="Book Antiqua" w:cs="Times New Roman"/>
                <w:color w:val="000000"/>
                <w:kern w:val="0"/>
                <w:sz w:val="24"/>
                <w:szCs w:val="24"/>
                <w:lang w:eastAsia="zh-CN"/>
              </w:rPr>
            </w:pPr>
            <w:r w:rsidRPr="002910A5">
              <w:rPr>
                <w:rFonts w:ascii="Book Antiqua" w:eastAsia="MS PGothic" w:hAnsi="Book Antiqua" w:cs="Times New Roman"/>
                <w:color w:val="000000"/>
                <w:kern w:val="0"/>
                <w:sz w:val="24"/>
                <w:szCs w:val="24"/>
              </w:rPr>
              <w:t xml:space="preserve">Depth of invasion, </w:t>
            </w:r>
            <w:r w:rsidRPr="002910A5">
              <w:rPr>
                <w:rFonts w:ascii="Book Antiqua" w:eastAsia="MS PGothic" w:hAnsi="Book Antiqua" w:cs="Times New Roman"/>
                <w:i/>
                <w:iCs/>
                <w:color w:val="000000"/>
                <w:kern w:val="0"/>
                <w:sz w:val="24"/>
                <w:szCs w:val="24"/>
              </w:rPr>
              <w:t>n</w:t>
            </w:r>
            <w:r w:rsidR="000E7DDE">
              <w:rPr>
                <w:rFonts w:ascii="Book Antiqua" w:eastAsia="MS PGothic" w:hAnsi="Book Antiqua" w:cs="Times New Roman"/>
                <w:color w:val="000000"/>
                <w:kern w:val="0"/>
                <w:sz w:val="24"/>
                <w:szCs w:val="24"/>
              </w:rPr>
              <w:t xml:space="preserve"> (%)</w:t>
            </w:r>
            <w:r w:rsidR="000E7DDE">
              <w:rPr>
                <w:rFonts w:ascii="Book Antiqua" w:eastAsia="MS PGothic" w:hAnsi="Book Antiqua" w:cs="Times New Roman"/>
                <w:color w:val="000000"/>
                <w:kern w:val="0"/>
                <w:sz w:val="24"/>
                <w:szCs w:val="24"/>
              </w:rPr>
              <w:br/>
              <w:t xml:space="preserve"> Mucosa</w:t>
            </w:r>
          </w:p>
          <w:p w14:paraId="3E6650E3" w14:textId="657E1FF7" w:rsidR="003D229F" w:rsidRPr="002910A5" w:rsidRDefault="000E7DDE"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Submucosa</w:t>
            </w:r>
          </w:p>
        </w:tc>
        <w:tc>
          <w:tcPr>
            <w:tcW w:w="1900" w:type="dxa"/>
            <w:tcBorders>
              <w:top w:val="nil"/>
              <w:left w:val="nil"/>
              <w:bottom w:val="nil"/>
              <w:right w:val="nil"/>
            </w:tcBorders>
            <w:shd w:val="clear" w:color="auto" w:fill="auto"/>
            <w:vAlign w:val="center"/>
            <w:hideMark/>
          </w:tcPr>
          <w:p w14:paraId="7639F9EA"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30 (76.9)</w:t>
            </w:r>
            <w:r w:rsidRPr="002910A5">
              <w:rPr>
                <w:rFonts w:ascii="Book Antiqua" w:eastAsia="MS PGothic" w:hAnsi="Book Antiqua" w:cs="Times New Roman"/>
                <w:color w:val="000000"/>
                <w:kern w:val="0"/>
                <w:sz w:val="24"/>
                <w:szCs w:val="24"/>
              </w:rPr>
              <w:br/>
              <w:t>9 (23.1)</w:t>
            </w:r>
          </w:p>
        </w:tc>
        <w:tc>
          <w:tcPr>
            <w:tcW w:w="2280" w:type="dxa"/>
            <w:tcBorders>
              <w:top w:val="nil"/>
              <w:left w:val="nil"/>
              <w:bottom w:val="nil"/>
              <w:right w:val="nil"/>
            </w:tcBorders>
            <w:shd w:val="clear" w:color="auto" w:fill="auto"/>
            <w:vAlign w:val="center"/>
            <w:hideMark/>
          </w:tcPr>
          <w:p w14:paraId="293583F7"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19 (95.0)</w:t>
            </w:r>
            <w:r w:rsidRPr="002910A5">
              <w:rPr>
                <w:rFonts w:ascii="Book Antiqua" w:eastAsia="MS PGothic" w:hAnsi="Book Antiqua" w:cs="Times New Roman"/>
                <w:color w:val="000000"/>
                <w:kern w:val="0"/>
                <w:sz w:val="24"/>
                <w:szCs w:val="24"/>
              </w:rPr>
              <w:br/>
              <w:t>1 (5.0)</w:t>
            </w:r>
          </w:p>
        </w:tc>
        <w:tc>
          <w:tcPr>
            <w:tcW w:w="940" w:type="dxa"/>
            <w:tcBorders>
              <w:top w:val="nil"/>
              <w:left w:val="nil"/>
              <w:bottom w:val="nil"/>
              <w:right w:val="nil"/>
            </w:tcBorders>
            <w:shd w:val="clear" w:color="auto" w:fill="auto"/>
            <w:vAlign w:val="center"/>
            <w:hideMark/>
          </w:tcPr>
          <w:p w14:paraId="05145B3F"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0.141</w:t>
            </w:r>
          </w:p>
        </w:tc>
      </w:tr>
      <w:tr w:rsidR="003D229F" w:rsidRPr="002910A5" w14:paraId="334F663E" w14:textId="77777777" w:rsidTr="0008077E">
        <w:trPr>
          <w:trHeight w:val="308"/>
        </w:trPr>
        <w:tc>
          <w:tcPr>
            <w:tcW w:w="4128" w:type="dxa"/>
            <w:tcBorders>
              <w:top w:val="nil"/>
              <w:left w:val="nil"/>
              <w:bottom w:val="nil"/>
              <w:right w:val="nil"/>
            </w:tcBorders>
            <w:shd w:val="clear" w:color="auto" w:fill="auto"/>
            <w:noWrap/>
            <w:vAlign w:val="center"/>
            <w:hideMark/>
          </w:tcPr>
          <w:p w14:paraId="26EA0E77"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Specimen size, median (IQR), mm</w:t>
            </w:r>
          </w:p>
        </w:tc>
        <w:tc>
          <w:tcPr>
            <w:tcW w:w="1900" w:type="dxa"/>
            <w:tcBorders>
              <w:top w:val="nil"/>
              <w:left w:val="nil"/>
              <w:bottom w:val="nil"/>
              <w:right w:val="nil"/>
            </w:tcBorders>
            <w:shd w:val="clear" w:color="auto" w:fill="auto"/>
            <w:noWrap/>
            <w:vAlign w:val="center"/>
            <w:hideMark/>
          </w:tcPr>
          <w:p w14:paraId="7C39ADFD" w14:textId="3C089EC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34 (29.5</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40.0)</w:t>
            </w:r>
          </w:p>
        </w:tc>
        <w:tc>
          <w:tcPr>
            <w:tcW w:w="2280" w:type="dxa"/>
            <w:tcBorders>
              <w:top w:val="nil"/>
              <w:left w:val="nil"/>
              <w:bottom w:val="nil"/>
              <w:right w:val="nil"/>
            </w:tcBorders>
            <w:shd w:val="clear" w:color="auto" w:fill="auto"/>
            <w:noWrap/>
            <w:vAlign w:val="center"/>
            <w:hideMark/>
          </w:tcPr>
          <w:p w14:paraId="4BD4BD0B" w14:textId="318168A5"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35 (24.3</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36.3)</w:t>
            </w:r>
          </w:p>
        </w:tc>
        <w:tc>
          <w:tcPr>
            <w:tcW w:w="940" w:type="dxa"/>
            <w:tcBorders>
              <w:top w:val="nil"/>
              <w:left w:val="nil"/>
              <w:bottom w:val="nil"/>
              <w:right w:val="nil"/>
            </w:tcBorders>
            <w:shd w:val="clear" w:color="auto" w:fill="auto"/>
            <w:noWrap/>
            <w:vAlign w:val="center"/>
            <w:hideMark/>
          </w:tcPr>
          <w:p w14:paraId="3B652BD5"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0.373</w:t>
            </w:r>
          </w:p>
        </w:tc>
      </w:tr>
      <w:tr w:rsidR="003D229F" w:rsidRPr="002910A5" w14:paraId="244DEB79" w14:textId="77777777" w:rsidTr="0008077E">
        <w:trPr>
          <w:trHeight w:val="308"/>
        </w:trPr>
        <w:tc>
          <w:tcPr>
            <w:tcW w:w="4128" w:type="dxa"/>
            <w:tcBorders>
              <w:top w:val="nil"/>
              <w:left w:val="nil"/>
              <w:bottom w:val="nil"/>
              <w:right w:val="nil"/>
            </w:tcBorders>
            <w:shd w:val="clear" w:color="auto" w:fill="auto"/>
            <w:noWrap/>
            <w:vAlign w:val="center"/>
            <w:hideMark/>
          </w:tcPr>
          <w:p w14:paraId="08122687"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Complete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900" w:type="dxa"/>
            <w:tcBorders>
              <w:top w:val="nil"/>
              <w:left w:val="nil"/>
              <w:bottom w:val="nil"/>
              <w:right w:val="nil"/>
            </w:tcBorders>
            <w:shd w:val="clear" w:color="auto" w:fill="auto"/>
            <w:noWrap/>
            <w:vAlign w:val="center"/>
            <w:hideMark/>
          </w:tcPr>
          <w:p w14:paraId="3B5CBFE4"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38 (97.4)</w:t>
            </w:r>
          </w:p>
        </w:tc>
        <w:tc>
          <w:tcPr>
            <w:tcW w:w="2280" w:type="dxa"/>
            <w:tcBorders>
              <w:top w:val="nil"/>
              <w:left w:val="nil"/>
              <w:bottom w:val="nil"/>
              <w:right w:val="nil"/>
            </w:tcBorders>
            <w:shd w:val="clear" w:color="auto" w:fill="auto"/>
            <w:noWrap/>
            <w:vAlign w:val="center"/>
            <w:hideMark/>
          </w:tcPr>
          <w:p w14:paraId="703A662A"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20 (100)</w:t>
            </w:r>
          </w:p>
        </w:tc>
        <w:tc>
          <w:tcPr>
            <w:tcW w:w="940" w:type="dxa"/>
            <w:tcBorders>
              <w:top w:val="nil"/>
              <w:left w:val="nil"/>
              <w:bottom w:val="nil"/>
              <w:right w:val="nil"/>
            </w:tcBorders>
            <w:shd w:val="clear" w:color="auto" w:fill="auto"/>
            <w:vAlign w:val="center"/>
            <w:hideMark/>
          </w:tcPr>
          <w:p w14:paraId="0B6E5F62"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r w:rsidR="003D229F" w:rsidRPr="002910A5" w14:paraId="00CB76CA" w14:textId="77777777" w:rsidTr="0008077E">
        <w:trPr>
          <w:trHeight w:val="308"/>
        </w:trPr>
        <w:tc>
          <w:tcPr>
            <w:tcW w:w="4128" w:type="dxa"/>
            <w:tcBorders>
              <w:top w:val="nil"/>
              <w:left w:val="nil"/>
              <w:bottom w:val="nil"/>
              <w:right w:val="nil"/>
            </w:tcBorders>
            <w:shd w:val="clear" w:color="auto" w:fill="auto"/>
            <w:noWrap/>
            <w:vAlign w:val="center"/>
            <w:hideMark/>
          </w:tcPr>
          <w:p w14:paraId="5C4F55A0"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Curative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900" w:type="dxa"/>
            <w:tcBorders>
              <w:top w:val="nil"/>
              <w:left w:val="nil"/>
              <w:bottom w:val="nil"/>
              <w:right w:val="nil"/>
            </w:tcBorders>
            <w:shd w:val="clear" w:color="auto" w:fill="auto"/>
            <w:noWrap/>
            <w:vAlign w:val="center"/>
            <w:hideMark/>
          </w:tcPr>
          <w:p w14:paraId="6A94BEB4"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33 (84.6)</w:t>
            </w:r>
          </w:p>
        </w:tc>
        <w:tc>
          <w:tcPr>
            <w:tcW w:w="2280" w:type="dxa"/>
            <w:tcBorders>
              <w:top w:val="nil"/>
              <w:left w:val="nil"/>
              <w:bottom w:val="nil"/>
              <w:right w:val="nil"/>
            </w:tcBorders>
            <w:shd w:val="clear" w:color="auto" w:fill="auto"/>
            <w:noWrap/>
            <w:vAlign w:val="center"/>
            <w:hideMark/>
          </w:tcPr>
          <w:p w14:paraId="6764E896"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20 (100)</w:t>
            </w:r>
          </w:p>
        </w:tc>
        <w:tc>
          <w:tcPr>
            <w:tcW w:w="940" w:type="dxa"/>
            <w:tcBorders>
              <w:top w:val="nil"/>
              <w:left w:val="nil"/>
              <w:bottom w:val="nil"/>
              <w:right w:val="nil"/>
            </w:tcBorders>
            <w:shd w:val="clear" w:color="auto" w:fill="auto"/>
            <w:noWrap/>
            <w:vAlign w:val="center"/>
            <w:hideMark/>
          </w:tcPr>
          <w:p w14:paraId="253BC398"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0.09</w:t>
            </w:r>
          </w:p>
        </w:tc>
      </w:tr>
      <w:tr w:rsidR="003D229F" w:rsidRPr="002910A5" w14:paraId="3F869BA2" w14:textId="77777777" w:rsidTr="0008077E">
        <w:trPr>
          <w:trHeight w:val="308"/>
        </w:trPr>
        <w:tc>
          <w:tcPr>
            <w:tcW w:w="4128" w:type="dxa"/>
            <w:tcBorders>
              <w:top w:val="nil"/>
              <w:left w:val="nil"/>
              <w:bottom w:val="single" w:sz="4" w:space="0" w:color="auto"/>
              <w:right w:val="nil"/>
            </w:tcBorders>
            <w:shd w:val="clear" w:color="auto" w:fill="auto"/>
            <w:noWrap/>
            <w:vAlign w:val="center"/>
            <w:hideMark/>
          </w:tcPr>
          <w:p w14:paraId="1898CB53"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Postoperative bleeding,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900" w:type="dxa"/>
            <w:tcBorders>
              <w:top w:val="nil"/>
              <w:left w:val="nil"/>
              <w:bottom w:val="single" w:sz="4" w:space="0" w:color="auto"/>
              <w:right w:val="nil"/>
            </w:tcBorders>
            <w:shd w:val="clear" w:color="auto" w:fill="auto"/>
            <w:noWrap/>
            <w:vAlign w:val="center"/>
            <w:hideMark/>
          </w:tcPr>
          <w:p w14:paraId="38BCDB83"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9 (23.1)</w:t>
            </w:r>
          </w:p>
        </w:tc>
        <w:tc>
          <w:tcPr>
            <w:tcW w:w="2280" w:type="dxa"/>
            <w:tcBorders>
              <w:top w:val="nil"/>
              <w:left w:val="nil"/>
              <w:bottom w:val="single" w:sz="4" w:space="0" w:color="auto"/>
              <w:right w:val="nil"/>
            </w:tcBorders>
            <w:shd w:val="clear" w:color="auto" w:fill="auto"/>
            <w:noWrap/>
            <w:vAlign w:val="center"/>
            <w:hideMark/>
          </w:tcPr>
          <w:p w14:paraId="403E03F3"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1 (5.0)</w:t>
            </w:r>
          </w:p>
        </w:tc>
        <w:tc>
          <w:tcPr>
            <w:tcW w:w="940" w:type="dxa"/>
            <w:tcBorders>
              <w:top w:val="nil"/>
              <w:left w:val="nil"/>
              <w:bottom w:val="single" w:sz="4" w:space="0" w:color="auto"/>
              <w:right w:val="nil"/>
            </w:tcBorders>
            <w:shd w:val="clear" w:color="auto" w:fill="auto"/>
            <w:noWrap/>
            <w:vAlign w:val="center"/>
            <w:hideMark/>
          </w:tcPr>
          <w:p w14:paraId="262A4ADC"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0.141</w:t>
            </w:r>
          </w:p>
        </w:tc>
      </w:tr>
    </w:tbl>
    <w:p w14:paraId="1852DEC8" w14:textId="5AA919D6" w:rsidR="008A705B" w:rsidRPr="000E7DDE" w:rsidRDefault="000E7DDE" w:rsidP="000E7DDE">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hAnsi="Book Antiqua" w:cs="Times New Roman"/>
          <w:kern w:val="24"/>
          <w:sz w:val="24"/>
          <w:szCs w:val="24"/>
        </w:rPr>
        <w:t>DAPT: D</w:t>
      </w:r>
      <w:r w:rsidR="003D229F" w:rsidRPr="002910A5">
        <w:rPr>
          <w:rFonts w:ascii="Book Antiqua" w:hAnsi="Book Antiqua" w:cs="Times New Roman"/>
          <w:kern w:val="24"/>
          <w:sz w:val="24"/>
          <w:szCs w:val="24"/>
        </w:rPr>
        <w:t xml:space="preserve">ual antiplatelet therapy; </w:t>
      </w:r>
      <w:r>
        <w:rPr>
          <w:rFonts w:ascii="Book Antiqua" w:eastAsia="MS PGothic" w:hAnsi="Book Antiqua" w:cs="Times New Roman"/>
          <w:color w:val="000000" w:themeColor="text1"/>
          <w:kern w:val="0"/>
          <w:sz w:val="24"/>
          <w:szCs w:val="24"/>
        </w:rPr>
        <w:t>IQR: I</w:t>
      </w:r>
      <w:r w:rsidR="003D229F" w:rsidRPr="002910A5">
        <w:rPr>
          <w:rFonts w:ascii="Book Antiqua" w:eastAsia="MS PGothic" w:hAnsi="Book Antiqua" w:cs="Times New Roman"/>
          <w:color w:val="000000" w:themeColor="text1"/>
          <w:kern w:val="0"/>
          <w:sz w:val="24"/>
          <w:szCs w:val="24"/>
        </w:rPr>
        <w:t>nterquartile range</w:t>
      </w:r>
      <w:r>
        <w:rPr>
          <w:rFonts w:ascii="Book Antiqua" w:hAnsi="Book Antiqua" w:cs="Times New Roman"/>
          <w:kern w:val="24"/>
          <w:sz w:val="24"/>
          <w:szCs w:val="24"/>
        </w:rPr>
        <w:t>; LDA: L</w:t>
      </w:r>
      <w:r w:rsidR="003D229F" w:rsidRPr="002910A5">
        <w:rPr>
          <w:rFonts w:ascii="Book Antiqua" w:hAnsi="Book Antiqua" w:cs="Times New Roman"/>
          <w:kern w:val="24"/>
          <w:sz w:val="24"/>
          <w:szCs w:val="24"/>
        </w:rPr>
        <w:t>ow-dose aspirin</w:t>
      </w:r>
      <w:r>
        <w:rPr>
          <w:rFonts w:ascii="Book Antiqua" w:hAnsi="Book Antiqua" w:cs="Times New Roman"/>
          <w:kern w:val="24"/>
          <w:sz w:val="24"/>
          <w:szCs w:val="24"/>
        </w:rPr>
        <w:t>.</w:t>
      </w:r>
    </w:p>
    <w:sectPr w:rsidR="008A705B" w:rsidRPr="000E7DDE" w:rsidSect="00DA1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7AE2" w14:textId="77777777" w:rsidR="00D53B6D" w:rsidRDefault="00D53B6D">
      <w:r>
        <w:separator/>
      </w:r>
    </w:p>
  </w:endnote>
  <w:endnote w:type="continuationSeparator" w:id="0">
    <w:p w14:paraId="653D3736" w14:textId="77777777" w:rsidR="00D53B6D" w:rsidRDefault="00D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SimSun"/>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287"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MS PMincho">
    <w:charset w:val="80"/>
    <w:family w:val="roman"/>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2A09" w14:textId="77777777" w:rsidR="00D53B6D" w:rsidRDefault="00D53B6D">
      <w:r>
        <w:separator/>
      </w:r>
    </w:p>
  </w:footnote>
  <w:footnote w:type="continuationSeparator" w:id="0">
    <w:p w14:paraId="41CD32D4" w14:textId="77777777" w:rsidR="00D53B6D" w:rsidRDefault="00D53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98"/>
    <w:rsid w:val="00002346"/>
    <w:rsid w:val="00002624"/>
    <w:rsid w:val="00010DEF"/>
    <w:rsid w:val="00010FAD"/>
    <w:rsid w:val="000112E2"/>
    <w:rsid w:val="00013871"/>
    <w:rsid w:val="00024434"/>
    <w:rsid w:val="00026FB6"/>
    <w:rsid w:val="00027882"/>
    <w:rsid w:val="00030538"/>
    <w:rsid w:val="00031DC7"/>
    <w:rsid w:val="00032C82"/>
    <w:rsid w:val="00032D18"/>
    <w:rsid w:val="000372AA"/>
    <w:rsid w:val="00037336"/>
    <w:rsid w:val="0004071D"/>
    <w:rsid w:val="00043F17"/>
    <w:rsid w:val="000465E2"/>
    <w:rsid w:val="00047C40"/>
    <w:rsid w:val="000512AE"/>
    <w:rsid w:val="00052F2B"/>
    <w:rsid w:val="000537F4"/>
    <w:rsid w:val="000558EA"/>
    <w:rsid w:val="00066CB8"/>
    <w:rsid w:val="00071229"/>
    <w:rsid w:val="00073B50"/>
    <w:rsid w:val="00075052"/>
    <w:rsid w:val="0008077E"/>
    <w:rsid w:val="00083327"/>
    <w:rsid w:val="0008355D"/>
    <w:rsid w:val="00085864"/>
    <w:rsid w:val="00087EDC"/>
    <w:rsid w:val="00090320"/>
    <w:rsid w:val="0009063A"/>
    <w:rsid w:val="000925C2"/>
    <w:rsid w:val="00094229"/>
    <w:rsid w:val="000A0958"/>
    <w:rsid w:val="000A3224"/>
    <w:rsid w:val="000A338E"/>
    <w:rsid w:val="000A6537"/>
    <w:rsid w:val="000A65CD"/>
    <w:rsid w:val="000A7445"/>
    <w:rsid w:val="000B23B3"/>
    <w:rsid w:val="000B4E01"/>
    <w:rsid w:val="000C2609"/>
    <w:rsid w:val="000C5C6D"/>
    <w:rsid w:val="000C7D7C"/>
    <w:rsid w:val="000E24B8"/>
    <w:rsid w:val="000E2F33"/>
    <w:rsid w:val="000E60D8"/>
    <w:rsid w:val="000E7DDE"/>
    <w:rsid w:val="000F11A8"/>
    <w:rsid w:val="000F3037"/>
    <w:rsid w:val="000F4029"/>
    <w:rsid w:val="0010101E"/>
    <w:rsid w:val="00104537"/>
    <w:rsid w:val="001073AE"/>
    <w:rsid w:val="00107CD1"/>
    <w:rsid w:val="00112762"/>
    <w:rsid w:val="0011477B"/>
    <w:rsid w:val="0011703A"/>
    <w:rsid w:val="00120B64"/>
    <w:rsid w:val="00122B58"/>
    <w:rsid w:val="00123D40"/>
    <w:rsid w:val="001268AF"/>
    <w:rsid w:val="00134A54"/>
    <w:rsid w:val="001371C4"/>
    <w:rsid w:val="00144784"/>
    <w:rsid w:val="00150E61"/>
    <w:rsid w:val="0015488B"/>
    <w:rsid w:val="00160AEC"/>
    <w:rsid w:val="0017388A"/>
    <w:rsid w:val="00174797"/>
    <w:rsid w:val="001851AF"/>
    <w:rsid w:val="001852AF"/>
    <w:rsid w:val="00185669"/>
    <w:rsid w:val="001860E6"/>
    <w:rsid w:val="001864EE"/>
    <w:rsid w:val="00186E1A"/>
    <w:rsid w:val="00190C02"/>
    <w:rsid w:val="0019142D"/>
    <w:rsid w:val="0019167B"/>
    <w:rsid w:val="0019629F"/>
    <w:rsid w:val="001A365D"/>
    <w:rsid w:val="001A49D3"/>
    <w:rsid w:val="001A769E"/>
    <w:rsid w:val="001B090D"/>
    <w:rsid w:val="001B77D1"/>
    <w:rsid w:val="001B7E29"/>
    <w:rsid w:val="001C0DFF"/>
    <w:rsid w:val="001C5DEC"/>
    <w:rsid w:val="001C7AFB"/>
    <w:rsid w:val="001D22BE"/>
    <w:rsid w:val="001D27F9"/>
    <w:rsid w:val="001D5F29"/>
    <w:rsid w:val="001E0339"/>
    <w:rsid w:val="001E368B"/>
    <w:rsid w:val="001E58F7"/>
    <w:rsid w:val="001E6E32"/>
    <w:rsid w:val="002012C9"/>
    <w:rsid w:val="00204966"/>
    <w:rsid w:val="00205EFD"/>
    <w:rsid w:val="00206648"/>
    <w:rsid w:val="00206972"/>
    <w:rsid w:val="00206D90"/>
    <w:rsid w:val="00211025"/>
    <w:rsid w:val="00212E43"/>
    <w:rsid w:val="002145E5"/>
    <w:rsid w:val="00214D07"/>
    <w:rsid w:val="00221B4D"/>
    <w:rsid w:val="00224665"/>
    <w:rsid w:val="00224B79"/>
    <w:rsid w:val="00224FFA"/>
    <w:rsid w:val="002270C2"/>
    <w:rsid w:val="00230FB5"/>
    <w:rsid w:val="002310C9"/>
    <w:rsid w:val="00235ACD"/>
    <w:rsid w:val="002363BA"/>
    <w:rsid w:val="0024016F"/>
    <w:rsid w:val="00240D04"/>
    <w:rsid w:val="00243742"/>
    <w:rsid w:val="00244AA1"/>
    <w:rsid w:val="002506FF"/>
    <w:rsid w:val="0025533C"/>
    <w:rsid w:val="00255FC8"/>
    <w:rsid w:val="002569C9"/>
    <w:rsid w:val="00264BEA"/>
    <w:rsid w:val="00266152"/>
    <w:rsid w:val="002674E1"/>
    <w:rsid w:val="00271C74"/>
    <w:rsid w:val="00272F59"/>
    <w:rsid w:val="00273C64"/>
    <w:rsid w:val="002910A5"/>
    <w:rsid w:val="00294E45"/>
    <w:rsid w:val="00295063"/>
    <w:rsid w:val="00295E51"/>
    <w:rsid w:val="002A0864"/>
    <w:rsid w:val="002A2299"/>
    <w:rsid w:val="002A64A9"/>
    <w:rsid w:val="002A68D8"/>
    <w:rsid w:val="002B2AD4"/>
    <w:rsid w:val="002B70A5"/>
    <w:rsid w:val="002B7519"/>
    <w:rsid w:val="002C1B23"/>
    <w:rsid w:val="002C3588"/>
    <w:rsid w:val="002D576E"/>
    <w:rsid w:val="002E28C0"/>
    <w:rsid w:val="002E3778"/>
    <w:rsid w:val="002E3C7A"/>
    <w:rsid w:val="002E4769"/>
    <w:rsid w:val="002E6367"/>
    <w:rsid w:val="002F16E5"/>
    <w:rsid w:val="002F1A47"/>
    <w:rsid w:val="002F1C18"/>
    <w:rsid w:val="002F376A"/>
    <w:rsid w:val="002F3A73"/>
    <w:rsid w:val="002F46E6"/>
    <w:rsid w:val="002F5704"/>
    <w:rsid w:val="00300872"/>
    <w:rsid w:val="0030374E"/>
    <w:rsid w:val="00304859"/>
    <w:rsid w:val="00306EA5"/>
    <w:rsid w:val="003130A9"/>
    <w:rsid w:val="00313C90"/>
    <w:rsid w:val="00315701"/>
    <w:rsid w:val="00323B93"/>
    <w:rsid w:val="00326946"/>
    <w:rsid w:val="00326B21"/>
    <w:rsid w:val="00333DAD"/>
    <w:rsid w:val="00334E1F"/>
    <w:rsid w:val="00340D50"/>
    <w:rsid w:val="00341F7A"/>
    <w:rsid w:val="003421E7"/>
    <w:rsid w:val="00342343"/>
    <w:rsid w:val="00351205"/>
    <w:rsid w:val="00352C0E"/>
    <w:rsid w:val="00353343"/>
    <w:rsid w:val="00357485"/>
    <w:rsid w:val="0036297D"/>
    <w:rsid w:val="00363906"/>
    <w:rsid w:val="00363CAF"/>
    <w:rsid w:val="00367F27"/>
    <w:rsid w:val="00370993"/>
    <w:rsid w:val="003718A4"/>
    <w:rsid w:val="003772BF"/>
    <w:rsid w:val="00377393"/>
    <w:rsid w:val="0038086C"/>
    <w:rsid w:val="003831B4"/>
    <w:rsid w:val="0038554E"/>
    <w:rsid w:val="00391FF0"/>
    <w:rsid w:val="00393D2D"/>
    <w:rsid w:val="00394D13"/>
    <w:rsid w:val="003A031C"/>
    <w:rsid w:val="003A6182"/>
    <w:rsid w:val="003B0B15"/>
    <w:rsid w:val="003B0D14"/>
    <w:rsid w:val="003B3D15"/>
    <w:rsid w:val="003B3F89"/>
    <w:rsid w:val="003B43B1"/>
    <w:rsid w:val="003B55EA"/>
    <w:rsid w:val="003B6459"/>
    <w:rsid w:val="003D022B"/>
    <w:rsid w:val="003D229F"/>
    <w:rsid w:val="003D3A5B"/>
    <w:rsid w:val="003D7213"/>
    <w:rsid w:val="003E2267"/>
    <w:rsid w:val="003E412D"/>
    <w:rsid w:val="003E554A"/>
    <w:rsid w:val="003E55E0"/>
    <w:rsid w:val="003E7F12"/>
    <w:rsid w:val="003F429D"/>
    <w:rsid w:val="003F45C5"/>
    <w:rsid w:val="003F66CD"/>
    <w:rsid w:val="003F7FCC"/>
    <w:rsid w:val="00401658"/>
    <w:rsid w:val="004018BF"/>
    <w:rsid w:val="004041A9"/>
    <w:rsid w:val="00420D3D"/>
    <w:rsid w:val="00422410"/>
    <w:rsid w:val="00424AAC"/>
    <w:rsid w:val="0043118B"/>
    <w:rsid w:val="00431C89"/>
    <w:rsid w:val="004349E9"/>
    <w:rsid w:val="0043554D"/>
    <w:rsid w:val="004418CD"/>
    <w:rsid w:val="004514E6"/>
    <w:rsid w:val="00451C92"/>
    <w:rsid w:val="00453182"/>
    <w:rsid w:val="0045443F"/>
    <w:rsid w:val="0046546D"/>
    <w:rsid w:val="00467701"/>
    <w:rsid w:val="00467B1A"/>
    <w:rsid w:val="00471474"/>
    <w:rsid w:val="00472445"/>
    <w:rsid w:val="00472E5F"/>
    <w:rsid w:val="00474601"/>
    <w:rsid w:val="0047663A"/>
    <w:rsid w:val="00483BEA"/>
    <w:rsid w:val="00485D6C"/>
    <w:rsid w:val="004935FA"/>
    <w:rsid w:val="004A4558"/>
    <w:rsid w:val="004A4A2B"/>
    <w:rsid w:val="004A7FCC"/>
    <w:rsid w:val="004B0C7E"/>
    <w:rsid w:val="004B1684"/>
    <w:rsid w:val="004B62C0"/>
    <w:rsid w:val="004C3C01"/>
    <w:rsid w:val="004C4329"/>
    <w:rsid w:val="004D0C64"/>
    <w:rsid w:val="004D0EC1"/>
    <w:rsid w:val="004D1EA2"/>
    <w:rsid w:val="004D3EA4"/>
    <w:rsid w:val="004D451D"/>
    <w:rsid w:val="004D6D73"/>
    <w:rsid w:val="004D6E8B"/>
    <w:rsid w:val="004D793C"/>
    <w:rsid w:val="004E72FC"/>
    <w:rsid w:val="004F2170"/>
    <w:rsid w:val="004F262D"/>
    <w:rsid w:val="004F2E65"/>
    <w:rsid w:val="004F35C7"/>
    <w:rsid w:val="004F425E"/>
    <w:rsid w:val="004F53FE"/>
    <w:rsid w:val="004F7965"/>
    <w:rsid w:val="00500872"/>
    <w:rsid w:val="00503577"/>
    <w:rsid w:val="005077F4"/>
    <w:rsid w:val="00510A73"/>
    <w:rsid w:val="00510FE8"/>
    <w:rsid w:val="00511C47"/>
    <w:rsid w:val="005150E3"/>
    <w:rsid w:val="005175D5"/>
    <w:rsid w:val="00525305"/>
    <w:rsid w:val="0052717C"/>
    <w:rsid w:val="00532004"/>
    <w:rsid w:val="00536668"/>
    <w:rsid w:val="00542B70"/>
    <w:rsid w:val="00545812"/>
    <w:rsid w:val="0055374B"/>
    <w:rsid w:val="005551DD"/>
    <w:rsid w:val="00560BA6"/>
    <w:rsid w:val="005648EC"/>
    <w:rsid w:val="005705DB"/>
    <w:rsid w:val="005707E1"/>
    <w:rsid w:val="005827F6"/>
    <w:rsid w:val="00586C59"/>
    <w:rsid w:val="00590583"/>
    <w:rsid w:val="00593D3F"/>
    <w:rsid w:val="00593E3D"/>
    <w:rsid w:val="00596CD0"/>
    <w:rsid w:val="005A0852"/>
    <w:rsid w:val="005A0870"/>
    <w:rsid w:val="005A36B1"/>
    <w:rsid w:val="005A7FB6"/>
    <w:rsid w:val="005B13C5"/>
    <w:rsid w:val="005B17CC"/>
    <w:rsid w:val="005B5410"/>
    <w:rsid w:val="005C08FC"/>
    <w:rsid w:val="005C2D5C"/>
    <w:rsid w:val="005C2D83"/>
    <w:rsid w:val="005C5ED2"/>
    <w:rsid w:val="005D4154"/>
    <w:rsid w:val="005D4D9E"/>
    <w:rsid w:val="005D66D6"/>
    <w:rsid w:val="005D6DDF"/>
    <w:rsid w:val="005D7C9F"/>
    <w:rsid w:val="005E3D57"/>
    <w:rsid w:val="005E6DFB"/>
    <w:rsid w:val="005F1AEB"/>
    <w:rsid w:val="005F608D"/>
    <w:rsid w:val="006012C9"/>
    <w:rsid w:val="00603C50"/>
    <w:rsid w:val="006059FC"/>
    <w:rsid w:val="006060D8"/>
    <w:rsid w:val="00610970"/>
    <w:rsid w:val="00612DE5"/>
    <w:rsid w:val="006169C4"/>
    <w:rsid w:val="00617C76"/>
    <w:rsid w:val="00620C07"/>
    <w:rsid w:val="006225FB"/>
    <w:rsid w:val="00624F5C"/>
    <w:rsid w:val="0062595C"/>
    <w:rsid w:val="00630002"/>
    <w:rsid w:val="00632EAA"/>
    <w:rsid w:val="00633328"/>
    <w:rsid w:val="006343DA"/>
    <w:rsid w:val="00644810"/>
    <w:rsid w:val="006466A9"/>
    <w:rsid w:val="00647B5B"/>
    <w:rsid w:val="0065147C"/>
    <w:rsid w:val="006538D7"/>
    <w:rsid w:val="006561B0"/>
    <w:rsid w:val="00662A11"/>
    <w:rsid w:val="0067113F"/>
    <w:rsid w:val="006733AA"/>
    <w:rsid w:val="00677E16"/>
    <w:rsid w:val="00677F1F"/>
    <w:rsid w:val="006830A6"/>
    <w:rsid w:val="006841DC"/>
    <w:rsid w:val="00687C55"/>
    <w:rsid w:val="00691E96"/>
    <w:rsid w:val="0069477A"/>
    <w:rsid w:val="00697C99"/>
    <w:rsid w:val="006A37FF"/>
    <w:rsid w:val="006A39F8"/>
    <w:rsid w:val="006A7EDD"/>
    <w:rsid w:val="006B3439"/>
    <w:rsid w:val="006B3FDA"/>
    <w:rsid w:val="006B58FD"/>
    <w:rsid w:val="006B5F07"/>
    <w:rsid w:val="006B65B7"/>
    <w:rsid w:val="006C2FB0"/>
    <w:rsid w:val="006C62C9"/>
    <w:rsid w:val="006C64D7"/>
    <w:rsid w:val="006D29AE"/>
    <w:rsid w:val="006E20EE"/>
    <w:rsid w:val="006E2E49"/>
    <w:rsid w:val="006E45BA"/>
    <w:rsid w:val="006F5821"/>
    <w:rsid w:val="006F5A01"/>
    <w:rsid w:val="006F7C8B"/>
    <w:rsid w:val="00700B32"/>
    <w:rsid w:val="00701798"/>
    <w:rsid w:val="00706158"/>
    <w:rsid w:val="00707992"/>
    <w:rsid w:val="00714387"/>
    <w:rsid w:val="00717174"/>
    <w:rsid w:val="00724530"/>
    <w:rsid w:val="00725346"/>
    <w:rsid w:val="007255A3"/>
    <w:rsid w:val="007307CA"/>
    <w:rsid w:val="00731954"/>
    <w:rsid w:val="00732F00"/>
    <w:rsid w:val="00741C19"/>
    <w:rsid w:val="00743B85"/>
    <w:rsid w:val="00744400"/>
    <w:rsid w:val="00745638"/>
    <w:rsid w:val="00747094"/>
    <w:rsid w:val="0075047D"/>
    <w:rsid w:val="007508F4"/>
    <w:rsid w:val="007555D3"/>
    <w:rsid w:val="00755EBC"/>
    <w:rsid w:val="00756331"/>
    <w:rsid w:val="00763E21"/>
    <w:rsid w:val="00763FD5"/>
    <w:rsid w:val="0077218A"/>
    <w:rsid w:val="007871C3"/>
    <w:rsid w:val="00787B7F"/>
    <w:rsid w:val="00792A28"/>
    <w:rsid w:val="007944FB"/>
    <w:rsid w:val="0079493C"/>
    <w:rsid w:val="007A5476"/>
    <w:rsid w:val="007A570A"/>
    <w:rsid w:val="007A5DD4"/>
    <w:rsid w:val="007A605D"/>
    <w:rsid w:val="007B2056"/>
    <w:rsid w:val="007B3000"/>
    <w:rsid w:val="007B55B0"/>
    <w:rsid w:val="007B5FB3"/>
    <w:rsid w:val="007B6FB8"/>
    <w:rsid w:val="007B79CF"/>
    <w:rsid w:val="007C0592"/>
    <w:rsid w:val="007C5480"/>
    <w:rsid w:val="007C5B6B"/>
    <w:rsid w:val="007D015B"/>
    <w:rsid w:val="007D0D11"/>
    <w:rsid w:val="007D39D8"/>
    <w:rsid w:val="007D42BE"/>
    <w:rsid w:val="007D7A9A"/>
    <w:rsid w:val="007E06FF"/>
    <w:rsid w:val="007E50B9"/>
    <w:rsid w:val="007E5216"/>
    <w:rsid w:val="007E7B07"/>
    <w:rsid w:val="007F24CA"/>
    <w:rsid w:val="007F3A94"/>
    <w:rsid w:val="007F4D34"/>
    <w:rsid w:val="007F78B3"/>
    <w:rsid w:val="00801E12"/>
    <w:rsid w:val="008021D6"/>
    <w:rsid w:val="0080695E"/>
    <w:rsid w:val="008070B9"/>
    <w:rsid w:val="00807E70"/>
    <w:rsid w:val="00807F11"/>
    <w:rsid w:val="008100BA"/>
    <w:rsid w:val="0081049F"/>
    <w:rsid w:val="008107E4"/>
    <w:rsid w:val="008142C0"/>
    <w:rsid w:val="00814A97"/>
    <w:rsid w:val="008226EA"/>
    <w:rsid w:val="0082295A"/>
    <w:rsid w:val="008266DD"/>
    <w:rsid w:val="008271BB"/>
    <w:rsid w:val="00827C6E"/>
    <w:rsid w:val="00831C53"/>
    <w:rsid w:val="00835273"/>
    <w:rsid w:val="008370FE"/>
    <w:rsid w:val="00843D74"/>
    <w:rsid w:val="00845619"/>
    <w:rsid w:val="0085039C"/>
    <w:rsid w:val="008512C0"/>
    <w:rsid w:val="00855E6B"/>
    <w:rsid w:val="00855F7B"/>
    <w:rsid w:val="00856F48"/>
    <w:rsid w:val="00863D0D"/>
    <w:rsid w:val="008642AE"/>
    <w:rsid w:val="008653AC"/>
    <w:rsid w:val="00866E07"/>
    <w:rsid w:val="00872894"/>
    <w:rsid w:val="00877392"/>
    <w:rsid w:val="008843F9"/>
    <w:rsid w:val="00890031"/>
    <w:rsid w:val="008934D1"/>
    <w:rsid w:val="008A3022"/>
    <w:rsid w:val="008A4977"/>
    <w:rsid w:val="008A705B"/>
    <w:rsid w:val="008B06A7"/>
    <w:rsid w:val="008B274B"/>
    <w:rsid w:val="008B3905"/>
    <w:rsid w:val="008B3E9F"/>
    <w:rsid w:val="008B59A1"/>
    <w:rsid w:val="008B72B6"/>
    <w:rsid w:val="008C0B78"/>
    <w:rsid w:val="008C0F8A"/>
    <w:rsid w:val="008C2DA2"/>
    <w:rsid w:val="008D0D70"/>
    <w:rsid w:val="008D0E3C"/>
    <w:rsid w:val="008D108A"/>
    <w:rsid w:val="008D1A21"/>
    <w:rsid w:val="008D3E2F"/>
    <w:rsid w:val="008D4A6B"/>
    <w:rsid w:val="008E38D2"/>
    <w:rsid w:val="008E5535"/>
    <w:rsid w:val="008F0593"/>
    <w:rsid w:val="008F75AA"/>
    <w:rsid w:val="00901309"/>
    <w:rsid w:val="00901415"/>
    <w:rsid w:val="0090174E"/>
    <w:rsid w:val="009039CF"/>
    <w:rsid w:val="00904A24"/>
    <w:rsid w:val="00904AD9"/>
    <w:rsid w:val="0091109F"/>
    <w:rsid w:val="0091687C"/>
    <w:rsid w:val="0092497F"/>
    <w:rsid w:val="009273A2"/>
    <w:rsid w:val="009325F7"/>
    <w:rsid w:val="009331EB"/>
    <w:rsid w:val="009359DB"/>
    <w:rsid w:val="009461CF"/>
    <w:rsid w:val="00946A8E"/>
    <w:rsid w:val="00952DDE"/>
    <w:rsid w:val="009559A4"/>
    <w:rsid w:val="00957129"/>
    <w:rsid w:val="00962029"/>
    <w:rsid w:val="00963869"/>
    <w:rsid w:val="0096653A"/>
    <w:rsid w:val="00966972"/>
    <w:rsid w:val="00967247"/>
    <w:rsid w:val="00971E36"/>
    <w:rsid w:val="00974D43"/>
    <w:rsid w:val="009757A3"/>
    <w:rsid w:val="00982F71"/>
    <w:rsid w:val="009833AD"/>
    <w:rsid w:val="009838A0"/>
    <w:rsid w:val="00986D45"/>
    <w:rsid w:val="009901B3"/>
    <w:rsid w:val="00992DD4"/>
    <w:rsid w:val="00994A3B"/>
    <w:rsid w:val="00995A59"/>
    <w:rsid w:val="00997742"/>
    <w:rsid w:val="009A1EE3"/>
    <w:rsid w:val="009A3CFA"/>
    <w:rsid w:val="009A5D29"/>
    <w:rsid w:val="009A5F67"/>
    <w:rsid w:val="009B11F9"/>
    <w:rsid w:val="009C2807"/>
    <w:rsid w:val="009C2B08"/>
    <w:rsid w:val="009C4A4B"/>
    <w:rsid w:val="009D0165"/>
    <w:rsid w:val="009D0C0C"/>
    <w:rsid w:val="009D4836"/>
    <w:rsid w:val="009D614E"/>
    <w:rsid w:val="009D7CC5"/>
    <w:rsid w:val="009D7EA2"/>
    <w:rsid w:val="009E0E01"/>
    <w:rsid w:val="009E292A"/>
    <w:rsid w:val="009E3245"/>
    <w:rsid w:val="009E71E4"/>
    <w:rsid w:val="009F0EA4"/>
    <w:rsid w:val="009F1E87"/>
    <w:rsid w:val="009F2B87"/>
    <w:rsid w:val="009F3190"/>
    <w:rsid w:val="009F699D"/>
    <w:rsid w:val="009F713D"/>
    <w:rsid w:val="00A001DC"/>
    <w:rsid w:val="00A07B2E"/>
    <w:rsid w:val="00A1206B"/>
    <w:rsid w:val="00A12D9F"/>
    <w:rsid w:val="00A143B5"/>
    <w:rsid w:val="00A22BE6"/>
    <w:rsid w:val="00A27399"/>
    <w:rsid w:val="00A36BF5"/>
    <w:rsid w:val="00A3780F"/>
    <w:rsid w:val="00A378B2"/>
    <w:rsid w:val="00A43A12"/>
    <w:rsid w:val="00A45239"/>
    <w:rsid w:val="00A456A1"/>
    <w:rsid w:val="00A463B6"/>
    <w:rsid w:val="00A46860"/>
    <w:rsid w:val="00A46C30"/>
    <w:rsid w:val="00A508A7"/>
    <w:rsid w:val="00A50B9B"/>
    <w:rsid w:val="00A56121"/>
    <w:rsid w:val="00A64103"/>
    <w:rsid w:val="00A665B0"/>
    <w:rsid w:val="00A722F4"/>
    <w:rsid w:val="00A72E4D"/>
    <w:rsid w:val="00A761B2"/>
    <w:rsid w:val="00A7668E"/>
    <w:rsid w:val="00A811FE"/>
    <w:rsid w:val="00A81E3D"/>
    <w:rsid w:val="00A825C4"/>
    <w:rsid w:val="00A85BD5"/>
    <w:rsid w:val="00A9205A"/>
    <w:rsid w:val="00A93AD3"/>
    <w:rsid w:val="00A94F84"/>
    <w:rsid w:val="00AA3220"/>
    <w:rsid w:val="00AA4265"/>
    <w:rsid w:val="00AA7DE8"/>
    <w:rsid w:val="00AB0899"/>
    <w:rsid w:val="00AB119A"/>
    <w:rsid w:val="00AB47CD"/>
    <w:rsid w:val="00AB780F"/>
    <w:rsid w:val="00AC10EA"/>
    <w:rsid w:val="00AC24F8"/>
    <w:rsid w:val="00AC5930"/>
    <w:rsid w:val="00AC65CB"/>
    <w:rsid w:val="00AC7408"/>
    <w:rsid w:val="00AD4683"/>
    <w:rsid w:val="00AD5284"/>
    <w:rsid w:val="00AE0987"/>
    <w:rsid w:val="00AE1186"/>
    <w:rsid w:val="00AE26BA"/>
    <w:rsid w:val="00AE47C7"/>
    <w:rsid w:val="00AE5235"/>
    <w:rsid w:val="00AE542D"/>
    <w:rsid w:val="00AE562B"/>
    <w:rsid w:val="00AE62CA"/>
    <w:rsid w:val="00AE6899"/>
    <w:rsid w:val="00AE772F"/>
    <w:rsid w:val="00AF2897"/>
    <w:rsid w:val="00AF4E47"/>
    <w:rsid w:val="00AF6375"/>
    <w:rsid w:val="00AF7571"/>
    <w:rsid w:val="00B01DB2"/>
    <w:rsid w:val="00B059F7"/>
    <w:rsid w:val="00B07A85"/>
    <w:rsid w:val="00B1415D"/>
    <w:rsid w:val="00B21B07"/>
    <w:rsid w:val="00B21BDC"/>
    <w:rsid w:val="00B24CEE"/>
    <w:rsid w:val="00B327A2"/>
    <w:rsid w:val="00B3533D"/>
    <w:rsid w:val="00B37E25"/>
    <w:rsid w:val="00B40298"/>
    <w:rsid w:val="00B40EEE"/>
    <w:rsid w:val="00B411D2"/>
    <w:rsid w:val="00B60D09"/>
    <w:rsid w:val="00B62723"/>
    <w:rsid w:val="00B62879"/>
    <w:rsid w:val="00B6295D"/>
    <w:rsid w:val="00B65F10"/>
    <w:rsid w:val="00B67D99"/>
    <w:rsid w:val="00B70355"/>
    <w:rsid w:val="00B732B7"/>
    <w:rsid w:val="00B73B08"/>
    <w:rsid w:val="00B75436"/>
    <w:rsid w:val="00B800C0"/>
    <w:rsid w:val="00B824EE"/>
    <w:rsid w:val="00B87A12"/>
    <w:rsid w:val="00B87DE1"/>
    <w:rsid w:val="00B90F1E"/>
    <w:rsid w:val="00B91C8D"/>
    <w:rsid w:val="00B91C97"/>
    <w:rsid w:val="00B97083"/>
    <w:rsid w:val="00BA42F4"/>
    <w:rsid w:val="00BA5E81"/>
    <w:rsid w:val="00BA6A3A"/>
    <w:rsid w:val="00BB1194"/>
    <w:rsid w:val="00BB3758"/>
    <w:rsid w:val="00BB7749"/>
    <w:rsid w:val="00BC1DFD"/>
    <w:rsid w:val="00BC241B"/>
    <w:rsid w:val="00BC40E1"/>
    <w:rsid w:val="00BC67DE"/>
    <w:rsid w:val="00BD0139"/>
    <w:rsid w:val="00BD4188"/>
    <w:rsid w:val="00BD46ED"/>
    <w:rsid w:val="00BD495C"/>
    <w:rsid w:val="00BD707A"/>
    <w:rsid w:val="00BD759B"/>
    <w:rsid w:val="00BE03E3"/>
    <w:rsid w:val="00BE1B40"/>
    <w:rsid w:val="00BE4313"/>
    <w:rsid w:val="00BF0468"/>
    <w:rsid w:val="00BF42B5"/>
    <w:rsid w:val="00BF46FE"/>
    <w:rsid w:val="00BF6749"/>
    <w:rsid w:val="00C0152A"/>
    <w:rsid w:val="00C034AD"/>
    <w:rsid w:val="00C04607"/>
    <w:rsid w:val="00C11934"/>
    <w:rsid w:val="00C16B6D"/>
    <w:rsid w:val="00C218F2"/>
    <w:rsid w:val="00C25552"/>
    <w:rsid w:val="00C25C57"/>
    <w:rsid w:val="00C26B42"/>
    <w:rsid w:val="00C31897"/>
    <w:rsid w:val="00C31F30"/>
    <w:rsid w:val="00C407A5"/>
    <w:rsid w:val="00C42C52"/>
    <w:rsid w:val="00C4667B"/>
    <w:rsid w:val="00C525BE"/>
    <w:rsid w:val="00C525EF"/>
    <w:rsid w:val="00C5462B"/>
    <w:rsid w:val="00C56394"/>
    <w:rsid w:val="00C57E3D"/>
    <w:rsid w:val="00C61AA7"/>
    <w:rsid w:val="00C63EAC"/>
    <w:rsid w:val="00C6598F"/>
    <w:rsid w:val="00C67E77"/>
    <w:rsid w:val="00C73593"/>
    <w:rsid w:val="00C74339"/>
    <w:rsid w:val="00C823F2"/>
    <w:rsid w:val="00C847E0"/>
    <w:rsid w:val="00C866B3"/>
    <w:rsid w:val="00C873A5"/>
    <w:rsid w:val="00C91609"/>
    <w:rsid w:val="00C91A06"/>
    <w:rsid w:val="00CA1397"/>
    <w:rsid w:val="00CA1FC3"/>
    <w:rsid w:val="00CA1FCC"/>
    <w:rsid w:val="00CA4782"/>
    <w:rsid w:val="00CA4F52"/>
    <w:rsid w:val="00CA7F94"/>
    <w:rsid w:val="00CC18CE"/>
    <w:rsid w:val="00CC3198"/>
    <w:rsid w:val="00CC7371"/>
    <w:rsid w:val="00CC7FBA"/>
    <w:rsid w:val="00CE0032"/>
    <w:rsid w:val="00CE06D3"/>
    <w:rsid w:val="00CE3CF6"/>
    <w:rsid w:val="00CF1209"/>
    <w:rsid w:val="00CF2613"/>
    <w:rsid w:val="00CF4AEB"/>
    <w:rsid w:val="00CF7520"/>
    <w:rsid w:val="00D06A05"/>
    <w:rsid w:val="00D118B7"/>
    <w:rsid w:val="00D1254A"/>
    <w:rsid w:val="00D20A28"/>
    <w:rsid w:val="00D2198E"/>
    <w:rsid w:val="00D23055"/>
    <w:rsid w:val="00D23183"/>
    <w:rsid w:val="00D244E2"/>
    <w:rsid w:val="00D34476"/>
    <w:rsid w:val="00D36EEE"/>
    <w:rsid w:val="00D42F5B"/>
    <w:rsid w:val="00D44BD8"/>
    <w:rsid w:val="00D45404"/>
    <w:rsid w:val="00D4732C"/>
    <w:rsid w:val="00D52639"/>
    <w:rsid w:val="00D5396B"/>
    <w:rsid w:val="00D53B6D"/>
    <w:rsid w:val="00D55B03"/>
    <w:rsid w:val="00D60759"/>
    <w:rsid w:val="00D60C12"/>
    <w:rsid w:val="00D61B69"/>
    <w:rsid w:val="00D62111"/>
    <w:rsid w:val="00D63436"/>
    <w:rsid w:val="00D63CDD"/>
    <w:rsid w:val="00D70053"/>
    <w:rsid w:val="00D70ED7"/>
    <w:rsid w:val="00D71D7F"/>
    <w:rsid w:val="00D71F57"/>
    <w:rsid w:val="00D76FA3"/>
    <w:rsid w:val="00D77B33"/>
    <w:rsid w:val="00D82AF3"/>
    <w:rsid w:val="00D85E14"/>
    <w:rsid w:val="00D87A32"/>
    <w:rsid w:val="00D904F7"/>
    <w:rsid w:val="00D90CD5"/>
    <w:rsid w:val="00D91B26"/>
    <w:rsid w:val="00D91E49"/>
    <w:rsid w:val="00D949F0"/>
    <w:rsid w:val="00D95BB4"/>
    <w:rsid w:val="00D96220"/>
    <w:rsid w:val="00D969FA"/>
    <w:rsid w:val="00DA0AEE"/>
    <w:rsid w:val="00DA117B"/>
    <w:rsid w:val="00DA35B6"/>
    <w:rsid w:val="00DB20B1"/>
    <w:rsid w:val="00DB2992"/>
    <w:rsid w:val="00DB3E82"/>
    <w:rsid w:val="00DB4AEB"/>
    <w:rsid w:val="00DB7D47"/>
    <w:rsid w:val="00DC08D2"/>
    <w:rsid w:val="00DC18A8"/>
    <w:rsid w:val="00DC3805"/>
    <w:rsid w:val="00DC4D2A"/>
    <w:rsid w:val="00DC6940"/>
    <w:rsid w:val="00DD4736"/>
    <w:rsid w:val="00DD4FEE"/>
    <w:rsid w:val="00DD7267"/>
    <w:rsid w:val="00DE01EA"/>
    <w:rsid w:val="00DE0419"/>
    <w:rsid w:val="00DE0713"/>
    <w:rsid w:val="00DE3BA5"/>
    <w:rsid w:val="00DE3E4A"/>
    <w:rsid w:val="00DE4833"/>
    <w:rsid w:val="00DF0BE9"/>
    <w:rsid w:val="00DF0F59"/>
    <w:rsid w:val="00DF2602"/>
    <w:rsid w:val="00DF28B1"/>
    <w:rsid w:val="00E01DE2"/>
    <w:rsid w:val="00E1010A"/>
    <w:rsid w:val="00E15615"/>
    <w:rsid w:val="00E17852"/>
    <w:rsid w:val="00E217D9"/>
    <w:rsid w:val="00E24363"/>
    <w:rsid w:val="00E244CE"/>
    <w:rsid w:val="00E24886"/>
    <w:rsid w:val="00E25B01"/>
    <w:rsid w:val="00E31B2D"/>
    <w:rsid w:val="00E33261"/>
    <w:rsid w:val="00E34F3A"/>
    <w:rsid w:val="00E377FA"/>
    <w:rsid w:val="00E43AB5"/>
    <w:rsid w:val="00E458AD"/>
    <w:rsid w:val="00E515C6"/>
    <w:rsid w:val="00E525F0"/>
    <w:rsid w:val="00E53198"/>
    <w:rsid w:val="00E53835"/>
    <w:rsid w:val="00E5428B"/>
    <w:rsid w:val="00E54D9A"/>
    <w:rsid w:val="00E622F8"/>
    <w:rsid w:val="00E701DE"/>
    <w:rsid w:val="00E74FDE"/>
    <w:rsid w:val="00E76746"/>
    <w:rsid w:val="00E76FF5"/>
    <w:rsid w:val="00E77917"/>
    <w:rsid w:val="00E82C25"/>
    <w:rsid w:val="00E83DF6"/>
    <w:rsid w:val="00E85457"/>
    <w:rsid w:val="00E86AD0"/>
    <w:rsid w:val="00E8782D"/>
    <w:rsid w:val="00E8790E"/>
    <w:rsid w:val="00E91381"/>
    <w:rsid w:val="00E92B37"/>
    <w:rsid w:val="00E979AA"/>
    <w:rsid w:val="00EA0ABC"/>
    <w:rsid w:val="00EA14AB"/>
    <w:rsid w:val="00EB138B"/>
    <w:rsid w:val="00EB24C2"/>
    <w:rsid w:val="00EB3C95"/>
    <w:rsid w:val="00EC13A5"/>
    <w:rsid w:val="00EC2FF1"/>
    <w:rsid w:val="00EC7F1F"/>
    <w:rsid w:val="00ED2C4A"/>
    <w:rsid w:val="00ED6087"/>
    <w:rsid w:val="00EE0B34"/>
    <w:rsid w:val="00EE449E"/>
    <w:rsid w:val="00EE4E85"/>
    <w:rsid w:val="00EE74D0"/>
    <w:rsid w:val="00EF1308"/>
    <w:rsid w:val="00EF6B45"/>
    <w:rsid w:val="00F001DA"/>
    <w:rsid w:val="00F05210"/>
    <w:rsid w:val="00F05D7A"/>
    <w:rsid w:val="00F07790"/>
    <w:rsid w:val="00F11734"/>
    <w:rsid w:val="00F12086"/>
    <w:rsid w:val="00F27DA2"/>
    <w:rsid w:val="00F40012"/>
    <w:rsid w:val="00F410D5"/>
    <w:rsid w:val="00F41554"/>
    <w:rsid w:val="00F4446B"/>
    <w:rsid w:val="00F45C42"/>
    <w:rsid w:val="00F5050D"/>
    <w:rsid w:val="00F524D0"/>
    <w:rsid w:val="00F5263B"/>
    <w:rsid w:val="00F547DD"/>
    <w:rsid w:val="00F57F63"/>
    <w:rsid w:val="00F60F4E"/>
    <w:rsid w:val="00F641EB"/>
    <w:rsid w:val="00F64A29"/>
    <w:rsid w:val="00F6658B"/>
    <w:rsid w:val="00F66786"/>
    <w:rsid w:val="00F7120C"/>
    <w:rsid w:val="00F73402"/>
    <w:rsid w:val="00F775E2"/>
    <w:rsid w:val="00F80BD6"/>
    <w:rsid w:val="00F815E7"/>
    <w:rsid w:val="00F83A38"/>
    <w:rsid w:val="00F847DB"/>
    <w:rsid w:val="00F8694C"/>
    <w:rsid w:val="00F91DA8"/>
    <w:rsid w:val="00F9285B"/>
    <w:rsid w:val="00F95D92"/>
    <w:rsid w:val="00FA093D"/>
    <w:rsid w:val="00FA2B3E"/>
    <w:rsid w:val="00FA34DC"/>
    <w:rsid w:val="00FA49AB"/>
    <w:rsid w:val="00FB18A3"/>
    <w:rsid w:val="00FB219B"/>
    <w:rsid w:val="00FC0ECF"/>
    <w:rsid w:val="00FC1C73"/>
    <w:rsid w:val="00FC2BC5"/>
    <w:rsid w:val="00FC3304"/>
    <w:rsid w:val="00FC5116"/>
    <w:rsid w:val="00FC68EF"/>
    <w:rsid w:val="00FC7A0C"/>
    <w:rsid w:val="00FE0CE0"/>
    <w:rsid w:val="00FE4049"/>
    <w:rsid w:val="00FE442D"/>
    <w:rsid w:val="00FE4ED3"/>
    <w:rsid w:val="00FE4F47"/>
    <w:rsid w:val="00FE648E"/>
    <w:rsid w:val="00FF2F51"/>
    <w:rsid w:val="00FF64A0"/>
    <w:rsid w:val="00F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C29AF"/>
  <w15:docId w15:val="{D77AFDBC-521E-4C01-8C31-BDA5FA8A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19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198"/>
    <w:pPr>
      <w:tabs>
        <w:tab w:val="center" w:pos="4252"/>
        <w:tab w:val="right" w:pos="8504"/>
      </w:tabs>
      <w:snapToGrid w:val="0"/>
    </w:pPr>
  </w:style>
  <w:style w:type="character" w:customStyle="1" w:styleId="HeaderChar">
    <w:name w:val="Header Char"/>
    <w:basedOn w:val="DefaultParagraphFont"/>
    <w:link w:val="Header"/>
    <w:uiPriority w:val="99"/>
    <w:rsid w:val="00CC3198"/>
  </w:style>
  <w:style w:type="paragraph" w:styleId="Footer">
    <w:name w:val="footer"/>
    <w:basedOn w:val="Normal"/>
    <w:link w:val="FooterChar"/>
    <w:uiPriority w:val="99"/>
    <w:unhideWhenUsed/>
    <w:rsid w:val="00CC3198"/>
    <w:pPr>
      <w:tabs>
        <w:tab w:val="center" w:pos="4252"/>
        <w:tab w:val="right" w:pos="8504"/>
      </w:tabs>
      <w:snapToGrid w:val="0"/>
    </w:pPr>
  </w:style>
  <w:style w:type="character" w:customStyle="1" w:styleId="FooterChar">
    <w:name w:val="Footer Char"/>
    <w:basedOn w:val="DefaultParagraphFont"/>
    <w:link w:val="Footer"/>
    <w:uiPriority w:val="99"/>
    <w:rsid w:val="00CC3198"/>
  </w:style>
  <w:style w:type="character" w:styleId="Hyperlink">
    <w:name w:val="Hyperlink"/>
    <w:basedOn w:val="DefaultParagraphFont"/>
    <w:uiPriority w:val="99"/>
    <w:unhideWhenUsed/>
    <w:rsid w:val="00CC3198"/>
    <w:rPr>
      <w:color w:val="0563C1" w:themeColor="hyperlink"/>
      <w:u w:val="single"/>
    </w:rPr>
  </w:style>
  <w:style w:type="paragraph" w:styleId="BalloonText">
    <w:name w:val="Balloon Text"/>
    <w:basedOn w:val="Normal"/>
    <w:link w:val="BalloonTextChar"/>
    <w:uiPriority w:val="99"/>
    <w:semiHidden/>
    <w:unhideWhenUsed/>
    <w:rsid w:val="00CC319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C3198"/>
    <w:rPr>
      <w:rFonts w:asciiTheme="majorHAnsi" w:eastAsiaTheme="majorEastAsia" w:hAnsiTheme="majorHAnsi" w:cstheme="majorBidi"/>
      <w:sz w:val="18"/>
      <w:szCs w:val="18"/>
    </w:rPr>
  </w:style>
  <w:style w:type="paragraph" w:styleId="ListParagraph">
    <w:name w:val="List Paragraph"/>
    <w:basedOn w:val="Normal"/>
    <w:uiPriority w:val="34"/>
    <w:qFormat/>
    <w:rsid w:val="00CC3198"/>
    <w:pPr>
      <w:ind w:leftChars="400" w:left="840"/>
    </w:pPr>
  </w:style>
  <w:style w:type="paragraph" w:styleId="CommentText">
    <w:name w:val="annotation text"/>
    <w:basedOn w:val="Normal"/>
    <w:link w:val="CommentTextChar"/>
    <w:uiPriority w:val="99"/>
    <w:unhideWhenUsed/>
    <w:rsid w:val="00C25C57"/>
    <w:pPr>
      <w:jc w:val="left"/>
    </w:pPr>
  </w:style>
  <w:style w:type="character" w:customStyle="1" w:styleId="CommentTextChar">
    <w:name w:val="Comment Text Char"/>
    <w:basedOn w:val="DefaultParagraphFont"/>
    <w:link w:val="CommentText"/>
    <w:uiPriority w:val="99"/>
    <w:rsid w:val="00C25C57"/>
  </w:style>
  <w:style w:type="character" w:styleId="CommentReference">
    <w:name w:val="annotation reference"/>
    <w:basedOn w:val="DefaultParagraphFont"/>
    <w:uiPriority w:val="99"/>
    <w:semiHidden/>
    <w:unhideWhenUsed/>
    <w:rsid w:val="00BA5E81"/>
    <w:rPr>
      <w:sz w:val="18"/>
      <w:szCs w:val="18"/>
    </w:rPr>
  </w:style>
  <w:style w:type="paragraph" w:styleId="CommentSubject">
    <w:name w:val="annotation subject"/>
    <w:basedOn w:val="CommentText"/>
    <w:next w:val="CommentText"/>
    <w:link w:val="CommentSubjectChar"/>
    <w:uiPriority w:val="99"/>
    <w:semiHidden/>
    <w:unhideWhenUsed/>
    <w:rsid w:val="00BA5E81"/>
    <w:rPr>
      <w:b/>
      <w:bCs/>
    </w:rPr>
  </w:style>
  <w:style w:type="character" w:customStyle="1" w:styleId="CommentSubjectChar">
    <w:name w:val="Comment Subject Char"/>
    <w:basedOn w:val="CommentTextChar"/>
    <w:link w:val="CommentSubject"/>
    <w:uiPriority w:val="99"/>
    <w:semiHidden/>
    <w:rsid w:val="00BA5E81"/>
    <w:rPr>
      <w:b/>
      <w:bCs/>
    </w:rPr>
  </w:style>
  <w:style w:type="paragraph" w:customStyle="1" w:styleId="1">
    <w:name w:val="正文1"/>
    <w:uiPriority w:val="99"/>
    <w:rsid w:val="002910A5"/>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971">
      <w:bodyDiv w:val="1"/>
      <w:marLeft w:val="0"/>
      <w:marRight w:val="0"/>
      <w:marTop w:val="0"/>
      <w:marBottom w:val="0"/>
      <w:divBdr>
        <w:top w:val="none" w:sz="0" w:space="0" w:color="auto"/>
        <w:left w:val="none" w:sz="0" w:space="0" w:color="auto"/>
        <w:bottom w:val="none" w:sz="0" w:space="0" w:color="auto"/>
        <w:right w:val="none" w:sz="0" w:space="0" w:color="auto"/>
      </w:divBdr>
    </w:div>
    <w:div w:id="77102298">
      <w:bodyDiv w:val="1"/>
      <w:marLeft w:val="0"/>
      <w:marRight w:val="0"/>
      <w:marTop w:val="0"/>
      <w:marBottom w:val="0"/>
      <w:divBdr>
        <w:top w:val="none" w:sz="0" w:space="0" w:color="auto"/>
        <w:left w:val="none" w:sz="0" w:space="0" w:color="auto"/>
        <w:bottom w:val="none" w:sz="0" w:space="0" w:color="auto"/>
        <w:right w:val="none" w:sz="0" w:space="0" w:color="auto"/>
      </w:divBdr>
    </w:div>
    <w:div w:id="146410106">
      <w:bodyDiv w:val="1"/>
      <w:marLeft w:val="0"/>
      <w:marRight w:val="0"/>
      <w:marTop w:val="0"/>
      <w:marBottom w:val="0"/>
      <w:divBdr>
        <w:top w:val="none" w:sz="0" w:space="0" w:color="auto"/>
        <w:left w:val="none" w:sz="0" w:space="0" w:color="auto"/>
        <w:bottom w:val="none" w:sz="0" w:space="0" w:color="auto"/>
        <w:right w:val="none" w:sz="0" w:space="0" w:color="auto"/>
      </w:divBdr>
    </w:div>
    <w:div w:id="147212059">
      <w:bodyDiv w:val="1"/>
      <w:marLeft w:val="0"/>
      <w:marRight w:val="0"/>
      <w:marTop w:val="0"/>
      <w:marBottom w:val="0"/>
      <w:divBdr>
        <w:top w:val="none" w:sz="0" w:space="0" w:color="auto"/>
        <w:left w:val="none" w:sz="0" w:space="0" w:color="auto"/>
        <w:bottom w:val="none" w:sz="0" w:space="0" w:color="auto"/>
        <w:right w:val="none" w:sz="0" w:space="0" w:color="auto"/>
      </w:divBdr>
    </w:div>
    <w:div w:id="325286761">
      <w:bodyDiv w:val="1"/>
      <w:marLeft w:val="0"/>
      <w:marRight w:val="0"/>
      <w:marTop w:val="0"/>
      <w:marBottom w:val="0"/>
      <w:divBdr>
        <w:top w:val="none" w:sz="0" w:space="0" w:color="auto"/>
        <w:left w:val="none" w:sz="0" w:space="0" w:color="auto"/>
        <w:bottom w:val="none" w:sz="0" w:space="0" w:color="auto"/>
        <w:right w:val="none" w:sz="0" w:space="0" w:color="auto"/>
      </w:divBdr>
    </w:div>
    <w:div w:id="445664969">
      <w:bodyDiv w:val="1"/>
      <w:marLeft w:val="0"/>
      <w:marRight w:val="0"/>
      <w:marTop w:val="0"/>
      <w:marBottom w:val="0"/>
      <w:divBdr>
        <w:top w:val="none" w:sz="0" w:space="0" w:color="auto"/>
        <w:left w:val="none" w:sz="0" w:space="0" w:color="auto"/>
        <w:bottom w:val="none" w:sz="0" w:space="0" w:color="auto"/>
        <w:right w:val="none" w:sz="0" w:space="0" w:color="auto"/>
      </w:divBdr>
    </w:div>
    <w:div w:id="525482100">
      <w:bodyDiv w:val="1"/>
      <w:marLeft w:val="0"/>
      <w:marRight w:val="0"/>
      <w:marTop w:val="0"/>
      <w:marBottom w:val="0"/>
      <w:divBdr>
        <w:top w:val="none" w:sz="0" w:space="0" w:color="auto"/>
        <w:left w:val="none" w:sz="0" w:space="0" w:color="auto"/>
        <w:bottom w:val="none" w:sz="0" w:space="0" w:color="auto"/>
        <w:right w:val="none" w:sz="0" w:space="0" w:color="auto"/>
      </w:divBdr>
    </w:div>
    <w:div w:id="532226747">
      <w:bodyDiv w:val="1"/>
      <w:marLeft w:val="0"/>
      <w:marRight w:val="0"/>
      <w:marTop w:val="0"/>
      <w:marBottom w:val="0"/>
      <w:divBdr>
        <w:top w:val="none" w:sz="0" w:space="0" w:color="auto"/>
        <w:left w:val="none" w:sz="0" w:space="0" w:color="auto"/>
        <w:bottom w:val="none" w:sz="0" w:space="0" w:color="auto"/>
        <w:right w:val="none" w:sz="0" w:space="0" w:color="auto"/>
      </w:divBdr>
    </w:div>
    <w:div w:id="733939927">
      <w:bodyDiv w:val="1"/>
      <w:marLeft w:val="0"/>
      <w:marRight w:val="0"/>
      <w:marTop w:val="0"/>
      <w:marBottom w:val="0"/>
      <w:divBdr>
        <w:top w:val="none" w:sz="0" w:space="0" w:color="auto"/>
        <w:left w:val="none" w:sz="0" w:space="0" w:color="auto"/>
        <w:bottom w:val="none" w:sz="0" w:space="0" w:color="auto"/>
        <w:right w:val="none" w:sz="0" w:space="0" w:color="auto"/>
      </w:divBdr>
    </w:div>
    <w:div w:id="740173809">
      <w:bodyDiv w:val="1"/>
      <w:marLeft w:val="0"/>
      <w:marRight w:val="0"/>
      <w:marTop w:val="0"/>
      <w:marBottom w:val="0"/>
      <w:divBdr>
        <w:top w:val="none" w:sz="0" w:space="0" w:color="auto"/>
        <w:left w:val="none" w:sz="0" w:space="0" w:color="auto"/>
        <w:bottom w:val="none" w:sz="0" w:space="0" w:color="auto"/>
        <w:right w:val="none" w:sz="0" w:space="0" w:color="auto"/>
      </w:divBdr>
    </w:div>
    <w:div w:id="760680614">
      <w:bodyDiv w:val="1"/>
      <w:marLeft w:val="0"/>
      <w:marRight w:val="0"/>
      <w:marTop w:val="0"/>
      <w:marBottom w:val="0"/>
      <w:divBdr>
        <w:top w:val="none" w:sz="0" w:space="0" w:color="auto"/>
        <w:left w:val="none" w:sz="0" w:space="0" w:color="auto"/>
        <w:bottom w:val="none" w:sz="0" w:space="0" w:color="auto"/>
        <w:right w:val="none" w:sz="0" w:space="0" w:color="auto"/>
      </w:divBdr>
    </w:div>
    <w:div w:id="784158917">
      <w:bodyDiv w:val="1"/>
      <w:marLeft w:val="0"/>
      <w:marRight w:val="0"/>
      <w:marTop w:val="0"/>
      <w:marBottom w:val="0"/>
      <w:divBdr>
        <w:top w:val="none" w:sz="0" w:space="0" w:color="auto"/>
        <w:left w:val="none" w:sz="0" w:space="0" w:color="auto"/>
        <w:bottom w:val="none" w:sz="0" w:space="0" w:color="auto"/>
        <w:right w:val="none" w:sz="0" w:space="0" w:color="auto"/>
      </w:divBdr>
    </w:div>
    <w:div w:id="916012341">
      <w:bodyDiv w:val="1"/>
      <w:marLeft w:val="0"/>
      <w:marRight w:val="0"/>
      <w:marTop w:val="0"/>
      <w:marBottom w:val="0"/>
      <w:divBdr>
        <w:top w:val="none" w:sz="0" w:space="0" w:color="auto"/>
        <w:left w:val="none" w:sz="0" w:space="0" w:color="auto"/>
        <w:bottom w:val="none" w:sz="0" w:space="0" w:color="auto"/>
        <w:right w:val="none" w:sz="0" w:space="0" w:color="auto"/>
      </w:divBdr>
    </w:div>
    <w:div w:id="1046684064">
      <w:bodyDiv w:val="1"/>
      <w:marLeft w:val="0"/>
      <w:marRight w:val="0"/>
      <w:marTop w:val="0"/>
      <w:marBottom w:val="0"/>
      <w:divBdr>
        <w:top w:val="none" w:sz="0" w:space="0" w:color="auto"/>
        <w:left w:val="none" w:sz="0" w:space="0" w:color="auto"/>
        <w:bottom w:val="none" w:sz="0" w:space="0" w:color="auto"/>
        <w:right w:val="none" w:sz="0" w:space="0" w:color="auto"/>
      </w:divBdr>
    </w:div>
    <w:div w:id="1079861478">
      <w:bodyDiv w:val="1"/>
      <w:marLeft w:val="0"/>
      <w:marRight w:val="0"/>
      <w:marTop w:val="0"/>
      <w:marBottom w:val="0"/>
      <w:divBdr>
        <w:top w:val="none" w:sz="0" w:space="0" w:color="auto"/>
        <w:left w:val="none" w:sz="0" w:space="0" w:color="auto"/>
        <w:bottom w:val="none" w:sz="0" w:space="0" w:color="auto"/>
        <w:right w:val="none" w:sz="0" w:space="0" w:color="auto"/>
      </w:divBdr>
    </w:div>
    <w:div w:id="1144472642">
      <w:bodyDiv w:val="1"/>
      <w:marLeft w:val="0"/>
      <w:marRight w:val="0"/>
      <w:marTop w:val="0"/>
      <w:marBottom w:val="0"/>
      <w:divBdr>
        <w:top w:val="none" w:sz="0" w:space="0" w:color="auto"/>
        <w:left w:val="none" w:sz="0" w:space="0" w:color="auto"/>
        <w:bottom w:val="none" w:sz="0" w:space="0" w:color="auto"/>
        <w:right w:val="none" w:sz="0" w:space="0" w:color="auto"/>
      </w:divBdr>
    </w:div>
    <w:div w:id="1159805021">
      <w:bodyDiv w:val="1"/>
      <w:marLeft w:val="0"/>
      <w:marRight w:val="0"/>
      <w:marTop w:val="0"/>
      <w:marBottom w:val="0"/>
      <w:divBdr>
        <w:top w:val="none" w:sz="0" w:space="0" w:color="auto"/>
        <w:left w:val="none" w:sz="0" w:space="0" w:color="auto"/>
        <w:bottom w:val="none" w:sz="0" w:space="0" w:color="auto"/>
        <w:right w:val="none" w:sz="0" w:space="0" w:color="auto"/>
      </w:divBdr>
    </w:div>
    <w:div w:id="1160539211">
      <w:bodyDiv w:val="1"/>
      <w:marLeft w:val="0"/>
      <w:marRight w:val="0"/>
      <w:marTop w:val="0"/>
      <w:marBottom w:val="0"/>
      <w:divBdr>
        <w:top w:val="none" w:sz="0" w:space="0" w:color="auto"/>
        <w:left w:val="none" w:sz="0" w:space="0" w:color="auto"/>
        <w:bottom w:val="none" w:sz="0" w:space="0" w:color="auto"/>
        <w:right w:val="none" w:sz="0" w:space="0" w:color="auto"/>
      </w:divBdr>
    </w:div>
    <w:div w:id="1198078992">
      <w:bodyDiv w:val="1"/>
      <w:marLeft w:val="0"/>
      <w:marRight w:val="0"/>
      <w:marTop w:val="0"/>
      <w:marBottom w:val="0"/>
      <w:divBdr>
        <w:top w:val="none" w:sz="0" w:space="0" w:color="auto"/>
        <w:left w:val="none" w:sz="0" w:space="0" w:color="auto"/>
        <w:bottom w:val="none" w:sz="0" w:space="0" w:color="auto"/>
        <w:right w:val="none" w:sz="0" w:space="0" w:color="auto"/>
      </w:divBdr>
    </w:div>
    <w:div w:id="1295020473">
      <w:bodyDiv w:val="1"/>
      <w:marLeft w:val="0"/>
      <w:marRight w:val="0"/>
      <w:marTop w:val="0"/>
      <w:marBottom w:val="0"/>
      <w:divBdr>
        <w:top w:val="none" w:sz="0" w:space="0" w:color="auto"/>
        <w:left w:val="none" w:sz="0" w:space="0" w:color="auto"/>
        <w:bottom w:val="none" w:sz="0" w:space="0" w:color="auto"/>
        <w:right w:val="none" w:sz="0" w:space="0" w:color="auto"/>
      </w:divBdr>
    </w:div>
    <w:div w:id="1336107988">
      <w:bodyDiv w:val="1"/>
      <w:marLeft w:val="0"/>
      <w:marRight w:val="0"/>
      <w:marTop w:val="0"/>
      <w:marBottom w:val="0"/>
      <w:divBdr>
        <w:top w:val="none" w:sz="0" w:space="0" w:color="auto"/>
        <w:left w:val="none" w:sz="0" w:space="0" w:color="auto"/>
        <w:bottom w:val="none" w:sz="0" w:space="0" w:color="auto"/>
        <w:right w:val="none" w:sz="0" w:space="0" w:color="auto"/>
      </w:divBdr>
    </w:div>
    <w:div w:id="1383554857">
      <w:bodyDiv w:val="1"/>
      <w:marLeft w:val="0"/>
      <w:marRight w:val="0"/>
      <w:marTop w:val="0"/>
      <w:marBottom w:val="0"/>
      <w:divBdr>
        <w:top w:val="none" w:sz="0" w:space="0" w:color="auto"/>
        <w:left w:val="none" w:sz="0" w:space="0" w:color="auto"/>
        <w:bottom w:val="none" w:sz="0" w:space="0" w:color="auto"/>
        <w:right w:val="none" w:sz="0" w:space="0" w:color="auto"/>
      </w:divBdr>
    </w:div>
    <w:div w:id="1698045448">
      <w:bodyDiv w:val="1"/>
      <w:marLeft w:val="0"/>
      <w:marRight w:val="0"/>
      <w:marTop w:val="0"/>
      <w:marBottom w:val="0"/>
      <w:divBdr>
        <w:top w:val="none" w:sz="0" w:space="0" w:color="auto"/>
        <w:left w:val="none" w:sz="0" w:space="0" w:color="auto"/>
        <w:bottom w:val="none" w:sz="0" w:space="0" w:color="auto"/>
        <w:right w:val="none" w:sz="0" w:space="0" w:color="auto"/>
      </w:divBdr>
    </w:div>
    <w:div w:id="1741053621">
      <w:bodyDiv w:val="1"/>
      <w:marLeft w:val="0"/>
      <w:marRight w:val="0"/>
      <w:marTop w:val="0"/>
      <w:marBottom w:val="0"/>
      <w:divBdr>
        <w:top w:val="none" w:sz="0" w:space="0" w:color="auto"/>
        <w:left w:val="none" w:sz="0" w:space="0" w:color="auto"/>
        <w:bottom w:val="none" w:sz="0" w:space="0" w:color="auto"/>
        <w:right w:val="none" w:sz="0" w:space="0" w:color="auto"/>
      </w:divBdr>
    </w:div>
    <w:div w:id="20021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maendo@hotmail.co.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FD10-A1F5-4C5D-81B1-FC7080A5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6468</Words>
  <Characters>36870</Characters>
  <Application>Microsoft Office Word</Application>
  <DocSecurity>0</DocSecurity>
  <Lines>307</Lines>
  <Paragraphs>86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harada</dc:creator>
  <cp:keywords/>
  <dc:description/>
  <cp:lastModifiedBy>Lian-Sheng Ma</cp:lastModifiedBy>
  <cp:revision>2</cp:revision>
  <cp:lastPrinted>2017-10-23T04:06:00Z</cp:lastPrinted>
  <dcterms:created xsi:type="dcterms:W3CDTF">2019-01-10T05:37:00Z</dcterms:created>
  <dcterms:modified xsi:type="dcterms:W3CDTF">2019-01-10T05:37:00Z</dcterms:modified>
</cp:coreProperties>
</file>