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1F9AB" w14:textId="77777777" w:rsidR="00B54F0D" w:rsidRPr="0062316F" w:rsidRDefault="00E9347F" w:rsidP="0062316F">
      <w:pPr>
        <w:snapToGrid w:val="0"/>
        <w:spacing w:after="0" w:line="360" w:lineRule="auto"/>
        <w:jc w:val="both"/>
        <w:rPr>
          <w:rFonts w:ascii="Book Antiqua" w:hAnsi="Book Antiqua"/>
          <w:i/>
          <w:iCs/>
          <w:sz w:val="24"/>
          <w:szCs w:val="24"/>
        </w:rPr>
      </w:pPr>
      <w:bookmarkStart w:id="0" w:name="_Hlk505796251"/>
      <w:r w:rsidRPr="0062316F">
        <w:rPr>
          <w:rStyle w:val="fontstyle01"/>
          <w:color w:val="auto"/>
        </w:rPr>
        <w:t xml:space="preserve">Name of Journal: </w:t>
      </w:r>
      <w:r w:rsidRPr="0062316F">
        <w:rPr>
          <w:rStyle w:val="fontstyle21"/>
          <w:color w:val="auto"/>
        </w:rPr>
        <w:t>World Journal of Transplantation</w:t>
      </w:r>
    </w:p>
    <w:p w14:paraId="7C296BC3" w14:textId="21C9E20E" w:rsidR="00B54F0D" w:rsidRPr="0062316F" w:rsidRDefault="00B54F0D" w:rsidP="0062316F">
      <w:pPr>
        <w:snapToGrid w:val="0"/>
        <w:spacing w:after="0" w:line="360" w:lineRule="auto"/>
        <w:jc w:val="both"/>
        <w:rPr>
          <w:rFonts w:ascii="Book Antiqua" w:hAnsi="Book Antiqua"/>
          <w:sz w:val="24"/>
          <w:szCs w:val="24"/>
          <w:lang w:val="pl-PL"/>
        </w:rPr>
      </w:pPr>
      <w:r w:rsidRPr="0062316F">
        <w:rPr>
          <w:rFonts w:ascii="Book Antiqua" w:hAnsi="Book Antiqua"/>
          <w:b/>
          <w:sz w:val="24"/>
          <w:szCs w:val="24"/>
          <w:lang w:val="pl-PL"/>
        </w:rPr>
        <w:t>Manuscript NO:</w:t>
      </w:r>
      <w:r w:rsidRPr="0062316F">
        <w:rPr>
          <w:rFonts w:ascii="Book Antiqua" w:hAnsi="Book Antiqua"/>
          <w:sz w:val="24"/>
          <w:szCs w:val="24"/>
          <w:lang w:val="pl-PL"/>
        </w:rPr>
        <w:t xml:space="preserve"> 46301</w:t>
      </w:r>
    </w:p>
    <w:p w14:paraId="64B1BF4C" w14:textId="5603F301" w:rsidR="00E9347F" w:rsidRPr="0062316F" w:rsidRDefault="00E9347F" w:rsidP="0062316F">
      <w:pPr>
        <w:spacing w:after="0" w:line="360" w:lineRule="auto"/>
        <w:jc w:val="both"/>
        <w:rPr>
          <w:rStyle w:val="fontstyle31"/>
          <w:color w:val="auto"/>
        </w:rPr>
      </w:pPr>
      <w:r w:rsidRPr="0062316F">
        <w:rPr>
          <w:rStyle w:val="fontstyle01"/>
          <w:color w:val="auto"/>
        </w:rPr>
        <w:t xml:space="preserve">Manuscript Type: </w:t>
      </w:r>
      <w:r w:rsidRPr="0062316F">
        <w:rPr>
          <w:rStyle w:val="fontstyle31"/>
          <w:color w:val="auto"/>
        </w:rPr>
        <w:t>META-ANALYSIS</w:t>
      </w:r>
    </w:p>
    <w:p w14:paraId="708E5E0E" w14:textId="77777777" w:rsidR="00B54F0D" w:rsidRPr="0062316F" w:rsidRDefault="00B54F0D" w:rsidP="0062316F">
      <w:pPr>
        <w:spacing w:after="0" w:line="360" w:lineRule="auto"/>
        <w:jc w:val="both"/>
        <w:rPr>
          <w:rFonts w:ascii="Book Antiqua" w:hAnsi="Book Antiqua"/>
          <w:i/>
          <w:iCs/>
          <w:sz w:val="24"/>
          <w:szCs w:val="24"/>
        </w:rPr>
      </w:pPr>
    </w:p>
    <w:p w14:paraId="22737243" w14:textId="6A9783F4" w:rsidR="00E9347F" w:rsidRPr="0062316F" w:rsidRDefault="00E9347F" w:rsidP="0062316F">
      <w:pPr>
        <w:spacing w:after="0" w:line="360" w:lineRule="auto"/>
        <w:jc w:val="both"/>
        <w:rPr>
          <w:rFonts w:ascii="Book Antiqua" w:hAnsi="Book Antiqua" w:cs="Times New Roman"/>
          <w:b/>
          <w:bCs/>
          <w:sz w:val="24"/>
          <w:szCs w:val="24"/>
          <w:lang w:eastAsia="zh-CN"/>
        </w:rPr>
      </w:pPr>
      <w:bookmarkStart w:id="1" w:name="OLE_LINK20"/>
      <w:r w:rsidRPr="0062316F">
        <w:rPr>
          <w:rFonts w:ascii="Book Antiqua" w:eastAsia="Times New Roman" w:hAnsi="Book Antiqua" w:cs="Times New Roman"/>
          <w:b/>
          <w:bCs/>
          <w:sz w:val="24"/>
          <w:szCs w:val="24"/>
        </w:rPr>
        <w:t xml:space="preserve">Proton </w:t>
      </w:r>
      <w:r w:rsidR="00B54F0D" w:rsidRPr="0062316F">
        <w:rPr>
          <w:rFonts w:ascii="Book Antiqua" w:eastAsia="Times New Roman" w:hAnsi="Book Antiqua" w:cs="Times New Roman"/>
          <w:b/>
          <w:bCs/>
          <w:sz w:val="24"/>
          <w:szCs w:val="24"/>
        </w:rPr>
        <w:t>pump inhibitors and adverse effects in kidney transplant recipients</w:t>
      </w:r>
      <w:r w:rsidRPr="0062316F">
        <w:rPr>
          <w:rFonts w:ascii="Book Antiqua" w:eastAsia="Times New Roman" w:hAnsi="Book Antiqua" w:cs="Times New Roman"/>
          <w:b/>
          <w:bCs/>
          <w:sz w:val="24"/>
          <w:szCs w:val="24"/>
        </w:rPr>
        <w:t>: A</w:t>
      </w:r>
      <w:r w:rsidR="009602F3" w:rsidRPr="0062316F">
        <w:rPr>
          <w:rFonts w:ascii="Book Antiqua" w:eastAsia="Times New Roman" w:hAnsi="Book Antiqua" w:cs="Times New Roman"/>
          <w:b/>
          <w:bCs/>
          <w:sz w:val="24"/>
          <w:szCs w:val="24"/>
        </w:rPr>
        <w:t xml:space="preserve"> </w:t>
      </w:r>
      <w:r w:rsidR="00B54F0D" w:rsidRPr="0062316F">
        <w:rPr>
          <w:rFonts w:ascii="Book Antiqua" w:eastAsia="Times New Roman" w:hAnsi="Book Antiqua" w:cs="Times New Roman"/>
          <w:b/>
          <w:bCs/>
          <w:sz w:val="24"/>
          <w:szCs w:val="24"/>
        </w:rPr>
        <w:t>meta</w:t>
      </w:r>
      <w:r w:rsidRPr="0062316F">
        <w:rPr>
          <w:rFonts w:ascii="Book Antiqua" w:eastAsia="Times New Roman" w:hAnsi="Book Antiqua" w:cs="Times New Roman"/>
          <w:b/>
          <w:bCs/>
          <w:sz w:val="24"/>
          <w:szCs w:val="24"/>
        </w:rPr>
        <w:t>-</w:t>
      </w:r>
      <w:r w:rsidR="00B54F0D" w:rsidRPr="0062316F">
        <w:rPr>
          <w:rFonts w:ascii="Book Antiqua" w:eastAsia="Times New Roman" w:hAnsi="Book Antiqua" w:cs="Times New Roman"/>
          <w:b/>
          <w:bCs/>
          <w:sz w:val="24"/>
          <w:szCs w:val="24"/>
        </w:rPr>
        <w:t>analysis</w:t>
      </w:r>
    </w:p>
    <w:bookmarkEnd w:id="1"/>
    <w:p w14:paraId="626B26E8" w14:textId="77777777" w:rsidR="00C23110" w:rsidRPr="0062316F" w:rsidRDefault="00C23110" w:rsidP="0062316F">
      <w:pPr>
        <w:spacing w:after="0" w:line="360" w:lineRule="auto"/>
        <w:jc w:val="both"/>
        <w:rPr>
          <w:rFonts w:ascii="Book Antiqua" w:hAnsi="Book Antiqua" w:cs="Times New Roman"/>
          <w:b/>
          <w:bCs/>
          <w:sz w:val="24"/>
          <w:szCs w:val="24"/>
          <w:lang w:eastAsia="zh-CN"/>
        </w:rPr>
      </w:pPr>
    </w:p>
    <w:p w14:paraId="43C088F8" w14:textId="4CEBDB2F" w:rsidR="00C23110" w:rsidRPr="0062316F" w:rsidRDefault="00B54F0D" w:rsidP="0062316F">
      <w:pPr>
        <w:spacing w:after="0" w:line="360" w:lineRule="auto"/>
        <w:jc w:val="both"/>
        <w:rPr>
          <w:rFonts w:ascii="Book Antiqua" w:hAnsi="Book Antiqua" w:cs="Times New Roman"/>
          <w:bCs/>
          <w:sz w:val="24"/>
          <w:szCs w:val="24"/>
          <w:lang w:eastAsia="zh-CN"/>
        </w:rPr>
      </w:pPr>
      <w:proofErr w:type="spellStart"/>
      <w:r w:rsidRPr="0062316F">
        <w:rPr>
          <w:rFonts w:ascii="Book Antiqua" w:hAnsi="Book Antiqua" w:cs="Times New Roman"/>
          <w:sz w:val="24"/>
          <w:szCs w:val="24"/>
        </w:rPr>
        <w:t>Boonpheng</w:t>
      </w:r>
      <w:proofErr w:type="spellEnd"/>
      <w:r w:rsidRPr="0062316F">
        <w:rPr>
          <w:rFonts w:ascii="Book Antiqua" w:hAnsi="Book Antiqua" w:cs="Times New Roman"/>
          <w:bCs/>
          <w:sz w:val="24"/>
          <w:szCs w:val="24"/>
          <w:lang w:eastAsia="zh-CN"/>
        </w:rPr>
        <w:t xml:space="preserve"> B </w:t>
      </w:r>
      <w:r w:rsidRPr="0062316F">
        <w:rPr>
          <w:rFonts w:ascii="Book Antiqua" w:hAnsi="Book Antiqua" w:cs="Times New Roman"/>
          <w:bCs/>
          <w:i/>
          <w:sz w:val="24"/>
          <w:szCs w:val="24"/>
          <w:lang w:eastAsia="zh-CN"/>
        </w:rPr>
        <w:t>et al</w:t>
      </w:r>
      <w:r w:rsidRPr="0062316F">
        <w:rPr>
          <w:rFonts w:ascii="Book Antiqua" w:hAnsi="Book Antiqua" w:cs="Times New Roman"/>
          <w:bCs/>
          <w:sz w:val="24"/>
          <w:szCs w:val="24"/>
          <w:lang w:eastAsia="zh-CN"/>
        </w:rPr>
        <w:t xml:space="preserve">. </w:t>
      </w:r>
      <w:bookmarkStart w:id="2" w:name="OLE_LINK21"/>
      <w:r w:rsidR="005B2907" w:rsidRPr="0062316F">
        <w:rPr>
          <w:rFonts w:ascii="Book Antiqua" w:hAnsi="Book Antiqua" w:cs="Times New Roman"/>
          <w:bCs/>
          <w:sz w:val="24"/>
          <w:szCs w:val="24"/>
          <w:lang w:eastAsia="zh-CN"/>
        </w:rPr>
        <w:t>PPI</w:t>
      </w:r>
      <w:r w:rsidRPr="0062316F">
        <w:rPr>
          <w:rFonts w:ascii="Book Antiqua" w:hAnsi="Book Antiqua" w:cs="Times New Roman"/>
          <w:bCs/>
          <w:sz w:val="24"/>
          <w:szCs w:val="24"/>
          <w:lang w:eastAsia="zh-CN"/>
        </w:rPr>
        <w:t>s and kidney transplantation</w:t>
      </w:r>
    </w:p>
    <w:bookmarkEnd w:id="2"/>
    <w:p w14:paraId="04B92E46" w14:textId="77777777" w:rsidR="00C23110" w:rsidRPr="0062316F" w:rsidRDefault="00C23110" w:rsidP="0062316F">
      <w:pPr>
        <w:spacing w:after="0" w:line="360" w:lineRule="auto"/>
        <w:jc w:val="both"/>
        <w:rPr>
          <w:rFonts w:ascii="Book Antiqua" w:hAnsi="Book Antiqua" w:cs="Times New Roman"/>
          <w:b/>
          <w:bCs/>
          <w:sz w:val="24"/>
          <w:szCs w:val="24"/>
          <w:lang w:eastAsia="zh-CN"/>
        </w:rPr>
      </w:pPr>
    </w:p>
    <w:p w14:paraId="3201D72A" w14:textId="10555930" w:rsidR="00E9347F" w:rsidRPr="0062316F" w:rsidRDefault="00E9347F" w:rsidP="0062316F">
      <w:pPr>
        <w:autoSpaceDE w:val="0"/>
        <w:autoSpaceDN w:val="0"/>
        <w:adjustRightInd w:val="0"/>
        <w:spacing w:after="0" w:line="360" w:lineRule="auto"/>
        <w:ind w:right="-188"/>
        <w:jc w:val="both"/>
        <w:rPr>
          <w:rFonts w:ascii="Book Antiqua" w:hAnsi="Book Antiqua"/>
          <w:sz w:val="24"/>
          <w:szCs w:val="24"/>
          <w:lang w:bidi="th-TH"/>
        </w:rPr>
      </w:pPr>
      <w:proofErr w:type="spellStart"/>
      <w:r w:rsidRPr="0062316F">
        <w:rPr>
          <w:rFonts w:ascii="Book Antiqua" w:hAnsi="Book Antiqua" w:cs="Times New Roman"/>
          <w:sz w:val="24"/>
          <w:szCs w:val="24"/>
        </w:rPr>
        <w:t>Boonphiphop</w:t>
      </w:r>
      <w:proofErr w:type="spellEnd"/>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Boonpheng</w:t>
      </w:r>
      <w:proofErr w:type="spellEnd"/>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Charat</w:t>
      </w:r>
      <w:proofErr w:type="spellEnd"/>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Thongprayoon</w:t>
      </w:r>
      <w:proofErr w:type="spellEnd"/>
      <w:r w:rsidRPr="0062316F">
        <w:rPr>
          <w:rFonts w:ascii="Book Antiqua" w:hAnsi="Book Antiqua" w:cs="Times New Roman"/>
          <w:sz w:val="24"/>
          <w:szCs w:val="24"/>
        </w:rPr>
        <w:t xml:space="preserve">, </w:t>
      </w:r>
      <w:proofErr w:type="spellStart"/>
      <w:r w:rsidR="006431AD" w:rsidRPr="0062316F">
        <w:rPr>
          <w:rFonts w:ascii="Book Antiqua" w:hAnsi="Book Antiqua" w:cs="Times New Roman"/>
          <w:sz w:val="24"/>
          <w:szCs w:val="24"/>
        </w:rPr>
        <w:t>Tarun</w:t>
      </w:r>
      <w:proofErr w:type="spellEnd"/>
      <w:r w:rsidR="006431AD" w:rsidRPr="0062316F">
        <w:rPr>
          <w:rFonts w:ascii="Book Antiqua" w:hAnsi="Book Antiqua" w:cs="Times New Roman"/>
          <w:sz w:val="24"/>
          <w:szCs w:val="24"/>
        </w:rPr>
        <w:t xml:space="preserve"> </w:t>
      </w:r>
      <w:proofErr w:type="spellStart"/>
      <w:r w:rsidR="006431AD" w:rsidRPr="0062316F">
        <w:rPr>
          <w:rFonts w:ascii="Book Antiqua" w:hAnsi="Book Antiqua" w:cs="Times New Roman"/>
          <w:sz w:val="24"/>
          <w:szCs w:val="24"/>
        </w:rPr>
        <w:t>Bathini</w:t>
      </w:r>
      <w:proofErr w:type="spellEnd"/>
      <w:r w:rsidR="006431AD" w:rsidRPr="0062316F">
        <w:rPr>
          <w:rFonts w:ascii="Book Antiqua" w:hAnsi="Book Antiqua" w:cs="Times New Roman"/>
          <w:sz w:val="24"/>
          <w:szCs w:val="24"/>
        </w:rPr>
        <w:t xml:space="preserve">, </w:t>
      </w:r>
      <w:proofErr w:type="spellStart"/>
      <w:r w:rsidR="006431AD" w:rsidRPr="0062316F">
        <w:rPr>
          <w:rFonts w:ascii="Book Antiqua" w:hAnsi="Book Antiqua" w:cs="Times New Roman"/>
          <w:sz w:val="24"/>
          <w:szCs w:val="24"/>
        </w:rPr>
        <w:t>Konika</w:t>
      </w:r>
      <w:proofErr w:type="spellEnd"/>
      <w:r w:rsidR="006431AD" w:rsidRPr="0062316F">
        <w:rPr>
          <w:rFonts w:ascii="Book Antiqua" w:hAnsi="Book Antiqua" w:cs="Times New Roman"/>
          <w:sz w:val="24"/>
          <w:szCs w:val="24"/>
        </w:rPr>
        <w:t xml:space="preserve"> Sharma, </w:t>
      </w:r>
      <w:r w:rsidRPr="0062316F">
        <w:rPr>
          <w:rFonts w:ascii="Book Antiqua" w:hAnsi="Book Antiqua" w:cs="Times New Roman"/>
          <w:sz w:val="24"/>
          <w:szCs w:val="24"/>
        </w:rPr>
        <w:t xml:space="preserve">Michael A Mao, </w:t>
      </w:r>
      <w:proofErr w:type="spellStart"/>
      <w:r w:rsidRPr="0062316F">
        <w:rPr>
          <w:rFonts w:ascii="Book Antiqua" w:hAnsi="Book Antiqua" w:cs="Times New Roman"/>
          <w:sz w:val="24"/>
          <w:szCs w:val="24"/>
        </w:rPr>
        <w:t>Wisit</w:t>
      </w:r>
      <w:proofErr w:type="spellEnd"/>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Cheungpasitporn</w:t>
      </w:r>
      <w:proofErr w:type="spellEnd"/>
    </w:p>
    <w:p w14:paraId="42920CF1" w14:textId="77777777" w:rsidR="006431AD" w:rsidRPr="0062316F" w:rsidRDefault="006431AD" w:rsidP="0062316F">
      <w:pPr>
        <w:autoSpaceDE w:val="0"/>
        <w:autoSpaceDN w:val="0"/>
        <w:adjustRightInd w:val="0"/>
        <w:spacing w:after="0" w:line="360" w:lineRule="auto"/>
        <w:ind w:right="-188"/>
        <w:jc w:val="both"/>
        <w:rPr>
          <w:rFonts w:ascii="Book Antiqua" w:hAnsi="Book Antiqua"/>
          <w:b/>
          <w:sz w:val="24"/>
          <w:szCs w:val="24"/>
          <w:lang w:bidi="th-TH"/>
        </w:rPr>
      </w:pPr>
    </w:p>
    <w:p w14:paraId="497F0B9E" w14:textId="03BAA9D5" w:rsidR="00E9347F" w:rsidRPr="0062316F" w:rsidRDefault="00E9347F" w:rsidP="0062316F">
      <w:pPr>
        <w:autoSpaceDE w:val="0"/>
        <w:autoSpaceDN w:val="0"/>
        <w:adjustRightInd w:val="0"/>
        <w:spacing w:after="0" w:line="360" w:lineRule="auto"/>
        <w:jc w:val="both"/>
        <w:rPr>
          <w:rFonts w:ascii="Book Antiqua" w:hAnsi="Book Antiqua" w:cs="Times New Roman"/>
          <w:sz w:val="24"/>
          <w:szCs w:val="24"/>
          <w:vertAlign w:val="superscript"/>
        </w:rPr>
      </w:pPr>
      <w:proofErr w:type="spellStart"/>
      <w:r w:rsidRPr="0062316F">
        <w:rPr>
          <w:rFonts w:ascii="Book Antiqua" w:hAnsi="Book Antiqua" w:cs="Times New Roman"/>
          <w:b/>
          <w:sz w:val="24"/>
          <w:szCs w:val="24"/>
        </w:rPr>
        <w:t>Boonphiphop</w:t>
      </w:r>
      <w:proofErr w:type="spellEnd"/>
      <w:r w:rsidRPr="0062316F">
        <w:rPr>
          <w:rFonts w:ascii="Book Antiqua" w:hAnsi="Book Antiqua" w:cs="Times New Roman"/>
          <w:b/>
          <w:sz w:val="24"/>
          <w:szCs w:val="24"/>
        </w:rPr>
        <w:t xml:space="preserve"> </w:t>
      </w:r>
      <w:proofErr w:type="spellStart"/>
      <w:r w:rsidRPr="0062316F">
        <w:rPr>
          <w:rFonts w:ascii="Book Antiqua" w:hAnsi="Book Antiqua" w:cs="Times New Roman"/>
          <w:b/>
          <w:sz w:val="24"/>
          <w:szCs w:val="24"/>
        </w:rPr>
        <w:t>Boonpheng</w:t>
      </w:r>
      <w:proofErr w:type="spellEnd"/>
      <w:r w:rsidRPr="0062316F">
        <w:rPr>
          <w:rFonts w:ascii="Book Antiqua" w:hAnsi="Book Antiqua" w:cs="Times New Roman"/>
          <w:b/>
          <w:sz w:val="24"/>
          <w:szCs w:val="24"/>
        </w:rPr>
        <w:t>,</w:t>
      </w:r>
      <w:r w:rsidRPr="0062316F">
        <w:rPr>
          <w:rFonts w:ascii="Book Antiqua" w:hAnsi="Book Antiqua" w:cs="Times New Roman"/>
          <w:sz w:val="24"/>
          <w:szCs w:val="24"/>
        </w:rPr>
        <w:t xml:space="preserve"> Department of Internal Medicine, East Tennessee State University, Johnson City, TN</w:t>
      </w:r>
      <w:r w:rsidR="009E1A2C" w:rsidRPr="0062316F">
        <w:rPr>
          <w:rFonts w:ascii="Book Antiqua" w:hAnsi="Book Antiqua" w:cs="Times New Roman"/>
          <w:sz w:val="24"/>
          <w:szCs w:val="24"/>
        </w:rPr>
        <w:t>37614</w:t>
      </w:r>
      <w:r w:rsidRPr="0062316F">
        <w:rPr>
          <w:rFonts w:ascii="Book Antiqua" w:hAnsi="Book Antiqua" w:cs="Times New Roman"/>
          <w:sz w:val="24"/>
          <w:szCs w:val="24"/>
        </w:rPr>
        <w:t xml:space="preserve">, </w:t>
      </w:r>
      <w:r w:rsidR="009E1A2C" w:rsidRPr="0062316F">
        <w:rPr>
          <w:rFonts w:ascii="Book Antiqua" w:hAnsi="Book Antiqua" w:cs="Times New Roman"/>
          <w:sz w:val="24"/>
          <w:szCs w:val="24"/>
        </w:rPr>
        <w:t>United States</w:t>
      </w:r>
      <w:r w:rsidRPr="0062316F">
        <w:rPr>
          <w:rFonts w:ascii="Book Antiqua" w:hAnsi="Book Antiqua" w:cs="Times New Roman"/>
          <w:sz w:val="24"/>
          <w:szCs w:val="24"/>
          <w:vertAlign w:val="superscript"/>
        </w:rPr>
        <w:t xml:space="preserve"> </w:t>
      </w:r>
    </w:p>
    <w:p w14:paraId="3F72E388" w14:textId="77777777" w:rsidR="009E1A2C" w:rsidRPr="0062316F" w:rsidRDefault="009E1A2C" w:rsidP="0062316F">
      <w:pPr>
        <w:autoSpaceDE w:val="0"/>
        <w:autoSpaceDN w:val="0"/>
        <w:adjustRightInd w:val="0"/>
        <w:spacing w:after="0" w:line="360" w:lineRule="auto"/>
        <w:jc w:val="both"/>
        <w:rPr>
          <w:rFonts w:ascii="Book Antiqua" w:hAnsi="Book Antiqua" w:cs="Times New Roman"/>
          <w:sz w:val="24"/>
          <w:szCs w:val="24"/>
          <w:vertAlign w:val="superscript"/>
        </w:rPr>
      </w:pPr>
    </w:p>
    <w:p w14:paraId="20BFD1E5" w14:textId="43CB21BE" w:rsidR="00E9347F" w:rsidRPr="0062316F" w:rsidRDefault="00E9347F" w:rsidP="0062316F">
      <w:pPr>
        <w:autoSpaceDE w:val="0"/>
        <w:autoSpaceDN w:val="0"/>
        <w:adjustRightInd w:val="0"/>
        <w:spacing w:after="0" w:line="360" w:lineRule="auto"/>
        <w:jc w:val="both"/>
        <w:rPr>
          <w:rFonts w:ascii="Book Antiqua" w:hAnsi="Book Antiqua" w:cs="Times New Roman"/>
          <w:sz w:val="24"/>
          <w:szCs w:val="24"/>
        </w:rPr>
      </w:pPr>
      <w:proofErr w:type="spellStart"/>
      <w:r w:rsidRPr="0062316F">
        <w:rPr>
          <w:rFonts w:ascii="Book Antiqua" w:hAnsi="Book Antiqua" w:cs="Times New Roman"/>
          <w:b/>
          <w:sz w:val="24"/>
          <w:szCs w:val="24"/>
        </w:rPr>
        <w:t>Charat</w:t>
      </w:r>
      <w:proofErr w:type="spellEnd"/>
      <w:r w:rsidRPr="0062316F">
        <w:rPr>
          <w:rFonts w:ascii="Book Antiqua" w:hAnsi="Book Antiqua" w:cs="Times New Roman"/>
          <w:b/>
          <w:sz w:val="24"/>
          <w:szCs w:val="24"/>
        </w:rPr>
        <w:t xml:space="preserve"> </w:t>
      </w:r>
      <w:proofErr w:type="spellStart"/>
      <w:r w:rsidRPr="0062316F">
        <w:rPr>
          <w:rFonts w:ascii="Book Antiqua" w:hAnsi="Book Antiqua" w:cs="Times New Roman"/>
          <w:b/>
          <w:sz w:val="24"/>
          <w:szCs w:val="24"/>
        </w:rPr>
        <w:t>Thongprayoon</w:t>
      </w:r>
      <w:proofErr w:type="spellEnd"/>
      <w:r w:rsidRPr="0062316F">
        <w:rPr>
          <w:rFonts w:ascii="Book Antiqua" w:hAnsi="Book Antiqua" w:cs="Times New Roman"/>
          <w:b/>
          <w:sz w:val="24"/>
          <w:szCs w:val="24"/>
        </w:rPr>
        <w:t xml:space="preserve">, Michael A Mao, </w:t>
      </w:r>
      <w:r w:rsidRPr="0062316F">
        <w:rPr>
          <w:rFonts w:ascii="Book Antiqua" w:hAnsi="Book Antiqua" w:cs="Times New Roman"/>
          <w:sz w:val="24"/>
          <w:szCs w:val="24"/>
        </w:rPr>
        <w:t xml:space="preserve">Division of Nephrology and Hypertension, Department of Medicine, Mayo Clinic, Rochester, </w:t>
      </w:r>
      <w:r w:rsidR="001066A6" w:rsidRPr="0062316F">
        <w:rPr>
          <w:rFonts w:ascii="Book Antiqua" w:hAnsi="Book Antiqua" w:cs="Times New Roman"/>
          <w:sz w:val="24"/>
          <w:szCs w:val="24"/>
        </w:rPr>
        <w:t>MN55905,</w:t>
      </w:r>
      <w:r w:rsidRPr="0062316F">
        <w:rPr>
          <w:rFonts w:ascii="Book Antiqua" w:hAnsi="Book Antiqua" w:cs="Times New Roman"/>
          <w:sz w:val="24"/>
          <w:szCs w:val="24"/>
        </w:rPr>
        <w:t xml:space="preserve"> </w:t>
      </w:r>
      <w:r w:rsidR="009E1A2C" w:rsidRPr="0062316F">
        <w:rPr>
          <w:rFonts w:ascii="Book Antiqua" w:hAnsi="Book Antiqua" w:cs="Times New Roman"/>
          <w:sz w:val="24"/>
          <w:szCs w:val="24"/>
        </w:rPr>
        <w:t>United States</w:t>
      </w:r>
    </w:p>
    <w:p w14:paraId="664E1A31" w14:textId="77777777" w:rsidR="009E1A2C" w:rsidRPr="0062316F" w:rsidRDefault="009E1A2C" w:rsidP="0062316F">
      <w:pPr>
        <w:autoSpaceDE w:val="0"/>
        <w:autoSpaceDN w:val="0"/>
        <w:adjustRightInd w:val="0"/>
        <w:spacing w:after="0" w:line="360" w:lineRule="auto"/>
        <w:jc w:val="both"/>
        <w:rPr>
          <w:rFonts w:ascii="Book Antiqua" w:hAnsi="Book Antiqua"/>
          <w:sz w:val="24"/>
          <w:szCs w:val="24"/>
          <w:lang w:bidi="th-TH"/>
        </w:rPr>
      </w:pPr>
    </w:p>
    <w:p w14:paraId="2DD3DDFA" w14:textId="24E3482E" w:rsidR="006431AD" w:rsidRPr="0062316F" w:rsidRDefault="006431AD" w:rsidP="0062316F">
      <w:pPr>
        <w:autoSpaceDE w:val="0"/>
        <w:autoSpaceDN w:val="0"/>
        <w:adjustRightInd w:val="0"/>
        <w:spacing w:after="0" w:line="360" w:lineRule="auto"/>
        <w:jc w:val="both"/>
        <w:rPr>
          <w:rFonts w:ascii="Book Antiqua" w:hAnsi="Book Antiqua"/>
          <w:sz w:val="24"/>
          <w:szCs w:val="24"/>
          <w:lang w:bidi="th-TH"/>
        </w:rPr>
      </w:pPr>
      <w:proofErr w:type="spellStart"/>
      <w:r w:rsidRPr="0062316F">
        <w:rPr>
          <w:rFonts w:ascii="Book Antiqua" w:hAnsi="Book Antiqua"/>
          <w:b/>
          <w:bCs/>
          <w:sz w:val="24"/>
          <w:szCs w:val="24"/>
          <w:lang w:bidi="th-TH"/>
        </w:rPr>
        <w:t>Tarun</w:t>
      </w:r>
      <w:proofErr w:type="spellEnd"/>
      <w:r w:rsidRPr="0062316F">
        <w:rPr>
          <w:rFonts w:ascii="Book Antiqua" w:hAnsi="Book Antiqua"/>
          <w:b/>
          <w:bCs/>
          <w:sz w:val="24"/>
          <w:szCs w:val="24"/>
          <w:lang w:bidi="th-TH"/>
        </w:rPr>
        <w:t xml:space="preserve"> </w:t>
      </w:r>
      <w:proofErr w:type="spellStart"/>
      <w:r w:rsidRPr="0062316F">
        <w:rPr>
          <w:rFonts w:ascii="Book Antiqua" w:hAnsi="Book Antiqua"/>
          <w:b/>
          <w:bCs/>
          <w:sz w:val="24"/>
          <w:szCs w:val="24"/>
          <w:lang w:bidi="th-TH"/>
        </w:rPr>
        <w:t>Bathini</w:t>
      </w:r>
      <w:proofErr w:type="spellEnd"/>
      <w:r w:rsidRPr="0062316F">
        <w:rPr>
          <w:rFonts w:ascii="Book Antiqua" w:hAnsi="Book Antiqua"/>
          <w:sz w:val="24"/>
          <w:szCs w:val="24"/>
          <w:lang w:bidi="th-TH"/>
        </w:rPr>
        <w:t>, Department of Internal Medicine, University of Arizona, Tucson, AZ</w:t>
      </w:r>
      <w:r w:rsidR="009E1A2C" w:rsidRPr="0062316F">
        <w:rPr>
          <w:rFonts w:ascii="Book Antiqua" w:hAnsi="Book Antiqua"/>
          <w:sz w:val="24"/>
          <w:szCs w:val="24"/>
          <w:lang w:bidi="th-TH"/>
        </w:rPr>
        <w:t>85721</w:t>
      </w:r>
      <w:r w:rsidRPr="0062316F">
        <w:rPr>
          <w:rFonts w:ascii="Book Antiqua" w:hAnsi="Book Antiqua"/>
          <w:sz w:val="24"/>
          <w:szCs w:val="24"/>
          <w:lang w:bidi="th-TH"/>
        </w:rPr>
        <w:t xml:space="preserve">, </w:t>
      </w:r>
      <w:r w:rsidR="009E1A2C" w:rsidRPr="0062316F">
        <w:rPr>
          <w:rFonts w:ascii="Book Antiqua" w:hAnsi="Book Antiqua"/>
          <w:sz w:val="24"/>
          <w:szCs w:val="24"/>
          <w:lang w:bidi="th-TH"/>
        </w:rPr>
        <w:t>United States</w:t>
      </w:r>
    </w:p>
    <w:p w14:paraId="577E6B9F" w14:textId="77777777" w:rsidR="009E1A2C" w:rsidRPr="0062316F" w:rsidRDefault="009E1A2C" w:rsidP="0062316F">
      <w:pPr>
        <w:autoSpaceDE w:val="0"/>
        <w:autoSpaceDN w:val="0"/>
        <w:adjustRightInd w:val="0"/>
        <w:spacing w:after="0" w:line="360" w:lineRule="auto"/>
        <w:jc w:val="both"/>
        <w:rPr>
          <w:rFonts w:ascii="Book Antiqua" w:hAnsi="Book Antiqua"/>
          <w:sz w:val="24"/>
          <w:szCs w:val="24"/>
          <w:lang w:bidi="th-TH"/>
        </w:rPr>
      </w:pPr>
    </w:p>
    <w:p w14:paraId="03D2E43F" w14:textId="2C519925" w:rsidR="006431AD" w:rsidRPr="0062316F" w:rsidRDefault="006431AD" w:rsidP="0062316F">
      <w:pPr>
        <w:autoSpaceDE w:val="0"/>
        <w:autoSpaceDN w:val="0"/>
        <w:adjustRightInd w:val="0"/>
        <w:spacing w:after="0" w:line="360" w:lineRule="auto"/>
        <w:jc w:val="both"/>
        <w:rPr>
          <w:rFonts w:ascii="Book Antiqua" w:hAnsi="Book Antiqua"/>
          <w:sz w:val="24"/>
          <w:szCs w:val="24"/>
          <w:lang w:bidi="th-TH"/>
        </w:rPr>
      </w:pPr>
      <w:proofErr w:type="spellStart"/>
      <w:r w:rsidRPr="0062316F">
        <w:rPr>
          <w:rFonts w:ascii="Book Antiqua" w:hAnsi="Book Antiqua"/>
          <w:b/>
          <w:bCs/>
          <w:sz w:val="24"/>
          <w:szCs w:val="24"/>
          <w:lang w:bidi="th-TH"/>
        </w:rPr>
        <w:t>Konika</w:t>
      </w:r>
      <w:proofErr w:type="spellEnd"/>
      <w:r w:rsidRPr="0062316F">
        <w:rPr>
          <w:rFonts w:ascii="Book Antiqua" w:hAnsi="Book Antiqua"/>
          <w:b/>
          <w:bCs/>
          <w:sz w:val="24"/>
          <w:szCs w:val="24"/>
          <w:lang w:bidi="th-TH"/>
        </w:rPr>
        <w:t xml:space="preserve"> Sharma</w:t>
      </w:r>
      <w:r w:rsidRPr="0062316F">
        <w:rPr>
          <w:rFonts w:ascii="Book Antiqua" w:hAnsi="Book Antiqua"/>
          <w:sz w:val="24"/>
          <w:szCs w:val="24"/>
          <w:lang w:bidi="th-TH"/>
        </w:rPr>
        <w:t>, Department of Internal Medicine, Bassett Medical Center, Cooperstown, NY</w:t>
      </w:r>
      <w:r w:rsidR="001066A6" w:rsidRPr="0062316F">
        <w:rPr>
          <w:rFonts w:ascii="Book Antiqua" w:hAnsi="Book Antiqua"/>
          <w:sz w:val="24"/>
          <w:szCs w:val="24"/>
          <w:lang w:bidi="th-TH"/>
        </w:rPr>
        <w:t>13326</w:t>
      </w:r>
      <w:r w:rsidRPr="0062316F">
        <w:rPr>
          <w:rFonts w:ascii="Book Antiqua" w:hAnsi="Book Antiqua"/>
          <w:sz w:val="24"/>
          <w:szCs w:val="24"/>
          <w:lang w:bidi="th-TH"/>
        </w:rPr>
        <w:t xml:space="preserve">, </w:t>
      </w:r>
      <w:r w:rsidR="009E1A2C" w:rsidRPr="0062316F">
        <w:rPr>
          <w:rFonts w:ascii="Book Antiqua" w:hAnsi="Book Antiqua"/>
          <w:sz w:val="24"/>
          <w:szCs w:val="24"/>
          <w:lang w:bidi="th-TH"/>
        </w:rPr>
        <w:t>United States</w:t>
      </w:r>
    </w:p>
    <w:p w14:paraId="48D55A0B" w14:textId="77777777" w:rsidR="009E1A2C" w:rsidRPr="0062316F" w:rsidRDefault="009E1A2C" w:rsidP="0062316F">
      <w:pPr>
        <w:autoSpaceDE w:val="0"/>
        <w:autoSpaceDN w:val="0"/>
        <w:adjustRightInd w:val="0"/>
        <w:spacing w:after="0" w:line="360" w:lineRule="auto"/>
        <w:jc w:val="both"/>
        <w:rPr>
          <w:rFonts w:ascii="Book Antiqua" w:hAnsi="Book Antiqua"/>
          <w:sz w:val="24"/>
          <w:szCs w:val="24"/>
          <w:lang w:bidi="th-TH"/>
        </w:rPr>
      </w:pPr>
    </w:p>
    <w:p w14:paraId="3011825C" w14:textId="7EAB8E8C" w:rsidR="00E9347F" w:rsidRPr="0062316F" w:rsidRDefault="00E9347F" w:rsidP="0062316F">
      <w:pPr>
        <w:autoSpaceDE w:val="0"/>
        <w:autoSpaceDN w:val="0"/>
        <w:adjustRightInd w:val="0"/>
        <w:spacing w:after="0" w:line="360" w:lineRule="auto"/>
        <w:jc w:val="both"/>
        <w:rPr>
          <w:rFonts w:ascii="Book Antiqua" w:hAnsi="Book Antiqua" w:cs="Times New Roman"/>
          <w:sz w:val="24"/>
          <w:szCs w:val="24"/>
        </w:rPr>
      </w:pPr>
      <w:proofErr w:type="spellStart"/>
      <w:r w:rsidRPr="0062316F">
        <w:rPr>
          <w:rFonts w:ascii="Book Antiqua" w:hAnsi="Book Antiqua" w:cs="Times New Roman"/>
          <w:b/>
          <w:sz w:val="24"/>
          <w:szCs w:val="24"/>
        </w:rPr>
        <w:t>Wisit</w:t>
      </w:r>
      <w:proofErr w:type="spellEnd"/>
      <w:r w:rsidRPr="0062316F">
        <w:rPr>
          <w:rFonts w:ascii="Book Antiqua" w:hAnsi="Book Antiqua" w:cs="Times New Roman"/>
          <w:b/>
          <w:sz w:val="24"/>
          <w:szCs w:val="24"/>
        </w:rPr>
        <w:t xml:space="preserve"> </w:t>
      </w:r>
      <w:proofErr w:type="spellStart"/>
      <w:r w:rsidRPr="0062316F">
        <w:rPr>
          <w:rFonts w:ascii="Book Antiqua" w:hAnsi="Book Antiqua" w:cs="Times New Roman"/>
          <w:b/>
          <w:sz w:val="24"/>
          <w:szCs w:val="24"/>
        </w:rPr>
        <w:t>Cheungpasitporn</w:t>
      </w:r>
      <w:proofErr w:type="spellEnd"/>
      <w:r w:rsidRPr="0062316F">
        <w:rPr>
          <w:rFonts w:ascii="Book Antiqua" w:hAnsi="Book Antiqua" w:cs="Times New Roman"/>
          <w:b/>
          <w:sz w:val="24"/>
          <w:szCs w:val="24"/>
        </w:rPr>
        <w:t xml:space="preserve">, </w:t>
      </w:r>
      <w:r w:rsidRPr="0062316F">
        <w:rPr>
          <w:rFonts w:ascii="Book Antiqua" w:hAnsi="Book Antiqua" w:cs="Times New Roman"/>
          <w:sz w:val="24"/>
          <w:szCs w:val="24"/>
        </w:rPr>
        <w:t xml:space="preserve">Division of Nephrology, Department of Medicine, University of Mississippi Medical Center, </w:t>
      </w:r>
      <w:r w:rsidR="001066A6" w:rsidRPr="0062316F">
        <w:rPr>
          <w:rFonts w:ascii="Book Antiqua" w:hAnsi="Book Antiqua"/>
          <w:sz w:val="24"/>
          <w:szCs w:val="24"/>
        </w:rPr>
        <w:t>Jackson,</w:t>
      </w:r>
      <w:r w:rsidR="001066A6" w:rsidRPr="0062316F">
        <w:rPr>
          <w:rFonts w:ascii="Book Antiqua" w:hAnsi="Book Antiqua" w:cs="Times New Roman"/>
          <w:sz w:val="24"/>
          <w:szCs w:val="24"/>
        </w:rPr>
        <w:t xml:space="preserve"> MS39216,</w:t>
      </w:r>
      <w:r w:rsidRPr="0062316F">
        <w:rPr>
          <w:rFonts w:ascii="Book Antiqua" w:hAnsi="Book Antiqua" w:cs="Times New Roman"/>
          <w:sz w:val="24"/>
          <w:szCs w:val="24"/>
        </w:rPr>
        <w:t xml:space="preserve"> </w:t>
      </w:r>
      <w:bookmarkEnd w:id="0"/>
      <w:r w:rsidR="009E1A2C" w:rsidRPr="0062316F">
        <w:rPr>
          <w:rFonts w:ascii="Book Antiqua" w:hAnsi="Book Antiqua" w:cs="Times New Roman"/>
          <w:sz w:val="24"/>
          <w:szCs w:val="24"/>
        </w:rPr>
        <w:t>United States</w:t>
      </w:r>
    </w:p>
    <w:p w14:paraId="6FED28A7" w14:textId="77777777" w:rsidR="009E1A2C" w:rsidRPr="0062316F" w:rsidRDefault="009E1A2C" w:rsidP="0062316F">
      <w:pPr>
        <w:autoSpaceDE w:val="0"/>
        <w:autoSpaceDN w:val="0"/>
        <w:adjustRightInd w:val="0"/>
        <w:spacing w:after="0" w:line="360" w:lineRule="auto"/>
        <w:jc w:val="both"/>
        <w:rPr>
          <w:rFonts w:ascii="Book Antiqua" w:hAnsi="Book Antiqua" w:cs="Times New Roman"/>
          <w:sz w:val="24"/>
          <w:szCs w:val="24"/>
        </w:rPr>
      </w:pPr>
    </w:p>
    <w:p w14:paraId="10DD392F" w14:textId="7381C6F1" w:rsidR="00E9347F" w:rsidRPr="0062316F" w:rsidRDefault="001066A6" w:rsidP="0062316F">
      <w:pPr>
        <w:autoSpaceDE w:val="0"/>
        <w:autoSpaceDN w:val="0"/>
        <w:adjustRightInd w:val="0"/>
        <w:spacing w:after="0" w:line="360" w:lineRule="auto"/>
        <w:jc w:val="both"/>
        <w:rPr>
          <w:rFonts w:ascii="Book Antiqua" w:hAnsi="Book Antiqua" w:cs="Times New Roman"/>
          <w:sz w:val="24"/>
          <w:szCs w:val="24"/>
        </w:rPr>
      </w:pPr>
      <w:r w:rsidRPr="0062316F">
        <w:rPr>
          <w:rFonts w:ascii="Book Antiqua" w:hAnsi="Book Antiqua" w:cs="Times New Roman"/>
          <w:b/>
          <w:sz w:val="24"/>
          <w:szCs w:val="24"/>
          <w:lang w:val="pt-BR"/>
        </w:rPr>
        <w:t xml:space="preserve">ORCID </w:t>
      </w:r>
      <w:proofErr w:type="spellStart"/>
      <w:r w:rsidRPr="0062316F">
        <w:rPr>
          <w:rFonts w:ascii="Book Antiqua" w:hAnsi="Book Antiqua" w:cs="Times New Roman"/>
          <w:b/>
          <w:sz w:val="24"/>
          <w:szCs w:val="24"/>
          <w:lang w:val="pt-BR"/>
        </w:rPr>
        <w:t>number</w:t>
      </w:r>
      <w:proofErr w:type="spellEnd"/>
      <w:r w:rsidRPr="0062316F">
        <w:rPr>
          <w:rFonts w:ascii="Book Antiqua" w:hAnsi="Book Antiqua" w:cs="Times New Roman"/>
          <w:b/>
          <w:sz w:val="24"/>
          <w:szCs w:val="24"/>
          <w:lang w:val="pt-BR"/>
        </w:rPr>
        <w:t xml:space="preserve">: </w:t>
      </w:r>
      <w:proofErr w:type="spellStart"/>
      <w:r w:rsidR="00E9347F" w:rsidRPr="0062316F">
        <w:rPr>
          <w:rFonts w:ascii="Book Antiqua" w:hAnsi="Book Antiqua" w:cs="Times New Roman"/>
          <w:sz w:val="24"/>
          <w:szCs w:val="24"/>
        </w:rPr>
        <w:t>Boonphiphop</w:t>
      </w:r>
      <w:proofErr w:type="spellEnd"/>
      <w:r w:rsidR="00E9347F" w:rsidRPr="0062316F">
        <w:rPr>
          <w:rFonts w:ascii="Book Antiqua" w:hAnsi="Book Antiqua" w:cs="Times New Roman"/>
          <w:sz w:val="24"/>
          <w:szCs w:val="24"/>
        </w:rPr>
        <w:t xml:space="preserve"> </w:t>
      </w:r>
      <w:proofErr w:type="spellStart"/>
      <w:r w:rsidR="00E9347F" w:rsidRPr="0062316F">
        <w:rPr>
          <w:rFonts w:ascii="Book Antiqua" w:hAnsi="Book Antiqua" w:cs="Times New Roman"/>
          <w:sz w:val="24"/>
          <w:szCs w:val="24"/>
        </w:rPr>
        <w:t>Boonpheng</w:t>
      </w:r>
      <w:proofErr w:type="spellEnd"/>
      <w:r w:rsidR="00E9347F" w:rsidRPr="0062316F">
        <w:rPr>
          <w:rFonts w:ascii="Book Antiqua" w:hAnsi="Book Antiqua" w:cs="Times New Roman"/>
          <w:sz w:val="24"/>
          <w:szCs w:val="24"/>
        </w:rPr>
        <w:t xml:space="preserve"> (0000-0002-3022-8861); </w:t>
      </w:r>
      <w:proofErr w:type="spellStart"/>
      <w:r w:rsidR="00E9347F" w:rsidRPr="0062316F">
        <w:rPr>
          <w:rFonts w:ascii="Book Antiqua" w:hAnsi="Book Antiqua" w:cs="Times New Roman"/>
          <w:sz w:val="24"/>
          <w:szCs w:val="24"/>
        </w:rPr>
        <w:t>Charat</w:t>
      </w:r>
      <w:proofErr w:type="spellEnd"/>
      <w:r w:rsidR="00E9347F" w:rsidRPr="0062316F">
        <w:rPr>
          <w:rFonts w:ascii="Book Antiqua" w:hAnsi="Book Antiqua" w:cs="Times New Roman"/>
          <w:sz w:val="24"/>
          <w:szCs w:val="24"/>
        </w:rPr>
        <w:t xml:space="preserve"> </w:t>
      </w:r>
      <w:proofErr w:type="spellStart"/>
      <w:r w:rsidR="00E9347F" w:rsidRPr="0062316F">
        <w:rPr>
          <w:rFonts w:ascii="Book Antiqua" w:hAnsi="Book Antiqua" w:cs="Times New Roman"/>
          <w:sz w:val="24"/>
          <w:szCs w:val="24"/>
        </w:rPr>
        <w:t>Thongprayoon</w:t>
      </w:r>
      <w:proofErr w:type="spellEnd"/>
      <w:r w:rsidR="00E9347F" w:rsidRPr="0062316F">
        <w:rPr>
          <w:rFonts w:ascii="Book Antiqua" w:hAnsi="Book Antiqua" w:cs="Times New Roman"/>
          <w:sz w:val="24"/>
          <w:szCs w:val="24"/>
        </w:rPr>
        <w:t xml:space="preserve"> (0000-0002-8313-3604); </w:t>
      </w:r>
      <w:proofErr w:type="spellStart"/>
      <w:r w:rsidR="00840D26" w:rsidRPr="0062316F">
        <w:rPr>
          <w:rFonts w:ascii="Book Antiqua" w:hAnsi="Book Antiqua" w:cs="Times New Roman"/>
          <w:sz w:val="24"/>
          <w:szCs w:val="24"/>
        </w:rPr>
        <w:t>Tarun</w:t>
      </w:r>
      <w:proofErr w:type="spellEnd"/>
      <w:r w:rsidR="00840D26" w:rsidRPr="0062316F">
        <w:rPr>
          <w:rFonts w:ascii="Book Antiqua" w:hAnsi="Book Antiqua" w:cs="Times New Roman"/>
          <w:sz w:val="24"/>
          <w:szCs w:val="24"/>
        </w:rPr>
        <w:t xml:space="preserve"> </w:t>
      </w:r>
      <w:proofErr w:type="spellStart"/>
      <w:r w:rsidR="00840D26" w:rsidRPr="0062316F">
        <w:rPr>
          <w:rFonts w:ascii="Book Antiqua" w:hAnsi="Book Antiqua" w:cs="Times New Roman"/>
          <w:sz w:val="24"/>
          <w:szCs w:val="24"/>
        </w:rPr>
        <w:t>Bathini</w:t>
      </w:r>
      <w:proofErr w:type="spellEnd"/>
      <w:r w:rsidR="00840D26" w:rsidRPr="0062316F">
        <w:rPr>
          <w:rFonts w:ascii="Book Antiqua" w:hAnsi="Book Antiqua" w:cs="Times New Roman"/>
          <w:sz w:val="24"/>
          <w:szCs w:val="24"/>
        </w:rPr>
        <w:t xml:space="preserve"> (0000-0002-3775-8689);</w:t>
      </w:r>
      <w:r w:rsidR="0080344F" w:rsidRPr="0062316F">
        <w:rPr>
          <w:rFonts w:ascii="Book Antiqua" w:hAnsi="Book Antiqua"/>
          <w:sz w:val="24"/>
          <w:szCs w:val="24"/>
        </w:rPr>
        <w:t xml:space="preserve"> </w:t>
      </w:r>
      <w:proofErr w:type="spellStart"/>
      <w:r w:rsidR="0080344F" w:rsidRPr="0062316F">
        <w:rPr>
          <w:rFonts w:ascii="Book Antiqua" w:hAnsi="Book Antiqua" w:cs="Times New Roman"/>
          <w:sz w:val="24"/>
          <w:szCs w:val="24"/>
        </w:rPr>
        <w:t>Konika</w:t>
      </w:r>
      <w:proofErr w:type="spellEnd"/>
      <w:r w:rsidR="0080344F" w:rsidRPr="0062316F">
        <w:rPr>
          <w:rFonts w:ascii="Book Antiqua" w:hAnsi="Book Antiqua" w:cs="Times New Roman"/>
          <w:sz w:val="24"/>
          <w:szCs w:val="24"/>
        </w:rPr>
        <w:t xml:space="preserve"> </w:t>
      </w:r>
      <w:r w:rsidR="0080344F" w:rsidRPr="0062316F">
        <w:rPr>
          <w:rFonts w:ascii="Book Antiqua" w:hAnsi="Book Antiqua" w:cs="Times New Roman"/>
          <w:sz w:val="24"/>
          <w:szCs w:val="24"/>
        </w:rPr>
        <w:lastRenderedPageBreak/>
        <w:t>Sharma</w:t>
      </w:r>
      <w:r w:rsidR="00840D26" w:rsidRPr="0062316F">
        <w:rPr>
          <w:rFonts w:ascii="Book Antiqua" w:hAnsi="Book Antiqua" w:cs="Times New Roman"/>
          <w:sz w:val="24"/>
          <w:szCs w:val="24"/>
        </w:rPr>
        <w:t xml:space="preserve"> </w:t>
      </w:r>
      <w:r w:rsidR="0080344F" w:rsidRPr="0062316F">
        <w:rPr>
          <w:rFonts w:ascii="Book Antiqua" w:hAnsi="Book Antiqua" w:cs="Times New Roman"/>
          <w:sz w:val="24"/>
          <w:szCs w:val="24"/>
        </w:rPr>
        <w:t xml:space="preserve">(0000-0003-4808-4605); </w:t>
      </w:r>
      <w:r w:rsidR="00E9347F" w:rsidRPr="0062316F">
        <w:rPr>
          <w:rFonts w:ascii="Book Antiqua" w:hAnsi="Book Antiqua" w:cs="Times New Roman"/>
          <w:sz w:val="24"/>
          <w:szCs w:val="24"/>
        </w:rPr>
        <w:t>Michael A Mao (</w:t>
      </w:r>
      <w:r w:rsidR="00840D26" w:rsidRPr="0062316F">
        <w:rPr>
          <w:rFonts w:ascii="Book Antiqua" w:hAnsi="Book Antiqua" w:cs="Times New Roman"/>
          <w:sz w:val="24"/>
          <w:szCs w:val="24"/>
        </w:rPr>
        <w:t>0000-0003-1814-7003</w:t>
      </w:r>
      <w:r w:rsidR="00E9347F" w:rsidRPr="0062316F">
        <w:rPr>
          <w:rFonts w:ascii="Book Antiqua" w:hAnsi="Book Antiqua" w:cs="Times New Roman"/>
          <w:sz w:val="24"/>
          <w:szCs w:val="24"/>
        </w:rPr>
        <w:t xml:space="preserve">); </w:t>
      </w:r>
      <w:proofErr w:type="spellStart"/>
      <w:r w:rsidR="00E9347F" w:rsidRPr="0062316F">
        <w:rPr>
          <w:rFonts w:ascii="Book Antiqua" w:hAnsi="Book Antiqua" w:cs="Times New Roman"/>
          <w:sz w:val="24"/>
          <w:szCs w:val="24"/>
        </w:rPr>
        <w:t>Wisit</w:t>
      </w:r>
      <w:proofErr w:type="spellEnd"/>
      <w:r w:rsidR="00E9347F" w:rsidRPr="0062316F">
        <w:rPr>
          <w:rFonts w:ascii="Book Antiqua" w:hAnsi="Book Antiqua" w:cs="Times New Roman"/>
          <w:sz w:val="24"/>
          <w:szCs w:val="24"/>
        </w:rPr>
        <w:t xml:space="preserve"> </w:t>
      </w:r>
      <w:proofErr w:type="spellStart"/>
      <w:r w:rsidR="00E9347F" w:rsidRPr="0062316F">
        <w:rPr>
          <w:rFonts w:ascii="Book Antiqua" w:hAnsi="Book Antiqua" w:cs="Times New Roman"/>
          <w:sz w:val="24"/>
          <w:szCs w:val="24"/>
        </w:rPr>
        <w:t>Cheungpasitporn</w:t>
      </w:r>
      <w:proofErr w:type="spellEnd"/>
      <w:r w:rsidR="00E9347F" w:rsidRPr="0062316F">
        <w:rPr>
          <w:rFonts w:ascii="Book Antiqua" w:hAnsi="Book Antiqua" w:cs="Times New Roman"/>
          <w:sz w:val="24"/>
          <w:szCs w:val="24"/>
        </w:rPr>
        <w:t xml:space="preserve"> (0000-0001-9954-9711).</w:t>
      </w:r>
    </w:p>
    <w:p w14:paraId="54BA0D1A" w14:textId="77777777" w:rsidR="001066A6" w:rsidRPr="0062316F" w:rsidRDefault="001066A6" w:rsidP="0062316F">
      <w:pPr>
        <w:autoSpaceDE w:val="0"/>
        <w:autoSpaceDN w:val="0"/>
        <w:adjustRightInd w:val="0"/>
        <w:spacing w:after="0" w:line="360" w:lineRule="auto"/>
        <w:jc w:val="both"/>
        <w:rPr>
          <w:rFonts w:ascii="Book Antiqua" w:hAnsi="Book Antiqua" w:cs="Times New Roman"/>
          <w:sz w:val="24"/>
          <w:szCs w:val="24"/>
        </w:rPr>
      </w:pPr>
    </w:p>
    <w:p w14:paraId="4C87BA93" w14:textId="43DEA533" w:rsidR="00E9347F" w:rsidRPr="0062316F" w:rsidRDefault="001066A6" w:rsidP="0062316F">
      <w:pPr>
        <w:autoSpaceDE w:val="0"/>
        <w:autoSpaceDN w:val="0"/>
        <w:adjustRightInd w:val="0"/>
        <w:spacing w:after="0" w:line="360" w:lineRule="auto"/>
        <w:jc w:val="both"/>
        <w:rPr>
          <w:rFonts w:ascii="Book Antiqua" w:hAnsi="Book Antiqua" w:cs="Times New Roman"/>
          <w:sz w:val="24"/>
          <w:szCs w:val="24"/>
        </w:rPr>
      </w:pPr>
      <w:r w:rsidRPr="0062316F">
        <w:rPr>
          <w:rFonts w:ascii="Book Antiqua" w:hAnsi="Book Antiqua" w:cs="Times New Roman"/>
          <w:b/>
          <w:sz w:val="24"/>
          <w:szCs w:val="24"/>
        </w:rPr>
        <w:t>Author contributions:</w:t>
      </w:r>
      <w:r w:rsidRPr="0062316F">
        <w:rPr>
          <w:rFonts w:ascii="Book Antiqua" w:hAnsi="Book Antiqua" w:cs="Times New Roman"/>
          <w:sz w:val="24"/>
          <w:szCs w:val="24"/>
        </w:rPr>
        <w:t xml:space="preserve"> </w:t>
      </w:r>
      <w:proofErr w:type="spellStart"/>
      <w:r w:rsidR="00E9347F" w:rsidRPr="0062316F">
        <w:rPr>
          <w:rFonts w:ascii="Book Antiqua" w:hAnsi="Book Antiqua" w:cs="Times New Roman"/>
          <w:sz w:val="24"/>
          <w:szCs w:val="24"/>
        </w:rPr>
        <w:t>Boonpheng</w:t>
      </w:r>
      <w:proofErr w:type="spellEnd"/>
      <w:r w:rsidR="00E9347F" w:rsidRPr="0062316F">
        <w:rPr>
          <w:rFonts w:ascii="Book Antiqua" w:hAnsi="Book Antiqua" w:cs="Times New Roman"/>
          <w:sz w:val="24"/>
          <w:szCs w:val="24"/>
        </w:rPr>
        <w:t xml:space="preserve"> B acquisition of data, analysis and interpretation of data, drafting the article, final approval; </w:t>
      </w:r>
      <w:proofErr w:type="spellStart"/>
      <w:r w:rsidR="00E9347F" w:rsidRPr="0062316F">
        <w:rPr>
          <w:rFonts w:ascii="Book Antiqua" w:hAnsi="Book Antiqua" w:cs="Times New Roman"/>
          <w:sz w:val="24"/>
          <w:szCs w:val="24"/>
        </w:rPr>
        <w:t>Thongprayoon</w:t>
      </w:r>
      <w:proofErr w:type="spellEnd"/>
      <w:r w:rsidR="00E9347F" w:rsidRPr="0062316F">
        <w:rPr>
          <w:rFonts w:ascii="Book Antiqua" w:hAnsi="Book Antiqua" w:cs="Times New Roman"/>
          <w:sz w:val="24"/>
          <w:szCs w:val="24"/>
        </w:rPr>
        <w:t xml:space="preserve"> C acquisition of data, analysis and interpretation of data, final approval; </w:t>
      </w:r>
      <w:proofErr w:type="spellStart"/>
      <w:r w:rsidR="005E23B2" w:rsidRPr="0062316F">
        <w:rPr>
          <w:rFonts w:ascii="Book Antiqua" w:hAnsi="Book Antiqua" w:cs="Times New Roman"/>
          <w:sz w:val="24"/>
          <w:szCs w:val="24"/>
        </w:rPr>
        <w:t>Bathini</w:t>
      </w:r>
      <w:proofErr w:type="spellEnd"/>
      <w:r w:rsidR="005E23B2" w:rsidRPr="0062316F">
        <w:rPr>
          <w:rFonts w:ascii="Book Antiqua" w:hAnsi="Book Antiqua" w:cs="Times New Roman"/>
          <w:sz w:val="24"/>
          <w:szCs w:val="24"/>
        </w:rPr>
        <w:t xml:space="preserve"> T, Sharma K, and </w:t>
      </w:r>
      <w:r w:rsidR="00E9347F" w:rsidRPr="0062316F">
        <w:rPr>
          <w:rFonts w:ascii="Book Antiqua" w:hAnsi="Book Antiqua" w:cs="Times New Roman"/>
          <w:sz w:val="24"/>
          <w:szCs w:val="24"/>
        </w:rPr>
        <w:t>Mao M</w:t>
      </w:r>
      <w:r w:rsidR="005E23B2" w:rsidRPr="0062316F">
        <w:rPr>
          <w:rFonts w:ascii="Book Antiqua" w:hAnsi="Book Antiqua" w:cs="Times New Roman"/>
          <w:sz w:val="24"/>
          <w:szCs w:val="24"/>
        </w:rPr>
        <w:t>A</w:t>
      </w:r>
      <w:r w:rsidR="00E9347F" w:rsidRPr="0062316F">
        <w:rPr>
          <w:rFonts w:ascii="Book Antiqua" w:hAnsi="Book Antiqua" w:cs="Times New Roman"/>
          <w:sz w:val="24"/>
          <w:szCs w:val="24"/>
        </w:rPr>
        <w:t xml:space="preserve"> interpretation of data, revising the article, final approval; </w:t>
      </w:r>
      <w:proofErr w:type="spellStart"/>
      <w:r w:rsidR="00E9347F" w:rsidRPr="0062316F">
        <w:rPr>
          <w:rFonts w:ascii="Book Antiqua" w:hAnsi="Book Antiqua" w:cs="Times New Roman"/>
          <w:sz w:val="24"/>
          <w:szCs w:val="24"/>
        </w:rPr>
        <w:t>Cheungpasitporn</w:t>
      </w:r>
      <w:proofErr w:type="spellEnd"/>
      <w:r w:rsidR="00E9347F" w:rsidRPr="0062316F">
        <w:rPr>
          <w:rFonts w:ascii="Book Antiqua" w:hAnsi="Book Antiqua" w:cs="Times New Roman"/>
          <w:sz w:val="24"/>
          <w:szCs w:val="24"/>
        </w:rPr>
        <w:t xml:space="preserve"> W interpretation of data, revising the article, final approval</w:t>
      </w:r>
      <w:r w:rsidR="005E23B2" w:rsidRPr="0062316F">
        <w:rPr>
          <w:rFonts w:ascii="Book Antiqua" w:hAnsi="Book Antiqua" w:cs="Times New Roman"/>
          <w:sz w:val="24"/>
          <w:szCs w:val="24"/>
        </w:rPr>
        <w:t>.</w:t>
      </w:r>
    </w:p>
    <w:p w14:paraId="0E7339A3" w14:textId="77777777" w:rsidR="001066A6" w:rsidRPr="0062316F" w:rsidRDefault="001066A6" w:rsidP="0062316F">
      <w:pPr>
        <w:autoSpaceDE w:val="0"/>
        <w:autoSpaceDN w:val="0"/>
        <w:adjustRightInd w:val="0"/>
        <w:spacing w:after="0" w:line="360" w:lineRule="auto"/>
        <w:jc w:val="both"/>
        <w:rPr>
          <w:rFonts w:ascii="Book Antiqua" w:hAnsi="Book Antiqua" w:cs="Times New Roman"/>
          <w:sz w:val="24"/>
          <w:szCs w:val="24"/>
        </w:rPr>
      </w:pPr>
    </w:p>
    <w:p w14:paraId="56ADDEC3" w14:textId="2BAF5B6A" w:rsidR="00E9347F" w:rsidRPr="0062316F" w:rsidRDefault="001066A6" w:rsidP="0062316F">
      <w:pPr>
        <w:autoSpaceDE w:val="0"/>
        <w:autoSpaceDN w:val="0"/>
        <w:adjustRightInd w:val="0"/>
        <w:spacing w:after="0" w:line="360" w:lineRule="auto"/>
        <w:jc w:val="both"/>
        <w:rPr>
          <w:rFonts w:ascii="Book Antiqua" w:hAnsi="Book Antiqua" w:cs="Times New Roman"/>
          <w:sz w:val="24"/>
          <w:szCs w:val="24"/>
        </w:rPr>
      </w:pPr>
      <w:r w:rsidRPr="0062316F">
        <w:rPr>
          <w:rFonts w:ascii="Book Antiqua" w:hAnsi="Book Antiqua" w:cs="TimesNewRomanPS-BoldItalicMT"/>
          <w:b/>
          <w:bCs/>
          <w:iCs/>
          <w:sz w:val="24"/>
          <w:szCs w:val="24"/>
        </w:rPr>
        <w:t>Conflict-of-interest</w:t>
      </w:r>
      <w:r w:rsidRPr="0062316F">
        <w:rPr>
          <w:rFonts w:ascii="Book Antiqua" w:hAnsi="Book Antiqua"/>
          <w:sz w:val="24"/>
          <w:szCs w:val="24"/>
        </w:rPr>
        <w:t xml:space="preserve"> </w:t>
      </w:r>
      <w:r w:rsidRPr="0062316F">
        <w:rPr>
          <w:rFonts w:ascii="Book Antiqua" w:hAnsi="Book Antiqua" w:cs="TimesNewRomanPS-BoldItalicMT"/>
          <w:b/>
          <w:bCs/>
          <w:iCs/>
          <w:sz w:val="24"/>
          <w:szCs w:val="24"/>
        </w:rPr>
        <w:t xml:space="preserve">statement: </w:t>
      </w:r>
      <w:r w:rsidR="00E9347F" w:rsidRPr="0062316F">
        <w:rPr>
          <w:rFonts w:ascii="Book Antiqua" w:hAnsi="Book Antiqua" w:cs="Times New Roman"/>
          <w:sz w:val="24"/>
          <w:szCs w:val="24"/>
        </w:rPr>
        <w:t>The authors deny any conflict of interest.</w:t>
      </w:r>
    </w:p>
    <w:p w14:paraId="5BC86DBD" w14:textId="77777777" w:rsidR="001066A6" w:rsidRPr="0062316F" w:rsidRDefault="001066A6" w:rsidP="0062316F">
      <w:pPr>
        <w:spacing w:after="0" w:line="360" w:lineRule="auto"/>
        <w:jc w:val="both"/>
        <w:rPr>
          <w:rFonts w:ascii="Book Antiqua" w:hAnsi="Book Antiqua" w:cs="Times New Roman"/>
          <w:b/>
          <w:sz w:val="24"/>
          <w:szCs w:val="24"/>
        </w:rPr>
      </w:pPr>
    </w:p>
    <w:p w14:paraId="0C9834E0" w14:textId="723E5178" w:rsidR="001066A6" w:rsidRPr="0062316F" w:rsidRDefault="001066A6" w:rsidP="0062316F">
      <w:pPr>
        <w:spacing w:after="0" w:line="360" w:lineRule="auto"/>
        <w:jc w:val="both"/>
        <w:rPr>
          <w:rFonts w:ascii="Book Antiqua" w:hAnsi="Book Antiqua"/>
          <w:b/>
          <w:sz w:val="24"/>
          <w:szCs w:val="24"/>
        </w:rPr>
      </w:pPr>
      <w:r w:rsidRPr="0062316F">
        <w:rPr>
          <w:rFonts w:ascii="Book Antiqua" w:hAnsi="Book Antiqua"/>
          <w:b/>
          <w:sz w:val="24"/>
          <w:szCs w:val="24"/>
        </w:rPr>
        <w:t>PRISMA 2009 Checklist statement</w:t>
      </w:r>
      <w:r w:rsidRPr="0062316F">
        <w:rPr>
          <w:rFonts w:ascii="Book Antiqua" w:hAnsi="Book Antiqua" w:cs="TimesNewRomanPS-BoldItalicMT"/>
          <w:b/>
          <w:bCs/>
          <w:iCs/>
          <w:sz w:val="24"/>
          <w:szCs w:val="24"/>
        </w:rPr>
        <w:t>:</w:t>
      </w:r>
      <w:r w:rsidRPr="0062316F">
        <w:rPr>
          <w:rFonts w:ascii="Book Antiqua" w:hAnsi="Book Antiqua"/>
          <w:b/>
          <w:sz w:val="24"/>
          <w:szCs w:val="24"/>
        </w:rPr>
        <w:t xml:space="preserve"> </w:t>
      </w:r>
      <w:r w:rsidRPr="0062316F">
        <w:rPr>
          <w:rFonts w:ascii="Book Antiqua" w:hAnsi="Book Antiqua"/>
          <w:sz w:val="24"/>
          <w:szCs w:val="24"/>
        </w:rPr>
        <w:t>The authors have read the PRISMA 2009 Checklist, and the manuscript was prepared and revised according to the PRISMA 2009 Checklist.</w:t>
      </w:r>
    </w:p>
    <w:p w14:paraId="46312F72" w14:textId="77777777" w:rsidR="001066A6" w:rsidRPr="0062316F" w:rsidRDefault="001066A6" w:rsidP="0062316F">
      <w:pPr>
        <w:spacing w:after="0" w:line="360" w:lineRule="auto"/>
        <w:jc w:val="both"/>
        <w:rPr>
          <w:rFonts w:ascii="Book Antiqua" w:hAnsi="Book Antiqua"/>
          <w:sz w:val="24"/>
          <w:szCs w:val="24"/>
        </w:rPr>
      </w:pPr>
    </w:p>
    <w:p w14:paraId="67F5F97C" w14:textId="77777777" w:rsidR="001066A6" w:rsidRPr="0062316F" w:rsidRDefault="001066A6" w:rsidP="0062316F">
      <w:pPr>
        <w:widowControl w:val="0"/>
        <w:spacing w:after="0" w:line="360" w:lineRule="auto"/>
        <w:jc w:val="both"/>
        <w:rPr>
          <w:rFonts w:ascii="Book Antiqua" w:hAnsi="Book Antiqua" w:cs="Times New Roman"/>
          <w:b/>
          <w:sz w:val="24"/>
          <w:szCs w:val="24"/>
        </w:rPr>
      </w:pPr>
      <w:bookmarkStart w:id="3" w:name="OLE_LINK1840"/>
      <w:bookmarkStart w:id="4" w:name="OLE_LINK1839"/>
      <w:bookmarkStart w:id="5" w:name="OLE_LINK1024"/>
      <w:bookmarkStart w:id="6" w:name="OLE_LINK1025"/>
      <w:bookmarkStart w:id="7" w:name="OLE_LINK570"/>
      <w:bookmarkStart w:id="8" w:name="OLE_LINK1096"/>
      <w:bookmarkStart w:id="9" w:name="OLE_LINK1097"/>
      <w:bookmarkStart w:id="10" w:name="OLE_LINK1098"/>
      <w:bookmarkStart w:id="11" w:name="OLE_LINK985"/>
      <w:bookmarkStart w:id="12" w:name="OLE_LINK986"/>
      <w:bookmarkStart w:id="13" w:name="OLE_LINK1122"/>
      <w:bookmarkStart w:id="14" w:name="OLE_LINK649"/>
      <w:bookmarkStart w:id="15" w:name="OLE_LINK650"/>
      <w:bookmarkStart w:id="16" w:name="OLE_LINK1706"/>
      <w:bookmarkStart w:id="17" w:name="OLE_LINK1707"/>
      <w:bookmarkStart w:id="18" w:name="OLE_LINK564"/>
      <w:bookmarkStart w:id="19" w:name="OLE_LINK155"/>
      <w:bookmarkStart w:id="20" w:name="OLE_LINK183"/>
      <w:bookmarkStart w:id="21" w:name="OLE_LINK441"/>
      <w:bookmarkStart w:id="22" w:name="OLE_LINK142"/>
      <w:bookmarkStart w:id="23" w:name="OLE_LINK376"/>
      <w:bookmarkStart w:id="24" w:name="OLE_LINK687"/>
      <w:bookmarkStart w:id="25" w:name="OLE_LINK716"/>
      <w:bookmarkStart w:id="26" w:name="OLE_LINK731"/>
      <w:bookmarkStart w:id="27" w:name="OLE_LINK809"/>
      <w:bookmarkStart w:id="28" w:name="OLE_LINK812"/>
      <w:bookmarkStart w:id="29" w:name="OLE_LINK916"/>
      <w:bookmarkStart w:id="30" w:name="OLE_LINK917"/>
      <w:bookmarkStart w:id="31" w:name="OLE_LINK1013"/>
      <w:bookmarkStart w:id="32" w:name="OLE_LINK1015"/>
      <w:bookmarkStart w:id="33" w:name="OLE_LINK1016"/>
      <w:bookmarkStart w:id="34" w:name="OLE_LINK1546"/>
      <w:bookmarkStart w:id="35" w:name="OLE_LINK1547"/>
      <w:bookmarkStart w:id="36" w:name="OLE_LINK1596"/>
      <w:bookmarkStart w:id="37" w:name="OLE_LINK1749"/>
      <w:bookmarkStart w:id="38" w:name="OLE_LINK1750"/>
      <w:bookmarkStart w:id="39" w:name="OLE_LINK1751"/>
      <w:bookmarkStart w:id="40" w:name="OLE_LINK1924"/>
      <w:bookmarkStart w:id="41" w:name="OLE_LINK1933"/>
      <w:bookmarkStart w:id="42" w:name="OLE_LINK1934"/>
      <w:bookmarkStart w:id="43" w:name="OLE_LINK1935"/>
      <w:bookmarkStart w:id="44" w:name="OLE_LINK1996"/>
      <w:bookmarkStart w:id="45" w:name="OLE_LINK1896"/>
      <w:bookmarkStart w:id="46" w:name="OLE_LINK1900"/>
      <w:bookmarkStart w:id="47" w:name="OLE_LINK2088"/>
      <w:r w:rsidRPr="0062316F">
        <w:rPr>
          <w:rFonts w:ascii="Book Antiqua" w:hAnsi="Book Antiqua" w:cs="Times New Roman"/>
          <w:b/>
          <w:sz w:val="24"/>
          <w:szCs w:val="24"/>
        </w:rPr>
        <w:t>Open-Access:</w:t>
      </w:r>
      <w:bookmarkEnd w:id="3"/>
      <w:bookmarkEnd w:id="4"/>
      <w:r w:rsidRPr="0062316F">
        <w:rPr>
          <w:rFonts w:ascii="Book Antiqua" w:hAnsi="Book Antiqua" w:cs="Times New Roman"/>
          <w:b/>
          <w:sz w:val="24"/>
          <w:szCs w:val="24"/>
        </w:rPr>
        <w:t xml:space="preserve"> </w:t>
      </w:r>
      <w:bookmarkStart w:id="48" w:name="OLE_LINK1365"/>
      <w:bookmarkStart w:id="49" w:name="OLE_LINK907"/>
      <w:bookmarkStart w:id="50" w:name="OLE_LINK760"/>
      <w:r w:rsidRPr="0062316F">
        <w:rPr>
          <w:rFonts w:ascii="Book Antiqua" w:hAnsi="Book Antiqua" w:cs="Times New Roman"/>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48"/>
      <w:bookmarkEnd w:id="49"/>
      <w:bookmarkEnd w:id="50"/>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14:paraId="6270F86A" w14:textId="77777777" w:rsidR="001066A6" w:rsidRPr="0062316F" w:rsidRDefault="001066A6" w:rsidP="0062316F">
      <w:pPr>
        <w:widowControl w:val="0"/>
        <w:spacing w:after="0" w:line="360" w:lineRule="auto"/>
        <w:jc w:val="both"/>
        <w:rPr>
          <w:rFonts w:ascii="Book Antiqua" w:hAnsi="Book Antiqua" w:cs="Arial Unicode MS"/>
          <w:kern w:val="2"/>
          <w:sz w:val="24"/>
          <w:szCs w:val="24"/>
        </w:rPr>
      </w:pPr>
    </w:p>
    <w:p w14:paraId="22F6E9B4" w14:textId="5BAC0B67" w:rsidR="001066A6" w:rsidRPr="0062316F" w:rsidRDefault="001066A6" w:rsidP="0062316F">
      <w:pPr>
        <w:widowControl w:val="0"/>
        <w:autoSpaceDE w:val="0"/>
        <w:autoSpaceDN w:val="0"/>
        <w:adjustRightInd w:val="0"/>
        <w:spacing w:after="0" w:line="360" w:lineRule="auto"/>
        <w:jc w:val="both"/>
        <w:rPr>
          <w:rFonts w:ascii="Book Antiqua" w:hAnsi="Book Antiqua" w:cs="Arial Unicode MS"/>
          <w:kern w:val="2"/>
          <w:sz w:val="24"/>
          <w:szCs w:val="24"/>
        </w:rPr>
      </w:pPr>
      <w:bookmarkStart w:id="51" w:name="OLE_LINK759"/>
      <w:bookmarkStart w:id="52" w:name="OLE_LINK709"/>
      <w:bookmarkStart w:id="53" w:name="OLE_LINK1123"/>
      <w:bookmarkStart w:id="54" w:name="OLE_LINK927"/>
      <w:bookmarkStart w:id="55" w:name="OLE_LINK776"/>
      <w:bookmarkStart w:id="56" w:name="OLE_LINK571"/>
      <w:bookmarkStart w:id="57" w:name="OLE_LINK919"/>
      <w:bookmarkStart w:id="58" w:name="OLE_LINK918"/>
      <w:r w:rsidRPr="0062316F">
        <w:rPr>
          <w:rFonts w:ascii="Book Antiqua" w:hAnsi="Book Antiqua" w:cs="Arial Unicode MS"/>
          <w:b/>
          <w:kern w:val="2"/>
          <w:sz w:val="24"/>
          <w:szCs w:val="24"/>
        </w:rPr>
        <w:t>Manuscript source:</w:t>
      </w:r>
      <w:r w:rsidRPr="0062316F">
        <w:rPr>
          <w:rFonts w:ascii="Book Antiqua" w:hAnsi="Book Antiqua" w:cs="Arial Unicode MS"/>
          <w:kern w:val="2"/>
          <w:sz w:val="24"/>
          <w:szCs w:val="24"/>
        </w:rPr>
        <w:t xml:space="preserve"> </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1"/>
      <w:bookmarkEnd w:id="52"/>
      <w:bookmarkEnd w:id="53"/>
      <w:bookmarkEnd w:id="54"/>
      <w:bookmarkEnd w:id="55"/>
      <w:bookmarkEnd w:id="56"/>
      <w:bookmarkEnd w:id="57"/>
      <w:bookmarkEnd w:id="58"/>
      <w:r w:rsidRPr="0062316F">
        <w:rPr>
          <w:rFonts w:ascii="Book Antiqua" w:hAnsi="Book Antiqua" w:cs="Times New Roman"/>
          <w:sz w:val="24"/>
          <w:szCs w:val="24"/>
          <w:lang w:eastAsia="zh-CN"/>
        </w:rPr>
        <w:t>Invited</w:t>
      </w:r>
      <w:r w:rsidRPr="0062316F">
        <w:rPr>
          <w:rFonts w:ascii="Book Antiqua" w:hAnsi="Book Antiqua" w:cs="Times New Roman"/>
          <w:sz w:val="24"/>
          <w:szCs w:val="24"/>
        </w:rPr>
        <w:t xml:space="preserve"> manuscript</w:t>
      </w:r>
    </w:p>
    <w:p w14:paraId="75706725" w14:textId="77777777" w:rsidR="001066A6" w:rsidRPr="0062316F" w:rsidRDefault="001066A6" w:rsidP="0062316F">
      <w:pPr>
        <w:spacing w:after="0" w:line="360" w:lineRule="auto"/>
        <w:jc w:val="both"/>
        <w:rPr>
          <w:rFonts w:ascii="Book Antiqua" w:hAnsi="Book Antiqua" w:cs="Book Antiqua"/>
          <w:sz w:val="24"/>
          <w:szCs w:val="24"/>
        </w:rPr>
      </w:pPr>
    </w:p>
    <w:p w14:paraId="2160C8A3" w14:textId="11BDE18F" w:rsidR="0008566C" w:rsidRPr="0062316F" w:rsidRDefault="001066A6" w:rsidP="0062316F">
      <w:pPr>
        <w:autoSpaceDE w:val="0"/>
        <w:autoSpaceDN w:val="0"/>
        <w:adjustRightInd w:val="0"/>
        <w:snapToGrid w:val="0"/>
        <w:spacing w:after="0" w:line="360" w:lineRule="auto"/>
        <w:jc w:val="both"/>
        <w:rPr>
          <w:rFonts w:ascii="Book Antiqua" w:eastAsia="SimSun" w:hAnsi="Book Antiqua" w:cs="Times New Roman"/>
          <w:sz w:val="24"/>
          <w:szCs w:val="24"/>
          <w:u w:color="0000FF"/>
          <w:lang w:eastAsia="zh-CN"/>
        </w:rPr>
      </w:pPr>
      <w:bookmarkStart w:id="59" w:name="OLE_LINK948"/>
      <w:bookmarkStart w:id="60" w:name="OLE_LINK949"/>
      <w:bookmarkStart w:id="61" w:name="OLE_LINK950"/>
      <w:bookmarkStart w:id="62" w:name="OLE_LINK951"/>
      <w:bookmarkStart w:id="63" w:name="OLE_LINK1018"/>
      <w:bookmarkStart w:id="64" w:name="OLE_LINK1019"/>
      <w:bookmarkStart w:id="65" w:name="OLE_LINK1020"/>
      <w:bookmarkStart w:id="66" w:name="OLE_LINK1031"/>
      <w:bookmarkStart w:id="67" w:name="OLE_LINK1263"/>
      <w:bookmarkStart w:id="68" w:name="OLE_LINK1267"/>
      <w:bookmarkStart w:id="69" w:name="OLE_LINK1268"/>
      <w:bookmarkStart w:id="70" w:name="OLE_LINK1269"/>
      <w:bookmarkStart w:id="71" w:name="OLE_LINK1270"/>
      <w:bookmarkStart w:id="72" w:name="OLE_LINK1271"/>
      <w:bookmarkStart w:id="73" w:name="OLE_LINK1752"/>
      <w:bookmarkStart w:id="74" w:name="OLE_LINK1997"/>
      <w:proofErr w:type="spellStart"/>
      <w:r w:rsidRPr="0062316F">
        <w:rPr>
          <w:rFonts w:ascii="Book Antiqua" w:hAnsi="Book Antiqua"/>
          <w:b/>
          <w:sz w:val="24"/>
          <w:szCs w:val="24"/>
          <w:lang w:val="pt-BR"/>
        </w:rPr>
        <w:t>Correspond</w:t>
      </w:r>
      <w:bookmarkEnd w:id="59"/>
      <w:bookmarkEnd w:id="60"/>
      <w:bookmarkEnd w:id="61"/>
      <w:bookmarkEnd w:id="62"/>
      <w:r w:rsidRPr="0062316F">
        <w:rPr>
          <w:rFonts w:ascii="Book Antiqua" w:hAnsi="Book Antiqua"/>
          <w:b/>
          <w:sz w:val="24"/>
          <w:szCs w:val="24"/>
          <w:lang w:val="pt-BR"/>
        </w:rPr>
        <w:t>ing</w:t>
      </w:r>
      <w:proofErr w:type="spellEnd"/>
      <w:r w:rsidRPr="0062316F">
        <w:rPr>
          <w:rFonts w:ascii="Book Antiqua" w:hAnsi="Book Antiqua"/>
          <w:b/>
          <w:sz w:val="24"/>
          <w:szCs w:val="24"/>
          <w:lang w:val="pt-BR"/>
        </w:rPr>
        <w:t xml:space="preserve"> </w:t>
      </w:r>
      <w:proofErr w:type="spellStart"/>
      <w:r w:rsidRPr="0062316F">
        <w:rPr>
          <w:rFonts w:ascii="Book Antiqua" w:hAnsi="Book Antiqua"/>
          <w:b/>
          <w:sz w:val="24"/>
          <w:szCs w:val="24"/>
          <w:lang w:val="pt-BR"/>
        </w:rPr>
        <w:t>author</w:t>
      </w:r>
      <w:proofErr w:type="spellEnd"/>
      <w:r w:rsidRPr="0062316F">
        <w:rPr>
          <w:rFonts w:ascii="Book Antiqua" w:hAnsi="Book Antiqua"/>
          <w:b/>
          <w:sz w:val="24"/>
          <w:szCs w:val="24"/>
          <w:lang w:val="pt-BR"/>
        </w:rPr>
        <w:t>:</w:t>
      </w:r>
      <w:bookmarkEnd w:id="63"/>
      <w:bookmarkEnd w:id="64"/>
      <w:bookmarkEnd w:id="65"/>
      <w:bookmarkEnd w:id="66"/>
      <w:bookmarkEnd w:id="67"/>
      <w:bookmarkEnd w:id="68"/>
      <w:bookmarkEnd w:id="69"/>
      <w:bookmarkEnd w:id="70"/>
      <w:bookmarkEnd w:id="71"/>
      <w:bookmarkEnd w:id="72"/>
      <w:bookmarkEnd w:id="73"/>
      <w:bookmarkEnd w:id="74"/>
      <w:r w:rsidRPr="0062316F">
        <w:rPr>
          <w:rFonts w:ascii="Book Antiqua" w:hAnsi="Book Antiqua"/>
          <w:b/>
          <w:sz w:val="24"/>
          <w:szCs w:val="24"/>
          <w:lang w:val="pt-BR"/>
        </w:rPr>
        <w:t xml:space="preserve"> </w:t>
      </w:r>
      <w:proofErr w:type="spellStart"/>
      <w:r w:rsidR="0008566C" w:rsidRPr="0062316F">
        <w:rPr>
          <w:rFonts w:ascii="Book Antiqua" w:hAnsi="Book Antiqua" w:cs="Times New Roman"/>
          <w:b/>
          <w:sz w:val="24"/>
          <w:szCs w:val="24"/>
        </w:rPr>
        <w:t>Wisit</w:t>
      </w:r>
      <w:proofErr w:type="spellEnd"/>
      <w:r w:rsidR="0008566C" w:rsidRPr="0062316F">
        <w:rPr>
          <w:rFonts w:ascii="Book Antiqua" w:hAnsi="Book Antiqua" w:cs="Times New Roman"/>
          <w:b/>
          <w:sz w:val="24"/>
          <w:szCs w:val="24"/>
        </w:rPr>
        <w:t xml:space="preserve"> </w:t>
      </w:r>
      <w:proofErr w:type="spellStart"/>
      <w:r w:rsidR="0008566C" w:rsidRPr="0062316F">
        <w:rPr>
          <w:rFonts w:ascii="Book Antiqua" w:hAnsi="Book Antiqua" w:cs="Times New Roman"/>
          <w:b/>
          <w:sz w:val="24"/>
          <w:szCs w:val="24"/>
        </w:rPr>
        <w:t>Cheungpasitporn</w:t>
      </w:r>
      <w:proofErr w:type="spellEnd"/>
      <w:r w:rsidR="0008566C" w:rsidRPr="0062316F">
        <w:rPr>
          <w:rFonts w:ascii="Book Antiqua" w:hAnsi="Book Antiqua" w:cs="Times New Roman"/>
          <w:b/>
          <w:sz w:val="24"/>
          <w:szCs w:val="24"/>
        </w:rPr>
        <w:t xml:space="preserve">, </w:t>
      </w:r>
      <w:r w:rsidR="005B2907" w:rsidRPr="0062316F">
        <w:rPr>
          <w:rFonts w:ascii="Book Antiqua" w:hAnsi="Book Antiqua" w:cs="Times New Roman"/>
          <w:b/>
          <w:sz w:val="24"/>
          <w:szCs w:val="24"/>
        </w:rPr>
        <w:t>MD, Assistant Professor,</w:t>
      </w:r>
      <w:r w:rsidRPr="0062316F">
        <w:rPr>
          <w:rFonts w:ascii="Book Antiqua" w:hAnsi="Book Antiqua" w:cs="Times New Roman"/>
          <w:sz w:val="24"/>
          <w:szCs w:val="24"/>
        </w:rPr>
        <w:t xml:space="preserve"> </w:t>
      </w:r>
      <w:bookmarkStart w:id="75" w:name="OLE_LINK1"/>
      <w:bookmarkStart w:id="76" w:name="OLE_LINK2"/>
      <w:r w:rsidR="0008566C" w:rsidRPr="0062316F">
        <w:rPr>
          <w:rFonts w:ascii="Book Antiqua" w:hAnsi="Book Antiqua" w:cs="Times New Roman"/>
          <w:sz w:val="24"/>
          <w:szCs w:val="24"/>
        </w:rPr>
        <w:t>Division of Nephrology</w:t>
      </w:r>
      <w:bookmarkEnd w:id="75"/>
      <w:bookmarkEnd w:id="76"/>
      <w:r w:rsidR="0008566C" w:rsidRPr="0062316F">
        <w:rPr>
          <w:rFonts w:ascii="Book Antiqua" w:hAnsi="Book Antiqua" w:cs="Times New Roman"/>
          <w:sz w:val="24"/>
          <w:szCs w:val="24"/>
        </w:rPr>
        <w:t xml:space="preserve">, Department of Medicine, University of Mississippi Medical Center, 2500 N. State St., Jackson, MS39216, </w:t>
      </w:r>
      <w:r w:rsidR="0008566C" w:rsidRPr="0062316F">
        <w:rPr>
          <w:rFonts w:ascii="Book Antiqua" w:hAnsi="Book Antiqua" w:cs="Times New Roman"/>
          <w:sz w:val="24"/>
          <w:szCs w:val="24"/>
          <w:u w:color="0000FF"/>
        </w:rPr>
        <w:t>United States</w:t>
      </w:r>
      <w:r w:rsidR="0008566C" w:rsidRPr="0062316F">
        <w:rPr>
          <w:rFonts w:ascii="Book Antiqua" w:eastAsia="SimSun" w:hAnsi="Book Antiqua" w:cs="Times New Roman"/>
          <w:sz w:val="24"/>
          <w:szCs w:val="24"/>
          <w:u w:color="0000FF"/>
          <w:lang w:eastAsia="zh-CN"/>
        </w:rPr>
        <w:t xml:space="preserve">. </w:t>
      </w:r>
      <w:hyperlink r:id="rId8" w:history="1">
        <w:r w:rsidR="0008566C" w:rsidRPr="00EF5815">
          <w:rPr>
            <w:rStyle w:val="Hyperlink"/>
            <w:rFonts w:ascii="Book Antiqua" w:hAnsi="Book Antiqua" w:cs="Times New Roman"/>
            <w:color w:val="auto"/>
            <w:sz w:val="24"/>
            <w:szCs w:val="24"/>
            <w:u w:val="none"/>
            <w:lang w:val="en-GB"/>
          </w:rPr>
          <w:t>wcheungpasitporn@gmail.com</w:t>
        </w:r>
      </w:hyperlink>
    </w:p>
    <w:p w14:paraId="18FDCCF7" w14:textId="3C82F222" w:rsidR="0008566C" w:rsidRPr="0062316F" w:rsidRDefault="0008566C" w:rsidP="0062316F">
      <w:pPr>
        <w:snapToGrid w:val="0"/>
        <w:spacing w:after="0" w:line="360" w:lineRule="auto"/>
        <w:jc w:val="both"/>
        <w:rPr>
          <w:rFonts w:ascii="Book Antiqua" w:eastAsia="SimSun" w:hAnsi="Book Antiqua" w:cs="Times New Roman"/>
          <w:sz w:val="24"/>
          <w:szCs w:val="24"/>
          <w:u w:color="0000FF"/>
          <w:lang w:eastAsia="zh-CN"/>
        </w:rPr>
      </w:pPr>
      <w:r w:rsidRPr="0062316F">
        <w:rPr>
          <w:rFonts w:ascii="Book Antiqua" w:hAnsi="Book Antiqua" w:cs="Times New Roman"/>
          <w:b/>
          <w:bCs/>
          <w:sz w:val="24"/>
          <w:szCs w:val="24"/>
          <w:u w:color="0000FF"/>
        </w:rPr>
        <w:t>Telephone</w:t>
      </w:r>
      <w:r w:rsidRPr="0062316F">
        <w:rPr>
          <w:rFonts w:ascii="Book Antiqua" w:hAnsi="Book Antiqua" w:cs="Times New Roman"/>
          <w:sz w:val="24"/>
          <w:szCs w:val="24"/>
          <w:u w:color="0000FF"/>
        </w:rPr>
        <w:t>: +1-518-2589978</w:t>
      </w:r>
    </w:p>
    <w:p w14:paraId="5BACEF9A" w14:textId="77777777" w:rsidR="0008566C" w:rsidRPr="0062316F" w:rsidRDefault="0008566C" w:rsidP="0062316F">
      <w:pPr>
        <w:snapToGrid w:val="0"/>
        <w:spacing w:after="0" w:line="360" w:lineRule="auto"/>
        <w:jc w:val="both"/>
        <w:rPr>
          <w:rFonts w:ascii="Book Antiqua" w:hAnsi="Book Antiqua" w:cs="Times New Roman"/>
          <w:sz w:val="24"/>
          <w:szCs w:val="24"/>
          <w:u w:color="0000FF"/>
        </w:rPr>
      </w:pPr>
      <w:r w:rsidRPr="0062316F">
        <w:rPr>
          <w:rFonts w:ascii="Book Antiqua" w:hAnsi="Book Antiqua" w:cs="Times New Roman"/>
          <w:b/>
          <w:bCs/>
          <w:sz w:val="24"/>
          <w:szCs w:val="24"/>
          <w:lang w:val="en"/>
        </w:rPr>
        <w:t>Fax</w:t>
      </w:r>
      <w:r w:rsidRPr="0062316F">
        <w:rPr>
          <w:rFonts w:ascii="Book Antiqua" w:hAnsi="Book Antiqua" w:cs="Times New Roman"/>
          <w:sz w:val="24"/>
          <w:szCs w:val="24"/>
        </w:rPr>
        <w:t xml:space="preserve">: </w:t>
      </w:r>
      <w:r w:rsidRPr="0062316F">
        <w:rPr>
          <w:rFonts w:ascii="Book Antiqua" w:hAnsi="Book Antiqua" w:cs="Times New Roman"/>
          <w:sz w:val="24"/>
          <w:szCs w:val="24"/>
          <w:u w:color="0000FF"/>
        </w:rPr>
        <w:t>+1-507-</w:t>
      </w:r>
      <w:r w:rsidRPr="0062316F">
        <w:rPr>
          <w:rFonts w:ascii="Book Antiqua" w:hAnsi="Book Antiqua" w:cs="Times New Roman"/>
          <w:sz w:val="24"/>
          <w:szCs w:val="24"/>
        </w:rPr>
        <w:t>2667891</w:t>
      </w:r>
    </w:p>
    <w:p w14:paraId="672A6659" w14:textId="77777777" w:rsidR="00E9347F" w:rsidRPr="0062316F" w:rsidRDefault="00E9347F" w:rsidP="0062316F">
      <w:pPr>
        <w:autoSpaceDE w:val="0"/>
        <w:autoSpaceDN w:val="0"/>
        <w:adjustRightInd w:val="0"/>
        <w:spacing w:after="0" w:line="360" w:lineRule="auto"/>
        <w:jc w:val="both"/>
        <w:rPr>
          <w:rFonts w:ascii="Book Antiqua" w:hAnsi="Book Antiqua" w:cs="Times New Roman"/>
          <w:sz w:val="24"/>
          <w:szCs w:val="24"/>
        </w:rPr>
      </w:pPr>
    </w:p>
    <w:p w14:paraId="7659B3CD" w14:textId="73FCF499" w:rsidR="005B2907" w:rsidRPr="0062316F" w:rsidRDefault="005B2907" w:rsidP="0062316F">
      <w:pPr>
        <w:widowControl w:val="0"/>
        <w:spacing w:after="0" w:line="360" w:lineRule="auto"/>
        <w:jc w:val="both"/>
        <w:rPr>
          <w:rFonts w:ascii="Book Antiqua" w:hAnsi="Book Antiqua" w:cs="Times New Roman"/>
          <w:b/>
          <w:kern w:val="2"/>
          <w:sz w:val="24"/>
          <w:szCs w:val="24"/>
        </w:rPr>
      </w:pPr>
      <w:bookmarkStart w:id="77" w:name="OLE_LINK1712"/>
      <w:bookmarkStart w:id="78" w:name="OLE_LINK2150"/>
      <w:bookmarkStart w:id="79" w:name="OLE_LINK2089"/>
      <w:bookmarkStart w:id="80" w:name="OLE_LINK1979"/>
      <w:bookmarkStart w:id="81" w:name="OLE_LINK1978"/>
      <w:bookmarkStart w:id="82" w:name="OLE_LINK1974"/>
      <w:bookmarkStart w:id="83" w:name="OLE_LINK1973"/>
      <w:bookmarkStart w:id="84" w:name="OLE_LINK1966"/>
      <w:bookmarkStart w:id="85" w:name="OLE_LINK1965"/>
      <w:bookmarkStart w:id="86" w:name="OLE_LINK1961"/>
      <w:bookmarkStart w:id="87" w:name="OLE_LINK1960"/>
      <w:bookmarkStart w:id="88" w:name="OLE_LINK1959"/>
      <w:bookmarkStart w:id="89" w:name="OLE_LINK1730"/>
      <w:bookmarkStart w:id="90" w:name="OLE_LINK2001"/>
      <w:bookmarkStart w:id="91" w:name="OLE_LINK2000"/>
      <w:bookmarkStart w:id="92" w:name="OLE_LINK580"/>
      <w:bookmarkStart w:id="93" w:name="OLE_LINK1779"/>
      <w:bookmarkStart w:id="94" w:name="OLE_LINK1757"/>
      <w:bookmarkStart w:id="95" w:name="OLE_LINK1602"/>
      <w:bookmarkStart w:id="96" w:name="OLE_LINK1601"/>
      <w:bookmarkStart w:id="97" w:name="OLE_LINK1509"/>
      <w:bookmarkStart w:id="98" w:name="OLE_LINK1542"/>
      <w:bookmarkStart w:id="99" w:name="OLE_LINK1541"/>
      <w:bookmarkStart w:id="100" w:name="OLE_LINK1153"/>
      <w:bookmarkStart w:id="101" w:name="OLE_LINK1014"/>
      <w:bookmarkStart w:id="102" w:name="OLE_LINK971"/>
      <w:bookmarkStart w:id="103" w:name="OLE_LINK1213"/>
      <w:bookmarkStart w:id="104" w:name="OLE_LINK1124"/>
      <w:bookmarkStart w:id="105" w:name="OLE_LINK990"/>
      <w:bookmarkStart w:id="106" w:name="OLE_LINK989"/>
      <w:bookmarkStart w:id="107" w:name="OLE_LINK1109"/>
      <w:bookmarkStart w:id="108" w:name="OLE_LINK1108"/>
      <w:bookmarkStart w:id="109" w:name="OLE_LINK1107"/>
      <w:bookmarkStart w:id="110" w:name="OLE_LINK934"/>
      <w:bookmarkStart w:id="111" w:name="OLE_LINK245"/>
      <w:bookmarkStart w:id="112" w:name="OLE_LINK218"/>
      <w:bookmarkStart w:id="113" w:name="OLE_LINK67"/>
      <w:bookmarkStart w:id="114" w:name="OLE_LINK64"/>
      <w:bookmarkStart w:id="115" w:name="OLE_LINK924"/>
      <w:bookmarkStart w:id="116" w:name="OLE_LINK923"/>
      <w:bookmarkStart w:id="117" w:name="OLE_LINK775"/>
      <w:r w:rsidRPr="0062316F">
        <w:rPr>
          <w:rFonts w:ascii="Book Antiqua" w:hAnsi="Book Antiqua" w:cs="Times New Roman"/>
          <w:b/>
          <w:kern w:val="2"/>
          <w:sz w:val="24"/>
          <w:szCs w:val="24"/>
        </w:rPr>
        <w:lastRenderedPageBreak/>
        <w:t xml:space="preserve">Received: </w:t>
      </w:r>
      <w:bookmarkStart w:id="118" w:name="OLE_LINK2487"/>
      <w:bookmarkStart w:id="119" w:name="OLE_LINK2486"/>
      <w:r w:rsidRPr="0062316F">
        <w:rPr>
          <w:rFonts w:ascii="Book Antiqua" w:hAnsi="Book Antiqua" w:cs="Times New Roman"/>
          <w:kern w:val="2"/>
          <w:sz w:val="24"/>
          <w:szCs w:val="24"/>
        </w:rPr>
        <w:t>February 6, 201</w:t>
      </w:r>
      <w:bookmarkEnd w:id="118"/>
      <w:bookmarkEnd w:id="119"/>
      <w:r w:rsidRPr="0062316F">
        <w:rPr>
          <w:rFonts w:ascii="Book Antiqua" w:hAnsi="Book Antiqua" w:cs="Times New Roman"/>
          <w:kern w:val="2"/>
          <w:sz w:val="24"/>
          <w:szCs w:val="24"/>
        </w:rPr>
        <w:t>9</w:t>
      </w:r>
    </w:p>
    <w:p w14:paraId="6A53B914" w14:textId="0E57471F" w:rsidR="005B2907" w:rsidRPr="0062316F" w:rsidRDefault="005B2907" w:rsidP="0062316F">
      <w:pPr>
        <w:widowControl w:val="0"/>
        <w:spacing w:after="0" w:line="360" w:lineRule="auto"/>
        <w:jc w:val="both"/>
        <w:rPr>
          <w:rFonts w:ascii="Book Antiqua" w:hAnsi="Book Antiqua" w:cs="Times New Roman"/>
          <w:b/>
          <w:kern w:val="2"/>
          <w:sz w:val="24"/>
          <w:szCs w:val="24"/>
        </w:rPr>
      </w:pPr>
      <w:r w:rsidRPr="0062316F">
        <w:rPr>
          <w:rFonts w:ascii="Book Antiqua" w:hAnsi="Book Antiqua" w:cs="Times New Roman"/>
          <w:b/>
          <w:kern w:val="2"/>
          <w:sz w:val="24"/>
          <w:szCs w:val="24"/>
        </w:rPr>
        <w:t xml:space="preserve">Peer-review started: </w:t>
      </w:r>
      <w:r w:rsidRPr="0062316F">
        <w:rPr>
          <w:rFonts w:ascii="Book Antiqua" w:hAnsi="Book Antiqua" w:cs="Times New Roman"/>
          <w:kern w:val="2"/>
          <w:sz w:val="24"/>
          <w:szCs w:val="24"/>
        </w:rPr>
        <w:t>February 12, 2019</w:t>
      </w:r>
    </w:p>
    <w:p w14:paraId="28F02CFA" w14:textId="77777777" w:rsidR="005B2907" w:rsidRPr="0062316F" w:rsidRDefault="005B2907" w:rsidP="0062316F">
      <w:pPr>
        <w:widowControl w:val="0"/>
        <w:spacing w:after="0" w:line="360" w:lineRule="auto"/>
        <w:jc w:val="both"/>
        <w:rPr>
          <w:rFonts w:ascii="Book Antiqua" w:hAnsi="Book Antiqua" w:cs="Times New Roman"/>
          <w:b/>
          <w:kern w:val="2"/>
          <w:sz w:val="24"/>
          <w:szCs w:val="24"/>
        </w:rPr>
      </w:pPr>
      <w:r w:rsidRPr="0062316F">
        <w:rPr>
          <w:rFonts w:ascii="Book Antiqua" w:hAnsi="Book Antiqua" w:cs="Times New Roman"/>
          <w:b/>
          <w:kern w:val="2"/>
          <w:sz w:val="24"/>
          <w:szCs w:val="24"/>
        </w:rPr>
        <w:t xml:space="preserve">First decision: </w:t>
      </w:r>
      <w:bookmarkStart w:id="120" w:name="OLE_LINK2489"/>
      <w:bookmarkStart w:id="121" w:name="OLE_LINK2488"/>
      <w:r w:rsidRPr="0062316F">
        <w:rPr>
          <w:rFonts w:ascii="Book Antiqua" w:hAnsi="Book Antiqua" w:cs="Times New Roman"/>
          <w:kern w:val="2"/>
          <w:sz w:val="24"/>
          <w:szCs w:val="24"/>
        </w:rPr>
        <w:t>March 15, 201</w:t>
      </w:r>
      <w:bookmarkEnd w:id="120"/>
      <w:bookmarkEnd w:id="121"/>
      <w:r w:rsidRPr="0062316F">
        <w:rPr>
          <w:rFonts w:ascii="Book Antiqua" w:hAnsi="Book Antiqua" w:cs="Times New Roman"/>
          <w:kern w:val="2"/>
          <w:sz w:val="24"/>
          <w:szCs w:val="24"/>
        </w:rPr>
        <w:t>9</w:t>
      </w:r>
    </w:p>
    <w:p w14:paraId="20FA3E33" w14:textId="0001929F" w:rsidR="005B2907" w:rsidRPr="0062316F" w:rsidRDefault="005B2907" w:rsidP="0062316F">
      <w:pPr>
        <w:widowControl w:val="0"/>
        <w:spacing w:after="0" w:line="360" w:lineRule="auto"/>
        <w:jc w:val="both"/>
        <w:rPr>
          <w:rFonts w:ascii="Book Antiqua" w:hAnsi="Book Antiqua" w:cs="Times New Roman"/>
          <w:b/>
          <w:kern w:val="2"/>
          <w:sz w:val="24"/>
          <w:szCs w:val="24"/>
        </w:rPr>
      </w:pPr>
      <w:r w:rsidRPr="0062316F">
        <w:rPr>
          <w:rFonts w:ascii="Book Antiqua" w:hAnsi="Book Antiqua" w:cs="Times New Roman"/>
          <w:b/>
          <w:kern w:val="2"/>
          <w:sz w:val="24"/>
          <w:szCs w:val="24"/>
        </w:rPr>
        <w:t xml:space="preserve">Revised: </w:t>
      </w:r>
      <w:r w:rsidRPr="0062316F">
        <w:rPr>
          <w:rFonts w:ascii="Book Antiqua" w:hAnsi="Book Antiqua" w:cs="Times New Roman"/>
          <w:kern w:val="2"/>
          <w:sz w:val="24"/>
          <w:szCs w:val="24"/>
        </w:rPr>
        <w:t>March 26, 2019</w:t>
      </w:r>
    </w:p>
    <w:p w14:paraId="3B30FA07" w14:textId="66298672" w:rsidR="005B2907" w:rsidRPr="0062316F" w:rsidRDefault="005B2907" w:rsidP="0062316F">
      <w:pPr>
        <w:widowControl w:val="0"/>
        <w:spacing w:after="0" w:line="360" w:lineRule="auto"/>
        <w:jc w:val="both"/>
        <w:rPr>
          <w:rFonts w:ascii="Book Antiqua" w:hAnsi="Book Antiqua" w:cs="Times New Roman"/>
          <w:b/>
          <w:kern w:val="2"/>
          <w:sz w:val="24"/>
          <w:szCs w:val="24"/>
        </w:rPr>
      </w:pPr>
      <w:r w:rsidRPr="0062316F">
        <w:rPr>
          <w:rFonts w:ascii="Book Antiqua" w:hAnsi="Book Antiqua" w:cs="Times New Roman"/>
          <w:b/>
          <w:kern w:val="2"/>
          <w:sz w:val="24"/>
          <w:szCs w:val="24"/>
        </w:rPr>
        <w:t>Accepted:</w:t>
      </w:r>
      <w:r w:rsidRPr="0062316F">
        <w:rPr>
          <w:rFonts w:ascii="Book Antiqua" w:hAnsi="Book Antiqua" w:cs="Times New Roman"/>
          <w:kern w:val="2"/>
          <w:sz w:val="24"/>
          <w:szCs w:val="24"/>
        </w:rPr>
        <w:t xml:space="preserve"> </w:t>
      </w:r>
      <w:r w:rsidR="00EF5815">
        <w:rPr>
          <w:rFonts w:ascii="Book Antiqua" w:hAnsi="Book Antiqua" w:cs="Times New Roman"/>
          <w:kern w:val="2"/>
          <w:sz w:val="24"/>
          <w:szCs w:val="24"/>
        </w:rPr>
        <w:t>May 14, 2019</w:t>
      </w:r>
    </w:p>
    <w:p w14:paraId="60F4ADAA" w14:textId="77777777" w:rsidR="005B2907" w:rsidRPr="0062316F" w:rsidRDefault="005B2907" w:rsidP="0062316F">
      <w:pPr>
        <w:widowControl w:val="0"/>
        <w:spacing w:after="0" w:line="360" w:lineRule="auto"/>
        <w:jc w:val="both"/>
        <w:rPr>
          <w:rFonts w:ascii="Book Antiqua" w:hAnsi="Book Antiqua" w:cs="Times New Roman"/>
          <w:b/>
          <w:kern w:val="2"/>
          <w:sz w:val="24"/>
          <w:szCs w:val="24"/>
        </w:rPr>
      </w:pPr>
      <w:r w:rsidRPr="0062316F">
        <w:rPr>
          <w:rFonts w:ascii="Book Antiqua" w:hAnsi="Book Antiqua" w:cs="Times New Roman"/>
          <w:b/>
          <w:kern w:val="2"/>
          <w:sz w:val="24"/>
          <w:szCs w:val="24"/>
        </w:rPr>
        <w:t>Article in press:</w:t>
      </w:r>
    </w:p>
    <w:p w14:paraId="5DAB6C7B" w14:textId="045A5E9A" w:rsidR="00E9347F" w:rsidRPr="0062316F" w:rsidRDefault="005B2907" w:rsidP="0062316F">
      <w:pPr>
        <w:spacing w:after="0" w:line="360" w:lineRule="auto"/>
        <w:jc w:val="both"/>
        <w:rPr>
          <w:rFonts w:ascii="Book Antiqua" w:hAnsi="Book Antiqua" w:cs="Times New Roman"/>
          <w:bCs/>
          <w:sz w:val="24"/>
          <w:szCs w:val="24"/>
          <w:lang w:bidi="th-TH"/>
        </w:rPr>
      </w:pPr>
      <w:r w:rsidRPr="0062316F">
        <w:rPr>
          <w:rFonts w:ascii="Book Antiqua" w:hAnsi="Book Antiqua" w:cs="Times New Roman"/>
          <w:b/>
          <w:kern w:val="2"/>
          <w:sz w:val="24"/>
          <w:szCs w:val="24"/>
        </w:rPr>
        <w:t>Published online</w:t>
      </w:r>
      <w:bookmarkEnd w:id="77"/>
      <w:r w:rsidRPr="0062316F">
        <w:rPr>
          <w:rFonts w:ascii="Book Antiqua" w:hAnsi="Book Antiqua" w:cs="Times New Roman"/>
          <w:b/>
          <w:kern w:val="2"/>
          <w:sz w:val="24"/>
          <w:szCs w:val="24"/>
        </w:rPr>
        <w: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02EB378F" w14:textId="77777777" w:rsidR="00E9347F" w:rsidRPr="0062316F" w:rsidRDefault="00E9347F" w:rsidP="0062316F">
      <w:pPr>
        <w:spacing w:after="0" w:line="360" w:lineRule="auto"/>
        <w:jc w:val="both"/>
        <w:rPr>
          <w:rFonts w:ascii="Book Antiqua" w:hAnsi="Book Antiqua" w:cs="Times New Roman"/>
          <w:bCs/>
          <w:sz w:val="24"/>
          <w:szCs w:val="24"/>
          <w:lang w:bidi="th-TH"/>
        </w:rPr>
      </w:pPr>
      <w:r w:rsidRPr="0062316F">
        <w:rPr>
          <w:rFonts w:ascii="Book Antiqua" w:hAnsi="Book Antiqua" w:cs="Times New Roman"/>
          <w:bCs/>
          <w:sz w:val="24"/>
          <w:szCs w:val="24"/>
          <w:lang w:bidi="th-TH"/>
        </w:rPr>
        <w:br w:type="page"/>
      </w:r>
    </w:p>
    <w:p w14:paraId="7CBFD60A" w14:textId="77777777"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lastRenderedPageBreak/>
        <w:t>Abstract</w:t>
      </w:r>
    </w:p>
    <w:p w14:paraId="44D693D1" w14:textId="2BA6C5BD" w:rsidR="005B2907" w:rsidRPr="0062316F" w:rsidRDefault="005B2907"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BACKGROUND</w:t>
      </w:r>
    </w:p>
    <w:p w14:paraId="4AD16603" w14:textId="0F4477AA"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The adverse renal effects of proton pump inhibitors (PPIs) are increasingly recognized in both the general population and patients with chronic kidney disease. Several pharmacokinetic studies have also raised concerns regarding the interaction between PPIs and immunosuppressive drugs in transplant patients. Whether the adverse effects of PPIs have a clinical significance in kidney transplant recipients remains unclear. We performed this meta-analysis to assess the risk of adverse effects in kidney transplant recipients on PPI compared with those without PPI exposure.</w:t>
      </w:r>
    </w:p>
    <w:p w14:paraId="50AF6336" w14:textId="77777777" w:rsidR="005B2907" w:rsidRPr="0062316F" w:rsidRDefault="005B2907" w:rsidP="0062316F">
      <w:pPr>
        <w:spacing w:after="0" w:line="360" w:lineRule="auto"/>
        <w:jc w:val="both"/>
        <w:rPr>
          <w:rFonts w:ascii="Book Antiqua" w:hAnsi="Book Antiqua" w:cs="Times New Roman"/>
          <w:sz w:val="24"/>
          <w:szCs w:val="24"/>
        </w:rPr>
      </w:pPr>
    </w:p>
    <w:p w14:paraId="1BE5EDB4" w14:textId="58FB4C29" w:rsidR="005B2907" w:rsidRPr="0062316F" w:rsidRDefault="005B2907"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AIMS</w:t>
      </w:r>
    </w:p>
    <w:p w14:paraId="5D8C391C" w14:textId="5DA65384"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To investigate the risk of acute rejection, graft loss, hypomagnesemia, renal dysfunction, and overall mortality in kidney transplant recipients on PPI compared with those without PPI exposure.</w:t>
      </w:r>
    </w:p>
    <w:p w14:paraId="50DED66E" w14:textId="77777777" w:rsidR="005B2907" w:rsidRPr="0062316F" w:rsidRDefault="005B2907" w:rsidP="0062316F">
      <w:pPr>
        <w:spacing w:after="0" w:line="360" w:lineRule="auto"/>
        <w:jc w:val="both"/>
        <w:rPr>
          <w:rFonts w:ascii="Book Antiqua" w:hAnsi="Book Antiqua" w:cs="Times New Roman"/>
          <w:sz w:val="24"/>
          <w:szCs w:val="24"/>
        </w:rPr>
      </w:pPr>
    </w:p>
    <w:p w14:paraId="063906BD" w14:textId="077E03F7" w:rsidR="005B2907" w:rsidRPr="0062316F" w:rsidRDefault="005B2907" w:rsidP="0062316F">
      <w:pPr>
        <w:spacing w:after="0" w:line="360" w:lineRule="auto"/>
        <w:jc w:val="both"/>
        <w:rPr>
          <w:rFonts w:ascii="Book Antiqua" w:hAnsi="Book Antiqua" w:cs="Times New Roman"/>
          <w:i/>
          <w:sz w:val="24"/>
          <w:szCs w:val="24"/>
        </w:rPr>
      </w:pPr>
      <w:r w:rsidRPr="0062316F">
        <w:rPr>
          <w:rFonts w:ascii="Book Antiqua" w:hAnsi="Book Antiqua" w:cs="Times New Roman"/>
          <w:b/>
          <w:i/>
          <w:sz w:val="24"/>
          <w:szCs w:val="24"/>
        </w:rPr>
        <w:t>METHODS</w:t>
      </w:r>
    </w:p>
    <w:p w14:paraId="0A1A17D2" w14:textId="191A1F9D"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 xml:space="preserve">A systematic review was conducted in MEDLINE, EMBASE, and Cochrane databases from inception through October 2018 to identify studies that evaluated the adverse effects of PPIs in kidney transplant recipients, including biopsy-proven acute rejection, graft loss, hypomagnesemia, renal function, and overall mortality. Effect estimates from the individual studies were extracted and combined using random-effect, generic inverse variance method of </w:t>
      </w:r>
      <w:proofErr w:type="spellStart"/>
      <w:r w:rsidRPr="0062316F">
        <w:rPr>
          <w:rFonts w:ascii="Book Antiqua" w:hAnsi="Book Antiqua" w:cs="Times New Roman"/>
          <w:sz w:val="24"/>
          <w:szCs w:val="24"/>
        </w:rPr>
        <w:t>DerSimonian</w:t>
      </w:r>
      <w:proofErr w:type="spellEnd"/>
      <w:r w:rsidRPr="0062316F">
        <w:rPr>
          <w:rFonts w:ascii="Book Antiqua" w:hAnsi="Book Antiqua" w:cs="Times New Roman"/>
          <w:sz w:val="24"/>
          <w:szCs w:val="24"/>
        </w:rPr>
        <w:t xml:space="preserve"> and Laird.</w:t>
      </w:r>
      <w:r w:rsidR="009228DB" w:rsidRPr="0062316F">
        <w:rPr>
          <w:rFonts w:ascii="Book Antiqua" w:hAnsi="Book Antiqua"/>
          <w:sz w:val="24"/>
          <w:szCs w:val="24"/>
        </w:rPr>
        <w:t xml:space="preserve"> </w:t>
      </w:r>
      <w:r w:rsidR="009228DB" w:rsidRPr="0062316F">
        <w:rPr>
          <w:rFonts w:ascii="Book Antiqua" w:hAnsi="Book Antiqua" w:cs="Times New Roman"/>
          <w:sz w:val="24"/>
          <w:szCs w:val="24"/>
        </w:rPr>
        <w:t>The protocol for this meta-analysis is registered with PROSPERO</w:t>
      </w:r>
      <w:r w:rsidR="005B2907" w:rsidRPr="0062316F">
        <w:rPr>
          <w:rFonts w:ascii="Book Antiqua" w:hAnsi="Book Antiqua" w:cs="Times New Roman"/>
          <w:sz w:val="24"/>
          <w:szCs w:val="24"/>
        </w:rPr>
        <w:t>, No.</w:t>
      </w:r>
      <w:r w:rsidR="009228DB" w:rsidRPr="0062316F">
        <w:rPr>
          <w:rFonts w:ascii="Book Antiqua" w:hAnsi="Book Antiqua" w:cs="Times New Roman"/>
          <w:sz w:val="24"/>
          <w:szCs w:val="24"/>
        </w:rPr>
        <w:t xml:space="preserve"> CRD42018115676.</w:t>
      </w:r>
    </w:p>
    <w:p w14:paraId="1A3B8348" w14:textId="77777777" w:rsidR="005B2907" w:rsidRPr="0062316F" w:rsidRDefault="005B2907" w:rsidP="0062316F">
      <w:pPr>
        <w:spacing w:after="0" w:line="360" w:lineRule="auto"/>
        <w:jc w:val="both"/>
        <w:rPr>
          <w:rFonts w:ascii="Book Antiqua" w:hAnsi="Book Antiqua" w:cs="Times New Roman"/>
          <w:sz w:val="24"/>
          <w:szCs w:val="24"/>
        </w:rPr>
      </w:pPr>
    </w:p>
    <w:p w14:paraId="32AC02CD" w14:textId="36822657" w:rsidR="005B2907" w:rsidRPr="0062316F" w:rsidRDefault="005B2907"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RESULTS</w:t>
      </w:r>
    </w:p>
    <w:p w14:paraId="644BBAD9" w14:textId="68459AF9"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Fourteen observational studies with 67</w:t>
      </w:r>
      <w:r w:rsidR="00A53E4B" w:rsidRPr="0062316F">
        <w:rPr>
          <w:rFonts w:ascii="Book Antiqua" w:hAnsi="Book Antiqua" w:cs="Times New Roman"/>
          <w:sz w:val="24"/>
          <w:szCs w:val="24"/>
        </w:rPr>
        <w:t>86 kidney transplant recipients</w:t>
      </w:r>
      <w:r w:rsidRPr="0062316F">
        <w:rPr>
          <w:rFonts w:ascii="Book Antiqua" w:hAnsi="Book Antiqua" w:cs="Times New Roman"/>
          <w:sz w:val="24"/>
          <w:szCs w:val="24"/>
        </w:rPr>
        <w:t xml:space="preserve"> were enrolled. No significant association was found between PPI exposure and the risk of biopsy-proven acute rejection at ≥</w:t>
      </w:r>
      <w:r w:rsidR="005B2907" w:rsidRPr="0062316F">
        <w:rPr>
          <w:rFonts w:ascii="Book Antiqua" w:hAnsi="Book Antiqua" w:cs="Times New Roman"/>
          <w:sz w:val="24"/>
          <w:szCs w:val="24"/>
        </w:rPr>
        <w:t xml:space="preserve"> </w:t>
      </w:r>
      <w:r w:rsidRPr="0062316F">
        <w:rPr>
          <w:rFonts w:ascii="Book Antiqua" w:hAnsi="Book Antiqua" w:cs="Times New Roman"/>
          <w:sz w:val="24"/>
          <w:szCs w:val="24"/>
        </w:rPr>
        <w:t xml:space="preserve">1 year </w:t>
      </w:r>
      <w:r w:rsidR="005B2907" w:rsidRPr="0062316F">
        <w:rPr>
          <w:rFonts w:ascii="Book Antiqua" w:hAnsi="Book Antiqua" w:cs="Times New Roman"/>
          <w:sz w:val="24"/>
          <w:szCs w:val="24"/>
        </w:rPr>
        <w:t>[</w:t>
      </w:r>
      <w:r w:rsidRPr="0062316F">
        <w:rPr>
          <w:rFonts w:ascii="Book Antiqua" w:hAnsi="Book Antiqua" w:cs="Times New Roman"/>
          <w:sz w:val="24"/>
          <w:szCs w:val="24"/>
        </w:rPr>
        <w:t xml:space="preserve">pooled odds ratio </w:t>
      </w:r>
      <w:r w:rsidR="005B2907" w:rsidRPr="0062316F">
        <w:rPr>
          <w:rFonts w:ascii="Book Antiqua" w:hAnsi="Book Antiqua" w:cs="Times New Roman"/>
          <w:sz w:val="24"/>
          <w:szCs w:val="24"/>
        </w:rPr>
        <w:t>(</w:t>
      </w:r>
      <w:r w:rsidRPr="0062316F">
        <w:rPr>
          <w:rFonts w:ascii="Book Antiqua" w:hAnsi="Book Antiqua" w:cs="Times New Roman"/>
          <w:sz w:val="24"/>
          <w:szCs w:val="24"/>
        </w:rPr>
        <w:t>OR</w:t>
      </w:r>
      <w:r w:rsidR="005B2907" w:rsidRPr="0062316F">
        <w:rPr>
          <w:rFonts w:ascii="Book Antiqua" w:hAnsi="Book Antiqua" w:cs="Times New Roman"/>
          <w:sz w:val="24"/>
          <w:szCs w:val="24"/>
        </w:rPr>
        <w:t>)</w:t>
      </w:r>
      <w:r w:rsidRPr="0062316F">
        <w:rPr>
          <w:rFonts w:ascii="Book Antiqua" w:hAnsi="Book Antiqua" w:cs="Times New Roman"/>
          <w:sz w:val="24"/>
          <w:szCs w:val="24"/>
        </w:rPr>
        <w:t xml:space="preserve">, 1.25; 95% confidence interval </w:t>
      </w:r>
      <w:r w:rsidR="005B2907" w:rsidRPr="0062316F">
        <w:rPr>
          <w:rFonts w:ascii="Book Antiqua" w:hAnsi="Book Antiqua" w:cs="Times New Roman"/>
          <w:sz w:val="24"/>
          <w:szCs w:val="24"/>
        </w:rPr>
        <w:t>(</w:t>
      </w:r>
      <w:r w:rsidRPr="0062316F">
        <w:rPr>
          <w:rFonts w:ascii="Book Antiqua" w:hAnsi="Book Antiqua" w:cs="Times New Roman"/>
          <w:sz w:val="24"/>
          <w:szCs w:val="24"/>
        </w:rPr>
        <w:t>CI</w:t>
      </w:r>
      <w:r w:rsidR="005B2907" w:rsidRPr="0062316F">
        <w:rPr>
          <w:rFonts w:ascii="Book Antiqua" w:hAnsi="Book Antiqua" w:cs="Times New Roman"/>
          <w:sz w:val="24"/>
          <w:szCs w:val="24"/>
        </w:rPr>
        <w:t>)</w:t>
      </w:r>
      <w:r w:rsidRPr="0062316F">
        <w:rPr>
          <w:rFonts w:ascii="Book Antiqua" w:hAnsi="Book Antiqua" w:cs="Times New Roman"/>
          <w:sz w:val="24"/>
          <w:szCs w:val="24"/>
        </w:rPr>
        <w:t xml:space="preserve">, 0.82–1.91, </w:t>
      </w:r>
      <w:r w:rsidRPr="0062316F">
        <w:rPr>
          <w:rFonts w:ascii="Book Antiqua" w:hAnsi="Book Antiqua" w:cs="Times New Roman"/>
          <w:i/>
          <w:sz w:val="24"/>
          <w:szCs w:val="24"/>
        </w:rPr>
        <w:t>I</w:t>
      </w:r>
      <w:r w:rsidRPr="0062316F">
        <w:rPr>
          <w:rFonts w:ascii="Book Antiqua" w:hAnsi="Book Antiqua" w:cs="Times New Roman"/>
          <w:i/>
          <w:sz w:val="24"/>
          <w:szCs w:val="24"/>
          <w:vertAlign w:val="superscript"/>
        </w:rPr>
        <w:t>2</w:t>
      </w:r>
      <w:r w:rsidR="005B2907" w:rsidRPr="0062316F">
        <w:rPr>
          <w:rFonts w:ascii="Book Antiqua" w:hAnsi="Book Antiqua" w:cs="Times New Roman"/>
          <w:sz w:val="24"/>
          <w:szCs w:val="24"/>
        </w:rPr>
        <w:t xml:space="preserve"> </w:t>
      </w:r>
      <w:r w:rsidRPr="0062316F">
        <w:rPr>
          <w:rFonts w:ascii="Book Antiqua" w:hAnsi="Book Antiqua" w:cs="Times New Roman"/>
          <w:sz w:val="24"/>
          <w:szCs w:val="24"/>
        </w:rPr>
        <w:t>= 55%), graft loss at 1 year (pooled OR</w:t>
      </w:r>
      <w:r w:rsidR="00536A7A">
        <w:rPr>
          <w:rFonts w:ascii="Book Antiqua" w:hAnsi="Book Antiqua" w:cs="Times New Roman"/>
          <w:sz w:val="24"/>
          <w:szCs w:val="24"/>
        </w:rPr>
        <w:t xml:space="preserve"> =</w:t>
      </w:r>
      <w:r w:rsidRPr="0062316F">
        <w:rPr>
          <w:rFonts w:ascii="Book Antiqua" w:hAnsi="Book Antiqua" w:cs="Times New Roman"/>
          <w:sz w:val="24"/>
          <w:szCs w:val="24"/>
        </w:rPr>
        <w:t xml:space="preserve"> 1.30</w:t>
      </w:r>
      <w:r w:rsidR="00536A7A">
        <w:rPr>
          <w:rFonts w:ascii="Book Antiqua" w:hAnsi="Book Antiqua" w:cs="Times New Roman"/>
          <w:sz w:val="24"/>
          <w:szCs w:val="24"/>
        </w:rPr>
        <w:t>,</w:t>
      </w:r>
      <w:r w:rsidRPr="0062316F">
        <w:rPr>
          <w:rFonts w:ascii="Book Antiqua" w:hAnsi="Book Antiqua" w:cs="Times New Roman"/>
          <w:sz w:val="24"/>
          <w:szCs w:val="24"/>
        </w:rPr>
        <w:t xml:space="preserve"> 95%CI</w:t>
      </w:r>
      <w:r w:rsidR="00536A7A">
        <w:rPr>
          <w:rFonts w:ascii="Book Antiqua" w:hAnsi="Book Antiqua" w:cs="Times New Roman"/>
          <w:sz w:val="24"/>
          <w:szCs w:val="24"/>
        </w:rPr>
        <w:t>:</w:t>
      </w:r>
      <w:r w:rsidRPr="0062316F">
        <w:rPr>
          <w:rFonts w:ascii="Book Antiqua" w:hAnsi="Book Antiqua" w:cs="Times New Roman"/>
          <w:sz w:val="24"/>
          <w:szCs w:val="24"/>
        </w:rPr>
        <w:t xml:space="preserve"> 0.75</w:t>
      </w:r>
      <w:r w:rsidR="005B2907" w:rsidRPr="0062316F">
        <w:rPr>
          <w:rFonts w:ascii="Book Antiqua" w:hAnsi="Book Antiqua" w:cs="Times New Roman"/>
          <w:sz w:val="24"/>
          <w:szCs w:val="24"/>
        </w:rPr>
        <w:t>-</w:t>
      </w:r>
      <w:r w:rsidRPr="0062316F">
        <w:rPr>
          <w:rFonts w:ascii="Book Antiqua" w:hAnsi="Book Antiqua" w:cs="Times New Roman"/>
          <w:sz w:val="24"/>
          <w:szCs w:val="24"/>
        </w:rPr>
        <w:t xml:space="preserve">2.24, </w:t>
      </w:r>
      <w:r w:rsidRPr="0062316F">
        <w:rPr>
          <w:rFonts w:ascii="Book Antiqua" w:hAnsi="Book Antiqua" w:cs="Times New Roman"/>
          <w:i/>
          <w:sz w:val="24"/>
          <w:szCs w:val="24"/>
        </w:rPr>
        <w:t>I</w:t>
      </w:r>
      <w:r w:rsidRPr="0062316F">
        <w:rPr>
          <w:rFonts w:ascii="Book Antiqua" w:hAnsi="Book Antiqua" w:cs="Times New Roman"/>
          <w:i/>
          <w:sz w:val="24"/>
          <w:szCs w:val="24"/>
          <w:vertAlign w:val="superscript"/>
        </w:rPr>
        <w:t>2</w:t>
      </w:r>
      <w:r w:rsidR="005B2907" w:rsidRPr="0062316F">
        <w:rPr>
          <w:rFonts w:ascii="Book Antiqua" w:hAnsi="Book Antiqua" w:cs="Times New Roman"/>
          <w:sz w:val="24"/>
          <w:szCs w:val="24"/>
        </w:rPr>
        <w:t xml:space="preserve"> </w:t>
      </w:r>
      <w:r w:rsidRPr="0062316F">
        <w:rPr>
          <w:rFonts w:ascii="Book Antiqua" w:hAnsi="Book Antiqua" w:cs="Times New Roman"/>
          <w:sz w:val="24"/>
          <w:szCs w:val="24"/>
        </w:rPr>
        <w:t>= 0%) or 1-year mortality (pooled OR</w:t>
      </w:r>
      <w:r w:rsidR="00536A7A">
        <w:rPr>
          <w:rFonts w:ascii="Book Antiqua" w:hAnsi="Book Antiqua" w:cs="Times New Roman"/>
          <w:sz w:val="24"/>
          <w:szCs w:val="24"/>
        </w:rPr>
        <w:t xml:space="preserve"> =</w:t>
      </w:r>
      <w:r w:rsidRPr="0062316F">
        <w:rPr>
          <w:rFonts w:ascii="Book Antiqua" w:hAnsi="Book Antiqua" w:cs="Times New Roman"/>
          <w:sz w:val="24"/>
          <w:szCs w:val="24"/>
        </w:rPr>
        <w:t xml:space="preserve"> </w:t>
      </w:r>
      <w:bookmarkStart w:id="122" w:name="_Hlk536393162"/>
      <w:r w:rsidRPr="0062316F">
        <w:rPr>
          <w:rFonts w:ascii="Book Antiqua" w:hAnsi="Book Antiqua" w:cs="Times New Roman"/>
          <w:sz w:val="24"/>
          <w:szCs w:val="24"/>
        </w:rPr>
        <w:t>1.53</w:t>
      </w:r>
      <w:r w:rsidR="00536A7A">
        <w:rPr>
          <w:rFonts w:ascii="Book Antiqua" w:hAnsi="Book Antiqua" w:cs="Times New Roman"/>
          <w:sz w:val="24"/>
          <w:szCs w:val="24"/>
        </w:rPr>
        <w:t>,</w:t>
      </w:r>
      <w:r w:rsidRPr="0062316F">
        <w:rPr>
          <w:rFonts w:ascii="Book Antiqua" w:hAnsi="Book Antiqua" w:cs="Times New Roman"/>
          <w:sz w:val="24"/>
          <w:szCs w:val="24"/>
        </w:rPr>
        <w:t xml:space="preserve"> 95%CI</w:t>
      </w:r>
      <w:r w:rsidR="00536A7A">
        <w:rPr>
          <w:rFonts w:ascii="Book Antiqua" w:hAnsi="Book Antiqua" w:cs="Times New Roman"/>
          <w:sz w:val="24"/>
          <w:szCs w:val="24"/>
        </w:rPr>
        <w:t>:</w:t>
      </w:r>
      <w:r w:rsidRPr="0062316F">
        <w:rPr>
          <w:rFonts w:ascii="Book Antiqua" w:hAnsi="Book Antiqua" w:cs="Times New Roman"/>
          <w:sz w:val="24"/>
          <w:szCs w:val="24"/>
        </w:rPr>
        <w:t xml:space="preserve"> 0.90</w:t>
      </w:r>
      <w:r w:rsidR="005B2907" w:rsidRPr="0062316F">
        <w:rPr>
          <w:rFonts w:ascii="Book Antiqua" w:hAnsi="Book Antiqua" w:cs="Times New Roman"/>
          <w:sz w:val="24"/>
          <w:szCs w:val="24"/>
        </w:rPr>
        <w:t>-</w:t>
      </w:r>
      <w:r w:rsidRPr="0062316F">
        <w:rPr>
          <w:rFonts w:ascii="Book Antiqua" w:hAnsi="Book Antiqua" w:cs="Times New Roman"/>
          <w:sz w:val="24"/>
          <w:szCs w:val="24"/>
        </w:rPr>
        <w:t>2.58,</w:t>
      </w:r>
      <w:r w:rsidRPr="0062316F">
        <w:rPr>
          <w:rFonts w:ascii="Book Antiqua" w:hAnsi="Book Antiqua" w:cs="Times New Roman"/>
          <w:i/>
          <w:sz w:val="24"/>
          <w:szCs w:val="24"/>
        </w:rPr>
        <w:t xml:space="preserve"> I</w:t>
      </w:r>
      <w:r w:rsidRPr="0062316F">
        <w:rPr>
          <w:rFonts w:ascii="Book Antiqua" w:hAnsi="Book Antiqua" w:cs="Times New Roman"/>
          <w:i/>
          <w:sz w:val="24"/>
          <w:szCs w:val="24"/>
          <w:vertAlign w:val="superscript"/>
        </w:rPr>
        <w:t>2</w:t>
      </w:r>
      <w:r w:rsidR="005B2907" w:rsidRPr="0062316F">
        <w:rPr>
          <w:rFonts w:ascii="Book Antiqua" w:hAnsi="Book Antiqua" w:cs="Times New Roman"/>
          <w:sz w:val="24"/>
          <w:szCs w:val="24"/>
        </w:rPr>
        <w:t xml:space="preserve"> </w:t>
      </w:r>
      <w:r w:rsidRPr="0062316F">
        <w:rPr>
          <w:rFonts w:ascii="Book Antiqua" w:hAnsi="Book Antiqua" w:cs="Times New Roman"/>
          <w:sz w:val="24"/>
          <w:szCs w:val="24"/>
        </w:rPr>
        <w:t>= 34%)</w:t>
      </w:r>
      <w:bookmarkEnd w:id="122"/>
      <w:r w:rsidRPr="0062316F">
        <w:rPr>
          <w:rFonts w:ascii="Book Antiqua" w:hAnsi="Book Antiqua" w:cs="Times New Roman"/>
          <w:sz w:val="24"/>
          <w:szCs w:val="24"/>
        </w:rPr>
        <w:t xml:space="preserve">. However, PPI exposure was </w:t>
      </w:r>
      <w:r w:rsidRPr="0062316F">
        <w:rPr>
          <w:rFonts w:ascii="Book Antiqua" w:hAnsi="Book Antiqua" w:cs="Times New Roman"/>
          <w:sz w:val="24"/>
          <w:szCs w:val="24"/>
        </w:rPr>
        <w:lastRenderedPageBreak/>
        <w:t>significantly associated with hypomagnesemia (pooled OR</w:t>
      </w:r>
      <w:r w:rsidR="00536A7A">
        <w:rPr>
          <w:rFonts w:ascii="Book Antiqua" w:hAnsi="Book Antiqua" w:cs="Times New Roman"/>
          <w:sz w:val="24"/>
          <w:szCs w:val="24"/>
        </w:rPr>
        <w:t xml:space="preserve"> =</w:t>
      </w:r>
      <w:r w:rsidRPr="0062316F">
        <w:rPr>
          <w:rFonts w:ascii="Book Antiqua" w:hAnsi="Book Antiqua" w:cs="Times New Roman"/>
          <w:sz w:val="24"/>
          <w:szCs w:val="24"/>
        </w:rPr>
        <w:t xml:space="preserve"> 1.56</w:t>
      </w:r>
      <w:r w:rsidR="00536A7A">
        <w:rPr>
          <w:rFonts w:ascii="Book Antiqua" w:hAnsi="Book Antiqua" w:cs="Times New Roman"/>
          <w:sz w:val="24"/>
          <w:szCs w:val="24"/>
        </w:rPr>
        <w:t>,</w:t>
      </w:r>
      <w:r w:rsidRPr="0062316F">
        <w:rPr>
          <w:rFonts w:ascii="Book Antiqua" w:hAnsi="Book Antiqua" w:cs="Times New Roman"/>
          <w:sz w:val="24"/>
          <w:szCs w:val="24"/>
        </w:rPr>
        <w:t xml:space="preserve"> 95%CI</w:t>
      </w:r>
      <w:r w:rsidR="00536A7A">
        <w:rPr>
          <w:rFonts w:ascii="Book Antiqua" w:hAnsi="Book Antiqua" w:cs="Times New Roman"/>
          <w:sz w:val="24"/>
          <w:szCs w:val="24"/>
        </w:rPr>
        <w:t>:</w:t>
      </w:r>
      <w:r w:rsidRPr="0062316F">
        <w:rPr>
          <w:rFonts w:ascii="Book Antiqua" w:hAnsi="Book Antiqua" w:cs="Times New Roman"/>
          <w:sz w:val="24"/>
          <w:szCs w:val="24"/>
        </w:rPr>
        <w:t xml:space="preserve"> 1.19</w:t>
      </w:r>
      <w:r w:rsidR="005B2907" w:rsidRPr="0062316F">
        <w:rPr>
          <w:rFonts w:ascii="Book Antiqua" w:hAnsi="Book Antiqua" w:cs="Times New Roman"/>
          <w:sz w:val="24"/>
          <w:szCs w:val="24"/>
        </w:rPr>
        <w:t>-</w:t>
      </w:r>
      <w:r w:rsidRPr="0062316F">
        <w:rPr>
          <w:rFonts w:ascii="Book Antiqua" w:hAnsi="Book Antiqua" w:cs="Times New Roman"/>
          <w:sz w:val="24"/>
          <w:szCs w:val="24"/>
        </w:rPr>
        <w:t xml:space="preserve">2.05, </w:t>
      </w:r>
      <w:r w:rsidRPr="0062316F">
        <w:rPr>
          <w:rFonts w:ascii="Book Antiqua" w:hAnsi="Book Antiqua" w:cs="Times New Roman"/>
          <w:i/>
          <w:sz w:val="24"/>
          <w:szCs w:val="24"/>
        </w:rPr>
        <w:t>I</w:t>
      </w:r>
      <w:r w:rsidRPr="0062316F">
        <w:rPr>
          <w:rFonts w:ascii="Book Antiqua" w:hAnsi="Book Antiqua" w:cs="Times New Roman"/>
          <w:i/>
          <w:sz w:val="24"/>
          <w:szCs w:val="24"/>
          <w:vertAlign w:val="superscript"/>
        </w:rPr>
        <w:t>2</w:t>
      </w:r>
      <w:r w:rsidR="005B2907" w:rsidRPr="0062316F">
        <w:rPr>
          <w:rFonts w:ascii="Book Antiqua" w:hAnsi="Book Antiqua" w:cs="Times New Roman"/>
          <w:sz w:val="24"/>
          <w:szCs w:val="24"/>
          <w:vertAlign w:val="superscript"/>
        </w:rPr>
        <w:t xml:space="preserve"> </w:t>
      </w:r>
      <w:r w:rsidRPr="0062316F">
        <w:rPr>
          <w:rFonts w:ascii="Book Antiqua" w:hAnsi="Book Antiqua" w:cs="Times New Roman"/>
          <w:sz w:val="24"/>
          <w:szCs w:val="24"/>
        </w:rPr>
        <w:t>= 27%). Funnel plots and Egger regression asymmetry test were performed and showed no publication bias.</w:t>
      </w:r>
    </w:p>
    <w:p w14:paraId="11DA825A" w14:textId="77777777" w:rsidR="005B2907" w:rsidRPr="0062316F" w:rsidRDefault="005B2907" w:rsidP="0062316F">
      <w:pPr>
        <w:spacing w:after="0" w:line="360" w:lineRule="auto"/>
        <w:jc w:val="both"/>
        <w:rPr>
          <w:rFonts w:ascii="Book Antiqua" w:hAnsi="Book Antiqua" w:cs="Times New Roman"/>
          <w:sz w:val="24"/>
          <w:szCs w:val="24"/>
        </w:rPr>
      </w:pPr>
    </w:p>
    <w:p w14:paraId="52CB2B80" w14:textId="4B9B0D00" w:rsidR="005B2907" w:rsidRPr="0062316F" w:rsidRDefault="005B2907"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CONCLUSION</w:t>
      </w:r>
    </w:p>
    <w:p w14:paraId="79E8BA93" w14:textId="0A82B0F4" w:rsidR="00962677"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PPI use was not associated with significant risks of higher acute rejection, graft loss, or 1-year mortality. However, the risk of hypomagnesemia was significantly increased with PPI use. </w:t>
      </w:r>
      <w:r w:rsidR="00160D60" w:rsidRPr="0062316F">
        <w:rPr>
          <w:rFonts w:ascii="Book Antiqua" w:hAnsi="Book Antiqua" w:cs="Times New Roman"/>
          <w:sz w:val="24"/>
          <w:szCs w:val="24"/>
        </w:rPr>
        <w:t>Thus</w:t>
      </w:r>
      <w:r w:rsidRPr="0062316F">
        <w:rPr>
          <w:rFonts w:ascii="Book Antiqua" w:hAnsi="Book Antiqua" w:cs="Times New Roman"/>
          <w:sz w:val="24"/>
          <w:szCs w:val="24"/>
        </w:rPr>
        <w:t xml:space="preserve">, </w:t>
      </w:r>
      <w:r w:rsidR="00160D60" w:rsidRPr="0062316F">
        <w:rPr>
          <w:rFonts w:ascii="Book Antiqua" w:hAnsi="Book Antiqua" w:cs="Times New Roman"/>
          <w:sz w:val="24"/>
          <w:szCs w:val="24"/>
        </w:rPr>
        <w:t>future studies are needed to assess the impact of PPIs on long-term outcomes</w:t>
      </w:r>
      <w:r w:rsidRPr="0062316F">
        <w:rPr>
          <w:rFonts w:ascii="Book Antiqua" w:hAnsi="Book Antiqua" w:cs="Times New Roman"/>
          <w:sz w:val="24"/>
          <w:szCs w:val="24"/>
        </w:rPr>
        <w:t>.</w:t>
      </w:r>
    </w:p>
    <w:p w14:paraId="7A46D1CB" w14:textId="77777777" w:rsidR="00962677" w:rsidRPr="0062316F" w:rsidRDefault="00962677" w:rsidP="0062316F">
      <w:pPr>
        <w:spacing w:after="0" w:line="360" w:lineRule="auto"/>
        <w:jc w:val="both"/>
        <w:rPr>
          <w:rFonts w:ascii="Book Antiqua" w:hAnsi="Book Antiqua" w:cs="Times New Roman"/>
          <w:sz w:val="24"/>
          <w:szCs w:val="24"/>
        </w:rPr>
      </w:pPr>
    </w:p>
    <w:p w14:paraId="09EB459F" w14:textId="7DE2B1B1" w:rsidR="00962677" w:rsidRPr="0062316F" w:rsidRDefault="00962677" w:rsidP="0062316F">
      <w:pPr>
        <w:spacing w:after="0" w:line="360" w:lineRule="auto"/>
        <w:jc w:val="both"/>
        <w:rPr>
          <w:rFonts w:ascii="Book Antiqua" w:hAnsi="Book Antiqua" w:cs="Times New Roman"/>
          <w:sz w:val="24"/>
          <w:szCs w:val="24"/>
        </w:rPr>
      </w:pPr>
      <w:r w:rsidRPr="0062316F">
        <w:rPr>
          <w:rFonts w:ascii="Book Antiqua" w:hAnsi="Book Antiqua" w:cs="Times New Roman"/>
          <w:b/>
          <w:sz w:val="24"/>
          <w:szCs w:val="24"/>
        </w:rPr>
        <w:t>Key</w:t>
      </w:r>
      <w:r w:rsidR="005B2907" w:rsidRPr="0062316F">
        <w:rPr>
          <w:rFonts w:ascii="Book Antiqua" w:hAnsi="Book Antiqua" w:cs="Times New Roman"/>
          <w:b/>
          <w:sz w:val="24"/>
          <w:szCs w:val="24"/>
        </w:rPr>
        <w:t xml:space="preserve"> </w:t>
      </w:r>
      <w:r w:rsidRPr="0062316F">
        <w:rPr>
          <w:rFonts w:ascii="Book Antiqua" w:hAnsi="Book Antiqua" w:cs="Times New Roman"/>
          <w:b/>
          <w:sz w:val="24"/>
          <w:szCs w:val="24"/>
        </w:rPr>
        <w:t>words:</w:t>
      </w:r>
      <w:r w:rsidRPr="0062316F">
        <w:rPr>
          <w:rFonts w:ascii="Book Antiqua" w:hAnsi="Book Antiqua" w:cs="Times New Roman"/>
          <w:bCs/>
          <w:sz w:val="24"/>
          <w:szCs w:val="24"/>
        </w:rPr>
        <w:t xml:space="preserve"> </w:t>
      </w:r>
      <w:bookmarkStart w:id="123" w:name="OLE_LINK22"/>
      <w:r w:rsidR="00050E8D" w:rsidRPr="0062316F">
        <w:rPr>
          <w:rFonts w:ascii="Book Antiqua" w:hAnsi="Book Antiqua" w:cs="Times New Roman"/>
          <w:sz w:val="24"/>
          <w:szCs w:val="24"/>
        </w:rPr>
        <w:t xml:space="preserve">Proton pump inhibitors; Kidney; Renal </w:t>
      </w:r>
      <w:r w:rsidR="005B2907" w:rsidRPr="0062316F">
        <w:rPr>
          <w:rFonts w:ascii="Book Antiqua" w:hAnsi="Book Antiqua" w:cs="Times New Roman"/>
          <w:sz w:val="24"/>
          <w:szCs w:val="24"/>
        </w:rPr>
        <w:t>transplantation</w:t>
      </w:r>
      <w:r w:rsidR="00050E8D" w:rsidRPr="0062316F">
        <w:rPr>
          <w:rFonts w:ascii="Book Antiqua" w:hAnsi="Book Antiqua" w:cs="Times New Roman"/>
          <w:sz w:val="24"/>
          <w:szCs w:val="24"/>
        </w:rPr>
        <w:t xml:space="preserve">; Meta-analysis </w:t>
      </w:r>
      <w:r w:rsidR="005B2907" w:rsidRPr="0062316F">
        <w:rPr>
          <w:rFonts w:ascii="Book Antiqua" w:hAnsi="Book Antiqua" w:cs="Times New Roman"/>
          <w:sz w:val="24"/>
          <w:szCs w:val="24"/>
        </w:rPr>
        <w:t>hypomagnesemia</w:t>
      </w:r>
      <w:r w:rsidR="00050E8D" w:rsidRPr="0062316F">
        <w:rPr>
          <w:rFonts w:ascii="Book Antiqua" w:hAnsi="Book Antiqua" w:cs="Times New Roman"/>
          <w:sz w:val="24"/>
          <w:szCs w:val="24"/>
        </w:rPr>
        <w:t>; Systematic reviews</w:t>
      </w:r>
    </w:p>
    <w:bookmarkEnd w:id="123"/>
    <w:p w14:paraId="21DA9564" w14:textId="77777777" w:rsidR="00962677" w:rsidRPr="0062316F" w:rsidRDefault="00962677" w:rsidP="0062316F">
      <w:pPr>
        <w:spacing w:after="0" w:line="360" w:lineRule="auto"/>
        <w:jc w:val="both"/>
        <w:rPr>
          <w:rFonts w:ascii="Book Antiqua" w:hAnsi="Book Antiqua" w:cs="Times New Roman"/>
          <w:bCs/>
          <w:sz w:val="24"/>
          <w:szCs w:val="24"/>
        </w:rPr>
      </w:pPr>
    </w:p>
    <w:p w14:paraId="500EFBBF" w14:textId="77777777" w:rsidR="003952A3" w:rsidRPr="0062316F" w:rsidRDefault="003952A3" w:rsidP="0062316F">
      <w:pPr>
        <w:spacing w:after="0" w:line="360" w:lineRule="auto"/>
        <w:jc w:val="both"/>
        <w:rPr>
          <w:rFonts w:ascii="Book Antiqua" w:hAnsi="Book Antiqua" w:cs="Arial"/>
          <w:sz w:val="24"/>
          <w:szCs w:val="24"/>
        </w:rPr>
      </w:pPr>
      <w:bookmarkStart w:id="124" w:name="OLE_LINK56"/>
      <w:bookmarkStart w:id="125" w:name="OLE_LINK55"/>
      <w:bookmarkStart w:id="126" w:name="OLE_LINK2158"/>
      <w:bookmarkStart w:id="127" w:name="OLE_LINK2157"/>
      <w:bookmarkStart w:id="128" w:name="OLE_LINK2156"/>
      <w:bookmarkStart w:id="129" w:name="OLE_LINK2093"/>
      <w:bookmarkStart w:id="130" w:name="OLE_LINK1987"/>
      <w:bookmarkStart w:id="131" w:name="OLE_LINK1986"/>
      <w:bookmarkStart w:id="132" w:name="OLE_LINK1985"/>
      <w:bookmarkStart w:id="133" w:name="OLE_LINK1983"/>
      <w:bookmarkStart w:id="134" w:name="OLE_LINK1691"/>
      <w:bookmarkStart w:id="135" w:name="OLE_LINK1690"/>
      <w:bookmarkStart w:id="136" w:name="OLE_LINK1796"/>
      <w:bookmarkStart w:id="137" w:name="OLE_LINK1795"/>
      <w:bookmarkStart w:id="138" w:name="OLE_LINK1794"/>
      <w:bookmarkStart w:id="139" w:name="OLE_LINK1688"/>
      <w:bookmarkStart w:id="140" w:name="OLE_LINK1687"/>
      <w:bookmarkStart w:id="141" w:name="OLE_LINK1641"/>
      <w:bookmarkStart w:id="142" w:name="OLE_LINK1640"/>
      <w:bookmarkStart w:id="143" w:name="OLE_LINK1637"/>
      <w:bookmarkStart w:id="144" w:name="OLE_LINK1635"/>
      <w:bookmarkStart w:id="145" w:name="OLE_LINK1634"/>
      <w:bookmarkStart w:id="146" w:name="OLE_LINK1633"/>
      <w:bookmarkStart w:id="147" w:name="OLE_LINK1604"/>
      <w:bookmarkStart w:id="148" w:name="OLE_LINK1603"/>
      <w:bookmarkStart w:id="149" w:name="OLE_LINK1831"/>
      <w:bookmarkStart w:id="150" w:name="OLE_LINK1715"/>
      <w:bookmarkStart w:id="151" w:name="OLE_LINK1714"/>
      <w:bookmarkStart w:id="152" w:name="OLE_LINK1364"/>
      <w:bookmarkStart w:id="153" w:name="OLE_LINK1231"/>
      <w:bookmarkStart w:id="154" w:name="OLE_LINK1230"/>
      <w:bookmarkStart w:id="155" w:name="OLE_LINK1229"/>
      <w:bookmarkStart w:id="156" w:name="OLE_LINK1228"/>
      <w:bookmarkStart w:id="157" w:name="OLE_LINK1227"/>
      <w:bookmarkStart w:id="158" w:name="OLE_LINK1226"/>
      <w:bookmarkStart w:id="159" w:name="OLE_LINK1167"/>
      <w:bookmarkStart w:id="160" w:name="OLE_LINK1166"/>
      <w:bookmarkStart w:id="161" w:name="OLE_LINK1164"/>
      <w:bookmarkStart w:id="162" w:name="OLE_LINK1151"/>
      <w:bookmarkStart w:id="163" w:name="OLE_LINK1150"/>
      <w:bookmarkStart w:id="164" w:name="OLE_LINK1125"/>
      <w:bookmarkStart w:id="165" w:name="OLE_LINK932"/>
      <w:bookmarkStart w:id="166" w:name="OLE_LINK931"/>
      <w:bookmarkStart w:id="167" w:name="OLE_LINK930"/>
      <w:bookmarkStart w:id="168" w:name="OLE_LINK929"/>
      <w:bookmarkStart w:id="169" w:name="OLE_LINK1115"/>
      <w:bookmarkStart w:id="170" w:name="OLE_LINK1114"/>
      <w:bookmarkStart w:id="171" w:name="OLE_LINK1113"/>
      <w:bookmarkStart w:id="172" w:name="OLE_LINK1112"/>
      <w:bookmarkStart w:id="173" w:name="OLE_LINK942"/>
      <w:bookmarkStart w:id="174" w:name="OLE_LINK941"/>
      <w:bookmarkStart w:id="175" w:name="OLE_LINK940"/>
      <w:bookmarkStart w:id="176" w:name="OLE_LINK255"/>
      <w:bookmarkStart w:id="177" w:name="OLE_LINK936"/>
      <w:bookmarkStart w:id="178" w:name="OLE_LINK935"/>
      <w:bookmarkStart w:id="179" w:name="OLE_LINK780"/>
      <w:bookmarkStart w:id="180" w:name="OLE_LINK779"/>
      <w:r w:rsidRPr="0062316F">
        <w:rPr>
          <w:rFonts w:ascii="Book Antiqua" w:hAnsi="Book Antiqua"/>
          <w:b/>
          <w:sz w:val="24"/>
          <w:szCs w:val="24"/>
        </w:rPr>
        <w:t>©</w:t>
      </w:r>
      <w:bookmarkEnd w:id="124"/>
      <w:bookmarkEnd w:id="125"/>
      <w:r w:rsidRPr="0062316F">
        <w:rPr>
          <w:rFonts w:ascii="Book Antiqua" w:hAnsi="Book Antiqua"/>
          <w:b/>
          <w:sz w:val="24"/>
          <w:szCs w:val="24"/>
        </w:rPr>
        <w:t xml:space="preserve"> </w:t>
      </w:r>
      <w:r w:rsidRPr="0062316F">
        <w:rPr>
          <w:rFonts w:ascii="Book Antiqua" w:hAnsi="Book Antiqua" w:cs="Arial"/>
          <w:b/>
          <w:sz w:val="24"/>
          <w:szCs w:val="24"/>
        </w:rPr>
        <w:t xml:space="preserve">The Author(s) 2019. </w:t>
      </w:r>
      <w:r w:rsidRPr="0062316F">
        <w:rPr>
          <w:rFonts w:ascii="Book Antiqua" w:hAnsi="Book Antiqua" w:cs="Arial"/>
          <w:sz w:val="24"/>
          <w:szCs w:val="24"/>
        </w:rPr>
        <w:t xml:space="preserve">Published by </w:t>
      </w:r>
      <w:proofErr w:type="spellStart"/>
      <w:r w:rsidRPr="0062316F">
        <w:rPr>
          <w:rFonts w:ascii="Book Antiqua" w:hAnsi="Book Antiqua" w:cs="Arial"/>
          <w:sz w:val="24"/>
          <w:szCs w:val="24"/>
        </w:rPr>
        <w:t>Baishideng</w:t>
      </w:r>
      <w:proofErr w:type="spellEnd"/>
      <w:r w:rsidRPr="0062316F">
        <w:rPr>
          <w:rFonts w:ascii="Book Antiqua" w:hAnsi="Book Antiqua" w:cs="Arial"/>
          <w:sz w:val="24"/>
          <w:szCs w:val="24"/>
        </w:rPr>
        <w:t xml:space="preserve"> Publishing Group Inc. All rights reserved</w:t>
      </w:r>
      <w:bookmarkStart w:id="181" w:name="OLE_LINK976"/>
      <w:bookmarkStart w:id="182" w:name="OLE_LINK975"/>
      <w:bookmarkStart w:id="183" w:name="OLE_LINK974"/>
      <w:bookmarkStart w:id="184" w:name="OLE_LINK973"/>
      <w:bookmarkStart w:id="185" w:name="OLE_LINK972"/>
      <w:bookmarkStart w:id="186" w:name="OLE_LINK970"/>
      <w:bookmarkStart w:id="187" w:name="OLE_LINK969"/>
      <w:r w:rsidRPr="0062316F">
        <w:rPr>
          <w:rFonts w:ascii="Book Antiqua" w:hAnsi="Book Antiqua" w:cs="Arial"/>
          <w:sz w:val="24"/>
          <w:szCs w:val="24"/>
        </w:rPr>
        <w:t>.</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69DCA4ED" w14:textId="77777777" w:rsidR="003952A3" w:rsidRPr="0062316F" w:rsidRDefault="003952A3" w:rsidP="0062316F">
      <w:pPr>
        <w:spacing w:after="0" w:line="360" w:lineRule="auto"/>
        <w:jc w:val="both"/>
        <w:rPr>
          <w:rFonts w:ascii="Book Antiqua" w:hAnsi="Book Antiqua" w:cs="Calibri"/>
          <w:sz w:val="24"/>
          <w:szCs w:val="24"/>
        </w:rPr>
      </w:pPr>
    </w:p>
    <w:p w14:paraId="058305E9" w14:textId="0A06CAD2" w:rsidR="00C23110" w:rsidRPr="0062316F" w:rsidRDefault="003952A3" w:rsidP="0062316F">
      <w:pPr>
        <w:spacing w:after="0" w:line="360" w:lineRule="auto"/>
        <w:jc w:val="both"/>
        <w:rPr>
          <w:rFonts w:ascii="Book Antiqua" w:hAnsi="Book Antiqua"/>
          <w:b/>
          <w:sz w:val="24"/>
          <w:szCs w:val="24"/>
          <w:lang w:val="pl-PL"/>
        </w:rPr>
      </w:pPr>
      <w:r w:rsidRPr="0062316F">
        <w:rPr>
          <w:rFonts w:ascii="Book Antiqua" w:hAnsi="Book Antiqua" w:cs="Times New Roman"/>
          <w:b/>
          <w:sz w:val="24"/>
          <w:szCs w:val="24"/>
        </w:rPr>
        <w:t xml:space="preserve">Core tip: </w:t>
      </w:r>
      <w:bookmarkStart w:id="188" w:name="OLE_LINK23"/>
      <w:r w:rsidR="00160D60" w:rsidRPr="0062316F">
        <w:rPr>
          <w:rFonts w:ascii="Book Antiqua" w:hAnsi="Book Antiqua" w:cs="Times New Roman"/>
          <w:sz w:val="24"/>
          <w:szCs w:val="24"/>
        </w:rPr>
        <w:t xml:space="preserve">Several pharmacokinetic studies have raised concerns regarding the interaction between </w:t>
      </w:r>
      <w:r w:rsidRPr="0062316F">
        <w:rPr>
          <w:rFonts w:ascii="Book Antiqua" w:hAnsi="Book Antiqua" w:cs="Times New Roman"/>
          <w:sz w:val="24"/>
          <w:szCs w:val="24"/>
        </w:rPr>
        <w:t>proton pump inhibitors (PPIs)</w:t>
      </w:r>
      <w:r w:rsidR="00160D60" w:rsidRPr="0062316F">
        <w:rPr>
          <w:rFonts w:ascii="Book Antiqua" w:hAnsi="Book Antiqua" w:cs="Times New Roman"/>
          <w:sz w:val="24"/>
          <w:szCs w:val="24"/>
        </w:rPr>
        <w:t xml:space="preserve"> and immunosuppressive drugs in transplant patients.</w:t>
      </w:r>
      <w:r w:rsidR="00962677" w:rsidRPr="0062316F">
        <w:rPr>
          <w:rFonts w:ascii="Book Antiqua" w:hAnsi="Book Antiqua" w:cs="Times New Roman"/>
          <w:sz w:val="24"/>
          <w:szCs w:val="24"/>
        </w:rPr>
        <w:t xml:space="preserve"> </w:t>
      </w:r>
      <w:r w:rsidR="00160D60" w:rsidRPr="0062316F">
        <w:rPr>
          <w:rFonts w:ascii="Book Antiqua" w:hAnsi="Book Antiqua" w:cs="Times New Roman"/>
          <w:sz w:val="24"/>
          <w:szCs w:val="24"/>
        </w:rPr>
        <w:t>Whether the adverse effects of PPIs have a clinical significance in kidney transplant recipients remains unclear. We performed this meta-analysis to assess the risk of adverse effects in kidney transplant recipients on PPI compared with those without PPI exposure</w:t>
      </w:r>
      <w:r w:rsidR="00962677" w:rsidRPr="0062316F">
        <w:rPr>
          <w:rFonts w:ascii="Book Antiqua" w:hAnsi="Book Antiqua" w:cs="Times New Roman"/>
          <w:sz w:val="24"/>
          <w:szCs w:val="24"/>
        </w:rPr>
        <w:t xml:space="preserve">. </w:t>
      </w:r>
      <w:r w:rsidR="00160D60" w:rsidRPr="0062316F">
        <w:rPr>
          <w:rFonts w:ascii="Book Antiqua" w:hAnsi="Book Antiqua" w:cs="Times New Roman"/>
          <w:sz w:val="24"/>
          <w:szCs w:val="24"/>
        </w:rPr>
        <w:t>We demonstrate that PPI use is not associated with significant risks of higher acute rejection, graft loss, or 1-year mortality. However, PPI use is associated with 1.56-fold increased risk of hypomagnesemia.</w:t>
      </w:r>
      <w:r w:rsidR="00160D60" w:rsidRPr="0062316F">
        <w:rPr>
          <w:rFonts w:ascii="Book Antiqua" w:hAnsi="Book Antiqua"/>
          <w:sz w:val="24"/>
          <w:szCs w:val="24"/>
        </w:rPr>
        <w:t xml:space="preserve"> </w:t>
      </w:r>
      <w:r w:rsidR="00160D60" w:rsidRPr="0062316F">
        <w:rPr>
          <w:rFonts w:ascii="Book Antiqua" w:hAnsi="Book Antiqua" w:cs="Times New Roman"/>
          <w:sz w:val="24"/>
          <w:szCs w:val="24"/>
        </w:rPr>
        <w:t>Thus, future studies are needed to assess the impact of PPIs on long-term outcomes.</w:t>
      </w:r>
    </w:p>
    <w:bookmarkEnd w:id="188"/>
    <w:p w14:paraId="03AA74EA" w14:textId="77777777" w:rsidR="00160D60" w:rsidRPr="0062316F" w:rsidRDefault="00160D60" w:rsidP="0062316F">
      <w:pPr>
        <w:spacing w:after="0" w:line="360" w:lineRule="auto"/>
        <w:jc w:val="both"/>
        <w:rPr>
          <w:rFonts w:ascii="Book Antiqua" w:hAnsi="Book Antiqua" w:cs="Times New Roman"/>
          <w:sz w:val="24"/>
          <w:szCs w:val="24"/>
        </w:rPr>
      </w:pPr>
    </w:p>
    <w:p w14:paraId="0C13EAC1" w14:textId="1044E6FA" w:rsidR="00E9347F" w:rsidRPr="009A309C" w:rsidRDefault="00812CE0" w:rsidP="0062316F">
      <w:pPr>
        <w:spacing w:after="0" w:line="360" w:lineRule="auto"/>
        <w:jc w:val="both"/>
        <w:rPr>
          <w:rFonts w:ascii="Book Antiqua" w:hAnsi="Book Antiqua" w:cs="Book Antiqua"/>
          <w:sz w:val="24"/>
          <w:szCs w:val="24"/>
        </w:rPr>
      </w:pPr>
      <w:proofErr w:type="spellStart"/>
      <w:r w:rsidRPr="0062316F">
        <w:rPr>
          <w:rFonts w:ascii="Book Antiqua" w:hAnsi="Book Antiqua" w:cs="Times New Roman"/>
          <w:sz w:val="24"/>
          <w:szCs w:val="24"/>
        </w:rPr>
        <w:t>Boonpheng</w:t>
      </w:r>
      <w:proofErr w:type="spellEnd"/>
      <w:r w:rsidRPr="0062316F">
        <w:rPr>
          <w:rFonts w:ascii="Book Antiqua" w:hAnsi="Book Antiqua" w:cs="Times New Roman"/>
          <w:sz w:val="24"/>
          <w:szCs w:val="24"/>
        </w:rPr>
        <w:t xml:space="preserve"> B, </w:t>
      </w:r>
      <w:proofErr w:type="spellStart"/>
      <w:r w:rsidRPr="0062316F">
        <w:rPr>
          <w:rFonts w:ascii="Book Antiqua" w:hAnsi="Book Antiqua" w:cs="Times New Roman"/>
          <w:sz w:val="24"/>
          <w:szCs w:val="24"/>
        </w:rPr>
        <w:t>Thongprayoon</w:t>
      </w:r>
      <w:proofErr w:type="spellEnd"/>
      <w:r w:rsidRPr="0062316F">
        <w:rPr>
          <w:rFonts w:ascii="Book Antiqua" w:hAnsi="Book Antiqua" w:cs="Times New Roman"/>
          <w:sz w:val="24"/>
          <w:szCs w:val="24"/>
        </w:rPr>
        <w:t xml:space="preserve"> C, </w:t>
      </w:r>
      <w:proofErr w:type="spellStart"/>
      <w:r w:rsidRPr="0062316F">
        <w:rPr>
          <w:rFonts w:ascii="Book Antiqua" w:hAnsi="Book Antiqua" w:cs="Times New Roman"/>
          <w:sz w:val="24"/>
          <w:szCs w:val="24"/>
        </w:rPr>
        <w:t>Bathini</w:t>
      </w:r>
      <w:proofErr w:type="spellEnd"/>
      <w:r w:rsidRPr="0062316F">
        <w:rPr>
          <w:rFonts w:ascii="Book Antiqua" w:hAnsi="Book Antiqua" w:cs="Times New Roman"/>
          <w:sz w:val="24"/>
          <w:szCs w:val="24"/>
        </w:rPr>
        <w:t xml:space="preserve"> T, Sharma K, Mao MA, </w:t>
      </w:r>
      <w:proofErr w:type="spellStart"/>
      <w:r w:rsidRPr="0062316F">
        <w:rPr>
          <w:rFonts w:ascii="Book Antiqua" w:hAnsi="Book Antiqua" w:cs="Times New Roman"/>
          <w:sz w:val="24"/>
          <w:szCs w:val="24"/>
        </w:rPr>
        <w:t>Cheungpasitporn</w:t>
      </w:r>
      <w:proofErr w:type="spellEnd"/>
      <w:r w:rsidRPr="0062316F">
        <w:rPr>
          <w:rFonts w:ascii="Book Antiqua" w:hAnsi="Book Antiqua" w:cs="Times New Roman"/>
          <w:sz w:val="24"/>
          <w:szCs w:val="24"/>
        </w:rPr>
        <w:t xml:space="preserve"> W</w:t>
      </w:r>
      <w:r w:rsidR="00962677" w:rsidRPr="0062316F">
        <w:rPr>
          <w:rFonts w:ascii="Book Antiqua" w:hAnsi="Book Antiqua" w:cs="Times New Roman"/>
          <w:sz w:val="24"/>
          <w:szCs w:val="24"/>
        </w:rPr>
        <w:t>.</w:t>
      </w:r>
      <w:r w:rsidR="00962677" w:rsidRPr="0062316F">
        <w:rPr>
          <w:rFonts w:ascii="Book Antiqua" w:hAnsi="Book Antiqua"/>
          <w:sz w:val="24"/>
          <w:szCs w:val="24"/>
        </w:rPr>
        <w:t xml:space="preserve"> </w:t>
      </w:r>
      <w:r w:rsidRPr="0062316F">
        <w:rPr>
          <w:rFonts w:ascii="Book Antiqua" w:hAnsi="Book Antiqua" w:cs="Times New Roman"/>
          <w:sz w:val="24"/>
          <w:szCs w:val="24"/>
        </w:rPr>
        <w:t xml:space="preserve">Proton </w:t>
      </w:r>
      <w:r w:rsidR="003952A3" w:rsidRPr="0062316F">
        <w:rPr>
          <w:rFonts w:ascii="Book Antiqua" w:hAnsi="Book Antiqua" w:cs="Times New Roman"/>
          <w:sz w:val="24"/>
          <w:szCs w:val="24"/>
        </w:rPr>
        <w:t>pump inhibitors and adverse effects in kidney transplant recipients</w:t>
      </w:r>
      <w:r w:rsidRPr="0062316F">
        <w:rPr>
          <w:rFonts w:ascii="Book Antiqua" w:hAnsi="Book Antiqua" w:cs="Times New Roman"/>
          <w:sz w:val="24"/>
          <w:szCs w:val="24"/>
        </w:rPr>
        <w:t xml:space="preserve">: A </w:t>
      </w:r>
      <w:r w:rsidR="003952A3" w:rsidRPr="0062316F">
        <w:rPr>
          <w:rFonts w:ascii="Book Antiqua" w:hAnsi="Book Antiqua" w:cs="Times New Roman"/>
          <w:sz w:val="24"/>
          <w:szCs w:val="24"/>
        </w:rPr>
        <w:t>meta</w:t>
      </w:r>
      <w:r w:rsidRPr="0062316F">
        <w:rPr>
          <w:rFonts w:ascii="Book Antiqua" w:hAnsi="Book Antiqua" w:cs="Times New Roman"/>
          <w:sz w:val="24"/>
          <w:szCs w:val="24"/>
        </w:rPr>
        <w:t>-</w:t>
      </w:r>
      <w:r w:rsidR="003952A3" w:rsidRPr="0062316F">
        <w:rPr>
          <w:rFonts w:ascii="Book Antiqua" w:hAnsi="Book Antiqua" w:cs="Times New Roman"/>
          <w:sz w:val="24"/>
          <w:szCs w:val="24"/>
        </w:rPr>
        <w:t>analysis</w:t>
      </w:r>
      <w:r w:rsidR="00962677" w:rsidRPr="0062316F">
        <w:rPr>
          <w:rFonts w:ascii="Book Antiqua" w:hAnsi="Book Antiqua" w:cs="Times New Roman"/>
          <w:sz w:val="24"/>
          <w:szCs w:val="24"/>
        </w:rPr>
        <w:t>.</w:t>
      </w:r>
      <w:r w:rsidR="00962677" w:rsidRPr="0062316F">
        <w:rPr>
          <w:rFonts w:ascii="Book Antiqua" w:hAnsi="Book Antiqua"/>
          <w:sz w:val="24"/>
          <w:szCs w:val="24"/>
        </w:rPr>
        <w:t xml:space="preserve"> </w:t>
      </w:r>
      <w:r w:rsidR="003952A3" w:rsidRPr="0062316F">
        <w:rPr>
          <w:rFonts w:ascii="Book Antiqua" w:hAnsi="Book Antiqua"/>
          <w:i/>
          <w:sz w:val="24"/>
          <w:szCs w:val="24"/>
        </w:rPr>
        <w:t xml:space="preserve">World J Transplantation </w:t>
      </w:r>
      <w:r w:rsidR="003952A3" w:rsidRPr="0062316F">
        <w:rPr>
          <w:rFonts w:ascii="Book Antiqua" w:eastAsia="Book Antiqua" w:hAnsi="Book Antiqua" w:cs="Book Antiqua"/>
          <w:sz w:val="24"/>
          <w:szCs w:val="24"/>
        </w:rPr>
        <w:t>2019; In pre</w:t>
      </w:r>
      <w:r w:rsidR="003952A3" w:rsidRPr="0062316F">
        <w:rPr>
          <w:rFonts w:ascii="Book Antiqua" w:hAnsi="Book Antiqua" w:cs="Book Antiqua"/>
          <w:sz w:val="24"/>
          <w:szCs w:val="24"/>
        </w:rPr>
        <w:t>ss</w:t>
      </w:r>
    </w:p>
    <w:p w14:paraId="3386BB01" w14:textId="77777777" w:rsidR="003952A3" w:rsidRPr="0062316F" w:rsidRDefault="003952A3"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3E7A9F1C" w14:textId="734E8F4A" w:rsidR="00E9347F" w:rsidRPr="0062316F" w:rsidRDefault="003952A3"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lastRenderedPageBreak/>
        <w:t>INTRODUCTION</w:t>
      </w:r>
    </w:p>
    <w:p w14:paraId="0BFF8A5E" w14:textId="27DC0238"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Proton pump inhibitors (PPIs) are commonly prescribed after transplantation for prophylaxis against peptic ulcer disease and for treatment of gastro-esophageal reflux disease or dyspepsia. Prolonged exposure to this class of medication has been shown to be associated with kidney </w:t>
      </w:r>
      <w:proofErr w:type="gramStart"/>
      <w:r w:rsidRPr="0062316F">
        <w:rPr>
          <w:rFonts w:ascii="Book Antiqua" w:hAnsi="Book Antiqua" w:cs="Times New Roman"/>
          <w:sz w:val="24"/>
          <w:szCs w:val="24"/>
        </w:rPr>
        <w:t>dysfunction</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1,2]</w:t>
      </w:r>
      <w:r w:rsidRPr="0062316F">
        <w:rPr>
          <w:rFonts w:ascii="Book Antiqua" w:hAnsi="Book Antiqua" w:cs="Times New Roman"/>
          <w:sz w:val="24"/>
          <w:szCs w:val="24"/>
        </w:rPr>
        <w:t xml:space="preserve">, as well as other non-renal </w:t>
      </w:r>
      <w:r w:rsidR="0019254A" w:rsidRPr="0062316F">
        <w:rPr>
          <w:rFonts w:ascii="Book Antiqua" w:hAnsi="Book Antiqua" w:cs="Times New Roman"/>
          <w:sz w:val="24"/>
          <w:szCs w:val="24"/>
        </w:rPr>
        <w:t xml:space="preserve">adverse </w:t>
      </w:r>
      <w:r w:rsidRPr="0062316F">
        <w:rPr>
          <w:rFonts w:ascii="Book Antiqua" w:hAnsi="Book Antiqua" w:cs="Times New Roman"/>
          <w:sz w:val="24"/>
          <w:szCs w:val="24"/>
        </w:rPr>
        <w:t>outcomes, including hypomagnesemia</w:t>
      </w:r>
      <w:r w:rsidRPr="0062316F">
        <w:rPr>
          <w:rFonts w:ascii="Book Antiqua" w:hAnsi="Book Antiqua" w:cs="Times New Roman"/>
          <w:noProof/>
          <w:sz w:val="24"/>
          <w:szCs w:val="24"/>
          <w:vertAlign w:val="superscript"/>
        </w:rPr>
        <w:t>[3]</w:t>
      </w:r>
      <w:r w:rsidRPr="0062316F">
        <w:rPr>
          <w:rFonts w:ascii="Book Antiqua" w:hAnsi="Book Antiqua" w:cs="Times New Roman"/>
          <w:sz w:val="24"/>
          <w:szCs w:val="24"/>
        </w:rPr>
        <w:t>, fracture</w:t>
      </w:r>
      <w:r w:rsidRPr="0062316F">
        <w:rPr>
          <w:rFonts w:ascii="Book Antiqua" w:hAnsi="Book Antiqua" w:cs="Times New Roman"/>
          <w:noProof/>
          <w:sz w:val="24"/>
          <w:szCs w:val="24"/>
          <w:vertAlign w:val="superscript"/>
        </w:rPr>
        <w:t>[4]</w:t>
      </w:r>
      <w:r w:rsidRPr="0062316F">
        <w:rPr>
          <w:rFonts w:ascii="Book Antiqua" w:hAnsi="Book Antiqua" w:cs="Times New Roman"/>
          <w:sz w:val="24"/>
          <w:szCs w:val="24"/>
        </w:rPr>
        <w:t>, or dementia</w:t>
      </w:r>
      <w:r w:rsidRPr="0062316F">
        <w:rPr>
          <w:rFonts w:ascii="Book Antiqua" w:hAnsi="Book Antiqua" w:cs="Times New Roman"/>
          <w:noProof/>
          <w:sz w:val="24"/>
          <w:szCs w:val="24"/>
          <w:vertAlign w:val="superscript"/>
        </w:rPr>
        <w:t>[5]</w:t>
      </w:r>
      <w:r w:rsidRPr="0062316F">
        <w:rPr>
          <w:rFonts w:ascii="Book Antiqua" w:hAnsi="Book Antiqua" w:cs="Times New Roman"/>
          <w:sz w:val="24"/>
          <w:szCs w:val="24"/>
        </w:rPr>
        <w:t xml:space="preserve"> in the general population. The risk of kidney dysfunction associated with PPIs is particularly concerning to kidney transplant recipients who are already at risk for acute kidney injury.</w:t>
      </w:r>
    </w:p>
    <w:p w14:paraId="3967B92E" w14:textId="0F29E65F"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Mycophenolate mofetil (MMF) is an antimetabolite that is commonly used as part of the maintenance immunosuppression in kidney transplant </w:t>
      </w:r>
      <w:proofErr w:type="gramStart"/>
      <w:r w:rsidRPr="0062316F">
        <w:rPr>
          <w:rFonts w:ascii="Book Antiqua" w:hAnsi="Book Antiqua" w:cs="Times New Roman"/>
          <w:sz w:val="24"/>
          <w:szCs w:val="24"/>
        </w:rPr>
        <w:t>recipients</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6]</w:t>
      </w:r>
      <w:r w:rsidRPr="0062316F">
        <w:rPr>
          <w:rFonts w:ascii="Book Antiqua" w:hAnsi="Book Antiqua" w:cs="Times New Roman"/>
          <w:sz w:val="24"/>
          <w:szCs w:val="24"/>
        </w:rPr>
        <w:t xml:space="preserve">. MMF is a prodrug that </w:t>
      </w:r>
      <w:r w:rsidR="0019254A" w:rsidRPr="0062316F">
        <w:rPr>
          <w:rFonts w:ascii="Book Antiqua" w:hAnsi="Book Antiqua" w:cs="Times New Roman"/>
          <w:sz w:val="24"/>
          <w:szCs w:val="24"/>
        </w:rPr>
        <w:t xml:space="preserve">is hepatically </w:t>
      </w:r>
      <w:r w:rsidRPr="0062316F">
        <w:rPr>
          <w:rFonts w:ascii="Book Antiqua" w:hAnsi="Book Antiqua" w:cs="Times New Roman"/>
          <w:sz w:val="24"/>
          <w:szCs w:val="24"/>
        </w:rPr>
        <w:t xml:space="preserve">metabolized to the active compound mycophenolic acid (MPA) after oral administration. MPA exerts its immunosuppressive effects by reversibly inhibiting the de novo synthesis of purine nucleotides, leading to reduced proliferation of B- and T-cell lymphocytes, induction of activated T lymphocyte apoptosis, and downregulation of adhesion molecule expression, </w:t>
      </w:r>
      <w:r w:rsidR="0019254A" w:rsidRPr="0062316F">
        <w:rPr>
          <w:rFonts w:ascii="Book Antiqua" w:hAnsi="Book Antiqua" w:cs="Times New Roman"/>
          <w:sz w:val="24"/>
          <w:szCs w:val="24"/>
        </w:rPr>
        <w:t xml:space="preserve">resulting in </w:t>
      </w:r>
      <w:r w:rsidRPr="0062316F">
        <w:rPr>
          <w:rFonts w:ascii="Book Antiqua" w:hAnsi="Book Antiqua" w:cs="Times New Roman"/>
          <w:sz w:val="24"/>
          <w:szCs w:val="24"/>
        </w:rPr>
        <w:t xml:space="preserve">lower leukocyte trafficking and </w:t>
      </w:r>
      <w:proofErr w:type="gramStart"/>
      <w:r w:rsidRPr="0062316F">
        <w:rPr>
          <w:rFonts w:ascii="Book Antiqua" w:hAnsi="Book Antiqua" w:cs="Times New Roman"/>
          <w:sz w:val="24"/>
          <w:szCs w:val="24"/>
        </w:rPr>
        <w:t>recruitment</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7]</w:t>
      </w:r>
      <w:r w:rsidRPr="0062316F">
        <w:rPr>
          <w:rFonts w:ascii="Book Antiqua" w:hAnsi="Book Antiqua" w:cs="Times New Roman"/>
          <w:sz w:val="24"/>
          <w:szCs w:val="24"/>
        </w:rPr>
        <w:t xml:space="preserve">. Because gastrointestinal discomfort is a common side effect of MMF, PPIs are commonly prescribed to alleviate the symptoms. However, pharmacokinetic </w:t>
      </w:r>
      <w:proofErr w:type="gramStart"/>
      <w:r w:rsidRPr="0062316F">
        <w:rPr>
          <w:rFonts w:ascii="Book Antiqua" w:hAnsi="Book Antiqua" w:cs="Times New Roman"/>
          <w:sz w:val="24"/>
          <w:szCs w:val="24"/>
        </w:rPr>
        <w:t>studies</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8-12]</w:t>
      </w:r>
      <w:r w:rsidRPr="0062316F">
        <w:rPr>
          <w:rFonts w:ascii="Book Antiqua" w:hAnsi="Book Antiqua" w:cs="Times New Roman"/>
          <w:sz w:val="24"/>
          <w:szCs w:val="24"/>
        </w:rPr>
        <w:t xml:space="preserve"> have shown that PPIs reduce the absorption of MMF and lower the exposure to MPA presumably by </w:t>
      </w:r>
      <w:r w:rsidR="0019254A" w:rsidRPr="0062316F">
        <w:rPr>
          <w:rFonts w:ascii="Book Antiqua" w:hAnsi="Book Antiqua" w:cs="Times New Roman"/>
          <w:sz w:val="24"/>
          <w:szCs w:val="24"/>
        </w:rPr>
        <w:t xml:space="preserve">its </w:t>
      </w:r>
      <w:r w:rsidRPr="0062316F">
        <w:rPr>
          <w:rFonts w:ascii="Book Antiqua" w:hAnsi="Book Antiqua" w:cs="Times New Roman"/>
          <w:sz w:val="24"/>
          <w:szCs w:val="24"/>
        </w:rPr>
        <w:t>potent inhibition of gastric acidification compared with another class of acid suppressant, the H2-receptor antagonists</w:t>
      </w:r>
      <w:r w:rsidRPr="0062316F">
        <w:rPr>
          <w:rFonts w:ascii="Book Antiqua" w:hAnsi="Book Antiqua" w:cs="Times New Roman"/>
          <w:noProof/>
          <w:sz w:val="24"/>
          <w:szCs w:val="24"/>
          <w:vertAlign w:val="superscript"/>
        </w:rPr>
        <w:t>[13,14]</w:t>
      </w:r>
      <w:r w:rsidRPr="0062316F">
        <w:rPr>
          <w:rFonts w:ascii="Book Antiqua" w:hAnsi="Book Antiqua" w:cs="Times New Roman"/>
          <w:sz w:val="24"/>
          <w:szCs w:val="24"/>
        </w:rPr>
        <w:t xml:space="preserve">. Randomized controlled </w:t>
      </w:r>
      <w:proofErr w:type="gramStart"/>
      <w:r w:rsidRPr="0062316F">
        <w:rPr>
          <w:rFonts w:ascii="Book Antiqua" w:hAnsi="Book Antiqua" w:cs="Times New Roman"/>
          <w:sz w:val="24"/>
          <w:szCs w:val="24"/>
        </w:rPr>
        <w:t>trials</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15,16]</w:t>
      </w:r>
      <w:r w:rsidRPr="0062316F">
        <w:rPr>
          <w:rFonts w:ascii="Book Antiqua" w:hAnsi="Book Antiqua" w:cs="Times New Roman"/>
          <w:sz w:val="24"/>
          <w:szCs w:val="24"/>
        </w:rPr>
        <w:t xml:space="preserve"> and observational studies</w:t>
      </w:r>
      <w:r w:rsidRPr="0062316F">
        <w:rPr>
          <w:rFonts w:ascii="Book Antiqua" w:hAnsi="Book Antiqua" w:cs="Times New Roman"/>
          <w:noProof/>
          <w:sz w:val="24"/>
          <w:szCs w:val="24"/>
          <w:vertAlign w:val="superscript"/>
        </w:rPr>
        <w:t>[17-19]</w:t>
      </w:r>
      <w:r w:rsidRPr="0062316F">
        <w:rPr>
          <w:rFonts w:ascii="Book Antiqua" w:hAnsi="Book Antiqua" w:cs="Times New Roman"/>
          <w:sz w:val="24"/>
          <w:szCs w:val="24"/>
        </w:rPr>
        <w:t xml:space="preserve"> have also shown that reduced exposure to MPA is associated with higher risk of acute rejection and overall worse allograft outcome in kidney transplant recipients. However, the clinical significance of this drug interaction in kidney transplant recipients is unknown. </w:t>
      </w:r>
      <w:r w:rsidR="0019254A" w:rsidRPr="0062316F">
        <w:rPr>
          <w:rFonts w:ascii="Book Antiqua" w:hAnsi="Book Antiqua" w:cs="Times New Roman"/>
          <w:sz w:val="24"/>
          <w:szCs w:val="24"/>
        </w:rPr>
        <w:t xml:space="preserve">Several </w:t>
      </w:r>
      <w:proofErr w:type="gramStart"/>
      <w:r w:rsidR="0019254A" w:rsidRPr="0062316F">
        <w:rPr>
          <w:rFonts w:ascii="Book Antiqua" w:hAnsi="Book Antiqua" w:cs="Times New Roman"/>
          <w:sz w:val="24"/>
          <w:szCs w:val="24"/>
        </w:rPr>
        <w:t>studies</w:t>
      </w:r>
      <w:r w:rsidR="0019254A"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20,21]</w:t>
      </w:r>
      <w:r w:rsidRPr="0062316F">
        <w:rPr>
          <w:rFonts w:ascii="Book Antiqua" w:hAnsi="Book Antiqua" w:cs="Times New Roman"/>
          <w:sz w:val="24"/>
          <w:szCs w:val="24"/>
        </w:rPr>
        <w:t xml:space="preserve"> </w:t>
      </w:r>
      <w:r w:rsidR="0019254A" w:rsidRPr="0062316F">
        <w:rPr>
          <w:rFonts w:ascii="Book Antiqua" w:hAnsi="Book Antiqua" w:cs="Times New Roman"/>
          <w:sz w:val="24"/>
          <w:szCs w:val="24"/>
        </w:rPr>
        <w:t xml:space="preserve">have </w:t>
      </w:r>
      <w:r w:rsidR="008F0C0B" w:rsidRPr="0062316F">
        <w:rPr>
          <w:rFonts w:ascii="Book Antiqua" w:hAnsi="Book Antiqua" w:cs="Times New Roman"/>
          <w:sz w:val="24"/>
          <w:szCs w:val="24"/>
        </w:rPr>
        <w:t xml:space="preserve">shown </w:t>
      </w:r>
      <w:r w:rsidR="0019254A" w:rsidRPr="0062316F">
        <w:rPr>
          <w:rFonts w:ascii="Book Antiqua" w:hAnsi="Book Antiqua" w:cs="Times New Roman"/>
          <w:sz w:val="24"/>
          <w:szCs w:val="24"/>
        </w:rPr>
        <w:t xml:space="preserve">a </w:t>
      </w:r>
      <w:r w:rsidRPr="0062316F">
        <w:rPr>
          <w:rFonts w:ascii="Book Antiqua" w:hAnsi="Book Antiqua" w:cs="Times New Roman"/>
          <w:sz w:val="24"/>
          <w:szCs w:val="24"/>
        </w:rPr>
        <w:t xml:space="preserve">possible increased risk of acute rejection with PPI exposure whereas others </w:t>
      </w:r>
      <w:r w:rsidR="0019254A" w:rsidRPr="0062316F">
        <w:rPr>
          <w:rFonts w:ascii="Book Antiqua" w:hAnsi="Book Antiqua" w:cs="Times New Roman"/>
          <w:sz w:val="24"/>
          <w:szCs w:val="24"/>
        </w:rPr>
        <w:t xml:space="preserve">have </w:t>
      </w:r>
      <w:r w:rsidRPr="0062316F">
        <w:rPr>
          <w:rFonts w:ascii="Book Antiqua" w:hAnsi="Book Antiqua" w:cs="Times New Roman"/>
          <w:sz w:val="24"/>
          <w:szCs w:val="24"/>
        </w:rPr>
        <w:t>not</w:t>
      </w:r>
      <w:r w:rsidRPr="0062316F">
        <w:rPr>
          <w:rFonts w:ascii="Book Antiqua" w:hAnsi="Book Antiqua" w:cs="Times New Roman"/>
          <w:noProof/>
          <w:sz w:val="24"/>
          <w:szCs w:val="24"/>
          <w:vertAlign w:val="superscript"/>
        </w:rPr>
        <w:t>[22-24]</w:t>
      </w:r>
      <w:r w:rsidRPr="0062316F">
        <w:rPr>
          <w:rFonts w:ascii="Book Antiqua" w:hAnsi="Book Antiqua" w:cs="Times New Roman"/>
          <w:sz w:val="24"/>
          <w:szCs w:val="24"/>
        </w:rPr>
        <w:t>.</w:t>
      </w:r>
    </w:p>
    <w:p w14:paraId="63DB6BD0" w14:textId="2250B6DF" w:rsidR="008F66B6" w:rsidRPr="0062316F" w:rsidRDefault="008F66B6"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Some </w:t>
      </w:r>
      <w:proofErr w:type="gramStart"/>
      <w:r w:rsidRPr="0062316F">
        <w:rPr>
          <w:rFonts w:ascii="Book Antiqua" w:hAnsi="Book Antiqua" w:cs="Times New Roman"/>
          <w:sz w:val="24"/>
          <w:szCs w:val="24"/>
        </w:rPr>
        <w:t>studies</w:t>
      </w:r>
      <w:r w:rsidRPr="0062316F">
        <w:rPr>
          <w:rFonts w:ascii="Book Antiqua" w:hAnsi="Book Antiqua" w:cs="Times New Roman"/>
          <w:sz w:val="24"/>
          <w:szCs w:val="24"/>
          <w:vertAlign w:val="superscript"/>
        </w:rPr>
        <w:t>[</w:t>
      </w:r>
      <w:proofErr w:type="gramEnd"/>
      <w:r w:rsidRPr="0062316F">
        <w:rPr>
          <w:rFonts w:ascii="Book Antiqua" w:hAnsi="Book Antiqua" w:cs="Times New Roman"/>
          <w:sz w:val="24"/>
          <w:szCs w:val="24"/>
          <w:vertAlign w:val="superscript"/>
        </w:rPr>
        <w:t>25,26]</w:t>
      </w:r>
      <w:r w:rsidRPr="0062316F">
        <w:rPr>
          <w:rFonts w:ascii="Book Antiqua" w:hAnsi="Book Antiqua" w:cs="Times New Roman"/>
          <w:sz w:val="24"/>
          <w:szCs w:val="24"/>
        </w:rPr>
        <w:t xml:space="preserve"> have shown that concurrent PPI can increase tacrolimus drug concentration, leading to higher risk of toxicity through cytochrome or p-glycoprotein inhibition in patients with certain </w:t>
      </w:r>
      <w:r w:rsidR="008F7AEF" w:rsidRPr="0062316F">
        <w:rPr>
          <w:rFonts w:ascii="Book Antiqua" w:hAnsi="Book Antiqua" w:cs="Times New Roman"/>
          <w:sz w:val="24"/>
          <w:szCs w:val="24"/>
        </w:rPr>
        <w:t xml:space="preserve">Cytochrome P450 </w:t>
      </w:r>
      <w:r w:rsidRPr="0062316F">
        <w:rPr>
          <w:rFonts w:ascii="Book Antiqua" w:hAnsi="Book Antiqua" w:cs="Times New Roman"/>
          <w:sz w:val="24"/>
          <w:szCs w:val="24"/>
        </w:rPr>
        <w:t>2C19</w:t>
      </w:r>
      <w:r w:rsidR="008F7AEF" w:rsidRPr="0062316F">
        <w:rPr>
          <w:rFonts w:ascii="Book Antiqua" w:hAnsi="Book Antiqua" w:cs="Times New Roman"/>
          <w:sz w:val="24"/>
          <w:szCs w:val="24"/>
        </w:rPr>
        <w:t xml:space="preserve"> (CYP2C19)</w:t>
      </w:r>
      <w:r w:rsidRPr="0062316F">
        <w:rPr>
          <w:rFonts w:ascii="Book Antiqua" w:hAnsi="Book Antiqua" w:cs="Times New Roman"/>
          <w:sz w:val="24"/>
          <w:szCs w:val="24"/>
        </w:rPr>
        <w:t xml:space="preserve"> and/or CYP3A5 genotypes. However, this is not expected to increase the risk of rejection, but calcineurin </w:t>
      </w:r>
      <w:r w:rsidRPr="0062316F">
        <w:rPr>
          <w:rFonts w:ascii="Book Antiqua" w:hAnsi="Book Antiqua" w:cs="Times New Roman"/>
          <w:sz w:val="24"/>
          <w:szCs w:val="24"/>
        </w:rPr>
        <w:lastRenderedPageBreak/>
        <w:t>inhibitor toxicity may lead to renal dysfunction. Other commonly used immunosuppressive drugs are not known to have significant interaction with PPIs.</w:t>
      </w:r>
    </w:p>
    <w:p w14:paraId="09AE0E74" w14:textId="0D845837" w:rsidR="00A61285" w:rsidRPr="0062316F" w:rsidRDefault="008F66B6"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PPI may also interfere with magnesium absorption in the gastrointestinal tract, causing </w:t>
      </w:r>
      <w:proofErr w:type="gramStart"/>
      <w:r w:rsidRPr="0062316F">
        <w:rPr>
          <w:rFonts w:ascii="Book Antiqua" w:hAnsi="Book Antiqua" w:cs="Times New Roman"/>
          <w:sz w:val="24"/>
          <w:szCs w:val="24"/>
        </w:rPr>
        <w:t>hypomagnesemia</w:t>
      </w:r>
      <w:r w:rsidRPr="0062316F">
        <w:rPr>
          <w:rFonts w:ascii="Book Antiqua" w:hAnsi="Book Antiqua" w:cs="Times New Roman"/>
          <w:sz w:val="24"/>
          <w:szCs w:val="24"/>
          <w:vertAlign w:val="superscript"/>
        </w:rPr>
        <w:t>[</w:t>
      </w:r>
      <w:proofErr w:type="gramEnd"/>
      <w:r w:rsidRPr="0062316F">
        <w:rPr>
          <w:rFonts w:ascii="Book Antiqua" w:hAnsi="Book Antiqua" w:cs="Times New Roman"/>
          <w:sz w:val="24"/>
          <w:szCs w:val="24"/>
          <w:vertAlign w:val="superscript"/>
        </w:rPr>
        <w:t>3]</w:t>
      </w:r>
      <w:r w:rsidRPr="0062316F">
        <w:rPr>
          <w:rFonts w:ascii="Book Antiqua" w:hAnsi="Book Antiqua" w:cs="Times New Roman"/>
          <w:sz w:val="24"/>
          <w:szCs w:val="24"/>
        </w:rPr>
        <w:t xml:space="preserve">. The mechanism of renal dysfunction related to PPIs is not clear although acute interstitial nephritis (AIN) associated with PPIs has been </w:t>
      </w:r>
      <w:proofErr w:type="gramStart"/>
      <w:r w:rsidRPr="0062316F">
        <w:rPr>
          <w:rFonts w:ascii="Book Antiqua" w:hAnsi="Book Antiqua" w:cs="Times New Roman"/>
          <w:sz w:val="24"/>
          <w:szCs w:val="24"/>
        </w:rPr>
        <w:t>purposed</w:t>
      </w:r>
      <w:r w:rsidRPr="0062316F">
        <w:rPr>
          <w:rFonts w:ascii="Book Antiqua" w:hAnsi="Book Antiqua" w:cs="Times New Roman"/>
          <w:sz w:val="24"/>
          <w:szCs w:val="24"/>
          <w:vertAlign w:val="superscript"/>
        </w:rPr>
        <w:t>[</w:t>
      </w:r>
      <w:proofErr w:type="gramEnd"/>
      <w:r w:rsidRPr="0062316F">
        <w:rPr>
          <w:rFonts w:ascii="Book Antiqua" w:hAnsi="Book Antiqua" w:cs="Times New Roman"/>
          <w:sz w:val="24"/>
          <w:szCs w:val="24"/>
          <w:vertAlign w:val="superscript"/>
        </w:rPr>
        <w:t>1,2]</w:t>
      </w:r>
      <w:r w:rsidRPr="0062316F">
        <w:rPr>
          <w:rFonts w:ascii="Book Antiqua" w:hAnsi="Book Antiqua" w:cs="Times New Roman"/>
          <w:sz w:val="24"/>
          <w:szCs w:val="24"/>
        </w:rPr>
        <w:t>.</w:t>
      </w:r>
    </w:p>
    <w:p w14:paraId="723E1452" w14:textId="2938E93C"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Therefore, we conducted this systematic review and meta-analysis to investigate the adverse outcomes in kidney transplant recipients on PPI compared with those without PPI exposure. The outcomes of interest include biopsy-proven acute rejection, graft loss, kidney dysfunction, hypomagnesemia, and overall mortality.</w:t>
      </w:r>
    </w:p>
    <w:p w14:paraId="07585F91" w14:textId="77777777" w:rsidR="005A5D61" w:rsidRPr="0062316F" w:rsidRDefault="005A5D61" w:rsidP="0062316F">
      <w:pPr>
        <w:spacing w:after="0" w:line="360" w:lineRule="auto"/>
        <w:ind w:firstLineChars="100" w:firstLine="240"/>
        <w:jc w:val="both"/>
        <w:rPr>
          <w:rFonts w:ascii="Book Antiqua" w:hAnsi="Book Antiqua" w:cs="Times New Roman"/>
          <w:sz w:val="24"/>
          <w:szCs w:val="24"/>
        </w:rPr>
      </w:pPr>
    </w:p>
    <w:p w14:paraId="7AF6741B" w14:textId="77777777" w:rsidR="005A5D61" w:rsidRPr="0062316F" w:rsidRDefault="005A5D61" w:rsidP="0062316F">
      <w:pPr>
        <w:spacing w:after="0" w:line="360" w:lineRule="auto"/>
        <w:jc w:val="both"/>
        <w:rPr>
          <w:rFonts w:ascii="Book Antiqua" w:eastAsia="Book Antiqua" w:hAnsi="Book Antiqua" w:cs="Book Antiqua"/>
          <w:b/>
          <w:sz w:val="24"/>
          <w:szCs w:val="24"/>
        </w:rPr>
      </w:pPr>
      <w:r w:rsidRPr="0062316F">
        <w:rPr>
          <w:rFonts w:ascii="Book Antiqua" w:eastAsia="Book Antiqua" w:hAnsi="Book Antiqua" w:cs="Book Antiqua"/>
          <w:b/>
          <w:sz w:val="24"/>
          <w:szCs w:val="24"/>
        </w:rPr>
        <w:t>MATERIALS AND METHODS</w:t>
      </w:r>
    </w:p>
    <w:p w14:paraId="361D8843" w14:textId="59AD0781"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Search </w:t>
      </w:r>
      <w:r w:rsidR="005A5D61" w:rsidRPr="0062316F">
        <w:rPr>
          <w:rFonts w:ascii="Book Antiqua" w:hAnsi="Book Antiqua" w:cs="Times New Roman"/>
          <w:b/>
          <w:i/>
          <w:sz w:val="24"/>
          <w:szCs w:val="24"/>
        </w:rPr>
        <w:t>strategy</w:t>
      </w:r>
    </w:p>
    <w:p w14:paraId="6DEE644E" w14:textId="7A532253" w:rsidR="00E9347F" w:rsidRPr="0062316F" w:rsidRDefault="009228DB" w:rsidP="0062316F">
      <w:pPr>
        <w:spacing w:after="0" w:line="360" w:lineRule="auto"/>
        <w:jc w:val="both"/>
        <w:rPr>
          <w:rFonts w:ascii="Book Antiqua" w:hAnsi="Book Antiqua" w:cs="Times New Roman"/>
          <w:noProof/>
          <w:sz w:val="24"/>
          <w:szCs w:val="24"/>
        </w:rPr>
      </w:pPr>
      <w:r w:rsidRPr="0062316F">
        <w:rPr>
          <w:rFonts w:ascii="Book Antiqua" w:hAnsi="Book Antiqua" w:cs="Times New Roman"/>
          <w:sz w:val="24"/>
          <w:szCs w:val="24"/>
        </w:rPr>
        <w:t>The protocol for this meta-analysis is registered with PROSPERO</w:t>
      </w:r>
      <w:r w:rsidR="005A5D61" w:rsidRPr="0062316F">
        <w:rPr>
          <w:rFonts w:ascii="Book Antiqua" w:hAnsi="Book Antiqua" w:cs="Times New Roman"/>
          <w:sz w:val="24"/>
          <w:szCs w:val="24"/>
        </w:rPr>
        <w:t>,</w:t>
      </w:r>
      <w:r w:rsidRPr="0062316F">
        <w:rPr>
          <w:rFonts w:ascii="Book Antiqua" w:hAnsi="Book Antiqua" w:cs="Times New Roman"/>
          <w:sz w:val="24"/>
          <w:szCs w:val="24"/>
        </w:rPr>
        <w:t xml:space="preserve"> </w:t>
      </w:r>
      <w:r w:rsidR="005A5D61" w:rsidRPr="0062316F">
        <w:rPr>
          <w:rFonts w:ascii="Book Antiqua" w:hAnsi="Book Antiqua" w:cs="Times New Roman"/>
          <w:sz w:val="24"/>
          <w:szCs w:val="24"/>
        </w:rPr>
        <w:t>No</w:t>
      </w:r>
      <w:r w:rsidRPr="0062316F">
        <w:rPr>
          <w:rFonts w:ascii="Book Antiqua" w:hAnsi="Book Antiqua" w:cs="Times New Roman"/>
          <w:sz w:val="24"/>
          <w:szCs w:val="24"/>
        </w:rPr>
        <w:t xml:space="preserve">. CRD42018115676. </w:t>
      </w:r>
      <w:r w:rsidR="00E9347F" w:rsidRPr="0062316F">
        <w:rPr>
          <w:rFonts w:ascii="Book Antiqua" w:hAnsi="Book Antiqua"/>
          <w:sz w:val="24"/>
          <w:szCs w:val="24"/>
        </w:rPr>
        <w:t>PRISMA statement guidelines were followed for conducting and reporting meta-analysis</w:t>
      </w:r>
      <w:r w:rsidR="000624D1" w:rsidRPr="0062316F">
        <w:rPr>
          <w:rFonts w:ascii="Book Antiqua" w:hAnsi="Book Antiqua"/>
          <w:sz w:val="24"/>
          <w:szCs w:val="24"/>
        </w:rPr>
        <w:t xml:space="preserve"> </w:t>
      </w:r>
      <w:proofErr w:type="gramStart"/>
      <w:r w:rsidR="00E9347F" w:rsidRPr="0062316F">
        <w:rPr>
          <w:rFonts w:ascii="Book Antiqua" w:hAnsi="Book Antiqua"/>
          <w:sz w:val="24"/>
          <w:szCs w:val="24"/>
        </w:rPr>
        <w:t>data</w:t>
      </w:r>
      <w:r w:rsidR="00E9347F" w:rsidRPr="0062316F">
        <w:rPr>
          <w:rFonts w:ascii="Book Antiqua" w:hAnsi="Book Antiqua"/>
          <w:noProof/>
          <w:sz w:val="24"/>
          <w:szCs w:val="24"/>
          <w:vertAlign w:val="superscript"/>
        </w:rPr>
        <w:t>[</w:t>
      </w:r>
      <w:proofErr w:type="gramEnd"/>
      <w:r w:rsidR="006E5D2C" w:rsidRPr="0062316F">
        <w:rPr>
          <w:rFonts w:ascii="Book Antiqua" w:hAnsi="Book Antiqua"/>
          <w:noProof/>
          <w:sz w:val="24"/>
          <w:szCs w:val="24"/>
          <w:vertAlign w:val="superscript"/>
        </w:rPr>
        <w:t>27</w:t>
      </w:r>
      <w:r w:rsidR="00E9347F" w:rsidRPr="0062316F">
        <w:rPr>
          <w:rFonts w:ascii="Book Antiqua" w:hAnsi="Book Antiqua"/>
          <w:noProof/>
          <w:sz w:val="24"/>
          <w:szCs w:val="24"/>
          <w:vertAlign w:val="superscript"/>
        </w:rPr>
        <w:t>]</w:t>
      </w:r>
      <w:r w:rsidR="00E9347F" w:rsidRPr="0062316F">
        <w:rPr>
          <w:rFonts w:ascii="Book Antiqua" w:hAnsi="Book Antiqua"/>
          <w:sz w:val="24"/>
          <w:szCs w:val="24"/>
        </w:rPr>
        <w:t xml:space="preserve">. </w:t>
      </w:r>
      <w:r w:rsidR="00E9347F" w:rsidRPr="0062316F">
        <w:rPr>
          <w:rFonts w:ascii="Book Antiqua" w:hAnsi="Book Antiqua" w:cs="Times New Roman"/>
          <w:noProof/>
          <w:sz w:val="24"/>
          <w:szCs w:val="24"/>
        </w:rPr>
        <w:t xml:space="preserve">A systematic review was conducted in MEDLINE, EMBASE, and Cochrane databases from inception to October 2018 to identify studies that evaluated </w:t>
      </w:r>
      <w:r w:rsidR="00E9347F" w:rsidRPr="0062316F">
        <w:rPr>
          <w:rFonts w:ascii="Book Antiqua" w:hAnsi="Book Antiqua" w:cs="Times New Roman"/>
          <w:sz w:val="24"/>
          <w:szCs w:val="24"/>
        </w:rPr>
        <w:t>adverse effects of PPIs in kidney transplant recipients</w:t>
      </w:r>
      <w:r w:rsidR="00E9347F" w:rsidRPr="0062316F">
        <w:rPr>
          <w:rFonts w:ascii="Book Antiqua" w:hAnsi="Book Antiqua" w:cs="Times New Roman"/>
          <w:noProof/>
          <w:sz w:val="24"/>
          <w:szCs w:val="24"/>
        </w:rPr>
        <w:t xml:space="preserve"> by using the search terms “kidney transplant” and “proton pump inhibitor</w:t>
      </w:r>
      <w:r w:rsidR="00831540" w:rsidRPr="0062316F">
        <w:rPr>
          <w:rFonts w:ascii="Book Antiqua" w:hAnsi="Book Antiqua" w:cs="Times New Roman"/>
          <w:noProof/>
          <w:sz w:val="24"/>
          <w:szCs w:val="24"/>
        </w:rPr>
        <w:t>,</w:t>
      </w:r>
      <w:r w:rsidR="00E9347F" w:rsidRPr="0062316F">
        <w:rPr>
          <w:rFonts w:ascii="Book Antiqua" w:hAnsi="Book Antiqua" w:cs="Times New Roman"/>
          <w:noProof/>
          <w:sz w:val="24"/>
          <w:szCs w:val="24"/>
        </w:rPr>
        <w:t>” as described in the online supplementary data without any language restriction. References of selected articles were also manually searched for additional studies.</w:t>
      </w:r>
    </w:p>
    <w:p w14:paraId="6258CE8D" w14:textId="77777777" w:rsidR="005A5D61" w:rsidRPr="0062316F" w:rsidRDefault="005A5D61" w:rsidP="0062316F">
      <w:pPr>
        <w:spacing w:after="0" w:line="360" w:lineRule="auto"/>
        <w:jc w:val="both"/>
        <w:rPr>
          <w:rFonts w:ascii="Book Antiqua" w:hAnsi="Book Antiqua" w:cs="Times New Roman"/>
          <w:sz w:val="24"/>
          <w:szCs w:val="24"/>
        </w:rPr>
      </w:pPr>
    </w:p>
    <w:p w14:paraId="5097DA92" w14:textId="1B978CEF"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Inclusion </w:t>
      </w:r>
      <w:r w:rsidR="005A5D61" w:rsidRPr="0062316F">
        <w:rPr>
          <w:rFonts w:ascii="Book Antiqua" w:hAnsi="Book Antiqua" w:cs="Times New Roman"/>
          <w:b/>
          <w:i/>
          <w:sz w:val="24"/>
          <w:szCs w:val="24"/>
        </w:rPr>
        <w:t>criteria</w:t>
      </w:r>
    </w:p>
    <w:p w14:paraId="6D3CAEF9" w14:textId="5DA00E83" w:rsidR="00E9347F" w:rsidRPr="0062316F" w:rsidRDefault="00E9347F" w:rsidP="0062316F">
      <w:pPr>
        <w:spacing w:after="0" w:line="360" w:lineRule="auto"/>
        <w:jc w:val="both"/>
        <w:rPr>
          <w:rFonts w:ascii="Book Antiqua" w:hAnsi="Book Antiqua" w:cs="Times New Roman"/>
          <w:noProof/>
          <w:sz w:val="24"/>
          <w:szCs w:val="24"/>
        </w:rPr>
      </w:pPr>
      <w:r w:rsidRPr="0062316F">
        <w:rPr>
          <w:rFonts w:ascii="Book Antiqua" w:hAnsi="Book Antiqua" w:cs="Times New Roman"/>
          <w:noProof/>
          <w:sz w:val="24"/>
          <w:szCs w:val="24"/>
        </w:rPr>
        <w:t xml:space="preserve">Studies were eligible for this meta-analysis if the following inclusion criteria </w:t>
      </w:r>
      <w:r w:rsidR="00831540" w:rsidRPr="0062316F">
        <w:rPr>
          <w:rFonts w:ascii="Book Antiqua" w:hAnsi="Book Antiqua" w:cs="Times New Roman"/>
          <w:noProof/>
          <w:sz w:val="24"/>
          <w:szCs w:val="24"/>
        </w:rPr>
        <w:t xml:space="preserve">were </w:t>
      </w:r>
      <w:r w:rsidRPr="0062316F">
        <w:rPr>
          <w:rFonts w:ascii="Book Antiqua" w:hAnsi="Book Antiqua" w:cs="Times New Roman"/>
          <w:noProof/>
          <w:sz w:val="24"/>
          <w:szCs w:val="24"/>
        </w:rPr>
        <w:t xml:space="preserve">met: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1) Randomized controlled trial, cohort (either prospective or retrospective), case–control study or cross-sectional study published as an original study to evaluate the outcomes of kidney transplantation in patients on PPIs;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2) </w:t>
      </w:r>
      <w:r w:rsidR="005A5D61" w:rsidRPr="0062316F">
        <w:rPr>
          <w:rFonts w:ascii="Book Antiqua" w:hAnsi="Book Antiqua" w:cs="Times New Roman"/>
          <w:noProof/>
          <w:sz w:val="24"/>
          <w:szCs w:val="24"/>
        </w:rPr>
        <w:t xml:space="preserve">Odds </w:t>
      </w:r>
      <w:r w:rsidRPr="0062316F">
        <w:rPr>
          <w:rFonts w:ascii="Book Antiqua" w:hAnsi="Book Antiqua" w:cs="Times New Roman"/>
          <w:noProof/>
          <w:sz w:val="24"/>
          <w:szCs w:val="24"/>
        </w:rPr>
        <w:t xml:space="preserve">ratios (ORs), relative risk (RR), hazard ratio (HR), and standardized incidence ratio (SIR) with 95% confidence intervals (CIs) or sufficient raw data to calculate these ratios were provided; and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3) subjects not on PPIs were used as comparators in cohort and cross-sectional studies.</w:t>
      </w:r>
    </w:p>
    <w:p w14:paraId="3E994DA3" w14:textId="37C84D7B" w:rsidR="00E9347F" w:rsidRPr="0062316F" w:rsidRDefault="00E9347F" w:rsidP="0062316F">
      <w:pPr>
        <w:spacing w:after="0" w:line="360" w:lineRule="auto"/>
        <w:ind w:firstLineChars="100" w:firstLine="240"/>
        <w:jc w:val="both"/>
        <w:rPr>
          <w:rFonts w:ascii="Book Antiqua" w:hAnsi="Book Antiqua" w:cs="Times New Roman"/>
          <w:noProof/>
          <w:sz w:val="24"/>
          <w:szCs w:val="24"/>
        </w:rPr>
      </w:pPr>
      <w:r w:rsidRPr="0062316F">
        <w:rPr>
          <w:rFonts w:ascii="Book Antiqua" w:hAnsi="Book Antiqua" w:cs="Times New Roman"/>
          <w:noProof/>
          <w:sz w:val="24"/>
          <w:szCs w:val="24"/>
        </w:rPr>
        <w:lastRenderedPageBreak/>
        <w:t>Study eligibility was independently evaluated by the investigators (BB and CT). Any disagreement was resolved by mutual consensus. The quality of each study was appraised using the Newcastle–Ottawa quality scale</w:t>
      </w:r>
      <w:r w:rsidR="006E5D2C" w:rsidRPr="0062316F">
        <w:rPr>
          <w:rFonts w:ascii="Book Antiqua" w:hAnsi="Book Antiqua" w:cs="Times New Roman"/>
          <w:noProof/>
          <w:sz w:val="24"/>
          <w:szCs w:val="24"/>
          <w:vertAlign w:val="superscript"/>
        </w:rPr>
        <w:t>[28</w:t>
      </w:r>
      <w:r w:rsidRPr="0062316F">
        <w:rPr>
          <w:rFonts w:ascii="Book Antiqua" w:hAnsi="Book Antiqua" w:cs="Times New Roman"/>
          <w:noProof/>
          <w:sz w:val="24"/>
          <w:szCs w:val="24"/>
          <w:vertAlign w:val="superscript"/>
        </w:rPr>
        <w:t>]</w:t>
      </w:r>
      <w:r w:rsidRPr="0062316F">
        <w:rPr>
          <w:rFonts w:ascii="Book Antiqua" w:hAnsi="Book Antiqua" w:cs="Times New Roman"/>
          <w:noProof/>
          <w:sz w:val="24"/>
          <w:szCs w:val="24"/>
        </w:rPr>
        <w:t>. This scale assesses each study in three domains, including the</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1) representativeness of the subjects</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2) comparability between the study groups</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 and </w:t>
      </w:r>
      <w:r w:rsidR="005A5D61" w:rsidRPr="0062316F">
        <w:rPr>
          <w:rFonts w:ascii="Book Antiqua" w:hAnsi="Book Antiqua" w:cs="Times New Roman"/>
          <w:noProof/>
          <w:sz w:val="24"/>
          <w:szCs w:val="24"/>
        </w:rPr>
        <w:t>(</w:t>
      </w:r>
      <w:r w:rsidRPr="0062316F">
        <w:rPr>
          <w:rFonts w:ascii="Book Antiqua" w:hAnsi="Book Antiqua" w:cs="Times New Roman"/>
          <w:noProof/>
          <w:sz w:val="24"/>
          <w:szCs w:val="24"/>
        </w:rPr>
        <w:t xml:space="preserve">3) ascertainment of the exposure of interest for the case–control study and the outcome of interest for the cohort study. The modified version of </w:t>
      </w:r>
      <w:r w:rsidR="008F0C0B" w:rsidRPr="0062316F">
        <w:rPr>
          <w:rFonts w:ascii="Book Antiqua" w:hAnsi="Book Antiqua" w:cs="Times New Roman"/>
          <w:noProof/>
          <w:sz w:val="24"/>
          <w:szCs w:val="24"/>
        </w:rPr>
        <w:t xml:space="preserve">the </w:t>
      </w:r>
      <w:r w:rsidRPr="0062316F">
        <w:rPr>
          <w:rFonts w:ascii="Book Antiqua" w:hAnsi="Book Antiqua" w:cs="Times New Roman"/>
          <w:noProof/>
          <w:sz w:val="24"/>
          <w:szCs w:val="24"/>
        </w:rPr>
        <w:t xml:space="preserve">Newcastle–Ottawa scale as described by Herzog </w:t>
      </w:r>
      <w:r w:rsidRPr="0062316F">
        <w:rPr>
          <w:rFonts w:ascii="Book Antiqua" w:hAnsi="Book Antiqua" w:cs="Times New Roman"/>
          <w:i/>
          <w:noProof/>
          <w:sz w:val="24"/>
          <w:szCs w:val="24"/>
        </w:rPr>
        <w:t>et al</w:t>
      </w:r>
      <w:r w:rsidR="005A5D61" w:rsidRPr="0062316F">
        <w:rPr>
          <w:rFonts w:ascii="Book Antiqua" w:hAnsi="Book Antiqua" w:cs="Times New Roman"/>
          <w:noProof/>
          <w:sz w:val="24"/>
          <w:szCs w:val="24"/>
          <w:vertAlign w:val="superscript"/>
        </w:rPr>
        <w:t>[29]</w:t>
      </w:r>
      <w:r w:rsidRPr="0062316F">
        <w:rPr>
          <w:rFonts w:ascii="Book Antiqua" w:hAnsi="Book Antiqua" w:cs="Times New Roman"/>
          <w:noProof/>
          <w:sz w:val="24"/>
          <w:szCs w:val="24"/>
        </w:rPr>
        <w:t xml:space="preserve"> was used for cross-sectional studies.</w:t>
      </w:r>
    </w:p>
    <w:p w14:paraId="74B48CBC" w14:textId="77777777" w:rsidR="005A5D61" w:rsidRPr="0062316F" w:rsidRDefault="005A5D61" w:rsidP="0062316F">
      <w:pPr>
        <w:spacing w:after="0" w:line="360" w:lineRule="auto"/>
        <w:ind w:firstLineChars="100" w:firstLine="240"/>
        <w:jc w:val="both"/>
        <w:rPr>
          <w:rFonts w:ascii="Book Antiqua" w:hAnsi="Book Antiqua" w:cs="Times New Roman"/>
          <w:noProof/>
          <w:sz w:val="24"/>
          <w:szCs w:val="24"/>
        </w:rPr>
      </w:pPr>
    </w:p>
    <w:p w14:paraId="7198FDF4" w14:textId="6F339512"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Review </w:t>
      </w:r>
      <w:r w:rsidR="005A5D61" w:rsidRPr="0062316F">
        <w:rPr>
          <w:rFonts w:ascii="Book Antiqua" w:hAnsi="Book Antiqua" w:cs="Times New Roman"/>
          <w:b/>
          <w:i/>
          <w:sz w:val="24"/>
          <w:szCs w:val="24"/>
        </w:rPr>
        <w:t xml:space="preserve">process </w:t>
      </w:r>
      <w:r w:rsidRPr="0062316F">
        <w:rPr>
          <w:rFonts w:ascii="Book Antiqua" w:hAnsi="Book Antiqua" w:cs="Times New Roman"/>
          <w:b/>
          <w:i/>
          <w:sz w:val="24"/>
          <w:szCs w:val="24"/>
        </w:rPr>
        <w:t xml:space="preserve">and </w:t>
      </w:r>
      <w:r w:rsidR="005A5D61" w:rsidRPr="0062316F">
        <w:rPr>
          <w:rFonts w:ascii="Book Antiqua" w:hAnsi="Book Antiqua" w:cs="Times New Roman"/>
          <w:b/>
          <w:i/>
          <w:sz w:val="24"/>
          <w:szCs w:val="24"/>
        </w:rPr>
        <w:t>data extraction</w:t>
      </w:r>
    </w:p>
    <w:p w14:paraId="2DE424A2" w14:textId="28EAC967" w:rsidR="00E9347F" w:rsidRPr="0062316F" w:rsidRDefault="00E9347F" w:rsidP="0062316F">
      <w:pPr>
        <w:spacing w:after="0" w:line="360" w:lineRule="auto"/>
        <w:jc w:val="both"/>
        <w:rPr>
          <w:rFonts w:ascii="Book Antiqua" w:hAnsi="Book Antiqua" w:cs="Times New Roman"/>
          <w:noProof/>
          <w:sz w:val="24"/>
          <w:szCs w:val="24"/>
        </w:rPr>
      </w:pPr>
      <w:r w:rsidRPr="0062316F">
        <w:rPr>
          <w:rFonts w:ascii="Book Antiqua" w:hAnsi="Book Antiqua" w:cs="Times New Roman"/>
          <w:noProof/>
          <w:sz w:val="24"/>
          <w:szCs w:val="24"/>
        </w:rPr>
        <w:t xml:space="preserve">The two study investigators independently reviewed the titles and abstracts of all retrieved articles. Articles that </w:t>
      </w:r>
      <w:r w:rsidR="008F0C0B" w:rsidRPr="0062316F">
        <w:rPr>
          <w:rFonts w:ascii="Book Antiqua" w:hAnsi="Book Antiqua" w:cs="Times New Roman"/>
          <w:noProof/>
          <w:sz w:val="24"/>
          <w:szCs w:val="24"/>
        </w:rPr>
        <w:t>apparently</w:t>
      </w:r>
      <w:r w:rsidRPr="0062316F">
        <w:rPr>
          <w:rFonts w:ascii="Book Antiqua" w:hAnsi="Book Antiqua" w:cs="Times New Roman"/>
          <w:noProof/>
          <w:sz w:val="24"/>
          <w:szCs w:val="24"/>
        </w:rPr>
        <w:t xml:space="preserve"> did not fulfill the inclusion criteria were excluded. Only potentially relevant articles underwent full-text review to determine eligibility. A standardized data collection form was used to extract the following information from the included studies: first author’s name, year of publication, year of study, country where the study was conducted, study design, source of population, number of subjects, baseline characteristics of the subjects, and effect estimates. This data extraction process was performed by both investigators to ensure accuracy.</w:t>
      </w:r>
    </w:p>
    <w:p w14:paraId="523D4F28" w14:textId="77777777" w:rsidR="005A5D61" w:rsidRPr="0062316F" w:rsidRDefault="005A5D61" w:rsidP="0062316F">
      <w:pPr>
        <w:spacing w:after="0" w:line="360" w:lineRule="auto"/>
        <w:jc w:val="both"/>
        <w:rPr>
          <w:rFonts w:ascii="Book Antiqua" w:hAnsi="Book Antiqua" w:cs="Times New Roman"/>
          <w:noProof/>
          <w:sz w:val="24"/>
          <w:szCs w:val="24"/>
        </w:rPr>
      </w:pPr>
    </w:p>
    <w:p w14:paraId="4D51AD60" w14:textId="57A7D903"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Statistical </w:t>
      </w:r>
      <w:r w:rsidR="005A5D61" w:rsidRPr="0062316F">
        <w:rPr>
          <w:rFonts w:ascii="Book Antiqua" w:hAnsi="Book Antiqua" w:cs="Times New Roman"/>
          <w:b/>
          <w:i/>
          <w:sz w:val="24"/>
          <w:szCs w:val="24"/>
        </w:rPr>
        <w:t>analysis</w:t>
      </w:r>
    </w:p>
    <w:p w14:paraId="74DE6BDC" w14:textId="2AB90E14" w:rsidR="00E9347F" w:rsidRPr="0062316F" w:rsidRDefault="00E9347F" w:rsidP="0062316F">
      <w:pPr>
        <w:spacing w:after="0" w:line="360" w:lineRule="auto"/>
        <w:jc w:val="both"/>
        <w:rPr>
          <w:rFonts w:ascii="Book Antiqua" w:hAnsi="Book Antiqua" w:cs="Times New Roman"/>
          <w:noProof/>
          <w:sz w:val="24"/>
          <w:szCs w:val="24"/>
        </w:rPr>
      </w:pPr>
      <w:r w:rsidRPr="0062316F">
        <w:rPr>
          <w:rFonts w:ascii="Book Antiqua" w:hAnsi="Book Antiqua" w:cs="Times New Roman"/>
          <w:noProof/>
          <w:sz w:val="24"/>
          <w:szCs w:val="24"/>
        </w:rPr>
        <w:t xml:space="preserve">All statistical analyses were performed using Comprehensive Meta-analysis version 3 software (Eaglewood, NJ, </w:t>
      </w:r>
      <w:r w:rsidR="005A5D61" w:rsidRPr="0062316F">
        <w:rPr>
          <w:rFonts w:ascii="Book Antiqua" w:hAnsi="Book Antiqua" w:cs="Times New Roman"/>
          <w:noProof/>
          <w:sz w:val="24"/>
          <w:szCs w:val="24"/>
        </w:rPr>
        <w:t>United States</w:t>
      </w:r>
      <w:r w:rsidRPr="0062316F">
        <w:rPr>
          <w:rFonts w:ascii="Book Antiqua" w:hAnsi="Book Antiqua" w:cs="Times New Roman"/>
          <w:noProof/>
          <w:sz w:val="24"/>
          <w:szCs w:val="24"/>
        </w:rPr>
        <w:t xml:space="preserve">). The pooled RRs of </w:t>
      </w:r>
      <w:r w:rsidRPr="0062316F">
        <w:rPr>
          <w:rFonts w:ascii="Book Antiqua" w:hAnsi="Book Antiqua" w:cs="Times New Roman"/>
          <w:sz w:val="24"/>
          <w:szCs w:val="24"/>
        </w:rPr>
        <w:t>acute rejection, graft loss, hypomagnesemia, and overall mortality</w:t>
      </w:r>
      <w:r w:rsidRPr="0062316F">
        <w:rPr>
          <w:rFonts w:ascii="Book Antiqua" w:hAnsi="Book Antiqua" w:cs="Times New Roman"/>
          <w:noProof/>
          <w:sz w:val="24"/>
          <w:szCs w:val="24"/>
        </w:rPr>
        <w:t xml:space="preserve"> in kidney transplant recipients on PPIs compared with subjects not on PPIs were calculated using the generic inverse method of DerSimonian and Laird</w:t>
      </w:r>
      <w:r w:rsidR="006E5D2C" w:rsidRPr="0062316F">
        <w:rPr>
          <w:rFonts w:ascii="Book Antiqua" w:hAnsi="Book Antiqua" w:cs="Times New Roman"/>
          <w:noProof/>
          <w:sz w:val="24"/>
          <w:szCs w:val="24"/>
          <w:vertAlign w:val="superscript"/>
        </w:rPr>
        <w:t>[30</w:t>
      </w:r>
      <w:r w:rsidRPr="0062316F">
        <w:rPr>
          <w:rFonts w:ascii="Book Antiqua" w:hAnsi="Book Antiqua" w:cs="Times New Roman"/>
          <w:noProof/>
          <w:sz w:val="24"/>
          <w:szCs w:val="24"/>
          <w:vertAlign w:val="superscript"/>
        </w:rPr>
        <w:t>]</w:t>
      </w:r>
      <w:r w:rsidRPr="0062316F">
        <w:rPr>
          <w:rFonts w:ascii="Book Antiqua" w:hAnsi="Book Antiqua" w:cs="Times New Roman"/>
          <w:noProof/>
          <w:sz w:val="24"/>
          <w:szCs w:val="24"/>
        </w:rPr>
        <w:t>. The random-effects model was used, given the high likelihood of between-study variance due to the difference in underlying population and methodology. Cochran's Q-test, which was supplemented by</w:t>
      </w:r>
      <w:r w:rsidRPr="0062316F">
        <w:rPr>
          <w:rFonts w:ascii="Book Antiqua" w:hAnsi="Book Antiqua" w:cs="Times New Roman"/>
          <w:i/>
          <w:noProof/>
          <w:sz w:val="24"/>
          <w:szCs w:val="24"/>
        </w:rPr>
        <w:t xml:space="preserve"> I</w:t>
      </w:r>
      <w:r w:rsidRPr="0062316F">
        <w:rPr>
          <w:rFonts w:ascii="Book Antiqua" w:hAnsi="Book Antiqua" w:cs="Times New Roman"/>
          <w:i/>
          <w:noProof/>
          <w:sz w:val="24"/>
          <w:szCs w:val="24"/>
          <w:vertAlign w:val="superscript"/>
        </w:rPr>
        <w:t>2</w:t>
      </w:r>
      <w:r w:rsidRPr="0062316F">
        <w:rPr>
          <w:rFonts w:ascii="Book Antiqua" w:hAnsi="Book Antiqua" w:cs="Times New Roman"/>
          <w:noProof/>
          <w:sz w:val="24"/>
          <w:szCs w:val="24"/>
        </w:rPr>
        <w:t xml:space="preserve"> statistics, was used to evaluate statistical heterogeneity. </w:t>
      </w:r>
      <w:r w:rsidRPr="0062316F">
        <w:rPr>
          <w:rFonts w:ascii="Book Antiqua" w:hAnsi="Book Antiqua" w:cs="Times New Roman"/>
          <w:i/>
          <w:noProof/>
          <w:sz w:val="24"/>
          <w:szCs w:val="24"/>
        </w:rPr>
        <w:t>I</w:t>
      </w:r>
      <w:r w:rsidRPr="0062316F">
        <w:rPr>
          <w:rFonts w:ascii="Book Antiqua" w:hAnsi="Book Antiqua" w:cs="Times New Roman"/>
          <w:i/>
          <w:noProof/>
          <w:sz w:val="24"/>
          <w:szCs w:val="24"/>
          <w:vertAlign w:val="superscript"/>
        </w:rPr>
        <w:t>2</w:t>
      </w:r>
      <w:r w:rsidRPr="0062316F">
        <w:rPr>
          <w:rFonts w:ascii="Book Antiqua" w:hAnsi="Book Antiqua" w:cs="Times New Roman"/>
          <w:noProof/>
          <w:sz w:val="24"/>
          <w:szCs w:val="24"/>
        </w:rPr>
        <w:t xml:space="preserve"> statistics quantif</w:t>
      </w:r>
      <w:r w:rsidR="008F0C0B" w:rsidRPr="0062316F">
        <w:rPr>
          <w:rFonts w:ascii="Book Antiqua" w:hAnsi="Book Antiqua" w:cs="Times New Roman"/>
          <w:noProof/>
          <w:sz w:val="24"/>
          <w:szCs w:val="24"/>
        </w:rPr>
        <w:t>y</w:t>
      </w:r>
      <w:r w:rsidRPr="0062316F">
        <w:rPr>
          <w:rFonts w:ascii="Book Antiqua" w:hAnsi="Book Antiqua" w:cs="Times New Roman"/>
          <w:noProof/>
          <w:sz w:val="24"/>
          <w:szCs w:val="24"/>
        </w:rPr>
        <w:t xml:space="preserve"> the proportion of the total variation across studies, that is, due to true heterogeneity rather than chance. An </w:t>
      </w:r>
      <w:r w:rsidRPr="0062316F">
        <w:rPr>
          <w:rFonts w:ascii="Book Antiqua" w:hAnsi="Book Antiqua" w:cs="Times New Roman"/>
          <w:i/>
          <w:noProof/>
          <w:sz w:val="24"/>
          <w:szCs w:val="24"/>
        </w:rPr>
        <w:t>I</w:t>
      </w:r>
      <w:r w:rsidRPr="0062316F">
        <w:rPr>
          <w:rFonts w:ascii="Book Antiqua" w:hAnsi="Book Antiqua" w:cs="Times New Roman"/>
          <w:i/>
          <w:noProof/>
          <w:sz w:val="24"/>
          <w:szCs w:val="24"/>
          <w:vertAlign w:val="superscript"/>
        </w:rPr>
        <w:t>2</w:t>
      </w:r>
      <w:r w:rsidRPr="0062316F">
        <w:rPr>
          <w:rFonts w:ascii="Book Antiqua" w:hAnsi="Book Antiqua" w:cs="Times New Roman"/>
          <w:noProof/>
          <w:sz w:val="24"/>
          <w:szCs w:val="24"/>
        </w:rPr>
        <w:t xml:space="preserve"> value of 0% to 25% represents insignificant heterogeneity, &gt;</w:t>
      </w:r>
      <w:r w:rsidR="005A5D61" w:rsidRPr="0062316F">
        <w:rPr>
          <w:rFonts w:ascii="Book Antiqua" w:hAnsi="Book Antiqua" w:cs="Times New Roman"/>
          <w:noProof/>
          <w:sz w:val="24"/>
          <w:szCs w:val="24"/>
        </w:rPr>
        <w:t xml:space="preserve"> </w:t>
      </w:r>
      <w:r w:rsidRPr="0062316F">
        <w:rPr>
          <w:rFonts w:ascii="Book Antiqua" w:hAnsi="Book Antiqua" w:cs="Times New Roman"/>
          <w:noProof/>
          <w:sz w:val="24"/>
          <w:szCs w:val="24"/>
        </w:rPr>
        <w:t xml:space="preserve">25% </w:t>
      </w:r>
      <w:r w:rsidR="00831540" w:rsidRPr="0062316F">
        <w:rPr>
          <w:rFonts w:ascii="Book Antiqua" w:hAnsi="Book Antiqua" w:cs="Times New Roman"/>
          <w:noProof/>
          <w:sz w:val="24"/>
          <w:szCs w:val="24"/>
        </w:rPr>
        <w:t xml:space="preserve">to </w:t>
      </w:r>
      <w:r w:rsidRPr="0062316F">
        <w:rPr>
          <w:rFonts w:ascii="Book Antiqua" w:hAnsi="Book Antiqua" w:cs="Times New Roman"/>
          <w:noProof/>
          <w:sz w:val="24"/>
          <w:szCs w:val="24"/>
        </w:rPr>
        <w:t>≤</w:t>
      </w:r>
      <w:r w:rsidR="005A5D61" w:rsidRPr="0062316F">
        <w:rPr>
          <w:rFonts w:ascii="Book Antiqua" w:hAnsi="Book Antiqua" w:cs="Times New Roman"/>
          <w:noProof/>
          <w:sz w:val="24"/>
          <w:szCs w:val="24"/>
        </w:rPr>
        <w:t xml:space="preserve"> </w:t>
      </w:r>
      <w:r w:rsidRPr="0062316F">
        <w:rPr>
          <w:rFonts w:ascii="Book Antiqua" w:hAnsi="Book Antiqua" w:cs="Times New Roman"/>
          <w:noProof/>
          <w:sz w:val="24"/>
          <w:szCs w:val="24"/>
        </w:rPr>
        <w:t xml:space="preserve">50% represents low heterogeneity, </w:t>
      </w:r>
      <w:r w:rsidRPr="0062316F">
        <w:rPr>
          <w:rFonts w:ascii="Book Antiqua" w:hAnsi="Book Antiqua" w:cs="Times New Roman"/>
          <w:noProof/>
          <w:sz w:val="24"/>
          <w:szCs w:val="24"/>
        </w:rPr>
        <w:lastRenderedPageBreak/>
        <w:t>&gt;</w:t>
      </w:r>
      <w:r w:rsidR="005A5D61" w:rsidRPr="0062316F">
        <w:rPr>
          <w:rFonts w:ascii="Book Antiqua" w:hAnsi="Book Antiqua" w:cs="Times New Roman"/>
          <w:noProof/>
          <w:sz w:val="24"/>
          <w:szCs w:val="24"/>
        </w:rPr>
        <w:t xml:space="preserve"> </w:t>
      </w:r>
      <w:r w:rsidRPr="0062316F">
        <w:rPr>
          <w:rFonts w:ascii="Book Antiqua" w:hAnsi="Book Antiqua" w:cs="Times New Roman"/>
          <w:noProof/>
          <w:sz w:val="24"/>
          <w:szCs w:val="24"/>
        </w:rPr>
        <w:t xml:space="preserve">50% </w:t>
      </w:r>
      <w:r w:rsidR="00831540" w:rsidRPr="0062316F">
        <w:rPr>
          <w:rFonts w:ascii="Book Antiqua" w:hAnsi="Book Antiqua" w:cs="Times New Roman"/>
          <w:noProof/>
          <w:sz w:val="24"/>
          <w:szCs w:val="24"/>
        </w:rPr>
        <w:t>to</w:t>
      </w:r>
      <w:r w:rsidRPr="0062316F">
        <w:rPr>
          <w:rFonts w:ascii="Book Antiqua" w:hAnsi="Book Antiqua" w:cs="Times New Roman"/>
          <w:noProof/>
          <w:sz w:val="24"/>
          <w:szCs w:val="24"/>
        </w:rPr>
        <w:t xml:space="preserve"> ≤</w:t>
      </w:r>
      <w:r w:rsidR="005A5D61" w:rsidRPr="0062316F">
        <w:rPr>
          <w:rFonts w:ascii="Book Antiqua" w:hAnsi="Book Antiqua" w:cs="Times New Roman"/>
          <w:noProof/>
          <w:sz w:val="24"/>
          <w:szCs w:val="24"/>
        </w:rPr>
        <w:t xml:space="preserve"> </w:t>
      </w:r>
      <w:r w:rsidRPr="0062316F">
        <w:rPr>
          <w:rFonts w:ascii="Book Antiqua" w:hAnsi="Book Antiqua" w:cs="Times New Roman"/>
          <w:noProof/>
          <w:sz w:val="24"/>
          <w:szCs w:val="24"/>
        </w:rPr>
        <w:t>75% represents moderate heterogeneity, and &gt;</w:t>
      </w:r>
      <w:r w:rsidR="005A5D61" w:rsidRPr="0062316F">
        <w:rPr>
          <w:rFonts w:ascii="Book Antiqua" w:hAnsi="Book Antiqua" w:cs="Times New Roman"/>
          <w:noProof/>
          <w:sz w:val="24"/>
          <w:szCs w:val="24"/>
        </w:rPr>
        <w:t xml:space="preserve"> </w:t>
      </w:r>
      <w:r w:rsidRPr="0062316F">
        <w:rPr>
          <w:rFonts w:ascii="Book Antiqua" w:hAnsi="Book Antiqua" w:cs="Times New Roman"/>
          <w:noProof/>
          <w:sz w:val="24"/>
          <w:szCs w:val="24"/>
        </w:rPr>
        <w:t>75% represents high heterogeneity</w:t>
      </w:r>
      <w:r w:rsidR="006E5D2C" w:rsidRPr="0062316F">
        <w:rPr>
          <w:rFonts w:ascii="Book Antiqua" w:hAnsi="Book Antiqua" w:cs="Times New Roman"/>
          <w:noProof/>
          <w:sz w:val="24"/>
          <w:szCs w:val="24"/>
          <w:vertAlign w:val="superscript"/>
        </w:rPr>
        <w:t>[31</w:t>
      </w:r>
      <w:r w:rsidRPr="0062316F">
        <w:rPr>
          <w:rFonts w:ascii="Book Antiqua" w:hAnsi="Book Antiqua" w:cs="Times New Roman"/>
          <w:noProof/>
          <w:sz w:val="24"/>
          <w:szCs w:val="24"/>
          <w:vertAlign w:val="superscript"/>
        </w:rPr>
        <w:t>]</w:t>
      </w:r>
      <w:r w:rsidRPr="0062316F">
        <w:rPr>
          <w:rFonts w:ascii="Book Antiqua" w:hAnsi="Book Antiqua" w:cs="Times New Roman"/>
          <w:noProof/>
          <w:sz w:val="24"/>
          <w:szCs w:val="24"/>
        </w:rPr>
        <w:t>.</w:t>
      </w:r>
    </w:p>
    <w:p w14:paraId="535C3E37" w14:textId="77777777" w:rsidR="00E43E96" w:rsidRPr="0062316F" w:rsidRDefault="00E43E96" w:rsidP="0062316F">
      <w:pPr>
        <w:spacing w:after="0" w:line="360" w:lineRule="auto"/>
        <w:jc w:val="both"/>
        <w:rPr>
          <w:rFonts w:ascii="Book Antiqua" w:hAnsi="Book Antiqua" w:cs="Times New Roman"/>
          <w:b/>
          <w:sz w:val="24"/>
          <w:szCs w:val="24"/>
        </w:rPr>
      </w:pPr>
    </w:p>
    <w:p w14:paraId="36704A0D" w14:textId="61C568DD" w:rsidR="00E9347F" w:rsidRPr="0062316F" w:rsidRDefault="005A5D61"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RESULTS</w:t>
      </w:r>
    </w:p>
    <w:p w14:paraId="0E25F42B" w14:textId="5D3B4EE9" w:rsidR="00E9347F" w:rsidRPr="0062316F" w:rsidRDefault="00E9347F" w:rsidP="0062316F">
      <w:pPr>
        <w:pStyle w:val="BodyA"/>
        <w:spacing w:line="360" w:lineRule="auto"/>
        <w:jc w:val="both"/>
        <w:rPr>
          <w:rFonts w:ascii="Book Antiqua" w:hAnsi="Book Antiqua" w:cs="Times New Roman"/>
          <w:color w:val="auto"/>
          <w:sz w:val="24"/>
          <w:szCs w:val="24"/>
        </w:rPr>
      </w:pPr>
      <w:r w:rsidRPr="0062316F">
        <w:rPr>
          <w:rFonts w:ascii="Book Antiqua" w:hAnsi="Book Antiqua" w:cs="Times New Roman"/>
          <w:color w:val="auto"/>
          <w:sz w:val="24"/>
          <w:szCs w:val="24"/>
        </w:rPr>
        <w:t>The initial search yielded 838 articles, all of which underwent title and abstract review (</w:t>
      </w:r>
      <w:r w:rsidRPr="009A309C">
        <w:rPr>
          <w:rFonts w:ascii="Book Antiqua" w:hAnsi="Book Antiqua" w:cs="Times New Roman"/>
          <w:color w:val="auto"/>
          <w:sz w:val="24"/>
          <w:szCs w:val="24"/>
        </w:rPr>
        <w:t>Figure 1</w:t>
      </w:r>
      <w:r w:rsidRPr="0062316F">
        <w:rPr>
          <w:rFonts w:ascii="Book Antiqua" w:hAnsi="Book Antiqua" w:cs="Times New Roman"/>
          <w:color w:val="auto"/>
          <w:sz w:val="24"/>
          <w:szCs w:val="24"/>
        </w:rPr>
        <w:t>).</w:t>
      </w:r>
      <w:r w:rsidRPr="0062316F">
        <w:rPr>
          <w:rFonts w:ascii="Book Antiqua" w:hAnsi="Book Antiqua"/>
          <w:color w:val="auto"/>
          <w:sz w:val="24"/>
          <w:szCs w:val="24"/>
        </w:rPr>
        <w:t xml:space="preserve"> </w:t>
      </w:r>
      <w:r w:rsidR="005A5D61" w:rsidRPr="0062316F">
        <w:rPr>
          <w:rFonts w:ascii="Book Antiqua" w:hAnsi="Book Antiqua"/>
          <w:color w:val="auto"/>
          <w:sz w:val="24"/>
          <w:szCs w:val="24"/>
        </w:rPr>
        <w:t>Most of</w:t>
      </w:r>
      <w:r w:rsidRPr="0062316F">
        <w:rPr>
          <w:rFonts w:ascii="Book Antiqua" w:hAnsi="Book Antiqua"/>
          <w:color w:val="auto"/>
          <w:sz w:val="24"/>
          <w:szCs w:val="24"/>
        </w:rPr>
        <w:t xml:space="preserve"> the articles were excluded at this step because they were case reports, letters to the editor, review articles, or interventional studies, which clearly did not fulfill our inclusion criteria. Eighteen studies underwent full-length article review, and four were excluded because they did not include controls or did not report the outcome of interest. Therefore, 14 studies met our inclusion </w:t>
      </w:r>
      <w:proofErr w:type="gramStart"/>
      <w:r w:rsidRPr="0062316F">
        <w:rPr>
          <w:rFonts w:ascii="Book Antiqua" w:hAnsi="Book Antiqua"/>
          <w:color w:val="auto"/>
          <w:sz w:val="24"/>
          <w:szCs w:val="24"/>
        </w:rPr>
        <w:t>criteria</w:t>
      </w:r>
      <w:r w:rsidR="006E5D2C" w:rsidRPr="0062316F">
        <w:rPr>
          <w:rFonts w:ascii="Book Antiqua" w:hAnsi="Book Antiqua"/>
          <w:noProof/>
          <w:color w:val="auto"/>
          <w:sz w:val="24"/>
          <w:szCs w:val="24"/>
          <w:vertAlign w:val="superscript"/>
        </w:rPr>
        <w:t>[</w:t>
      </w:r>
      <w:proofErr w:type="gramEnd"/>
      <w:r w:rsidR="006E5D2C" w:rsidRPr="0062316F">
        <w:rPr>
          <w:rFonts w:ascii="Book Antiqua" w:hAnsi="Book Antiqua"/>
          <w:noProof/>
          <w:color w:val="auto"/>
          <w:sz w:val="24"/>
          <w:szCs w:val="24"/>
          <w:vertAlign w:val="superscript"/>
        </w:rPr>
        <w:t>20-24,32-40</w:t>
      </w:r>
      <w:r w:rsidRPr="0062316F">
        <w:rPr>
          <w:rFonts w:ascii="Book Antiqua" w:hAnsi="Book Antiqua"/>
          <w:noProof/>
          <w:color w:val="auto"/>
          <w:sz w:val="24"/>
          <w:szCs w:val="24"/>
          <w:vertAlign w:val="superscript"/>
        </w:rPr>
        <w:t>]</w:t>
      </w:r>
      <w:r w:rsidRPr="0062316F">
        <w:rPr>
          <w:rFonts w:ascii="Book Antiqua" w:hAnsi="Book Antiqua"/>
          <w:color w:val="auto"/>
          <w:sz w:val="24"/>
          <w:szCs w:val="24"/>
        </w:rPr>
        <w:t xml:space="preserve"> and </w:t>
      </w:r>
      <w:r w:rsidR="000C4E5B" w:rsidRPr="0062316F">
        <w:rPr>
          <w:rFonts w:ascii="Book Antiqua" w:hAnsi="Book Antiqua"/>
          <w:color w:val="auto"/>
          <w:sz w:val="24"/>
          <w:szCs w:val="24"/>
        </w:rPr>
        <w:t>were included in the meta-</w:t>
      </w:r>
      <w:r w:rsidRPr="0062316F">
        <w:rPr>
          <w:rFonts w:ascii="Book Antiqua" w:hAnsi="Book Antiqua"/>
          <w:color w:val="auto"/>
          <w:sz w:val="24"/>
          <w:szCs w:val="24"/>
        </w:rPr>
        <w:t xml:space="preserve">analysis. The baseline characteristics of the included studies are summarized in </w:t>
      </w:r>
      <w:r w:rsidRPr="009A309C">
        <w:rPr>
          <w:rFonts w:ascii="Book Antiqua" w:hAnsi="Book Antiqua"/>
          <w:color w:val="auto"/>
          <w:sz w:val="24"/>
          <w:szCs w:val="24"/>
        </w:rPr>
        <w:t>Table 1</w:t>
      </w:r>
      <w:r w:rsidRPr="0062316F">
        <w:rPr>
          <w:rFonts w:ascii="Book Antiqua" w:hAnsi="Book Antiqua"/>
          <w:color w:val="auto"/>
          <w:sz w:val="24"/>
          <w:szCs w:val="24"/>
        </w:rPr>
        <w:t>.</w:t>
      </w:r>
      <w:r w:rsidR="00831540" w:rsidRPr="0062316F">
        <w:rPr>
          <w:rFonts w:ascii="Book Antiqua" w:hAnsi="Book Antiqua"/>
          <w:color w:val="auto"/>
          <w:sz w:val="24"/>
          <w:szCs w:val="24"/>
        </w:rPr>
        <w:t xml:space="preserve"> These </w:t>
      </w:r>
      <w:r w:rsidR="00F82A64" w:rsidRPr="0062316F">
        <w:rPr>
          <w:rFonts w:ascii="Book Antiqua" w:hAnsi="Book Antiqua"/>
          <w:color w:val="auto"/>
          <w:sz w:val="24"/>
          <w:szCs w:val="24"/>
        </w:rPr>
        <w:t>14</w:t>
      </w:r>
      <w:r w:rsidRPr="0062316F">
        <w:rPr>
          <w:rFonts w:ascii="Book Antiqua" w:hAnsi="Book Antiqua" w:cs="Times New Roman"/>
          <w:color w:val="auto"/>
          <w:sz w:val="24"/>
          <w:szCs w:val="24"/>
        </w:rPr>
        <w:t xml:space="preserve"> observational studies </w:t>
      </w:r>
      <w:r w:rsidR="00831540" w:rsidRPr="0062316F">
        <w:rPr>
          <w:rFonts w:ascii="Book Antiqua" w:hAnsi="Book Antiqua" w:cs="Times New Roman"/>
          <w:color w:val="auto"/>
          <w:sz w:val="24"/>
          <w:szCs w:val="24"/>
        </w:rPr>
        <w:t xml:space="preserve">consisted of </w:t>
      </w:r>
      <w:r w:rsidRPr="0062316F">
        <w:rPr>
          <w:rFonts w:ascii="Book Antiqua" w:hAnsi="Book Antiqua" w:cs="Times New Roman"/>
          <w:color w:val="auto"/>
          <w:sz w:val="24"/>
          <w:szCs w:val="24"/>
        </w:rPr>
        <w:t>6786 kidney transplant recipients (&gt;</w:t>
      </w:r>
      <w:r w:rsidR="005A5D61"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1907 with PPI exposure and 2528 without PPI exposure). </w:t>
      </w:r>
    </w:p>
    <w:p w14:paraId="718F81BF" w14:textId="77777777" w:rsidR="00E43E96" w:rsidRPr="0062316F" w:rsidRDefault="00E43E96" w:rsidP="0062316F">
      <w:pPr>
        <w:pStyle w:val="BodyA"/>
        <w:spacing w:line="360" w:lineRule="auto"/>
        <w:jc w:val="both"/>
        <w:rPr>
          <w:rFonts w:ascii="Book Antiqua" w:hAnsi="Book Antiqua" w:cs="Times New Roman"/>
          <w:b/>
          <w:i/>
          <w:color w:val="auto"/>
          <w:sz w:val="24"/>
          <w:szCs w:val="24"/>
        </w:rPr>
      </w:pPr>
    </w:p>
    <w:p w14:paraId="65830FA7" w14:textId="6DEB2926" w:rsidR="00E43E96" w:rsidRPr="0062316F" w:rsidRDefault="00E9347F" w:rsidP="0062316F">
      <w:pPr>
        <w:pStyle w:val="BodyA"/>
        <w:spacing w:line="360" w:lineRule="auto"/>
        <w:jc w:val="both"/>
        <w:rPr>
          <w:rFonts w:ascii="Book Antiqua" w:hAnsi="Book Antiqua" w:cs="Times New Roman"/>
          <w:b/>
          <w:i/>
          <w:color w:val="auto"/>
          <w:sz w:val="24"/>
          <w:szCs w:val="24"/>
        </w:rPr>
      </w:pPr>
      <w:r w:rsidRPr="0062316F">
        <w:rPr>
          <w:rFonts w:ascii="Book Antiqua" w:hAnsi="Book Antiqua" w:cs="Times New Roman"/>
          <w:b/>
          <w:i/>
          <w:color w:val="auto"/>
          <w:sz w:val="24"/>
          <w:szCs w:val="24"/>
        </w:rPr>
        <w:t xml:space="preserve">Acute </w:t>
      </w:r>
      <w:r w:rsidR="005A5D61" w:rsidRPr="0062316F">
        <w:rPr>
          <w:rFonts w:ascii="Book Antiqua" w:hAnsi="Book Antiqua" w:cs="Times New Roman"/>
          <w:b/>
          <w:i/>
          <w:color w:val="auto"/>
          <w:sz w:val="24"/>
          <w:szCs w:val="24"/>
        </w:rPr>
        <w:t>biopsy</w:t>
      </w:r>
      <w:r w:rsidRPr="0062316F">
        <w:rPr>
          <w:rFonts w:ascii="Book Antiqua" w:hAnsi="Book Antiqua" w:cs="Times New Roman"/>
          <w:b/>
          <w:i/>
          <w:color w:val="auto"/>
          <w:sz w:val="24"/>
          <w:szCs w:val="24"/>
        </w:rPr>
        <w:t>-</w:t>
      </w:r>
      <w:r w:rsidR="00E43E96" w:rsidRPr="0062316F">
        <w:rPr>
          <w:rFonts w:ascii="Book Antiqua" w:hAnsi="Book Antiqua" w:cs="Times New Roman"/>
          <w:b/>
          <w:i/>
          <w:color w:val="auto"/>
          <w:sz w:val="24"/>
          <w:szCs w:val="24"/>
        </w:rPr>
        <w:t xml:space="preserve">proven </w:t>
      </w:r>
      <w:r w:rsidR="005A5D61" w:rsidRPr="0062316F">
        <w:rPr>
          <w:rFonts w:ascii="Book Antiqua" w:hAnsi="Book Antiqua" w:cs="Times New Roman"/>
          <w:b/>
          <w:i/>
          <w:color w:val="auto"/>
          <w:sz w:val="24"/>
          <w:szCs w:val="24"/>
        </w:rPr>
        <w:t xml:space="preserve">rejection </w:t>
      </w:r>
      <w:r w:rsidR="00E43E96" w:rsidRPr="0062316F">
        <w:rPr>
          <w:rFonts w:ascii="Book Antiqua" w:hAnsi="Book Antiqua" w:cs="Times New Roman"/>
          <w:b/>
          <w:i/>
          <w:color w:val="auto"/>
          <w:sz w:val="24"/>
          <w:szCs w:val="24"/>
        </w:rPr>
        <w:t xml:space="preserve">and </w:t>
      </w:r>
      <w:r w:rsidR="005A5D61" w:rsidRPr="0062316F">
        <w:rPr>
          <w:rFonts w:ascii="Book Antiqua" w:hAnsi="Book Antiqua" w:cs="Times New Roman"/>
          <w:b/>
          <w:i/>
          <w:color w:val="auto"/>
          <w:sz w:val="24"/>
          <w:szCs w:val="24"/>
        </w:rPr>
        <w:t xml:space="preserve">graft </w:t>
      </w:r>
      <w:r w:rsidR="00E43E96" w:rsidRPr="0062316F">
        <w:rPr>
          <w:rFonts w:ascii="Book Antiqua" w:hAnsi="Book Antiqua" w:cs="Times New Roman"/>
          <w:b/>
          <w:i/>
          <w:color w:val="auto"/>
          <w:sz w:val="24"/>
          <w:szCs w:val="24"/>
        </w:rPr>
        <w:t>loss</w:t>
      </w:r>
    </w:p>
    <w:p w14:paraId="3C8A6E24" w14:textId="1AFC0882" w:rsidR="00E9347F" w:rsidRPr="0062316F" w:rsidRDefault="00E9347F" w:rsidP="0062316F">
      <w:pPr>
        <w:pStyle w:val="BodyA"/>
        <w:spacing w:line="360" w:lineRule="auto"/>
        <w:jc w:val="both"/>
        <w:rPr>
          <w:rFonts w:ascii="Book Antiqua" w:hAnsi="Book Antiqua" w:cs="Times New Roman"/>
          <w:color w:val="auto"/>
          <w:sz w:val="24"/>
          <w:szCs w:val="24"/>
        </w:rPr>
      </w:pPr>
      <w:r w:rsidRPr="009A309C">
        <w:rPr>
          <w:rFonts w:ascii="Book Antiqua" w:hAnsi="Book Antiqua" w:cs="Times New Roman"/>
          <w:color w:val="auto"/>
          <w:sz w:val="24"/>
          <w:szCs w:val="24"/>
        </w:rPr>
        <w:t>Table 2</w:t>
      </w:r>
      <w:r w:rsidRPr="0062316F">
        <w:rPr>
          <w:rFonts w:ascii="Book Antiqua" w:hAnsi="Book Antiqua" w:cs="Times New Roman"/>
          <w:b/>
          <w:color w:val="auto"/>
          <w:sz w:val="24"/>
          <w:szCs w:val="24"/>
        </w:rPr>
        <w:t xml:space="preserve"> </w:t>
      </w:r>
      <w:r w:rsidRPr="0062316F">
        <w:rPr>
          <w:rFonts w:ascii="Book Antiqua" w:hAnsi="Book Antiqua" w:cs="Times New Roman"/>
          <w:color w:val="auto"/>
          <w:sz w:val="24"/>
          <w:szCs w:val="24"/>
        </w:rPr>
        <w:t>summarizes the findings across</w:t>
      </w:r>
      <w:r w:rsidR="00831540" w:rsidRPr="0062316F">
        <w:rPr>
          <w:rFonts w:ascii="Book Antiqua" w:hAnsi="Book Antiqua" w:cs="Times New Roman"/>
          <w:color w:val="auto"/>
          <w:sz w:val="24"/>
          <w:szCs w:val="24"/>
        </w:rPr>
        <w:t xml:space="preserve"> the</w:t>
      </w:r>
      <w:r w:rsidRPr="0062316F">
        <w:rPr>
          <w:rFonts w:ascii="Book Antiqua" w:hAnsi="Book Antiqua" w:cs="Times New Roman"/>
          <w:color w:val="auto"/>
          <w:sz w:val="24"/>
          <w:szCs w:val="24"/>
        </w:rPr>
        <w:t xml:space="preserve"> studies that report</w:t>
      </w:r>
      <w:r w:rsidR="00831540" w:rsidRPr="0062316F">
        <w:rPr>
          <w:rFonts w:ascii="Book Antiqua" w:hAnsi="Book Antiqua" w:cs="Times New Roman"/>
          <w:color w:val="auto"/>
          <w:sz w:val="24"/>
          <w:szCs w:val="24"/>
        </w:rPr>
        <w:t>ed</w:t>
      </w:r>
      <w:r w:rsidRPr="0062316F">
        <w:rPr>
          <w:rFonts w:ascii="Book Antiqua" w:hAnsi="Book Antiqua" w:cs="Times New Roman"/>
          <w:color w:val="auto"/>
          <w:sz w:val="24"/>
          <w:szCs w:val="24"/>
        </w:rPr>
        <w:t xml:space="preserve"> allograft outcomes. </w:t>
      </w:r>
      <w:r w:rsidR="00DA317C" w:rsidRPr="00DA317C">
        <w:rPr>
          <w:rFonts w:ascii="Book Antiqua" w:hAnsi="Book Antiqua" w:cs="Times New Roman"/>
          <w:color w:val="auto"/>
          <w:sz w:val="24"/>
          <w:szCs w:val="24"/>
        </w:rPr>
        <w:t>Definitions of biopsy-proven acute rejection and presumed rejection across included studies</w:t>
      </w:r>
      <w:r w:rsidR="00DA317C">
        <w:rPr>
          <w:rFonts w:ascii="Book Antiqua" w:hAnsi="Book Antiqua" w:cs="Times New Roman"/>
          <w:color w:val="auto"/>
          <w:sz w:val="24"/>
          <w:szCs w:val="24"/>
        </w:rPr>
        <w:t xml:space="preserve"> are also shown in </w:t>
      </w:r>
      <w:r w:rsidR="00DA317C" w:rsidRPr="009A309C">
        <w:rPr>
          <w:rFonts w:ascii="Book Antiqua" w:hAnsi="Book Antiqua" w:cs="Times New Roman"/>
          <w:color w:val="auto"/>
          <w:sz w:val="24"/>
          <w:szCs w:val="24"/>
        </w:rPr>
        <w:t>Supplementary Table S1</w:t>
      </w:r>
      <w:r w:rsidR="00DA317C">
        <w:rPr>
          <w:rFonts w:ascii="Book Antiqua" w:hAnsi="Book Antiqua" w:cs="Times New Roman"/>
          <w:color w:val="auto"/>
          <w:sz w:val="24"/>
          <w:szCs w:val="24"/>
        </w:rPr>
        <w:t xml:space="preserve">. </w:t>
      </w:r>
      <w:r w:rsidRPr="0062316F">
        <w:rPr>
          <w:rFonts w:ascii="Book Antiqua" w:hAnsi="Book Antiqua" w:cs="Times New Roman"/>
          <w:color w:val="auto"/>
          <w:sz w:val="24"/>
          <w:szCs w:val="24"/>
        </w:rPr>
        <w:t>Pooled data for acute rejection at ≥</w:t>
      </w:r>
      <w:r w:rsidR="005A5D61"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1 year were available from </w:t>
      </w:r>
      <w:r w:rsidR="00F82A64" w:rsidRPr="0062316F">
        <w:rPr>
          <w:rFonts w:ascii="Book Antiqua" w:hAnsi="Book Antiqua" w:cs="Times New Roman"/>
          <w:color w:val="auto"/>
          <w:sz w:val="24"/>
          <w:szCs w:val="24"/>
        </w:rPr>
        <w:t>six</w:t>
      </w:r>
      <w:r w:rsidRPr="0062316F">
        <w:rPr>
          <w:rFonts w:ascii="Book Antiqua" w:hAnsi="Book Antiqua" w:cs="Times New Roman"/>
          <w:color w:val="auto"/>
          <w:sz w:val="24"/>
          <w:szCs w:val="24"/>
        </w:rPr>
        <w:t xml:space="preserve"> studies with 2427 kidney transplant recipients (980 with PPI exposure and 1447 without PPI exposure). No significant association was found between PPI exposure and the risk of biopsy-proven acute rejection at ≥</w:t>
      </w:r>
      <w:r w:rsidR="005A5D61"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1 year (pooled OR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1.25</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0.82</w:t>
      </w:r>
      <w:r w:rsidR="005A5D61"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1.91, </w:t>
      </w:r>
      <w:r w:rsidRPr="0062316F">
        <w:rPr>
          <w:rFonts w:ascii="Book Antiqua" w:hAnsi="Book Antiqua" w:cs="Times New Roman"/>
          <w:i/>
          <w:color w:val="auto"/>
          <w:sz w:val="24"/>
          <w:szCs w:val="24"/>
        </w:rPr>
        <w:t>I</w:t>
      </w:r>
      <w:r w:rsidRPr="0062316F">
        <w:rPr>
          <w:rFonts w:ascii="Book Antiqua" w:hAnsi="Book Antiqua" w:cs="Times New Roman"/>
          <w:i/>
          <w:color w:val="auto"/>
          <w:sz w:val="24"/>
          <w:szCs w:val="24"/>
          <w:vertAlign w:val="superscript"/>
        </w:rPr>
        <w:t>2</w:t>
      </w:r>
      <w:r w:rsidR="005A5D61"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55%, </w:t>
      </w:r>
      <w:r w:rsidRPr="009A309C">
        <w:rPr>
          <w:rFonts w:ascii="Book Antiqua" w:hAnsi="Book Antiqua" w:cs="Times New Roman"/>
          <w:color w:val="auto"/>
          <w:sz w:val="24"/>
          <w:szCs w:val="24"/>
        </w:rPr>
        <w:t>Figure 2</w:t>
      </w:r>
      <w:r w:rsidRPr="0062316F">
        <w:rPr>
          <w:rFonts w:ascii="Book Antiqua" w:hAnsi="Book Antiqua" w:cs="Times New Roman"/>
          <w:color w:val="auto"/>
          <w:sz w:val="24"/>
          <w:szCs w:val="24"/>
        </w:rPr>
        <w:t xml:space="preserve">). At 3 </w:t>
      </w:r>
      <w:proofErr w:type="spellStart"/>
      <w:r w:rsidRPr="0062316F">
        <w:rPr>
          <w:rFonts w:ascii="Book Antiqua" w:hAnsi="Book Antiqua" w:cs="Times New Roman"/>
          <w:color w:val="auto"/>
          <w:sz w:val="24"/>
          <w:szCs w:val="24"/>
        </w:rPr>
        <w:t>mo</w:t>
      </w:r>
      <w:proofErr w:type="spellEnd"/>
      <w:r w:rsidRPr="0062316F">
        <w:rPr>
          <w:rFonts w:ascii="Book Antiqua" w:hAnsi="Book Antiqua" w:cs="Times New Roman"/>
          <w:color w:val="auto"/>
          <w:sz w:val="24"/>
          <w:szCs w:val="24"/>
        </w:rPr>
        <w:t>, acute rejection risk was also not significantly different between the two groups (pooled OR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1.54</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0.64</w:t>
      </w:r>
      <w:r w:rsidR="005A5D61"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3.82). </w:t>
      </w:r>
      <w:r w:rsidR="000C4E5B" w:rsidRPr="0062316F">
        <w:rPr>
          <w:rFonts w:ascii="Book Antiqua" w:hAnsi="Book Antiqua" w:cs="Times New Roman"/>
          <w:color w:val="auto"/>
          <w:sz w:val="24"/>
          <w:szCs w:val="24"/>
        </w:rPr>
        <w:t>Acute cellular rejection was more common than antibody-mediated rejection</w:t>
      </w:r>
      <w:r w:rsidR="009F3BE8" w:rsidRPr="0062316F">
        <w:rPr>
          <w:rFonts w:ascii="Book Antiqua" w:hAnsi="Book Antiqua" w:cs="Times New Roman"/>
          <w:color w:val="auto"/>
          <w:sz w:val="24"/>
          <w:szCs w:val="24"/>
        </w:rPr>
        <w:t xml:space="preserve"> (AMR)</w:t>
      </w:r>
      <w:r w:rsidR="000C4E5B" w:rsidRPr="0062316F">
        <w:rPr>
          <w:rFonts w:ascii="Book Antiqua" w:hAnsi="Book Antiqua" w:cs="Times New Roman"/>
          <w:color w:val="auto"/>
          <w:sz w:val="24"/>
          <w:szCs w:val="24"/>
        </w:rPr>
        <w:t xml:space="preserve"> and the rejection rates were similar between the two groups</w:t>
      </w:r>
      <w:r w:rsidRPr="0062316F">
        <w:rPr>
          <w:rFonts w:ascii="Book Antiqua" w:hAnsi="Book Antiqua" w:cs="Times New Roman"/>
          <w:color w:val="auto"/>
          <w:sz w:val="24"/>
          <w:szCs w:val="24"/>
        </w:rPr>
        <w:t xml:space="preserve">, except in </w:t>
      </w:r>
      <w:r w:rsidR="004E484A" w:rsidRPr="0062316F">
        <w:rPr>
          <w:rFonts w:ascii="Book Antiqua" w:hAnsi="Book Antiqua" w:cs="Times New Roman"/>
          <w:color w:val="auto"/>
          <w:sz w:val="24"/>
          <w:szCs w:val="24"/>
        </w:rPr>
        <w:t>studies</w:t>
      </w:r>
      <w:r w:rsidRPr="0062316F">
        <w:rPr>
          <w:rFonts w:ascii="Book Antiqua" w:hAnsi="Book Antiqua" w:cs="Times New Roman"/>
          <w:color w:val="auto"/>
          <w:sz w:val="24"/>
          <w:szCs w:val="24"/>
        </w:rPr>
        <w:t xml:space="preserve"> by </w:t>
      </w:r>
      <w:proofErr w:type="spellStart"/>
      <w:r w:rsidRPr="0062316F">
        <w:rPr>
          <w:rFonts w:ascii="Book Antiqua" w:hAnsi="Book Antiqua" w:cs="Times New Roman"/>
          <w:color w:val="auto"/>
          <w:sz w:val="24"/>
          <w:szCs w:val="24"/>
        </w:rPr>
        <w:t>Courson</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 xml:space="preserve">et </w:t>
      </w:r>
      <w:proofErr w:type="gramStart"/>
      <w:r w:rsidRPr="0062316F">
        <w:rPr>
          <w:rFonts w:ascii="Book Antiqua" w:hAnsi="Book Antiqua" w:cs="Times New Roman"/>
          <w:i/>
          <w:color w:val="auto"/>
          <w:sz w:val="24"/>
          <w:szCs w:val="24"/>
        </w:rPr>
        <w:t>al</w:t>
      </w:r>
      <w:r w:rsidRPr="0062316F">
        <w:rPr>
          <w:rFonts w:ascii="Book Antiqua" w:hAnsi="Book Antiqua" w:cs="Times New Roman"/>
          <w:noProof/>
          <w:color w:val="auto"/>
          <w:sz w:val="24"/>
          <w:szCs w:val="24"/>
          <w:vertAlign w:val="superscript"/>
        </w:rPr>
        <w:t>[</w:t>
      </w:r>
      <w:proofErr w:type="gramEnd"/>
      <w:r w:rsidRPr="0062316F">
        <w:rPr>
          <w:rFonts w:ascii="Book Antiqua" w:hAnsi="Book Antiqua" w:cs="Times New Roman"/>
          <w:noProof/>
          <w:color w:val="auto"/>
          <w:sz w:val="24"/>
          <w:szCs w:val="24"/>
          <w:vertAlign w:val="superscript"/>
        </w:rPr>
        <w:t>21]</w:t>
      </w:r>
      <w:r w:rsidRPr="0062316F">
        <w:rPr>
          <w:rFonts w:ascii="Book Antiqua" w:hAnsi="Book Antiqua" w:cs="Times New Roman"/>
          <w:color w:val="auto"/>
          <w:sz w:val="24"/>
          <w:szCs w:val="24"/>
        </w:rPr>
        <w:t xml:space="preserve"> </w:t>
      </w:r>
      <w:r w:rsidR="004E484A" w:rsidRPr="0062316F">
        <w:rPr>
          <w:rFonts w:ascii="Book Antiqua" w:hAnsi="Book Antiqua" w:cs="Times New Roman"/>
          <w:color w:val="auto"/>
          <w:sz w:val="24"/>
          <w:szCs w:val="24"/>
        </w:rPr>
        <w:t xml:space="preserve">and Rouse </w:t>
      </w:r>
      <w:r w:rsidR="004E484A" w:rsidRPr="0062316F">
        <w:rPr>
          <w:rFonts w:ascii="Book Antiqua" w:hAnsi="Book Antiqua" w:cs="Times New Roman"/>
          <w:i/>
          <w:color w:val="auto"/>
          <w:sz w:val="24"/>
          <w:szCs w:val="24"/>
        </w:rPr>
        <w:t>et al</w:t>
      </w:r>
      <w:r w:rsidR="005B582C" w:rsidRPr="0062316F">
        <w:rPr>
          <w:rFonts w:ascii="Book Antiqua" w:hAnsi="Book Antiqua" w:cs="Times New Roman"/>
          <w:noProof/>
          <w:color w:val="auto"/>
          <w:sz w:val="24"/>
          <w:szCs w:val="24"/>
          <w:vertAlign w:val="superscript"/>
        </w:rPr>
        <w:t>[24]</w:t>
      </w:r>
      <w:r w:rsidR="005B582C" w:rsidRPr="0062316F">
        <w:rPr>
          <w:rFonts w:ascii="Book Antiqua" w:hAnsi="Book Antiqua" w:cs="Times New Roman"/>
          <w:color w:val="auto"/>
          <w:sz w:val="24"/>
          <w:szCs w:val="24"/>
        </w:rPr>
        <w:t xml:space="preserve"> which demonstrated</w:t>
      </w:r>
      <w:r w:rsidRPr="0062316F">
        <w:rPr>
          <w:rFonts w:ascii="Book Antiqua" w:hAnsi="Book Antiqua" w:cs="Times New Roman"/>
          <w:color w:val="auto"/>
          <w:sz w:val="24"/>
          <w:szCs w:val="24"/>
        </w:rPr>
        <w:t xml:space="preserve"> </w:t>
      </w:r>
      <w:r w:rsidR="005B582C" w:rsidRPr="0062316F">
        <w:rPr>
          <w:rFonts w:ascii="Book Antiqua" w:hAnsi="Book Antiqua" w:cs="Times New Roman"/>
          <w:color w:val="auto"/>
          <w:sz w:val="24"/>
          <w:szCs w:val="24"/>
        </w:rPr>
        <w:t>higher rates of AMR</w:t>
      </w:r>
      <w:r w:rsidRPr="0062316F">
        <w:rPr>
          <w:rFonts w:ascii="Book Antiqua" w:hAnsi="Book Antiqua" w:cs="Times New Roman"/>
          <w:color w:val="auto"/>
          <w:sz w:val="24"/>
          <w:szCs w:val="24"/>
        </w:rPr>
        <w:t xml:space="preserve"> </w:t>
      </w:r>
      <w:r w:rsidR="005B582C" w:rsidRPr="0062316F">
        <w:rPr>
          <w:rFonts w:ascii="Book Antiqua" w:hAnsi="Book Antiqua" w:cs="Times New Roman"/>
          <w:color w:val="auto"/>
          <w:sz w:val="24"/>
          <w:szCs w:val="24"/>
        </w:rPr>
        <w:t>among</w:t>
      </w:r>
      <w:r w:rsidRPr="0062316F">
        <w:rPr>
          <w:rFonts w:ascii="Book Antiqua" w:hAnsi="Book Antiqua" w:cs="Times New Roman"/>
          <w:color w:val="auto"/>
          <w:sz w:val="24"/>
          <w:szCs w:val="24"/>
        </w:rPr>
        <w:t xml:space="preserve"> the PPI group</w:t>
      </w:r>
      <w:r w:rsidR="005B582C" w:rsidRPr="0062316F">
        <w:rPr>
          <w:rFonts w:ascii="Book Antiqua" w:hAnsi="Book Antiqua" w:cs="Times New Roman"/>
          <w:color w:val="auto"/>
          <w:sz w:val="24"/>
          <w:szCs w:val="24"/>
        </w:rPr>
        <w:t>.</w:t>
      </w:r>
      <w:r w:rsidR="004E484A"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The median time to rejection was reported to be similar between the two groups across four studies (approximately 3</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4 </w:t>
      </w:r>
      <w:proofErr w:type="spellStart"/>
      <w:r w:rsidRPr="0062316F">
        <w:rPr>
          <w:rFonts w:ascii="Book Antiqua" w:hAnsi="Book Antiqua" w:cs="Times New Roman"/>
          <w:color w:val="auto"/>
          <w:sz w:val="24"/>
          <w:szCs w:val="24"/>
        </w:rPr>
        <w:t>mo</w:t>
      </w:r>
      <w:proofErr w:type="spellEnd"/>
      <w:r w:rsidRPr="0062316F">
        <w:rPr>
          <w:rFonts w:ascii="Book Antiqua" w:hAnsi="Book Antiqua" w:cs="Times New Roman"/>
          <w:color w:val="auto"/>
          <w:sz w:val="24"/>
          <w:szCs w:val="24"/>
        </w:rPr>
        <w:t xml:space="preserve"> post-transplant). Graft loss at 1 year was also not different between those with and without PPI exposure (pooled OR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1.30</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0.75</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2.24</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I</w:t>
      </w:r>
      <w:r w:rsidRPr="0062316F">
        <w:rPr>
          <w:rFonts w:ascii="Book Antiqua" w:hAnsi="Book Antiqua" w:cs="Times New Roman"/>
          <w:i/>
          <w:color w:val="auto"/>
          <w:sz w:val="24"/>
          <w:szCs w:val="24"/>
          <w:vertAlign w:val="superscript"/>
        </w:rPr>
        <w:t>2</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0%, </w:t>
      </w:r>
      <w:r w:rsidRPr="009A309C">
        <w:rPr>
          <w:rFonts w:ascii="Book Antiqua" w:hAnsi="Book Antiqua" w:cs="Times New Roman"/>
          <w:color w:val="auto"/>
          <w:sz w:val="24"/>
          <w:szCs w:val="24"/>
        </w:rPr>
        <w:t>Figure 3</w:t>
      </w:r>
      <w:r w:rsidRPr="0062316F">
        <w:rPr>
          <w:rFonts w:ascii="Book Antiqua" w:hAnsi="Book Antiqua" w:cs="Times New Roman"/>
          <w:color w:val="auto"/>
          <w:sz w:val="24"/>
          <w:szCs w:val="24"/>
        </w:rPr>
        <w:t>).</w:t>
      </w:r>
    </w:p>
    <w:p w14:paraId="1CF8FB8B" w14:textId="77777777" w:rsidR="00E43E96" w:rsidRPr="0062316F" w:rsidRDefault="00E43E96" w:rsidP="0062316F">
      <w:pPr>
        <w:pStyle w:val="BodyA"/>
        <w:spacing w:line="360" w:lineRule="auto"/>
        <w:jc w:val="both"/>
        <w:rPr>
          <w:rFonts w:ascii="Book Antiqua" w:hAnsi="Book Antiqua" w:cs="Times New Roman"/>
          <w:b/>
          <w:i/>
          <w:color w:val="auto"/>
          <w:sz w:val="24"/>
          <w:szCs w:val="24"/>
        </w:rPr>
      </w:pPr>
    </w:p>
    <w:p w14:paraId="3D7313D4" w14:textId="41D1A1B3" w:rsidR="00E9347F" w:rsidRPr="0062316F" w:rsidRDefault="00E9347F" w:rsidP="0062316F">
      <w:pPr>
        <w:pStyle w:val="BodyA"/>
        <w:spacing w:line="360" w:lineRule="auto"/>
        <w:jc w:val="both"/>
        <w:rPr>
          <w:rFonts w:ascii="Book Antiqua" w:hAnsi="Book Antiqua" w:cs="Times New Roman"/>
          <w:b/>
          <w:i/>
          <w:color w:val="auto"/>
          <w:sz w:val="24"/>
          <w:szCs w:val="24"/>
        </w:rPr>
      </w:pPr>
      <w:r w:rsidRPr="0062316F">
        <w:rPr>
          <w:rFonts w:ascii="Book Antiqua" w:hAnsi="Book Antiqua" w:cs="Times New Roman"/>
          <w:b/>
          <w:i/>
          <w:color w:val="auto"/>
          <w:sz w:val="24"/>
          <w:szCs w:val="24"/>
        </w:rPr>
        <w:t xml:space="preserve">Renal </w:t>
      </w:r>
      <w:r w:rsidR="009F3BE8" w:rsidRPr="0062316F">
        <w:rPr>
          <w:rFonts w:ascii="Book Antiqua" w:hAnsi="Book Antiqua" w:cs="Times New Roman"/>
          <w:b/>
          <w:i/>
          <w:color w:val="auto"/>
          <w:sz w:val="24"/>
          <w:szCs w:val="24"/>
        </w:rPr>
        <w:t>function</w:t>
      </w:r>
    </w:p>
    <w:p w14:paraId="058B769A" w14:textId="3E5595DB"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 xml:space="preserve">All but one study reported no significant </w:t>
      </w:r>
      <w:r w:rsidR="00252DDF" w:rsidRPr="0062316F">
        <w:rPr>
          <w:rFonts w:ascii="Book Antiqua" w:hAnsi="Book Antiqua" w:cs="Times New Roman"/>
          <w:sz w:val="24"/>
          <w:szCs w:val="24"/>
        </w:rPr>
        <w:t xml:space="preserve">short </w:t>
      </w:r>
      <w:r w:rsidR="00AA2026" w:rsidRPr="0062316F">
        <w:rPr>
          <w:rFonts w:ascii="Book Antiqua" w:hAnsi="Book Antiqua" w:cs="Times New Roman"/>
          <w:sz w:val="24"/>
          <w:szCs w:val="24"/>
        </w:rPr>
        <w:t xml:space="preserve">term (3 </w:t>
      </w:r>
      <w:proofErr w:type="spellStart"/>
      <w:r w:rsidR="00AA2026" w:rsidRPr="0062316F">
        <w:rPr>
          <w:rFonts w:ascii="Book Antiqua" w:hAnsi="Book Antiqua" w:cs="Times New Roman"/>
          <w:sz w:val="24"/>
          <w:szCs w:val="24"/>
        </w:rPr>
        <w:t>mo</w:t>
      </w:r>
      <w:proofErr w:type="spellEnd"/>
      <w:r w:rsidR="00AA2026" w:rsidRPr="0062316F">
        <w:rPr>
          <w:rFonts w:ascii="Book Antiqua" w:hAnsi="Book Antiqua" w:cs="Times New Roman"/>
          <w:sz w:val="24"/>
          <w:szCs w:val="24"/>
        </w:rPr>
        <w:t xml:space="preserve"> to 1 year) </w:t>
      </w:r>
      <w:r w:rsidRPr="0062316F">
        <w:rPr>
          <w:rFonts w:ascii="Book Antiqua" w:hAnsi="Book Antiqua" w:cs="Times New Roman"/>
          <w:sz w:val="24"/>
          <w:szCs w:val="24"/>
        </w:rPr>
        <w:t>difference in renal function</w:t>
      </w:r>
      <w:r w:rsidR="00AA2026" w:rsidRPr="0062316F">
        <w:rPr>
          <w:rFonts w:ascii="Book Antiqua" w:hAnsi="Book Antiqua" w:cs="Times New Roman"/>
          <w:sz w:val="24"/>
          <w:szCs w:val="24"/>
        </w:rPr>
        <w:t xml:space="preserve">, </w:t>
      </w:r>
      <w:r w:rsidRPr="0062316F">
        <w:rPr>
          <w:rFonts w:ascii="Book Antiqua" w:hAnsi="Book Antiqua" w:cs="Times New Roman"/>
          <w:sz w:val="24"/>
          <w:szCs w:val="24"/>
        </w:rPr>
        <w:t xml:space="preserve">as summarized in </w:t>
      </w:r>
      <w:r w:rsidRPr="009A309C">
        <w:rPr>
          <w:rFonts w:ascii="Book Antiqua" w:hAnsi="Book Antiqua" w:cs="Times New Roman"/>
          <w:sz w:val="24"/>
          <w:szCs w:val="24"/>
        </w:rPr>
        <w:t>Table 3</w:t>
      </w:r>
      <w:r w:rsidRPr="0062316F">
        <w:rPr>
          <w:rFonts w:ascii="Book Antiqua" w:hAnsi="Book Antiqua" w:cs="Times New Roman"/>
          <w:sz w:val="24"/>
          <w:szCs w:val="24"/>
        </w:rPr>
        <w:t>.</w:t>
      </w:r>
      <w:r w:rsidRPr="0062316F">
        <w:rPr>
          <w:rFonts w:ascii="Book Antiqua" w:hAnsi="Book Antiqua" w:cs="Times New Roman"/>
          <w:b/>
          <w:sz w:val="24"/>
          <w:szCs w:val="24"/>
        </w:rPr>
        <w:t xml:space="preserve"> </w:t>
      </w: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6E5D2C" w:rsidRPr="0062316F">
        <w:rPr>
          <w:rFonts w:ascii="Book Antiqua" w:hAnsi="Book Antiqua" w:cs="Times New Roman"/>
          <w:noProof/>
          <w:sz w:val="24"/>
          <w:szCs w:val="24"/>
          <w:vertAlign w:val="superscript"/>
        </w:rPr>
        <w:t>[37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which had the </w:t>
      </w:r>
      <w:r w:rsidR="008F0C0B" w:rsidRPr="0062316F">
        <w:rPr>
          <w:rFonts w:ascii="Book Antiqua" w:hAnsi="Book Antiqua" w:cs="Times New Roman"/>
          <w:sz w:val="24"/>
          <w:szCs w:val="24"/>
        </w:rPr>
        <w:t xml:space="preserve">most extended </w:t>
      </w:r>
      <w:r w:rsidRPr="0062316F">
        <w:rPr>
          <w:rFonts w:ascii="Book Antiqua" w:hAnsi="Book Antiqua" w:cs="Times New Roman"/>
          <w:sz w:val="24"/>
          <w:szCs w:val="24"/>
        </w:rPr>
        <w:t xml:space="preserve">follow-up period of all </w:t>
      </w:r>
      <w:r w:rsidR="001A04D6" w:rsidRPr="0062316F">
        <w:rPr>
          <w:rFonts w:ascii="Book Antiqua" w:hAnsi="Book Antiqua" w:cs="Times New Roman"/>
          <w:sz w:val="24"/>
          <w:szCs w:val="24"/>
        </w:rPr>
        <w:t xml:space="preserve">included </w:t>
      </w:r>
      <w:r w:rsidRPr="0062316F">
        <w:rPr>
          <w:rFonts w:ascii="Book Antiqua" w:hAnsi="Book Antiqua" w:cs="Times New Roman"/>
          <w:sz w:val="24"/>
          <w:szCs w:val="24"/>
        </w:rPr>
        <w:t xml:space="preserve">studies (median, 109 </w:t>
      </w:r>
      <w:proofErr w:type="spellStart"/>
      <w:r w:rsidRPr="0062316F">
        <w:rPr>
          <w:rFonts w:ascii="Book Antiqua" w:hAnsi="Book Antiqua" w:cs="Times New Roman"/>
          <w:sz w:val="24"/>
          <w:szCs w:val="24"/>
        </w:rPr>
        <w:t>mo</w:t>
      </w:r>
      <w:proofErr w:type="spellEnd"/>
      <w:r w:rsidRPr="0062316F">
        <w:rPr>
          <w:rFonts w:ascii="Book Antiqua" w:hAnsi="Book Antiqua" w:cs="Times New Roman"/>
          <w:sz w:val="24"/>
          <w:szCs w:val="24"/>
        </w:rPr>
        <w:t>; interquartile range, 82</w:t>
      </w:r>
      <w:r w:rsidR="009F3BE8" w:rsidRPr="0062316F">
        <w:rPr>
          <w:rFonts w:ascii="Book Antiqua" w:hAnsi="Book Antiqua" w:cs="Times New Roman"/>
          <w:sz w:val="24"/>
          <w:szCs w:val="24"/>
        </w:rPr>
        <w:t>-</w:t>
      </w:r>
      <w:r w:rsidRPr="0062316F">
        <w:rPr>
          <w:rFonts w:ascii="Book Antiqua" w:hAnsi="Book Antiqua" w:cs="Times New Roman"/>
          <w:sz w:val="24"/>
          <w:szCs w:val="24"/>
        </w:rPr>
        <w:t xml:space="preserve">156 </w:t>
      </w:r>
      <w:proofErr w:type="spellStart"/>
      <w:r w:rsidRPr="0062316F">
        <w:rPr>
          <w:rFonts w:ascii="Book Antiqua" w:hAnsi="Book Antiqua" w:cs="Times New Roman"/>
          <w:sz w:val="24"/>
          <w:szCs w:val="24"/>
        </w:rPr>
        <w:t>mo</w:t>
      </w:r>
      <w:proofErr w:type="spellEnd"/>
      <w:r w:rsidRPr="0062316F">
        <w:rPr>
          <w:rFonts w:ascii="Book Antiqua" w:hAnsi="Book Antiqua" w:cs="Times New Roman"/>
          <w:sz w:val="24"/>
          <w:szCs w:val="24"/>
        </w:rPr>
        <w:t xml:space="preserve">), </w:t>
      </w:r>
      <w:r w:rsidR="00450BC1" w:rsidRPr="0062316F">
        <w:rPr>
          <w:rFonts w:ascii="Book Antiqua" w:hAnsi="Book Antiqua" w:cs="Times New Roman"/>
          <w:sz w:val="24"/>
          <w:szCs w:val="24"/>
        </w:rPr>
        <w:t xml:space="preserve">however </w:t>
      </w:r>
      <w:r w:rsidRPr="0062316F">
        <w:rPr>
          <w:rFonts w:ascii="Book Antiqua" w:hAnsi="Book Antiqua" w:cs="Times New Roman"/>
          <w:sz w:val="24"/>
          <w:szCs w:val="24"/>
        </w:rPr>
        <w:t>demonstrated that the serum creatinine level in the PPI group was higher than that in the non-PPI group (1.44</w:t>
      </w:r>
      <w:r w:rsidR="009F3BE8" w:rsidRPr="0062316F">
        <w:rPr>
          <w:rFonts w:ascii="Book Antiqua" w:hAnsi="Book Antiqua" w:cs="Times New Roman"/>
          <w:sz w:val="24"/>
          <w:szCs w:val="24"/>
        </w:rPr>
        <w:t xml:space="preserve"> </w:t>
      </w:r>
      <w:r w:rsidRPr="0062316F">
        <w:rPr>
          <w:rFonts w:ascii="Book Antiqua" w:hAnsi="Book Antiqua" w:cs="Times New Roman"/>
          <w:sz w:val="24"/>
          <w:szCs w:val="24"/>
        </w:rPr>
        <w:t>±</w:t>
      </w:r>
      <w:r w:rsidR="009F3BE8" w:rsidRPr="0062316F">
        <w:rPr>
          <w:rFonts w:ascii="Book Antiqua" w:hAnsi="Book Antiqua" w:cs="Times New Roman"/>
          <w:sz w:val="24"/>
          <w:szCs w:val="24"/>
        </w:rPr>
        <w:t xml:space="preserve"> </w:t>
      </w:r>
      <w:r w:rsidRPr="0062316F">
        <w:rPr>
          <w:rFonts w:ascii="Book Antiqua" w:hAnsi="Book Antiqua" w:cs="Times New Roman"/>
          <w:sz w:val="24"/>
          <w:szCs w:val="24"/>
        </w:rPr>
        <w:t xml:space="preserve">0.99 </w:t>
      </w:r>
      <w:r w:rsidRPr="0062316F">
        <w:rPr>
          <w:rFonts w:ascii="Book Antiqua" w:hAnsi="Book Antiqua" w:cs="Times New Roman"/>
          <w:i/>
          <w:sz w:val="24"/>
          <w:szCs w:val="24"/>
        </w:rPr>
        <w:t>vs</w:t>
      </w:r>
      <w:r w:rsidRPr="0062316F">
        <w:rPr>
          <w:rFonts w:ascii="Book Antiqua" w:hAnsi="Book Antiqua" w:cs="Times New Roman"/>
          <w:sz w:val="24"/>
          <w:szCs w:val="24"/>
        </w:rPr>
        <w:t xml:space="preserve"> 1.24</w:t>
      </w:r>
      <w:r w:rsidR="009F3BE8" w:rsidRPr="0062316F">
        <w:rPr>
          <w:rFonts w:ascii="Book Antiqua" w:hAnsi="Book Antiqua" w:cs="Times New Roman"/>
          <w:sz w:val="24"/>
          <w:szCs w:val="24"/>
        </w:rPr>
        <w:t xml:space="preserve"> </w:t>
      </w:r>
      <w:r w:rsidRPr="0062316F">
        <w:rPr>
          <w:rFonts w:ascii="Book Antiqua" w:hAnsi="Book Antiqua" w:cs="Times New Roman"/>
          <w:sz w:val="24"/>
          <w:szCs w:val="24"/>
        </w:rPr>
        <w:t>±</w:t>
      </w:r>
      <w:r w:rsidR="009F3BE8" w:rsidRPr="0062316F">
        <w:rPr>
          <w:rFonts w:ascii="Book Antiqua" w:hAnsi="Book Antiqua" w:cs="Times New Roman"/>
          <w:sz w:val="24"/>
          <w:szCs w:val="24"/>
        </w:rPr>
        <w:t xml:space="preserve"> </w:t>
      </w:r>
      <w:r w:rsidRPr="0062316F">
        <w:rPr>
          <w:rFonts w:ascii="Book Antiqua" w:hAnsi="Book Antiqua" w:cs="Times New Roman"/>
          <w:sz w:val="24"/>
          <w:szCs w:val="24"/>
        </w:rPr>
        <w:t>0.46 mg/dL).</w:t>
      </w:r>
    </w:p>
    <w:p w14:paraId="024B6865" w14:textId="77777777" w:rsidR="00E43E96" w:rsidRPr="0062316F" w:rsidRDefault="00E43E96" w:rsidP="0062316F">
      <w:pPr>
        <w:pStyle w:val="BodyA"/>
        <w:spacing w:line="360" w:lineRule="auto"/>
        <w:jc w:val="both"/>
        <w:rPr>
          <w:rFonts w:ascii="Book Antiqua" w:hAnsi="Book Antiqua" w:cs="Times New Roman"/>
          <w:b/>
          <w:i/>
          <w:color w:val="auto"/>
          <w:sz w:val="24"/>
          <w:szCs w:val="24"/>
        </w:rPr>
      </w:pPr>
    </w:p>
    <w:p w14:paraId="08278FCC" w14:textId="77777777" w:rsidR="00E9347F" w:rsidRPr="0062316F" w:rsidRDefault="00E9347F" w:rsidP="0062316F">
      <w:pPr>
        <w:pStyle w:val="BodyA"/>
        <w:spacing w:line="360" w:lineRule="auto"/>
        <w:jc w:val="both"/>
        <w:rPr>
          <w:rFonts w:ascii="Book Antiqua" w:hAnsi="Book Antiqua" w:cs="Times New Roman"/>
          <w:b/>
          <w:i/>
          <w:color w:val="auto"/>
          <w:sz w:val="24"/>
          <w:szCs w:val="24"/>
        </w:rPr>
      </w:pPr>
      <w:r w:rsidRPr="0062316F">
        <w:rPr>
          <w:rFonts w:ascii="Book Antiqua" w:hAnsi="Book Antiqua" w:cs="Times New Roman"/>
          <w:b/>
          <w:i/>
          <w:color w:val="auto"/>
          <w:sz w:val="24"/>
          <w:szCs w:val="24"/>
        </w:rPr>
        <w:t>Hypomagnesemia</w:t>
      </w:r>
    </w:p>
    <w:p w14:paraId="13665CF5" w14:textId="191CD5F3" w:rsidR="00E9347F" w:rsidRPr="0062316F" w:rsidRDefault="00E9347F" w:rsidP="0062316F">
      <w:pPr>
        <w:pStyle w:val="BodyA"/>
        <w:spacing w:line="360" w:lineRule="auto"/>
        <w:jc w:val="both"/>
        <w:rPr>
          <w:rFonts w:ascii="Book Antiqua" w:hAnsi="Book Antiqua" w:cs="Times New Roman"/>
          <w:color w:val="auto"/>
          <w:sz w:val="24"/>
          <w:szCs w:val="24"/>
        </w:rPr>
      </w:pPr>
      <w:r w:rsidRPr="009A309C">
        <w:rPr>
          <w:rFonts w:ascii="Book Antiqua" w:hAnsi="Book Antiqua" w:cs="Times New Roman"/>
          <w:color w:val="auto"/>
          <w:sz w:val="24"/>
          <w:szCs w:val="24"/>
        </w:rPr>
        <w:t>Table 4</w:t>
      </w:r>
      <w:r w:rsidRPr="0062316F">
        <w:rPr>
          <w:rFonts w:ascii="Book Antiqua" w:hAnsi="Book Antiqua" w:cs="Times New Roman"/>
          <w:b/>
          <w:color w:val="auto"/>
          <w:sz w:val="24"/>
          <w:szCs w:val="24"/>
        </w:rPr>
        <w:t xml:space="preserve"> </w:t>
      </w:r>
      <w:r w:rsidRPr="0062316F">
        <w:rPr>
          <w:rFonts w:ascii="Book Antiqua" w:hAnsi="Book Antiqua" w:cs="Times New Roman"/>
          <w:color w:val="auto"/>
          <w:sz w:val="24"/>
          <w:szCs w:val="24"/>
        </w:rPr>
        <w:t xml:space="preserve">summarizes data across </w:t>
      </w:r>
      <w:r w:rsidR="00450BC1" w:rsidRPr="0062316F">
        <w:rPr>
          <w:rFonts w:ascii="Book Antiqua" w:hAnsi="Book Antiqua" w:cs="Times New Roman"/>
          <w:color w:val="auto"/>
          <w:sz w:val="24"/>
          <w:szCs w:val="24"/>
        </w:rPr>
        <w:t xml:space="preserve">eight </w:t>
      </w:r>
      <w:r w:rsidRPr="0062316F">
        <w:rPr>
          <w:rFonts w:ascii="Book Antiqua" w:hAnsi="Book Antiqua" w:cs="Times New Roman"/>
          <w:color w:val="auto"/>
          <w:sz w:val="24"/>
          <w:szCs w:val="24"/>
        </w:rPr>
        <w:t>studies</w:t>
      </w:r>
      <w:r w:rsidRPr="0062316F">
        <w:rPr>
          <w:rFonts w:ascii="Book Antiqua" w:hAnsi="Book Antiqua" w:cs="Times New Roman"/>
          <w:b/>
          <w:color w:val="auto"/>
          <w:sz w:val="24"/>
          <w:szCs w:val="24"/>
        </w:rPr>
        <w:t>.</w:t>
      </w:r>
      <w:r w:rsidRPr="0062316F">
        <w:rPr>
          <w:rFonts w:ascii="Book Antiqua" w:hAnsi="Book Antiqua" w:cs="Times New Roman"/>
          <w:color w:val="auto"/>
          <w:sz w:val="24"/>
          <w:szCs w:val="24"/>
        </w:rPr>
        <w:t xml:space="preserve"> The risk of hypomagnesemia in the PPI group was significantly higher than in the non-PPI group (pooled OR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1.56</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1.19</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2.05</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I</w:t>
      </w:r>
      <w:r w:rsidRPr="0062316F">
        <w:rPr>
          <w:rFonts w:ascii="Book Antiqua" w:hAnsi="Book Antiqua" w:cs="Times New Roman"/>
          <w:i/>
          <w:color w:val="auto"/>
          <w:sz w:val="24"/>
          <w:szCs w:val="24"/>
          <w:vertAlign w:val="superscript"/>
        </w:rPr>
        <w:t>2</w:t>
      </w:r>
      <w:r w:rsidR="009F3BE8" w:rsidRPr="0062316F">
        <w:rPr>
          <w:rFonts w:ascii="Book Antiqua" w:hAnsi="Book Antiqua" w:cs="Times New Roman"/>
          <w:color w:val="auto"/>
          <w:sz w:val="24"/>
          <w:szCs w:val="24"/>
          <w:vertAlign w:val="superscript"/>
        </w:rPr>
        <w:t xml:space="preserve"> </w:t>
      </w:r>
      <w:r w:rsidRPr="0062316F">
        <w:rPr>
          <w:rFonts w:ascii="Book Antiqua" w:hAnsi="Book Antiqua" w:cs="Times New Roman"/>
          <w:color w:val="auto"/>
          <w:sz w:val="24"/>
          <w:szCs w:val="24"/>
        </w:rPr>
        <w:t xml:space="preserve">= 27%, </w:t>
      </w:r>
      <w:r w:rsidRPr="009A309C">
        <w:rPr>
          <w:rFonts w:ascii="Book Antiqua" w:hAnsi="Book Antiqua" w:cs="Times New Roman"/>
          <w:color w:val="auto"/>
          <w:sz w:val="24"/>
          <w:szCs w:val="24"/>
        </w:rPr>
        <w:t>Figure 4</w:t>
      </w:r>
      <w:r w:rsidRPr="0062316F">
        <w:rPr>
          <w:rFonts w:ascii="Book Antiqua" w:hAnsi="Book Antiqua" w:cs="Times New Roman"/>
          <w:color w:val="auto"/>
          <w:sz w:val="24"/>
          <w:szCs w:val="24"/>
        </w:rPr>
        <w:t xml:space="preserve">) based on three studies. </w:t>
      </w:r>
      <w:proofErr w:type="spellStart"/>
      <w:r w:rsidRPr="0062316F">
        <w:rPr>
          <w:rFonts w:ascii="Book Antiqua" w:hAnsi="Book Antiqua" w:cs="Times New Roman"/>
          <w:color w:val="auto"/>
          <w:sz w:val="24"/>
          <w:szCs w:val="24"/>
        </w:rPr>
        <w:t>Sezer</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et al</w:t>
      </w:r>
      <w:r w:rsidRPr="0062316F">
        <w:rPr>
          <w:rFonts w:ascii="Book Antiqua" w:hAnsi="Book Antiqua" w:cs="Times New Roman"/>
          <w:noProof/>
          <w:color w:val="auto"/>
          <w:sz w:val="24"/>
          <w:szCs w:val="24"/>
          <w:vertAlign w:val="superscript"/>
        </w:rPr>
        <w:t>[3</w:t>
      </w:r>
      <w:r w:rsidR="009F3BE8" w:rsidRPr="0062316F">
        <w:rPr>
          <w:rFonts w:ascii="Book Antiqua" w:hAnsi="Book Antiqua" w:cs="Times New Roman"/>
          <w:noProof/>
          <w:color w:val="auto"/>
          <w:sz w:val="24"/>
          <w:szCs w:val="24"/>
          <w:vertAlign w:val="superscript"/>
        </w:rPr>
        <w:t>5</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Van Ende </w:t>
      </w:r>
      <w:r w:rsidRPr="0062316F">
        <w:rPr>
          <w:rFonts w:ascii="Book Antiqua" w:hAnsi="Book Antiqua" w:cs="Times New Roman"/>
          <w:i/>
          <w:color w:val="auto"/>
          <w:sz w:val="24"/>
          <w:szCs w:val="24"/>
        </w:rPr>
        <w:t>et al</w:t>
      </w:r>
      <w:r w:rsidRPr="0062316F">
        <w:rPr>
          <w:rFonts w:ascii="Book Antiqua" w:hAnsi="Book Antiqua" w:cs="Times New Roman"/>
          <w:noProof/>
          <w:color w:val="auto"/>
          <w:sz w:val="24"/>
          <w:szCs w:val="24"/>
          <w:vertAlign w:val="superscript"/>
        </w:rPr>
        <w:t>[31]</w:t>
      </w:r>
      <w:r w:rsidRPr="0062316F">
        <w:rPr>
          <w:rFonts w:ascii="Book Antiqua" w:hAnsi="Book Antiqua" w:cs="Times New Roman"/>
          <w:color w:val="auto"/>
          <w:sz w:val="24"/>
          <w:szCs w:val="24"/>
        </w:rPr>
        <w:t xml:space="preserve">, and </w:t>
      </w:r>
      <w:proofErr w:type="spellStart"/>
      <w:r w:rsidRPr="0062316F">
        <w:rPr>
          <w:rFonts w:ascii="Book Antiqua" w:hAnsi="Book Antiqua" w:cs="Times New Roman"/>
          <w:color w:val="auto"/>
          <w:sz w:val="24"/>
          <w:szCs w:val="24"/>
        </w:rPr>
        <w:t>Uludag</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et al</w:t>
      </w:r>
      <w:r w:rsidR="006E5D2C" w:rsidRPr="0062316F">
        <w:rPr>
          <w:rFonts w:ascii="Book Antiqua" w:hAnsi="Book Antiqua" w:cs="Times New Roman"/>
          <w:noProof/>
          <w:color w:val="auto"/>
          <w:sz w:val="24"/>
          <w:szCs w:val="24"/>
          <w:vertAlign w:val="superscript"/>
        </w:rPr>
        <w:t>[37</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did not report a significant difference in the magnesium level between those with and without PPI exposure, whereas </w:t>
      </w:r>
      <w:proofErr w:type="spellStart"/>
      <w:r w:rsidRPr="0062316F">
        <w:rPr>
          <w:rFonts w:ascii="Book Antiqua" w:hAnsi="Book Antiqua" w:cs="Times New Roman"/>
          <w:color w:val="auto"/>
          <w:sz w:val="24"/>
          <w:szCs w:val="24"/>
        </w:rPr>
        <w:t>Alhosaini</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et al</w:t>
      </w:r>
      <w:r w:rsidR="006E5D2C" w:rsidRPr="0062316F">
        <w:rPr>
          <w:rFonts w:ascii="Book Antiqua" w:hAnsi="Book Antiqua" w:cs="Times New Roman"/>
          <w:noProof/>
          <w:color w:val="auto"/>
          <w:sz w:val="24"/>
          <w:szCs w:val="24"/>
          <w:vertAlign w:val="superscript"/>
        </w:rPr>
        <w:t>[34</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reported a significant differen</w:t>
      </w:r>
      <w:r w:rsidR="00450BC1" w:rsidRPr="0062316F">
        <w:rPr>
          <w:rFonts w:ascii="Book Antiqua" w:hAnsi="Book Antiqua" w:cs="Times New Roman"/>
          <w:color w:val="auto"/>
          <w:sz w:val="24"/>
          <w:szCs w:val="24"/>
        </w:rPr>
        <w:t>ce</w:t>
      </w:r>
      <w:r w:rsidRPr="0062316F">
        <w:rPr>
          <w:rFonts w:ascii="Book Antiqua" w:hAnsi="Book Antiqua" w:cs="Times New Roman"/>
          <w:color w:val="auto"/>
          <w:sz w:val="24"/>
          <w:szCs w:val="24"/>
        </w:rPr>
        <w:t xml:space="preserve"> between the two groups (</w:t>
      </w:r>
      <w:r w:rsidR="00955E46" w:rsidRPr="0062316F">
        <w:rPr>
          <w:rFonts w:ascii="Book Antiqua" w:hAnsi="Book Antiqua" w:cs="Times New Roman"/>
          <w:color w:val="auto"/>
          <w:sz w:val="24"/>
          <w:szCs w:val="24"/>
        </w:rPr>
        <w:t>magnesium</w:t>
      </w:r>
      <w:r w:rsidRPr="0062316F">
        <w:rPr>
          <w:rFonts w:ascii="Book Antiqua" w:hAnsi="Book Antiqua" w:cs="Times New Roman"/>
          <w:color w:val="auto"/>
          <w:sz w:val="24"/>
          <w:szCs w:val="24"/>
        </w:rPr>
        <w:t>: 1.7</w:t>
      </w:r>
      <w:r w:rsidR="00450BC1" w:rsidRPr="0062316F">
        <w:rPr>
          <w:rFonts w:ascii="Book Antiqua" w:hAnsi="Book Antiqua" w:cs="Times New Roman"/>
          <w:color w:val="auto"/>
          <w:sz w:val="24"/>
          <w:szCs w:val="24"/>
        </w:rPr>
        <w:t>0</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0.12 </w:t>
      </w:r>
      <w:r w:rsidRPr="0062316F">
        <w:rPr>
          <w:rFonts w:ascii="Book Antiqua" w:hAnsi="Book Antiqua" w:cs="Times New Roman"/>
          <w:i/>
          <w:color w:val="auto"/>
          <w:sz w:val="24"/>
          <w:szCs w:val="24"/>
        </w:rPr>
        <w:t>vs</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1.79</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0.17 for those with PPI and without PPI exposure; </w:t>
      </w:r>
      <w:r w:rsidR="009F3BE8" w:rsidRPr="0062316F">
        <w:rPr>
          <w:rFonts w:ascii="Book Antiqua" w:hAnsi="Book Antiqua" w:cs="Times New Roman"/>
          <w:i/>
          <w:color w:val="auto"/>
          <w:sz w:val="24"/>
          <w:szCs w:val="24"/>
        </w:rPr>
        <w:t xml:space="preserve">P </w:t>
      </w:r>
      <w:r w:rsidRPr="0062316F">
        <w:rPr>
          <w:rFonts w:ascii="Book Antiqua" w:hAnsi="Book Antiqua" w:cs="Times New Roman"/>
          <w:color w:val="auto"/>
          <w:sz w:val="24"/>
          <w:szCs w:val="24"/>
        </w:rPr>
        <w:t>=</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0.006). Gomes-</w:t>
      </w:r>
      <w:proofErr w:type="spellStart"/>
      <w:r w:rsidRPr="0062316F">
        <w:rPr>
          <w:rFonts w:ascii="Book Antiqua" w:hAnsi="Book Antiqua" w:cs="Times New Roman"/>
          <w:color w:val="auto"/>
          <w:sz w:val="24"/>
          <w:szCs w:val="24"/>
        </w:rPr>
        <w:t>Neto</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 xml:space="preserve">et </w:t>
      </w:r>
      <w:proofErr w:type="gramStart"/>
      <w:r w:rsidRPr="0062316F">
        <w:rPr>
          <w:rFonts w:ascii="Book Antiqua" w:hAnsi="Book Antiqua" w:cs="Times New Roman"/>
          <w:i/>
          <w:color w:val="auto"/>
          <w:sz w:val="24"/>
          <w:szCs w:val="24"/>
        </w:rPr>
        <w:t>al</w:t>
      </w:r>
      <w:r w:rsidR="006E5D2C" w:rsidRPr="0062316F">
        <w:rPr>
          <w:rFonts w:ascii="Book Antiqua" w:hAnsi="Book Antiqua" w:cs="Times New Roman"/>
          <w:noProof/>
          <w:color w:val="auto"/>
          <w:sz w:val="24"/>
          <w:szCs w:val="24"/>
          <w:vertAlign w:val="superscript"/>
        </w:rPr>
        <w:t>[</w:t>
      </w:r>
      <w:proofErr w:type="gramEnd"/>
      <w:r w:rsidR="006E5D2C" w:rsidRPr="0062316F">
        <w:rPr>
          <w:rFonts w:ascii="Book Antiqua" w:hAnsi="Book Antiqua" w:cs="Times New Roman"/>
          <w:noProof/>
          <w:color w:val="auto"/>
          <w:sz w:val="24"/>
          <w:szCs w:val="24"/>
          <w:vertAlign w:val="superscript"/>
        </w:rPr>
        <w:t>38</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and </w:t>
      </w:r>
      <w:proofErr w:type="spellStart"/>
      <w:r w:rsidRPr="0062316F">
        <w:rPr>
          <w:rFonts w:ascii="Book Antiqua" w:hAnsi="Book Antiqua" w:cs="Times New Roman"/>
          <w:color w:val="auto"/>
          <w:sz w:val="24"/>
          <w:szCs w:val="24"/>
        </w:rPr>
        <w:t>Douwes</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et al</w:t>
      </w:r>
      <w:r w:rsidR="006E5D2C" w:rsidRPr="0062316F">
        <w:rPr>
          <w:rFonts w:ascii="Book Antiqua" w:hAnsi="Book Antiqua" w:cs="Times New Roman"/>
          <w:noProof/>
          <w:color w:val="auto"/>
          <w:sz w:val="24"/>
          <w:szCs w:val="24"/>
          <w:vertAlign w:val="superscript"/>
        </w:rPr>
        <w:t>[40</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(who analyzed data from an overlapping set of patients) reported a significant inverse correlation between PPI use and plasma magnesium level. The proportion of hypomagnesemia also did not differ between the two groups</w:t>
      </w:r>
      <w:r w:rsidR="00450BC1"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but a study by </w:t>
      </w:r>
      <w:proofErr w:type="spellStart"/>
      <w:r w:rsidRPr="0062316F">
        <w:rPr>
          <w:rFonts w:ascii="Book Antiqua" w:hAnsi="Book Antiqua" w:cs="Times New Roman"/>
          <w:color w:val="auto"/>
          <w:sz w:val="24"/>
          <w:szCs w:val="24"/>
        </w:rPr>
        <w:t>Shabaka</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 xml:space="preserve">et </w:t>
      </w:r>
      <w:proofErr w:type="gramStart"/>
      <w:r w:rsidRPr="0062316F">
        <w:rPr>
          <w:rFonts w:ascii="Book Antiqua" w:hAnsi="Book Antiqua" w:cs="Times New Roman"/>
          <w:i/>
          <w:color w:val="auto"/>
          <w:sz w:val="24"/>
          <w:szCs w:val="24"/>
        </w:rPr>
        <w:t>al</w:t>
      </w:r>
      <w:r w:rsidR="006E5D2C" w:rsidRPr="0062316F">
        <w:rPr>
          <w:rFonts w:ascii="Book Antiqua" w:hAnsi="Book Antiqua" w:cs="Times New Roman"/>
          <w:noProof/>
          <w:color w:val="auto"/>
          <w:sz w:val="24"/>
          <w:szCs w:val="24"/>
          <w:vertAlign w:val="superscript"/>
        </w:rPr>
        <w:t>[</w:t>
      </w:r>
      <w:proofErr w:type="gramEnd"/>
      <w:r w:rsidR="006E5D2C" w:rsidRPr="0062316F">
        <w:rPr>
          <w:rFonts w:ascii="Book Antiqua" w:hAnsi="Book Antiqua" w:cs="Times New Roman"/>
          <w:noProof/>
          <w:color w:val="auto"/>
          <w:sz w:val="24"/>
          <w:szCs w:val="24"/>
          <w:vertAlign w:val="superscript"/>
        </w:rPr>
        <w:t>36</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noted that those with PPI exposure seemed to develop significantly more severe hypomagnesemia (defined as magnesium level &lt;</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1.3 mg/dL) compared with those without PPI exposure (21%</w:t>
      </w:r>
      <w:r w:rsidR="009F3BE8"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vs</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5%).</w:t>
      </w:r>
    </w:p>
    <w:p w14:paraId="21F0975A" w14:textId="77777777" w:rsidR="00E43E96" w:rsidRPr="0062316F" w:rsidRDefault="00E43E96" w:rsidP="0062316F">
      <w:pPr>
        <w:pStyle w:val="BodyA"/>
        <w:spacing w:line="360" w:lineRule="auto"/>
        <w:jc w:val="both"/>
        <w:rPr>
          <w:rFonts w:ascii="Book Antiqua" w:hAnsi="Book Antiqua" w:cs="Times New Roman"/>
          <w:b/>
          <w:i/>
          <w:color w:val="auto"/>
          <w:sz w:val="24"/>
          <w:szCs w:val="24"/>
        </w:rPr>
      </w:pPr>
    </w:p>
    <w:p w14:paraId="2B2C174A" w14:textId="00DC5302" w:rsidR="00E9347F" w:rsidRPr="0062316F" w:rsidRDefault="00E9347F" w:rsidP="0062316F">
      <w:pPr>
        <w:pStyle w:val="BodyA"/>
        <w:spacing w:line="360" w:lineRule="auto"/>
        <w:jc w:val="both"/>
        <w:rPr>
          <w:rFonts w:ascii="Book Antiqua" w:hAnsi="Book Antiqua" w:cs="Times New Roman"/>
          <w:i/>
          <w:color w:val="auto"/>
          <w:sz w:val="24"/>
          <w:szCs w:val="24"/>
        </w:rPr>
      </w:pPr>
      <w:r w:rsidRPr="0062316F">
        <w:rPr>
          <w:rFonts w:ascii="Book Antiqua" w:hAnsi="Book Antiqua" w:cs="Times New Roman"/>
          <w:b/>
          <w:i/>
          <w:color w:val="auto"/>
          <w:sz w:val="24"/>
          <w:szCs w:val="24"/>
        </w:rPr>
        <w:t xml:space="preserve">Overall </w:t>
      </w:r>
      <w:r w:rsidR="009F3BE8" w:rsidRPr="0062316F">
        <w:rPr>
          <w:rFonts w:ascii="Book Antiqua" w:hAnsi="Book Antiqua" w:cs="Times New Roman"/>
          <w:b/>
          <w:i/>
          <w:color w:val="auto"/>
          <w:sz w:val="24"/>
          <w:szCs w:val="24"/>
        </w:rPr>
        <w:t>mortality</w:t>
      </w:r>
    </w:p>
    <w:p w14:paraId="10EEFBF2" w14:textId="1F74188D" w:rsidR="00E9347F" w:rsidRPr="0062316F" w:rsidRDefault="23CC1EDB" w:rsidP="0062316F">
      <w:pPr>
        <w:pStyle w:val="BodyA"/>
        <w:spacing w:line="360" w:lineRule="auto"/>
        <w:jc w:val="both"/>
        <w:rPr>
          <w:rFonts w:ascii="Book Antiqua" w:hAnsi="Book Antiqua" w:cs="Times New Roman"/>
          <w:color w:val="auto"/>
          <w:sz w:val="24"/>
          <w:szCs w:val="24"/>
        </w:rPr>
      </w:pPr>
      <w:r w:rsidRPr="0062316F">
        <w:rPr>
          <w:rFonts w:ascii="Book Antiqua" w:hAnsi="Book Antiqua" w:cs="Times New Roman"/>
          <w:color w:val="auto"/>
          <w:sz w:val="24"/>
          <w:szCs w:val="24"/>
        </w:rPr>
        <w:t>All-cause mortality data were available from five studies</w:t>
      </w:r>
      <w:r w:rsidR="00B24456">
        <w:rPr>
          <w:rFonts w:ascii="Book Antiqua" w:hAnsi="Book Antiqua" w:cs="Times New Roman"/>
          <w:color w:val="auto"/>
          <w:sz w:val="24"/>
          <w:szCs w:val="24"/>
        </w:rPr>
        <w:t xml:space="preserve"> (</w:t>
      </w:r>
      <w:r w:rsidR="00B24456" w:rsidRPr="009A309C">
        <w:rPr>
          <w:rFonts w:ascii="Book Antiqua" w:hAnsi="Book Antiqua" w:cs="Times New Roman"/>
          <w:color w:val="auto"/>
          <w:sz w:val="24"/>
          <w:szCs w:val="24"/>
        </w:rPr>
        <w:t>Table 5</w:t>
      </w:r>
      <w:r w:rsidR="00B24456">
        <w:rPr>
          <w:rFonts w:ascii="Book Antiqua" w:hAnsi="Book Antiqua" w:cs="Times New Roman"/>
          <w:color w:val="auto"/>
          <w:sz w:val="24"/>
          <w:szCs w:val="24"/>
        </w:rPr>
        <w:t>)</w:t>
      </w:r>
      <w:r w:rsidRPr="0062316F">
        <w:rPr>
          <w:rFonts w:ascii="Book Antiqua" w:hAnsi="Book Antiqua" w:cs="Times New Roman"/>
          <w:color w:val="auto"/>
          <w:sz w:val="24"/>
          <w:szCs w:val="24"/>
        </w:rPr>
        <w:t>, with three studies reporting 1-year survival and two reporting longer-term all-cause mortality. One-year mortality did not significantly differ between PPI and non-PPI use (pooled OR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1.30</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0.51</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3.29</w:t>
      </w:r>
      <w:r w:rsidR="009F3BE8"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w:t>
      </w:r>
      <w:r w:rsidRPr="0062316F">
        <w:rPr>
          <w:rFonts w:ascii="Book Antiqua" w:hAnsi="Book Antiqua" w:cs="Times New Roman"/>
          <w:i/>
          <w:color w:val="auto"/>
          <w:sz w:val="24"/>
          <w:szCs w:val="24"/>
        </w:rPr>
        <w:t>I</w:t>
      </w:r>
      <w:r w:rsidRPr="0062316F">
        <w:rPr>
          <w:rFonts w:ascii="Book Antiqua" w:hAnsi="Book Antiqua" w:cs="Times New Roman"/>
          <w:i/>
          <w:color w:val="auto"/>
          <w:sz w:val="24"/>
          <w:szCs w:val="24"/>
          <w:vertAlign w:val="superscript"/>
        </w:rPr>
        <w:t>2</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w:t>
      </w:r>
      <w:r w:rsidR="009F3BE8"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41.4%; </w:t>
      </w:r>
      <w:r w:rsidRPr="00EF5815">
        <w:rPr>
          <w:rFonts w:ascii="Book Antiqua" w:hAnsi="Book Antiqua" w:cs="Times New Roman"/>
          <w:bCs/>
          <w:color w:val="auto"/>
          <w:sz w:val="24"/>
          <w:szCs w:val="24"/>
        </w:rPr>
        <w:t>Figure 5</w:t>
      </w:r>
      <w:r w:rsidRPr="0062316F">
        <w:rPr>
          <w:rFonts w:ascii="Book Antiqua" w:hAnsi="Book Antiqua" w:cs="Times New Roman"/>
          <w:color w:val="auto"/>
          <w:sz w:val="24"/>
          <w:szCs w:val="24"/>
        </w:rPr>
        <w:t>). The two studies that reported long-term mortality outcomes (</w:t>
      </w:r>
      <w:proofErr w:type="spellStart"/>
      <w:r w:rsidRPr="0062316F">
        <w:rPr>
          <w:rFonts w:ascii="Book Antiqua" w:hAnsi="Book Antiqua" w:cs="Times New Roman"/>
          <w:color w:val="auto"/>
          <w:sz w:val="24"/>
          <w:szCs w:val="24"/>
        </w:rPr>
        <w:t>Douwes</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iCs/>
          <w:color w:val="auto"/>
          <w:sz w:val="24"/>
          <w:szCs w:val="24"/>
        </w:rPr>
        <w:t xml:space="preserve">et </w:t>
      </w:r>
      <w:proofErr w:type="gramStart"/>
      <w:r w:rsidRPr="0062316F">
        <w:rPr>
          <w:rFonts w:ascii="Book Antiqua" w:hAnsi="Book Antiqua" w:cs="Times New Roman"/>
          <w:i/>
          <w:iCs/>
          <w:color w:val="auto"/>
          <w:sz w:val="24"/>
          <w:szCs w:val="24"/>
        </w:rPr>
        <w:t>al</w:t>
      </w:r>
      <w:r w:rsidR="006E5D2C" w:rsidRPr="0062316F">
        <w:rPr>
          <w:rFonts w:ascii="Book Antiqua" w:hAnsi="Book Antiqua" w:cs="Times New Roman"/>
          <w:noProof/>
          <w:color w:val="auto"/>
          <w:sz w:val="24"/>
          <w:szCs w:val="24"/>
          <w:vertAlign w:val="superscript"/>
        </w:rPr>
        <w:t>[</w:t>
      </w:r>
      <w:proofErr w:type="gramEnd"/>
      <w:r w:rsidR="006E5D2C" w:rsidRPr="0062316F">
        <w:rPr>
          <w:rFonts w:ascii="Book Antiqua" w:hAnsi="Book Antiqua" w:cs="Times New Roman"/>
          <w:noProof/>
          <w:color w:val="auto"/>
          <w:sz w:val="24"/>
          <w:szCs w:val="24"/>
          <w:vertAlign w:val="superscript"/>
        </w:rPr>
        <w:t>40</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xml:space="preserve"> and Gomes-</w:t>
      </w:r>
      <w:proofErr w:type="spellStart"/>
      <w:r w:rsidRPr="0062316F">
        <w:rPr>
          <w:rFonts w:ascii="Book Antiqua" w:hAnsi="Book Antiqua" w:cs="Times New Roman"/>
          <w:color w:val="auto"/>
          <w:sz w:val="24"/>
          <w:szCs w:val="24"/>
        </w:rPr>
        <w:t>Neto</w:t>
      </w:r>
      <w:proofErr w:type="spellEnd"/>
      <w:r w:rsidRPr="0062316F">
        <w:rPr>
          <w:rFonts w:ascii="Book Antiqua" w:hAnsi="Book Antiqua" w:cs="Times New Roman"/>
          <w:color w:val="auto"/>
          <w:sz w:val="24"/>
          <w:szCs w:val="24"/>
        </w:rPr>
        <w:t xml:space="preserve"> </w:t>
      </w:r>
      <w:r w:rsidRPr="0062316F">
        <w:rPr>
          <w:rFonts w:ascii="Book Antiqua" w:hAnsi="Book Antiqua" w:cs="Times New Roman"/>
          <w:i/>
          <w:iCs/>
          <w:color w:val="auto"/>
          <w:sz w:val="24"/>
          <w:szCs w:val="24"/>
        </w:rPr>
        <w:t>et al</w:t>
      </w:r>
      <w:r w:rsidR="006E5D2C" w:rsidRPr="0062316F">
        <w:rPr>
          <w:rFonts w:ascii="Book Antiqua" w:hAnsi="Book Antiqua" w:cs="Times New Roman"/>
          <w:noProof/>
          <w:color w:val="auto"/>
          <w:sz w:val="24"/>
          <w:szCs w:val="24"/>
          <w:vertAlign w:val="superscript"/>
        </w:rPr>
        <w:t>[38</w:t>
      </w:r>
      <w:r w:rsidRPr="0062316F">
        <w:rPr>
          <w:rFonts w:ascii="Book Antiqua" w:hAnsi="Book Antiqua" w:cs="Times New Roman"/>
          <w:noProof/>
          <w:color w:val="auto"/>
          <w:sz w:val="24"/>
          <w:szCs w:val="24"/>
          <w:vertAlign w:val="superscript"/>
        </w:rPr>
        <w:t>]</w:t>
      </w:r>
      <w:r w:rsidRPr="0062316F">
        <w:rPr>
          <w:rFonts w:ascii="Book Antiqua" w:hAnsi="Book Antiqua" w:cs="Times New Roman"/>
          <w:color w:val="auto"/>
          <w:sz w:val="24"/>
          <w:szCs w:val="24"/>
        </w:rPr>
        <w:t>) seemed to analyze data from a highly overlapping set of patients (</w:t>
      </w:r>
      <w:r w:rsidRPr="0062316F">
        <w:rPr>
          <w:rFonts w:ascii="Book Antiqua" w:hAnsi="Book Antiqua" w:cs="Times New Roman"/>
          <w:i/>
          <w:color w:val="auto"/>
          <w:sz w:val="24"/>
          <w:szCs w:val="24"/>
        </w:rPr>
        <w:t>n</w:t>
      </w:r>
      <w:r w:rsidR="00955E46" w:rsidRPr="0062316F">
        <w:rPr>
          <w:rFonts w:ascii="Book Antiqua" w:hAnsi="Book Antiqua" w:cs="Times New Roman"/>
          <w:i/>
          <w:color w:val="auto"/>
          <w:sz w:val="24"/>
          <w:szCs w:val="24"/>
        </w:rPr>
        <w:t xml:space="preserve"> </w:t>
      </w:r>
      <w:r w:rsidRPr="0062316F">
        <w:rPr>
          <w:rFonts w:ascii="Book Antiqua" w:hAnsi="Book Antiqua" w:cs="Times New Roman"/>
          <w:color w:val="auto"/>
          <w:sz w:val="24"/>
          <w:szCs w:val="24"/>
        </w:rPr>
        <w:t>=</w:t>
      </w:r>
      <w:r w:rsidR="00955E46" w:rsidRPr="0062316F">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706 </w:t>
      </w:r>
      <w:r w:rsidRPr="0062316F">
        <w:rPr>
          <w:rFonts w:ascii="Book Antiqua" w:hAnsi="Book Antiqua" w:cs="Times New Roman"/>
          <w:i/>
          <w:color w:val="auto"/>
          <w:sz w:val="24"/>
          <w:szCs w:val="24"/>
        </w:rPr>
        <w:t>vs</w:t>
      </w:r>
      <w:r w:rsidRPr="0062316F">
        <w:rPr>
          <w:rFonts w:ascii="Book Antiqua" w:hAnsi="Book Antiqua" w:cs="Times New Roman"/>
          <w:color w:val="auto"/>
          <w:sz w:val="24"/>
          <w:szCs w:val="24"/>
        </w:rPr>
        <w:t xml:space="preserve"> 703); hence, pooled HR was not calculated. With a </w:t>
      </w:r>
      <w:r w:rsidRPr="0062316F">
        <w:rPr>
          <w:rFonts w:ascii="Book Antiqua" w:hAnsi="Book Antiqua" w:cs="Times New Roman"/>
          <w:color w:val="auto"/>
          <w:sz w:val="24"/>
          <w:szCs w:val="24"/>
        </w:rPr>
        <w:lastRenderedPageBreak/>
        <w:t xml:space="preserve">median follow-up duration of 5.4 years (range, 4.8-6.1 years) in both studies, the adjusted HRs for all-cause mortality </w:t>
      </w:r>
      <w:r w:rsidR="00252DDF" w:rsidRPr="0062316F">
        <w:rPr>
          <w:rFonts w:ascii="Book Antiqua" w:hAnsi="Book Antiqua" w:cs="Times New Roman"/>
          <w:color w:val="auto"/>
          <w:sz w:val="24"/>
          <w:szCs w:val="24"/>
        </w:rPr>
        <w:t>was</w:t>
      </w:r>
      <w:r w:rsidRPr="0062316F">
        <w:rPr>
          <w:rFonts w:ascii="Book Antiqua" w:hAnsi="Book Antiqua" w:cs="Times New Roman"/>
          <w:color w:val="auto"/>
          <w:sz w:val="24"/>
          <w:szCs w:val="24"/>
        </w:rPr>
        <w:t xml:space="preserve"> significantly associated with PPI use (HR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1.94</w:t>
      </w:r>
      <w:r w:rsidR="00955E46"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1.32</w:t>
      </w:r>
      <w:r w:rsidR="00955E46" w:rsidRPr="0062316F">
        <w:rPr>
          <w:rFonts w:ascii="Book Antiqua" w:hAnsi="Book Antiqua" w:cs="Times New Roman"/>
          <w:color w:val="auto"/>
          <w:sz w:val="24"/>
          <w:szCs w:val="24"/>
        </w:rPr>
        <w:t>-</w:t>
      </w:r>
      <w:r w:rsidRPr="0062316F">
        <w:rPr>
          <w:rFonts w:ascii="Book Antiqua" w:hAnsi="Book Antiqua" w:cs="Times New Roman"/>
          <w:color w:val="auto"/>
          <w:sz w:val="24"/>
          <w:szCs w:val="24"/>
        </w:rPr>
        <w:t>2.88</w:t>
      </w:r>
      <w:r w:rsidR="00955E46"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and HR</w:t>
      </w:r>
      <w:r w:rsidR="00536A7A">
        <w:rPr>
          <w:rFonts w:ascii="Book Antiqua" w:hAnsi="Book Antiqua" w:cs="Times New Roman"/>
          <w:color w:val="auto"/>
          <w:sz w:val="24"/>
          <w:szCs w:val="24"/>
        </w:rPr>
        <w:t xml:space="preserve"> =</w:t>
      </w:r>
      <w:r w:rsidRPr="0062316F">
        <w:rPr>
          <w:rFonts w:ascii="Book Antiqua" w:hAnsi="Book Antiqua" w:cs="Times New Roman"/>
          <w:color w:val="auto"/>
          <w:sz w:val="24"/>
          <w:szCs w:val="24"/>
        </w:rPr>
        <w:t xml:space="preserve"> 2.01</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95%CI</w:t>
      </w:r>
      <w:r w:rsidR="00536A7A">
        <w:rPr>
          <w:rFonts w:ascii="Book Antiqua" w:hAnsi="Book Antiqua" w:cs="Times New Roman"/>
          <w:color w:val="auto"/>
          <w:sz w:val="24"/>
          <w:szCs w:val="24"/>
        </w:rPr>
        <w:t>:</w:t>
      </w:r>
      <w:r w:rsidRPr="0062316F">
        <w:rPr>
          <w:rFonts w:ascii="Book Antiqua" w:hAnsi="Book Antiqua" w:cs="Times New Roman"/>
          <w:color w:val="auto"/>
          <w:sz w:val="24"/>
          <w:szCs w:val="24"/>
        </w:rPr>
        <w:t xml:space="preserve"> 1.43</w:t>
      </w:r>
      <w:r w:rsidR="00955E46" w:rsidRPr="0062316F">
        <w:rPr>
          <w:rFonts w:ascii="Book Antiqua" w:hAnsi="Book Antiqua" w:cs="Times New Roman"/>
          <w:color w:val="auto"/>
          <w:sz w:val="24"/>
          <w:szCs w:val="24"/>
        </w:rPr>
        <w:t>-</w:t>
      </w:r>
      <w:r w:rsidRPr="0062316F">
        <w:rPr>
          <w:rFonts w:ascii="Book Antiqua" w:hAnsi="Book Antiqua" w:cs="Times New Roman"/>
          <w:color w:val="auto"/>
          <w:sz w:val="24"/>
          <w:szCs w:val="24"/>
        </w:rPr>
        <w:t>2.83</w:t>
      </w:r>
      <w:r w:rsidR="00252DDF" w:rsidRPr="0062316F">
        <w:rPr>
          <w:rFonts w:ascii="Book Antiqua" w:hAnsi="Book Antiqua" w:cs="Times New Roman"/>
          <w:color w:val="auto"/>
          <w:sz w:val="24"/>
          <w:szCs w:val="24"/>
        </w:rPr>
        <w:t>,</w:t>
      </w:r>
      <w:r w:rsidRPr="0062316F">
        <w:rPr>
          <w:rFonts w:ascii="Book Antiqua" w:hAnsi="Book Antiqua" w:cs="Times New Roman"/>
          <w:color w:val="auto"/>
          <w:sz w:val="24"/>
          <w:szCs w:val="24"/>
        </w:rPr>
        <w:t xml:space="preserve"> respectively).</w:t>
      </w:r>
    </w:p>
    <w:p w14:paraId="25EB1511" w14:textId="77777777" w:rsidR="00E43E96" w:rsidRPr="0062316F" w:rsidRDefault="00E43E96" w:rsidP="0062316F">
      <w:pPr>
        <w:spacing w:after="0" w:line="360" w:lineRule="auto"/>
        <w:jc w:val="both"/>
        <w:rPr>
          <w:rFonts w:ascii="Book Antiqua" w:hAnsi="Book Antiqua" w:cs="Times New Roman"/>
          <w:b/>
          <w:i/>
          <w:sz w:val="24"/>
          <w:szCs w:val="24"/>
        </w:rPr>
      </w:pPr>
    </w:p>
    <w:p w14:paraId="72DDDA56" w14:textId="7B70402F"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Evaluation for </w:t>
      </w:r>
      <w:r w:rsidR="00955E46" w:rsidRPr="0062316F">
        <w:rPr>
          <w:rFonts w:ascii="Book Antiqua" w:hAnsi="Book Antiqua" w:cs="Times New Roman"/>
          <w:b/>
          <w:i/>
          <w:sz w:val="24"/>
          <w:szCs w:val="24"/>
        </w:rPr>
        <w:t>publication bias</w:t>
      </w:r>
    </w:p>
    <w:p w14:paraId="55793754" w14:textId="524AF981" w:rsidR="00E9347F" w:rsidRPr="0062316F" w:rsidRDefault="00B352BC"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 xml:space="preserve">The funnel plots </w:t>
      </w:r>
      <w:r w:rsidR="00DA317C">
        <w:rPr>
          <w:rFonts w:ascii="Book Antiqua" w:hAnsi="Book Antiqua" w:cs="Times New Roman"/>
          <w:sz w:val="24"/>
          <w:szCs w:val="24"/>
        </w:rPr>
        <w:t>(</w:t>
      </w:r>
      <w:r w:rsidR="00DA317C" w:rsidRPr="009A309C">
        <w:rPr>
          <w:rFonts w:ascii="Book Antiqua" w:hAnsi="Book Antiqua" w:cs="Times New Roman"/>
          <w:sz w:val="24"/>
          <w:szCs w:val="24"/>
        </w:rPr>
        <w:t xml:space="preserve">Supplementary </w:t>
      </w:r>
      <w:r w:rsidR="00FC4772" w:rsidRPr="009A309C">
        <w:rPr>
          <w:rFonts w:ascii="Book Antiqua" w:hAnsi="Book Antiqua" w:cs="Times New Roman"/>
          <w:sz w:val="24"/>
          <w:szCs w:val="24"/>
        </w:rPr>
        <w:t>Figure S1</w:t>
      </w:r>
      <w:r w:rsidR="00DA317C" w:rsidRPr="009A309C">
        <w:rPr>
          <w:rFonts w:ascii="Book Antiqua" w:hAnsi="Book Antiqua" w:cs="Times New Roman"/>
          <w:sz w:val="24"/>
          <w:szCs w:val="24"/>
        </w:rPr>
        <w:t xml:space="preserve"> to Figure</w:t>
      </w:r>
      <w:r w:rsidR="00FC4772" w:rsidRPr="009A309C">
        <w:rPr>
          <w:rFonts w:ascii="Book Antiqua" w:hAnsi="Book Antiqua" w:cs="Times New Roman"/>
          <w:sz w:val="24"/>
          <w:szCs w:val="24"/>
        </w:rPr>
        <w:t xml:space="preserve"> S4</w:t>
      </w:r>
      <w:r w:rsidR="00DA317C">
        <w:rPr>
          <w:rFonts w:ascii="Book Antiqua" w:hAnsi="Book Antiqua" w:cs="Times New Roman"/>
          <w:sz w:val="24"/>
          <w:szCs w:val="24"/>
        </w:rPr>
        <w:t>)</w:t>
      </w:r>
      <w:r w:rsidRPr="0062316F">
        <w:rPr>
          <w:rFonts w:ascii="Book Antiqua" w:hAnsi="Book Antiqua" w:cs="Times New Roman"/>
          <w:sz w:val="24"/>
          <w:szCs w:val="24"/>
        </w:rPr>
        <w:t xml:space="preserve"> and</w:t>
      </w:r>
      <w:r w:rsidR="00E9347F" w:rsidRPr="0062316F">
        <w:rPr>
          <w:rFonts w:ascii="Book Antiqua" w:hAnsi="Book Antiqua" w:cs="Times New Roman"/>
          <w:sz w:val="24"/>
          <w:szCs w:val="24"/>
        </w:rPr>
        <w:t xml:space="preserve"> </w:t>
      </w:r>
      <w:r w:rsidRPr="0062316F">
        <w:rPr>
          <w:rFonts w:ascii="Book Antiqua" w:hAnsi="Book Antiqua" w:cs="Times New Roman"/>
          <w:sz w:val="24"/>
          <w:szCs w:val="24"/>
        </w:rPr>
        <w:t>Egger’s regression asymmetry test were performed and showed no significant publication bias (</w:t>
      </w:r>
      <w:r w:rsidRPr="0062316F">
        <w:rPr>
          <w:rFonts w:ascii="Book Antiqua" w:hAnsi="Book Antiqua" w:cs="Times New Roman"/>
          <w:i/>
          <w:sz w:val="24"/>
          <w:szCs w:val="24"/>
        </w:rPr>
        <w:t>P</w:t>
      </w:r>
      <w:r w:rsidR="00955E46" w:rsidRPr="0062316F">
        <w:rPr>
          <w:rFonts w:ascii="Book Antiqua" w:hAnsi="Book Antiqua" w:cs="Times New Roman"/>
          <w:sz w:val="24"/>
          <w:szCs w:val="24"/>
        </w:rPr>
        <w:t xml:space="preserve"> </w:t>
      </w:r>
      <w:r w:rsidRPr="0062316F">
        <w:rPr>
          <w:rFonts w:ascii="Book Antiqua" w:hAnsi="Book Antiqua" w:cs="Times New Roman"/>
          <w:sz w:val="24"/>
          <w:szCs w:val="24"/>
        </w:rPr>
        <w:t>&gt;</w:t>
      </w:r>
      <w:r w:rsidR="00955E46" w:rsidRPr="0062316F">
        <w:rPr>
          <w:rFonts w:ascii="Book Antiqua" w:hAnsi="Book Antiqua" w:cs="Times New Roman"/>
          <w:sz w:val="24"/>
          <w:szCs w:val="24"/>
        </w:rPr>
        <w:t xml:space="preserve"> </w:t>
      </w:r>
      <w:r w:rsidRPr="0062316F">
        <w:rPr>
          <w:rFonts w:ascii="Book Antiqua" w:hAnsi="Book Antiqua" w:cs="Times New Roman"/>
          <w:sz w:val="24"/>
          <w:szCs w:val="24"/>
        </w:rPr>
        <w:t>0.05 for all outcomes).</w:t>
      </w:r>
    </w:p>
    <w:p w14:paraId="4693EE97" w14:textId="77777777" w:rsidR="00E43E96" w:rsidRPr="0062316F" w:rsidRDefault="00E43E96" w:rsidP="0062316F">
      <w:pPr>
        <w:spacing w:after="0" w:line="360" w:lineRule="auto"/>
        <w:jc w:val="both"/>
        <w:rPr>
          <w:rFonts w:ascii="Book Antiqua" w:hAnsi="Book Antiqua" w:cs="Times New Roman"/>
          <w:b/>
          <w:i/>
          <w:sz w:val="24"/>
          <w:szCs w:val="24"/>
        </w:rPr>
      </w:pPr>
    </w:p>
    <w:p w14:paraId="2AE08BE0" w14:textId="54186012" w:rsidR="00E9347F" w:rsidRPr="0062316F" w:rsidRDefault="00E9347F" w:rsidP="0062316F">
      <w:pPr>
        <w:spacing w:after="0" w:line="360" w:lineRule="auto"/>
        <w:jc w:val="both"/>
        <w:rPr>
          <w:rFonts w:ascii="Book Antiqua" w:hAnsi="Book Antiqua" w:cs="Times New Roman"/>
          <w:b/>
          <w:i/>
          <w:sz w:val="24"/>
          <w:szCs w:val="24"/>
        </w:rPr>
      </w:pPr>
      <w:r w:rsidRPr="0062316F">
        <w:rPr>
          <w:rFonts w:ascii="Book Antiqua" w:hAnsi="Book Antiqua" w:cs="Times New Roman"/>
          <w:b/>
          <w:i/>
          <w:sz w:val="24"/>
          <w:szCs w:val="24"/>
        </w:rPr>
        <w:t xml:space="preserve">Sensitivity </w:t>
      </w:r>
      <w:r w:rsidR="00955E46" w:rsidRPr="0062316F">
        <w:rPr>
          <w:rFonts w:ascii="Book Antiqua" w:hAnsi="Book Antiqua" w:cs="Times New Roman"/>
          <w:b/>
          <w:i/>
          <w:sz w:val="24"/>
          <w:szCs w:val="24"/>
        </w:rPr>
        <w:t>analysis</w:t>
      </w:r>
    </w:p>
    <w:p w14:paraId="73B304FE" w14:textId="77777777" w:rsidR="00E9347F" w:rsidRPr="0062316F" w:rsidRDefault="00E9347F" w:rsidP="0062316F">
      <w:pPr>
        <w:spacing w:after="0" w:line="360" w:lineRule="auto"/>
        <w:jc w:val="both"/>
        <w:rPr>
          <w:rFonts w:ascii="Book Antiqua" w:hAnsi="Book Antiqua" w:cs="Times New Roman"/>
          <w:noProof/>
          <w:sz w:val="24"/>
          <w:szCs w:val="24"/>
        </w:rPr>
      </w:pPr>
      <w:r w:rsidRPr="0062316F">
        <w:rPr>
          <w:rFonts w:ascii="Book Antiqua" w:hAnsi="Book Antiqua" w:cs="Times New Roman"/>
          <w:noProof/>
          <w:sz w:val="24"/>
          <w:szCs w:val="24"/>
        </w:rPr>
        <w:t>Sensitivity analysis was performed by excluding one study at a time to investigate the effect of each study on the pooled OR for each outcome assessed. The pooled effect estimate from this sensitivity analysis remained essentially unchanged.</w:t>
      </w:r>
    </w:p>
    <w:p w14:paraId="3434E049" w14:textId="77777777" w:rsidR="00E43E96" w:rsidRPr="0062316F" w:rsidRDefault="00E43E96" w:rsidP="0062316F">
      <w:pPr>
        <w:spacing w:after="0" w:line="360" w:lineRule="auto"/>
        <w:jc w:val="both"/>
        <w:rPr>
          <w:rFonts w:ascii="Book Antiqua" w:hAnsi="Book Antiqua" w:cs="Times New Roman"/>
          <w:b/>
          <w:sz w:val="24"/>
          <w:szCs w:val="24"/>
        </w:rPr>
      </w:pPr>
    </w:p>
    <w:p w14:paraId="4AFE23A4" w14:textId="688EC8BD" w:rsidR="00E9347F" w:rsidRPr="0062316F" w:rsidRDefault="00955E46"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DISCUSSION</w:t>
      </w:r>
    </w:p>
    <w:p w14:paraId="74824EC3" w14:textId="530BF9E2"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t xml:space="preserve">This meta-analysis showed no significant association between exposure to PPIs and higher risk of acute biopsy-proven rejection, graft loss, or overall mortality, but a significantly higher risk of hypomagnesemia among those with PPI exposure was noted. No </w:t>
      </w:r>
      <w:r w:rsidR="00955E46" w:rsidRPr="0062316F">
        <w:rPr>
          <w:rFonts w:ascii="Book Antiqua" w:hAnsi="Book Antiqua" w:cs="Times New Roman"/>
          <w:sz w:val="24"/>
          <w:szCs w:val="24"/>
        </w:rPr>
        <w:t>short-term</w:t>
      </w:r>
      <w:r w:rsidR="00252DDF" w:rsidRPr="0062316F">
        <w:rPr>
          <w:rFonts w:ascii="Book Antiqua" w:hAnsi="Book Antiqua" w:cs="Times New Roman"/>
          <w:sz w:val="24"/>
          <w:szCs w:val="24"/>
        </w:rPr>
        <w:t xml:space="preserve"> </w:t>
      </w:r>
      <w:r w:rsidRPr="0062316F">
        <w:rPr>
          <w:rFonts w:ascii="Book Antiqua" w:hAnsi="Book Antiqua" w:cs="Times New Roman"/>
          <w:sz w:val="24"/>
          <w:szCs w:val="24"/>
        </w:rPr>
        <w:t xml:space="preserve">difference in renal function </w:t>
      </w:r>
      <w:r w:rsidR="00252DDF" w:rsidRPr="0062316F">
        <w:rPr>
          <w:rFonts w:ascii="Book Antiqua" w:hAnsi="Book Antiqua" w:cs="Times New Roman"/>
          <w:sz w:val="24"/>
          <w:szCs w:val="24"/>
        </w:rPr>
        <w:t xml:space="preserve">was found </w:t>
      </w:r>
      <w:r w:rsidRPr="0062316F">
        <w:rPr>
          <w:rFonts w:ascii="Book Antiqua" w:hAnsi="Book Antiqua" w:cs="Times New Roman"/>
          <w:sz w:val="24"/>
          <w:szCs w:val="24"/>
        </w:rPr>
        <w:t>between the two groups.</w:t>
      </w:r>
    </w:p>
    <w:p w14:paraId="715FB786" w14:textId="77777777" w:rsidR="00955E46"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Despite </w:t>
      </w:r>
      <w:r w:rsidR="003541FF" w:rsidRPr="0062316F">
        <w:rPr>
          <w:rFonts w:ascii="Book Antiqua" w:hAnsi="Book Antiqua" w:cs="Times New Roman"/>
          <w:sz w:val="24"/>
          <w:szCs w:val="24"/>
        </w:rPr>
        <w:t xml:space="preserve">several </w:t>
      </w:r>
      <w:r w:rsidRPr="0062316F">
        <w:rPr>
          <w:rFonts w:ascii="Book Antiqua" w:hAnsi="Book Antiqua" w:cs="Times New Roman"/>
          <w:sz w:val="24"/>
          <w:szCs w:val="24"/>
        </w:rPr>
        <w:t xml:space="preserve">pharmacokinetic studies that </w:t>
      </w:r>
      <w:r w:rsidR="003541FF" w:rsidRPr="0062316F">
        <w:rPr>
          <w:rFonts w:ascii="Book Antiqua" w:hAnsi="Book Antiqua" w:cs="Times New Roman"/>
          <w:sz w:val="24"/>
          <w:szCs w:val="24"/>
        </w:rPr>
        <w:t xml:space="preserve">have </w:t>
      </w:r>
      <w:r w:rsidRPr="0062316F">
        <w:rPr>
          <w:rFonts w:ascii="Book Antiqua" w:hAnsi="Book Antiqua" w:cs="Times New Roman"/>
          <w:sz w:val="24"/>
          <w:szCs w:val="24"/>
        </w:rPr>
        <w:t>clearly showed significantly reduced MPA exposure following concomitant administration of PPIs and MMF in both healthy volunteers</w:t>
      </w:r>
      <w:r w:rsidR="006E5D2C" w:rsidRPr="0062316F">
        <w:rPr>
          <w:rFonts w:ascii="Book Antiqua" w:hAnsi="Book Antiqua" w:cs="Times New Roman"/>
          <w:noProof/>
          <w:sz w:val="24"/>
          <w:szCs w:val="24"/>
          <w:vertAlign w:val="superscript"/>
        </w:rPr>
        <w:t>[12,41</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and in </w:t>
      </w:r>
      <w:r w:rsidR="003541FF" w:rsidRPr="0062316F">
        <w:rPr>
          <w:rFonts w:ascii="Book Antiqua" w:hAnsi="Book Antiqua" w:cs="Times New Roman"/>
          <w:sz w:val="24"/>
          <w:szCs w:val="24"/>
        </w:rPr>
        <w:t>immediate post-transplant kidney transplant recipients</w:t>
      </w:r>
      <w:r w:rsidRPr="0062316F">
        <w:rPr>
          <w:rFonts w:ascii="Book Antiqua" w:hAnsi="Book Antiqua" w:cs="Times New Roman"/>
          <w:noProof/>
          <w:sz w:val="24"/>
          <w:szCs w:val="24"/>
          <w:vertAlign w:val="superscript"/>
        </w:rPr>
        <w:t>[10,11]</w:t>
      </w:r>
      <w:r w:rsidRPr="0062316F">
        <w:rPr>
          <w:rFonts w:ascii="Book Antiqua" w:hAnsi="Book Antiqua" w:cs="Times New Roman"/>
          <w:sz w:val="24"/>
          <w:szCs w:val="24"/>
        </w:rPr>
        <w:t xml:space="preserve">, </w:t>
      </w:r>
      <w:r w:rsidR="003541FF" w:rsidRPr="0062316F">
        <w:rPr>
          <w:rFonts w:ascii="Book Antiqua" w:hAnsi="Book Antiqua" w:cs="Times New Roman"/>
          <w:sz w:val="24"/>
          <w:szCs w:val="24"/>
        </w:rPr>
        <w:t xml:space="preserve">there was </w:t>
      </w:r>
      <w:r w:rsidRPr="0062316F">
        <w:rPr>
          <w:rFonts w:ascii="Book Antiqua" w:hAnsi="Book Antiqua" w:cs="Times New Roman"/>
          <w:sz w:val="24"/>
          <w:szCs w:val="24"/>
        </w:rPr>
        <w:t xml:space="preserve">no significant association between PPI use and increased risk of acute rejection in our study, suggesting that the effect may not be large enough to be clinically significant. Because none of the included studies reported MPA drug level or direct gastric pH measurement, it is difficult to </w:t>
      </w:r>
      <w:r w:rsidR="006E035A" w:rsidRPr="0062316F">
        <w:rPr>
          <w:rFonts w:ascii="Book Antiqua" w:hAnsi="Book Antiqua" w:cs="Times New Roman"/>
          <w:sz w:val="24"/>
          <w:szCs w:val="24"/>
        </w:rPr>
        <w:t xml:space="preserve">ascertain </w:t>
      </w:r>
      <w:r w:rsidRPr="0062316F">
        <w:rPr>
          <w:rFonts w:ascii="Book Antiqua" w:hAnsi="Book Antiqua" w:cs="Times New Roman"/>
          <w:sz w:val="24"/>
          <w:szCs w:val="24"/>
        </w:rPr>
        <w:t xml:space="preserve">whether a significant interaction between PPIs and MMF exists in the real-world setting. Three studies (van </w:t>
      </w:r>
      <w:proofErr w:type="spellStart"/>
      <w:r w:rsidRPr="0062316F">
        <w:rPr>
          <w:rFonts w:ascii="Book Antiqua" w:hAnsi="Book Antiqua" w:cs="Times New Roman"/>
          <w:sz w:val="24"/>
          <w:szCs w:val="24"/>
        </w:rPr>
        <w:t>Boekel</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22]</w:t>
      </w:r>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Courson</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[21]</w:t>
      </w:r>
      <w:r w:rsidRPr="0062316F">
        <w:rPr>
          <w:rFonts w:ascii="Book Antiqua" w:hAnsi="Book Antiqua" w:cs="Times New Roman"/>
          <w:sz w:val="24"/>
          <w:szCs w:val="24"/>
        </w:rPr>
        <w:t xml:space="preserve">, and Patel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[23]</w:t>
      </w:r>
      <w:r w:rsidRPr="0062316F">
        <w:rPr>
          <w:rFonts w:ascii="Book Antiqua" w:hAnsi="Book Antiqua" w:cs="Times New Roman"/>
          <w:sz w:val="24"/>
          <w:szCs w:val="24"/>
        </w:rPr>
        <w:t>) reported the total cumulative MMF exposure or mean daily dose between the two groups</w:t>
      </w:r>
      <w:r w:rsidR="000C5510" w:rsidRPr="0062316F">
        <w:rPr>
          <w:rFonts w:ascii="Book Antiqua" w:hAnsi="Book Antiqua" w:cs="Times New Roman"/>
          <w:sz w:val="24"/>
          <w:szCs w:val="24"/>
        </w:rPr>
        <w:t>. I</w:t>
      </w:r>
      <w:r w:rsidRPr="0062316F">
        <w:rPr>
          <w:rFonts w:ascii="Book Antiqua" w:hAnsi="Book Antiqua" w:cs="Times New Roman"/>
          <w:sz w:val="24"/>
          <w:szCs w:val="24"/>
        </w:rPr>
        <w:t xml:space="preserve">n all three studies, despite the PPI group receiving </w:t>
      </w:r>
      <w:r w:rsidR="000C5510" w:rsidRPr="0062316F">
        <w:rPr>
          <w:rFonts w:ascii="Book Antiqua" w:hAnsi="Book Antiqua" w:cs="Times New Roman"/>
          <w:sz w:val="24"/>
          <w:szCs w:val="24"/>
        </w:rPr>
        <w:t xml:space="preserve">a </w:t>
      </w:r>
      <w:r w:rsidRPr="0062316F">
        <w:rPr>
          <w:rFonts w:ascii="Book Antiqua" w:hAnsi="Book Antiqua" w:cs="Times New Roman"/>
          <w:sz w:val="24"/>
          <w:szCs w:val="24"/>
        </w:rPr>
        <w:t xml:space="preserve">slightly lower cumulative MMF dose compared </w:t>
      </w:r>
      <w:r w:rsidR="000C5510" w:rsidRPr="0062316F">
        <w:rPr>
          <w:rFonts w:ascii="Book Antiqua" w:hAnsi="Book Antiqua" w:cs="Times New Roman"/>
          <w:sz w:val="24"/>
          <w:szCs w:val="24"/>
        </w:rPr>
        <w:t xml:space="preserve">to </w:t>
      </w:r>
      <w:r w:rsidRPr="0062316F">
        <w:rPr>
          <w:rFonts w:ascii="Book Antiqua" w:hAnsi="Book Antiqua" w:cs="Times New Roman"/>
          <w:sz w:val="24"/>
          <w:szCs w:val="24"/>
        </w:rPr>
        <w:t xml:space="preserve">the non-PPI group (non-significant </w:t>
      </w:r>
      <w:r w:rsidRPr="0062316F">
        <w:rPr>
          <w:rFonts w:ascii="Book Antiqua" w:hAnsi="Book Antiqua" w:cs="Times New Roman"/>
          <w:sz w:val="24"/>
          <w:szCs w:val="24"/>
        </w:rPr>
        <w:lastRenderedPageBreak/>
        <w:t xml:space="preserve">in the study by van </w:t>
      </w:r>
      <w:proofErr w:type="spellStart"/>
      <w:r w:rsidRPr="0062316F">
        <w:rPr>
          <w:rFonts w:ascii="Book Antiqua" w:hAnsi="Book Antiqua" w:cs="Times New Roman"/>
          <w:sz w:val="24"/>
          <w:szCs w:val="24"/>
        </w:rPr>
        <w:t>Boekel</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[22]</w:t>
      </w:r>
      <w:r w:rsidRPr="0062316F">
        <w:rPr>
          <w:rFonts w:ascii="Book Antiqua" w:hAnsi="Book Antiqua" w:cs="Times New Roman"/>
          <w:sz w:val="24"/>
          <w:szCs w:val="24"/>
        </w:rPr>
        <w:t xml:space="preserve"> and Patel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[23]</w:t>
      </w:r>
      <w:r w:rsidRPr="0062316F">
        <w:rPr>
          <w:rFonts w:ascii="Book Antiqua" w:hAnsi="Book Antiqua" w:cs="Times New Roman"/>
          <w:sz w:val="24"/>
          <w:szCs w:val="24"/>
        </w:rPr>
        <w:t xml:space="preserve">; significant in the study by </w:t>
      </w:r>
      <w:proofErr w:type="spellStart"/>
      <w:r w:rsidRPr="0062316F">
        <w:rPr>
          <w:rFonts w:ascii="Book Antiqua" w:hAnsi="Book Antiqua" w:cs="Times New Roman"/>
          <w:sz w:val="24"/>
          <w:szCs w:val="24"/>
        </w:rPr>
        <w:t>Courson</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Pr="0062316F">
        <w:rPr>
          <w:rFonts w:ascii="Book Antiqua" w:hAnsi="Book Antiqua" w:cs="Times New Roman"/>
          <w:noProof/>
          <w:sz w:val="24"/>
          <w:szCs w:val="24"/>
          <w:vertAlign w:val="superscript"/>
        </w:rPr>
        <w:t>[21]</w:t>
      </w:r>
      <w:r w:rsidRPr="0062316F">
        <w:rPr>
          <w:rFonts w:ascii="Book Antiqua" w:hAnsi="Book Antiqua" w:cs="Times New Roman"/>
          <w:sz w:val="24"/>
          <w:szCs w:val="24"/>
        </w:rPr>
        <w:t>)</w:t>
      </w:r>
      <w:r w:rsidR="000C5510" w:rsidRPr="0062316F">
        <w:rPr>
          <w:rFonts w:ascii="Book Antiqua" w:hAnsi="Book Antiqua" w:cs="Times New Roman"/>
          <w:sz w:val="24"/>
          <w:szCs w:val="24"/>
        </w:rPr>
        <w:t>, n</w:t>
      </w:r>
      <w:r w:rsidRPr="0062316F">
        <w:rPr>
          <w:rFonts w:ascii="Book Antiqua" w:hAnsi="Book Antiqua" w:cs="Times New Roman"/>
          <w:sz w:val="24"/>
          <w:szCs w:val="24"/>
        </w:rPr>
        <w:t xml:space="preserve">o significant difference in acute rejection was found. Interestingly, in black patients, PPI was found to be significantly associated with a higher risk of acute rejection in one </w:t>
      </w:r>
      <w:proofErr w:type="gramStart"/>
      <w:r w:rsidRPr="0062316F">
        <w:rPr>
          <w:rFonts w:ascii="Book Antiqua" w:hAnsi="Book Antiqua" w:cs="Times New Roman"/>
          <w:sz w:val="24"/>
          <w:szCs w:val="24"/>
        </w:rPr>
        <w:t>study</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20]</w:t>
      </w:r>
      <w:r w:rsidRPr="0062316F">
        <w:rPr>
          <w:rFonts w:ascii="Book Antiqua" w:hAnsi="Book Antiqua" w:cs="Times New Roman"/>
          <w:sz w:val="24"/>
          <w:szCs w:val="24"/>
        </w:rPr>
        <w:t>.</w:t>
      </w:r>
    </w:p>
    <w:p w14:paraId="684ACAB2" w14:textId="02AB5499"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Another</w:t>
      </w:r>
      <w:r w:rsidR="00CF5114" w:rsidRPr="0062316F">
        <w:rPr>
          <w:rFonts w:ascii="Book Antiqua" w:hAnsi="Book Antiqua" w:cs="Times New Roman"/>
          <w:sz w:val="24"/>
          <w:szCs w:val="24"/>
        </w:rPr>
        <w:t xml:space="preserve"> potential</w:t>
      </w:r>
      <w:r w:rsidRPr="0062316F">
        <w:rPr>
          <w:rFonts w:ascii="Book Antiqua" w:hAnsi="Book Antiqua" w:cs="Times New Roman"/>
          <w:sz w:val="24"/>
          <w:szCs w:val="24"/>
        </w:rPr>
        <w:t xml:space="preserve"> reason for the lack of </w:t>
      </w:r>
      <w:r w:rsidR="00CF5114" w:rsidRPr="0062316F">
        <w:rPr>
          <w:rFonts w:ascii="Book Antiqua" w:hAnsi="Book Antiqua" w:cs="Times New Roman"/>
          <w:sz w:val="24"/>
          <w:szCs w:val="24"/>
        </w:rPr>
        <w:t xml:space="preserve">a </w:t>
      </w:r>
      <w:r w:rsidRPr="0062316F">
        <w:rPr>
          <w:rFonts w:ascii="Book Antiqua" w:hAnsi="Book Antiqua" w:cs="Times New Roman"/>
          <w:sz w:val="24"/>
          <w:szCs w:val="24"/>
        </w:rPr>
        <w:t xml:space="preserve">significant association between PPI use and acute </w:t>
      </w:r>
      <w:r w:rsidR="00CF5114" w:rsidRPr="0062316F">
        <w:rPr>
          <w:rFonts w:ascii="Book Antiqua" w:hAnsi="Book Antiqua" w:cs="Times New Roman"/>
          <w:sz w:val="24"/>
          <w:szCs w:val="24"/>
        </w:rPr>
        <w:t xml:space="preserve">biopsy-proven </w:t>
      </w:r>
      <w:r w:rsidRPr="0062316F">
        <w:rPr>
          <w:rFonts w:ascii="Book Antiqua" w:hAnsi="Book Antiqua" w:cs="Times New Roman"/>
          <w:sz w:val="24"/>
          <w:szCs w:val="24"/>
        </w:rPr>
        <w:t xml:space="preserve">rejection is that the majority of the kidney transplant recipients enrolled in the included studies were on tacrolimus, with none or only a small percentage </w:t>
      </w:r>
      <w:r w:rsidR="00CF5114" w:rsidRPr="0062316F">
        <w:rPr>
          <w:rFonts w:ascii="Book Antiqua" w:hAnsi="Book Antiqua" w:cs="Times New Roman"/>
          <w:sz w:val="24"/>
          <w:szCs w:val="24"/>
        </w:rPr>
        <w:t xml:space="preserve">of recipients </w:t>
      </w:r>
      <w:r w:rsidRPr="0062316F">
        <w:rPr>
          <w:rFonts w:ascii="Book Antiqua" w:hAnsi="Book Antiqua" w:cs="Times New Roman"/>
          <w:sz w:val="24"/>
          <w:szCs w:val="24"/>
        </w:rPr>
        <w:t>on cyclosporine. The use of tacrolimus as the calcineurin inhibitor instead of cyclosporine may help lower the risk of reduced MPA exposure with PPI use</w:t>
      </w:r>
      <w:r w:rsidR="00CF5114" w:rsidRPr="0062316F">
        <w:rPr>
          <w:rFonts w:ascii="Book Antiqua" w:hAnsi="Book Antiqua" w:cs="Times New Roman"/>
          <w:sz w:val="24"/>
          <w:szCs w:val="24"/>
        </w:rPr>
        <w:t>. C</w:t>
      </w:r>
      <w:r w:rsidRPr="0062316F">
        <w:rPr>
          <w:rFonts w:ascii="Book Antiqua" w:hAnsi="Book Antiqua" w:cs="Times New Roman"/>
          <w:sz w:val="24"/>
          <w:szCs w:val="24"/>
        </w:rPr>
        <w:t xml:space="preserve">yclosporine, unlike tacrolimus, can reduce the enterohepatic recirculation of MPA in the gastrointestinal </w:t>
      </w:r>
      <w:proofErr w:type="gramStart"/>
      <w:r w:rsidRPr="0062316F">
        <w:rPr>
          <w:rFonts w:ascii="Book Antiqua" w:hAnsi="Book Antiqua" w:cs="Times New Roman"/>
          <w:sz w:val="24"/>
          <w:szCs w:val="24"/>
        </w:rPr>
        <w:t>tract</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42,43</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w:t>
      </w:r>
      <w:r w:rsidR="00CF5114" w:rsidRPr="0062316F">
        <w:rPr>
          <w:rFonts w:ascii="Book Antiqua" w:hAnsi="Book Antiqua" w:cs="Times New Roman"/>
          <w:sz w:val="24"/>
          <w:szCs w:val="24"/>
        </w:rPr>
        <w:t xml:space="preserve">thus </w:t>
      </w:r>
      <w:r w:rsidRPr="0062316F">
        <w:rPr>
          <w:rFonts w:ascii="Book Antiqua" w:hAnsi="Book Antiqua" w:cs="Times New Roman"/>
          <w:sz w:val="24"/>
          <w:szCs w:val="24"/>
        </w:rPr>
        <w:t xml:space="preserve">further lowering total MPA exposure. The enteric-coated mycophenolate sodium does not appear to have a significant interaction with </w:t>
      </w:r>
      <w:proofErr w:type="gramStart"/>
      <w:r w:rsidRPr="0062316F">
        <w:rPr>
          <w:rFonts w:ascii="Book Antiqua" w:hAnsi="Book Antiqua" w:cs="Times New Roman"/>
          <w:sz w:val="24"/>
          <w:szCs w:val="24"/>
        </w:rPr>
        <w:t>PPI</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8,41,44</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unlike MMF.</w:t>
      </w:r>
    </w:p>
    <w:p w14:paraId="37F2B04A" w14:textId="19DDC0E5"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We did not demonstrate a significant difference in</w:t>
      </w:r>
      <w:r w:rsidR="00AD0AD0" w:rsidRPr="0062316F">
        <w:rPr>
          <w:rFonts w:ascii="Book Antiqua" w:hAnsi="Book Antiqua" w:cs="Times New Roman"/>
          <w:sz w:val="24"/>
          <w:szCs w:val="24"/>
        </w:rPr>
        <w:t xml:space="preserve"> </w:t>
      </w:r>
      <w:r w:rsidRPr="0062316F">
        <w:rPr>
          <w:rFonts w:ascii="Book Antiqua" w:hAnsi="Book Antiqua" w:cs="Times New Roman"/>
          <w:sz w:val="24"/>
          <w:szCs w:val="24"/>
        </w:rPr>
        <w:t xml:space="preserve">renal function as measured by estimated glomerular filtration rate or serum creatinine between the PPI and the non-PPI group in the short term (3 </w:t>
      </w:r>
      <w:proofErr w:type="spellStart"/>
      <w:r w:rsidRPr="0062316F">
        <w:rPr>
          <w:rFonts w:ascii="Book Antiqua" w:hAnsi="Book Antiqua" w:cs="Times New Roman"/>
          <w:sz w:val="24"/>
          <w:szCs w:val="24"/>
        </w:rPr>
        <w:t>mo</w:t>
      </w:r>
      <w:proofErr w:type="spellEnd"/>
      <w:r w:rsidRPr="0062316F">
        <w:rPr>
          <w:rFonts w:ascii="Book Antiqua" w:hAnsi="Book Antiqua" w:cs="Times New Roman"/>
          <w:sz w:val="24"/>
          <w:szCs w:val="24"/>
        </w:rPr>
        <w:t xml:space="preserve"> to 1 year). </w:t>
      </w:r>
      <w:r w:rsidR="00977A2F" w:rsidRPr="0062316F">
        <w:rPr>
          <w:rFonts w:ascii="Book Antiqua" w:hAnsi="Book Antiqua" w:cs="Times New Roman"/>
          <w:sz w:val="24"/>
          <w:szCs w:val="24"/>
        </w:rPr>
        <w:t>Extrapolating from observational studies in the general population, t</w:t>
      </w:r>
      <w:r w:rsidRPr="0062316F">
        <w:rPr>
          <w:rFonts w:ascii="Book Antiqua" w:hAnsi="Book Antiqua" w:cs="Times New Roman"/>
          <w:sz w:val="24"/>
          <w:szCs w:val="24"/>
        </w:rPr>
        <w:t xml:space="preserve">his is not unexpected </w:t>
      </w:r>
      <w:r w:rsidR="00977A2F" w:rsidRPr="0062316F">
        <w:rPr>
          <w:rFonts w:ascii="Book Antiqua" w:hAnsi="Book Antiqua" w:cs="Times New Roman"/>
          <w:sz w:val="24"/>
          <w:szCs w:val="24"/>
        </w:rPr>
        <w:t xml:space="preserve">as </w:t>
      </w:r>
      <w:r w:rsidRPr="0062316F">
        <w:rPr>
          <w:rFonts w:ascii="Book Antiqua" w:hAnsi="Book Antiqua" w:cs="Times New Roman"/>
          <w:sz w:val="24"/>
          <w:szCs w:val="24"/>
        </w:rPr>
        <w:t xml:space="preserve">the risk of kidney dysfunction seems to be associated with </w:t>
      </w:r>
      <w:r w:rsidR="00977A2F" w:rsidRPr="0062316F">
        <w:rPr>
          <w:rFonts w:ascii="Book Antiqua" w:hAnsi="Book Antiqua" w:cs="Times New Roman"/>
          <w:sz w:val="24"/>
          <w:szCs w:val="24"/>
        </w:rPr>
        <w:t xml:space="preserve">more </w:t>
      </w:r>
      <w:r w:rsidRPr="0062316F">
        <w:rPr>
          <w:rFonts w:ascii="Book Antiqua" w:hAnsi="Book Antiqua" w:cs="Times New Roman"/>
          <w:sz w:val="24"/>
          <w:szCs w:val="24"/>
        </w:rPr>
        <w:t xml:space="preserve">prolonged PPI use and may have a long latent </w:t>
      </w:r>
      <w:proofErr w:type="gramStart"/>
      <w:r w:rsidRPr="0062316F">
        <w:rPr>
          <w:rFonts w:ascii="Book Antiqua" w:hAnsi="Book Antiqua" w:cs="Times New Roman"/>
          <w:sz w:val="24"/>
          <w:szCs w:val="24"/>
        </w:rPr>
        <w:t>period</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1,45</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w:t>
      </w: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37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also confirmed this observation by noting a significantly higher serum creatinine level in PPI users compared with non-users at a </w:t>
      </w:r>
      <w:r w:rsidR="00FA693D" w:rsidRPr="0062316F">
        <w:rPr>
          <w:rFonts w:ascii="Book Antiqua" w:hAnsi="Book Antiqua" w:cs="Times New Roman"/>
          <w:sz w:val="24"/>
          <w:szCs w:val="24"/>
        </w:rPr>
        <w:t xml:space="preserve">longer </w:t>
      </w:r>
      <w:r w:rsidRPr="0062316F">
        <w:rPr>
          <w:rFonts w:ascii="Book Antiqua" w:hAnsi="Book Antiqua" w:cs="Times New Roman"/>
          <w:sz w:val="24"/>
          <w:szCs w:val="24"/>
        </w:rPr>
        <w:t>median follow-up of 109 m</w:t>
      </w:r>
      <w:r w:rsidR="00955E46" w:rsidRPr="0062316F">
        <w:rPr>
          <w:rFonts w:ascii="Book Antiqua" w:hAnsi="Book Antiqua" w:cs="Times New Roman"/>
          <w:sz w:val="24"/>
          <w:szCs w:val="24"/>
        </w:rPr>
        <w:t>o</w:t>
      </w:r>
      <w:r w:rsidRPr="0062316F">
        <w:rPr>
          <w:rFonts w:ascii="Book Antiqua" w:hAnsi="Book Antiqua" w:cs="Times New Roman"/>
          <w:sz w:val="24"/>
          <w:szCs w:val="24"/>
        </w:rPr>
        <w:t xml:space="preserve">. </w:t>
      </w:r>
    </w:p>
    <w:p w14:paraId="171B4C16" w14:textId="18A19B0D"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The risk of hypomagnesemia in the PPI group was significantly higher than that in the non-PPI group in our study. This is consistent with studies in the general population that report hypomagnesemia with prolonged PPI </w:t>
      </w:r>
      <w:proofErr w:type="gramStart"/>
      <w:r w:rsidRPr="0062316F">
        <w:rPr>
          <w:rFonts w:ascii="Book Antiqua" w:hAnsi="Book Antiqua" w:cs="Times New Roman"/>
          <w:sz w:val="24"/>
          <w:szCs w:val="24"/>
        </w:rPr>
        <w:t>use</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3]</w:t>
      </w:r>
      <w:r w:rsidRPr="0062316F">
        <w:rPr>
          <w:rFonts w:ascii="Book Antiqua" w:hAnsi="Book Antiqua" w:cs="Times New Roman"/>
          <w:sz w:val="24"/>
          <w:szCs w:val="24"/>
        </w:rPr>
        <w:t xml:space="preserve">. The </w:t>
      </w:r>
      <w:r w:rsidR="00A84E2C" w:rsidRPr="0062316F">
        <w:rPr>
          <w:rFonts w:ascii="Book Antiqua" w:hAnsi="Book Antiqua" w:cs="Times New Roman"/>
          <w:sz w:val="24"/>
          <w:szCs w:val="24"/>
        </w:rPr>
        <w:t xml:space="preserve">exact </w:t>
      </w:r>
      <w:r w:rsidRPr="0062316F">
        <w:rPr>
          <w:rFonts w:ascii="Book Antiqua" w:hAnsi="Book Antiqua" w:cs="Times New Roman"/>
          <w:sz w:val="24"/>
          <w:szCs w:val="24"/>
        </w:rPr>
        <w:t xml:space="preserve">mechanism of PPI-induced hypomagnesemia is unknown. Urinary magnesium excretion has been shown to be low in patients with hypomagnesemia related to PPI </w:t>
      </w:r>
      <w:proofErr w:type="gramStart"/>
      <w:r w:rsidRPr="0062316F">
        <w:rPr>
          <w:rFonts w:ascii="Book Antiqua" w:hAnsi="Book Antiqua" w:cs="Times New Roman"/>
          <w:sz w:val="24"/>
          <w:szCs w:val="24"/>
        </w:rPr>
        <w:t>use</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46</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suggesting that reduced absorption from the gastrointestinal tract </w:t>
      </w:r>
      <w:r w:rsidR="00A84E2C" w:rsidRPr="0062316F">
        <w:rPr>
          <w:rFonts w:ascii="Book Antiqua" w:hAnsi="Book Antiqua" w:cs="Times New Roman"/>
          <w:sz w:val="24"/>
          <w:szCs w:val="24"/>
        </w:rPr>
        <w:t xml:space="preserve">is </w:t>
      </w:r>
      <w:r w:rsidRPr="0062316F">
        <w:rPr>
          <w:rFonts w:ascii="Book Antiqua" w:hAnsi="Book Antiqua" w:cs="Times New Roman"/>
          <w:sz w:val="24"/>
          <w:szCs w:val="24"/>
        </w:rPr>
        <w:t xml:space="preserve">the main cause. It is hypothesized that the TRMP6 (transient receptor potential </w:t>
      </w:r>
      <w:proofErr w:type="spellStart"/>
      <w:r w:rsidRPr="0062316F">
        <w:rPr>
          <w:rFonts w:ascii="Book Antiqua" w:hAnsi="Book Antiqua" w:cs="Times New Roman"/>
          <w:sz w:val="24"/>
          <w:szCs w:val="24"/>
        </w:rPr>
        <w:t>melastatin</w:t>
      </w:r>
      <w:proofErr w:type="spellEnd"/>
      <w:r w:rsidRPr="0062316F">
        <w:rPr>
          <w:rFonts w:ascii="Book Antiqua" w:hAnsi="Book Antiqua" w:cs="Times New Roman"/>
          <w:sz w:val="24"/>
          <w:szCs w:val="24"/>
        </w:rPr>
        <w:t xml:space="preserve">) pathway in gut epithelial cells, which mediates magnesium absorption, is inhibited by the high pH milieu caused by PPI </w:t>
      </w:r>
      <w:proofErr w:type="gramStart"/>
      <w:r w:rsidRPr="0062316F">
        <w:rPr>
          <w:rFonts w:ascii="Book Antiqua" w:hAnsi="Book Antiqua" w:cs="Times New Roman"/>
          <w:sz w:val="24"/>
          <w:szCs w:val="24"/>
        </w:rPr>
        <w:t>use</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This inhibition is more pronounced in </w:t>
      </w:r>
      <w:r w:rsidR="00A84E2C" w:rsidRPr="0062316F">
        <w:rPr>
          <w:rFonts w:ascii="Book Antiqua" w:hAnsi="Book Antiqua" w:cs="Times New Roman"/>
          <w:sz w:val="24"/>
          <w:szCs w:val="24"/>
        </w:rPr>
        <w:t xml:space="preserve">certain </w:t>
      </w:r>
      <w:r w:rsidRPr="0062316F">
        <w:rPr>
          <w:rFonts w:ascii="Book Antiqua" w:hAnsi="Book Antiqua" w:cs="Times New Roman"/>
          <w:sz w:val="24"/>
          <w:szCs w:val="24"/>
        </w:rPr>
        <w:t xml:space="preserve">individuals with additional polymorphisms of the related cellular pathway proteins or </w:t>
      </w:r>
      <w:r w:rsidR="00A84E2C" w:rsidRPr="0062316F">
        <w:rPr>
          <w:rFonts w:ascii="Book Antiqua" w:hAnsi="Book Antiqua" w:cs="Times New Roman"/>
          <w:sz w:val="24"/>
          <w:szCs w:val="24"/>
        </w:rPr>
        <w:t xml:space="preserve">other </w:t>
      </w:r>
      <w:r w:rsidRPr="0062316F">
        <w:rPr>
          <w:rFonts w:ascii="Book Antiqua" w:hAnsi="Book Antiqua" w:cs="Times New Roman"/>
          <w:sz w:val="24"/>
          <w:szCs w:val="24"/>
        </w:rPr>
        <w:t xml:space="preserve">risk factors, which </w:t>
      </w:r>
      <w:r w:rsidRPr="0062316F">
        <w:rPr>
          <w:rFonts w:ascii="Book Antiqua" w:hAnsi="Book Antiqua" w:cs="Times New Roman"/>
          <w:sz w:val="24"/>
          <w:szCs w:val="24"/>
        </w:rPr>
        <w:lastRenderedPageBreak/>
        <w:t xml:space="preserve">explains why the incidence and degree of hypomagnesemia </w:t>
      </w:r>
      <w:r w:rsidR="008F0C0B" w:rsidRPr="0062316F">
        <w:rPr>
          <w:rFonts w:ascii="Book Antiqua" w:hAnsi="Book Antiqua" w:cs="Times New Roman"/>
          <w:sz w:val="24"/>
          <w:szCs w:val="24"/>
        </w:rPr>
        <w:t xml:space="preserve">vary </w:t>
      </w:r>
      <w:r w:rsidRPr="0062316F">
        <w:rPr>
          <w:rFonts w:ascii="Book Antiqua" w:hAnsi="Book Antiqua" w:cs="Times New Roman"/>
          <w:sz w:val="24"/>
          <w:szCs w:val="24"/>
        </w:rPr>
        <w:t xml:space="preserve">among PPI </w:t>
      </w:r>
      <w:proofErr w:type="gramStart"/>
      <w:r w:rsidRPr="0062316F">
        <w:rPr>
          <w:rFonts w:ascii="Book Antiqua" w:hAnsi="Book Antiqua" w:cs="Times New Roman"/>
          <w:sz w:val="24"/>
          <w:szCs w:val="24"/>
        </w:rPr>
        <w:t>users</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Some studies</w:t>
      </w:r>
      <w:r w:rsidR="00A84E2C" w:rsidRPr="0062316F">
        <w:rPr>
          <w:rFonts w:ascii="Book Antiqua" w:hAnsi="Book Antiqua" w:cs="Times New Roman"/>
          <w:sz w:val="24"/>
          <w:szCs w:val="24"/>
        </w:rPr>
        <w:t xml:space="preserve"> have</w:t>
      </w:r>
      <w:r w:rsidRPr="0062316F">
        <w:rPr>
          <w:rFonts w:ascii="Book Antiqua" w:hAnsi="Book Antiqua" w:cs="Times New Roman"/>
          <w:sz w:val="24"/>
          <w:szCs w:val="24"/>
        </w:rPr>
        <w:t xml:space="preserve"> also report</w:t>
      </w:r>
      <w:r w:rsidR="00A84E2C" w:rsidRPr="0062316F">
        <w:rPr>
          <w:rFonts w:ascii="Book Antiqua" w:hAnsi="Book Antiqua" w:cs="Times New Roman"/>
          <w:sz w:val="24"/>
          <w:szCs w:val="24"/>
        </w:rPr>
        <w:t>ed</w:t>
      </w:r>
      <w:r w:rsidRPr="0062316F">
        <w:rPr>
          <w:rFonts w:ascii="Book Antiqua" w:hAnsi="Book Antiqua" w:cs="Times New Roman"/>
          <w:sz w:val="24"/>
          <w:szCs w:val="24"/>
        </w:rPr>
        <w:t xml:space="preserve"> that high-dose oral magnesium supplementation can correct hypomagnesemia associated with </w:t>
      </w:r>
      <w:proofErr w:type="gramStart"/>
      <w:r w:rsidRPr="0062316F">
        <w:rPr>
          <w:rFonts w:ascii="Book Antiqua" w:hAnsi="Book Antiqua" w:cs="Times New Roman"/>
          <w:sz w:val="24"/>
          <w:szCs w:val="24"/>
        </w:rPr>
        <w:t>PPI</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48</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suggesting that the paracellular passive absorption in the bowel remains intact.</w:t>
      </w:r>
    </w:p>
    <w:p w14:paraId="7836E70C" w14:textId="5A8FE088"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In kidney transplant recipients, hypomagnesemia has been shown to be associated with various adverse </w:t>
      </w:r>
      <w:proofErr w:type="gramStart"/>
      <w:r w:rsidRPr="0062316F">
        <w:rPr>
          <w:rFonts w:ascii="Book Antiqua" w:hAnsi="Book Antiqua" w:cs="Times New Roman"/>
          <w:sz w:val="24"/>
          <w:szCs w:val="24"/>
        </w:rPr>
        <w:t>consequences</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49</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Low magnesium level has been associated with accelerated decline of allograft function and a higher rate of graft loss in patients with cyclosporine-induced nephropathy</w:t>
      </w:r>
      <w:r w:rsidR="00955E46" w:rsidRPr="0062316F">
        <w:rPr>
          <w:rFonts w:ascii="Book Antiqua" w:hAnsi="Book Antiqua" w:cs="Times New Roman"/>
          <w:noProof/>
          <w:sz w:val="24"/>
          <w:szCs w:val="24"/>
          <w:vertAlign w:val="superscript"/>
        </w:rPr>
        <w:t>[50]</w:t>
      </w:r>
      <w:r w:rsidR="00A84E2C" w:rsidRPr="0062316F">
        <w:rPr>
          <w:rFonts w:ascii="Book Antiqua" w:hAnsi="Book Antiqua" w:cs="Times New Roman"/>
          <w:sz w:val="24"/>
          <w:szCs w:val="24"/>
        </w:rPr>
        <w:t>,</w:t>
      </w:r>
      <w:r w:rsidRPr="0062316F">
        <w:rPr>
          <w:rFonts w:ascii="Book Antiqua" w:hAnsi="Book Antiqua" w:cs="Times New Roman"/>
          <w:sz w:val="24"/>
          <w:szCs w:val="24"/>
        </w:rPr>
        <w:t xml:space="preserve"> consistent with animal studies showing a higher degree of renal tissue fibrosis associated with low magnesium</w:t>
      </w:r>
      <w:r w:rsidR="006E5D2C" w:rsidRPr="0062316F">
        <w:rPr>
          <w:rFonts w:ascii="Book Antiqua" w:hAnsi="Book Antiqua" w:cs="Times New Roman"/>
          <w:noProof/>
          <w:sz w:val="24"/>
          <w:szCs w:val="24"/>
          <w:vertAlign w:val="superscript"/>
        </w:rPr>
        <w:t>[51</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that appears to be partially correctable with magnesium supplementation</w:t>
      </w:r>
      <w:r w:rsidR="006E5D2C" w:rsidRPr="0062316F">
        <w:rPr>
          <w:rFonts w:ascii="Book Antiqua" w:hAnsi="Book Antiqua" w:cs="Times New Roman"/>
          <w:noProof/>
          <w:sz w:val="24"/>
          <w:szCs w:val="24"/>
          <w:vertAlign w:val="superscript"/>
        </w:rPr>
        <w:t>[51,52</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Hypomagnesemia may also lead to a higher incidence of new-onset diabetes after </w:t>
      </w:r>
      <w:proofErr w:type="gramStart"/>
      <w:r w:rsidRPr="0062316F">
        <w:rPr>
          <w:rFonts w:ascii="Book Antiqua" w:hAnsi="Book Antiqua" w:cs="Times New Roman"/>
          <w:sz w:val="24"/>
          <w:szCs w:val="24"/>
        </w:rPr>
        <w:t>transplant</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53</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which is a</w:t>
      </w:r>
      <w:r w:rsidR="00A84E2C" w:rsidRPr="0062316F">
        <w:rPr>
          <w:rFonts w:ascii="Book Antiqua" w:hAnsi="Book Antiqua" w:cs="Times New Roman"/>
          <w:sz w:val="24"/>
          <w:szCs w:val="24"/>
        </w:rPr>
        <w:t xml:space="preserve"> separate</w:t>
      </w:r>
      <w:r w:rsidRPr="0062316F">
        <w:rPr>
          <w:rFonts w:ascii="Book Antiqua" w:hAnsi="Book Antiqua" w:cs="Times New Roman"/>
          <w:sz w:val="24"/>
          <w:szCs w:val="24"/>
        </w:rPr>
        <w:t xml:space="preserve"> risk factor for allograft loss and overall mortality.</w:t>
      </w:r>
    </w:p>
    <w:p w14:paraId="42A9B535" w14:textId="1487C708" w:rsidR="00E9347F" w:rsidRPr="0062316F" w:rsidRDefault="00E9347F"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Our study did no</w:t>
      </w:r>
      <w:r w:rsidR="00A84E2C" w:rsidRPr="0062316F">
        <w:rPr>
          <w:rFonts w:ascii="Book Antiqua" w:hAnsi="Book Antiqua" w:cs="Times New Roman"/>
          <w:sz w:val="24"/>
          <w:szCs w:val="24"/>
        </w:rPr>
        <w:t>t</w:t>
      </w:r>
      <w:r w:rsidRPr="0062316F">
        <w:rPr>
          <w:rFonts w:ascii="Book Antiqua" w:hAnsi="Book Antiqua" w:cs="Times New Roman"/>
          <w:sz w:val="24"/>
          <w:szCs w:val="24"/>
        </w:rPr>
        <w:t xml:space="preserve"> show </w:t>
      </w:r>
      <w:r w:rsidR="00A84E2C" w:rsidRPr="0062316F">
        <w:rPr>
          <w:rFonts w:ascii="Book Antiqua" w:hAnsi="Book Antiqua" w:cs="Times New Roman"/>
          <w:sz w:val="24"/>
          <w:szCs w:val="24"/>
        </w:rPr>
        <w:t xml:space="preserve">a </w:t>
      </w:r>
      <w:r w:rsidRPr="0062316F">
        <w:rPr>
          <w:rFonts w:ascii="Book Antiqua" w:hAnsi="Book Antiqua" w:cs="Times New Roman"/>
          <w:sz w:val="24"/>
          <w:szCs w:val="24"/>
        </w:rPr>
        <w:t>significant difference in the 1-year overall mortality</w:t>
      </w:r>
      <w:r w:rsidR="00A84E2C" w:rsidRPr="0062316F">
        <w:rPr>
          <w:rFonts w:ascii="Book Antiqua" w:hAnsi="Book Antiqua" w:cs="Times New Roman"/>
          <w:sz w:val="24"/>
          <w:szCs w:val="24"/>
        </w:rPr>
        <w:t>,</w:t>
      </w:r>
      <w:r w:rsidRPr="0062316F">
        <w:rPr>
          <w:rFonts w:ascii="Book Antiqua" w:hAnsi="Book Antiqua" w:cs="Times New Roman"/>
          <w:sz w:val="24"/>
          <w:szCs w:val="24"/>
        </w:rPr>
        <w:t xml:space="preserve"> as expected</w:t>
      </w:r>
      <w:r w:rsidR="00A84E2C" w:rsidRPr="0062316F">
        <w:rPr>
          <w:rFonts w:ascii="Book Antiqua" w:hAnsi="Book Antiqua" w:cs="Times New Roman"/>
          <w:sz w:val="24"/>
          <w:szCs w:val="24"/>
        </w:rPr>
        <w:t>,</w:t>
      </w:r>
      <w:r w:rsidRPr="0062316F">
        <w:rPr>
          <w:rFonts w:ascii="Book Antiqua" w:hAnsi="Book Antiqua" w:cs="Times New Roman"/>
          <w:sz w:val="24"/>
          <w:szCs w:val="24"/>
        </w:rPr>
        <w:t xml:space="preserve"> because the risks of acute rejection, graft loss, and kidney dysfunction did not significantly differ between the PPI and non-PPI groups. Only hypomagnesemia was found to be significantly associated with PPI use; hence, this may not be clinically significant to drive a mortality difference at least in the short term. However, </w:t>
      </w:r>
      <w:proofErr w:type="spellStart"/>
      <w:r w:rsidRPr="0062316F">
        <w:rPr>
          <w:rFonts w:ascii="Book Antiqua" w:hAnsi="Book Antiqua" w:cs="Times New Roman"/>
          <w:sz w:val="24"/>
          <w:szCs w:val="24"/>
        </w:rPr>
        <w:t>Douwes</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40</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and Gomes-</w:t>
      </w:r>
      <w:proofErr w:type="spellStart"/>
      <w:r w:rsidRPr="0062316F">
        <w:rPr>
          <w:rFonts w:ascii="Book Antiqua" w:hAnsi="Book Antiqua" w:cs="Times New Roman"/>
          <w:sz w:val="24"/>
          <w:szCs w:val="24"/>
        </w:rPr>
        <w:t>Neto</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et al</w:t>
      </w:r>
      <w:r w:rsidR="006E5D2C" w:rsidRPr="0062316F">
        <w:rPr>
          <w:rFonts w:ascii="Book Antiqua" w:hAnsi="Book Antiqua" w:cs="Times New Roman"/>
          <w:noProof/>
          <w:sz w:val="24"/>
          <w:szCs w:val="24"/>
          <w:vertAlign w:val="superscript"/>
        </w:rPr>
        <w:t>[38</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reported a significant association between PPI use and long-term all-cause mortality despite </w:t>
      </w:r>
      <w:r w:rsidR="00A84E2C" w:rsidRPr="0062316F">
        <w:rPr>
          <w:rFonts w:ascii="Book Antiqua" w:hAnsi="Book Antiqua" w:cs="Times New Roman"/>
          <w:sz w:val="24"/>
          <w:szCs w:val="24"/>
        </w:rPr>
        <w:t xml:space="preserve">adjustment </w:t>
      </w:r>
      <w:r w:rsidRPr="0062316F">
        <w:rPr>
          <w:rFonts w:ascii="Book Antiqua" w:hAnsi="Book Antiqua" w:cs="Times New Roman"/>
          <w:sz w:val="24"/>
          <w:szCs w:val="24"/>
        </w:rPr>
        <w:t>for confounders</w:t>
      </w:r>
      <w:r w:rsidR="00A84E2C" w:rsidRPr="0062316F">
        <w:rPr>
          <w:rFonts w:ascii="Book Antiqua" w:hAnsi="Book Antiqua" w:cs="Times New Roman"/>
          <w:sz w:val="24"/>
          <w:szCs w:val="24"/>
        </w:rPr>
        <w:t>. Furthermore</w:t>
      </w:r>
      <w:r w:rsidR="009201F9" w:rsidRPr="0062316F">
        <w:rPr>
          <w:rFonts w:ascii="Book Antiqua" w:hAnsi="Book Antiqua" w:cs="Times New Roman"/>
          <w:sz w:val="24"/>
          <w:szCs w:val="24"/>
        </w:rPr>
        <w:t>, both</w:t>
      </w:r>
      <w:r w:rsidRPr="0062316F">
        <w:rPr>
          <w:rFonts w:ascii="Book Antiqua" w:hAnsi="Book Antiqua" w:cs="Times New Roman"/>
          <w:sz w:val="24"/>
          <w:szCs w:val="24"/>
        </w:rPr>
        <w:t xml:space="preserve"> studies also showed a significant interaction between PPI use and hypomagnesemia. As noted previously, </w:t>
      </w: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6E5D2C" w:rsidRPr="0062316F">
        <w:rPr>
          <w:rFonts w:ascii="Book Antiqua" w:hAnsi="Book Antiqua" w:cs="Times New Roman"/>
          <w:noProof/>
          <w:sz w:val="24"/>
          <w:szCs w:val="24"/>
          <w:vertAlign w:val="superscript"/>
        </w:rPr>
        <w:t>[</w:t>
      </w:r>
      <w:proofErr w:type="gramEnd"/>
      <w:r w:rsidR="006E5D2C" w:rsidRPr="0062316F">
        <w:rPr>
          <w:rFonts w:ascii="Book Antiqua" w:hAnsi="Book Antiqua" w:cs="Times New Roman"/>
          <w:noProof/>
          <w:sz w:val="24"/>
          <w:szCs w:val="24"/>
          <w:vertAlign w:val="superscript"/>
        </w:rPr>
        <w:t>37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w:t>
      </w:r>
      <w:r w:rsidR="00A84E2C" w:rsidRPr="0062316F">
        <w:rPr>
          <w:rFonts w:ascii="Book Antiqua" w:hAnsi="Book Antiqua" w:cs="Times New Roman"/>
          <w:sz w:val="24"/>
          <w:szCs w:val="24"/>
        </w:rPr>
        <w:t xml:space="preserve">has </w:t>
      </w:r>
      <w:r w:rsidRPr="0062316F">
        <w:rPr>
          <w:rFonts w:ascii="Book Antiqua" w:hAnsi="Book Antiqua" w:cs="Times New Roman"/>
          <w:sz w:val="24"/>
          <w:szCs w:val="24"/>
        </w:rPr>
        <w:t xml:space="preserve">also reported significantly worse kidney function in the PPI group </w:t>
      </w:r>
      <w:r w:rsidR="005C15F6" w:rsidRPr="0062316F">
        <w:rPr>
          <w:rFonts w:ascii="Book Antiqua" w:hAnsi="Book Antiqua" w:cs="Times New Roman"/>
          <w:sz w:val="24"/>
          <w:szCs w:val="24"/>
        </w:rPr>
        <w:t xml:space="preserve">with </w:t>
      </w:r>
      <w:r w:rsidRPr="0062316F">
        <w:rPr>
          <w:rFonts w:ascii="Book Antiqua" w:hAnsi="Book Antiqua" w:cs="Times New Roman"/>
          <w:sz w:val="24"/>
          <w:szCs w:val="24"/>
        </w:rPr>
        <w:t xml:space="preserve">longer follow-up (median, 109 </w:t>
      </w:r>
      <w:proofErr w:type="spellStart"/>
      <w:r w:rsidRPr="0062316F">
        <w:rPr>
          <w:rFonts w:ascii="Book Antiqua" w:hAnsi="Book Antiqua" w:cs="Times New Roman"/>
          <w:sz w:val="24"/>
          <w:szCs w:val="24"/>
        </w:rPr>
        <w:t>mo</w:t>
      </w:r>
      <w:proofErr w:type="spellEnd"/>
      <w:r w:rsidRPr="0062316F">
        <w:rPr>
          <w:rFonts w:ascii="Book Antiqua" w:hAnsi="Book Antiqua" w:cs="Times New Roman"/>
          <w:sz w:val="24"/>
          <w:szCs w:val="24"/>
        </w:rPr>
        <w:t xml:space="preserve">). Hypomagnesemia or renal dysfunction may </w:t>
      </w:r>
      <w:r w:rsidR="005C15F6" w:rsidRPr="0062316F">
        <w:rPr>
          <w:rFonts w:ascii="Book Antiqua" w:hAnsi="Book Antiqua" w:cs="Times New Roman"/>
          <w:sz w:val="24"/>
          <w:szCs w:val="24"/>
        </w:rPr>
        <w:t xml:space="preserve">be a late manifestation associated with </w:t>
      </w:r>
      <w:r w:rsidRPr="0062316F">
        <w:rPr>
          <w:rFonts w:ascii="Book Antiqua" w:hAnsi="Book Antiqua" w:cs="Times New Roman"/>
          <w:sz w:val="24"/>
          <w:szCs w:val="24"/>
        </w:rPr>
        <w:t xml:space="preserve">prolonged exposure to PPIs, which may </w:t>
      </w:r>
      <w:r w:rsidR="005C15F6" w:rsidRPr="0062316F">
        <w:rPr>
          <w:rFonts w:ascii="Book Antiqua" w:hAnsi="Book Antiqua" w:cs="Times New Roman"/>
          <w:sz w:val="24"/>
          <w:szCs w:val="24"/>
        </w:rPr>
        <w:t xml:space="preserve">eventually be </w:t>
      </w:r>
      <w:r w:rsidRPr="0062316F">
        <w:rPr>
          <w:rFonts w:ascii="Book Antiqua" w:hAnsi="Book Antiqua" w:cs="Times New Roman"/>
          <w:sz w:val="24"/>
          <w:szCs w:val="24"/>
        </w:rPr>
        <w:t xml:space="preserve">clinically significant enough to cause higher mortality. </w:t>
      </w:r>
      <w:r w:rsidR="00FC3841" w:rsidRPr="0062316F">
        <w:rPr>
          <w:rFonts w:ascii="Book Antiqua" w:hAnsi="Book Antiqua" w:cs="Times New Roman"/>
          <w:sz w:val="24"/>
          <w:szCs w:val="24"/>
        </w:rPr>
        <w:t>F</w:t>
      </w:r>
      <w:r w:rsidRPr="0062316F">
        <w:rPr>
          <w:rFonts w:ascii="Book Antiqua" w:hAnsi="Book Antiqua" w:cs="Times New Roman"/>
          <w:sz w:val="24"/>
          <w:szCs w:val="24"/>
        </w:rPr>
        <w:t>urther stud</w:t>
      </w:r>
      <w:r w:rsidR="00FC3841" w:rsidRPr="0062316F">
        <w:rPr>
          <w:rFonts w:ascii="Book Antiqua" w:hAnsi="Book Antiqua" w:cs="Times New Roman"/>
          <w:sz w:val="24"/>
          <w:szCs w:val="24"/>
        </w:rPr>
        <w:t>ies</w:t>
      </w:r>
      <w:r w:rsidRPr="0062316F">
        <w:rPr>
          <w:rFonts w:ascii="Book Antiqua" w:hAnsi="Book Antiqua" w:cs="Times New Roman"/>
          <w:sz w:val="24"/>
          <w:szCs w:val="24"/>
        </w:rPr>
        <w:t xml:space="preserve"> </w:t>
      </w:r>
      <w:r w:rsidR="00FC3841" w:rsidRPr="0062316F">
        <w:rPr>
          <w:rFonts w:ascii="Book Antiqua" w:hAnsi="Book Antiqua" w:cs="Times New Roman"/>
          <w:sz w:val="24"/>
          <w:szCs w:val="24"/>
        </w:rPr>
        <w:t>are</w:t>
      </w:r>
      <w:r w:rsidRPr="0062316F">
        <w:rPr>
          <w:rFonts w:ascii="Book Antiqua" w:hAnsi="Book Antiqua" w:cs="Times New Roman"/>
          <w:sz w:val="24"/>
          <w:szCs w:val="24"/>
        </w:rPr>
        <w:t xml:space="preserve"> needed to clarify this question.</w:t>
      </w:r>
    </w:p>
    <w:p w14:paraId="2C41C78A" w14:textId="108E2BAE" w:rsidR="23CC1EDB" w:rsidRPr="0062316F" w:rsidRDefault="23CC1EDB"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Although we believe the literature review process was rigorous and the included studies were of high quality, this meta-analysis has some limitations. Therefore, the interpretation of the results needs to be performed with caution. First, this meta-analysis is based solely on observational studies</w:t>
      </w:r>
      <w:r w:rsidR="00AD1A01" w:rsidRPr="0062316F">
        <w:rPr>
          <w:rFonts w:ascii="Book Antiqua" w:hAnsi="Book Antiqua" w:cs="Times New Roman"/>
          <w:sz w:val="24"/>
          <w:szCs w:val="24"/>
        </w:rPr>
        <w:t>. A</w:t>
      </w:r>
      <w:r w:rsidRPr="0062316F">
        <w:rPr>
          <w:rFonts w:ascii="Book Antiqua" w:hAnsi="Book Antiqua" w:cs="Times New Roman"/>
          <w:sz w:val="24"/>
          <w:szCs w:val="24"/>
        </w:rPr>
        <w:t xml:space="preserve">lthough </w:t>
      </w:r>
      <w:r w:rsidR="00AD1A01" w:rsidRPr="0062316F">
        <w:rPr>
          <w:rFonts w:ascii="Book Antiqua" w:hAnsi="Book Antiqua" w:cs="Times New Roman"/>
          <w:sz w:val="24"/>
          <w:szCs w:val="24"/>
        </w:rPr>
        <w:t xml:space="preserve">this is </w:t>
      </w:r>
      <w:r w:rsidRPr="0062316F">
        <w:rPr>
          <w:rFonts w:ascii="Book Antiqua" w:hAnsi="Book Antiqua" w:cs="Times New Roman"/>
          <w:sz w:val="24"/>
          <w:szCs w:val="24"/>
        </w:rPr>
        <w:t xml:space="preserve">appropriate for our clinical question, </w:t>
      </w:r>
      <w:r w:rsidR="00AD1A01" w:rsidRPr="0062316F">
        <w:rPr>
          <w:rFonts w:ascii="Book Antiqua" w:hAnsi="Book Antiqua" w:cs="Times New Roman"/>
          <w:sz w:val="24"/>
          <w:szCs w:val="24"/>
        </w:rPr>
        <w:t xml:space="preserve">it </w:t>
      </w:r>
      <w:r w:rsidRPr="0062316F">
        <w:rPr>
          <w:rFonts w:ascii="Book Antiqua" w:hAnsi="Book Antiqua" w:cs="Times New Roman"/>
          <w:sz w:val="24"/>
          <w:szCs w:val="24"/>
        </w:rPr>
        <w:t xml:space="preserve">may be inherently subject to selection bias and unadjusted confounders. </w:t>
      </w:r>
      <w:r w:rsidRPr="0062316F">
        <w:rPr>
          <w:rFonts w:ascii="Book Antiqua" w:hAnsi="Book Antiqua" w:cs="Times New Roman"/>
          <w:sz w:val="24"/>
          <w:szCs w:val="24"/>
        </w:rPr>
        <w:lastRenderedPageBreak/>
        <w:t xml:space="preserve">Second, </w:t>
      </w:r>
      <w:r w:rsidR="00B05379" w:rsidRPr="0062316F">
        <w:rPr>
          <w:rFonts w:ascii="Book Antiqua" w:hAnsi="Book Antiqua" w:cs="Times New Roman"/>
          <w:sz w:val="24"/>
          <w:szCs w:val="24"/>
        </w:rPr>
        <w:t xml:space="preserve">certain </w:t>
      </w:r>
      <w:r w:rsidRPr="0062316F">
        <w:rPr>
          <w:rFonts w:ascii="Book Antiqua" w:hAnsi="Book Antiqua" w:cs="Times New Roman"/>
          <w:sz w:val="24"/>
          <w:szCs w:val="24"/>
        </w:rPr>
        <w:t xml:space="preserve">important baseline characteristics could not be obtained or compared across all studies. Of </w:t>
      </w:r>
      <w:r w:rsidR="00955E46" w:rsidRPr="0062316F">
        <w:rPr>
          <w:rFonts w:ascii="Book Antiqua" w:hAnsi="Book Antiqua" w:cs="Times New Roman"/>
          <w:sz w:val="24"/>
          <w:szCs w:val="24"/>
        </w:rPr>
        <w:t>interest</w:t>
      </w:r>
      <w:r w:rsidRPr="0062316F">
        <w:rPr>
          <w:rFonts w:ascii="Book Antiqua" w:hAnsi="Book Antiqua" w:cs="Times New Roman"/>
          <w:sz w:val="24"/>
          <w:szCs w:val="24"/>
        </w:rPr>
        <w:t xml:space="preserve"> to transplant recipients, comparison of different immunosuppressive regimens, drug level, dosage, and adherence to both immunosuppressive drugs or acid suppressive therapy between the two groups was not possible in most included studies due to either their observational or retrospective design. Third, the definitions of </w:t>
      </w:r>
      <w:r w:rsidR="00B05379" w:rsidRPr="0062316F">
        <w:rPr>
          <w:rFonts w:ascii="Book Antiqua" w:hAnsi="Book Antiqua" w:cs="Times New Roman"/>
          <w:sz w:val="24"/>
          <w:szCs w:val="24"/>
        </w:rPr>
        <w:t xml:space="preserve">various </w:t>
      </w:r>
      <w:r w:rsidRPr="0062316F">
        <w:rPr>
          <w:rFonts w:ascii="Book Antiqua" w:hAnsi="Book Antiqua" w:cs="Times New Roman"/>
          <w:sz w:val="24"/>
          <w:szCs w:val="24"/>
        </w:rPr>
        <w:t>outcomes</w:t>
      </w:r>
      <w:r w:rsidR="00B05379" w:rsidRPr="0062316F">
        <w:rPr>
          <w:rFonts w:ascii="Book Antiqua" w:hAnsi="Book Antiqua" w:cs="Times New Roman"/>
          <w:sz w:val="24"/>
          <w:szCs w:val="24"/>
        </w:rPr>
        <w:t xml:space="preserve"> of interest</w:t>
      </w:r>
      <w:r w:rsidRPr="0062316F">
        <w:rPr>
          <w:rFonts w:ascii="Book Antiqua" w:hAnsi="Book Antiqua" w:cs="Times New Roman"/>
          <w:sz w:val="24"/>
          <w:szCs w:val="24"/>
        </w:rPr>
        <w:t xml:space="preserve"> var</w:t>
      </w:r>
      <w:r w:rsidR="00B05379" w:rsidRPr="0062316F">
        <w:rPr>
          <w:rFonts w:ascii="Book Antiqua" w:hAnsi="Book Antiqua" w:cs="Times New Roman"/>
          <w:sz w:val="24"/>
          <w:szCs w:val="24"/>
        </w:rPr>
        <w:t>ied</w:t>
      </w:r>
      <w:r w:rsidRPr="0062316F">
        <w:rPr>
          <w:rFonts w:ascii="Book Antiqua" w:hAnsi="Book Antiqua" w:cs="Times New Roman"/>
          <w:sz w:val="24"/>
          <w:szCs w:val="24"/>
        </w:rPr>
        <w:t xml:space="preserve"> across studies, such as the cut-off value for hypomagnesemia, definition of severe rejection, or </w:t>
      </w:r>
      <w:r w:rsidR="00B05379" w:rsidRPr="0062316F">
        <w:rPr>
          <w:rFonts w:ascii="Book Antiqua" w:hAnsi="Book Antiqua" w:cs="Times New Roman"/>
          <w:sz w:val="24"/>
          <w:szCs w:val="24"/>
        </w:rPr>
        <w:t xml:space="preserve">the use of </w:t>
      </w:r>
      <w:r w:rsidRPr="0062316F">
        <w:rPr>
          <w:rFonts w:ascii="Book Antiqua" w:hAnsi="Book Antiqua" w:cs="Times New Roman"/>
          <w:sz w:val="24"/>
          <w:szCs w:val="24"/>
        </w:rPr>
        <w:t xml:space="preserve">different criteria for </w:t>
      </w:r>
      <w:r w:rsidR="008F0C0B" w:rsidRPr="0062316F">
        <w:rPr>
          <w:rFonts w:ascii="Book Antiqua" w:hAnsi="Book Antiqua" w:cs="Times New Roman"/>
          <w:sz w:val="24"/>
          <w:szCs w:val="24"/>
        </w:rPr>
        <w:t xml:space="preserve">the </w:t>
      </w:r>
      <w:r w:rsidRPr="0062316F">
        <w:rPr>
          <w:rFonts w:ascii="Book Antiqua" w:hAnsi="Book Antiqua" w:cs="Times New Roman"/>
          <w:sz w:val="24"/>
          <w:szCs w:val="24"/>
        </w:rPr>
        <w:t xml:space="preserve">classification of </w:t>
      </w:r>
      <w:r w:rsidR="009F3BE8" w:rsidRPr="0062316F">
        <w:rPr>
          <w:rFonts w:ascii="Book Antiqua" w:hAnsi="Book Antiqua" w:cs="Times New Roman"/>
          <w:sz w:val="24"/>
          <w:szCs w:val="24"/>
        </w:rPr>
        <w:t>AMR</w:t>
      </w:r>
      <w:r w:rsidRPr="0062316F">
        <w:rPr>
          <w:rFonts w:ascii="Book Antiqua" w:hAnsi="Book Antiqua" w:cs="Times New Roman"/>
          <w:sz w:val="24"/>
          <w:szCs w:val="24"/>
        </w:rPr>
        <w:t xml:space="preserve"> and cell-mediated rejection. Finally, most of the included studies only reported follow-up data </w:t>
      </w:r>
      <w:r w:rsidR="00B05379" w:rsidRPr="0062316F">
        <w:rPr>
          <w:rFonts w:ascii="Book Antiqua" w:hAnsi="Book Antiqua" w:cs="Times New Roman"/>
          <w:sz w:val="24"/>
          <w:szCs w:val="24"/>
        </w:rPr>
        <w:t xml:space="preserve">for </w:t>
      </w:r>
      <w:r w:rsidRPr="0062316F">
        <w:rPr>
          <w:rFonts w:ascii="Book Antiqua" w:hAnsi="Book Antiqua" w:cs="Times New Roman"/>
          <w:sz w:val="24"/>
          <w:szCs w:val="24"/>
        </w:rPr>
        <w:t xml:space="preserve">a relatively </w:t>
      </w:r>
      <w:r w:rsidR="00955E46" w:rsidRPr="0062316F">
        <w:rPr>
          <w:rFonts w:ascii="Book Antiqua" w:hAnsi="Book Antiqua" w:cs="Times New Roman"/>
          <w:sz w:val="24"/>
          <w:szCs w:val="24"/>
        </w:rPr>
        <w:t>short-term</w:t>
      </w:r>
      <w:r w:rsidR="00B05379" w:rsidRPr="0062316F">
        <w:rPr>
          <w:rFonts w:ascii="Book Antiqua" w:hAnsi="Book Antiqua" w:cs="Times New Roman"/>
          <w:sz w:val="24"/>
          <w:szCs w:val="24"/>
        </w:rPr>
        <w:t xml:space="preserve"> period</w:t>
      </w:r>
      <w:r w:rsidRPr="0062316F">
        <w:rPr>
          <w:rFonts w:ascii="Book Antiqua" w:hAnsi="Book Antiqua" w:cs="Times New Roman"/>
          <w:sz w:val="24"/>
          <w:szCs w:val="24"/>
        </w:rPr>
        <w:t xml:space="preserve"> (approximately 1 year). Therefore, we cannot rule out the possibility that prolonged exposure of PPIs (longer than a year) may lead to adverse outcomes. Further study is needed to address whether long-term PPI exposure in kidney transplant recipients is associated with worse outcomes.</w:t>
      </w:r>
    </w:p>
    <w:p w14:paraId="1F7DA058" w14:textId="772EAAD0" w:rsidR="00E9347F" w:rsidRPr="0062316F" w:rsidRDefault="00E43E96" w:rsidP="0062316F">
      <w:pPr>
        <w:spacing w:after="0" w:line="360" w:lineRule="auto"/>
        <w:ind w:firstLineChars="100" w:firstLine="240"/>
        <w:jc w:val="both"/>
        <w:rPr>
          <w:rFonts w:ascii="Book Antiqua" w:hAnsi="Book Antiqua" w:cs="Times New Roman"/>
          <w:sz w:val="24"/>
          <w:szCs w:val="24"/>
        </w:rPr>
      </w:pPr>
      <w:r w:rsidRPr="0062316F">
        <w:rPr>
          <w:rFonts w:ascii="Book Antiqua" w:hAnsi="Book Antiqua" w:cs="Times New Roman"/>
          <w:sz w:val="24"/>
          <w:szCs w:val="24"/>
        </w:rPr>
        <w:t xml:space="preserve">In conclusion, </w:t>
      </w:r>
      <w:r w:rsidR="00E9347F" w:rsidRPr="0062316F">
        <w:rPr>
          <w:rFonts w:ascii="Book Antiqua" w:hAnsi="Book Antiqua" w:cs="Times New Roman"/>
          <w:sz w:val="24"/>
          <w:szCs w:val="24"/>
        </w:rPr>
        <w:t xml:space="preserve">PPI use was not associated with significant risks of higher acute rejection, graft loss, or 1-year mortality. However, the risk of hypomagnesemia was significantly increased with PPI use. </w:t>
      </w:r>
    </w:p>
    <w:p w14:paraId="000384AA" w14:textId="77777777" w:rsidR="00744EB6" w:rsidRPr="0062316F" w:rsidRDefault="00744EB6" w:rsidP="0062316F">
      <w:pPr>
        <w:spacing w:after="0" w:line="360" w:lineRule="auto"/>
        <w:jc w:val="both"/>
        <w:rPr>
          <w:rFonts w:ascii="Book Antiqua" w:hAnsi="Book Antiqua" w:cs="Times New Roman"/>
          <w:b/>
          <w:sz w:val="24"/>
          <w:szCs w:val="24"/>
        </w:rPr>
      </w:pPr>
    </w:p>
    <w:p w14:paraId="65BAEBA4" w14:textId="392E7AE4" w:rsidR="00C23110" w:rsidRPr="0062316F" w:rsidRDefault="00C23110" w:rsidP="0062316F">
      <w:pPr>
        <w:snapToGrid w:val="0"/>
        <w:spacing w:after="0" w:line="360" w:lineRule="auto"/>
        <w:jc w:val="both"/>
        <w:rPr>
          <w:rFonts w:ascii="Book Antiqua" w:hAnsi="Book Antiqua"/>
          <w:b/>
          <w:caps/>
          <w:sz w:val="24"/>
          <w:szCs w:val="24"/>
        </w:rPr>
      </w:pPr>
      <w:bookmarkStart w:id="189" w:name="OLE_LINK151"/>
      <w:bookmarkStart w:id="190" w:name="OLE_LINK259"/>
      <w:r w:rsidRPr="0062316F">
        <w:rPr>
          <w:rFonts w:ascii="Book Antiqua" w:hAnsi="Book Antiqua" w:cs="Segoe UI"/>
          <w:b/>
          <w:caps/>
          <w:sz w:val="24"/>
          <w:szCs w:val="24"/>
          <w:shd w:val="clear" w:color="auto" w:fill="FFFFFF"/>
        </w:rPr>
        <w:t xml:space="preserve">Article Highlights </w:t>
      </w:r>
    </w:p>
    <w:bookmarkEnd w:id="189"/>
    <w:bookmarkEnd w:id="190"/>
    <w:p w14:paraId="551B273F" w14:textId="77777777" w:rsidR="00374ED4" w:rsidRPr="0062316F" w:rsidRDefault="00374ED4" w:rsidP="0062316F">
      <w:pPr>
        <w:snapToGrid w:val="0"/>
        <w:spacing w:after="0" w:line="360" w:lineRule="auto"/>
        <w:jc w:val="both"/>
        <w:rPr>
          <w:rFonts w:ascii="Book Antiqua" w:hAnsi="Book Antiqua"/>
          <w:b/>
          <w:i/>
          <w:sz w:val="24"/>
          <w:szCs w:val="24"/>
        </w:rPr>
      </w:pPr>
      <w:r w:rsidRPr="0062316F">
        <w:rPr>
          <w:rFonts w:ascii="Book Antiqua" w:hAnsi="Book Antiqua"/>
          <w:b/>
          <w:i/>
          <w:sz w:val="24"/>
          <w:szCs w:val="24"/>
        </w:rPr>
        <w:t>Research background</w:t>
      </w:r>
    </w:p>
    <w:p w14:paraId="0DBD8743" w14:textId="52652B4D" w:rsidR="00374ED4" w:rsidRPr="0062316F" w:rsidRDefault="00374ED4" w:rsidP="0062316F">
      <w:pPr>
        <w:snapToGrid w:val="0"/>
        <w:spacing w:after="0" w:line="360" w:lineRule="auto"/>
        <w:jc w:val="both"/>
        <w:rPr>
          <w:rFonts w:ascii="Book Antiqua" w:hAnsi="Book Antiqua"/>
          <w:sz w:val="24"/>
          <w:szCs w:val="24"/>
        </w:rPr>
      </w:pPr>
      <w:r w:rsidRPr="0062316F">
        <w:rPr>
          <w:rFonts w:ascii="Book Antiqua" w:hAnsi="Book Antiqua"/>
          <w:sz w:val="24"/>
          <w:szCs w:val="24"/>
        </w:rPr>
        <w:t xml:space="preserve">Adverse renal effects of PPIs are increasingly recognized in clinical practice. </w:t>
      </w:r>
      <w:r w:rsidR="00D5438A" w:rsidRPr="0062316F">
        <w:rPr>
          <w:rFonts w:ascii="Book Antiqua" w:hAnsi="Book Antiqua"/>
          <w:sz w:val="24"/>
          <w:szCs w:val="24"/>
        </w:rPr>
        <w:t>P</w:t>
      </w:r>
      <w:r w:rsidRPr="0062316F">
        <w:rPr>
          <w:rFonts w:ascii="Book Antiqua" w:hAnsi="Book Antiqua"/>
          <w:sz w:val="24"/>
          <w:szCs w:val="24"/>
        </w:rPr>
        <w:t xml:space="preserve">harmacokinetic studies have also raised concerns regarding the interaction between PPIs and immunosuppressive drugs in transplant patients. Whether the adverse effects of PPIs have a clinical significance in kidney transplant recipients remains unclear. </w:t>
      </w:r>
    </w:p>
    <w:p w14:paraId="3AFAD3FB" w14:textId="77777777" w:rsidR="00374ED4" w:rsidRPr="0062316F" w:rsidRDefault="00374ED4" w:rsidP="0062316F">
      <w:pPr>
        <w:snapToGrid w:val="0"/>
        <w:spacing w:after="0" w:line="360" w:lineRule="auto"/>
        <w:jc w:val="both"/>
        <w:rPr>
          <w:rFonts w:ascii="Book Antiqua" w:hAnsi="Book Antiqua"/>
          <w:sz w:val="24"/>
          <w:szCs w:val="24"/>
        </w:rPr>
      </w:pPr>
    </w:p>
    <w:p w14:paraId="43A31854" w14:textId="77777777" w:rsidR="00374ED4" w:rsidRPr="0062316F" w:rsidRDefault="00374ED4" w:rsidP="0062316F">
      <w:pPr>
        <w:snapToGrid w:val="0"/>
        <w:spacing w:after="0" w:line="360" w:lineRule="auto"/>
        <w:jc w:val="both"/>
        <w:rPr>
          <w:rFonts w:ascii="Book Antiqua" w:hAnsi="Book Antiqua"/>
          <w:b/>
          <w:i/>
          <w:sz w:val="24"/>
          <w:szCs w:val="24"/>
        </w:rPr>
      </w:pPr>
      <w:r w:rsidRPr="0062316F">
        <w:rPr>
          <w:rFonts w:ascii="Book Antiqua" w:hAnsi="Book Antiqua"/>
          <w:b/>
          <w:i/>
          <w:sz w:val="24"/>
          <w:szCs w:val="24"/>
        </w:rPr>
        <w:t>Research motivation</w:t>
      </w:r>
    </w:p>
    <w:p w14:paraId="62E927AE" w14:textId="5E73FE14" w:rsidR="00374ED4" w:rsidRPr="0062316F" w:rsidRDefault="00374ED4" w:rsidP="0062316F">
      <w:pPr>
        <w:snapToGrid w:val="0"/>
        <w:spacing w:after="0" w:line="360" w:lineRule="auto"/>
        <w:jc w:val="both"/>
        <w:rPr>
          <w:rFonts w:ascii="Book Antiqua" w:hAnsi="Book Antiqua"/>
          <w:sz w:val="24"/>
          <w:szCs w:val="24"/>
        </w:rPr>
      </w:pPr>
      <w:r w:rsidRPr="0062316F">
        <w:rPr>
          <w:rFonts w:ascii="Book Antiqua" w:hAnsi="Book Antiqua"/>
          <w:sz w:val="24"/>
          <w:szCs w:val="24"/>
        </w:rPr>
        <w:t xml:space="preserve">Proton pump inhibitors are commonly used after transplantation for prophylaxis against peptic ulcer disease and for treatment of gastro-esophageal reflux disease or dyspepsia. Prolonged exposure to this class of medication has been shown to be associated with kidney dysfunction, as well as other non-renal adverse outcomes, including hypomagnesemia, fracture, or dementia in the general population. The clinical </w:t>
      </w:r>
      <w:r w:rsidRPr="0062316F">
        <w:rPr>
          <w:rFonts w:ascii="Book Antiqua" w:hAnsi="Book Antiqua"/>
          <w:sz w:val="24"/>
          <w:szCs w:val="24"/>
        </w:rPr>
        <w:lastRenderedPageBreak/>
        <w:t>significance of this drug interaction in kidney transplant recipients is unknown. Several studies have shown a possible increased risk of acute rejection with PPI exposure whereas others have not.</w:t>
      </w:r>
    </w:p>
    <w:p w14:paraId="25A41DE5" w14:textId="77777777" w:rsidR="00374ED4" w:rsidRPr="0062316F" w:rsidRDefault="00374ED4" w:rsidP="0062316F">
      <w:pPr>
        <w:snapToGrid w:val="0"/>
        <w:spacing w:after="0" w:line="360" w:lineRule="auto"/>
        <w:jc w:val="both"/>
        <w:rPr>
          <w:rFonts w:ascii="Book Antiqua" w:hAnsi="Book Antiqua"/>
          <w:b/>
          <w:sz w:val="24"/>
          <w:szCs w:val="24"/>
        </w:rPr>
      </w:pPr>
    </w:p>
    <w:p w14:paraId="241BB24F" w14:textId="77777777" w:rsidR="00374ED4" w:rsidRPr="0062316F" w:rsidRDefault="00374ED4" w:rsidP="0062316F">
      <w:pPr>
        <w:snapToGrid w:val="0"/>
        <w:spacing w:after="0" w:line="360" w:lineRule="auto"/>
        <w:jc w:val="both"/>
        <w:rPr>
          <w:rFonts w:ascii="Book Antiqua" w:hAnsi="Book Antiqua"/>
          <w:b/>
          <w:i/>
          <w:sz w:val="24"/>
          <w:szCs w:val="24"/>
        </w:rPr>
      </w:pPr>
      <w:r w:rsidRPr="0062316F">
        <w:rPr>
          <w:rFonts w:ascii="Book Antiqua" w:hAnsi="Book Antiqua"/>
          <w:b/>
          <w:i/>
          <w:sz w:val="24"/>
          <w:szCs w:val="24"/>
        </w:rPr>
        <w:t>Research objectives</w:t>
      </w:r>
    </w:p>
    <w:p w14:paraId="55944B8D" w14:textId="77777777" w:rsidR="00374ED4" w:rsidRPr="0062316F" w:rsidRDefault="00374ED4" w:rsidP="0062316F">
      <w:pPr>
        <w:snapToGrid w:val="0"/>
        <w:spacing w:after="0" w:line="360" w:lineRule="auto"/>
        <w:jc w:val="both"/>
        <w:rPr>
          <w:rFonts w:ascii="Book Antiqua" w:hAnsi="Book Antiqua"/>
          <w:sz w:val="24"/>
          <w:szCs w:val="24"/>
        </w:rPr>
      </w:pPr>
      <w:r w:rsidRPr="0062316F">
        <w:rPr>
          <w:rFonts w:ascii="Book Antiqua" w:hAnsi="Book Antiqua"/>
          <w:sz w:val="24"/>
          <w:szCs w:val="24"/>
        </w:rPr>
        <w:t xml:space="preserve">We performed this systematic review and meta-analysis to investigate the adverse outcomes in kidney transplant recipients on PPI compared with those without PPI exposure. </w:t>
      </w:r>
    </w:p>
    <w:p w14:paraId="35234BAC" w14:textId="77777777" w:rsidR="00374ED4" w:rsidRPr="0062316F" w:rsidRDefault="00374ED4" w:rsidP="0062316F">
      <w:pPr>
        <w:snapToGrid w:val="0"/>
        <w:spacing w:after="0" w:line="360" w:lineRule="auto"/>
        <w:jc w:val="both"/>
        <w:rPr>
          <w:rFonts w:ascii="Book Antiqua" w:hAnsi="Book Antiqua"/>
          <w:b/>
          <w:sz w:val="24"/>
          <w:szCs w:val="24"/>
        </w:rPr>
      </w:pPr>
    </w:p>
    <w:p w14:paraId="261ACB18" w14:textId="77777777" w:rsidR="00374ED4" w:rsidRPr="0062316F" w:rsidRDefault="00374ED4" w:rsidP="0062316F">
      <w:pPr>
        <w:snapToGrid w:val="0"/>
        <w:spacing w:after="0" w:line="360" w:lineRule="auto"/>
        <w:jc w:val="both"/>
        <w:rPr>
          <w:rFonts w:ascii="Book Antiqua" w:hAnsi="Book Antiqua"/>
          <w:b/>
          <w:i/>
          <w:sz w:val="24"/>
          <w:szCs w:val="24"/>
        </w:rPr>
      </w:pPr>
      <w:r w:rsidRPr="0062316F">
        <w:rPr>
          <w:rFonts w:ascii="Book Antiqua" w:hAnsi="Book Antiqua"/>
          <w:b/>
          <w:i/>
          <w:sz w:val="24"/>
          <w:szCs w:val="24"/>
        </w:rPr>
        <w:t>Research methods</w:t>
      </w:r>
    </w:p>
    <w:p w14:paraId="6CEE27BD" w14:textId="6040878A" w:rsidR="00374ED4" w:rsidRPr="0062316F" w:rsidRDefault="00374ED4" w:rsidP="0062316F">
      <w:pPr>
        <w:snapToGrid w:val="0"/>
        <w:spacing w:after="0" w:line="360" w:lineRule="auto"/>
        <w:jc w:val="both"/>
        <w:rPr>
          <w:rFonts w:ascii="Book Antiqua" w:hAnsi="Book Antiqua"/>
          <w:sz w:val="24"/>
          <w:szCs w:val="24"/>
        </w:rPr>
      </w:pPr>
      <w:r w:rsidRPr="0062316F">
        <w:rPr>
          <w:rFonts w:ascii="Book Antiqua" w:hAnsi="Book Antiqua"/>
          <w:sz w:val="24"/>
          <w:szCs w:val="24"/>
        </w:rPr>
        <w:t>A systematic review was conducted in MEDLINE, EMBASE, and Cochrane databases from inception to October 2018 to identify studies that evaluated adverse effects of PPIs in kidney transplant recipients. The outcomes of interest include biopsy-proven acute rejection, graft loss, kidney dysfunction, hypomagnesemia, and overall mortality. The protocol for this meta-analysis is registered with PROSPERO</w:t>
      </w:r>
      <w:r w:rsidR="00955E46" w:rsidRPr="0062316F">
        <w:rPr>
          <w:rFonts w:ascii="Book Antiqua" w:hAnsi="Book Antiqua"/>
          <w:sz w:val="24"/>
          <w:szCs w:val="24"/>
        </w:rPr>
        <w:t>,</w:t>
      </w:r>
      <w:r w:rsidRPr="0062316F">
        <w:rPr>
          <w:rFonts w:ascii="Book Antiqua" w:hAnsi="Book Antiqua"/>
          <w:sz w:val="24"/>
          <w:szCs w:val="24"/>
        </w:rPr>
        <w:t xml:space="preserve"> </w:t>
      </w:r>
      <w:r w:rsidR="00955E46" w:rsidRPr="0062316F">
        <w:rPr>
          <w:rFonts w:ascii="Book Antiqua" w:hAnsi="Book Antiqua"/>
          <w:sz w:val="24"/>
          <w:szCs w:val="24"/>
        </w:rPr>
        <w:t>No</w:t>
      </w:r>
      <w:r w:rsidRPr="0062316F">
        <w:rPr>
          <w:rFonts w:ascii="Book Antiqua" w:hAnsi="Book Antiqua"/>
          <w:sz w:val="24"/>
          <w:szCs w:val="24"/>
        </w:rPr>
        <w:t>. CRD42018115676.</w:t>
      </w:r>
    </w:p>
    <w:p w14:paraId="269CB3F1" w14:textId="77777777" w:rsidR="00955E46" w:rsidRPr="0062316F" w:rsidRDefault="00955E46" w:rsidP="0062316F">
      <w:pPr>
        <w:snapToGrid w:val="0"/>
        <w:spacing w:after="0" w:line="360" w:lineRule="auto"/>
        <w:jc w:val="both"/>
        <w:rPr>
          <w:rFonts w:ascii="Book Antiqua" w:hAnsi="Book Antiqua"/>
          <w:b/>
          <w:sz w:val="24"/>
          <w:szCs w:val="24"/>
        </w:rPr>
      </w:pPr>
    </w:p>
    <w:p w14:paraId="07777D91" w14:textId="77777777" w:rsidR="00374ED4" w:rsidRPr="0062316F" w:rsidRDefault="00374ED4" w:rsidP="0062316F">
      <w:pPr>
        <w:snapToGrid w:val="0"/>
        <w:spacing w:after="0" w:line="360" w:lineRule="auto"/>
        <w:jc w:val="both"/>
        <w:rPr>
          <w:rFonts w:ascii="Book Antiqua" w:hAnsi="Book Antiqua"/>
          <w:b/>
          <w:i/>
          <w:sz w:val="24"/>
          <w:szCs w:val="24"/>
        </w:rPr>
      </w:pPr>
      <w:r w:rsidRPr="0062316F">
        <w:rPr>
          <w:rFonts w:ascii="Book Antiqua" w:hAnsi="Book Antiqua"/>
          <w:b/>
          <w:i/>
          <w:sz w:val="24"/>
          <w:szCs w:val="24"/>
        </w:rPr>
        <w:t>Research results</w:t>
      </w:r>
    </w:p>
    <w:p w14:paraId="0E18D98D" w14:textId="3D5CA557" w:rsidR="00374ED4" w:rsidRPr="0062316F" w:rsidRDefault="00374ED4" w:rsidP="0062316F">
      <w:pPr>
        <w:snapToGrid w:val="0"/>
        <w:spacing w:after="0" w:line="360" w:lineRule="auto"/>
        <w:ind w:left="1"/>
        <w:jc w:val="both"/>
        <w:rPr>
          <w:rFonts w:ascii="Book Antiqua" w:hAnsi="Book Antiqua"/>
          <w:sz w:val="24"/>
          <w:szCs w:val="24"/>
        </w:rPr>
      </w:pPr>
      <w:r w:rsidRPr="0062316F">
        <w:rPr>
          <w:rFonts w:ascii="Book Antiqua" w:hAnsi="Book Antiqua"/>
          <w:sz w:val="24"/>
          <w:szCs w:val="24"/>
        </w:rPr>
        <w:t xml:space="preserve">The authors found no significant association between exposure to PPIs and higher risk of acute biopsy-proven rejection, graft loss, or overall mortality, but a significantly 1.56-fold higher risk of hypomagnesemia among those with PPI exposure was noted. No </w:t>
      </w:r>
      <w:r w:rsidR="00955E46" w:rsidRPr="0062316F">
        <w:rPr>
          <w:rFonts w:ascii="Book Antiqua" w:hAnsi="Book Antiqua"/>
          <w:sz w:val="24"/>
          <w:szCs w:val="24"/>
        </w:rPr>
        <w:t>short-term</w:t>
      </w:r>
      <w:r w:rsidRPr="0062316F">
        <w:rPr>
          <w:rFonts w:ascii="Book Antiqua" w:hAnsi="Book Antiqua"/>
          <w:sz w:val="24"/>
          <w:szCs w:val="24"/>
        </w:rPr>
        <w:t xml:space="preserve"> difference in renal function was found between the two groups.</w:t>
      </w:r>
    </w:p>
    <w:p w14:paraId="263FE05C" w14:textId="77777777" w:rsidR="00955E46" w:rsidRPr="0062316F" w:rsidRDefault="00955E46" w:rsidP="0062316F">
      <w:pPr>
        <w:snapToGrid w:val="0"/>
        <w:spacing w:after="0" w:line="360" w:lineRule="auto"/>
        <w:ind w:left="1"/>
        <w:jc w:val="both"/>
        <w:rPr>
          <w:rFonts w:ascii="Book Antiqua" w:hAnsi="Book Antiqua" w:cs="Segoe UI"/>
          <w:sz w:val="24"/>
          <w:szCs w:val="24"/>
          <w:shd w:val="clear" w:color="auto" w:fill="FFFFFF"/>
        </w:rPr>
      </w:pPr>
    </w:p>
    <w:p w14:paraId="6A5EC0B3" w14:textId="77777777" w:rsidR="00374ED4" w:rsidRPr="0062316F" w:rsidRDefault="00374ED4" w:rsidP="0062316F">
      <w:pPr>
        <w:snapToGrid w:val="0"/>
        <w:spacing w:after="0" w:line="360" w:lineRule="auto"/>
        <w:jc w:val="both"/>
        <w:rPr>
          <w:rFonts w:ascii="Book Antiqua" w:hAnsi="Book Antiqua" w:cs="Segoe UI"/>
          <w:b/>
          <w:i/>
          <w:sz w:val="24"/>
          <w:szCs w:val="24"/>
          <w:shd w:val="clear" w:color="auto" w:fill="FFFFFF"/>
        </w:rPr>
      </w:pPr>
      <w:r w:rsidRPr="0062316F">
        <w:rPr>
          <w:rFonts w:ascii="Book Antiqua" w:hAnsi="Book Antiqua"/>
          <w:b/>
          <w:i/>
          <w:sz w:val="24"/>
          <w:szCs w:val="24"/>
        </w:rPr>
        <w:t>Research conclusions</w:t>
      </w:r>
    </w:p>
    <w:p w14:paraId="501381FF" w14:textId="7B8EF685" w:rsidR="00374ED4" w:rsidRPr="0062316F" w:rsidRDefault="00374ED4" w:rsidP="0062316F">
      <w:pPr>
        <w:snapToGrid w:val="0"/>
        <w:spacing w:after="0" w:line="360" w:lineRule="auto"/>
        <w:jc w:val="both"/>
        <w:rPr>
          <w:rFonts w:ascii="Book Antiqua" w:hAnsi="Book Antiqua"/>
          <w:sz w:val="24"/>
          <w:szCs w:val="24"/>
        </w:rPr>
      </w:pPr>
      <w:r w:rsidRPr="0062316F">
        <w:rPr>
          <w:rFonts w:ascii="Book Antiqua" w:hAnsi="Book Antiqua"/>
          <w:sz w:val="24"/>
          <w:szCs w:val="24"/>
        </w:rPr>
        <w:t>PPI use was not associated with significant risks of higher acute rejection, graft loss, or 1-year mortality. However, the risk of hypomagnesemia was significantly increased with PPI use. In the long-term, PPI use may also be associated with kidney dysfunction and increased overall mortality.</w:t>
      </w:r>
    </w:p>
    <w:p w14:paraId="369448FF" w14:textId="77777777" w:rsidR="00955E46" w:rsidRPr="0062316F" w:rsidRDefault="00955E46" w:rsidP="0062316F">
      <w:pPr>
        <w:snapToGrid w:val="0"/>
        <w:spacing w:after="0" w:line="360" w:lineRule="auto"/>
        <w:jc w:val="both"/>
        <w:rPr>
          <w:rFonts w:ascii="Book Antiqua" w:hAnsi="Book Antiqua" w:cs="Segoe UI"/>
          <w:sz w:val="24"/>
          <w:szCs w:val="24"/>
          <w:shd w:val="clear" w:color="auto" w:fill="FFFFFF"/>
        </w:rPr>
      </w:pPr>
    </w:p>
    <w:p w14:paraId="176EEDDA" w14:textId="77777777" w:rsidR="00374ED4" w:rsidRPr="0062316F" w:rsidRDefault="00374ED4" w:rsidP="0062316F">
      <w:pPr>
        <w:snapToGrid w:val="0"/>
        <w:spacing w:after="0" w:line="360" w:lineRule="auto"/>
        <w:jc w:val="both"/>
        <w:rPr>
          <w:rFonts w:ascii="Book Antiqua" w:hAnsi="Book Antiqua" w:cs="Segoe UI"/>
          <w:b/>
          <w:i/>
          <w:sz w:val="24"/>
          <w:szCs w:val="24"/>
          <w:shd w:val="clear" w:color="auto" w:fill="FFFFFF"/>
        </w:rPr>
      </w:pPr>
      <w:r w:rsidRPr="0062316F">
        <w:rPr>
          <w:rFonts w:ascii="Book Antiqua" w:hAnsi="Book Antiqua" w:cs="Segoe UI"/>
          <w:b/>
          <w:i/>
          <w:sz w:val="24"/>
          <w:szCs w:val="24"/>
          <w:shd w:val="clear" w:color="auto" w:fill="FFFFFF"/>
        </w:rPr>
        <w:t>Research perspectives</w:t>
      </w:r>
    </w:p>
    <w:p w14:paraId="1E106171" w14:textId="7576E8D1" w:rsidR="00955E46" w:rsidRPr="0062316F" w:rsidRDefault="00374ED4" w:rsidP="0062316F">
      <w:pPr>
        <w:spacing w:after="0" w:line="360" w:lineRule="auto"/>
        <w:jc w:val="both"/>
        <w:rPr>
          <w:rFonts w:ascii="Book Antiqua" w:hAnsi="Book Antiqua" w:cs="Segoe UI"/>
          <w:sz w:val="24"/>
          <w:szCs w:val="24"/>
          <w:shd w:val="clear" w:color="auto" w:fill="FFFFFF"/>
        </w:rPr>
      </w:pPr>
      <w:r w:rsidRPr="0062316F">
        <w:rPr>
          <w:rFonts w:ascii="Book Antiqua" w:hAnsi="Book Antiqua" w:cs="Segoe UI"/>
          <w:sz w:val="24"/>
          <w:szCs w:val="24"/>
          <w:shd w:val="clear" w:color="auto" w:fill="FFFFFF"/>
        </w:rPr>
        <w:lastRenderedPageBreak/>
        <w:t>This study demonstrated significant hypomagnesemia in kidney transplant recipients who received PPIs. Since hypomagnesemia is associated with new onset diabetes new-onset diabetes after transplantation, future large-scale clinical studies are needed to assess the impact of PPIs on long-term outcomes.</w:t>
      </w:r>
    </w:p>
    <w:p w14:paraId="5A39BBE3" w14:textId="77777777"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0DF43999" w14:textId="2962AA33" w:rsidR="00E9347F" w:rsidRPr="0062316F" w:rsidRDefault="00955E46"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lastRenderedPageBreak/>
        <w:t>REFERENCES</w:t>
      </w:r>
    </w:p>
    <w:p w14:paraId="71075CAF"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 </w:t>
      </w:r>
      <w:r w:rsidRPr="0062316F">
        <w:rPr>
          <w:rFonts w:ascii="Book Antiqua" w:hAnsi="Book Antiqua"/>
          <w:b/>
          <w:sz w:val="24"/>
          <w:szCs w:val="24"/>
        </w:rPr>
        <w:t>Lazarus B</w:t>
      </w:r>
      <w:r w:rsidRPr="0062316F">
        <w:rPr>
          <w:rFonts w:ascii="Book Antiqua" w:hAnsi="Book Antiqua"/>
          <w:sz w:val="24"/>
          <w:szCs w:val="24"/>
        </w:rPr>
        <w:t xml:space="preserve">, Chen Y, Wilson FP, Sang Y, Chang AR, Coresh J, Grams ME. Proton Pump Inhibitor Use and the Risk of Chronic Kidney Disease. </w:t>
      </w:r>
      <w:r w:rsidRPr="0062316F">
        <w:rPr>
          <w:rFonts w:ascii="Book Antiqua" w:hAnsi="Book Antiqua"/>
          <w:i/>
          <w:sz w:val="24"/>
          <w:szCs w:val="24"/>
        </w:rPr>
        <w:t>JAMA Intern Med</w:t>
      </w:r>
      <w:r w:rsidRPr="0062316F">
        <w:rPr>
          <w:rFonts w:ascii="Book Antiqua" w:hAnsi="Book Antiqua"/>
          <w:sz w:val="24"/>
          <w:szCs w:val="24"/>
        </w:rPr>
        <w:t xml:space="preserve"> 2016; </w:t>
      </w:r>
      <w:r w:rsidRPr="0062316F">
        <w:rPr>
          <w:rFonts w:ascii="Book Antiqua" w:hAnsi="Book Antiqua"/>
          <w:b/>
          <w:sz w:val="24"/>
          <w:szCs w:val="24"/>
        </w:rPr>
        <w:t>176</w:t>
      </w:r>
      <w:r w:rsidRPr="0062316F">
        <w:rPr>
          <w:rFonts w:ascii="Book Antiqua" w:hAnsi="Book Antiqua"/>
          <w:sz w:val="24"/>
          <w:szCs w:val="24"/>
        </w:rPr>
        <w:t>: 238-246 [PMID: 26752337 DOI: 10.1001/jamainternmed.2015.7193]</w:t>
      </w:r>
    </w:p>
    <w:p w14:paraId="427BA2B4"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 </w:t>
      </w:r>
      <w:proofErr w:type="spellStart"/>
      <w:r w:rsidRPr="0062316F">
        <w:rPr>
          <w:rFonts w:ascii="Book Antiqua" w:hAnsi="Book Antiqua"/>
          <w:b/>
          <w:sz w:val="24"/>
          <w:szCs w:val="24"/>
        </w:rPr>
        <w:t>Nochaiwong</w:t>
      </w:r>
      <w:proofErr w:type="spellEnd"/>
      <w:r w:rsidRPr="0062316F">
        <w:rPr>
          <w:rFonts w:ascii="Book Antiqua" w:hAnsi="Book Antiqua"/>
          <w:b/>
          <w:sz w:val="24"/>
          <w:szCs w:val="24"/>
        </w:rPr>
        <w:t xml:space="preserve"> S</w:t>
      </w:r>
      <w:r w:rsidRPr="0062316F">
        <w:rPr>
          <w:rFonts w:ascii="Book Antiqua" w:hAnsi="Book Antiqua"/>
          <w:sz w:val="24"/>
          <w:szCs w:val="24"/>
        </w:rPr>
        <w:t xml:space="preserve">, </w:t>
      </w:r>
      <w:proofErr w:type="spellStart"/>
      <w:r w:rsidRPr="0062316F">
        <w:rPr>
          <w:rFonts w:ascii="Book Antiqua" w:hAnsi="Book Antiqua"/>
          <w:sz w:val="24"/>
          <w:szCs w:val="24"/>
        </w:rPr>
        <w:t>Ruengorn</w:t>
      </w:r>
      <w:proofErr w:type="spellEnd"/>
      <w:r w:rsidRPr="0062316F">
        <w:rPr>
          <w:rFonts w:ascii="Book Antiqua" w:hAnsi="Book Antiqua"/>
          <w:sz w:val="24"/>
          <w:szCs w:val="24"/>
        </w:rPr>
        <w:t xml:space="preserve"> C, </w:t>
      </w:r>
      <w:proofErr w:type="spellStart"/>
      <w:r w:rsidRPr="0062316F">
        <w:rPr>
          <w:rFonts w:ascii="Book Antiqua" w:hAnsi="Book Antiqua"/>
          <w:sz w:val="24"/>
          <w:szCs w:val="24"/>
        </w:rPr>
        <w:t>Awiphan</w:t>
      </w:r>
      <w:proofErr w:type="spellEnd"/>
      <w:r w:rsidRPr="0062316F">
        <w:rPr>
          <w:rFonts w:ascii="Book Antiqua" w:hAnsi="Book Antiqua"/>
          <w:sz w:val="24"/>
          <w:szCs w:val="24"/>
        </w:rPr>
        <w:t xml:space="preserve"> R, </w:t>
      </w:r>
      <w:proofErr w:type="spellStart"/>
      <w:r w:rsidRPr="0062316F">
        <w:rPr>
          <w:rFonts w:ascii="Book Antiqua" w:hAnsi="Book Antiqua"/>
          <w:sz w:val="24"/>
          <w:szCs w:val="24"/>
        </w:rPr>
        <w:t>Koyratkoson</w:t>
      </w:r>
      <w:proofErr w:type="spellEnd"/>
      <w:r w:rsidRPr="0062316F">
        <w:rPr>
          <w:rFonts w:ascii="Book Antiqua" w:hAnsi="Book Antiqua"/>
          <w:sz w:val="24"/>
          <w:szCs w:val="24"/>
        </w:rPr>
        <w:t xml:space="preserve"> K, </w:t>
      </w:r>
      <w:proofErr w:type="spellStart"/>
      <w:r w:rsidRPr="0062316F">
        <w:rPr>
          <w:rFonts w:ascii="Book Antiqua" w:hAnsi="Book Antiqua"/>
          <w:sz w:val="24"/>
          <w:szCs w:val="24"/>
        </w:rPr>
        <w:t>Chaisai</w:t>
      </w:r>
      <w:proofErr w:type="spellEnd"/>
      <w:r w:rsidRPr="0062316F">
        <w:rPr>
          <w:rFonts w:ascii="Book Antiqua" w:hAnsi="Book Antiqua"/>
          <w:sz w:val="24"/>
          <w:szCs w:val="24"/>
        </w:rPr>
        <w:t xml:space="preserve"> C, </w:t>
      </w:r>
      <w:proofErr w:type="spellStart"/>
      <w:r w:rsidRPr="0062316F">
        <w:rPr>
          <w:rFonts w:ascii="Book Antiqua" w:hAnsi="Book Antiqua"/>
          <w:sz w:val="24"/>
          <w:szCs w:val="24"/>
        </w:rPr>
        <w:t>Noppakun</w:t>
      </w:r>
      <w:proofErr w:type="spellEnd"/>
      <w:r w:rsidRPr="0062316F">
        <w:rPr>
          <w:rFonts w:ascii="Book Antiqua" w:hAnsi="Book Antiqua"/>
          <w:sz w:val="24"/>
          <w:szCs w:val="24"/>
        </w:rPr>
        <w:t xml:space="preserve"> K, </w:t>
      </w:r>
      <w:proofErr w:type="spellStart"/>
      <w:r w:rsidRPr="0062316F">
        <w:rPr>
          <w:rFonts w:ascii="Book Antiqua" w:hAnsi="Book Antiqua"/>
          <w:sz w:val="24"/>
          <w:szCs w:val="24"/>
        </w:rPr>
        <w:t>Chongruksut</w:t>
      </w:r>
      <w:proofErr w:type="spellEnd"/>
      <w:r w:rsidRPr="0062316F">
        <w:rPr>
          <w:rFonts w:ascii="Book Antiqua" w:hAnsi="Book Antiqua"/>
          <w:sz w:val="24"/>
          <w:szCs w:val="24"/>
        </w:rPr>
        <w:t xml:space="preserve"> W, </w:t>
      </w:r>
      <w:proofErr w:type="spellStart"/>
      <w:r w:rsidRPr="0062316F">
        <w:rPr>
          <w:rFonts w:ascii="Book Antiqua" w:hAnsi="Book Antiqua"/>
          <w:sz w:val="24"/>
          <w:szCs w:val="24"/>
        </w:rPr>
        <w:t>Thavorn</w:t>
      </w:r>
      <w:proofErr w:type="spellEnd"/>
      <w:r w:rsidRPr="0062316F">
        <w:rPr>
          <w:rFonts w:ascii="Book Antiqua" w:hAnsi="Book Antiqua"/>
          <w:sz w:val="24"/>
          <w:szCs w:val="24"/>
        </w:rPr>
        <w:t xml:space="preserve"> K. The association between proton pump inhibitor use and the risk of adverse kidney outcomes: a systematic review and meta-analysis. </w:t>
      </w:r>
      <w:proofErr w:type="spellStart"/>
      <w:r w:rsidRPr="0062316F">
        <w:rPr>
          <w:rFonts w:ascii="Book Antiqua" w:hAnsi="Book Antiqua"/>
          <w:i/>
          <w:sz w:val="24"/>
          <w:szCs w:val="24"/>
        </w:rPr>
        <w:t>Nephrol</w:t>
      </w:r>
      <w:proofErr w:type="spellEnd"/>
      <w:r w:rsidRPr="0062316F">
        <w:rPr>
          <w:rFonts w:ascii="Book Antiqua" w:hAnsi="Book Antiqua"/>
          <w:i/>
          <w:sz w:val="24"/>
          <w:szCs w:val="24"/>
        </w:rPr>
        <w:t xml:space="preserve"> Dial Transplant</w:t>
      </w:r>
      <w:r w:rsidRPr="0062316F">
        <w:rPr>
          <w:rFonts w:ascii="Book Antiqua" w:hAnsi="Book Antiqua"/>
          <w:sz w:val="24"/>
          <w:szCs w:val="24"/>
        </w:rPr>
        <w:t xml:space="preserve"> 2018; </w:t>
      </w:r>
      <w:r w:rsidRPr="0062316F">
        <w:rPr>
          <w:rFonts w:ascii="Book Antiqua" w:hAnsi="Book Antiqua"/>
          <w:b/>
          <w:sz w:val="24"/>
          <w:szCs w:val="24"/>
        </w:rPr>
        <w:t>33</w:t>
      </w:r>
      <w:r w:rsidRPr="0062316F">
        <w:rPr>
          <w:rFonts w:ascii="Book Antiqua" w:hAnsi="Book Antiqua"/>
          <w:sz w:val="24"/>
          <w:szCs w:val="24"/>
        </w:rPr>
        <w:t>: 331-342 [PMID: 28339835 DOI: 10.1093/</w:t>
      </w:r>
      <w:proofErr w:type="spellStart"/>
      <w:r w:rsidRPr="0062316F">
        <w:rPr>
          <w:rFonts w:ascii="Book Antiqua" w:hAnsi="Book Antiqua"/>
          <w:sz w:val="24"/>
          <w:szCs w:val="24"/>
        </w:rPr>
        <w:t>ndt</w:t>
      </w:r>
      <w:proofErr w:type="spellEnd"/>
      <w:r w:rsidRPr="0062316F">
        <w:rPr>
          <w:rFonts w:ascii="Book Antiqua" w:hAnsi="Book Antiqua"/>
          <w:sz w:val="24"/>
          <w:szCs w:val="24"/>
        </w:rPr>
        <w:t>/gfw470]</w:t>
      </w:r>
    </w:p>
    <w:p w14:paraId="1C1DBA6B"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 </w:t>
      </w:r>
      <w:proofErr w:type="spellStart"/>
      <w:r w:rsidRPr="0062316F">
        <w:rPr>
          <w:rFonts w:ascii="Book Antiqua" w:hAnsi="Book Antiqua"/>
          <w:b/>
          <w:sz w:val="24"/>
          <w:szCs w:val="24"/>
        </w:rPr>
        <w:t>Cheungpasitporn</w:t>
      </w:r>
      <w:proofErr w:type="spellEnd"/>
      <w:r w:rsidRPr="0062316F">
        <w:rPr>
          <w:rFonts w:ascii="Book Antiqua" w:hAnsi="Book Antiqua"/>
          <w:b/>
          <w:sz w:val="24"/>
          <w:szCs w:val="24"/>
        </w:rPr>
        <w:t xml:space="preserve"> W</w:t>
      </w:r>
      <w:r w:rsidRPr="0062316F">
        <w:rPr>
          <w:rFonts w:ascii="Book Antiqua" w:hAnsi="Book Antiqua"/>
          <w:sz w:val="24"/>
          <w:szCs w:val="24"/>
        </w:rPr>
        <w:t xml:space="preserve">, </w:t>
      </w:r>
      <w:proofErr w:type="spellStart"/>
      <w:r w:rsidRPr="0062316F">
        <w:rPr>
          <w:rFonts w:ascii="Book Antiqua" w:hAnsi="Book Antiqua"/>
          <w:sz w:val="24"/>
          <w:szCs w:val="24"/>
        </w:rPr>
        <w:t>Thongprayoon</w:t>
      </w:r>
      <w:proofErr w:type="spellEnd"/>
      <w:r w:rsidRPr="0062316F">
        <w:rPr>
          <w:rFonts w:ascii="Book Antiqua" w:hAnsi="Book Antiqua"/>
          <w:sz w:val="24"/>
          <w:szCs w:val="24"/>
        </w:rPr>
        <w:t xml:space="preserve"> C, </w:t>
      </w:r>
      <w:proofErr w:type="spellStart"/>
      <w:r w:rsidRPr="0062316F">
        <w:rPr>
          <w:rFonts w:ascii="Book Antiqua" w:hAnsi="Book Antiqua"/>
          <w:sz w:val="24"/>
          <w:szCs w:val="24"/>
        </w:rPr>
        <w:t>Kittanamongkolchai</w:t>
      </w:r>
      <w:proofErr w:type="spellEnd"/>
      <w:r w:rsidRPr="0062316F">
        <w:rPr>
          <w:rFonts w:ascii="Book Antiqua" w:hAnsi="Book Antiqua"/>
          <w:sz w:val="24"/>
          <w:szCs w:val="24"/>
        </w:rPr>
        <w:t xml:space="preserve"> W, </w:t>
      </w:r>
      <w:proofErr w:type="spellStart"/>
      <w:r w:rsidRPr="0062316F">
        <w:rPr>
          <w:rFonts w:ascii="Book Antiqua" w:hAnsi="Book Antiqua"/>
          <w:sz w:val="24"/>
          <w:szCs w:val="24"/>
        </w:rPr>
        <w:t>Srivali</w:t>
      </w:r>
      <w:proofErr w:type="spellEnd"/>
      <w:r w:rsidRPr="0062316F">
        <w:rPr>
          <w:rFonts w:ascii="Book Antiqua" w:hAnsi="Book Antiqua"/>
          <w:sz w:val="24"/>
          <w:szCs w:val="24"/>
        </w:rPr>
        <w:t xml:space="preserve"> N, Edmonds PJ, </w:t>
      </w:r>
      <w:proofErr w:type="spellStart"/>
      <w:r w:rsidRPr="0062316F">
        <w:rPr>
          <w:rFonts w:ascii="Book Antiqua" w:hAnsi="Book Antiqua"/>
          <w:sz w:val="24"/>
          <w:szCs w:val="24"/>
        </w:rPr>
        <w:t>Ungprasert</w:t>
      </w:r>
      <w:proofErr w:type="spellEnd"/>
      <w:r w:rsidRPr="0062316F">
        <w:rPr>
          <w:rFonts w:ascii="Book Antiqua" w:hAnsi="Book Antiqua"/>
          <w:sz w:val="24"/>
          <w:szCs w:val="24"/>
        </w:rPr>
        <w:t xml:space="preserve"> P, </w:t>
      </w:r>
      <w:proofErr w:type="spellStart"/>
      <w:r w:rsidRPr="0062316F">
        <w:rPr>
          <w:rFonts w:ascii="Book Antiqua" w:hAnsi="Book Antiqua"/>
          <w:sz w:val="24"/>
          <w:szCs w:val="24"/>
        </w:rPr>
        <w:t>O'Corragain</w:t>
      </w:r>
      <w:proofErr w:type="spellEnd"/>
      <w:r w:rsidRPr="0062316F">
        <w:rPr>
          <w:rFonts w:ascii="Book Antiqua" w:hAnsi="Book Antiqua"/>
          <w:sz w:val="24"/>
          <w:szCs w:val="24"/>
        </w:rPr>
        <w:t xml:space="preserve"> OA, </w:t>
      </w:r>
      <w:proofErr w:type="spellStart"/>
      <w:r w:rsidRPr="0062316F">
        <w:rPr>
          <w:rFonts w:ascii="Book Antiqua" w:hAnsi="Book Antiqua"/>
          <w:sz w:val="24"/>
          <w:szCs w:val="24"/>
        </w:rPr>
        <w:t>Korpaisarn</w:t>
      </w:r>
      <w:proofErr w:type="spellEnd"/>
      <w:r w:rsidRPr="0062316F">
        <w:rPr>
          <w:rFonts w:ascii="Book Antiqua" w:hAnsi="Book Antiqua"/>
          <w:sz w:val="24"/>
          <w:szCs w:val="24"/>
        </w:rPr>
        <w:t xml:space="preserve"> S, Erickson SB. Proton pump inhibitors linked to hypomagnesemia: a systematic review and meta-analysis of observational studies. </w:t>
      </w:r>
      <w:r w:rsidRPr="0062316F">
        <w:rPr>
          <w:rFonts w:ascii="Book Antiqua" w:hAnsi="Book Antiqua"/>
          <w:i/>
          <w:sz w:val="24"/>
          <w:szCs w:val="24"/>
        </w:rPr>
        <w:t>Ren Fail</w:t>
      </w:r>
      <w:r w:rsidRPr="0062316F">
        <w:rPr>
          <w:rFonts w:ascii="Book Antiqua" w:hAnsi="Book Antiqua"/>
          <w:sz w:val="24"/>
          <w:szCs w:val="24"/>
        </w:rPr>
        <w:t xml:space="preserve"> 2015; </w:t>
      </w:r>
      <w:r w:rsidRPr="0062316F">
        <w:rPr>
          <w:rFonts w:ascii="Book Antiqua" w:hAnsi="Book Antiqua"/>
          <w:b/>
          <w:sz w:val="24"/>
          <w:szCs w:val="24"/>
        </w:rPr>
        <w:t>37</w:t>
      </w:r>
      <w:r w:rsidRPr="0062316F">
        <w:rPr>
          <w:rFonts w:ascii="Book Antiqua" w:hAnsi="Book Antiqua"/>
          <w:sz w:val="24"/>
          <w:szCs w:val="24"/>
        </w:rPr>
        <w:t>: 1237-1241 [PMID: 26108134 DOI: 10.3109/0886022X.2015.1057800]</w:t>
      </w:r>
    </w:p>
    <w:p w14:paraId="3B856B58"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 </w:t>
      </w:r>
      <w:r w:rsidRPr="0062316F">
        <w:rPr>
          <w:rFonts w:ascii="Book Antiqua" w:hAnsi="Book Antiqua"/>
          <w:b/>
          <w:sz w:val="24"/>
          <w:szCs w:val="24"/>
        </w:rPr>
        <w:t>Hussain S</w:t>
      </w:r>
      <w:r w:rsidRPr="0062316F">
        <w:rPr>
          <w:rFonts w:ascii="Book Antiqua" w:hAnsi="Book Antiqua"/>
          <w:sz w:val="24"/>
          <w:szCs w:val="24"/>
        </w:rPr>
        <w:t xml:space="preserve">, Siddiqui AN, Habib A, Hussain MS, </w:t>
      </w:r>
      <w:proofErr w:type="spellStart"/>
      <w:r w:rsidRPr="0062316F">
        <w:rPr>
          <w:rFonts w:ascii="Book Antiqua" w:hAnsi="Book Antiqua"/>
          <w:sz w:val="24"/>
          <w:szCs w:val="24"/>
        </w:rPr>
        <w:t>Najmi</w:t>
      </w:r>
      <w:proofErr w:type="spellEnd"/>
      <w:r w:rsidRPr="0062316F">
        <w:rPr>
          <w:rFonts w:ascii="Book Antiqua" w:hAnsi="Book Antiqua"/>
          <w:sz w:val="24"/>
          <w:szCs w:val="24"/>
        </w:rPr>
        <w:t xml:space="preserve"> AK. Proton pump inhibitors' use and risk of hip fracture: a systematic review and meta-analysis. </w:t>
      </w:r>
      <w:proofErr w:type="spellStart"/>
      <w:r w:rsidRPr="0062316F">
        <w:rPr>
          <w:rFonts w:ascii="Book Antiqua" w:hAnsi="Book Antiqua"/>
          <w:i/>
          <w:sz w:val="24"/>
          <w:szCs w:val="24"/>
        </w:rPr>
        <w:t>Rheumatol</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Int</w:t>
      </w:r>
      <w:proofErr w:type="spellEnd"/>
      <w:r w:rsidRPr="0062316F">
        <w:rPr>
          <w:rFonts w:ascii="Book Antiqua" w:hAnsi="Book Antiqua"/>
          <w:sz w:val="24"/>
          <w:szCs w:val="24"/>
        </w:rPr>
        <w:t xml:space="preserve"> 2018; </w:t>
      </w:r>
      <w:r w:rsidRPr="0062316F">
        <w:rPr>
          <w:rFonts w:ascii="Book Antiqua" w:hAnsi="Book Antiqua"/>
          <w:b/>
          <w:sz w:val="24"/>
          <w:szCs w:val="24"/>
        </w:rPr>
        <w:t>38</w:t>
      </w:r>
      <w:r w:rsidRPr="0062316F">
        <w:rPr>
          <w:rFonts w:ascii="Book Antiqua" w:hAnsi="Book Antiqua"/>
          <w:sz w:val="24"/>
          <w:szCs w:val="24"/>
        </w:rPr>
        <w:t>: 1999-2014 [PMID: 30159775 DOI: 10.1007/s00296-018-4142-x]</w:t>
      </w:r>
    </w:p>
    <w:p w14:paraId="0873EBF5"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5 </w:t>
      </w:r>
      <w:proofErr w:type="spellStart"/>
      <w:r w:rsidRPr="0062316F">
        <w:rPr>
          <w:rFonts w:ascii="Book Antiqua" w:hAnsi="Book Antiqua"/>
          <w:b/>
          <w:sz w:val="24"/>
          <w:szCs w:val="24"/>
        </w:rPr>
        <w:t>Wijarnpreecha</w:t>
      </w:r>
      <w:proofErr w:type="spellEnd"/>
      <w:r w:rsidRPr="0062316F">
        <w:rPr>
          <w:rFonts w:ascii="Book Antiqua" w:hAnsi="Book Antiqua"/>
          <w:b/>
          <w:sz w:val="24"/>
          <w:szCs w:val="24"/>
        </w:rPr>
        <w:t xml:space="preserve"> K</w:t>
      </w:r>
      <w:r w:rsidRPr="0062316F">
        <w:rPr>
          <w:rFonts w:ascii="Book Antiqua" w:hAnsi="Book Antiqua"/>
          <w:sz w:val="24"/>
          <w:szCs w:val="24"/>
        </w:rPr>
        <w:t xml:space="preserve">, </w:t>
      </w:r>
      <w:proofErr w:type="spellStart"/>
      <w:r w:rsidRPr="0062316F">
        <w:rPr>
          <w:rFonts w:ascii="Book Antiqua" w:hAnsi="Book Antiqua"/>
          <w:sz w:val="24"/>
          <w:szCs w:val="24"/>
        </w:rPr>
        <w:t>Thongprayoon</w:t>
      </w:r>
      <w:proofErr w:type="spellEnd"/>
      <w:r w:rsidRPr="0062316F">
        <w:rPr>
          <w:rFonts w:ascii="Book Antiqua" w:hAnsi="Book Antiqua"/>
          <w:sz w:val="24"/>
          <w:szCs w:val="24"/>
        </w:rPr>
        <w:t xml:space="preserve"> C, </w:t>
      </w:r>
      <w:proofErr w:type="spellStart"/>
      <w:r w:rsidRPr="0062316F">
        <w:rPr>
          <w:rFonts w:ascii="Book Antiqua" w:hAnsi="Book Antiqua"/>
          <w:sz w:val="24"/>
          <w:szCs w:val="24"/>
        </w:rPr>
        <w:t>Panjawatanan</w:t>
      </w:r>
      <w:proofErr w:type="spellEnd"/>
      <w:r w:rsidRPr="0062316F">
        <w:rPr>
          <w:rFonts w:ascii="Book Antiqua" w:hAnsi="Book Antiqua"/>
          <w:sz w:val="24"/>
          <w:szCs w:val="24"/>
        </w:rPr>
        <w:t xml:space="preserve"> P, </w:t>
      </w:r>
      <w:proofErr w:type="spellStart"/>
      <w:r w:rsidRPr="0062316F">
        <w:rPr>
          <w:rFonts w:ascii="Book Antiqua" w:hAnsi="Book Antiqua"/>
          <w:sz w:val="24"/>
          <w:szCs w:val="24"/>
        </w:rPr>
        <w:t>Ungprasert</w:t>
      </w:r>
      <w:proofErr w:type="spellEnd"/>
      <w:r w:rsidRPr="0062316F">
        <w:rPr>
          <w:rFonts w:ascii="Book Antiqua" w:hAnsi="Book Antiqua"/>
          <w:sz w:val="24"/>
          <w:szCs w:val="24"/>
        </w:rPr>
        <w:t xml:space="preserve"> P. Proton pump inhibitors and risk of dementia. </w:t>
      </w:r>
      <w:r w:rsidRPr="0062316F">
        <w:rPr>
          <w:rFonts w:ascii="Book Antiqua" w:hAnsi="Book Antiqua"/>
          <w:i/>
          <w:sz w:val="24"/>
          <w:szCs w:val="24"/>
        </w:rPr>
        <w:t xml:space="preserve">Ann </w:t>
      </w:r>
      <w:proofErr w:type="spellStart"/>
      <w:r w:rsidRPr="0062316F">
        <w:rPr>
          <w:rFonts w:ascii="Book Antiqua" w:hAnsi="Book Antiqua"/>
          <w:i/>
          <w:sz w:val="24"/>
          <w:szCs w:val="24"/>
        </w:rPr>
        <w:t>Transl</w:t>
      </w:r>
      <w:proofErr w:type="spellEnd"/>
      <w:r w:rsidRPr="0062316F">
        <w:rPr>
          <w:rFonts w:ascii="Book Antiqua" w:hAnsi="Book Antiqua"/>
          <w:i/>
          <w:sz w:val="24"/>
          <w:szCs w:val="24"/>
        </w:rPr>
        <w:t xml:space="preserve"> Med</w:t>
      </w:r>
      <w:r w:rsidRPr="0062316F">
        <w:rPr>
          <w:rFonts w:ascii="Book Antiqua" w:hAnsi="Book Antiqua"/>
          <w:sz w:val="24"/>
          <w:szCs w:val="24"/>
        </w:rPr>
        <w:t xml:space="preserve"> 2016; </w:t>
      </w:r>
      <w:r w:rsidRPr="0062316F">
        <w:rPr>
          <w:rFonts w:ascii="Book Antiqua" w:hAnsi="Book Antiqua"/>
          <w:b/>
          <w:sz w:val="24"/>
          <w:szCs w:val="24"/>
        </w:rPr>
        <w:t>4</w:t>
      </w:r>
      <w:r w:rsidRPr="0062316F">
        <w:rPr>
          <w:rFonts w:ascii="Book Antiqua" w:hAnsi="Book Antiqua"/>
          <w:sz w:val="24"/>
          <w:szCs w:val="24"/>
        </w:rPr>
        <w:t>: 240 [PMID: 27429966 DOI: 10.21037/atm.2016.06.14]</w:t>
      </w:r>
    </w:p>
    <w:p w14:paraId="622FD970"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6 </w:t>
      </w:r>
      <w:r w:rsidRPr="0062316F">
        <w:rPr>
          <w:rFonts w:ascii="Book Antiqua" w:hAnsi="Book Antiqua"/>
          <w:b/>
          <w:sz w:val="24"/>
          <w:szCs w:val="24"/>
        </w:rPr>
        <w:t>Hart A</w:t>
      </w:r>
      <w:r w:rsidRPr="0062316F">
        <w:rPr>
          <w:rFonts w:ascii="Book Antiqua" w:hAnsi="Book Antiqua"/>
          <w:sz w:val="24"/>
          <w:szCs w:val="24"/>
        </w:rPr>
        <w:t xml:space="preserve">, Smith JM, </w:t>
      </w:r>
      <w:proofErr w:type="spellStart"/>
      <w:r w:rsidRPr="0062316F">
        <w:rPr>
          <w:rFonts w:ascii="Book Antiqua" w:hAnsi="Book Antiqua"/>
          <w:sz w:val="24"/>
          <w:szCs w:val="24"/>
        </w:rPr>
        <w:t>Skeans</w:t>
      </w:r>
      <w:proofErr w:type="spellEnd"/>
      <w:r w:rsidRPr="0062316F">
        <w:rPr>
          <w:rFonts w:ascii="Book Antiqua" w:hAnsi="Book Antiqua"/>
          <w:sz w:val="24"/>
          <w:szCs w:val="24"/>
        </w:rPr>
        <w:t xml:space="preserve"> MA, Gustafson SK, Stewart DE, </w:t>
      </w:r>
      <w:proofErr w:type="spellStart"/>
      <w:r w:rsidRPr="0062316F">
        <w:rPr>
          <w:rFonts w:ascii="Book Antiqua" w:hAnsi="Book Antiqua"/>
          <w:sz w:val="24"/>
          <w:szCs w:val="24"/>
        </w:rPr>
        <w:t>Cherikh</w:t>
      </w:r>
      <w:proofErr w:type="spellEnd"/>
      <w:r w:rsidRPr="0062316F">
        <w:rPr>
          <w:rFonts w:ascii="Book Antiqua" w:hAnsi="Book Antiqua"/>
          <w:sz w:val="24"/>
          <w:szCs w:val="24"/>
        </w:rPr>
        <w:t xml:space="preserve"> WS, </w:t>
      </w:r>
      <w:proofErr w:type="spellStart"/>
      <w:r w:rsidRPr="0062316F">
        <w:rPr>
          <w:rFonts w:ascii="Book Antiqua" w:hAnsi="Book Antiqua"/>
          <w:sz w:val="24"/>
          <w:szCs w:val="24"/>
        </w:rPr>
        <w:t>Wainright</w:t>
      </w:r>
      <w:proofErr w:type="spellEnd"/>
      <w:r w:rsidRPr="0062316F">
        <w:rPr>
          <w:rFonts w:ascii="Book Antiqua" w:hAnsi="Book Antiqua"/>
          <w:sz w:val="24"/>
          <w:szCs w:val="24"/>
        </w:rPr>
        <w:t xml:space="preserve"> JL, Boyle G, Snyder JJ, </w:t>
      </w:r>
      <w:proofErr w:type="spellStart"/>
      <w:r w:rsidRPr="0062316F">
        <w:rPr>
          <w:rFonts w:ascii="Book Antiqua" w:hAnsi="Book Antiqua"/>
          <w:sz w:val="24"/>
          <w:szCs w:val="24"/>
        </w:rPr>
        <w:t>Kasiske</w:t>
      </w:r>
      <w:proofErr w:type="spellEnd"/>
      <w:r w:rsidRPr="0062316F">
        <w:rPr>
          <w:rFonts w:ascii="Book Antiqua" w:hAnsi="Book Antiqua"/>
          <w:sz w:val="24"/>
          <w:szCs w:val="24"/>
        </w:rPr>
        <w:t xml:space="preserve"> BL, </w:t>
      </w:r>
      <w:proofErr w:type="spellStart"/>
      <w:r w:rsidRPr="0062316F">
        <w:rPr>
          <w:rFonts w:ascii="Book Antiqua" w:hAnsi="Book Antiqua"/>
          <w:sz w:val="24"/>
          <w:szCs w:val="24"/>
        </w:rPr>
        <w:t>Israni</w:t>
      </w:r>
      <w:proofErr w:type="spellEnd"/>
      <w:r w:rsidRPr="0062316F">
        <w:rPr>
          <w:rFonts w:ascii="Book Antiqua" w:hAnsi="Book Antiqua"/>
          <w:sz w:val="24"/>
          <w:szCs w:val="24"/>
        </w:rPr>
        <w:t xml:space="preserve"> AK. Kidney. </w:t>
      </w:r>
      <w:r w:rsidRPr="0062316F">
        <w:rPr>
          <w:rFonts w:ascii="Book Antiqua" w:hAnsi="Book Antiqua"/>
          <w:i/>
          <w:sz w:val="24"/>
          <w:szCs w:val="24"/>
        </w:rPr>
        <w:t>Am J Transplant</w:t>
      </w:r>
      <w:r w:rsidRPr="0062316F">
        <w:rPr>
          <w:rFonts w:ascii="Book Antiqua" w:hAnsi="Book Antiqua"/>
          <w:sz w:val="24"/>
          <w:szCs w:val="24"/>
        </w:rPr>
        <w:t xml:space="preserve"> 2016; </w:t>
      </w:r>
      <w:r w:rsidRPr="0062316F">
        <w:rPr>
          <w:rFonts w:ascii="Book Antiqua" w:hAnsi="Book Antiqua"/>
          <w:b/>
          <w:sz w:val="24"/>
          <w:szCs w:val="24"/>
        </w:rPr>
        <w:t>16 Suppl 2</w:t>
      </w:r>
      <w:r w:rsidRPr="0062316F">
        <w:rPr>
          <w:rFonts w:ascii="Book Antiqua" w:hAnsi="Book Antiqua"/>
          <w:sz w:val="24"/>
          <w:szCs w:val="24"/>
        </w:rPr>
        <w:t>: 11-46 [PMID: 26755262 DOI: 10.1111/ajt.13666]</w:t>
      </w:r>
    </w:p>
    <w:p w14:paraId="60B589CF"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7 </w:t>
      </w:r>
      <w:r w:rsidRPr="0062316F">
        <w:rPr>
          <w:rFonts w:ascii="Book Antiqua" w:hAnsi="Book Antiqua"/>
          <w:b/>
          <w:sz w:val="24"/>
          <w:szCs w:val="24"/>
        </w:rPr>
        <w:t>Allison AC</w:t>
      </w:r>
      <w:r w:rsidRPr="0062316F">
        <w:rPr>
          <w:rFonts w:ascii="Book Antiqua" w:hAnsi="Book Antiqua"/>
          <w:sz w:val="24"/>
          <w:szCs w:val="24"/>
        </w:rPr>
        <w:t xml:space="preserve">, </w:t>
      </w:r>
      <w:proofErr w:type="spellStart"/>
      <w:r w:rsidRPr="0062316F">
        <w:rPr>
          <w:rFonts w:ascii="Book Antiqua" w:hAnsi="Book Antiqua"/>
          <w:sz w:val="24"/>
          <w:szCs w:val="24"/>
        </w:rPr>
        <w:t>Eugui</w:t>
      </w:r>
      <w:proofErr w:type="spellEnd"/>
      <w:r w:rsidRPr="0062316F">
        <w:rPr>
          <w:rFonts w:ascii="Book Antiqua" w:hAnsi="Book Antiqua"/>
          <w:sz w:val="24"/>
          <w:szCs w:val="24"/>
        </w:rPr>
        <w:t xml:space="preserve"> EM. Mechanisms of action of mycophenolate mofetil in preventing acute and chronic allograft rejection. </w:t>
      </w:r>
      <w:r w:rsidRPr="0062316F">
        <w:rPr>
          <w:rFonts w:ascii="Book Antiqua" w:hAnsi="Book Antiqua"/>
          <w:i/>
          <w:sz w:val="24"/>
          <w:szCs w:val="24"/>
        </w:rPr>
        <w:t>Transplantation</w:t>
      </w:r>
      <w:r w:rsidRPr="0062316F">
        <w:rPr>
          <w:rFonts w:ascii="Book Antiqua" w:hAnsi="Book Antiqua"/>
          <w:sz w:val="24"/>
          <w:szCs w:val="24"/>
        </w:rPr>
        <w:t xml:space="preserve"> 2005; </w:t>
      </w:r>
      <w:r w:rsidRPr="0062316F">
        <w:rPr>
          <w:rFonts w:ascii="Book Antiqua" w:hAnsi="Book Antiqua"/>
          <w:b/>
          <w:sz w:val="24"/>
          <w:szCs w:val="24"/>
        </w:rPr>
        <w:t>80</w:t>
      </w:r>
      <w:r w:rsidRPr="0062316F">
        <w:rPr>
          <w:rFonts w:ascii="Book Antiqua" w:hAnsi="Book Antiqua"/>
          <w:sz w:val="24"/>
          <w:szCs w:val="24"/>
        </w:rPr>
        <w:t>: S181-S190 [PMID: 16251851 DOI: 10.1097/</w:t>
      </w:r>
      <w:proofErr w:type="gramStart"/>
      <w:r w:rsidRPr="0062316F">
        <w:rPr>
          <w:rFonts w:ascii="Book Antiqua" w:hAnsi="Book Antiqua"/>
          <w:sz w:val="24"/>
          <w:szCs w:val="24"/>
        </w:rPr>
        <w:t>01.tp.</w:t>
      </w:r>
      <w:proofErr w:type="gramEnd"/>
      <w:r w:rsidRPr="0062316F">
        <w:rPr>
          <w:rFonts w:ascii="Book Antiqua" w:hAnsi="Book Antiqua"/>
          <w:sz w:val="24"/>
          <w:szCs w:val="24"/>
        </w:rPr>
        <w:t>0000186390.10150.66]</w:t>
      </w:r>
    </w:p>
    <w:p w14:paraId="2F74A829"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8 </w:t>
      </w:r>
      <w:proofErr w:type="spellStart"/>
      <w:r w:rsidRPr="0062316F">
        <w:rPr>
          <w:rFonts w:ascii="Book Antiqua" w:hAnsi="Book Antiqua"/>
          <w:b/>
          <w:sz w:val="24"/>
          <w:szCs w:val="24"/>
        </w:rPr>
        <w:t>Gabardi</w:t>
      </w:r>
      <w:proofErr w:type="spellEnd"/>
      <w:r w:rsidRPr="0062316F">
        <w:rPr>
          <w:rFonts w:ascii="Book Antiqua" w:hAnsi="Book Antiqua"/>
          <w:b/>
          <w:sz w:val="24"/>
          <w:szCs w:val="24"/>
        </w:rPr>
        <w:t xml:space="preserve"> S</w:t>
      </w:r>
      <w:r w:rsidRPr="0062316F">
        <w:rPr>
          <w:rFonts w:ascii="Book Antiqua" w:hAnsi="Book Antiqua"/>
          <w:sz w:val="24"/>
          <w:szCs w:val="24"/>
        </w:rPr>
        <w:t xml:space="preserve">, </w:t>
      </w:r>
      <w:proofErr w:type="spellStart"/>
      <w:r w:rsidRPr="0062316F">
        <w:rPr>
          <w:rFonts w:ascii="Book Antiqua" w:hAnsi="Book Antiqua"/>
          <w:sz w:val="24"/>
          <w:szCs w:val="24"/>
        </w:rPr>
        <w:t>Olyaei</w:t>
      </w:r>
      <w:proofErr w:type="spellEnd"/>
      <w:r w:rsidRPr="0062316F">
        <w:rPr>
          <w:rFonts w:ascii="Book Antiqua" w:hAnsi="Book Antiqua"/>
          <w:sz w:val="24"/>
          <w:szCs w:val="24"/>
        </w:rPr>
        <w:t xml:space="preserve"> A. Evaluation of potential interactions between mycophenolic acid derivatives and proton pump inhibitors. </w:t>
      </w:r>
      <w:r w:rsidRPr="0062316F">
        <w:rPr>
          <w:rFonts w:ascii="Book Antiqua" w:hAnsi="Book Antiqua"/>
          <w:i/>
          <w:sz w:val="24"/>
          <w:szCs w:val="24"/>
        </w:rPr>
        <w:t xml:space="preserve">Ann </w:t>
      </w:r>
      <w:proofErr w:type="spellStart"/>
      <w:r w:rsidRPr="0062316F">
        <w:rPr>
          <w:rFonts w:ascii="Book Antiqua" w:hAnsi="Book Antiqua"/>
          <w:i/>
          <w:sz w:val="24"/>
          <w:szCs w:val="24"/>
        </w:rPr>
        <w:t>Pharmacother</w:t>
      </w:r>
      <w:proofErr w:type="spellEnd"/>
      <w:r w:rsidRPr="0062316F">
        <w:rPr>
          <w:rFonts w:ascii="Book Antiqua" w:hAnsi="Book Antiqua"/>
          <w:sz w:val="24"/>
          <w:szCs w:val="24"/>
        </w:rPr>
        <w:t xml:space="preserve"> 2012; </w:t>
      </w:r>
      <w:r w:rsidRPr="0062316F">
        <w:rPr>
          <w:rFonts w:ascii="Book Antiqua" w:hAnsi="Book Antiqua"/>
          <w:b/>
          <w:sz w:val="24"/>
          <w:szCs w:val="24"/>
        </w:rPr>
        <w:t>46</w:t>
      </w:r>
      <w:r w:rsidRPr="0062316F">
        <w:rPr>
          <w:rFonts w:ascii="Book Antiqua" w:hAnsi="Book Antiqua"/>
          <w:sz w:val="24"/>
          <w:szCs w:val="24"/>
        </w:rPr>
        <w:t>: 1054-1064 [PMID: 22811345 DOI: 10.1345/aph.1R071]</w:t>
      </w:r>
    </w:p>
    <w:p w14:paraId="2963FE32"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9 </w:t>
      </w:r>
      <w:proofErr w:type="spellStart"/>
      <w:r w:rsidRPr="0062316F">
        <w:rPr>
          <w:rFonts w:ascii="Book Antiqua" w:hAnsi="Book Antiqua"/>
          <w:b/>
          <w:sz w:val="24"/>
          <w:szCs w:val="24"/>
        </w:rPr>
        <w:t>Schaier</w:t>
      </w:r>
      <w:proofErr w:type="spellEnd"/>
      <w:r w:rsidRPr="0062316F">
        <w:rPr>
          <w:rFonts w:ascii="Book Antiqua" w:hAnsi="Book Antiqua"/>
          <w:b/>
          <w:sz w:val="24"/>
          <w:szCs w:val="24"/>
        </w:rPr>
        <w:t xml:space="preserve"> M</w:t>
      </w:r>
      <w:r w:rsidRPr="0062316F">
        <w:rPr>
          <w:rFonts w:ascii="Book Antiqua" w:hAnsi="Book Antiqua"/>
          <w:sz w:val="24"/>
          <w:szCs w:val="24"/>
        </w:rPr>
        <w:t xml:space="preserve">, Scholl C, </w:t>
      </w:r>
      <w:proofErr w:type="spellStart"/>
      <w:r w:rsidRPr="0062316F">
        <w:rPr>
          <w:rFonts w:ascii="Book Antiqua" w:hAnsi="Book Antiqua"/>
          <w:sz w:val="24"/>
          <w:szCs w:val="24"/>
        </w:rPr>
        <w:t>Scharpf</w:t>
      </w:r>
      <w:proofErr w:type="spellEnd"/>
      <w:r w:rsidRPr="0062316F">
        <w:rPr>
          <w:rFonts w:ascii="Book Antiqua" w:hAnsi="Book Antiqua"/>
          <w:sz w:val="24"/>
          <w:szCs w:val="24"/>
        </w:rPr>
        <w:t xml:space="preserve"> D, Hug F, </w:t>
      </w:r>
      <w:proofErr w:type="spellStart"/>
      <w:r w:rsidRPr="0062316F">
        <w:rPr>
          <w:rFonts w:ascii="Book Antiqua" w:hAnsi="Book Antiqua"/>
          <w:sz w:val="24"/>
          <w:szCs w:val="24"/>
        </w:rPr>
        <w:t>Bönisch</w:t>
      </w:r>
      <w:proofErr w:type="spellEnd"/>
      <w:r w:rsidRPr="0062316F">
        <w:rPr>
          <w:rFonts w:ascii="Book Antiqua" w:hAnsi="Book Antiqua"/>
          <w:sz w:val="24"/>
          <w:szCs w:val="24"/>
        </w:rPr>
        <w:t xml:space="preserve">-Schmidt S, </w:t>
      </w:r>
      <w:proofErr w:type="spellStart"/>
      <w:r w:rsidRPr="0062316F">
        <w:rPr>
          <w:rFonts w:ascii="Book Antiqua" w:hAnsi="Book Antiqua"/>
          <w:sz w:val="24"/>
          <w:szCs w:val="24"/>
        </w:rPr>
        <w:t>Dikow</w:t>
      </w:r>
      <w:proofErr w:type="spellEnd"/>
      <w:r w:rsidRPr="0062316F">
        <w:rPr>
          <w:rFonts w:ascii="Book Antiqua" w:hAnsi="Book Antiqua"/>
          <w:sz w:val="24"/>
          <w:szCs w:val="24"/>
        </w:rPr>
        <w:t xml:space="preserve"> R, Schmitt WH, </w:t>
      </w:r>
      <w:proofErr w:type="spellStart"/>
      <w:r w:rsidRPr="0062316F">
        <w:rPr>
          <w:rFonts w:ascii="Book Antiqua" w:hAnsi="Book Antiqua"/>
          <w:sz w:val="24"/>
          <w:szCs w:val="24"/>
        </w:rPr>
        <w:t>Schwenger</w:t>
      </w:r>
      <w:proofErr w:type="spellEnd"/>
      <w:r w:rsidRPr="0062316F">
        <w:rPr>
          <w:rFonts w:ascii="Book Antiqua" w:hAnsi="Book Antiqua"/>
          <w:sz w:val="24"/>
          <w:szCs w:val="24"/>
        </w:rPr>
        <w:t xml:space="preserve"> V, </w:t>
      </w:r>
      <w:proofErr w:type="spellStart"/>
      <w:r w:rsidRPr="0062316F">
        <w:rPr>
          <w:rFonts w:ascii="Book Antiqua" w:hAnsi="Book Antiqua"/>
          <w:sz w:val="24"/>
          <w:szCs w:val="24"/>
        </w:rPr>
        <w:t>Zeier</w:t>
      </w:r>
      <w:proofErr w:type="spellEnd"/>
      <w:r w:rsidRPr="0062316F">
        <w:rPr>
          <w:rFonts w:ascii="Book Antiqua" w:hAnsi="Book Antiqua"/>
          <w:sz w:val="24"/>
          <w:szCs w:val="24"/>
        </w:rPr>
        <w:t xml:space="preserve"> M, Sommerer C. Proton pump inhibitors interfere with the </w:t>
      </w:r>
      <w:r w:rsidRPr="0062316F">
        <w:rPr>
          <w:rFonts w:ascii="Book Antiqua" w:hAnsi="Book Antiqua"/>
          <w:sz w:val="24"/>
          <w:szCs w:val="24"/>
        </w:rPr>
        <w:lastRenderedPageBreak/>
        <w:t xml:space="preserve">immunosuppressive potency of mycophenolate mofetil. </w:t>
      </w:r>
      <w:r w:rsidRPr="0062316F">
        <w:rPr>
          <w:rFonts w:ascii="Book Antiqua" w:hAnsi="Book Antiqua"/>
          <w:i/>
          <w:sz w:val="24"/>
          <w:szCs w:val="24"/>
        </w:rPr>
        <w:t>Rheumatology (Oxford)</w:t>
      </w:r>
      <w:r w:rsidRPr="0062316F">
        <w:rPr>
          <w:rFonts w:ascii="Book Antiqua" w:hAnsi="Book Antiqua"/>
          <w:sz w:val="24"/>
          <w:szCs w:val="24"/>
        </w:rPr>
        <w:t xml:space="preserve"> 2010; </w:t>
      </w:r>
      <w:r w:rsidRPr="0062316F">
        <w:rPr>
          <w:rFonts w:ascii="Book Antiqua" w:hAnsi="Book Antiqua"/>
          <w:b/>
          <w:sz w:val="24"/>
          <w:szCs w:val="24"/>
        </w:rPr>
        <w:t>49</w:t>
      </w:r>
      <w:r w:rsidRPr="0062316F">
        <w:rPr>
          <w:rFonts w:ascii="Book Antiqua" w:hAnsi="Book Antiqua"/>
          <w:sz w:val="24"/>
          <w:szCs w:val="24"/>
        </w:rPr>
        <w:t>: 2061-2067 [PMID: 20671023 DOI: 10.1093/rheumatology/keq238]</w:t>
      </w:r>
    </w:p>
    <w:p w14:paraId="7C1B7AB5"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10 </w:t>
      </w:r>
      <w:proofErr w:type="spellStart"/>
      <w:r w:rsidRPr="0062316F">
        <w:rPr>
          <w:rFonts w:ascii="Book Antiqua" w:hAnsi="Book Antiqua"/>
          <w:b/>
          <w:sz w:val="24"/>
          <w:szCs w:val="24"/>
        </w:rPr>
        <w:t>Kiberd</w:t>
      </w:r>
      <w:proofErr w:type="spellEnd"/>
      <w:r w:rsidRPr="0062316F">
        <w:rPr>
          <w:rFonts w:ascii="Book Antiqua" w:hAnsi="Book Antiqua"/>
          <w:b/>
          <w:sz w:val="24"/>
          <w:szCs w:val="24"/>
        </w:rPr>
        <w:t xml:space="preserve"> BA</w:t>
      </w:r>
      <w:r w:rsidRPr="0062316F">
        <w:rPr>
          <w:rFonts w:ascii="Book Antiqua" w:hAnsi="Book Antiqua"/>
          <w:sz w:val="24"/>
          <w:szCs w:val="24"/>
        </w:rPr>
        <w:t xml:space="preserve">, Wrobel M, </w:t>
      </w:r>
      <w:proofErr w:type="spellStart"/>
      <w:r w:rsidRPr="0062316F">
        <w:rPr>
          <w:rFonts w:ascii="Book Antiqua" w:hAnsi="Book Antiqua"/>
          <w:sz w:val="24"/>
          <w:szCs w:val="24"/>
        </w:rPr>
        <w:t>Dandavino</w:t>
      </w:r>
      <w:proofErr w:type="spellEnd"/>
      <w:r w:rsidRPr="0062316F">
        <w:rPr>
          <w:rFonts w:ascii="Book Antiqua" w:hAnsi="Book Antiqua"/>
          <w:sz w:val="24"/>
          <w:szCs w:val="24"/>
        </w:rPr>
        <w:t xml:space="preserve"> R, Keown P, </w:t>
      </w:r>
      <w:proofErr w:type="spellStart"/>
      <w:r w:rsidRPr="0062316F">
        <w:rPr>
          <w:rFonts w:ascii="Book Antiqua" w:hAnsi="Book Antiqua"/>
          <w:sz w:val="24"/>
          <w:szCs w:val="24"/>
        </w:rPr>
        <w:t>Gourishankar</w:t>
      </w:r>
      <w:proofErr w:type="spellEnd"/>
      <w:r w:rsidRPr="0062316F">
        <w:rPr>
          <w:rFonts w:ascii="Book Antiqua" w:hAnsi="Book Antiqua"/>
          <w:sz w:val="24"/>
          <w:szCs w:val="24"/>
        </w:rPr>
        <w:t xml:space="preserve"> S. The role of proton pump inhibitors on early mycophenolic acid exposure in kidney transplantation: evidence from the CLEAR study. </w:t>
      </w:r>
      <w:proofErr w:type="spellStart"/>
      <w:r w:rsidRPr="0062316F">
        <w:rPr>
          <w:rFonts w:ascii="Book Antiqua" w:hAnsi="Book Antiqua"/>
          <w:i/>
          <w:sz w:val="24"/>
          <w:szCs w:val="24"/>
        </w:rPr>
        <w:t>Ther</w:t>
      </w:r>
      <w:proofErr w:type="spellEnd"/>
      <w:r w:rsidRPr="0062316F">
        <w:rPr>
          <w:rFonts w:ascii="Book Antiqua" w:hAnsi="Book Antiqua"/>
          <w:i/>
          <w:sz w:val="24"/>
          <w:szCs w:val="24"/>
        </w:rPr>
        <w:t xml:space="preserve"> Drug </w:t>
      </w:r>
      <w:proofErr w:type="spellStart"/>
      <w:r w:rsidRPr="0062316F">
        <w:rPr>
          <w:rFonts w:ascii="Book Antiqua" w:hAnsi="Book Antiqua"/>
          <w:i/>
          <w:sz w:val="24"/>
          <w:szCs w:val="24"/>
        </w:rPr>
        <w:t>Monit</w:t>
      </w:r>
      <w:proofErr w:type="spellEnd"/>
      <w:r w:rsidRPr="0062316F">
        <w:rPr>
          <w:rFonts w:ascii="Book Antiqua" w:hAnsi="Book Antiqua"/>
          <w:sz w:val="24"/>
          <w:szCs w:val="24"/>
        </w:rPr>
        <w:t xml:space="preserve"> 2011; </w:t>
      </w:r>
      <w:r w:rsidRPr="0062316F">
        <w:rPr>
          <w:rFonts w:ascii="Book Antiqua" w:hAnsi="Book Antiqua"/>
          <w:b/>
          <w:sz w:val="24"/>
          <w:szCs w:val="24"/>
        </w:rPr>
        <w:t>33</w:t>
      </w:r>
      <w:r w:rsidRPr="0062316F">
        <w:rPr>
          <w:rFonts w:ascii="Book Antiqua" w:hAnsi="Book Antiqua"/>
          <w:sz w:val="24"/>
          <w:szCs w:val="24"/>
        </w:rPr>
        <w:t>: 120-123 [PMID: 21192310 DOI: 10.1097/FTD.0b013e318206a1b1]</w:t>
      </w:r>
    </w:p>
    <w:p w14:paraId="453F7AF3"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11 </w:t>
      </w:r>
      <w:r w:rsidRPr="0062316F">
        <w:rPr>
          <w:rFonts w:ascii="Book Antiqua" w:hAnsi="Book Antiqua"/>
          <w:b/>
          <w:sz w:val="24"/>
          <w:szCs w:val="24"/>
        </w:rPr>
        <w:t>Miura M</w:t>
      </w:r>
      <w:r w:rsidRPr="0062316F">
        <w:rPr>
          <w:rFonts w:ascii="Book Antiqua" w:hAnsi="Book Antiqua"/>
          <w:sz w:val="24"/>
          <w:szCs w:val="24"/>
        </w:rPr>
        <w:t xml:space="preserve">, Satoh S, Inoue K, </w:t>
      </w:r>
      <w:proofErr w:type="spellStart"/>
      <w:r w:rsidRPr="0062316F">
        <w:rPr>
          <w:rFonts w:ascii="Book Antiqua" w:hAnsi="Book Antiqua"/>
          <w:sz w:val="24"/>
          <w:szCs w:val="24"/>
        </w:rPr>
        <w:t>Kagaya</w:t>
      </w:r>
      <w:proofErr w:type="spellEnd"/>
      <w:r w:rsidRPr="0062316F">
        <w:rPr>
          <w:rFonts w:ascii="Book Antiqua" w:hAnsi="Book Antiqua"/>
          <w:sz w:val="24"/>
          <w:szCs w:val="24"/>
        </w:rPr>
        <w:t xml:space="preserve"> H, Saito M, Suzuki T, </w:t>
      </w:r>
      <w:proofErr w:type="spellStart"/>
      <w:r w:rsidRPr="0062316F">
        <w:rPr>
          <w:rFonts w:ascii="Book Antiqua" w:hAnsi="Book Antiqua"/>
          <w:sz w:val="24"/>
          <w:szCs w:val="24"/>
        </w:rPr>
        <w:t>Habuchi</w:t>
      </w:r>
      <w:proofErr w:type="spellEnd"/>
      <w:r w:rsidRPr="0062316F">
        <w:rPr>
          <w:rFonts w:ascii="Book Antiqua" w:hAnsi="Book Antiqua"/>
          <w:sz w:val="24"/>
          <w:szCs w:val="24"/>
        </w:rPr>
        <w:t xml:space="preserve"> T. Influence of lansoprazole and rabeprazole on mycophenolic acid pharmacokinetics one year after renal transplantation. </w:t>
      </w:r>
      <w:proofErr w:type="spellStart"/>
      <w:r w:rsidRPr="0062316F">
        <w:rPr>
          <w:rFonts w:ascii="Book Antiqua" w:hAnsi="Book Antiqua"/>
          <w:i/>
          <w:sz w:val="24"/>
          <w:szCs w:val="24"/>
        </w:rPr>
        <w:t>Ther</w:t>
      </w:r>
      <w:proofErr w:type="spellEnd"/>
      <w:r w:rsidRPr="0062316F">
        <w:rPr>
          <w:rFonts w:ascii="Book Antiqua" w:hAnsi="Book Antiqua"/>
          <w:i/>
          <w:sz w:val="24"/>
          <w:szCs w:val="24"/>
        </w:rPr>
        <w:t xml:space="preserve"> Drug </w:t>
      </w:r>
      <w:proofErr w:type="spellStart"/>
      <w:r w:rsidRPr="0062316F">
        <w:rPr>
          <w:rFonts w:ascii="Book Antiqua" w:hAnsi="Book Antiqua"/>
          <w:i/>
          <w:sz w:val="24"/>
          <w:szCs w:val="24"/>
        </w:rPr>
        <w:t>Monit</w:t>
      </w:r>
      <w:proofErr w:type="spellEnd"/>
      <w:r w:rsidRPr="0062316F">
        <w:rPr>
          <w:rFonts w:ascii="Book Antiqua" w:hAnsi="Book Antiqua"/>
          <w:sz w:val="24"/>
          <w:szCs w:val="24"/>
        </w:rPr>
        <w:t xml:space="preserve"> 2008; </w:t>
      </w:r>
      <w:r w:rsidRPr="0062316F">
        <w:rPr>
          <w:rFonts w:ascii="Book Antiqua" w:hAnsi="Book Antiqua"/>
          <w:b/>
          <w:sz w:val="24"/>
          <w:szCs w:val="24"/>
        </w:rPr>
        <w:t>30</w:t>
      </w:r>
      <w:r w:rsidRPr="0062316F">
        <w:rPr>
          <w:rFonts w:ascii="Book Antiqua" w:hAnsi="Book Antiqua"/>
          <w:sz w:val="24"/>
          <w:szCs w:val="24"/>
        </w:rPr>
        <w:t>: 46-51 [PMID: 18223462 DOI: 10.1097/FTD.0b013e31816337b7]</w:t>
      </w:r>
    </w:p>
    <w:p w14:paraId="2F5C863C"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12 </w:t>
      </w:r>
      <w:proofErr w:type="spellStart"/>
      <w:r w:rsidRPr="0062316F">
        <w:rPr>
          <w:rFonts w:ascii="Book Antiqua" w:hAnsi="Book Antiqua"/>
          <w:b/>
          <w:sz w:val="24"/>
          <w:szCs w:val="24"/>
        </w:rPr>
        <w:t>Kees</w:t>
      </w:r>
      <w:proofErr w:type="spellEnd"/>
      <w:r w:rsidRPr="0062316F">
        <w:rPr>
          <w:rFonts w:ascii="Book Antiqua" w:hAnsi="Book Antiqua"/>
          <w:b/>
          <w:sz w:val="24"/>
          <w:szCs w:val="24"/>
        </w:rPr>
        <w:t xml:space="preserve"> MG</w:t>
      </w:r>
      <w:r w:rsidRPr="0062316F">
        <w:rPr>
          <w:rFonts w:ascii="Book Antiqua" w:hAnsi="Book Antiqua"/>
          <w:sz w:val="24"/>
          <w:szCs w:val="24"/>
        </w:rPr>
        <w:t xml:space="preserve">, Steinke T, Moritz S, </w:t>
      </w:r>
      <w:proofErr w:type="spellStart"/>
      <w:r w:rsidRPr="0062316F">
        <w:rPr>
          <w:rFonts w:ascii="Book Antiqua" w:hAnsi="Book Antiqua"/>
          <w:sz w:val="24"/>
          <w:szCs w:val="24"/>
        </w:rPr>
        <w:t>Rupprecht</w:t>
      </w:r>
      <w:proofErr w:type="spellEnd"/>
      <w:r w:rsidRPr="0062316F">
        <w:rPr>
          <w:rFonts w:ascii="Book Antiqua" w:hAnsi="Book Antiqua"/>
          <w:sz w:val="24"/>
          <w:szCs w:val="24"/>
        </w:rPr>
        <w:t xml:space="preserve"> K, Paulus EM, </w:t>
      </w:r>
      <w:proofErr w:type="spellStart"/>
      <w:r w:rsidRPr="0062316F">
        <w:rPr>
          <w:rFonts w:ascii="Book Antiqua" w:hAnsi="Book Antiqua"/>
          <w:sz w:val="24"/>
          <w:szCs w:val="24"/>
        </w:rPr>
        <w:t>Kees</w:t>
      </w:r>
      <w:proofErr w:type="spellEnd"/>
      <w:r w:rsidRPr="0062316F">
        <w:rPr>
          <w:rFonts w:ascii="Book Antiqua" w:hAnsi="Book Antiqua"/>
          <w:sz w:val="24"/>
          <w:szCs w:val="24"/>
        </w:rPr>
        <w:t xml:space="preserve"> F, Bucher M, </w:t>
      </w:r>
      <w:proofErr w:type="spellStart"/>
      <w:r w:rsidRPr="0062316F">
        <w:rPr>
          <w:rFonts w:ascii="Book Antiqua" w:hAnsi="Book Antiqua"/>
          <w:sz w:val="24"/>
          <w:szCs w:val="24"/>
        </w:rPr>
        <w:t>Faerber</w:t>
      </w:r>
      <w:proofErr w:type="spellEnd"/>
      <w:r w:rsidRPr="0062316F">
        <w:rPr>
          <w:rFonts w:ascii="Book Antiqua" w:hAnsi="Book Antiqua"/>
          <w:sz w:val="24"/>
          <w:szCs w:val="24"/>
        </w:rPr>
        <w:t xml:space="preserve"> L. Omeprazole impairs the absorption of mycophenolate mofetil but not of enteric-coated mycophenolate sodium in healthy volunteers. </w:t>
      </w:r>
      <w:r w:rsidRPr="0062316F">
        <w:rPr>
          <w:rFonts w:ascii="Book Antiqua" w:hAnsi="Book Antiqua"/>
          <w:i/>
          <w:sz w:val="24"/>
          <w:szCs w:val="24"/>
        </w:rPr>
        <w:t xml:space="preserve">J </w:t>
      </w:r>
      <w:proofErr w:type="spellStart"/>
      <w:r w:rsidRPr="0062316F">
        <w:rPr>
          <w:rFonts w:ascii="Book Antiqua" w:hAnsi="Book Antiqua"/>
          <w:i/>
          <w:sz w:val="24"/>
          <w:szCs w:val="24"/>
        </w:rPr>
        <w:t>Clin</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Pharmacol</w:t>
      </w:r>
      <w:proofErr w:type="spellEnd"/>
      <w:r w:rsidRPr="0062316F">
        <w:rPr>
          <w:rFonts w:ascii="Book Antiqua" w:hAnsi="Book Antiqua"/>
          <w:sz w:val="24"/>
          <w:szCs w:val="24"/>
        </w:rPr>
        <w:t xml:space="preserve"> 2012; </w:t>
      </w:r>
      <w:r w:rsidRPr="0062316F">
        <w:rPr>
          <w:rFonts w:ascii="Book Antiqua" w:hAnsi="Book Antiqua"/>
          <w:b/>
          <w:sz w:val="24"/>
          <w:szCs w:val="24"/>
        </w:rPr>
        <w:t>52</w:t>
      </w:r>
      <w:r w:rsidRPr="0062316F">
        <w:rPr>
          <w:rFonts w:ascii="Book Antiqua" w:hAnsi="Book Antiqua"/>
          <w:sz w:val="24"/>
          <w:szCs w:val="24"/>
        </w:rPr>
        <w:t>: 1265-1272 [PMID: 21903891 DOI: 10.1177/0091270011412968]</w:t>
      </w:r>
    </w:p>
    <w:p w14:paraId="0B9669FE"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13 </w:t>
      </w:r>
      <w:r w:rsidRPr="0062316F">
        <w:rPr>
          <w:rFonts w:ascii="Book Antiqua" w:hAnsi="Book Antiqua"/>
          <w:b/>
          <w:sz w:val="24"/>
          <w:szCs w:val="24"/>
        </w:rPr>
        <w:t>Miner PB Jr</w:t>
      </w:r>
      <w:r w:rsidRPr="0062316F">
        <w:rPr>
          <w:rFonts w:ascii="Book Antiqua" w:hAnsi="Book Antiqua"/>
          <w:sz w:val="24"/>
          <w:szCs w:val="24"/>
        </w:rPr>
        <w:t xml:space="preserve">, Allgood LD, </w:t>
      </w:r>
      <w:proofErr w:type="spellStart"/>
      <w:r w:rsidRPr="0062316F">
        <w:rPr>
          <w:rFonts w:ascii="Book Antiqua" w:hAnsi="Book Antiqua"/>
          <w:sz w:val="24"/>
          <w:szCs w:val="24"/>
        </w:rPr>
        <w:t>Grender</w:t>
      </w:r>
      <w:proofErr w:type="spellEnd"/>
      <w:r w:rsidRPr="0062316F">
        <w:rPr>
          <w:rFonts w:ascii="Book Antiqua" w:hAnsi="Book Antiqua"/>
          <w:sz w:val="24"/>
          <w:szCs w:val="24"/>
        </w:rPr>
        <w:t xml:space="preserve"> JM. Comparison of gastric pH with omeprazole magnesium 20.6 mg (Prilosec OTC) </w:t>
      </w:r>
      <w:proofErr w:type="spellStart"/>
      <w:r w:rsidRPr="0062316F">
        <w:rPr>
          <w:rFonts w:ascii="Book Antiqua" w:hAnsi="Book Antiqua"/>
          <w:sz w:val="24"/>
          <w:szCs w:val="24"/>
        </w:rPr>
        <w:t>o.m</w:t>
      </w:r>
      <w:proofErr w:type="spellEnd"/>
      <w:r w:rsidRPr="0062316F">
        <w:rPr>
          <w:rFonts w:ascii="Book Antiqua" w:hAnsi="Book Antiqua"/>
          <w:sz w:val="24"/>
          <w:szCs w:val="24"/>
        </w:rPr>
        <w:t xml:space="preserve">. famotidine 10 mg (Pepcid AC) </w:t>
      </w:r>
      <w:proofErr w:type="spellStart"/>
      <w:r w:rsidRPr="0062316F">
        <w:rPr>
          <w:rFonts w:ascii="Book Antiqua" w:hAnsi="Book Antiqua"/>
          <w:sz w:val="24"/>
          <w:szCs w:val="24"/>
        </w:rPr>
        <w:t>b.d</w:t>
      </w:r>
      <w:proofErr w:type="spellEnd"/>
      <w:r w:rsidRPr="0062316F">
        <w:rPr>
          <w:rFonts w:ascii="Book Antiqua" w:hAnsi="Book Antiqua"/>
          <w:sz w:val="24"/>
          <w:szCs w:val="24"/>
        </w:rPr>
        <w:t xml:space="preserve">. and famotidine 20 mg </w:t>
      </w:r>
      <w:proofErr w:type="spellStart"/>
      <w:r w:rsidRPr="0062316F">
        <w:rPr>
          <w:rFonts w:ascii="Book Antiqua" w:hAnsi="Book Antiqua"/>
          <w:sz w:val="24"/>
          <w:szCs w:val="24"/>
        </w:rPr>
        <w:t>b.d</w:t>
      </w:r>
      <w:proofErr w:type="spellEnd"/>
      <w:r w:rsidRPr="0062316F">
        <w:rPr>
          <w:rFonts w:ascii="Book Antiqua" w:hAnsi="Book Antiqua"/>
          <w:sz w:val="24"/>
          <w:szCs w:val="24"/>
        </w:rPr>
        <w:t xml:space="preserve">. over 14 days of treatment. </w:t>
      </w:r>
      <w:r w:rsidRPr="0062316F">
        <w:rPr>
          <w:rFonts w:ascii="Book Antiqua" w:hAnsi="Book Antiqua"/>
          <w:i/>
          <w:sz w:val="24"/>
          <w:szCs w:val="24"/>
        </w:rPr>
        <w:t xml:space="preserve">Aliment </w:t>
      </w:r>
      <w:proofErr w:type="spellStart"/>
      <w:r w:rsidRPr="0062316F">
        <w:rPr>
          <w:rFonts w:ascii="Book Antiqua" w:hAnsi="Book Antiqua"/>
          <w:i/>
          <w:sz w:val="24"/>
          <w:szCs w:val="24"/>
        </w:rPr>
        <w:t>Pharmacol</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Ther</w:t>
      </w:r>
      <w:proofErr w:type="spellEnd"/>
      <w:r w:rsidRPr="0062316F">
        <w:rPr>
          <w:rFonts w:ascii="Book Antiqua" w:hAnsi="Book Antiqua"/>
          <w:sz w:val="24"/>
          <w:szCs w:val="24"/>
        </w:rPr>
        <w:t xml:space="preserve"> 2007; </w:t>
      </w:r>
      <w:r w:rsidRPr="0062316F">
        <w:rPr>
          <w:rFonts w:ascii="Book Antiqua" w:hAnsi="Book Antiqua"/>
          <w:b/>
          <w:sz w:val="24"/>
          <w:szCs w:val="24"/>
        </w:rPr>
        <w:t>25</w:t>
      </w:r>
      <w:r w:rsidRPr="0062316F">
        <w:rPr>
          <w:rFonts w:ascii="Book Antiqua" w:hAnsi="Book Antiqua"/>
          <w:sz w:val="24"/>
          <w:szCs w:val="24"/>
        </w:rPr>
        <w:t>: 103-109 [PMID: 17229225 DOI: 10.1111/j.1365-2036.</w:t>
      </w:r>
      <w:proofErr w:type="gramStart"/>
      <w:r w:rsidRPr="0062316F">
        <w:rPr>
          <w:rFonts w:ascii="Book Antiqua" w:hAnsi="Book Antiqua"/>
          <w:sz w:val="24"/>
          <w:szCs w:val="24"/>
        </w:rPr>
        <w:t>2006.03129.x</w:t>
      </w:r>
      <w:proofErr w:type="gramEnd"/>
      <w:r w:rsidRPr="0062316F">
        <w:rPr>
          <w:rFonts w:ascii="Book Antiqua" w:hAnsi="Book Antiqua"/>
          <w:sz w:val="24"/>
          <w:szCs w:val="24"/>
        </w:rPr>
        <w:t>]</w:t>
      </w:r>
    </w:p>
    <w:p w14:paraId="246CDF9C"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14 </w:t>
      </w:r>
      <w:proofErr w:type="spellStart"/>
      <w:r w:rsidRPr="0062316F">
        <w:rPr>
          <w:rFonts w:ascii="Book Antiqua" w:hAnsi="Book Antiqua"/>
          <w:b/>
          <w:sz w:val="24"/>
          <w:szCs w:val="24"/>
        </w:rPr>
        <w:t>McRorie</w:t>
      </w:r>
      <w:proofErr w:type="spellEnd"/>
      <w:r w:rsidRPr="0062316F">
        <w:rPr>
          <w:rFonts w:ascii="Book Antiqua" w:hAnsi="Book Antiqua"/>
          <w:b/>
          <w:sz w:val="24"/>
          <w:szCs w:val="24"/>
        </w:rPr>
        <w:t xml:space="preserve"> JW</w:t>
      </w:r>
      <w:r w:rsidRPr="0062316F">
        <w:rPr>
          <w:rFonts w:ascii="Book Antiqua" w:hAnsi="Book Antiqua"/>
          <w:sz w:val="24"/>
          <w:szCs w:val="24"/>
        </w:rPr>
        <w:t xml:space="preserve">, Kirby JA, Miner PB. Histamine2-receptor antagonists: Rapid development of tachyphylaxis with repeat dosing. </w:t>
      </w:r>
      <w:r w:rsidRPr="0062316F">
        <w:rPr>
          <w:rFonts w:ascii="Book Antiqua" w:hAnsi="Book Antiqua"/>
          <w:i/>
          <w:sz w:val="24"/>
          <w:szCs w:val="24"/>
        </w:rPr>
        <w:t xml:space="preserve">World J </w:t>
      </w:r>
      <w:proofErr w:type="spellStart"/>
      <w:r w:rsidRPr="0062316F">
        <w:rPr>
          <w:rFonts w:ascii="Book Antiqua" w:hAnsi="Book Antiqua"/>
          <w:i/>
          <w:sz w:val="24"/>
          <w:szCs w:val="24"/>
        </w:rPr>
        <w:t>Gastrointest</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Pharmacol</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Ther</w:t>
      </w:r>
      <w:proofErr w:type="spellEnd"/>
      <w:r w:rsidRPr="0062316F">
        <w:rPr>
          <w:rFonts w:ascii="Book Antiqua" w:hAnsi="Book Antiqua"/>
          <w:sz w:val="24"/>
          <w:szCs w:val="24"/>
        </w:rPr>
        <w:t xml:space="preserve"> 2014; </w:t>
      </w:r>
      <w:r w:rsidRPr="0062316F">
        <w:rPr>
          <w:rFonts w:ascii="Book Antiqua" w:hAnsi="Book Antiqua"/>
          <w:b/>
          <w:sz w:val="24"/>
          <w:szCs w:val="24"/>
        </w:rPr>
        <w:t>5</w:t>
      </w:r>
      <w:r w:rsidRPr="0062316F">
        <w:rPr>
          <w:rFonts w:ascii="Book Antiqua" w:hAnsi="Book Antiqua"/>
          <w:sz w:val="24"/>
          <w:szCs w:val="24"/>
        </w:rPr>
        <w:t>: 57-62 [PMID: 24868486 DOI: 10.4292/</w:t>
      </w:r>
      <w:proofErr w:type="gramStart"/>
      <w:r w:rsidRPr="0062316F">
        <w:rPr>
          <w:rFonts w:ascii="Book Antiqua" w:hAnsi="Book Antiqua"/>
          <w:sz w:val="24"/>
          <w:szCs w:val="24"/>
        </w:rPr>
        <w:t>wjgpt.v</w:t>
      </w:r>
      <w:proofErr w:type="gramEnd"/>
      <w:r w:rsidRPr="0062316F">
        <w:rPr>
          <w:rFonts w:ascii="Book Antiqua" w:hAnsi="Book Antiqua"/>
          <w:sz w:val="24"/>
          <w:szCs w:val="24"/>
        </w:rPr>
        <w:t>5.i2.57]</w:t>
      </w:r>
    </w:p>
    <w:p w14:paraId="7FCB2F32"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15 </w:t>
      </w:r>
      <w:r w:rsidRPr="0062316F">
        <w:rPr>
          <w:rFonts w:ascii="Book Antiqua" w:hAnsi="Book Antiqua"/>
          <w:b/>
          <w:sz w:val="24"/>
          <w:szCs w:val="24"/>
        </w:rPr>
        <w:t>van Gelder T</w:t>
      </w:r>
      <w:r w:rsidRPr="0062316F">
        <w:rPr>
          <w:rFonts w:ascii="Book Antiqua" w:hAnsi="Book Antiqua"/>
          <w:sz w:val="24"/>
          <w:szCs w:val="24"/>
        </w:rPr>
        <w:t xml:space="preserve">, </w:t>
      </w:r>
      <w:proofErr w:type="spellStart"/>
      <w:r w:rsidRPr="0062316F">
        <w:rPr>
          <w:rFonts w:ascii="Book Antiqua" w:hAnsi="Book Antiqua"/>
          <w:sz w:val="24"/>
          <w:szCs w:val="24"/>
        </w:rPr>
        <w:t>Hilbrands</w:t>
      </w:r>
      <w:proofErr w:type="spellEnd"/>
      <w:r w:rsidRPr="0062316F">
        <w:rPr>
          <w:rFonts w:ascii="Book Antiqua" w:hAnsi="Book Antiqua"/>
          <w:sz w:val="24"/>
          <w:szCs w:val="24"/>
        </w:rPr>
        <w:t xml:space="preserve"> LB, </w:t>
      </w:r>
      <w:proofErr w:type="spellStart"/>
      <w:r w:rsidRPr="0062316F">
        <w:rPr>
          <w:rFonts w:ascii="Book Antiqua" w:hAnsi="Book Antiqua"/>
          <w:sz w:val="24"/>
          <w:szCs w:val="24"/>
        </w:rPr>
        <w:t>Vanrenterghem</w:t>
      </w:r>
      <w:proofErr w:type="spellEnd"/>
      <w:r w:rsidRPr="0062316F">
        <w:rPr>
          <w:rFonts w:ascii="Book Antiqua" w:hAnsi="Book Antiqua"/>
          <w:sz w:val="24"/>
          <w:szCs w:val="24"/>
        </w:rPr>
        <w:t xml:space="preserve"> Y, Weimar W, de </w:t>
      </w:r>
      <w:proofErr w:type="spellStart"/>
      <w:r w:rsidRPr="0062316F">
        <w:rPr>
          <w:rFonts w:ascii="Book Antiqua" w:hAnsi="Book Antiqua"/>
          <w:sz w:val="24"/>
          <w:szCs w:val="24"/>
        </w:rPr>
        <w:t>Fijter</w:t>
      </w:r>
      <w:proofErr w:type="spellEnd"/>
      <w:r w:rsidRPr="0062316F">
        <w:rPr>
          <w:rFonts w:ascii="Book Antiqua" w:hAnsi="Book Antiqua"/>
          <w:sz w:val="24"/>
          <w:szCs w:val="24"/>
        </w:rPr>
        <w:t xml:space="preserve"> JW, </w:t>
      </w:r>
      <w:proofErr w:type="spellStart"/>
      <w:r w:rsidRPr="0062316F">
        <w:rPr>
          <w:rFonts w:ascii="Book Antiqua" w:hAnsi="Book Antiqua"/>
          <w:sz w:val="24"/>
          <w:szCs w:val="24"/>
        </w:rPr>
        <w:t>Squifflet</w:t>
      </w:r>
      <w:proofErr w:type="spellEnd"/>
      <w:r w:rsidRPr="0062316F">
        <w:rPr>
          <w:rFonts w:ascii="Book Antiqua" w:hAnsi="Book Antiqua"/>
          <w:sz w:val="24"/>
          <w:szCs w:val="24"/>
        </w:rPr>
        <w:t xml:space="preserve"> JP, </w:t>
      </w:r>
      <w:proofErr w:type="spellStart"/>
      <w:r w:rsidRPr="0062316F">
        <w:rPr>
          <w:rFonts w:ascii="Book Antiqua" w:hAnsi="Book Antiqua"/>
          <w:sz w:val="24"/>
          <w:szCs w:val="24"/>
        </w:rPr>
        <w:t>Hené</w:t>
      </w:r>
      <w:proofErr w:type="spellEnd"/>
      <w:r w:rsidRPr="0062316F">
        <w:rPr>
          <w:rFonts w:ascii="Book Antiqua" w:hAnsi="Book Antiqua"/>
          <w:sz w:val="24"/>
          <w:szCs w:val="24"/>
        </w:rPr>
        <w:t xml:space="preserve"> RJ, </w:t>
      </w:r>
      <w:proofErr w:type="spellStart"/>
      <w:r w:rsidRPr="0062316F">
        <w:rPr>
          <w:rFonts w:ascii="Book Antiqua" w:hAnsi="Book Antiqua"/>
          <w:sz w:val="24"/>
          <w:szCs w:val="24"/>
        </w:rPr>
        <w:t>Verpooten</w:t>
      </w:r>
      <w:proofErr w:type="spellEnd"/>
      <w:r w:rsidRPr="0062316F">
        <w:rPr>
          <w:rFonts w:ascii="Book Antiqua" w:hAnsi="Book Antiqua"/>
          <w:sz w:val="24"/>
          <w:szCs w:val="24"/>
        </w:rPr>
        <w:t xml:space="preserve"> GA, Navarro MT, Hale MD, Nicholls AJ. A randomized double-blind, multicenter plasma </w:t>
      </w:r>
      <w:proofErr w:type="gramStart"/>
      <w:r w:rsidRPr="0062316F">
        <w:rPr>
          <w:rFonts w:ascii="Book Antiqua" w:hAnsi="Book Antiqua"/>
          <w:sz w:val="24"/>
          <w:szCs w:val="24"/>
        </w:rPr>
        <w:t>concentration controlled</w:t>
      </w:r>
      <w:proofErr w:type="gramEnd"/>
      <w:r w:rsidRPr="0062316F">
        <w:rPr>
          <w:rFonts w:ascii="Book Antiqua" w:hAnsi="Book Antiqua"/>
          <w:sz w:val="24"/>
          <w:szCs w:val="24"/>
        </w:rPr>
        <w:t xml:space="preserve"> study of the safety and efficacy of oral mycophenolate mofetil for the prevention of acute rejection after kidney transplantation. </w:t>
      </w:r>
      <w:r w:rsidRPr="0062316F">
        <w:rPr>
          <w:rFonts w:ascii="Book Antiqua" w:hAnsi="Book Antiqua"/>
          <w:i/>
          <w:sz w:val="24"/>
          <w:szCs w:val="24"/>
        </w:rPr>
        <w:t>Transplantation</w:t>
      </w:r>
      <w:r w:rsidRPr="0062316F">
        <w:rPr>
          <w:rFonts w:ascii="Book Antiqua" w:hAnsi="Book Antiqua"/>
          <w:sz w:val="24"/>
          <w:szCs w:val="24"/>
        </w:rPr>
        <w:t xml:space="preserve"> 1999; </w:t>
      </w:r>
      <w:r w:rsidRPr="0062316F">
        <w:rPr>
          <w:rFonts w:ascii="Book Antiqua" w:hAnsi="Book Antiqua"/>
          <w:b/>
          <w:sz w:val="24"/>
          <w:szCs w:val="24"/>
        </w:rPr>
        <w:t>68</w:t>
      </w:r>
      <w:r w:rsidRPr="0062316F">
        <w:rPr>
          <w:rFonts w:ascii="Book Antiqua" w:hAnsi="Book Antiqua"/>
          <w:sz w:val="24"/>
          <w:szCs w:val="24"/>
        </w:rPr>
        <w:t>: 261-266 [PMID: 10440399 DOI: 10.1097/00007890-199907270-00018]</w:t>
      </w:r>
    </w:p>
    <w:p w14:paraId="30DE94F7"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16 </w:t>
      </w:r>
      <w:r w:rsidRPr="0062316F">
        <w:rPr>
          <w:rFonts w:ascii="Book Antiqua" w:hAnsi="Book Antiqua"/>
          <w:b/>
          <w:sz w:val="24"/>
          <w:szCs w:val="24"/>
        </w:rPr>
        <w:t>van Gelder T</w:t>
      </w:r>
      <w:r w:rsidRPr="0062316F">
        <w:rPr>
          <w:rFonts w:ascii="Book Antiqua" w:hAnsi="Book Antiqua"/>
          <w:sz w:val="24"/>
          <w:szCs w:val="24"/>
        </w:rPr>
        <w:t xml:space="preserve">, Silva HT, de </w:t>
      </w:r>
      <w:proofErr w:type="spellStart"/>
      <w:r w:rsidRPr="0062316F">
        <w:rPr>
          <w:rFonts w:ascii="Book Antiqua" w:hAnsi="Book Antiqua"/>
          <w:sz w:val="24"/>
          <w:szCs w:val="24"/>
        </w:rPr>
        <w:t>Fijter</w:t>
      </w:r>
      <w:proofErr w:type="spellEnd"/>
      <w:r w:rsidRPr="0062316F">
        <w:rPr>
          <w:rFonts w:ascii="Book Antiqua" w:hAnsi="Book Antiqua"/>
          <w:sz w:val="24"/>
          <w:szCs w:val="24"/>
        </w:rPr>
        <w:t xml:space="preserve"> JW, </w:t>
      </w:r>
      <w:proofErr w:type="spellStart"/>
      <w:r w:rsidRPr="0062316F">
        <w:rPr>
          <w:rFonts w:ascii="Book Antiqua" w:hAnsi="Book Antiqua"/>
          <w:sz w:val="24"/>
          <w:szCs w:val="24"/>
        </w:rPr>
        <w:t>Budde</w:t>
      </w:r>
      <w:proofErr w:type="spellEnd"/>
      <w:r w:rsidRPr="0062316F">
        <w:rPr>
          <w:rFonts w:ascii="Book Antiqua" w:hAnsi="Book Antiqua"/>
          <w:sz w:val="24"/>
          <w:szCs w:val="24"/>
        </w:rPr>
        <w:t xml:space="preserve"> K, </w:t>
      </w:r>
      <w:proofErr w:type="spellStart"/>
      <w:r w:rsidRPr="0062316F">
        <w:rPr>
          <w:rFonts w:ascii="Book Antiqua" w:hAnsi="Book Antiqua"/>
          <w:sz w:val="24"/>
          <w:szCs w:val="24"/>
        </w:rPr>
        <w:t>Kuypers</w:t>
      </w:r>
      <w:proofErr w:type="spellEnd"/>
      <w:r w:rsidRPr="0062316F">
        <w:rPr>
          <w:rFonts w:ascii="Book Antiqua" w:hAnsi="Book Antiqua"/>
          <w:sz w:val="24"/>
          <w:szCs w:val="24"/>
        </w:rPr>
        <w:t xml:space="preserve"> D, </w:t>
      </w:r>
      <w:proofErr w:type="spellStart"/>
      <w:r w:rsidRPr="0062316F">
        <w:rPr>
          <w:rFonts w:ascii="Book Antiqua" w:hAnsi="Book Antiqua"/>
          <w:sz w:val="24"/>
          <w:szCs w:val="24"/>
        </w:rPr>
        <w:t>Tyden</w:t>
      </w:r>
      <w:proofErr w:type="spellEnd"/>
      <w:r w:rsidRPr="0062316F">
        <w:rPr>
          <w:rFonts w:ascii="Book Antiqua" w:hAnsi="Book Antiqua"/>
          <w:sz w:val="24"/>
          <w:szCs w:val="24"/>
        </w:rPr>
        <w:t xml:space="preserve"> G, </w:t>
      </w:r>
      <w:proofErr w:type="spellStart"/>
      <w:r w:rsidRPr="0062316F">
        <w:rPr>
          <w:rFonts w:ascii="Book Antiqua" w:hAnsi="Book Antiqua"/>
          <w:sz w:val="24"/>
          <w:szCs w:val="24"/>
        </w:rPr>
        <w:t>Lohmus</w:t>
      </w:r>
      <w:proofErr w:type="spellEnd"/>
      <w:r w:rsidRPr="0062316F">
        <w:rPr>
          <w:rFonts w:ascii="Book Antiqua" w:hAnsi="Book Antiqua"/>
          <w:sz w:val="24"/>
          <w:szCs w:val="24"/>
        </w:rPr>
        <w:t xml:space="preserve"> A, </w:t>
      </w:r>
      <w:proofErr w:type="spellStart"/>
      <w:r w:rsidRPr="0062316F">
        <w:rPr>
          <w:rFonts w:ascii="Book Antiqua" w:hAnsi="Book Antiqua"/>
          <w:sz w:val="24"/>
          <w:szCs w:val="24"/>
        </w:rPr>
        <w:t>Sommerer</w:t>
      </w:r>
      <w:proofErr w:type="spellEnd"/>
      <w:r w:rsidRPr="0062316F">
        <w:rPr>
          <w:rFonts w:ascii="Book Antiqua" w:hAnsi="Book Antiqua"/>
          <w:sz w:val="24"/>
          <w:szCs w:val="24"/>
        </w:rPr>
        <w:t xml:space="preserve"> C, Hartmann A, Le </w:t>
      </w:r>
      <w:proofErr w:type="spellStart"/>
      <w:r w:rsidRPr="0062316F">
        <w:rPr>
          <w:rFonts w:ascii="Book Antiqua" w:hAnsi="Book Antiqua"/>
          <w:sz w:val="24"/>
          <w:szCs w:val="24"/>
        </w:rPr>
        <w:t>Meur</w:t>
      </w:r>
      <w:proofErr w:type="spellEnd"/>
      <w:r w:rsidRPr="0062316F">
        <w:rPr>
          <w:rFonts w:ascii="Book Antiqua" w:hAnsi="Book Antiqua"/>
          <w:sz w:val="24"/>
          <w:szCs w:val="24"/>
        </w:rPr>
        <w:t xml:space="preserve"> Y, </w:t>
      </w:r>
      <w:proofErr w:type="spellStart"/>
      <w:r w:rsidRPr="0062316F">
        <w:rPr>
          <w:rFonts w:ascii="Book Antiqua" w:hAnsi="Book Antiqua"/>
          <w:sz w:val="24"/>
          <w:szCs w:val="24"/>
        </w:rPr>
        <w:t>Oellerich</w:t>
      </w:r>
      <w:proofErr w:type="spellEnd"/>
      <w:r w:rsidRPr="0062316F">
        <w:rPr>
          <w:rFonts w:ascii="Book Antiqua" w:hAnsi="Book Antiqua"/>
          <w:sz w:val="24"/>
          <w:szCs w:val="24"/>
        </w:rPr>
        <w:t xml:space="preserve"> M, Holt DW, </w:t>
      </w:r>
      <w:proofErr w:type="spellStart"/>
      <w:r w:rsidRPr="0062316F">
        <w:rPr>
          <w:rFonts w:ascii="Book Antiqua" w:hAnsi="Book Antiqua"/>
          <w:sz w:val="24"/>
          <w:szCs w:val="24"/>
        </w:rPr>
        <w:t>Tönshoff</w:t>
      </w:r>
      <w:proofErr w:type="spellEnd"/>
      <w:r w:rsidRPr="0062316F">
        <w:rPr>
          <w:rFonts w:ascii="Book Antiqua" w:hAnsi="Book Antiqua"/>
          <w:sz w:val="24"/>
          <w:szCs w:val="24"/>
        </w:rPr>
        <w:t xml:space="preserve"> B, Keown P, Campbell S, </w:t>
      </w:r>
      <w:proofErr w:type="spellStart"/>
      <w:r w:rsidRPr="0062316F">
        <w:rPr>
          <w:rFonts w:ascii="Book Antiqua" w:hAnsi="Book Antiqua"/>
          <w:sz w:val="24"/>
          <w:szCs w:val="24"/>
        </w:rPr>
        <w:t>Mamelok</w:t>
      </w:r>
      <w:proofErr w:type="spellEnd"/>
      <w:r w:rsidRPr="0062316F">
        <w:rPr>
          <w:rFonts w:ascii="Book Antiqua" w:hAnsi="Book Antiqua"/>
          <w:sz w:val="24"/>
          <w:szCs w:val="24"/>
        </w:rPr>
        <w:t xml:space="preserve"> RD. Comparing mycophenolate mofetil regimens for de novo </w:t>
      </w:r>
      <w:r w:rsidRPr="0062316F">
        <w:rPr>
          <w:rFonts w:ascii="Book Antiqua" w:hAnsi="Book Antiqua"/>
          <w:sz w:val="24"/>
          <w:szCs w:val="24"/>
        </w:rPr>
        <w:lastRenderedPageBreak/>
        <w:t xml:space="preserve">renal transplant recipients: the fixed-dose concentration-controlled trial. </w:t>
      </w:r>
      <w:r w:rsidRPr="0062316F">
        <w:rPr>
          <w:rFonts w:ascii="Book Antiqua" w:hAnsi="Book Antiqua"/>
          <w:i/>
          <w:sz w:val="24"/>
          <w:szCs w:val="24"/>
        </w:rPr>
        <w:t>Transplantation</w:t>
      </w:r>
      <w:r w:rsidRPr="0062316F">
        <w:rPr>
          <w:rFonts w:ascii="Book Antiqua" w:hAnsi="Book Antiqua"/>
          <w:sz w:val="24"/>
          <w:szCs w:val="24"/>
        </w:rPr>
        <w:t xml:space="preserve"> 2008; </w:t>
      </w:r>
      <w:r w:rsidRPr="0062316F">
        <w:rPr>
          <w:rFonts w:ascii="Book Antiqua" w:hAnsi="Book Antiqua"/>
          <w:b/>
          <w:sz w:val="24"/>
          <w:szCs w:val="24"/>
        </w:rPr>
        <w:t>86</w:t>
      </w:r>
      <w:r w:rsidRPr="0062316F">
        <w:rPr>
          <w:rFonts w:ascii="Book Antiqua" w:hAnsi="Book Antiqua"/>
          <w:sz w:val="24"/>
          <w:szCs w:val="24"/>
        </w:rPr>
        <w:t>: 1043-1051 [PMID: 18946341 DOI: 10.1097/TP.0b013e318186f98a]</w:t>
      </w:r>
    </w:p>
    <w:p w14:paraId="66058EB0"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17 </w:t>
      </w:r>
      <w:r w:rsidRPr="0062316F">
        <w:rPr>
          <w:rFonts w:ascii="Book Antiqua" w:hAnsi="Book Antiqua"/>
          <w:b/>
          <w:sz w:val="24"/>
          <w:szCs w:val="24"/>
        </w:rPr>
        <w:t xml:space="preserve">Le </w:t>
      </w:r>
      <w:proofErr w:type="spellStart"/>
      <w:r w:rsidRPr="0062316F">
        <w:rPr>
          <w:rFonts w:ascii="Book Antiqua" w:hAnsi="Book Antiqua"/>
          <w:b/>
          <w:sz w:val="24"/>
          <w:szCs w:val="24"/>
        </w:rPr>
        <w:t>Meur</w:t>
      </w:r>
      <w:proofErr w:type="spellEnd"/>
      <w:r w:rsidRPr="0062316F">
        <w:rPr>
          <w:rFonts w:ascii="Book Antiqua" w:hAnsi="Book Antiqua"/>
          <w:b/>
          <w:sz w:val="24"/>
          <w:szCs w:val="24"/>
        </w:rPr>
        <w:t xml:space="preserve"> Y</w:t>
      </w:r>
      <w:r w:rsidRPr="0062316F">
        <w:rPr>
          <w:rFonts w:ascii="Book Antiqua" w:hAnsi="Book Antiqua"/>
          <w:sz w:val="24"/>
          <w:szCs w:val="24"/>
        </w:rPr>
        <w:t xml:space="preserve">, </w:t>
      </w:r>
      <w:proofErr w:type="spellStart"/>
      <w:r w:rsidRPr="0062316F">
        <w:rPr>
          <w:rFonts w:ascii="Book Antiqua" w:hAnsi="Book Antiqua"/>
          <w:sz w:val="24"/>
          <w:szCs w:val="24"/>
        </w:rPr>
        <w:t>Büchler</w:t>
      </w:r>
      <w:proofErr w:type="spellEnd"/>
      <w:r w:rsidRPr="0062316F">
        <w:rPr>
          <w:rFonts w:ascii="Book Antiqua" w:hAnsi="Book Antiqua"/>
          <w:sz w:val="24"/>
          <w:szCs w:val="24"/>
        </w:rPr>
        <w:t xml:space="preserve"> M, Thierry A, </w:t>
      </w:r>
      <w:proofErr w:type="spellStart"/>
      <w:r w:rsidRPr="0062316F">
        <w:rPr>
          <w:rFonts w:ascii="Book Antiqua" w:hAnsi="Book Antiqua"/>
          <w:sz w:val="24"/>
          <w:szCs w:val="24"/>
        </w:rPr>
        <w:t>Caillard</w:t>
      </w:r>
      <w:proofErr w:type="spellEnd"/>
      <w:r w:rsidRPr="0062316F">
        <w:rPr>
          <w:rFonts w:ascii="Book Antiqua" w:hAnsi="Book Antiqua"/>
          <w:sz w:val="24"/>
          <w:szCs w:val="24"/>
        </w:rPr>
        <w:t xml:space="preserve"> S, </w:t>
      </w:r>
      <w:proofErr w:type="spellStart"/>
      <w:r w:rsidRPr="0062316F">
        <w:rPr>
          <w:rFonts w:ascii="Book Antiqua" w:hAnsi="Book Antiqua"/>
          <w:sz w:val="24"/>
          <w:szCs w:val="24"/>
        </w:rPr>
        <w:t>Villemain</w:t>
      </w:r>
      <w:proofErr w:type="spellEnd"/>
      <w:r w:rsidRPr="0062316F">
        <w:rPr>
          <w:rFonts w:ascii="Book Antiqua" w:hAnsi="Book Antiqua"/>
          <w:sz w:val="24"/>
          <w:szCs w:val="24"/>
        </w:rPr>
        <w:t xml:space="preserve"> F, </w:t>
      </w:r>
      <w:proofErr w:type="spellStart"/>
      <w:r w:rsidRPr="0062316F">
        <w:rPr>
          <w:rFonts w:ascii="Book Antiqua" w:hAnsi="Book Antiqua"/>
          <w:sz w:val="24"/>
          <w:szCs w:val="24"/>
        </w:rPr>
        <w:t>Lavaud</w:t>
      </w:r>
      <w:proofErr w:type="spellEnd"/>
      <w:r w:rsidRPr="0062316F">
        <w:rPr>
          <w:rFonts w:ascii="Book Antiqua" w:hAnsi="Book Antiqua"/>
          <w:sz w:val="24"/>
          <w:szCs w:val="24"/>
        </w:rPr>
        <w:t xml:space="preserve"> S, Etienne I, </w:t>
      </w:r>
      <w:proofErr w:type="spellStart"/>
      <w:r w:rsidRPr="0062316F">
        <w:rPr>
          <w:rFonts w:ascii="Book Antiqua" w:hAnsi="Book Antiqua"/>
          <w:sz w:val="24"/>
          <w:szCs w:val="24"/>
        </w:rPr>
        <w:t>Westeel</w:t>
      </w:r>
      <w:proofErr w:type="spellEnd"/>
      <w:r w:rsidRPr="0062316F">
        <w:rPr>
          <w:rFonts w:ascii="Book Antiqua" w:hAnsi="Book Antiqua"/>
          <w:sz w:val="24"/>
          <w:szCs w:val="24"/>
        </w:rPr>
        <w:t xml:space="preserve"> PF, </w:t>
      </w:r>
      <w:proofErr w:type="spellStart"/>
      <w:r w:rsidRPr="0062316F">
        <w:rPr>
          <w:rFonts w:ascii="Book Antiqua" w:hAnsi="Book Antiqua"/>
          <w:sz w:val="24"/>
          <w:szCs w:val="24"/>
        </w:rPr>
        <w:t>Hurault</w:t>
      </w:r>
      <w:proofErr w:type="spellEnd"/>
      <w:r w:rsidRPr="0062316F">
        <w:rPr>
          <w:rFonts w:ascii="Book Antiqua" w:hAnsi="Book Antiqua"/>
          <w:sz w:val="24"/>
          <w:szCs w:val="24"/>
        </w:rPr>
        <w:t xml:space="preserve"> de </w:t>
      </w:r>
      <w:proofErr w:type="spellStart"/>
      <w:r w:rsidRPr="0062316F">
        <w:rPr>
          <w:rFonts w:ascii="Book Antiqua" w:hAnsi="Book Antiqua"/>
          <w:sz w:val="24"/>
          <w:szCs w:val="24"/>
        </w:rPr>
        <w:t>Ligny</w:t>
      </w:r>
      <w:proofErr w:type="spellEnd"/>
      <w:r w:rsidRPr="0062316F">
        <w:rPr>
          <w:rFonts w:ascii="Book Antiqua" w:hAnsi="Book Antiqua"/>
          <w:sz w:val="24"/>
          <w:szCs w:val="24"/>
        </w:rPr>
        <w:t xml:space="preserve"> B, </w:t>
      </w:r>
      <w:proofErr w:type="spellStart"/>
      <w:r w:rsidRPr="0062316F">
        <w:rPr>
          <w:rFonts w:ascii="Book Antiqua" w:hAnsi="Book Antiqua"/>
          <w:sz w:val="24"/>
          <w:szCs w:val="24"/>
        </w:rPr>
        <w:t>Rostaing</w:t>
      </w:r>
      <w:proofErr w:type="spellEnd"/>
      <w:r w:rsidRPr="0062316F">
        <w:rPr>
          <w:rFonts w:ascii="Book Antiqua" w:hAnsi="Book Antiqua"/>
          <w:sz w:val="24"/>
          <w:szCs w:val="24"/>
        </w:rPr>
        <w:t xml:space="preserve"> L, </w:t>
      </w:r>
      <w:proofErr w:type="spellStart"/>
      <w:r w:rsidRPr="0062316F">
        <w:rPr>
          <w:rFonts w:ascii="Book Antiqua" w:hAnsi="Book Antiqua"/>
          <w:sz w:val="24"/>
          <w:szCs w:val="24"/>
        </w:rPr>
        <w:t>Thervet</w:t>
      </w:r>
      <w:proofErr w:type="spellEnd"/>
      <w:r w:rsidRPr="0062316F">
        <w:rPr>
          <w:rFonts w:ascii="Book Antiqua" w:hAnsi="Book Antiqua"/>
          <w:sz w:val="24"/>
          <w:szCs w:val="24"/>
        </w:rPr>
        <w:t xml:space="preserve"> E, </w:t>
      </w:r>
      <w:proofErr w:type="spellStart"/>
      <w:r w:rsidRPr="0062316F">
        <w:rPr>
          <w:rFonts w:ascii="Book Antiqua" w:hAnsi="Book Antiqua"/>
          <w:sz w:val="24"/>
          <w:szCs w:val="24"/>
        </w:rPr>
        <w:t>Szelag</w:t>
      </w:r>
      <w:proofErr w:type="spellEnd"/>
      <w:r w:rsidRPr="0062316F">
        <w:rPr>
          <w:rFonts w:ascii="Book Antiqua" w:hAnsi="Book Antiqua"/>
          <w:sz w:val="24"/>
          <w:szCs w:val="24"/>
        </w:rPr>
        <w:t xml:space="preserve"> JC, </w:t>
      </w:r>
      <w:proofErr w:type="spellStart"/>
      <w:r w:rsidRPr="0062316F">
        <w:rPr>
          <w:rFonts w:ascii="Book Antiqua" w:hAnsi="Book Antiqua"/>
          <w:sz w:val="24"/>
          <w:szCs w:val="24"/>
        </w:rPr>
        <w:t>Rérolle</w:t>
      </w:r>
      <w:proofErr w:type="spellEnd"/>
      <w:r w:rsidRPr="0062316F">
        <w:rPr>
          <w:rFonts w:ascii="Book Antiqua" w:hAnsi="Book Antiqua"/>
          <w:sz w:val="24"/>
          <w:szCs w:val="24"/>
        </w:rPr>
        <w:t xml:space="preserve"> JP, Rousseau A, </w:t>
      </w:r>
      <w:proofErr w:type="spellStart"/>
      <w:r w:rsidRPr="0062316F">
        <w:rPr>
          <w:rFonts w:ascii="Book Antiqua" w:hAnsi="Book Antiqua"/>
          <w:sz w:val="24"/>
          <w:szCs w:val="24"/>
        </w:rPr>
        <w:t>Touchard</w:t>
      </w:r>
      <w:proofErr w:type="spellEnd"/>
      <w:r w:rsidRPr="0062316F">
        <w:rPr>
          <w:rFonts w:ascii="Book Antiqua" w:hAnsi="Book Antiqua"/>
          <w:sz w:val="24"/>
          <w:szCs w:val="24"/>
        </w:rPr>
        <w:t xml:space="preserve"> G, </w:t>
      </w:r>
      <w:proofErr w:type="spellStart"/>
      <w:r w:rsidRPr="0062316F">
        <w:rPr>
          <w:rFonts w:ascii="Book Antiqua" w:hAnsi="Book Antiqua"/>
          <w:sz w:val="24"/>
          <w:szCs w:val="24"/>
        </w:rPr>
        <w:t>Marquet</w:t>
      </w:r>
      <w:proofErr w:type="spellEnd"/>
      <w:r w:rsidRPr="0062316F">
        <w:rPr>
          <w:rFonts w:ascii="Book Antiqua" w:hAnsi="Book Antiqua"/>
          <w:sz w:val="24"/>
          <w:szCs w:val="24"/>
        </w:rPr>
        <w:t xml:space="preserve"> P. Individualized mycophenolate mofetil dosing based on drug exposure significantly improves patient outcomes after renal transplantation. </w:t>
      </w:r>
      <w:r w:rsidRPr="0062316F">
        <w:rPr>
          <w:rFonts w:ascii="Book Antiqua" w:hAnsi="Book Antiqua"/>
          <w:i/>
          <w:sz w:val="24"/>
          <w:szCs w:val="24"/>
        </w:rPr>
        <w:t>Am J Transplant</w:t>
      </w:r>
      <w:r w:rsidRPr="0062316F">
        <w:rPr>
          <w:rFonts w:ascii="Book Antiqua" w:hAnsi="Book Antiqua"/>
          <w:sz w:val="24"/>
          <w:szCs w:val="24"/>
        </w:rPr>
        <w:t xml:space="preserve"> 2007; </w:t>
      </w:r>
      <w:r w:rsidRPr="0062316F">
        <w:rPr>
          <w:rFonts w:ascii="Book Antiqua" w:hAnsi="Book Antiqua"/>
          <w:b/>
          <w:sz w:val="24"/>
          <w:szCs w:val="24"/>
        </w:rPr>
        <w:t>7</w:t>
      </w:r>
      <w:r w:rsidRPr="0062316F">
        <w:rPr>
          <w:rFonts w:ascii="Book Antiqua" w:hAnsi="Book Antiqua"/>
          <w:sz w:val="24"/>
          <w:szCs w:val="24"/>
        </w:rPr>
        <w:t>: 2496-2503 [PMID: 17908276 DOI: 10.1111/j.1600-6143.</w:t>
      </w:r>
      <w:proofErr w:type="gramStart"/>
      <w:r w:rsidRPr="0062316F">
        <w:rPr>
          <w:rFonts w:ascii="Book Antiqua" w:hAnsi="Book Antiqua"/>
          <w:sz w:val="24"/>
          <w:szCs w:val="24"/>
        </w:rPr>
        <w:t>2007.01983.x</w:t>
      </w:r>
      <w:proofErr w:type="gramEnd"/>
      <w:r w:rsidRPr="0062316F">
        <w:rPr>
          <w:rFonts w:ascii="Book Antiqua" w:hAnsi="Book Antiqua"/>
          <w:sz w:val="24"/>
          <w:szCs w:val="24"/>
        </w:rPr>
        <w:t>]</w:t>
      </w:r>
    </w:p>
    <w:p w14:paraId="7E3FD04C"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18 </w:t>
      </w:r>
      <w:proofErr w:type="spellStart"/>
      <w:r w:rsidRPr="0062316F">
        <w:rPr>
          <w:rFonts w:ascii="Book Antiqua" w:hAnsi="Book Antiqua"/>
          <w:b/>
          <w:sz w:val="24"/>
          <w:szCs w:val="24"/>
        </w:rPr>
        <w:t>Kiberd</w:t>
      </w:r>
      <w:proofErr w:type="spellEnd"/>
      <w:r w:rsidRPr="0062316F">
        <w:rPr>
          <w:rFonts w:ascii="Book Antiqua" w:hAnsi="Book Antiqua"/>
          <w:b/>
          <w:sz w:val="24"/>
          <w:szCs w:val="24"/>
        </w:rPr>
        <w:t xml:space="preserve"> BA</w:t>
      </w:r>
      <w:r w:rsidRPr="0062316F">
        <w:rPr>
          <w:rFonts w:ascii="Book Antiqua" w:hAnsi="Book Antiqua"/>
          <w:sz w:val="24"/>
          <w:szCs w:val="24"/>
        </w:rPr>
        <w:t xml:space="preserve">, </w:t>
      </w:r>
      <w:proofErr w:type="spellStart"/>
      <w:r w:rsidRPr="0062316F">
        <w:rPr>
          <w:rFonts w:ascii="Book Antiqua" w:hAnsi="Book Antiqua"/>
          <w:sz w:val="24"/>
          <w:szCs w:val="24"/>
        </w:rPr>
        <w:t>Lawen</w:t>
      </w:r>
      <w:proofErr w:type="spellEnd"/>
      <w:r w:rsidRPr="0062316F">
        <w:rPr>
          <w:rFonts w:ascii="Book Antiqua" w:hAnsi="Book Antiqua"/>
          <w:sz w:val="24"/>
          <w:szCs w:val="24"/>
        </w:rPr>
        <w:t xml:space="preserve"> J, Fraser AD, Keough-Ryan T, </w:t>
      </w:r>
      <w:proofErr w:type="spellStart"/>
      <w:r w:rsidRPr="0062316F">
        <w:rPr>
          <w:rFonts w:ascii="Book Antiqua" w:hAnsi="Book Antiqua"/>
          <w:sz w:val="24"/>
          <w:szCs w:val="24"/>
        </w:rPr>
        <w:t>Belitsky</w:t>
      </w:r>
      <w:proofErr w:type="spellEnd"/>
      <w:r w:rsidRPr="0062316F">
        <w:rPr>
          <w:rFonts w:ascii="Book Antiqua" w:hAnsi="Book Antiqua"/>
          <w:sz w:val="24"/>
          <w:szCs w:val="24"/>
        </w:rPr>
        <w:t xml:space="preserve"> P. Early adequate mycophenolic acid exposure is associated with less rejection in kidney transplantation. </w:t>
      </w:r>
      <w:r w:rsidRPr="0062316F">
        <w:rPr>
          <w:rFonts w:ascii="Book Antiqua" w:hAnsi="Book Antiqua"/>
          <w:i/>
          <w:sz w:val="24"/>
          <w:szCs w:val="24"/>
        </w:rPr>
        <w:t>Am J Transplant</w:t>
      </w:r>
      <w:r w:rsidRPr="0062316F">
        <w:rPr>
          <w:rFonts w:ascii="Book Antiqua" w:hAnsi="Book Antiqua"/>
          <w:sz w:val="24"/>
          <w:szCs w:val="24"/>
        </w:rPr>
        <w:t xml:space="preserve"> 2004; </w:t>
      </w:r>
      <w:r w:rsidRPr="0062316F">
        <w:rPr>
          <w:rFonts w:ascii="Book Antiqua" w:hAnsi="Book Antiqua"/>
          <w:b/>
          <w:sz w:val="24"/>
          <w:szCs w:val="24"/>
        </w:rPr>
        <w:t>4</w:t>
      </w:r>
      <w:r w:rsidRPr="0062316F">
        <w:rPr>
          <w:rFonts w:ascii="Book Antiqua" w:hAnsi="Book Antiqua"/>
          <w:sz w:val="24"/>
          <w:szCs w:val="24"/>
        </w:rPr>
        <w:t>: 1079-1083 [PMID: 15196064 DOI: 10.1111/j.1600-6143.</w:t>
      </w:r>
      <w:proofErr w:type="gramStart"/>
      <w:r w:rsidRPr="0062316F">
        <w:rPr>
          <w:rFonts w:ascii="Book Antiqua" w:hAnsi="Book Antiqua"/>
          <w:sz w:val="24"/>
          <w:szCs w:val="24"/>
        </w:rPr>
        <w:t>2004.00455.x</w:t>
      </w:r>
      <w:proofErr w:type="gramEnd"/>
      <w:r w:rsidRPr="0062316F">
        <w:rPr>
          <w:rFonts w:ascii="Book Antiqua" w:hAnsi="Book Antiqua"/>
          <w:sz w:val="24"/>
          <w:szCs w:val="24"/>
        </w:rPr>
        <w:t>]</w:t>
      </w:r>
    </w:p>
    <w:p w14:paraId="7126F60F"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19 </w:t>
      </w:r>
      <w:r w:rsidRPr="0062316F">
        <w:rPr>
          <w:rFonts w:ascii="Book Antiqua" w:hAnsi="Book Antiqua"/>
          <w:b/>
          <w:sz w:val="24"/>
          <w:szCs w:val="24"/>
        </w:rPr>
        <w:t>van Gelder T</w:t>
      </w:r>
      <w:r w:rsidRPr="0062316F">
        <w:rPr>
          <w:rFonts w:ascii="Book Antiqua" w:hAnsi="Book Antiqua"/>
          <w:sz w:val="24"/>
          <w:szCs w:val="24"/>
        </w:rPr>
        <w:t xml:space="preserve">, Tedesco Silva H, de </w:t>
      </w:r>
      <w:proofErr w:type="spellStart"/>
      <w:r w:rsidRPr="0062316F">
        <w:rPr>
          <w:rFonts w:ascii="Book Antiqua" w:hAnsi="Book Antiqua"/>
          <w:sz w:val="24"/>
          <w:szCs w:val="24"/>
        </w:rPr>
        <w:t>Fijter</w:t>
      </w:r>
      <w:proofErr w:type="spellEnd"/>
      <w:r w:rsidRPr="0062316F">
        <w:rPr>
          <w:rFonts w:ascii="Book Antiqua" w:hAnsi="Book Antiqua"/>
          <w:sz w:val="24"/>
          <w:szCs w:val="24"/>
        </w:rPr>
        <w:t xml:space="preserve"> JW, </w:t>
      </w:r>
      <w:proofErr w:type="spellStart"/>
      <w:r w:rsidRPr="0062316F">
        <w:rPr>
          <w:rFonts w:ascii="Book Antiqua" w:hAnsi="Book Antiqua"/>
          <w:sz w:val="24"/>
          <w:szCs w:val="24"/>
        </w:rPr>
        <w:t>Budde</w:t>
      </w:r>
      <w:proofErr w:type="spellEnd"/>
      <w:r w:rsidRPr="0062316F">
        <w:rPr>
          <w:rFonts w:ascii="Book Antiqua" w:hAnsi="Book Antiqua"/>
          <w:sz w:val="24"/>
          <w:szCs w:val="24"/>
        </w:rPr>
        <w:t xml:space="preserve"> K, </w:t>
      </w:r>
      <w:proofErr w:type="spellStart"/>
      <w:r w:rsidRPr="0062316F">
        <w:rPr>
          <w:rFonts w:ascii="Book Antiqua" w:hAnsi="Book Antiqua"/>
          <w:sz w:val="24"/>
          <w:szCs w:val="24"/>
        </w:rPr>
        <w:t>Kuypers</w:t>
      </w:r>
      <w:proofErr w:type="spellEnd"/>
      <w:r w:rsidRPr="0062316F">
        <w:rPr>
          <w:rFonts w:ascii="Book Antiqua" w:hAnsi="Book Antiqua"/>
          <w:sz w:val="24"/>
          <w:szCs w:val="24"/>
        </w:rPr>
        <w:t xml:space="preserve"> D, </w:t>
      </w:r>
      <w:proofErr w:type="spellStart"/>
      <w:r w:rsidRPr="0062316F">
        <w:rPr>
          <w:rFonts w:ascii="Book Antiqua" w:hAnsi="Book Antiqua"/>
          <w:sz w:val="24"/>
          <w:szCs w:val="24"/>
        </w:rPr>
        <w:t>Arns</w:t>
      </w:r>
      <w:proofErr w:type="spellEnd"/>
      <w:r w:rsidRPr="0062316F">
        <w:rPr>
          <w:rFonts w:ascii="Book Antiqua" w:hAnsi="Book Antiqua"/>
          <w:sz w:val="24"/>
          <w:szCs w:val="24"/>
        </w:rPr>
        <w:t xml:space="preserve"> W, </w:t>
      </w:r>
      <w:proofErr w:type="spellStart"/>
      <w:r w:rsidRPr="0062316F">
        <w:rPr>
          <w:rFonts w:ascii="Book Antiqua" w:hAnsi="Book Antiqua"/>
          <w:sz w:val="24"/>
          <w:szCs w:val="24"/>
        </w:rPr>
        <w:t>Soulillou</w:t>
      </w:r>
      <w:proofErr w:type="spellEnd"/>
      <w:r w:rsidRPr="0062316F">
        <w:rPr>
          <w:rFonts w:ascii="Book Antiqua" w:hAnsi="Book Antiqua"/>
          <w:sz w:val="24"/>
          <w:szCs w:val="24"/>
        </w:rPr>
        <w:t xml:space="preserve"> JP, </w:t>
      </w:r>
      <w:proofErr w:type="spellStart"/>
      <w:r w:rsidRPr="0062316F">
        <w:rPr>
          <w:rFonts w:ascii="Book Antiqua" w:hAnsi="Book Antiqua"/>
          <w:sz w:val="24"/>
          <w:szCs w:val="24"/>
        </w:rPr>
        <w:t>Kanellis</w:t>
      </w:r>
      <w:proofErr w:type="spellEnd"/>
      <w:r w:rsidRPr="0062316F">
        <w:rPr>
          <w:rFonts w:ascii="Book Antiqua" w:hAnsi="Book Antiqua"/>
          <w:sz w:val="24"/>
          <w:szCs w:val="24"/>
        </w:rPr>
        <w:t xml:space="preserve"> J, </w:t>
      </w:r>
      <w:proofErr w:type="spellStart"/>
      <w:r w:rsidRPr="0062316F">
        <w:rPr>
          <w:rFonts w:ascii="Book Antiqua" w:hAnsi="Book Antiqua"/>
          <w:sz w:val="24"/>
          <w:szCs w:val="24"/>
        </w:rPr>
        <w:t>Zelvys</w:t>
      </w:r>
      <w:proofErr w:type="spellEnd"/>
      <w:r w:rsidRPr="0062316F">
        <w:rPr>
          <w:rFonts w:ascii="Book Antiqua" w:hAnsi="Book Antiqua"/>
          <w:sz w:val="24"/>
          <w:szCs w:val="24"/>
        </w:rPr>
        <w:t xml:space="preserve"> A, Ekberg H, Holzer H, </w:t>
      </w:r>
      <w:proofErr w:type="spellStart"/>
      <w:r w:rsidRPr="0062316F">
        <w:rPr>
          <w:rFonts w:ascii="Book Antiqua" w:hAnsi="Book Antiqua"/>
          <w:sz w:val="24"/>
          <w:szCs w:val="24"/>
        </w:rPr>
        <w:t>Rostaing</w:t>
      </w:r>
      <w:proofErr w:type="spellEnd"/>
      <w:r w:rsidRPr="0062316F">
        <w:rPr>
          <w:rFonts w:ascii="Book Antiqua" w:hAnsi="Book Antiqua"/>
          <w:sz w:val="24"/>
          <w:szCs w:val="24"/>
        </w:rPr>
        <w:t xml:space="preserve"> L, </w:t>
      </w:r>
      <w:proofErr w:type="spellStart"/>
      <w:r w:rsidRPr="0062316F">
        <w:rPr>
          <w:rFonts w:ascii="Book Antiqua" w:hAnsi="Book Antiqua"/>
          <w:sz w:val="24"/>
          <w:szCs w:val="24"/>
        </w:rPr>
        <w:t>Mamelok</w:t>
      </w:r>
      <w:proofErr w:type="spellEnd"/>
      <w:r w:rsidRPr="0062316F">
        <w:rPr>
          <w:rFonts w:ascii="Book Antiqua" w:hAnsi="Book Antiqua"/>
          <w:sz w:val="24"/>
          <w:szCs w:val="24"/>
        </w:rPr>
        <w:t xml:space="preserve"> RD. Renal transplant patients at high risk of acute rejection benefit from adequate exposure to mycophenolic acid. </w:t>
      </w:r>
      <w:r w:rsidRPr="0062316F">
        <w:rPr>
          <w:rFonts w:ascii="Book Antiqua" w:hAnsi="Book Antiqua"/>
          <w:i/>
          <w:sz w:val="24"/>
          <w:szCs w:val="24"/>
        </w:rPr>
        <w:t>Transplantation</w:t>
      </w:r>
      <w:r w:rsidRPr="0062316F">
        <w:rPr>
          <w:rFonts w:ascii="Book Antiqua" w:hAnsi="Book Antiqua"/>
          <w:sz w:val="24"/>
          <w:szCs w:val="24"/>
        </w:rPr>
        <w:t xml:space="preserve"> 2010; </w:t>
      </w:r>
      <w:r w:rsidRPr="0062316F">
        <w:rPr>
          <w:rFonts w:ascii="Book Antiqua" w:hAnsi="Book Antiqua"/>
          <w:b/>
          <w:sz w:val="24"/>
          <w:szCs w:val="24"/>
        </w:rPr>
        <w:t>89</w:t>
      </w:r>
      <w:r w:rsidRPr="0062316F">
        <w:rPr>
          <w:rFonts w:ascii="Book Antiqua" w:hAnsi="Book Antiqua"/>
          <w:sz w:val="24"/>
          <w:szCs w:val="24"/>
        </w:rPr>
        <w:t>: 595-599 [PMID: 20124953 DOI: 10.1097/TP.0b013e3181ca7d84]</w:t>
      </w:r>
    </w:p>
    <w:p w14:paraId="7EBA806D"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20 </w:t>
      </w:r>
      <w:r w:rsidRPr="0062316F">
        <w:rPr>
          <w:rFonts w:ascii="Book Antiqua" w:hAnsi="Book Antiqua"/>
          <w:b/>
          <w:sz w:val="24"/>
          <w:szCs w:val="24"/>
        </w:rPr>
        <w:t>Knorr JP</w:t>
      </w:r>
      <w:r w:rsidRPr="0062316F">
        <w:rPr>
          <w:rFonts w:ascii="Book Antiqua" w:hAnsi="Book Antiqua"/>
          <w:sz w:val="24"/>
          <w:szCs w:val="24"/>
        </w:rPr>
        <w:t xml:space="preserve">, </w:t>
      </w:r>
      <w:proofErr w:type="spellStart"/>
      <w:r w:rsidRPr="0062316F">
        <w:rPr>
          <w:rFonts w:ascii="Book Antiqua" w:hAnsi="Book Antiqua"/>
          <w:sz w:val="24"/>
          <w:szCs w:val="24"/>
        </w:rPr>
        <w:t>Sjeime</w:t>
      </w:r>
      <w:proofErr w:type="spellEnd"/>
      <w:r w:rsidRPr="0062316F">
        <w:rPr>
          <w:rFonts w:ascii="Book Antiqua" w:hAnsi="Book Antiqua"/>
          <w:sz w:val="24"/>
          <w:szCs w:val="24"/>
        </w:rPr>
        <w:t xml:space="preserve"> M, </w:t>
      </w:r>
      <w:proofErr w:type="spellStart"/>
      <w:r w:rsidRPr="0062316F">
        <w:rPr>
          <w:rFonts w:ascii="Book Antiqua" w:hAnsi="Book Antiqua"/>
          <w:sz w:val="24"/>
          <w:szCs w:val="24"/>
        </w:rPr>
        <w:t>Braitman</w:t>
      </w:r>
      <w:proofErr w:type="spellEnd"/>
      <w:r w:rsidRPr="0062316F">
        <w:rPr>
          <w:rFonts w:ascii="Book Antiqua" w:hAnsi="Book Antiqua"/>
          <w:sz w:val="24"/>
          <w:szCs w:val="24"/>
        </w:rPr>
        <w:t xml:space="preserve"> LE, </w:t>
      </w:r>
      <w:proofErr w:type="spellStart"/>
      <w:r w:rsidRPr="0062316F">
        <w:rPr>
          <w:rFonts w:ascii="Book Antiqua" w:hAnsi="Book Antiqua"/>
          <w:sz w:val="24"/>
          <w:szCs w:val="24"/>
        </w:rPr>
        <w:t>Jawa</w:t>
      </w:r>
      <w:proofErr w:type="spellEnd"/>
      <w:r w:rsidRPr="0062316F">
        <w:rPr>
          <w:rFonts w:ascii="Book Antiqua" w:hAnsi="Book Antiqua"/>
          <w:sz w:val="24"/>
          <w:szCs w:val="24"/>
        </w:rPr>
        <w:t xml:space="preserve"> P, </w:t>
      </w:r>
      <w:proofErr w:type="spellStart"/>
      <w:r w:rsidRPr="0062316F">
        <w:rPr>
          <w:rFonts w:ascii="Book Antiqua" w:hAnsi="Book Antiqua"/>
          <w:sz w:val="24"/>
          <w:szCs w:val="24"/>
        </w:rPr>
        <w:t>Zaki</w:t>
      </w:r>
      <w:proofErr w:type="spellEnd"/>
      <w:r w:rsidRPr="0062316F">
        <w:rPr>
          <w:rFonts w:ascii="Book Antiqua" w:hAnsi="Book Antiqua"/>
          <w:sz w:val="24"/>
          <w:szCs w:val="24"/>
        </w:rPr>
        <w:t xml:space="preserve"> R, Ortiz J. Concomitant proton pump inhibitors with mycophenolate mofetil and the risk of rejection in kidney transplant recipients. </w:t>
      </w:r>
      <w:r w:rsidRPr="0062316F">
        <w:rPr>
          <w:rFonts w:ascii="Book Antiqua" w:hAnsi="Book Antiqua"/>
          <w:i/>
          <w:sz w:val="24"/>
          <w:szCs w:val="24"/>
        </w:rPr>
        <w:t>Transplantation</w:t>
      </w:r>
      <w:r w:rsidRPr="0062316F">
        <w:rPr>
          <w:rFonts w:ascii="Book Antiqua" w:hAnsi="Book Antiqua"/>
          <w:sz w:val="24"/>
          <w:szCs w:val="24"/>
        </w:rPr>
        <w:t xml:space="preserve"> 2014; </w:t>
      </w:r>
      <w:r w:rsidRPr="0062316F">
        <w:rPr>
          <w:rFonts w:ascii="Book Antiqua" w:hAnsi="Book Antiqua"/>
          <w:b/>
          <w:sz w:val="24"/>
          <w:szCs w:val="24"/>
        </w:rPr>
        <w:t>97</w:t>
      </w:r>
      <w:r w:rsidRPr="0062316F">
        <w:rPr>
          <w:rFonts w:ascii="Book Antiqua" w:hAnsi="Book Antiqua"/>
          <w:sz w:val="24"/>
          <w:szCs w:val="24"/>
        </w:rPr>
        <w:t>: 518-524 [PMID: 24162246 DOI: 10.1097/</w:t>
      </w:r>
      <w:proofErr w:type="gramStart"/>
      <w:r w:rsidRPr="0062316F">
        <w:rPr>
          <w:rFonts w:ascii="Book Antiqua" w:hAnsi="Book Antiqua"/>
          <w:sz w:val="24"/>
          <w:szCs w:val="24"/>
        </w:rPr>
        <w:t>01.tp.</w:t>
      </w:r>
      <w:proofErr w:type="gramEnd"/>
      <w:r w:rsidRPr="0062316F">
        <w:rPr>
          <w:rFonts w:ascii="Book Antiqua" w:hAnsi="Book Antiqua"/>
          <w:sz w:val="24"/>
          <w:szCs w:val="24"/>
        </w:rPr>
        <w:t>0000436100.65983.10]</w:t>
      </w:r>
    </w:p>
    <w:p w14:paraId="53DDD3DA"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21 </w:t>
      </w:r>
      <w:bookmarkStart w:id="191" w:name="_GoBack"/>
      <w:proofErr w:type="spellStart"/>
      <w:r w:rsidRPr="0062316F">
        <w:rPr>
          <w:rFonts w:ascii="Book Antiqua" w:hAnsi="Book Antiqua"/>
          <w:b/>
          <w:sz w:val="24"/>
          <w:szCs w:val="24"/>
        </w:rPr>
        <w:t>Courson</w:t>
      </w:r>
      <w:bookmarkEnd w:id="191"/>
      <w:proofErr w:type="spellEnd"/>
      <w:r w:rsidRPr="0062316F">
        <w:rPr>
          <w:rFonts w:ascii="Book Antiqua" w:hAnsi="Book Antiqua"/>
          <w:b/>
          <w:sz w:val="24"/>
          <w:szCs w:val="24"/>
        </w:rPr>
        <w:t xml:space="preserve"> AY</w:t>
      </w:r>
      <w:r w:rsidRPr="0062316F">
        <w:rPr>
          <w:rFonts w:ascii="Book Antiqua" w:hAnsi="Book Antiqua"/>
          <w:sz w:val="24"/>
          <w:szCs w:val="24"/>
        </w:rPr>
        <w:t xml:space="preserve">, Lee JR, </w:t>
      </w:r>
      <w:proofErr w:type="spellStart"/>
      <w:r w:rsidRPr="0062316F">
        <w:rPr>
          <w:rFonts w:ascii="Book Antiqua" w:hAnsi="Book Antiqua"/>
          <w:sz w:val="24"/>
          <w:szCs w:val="24"/>
        </w:rPr>
        <w:t>Aull</w:t>
      </w:r>
      <w:proofErr w:type="spellEnd"/>
      <w:r w:rsidRPr="0062316F">
        <w:rPr>
          <w:rFonts w:ascii="Book Antiqua" w:hAnsi="Book Antiqua"/>
          <w:sz w:val="24"/>
          <w:szCs w:val="24"/>
        </w:rPr>
        <w:t xml:space="preserve"> MJ, Lee JH, </w:t>
      </w:r>
      <w:proofErr w:type="spellStart"/>
      <w:r w:rsidRPr="0062316F">
        <w:rPr>
          <w:rFonts w:ascii="Book Antiqua" w:hAnsi="Book Antiqua"/>
          <w:sz w:val="24"/>
          <w:szCs w:val="24"/>
        </w:rPr>
        <w:t>Kapur</w:t>
      </w:r>
      <w:proofErr w:type="spellEnd"/>
      <w:r w:rsidRPr="0062316F">
        <w:rPr>
          <w:rFonts w:ascii="Book Antiqua" w:hAnsi="Book Antiqua"/>
          <w:sz w:val="24"/>
          <w:szCs w:val="24"/>
        </w:rPr>
        <w:t xml:space="preserve"> S, McDermott JK. Routine prophylaxis with proton pump inhibitors and post-transplant complications in kidney transplant recipients undergoing early corticosteroid withdrawal. </w:t>
      </w:r>
      <w:r w:rsidRPr="0062316F">
        <w:rPr>
          <w:rFonts w:ascii="Book Antiqua" w:hAnsi="Book Antiqua"/>
          <w:i/>
          <w:sz w:val="24"/>
          <w:szCs w:val="24"/>
        </w:rPr>
        <w:t>Clin Transplant</w:t>
      </w:r>
      <w:r w:rsidRPr="0062316F">
        <w:rPr>
          <w:rFonts w:ascii="Book Antiqua" w:hAnsi="Book Antiqua"/>
          <w:sz w:val="24"/>
          <w:szCs w:val="24"/>
        </w:rPr>
        <w:t xml:space="preserve"> 2016; </w:t>
      </w:r>
      <w:r w:rsidRPr="0062316F">
        <w:rPr>
          <w:rFonts w:ascii="Book Antiqua" w:hAnsi="Book Antiqua"/>
          <w:b/>
          <w:sz w:val="24"/>
          <w:szCs w:val="24"/>
        </w:rPr>
        <w:t>30</w:t>
      </w:r>
      <w:r w:rsidRPr="0062316F">
        <w:rPr>
          <w:rFonts w:ascii="Book Antiqua" w:hAnsi="Book Antiqua"/>
          <w:sz w:val="24"/>
          <w:szCs w:val="24"/>
        </w:rPr>
        <w:t>: 694-702 [PMID: 27004722 DOI: 10.1111/ctr.12736]</w:t>
      </w:r>
    </w:p>
    <w:p w14:paraId="00152E96"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22 </w:t>
      </w:r>
      <w:r w:rsidRPr="0062316F">
        <w:rPr>
          <w:rFonts w:ascii="Book Antiqua" w:hAnsi="Book Antiqua"/>
          <w:b/>
          <w:sz w:val="24"/>
          <w:szCs w:val="24"/>
        </w:rPr>
        <w:t xml:space="preserve">van </w:t>
      </w:r>
      <w:proofErr w:type="spellStart"/>
      <w:r w:rsidRPr="0062316F">
        <w:rPr>
          <w:rFonts w:ascii="Book Antiqua" w:hAnsi="Book Antiqua"/>
          <w:b/>
          <w:sz w:val="24"/>
          <w:szCs w:val="24"/>
        </w:rPr>
        <w:t>Boekel</w:t>
      </w:r>
      <w:proofErr w:type="spellEnd"/>
      <w:r w:rsidRPr="0062316F">
        <w:rPr>
          <w:rFonts w:ascii="Book Antiqua" w:hAnsi="Book Antiqua"/>
          <w:b/>
          <w:sz w:val="24"/>
          <w:szCs w:val="24"/>
        </w:rPr>
        <w:t xml:space="preserve"> GA</w:t>
      </w:r>
      <w:r w:rsidRPr="0062316F">
        <w:rPr>
          <w:rFonts w:ascii="Book Antiqua" w:hAnsi="Book Antiqua"/>
          <w:sz w:val="24"/>
          <w:szCs w:val="24"/>
        </w:rPr>
        <w:t xml:space="preserve">, </w:t>
      </w:r>
      <w:proofErr w:type="spellStart"/>
      <w:r w:rsidRPr="0062316F">
        <w:rPr>
          <w:rFonts w:ascii="Book Antiqua" w:hAnsi="Book Antiqua"/>
          <w:sz w:val="24"/>
          <w:szCs w:val="24"/>
        </w:rPr>
        <w:t>Kerkhofs</w:t>
      </w:r>
      <w:proofErr w:type="spellEnd"/>
      <w:r w:rsidRPr="0062316F">
        <w:rPr>
          <w:rFonts w:ascii="Book Antiqua" w:hAnsi="Book Antiqua"/>
          <w:sz w:val="24"/>
          <w:szCs w:val="24"/>
        </w:rPr>
        <w:t xml:space="preserve"> CH, van de </w:t>
      </w:r>
      <w:proofErr w:type="spellStart"/>
      <w:r w:rsidRPr="0062316F">
        <w:rPr>
          <w:rFonts w:ascii="Book Antiqua" w:hAnsi="Book Antiqua"/>
          <w:sz w:val="24"/>
          <w:szCs w:val="24"/>
        </w:rPr>
        <w:t>Logt</w:t>
      </w:r>
      <w:proofErr w:type="spellEnd"/>
      <w:r w:rsidRPr="0062316F">
        <w:rPr>
          <w:rFonts w:ascii="Book Antiqua" w:hAnsi="Book Antiqua"/>
          <w:sz w:val="24"/>
          <w:szCs w:val="24"/>
        </w:rPr>
        <w:t xml:space="preserve"> F, </w:t>
      </w:r>
      <w:proofErr w:type="spellStart"/>
      <w:r w:rsidRPr="0062316F">
        <w:rPr>
          <w:rFonts w:ascii="Book Antiqua" w:hAnsi="Book Antiqua"/>
          <w:sz w:val="24"/>
          <w:szCs w:val="24"/>
        </w:rPr>
        <w:t>Hilbrands</w:t>
      </w:r>
      <w:proofErr w:type="spellEnd"/>
      <w:r w:rsidRPr="0062316F">
        <w:rPr>
          <w:rFonts w:ascii="Book Antiqua" w:hAnsi="Book Antiqua"/>
          <w:sz w:val="24"/>
          <w:szCs w:val="24"/>
        </w:rPr>
        <w:t xml:space="preserve"> LB. Proton pump inhibitors do not increase the risk of acute rejection. </w:t>
      </w:r>
      <w:proofErr w:type="spellStart"/>
      <w:r w:rsidRPr="0062316F">
        <w:rPr>
          <w:rFonts w:ascii="Book Antiqua" w:hAnsi="Book Antiqua"/>
          <w:i/>
          <w:sz w:val="24"/>
          <w:szCs w:val="24"/>
        </w:rPr>
        <w:t>Neth</w:t>
      </w:r>
      <w:proofErr w:type="spellEnd"/>
      <w:r w:rsidRPr="0062316F">
        <w:rPr>
          <w:rFonts w:ascii="Book Antiqua" w:hAnsi="Book Antiqua"/>
          <w:i/>
          <w:sz w:val="24"/>
          <w:szCs w:val="24"/>
        </w:rPr>
        <w:t xml:space="preserve"> J Med</w:t>
      </w:r>
      <w:r w:rsidRPr="0062316F">
        <w:rPr>
          <w:rFonts w:ascii="Book Antiqua" w:hAnsi="Book Antiqua"/>
          <w:sz w:val="24"/>
          <w:szCs w:val="24"/>
        </w:rPr>
        <w:t xml:space="preserve"> 2014; </w:t>
      </w:r>
      <w:r w:rsidRPr="0062316F">
        <w:rPr>
          <w:rFonts w:ascii="Book Antiqua" w:hAnsi="Book Antiqua"/>
          <w:b/>
          <w:sz w:val="24"/>
          <w:szCs w:val="24"/>
        </w:rPr>
        <w:t>72</w:t>
      </w:r>
      <w:r w:rsidRPr="0062316F">
        <w:rPr>
          <w:rFonts w:ascii="Book Antiqua" w:hAnsi="Book Antiqua"/>
          <w:sz w:val="24"/>
          <w:szCs w:val="24"/>
        </w:rPr>
        <w:t>: 86-90 [PMID: 24659591]</w:t>
      </w:r>
    </w:p>
    <w:p w14:paraId="47A8E28B"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23 </w:t>
      </w:r>
      <w:r w:rsidRPr="0062316F">
        <w:rPr>
          <w:rFonts w:ascii="Book Antiqua" w:hAnsi="Book Antiqua"/>
          <w:b/>
          <w:sz w:val="24"/>
          <w:szCs w:val="24"/>
        </w:rPr>
        <w:t>Patel KS</w:t>
      </w:r>
      <w:r w:rsidRPr="0062316F">
        <w:rPr>
          <w:rFonts w:ascii="Book Antiqua" w:hAnsi="Book Antiqua"/>
          <w:sz w:val="24"/>
          <w:szCs w:val="24"/>
        </w:rPr>
        <w:t xml:space="preserve">, Stephany BR, Barnes JF, Bauer SR, Spinner ML. Renal Transplant Acute Rejection with Lower Mycophenolate Mofetil Dosing and Proton Pump Inhibitors or Histamine-2 Receptor Antagonists. </w:t>
      </w:r>
      <w:r w:rsidRPr="0062316F">
        <w:rPr>
          <w:rFonts w:ascii="Book Antiqua" w:hAnsi="Book Antiqua"/>
          <w:i/>
          <w:sz w:val="24"/>
          <w:szCs w:val="24"/>
        </w:rPr>
        <w:t>Pharmacotherapy</w:t>
      </w:r>
      <w:r w:rsidRPr="0062316F">
        <w:rPr>
          <w:rFonts w:ascii="Book Antiqua" w:hAnsi="Book Antiqua"/>
          <w:sz w:val="24"/>
          <w:szCs w:val="24"/>
        </w:rPr>
        <w:t xml:space="preserve"> 2017; </w:t>
      </w:r>
      <w:r w:rsidRPr="0062316F">
        <w:rPr>
          <w:rFonts w:ascii="Book Antiqua" w:hAnsi="Book Antiqua"/>
          <w:b/>
          <w:sz w:val="24"/>
          <w:szCs w:val="24"/>
        </w:rPr>
        <w:t>37</w:t>
      </w:r>
      <w:r w:rsidRPr="0062316F">
        <w:rPr>
          <w:rFonts w:ascii="Book Antiqua" w:hAnsi="Book Antiqua"/>
          <w:sz w:val="24"/>
          <w:szCs w:val="24"/>
        </w:rPr>
        <w:t>: 1507-1515 [PMID: 28976570 DOI: 10.1002/phar.2037]</w:t>
      </w:r>
    </w:p>
    <w:p w14:paraId="3507D53A"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lastRenderedPageBreak/>
        <w:t xml:space="preserve">24 </w:t>
      </w:r>
      <w:r w:rsidRPr="0062316F">
        <w:rPr>
          <w:rFonts w:ascii="Book Antiqua" w:hAnsi="Book Antiqua"/>
          <w:b/>
          <w:sz w:val="24"/>
          <w:szCs w:val="24"/>
        </w:rPr>
        <w:t>Rouse GE</w:t>
      </w:r>
      <w:r w:rsidRPr="0062316F">
        <w:rPr>
          <w:rFonts w:ascii="Book Antiqua" w:hAnsi="Book Antiqua"/>
          <w:sz w:val="24"/>
          <w:szCs w:val="24"/>
        </w:rPr>
        <w:t xml:space="preserve">, </w:t>
      </w:r>
      <w:proofErr w:type="spellStart"/>
      <w:r w:rsidRPr="0062316F">
        <w:rPr>
          <w:rFonts w:ascii="Book Antiqua" w:hAnsi="Book Antiqua"/>
          <w:sz w:val="24"/>
          <w:szCs w:val="24"/>
        </w:rPr>
        <w:t>Hardinger</w:t>
      </w:r>
      <w:proofErr w:type="spellEnd"/>
      <w:r w:rsidRPr="0062316F">
        <w:rPr>
          <w:rFonts w:ascii="Book Antiqua" w:hAnsi="Book Antiqua"/>
          <w:sz w:val="24"/>
          <w:szCs w:val="24"/>
        </w:rPr>
        <w:t xml:space="preserve"> K, </w:t>
      </w:r>
      <w:proofErr w:type="spellStart"/>
      <w:r w:rsidRPr="0062316F">
        <w:rPr>
          <w:rFonts w:ascii="Book Antiqua" w:hAnsi="Book Antiqua"/>
          <w:sz w:val="24"/>
          <w:szCs w:val="24"/>
        </w:rPr>
        <w:t>Tsapepas</w:t>
      </w:r>
      <w:proofErr w:type="spellEnd"/>
      <w:r w:rsidRPr="0062316F">
        <w:rPr>
          <w:rFonts w:ascii="Book Antiqua" w:hAnsi="Book Antiqua"/>
          <w:sz w:val="24"/>
          <w:szCs w:val="24"/>
        </w:rPr>
        <w:t xml:space="preserve"> D, </w:t>
      </w:r>
      <w:proofErr w:type="spellStart"/>
      <w:r w:rsidRPr="0062316F">
        <w:rPr>
          <w:rFonts w:ascii="Book Antiqua" w:hAnsi="Book Antiqua"/>
          <w:sz w:val="24"/>
          <w:szCs w:val="24"/>
        </w:rPr>
        <w:t>Tichy</w:t>
      </w:r>
      <w:proofErr w:type="spellEnd"/>
      <w:r w:rsidRPr="0062316F">
        <w:rPr>
          <w:rFonts w:ascii="Book Antiqua" w:hAnsi="Book Antiqua"/>
          <w:sz w:val="24"/>
          <w:szCs w:val="24"/>
        </w:rPr>
        <w:t xml:space="preserve"> EM. A Comparison of Histamine Receptor Antagonists Versus Proton Pump Inhibitor Gastrointestinal Ulcer Prophylaxis in Kidney Transplant Recipients. </w:t>
      </w:r>
      <w:r w:rsidRPr="0062316F">
        <w:rPr>
          <w:rFonts w:ascii="Book Antiqua" w:hAnsi="Book Antiqua"/>
          <w:i/>
          <w:sz w:val="24"/>
          <w:szCs w:val="24"/>
        </w:rPr>
        <w:t>Prog Transplant</w:t>
      </w:r>
      <w:r w:rsidRPr="0062316F">
        <w:rPr>
          <w:rFonts w:ascii="Book Antiqua" w:hAnsi="Book Antiqua"/>
          <w:sz w:val="24"/>
          <w:szCs w:val="24"/>
        </w:rPr>
        <w:t xml:space="preserve"> 2017; </w:t>
      </w:r>
      <w:r w:rsidRPr="0062316F">
        <w:rPr>
          <w:rFonts w:ascii="Book Antiqua" w:hAnsi="Book Antiqua"/>
          <w:b/>
          <w:sz w:val="24"/>
          <w:szCs w:val="24"/>
        </w:rPr>
        <w:t>27</w:t>
      </w:r>
      <w:r w:rsidRPr="0062316F">
        <w:rPr>
          <w:rFonts w:ascii="Book Antiqua" w:hAnsi="Book Antiqua"/>
          <w:sz w:val="24"/>
          <w:szCs w:val="24"/>
        </w:rPr>
        <w:t>: 4-9 [PMID: 27650918 DOI: 10.1177/1526924816669725]</w:t>
      </w:r>
    </w:p>
    <w:p w14:paraId="088BD450"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25 </w:t>
      </w:r>
      <w:r w:rsidRPr="0062316F">
        <w:rPr>
          <w:rFonts w:ascii="Book Antiqua" w:hAnsi="Book Antiqua"/>
          <w:b/>
          <w:sz w:val="24"/>
          <w:szCs w:val="24"/>
        </w:rPr>
        <w:t>Takahashi K</w:t>
      </w:r>
      <w:r w:rsidRPr="0062316F">
        <w:rPr>
          <w:rFonts w:ascii="Book Antiqua" w:hAnsi="Book Antiqua"/>
          <w:sz w:val="24"/>
          <w:szCs w:val="24"/>
        </w:rPr>
        <w:t xml:space="preserve">, Yano I, Fukuhara Y, </w:t>
      </w:r>
      <w:proofErr w:type="spellStart"/>
      <w:r w:rsidRPr="0062316F">
        <w:rPr>
          <w:rFonts w:ascii="Book Antiqua" w:hAnsi="Book Antiqua"/>
          <w:sz w:val="24"/>
          <w:szCs w:val="24"/>
        </w:rPr>
        <w:t>Katsura</w:t>
      </w:r>
      <w:proofErr w:type="spellEnd"/>
      <w:r w:rsidRPr="0062316F">
        <w:rPr>
          <w:rFonts w:ascii="Book Antiqua" w:hAnsi="Book Antiqua"/>
          <w:sz w:val="24"/>
          <w:szCs w:val="24"/>
        </w:rPr>
        <w:t xml:space="preserve"> T, Takahashi T, Ito N, Yamamoto S, Ogawa O, Inui K. Distinct effects of omeprazole and rabeprazole on the tacrolimus blood concentration in a kidney transplant recipient. </w:t>
      </w:r>
      <w:r w:rsidRPr="0062316F">
        <w:rPr>
          <w:rFonts w:ascii="Book Antiqua" w:hAnsi="Book Antiqua"/>
          <w:i/>
          <w:sz w:val="24"/>
          <w:szCs w:val="24"/>
        </w:rPr>
        <w:t xml:space="preserve">Drug </w:t>
      </w:r>
      <w:proofErr w:type="spellStart"/>
      <w:r w:rsidRPr="0062316F">
        <w:rPr>
          <w:rFonts w:ascii="Book Antiqua" w:hAnsi="Book Antiqua"/>
          <w:i/>
          <w:sz w:val="24"/>
          <w:szCs w:val="24"/>
        </w:rPr>
        <w:t>Metab</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Pharmacokinet</w:t>
      </w:r>
      <w:proofErr w:type="spellEnd"/>
      <w:r w:rsidRPr="0062316F">
        <w:rPr>
          <w:rFonts w:ascii="Book Antiqua" w:hAnsi="Book Antiqua"/>
          <w:sz w:val="24"/>
          <w:szCs w:val="24"/>
        </w:rPr>
        <w:t xml:space="preserve"> 2007; </w:t>
      </w:r>
      <w:r w:rsidRPr="0062316F">
        <w:rPr>
          <w:rFonts w:ascii="Book Antiqua" w:hAnsi="Book Antiqua"/>
          <w:b/>
          <w:sz w:val="24"/>
          <w:szCs w:val="24"/>
        </w:rPr>
        <w:t>22</w:t>
      </w:r>
      <w:r w:rsidRPr="0062316F">
        <w:rPr>
          <w:rFonts w:ascii="Book Antiqua" w:hAnsi="Book Antiqua"/>
          <w:sz w:val="24"/>
          <w:szCs w:val="24"/>
        </w:rPr>
        <w:t>: 441-444 [PMID: 18159131 DOI: 10.2133/dmpk.22.441]</w:t>
      </w:r>
    </w:p>
    <w:p w14:paraId="775CA40D"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26 </w:t>
      </w:r>
      <w:r w:rsidRPr="0062316F">
        <w:rPr>
          <w:rFonts w:ascii="Book Antiqua" w:hAnsi="Book Antiqua"/>
          <w:b/>
          <w:sz w:val="24"/>
          <w:szCs w:val="24"/>
        </w:rPr>
        <w:t>Miura M</w:t>
      </w:r>
      <w:r w:rsidRPr="0062316F">
        <w:rPr>
          <w:rFonts w:ascii="Book Antiqua" w:hAnsi="Book Antiqua"/>
          <w:sz w:val="24"/>
          <w:szCs w:val="24"/>
        </w:rPr>
        <w:t xml:space="preserve">, Inoue K, </w:t>
      </w:r>
      <w:proofErr w:type="spellStart"/>
      <w:r w:rsidRPr="0062316F">
        <w:rPr>
          <w:rFonts w:ascii="Book Antiqua" w:hAnsi="Book Antiqua"/>
          <w:sz w:val="24"/>
          <w:szCs w:val="24"/>
        </w:rPr>
        <w:t>Kagaya</w:t>
      </w:r>
      <w:proofErr w:type="spellEnd"/>
      <w:r w:rsidRPr="0062316F">
        <w:rPr>
          <w:rFonts w:ascii="Book Antiqua" w:hAnsi="Book Antiqua"/>
          <w:sz w:val="24"/>
          <w:szCs w:val="24"/>
        </w:rPr>
        <w:t xml:space="preserve"> H, Satoh S, Tada H, </w:t>
      </w:r>
      <w:proofErr w:type="spellStart"/>
      <w:r w:rsidRPr="0062316F">
        <w:rPr>
          <w:rFonts w:ascii="Book Antiqua" w:hAnsi="Book Antiqua"/>
          <w:sz w:val="24"/>
          <w:szCs w:val="24"/>
        </w:rPr>
        <w:t>Sagae</w:t>
      </w:r>
      <w:proofErr w:type="spellEnd"/>
      <w:r w:rsidRPr="0062316F">
        <w:rPr>
          <w:rFonts w:ascii="Book Antiqua" w:hAnsi="Book Antiqua"/>
          <w:sz w:val="24"/>
          <w:szCs w:val="24"/>
        </w:rPr>
        <w:t xml:space="preserve"> Y, </w:t>
      </w:r>
      <w:proofErr w:type="spellStart"/>
      <w:r w:rsidRPr="0062316F">
        <w:rPr>
          <w:rFonts w:ascii="Book Antiqua" w:hAnsi="Book Antiqua"/>
          <w:sz w:val="24"/>
          <w:szCs w:val="24"/>
        </w:rPr>
        <w:t>Habuchi</w:t>
      </w:r>
      <w:proofErr w:type="spellEnd"/>
      <w:r w:rsidRPr="0062316F">
        <w:rPr>
          <w:rFonts w:ascii="Book Antiqua" w:hAnsi="Book Antiqua"/>
          <w:sz w:val="24"/>
          <w:szCs w:val="24"/>
        </w:rPr>
        <w:t xml:space="preserve"> T, Suzuki T. Influence of rabeprazole and lansoprazole on the pharmacokinetics of tacrolimus in relation to CYP2C19, CYP3A5 and MDR1 polymorphisms in renal transplant recipients. </w:t>
      </w:r>
      <w:proofErr w:type="spellStart"/>
      <w:r w:rsidRPr="0062316F">
        <w:rPr>
          <w:rFonts w:ascii="Book Antiqua" w:hAnsi="Book Antiqua"/>
          <w:i/>
          <w:sz w:val="24"/>
          <w:szCs w:val="24"/>
        </w:rPr>
        <w:t>Biopharm</w:t>
      </w:r>
      <w:proofErr w:type="spellEnd"/>
      <w:r w:rsidRPr="0062316F">
        <w:rPr>
          <w:rFonts w:ascii="Book Antiqua" w:hAnsi="Book Antiqua"/>
          <w:i/>
          <w:sz w:val="24"/>
          <w:szCs w:val="24"/>
        </w:rPr>
        <w:t xml:space="preserve"> Drug </w:t>
      </w:r>
      <w:proofErr w:type="spellStart"/>
      <w:r w:rsidRPr="0062316F">
        <w:rPr>
          <w:rFonts w:ascii="Book Antiqua" w:hAnsi="Book Antiqua"/>
          <w:i/>
          <w:sz w:val="24"/>
          <w:szCs w:val="24"/>
        </w:rPr>
        <w:t>Dispos</w:t>
      </w:r>
      <w:proofErr w:type="spellEnd"/>
      <w:r w:rsidRPr="0062316F">
        <w:rPr>
          <w:rFonts w:ascii="Book Antiqua" w:hAnsi="Book Antiqua"/>
          <w:sz w:val="24"/>
          <w:szCs w:val="24"/>
        </w:rPr>
        <w:t xml:space="preserve"> 2007; </w:t>
      </w:r>
      <w:r w:rsidRPr="0062316F">
        <w:rPr>
          <w:rFonts w:ascii="Book Antiqua" w:hAnsi="Book Antiqua"/>
          <w:b/>
          <w:sz w:val="24"/>
          <w:szCs w:val="24"/>
        </w:rPr>
        <w:t>28</w:t>
      </w:r>
      <w:r w:rsidRPr="0062316F">
        <w:rPr>
          <w:rFonts w:ascii="Book Antiqua" w:hAnsi="Book Antiqua"/>
          <w:sz w:val="24"/>
          <w:szCs w:val="24"/>
        </w:rPr>
        <w:t>: 167-175 [PMID: 17377957 DOI: 10.1002/bdd.544]</w:t>
      </w:r>
    </w:p>
    <w:p w14:paraId="380E8042"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27 </w:t>
      </w:r>
      <w:r w:rsidRPr="0062316F">
        <w:rPr>
          <w:rFonts w:ascii="Book Antiqua" w:hAnsi="Book Antiqua"/>
          <w:b/>
          <w:sz w:val="24"/>
          <w:szCs w:val="24"/>
        </w:rPr>
        <w:t>Moher D</w:t>
      </w:r>
      <w:r w:rsidRPr="0062316F">
        <w:rPr>
          <w:rFonts w:ascii="Book Antiqua" w:hAnsi="Book Antiqua"/>
          <w:sz w:val="24"/>
          <w:szCs w:val="24"/>
        </w:rPr>
        <w:t xml:space="preserve">, </w:t>
      </w:r>
      <w:proofErr w:type="spellStart"/>
      <w:r w:rsidRPr="0062316F">
        <w:rPr>
          <w:rFonts w:ascii="Book Antiqua" w:hAnsi="Book Antiqua"/>
          <w:sz w:val="24"/>
          <w:szCs w:val="24"/>
        </w:rPr>
        <w:t>Liberati</w:t>
      </w:r>
      <w:proofErr w:type="spellEnd"/>
      <w:r w:rsidRPr="0062316F">
        <w:rPr>
          <w:rFonts w:ascii="Book Antiqua" w:hAnsi="Book Antiqua"/>
          <w:sz w:val="24"/>
          <w:szCs w:val="24"/>
        </w:rPr>
        <w:t xml:space="preserve"> A, </w:t>
      </w:r>
      <w:proofErr w:type="spellStart"/>
      <w:r w:rsidRPr="0062316F">
        <w:rPr>
          <w:rFonts w:ascii="Book Antiqua" w:hAnsi="Book Antiqua"/>
          <w:sz w:val="24"/>
          <w:szCs w:val="24"/>
        </w:rPr>
        <w:t>Tetzlaff</w:t>
      </w:r>
      <w:proofErr w:type="spellEnd"/>
      <w:r w:rsidRPr="0062316F">
        <w:rPr>
          <w:rFonts w:ascii="Book Antiqua" w:hAnsi="Book Antiqua"/>
          <w:sz w:val="24"/>
          <w:szCs w:val="24"/>
        </w:rPr>
        <w:t xml:space="preserve"> J, Altman DG; PRISMA Group. Preferred reporting items for systematic reviews and meta-analyses: the PRISMA statement. </w:t>
      </w:r>
      <w:r w:rsidRPr="0062316F">
        <w:rPr>
          <w:rFonts w:ascii="Book Antiqua" w:hAnsi="Book Antiqua"/>
          <w:i/>
          <w:sz w:val="24"/>
          <w:szCs w:val="24"/>
        </w:rPr>
        <w:t>Ann Intern Med</w:t>
      </w:r>
      <w:r w:rsidRPr="0062316F">
        <w:rPr>
          <w:rFonts w:ascii="Book Antiqua" w:hAnsi="Book Antiqua"/>
          <w:sz w:val="24"/>
          <w:szCs w:val="24"/>
        </w:rPr>
        <w:t xml:space="preserve"> 2009; </w:t>
      </w:r>
      <w:r w:rsidRPr="0062316F">
        <w:rPr>
          <w:rFonts w:ascii="Book Antiqua" w:hAnsi="Book Antiqua"/>
          <w:b/>
          <w:sz w:val="24"/>
          <w:szCs w:val="24"/>
        </w:rPr>
        <w:t>151</w:t>
      </w:r>
      <w:r w:rsidRPr="0062316F">
        <w:rPr>
          <w:rFonts w:ascii="Book Antiqua" w:hAnsi="Book Antiqua"/>
          <w:sz w:val="24"/>
          <w:szCs w:val="24"/>
        </w:rPr>
        <w:t>: 264-269, W64 [PMID: 19622511]</w:t>
      </w:r>
    </w:p>
    <w:p w14:paraId="1F5B2F6F"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28 </w:t>
      </w:r>
      <w:proofErr w:type="spellStart"/>
      <w:r w:rsidRPr="0062316F">
        <w:rPr>
          <w:rFonts w:ascii="Book Antiqua" w:hAnsi="Book Antiqua"/>
          <w:b/>
          <w:sz w:val="24"/>
          <w:szCs w:val="24"/>
        </w:rPr>
        <w:t>Stang</w:t>
      </w:r>
      <w:proofErr w:type="spellEnd"/>
      <w:r w:rsidRPr="0062316F">
        <w:rPr>
          <w:rFonts w:ascii="Book Antiqua" w:hAnsi="Book Antiqua"/>
          <w:b/>
          <w:sz w:val="24"/>
          <w:szCs w:val="24"/>
        </w:rPr>
        <w:t xml:space="preserve"> A</w:t>
      </w:r>
      <w:r w:rsidRPr="0062316F">
        <w:rPr>
          <w:rFonts w:ascii="Book Antiqua" w:hAnsi="Book Antiqua"/>
          <w:sz w:val="24"/>
          <w:szCs w:val="24"/>
        </w:rPr>
        <w:t xml:space="preserve">. Critical evaluation of the Newcastle-Ottawa scale for the assessment of the quality of nonrandomized studies in meta-analyses. </w:t>
      </w:r>
      <w:r w:rsidRPr="0062316F">
        <w:rPr>
          <w:rFonts w:ascii="Book Antiqua" w:hAnsi="Book Antiqua"/>
          <w:i/>
          <w:sz w:val="24"/>
          <w:szCs w:val="24"/>
        </w:rPr>
        <w:t>Eur J Epidemiol</w:t>
      </w:r>
      <w:r w:rsidRPr="0062316F">
        <w:rPr>
          <w:rFonts w:ascii="Book Antiqua" w:hAnsi="Book Antiqua"/>
          <w:sz w:val="24"/>
          <w:szCs w:val="24"/>
        </w:rPr>
        <w:t xml:space="preserve"> 2010; </w:t>
      </w:r>
      <w:r w:rsidRPr="0062316F">
        <w:rPr>
          <w:rFonts w:ascii="Book Antiqua" w:hAnsi="Book Antiqua"/>
          <w:b/>
          <w:sz w:val="24"/>
          <w:szCs w:val="24"/>
        </w:rPr>
        <w:t>25</w:t>
      </w:r>
      <w:r w:rsidRPr="0062316F">
        <w:rPr>
          <w:rFonts w:ascii="Book Antiqua" w:hAnsi="Book Antiqua"/>
          <w:sz w:val="24"/>
          <w:szCs w:val="24"/>
        </w:rPr>
        <w:t>: 603-605 [PMID: 20652370 DOI: 10.1007/s10654-010-9491-z]</w:t>
      </w:r>
    </w:p>
    <w:p w14:paraId="0837656F"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29 </w:t>
      </w:r>
      <w:r w:rsidRPr="0062316F">
        <w:rPr>
          <w:rFonts w:ascii="Book Antiqua" w:hAnsi="Book Antiqua"/>
          <w:b/>
          <w:sz w:val="24"/>
          <w:szCs w:val="24"/>
        </w:rPr>
        <w:t>Herzog R</w:t>
      </w:r>
      <w:r w:rsidRPr="0062316F">
        <w:rPr>
          <w:rFonts w:ascii="Book Antiqua" w:hAnsi="Book Antiqua"/>
          <w:sz w:val="24"/>
          <w:szCs w:val="24"/>
        </w:rPr>
        <w:t>, Álvarez-</w:t>
      </w:r>
      <w:proofErr w:type="spellStart"/>
      <w:r w:rsidRPr="0062316F">
        <w:rPr>
          <w:rFonts w:ascii="Book Antiqua" w:hAnsi="Book Antiqua"/>
          <w:sz w:val="24"/>
          <w:szCs w:val="24"/>
        </w:rPr>
        <w:t>Pasquin</w:t>
      </w:r>
      <w:proofErr w:type="spellEnd"/>
      <w:r w:rsidRPr="0062316F">
        <w:rPr>
          <w:rFonts w:ascii="Book Antiqua" w:hAnsi="Book Antiqua"/>
          <w:sz w:val="24"/>
          <w:szCs w:val="24"/>
        </w:rPr>
        <w:t xml:space="preserve"> MJ, Díaz C, Del Barrio JL, Estrada JM, Gil Á. Are healthcare workers' intentions to vaccinate related to their knowledge, beliefs and attitudes? A systematic review. </w:t>
      </w:r>
      <w:r w:rsidRPr="0062316F">
        <w:rPr>
          <w:rFonts w:ascii="Book Antiqua" w:hAnsi="Book Antiqua"/>
          <w:i/>
          <w:sz w:val="24"/>
          <w:szCs w:val="24"/>
        </w:rPr>
        <w:t>BMC Public Health</w:t>
      </w:r>
      <w:r w:rsidRPr="0062316F">
        <w:rPr>
          <w:rFonts w:ascii="Book Antiqua" w:hAnsi="Book Antiqua"/>
          <w:sz w:val="24"/>
          <w:szCs w:val="24"/>
        </w:rPr>
        <w:t xml:space="preserve"> 2013; </w:t>
      </w:r>
      <w:r w:rsidRPr="0062316F">
        <w:rPr>
          <w:rFonts w:ascii="Book Antiqua" w:hAnsi="Book Antiqua"/>
          <w:b/>
          <w:sz w:val="24"/>
          <w:szCs w:val="24"/>
        </w:rPr>
        <w:t>13</w:t>
      </w:r>
      <w:r w:rsidRPr="0062316F">
        <w:rPr>
          <w:rFonts w:ascii="Book Antiqua" w:hAnsi="Book Antiqua"/>
          <w:sz w:val="24"/>
          <w:szCs w:val="24"/>
        </w:rPr>
        <w:t>: 154 [PMID: 23421987 DOI: 10.1186/1471-2458-13-154]</w:t>
      </w:r>
    </w:p>
    <w:p w14:paraId="503AF7F7"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30 </w:t>
      </w:r>
      <w:proofErr w:type="spellStart"/>
      <w:r w:rsidRPr="0062316F">
        <w:rPr>
          <w:rFonts w:ascii="Book Antiqua" w:hAnsi="Book Antiqua"/>
          <w:b/>
          <w:sz w:val="24"/>
          <w:szCs w:val="24"/>
        </w:rPr>
        <w:t>DerSimonian</w:t>
      </w:r>
      <w:proofErr w:type="spellEnd"/>
      <w:r w:rsidRPr="0062316F">
        <w:rPr>
          <w:rFonts w:ascii="Book Antiqua" w:hAnsi="Book Antiqua"/>
          <w:b/>
          <w:sz w:val="24"/>
          <w:szCs w:val="24"/>
        </w:rPr>
        <w:t xml:space="preserve"> R</w:t>
      </w:r>
      <w:r w:rsidRPr="0062316F">
        <w:rPr>
          <w:rFonts w:ascii="Book Antiqua" w:hAnsi="Book Antiqua"/>
          <w:sz w:val="24"/>
          <w:szCs w:val="24"/>
        </w:rPr>
        <w:t xml:space="preserve">, Laird N. Meta-analysis in clinical trials. </w:t>
      </w:r>
      <w:r w:rsidRPr="0062316F">
        <w:rPr>
          <w:rFonts w:ascii="Book Antiqua" w:hAnsi="Book Antiqua"/>
          <w:i/>
          <w:sz w:val="24"/>
          <w:szCs w:val="24"/>
        </w:rPr>
        <w:t>Control Clin Trials</w:t>
      </w:r>
      <w:r w:rsidRPr="0062316F">
        <w:rPr>
          <w:rFonts w:ascii="Book Antiqua" w:hAnsi="Book Antiqua"/>
          <w:sz w:val="24"/>
          <w:szCs w:val="24"/>
        </w:rPr>
        <w:t xml:space="preserve"> 1986; </w:t>
      </w:r>
      <w:r w:rsidRPr="0062316F">
        <w:rPr>
          <w:rFonts w:ascii="Book Antiqua" w:hAnsi="Book Antiqua"/>
          <w:b/>
          <w:sz w:val="24"/>
          <w:szCs w:val="24"/>
        </w:rPr>
        <w:t>7</w:t>
      </w:r>
      <w:r w:rsidRPr="0062316F">
        <w:rPr>
          <w:rFonts w:ascii="Book Antiqua" w:hAnsi="Book Antiqua"/>
          <w:sz w:val="24"/>
          <w:szCs w:val="24"/>
        </w:rPr>
        <w:t>: 177-188 [PMID: 3802833 DOI: 10.1016/0197-2456(86)90046-2]</w:t>
      </w:r>
    </w:p>
    <w:p w14:paraId="014791C1"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31 </w:t>
      </w:r>
      <w:r w:rsidRPr="0062316F">
        <w:rPr>
          <w:rFonts w:ascii="Book Antiqua" w:hAnsi="Book Antiqua"/>
          <w:b/>
          <w:sz w:val="24"/>
          <w:szCs w:val="24"/>
        </w:rPr>
        <w:t>Higgins JP</w:t>
      </w:r>
      <w:r w:rsidRPr="0062316F">
        <w:rPr>
          <w:rFonts w:ascii="Book Antiqua" w:hAnsi="Book Antiqua"/>
          <w:sz w:val="24"/>
          <w:szCs w:val="24"/>
        </w:rPr>
        <w:t xml:space="preserve">, Thompson SG, </w:t>
      </w:r>
      <w:proofErr w:type="spellStart"/>
      <w:r w:rsidRPr="0062316F">
        <w:rPr>
          <w:rFonts w:ascii="Book Antiqua" w:hAnsi="Book Antiqua"/>
          <w:sz w:val="24"/>
          <w:szCs w:val="24"/>
        </w:rPr>
        <w:t>Deeks</w:t>
      </w:r>
      <w:proofErr w:type="spellEnd"/>
      <w:r w:rsidRPr="0062316F">
        <w:rPr>
          <w:rFonts w:ascii="Book Antiqua" w:hAnsi="Book Antiqua"/>
          <w:sz w:val="24"/>
          <w:szCs w:val="24"/>
        </w:rPr>
        <w:t xml:space="preserve"> JJ, Altman DG. Measuring inconsistency in meta-analyses. </w:t>
      </w:r>
      <w:r w:rsidRPr="0062316F">
        <w:rPr>
          <w:rFonts w:ascii="Book Antiqua" w:hAnsi="Book Antiqua"/>
          <w:i/>
          <w:sz w:val="24"/>
          <w:szCs w:val="24"/>
        </w:rPr>
        <w:t>BMJ</w:t>
      </w:r>
      <w:r w:rsidRPr="0062316F">
        <w:rPr>
          <w:rFonts w:ascii="Book Antiqua" w:hAnsi="Book Antiqua"/>
          <w:sz w:val="24"/>
          <w:szCs w:val="24"/>
        </w:rPr>
        <w:t xml:space="preserve"> 2003; </w:t>
      </w:r>
      <w:r w:rsidRPr="0062316F">
        <w:rPr>
          <w:rFonts w:ascii="Book Antiqua" w:hAnsi="Book Antiqua"/>
          <w:b/>
          <w:sz w:val="24"/>
          <w:szCs w:val="24"/>
        </w:rPr>
        <w:t>327</w:t>
      </w:r>
      <w:r w:rsidRPr="0062316F">
        <w:rPr>
          <w:rFonts w:ascii="Book Antiqua" w:hAnsi="Book Antiqua"/>
          <w:sz w:val="24"/>
          <w:szCs w:val="24"/>
        </w:rPr>
        <w:t>: 557-560 [PMID: 12958120 DOI: 10.1136/bmj.327.7414.557]</w:t>
      </w:r>
    </w:p>
    <w:p w14:paraId="31AF567B" w14:textId="15D0ED12"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32 </w:t>
      </w:r>
      <w:r w:rsidRPr="0062316F">
        <w:rPr>
          <w:rFonts w:ascii="Book Antiqua" w:hAnsi="Book Antiqua"/>
          <w:b/>
          <w:sz w:val="24"/>
          <w:szCs w:val="24"/>
        </w:rPr>
        <w:t>Patel SJ,</w:t>
      </w:r>
      <w:r w:rsidRPr="0062316F">
        <w:rPr>
          <w:rFonts w:ascii="Book Antiqua" w:hAnsi="Book Antiqua"/>
          <w:sz w:val="24"/>
          <w:szCs w:val="24"/>
        </w:rPr>
        <w:t xml:space="preserve"> Moten MA, </w:t>
      </w:r>
      <w:proofErr w:type="spellStart"/>
      <w:r w:rsidRPr="0062316F">
        <w:rPr>
          <w:rFonts w:ascii="Book Antiqua" w:hAnsi="Book Antiqua"/>
          <w:sz w:val="24"/>
          <w:szCs w:val="24"/>
        </w:rPr>
        <w:t>Noell</w:t>
      </w:r>
      <w:proofErr w:type="spellEnd"/>
      <w:r w:rsidRPr="0062316F">
        <w:rPr>
          <w:rFonts w:ascii="Book Antiqua" w:hAnsi="Book Antiqua"/>
          <w:sz w:val="24"/>
          <w:szCs w:val="24"/>
        </w:rPr>
        <w:t xml:space="preserve"> BC, Brann S, Sydnor C, DeVos JM, Knight RJ. Clinical significance of proton pump inhibitor effect on </w:t>
      </w:r>
      <w:proofErr w:type="spellStart"/>
      <w:r w:rsidRPr="0062316F">
        <w:rPr>
          <w:rFonts w:ascii="Book Antiqua" w:hAnsi="Book Antiqua"/>
          <w:sz w:val="24"/>
          <w:szCs w:val="24"/>
        </w:rPr>
        <w:t>mycophenoloic</w:t>
      </w:r>
      <w:proofErr w:type="spellEnd"/>
      <w:r w:rsidRPr="0062316F">
        <w:rPr>
          <w:rFonts w:ascii="Book Antiqua" w:hAnsi="Book Antiqua"/>
          <w:sz w:val="24"/>
          <w:szCs w:val="24"/>
        </w:rPr>
        <w:t xml:space="preserve"> acid exposure in kidney transplantation. </w:t>
      </w:r>
      <w:r w:rsidRPr="0062316F">
        <w:rPr>
          <w:rFonts w:ascii="Book Antiqua" w:hAnsi="Book Antiqua"/>
          <w:i/>
          <w:sz w:val="24"/>
          <w:szCs w:val="24"/>
        </w:rPr>
        <w:t>Am J Transplant</w:t>
      </w:r>
      <w:r w:rsidRPr="0062316F">
        <w:rPr>
          <w:rFonts w:ascii="Book Antiqua" w:hAnsi="Book Antiqua"/>
          <w:sz w:val="24"/>
          <w:szCs w:val="24"/>
        </w:rPr>
        <w:t xml:space="preserve"> 2012; </w:t>
      </w:r>
      <w:r w:rsidRPr="0062316F">
        <w:rPr>
          <w:rFonts w:ascii="Book Antiqua" w:hAnsi="Book Antiqua"/>
          <w:b/>
          <w:sz w:val="24"/>
          <w:szCs w:val="24"/>
        </w:rPr>
        <w:t>12</w:t>
      </w:r>
      <w:r w:rsidRPr="0062316F">
        <w:rPr>
          <w:rFonts w:ascii="Book Antiqua" w:hAnsi="Book Antiqua"/>
          <w:sz w:val="24"/>
          <w:szCs w:val="24"/>
        </w:rPr>
        <w:t>: 27-542 [DOI: 10.1111/j.1600-6143.</w:t>
      </w:r>
      <w:proofErr w:type="gramStart"/>
      <w:r w:rsidRPr="0062316F">
        <w:rPr>
          <w:rFonts w:ascii="Book Antiqua" w:hAnsi="Book Antiqua"/>
          <w:sz w:val="24"/>
          <w:szCs w:val="24"/>
        </w:rPr>
        <w:t>2012.04112.x</w:t>
      </w:r>
      <w:proofErr w:type="gramEnd"/>
      <w:r w:rsidRPr="0062316F">
        <w:rPr>
          <w:rFonts w:ascii="Book Antiqua" w:hAnsi="Book Antiqua"/>
          <w:sz w:val="24"/>
          <w:szCs w:val="24"/>
        </w:rPr>
        <w:t>]</w:t>
      </w:r>
    </w:p>
    <w:p w14:paraId="2E957D75"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lastRenderedPageBreak/>
        <w:t xml:space="preserve">33 </w:t>
      </w:r>
      <w:r w:rsidRPr="0062316F">
        <w:rPr>
          <w:rFonts w:ascii="Book Antiqua" w:hAnsi="Book Antiqua"/>
          <w:b/>
          <w:sz w:val="24"/>
          <w:szCs w:val="24"/>
        </w:rPr>
        <w:t>Van Ende C</w:t>
      </w:r>
      <w:r w:rsidRPr="0062316F">
        <w:rPr>
          <w:rFonts w:ascii="Book Antiqua" w:hAnsi="Book Antiqua"/>
          <w:sz w:val="24"/>
          <w:szCs w:val="24"/>
        </w:rPr>
        <w:t xml:space="preserve">, Van </w:t>
      </w:r>
      <w:proofErr w:type="spellStart"/>
      <w:r w:rsidRPr="0062316F">
        <w:rPr>
          <w:rFonts w:ascii="Book Antiqua" w:hAnsi="Book Antiqua"/>
          <w:sz w:val="24"/>
          <w:szCs w:val="24"/>
        </w:rPr>
        <w:t>Laecke</w:t>
      </w:r>
      <w:proofErr w:type="spellEnd"/>
      <w:r w:rsidRPr="0062316F">
        <w:rPr>
          <w:rFonts w:ascii="Book Antiqua" w:hAnsi="Book Antiqua"/>
          <w:sz w:val="24"/>
          <w:szCs w:val="24"/>
        </w:rPr>
        <w:t xml:space="preserve"> S, </w:t>
      </w:r>
      <w:proofErr w:type="spellStart"/>
      <w:r w:rsidRPr="0062316F">
        <w:rPr>
          <w:rFonts w:ascii="Book Antiqua" w:hAnsi="Book Antiqua"/>
          <w:sz w:val="24"/>
          <w:szCs w:val="24"/>
        </w:rPr>
        <w:t>Marechal</w:t>
      </w:r>
      <w:proofErr w:type="spellEnd"/>
      <w:r w:rsidRPr="0062316F">
        <w:rPr>
          <w:rFonts w:ascii="Book Antiqua" w:hAnsi="Book Antiqua"/>
          <w:sz w:val="24"/>
          <w:szCs w:val="24"/>
        </w:rPr>
        <w:t xml:space="preserve"> C, Verbeke F, Kanaan N, </w:t>
      </w:r>
      <w:proofErr w:type="spellStart"/>
      <w:r w:rsidRPr="0062316F">
        <w:rPr>
          <w:rFonts w:ascii="Book Antiqua" w:hAnsi="Book Antiqua"/>
          <w:sz w:val="24"/>
          <w:szCs w:val="24"/>
        </w:rPr>
        <w:t>Goffin</w:t>
      </w:r>
      <w:proofErr w:type="spellEnd"/>
      <w:r w:rsidRPr="0062316F">
        <w:rPr>
          <w:rFonts w:ascii="Book Antiqua" w:hAnsi="Book Antiqua"/>
          <w:sz w:val="24"/>
          <w:szCs w:val="24"/>
        </w:rPr>
        <w:t xml:space="preserve"> E, </w:t>
      </w:r>
      <w:proofErr w:type="spellStart"/>
      <w:r w:rsidRPr="0062316F">
        <w:rPr>
          <w:rFonts w:ascii="Book Antiqua" w:hAnsi="Book Antiqua"/>
          <w:sz w:val="24"/>
          <w:szCs w:val="24"/>
        </w:rPr>
        <w:t>Vanholder</w:t>
      </w:r>
      <w:proofErr w:type="spellEnd"/>
      <w:r w:rsidRPr="0062316F">
        <w:rPr>
          <w:rFonts w:ascii="Book Antiqua" w:hAnsi="Book Antiqua"/>
          <w:sz w:val="24"/>
          <w:szCs w:val="24"/>
        </w:rPr>
        <w:t xml:space="preserve"> R, </w:t>
      </w:r>
      <w:proofErr w:type="spellStart"/>
      <w:r w:rsidRPr="0062316F">
        <w:rPr>
          <w:rFonts w:ascii="Book Antiqua" w:hAnsi="Book Antiqua"/>
          <w:sz w:val="24"/>
          <w:szCs w:val="24"/>
        </w:rPr>
        <w:t>Jadoul</w:t>
      </w:r>
      <w:proofErr w:type="spellEnd"/>
      <w:r w:rsidRPr="0062316F">
        <w:rPr>
          <w:rFonts w:ascii="Book Antiqua" w:hAnsi="Book Antiqua"/>
          <w:sz w:val="24"/>
          <w:szCs w:val="24"/>
        </w:rPr>
        <w:t xml:space="preserve"> M. Proton-pump inhibitors do not influence serum magnesium levels in renal transplant recipients. </w:t>
      </w:r>
      <w:r w:rsidRPr="0062316F">
        <w:rPr>
          <w:rFonts w:ascii="Book Antiqua" w:hAnsi="Book Antiqua"/>
          <w:i/>
          <w:sz w:val="24"/>
          <w:szCs w:val="24"/>
        </w:rPr>
        <w:t xml:space="preserve">J </w:t>
      </w:r>
      <w:proofErr w:type="spellStart"/>
      <w:r w:rsidRPr="0062316F">
        <w:rPr>
          <w:rFonts w:ascii="Book Antiqua" w:hAnsi="Book Antiqua"/>
          <w:i/>
          <w:sz w:val="24"/>
          <w:szCs w:val="24"/>
        </w:rPr>
        <w:t>Nephrol</w:t>
      </w:r>
      <w:proofErr w:type="spellEnd"/>
      <w:r w:rsidRPr="0062316F">
        <w:rPr>
          <w:rFonts w:ascii="Book Antiqua" w:hAnsi="Book Antiqua"/>
          <w:sz w:val="24"/>
          <w:szCs w:val="24"/>
        </w:rPr>
        <w:t xml:space="preserve"> 2014; </w:t>
      </w:r>
      <w:r w:rsidRPr="0062316F">
        <w:rPr>
          <w:rFonts w:ascii="Book Antiqua" w:hAnsi="Book Antiqua"/>
          <w:b/>
          <w:sz w:val="24"/>
          <w:szCs w:val="24"/>
        </w:rPr>
        <w:t>27</w:t>
      </w:r>
      <w:r w:rsidRPr="0062316F">
        <w:rPr>
          <w:rFonts w:ascii="Book Antiqua" w:hAnsi="Book Antiqua"/>
          <w:sz w:val="24"/>
          <w:szCs w:val="24"/>
        </w:rPr>
        <w:t>: 707-711 [PMID: 24816563 DOI: 10.1007/s40620-014-0105-9]</w:t>
      </w:r>
    </w:p>
    <w:p w14:paraId="37FACF81" w14:textId="68A4E55D"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34 </w:t>
      </w:r>
      <w:proofErr w:type="spellStart"/>
      <w:r w:rsidRPr="0062316F">
        <w:rPr>
          <w:rFonts w:ascii="Book Antiqua" w:hAnsi="Book Antiqua"/>
          <w:b/>
          <w:sz w:val="24"/>
          <w:szCs w:val="24"/>
        </w:rPr>
        <w:t>Alhosaini</w:t>
      </w:r>
      <w:proofErr w:type="spellEnd"/>
      <w:r w:rsidRPr="0062316F">
        <w:rPr>
          <w:rFonts w:ascii="Book Antiqua" w:hAnsi="Book Antiqua"/>
          <w:b/>
          <w:sz w:val="24"/>
          <w:szCs w:val="24"/>
        </w:rPr>
        <w:t xml:space="preserve"> MN,</w:t>
      </w:r>
      <w:r w:rsidRPr="0062316F">
        <w:rPr>
          <w:rFonts w:ascii="Book Antiqua" w:hAnsi="Book Antiqua"/>
          <w:sz w:val="24"/>
          <w:szCs w:val="24"/>
        </w:rPr>
        <w:t xml:space="preserve"> </w:t>
      </w:r>
      <w:proofErr w:type="spellStart"/>
      <w:r w:rsidRPr="0062316F">
        <w:rPr>
          <w:rFonts w:ascii="Book Antiqua" w:hAnsi="Book Antiqua"/>
          <w:sz w:val="24"/>
          <w:szCs w:val="24"/>
        </w:rPr>
        <w:t>Leehey</w:t>
      </w:r>
      <w:proofErr w:type="spellEnd"/>
      <w:r w:rsidRPr="0062316F">
        <w:rPr>
          <w:rFonts w:ascii="Book Antiqua" w:hAnsi="Book Antiqua"/>
          <w:sz w:val="24"/>
          <w:szCs w:val="24"/>
        </w:rPr>
        <w:t xml:space="preserve"> DJ, </w:t>
      </w:r>
      <w:proofErr w:type="spellStart"/>
      <w:r w:rsidRPr="0062316F">
        <w:rPr>
          <w:rFonts w:ascii="Book Antiqua" w:hAnsi="Book Antiqua"/>
          <w:sz w:val="24"/>
          <w:szCs w:val="24"/>
        </w:rPr>
        <w:t>Vellanki</w:t>
      </w:r>
      <w:proofErr w:type="spellEnd"/>
      <w:r w:rsidRPr="0062316F">
        <w:rPr>
          <w:rFonts w:ascii="Book Antiqua" w:hAnsi="Book Antiqua"/>
          <w:sz w:val="24"/>
          <w:szCs w:val="24"/>
        </w:rPr>
        <w:t xml:space="preserve"> K. Use of proton pump inhibitors is associated with severe hypomagnesemia in kidney transplant recipients. </w:t>
      </w:r>
      <w:proofErr w:type="spellStart"/>
      <w:r w:rsidRPr="0062316F">
        <w:rPr>
          <w:rFonts w:ascii="Book Antiqua" w:hAnsi="Book Antiqua"/>
          <w:i/>
          <w:sz w:val="24"/>
          <w:szCs w:val="24"/>
        </w:rPr>
        <w:t>Int</w:t>
      </w:r>
      <w:proofErr w:type="spellEnd"/>
      <w:r w:rsidRPr="0062316F">
        <w:rPr>
          <w:rFonts w:ascii="Book Antiqua" w:hAnsi="Book Antiqua"/>
          <w:i/>
          <w:sz w:val="24"/>
          <w:szCs w:val="24"/>
        </w:rPr>
        <w:t xml:space="preserve"> J </w:t>
      </w:r>
      <w:proofErr w:type="spellStart"/>
      <w:r w:rsidRPr="0062316F">
        <w:rPr>
          <w:rFonts w:ascii="Book Antiqua" w:hAnsi="Book Antiqua"/>
          <w:i/>
          <w:sz w:val="24"/>
          <w:szCs w:val="24"/>
        </w:rPr>
        <w:t>Nephrol</w:t>
      </w:r>
      <w:proofErr w:type="spellEnd"/>
      <w:r w:rsidRPr="0062316F">
        <w:rPr>
          <w:rFonts w:ascii="Book Antiqua" w:hAnsi="Book Antiqua"/>
          <w:i/>
          <w:sz w:val="24"/>
          <w:szCs w:val="24"/>
        </w:rPr>
        <w:t xml:space="preserve"> Kidney Fail</w:t>
      </w:r>
      <w:r w:rsidRPr="0062316F">
        <w:rPr>
          <w:rFonts w:ascii="Book Antiqua" w:hAnsi="Book Antiqua"/>
          <w:sz w:val="24"/>
          <w:szCs w:val="24"/>
        </w:rPr>
        <w:t xml:space="preserve"> 2015; </w:t>
      </w:r>
      <w:r w:rsidRPr="0062316F">
        <w:rPr>
          <w:rFonts w:ascii="Book Antiqua" w:hAnsi="Book Antiqua"/>
          <w:b/>
          <w:sz w:val="24"/>
          <w:szCs w:val="24"/>
        </w:rPr>
        <w:t>2</w:t>
      </w:r>
      <w:r w:rsidRPr="0062316F">
        <w:rPr>
          <w:rFonts w:ascii="Book Antiqua" w:hAnsi="Book Antiqua"/>
          <w:sz w:val="24"/>
          <w:szCs w:val="24"/>
        </w:rPr>
        <w:t xml:space="preserve"> [DOI: 10.16966/2380-5498.122]</w:t>
      </w:r>
    </w:p>
    <w:p w14:paraId="2BF74977" w14:textId="19000D6F"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highlight w:val="yellow"/>
        </w:rPr>
        <w:t xml:space="preserve">35 </w:t>
      </w:r>
      <w:proofErr w:type="spellStart"/>
      <w:r w:rsidRPr="0062316F">
        <w:rPr>
          <w:rFonts w:ascii="Book Antiqua" w:hAnsi="Book Antiqua"/>
          <w:b/>
          <w:sz w:val="24"/>
          <w:szCs w:val="24"/>
          <w:highlight w:val="yellow"/>
        </w:rPr>
        <w:t>Sezer</w:t>
      </w:r>
      <w:proofErr w:type="spellEnd"/>
      <w:r w:rsidRPr="0062316F">
        <w:rPr>
          <w:rFonts w:ascii="Book Antiqua" w:hAnsi="Book Antiqua"/>
          <w:b/>
          <w:sz w:val="24"/>
          <w:szCs w:val="24"/>
          <w:highlight w:val="yellow"/>
        </w:rPr>
        <w:t xml:space="preserve"> S,</w:t>
      </w:r>
      <w:r w:rsidRPr="0062316F">
        <w:rPr>
          <w:rFonts w:ascii="Book Antiqua" w:hAnsi="Book Antiqua"/>
          <w:sz w:val="24"/>
          <w:szCs w:val="24"/>
          <w:highlight w:val="yellow"/>
        </w:rPr>
        <w:t xml:space="preserve"> </w:t>
      </w:r>
      <w:proofErr w:type="spellStart"/>
      <w:r w:rsidRPr="0062316F">
        <w:rPr>
          <w:rFonts w:ascii="Book Antiqua" w:hAnsi="Book Antiqua"/>
          <w:sz w:val="24"/>
          <w:szCs w:val="24"/>
          <w:highlight w:val="yellow"/>
        </w:rPr>
        <w:t>Gurlekdemirci</w:t>
      </w:r>
      <w:proofErr w:type="spellEnd"/>
      <w:r w:rsidRPr="0062316F">
        <w:rPr>
          <w:rFonts w:ascii="Book Antiqua" w:hAnsi="Book Antiqua"/>
          <w:sz w:val="24"/>
          <w:szCs w:val="24"/>
          <w:highlight w:val="yellow"/>
        </w:rPr>
        <w:t xml:space="preserve"> B, </w:t>
      </w:r>
      <w:proofErr w:type="spellStart"/>
      <w:r w:rsidRPr="0062316F">
        <w:rPr>
          <w:rFonts w:ascii="Book Antiqua" w:hAnsi="Book Antiqua"/>
          <w:sz w:val="24"/>
          <w:szCs w:val="24"/>
          <w:highlight w:val="yellow"/>
        </w:rPr>
        <w:t>Uyanik</w:t>
      </w:r>
      <w:proofErr w:type="spellEnd"/>
      <w:r w:rsidRPr="0062316F">
        <w:rPr>
          <w:rFonts w:ascii="Book Antiqua" w:hAnsi="Book Antiqua"/>
          <w:sz w:val="24"/>
          <w:szCs w:val="24"/>
          <w:highlight w:val="yellow"/>
        </w:rPr>
        <w:t xml:space="preserve"> S, </w:t>
      </w:r>
      <w:proofErr w:type="spellStart"/>
      <w:r w:rsidRPr="0062316F">
        <w:rPr>
          <w:rFonts w:ascii="Book Antiqua" w:hAnsi="Book Antiqua"/>
          <w:sz w:val="24"/>
          <w:szCs w:val="24"/>
          <w:highlight w:val="yellow"/>
        </w:rPr>
        <w:t>Erkmenuyar</w:t>
      </w:r>
      <w:proofErr w:type="spellEnd"/>
      <w:r w:rsidRPr="0062316F">
        <w:rPr>
          <w:rFonts w:ascii="Book Antiqua" w:hAnsi="Book Antiqua"/>
          <w:sz w:val="24"/>
          <w:szCs w:val="24"/>
          <w:highlight w:val="yellow"/>
        </w:rPr>
        <w:t xml:space="preserve"> M, </w:t>
      </w:r>
      <w:proofErr w:type="spellStart"/>
      <w:r w:rsidRPr="0062316F">
        <w:rPr>
          <w:rFonts w:ascii="Book Antiqua" w:hAnsi="Book Antiqua"/>
          <w:sz w:val="24"/>
          <w:szCs w:val="24"/>
          <w:highlight w:val="yellow"/>
        </w:rPr>
        <w:t>Haberal</w:t>
      </w:r>
      <w:proofErr w:type="spellEnd"/>
      <w:r w:rsidRPr="0062316F">
        <w:rPr>
          <w:rFonts w:ascii="Book Antiqua" w:hAnsi="Book Antiqua"/>
          <w:sz w:val="24"/>
          <w:szCs w:val="24"/>
          <w:highlight w:val="yellow"/>
        </w:rPr>
        <w:t xml:space="preserve"> M, </w:t>
      </w:r>
      <w:proofErr w:type="spellStart"/>
      <w:r w:rsidRPr="0062316F">
        <w:rPr>
          <w:rFonts w:ascii="Book Antiqua" w:hAnsi="Book Antiqua"/>
          <w:sz w:val="24"/>
          <w:szCs w:val="24"/>
          <w:highlight w:val="yellow"/>
        </w:rPr>
        <w:t>Sayin</w:t>
      </w:r>
      <w:proofErr w:type="spellEnd"/>
      <w:r w:rsidRPr="0062316F">
        <w:rPr>
          <w:rFonts w:ascii="Book Antiqua" w:hAnsi="Book Antiqua"/>
          <w:sz w:val="24"/>
          <w:szCs w:val="24"/>
          <w:highlight w:val="yellow"/>
        </w:rPr>
        <w:t xml:space="preserve"> B. Impact of proton pump inhibitors on hypomagnesemia and arterial stiffness in renal transplant recipients: Bo150.</w:t>
      </w:r>
      <w:r w:rsidRPr="0062316F">
        <w:rPr>
          <w:rFonts w:ascii="Book Antiqua" w:hAnsi="Book Antiqua"/>
          <w:i/>
          <w:sz w:val="24"/>
          <w:szCs w:val="24"/>
          <w:highlight w:val="yellow"/>
        </w:rPr>
        <w:t xml:space="preserve"> Transplant Int </w:t>
      </w:r>
      <w:r w:rsidRPr="0062316F">
        <w:rPr>
          <w:rFonts w:ascii="Book Antiqua" w:hAnsi="Book Antiqua"/>
          <w:sz w:val="24"/>
          <w:szCs w:val="24"/>
          <w:highlight w:val="yellow"/>
        </w:rPr>
        <w:t xml:space="preserve">2015; </w:t>
      </w:r>
      <w:r w:rsidRPr="0062316F">
        <w:rPr>
          <w:rFonts w:ascii="Book Antiqua" w:hAnsi="Book Antiqua"/>
          <w:b/>
          <w:sz w:val="24"/>
          <w:szCs w:val="24"/>
          <w:highlight w:val="yellow"/>
        </w:rPr>
        <w:t>28</w:t>
      </w:r>
      <w:r w:rsidRPr="0062316F">
        <w:rPr>
          <w:rFonts w:ascii="Book Antiqua" w:hAnsi="Book Antiqua"/>
          <w:sz w:val="24"/>
          <w:szCs w:val="24"/>
          <w:highlight w:val="yellow"/>
        </w:rPr>
        <w:t>: 181</w:t>
      </w:r>
    </w:p>
    <w:p w14:paraId="48CA21DD" w14:textId="32101D56"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36 </w:t>
      </w:r>
      <w:proofErr w:type="spellStart"/>
      <w:r w:rsidRPr="0062316F">
        <w:rPr>
          <w:rFonts w:ascii="Book Antiqua" w:hAnsi="Book Antiqua"/>
          <w:b/>
          <w:sz w:val="24"/>
          <w:szCs w:val="24"/>
        </w:rPr>
        <w:t>Shabaka</w:t>
      </w:r>
      <w:proofErr w:type="spellEnd"/>
      <w:r w:rsidRPr="0062316F">
        <w:rPr>
          <w:rFonts w:ascii="Book Antiqua" w:hAnsi="Book Antiqua"/>
          <w:b/>
          <w:sz w:val="24"/>
          <w:szCs w:val="24"/>
        </w:rPr>
        <w:t xml:space="preserve"> A,</w:t>
      </w:r>
      <w:r w:rsidRPr="0062316F">
        <w:rPr>
          <w:rFonts w:ascii="Book Antiqua" w:hAnsi="Book Antiqua"/>
          <w:sz w:val="24"/>
          <w:szCs w:val="24"/>
        </w:rPr>
        <w:t xml:space="preserve"> </w:t>
      </w:r>
      <w:proofErr w:type="spellStart"/>
      <w:r w:rsidRPr="0062316F">
        <w:rPr>
          <w:rFonts w:ascii="Book Antiqua" w:hAnsi="Book Antiqua"/>
          <w:sz w:val="24"/>
          <w:szCs w:val="24"/>
        </w:rPr>
        <w:t>Vian</w:t>
      </w:r>
      <w:proofErr w:type="spellEnd"/>
      <w:r w:rsidRPr="0062316F">
        <w:rPr>
          <w:rFonts w:ascii="Book Antiqua" w:hAnsi="Book Antiqua"/>
          <w:sz w:val="24"/>
          <w:szCs w:val="24"/>
        </w:rPr>
        <w:t xml:space="preserve"> J, López de la </w:t>
      </w:r>
      <w:proofErr w:type="spellStart"/>
      <w:r w:rsidRPr="0062316F">
        <w:rPr>
          <w:rFonts w:ascii="Book Antiqua" w:hAnsi="Book Antiqua"/>
          <w:sz w:val="24"/>
          <w:szCs w:val="24"/>
        </w:rPr>
        <w:t>Manzanara</w:t>
      </w:r>
      <w:proofErr w:type="spellEnd"/>
      <w:r w:rsidRPr="0062316F">
        <w:rPr>
          <w:rFonts w:ascii="Book Antiqua" w:hAnsi="Book Antiqua"/>
          <w:sz w:val="24"/>
          <w:szCs w:val="24"/>
        </w:rPr>
        <w:t xml:space="preserve"> V, Pérez Flores I, de los Angeles Moreno de la Higuera M, Sánchez-</w:t>
      </w:r>
      <w:proofErr w:type="spellStart"/>
      <w:r w:rsidRPr="0062316F">
        <w:rPr>
          <w:rFonts w:ascii="Book Antiqua" w:hAnsi="Book Antiqua"/>
          <w:sz w:val="24"/>
          <w:szCs w:val="24"/>
        </w:rPr>
        <w:t>Fructuoso</w:t>
      </w:r>
      <w:proofErr w:type="spellEnd"/>
      <w:r w:rsidRPr="0062316F">
        <w:rPr>
          <w:rFonts w:ascii="Book Antiqua" w:hAnsi="Book Antiqua"/>
          <w:sz w:val="24"/>
          <w:szCs w:val="24"/>
        </w:rPr>
        <w:t xml:space="preserve"> A. Risk factors and prevalence of hypomagnesemia in kidney transplantation. </w:t>
      </w:r>
      <w:proofErr w:type="spellStart"/>
      <w:r w:rsidRPr="0062316F">
        <w:rPr>
          <w:rFonts w:ascii="Book Antiqua" w:hAnsi="Book Antiqua"/>
          <w:i/>
          <w:sz w:val="24"/>
          <w:szCs w:val="24"/>
        </w:rPr>
        <w:t>Nephrol</w:t>
      </w:r>
      <w:proofErr w:type="spellEnd"/>
      <w:r w:rsidRPr="0062316F">
        <w:rPr>
          <w:rFonts w:ascii="Book Antiqua" w:hAnsi="Book Antiqua"/>
          <w:i/>
          <w:sz w:val="24"/>
          <w:szCs w:val="24"/>
        </w:rPr>
        <w:t xml:space="preserve"> Dial Transplant </w:t>
      </w:r>
      <w:r w:rsidRPr="0062316F">
        <w:rPr>
          <w:rFonts w:ascii="Book Antiqua" w:hAnsi="Book Antiqua"/>
          <w:sz w:val="24"/>
          <w:szCs w:val="24"/>
        </w:rPr>
        <w:t xml:space="preserve">2017; </w:t>
      </w:r>
      <w:r w:rsidRPr="0062316F">
        <w:rPr>
          <w:rFonts w:ascii="Book Antiqua" w:hAnsi="Book Antiqua"/>
          <w:b/>
          <w:sz w:val="24"/>
          <w:szCs w:val="24"/>
        </w:rPr>
        <w:t>32</w:t>
      </w:r>
      <w:r w:rsidRPr="0062316F">
        <w:rPr>
          <w:rFonts w:ascii="Book Antiqua" w:hAnsi="Book Antiqua"/>
          <w:sz w:val="24"/>
          <w:szCs w:val="24"/>
        </w:rPr>
        <w:t>: iii395 [DOI: 10.1093/</w:t>
      </w:r>
      <w:proofErr w:type="spellStart"/>
      <w:r w:rsidRPr="0062316F">
        <w:rPr>
          <w:rFonts w:ascii="Book Antiqua" w:hAnsi="Book Antiqua"/>
          <w:sz w:val="24"/>
          <w:szCs w:val="24"/>
        </w:rPr>
        <w:t>ndt</w:t>
      </w:r>
      <w:proofErr w:type="spellEnd"/>
      <w:r w:rsidRPr="0062316F">
        <w:rPr>
          <w:rFonts w:ascii="Book Antiqua" w:hAnsi="Book Antiqua"/>
          <w:sz w:val="24"/>
          <w:szCs w:val="24"/>
        </w:rPr>
        <w:t>/gfx157.SP748]</w:t>
      </w:r>
    </w:p>
    <w:p w14:paraId="0D81E7A4" w14:textId="2F42470E"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37 </w:t>
      </w:r>
      <w:proofErr w:type="spellStart"/>
      <w:r w:rsidRPr="0062316F">
        <w:rPr>
          <w:rFonts w:ascii="Book Antiqua" w:hAnsi="Book Antiqua"/>
          <w:b/>
          <w:sz w:val="24"/>
          <w:szCs w:val="24"/>
        </w:rPr>
        <w:t>Uludag</w:t>
      </w:r>
      <w:proofErr w:type="spellEnd"/>
      <w:r w:rsidRPr="0062316F">
        <w:rPr>
          <w:rFonts w:ascii="Book Antiqua" w:hAnsi="Book Antiqua"/>
          <w:b/>
          <w:sz w:val="24"/>
          <w:szCs w:val="24"/>
        </w:rPr>
        <w:t xml:space="preserve"> O,</w:t>
      </w:r>
      <w:r w:rsidRPr="0062316F">
        <w:rPr>
          <w:rFonts w:ascii="Book Antiqua" w:hAnsi="Book Antiqua"/>
          <w:sz w:val="24"/>
          <w:szCs w:val="24"/>
        </w:rPr>
        <w:t xml:space="preserve"> </w:t>
      </w:r>
      <w:proofErr w:type="spellStart"/>
      <w:r w:rsidRPr="0062316F">
        <w:rPr>
          <w:rFonts w:ascii="Book Antiqua" w:hAnsi="Book Antiqua"/>
          <w:sz w:val="24"/>
          <w:szCs w:val="24"/>
        </w:rPr>
        <w:t>Mirioglu</w:t>
      </w:r>
      <w:proofErr w:type="spellEnd"/>
      <w:r w:rsidRPr="0062316F">
        <w:rPr>
          <w:rFonts w:ascii="Book Antiqua" w:hAnsi="Book Antiqua"/>
          <w:sz w:val="24"/>
          <w:szCs w:val="24"/>
        </w:rPr>
        <w:t xml:space="preserve"> S, </w:t>
      </w:r>
      <w:proofErr w:type="spellStart"/>
      <w:r w:rsidRPr="0062316F">
        <w:rPr>
          <w:rFonts w:ascii="Book Antiqua" w:hAnsi="Book Antiqua"/>
          <w:sz w:val="24"/>
          <w:szCs w:val="24"/>
        </w:rPr>
        <w:t>Dirim</w:t>
      </w:r>
      <w:proofErr w:type="spellEnd"/>
      <w:r w:rsidRPr="0062316F">
        <w:rPr>
          <w:rFonts w:ascii="Book Antiqua" w:hAnsi="Book Antiqua"/>
          <w:sz w:val="24"/>
          <w:szCs w:val="24"/>
        </w:rPr>
        <w:t xml:space="preserve"> A, </w:t>
      </w:r>
      <w:proofErr w:type="spellStart"/>
      <w:r w:rsidRPr="0062316F">
        <w:rPr>
          <w:rFonts w:ascii="Book Antiqua" w:hAnsi="Book Antiqua"/>
          <w:sz w:val="24"/>
          <w:szCs w:val="24"/>
        </w:rPr>
        <w:t>Akardere</w:t>
      </w:r>
      <w:proofErr w:type="spellEnd"/>
      <w:r w:rsidRPr="0062316F">
        <w:rPr>
          <w:rFonts w:ascii="Book Antiqua" w:hAnsi="Book Antiqua"/>
          <w:sz w:val="24"/>
          <w:szCs w:val="24"/>
        </w:rPr>
        <w:t xml:space="preserve"> O, </w:t>
      </w:r>
      <w:proofErr w:type="spellStart"/>
      <w:r w:rsidRPr="0062316F">
        <w:rPr>
          <w:rFonts w:ascii="Book Antiqua" w:hAnsi="Book Antiqua"/>
          <w:sz w:val="24"/>
          <w:szCs w:val="24"/>
        </w:rPr>
        <w:t>Akyildiz</w:t>
      </w:r>
      <w:proofErr w:type="spellEnd"/>
      <w:r w:rsidRPr="0062316F">
        <w:rPr>
          <w:rFonts w:ascii="Book Antiqua" w:hAnsi="Book Antiqua"/>
          <w:sz w:val="24"/>
          <w:szCs w:val="24"/>
        </w:rPr>
        <w:t xml:space="preserve"> A, Sever M, </w:t>
      </w:r>
      <w:proofErr w:type="spellStart"/>
      <w:r w:rsidRPr="0062316F">
        <w:rPr>
          <w:rFonts w:ascii="Book Antiqua" w:hAnsi="Book Antiqua"/>
          <w:sz w:val="24"/>
          <w:szCs w:val="24"/>
        </w:rPr>
        <w:t>Caliskan</w:t>
      </w:r>
      <w:proofErr w:type="spellEnd"/>
      <w:r w:rsidRPr="0062316F">
        <w:rPr>
          <w:rFonts w:ascii="Book Antiqua" w:hAnsi="Book Antiqua"/>
          <w:sz w:val="24"/>
          <w:szCs w:val="24"/>
        </w:rPr>
        <w:t xml:space="preserve"> Y. Effects of proton pump inhibitors on kidney transplant recipients. </w:t>
      </w:r>
      <w:proofErr w:type="spellStart"/>
      <w:r w:rsidRPr="0062316F">
        <w:rPr>
          <w:rFonts w:ascii="Book Antiqua" w:hAnsi="Book Antiqua"/>
          <w:i/>
          <w:sz w:val="24"/>
          <w:szCs w:val="24"/>
        </w:rPr>
        <w:t>Nephrol</w:t>
      </w:r>
      <w:proofErr w:type="spellEnd"/>
      <w:r w:rsidRPr="0062316F">
        <w:rPr>
          <w:rFonts w:ascii="Book Antiqua" w:hAnsi="Book Antiqua"/>
          <w:i/>
          <w:sz w:val="24"/>
          <w:szCs w:val="24"/>
        </w:rPr>
        <w:t xml:space="preserve"> Dial Transplant </w:t>
      </w:r>
      <w:r w:rsidRPr="0062316F">
        <w:rPr>
          <w:rFonts w:ascii="Book Antiqua" w:hAnsi="Book Antiqua"/>
          <w:sz w:val="24"/>
          <w:szCs w:val="24"/>
        </w:rPr>
        <w:t xml:space="preserve">2017; </w:t>
      </w:r>
      <w:r w:rsidRPr="0062316F">
        <w:rPr>
          <w:rFonts w:ascii="Book Antiqua" w:hAnsi="Book Antiqua"/>
          <w:b/>
          <w:sz w:val="24"/>
          <w:szCs w:val="24"/>
        </w:rPr>
        <w:t>32 suppl 3</w:t>
      </w:r>
      <w:r w:rsidRPr="0062316F">
        <w:rPr>
          <w:rFonts w:ascii="Book Antiqua" w:hAnsi="Book Antiqua"/>
          <w:sz w:val="24"/>
          <w:szCs w:val="24"/>
        </w:rPr>
        <w:t>: iii730 [DOI: 10.1093/</w:t>
      </w:r>
      <w:proofErr w:type="spellStart"/>
      <w:r w:rsidRPr="0062316F">
        <w:rPr>
          <w:rFonts w:ascii="Book Antiqua" w:hAnsi="Book Antiqua"/>
          <w:sz w:val="24"/>
          <w:szCs w:val="24"/>
        </w:rPr>
        <w:t>ndt</w:t>
      </w:r>
      <w:proofErr w:type="spellEnd"/>
      <w:r w:rsidRPr="0062316F">
        <w:rPr>
          <w:rFonts w:ascii="Book Antiqua" w:hAnsi="Book Antiqua"/>
          <w:sz w:val="24"/>
          <w:szCs w:val="24"/>
        </w:rPr>
        <w:t>/gfx182.MP805]</w:t>
      </w:r>
    </w:p>
    <w:p w14:paraId="4BA03593" w14:textId="1CACC39F"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highlight w:val="yellow"/>
        </w:rPr>
        <w:t xml:space="preserve">38 </w:t>
      </w:r>
      <w:r w:rsidRPr="0062316F">
        <w:rPr>
          <w:rFonts w:ascii="Book Antiqua" w:hAnsi="Book Antiqua"/>
          <w:b/>
          <w:sz w:val="24"/>
          <w:szCs w:val="24"/>
          <w:highlight w:val="yellow"/>
        </w:rPr>
        <w:t>Gomes-</w:t>
      </w:r>
      <w:proofErr w:type="spellStart"/>
      <w:r w:rsidRPr="0062316F">
        <w:rPr>
          <w:rFonts w:ascii="Book Antiqua" w:hAnsi="Book Antiqua"/>
          <w:b/>
          <w:sz w:val="24"/>
          <w:szCs w:val="24"/>
          <w:highlight w:val="yellow"/>
        </w:rPr>
        <w:t>Neto</w:t>
      </w:r>
      <w:proofErr w:type="spellEnd"/>
      <w:r w:rsidRPr="0062316F">
        <w:rPr>
          <w:rFonts w:ascii="Book Antiqua" w:hAnsi="Book Antiqua"/>
          <w:b/>
          <w:sz w:val="24"/>
          <w:szCs w:val="24"/>
          <w:highlight w:val="yellow"/>
        </w:rPr>
        <w:t xml:space="preserve"> A,</w:t>
      </w:r>
      <w:r w:rsidRPr="0062316F">
        <w:rPr>
          <w:rFonts w:ascii="Book Antiqua" w:hAnsi="Book Antiqua"/>
          <w:sz w:val="24"/>
          <w:szCs w:val="24"/>
          <w:highlight w:val="yellow"/>
        </w:rPr>
        <w:t xml:space="preserve"> </w:t>
      </w:r>
      <w:proofErr w:type="spellStart"/>
      <w:r w:rsidRPr="0062316F">
        <w:rPr>
          <w:rFonts w:ascii="Book Antiqua" w:hAnsi="Book Antiqua"/>
          <w:sz w:val="24"/>
          <w:szCs w:val="24"/>
          <w:highlight w:val="yellow"/>
        </w:rPr>
        <w:t>Douwes</w:t>
      </w:r>
      <w:proofErr w:type="spellEnd"/>
      <w:r w:rsidRPr="0062316F">
        <w:rPr>
          <w:rFonts w:ascii="Book Antiqua" w:hAnsi="Book Antiqua"/>
          <w:sz w:val="24"/>
          <w:szCs w:val="24"/>
          <w:highlight w:val="yellow"/>
        </w:rPr>
        <w:t xml:space="preserve"> R, </w:t>
      </w:r>
      <w:proofErr w:type="spellStart"/>
      <w:r w:rsidRPr="0062316F">
        <w:rPr>
          <w:rFonts w:ascii="Book Antiqua" w:hAnsi="Book Antiqua"/>
          <w:sz w:val="24"/>
          <w:szCs w:val="24"/>
          <w:highlight w:val="yellow"/>
        </w:rPr>
        <w:t>Eisenga</w:t>
      </w:r>
      <w:proofErr w:type="spellEnd"/>
      <w:r w:rsidRPr="0062316F">
        <w:rPr>
          <w:rFonts w:ascii="Book Antiqua" w:hAnsi="Book Antiqua"/>
          <w:sz w:val="24"/>
          <w:szCs w:val="24"/>
          <w:highlight w:val="yellow"/>
        </w:rPr>
        <w:t xml:space="preserve"> M, Berger S, </w:t>
      </w:r>
      <w:proofErr w:type="spellStart"/>
      <w:r w:rsidRPr="0062316F">
        <w:rPr>
          <w:rFonts w:ascii="Book Antiqua" w:hAnsi="Book Antiqua"/>
          <w:sz w:val="24"/>
          <w:szCs w:val="24"/>
          <w:highlight w:val="yellow"/>
        </w:rPr>
        <w:t>Gans</w:t>
      </w:r>
      <w:proofErr w:type="spellEnd"/>
      <w:r w:rsidRPr="0062316F">
        <w:rPr>
          <w:rFonts w:ascii="Book Antiqua" w:hAnsi="Book Antiqua"/>
          <w:sz w:val="24"/>
          <w:szCs w:val="24"/>
          <w:highlight w:val="yellow"/>
        </w:rPr>
        <w:t xml:space="preserve"> R, Berg E, Navis G, </w:t>
      </w:r>
      <w:proofErr w:type="spellStart"/>
      <w:r w:rsidRPr="0062316F">
        <w:rPr>
          <w:rFonts w:ascii="Book Antiqua" w:hAnsi="Book Antiqua"/>
          <w:sz w:val="24"/>
          <w:szCs w:val="24"/>
          <w:highlight w:val="yellow"/>
        </w:rPr>
        <w:t>Blokzijl</w:t>
      </w:r>
      <w:proofErr w:type="spellEnd"/>
      <w:r w:rsidRPr="0062316F">
        <w:rPr>
          <w:rFonts w:ascii="Book Antiqua" w:hAnsi="Book Antiqua"/>
          <w:sz w:val="24"/>
          <w:szCs w:val="24"/>
          <w:highlight w:val="yellow"/>
        </w:rPr>
        <w:t xml:space="preserve"> H, Bakker S. Use of proton-pump inhibitors is associated with lower magnesium and iron status and excess mortality in renal transplant recipients. </w:t>
      </w:r>
      <w:r w:rsidRPr="0062316F">
        <w:rPr>
          <w:rFonts w:ascii="Book Antiqua" w:hAnsi="Book Antiqua"/>
          <w:i/>
          <w:sz w:val="24"/>
          <w:szCs w:val="24"/>
          <w:highlight w:val="yellow"/>
        </w:rPr>
        <w:t xml:space="preserve">Am J Transplant </w:t>
      </w:r>
      <w:r w:rsidRPr="0062316F">
        <w:rPr>
          <w:rFonts w:ascii="Book Antiqua" w:hAnsi="Book Antiqua"/>
          <w:sz w:val="24"/>
          <w:szCs w:val="24"/>
          <w:highlight w:val="yellow"/>
        </w:rPr>
        <w:t xml:space="preserve">2018; </w:t>
      </w:r>
      <w:r w:rsidRPr="0062316F">
        <w:rPr>
          <w:rFonts w:ascii="Book Antiqua" w:hAnsi="Book Antiqua"/>
          <w:b/>
          <w:sz w:val="24"/>
          <w:szCs w:val="24"/>
          <w:highlight w:val="yellow"/>
        </w:rPr>
        <w:t>18</w:t>
      </w:r>
      <w:r w:rsidRPr="0062316F">
        <w:rPr>
          <w:rFonts w:ascii="Book Antiqua" w:hAnsi="Book Antiqua"/>
          <w:sz w:val="24"/>
          <w:szCs w:val="24"/>
          <w:highlight w:val="yellow"/>
        </w:rPr>
        <w:t>: 300-301</w:t>
      </w:r>
    </w:p>
    <w:p w14:paraId="5C342EAE" w14:textId="2AD974F1"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highlight w:val="yellow"/>
        </w:rPr>
        <w:t xml:space="preserve">39 </w:t>
      </w:r>
      <w:proofErr w:type="spellStart"/>
      <w:r w:rsidRPr="0062316F">
        <w:rPr>
          <w:rFonts w:ascii="Book Antiqua" w:hAnsi="Book Antiqua"/>
          <w:b/>
          <w:sz w:val="24"/>
          <w:szCs w:val="24"/>
          <w:highlight w:val="yellow"/>
        </w:rPr>
        <w:t>Kipp</w:t>
      </w:r>
      <w:proofErr w:type="spellEnd"/>
      <w:r w:rsidRPr="0062316F">
        <w:rPr>
          <w:rFonts w:ascii="Book Antiqua" w:hAnsi="Book Antiqua"/>
          <w:b/>
          <w:sz w:val="24"/>
          <w:szCs w:val="24"/>
          <w:highlight w:val="yellow"/>
        </w:rPr>
        <w:t xml:space="preserve"> G,</w:t>
      </w:r>
      <w:r w:rsidRPr="0062316F">
        <w:rPr>
          <w:rFonts w:ascii="Book Antiqua" w:hAnsi="Book Antiqua"/>
          <w:sz w:val="24"/>
          <w:szCs w:val="24"/>
          <w:highlight w:val="yellow"/>
        </w:rPr>
        <w:t xml:space="preserve"> </w:t>
      </w:r>
      <w:proofErr w:type="spellStart"/>
      <w:r w:rsidRPr="0062316F">
        <w:rPr>
          <w:rFonts w:ascii="Book Antiqua" w:hAnsi="Book Antiqua"/>
          <w:sz w:val="24"/>
          <w:szCs w:val="24"/>
          <w:highlight w:val="yellow"/>
        </w:rPr>
        <w:t>Dancsecs</w:t>
      </w:r>
      <w:proofErr w:type="spellEnd"/>
      <w:r w:rsidRPr="0062316F">
        <w:rPr>
          <w:rFonts w:ascii="Book Antiqua" w:hAnsi="Book Antiqua"/>
          <w:sz w:val="24"/>
          <w:szCs w:val="24"/>
          <w:highlight w:val="yellow"/>
        </w:rPr>
        <w:t xml:space="preserve"> K, Lapping A. Proton- pump inhibitor utilization is associated with higher rates of Clostridium difficile infection and hypomagnesemia after kidney transplant. </w:t>
      </w:r>
      <w:r w:rsidRPr="0062316F">
        <w:rPr>
          <w:rFonts w:ascii="Book Antiqua" w:hAnsi="Book Antiqua"/>
          <w:i/>
          <w:sz w:val="24"/>
          <w:szCs w:val="24"/>
          <w:highlight w:val="yellow"/>
        </w:rPr>
        <w:t xml:space="preserve">Am J Transplant </w:t>
      </w:r>
      <w:r w:rsidRPr="0062316F">
        <w:rPr>
          <w:rFonts w:ascii="Book Antiqua" w:hAnsi="Book Antiqua"/>
          <w:sz w:val="24"/>
          <w:szCs w:val="24"/>
          <w:highlight w:val="yellow"/>
        </w:rPr>
        <w:t xml:space="preserve">2017; </w:t>
      </w:r>
      <w:r w:rsidRPr="0062316F">
        <w:rPr>
          <w:rFonts w:ascii="Book Antiqua" w:hAnsi="Book Antiqua"/>
          <w:b/>
          <w:sz w:val="24"/>
          <w:szCs w:val="24"/>
          <w:highlight w:val="yellow"/>
        </w:rPr>
        <w:t>17 Suppl 3</w:t>
      </w:r>
      <w:r w:rsidRPr="0062316F">
        <w:rPr>
          <w:rFonts w:ascii="Book Antiqua" w:hAnsi="Book Antiqua"/>
          <w:sz w:val="24"/>
          <w:szCs w:val="24"/>
          <w:highlight w:val="yellow"/>
        </w:rPr>
        <w:t>: 5-815</w:t>
      </w:r>
    </w:p>
    <w:p w14:paraId="58EFA0BA" w14:textId="736814A5"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highlight w:val="yellow"/>
        </w:rPr>
        <w:t xml:space="preserve">40 </w:t>
      </w:r>
      <w:proofErr w:type="spellStart"/>
      <w:r w:rsidRPr="0062316F">
        <w:rPr>
          <w:rFonts w:ascii="Book Antiqua" w:hAnsi="Book Antiqua"/>
          <w:b/>
          <w:sz w:val="24"/>
          <w:szCs w:val="24"/>
          <w:highlight w:val="yellow"/>
        </w:rPr>
        <w:t>Douwes</w:t>
      </w:r>
      <w:proofErr w:type="spellEnd"/>
      <w:r w:rsidRPr="0062316F">
        <w:rPr>
          <w:rFonts w:ascii="Book Antiqua" w:hAnsi="Book Antiqua"/>
          <w:b/>
          <w:sz w:val="24"/>
          <w:szCs w:val="24"/>
          <w:highlight w:val="yellow"/>
        </w:rPr>
        <w:t xml:space="preserve"> R,</w:t>
      </w:r>
      <w:r w:rsidRPr="0062316F">
        <w:rPr>
          <w:rFonts w:ascii="Book Antiqua" w:hAnsi="Book Antiqua"/>
          <w:sz w:val="24"/>
          <w:szCs w:val="24"/>
          <w:highlight w:val="yellow"/>
        </w:rPr>
        <w:t xml:space="preserve"> </w:t>
      </w:r>
      <w:proofErr w:type="spellStart"/>
      <w:r w:rsidRPr="0062316F">
        <w:rPr>
          <w:rFonts w:ascii="Book Antiqua" w:hAnsi="Book Antiqua"/>
          <w:sz w:val="24"/>
          <w:szCs w:val="24"/>
          <w:highlight w:val="yellow"/>
        </w:rPr>
        <w:t>Neto</w:t>
      </w:r>
      <w:proofErr w:type="spellEnd"/>
      <w:r w:rsidRPr="0062316F">
        <w:rPr>
          <w:rFonts w:ascii="Book Antiqua" w:hAnsi="Book Antiqua"/>
          <w:sz w:val="24"/>
          <w:szCs w:val="24"/>
          <w:highlight w:val="yellow"/>
        </w:rPr>
        <w:t xml:space="preserve"> GA, </w:t>
      </w:r>
      <w:proofErr w:type="spellStart"/>
      <w:r w:rsidRPr="0062316F">
        <w:rPr>
          <w:rFonts w:ascii="Book Antiqua" w:hAnsi="Book Antiqua"/>
          <w:sz w:val="24"/>
          <w:szCs w:val="24"/>
          <w:highlight w:val="yellow"/>
        </w:rPr>
        <w:t>Eisenga</w:t>
      </w:r>
      <w:proofErr w:type="spellEnd"/>
      <w:r w:rsidRPr="0062316F">
        <w:rPr>
          <w:rFonts w:ascii="Book Antiqua" w:hAnsi="Book Antiqua"/>
          <w:sz w:val="24"/>
          <w:szCs w:val="24"/>
          <w:highlight w:val="yellow"/>
        </w:rPr>
        <w:t xml:space="preserve"> M, </w:t>
      </w:r>
      <w:proofErr w:type="spellStart"/>
      <w:r w:rsidRPr="0062316F">
        <w:rPr>
          <w:rFonts w:ascii="Book Antiqua" w:hAnsi="Book Antiqua"/>
          <w:sz w:val="24"/>
          <w:szCs w:val="24"/>
          <w:highlight w:val="yellow"/>
        </w:rPr>
        <w:t>Gans</w:t>
      </w:r>
      <w:proofErr w:type="spellEnd"/>
      <w:r w:rsidRPr="0062316F">
        <w:rPr>
          <w:rFonts w:ascii="Book Antiqua" w:hAnsi="Book Antiqua"/>
          <w:sz w:val="24"/>
          <w:szCs w:val="24"/>
          <w:highlight w:val="yellow"/>
        </w:rPr>
        <w:t xml:space="preserve"> RO, van den Berg E, Navis G, </w:t>
      </w:r>
      <w:proofErr w:type="spellStart"/>
      <w:r w:rsidRPr="0062316F">
        <w:rPr>
          <w:rFonts w:ascii="Book Antiqua" w:hAnsi="Book Antiqua"/>
          <w:sz w:val="24"/>
          <w:szCs w:val="24"/>
          <w:highlight w:val="yellow"/>
        </w:rPr>
        <w:t>Blokzijl</w:t>
      </w:r>
      <w:proofErr w:type="spellEnd"/>
      <w:r w:rsidRPr="0062316F">
        <w:rPr>
          <w:rFonts w:ascii="Book Antiqua" w:hAnsi="Book Antiqua"/>
          <w:sz w:val="24"/>
          <w:szCs w:val="24"/>
          <w:highlight w:val="yellow"/>
        </w:rPr>
        <w:t xml:space="preserve"> H, Bakker SJ. Chronic use of proton-pump inhibitors is associated with lower magnesium and iron status and mortality in renal transplant recipients. </w:t>
      </w:r>
      <w:r w:rsidRPr="0062316F">
        <w:rPr>
          <w:rFonts w:ascii="Book Antiqua" w:hAnsi="Book Antiqua"/>
          <w:i/>
          <w:sz w:val="24"/>
          <w:szCs w:val="24"/>
          <w:highlight w:val="yellow"/>
        </w:rPr>
        <w:t xml:space="preserve">Ann </w:t>
      </w:r>
      <w:proofErr w:type="spellStart"/>
      <w:r w:rsidRPr="0062316F">
        <w:rPr>
          <w:rFonts w:ascii="Book Antiqua" w:hAnsi="Book Antiqua"/>
          <w:i/>
          <w:sz w:val="24"/>
          <w:szCs w:val="24"/>
          <w:highlight w:val="yellow"/>
        </w:rPr>
        <w:t>Nutr</w:t>
      </w:r>
      <w:proofErr w:type="spellEnd"/>
      <w:r w:rsidRPr="0062316F">
        <w:rPr>
          <w:rFonts w:ascii="Book Antiqua" w:hAnsi="Book Antiqua"/>
          <w:i/>
          <w:sz w:val="24"/>
          <w:szCs w:val="24"/>
          <w:highlight w:val="yellow"/>
        </w:rPr>
        <w:t xml:space="preserve"> </w:t>
      </w:r>
      <w:proofErr w:type="spellStart"/>
      <w:r w:rsidRPr="0062316F">
        <w:rPr>
          <w:rFonts w:ascii="Book Antiqua" w:hAnsi="Book Antiqua"/>
          <w:i/>
          <w:sz w:val="24"/>
          <w:szCs w:val="24"/>
          <w:highlight w:val="yellow"/>
        </w:rPr>
        <w:t>Metab</w:t>
      </w:r>
      <w:proofErr w:type="spellEnd"/>
      <w:r w:rsidRPr="0062316F">
        <w:rPr>
          <w:rFonts w:ascii="Book Antiqua" w:hAnsi="Book Antiqua"/>
          <w:sz w:val="24"/>
          <w:szCs w:val="24"/>
          <w:highlight w:val="yellow"/>
        </w:rPr>
        <w:t xml:space="preserve"> 2017; </w:t>
      </w:r>
      <w:r w:rsidRPr="0062316F">
        <w:rPr>
          <w:rFonts w:ascii="Book Antiqua" w:hAnsi="Book Antiqua"/>
          <w:b/>
          <w:sz w:val="24"/>
          <w:szCs w:val="24"/>
          <w:highlight w:val="yellow"/>
        </w:rPr>
        <w:t>71</w:t>
      </w:r>
      <w:r w:rsidRPr="0062316F">
        <w:rPr>
          <w:rFonts w:ascii="Book Antiqua" w:hAnsi="Book Antiqua"/>
          <w:sz w:val="24"/>
          <w:szCs w:val="24"/>
          <w:highlight w:val="yellow"/>
        </w:rPr>
        <w:t>: 979</w:t>
      </w:r>
    </w:p>
    <w:p w14:paraId="7BF5DF66"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41 </w:t>
      </w:r>
      <w:proofErr w:type="spellStart"/>
      <w:r w:rsidRPr="0062316F">
        <w:rPr>
          <w:rFonts w:ascii="Book Antiqua" w:hAnsi="Book Antiqua"/>
          <w:b/>
          <w:sz w:val="24"/>
          <w:szCs w:val="24"/>
        </w:rPr>
        <w:t>Rupprecht</w:t>
      </w:r>
      <w:proofErr w:type="spellEnd"/>
      <w:r w:rsidRPr="0062316F">
        <w:rPr>
          <w:rFonts w:ascii="Book Antiqua" w:hAnsi="Book Antiqua"/>
          <w:b/>
          <w:sz w:val="24"/>
          <w:szCs w:val="24"/>
        </w:rPr>
        <w:t xml:space="preserve"> K</w:t>
      </w:r>
      <w:r w:rsidRPr="0062316F">
        <w:rPr>
          <w:rFonts w:ascii="Book Antiqua" w:hAnsi="Book Antiqua"/>
          <w:sz w:val="24"/>
          <w:szCs w:val="24"/>
        </w:rPr>
        <w:t xml:space="preserve">, Schmidt C, </w:t>
      </w:r>
      <w:proofErr w:type="spellStart"/>
      <w:r w:rsidRPr="0062316F">
        <w:rPr>
          <w:rFonts w:ascii="Book Antiqua" w:hAnsi="Book Antiqua"/>
          <w:sz w:val="24"/>
          <w:szCs w:val="24"/>
        </w:rPr>
        <w:t>Raspé</w:t>
      </w:r>
      <w:proofErr w:type="spellEnd"/>
      <w:r w:rsidRPr="0062316F">
        <w:rPr>
          <w:rFonts w:ascii="Book Antiqua" w:hAnsi="Book Antiqua"/>
          <w:sz w:val="24"/>
          <w:szCs w:val="24"/>
        </w:rPr>
        <w:t xml:space="preserve"> A, </w:t>
      </w:r>
      <w:proofErr w:type="spellStart"/>
      <w:r w:rsidRPr="0062316F">
        <w:rPr>
          <w:rFonts w:ascii="Book Antiqua" w:hAnsi="Book Antiqua"/>
          <w:sz w:val="24"/>
          <w:szCs w:val="24"/>
        </w:rPr>
        <w:t>Schweda</w:t>
      </w:r>
      <w:proofErr w:type="spellEnd"/>
      <w:r w:rsidRPr="0062316F">
        <w:rPr>
          <w:rFonts w:ascii="Book Antiqua" w:hAnsi="Book Antiqua"/>
          <w:sz w:val="24"/>
          <w:szCs w:val="24"/>
        </w:rPr>
        <w:t xml:space="preserve"> F, </w:t>
      </w:r>
      <w:proofErr w:type="spellStart"/>
      <w:r w:rsidRPr="0062316F">
        <w:rPr>
          <w:rFonts w:ascii="Book Antiqua" w:hAnsi="Book Antiqua"/>
          <w:sz w:val="24"/>
          <w:szCs w:val="24"/>
        </w:rPr>
        <w:t>Shipkova</w:t>
      </w:r>
      <w:proofErr w:type="spellEnd"/>
      <w:r w:rsidRPr="0062316F">
        <w:rPr>
          <w:rFonts w:ascii="Book Antiqua" w:hAnsi="Book Antiqua"/>
          <w:sz w:val="24"/>
          <w:szCs w:val="24"/>
        </w:rPr>
        <w:t xml:space="preserve"> M, Fischer W, Bucher M, </w:t>
      </w:r>
      <w:proofErr w:type="spellStart"/>
      <w:r w:rsidRPr="0062316F">
        <w:rPr>
          <w:rFonts w:ascii="Book Antiqua" w:hAnsi="Book Antiqua"/>
          <w:sz w:val="24"/>
          <w:szCs w:val="24"/>
        </w:rPr>
        <w:t>Kees</w:t>
      </w:r>
      <w:proofErr w:type="spellEnd"/>
      <w:r w:rsidRPr="0062316F">
        <w:rPr>
          <w:rFonts w:ascii="Book Antiqua" w:hAnsi="Book Antiqua"/>
          <w:sz w:val="24"/>
          <w:szCs w:val="24"/>
        </w:rPr>
        <w:t xml:space="preserve"> F, </w:t>
      </w:r>
      <w:proofErr w:type="spellStart"/>
      <w:r w:rsidRPr="0062316F">
        <w:rPr>
          <w:rFonts w:ascii="Book Antiqua" w:hAnsi="Book Antiqua"/>
          <w:sz w:val="24"/>
          <w:szCs w:val="24"/>
        </w:rPr>
        <w:t>Faerber</w:t>
      </w:r>
      <w:proofErr w:type="spellEnd"/>
      <w:r w:rsidRPr="0062316F">
        <w:rPr>
          <w:rFonts w:ascii="Book Antiqua" w:hAnsi="Book Antiqua"/>
          <w:sz w:val="24"/>
          <w:szCs w:val="24"/>
        </w:rPr>
        <w:t xml:space="preserve"> L. Bioavailability of mycophenolate mofetil and enteric-coated </w:t>
      </w:r>
      <w:r w:rsidRPr="0062316F">
        <w:rPr>
          <w:rFonts w:ascii="Book Antiqua" w:hAnsi="Book Antiqua"/>
          <w:sz w:val="24"/>
          <w:szCs w:val="24"/>
        </w:rPr>
        <w:lastRenderedPageBreak/>
        <w:t xml:space="preserve">mycophenolate sodium is differentially affected by pantoprazole in healthy volunteers. </w:t>
      </w:r>
      <w:r w:rsidRPr="0062316F">
        <w:rPr>
          <w:rFonts w:ascii="Book Antiqua" w:hAnsi="Book Antiqua"/>
          <w:i/>
          <w:sz w:val="24"/>
          <w:szCs w:val="24"/>
        </w:rPr>
        <w:t xml:space="preserve">J </w:t>
      </w:r>
      <w:proofErr w:type="spellStart"/>
      <w:r w:rsidRPr="0062316F">
        <w:rPr>
          <w:rFonts w:ascii="Book Antiqua" w:hAnsi="Book Antiqua"/>
          <w:i/>
          <w:sz w:val="24"/>
          <w:szCs w:val="24"/>
        </w:rPr>
        <w:t>Clin</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Pharmacol</w:t>
      </w:r>
      <w:proofErr w:type="spellEnd"/>
      <w:r w:rsidRPr="0062316F">
        <w:rPr>
          <w:rFonts w:ascii="Book Antiqua" w:hAnsi="Book Antiqua"/>
          <w:sz w:val="24"/>
          <w:szCs w:val="24"/>
        </w:rPr>
        <w:t xml:space="preserve"> 2009; </w:t>
      </w:r>
      <w:r w:rsidRPr="0062316F">
        <w:rPr>
          <w:rFonts w:ascii="Book Antiqua" w:hAnsi="Book Antiqua"/>
          <w:b/>
          <w:sz w:val="24"/>
          <w:szCs w:val="24"/>
        </w:rPr>
        <w:t>49</w:t>
      </w:r>
      <w:r w:rsidRPr="0062316F">
        <w:rPr>
          <w:rFonts w:ascii="Book Antiqua" w:hAnsi="Book Antiqua"/>
          <w:sz w:val="24"/>
          <w:szCs w:val="24"/>
        </w:rPr>
        <w:t>: 1196-1201 [PMID: 19783713 DOI: 10.1177/0091270009344988]</w:t>
      </w:r>
    </w:p>
    <w:p w14:paraId="22885879"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42 </w:t>
      </w:r>
      <w:r w:rsidRPr="0062316F">
        <w:rPr>
          <w:rFonts w:ascii="Book Antiqua" w:hAnsi="Book Antiqua"/>
          <w:b/>
          <w:sz w:val="24"/>
          <w:szCs w:val="24"/>
        </w:rPr>
        <w:t>van Gelder T</w:t>
      </w:r>
      <w:r w:rsidRPr="0062316F">
        <w:rPr>
          <w:rFonts w:ascii="Book Antiqua" w:hAnsi="Book Antiqua"/>
          <w:sz w:val="24"/>
          <w:szCs w:val="24"/>
        </w:rPr>
        <w:t xml:space="preserve">, </w:t>
      </w:r>
      <w:proofErr w:type="spellStart"/>
      <w:r w:rsidRPr="0062316F">
        <w:rPr>
          <w:rFonts w:ascii="Book Antiqua" w:hAnsi="Book Antiqua"/>
          <w:sz w:val="24"/>
          <w:szCs w:val="24"/>
        </w:rPr>
        <w:t>Klupp</w:t>
      </w:r>
      <w:proofErr w:type="spellEnd"/>
      <w:r w:rsidRPr="0062316F">
        <w:rPr>
          <w:rFonts w:ascii="Book Antiqua" w:hAnsi="Book Antiqua"/>
          <w:sz w:val="24"/>
          <w:szCs w:val="24"/>
        </w:rPr>
        <w:t xml:space="preserve"> J, </w:t>
      </w:r>
      <w:proofErr w:type="spellStart"/>
      <w:r w:rsidRPr="0062316F">
        <w:rPr>
          <w:rFonts w:ascii="Book Antiqua" w:hAnsi="Book Antiqua"/>
          <w:sz w:val="24"/>
          <w:szCs w:val="24"/>
        </w:rPr>
        <w:t>Barten</w:t>
      </w:r>
      <w:proofErr w:type="spellEnd"/>
      <w:r w:rsidRPr="0062316F">
        <w:rPr>
          <w:rFonts w:ascii="Book Antiqua" w:hAnsi="Book Antiqua"/>
          <w:sz w:val="24"/>
          <w:szCs w:val="24"/>
        </w:rPr>
        <w:t xml:space="preserve"> MJ, Christians U, Morris RE. Comparison of the effects of tacrolimus and cyclosporine on the pharmacokinetics of mycophenolic acid. </w:t>
      </w:r>
      <w:proofErr w:type="spellStart"/>
      <w:r w:rsidRPr="0062316F">
        <w:rPr>
          <w:rFonts w:ascii="Book Antiqua" w:hAnsi="Book Antiqua"/>
          <w:i/>
          <w:sz w:val="24"/>
          <w:szCs w:val="24"/>
        </w:rPr>
        <w:t>Ther</w:t>
      </w:r>
      <w:proofErr w:type="spellEnd"/>
      <w:r w:rsidRPr="0062316F">
        <w:rPr>
          <w:rFonts w:ascii="Book Antiqua" w:hAnsi="Book Antiqua"/>
          <w:i/>
          <w:sz w:val="24"/>
          <w:szCs w:val="24"/>
        </w:rPr>
        <w:t xml:space="preserve"> Drug </w:t>
      </w:r>
      <w:proofErr w:type="spellStart"/>
      <w:r w:rsidRPr="0062316F">
        <w:rPr>
          <w:rFonts w:ascii="Book Antiqua" w:hAnsi="Book Antiqua"/>
          <w:i/>
          <w:sz w:val="24"/>
          <w:szCs w:val="24"/>
        </w:rPr>
        <w:t>Monit</w:t>
      </w:r>
      <w:proofErr w:type="spellEnd"/>
      <w:r w:rsidRPr="0062316F">
        <w:rPr>
          <w:rFonts w:ascii="Book Antiqua" w:hAnsi="Book Antiqua"/>
          <w:sz w:val="24"/>
          <w:szCs w:val="24"/>
        </w:rPr>
        <w:t xml:space="preserve"> 2001; </w:t>
      </w:r>
      <w:r w:rsidRPr="0062316F">
        <w:rPr>
          <w:rFonts w:ascii="Book Antiqua" w:hAnsi="Book Antiqua"/>
          <w:b/>
          <w:sz w:val="24"/>
          <w:szCs w:val="24"/>
        </w:rPr>
        <w:t>23</w:t>
      </w:r>
      <w:r w:rsidRPr="0062316F">
        <w:rPr>
          <w:rFonts w:ascii="Book Antiqua" w:hAnsi="Book Antiqua"/>
          <w:sz w:val="24"/>
          <w:szCs w:val="24"/>
        </w:rPr>
        <w:t>: 119-128 [PMID: 11294511 DOI: 10.1097/00007691-200104000-00005]</w:t>
      </w:r>
    </w:p>
    <w:p w14:paraId="63B6DCB7"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43 </w:t>
      </w:r>
      <w:proofErr w:type="spellStart"/>
      <w:r w:rsidRPr="0062316F">
        <w:rPr>
          <w:rFonts w:ascii="Book Antiqua" w:hAnsi="Book Antiqua"/>
          <w:b/>
          <w:sz w:val="24"/>
          <w:szCs w:val="24"/>
        </w:rPr>
        <w:t>Kuypers</w:t>
      </w:r>
      <w:proofErr w:type="spellEnd"/>
      <w:r w:rsidRPr="0062316F">
        <w:rPr>
          <w:rFonts w:ascii="Book Antiqua" w:hAnsi="Book Antiqua"/>
          <w:b/>
          <w:sz w:val="24"/>
          <w:szCs w:val="24"/>
        </w:rPr>
        <w:t xml:space="preserve"> DR</w:t>
      </w:r>
      <w:r w:rsidRPr="0062316F">
        <w:rPr>
          <w:rFonts w:ascii="Book Antiqua" w:hAnsi="Book Antiqua"/>
          <w:sz w:val="24"/>
          <w:szCs w:val="24"/>
        </w:rPr>
        <w:t xml:space="preserve">, Ekberg H, </w:t>
      </w:r>
      <w:proofErr w:type="spellStart"/>
      <w:r w:rsidRPr="0062316F">
        <w:rPr>
          <w:rFonts w:ascii="Book Antiqua" w:hAnsi="Book Antiqua"/>
          <w:sz w:val="24"/>
          <w:szCs w:val="24"/>
        </w:rPr>
        <w:t>Grinyó</w:t>
      </w:r>
      <w:proofErr w:type="spellEnd"/>
      <w:r w:rsidRPr="0062316F">
        <w:rPr>
          <w:rFonts w:ascii="Book Antiqua" w:hAnsi="Book Antiqua"/>
          <w:sz w:val="24"/>
          <w:szCs w:val="24"/>
        </w:rPr>
        <w:t xml:space="preserve"> J, </w:t>
      </w:r>
      <w:proofErr w:type="spellStart"/>
      <w:r w:rsidRPr="0062316F">
        <w:rPr>
          <w:rFonts w:ascii="Book Antiqua" w:hAnsi="Book Antiqua"/>
          <w:sz w:val="24"/>
          <w:szCs w:val="24"/>
        </w:rPr>
        <w:t>Nashan</w:t>
      </w:r>
      <w:proofErr w:type="spellEnd"/>
      <w:r w:rsidRPr="0062316F">
        <w:rPr>
          <w:rFonts w:ascii="Book Antiqua" w:hAnsi="Book Antiqua"/>
          <w:sz w:val="24"/>
          <w:szCs w:val="24"/>
        </w:rPr>
        <w:t xml:space="preserve"> B, </w:t>
      </w:r>
      <w:proofErr w:type="spellStart"/>
      <w:r w:rsidRPr="0062316F">
        <w:rPr>
          <w:rFonts w:ascii="Book Antiqua" w:hAnsi="Book Antiqua"/>
          <w:sz w:val="24"/>
          <w:szCs w:val="24"/>
        </w:rPr>
        <w:t>Vincenti</w:t>
      </w:r>
      <w:proofErr w:type="spellEnd"/>
      <w:r w:rsidRPr="0062316F">
        <w:rPr>
          <w:rFonts w:ascii="Book Antiqua" w:hAnsi="Book Antiqua"/>
          <w:sz w:val="24"/>
          <w:szCs w:val="24"/>
        </w:rPr>
        <w:t xml:space="preserve"> F, Snell P, </w:t>
      </w:r>
      <w:proofErr w:type="spellStart"/>
      <w:r w:rsidRPr="0062316F">
        <w:rPr>
          <w:rFonts w:ascii="Book Antiqua" w:hAnsi="Book Antiqua"/>
          <w:sz w:val="24"/>
          <w:szCs w:val="24"/>
        </w:rPr>
        <w:t>Mamelok</w:t>
      </w:r>
      <w:proofErr w:type="spellEnd"/>
      <w:r w:rsidRPr="0062316F">
        <w:rPr>
          <w:rFonts w:ascii="Book Antiqua" w:hAnsi="Book Antiqua"/>
          <w:sz w:val="24"/>
          <w:szCs w:val="24"/>
        </w:rPr>
        <w:t xml:space="preserve"> RD, </w:t>
      </w:r>
      <w:proofErr w:type="spellStart"/>
      <w:r w:rsidRPr="0062316F">
        <w:rPr>
          <w:rFonts w:ascii="Book Antiqua" w:hAnsi="Book Antiqua"/>
          <w:sz w:val="24"/>
          <w:szCs w:val="24"/>
        </w:rPr>
        <w:t>Bouw</w:t>
      </w:r>
      <w:proofErr w:type="spellEnd"/>
      <w:r w:rsidRPr="0062316F">
        <w:rPr>
          <w:rFonts w:ascii="Book Antiqua" w:hAnsi="Book Antiqua"/>
          <w:sz w:val="24"/>
          <w:szCs w:val="24"/>
        </w:rPr>
        <w:t xml:space="preserve"> RM. Mycophenolic acid exposure after administration of mycophenolate mofetil in the presence and absence of cyclosporin in renal transplant recipients. </w:t>
      </w:r>
      <w:proofErr w:type="spellStart"/>
      <w:r w:rsidRPr="0062316F">
        <w:rPr>
          <w:rFonts w:ascii="Book Antiqua" w:hAnsi="Book Antiqua"/>
          <w:i/>
          <w:sz w:val="24"/>
          <w:szCs w:val="24"/>
        </w:rPr>
        <w:t>Clin</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Pharmacokinet</w:t>
      </w:r>
      <w:proofErr w:type="spellEnd"/>
      <w:r w:rsidRPr="0062316F">
        <w:rPr>
          <w:rFonts w:ascii="Book Antiqua" w:hAnsi="Book Antiqua"/>
          <w:sz w:val="24"/>
          <w:szCs w:val="24"/>
        </w:rPr>
        <w:t xml:space="preserve"> 2009; </w:t>
      </w:r>
      <w:r w:rsidRPr="0062316F">
        <w:rPr>
          <w:rFonts w:ascii="Book Antiqua" w:hAnsi="Book Antiqua"/>
          <w:b/>
          <w:sz w:val="24"/>
          <w:szCs w:val="24"/>
        </w:rPr>
        <w:t>48</w:t>
      </w:r>
      <w:r w:rsidRPr="0062316F">
        <w:rPr>
          <w:rFonts w:ascii="Book Antiqua" w:hAnsi="Book Antiqua"/>
          <w:sz w:val="24"/>
          <w:szCs w:val="24"/>
        </w:rPr>
        <w:t>: 329-341 [PMID: 19566116 DOI: 10.2165/00003088-200948050-00005]</w:t>
      </w:r>
    </w:p>
    <w:p w14:paraId="793E529C"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44 </w:t>
      </w:r>
      <w:r w:rsidRPr="0062316F">
        <w:rPr>
          <w:rFonts w:ascii="Book Antiqua" w:hAnsi="Book Antiqua"/>
          <w:b/>
          <w:sz w:val="24"/>
          <w:szCs w:val="24"/>
        </w:rPr>
        <w:t>Xu L</w:t>
      </w:r>
      <w:r w:rsidRPr="0062316F">
        <w:rPr>
          <w:rFonts w:ascii="Book Antiqua" w:hAnsi="Book Antiqua"/>
          <w:sz w:val="24"/>
          <w:szCs w:val="24"/>
        </w:rPr>
        <w:t xml:space="preserve">, Cai M, Shi BY, Li ZL, Li X, </w:t>
      </w:r>
      <w:proofErr w:type="spellStart"/>
      <w:r w:rsidRPr="0062316F">
        <w:rPr>
          <w:rFonts w:ascii="Book Antiqua" w:hAnsi="Book Antiqua"/>
          <w:sz w:val="24"/>
          <w:szCs w:val="24"/>
        </w:rPr>
        <w:t>Jin</w:t>
      </w:r>
      <w:proofErr w:type="spellEnd"/>
      <w:r w:rsidRPr="0062316F">
        <w:rPr>
          <w:rFonts w:ascii="Book Antiqua" w:hAnsi="Book Antiqua"/>
          <w:sz w:val="24"/>
          <w:szCs w:val="24"/>
        </w:rPr>
        <w:t xml:space="preserve"> HL. A prospective analysis of the effects of enteric-coated mycophenolate sodium and mycophenolate mofetil co-medicated with a proton pump inhibitor in kidney transplant recipients at a single institute in China. </w:t>
      </w:r>
      <w:r w:rsidRPr="0062316F">
        <w:rPr>
          <w:rFonts w:ascii="Book Antiqua" w:hAnsi="Book Antiqua"/>
          <w:i/>
          <w:sz w:val="24"/>
          <w:szCs w:val="24"/>
        </w:rPr>
        <w:t>Transplant Proc</w:t>
      </w:r>
      <w:r w:rsidRPr="0062316F">
        <w:rPr>
          <w:rFonts w:ascii="Book Antiqua" w:hAnsi="Book Antiqua"/>
          <w:sz w:val="24"/>
          <w:szCs w:val="24"/>
        </w:rPr>
        <w:t xml:space="preserve"> 2014; </w:t>
      </w:r>
      <w:r w:rsidRPr="0062316F">
        <w:rPr>
          <w:rFonts w:ascii="Book Antiqua" w:hAnsi="Book Antiqua"/>
          <w:b/>
          <w:sz w:val="24"/>
          <w:szCs w:val="24"/>
        </w:rPr>
        <w:t>46</w:t>
      </w:r>
      <w:r w:rsidRPr="0062316F">
        <w:rPr>
          <w:rFonts w:ascii="Book Antiqua" w:hAnsi="Book Antiqua"/>
          <w:sz w:val="24"/>
          <w:szCs w:val="24"/>
        </w:rPr>
        <w:t>: 1362-1365 [PMID: 24935300 DOI: 10.1016/j.transproceed.2014.01.012]</w:t>
      </w:r>
    </w:p>
    <w:p w14:paraId="66F42DB8"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45 </w:t>
      </w:r>
      <w:proofErr w:type="spellStart"/>
      <w:r w:rsidRPr="0062316F">
        <w:rPr>
          <w:rFonts w:ascii="Book Antiqua" w:hAnsi="Book Antiqua"/>
          <w:b/>
          <w:sz w:val="24"/>
          <w:szCs w:val="24"/>
        </w:rPr>
        <w:t>Xie</w:t>
      </w:r>
      <w:proofErr w:type="spellEnd"/>
      <w:r w:rsidRPr="0062316F">
        <w:rPr>
          <w:rFonts w:ascii="Book Antiqua" w:hAnsi="Book Antiqua"/>
          <w:b/>
          <w:sz w:val="24"/>
          <w:szCs w:val="24"/>
        </w:rPr>
        <w:t xml:space="preserve"> Y</w:t>
      </w:r>
      <w:r w:rsidRPr="0062316F">
        <w:rPr>
          <w:rFonts w:ascii="Book Antiqua" w:hAnsi="Book Antiqua"/>
          <w:sz w:val="24"/>
          <w:szCs w:val="24"/>
        </w:rPr>
        <w:t xml:space="preserve">, Bowe B, Li T, Xian H, Balasubramanian S, Al-Aly Z. Proton Pump Inhibitors and Risk of Incident CKD and Progression to ESRD. </w:t>
      </w:r>
      <w:r w:rsidRPr="0062316F">
        <w:rPr>
          <w:rFonts w:ascii="Book Antiqua" w:hAnsi="Book Antiqua"/>
          <w:i/>
          <w:sz w:val="24"/>
          <w:szCs w:val="24"/>
        </w:rPr>
        <w:t xml:space="preserve">J Am </w:t>
      </w:r>
      <w:proofErr w:type="spellStart"/>
      <w:r w:rsidRPr="0062316F">
        <w:rPr>
          <w:rFonts w:ascii="Book Antiqua" w:hAnsi="Book Antiqua"/>
          <w:i/>
          <w:sz w:val="24"/>
          <w:szCs w:val="24"/>
        </w:rPr>
        <w:t>Soc</w:t>
      </w:r>
      <w:proofErr w:type="spellEnd"/>
      <w:r w:rsidRPr="0062316F">
        <w:rPr>
          <w:rFonts w:ascii="Book Antiqua" w:hAnsi="Book Antiqua"/>
          <w:i/>
          <w:sz w:val="24"/>
          <w:szCs w:val="24"/>
        </w:rPr>
        <w:t xml:space="preserve"> </w:t>
      </w:r>
      <w:proofErr w:type="spellStart"/>
      <w:r w:rsidRPr="0062316F">
        <w:rPr>
          <w:rFonts w:ascii="Book Antiqua" w:hAnsi="Book Antiqua"/>
          <w:i/>
          <w:sz w:val="24"/>
          <w:szCs w:val="24"/>
        </w:rPr>
        <w:t>Nephrol</w:t>
      </w:r>
      <w:proofErr w:type="spellEnd"/>
      <w:r w:rsidRPr="0062316F">
        <w:rPr>
          <w:rFonts w:ascii="Book Antiqua" w:hAnsi="Book Antiqua"/>
          <w:sz w:val="24"/>
          <w:szCs w:val="24"/>
        </w:rPr>
        <w:t xml:space="preserve"> 2016; </w:t>
      </w:r>
      <w:r w:rsidRPr="0062316F">
        <w:rPr>
          <w:rFonts w:ascii="Book Antiqua" w:hAnsi="Book Antiqua"/>
          <w:b/>
          <w:sz w:val="24"/>
          <w:szCs w:val="24"/>
        </w:rPr>
        <w:t>27</w:t>
      </w:r>
      <w:r w:rsidRPr="0062316F">
        <w:rPr>
          <w:rFonts w:ascii="Book Antiqua" w:hAnsi="Book Antiqua"/>
          <w:sz w:val="24"/>
          <w:szCs w:val="24"/>
        </w:rPr>
        <w:t>: 3153-3163 [PMID: 27080976 DOI: 10.1681/asn.2015121377]</w:t>
      </w:r>
    </w:p>
    <w:p w14:paraId="408AE035"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46 </w:t>
      </w:r>
      <w:r w:rsidRPr="0062316F">
        <w:rPr>
          <w:rFonts w:ascii="Book Antiqua" w:hAnsi="Book Antiqua"/>
          <w:b/>
          <w:sz w:val="24"/>
          <w:szCs w:val="24"/>
        </w:rPr>
        <w:t>William JH</w:t>
      </w:r>
      <w:r w:rsidRPr="0062316F">
        <w:rPr>
          <w:rFonts w:ascii="Book Antiqua" w:hAnsi="Book Antiqua"/>
          <w:sz w:val="24"/>
          <w:szCs w:val="24"/>
        </w:rPr>
        <w:t xml:space="preserve">, Nelson R, Hayman N, </w:t>
      </w:r>
      <w:proofErr w:type="spellStart"/>
      <w:r w:rsidRPr="0062316F">
        <w:rPr>
          <w:rFonts w:ascii="Book Antiqua" w:hAnsi="Book Antiqua"/>
          <w:sz w:val="24"/>
          <w:szCs w:val="24"/>
        </w:rPr>
        <w:t>Mukamal</w:t>
      </w:r>
      <w:proofErr w:type="spellEnd"/>
      <w:r w:rsidRPr="0062316F">
        <w:rPr>
          <w:rFonts w:ascii="Book Antiqua" w:hAnsi="Book Antiqua"/>
          <w:sz w:val="24"/>
          <w:szCs w:val="24"/>
        </w:rPr>
        <w:t xml:space="preserve"> KJ, Danziger J. Proton-pump inhibitor use is associated with lower urinary magnesium excretion. </w:t>
      </w:r>
      <w:r w:rsidRPr="0062316F">
        <w:rPr>
          <w:rFonts w:ascii="Book Antiqua" w:hAnsi="Book Antiqua"/>
          <w:i/>
          <w:sz w:val="24"/>
          <w:szCs w:val="24"/>
        </w:rPr>
        <w:t>Nephrology (Carlton)</w:t>
      </w:r>
      <w:r w:rsidRPr="0062316F">
        <w:rPr>
          <w:rFonts w:ascii="Book Antiqua" w:hAnsi="Book Antiqua"/>
          <w:sz w:val="24"/>
          <w:szCs w:val="24"/>
        </w:rPr>
        <w:t xml:space="preserve"> 2014; </w:t>
      </w:r>
      <w:r w:rsidRPr="0062316F">
        <w:rPr>
          <w:rFonts w:ascii="Book Antiqua" w:hAnsi="Book Antiqua"/>
          <w:b/>
          <w:sz w:val="24"/>
          <w:szCs w:val="24"/>
        </w:rPr>
        <w:t>19</w:t>
      </w:r>
      <w:r w:rsidRPr="0062316F">
        <w:rPr>
          <w:rFonts w:ascii="Book Antiqua" w:hAnsi="Book Antiqua"/>
          <w:sz w:val="24"/>
          <w:szCs w:val="24"/>
        </w:rPr>
        <w:t>: 798-801 [PMID: 25142949 DOI: 10.1111/nep.12330]</w:t>
      </w:r>
    </w:p>
    <w:p w14:paraId="2AC82E77"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47 </w:t>
      </w:r>
      <w:r w:rsidRPr="0062316F">
        <w:rPr>
          <w:rFonts w:ascii="Book Antiqua" w:hAnsi="Book Antiqua"/>
          <w:b/>
          <w:sz w:val="24"/>
          <w:szCs w:val="24"/>
        </w:rPr>
        <w:t>William JH</w:t>
      </w:r>
      <w:r w:rsidRPr="0062316F">
        <w:rPr>
          <w:rFonts w:ascii="Book Antiqua" w:hAnsi="Book Antiqua"/>
          <w:sz w:val="24"/>
          <w:szCs w:val="24"/>
        </w:rPr>
        <w:t xml:space="preserve">, Danziger J. Proton-pump inhibitor-induced hypomagnesemia: Current research and proposed mechanisms. </w:t>
      </w:r>
      <w:r w:rsidRPr="0062316F">
        <w:rPr>
          <w:rFonts w:ascii="Book Antiqua" w:hAnsi="Book Antiqua"/>
          <w:i/>
          <w:sz w:val="24"/>
          <w:szCs w:val="24"/>
        </w:rPr>
        <w:t xml:space="preserve">World J </w:t>
      </w:r>
      <w:proofErr w:type="spellStart"/>
      <w:r w:rsidRPr="0062316F">
        <w:rPr>
          <w:rFonts w:ascii="Book Antiqua" w:hAnsi="Book Antiqua"/>
          <w:i/>
          <w:sz w:val="24"/>
          <w:szCs w:val="24"/>
        </w:rPr>
        <w:t>Nephrol</w:t>
      </w:r>
      <w:proofErr w:type="spellEnd"/>
      <w:r w:rsidRPr="0062316F">
        <w:rPr>
          <w:rFonts w:ascii="Book Antiqua" w:hAnsi="Book Antiqua"/>
          <w:sz w:val="24"/>
          <w:szCs w:val="24"/>
        </w:rPr>
        <w:t xml:space="preserve"> 2016; </w:t>
      </w:r>
      <w:r w:rsidRPr="0062316F">
        <w:rPr>
          <w:rFonts w:ascii="Book Antiqua" w:hAnsi="Book Antiqua"/>
          <w:b/>
          <w:sz w:val="24"/>
          <w:szCs w:val="24"/>
        </w:rPr>
        <w:t>5</w:t>
      </w:r>
      <w:r w:rsidRPr="0062316F">
        <w:rPr>
          <w:rFonts w:ascii="Book Antiqua" w:hAnsi="Book Antiqua"/>
          <w:sz w:val="24"/>
          <w:szCs w:val="24"/>
        </w:rPr>
        <w:t>: 152-157 [PMID: 26981439 DOI: 10.5527/</w:t>
      </w:r>
      <w:proofErr w:type="gramStart"/>
      <w:r w:rsidRPr="0062316F">
        <w:rPr>
          <w:rFonts w:ascii="Book Antiqua" w:hAnsi="Book Antiqua"/>
          <w:sz w:val="24"/>
          <w:szCs w:val="24"/>
        </w:rPr>
        <w:t>wjn.v</w:t>
      </w:r>
      <w:proofErr w:type="gramEnd"/>
      <w:r w:rsidRPr="0062316F">
        <w:rPr>
          <w:rFonts w:ascii="Book Antiqua" w:hAnsi="Book Antiqua"/>
          <w:sz w:val="24"/>
          <w:szCs w:val="24"/>
        </w:rPr>
        <w:t>5.i2.152]</w:t>
      </w:r>
    </w:p>
    <w:p w14:paraId="5CAB6392"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48 </w:t>
      </w:r>
      <w:r w:rsidRPr="0062316F">
        <w:rPr>
          <w:rFonts w:ascii="Book Antiqua" w:hAnsi="Book Antiqua"/>
          <w:b/>
          <w:sz w:val="24"/>
          <w:szCs w:val="24"/>
        </w:rPr>
        <w:t>Cundy T</w:t>
      </w:r>
      <w:r w:rsidRPr="0062316F">
        <w:rPr>
          <w:rFonts w:ascii="Book Antiqua" w:hAnsi="Book Antiqua"/>
          <w:sz w:val="24"/>
          <w:szCs w:val="24"/>
        </w:rPr>
        <w:t xml:space="preserve">, Dissanayake A. Severe hypomagnesaemia in long-term users of proton-pump inhibitors. </w:t>
      </w:r>
      <w:proofErr w:type="spellStart"/>
      <w:r w:rsidRPr="0062316F">
        <w:rPr>
          <w:rFonts w:ascii="Book Antiqua" w:hAnsi="Book Antiqua"/>
          <w:i/>
          <w:sz w:val="24"/>
          <w:szCs w:val="24"/>
        </w:rPr>
        <w:t>Clin</w:t>
      </w:r>
      <w:proofErr w:type="spellEnd"/>
      <w:r w:rsidRPr="0062316F">
        <w:rPr>
          <w:rFonts w:ascii="Book Antiqua" w:hAnsi="Book Antiqua"/>
          <w:i/>
          <w:sz w:val="24"/>
          <w:szCs w:val="24"/>
        </w:rPr>
        <w:t xml:space="preserve"> Endocrinol (</w:t>
      </w:r>
      <w:proofErr w:type="spellStart"/>
      <w:r w:rsidRPr="0062316F">
        <w:rPr>
          <w:rFonts w:ascii="Book Antiqua" w:hAnsi="Book Antiqua"/>
          <w:i/>
          <w:sz w:val="24"/>
          <w:szCs w:val="24"/>
        </w:rPr>
        <w:t>Oxf</w:t>
      </w:r>
      <w:proofErr w:type="spellEnd"/>
      <w:r w:rsidRPr="0062316F">
        <w:rPr>
          <w:rFonts w:ascii="Book Antiqua" w:hAnsi="Book Antiqua"/>
          <w:i/>
          <w:sz w:val="24"/>
          <w:szCs w:val="24"/>
        </w:rPr>
        <w:t>)</w:t>
      </w:r>
      <w:r w:rsidRPr="0062316F">
        <w:rPr>
          <w:rFonts w:ascii="Book Antiqua" w:hAnsi="Book Antiqua"/>
          <w:sz w:val="24"/>
          <w:szCs w:val="24"/>
        </w:rPr>
        <w:t xml:space="preserve"> 2008; </w:t>
      </w:r>
      <w:r w:rsidRPr="0062316F">
        <w:rPr>
          <w:rFonts w:ascii="Book Antiqua" w:hAnsi="Book Antiqua"/>
          <w:b/>
          <w:sz w:val="24"/>
          <w:szCs w:val="24"/>
        </w:rPr>
        <w:t>69</w:t>
      </w:r>
      <w:r w:rsidRPr="0062316F">
        <w:rPr>
          <w:rFonts w:ascii="Book Antiqua" w:hAnsi="Book Antiqua"/>
          <w:sz w:val="24"/>
          <w:szCs w:val="24"/>
        </w:rPr>
        <w:t>: 338-341 [PMID: 18221401 DOI: 10.1111/j.1365-2265.</w:t>
      </w:r>
      <w:proofErr w:type="gramStart"/>
      <w:r w:rsidRPr="0062316F">
        <w:rPr>
          <w:rFonts w:ascii="Book Antiqua" w:hAnsi="Book Antiqua"/>
          <w:sz w:val="24"/>
          <w:szCs w:val="24"/>
        </w:rPr>
        <w:t>2008.03194.x</w:t>
      </w:r>
      <w:proofErr w:type="gramEnd"/>
      <w:r w:rsidRPr="0062316F">
        <w:rPr>
          <w:rFonts w:ascii="Book Antiqua" w:hAnsi="Book Antiqua"/>
          <w:sz w:val="24"/>
          <w:szCs w:val="24"/>
        </w:rPr>
        <w:t>]</w:t>
      </w:r>
    </w:p>
    <w:p w14:paraId="3617B7CC" w14:textId="42F44B7F"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49 </w:t>
      </w:r>
      <w:r w:rsidRPr="0062316F">
        <w:rPr>
          <w:rFonts w:ascii="Book Antiqua" w:hAnsi="Book Antiqua"/>
          <w:b/>
          <w:sz w:val="24"/>
          <w:szCs w:val="24"/>
        </w:rPr>
        <w:t>Garnier AS</w:t>
      </w:r>
      <w:r w:rsidRPr="0062316F">
        <w:rPr>
          <w:rFonts w:ascii="Book Antiqua" w:hAnsi="Book Antiqua"/>
          <w:sz w:val="24"/>
          <w:szCs w:val="24"/>
        </w:rPr>
        <w:t xml:space="preserve">, </w:t>
      </w:r>
      <w:proofErr w:type="spellStart"/>
      <w:r w:rsidRPr="0062316F">
        <w:rPr>
          <w:rFonts w:ascii="Book Antiqua" w:hAnsi="Book Antiqua"/>
          <w:sz w:val="24"/>
          <w:szCs w:val="24"/>
        </w:rPr>
        <w:t>Duveau</w:t>
      </w:r>
      <w:proofErr w:type="spellEnd"/>
      <w:r w:rsidRPr="0062316F">
        <w:rPr>
          <w:rFonts w:ascii="Book Antiqua" w:hAnsi="Book Antiqua"/>
          <w:sz w:val="24"/>
          <w:szCs w:val="24"/>
        </w:rPr>
        <w:t xml:space="preserve"> A, </w:t>
      </w:r>
      <w:proofErr w:type="spellStart"/>
      <w:r w:rsidRPr="0062316F">
        <w:rPr>
          <w:rFonts w:ascii="Book Antiqua" w:hAnsi="Book Antiqua"/>
          <w:sz w:val="24"/>
          <w:szCs w:val="24"/>
        </w:rPr>
        <w:t>Planchais</w:t>
      </w:r>
      <w:proofErr w:type="spellEnd"/>
      <w:r w:rsidRPr="0062316F">
        <w:rPr>
          <w:rFonts w:ascii="Book Antiqua" w:hAnsi="Book Antiqua"/>
          <w:sz w:val="24"/>
          <w:szCs w:val="24"/>
        </w:rPr>
        <w:t xml:space="preserve"> M, Subra JF, Sayegh J, Augusto JF. Serum Magnesium after Kidney Transplantation: A Systematic Review. </w:t>
      </w:r>
      <w:r w:rsidRPr="0062316F">
        <w:rPr>
          <w:rFonts w:ascii="Book Antiqua" w:hAnsi="Book Antiqua"/>
          <w:i/>
          <w:sz w:val="24"/>
          <w:szCs w:val="24"/>
        </w:rPr>
        <w:t>Nutrients</w:t>
      </w:r>
      <w:r w:rsidRPr="0062316F">
        <w:rPr>
          <w:rFonts w:ascii="Book Antiqua" w:hAnsi="Book Antiqua"/>
          <w:sz w:val="24"/>
          <w:szCs w:val="24"/>
        </w:rPr>
        <w:t xml:space="preserve"> 2018; </w:t>
      </w:r>
      <w:r w:rsidRPr="0062316F">
        <w:rPr>
          <w:rFonts w:ascii="Book Antiqua" w:hAnsi="Book Antiqua"/>
          <w:b/>
          <w:sz w:val="24"/>
          <w:szCs w:val="24"/>
        </w:rPr>
        <w:t>10</w:t>
      </w:r>
      <w:r w:rsidR="00536A7A">
        <w:rPr>
          <w:rFonts w:ascii="Book Antiqua" w:hAnsi="Book Antiqua"/>
          <w:sz w:val="24"/>
          <w:szCs w:val="24"/>
        </w:rPr>
        <w:t xml:space="preserve"> </w:t>
      </w:r>
      <w:r w:rsidRPr="0062316F">
        <w:rPr>
          <w:rFonts w:ascii="Book Antiqua" w:hAnsi="Book Antiqua"/>
          <w:sz w:val="24"/>
          <w:szCs w:val="24"/>
        </w:rPr>
        <w:t>[PMID: 29882768 DOI: 10.3390/nu10060729]</w:t>
      </w:r>
    </w:p>
    <w:p w14:paraId="46F2EC31"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50 </w:t>
      </w:r>
      <w:proofErr w:type="spellStart"/>
      <w:r w:rsidRPr="0062316F">
        <w:rPr>
          <w:rFonts w:ascii="Book Antiqua" w:hAnsi="Book Antiqua"/>
          <w:b/>
          <w:sz w:val="24"/>
          <w:szCs w:val="24"/>
        </w:rPr>
        <w:t>Holzmacher</w:t>
      </w:r>
      <w:proofErr w:type="spellEnd"/>
      <w:r w:rsidRPr="0062316F">
        <w:rPr>
          <w:rFonts w:ascii="Book Antiqua" w:hAnsi="Book Antiqua"/>
          <w:b/>
          <w:sz w:val="24"/>
          <w:szCs w:val="24"/>
        </w:rPr>
        <w:t xml:space="preserve"> R</w:t>
      </w:r>
      <w:r w:rsidRPr="0062316F">
        <w:rPr>
          <w:rFonts w:ascii="Book Antiqua" w:hAnsi="Book Antiqua"/>
          <w:sz w:val="24"/>
          <w:szCs w:val="24"/>
        </w:rPr>
        <w:t xml:space="preserve">, </w:t>
      </w:r>
      <w:proofErr w:type="spellStart"/>
      <w:r w:rsidRPr="0062316F">
        <w:rPr>
          <w:rFonts w:ascii="Book Antiqua" w:hAnsi="Book Antiqua"/>
          <w:sz w:val="24"/>
          <w:szCs w:val="24"/>
        </w:rPr>
        <w:t>Kendziorski</w:t>
      </w:r>
      <w:proofErr w:type="spellEnd"/>
      <w:r w:rsidRPr="0062316F">
        <w:rPr>
          <w:rFonts w:ascii="Book Antiqua" w:hAnsi="Book Antiqua"/>
          <w:sz w:val="24"/>
          <w:szCs w:val="24"/>
        </w:rPr>
        <w:t xml:space="preserve"> C, Michael </w:t>
      </w:r>
      <w:proofErr w:type="spellStart"/>
      <w:r w:rsidRPr="0062316F">
        <w:rPr>
          <w:rFonts w:ascii="Book Antiqua" w:hAnsi="Book Antiqua"/>
          <w:sz w:val="24"/>
          <w:szCs w:val="24"/>
        </w:rPr>
        <w:t>Hofman</w:t>
      </w:r>
      <w:proofErr w:type="spellEnd"/>
      <w:r w:rsidRPr="0062316F">
        <w:rPr>
          <w:rFonts w:ascii="Book Antiqua" w:hAnsi="Book Antiqua"/>
          <w:sz w:val="24"/>
          <w:szCs w:val="24"/>
        </w:rPr>
        <w:t xml:space="preserve"> R, </w:t>
      </w:r>
      <w:proofErr w:type="spellStart"/>
      <w:r w:rsidRPr="0062316F">
        <w:rPr>
          <w:rFonts w:ascii="Book Antiqua" w:hAnsi="Book Antiqua"/>
          <w:sz w:val="24"/>
          <w:szCs w:val="24"/>
        </w:rPr>
        <w:t>Jaffery</w:t>
      </w:r>
      <w:proofErr w:type="spellEnd"/>
      <w:r w:rsidRPr="0062316F">
        <w:rPr>
          <w:rFonts w:ascii="Book Antiqua" w:hAnsi="Book Antiqua"/>
          <w:sz w:val="24"/>
          <w:szCs w:val="24"/>
        </w:rPr>
        <w:t xml:space="preserve"> J, Becker B, </w:t>
      </w:r>
      <w:proofErr w:type="spellStart"/>
      <w:r w:rsidRPr="0062316F">
        <w:rPr>
          <w:rFonts w:ascii="Book Antiqua" w:hAnsi="Book Antiqua"/>
          <w:sz w:val="24"/>
          <w:szCs w:val="24"/>
        </w:rPr>
        <w:t>Djamali</w:t>
      </w:r>
      <w:proofErr w:type="spellEnd"/>
      <w:r w:rsidRPr="0062316F">
        <w:rPr>
          <w:rFonts w:ascii="Book Antiqua" w:hAnsi="Book Antiqua"/>
          <w:sz w:val="24"/>
          <w:szCs w:val="24"/>
        </w:rPr>
        <w:t xml:space="preserve"> A. Low serum magnesium is associated with decreased graft survival in patients with chronic </w:t>
      </w:r>
      <w:r w:rsidRPr="0062316F">
        <w:rPr>
          <w:rFonts w:ascii="Book Antiqua" w:hAnsi="Book Antiqua"/>
          <w:sz w:val="24"/>
          <w:szCs w:val="24"/>
        </w:rPr>
        <w:lastRenderedPageBreak/>
        <w:t xml:space="preserve">cyclosporin nephrotoxicity. </w:t>
      </w:r>
      <w:proofErr w:type="spellStart"/>
      <w:r w:rsidRPr="0062316F">
        <w:rPr>
          <w:rFonts w:ascii="Book Antiqua" w:hAnsi="Book Antiqua"/>
          <w:i/>
          <w:sz w:val="24"/>
          <w:szCs w:val="24"/>
        </w:rPr>
        <w:t>Nephrol</w:t>
      </w:r>
      <w:proofErr w:type="spellEnd"/>
      <w:r w:rsidRPr="0062316F">
        <w:rPr>
          <w:rFonts w:ascii="Book Antiqua" w:hAnsi="Book Antiqua"/>
          <w:i/>
          <w:sz w:val="24"/>
          <w:szCs w:val="24"/>
        </w:rPr>
        <w:t xml:space="preserve"> Dial Transplant</w:t>
      </w:r>
      <w:r w:rsidRPr="0062316F">
        <w:rPr>
          <w:rFonts w:ascii="Book Antiqua" w:hAnsi="Book Antiqua"/>
          <w:sz w:val="24"/>
          <w:szCs w:val="24"/>
        </w:rPr>
        <w:t xml:space="preserve"> 2005; </w:t>
      </w:r>
      <w:r w:rsidRPr="0062316F">
        <w:rPr>
          <w:rFonts w:ascii="Book Antiqua" w:hAnsi="Book Antiqua"/>
          <w:b/>
          <w:sz w:val="24"/>
          <w:szCs w:val="24"/>
        </w:rPr>
        <w:t>20</w:t>
      </w:r>
      <w:r w:rsidRPr="0062316F">
        <w:rPr>
          <w:rFonts w:ascii="Book Antiqua" w:hAnsi="Book Antiqua"/>
          <w:sz w:val="24"/>
          <w:szCs w:val="24"/>
        </w:rPr>
        <w:t>: 1456-1462 [PMID: 15840674 DOI: 10.1093/</w:t>
      </w:r>
      <w:proofErr w:type="spellStart"/>
      <w:r w:rsidRPr="0062316F">
        <w:rPr>
          <w:rFonts w:ascii="Book Antiqua" w:hAnsi="Book Antiqua"/>
          <w:sz w:val="24"/>
          <w:szCs w:val="24"/>
        </w:rPr>
        <w:t>ndt</w:t>
      </w:r>
      <w:proofErr w:type="spellEnd"/>
      <w:r w:rsidRPr="0062316F">
        <w:rPr>
          <w:rFonts w:ascii="Book Antiqua" w:hAnsi="Book Antiqua"/>
          <w:sz w:val="24"/>
          <w:szCs w:val="24"/>
        </w:rPr>
        <w:t>/gfh831]</w:t>
      </w:r>
    </w:p>
    <w:p w14:paraId="705C00E5"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51 </w:t>
      </w:r>
      <w:r w:rsidRPr="0062316F">
        <w:rPr>
          <w:rFonts w:ascii="Book Antiqua" w:hAnsi="Book Antiqua"/>
          <w:b/>
          <w:sz w:val="24"/>
          <w:szCs w:val="24"/>
        </w:rPr>
        <w:t>Miura K</w:t>
      </w:r>
      <w:r w:rsidRPr="0062316F">
        <w:rPr>
          <w:rFonts w:ascii="Book Antiqua" w:hAnsi="Book Antiqua"/>
          <w:sz w:val="24"/>
          <w:szCs w:val="24"/>
        </w:rPr>
        <w:t xml:space="preserve">, </w:t>
      </w:r>
      <w:proofErr w:type="spellStart"/>
      <w:r w:rsidRPr="0062316F">
        <w:rPr>
          <w:rFonts w:ascii="Book Antiqua" w:hAnsi="Book Antiqua"/>
          <w:sz w:val="24"/>
          <w:szCs w:val="24"/>
        </w:rPr>
        <w:t>Nakatani</w:t>
      </w:r>
      <w:proofErr w:type="spellEnd"/>
      <w:r w:rsidRPr="0062316F">
        <w:rPr>
          <w:rFonts w:ascii="Book Antiqua" w:hAnsi="Book Antiqua"/>
          <w:sz w:val="24"/>
          <w:szCs w:val="24"/>
        </w:rPr>
        <w:t xml:space="preserve"> T, </w:t>
      </w:r>
      <w:proofErr w:type="spellStart"/>
      <w:r w:rsidRPr="0062316F">
        <w:rPr>
          <w:rFonts w:ascii="Book Antiqua" w:hAnsi="Book Antiqua"/>
          <w:sz w:val="24"/>
          <w:szCs w:val="24"/>
        </w:rPr>
        <w:t>Asai</w:t>
      </w:r>
      <w:proofErr w:type="spellEnd"/>
      <w:r w:rsidRPr="0062316F">
        <w:rPr>
          <w:rFonts w:ascii="Book Antiqua" w:hAnsi="Book Antiqua"/>
          <w:sz w:val="24"/>
          <w:szCs w:val="24"/>
        </w:rPr>
        <w:t xml:space="preserve"> T, Yamanaka S, </w:t>
      </w:r>
      <w:proofErr w:type="spellStart"/>
      <w:r w:rsidRPr="0062316F">
        <w:rPr>
          <w:rFonts w:ascii="Book Antiqua" w:hAnsi="Book Antiqua"/>
          <w:sz w:val="24"/>
          <w:szCs w:val="24"/>
        </w:rPr>
        <w:t>Tamada</w:t>
      </w:r>
      <w:proofErr w:type="spellEnd"/>
      <w:r w:rsidRPr="0062316F">
        <w:rPr>
          <w:rFonts w:ascii="Book Antiqua" w:hAnsi="Book Antiqua"/>
          <w:sz w:val="24"/>
          <w:szCs w:val="24"/>
        </w:rPr>
        <w:t xml:space="preserve"> S, Tashiro K, Kim S, Okamura M, </w:t>
      </w:r>
      <w:proofErr w:type="spellStart"/>
      <w:r w:rsidRPr="0062316F">
        <w:rPr>
          <w:rFonts w:ascii="Book Antiqua" w:hAnsi="Book Antiqua"/>
          <w:sz w:val="24"/>
          <w:szCs w:val="24"/>
        </w:rPr>
        <w:t>Iwao</w:t>
      </w:r>
      <w:proofErr w:type="spellEnd"/>
      <w:r w:rsidRPr="0062316F">
        <w:rPr>
          <w:rFonts w:ascii="Book Antiqua" w:hAnsi="Book Antiqua"/>
          <w:sz w:val="24"/>
          <w:szCs w:val="24"/>
        </w:rPr>
        <w:t xml:space="preserve"> H. Role of hypomagnesemia in chronic cyclosporine nephropathy. </w:t>
      </w:r>
      <w:r w:rsidRPr="0062316F">
        <w:rPr>
          <w:rFonts w:ascii="Book Antiqua" w:hAnsi="Book Antiqua"/>
          <w:i/>
          <w:sz w:val="24"/>
          <w:szCs w:val="24"/>
        </w:rPr>
        <w:t>Transplantation</w:t>
      </w:r>
      <w:r w:rsidRPr="0062316F">
        <w:rPr>
          <w:rFonts w:ascii="Book Antiqua" w:hAnsi="Book Antiqua"/>
          <w:sz w:val="24"/>
          <w:szCs w:val="24"/>
        </w:rPr>
        <w:t xml:space="preserve"> 2002; </w:t>
      </w:r>
      <w:r w:rsidRPr="0062316F">
        <w:rPr>
          <w:rFonts w:ascii="Book Antiqua" w:hAnsi="Book Antiqua"/>
          <w:b/>
          <w:sz w:val="24"/>
          <w:szCs w:val="24"/>
        </w:rPr>
        <w:t>73</w:t>
      </w:r>
      <w:r w:rsidRPr="0062316F">
        <w:rPr>
          <w:rFonts w:ascii="Book Antiqua" w:hAnsi="Book Antiqua"/>
          <w:sz w:val="24"/>
          <w:szCs w:val="24"/>
        </w:rPr>
        <w:t>: 340-347 [PMID: 11884928 DOI: 10.1097/00007890-200202150-00005]</w:t>
      </w:r>
    </w:p>
    <w:p w14:paraId="149B3D04" w14:textId="77777777"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52 </w:t>
      </w:r>
      <w:r w:rsidRPr="0062316F">
        <w:rPr>
          <w:rFonts w:ascii="Book Antiqua" w:hAnsi="Book Antiqua"/>
          <w:b/>
          <w:sz w:val="24"/>
          <w:szCs w:val="24"/>
        </w:rPr>
        <w:t>Yuan J</w:t>
      </w:r>
      <w:r w:rsidRPr="0062316F">
        <w:rPr>
          <w:rFonts w:ascii="Book Antiqua" w:hAnsi="Book Antiqua"/>
          <w:sz w:val="24"/>
          <w:szCs w:val="24"/>
        </w:rPr>
        <w:t xml:space="preserve">, Zhou J, Chen BC, Zhang X, Zhou HM, Du DF, Chang S, Chen ZK. Magnesium supplementation prevents chronic cyclosporine nephrotoxicity via adjusting nitric oxide synthase activity. </w:t>
      </w:r>
      <w:r w:rsidRPr="0062316F">
        <w:rPr>
          <w:rFonts w:ascii="Book Antiqua" w:hAnsi="Book Antiqua"/>
          <w:i/>
          <w:sz w:val="24"/>
          <w:szCs w:val="24"/>
        </w:rPr>
        <w:t>Transplant Proc</w:t>
      </w:r>
      <w:r w:rsidRPr="0062316F">
        <w:rPr>
          <w:rFonts w:ascii="Book Antiqua" w:hAnsi="Book Antiqua"/>
          <w:sz w:val="24"/>
          <w:szCs w:val="24"/>
        </w:rPr>
        <w:t xml:space="preserve"> 2005; </w:t>
      </w:r>
      <w:r w:rsidRPr="0062316F">
        <w:rPr>
          <w:rFonts w:ascii="Book Antiqua" w:hAnsi="Book Antiqua"/>
          <w:b/>
          <w:sz w:val="24"/>
          <w:szCs w:val="24"/>
        </w:rPr>
        <w:t>37</w:t>
      </w:r>
      <w:r w:rsidRPr="0062316F">
        <w:rPr>
          <w:rFonts w:ascii="Book Antiqua" w:hAnsi="Book Antiqua"/>
          <w:sz w:val="24"/>
          <w:szCs w:val="24"/>
        </w:rPr>
        <w:t>: 1892-1895 [PMID: 15919495 DOI: 10.1016/j.transproceed.2005.02.098]</w:t>
      </w:r>
    </w:p>
    <w:p w14:paraId="2280849E" w14:textId="7AECE8A3" w:rsidR="00446383" w:rsidRPr="0062316F" w:rsidRDefault="00446383" w:rsidP="0062316F">
      <w:pPr>
        <w:spacing w:after="0" w:line="360" w:lineRule="auto"/>
        <w:jc w:val="both"/>
        <w:rPr>
          <w:rFonts w:ascii="Book Antiqua" w:hAnsi="Book Antiqua"/>
          <w:sz w:val="24"/>
          <w:szCs w:val="24"/>
        </w:rPr>
      </w:pPr>
      <w:r w:rsidRPr="0062316F">
        <w:rPr>
          <w:rFonts w:ascii="Book Antiqua" w:hAnsi="Book Antiqua"/>
          <w:sz w:val="24"/>
          <w:szCs w:val="24"/>
        </w:rPr>
        <w:t xml:space="preserve">53 </w:t>
      </w:r>
      <w:proofErr w:type="spellStart"/>
      <w:r w:rsidRPr="0062316F">
        <w:rPr>
          <w:rFonts w:ascii="Book Antiqua" w:hAnsi="Book Antiqua"/>
          <w:b/>
          <w:sz w:val="24"/>
          <w:szCs w:val="24"/>
        </w:rPr>
        <w:t>Cheungpasitporn</w:t>
      </w:r>
      <w:proofErr w:type="spellEnd"/>
      <w:r w:rsidRPr="0062316F">
        <w:rPr>
          <w:rFonts w:ascii="Book Antiqua" w:hAnsi="Book Antiqua"/>
          <w:b/>
          <w:sz w:val="24"/>
          <w:szCs w:val="24"/>
        </w:rPr>
        <w:t xml:space="preserve"> W</w:t>
      </w:r>
      <w:r w:rsidRPr="0062316F">
        <w:rPr>
          <w:rFonts w:ascii="Book Antiqua" w:hAnsi="Book Antiqua"/>
          <w:sz w:val="24"/>
          <w:szCs w:val="24"/>
        </w:rPr>
        <w:t xml:space="preserve">, </w:t>
      </w:r>
      <w:proofErr w:type="spellStart"/>
      <w:r w:rsidRPr="0062316F">
        <w:rPr>
          <w:rFonts w:ascii="Book Antiqua" w:hAnsi="Book Antiqua"/>
          <w:sz w:val="24"/>
          <w:szCs w:val="24"/>
        </w:rPr>
        <w:t>Thongprayoon</w:t>
      </w:r>
      <w:proofErr w:type="spellEnd"/>
      <w:r w:rsidRPr="0062316F">
        <w:rPr>
          <w:rFonts w:ascii="Book Antiqua" w:hAnsi="Book Antiqua"/>
          <w:sz w:val="24"/>
          <w:szCs w:val="24"/>
        </w:rPr>
        <w:t xml:space="preserve"> C, </w:t>
      </w:r>
      <w:proofErr w:type="spellStart"/>
      <w:r w:rsidRPr="0062316F">
        <w:rPr>
          <w:rFonts w:ascii="Book Antiqua" w:hAnsi="Book Antiqua"/>
          <w:sz w:val="24"/>
          <w:szCs w:val="24"/>
        </w:rPr>
        <w:t>Harindhanavudhi</w:t>
      </w:r>
      <w:proofErr w:type="spellEnd"/>
      <w:r w:rsidRPr="0062316F">
        <w:rPr>
          <w:rFonts w:ascii="Book Antiqua" w:hAnsi="Book Antiqua"/>
          <w:sz w:val="24"/>
          <w:szCs w:val="24"/>
        </w:rPr>
        <w:t xml:space="preserve"> T, Edmonds PJ, Erickson SB. Hypomagnesemia linked to new-onset diabetes mellitus after kidney transplantation: A systematic review and meta-analysis. </w:t>
      </w:r>
      <w:proofErr w:type="spellStart"/>
      <w:r w:rsidRPr="0062316F">
        <w:rPr>
          <w:rFonts w:ascii="Book Antiqua" w:hAnsi="Book Antiqua"/>
          <w:i/>
          <w:sz w:val="24"/>
          <w:szCs w:val="24"/>
        </w:rPr>
        <w:t>Endocr</w:t>
      </w:r>
      <w:proofErr w:type="spellEnd"/>
      <w:r w:rsidRPr="0062316F">
        <w:rPr>
          <w:rFonts w:ascii="Book Antiqua" w:hAnsi="Book Antiqua"/>
          <w:i/>
          <w:sz w:val="24"/>
          <w:szCs w:val="24"/>
        </w:rPr>
        <w:t xml:space="preserve"> Res</w:t>
      </w:r>
      <w:r w:rsidRPr="0062316F">
        <w:rPr>
          <w:rFonts w:ascii="Book Antiqua" w:hAnsi="Book Antiqua"/>
          <w:sz w:val="24"/>
          <w:szCs w:val="24"/>
        </w:rPr>
        <w:t xml:space="preserve"> 2016; </w:t>
      </w:r>
      <w:r w:rsidRPr="0062316F">
        <w:rPr>
          <w:rFonts w:ascii="Book Antiqua" w:hAnsi="Book Antiqua"/>
          <w:b/>
          <w:sz w:val="24"/>
          <w:szCs w:val="24"/>
        </w:rPr>
        <w:t>41</w:t>
      </w:r>
      <w:r w:rsidRPr="0062316F">
        <w:rPr>
          <w:rFonts w:ascii="Book Antiqua" w:hAnsi="Book Antiqua"/>
          <w:sz w:val="24"/>
          <w:szCs w:val="24"/>
        </w:rPr>
        <w:t>: 142-147 [PMID: 26934195 DOI: 10.3109/07435800.2015.1094088]</w:t>
      </w:r>
    </w:p>
    <w:p w14:paraId="6DA5A83A" w14:textId="0733B262" w:rsidR="00A94BA0" w:rsidRPr="0062316F" w:rsidRDefault="00A94BA0" w:rsidP="0062316F">
      <w:pPr>
        <w:spacing w:after="0" w:line="360" w:lineRule="auto"/>
        <w:jc w:val="both"/>
        <w:rPr>
          <w:rFonts w:ascii="Book Antiqua" w:hAnsi="Book Antiqua"/>
          <w:sz w:val="24"/>
          <w:szCs w:val="24"/>
        </w:rPr>
      </w:pPr>
    </w:p>
    <w:p w14:paraId="6136D2BA" w14:textId="778EEB3D" w:rsidR="00A94BA0" w:rsidRPr="0062316F" w:rsidRDefault="00A94BA0" w:rsidP="0062316F">
      <w:pPr>
        <w:suppressAutoHyphens/>
        <w:spacing w:after="0" w:line="360" w:lineRule="auto"/>
        <w:ind w:right="120"/>
        <w:jc w:val="right"/>
        <w:rPr>
          <w:rFonts w:ascii="Book Antiqua" w:hAnsi="Book Antiqua" w:cs="Mangal"/>
          <w:b/>
          <w:bCs/>
          <w:kern w:val="2"/>
          <w:sz w:val="24"/>
          <w:szCs w:val="24"/>
          <w:lang w:val="it-IT" w:bidi="hi-IN"/>
        </w:rPr>
      </w:pPr>
      <w:bookmarkStart w:id="192" w:name="OLE_LINK502"/>
      <w:bookmarkStart w:id="193" w:name="OLE_LINK480"/>
      <w:bookmarkStart w:id="194" w:name="OLE_LINK2090"/>
      <w:bookmarkStart w:id="195" w:name="OLE_LINK2200"/>
      <w:bookmarkStart w:id="196" w:name="OLE_LINK2199"/>
      <w:bookmarkStart w:id="197" w:name="OLE_LINK2198"/>
      <w:bookmarkStart w:id="198" w:name="OLE_LINK2162"/>
      <w:bookmarkStart w:id="199" w:name="OLE_LINK1964"/>
      <w:bookmarkStart w:id="200" w:name="OLE_LINK1963"/>
      <w:bookmarkStart w:id="201" w:name="OLE_LINK1962"/>
      <w:bookmarkStart w:id="202" w:name="OLE_LINK1813"/>
      <w:bookmarkStart w:id="203" w:name="OLE_LINK1812"/>
      <w:bookmarkStart w:id="204" w:name="OLE_LINK1811"/>
      <w:bookmarkStart w:id="205" w:name="OLE_LINK1807"/>
      <w:bookmarkStart w:id="206" w:name="OLE_LINK1806"/>
      <w:bookmarkStart w:id="207" w:name="OLE_LINK1755"/>
      <w:bookmarkStart w:id="208" w:name="OLE_LINK1636"/>
      <w:bookmarkStart w:id="209" w:name="OLE_LINK1845"/>
      <w:bookmarkStart w:id="210" w:name="OLE_LINK1844"/>
      <w:bookmarkStart w:id="211" w:name="OLE_LINK1843"/>
      <w:bookmarkStart w:id="212" w:name="OLE_LINK1803"/>
      <w:bookmarkStart w:id="213" w:name="OLE_LINK1802"/>
      <w:bookmarkStart w:id="214" w:name="OLE_LINK1801"/>
      <w:bookmarkStart w:id="215" w:name="OLE_LINK1800"/>
      <w:bookmarkStart w:id="216" w:name="OLE_LINK1282"/>
      <w:bookmarkStart w:id="217" w:name="OLE_LINK1266"/>
      <w:bookmarkStart w:id="218" w:name="OLE_LINK1265"/>
      <w:bookmarkStart w:id="219" w:name="OLE_LINK1264"/>
      <w:bookmarkStart w:id="220" w:name="OLE_LINK1261"/>
      <w:bookmarkStart w:id="221" w:name="OLE_LINK1260"/>
      <w:bookmarkStart w:id="222" w:name="OLE_LINK968"/>
      <w:bookmarkStart w:id="223" w:name="OLE_LINK1072"/>
      <w:bookmarkStart w:id="224" w:name="OLE_LINK1071"/>
      <w:bookmarkStart w:id="225" w:name="OLE_LINK1044"/>
      <w:bookmarkStart w:id="226" w:name="OLE_LINK1043"/>
      <w:bookmarkStart w:id="227" w:name="OLE_LINK1042"/>
      <w:bookmarkStart w:id="228" w:name="OLE_LINK1041"/>
      <w:bookmarkStart w:id="229" w:name="OLE_LINK1040"/>
      <w:bookmarkStart w:id="230" w:name="OLE_LINK1039"/>
      <w:bookmarkStart w:id="231" w:name="OLE_LINK1038"/>
      <w:bookmarkStart w:id="232" w:name="OLE_LINK1037"/>
      <w:bookmarkStart w:id="233" w:name="OLE_LINK1036"/>
      <w:bookmarkStart w:id="234" w:name="OLE_LINK1035"/>
      <w:bookmarkStart w:id="235" w:name="OLE_LINK987"/>
      <w:bookmarkStart w:id="236" w:name="OLE_LINK947"/>
      <w:bookmarkStart w:id="237" w:name="OLE_LINK946"/>
      <w:bookmarkStart w:id="238" w:name="OLE_LINK945"/>
      <w:bookmarkStart w:id="239" w:name="OLE_LINK1127"/>
      <w:bookmarkStart w:id="240" w:name="OLE_LINK962"/>
      <w:bookmarkStart w:id="241" w:name="OLE_LINK959"/>
      <w:bookmarkStart w:id="242" w:name="OLE_LINK958"/>
      <w:bookmarkStart w:id="243" w:name="OLE_LINK1185"/>
      <w:bookmarkStart w:id="244" w:name="OLE_LINK1159"/>
      <w:bookmarkStart w:id="245" w:name="OLE_LINK1158"/>
      <w:bookmarkStart w:id="246" w:name="OLE_LINK1157"/>
      <w:bookmarkStart w:id="247" w:name="OLE_LINK1156"/>
      <w:bookmarkStart w:id="248" w:name="OLE_LINK1065"/>
      <w:bookmarkStart w:id="249" w:name="OLE_LINK1064"/>
      <w:bookmarkStart w:id="250" w:name="OLE_LINK1023"/>
      <w:bookmarkStart w:id="251" w:name="OLE_LINK1022"/>
      <w:bookmarkStart w:id="252" w:name="OLE_LINK1021"/>
      <w:bookmarkStart w:id="253" w:name="OLE_LINK2183"/>
      <w:bookmarkStart w:id="254" w:name="OLE_LINK2182"/>
      <w:bookmarkStart w:id="255" w:name="OLE_LINK2181"/>
      <w:r w:rsidRPr="0062316F">
        <w:rPr>
          <w:rFonts w:ascii="Book Antiqua" w:eastAsia="Lucida Sans Unicode" w:hAnsi="Book Antiqua" w:cs="Arial"/>
          <w:b/>
          <w:noProof/>
          <w:kern w:val="2"/>
          <w:sz w:val="24"/>
          <w:szCs w:val="24"/>
          <w:lang w:val="it-IT" w:eastAsia="hi-IN" w:bidi="hi-IN"/>
        </w:rPr>
        <w:t>P-Reviewer</w:t>
      </w:r>
      <w:r w:rsidRPr="0062316F">
        <w:rPr>
          <w:rFonts w:ascii="Book Antiqua" w:hAnsi="Book Antiqua" w:cs="Arial"/>
          <w:b/>
          <w:noProof/>
          <w:kern w:val="2"/>
          <w:sz w:val="24"/>
          <w:szCs w:val="24"/>
          <w:lang w:val="it-IT" w:bidi="hi-IN"/>
        </w:rPr>
        <w:t>:</w:t>
      </w:r>
      <w:r w:rsidRPr="0062316F">
        <w:rPr>
          <w:rFonts w:ascii="Book Antiqua" w:eastAsia="Lucida Sans Unicode" w:hAnsi="Book Antiqua" w:cs="Mangal"/>
          <w:bCs/>
          <w:kern w:val="2"/>
          <w:sz w:val="24"/>
          <w:szCs w:val="24"/>
          <w:lang w:val="it-IT" w:eastAsia="hi-IN" w:bidi="hi-IN"/>
        </w:rPr>
        <w:t xml:space="preserve"> </w:t>
      </w:r>
      <w:r w:rsidRPr="0062316F">
        <w:rPr>
          <w:rFonts w:ascii="Book Antiqua" w:hAnsi="Book Antiqua"/>
          <w:sz w:val="24"/>
          <w:szCs w:val="24"/>
        </w:rPr>
        <w:t xml:space="preserve">Hibberd AD, </w:t>
      </w:r>
      <w:proofErr w:type="spellStart"/>
      <w:r w:rsidRPr="0062316F">
        <w:rPr>
          <w:rFonts w:ascii="Book Antiqua" w:hAnsi="Book Antiqua"/>
          <w:sz w:val="24"/>
          <w:szCs w:val="24"/>
        </w:rPr>
        <w:t>Boteon</w:t>
      </w:r>
      <w:proofErr w:type="spellEnd"/>
      <w:r w:rsidRPr="0062316F">
        <w:rPr>
          <w:rFonts w:ascii="Book Antiqua" w:hAnsi="Book Antiqua"/>
          <w:sz w:val="24"/>
          <w:szCs w:val="24"/>
        </w:rPr>
        <w:t xml:space="preserve"> YL</w:t>
      </w:r>
      <w:r w:rsidRPr="0062316F">
        <w:rPr>
          <w:rFonts w:ascii="Book Antiqua" w:eastAsia="Lucida Sans Unicode" w:hAnsi="Book Antiqua" w:cs="Mangal"/>
          <w:bCs/>
          <w:kern w:val="2"/>
          <w:sz w:val="24"/>
          <w:szCs w:val="24"/>
          <w:lang w:val="it-IT" w:eastAsia="hi-IN" w:bidi="hi-IN"/>
        </w:rPr>
        <w:t xml:space="preserve"> </w:t>
      </w:r>
      <w:r w:rsidRPr="0062316F">
        <w:rPr>
          <w:rFonts w:ascii="Book Antiqua" w:eastAsia="Lucida Sans Unicode" w:hAnsi="Book Antiqua" w:cs="Mangal"/>
          <w:b/>
          <w:bCs/>
          <w:kern w:val="2"/>
          <w:sz w:val="24"/>
          <w:szCs w:val="24"/>
          <w:lang w:val="it-IT" w:eastAsia="hi-IN" w:bidi="hi-IN"/>
        </w:rPr>
        <w:t>S-Editor</w:t>
      </w:r>
      <w:r w:rsidRPr="0062316F">
        <w:rPr>
          <w:rFonts w:ascii="Book Antiqua" w:hAnsi="Book Antiqua" w:cs="Mangal"/>
          <w:b/>
          <w:bCs/>
          <w:kern w:val="2"/>
          <w:sz w:val="24"/>
          <w:szCs w:val="24"/>
          <w:lang w:val="it-IT" w:bidi="hi-IN"/>
        </w:rPr>
        <w:t>:</w:t>
      </w:r>
      <w:r w:rsidRPr="0062316F">
        <w:rPr>
          <w:rFonts w:ascii="Book Antiqua" w:eastAsia="Lucida Sans Unicode" w:hAnsi="Book Antiqua" w:cs="Mangal"/>
          <w:bCs/>
          <w:kern w:val="2"/>
          <w:sz w:val="24"/>
          <w:szCs w:val="24"/>
          <w:lang w:val="it-IT" w:eastAsia="hi-IN" w:bidi="hi-IN"/>
        </w:rPr>
        <w:t xml:space="preserve"> </w:t>
      </w:r>
      <w:r w:rsidRPr="0062316F">
        <w:rPr>
          <w:rFonts w:ascii="Book Antiqua" w:hAnsi="Book Antiqua" w:cs="Mangal"/>
          <w:bCs/>
          <w:kern w:val="2"/>
          <w:sz w:val="24"/>
          <w:szCs w:val="24"/>
          <w:lang w:val="it-IT" w:bidi="hi-IN"/>
        </w:rPr>
        <w:t>Dou Y</w:t>
      </w:r>
      <w:r w:rsidRPr="0062316F">
        <w:rPr>
          <w:rFonts w:ascii="Book Antiqua" w:eastAsia="Lucida Sans Unicode" w:hAnsi="Book Antiqua" w:cs="Mangal"/>
          <w:b/>
          <w:bCs/>
          <w:kern w:val="2"/>
          <w:sz w:val="24"/>
          <w:szCs w:val="24"/>
          <w:lang w:val="it-IT" w:eastAsia="hi-IN" w:bidi="hi-IN"/>
        </w:rPr>
        <w:t xml:space="preserve"> L-Editor</w:t>
      </w:r>
      <w:r w:rsidRPr="0062316F">
        <w:rPr>
          <w:rFonts w:ascii="Book Antiqua" w:hAnsi="Book Antiqua" w:cs="Mangal"/>
          <w:b/>
          <w:bCs/>
          <w:kern w:val="2"/>
          <w:sz w:val="24"/>
          <w:szCs w:val="24"/>
          <w:lang w:val="it-IT" w:bidi="hi-IN"/>
        </w:rPr>
        <w:t>:</w:t>
      </w:r>
      <w:r w:rsidRPr="0062316F">
        <w:rPr>
          <w:rFonts w:ascii="Book Antiqua" w:eastAsia="Lucida Sans Unicode" w:hAnsi="Book Antiqua" w:cs="Mangal"/>
          <w:b/>
          <w:bCs/>
          <w:kern w:val="2"/>
          <w:sz w:val="24"/>
          <w:szCs w:val="24"/>
          <w:lang w:val="it-IT" w:eastAsia="hi-IN" w:bidi="hi-IN"/>
        </w:rPr>
        <w:t xml:space="preserve"> E-Editor</w:t>
      </w:r>
      <w:r w:rsidRPr="0062316F">
        <w:rPr>
          <w:rFonts w:ascii="Book Antiqua" w:hAnsi="Book Antiqua" w:cs="Mangal"/>
          <w:b/>
          <w:bCs/>
          <w:kern w:val="2"/>
          <w:sz w:val="24"/>
          <w:szCs w:val="24"/>
          <w:lang w:val="it-IT" w:bidi="hi-IN"/>
        </w:rPr>
        <w:t>:</w:t>
      </w:r>
    </w:p>
    <w:p w14:paraId="0F3F1CE3" w14:textId="174AD8F5" w:rsidR="00A94BA0" w:rsidRPr="0062316F" w:rsidRDefault="00A94BA0" w:rsidP="0062316F">
      <w:pPr>
        <w:widowControl w:val="0"/>
        <w:shd w:val="clear" w:color="auto" w:fill="FFFFFF"/>
        <w:spacing w:after="0" w:line="360" w:lineRule="auto"/>
        <w:jc w:val="both"/>
        <w:rPr>
          <w:rFonts w:ascii="Book Antiqua" w:hAnsi="Book Antiqua" w:cs="Helvetica"/>
          <w:b/>
          <w:kern w:val="2"/>
          <w:sz w:val="24"/>
          <w:szCs w:val="24"/>
        </w:rPr>
      </w:pPr>
      <w:r w:rsidRPr="0062316F">
        <w:rPr>
          <w:rFonts w:ascii="Book Antiqua" w:hAnsi="Book Antiqua" w:cs="Helvetica"/>
          <w:b/>
          <w:kern w:val="2"/>
          <w:sz w:val="24"/>
          <w:szCs w:val="24"/>
        </w:rPr>
        <w:t xml:space="preserve">Specialty type: </w:t>
      </w:r>
      <w:r w:rsidRPr="0062316F">
        <w:rPr>
          <w:rFonts w:ascii="Book Antiqua" w:eastAsia="Microsoft YaHei" w:hAnsi="Book Antiqua" w:cs="SimSun"/>
          <w:sz w:val="24"/>
          <w:szCs w:val="24"/>
        </w:rPr>
        <w:t>Transplantation</w:t>
      </w:r>
    </w:p>
    <w:p w14:paraId="0343F8D9" w14:textId="4FBB40EB" w:rsidR="00A94BA0" w:rsidRPr="0062316F" w:rsidRDefault="00A94BA0" w:rsidP="0062316F">
      <w:pPr>
        <w:widowControl w:val="0"/>
        <w:shd w:val="clear" w:color="auto" w:fill="FFFFFF"/>
        <w:spacing w:after="0" w:line="360" w:lineRule="auto"/>
        <w:jc w:val="both"/>
        <w:rPr>
          <w:rFonts w:ascii="Book Antiqua" w:hAnsi="Book Antiqua" w:cs="Helvetica"/>
          <w:b/>
          <w:kern w:val="2"/>
          <w:sz w:val="24"/>
          <w:szCs w:val="24"/>
        </w:rPr>
      </w:pPr>
      <w:r w:rsidRPr="0062316F">
        <w:rPr>
          <w:rFonts w:ascii="Book Antiqua" w:hAnsi="Book Antiqua" w:cs="Helvetica"/>
          <w:b/>
          <w:kern w:val="2"/>
          <w:sz w:val="24"/>
          <w:szCs w:val="24"/>
        </w:rPr>
        <w:t xml:space="preserve">Country of origin: </w:t>
      </w:r>
      <w:r w:rsidRPr="0062316F">
        <w:rPr>
          <w:rFonts w:ascii="Book Antiqua" w:hAnsi="Book Antiqua" w:cs="Helvetica"/>
          <w:kern w:val="2"/>
          <w:sz w:val="24"/>
          <w:szCs w:val="24"/>
        </w:rPr>
        <w:t>United States</w:t>
      </w:r>
    </w:p>
    <w:p w14:paraId="61AE6224" w14:textId="77777777" w:rsidR="00A94BA0" w:rsidRPr="0062316F" w:rsidRDefault="00A94BA0" w:rsidP="0062316F">
      <w:pPr>
        <w:widowControl w:val="0"/>
        <w:shd w:val="clear" w:color="auto" w:fill="FFFFFF"/>
        <w:spacing w:after="0" w:line="360" w:lineRule="auto"/>
        <w:jc w:val="both"/>
        <w:rPr>
          <w:rFonts w:ascii="Book Antiqua" w:hAnsi="Book Antiqua" w:cs="Helvetica"/>
          <w:b/>
          <w:kern w:val="2"/>
          <w:sz w:val="24"/>
          <w:szCs w:val="24"/>
        </w:rPr>
      </w:pPr>
      <w:r w:rsidRPr="0062316F">
        <w:rPr>
          <w:rFonts w:ascii="Book Antiqua" w:hAnsi="Book Antiqua" w:cs="Helvetica"/>
          <w:b/>
          <w:kern w:val="2"/>
          <w:sz w:val="24"/>
          <w:szCs w:val="24"/>
        </w:rPr>
        <w:t>Peer-review report classification</w:t>
      </w:r>
    </w:p>
    <w:p w14:paraId="79F7D997" w14:textId="77777777" w:rsidR="00A94BA0" w:rsidRPr="0062316F" w:rsidRDefault="00A94BA0" w:rsidP="0062316F">
      <w:pPr>
        <w:widowControl w:val="0"/>
        <w:shd w:val="clear" w:color="auto" w:fill="FFFFFF"/>
        <w:spacing w:after="0" w:line="360" w:lineRule="auto"/>
        <w:jc w:val="both"/>
        <w:rPr>
          <w:rFonts w:ascii="Book Antiqua" w:hAnsi="Book Antiqua" w:cs="Helvetica"/>
          <w:kern w:val="2"/>
          <w:sz w:val="24"/>
          <w:szCs w:val="24"/>
        </w:rPr>
      </w:pPr>
      <w:r w:rsidRPr="0062316F">
        <w:rPr>
          <w:rFonts w:ascii="Book Antiqua" w:hAnsi="Book Antiqua" w:cs="Helvetica"/>
          <w:kern w:val="2"/>
          <w:sz w:val="24"/>
          <w:szCs w:val="24"/>
        </w:rPr>
        <w:t>Grade A (Excellent): 0</w:t>
      </w:r>
    </w:p>
    <w:p w14:paraId="346376E2" w14:textId="40E38BE8" w:rsidR="00A94BA0" w:rsidRPr="0062316F" w:rsidRDefault="00A94BA0" w:rsidP="0062316F">
      <w:pPr>
        <w:widowControl w:val="0"/>
        <w:shd w:val="clear" w:color="auto" w:fill="FFFFFF"/>
        <w:spacing w:after="0" w:line="360" w:lineRule="auto"/>
        <w:jc w:val="both"/>
        <w:rPr>
          <w:rFonts w:ascii="Book Antiqua" w:hAnsi="Book Antiqua" w:cs="Helvetica"/>
          <w:kern w:val="2"/>
          <w:sz w:val="24"/>
          <w:szCs w:val="24"/>
        </w:rPr>
      </w:pPr>
      <w:r w:rsidRPr="0062316F">
        <w:rPr>
          <w:rFonts w:ascii="Book Antiqua" w:hAnsi="Book Antiqua" w:cs="Helvetica"/>
          <w:kern w:val="2"/>
          <w:sz w:val="24"/>
          <w:szCs w:val="24"/>
        </w:rPr>
        <w:t>Grade B (Very good): B</w:t>
      </w:r>
    </w:p>
    <w:p w14:paraId="66D48DD9" w14:textId="77777777" w:rsidR="00A94BA0" w:rsidRPr="0062316F" w:rsidRDefault="00A94BA0" w:rsidP="0062316F">
      <w:pPr>
        <w:widowControl w:val="0"/>
        <w:shd w:val="clear" w:color="auto" w:fill="FFFFFF"/>
        <w:spacing w:after="0" w:line="360" w:lineRule="auto"/>
        <w:jc w:val="both"/>
        <w:rPr>
          <w:rFonts w:ascii="Book Antiqua" w:hAnsi="Book Antiqua" w:cs="Helvetica"/>
          <w:kern w:val="2"/>
          <w:sz w:val="24"/>
          <w:szCs w:val="24"/>
        </w:rPr>
      </w:pPr>
      <w:r w:rsidRPr="0062316F">
        <w:rPr>
          <w:rFonts w:ascii="Book Antiqua" w:hAnsi="Book Antiqua" w:cs="Helvetica"/>
          <w:kern w:val="2"/>
          <w:sz w:val="24"/>
          <w:szCs w:val="24"/>
        </w:rPr>
        <w:t>Grade C (Good): C</w:t>
      </w:r>
    </w:p>
    <w:p w14:paraId="03529E32" w14:textId="2F33614D" w:rsidR="00A94BA0" w:rsidRPr="0062316F" w:rsidRDefault="00A94BA0" w:rsidP="0062316F">
      <w:pPr>
        <w:widowControl w:val="0"/>
        <w:shd w:val="clear" w:color="auto" w:fill="FFFFFF"/>
        <w:spacing w:after="0" w:line="360" w:lineRule="auto"/>
        <w:jc w:val="both"/>
        <w:rPr>
          <w:rFonts w:ascii="Book Antiqua" w:hAnsi="Book Antiqua" w:cs="Helvetica"/>
          <w:kern w:val="2"/>
          <w:sz w:val="24"/>
          <w:szCs w:val="24"/>
        </w:rPr>
      </w:pPr>
      <w:r w:rsidRPr="0062316F">
        <w:rPr>
          <w:rFonts w:ascii="Book Antiqua" w:hAnsi="Book Antiqua" w:cs="Helvetica"/>
          <w:kern w:val="2"/>
          <w:sz w:val="24"/>
          <w:szCs w:val="24"/>
        </w:rPr>
        <w:t xml:space="preserve">Grade D (Fair): </w:t>
      </w:r>
      <w:bookmarkEnd w:id="192"/>
      <w:bookmarkEnd w:id="193"/>
      <w:r w:rsidRPr="0062316F">
        <w:rPr>
          <w:rFonts w:ascii="Book Antiqua" w:hAnsi="Book Antiqua" w:cs="Helvetica"/>
          <w:kern w:val="2"/>
          <w:sz w:val="24"/>
          <w:szCs w:val="24"/>
        </w:rPr>
        <w:t>0</w:t>
      </w:r>
    </w:p>
    <w:p w14:paraId="138B87E8" w14:textId="77777777" w:rsidR="00A94BA0" w:rsidRPr="0062316F" w:rsidRDefault="00A94BA0" w:rsidP="0062316F">
      <w:pPr>
        <w:widowControl w:val="0"/>
        <w:shd w:val="clear" w:color="auto" w:fill="FFFFFF"/>
        <w:spacing w:after="0" w:line="360" w:lineRule="auto"/>
        <w:jc w:val="both"/>
        <w:rPr>
          <w:rFonts w:ascii="Book Antiqua" w:hAnsi="Book Antiqua" w:cs="Helvetica"/>
          <w:kern w:val="2"/>
          <w:sz w:val="24"/>
          <w:szCs w:val="24"/>
        </w:rPr>
      </w:pPr>
      <w:r w:rsidRPr="0062316F">
        <w:rPr>
          <w:rFonts w:ascii="Book Antiqua" w:hAnsi="Book Antiqua" w:cs="Helvetica"/>
          <w:kern w:val="2"/>
          <w:sz w:val="24"/>
          <w:szCs w:val="24"/>
        </w:rPr>
        <w:t>Grade E (Poor): 0</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654F1013" w14:textId="77777777" w:rsidR="00A94BA0" w:rsidRPr="0062316F" w:rsidRDefault="00A94BA0" w:rsidP="0062316F">
      <w:pPr>
        <w:spacing w:after="0" w:line="360" w:lineRule="auto"/>
        <w:jc w:val="both"/>
        <w:rPr>
          <w:rFonts w:ascii="Book Antiqua" w:hAnsi="Book Antiqua"/>
          <w:sz w:val="24"/>
          <w:szCs w:val="24"/>
        </w:rPr>
      </w:pPr>
    </w:p>
    <w:p w14:paraId="41C8F396" w14:textId="5A2A8E6C" w:rsidR="00E9347F" w:rsidRPr="0062316F" w:rsidRDefault="008F7AE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77C0BFA5" w14:textId="77777777" w:rsidR="00C23110" w:rsidRPr="0062316F" w:rsidRDefault="00C23110" w:rsidP="0062316F">
      <w:pPr>
        <w:spacing w:after="0" w:line="360" w:lineRule="auto"/>
        <w:jc w:val="both"/>
        <w:rPr>
          <w:rFonts w:ascii="Book Antiqua" w:hAnsi="Book Antiqua" w:cs="Times New Roman"/>
          <w:b/>
          <w:sz w:val="24"/>
          <w:szCs w:val="24"/>
          <w:lang w:eastAsia="zh-CN"/>
        </w:rPr>
      </w:pPr>
    </w:p>
    <w:p w14:paraId="0D0B940D" w14:textId="4129F6B1" w:rsidR="00E9347F" w:rsidRPr="0062316F" w:rsidRDefault="008F4CCC" w:rsidP="0062316F">
      <w:pPr>
        <w:spacing w:after="0" w:line="360" w:lineRule="auto"/>
        <w:jc w:val="both"/>
        <w:rPr>
          <w:rFonts w:ascii="Book Antiqua" w:hAnsi="Book Antiqua" w:cs="Times New Roman"/>
          <w:b/>
          <w:sz w:val="24"/>
          <w:szCs w:val="24"/>
        </w:rPr>
      </w:pPr>
      <w:r w:rsidRPr="0062316F">
        <w:rPr>
          <w:rFonts w:ascii="Book Antiqua" w:hAnsi="Book Antiqua"/>
          <w:noProof/>
          <w:sz w:val="24"/>
          <w:szCs w:val="24"/>
        </w:rPr>
        <w:drawing>
          <wp:inline distT="0" distB="0" distL="0" distR="0" wp14:anchorId="22C8DD2D" wp14:editId="6E5154AA">
            <wp:extent cx="5943600" cy="5695950"/>
            <wp:effectExtent l="0" t="0" r="0" b="0"/>
            <wp:docPr id="4" name="Picture 4" descr="C:\Users\wcheungpasitporn\Desktop\Figure 1 B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heungpasitporn\Desktop\Figure 1 BB.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5695950"/>
                    </a:xfrm>
                    <a:prstGeom prst="rect">
                      <a:avLst/>
                    </a:prstGeom>
                    <a:noFill/>
                    <a:ln>
                      <a:noFill/>
                    </a:ln>
                  </pic:spPr>
                </pic:pic>
              </a:graphicData>
            </a:graphic>
          </wp:inline>
        </w:drawing>
      </w:r>
    </w:p>
    <w:p w14:paraId="40548607" w14:textId="04E4FC0A"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b/>
          <w:sz w:val="24"/>
          <w:szCs w:val="24"/>
        </w:rPr>
        <w:t>Figure 1</w:t>
      </w:r>
      <w:r w:rsidRPr="0062316F">
        <w:rPr>
          <w:rFonts w:ascii="Book Antiqua" w:hAnsi="Book Antiqua" w:cs="Times New Roman"/>
          <w:sz w:val="24"/>
          <w:szCs w:val="24"/>
        </w:rPr>
        <w:t xml:space="preserve"> </w:t>
      </w:r>
      <w:r w:rsidRPr="0062316F">
        <w:rPr>
          <w:rFonts w:ascii="Book Antiqua" w:hAnsi="Book Antiqua" w:cs="Times New Roman"/>
          <w:b/>
          <w:sz w:val="24"/>
          <w:szCs w:val="24"/>
        </w:rPr>
        <w:t>Study selection</w:t>
      </w:r>
      <w:r w:rsidR="00A94BA0" w:rsidRPr="0062316F">
        <w:rPr>
          <w:rFonts w:ascii="Book Antiqua" w:hAnsi="Book Antiqua" w:cs="Times New Roman"/>
          <w:b/>
          <w:sz w:val="24"/>
          <w:szCs w:val="24"/>
        </w:rPr>
        <w:t>.</w:t>
      </w:r>
    </w:p>
    <w:p w14:paraId="0E27B00A" w14:textId="77777777" w:rsidR="00E9347F" w:rsidRPr="0062316F" w:rsidRDefault="00E9347F" w:rsidP="0062316F">
      <w:pPr>
        <w:spacing w:after="0" w:line="360" w:lineRule="auto"/>
        <w:jc w:val="both"/>
        <w:rPr>
          <w:rFonts w:ascii="Book Antiqua" w:hAnsi="Book Antiqua" w:cs="Times New Roman"/>
          <w:b/>
          <w:sz w:val="24"/>
          <w:szCs w:val="24"/>
        </w:rPr>
      </w:pPr>
    </w:p>
    <w:p w14:paraId="60061E4C" w14:textId="77777777" w:rsidR="00E9347F" w:rsidRPr="0062316F" w:rsidRDefault="00E9347F" w:rsidP="0062316F">
      <w:pPr>
        <w:spacing w:after="0" w:line="360" w:lineRule="auto"/>
        <w:jc w:val="both"/>
        <w:rPr>
          <w:rFonts w:ascii="Book Antiqua" w:hAnsi="Book Antiqua" w:cs="Times New Roman"/>
          <w:b/>
          <w:sz w:val="24"/>
          <w:szCs w:val="24"/>
        </w:rPr>
      </w:pPr>
    </w:p>
    <w:p w14:paraId="44EAFD9C" w14:textId="77777777" w:rsidR="00E9347F" w:rsidRPr="0062316F" w:rsidRDefault="00E9347F" w:rsidP="0062316F">
      <w:pPr>
        <w:spacing w:after="0" w:line="360" w:lineRule="auto"/>
        <w:jc w:val="both"/>
        <w:rPr>
          <w:rFonts w:ascii="Book Antiqua" w:hAnsi="Book Antiqua" w:cs="Times New Roman"/>
          <w:b/>
          <w:sz w:val="24"/>
          <w:szCs w:val="24"/>
        </w:rPr>
      </w:pPr>
    </w:p>
    <w:p w14:paraId="4B94D5A5" w14:textId="77777777" w:rsidR="00E9347F" w:rsidRPr="0062316F" w:rsidRDefault="00E9347F" w:rsidP="0062316F">
      <w:pPr>
        <w:spacing w:after="0" w:line="360" w:lineRule="auto"/>
        <w:jc w:val="both"/>
        <w:rPr>
          <w:rFonts w:ascii="Book Antiqua" w:hAnsi="Book Antiqua" w:cs="Times New Roman"/>
          <w:b/>
          <w:sz w:val="24"/>
          <w:szCs w:val="24"/>
        </w:rPr>
      </w:pPr>
    </w:p>
    <w:p w14:paraId="3DEEC669" w14:textId="77777777"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noProof/>
          <w:sz w:val="24"/>
          <w:szCs w:val="24"/>
        </w:rPr>
        <w:lastRenderedPageBreak/>
        <w:drawing>
          <wp:inline distT="0" distB="0" distL="0" distR="0" wp14:anchorId="3311A677" wp14:editId="472BE997">
            <wp:extent cx="5400675" cy="253238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9134"/>
                    <a:stretch/>
                  </pic:blipFill>
                  <pic:spPr bwMode="auto">
                    <a:xfrm>
                      <a:off x="0" y="0"/>
                      <a:ext cx="5400675" cy="2532380"/>
                    </a:xfrm>
                    <a:prstGeom prst="rect">
                      <a:avLst/>
                    </a:prstGeom>
                    <a:noFill/>
                    <a:ln>
                      <a:noFill/>
                    </a:ln>
                    <a:extLst>
                      <a:ext uri="{53640926-AAD7-44D8-BBD7-CCE9431645EC}">
                        <a14:shadowObscured xmlns:a14="http://schemas.microsoft.com/office/drawing/2010/main"/>
                      </a:ext>
                    </a:extLst>
                  </pic:spPr>
                </pic:pic>
              </a:graphicData>
            </a:graphic>
          </wp:inline>
        </w:drawing>
      </w:r>
    </w:p>
    <w:p w14:paraId="30115D12" w14:textId="7A1D07E1"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b/>
          <w:sz w:val="24"/>
          <w:szCs w:val="24"/>
        </w:rPr>
        <w:t xml:space="preserve">Figure 2 Forest plot of all included studies evaluating the risk of biopsy-proven rejection at one year or more in </w:t>
      </w:r>
      <w:r w:rsidR="00242511" w:rsidRPr="0062316F">
        <w:rPr>
          <w:rFonts w:ascii="Book Antiqua" w:hAnsi="Book Antiqua" w:cs="Times New Roman"/>
          <w:b/>
          <w:sz w:val="24"/>
          <w:szCs w:val="24"/>
        </w:rPr>
        <w:t>proton pump inhibitors</w:t>
      </w:r>
      <w:r w:rsidRPr="0062316F">
        <w:rPr>
          <w:rFonts w:ascii="Book Antiqua" w:hAnsi="Book Antiqua" w:cs="Times New Roman"/>
          <w:b/>
          <w:sz w:val="24"/>
          <w:szCs w:val="24"/>
        </w:rPr>
        <w:t xml:space="preserve"> users compared with non-users</w:t>
      </w:r>
      <w:r w:rsidR="00A94BA0" w:rsidRPr="0062316F">
        <w:rPr>
          <w:rFonts w:ascii="Book Antiqua" w:hAnsi="Book Antiqua" w:cs="Times New Roman"/>
          <w:b/>
          <w:sz w:val="24"/>
          <w:szCs w:val="24"/>
        </w:rPr>
        <w:t>.</w:t>
      </w:r>
    </w:p>
    <w:p w14:paraId="3656B9AB" w14:textId="77777777"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45FB0818"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b/>
          <w:noProof/>
          <w:sz w:val="24"/>
          <w:szCs w:val="24"/>
        </w:rPr>
        <w:lastRenderedPageBreak/>
        <w:drawing>
          <wp:inline distT="0" distB="0" distL="0" distR="0" wp14:anchorId="7AAD0ED5" wp14:editId="5C1EFE6F">
            <wp:extent cx="5419725" cy="2324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8667"/>
                    <a:stretch/>
                  </pic:blipFill>
                  <pic:spPr bwMode="auto">
                    <a:xfrm>
                      <a:off x="0" y="0"/>
                      <a:ext cx="5419725" cy="2324100"/>
                    </a:xfrm>
                    <a:prstGeom prst="rect">
                      <a:avLst/>
                    </a:prstGeom>
                    <a:noFill/>
                    <a:ln>
                      <a:noFill/>
                    </a:ln>
                    <a:extLst>
                      <a:ext uri="{53640926-AAD7-44D8-BBD7-CCE9431645EC}">
                        <a14:shadowObscured xmlns:a14="http://schemas.microsoft.com/office/drawing/2010/main"/>
                      </a:ext>
                    </a:extLst>
                  </pic:spPr>
                </pic:pic>
              </a:graphicData>
            </a:graphic>
          </wp:inline>
        </w:drawing>
      </w:r>
    </w:p>
    <w:p w14:paraId="5A3B9660" w14:textId="7300E105"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b/>
          <w:sz w:val="24"/>
          <w:szCs w:val="24"/>
        </w:rPr>
        <w:t xml:space="preserve">Figure 3 Forest plot of all included studies evaluating the risk of graft loss in </w:t>
      </w:r>
      <w:r w:rsidR="00242511" w:rsidRPr="0062316F">
        <w:rPr>
          <w:rFonts w:ascii="Book Antiqua" w:hAnsi="Book Antiqua" w:cs="Times New Roman"/>
          <w:b/>
          <w:sz w:val="24"/>
          <w:szCs w:val="24"/>
        </w:rPr>
        <w:t>proton pump inhibitors</w:t>
      </w:r>
      <w:r w:rsidRPr="0062316F">
        <w:rPr>
          <w:rFonts w:ascii="Book Antiqua" w:hAnsi="Book Antiqua" w:cs="Times New Roman"/>
          <w:b/>
          <w:sz w:val="24"/>
          <w:szCs w:val="24"/>
        </w:rPr>
        <w:t xml:space="preserve"> users compared with non-users</w:t>
      </w:r>
      <w:r w:rsidR="00A94BA0" w:rsidRPr="0062316F">
        <w:rPr>
          <w:rFonts w:ascii="Book Antiqua" w:hAnsi="Book Antiqua" w:cs="Times New Roman"/>
          <w:b/>
          <w:sz w:val="24"/>
          <w:szCs w:val="24"/>
        </w:rPr>
        <w:t>.</w:t>
      </w:r>
    </w:p>
    <w:p w14:paraId="049F31CB" w14:textId="77777777" w:rsidR="00E9347F" w:rsidRPr="0062316F" w:rsidRDefault="00E9347F" w:rsidP="0062316F">
      <w:pPr>
        <w:spacing w:after="0" w:line="360" w:lineRule="auto"/>
        <w:jc w:val="both"/>
        <w:rPr>
          <w:rFonts w:ascii="Book Antiqua" w:hAnsi="Book Antiqua" w:cs="Times New Roman"/>
          <w:sz w:val="24"/>
          <w:szCs w:val="24"/>
        </w:rPr>
      </w:pPr>
    </w:p>
    <w:p w14:paraId="53128261"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br w:type="page"/>
      </w:r>
    </w:p>
    <w:p w14:paraId="62486C05" w14:textId="77777777" w:rsidR="00E9347F" w:rsidRPr="0062316F" w:rsidRDefault="00E9347F" w:rsidP="0062316F">
      <w:pPr>
        <w:spacing w:after="0" w:line="360" w:lineRule="auto"/>
        <w:jc w:val="both"/>
        <w:rPr>
          <w:rFonts w:ascii="Book Antiqua" w:hAnsi="Book Antiqua" w:cs="Times New Roman"/>
          <w:sz w:val="24"/>
          <w:szCs w:val="24"/>
        </w:rPr>
      </w:pPr>
    </w:p>
    <w:p w14:paraId="4101652C"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noProof/>
          <w:sz w:val="24"/>
          <w:szCs w:val="24"/>
        </w:rPr>
        <w:drawing>
          <wp:inline distT="0" distB="0" distL="0" distR="0" wp14:anchorId="2C13C84F" wp14:editId="0DF84C54">
            <wp:extent cx="5391150" cy="22015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295"/>
                    <a:stretch/>
                  </pic:blipFill>
                  <pic:spPr bwMode="auto">
                    <a:xfrm>
                      <a:off x="0" y="0"/>
                      <a:ext cx="5391150" cy="2201545"/>
                    </a:xfrm>
                    <a:prstGeom prst="rect">
                      <a:avLst/>
                    </a:prstGeom>
                    <a:noFill/>
                    <a:ln>
                      <a:noFill/>
                    </a:ln>
                    <a:extLst>
                      <a:ext uri="{53640926-AAD7-44D8-BBD7-CCE9431645EC}">
                        <a14:shadowObscured xmlns:a14="http://schemas.microsoft.com/office/drawing/2010/main"/>
                      </a:ext>
                    </a:extLst>
                  </pic:spPr>
                </pic:pic>
              </a:graphicData>
            </a:graphic>
          </wp:inline>
        </w:drawing>
      </w:r>
    </w:p>
    <w:p w14:paraId="4B99056E" w14:textId="77777777" w:rsidR="00E9347F" w:rsidRPr="0062316F" w:rsidRDefault="00E9347F" w:rsidP="0062316F">
      <w:pPr>
        <w:spacing w:after="0" w:line="360" w:lineRule="auto"/>
        <w:jc w:val="both"/>
        <w:rPr>
          <w:rFonts w:ascii="Book Antiqua" w:hAnsi="Book Antiqua" w:cs="Times New Roman"/>
          <w:sz w:val="24"/>
          <w:szCs w:val="24"/>
        </w:rPr>
      </w:pPr>
    </w:p>
    <w:p w14:paraId="7E263ACD" w14:textId="366CC247"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Figure 4 Forest plot of all included studies evaluating the risk of hypomagnesemia in PPI users compared with non-users</w:t>
      </w:r>
      <w:r w:rsidR="00A94BA0" w:rsidRPr="0062316F">
        <w:rPr>
          <w:rFonts w:ascii="Book Antiqua" w:hAnsi="Book Antiqua" w:cs="Times New Roman"/>
          <w:b/>
          <w:sz w:val="24"/>
          <w:szCs w:val="24"/>
        </w:rPr>
        <w:t>.</w:t>
      </w:r>
    </w:p>
    <w:p w14:paraId="1299C43A" w14:textId="77777777" w:rsidR="00E9347F" w:rsidRPr="0062316F" w:rsidRDefault="00E9347F" w:rsidP="0062316F">
      <w:pPr>
        <w:spacing w:after="0" w:line="360" w:lineRule="auto"/>
        <w:jc w:val="both"/>
        <w:rPr>
          <w:rFonts w:ascii="Book Antiqua" w:hAnsi="Book Antiqua" w:cs="Times New Roman"/>
          <w:sz w:val="24"/>
          <w:szCs w:val="24"/>
        </w:rPr>
      </w:pPr>
    </w:p>
    <w:p w14:paraId="4DDBEF00"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br w:type="page"/>
      </w:r>
    </w:p>
    <w:p w14:paraId="3461D779" w14:textId="77777777" w:rsidR="00E9347F" w:rsidRPr="0062316F" w:rsidRDefault="00E9347F" w:rsidP="0062316F">
      <w:pPr>
        <w:spacing w:after="0" w:line="360" w:lineRule="auto"/>
        <w:jc w:val="both"/>
        <w:rPr>
          <w:rFonts w:ascii="Book Antiqua" w:hAnsi="Book Antiqua" w:cs="Times New Roman"/>
          <w:sz w:val="24"/>
          <w:szCs w:val="24"/>
        </w:rPr>
      </w:pPr>
    </w:p>
    <w:p w14:paraId="3CF2D8B6"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noProof/>
          <w:sz w:val="24"/>
          <w:szCs w:val="24"/>
        </w:rPr>
        <w:drawing>
          <wp:inline distT="0" distB="0" distL="0" distR="0" wp14:anchorId="0994ECE3" wp14:editId="3150870C">
            <wp:extent cx="5943600" cy="2495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495550"/>
                    </a:xfrm>
                    <a:prstGeom prst="rect">
                      <a:avLst/>
                    </a:prstGeom>
                  </pic:spPr>
                </pic:pic>
              </a:graphicData>
            </a:graphic>
          </wp:inline>
        </w:drawing>
      </w:r>
    </w:p>
    <w:p w14:paraId="0E73F169" w14:textId="32D43F4B"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t>Figure 5 Forest plot of all included studies evaluating the risk of one-year mortality in PPI users compared with non-users</w:t>
      </w:r>
      <w:r w:rsidR="00A94BA0" w:rsidRPr="0062316F">
        <w:rPr>
          <w:rFonts w:ascii="Book Antiqua" w:hAnsi="Book Antiqua" w:cs="Times New Roman"/>
          <w:b/>
          <w:sz w:val="24"/>
          <w:szCs w:val="24"/>
        </w:rPr>
        <w:t>.</w:t>
      </w:r>
    </w:p>
    <w:p w14:paraId="0FB78278" w14:textId="77777777" w:rsidR="00E9347F" w:rsidRPr="0062316F" w:rsidRDefault="00E9347F" w:rsidP="0062316F">
      <w:pPr>
        <w:spacing w:after="0" w:line="360" w:lineRule="auto"/>
        <w:jc w:val="both"/>
        <w:rPr>
          <w:rFonts w:ascii="Book Antiqua" w:hAnsi="Book Antiqua" w:cs="Times New Roman"/>
          <w:sz w:val="24"/>
          <w:szCs w:val="24"/>
        </w:rPr>
      </w:pPr>
      <w:r w:rsidRPr="0062316F">
        <w:rPr>
          <w:rFonts w:ascii="Book Antiqua" w:hAnsi="Book Antiqua" w:cs="Times New Roman"/>
          <w:sz w:val="24"/>
          <w:szCs w:val="24"/>
        </w:rPr>
        <w:br w:type="page"/>
      </w:r>
    </w:p>
    <w:p w14:paraId="1FC39945" w14:textId="77777777" w:rsidR="00E9347F" w:rsidRPr="0062316F" w:rsidRDefault="00E9347F" w:rsidP="0062316F">
      <w:pPr>
        <w:spacing w:after="0" w:line="360" w:lineRule="auto"/>
        <w:jc w:val="both"/>
        <w:rPr>
          <w:rFonts w:ascii="Book Antiqua" w:hAnsi="Book Antiqua" w:cs="Times New Roman"/>
          <w:sz w:val="24"/>
          <w:szCs w:val="24"/>
        </w:rPr>
        <w:sectPr w:rsidR="00E9347F" w:rsidRPr="0062316F" w:rsidSect="00242511">
          <w:pgSz w:w="12240" w:h="15840"/>
          <w:pgMar w:top="1440" w:right="1440" w:bottom="1440" w:left="1440" w:header="720" w:footer="720" w:gutter="0"/>
          <w:cols w:space="720"/>
          <w:docGrid w:linePitch="360"/>
        </w:sectPr>
      </w:pPr>
    </w:p>
    <w:p w14:paraId="7D5DF846" w14:textId="3B44B48A"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lastRenderedPageBreak/>
        <w:t xml:space="preserve">Table </w:t>
      </w:r>
      <w:r w:rsidRPr="0062316F">
        <w:rPr>
          <w:rFonts w:ascii="Book Antiqua" w:hAnsi="Book Antiqua" w:cs="Times New Roman"/>
          <w:b/>
          <w:sz w:val="24"/>
          <w:szCs w:val="24"/>
        </w:rPr>
        <w:fldChar w:fldCharType="begin"/>
      </w:r>
      <w:r w:rsidRPr="0062316F">
        <w:rPr>
          <w:rFonts w:ascii="Book Antiqua" w:hAnsi="Book Antiqua" w:cs="Times New Roman"/>
          <w:b/>
          <w:sz w:val="24"/>
          <w:szCs w:val="24"/>
        </w:rPr>
        <w:instrText xml:space="preserve"> SEQ Table \* ARABIC </w:instrText>
      </w:r>
      <w:r w:rsidRPr="0062316F">
        <w:rPr>
          <w:rFonts w:ascii="Book Antiqua" w:hAnsi="Book Antiqua" w:cs="Times New Roman"/>
          <w:b/>
          <w:sz w:val="24"/>
          <w:szCs w:val="24"/>
        </w:rPr>
        <w:fldChar w:fldCharType="separate"/>
      </w:r>
      <w:r w:rsidRPr="0062316F">
        <w:rPr>
          <w:rFonts w:ascii="Book Antiqua" w:hAnsi="Book Antiqua" w:cs="Times New Roman"/>
          <w:b/>
          <w:noProof/>
          <w:sz w:val="24"/>
          <w:szCs w:val="24"/>
        </w:rPr>
        <w:t>1</w:t>
      </w:r>
      <w:r w:rsidRPr="0062316F">
        <w:rPr>
          <w:rFonts w:ascii="Book Antiqua" w:hAnsi="Book Antiqua" w:cs="Times New Roman"/>
          <w:b/>
          <w:sz w:val="24"/>
          <w:szCs w:val="24"/>
        </w:rPr>
        <w:fldChar w:fldCharType="end"/>
      </w:r>
      <w:r w:rsidRPr="0062316F">
        <w:rPr>
          <w:rFonts w:ascii="Book Antiqua" w:hAnsi="Book Antiqua" w:cs="Times New Roman"/>
          <w:b/>
          <w:sz w:val="24"/>
          <w:szCs w:val="24"/>
        </w:rPr>
        <w:t xml:space="preserve"> Char</w:t>
      </w:r>
      <w:r w:rsidR="000A14C1" w:rsidRPr="0062316F">
        <w:rPr>
          <w:rFonts w:ascii="Book Antiqua" w:hAnsi="Book Antiqua" w:cs="Times New Roman"/>
          <w:b/>
          <w:sz w:val="24"/>
          <w:szCs w:val="24"/>
        </w:rPr>
        <w:t>acteristics of included studies</w:t>
      </w:r>
    </w:p>
    <w:tbl>
      <w:tblPr>
        <w:tblStyle w:val="TableGrid"/>
        <w:tblW w:w="133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5"/>
        <w:gridCol w:w="1536"/>
        <w:gridCol w:w="1662"/>
        <w:gridCol w:w="790"/>
        <w:gridCol w:w="1369"/>
        <w:gridCol w:w="1764"/>
        <w:gridCol w:w="2043"/>
        <w:gridCol w:w="576"/>
        <w:gridCol w:w="1188"/>
        <w:gridCol w:w="1605"/>
        <w:gridCol w:w="576"/>
        <w:gridCol w:w="1188"/>
        <w:gridCol w:w="1605"/>
        <w:gridCol w:w="1056"/>
      </w:tblGrid>
      <w:tr w:rsidR="00446383" w:rsidRPr="0062316F" w14:paraId="7EE98C9C" w14:textId="77777777" w:rsidTr="00786DDC">
        <w:trPr>
          <w:trHeight w:val="510"/>
        </w:trPr>
        <w:tc>
          <w:tcPr>
            <w:tcW w:w="895" w:type="dxa"/>
            <w:vMerge w:val="restart"/>
            <w:tcBorders>
              <w:top w:val="single" w:sz="4" w:space="0" w:color="auto"/>
              <w:bottom w:val="nil"/>
            </w:tcBorders>
          </w:tcPr>
          <w:p w14:paraId="02DF78A1"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Ref</w:t>
            </w:r>
          </w:p>
        </w:tc>
        <w:tc>
          <w:tcPr>
            <w:tcW w:w="1086" w:type="dxa"/>
            <w:vMerge w:val="restart"/>
            <w:tcBorders>
              <w:top w:val="single" w:sz="4" w:space="0" w:color="auto"/>
              <w:bottom w:val="nil"/>
            </w:tcBorders>
          </w:tcPr>
          <w:p w14:paraId="0A970983"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Country</w:t>
            </w:r>
          </w:p>
        </w:tc>
        <w:tc>
          <w:tcPr>
            <w:tcW w:w="1169" w:type="dxa"/>
            <w:vMerge w:val="restart"/>
            <w:tcBorders>
              <w:top w:val="single" w:sz="4" w:space="0" w:color="auto"/>
              <w:bottom w:val="nil"/>
            </w:tcBorders>
          </w:tcPr>
          <w:p w14:paraId="3AB3EEAD"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Type</w:t>
            </w:r>
          </w:p>
        </w:tc>
        <w:tc>
          <w:tcPr>
            <w:tcW w:w="577" w:type="dxa"/>
            <w:vMerge w:val="restart"/>
            <w:tcBorders>
              <w:top w:val="single" w:sz="4" w:space="0" w:color="auto"/>
              <w:bottom w:val="nil"/>
            </w:tcBorders>
          </w:tcPr>
          <w:p w14:paraId="32BF795C"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Total N</w:t>
            </w:r>
          </w:p>
        </w:tc>
        <w:tc>
          <w:tcPr>
            <w:tcW w:w="976" w:type="dxa"/>
            <w:vMerge w:val="restart"/>
            <w:tcBorders>
              <w:top w:val="single" w:sz="4" w:space="0" w:color="auto"/>
              <w:bottom w:val="nil"/>
            </w:tcBorders>
          </w:tcPr>
          <w:p w14:paraId="487A3927"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Race</w:t>
            </w:r>
          </w:p>
        </w:tc>
        <w:tc>
          <w:tcPr>
            <w:tcW w:w="1236" w:type="dxa"/>
            <w:vMerge w:val="restart"/>
            <w:tcBorders>
              <w:top w:val="single" w:sz="4" w:space="0" w:color="auto"/>
              <w:bottom w:val="nil"/>
            </w:tcBorders>
          </w:tcPr>
          <w:p w14:paraId="3611655E"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Immuno-suppressive Regimen</w:t>
            </w:r>
          </w:p>
        </w:tc>
        <w:tc>
          <w:tcPr>
            <w:tcW w:w="1382" w:type="dxa"/>
            <w:vMerge w:val="restart"/>
            <w:tcBorders>
              <w:top w:val="single" w:sz="4" w:space="0" w:color="auto"/>
              <w:bottom w:val="nil"/>
            </w:tcBorders>
          </w:tcPr>
          <w:p w14:paraId="6C58BB61"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CNI use</w:t>
            </w:r>
          </w:p>
          <w:p w14:paraId="00A769E1"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(%Cyclosporine)</w:t>
            </w:r>
          </w:p>
        </w:tc>
        <w:tc>
          <w:tcPr>
            <w:tcW w:w="2441" w:type="dxa"/>
            <w:gridSpan w:val="3"/>
            <w:tcBorders>
              <w:top w:val="single" w:sz="4" w:space="0" w:color="auto"/>
              <w:bottom w:val="nil"/>
            </w:tcBorders>
          </w:tcPr>
          <w:p w14:paraId="68A46F0E"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2441" w:type="dxa"/>
            <w:gridSpan w:val="3"/>
            <w:tcBorders>
              <w:top w:val="single" w:sz="4" w:space="0" w:color="auto"/>
              <w:bottom w:val="nil"/>
            </w:tcBorders>
          </w:tcPr>
          <w:p w14:paraId="15D8CC24"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1112" w:type="dxa"/>
            <w:vMerge w:val="restart"/>
          </w:tcPr>
          <w:p w14:paraId="09555EB2"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Quality Scale</w:t>
            </w:r>
            <w:r w:rsidRPr="0062316F">
              <w:rPr>
                <w:rFonts w:ascii="Book Antiqua" w:hAnsi="Book Antiqua" w:cs="Times New Roman"/>
                <w:b/>
                <w:sz w:val="24"/>
                <w:szCs w:val="24"/>
                <w:vertAlign w:val="superscript"/>
              </w:rPr>
              <w:t>3</w:t>
            </w:r>
          </w:p>
        </w:tc>
      </w:tr>
      <w:tr w:rsidR="00446383" w:rsidRPr="0062316F" w14:paraId="1E4B0AED" w14:textId="77777777" w:rsidTr="0009478B">
        <w:trPr>
          <w:trHeight w:val="375"/>
        </w:trPr>
        <w:tc>
          <w:tcPr>
            <w:tcW w:w="895" w:type="dxa"/>
            <w:vMerge/>
            <w:tcBorders>
              <w:top w:val="nil"/>
              <w:bottom w:val="single" w:sz="4" w:space="0" w:color="auto"/>
            </w:tcBorders>
          </w:tcPr>
          <w:p w14:paraId="0562CB0E" w14:textId="77777777" w:rsidR="00E9347F" w:rsidRPr="0062316F" w:rsidRDefault="00E9347F" w:rsidP="0062316F">
            <w:pPr>
              <w:spacing w:line="360" w:lineRule="auto"/>
              <w:jc w:val="both"/>
              <w:rPr>
                <w:rFonts w:ascii="Book Antiqua" w:hAnsi="Book Antiqua" w:cs="Times New Roman"/>
                <w:b/>
                <w:sz w:val="24"/>
                <w:szCs w:val="24"/>
              </w:rPr>
            </w:pPr>
          </w:p>
        </w:tc>
        <w:tc>
          <w:tcPr>
            <w:tcW w:w="1086" w:type="dxa"/>
            <w:vMerge/>
            <w:tcBorders>
              <w:top w:val="nil"/>
              <w:bottom w:val="single" w:sz="4" w:space="0" w:color="auto"/>
            </w:tcBorders>
          </w:tcPr>
          <w:p w14:paraId="34CE0A41" w14:textId="77777777" w:rsidR="00E9347F" w:rsidRPr="0062316F" w:rsidRDefault="00E9347F" w:rsidP="0062316F">
            <w:pPr>
              <w:spacing w:line="360" w:lineRule="auto"/>
              <w:jc w:val="both"/>
              <w:rPr>
                <w:rFonts w:ascii="Book Antiqua" w:hAnsi="Book Antiqua" w:cs="Times New Roman"/>
                <w:b/>
                <w:sz w:val="24"/>
                <w:szCs w:val="24"/>
              </w:rPr>
            </w:pPr>
          </w:p>
        </w:tc>
        <w:tc>
          <w:tcPr>
            <w:tcW w:w="1169" w:type="dxa"/>
            <w:vMerge/>
            <w:tcBorders>
              <w:top w:val="nil"/>
              <w:bottom w:val="single" w:sz="4" w:space="0" w:color="auto"/>
            </w:tcBorders>
          </w:tcPr>
          <w:p w14:paraId="62EBF3C5" w14:textId="77777777" w:rsidR="00E9347F" w:rsidRPr="0062316F" w:rsidRDefault="00E9347F" w:rsidP="0062316F">
            <w:pPr>
              <w:spacing w:line="360" w:lineRule="auto"/>
              <w:jc w:val="both"/>
              <w:rPr>
                <w:rFonts w:ascii="Book Antiqua" w:hAnsi="Book Antiqua" w:cs="Times New Roman"/>
                <w:b/>
                <w:sz w:val="24"/>
                <w:szCs w:val="24"/>
              </w:rPr>
            </w:pPr>
          </w:p>
        </w:tc>
        <w:tc>
          <w:tcPr>
            <w:tcW w:w="577" w:type="dxa"/>
            <w:vMerge/>
            <w:tcBorders>
              <w:top w:val="nil"/>
              <w:bottom w:val="single" w:sz="4" w:space="0" w:color="auto"/>
            </w:tcBorders>
          </w:tcPr>
          <w:p w14:paraId="6D98A12B" w14:textId="77777777" w:rsidR="00E9347F" w:rsidRPr="0062316F" w:rsidRDefault="00E9347F" w:rsidP="0062316F">
            <w:pPr>
              <w:spacing w:line="360" w:lineRule="auto"/>
              <w:jc w:val="both"/>
              <w:rPr>
                <w:rFonts w:ascii="Book Antiqua" w:hAnsi="Book Antiqua" w:cs="Times New Roman"/>
                <w:b/>
                <w:sz w:val="24"/>
                <w:szCs w:val="24"/>
              </w:rPr>
            </w:pPr>
          </w:p>
        </w:tc>
        <w:tc>
          <w:tcPr>
            <w:tcW w:w="976" w:type="dxa"/>
            <w:vMerge/>
            <w:tcBorders>
              <w:top w:val="nil"/>
              <w:bottom w:val="single" w:sz="4" w:space="0" w:color="auto"/>
            </w:tcBorders>
          </w:tcPr>
          <w:p w14:paraId="2946DB82" w14:textId="77777777" w:rsidR="00E9347F" w:rsidRPr="0062316F" w:rsidRDefault="00E9347F" w:rsidP="0062316F">
            <w:pPr>
              <w:spacing w:line="360" w:lineRule="auto"/>
              <w:jc w:val="both"/>
              <w:rPr>
                <w:rFonts w:ascii="Book Antiqua" w:hAnsi="Book Antiqua" w:cs="Times New Roman"/>
                <w:b/>
                <w:sz w:val="24"/>
                <w:szCs w:val="24"/>
              </w:rPr>
            </w:pPr>
          </w:p>
        </w:tc>
        <w:tc>
          <w:tcPr>
            <w:tcW w:w="1236" w:type="dxa"/>
            <w:vMerge/>
            <w:tcBorders>
              <w:top w:val="nil"/>
              <w:bottom w:val="single" w:sz="4" w:space="0" w:color="auto"/>
            </w:tcBorders>
          </w:tcPr>
          <w:p w14:paraId="5997CC1D" w14:textId="77777777" w:rsidR="00E9347F" w:rsidRPr="0062316F" w:rsidRDefault="00E9347F" w:rsidP="0062316F">
            <w:pPr>
              <w:spacing w:line="360" w:lineRule="auto"/>
              <w:jc w:val="both"/>
              <w:rPr>
                <w:rFonts w:ascii="Book Antiqua" w:hAnsi="Book Antiqua" w:cs="Times New Roman"/>
                <w:b/>
                <w:sz w:val="24"/>
                <w:szCs w:val="24"/>
              </w:rPr>
            </w:pPr>
          </w:p>
        </w:tc>
        <w:tc>
          <w:tcPr>
            <w:tcW w:w="1382" w:type="dxa"/>
            <w:vMerge/>
            <w:tcBorders>
              <w:top w:val="nil"/>
              <w:bottom w:val="single" w:sz="4" w:space="0" w:color="auto"/>
            </w:tcBorders>
          </w:tcPr>
          <w:p w14:paraId="110FFD37" w14:textId="77777777" w:rsidR="00E9347F" w:rsidRPr="0062316F" w:rsidRDefault="00E9347F" w:rsidP="0062316F">
            <w:pPr>
              <w:spacing w:line="360" w:lineRule="auto"/>
              <w:jc w:val="both"/>
              <w:rPr>
                <w:rFonts w:ascii="Book Antiqua" w:hAnsi="Book Antiqua" w:cs="Times New Roman"/>
                <w:b/>
                <w:sz w:val="24"/>
                <w:szCs w:val="24"/>
              </w:rPr>
            </w:pPr>
          </w:p>
        </w:tc>
        <w:tc>
          <w:tcPr>
            <w:tcW w:w="453" w:type="dxa"/>
            <w:tcBorders>
              <w:top w:val="nil"/>
              <w:bottom w:val="single" w:sz="4" w:space="0" w:color="auto"/>
            </w:tcBorders>
          </w:tcPr>
          <w:p w14:paraId="350C21BE" w14:textId="77777777" w:rsidR="00E9347F" w:rsidRPr="0062316F" w:rsidRDefault="00E9347F"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N</w:t>
            </w:r>
          </w:p>
        </w:tc>
        <w:tc>
          <w:tcPr>
            <w:tcW w:w="857" w:type="dxa"/>
            <w:tcBorders>
              <w:top w:val="nil"/>
              <w:bottom w:val="single" w:sz="4" w:space="0" w:color="auto"/>
            </w:tcBorders>
          </w:tcPr>
          <w:p w14:paraId="2DB1BF02"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Age</w:t>
            </w:r>
          </w:p>
        </w:tc>
        <w:tc>
          <w:tcPr>
            <w:tcW w:w="1131" w:type="dxa"/>
            <w:tcBorders>
              <w:top w:val="nil"/>
              <w:bottom w:val="single" w:sz="4" w:space="0" w:color="auto"/>
            </w:tcBorders>
          </w:tcPr>
          <w:p w14:paraId="1CEFC086"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M/F</w:t>
            </w:r>
          </w:p>
        </w:tc>
        <w:tc>
          <w:tcPr>
            <w:tcW w:w="453" w:type="dxa"/>
            <w:tcBorders>
              <w:top w:val="nil"/>
              <w:bottom w:val="single" w:sz="4" w:space="0" w:color="auto"/>
            </w:tcBorders>
          </w:tcPr>
          <w:p w14:paraId="13F9A875" w14:textId="77777777" w:rsidR="00E9347F" w:rsidRPr="0062316F" w:rsidRDefault="00E9347F"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N</w:t>
            </w:r>
          </w:p>
        </w:tc>
        <w:tc>
          <w:tcPr>
            <w:tcW w:w="857" w:type="dxa"/>
            <w:tcBorders>
              <w:top w:val="nil"/>
              <w:bottom w:val="single" w:sz="4" w:space="0" w:color="auto"/>
            </w:tcBorders>
          </w:tcPr>
          <w:p w14:paraId="4355F7CF"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Age</w:t>
            </w:r>
          </w:p>
        </w:tc>
        <w:tc>
          <w:tcPr>
            <w:tcW w:w="1131" w:type="dxa"/>
            <w:tcBorders>
              <w:top w:val="nil"/>
              <w:bottom w:val="single" w:sz="4" w:space="0" w:color="auto"/>
            </w:tcBorders>
          </w:tcPr>
          <w:p w14:paraId="576D8FC7"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M/F</w:t>
            </w:r>
          </w:p>
        </w:tc>
        <w:tc>
          <w:tcPr>
            <w:tcW w:w="1112" w:type="dxa"/>
            <w:vMerge/>
          </w:tcPr>
          <w:p w14:paraId="6B699379" w14:textId="77777777" w:rsidR="00E9347F" w:rsidRPr="0062316F" w:rsidRDefault="00E9347F" w:rsidP="0062316F">
            <w:pPr>
              <w:spacing w:line="360" w:lineRule="auto"/>
              <w:jc w:val="both"/>
              <w:rPr>
                <w:rFonts w:ascii="Book Antiqua" w:hAnsi="Book Antiqua" w:cs="Times New Roman"/>
                <w:sz w:val="24"/>
                <w:szCs w:val="24"/>
              </w:rPr>
            </w:pPr>
          </w:p>
        </w:tc>
      </w:tr>
      <w:tr w:rsidR="00446383" w:rsidRPr="0062316F" w14:paraId="12821E69" w14:textId="77777777" w:rsidTr="0009478B">
        <w:tc>
          <w:tcPr>
            <w:tcW w:w="895" w:type="dxa"/>
            <w:tcBorders>
              <w:top w:val="single" w:sz="4" w:space="0" w:color="auto"/>
            </w:tcBorders>
          </w:tcPr>
          <w:p w14:paraId="304AF581" w14:textId="6B548B6D"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A0737D" w:rsidRPr="0062316F">
              <w:rPr>
                <w:rFonts w:ascii="Book Antiqua" w:hAnsi="Book Antiqua" w:cs="Times New Roman"/>
                <w:noProof/>
                <w:sz w:val="24"/>
                <w:szCs w:val="24"/>
                <w:vertAlign w:val="superscript"/>
              </w:rPr>
              <w:t>[</w:t>
            </w:r>
            <w:proofErr w:type="gramEnd"/>
            <w:r w:rsidR="00A0737D" w:rsidRPr="0062316F">
              <w:rPr>
                <w:rFonts w:ascii="Book Antiqua" w:hAnsi="Book Antiqua" w:cs="Times New Roman"/>
                <w:noProof/>
                <w:sz w:val="24"/>
                <w:szCs w:val="24"/>
                <w:vertAlign w:val="superscript"/>
              </w:rPr>
              <w:t>32</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2012</w:t>
            </w:r>
          </w:p>
        </w:tc>
        <w:tc>
          <w:tcPr>
            <w:tcW w:w="1086" w:type="dxa"/>
            <w:tcBorders>
              <w:top w:val="single" w:sz="4" w:space="0" w:color="auto"/>
            </w:tcBorders>
          </w:tcPr>
          <w:p w14:paraId="1716D69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Borders>
              <w:top w:val="single" w:sz="4" w:space="0" w:color="auto"/>
            </w:tcBorders>
          </w:tcPr>
          <w:p w14:paraId="70B122A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Borders>
              <w:top w:val="single" w:sz="4" w:space="0" w:color="auto"/>
            </w:tcBorders>
          </w:tcPr>
          <w:p w14:paraId="245BC6B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561</w:t>
            </w:r>
          </w:p>
        </w:tc>
        <w:tc>
          <w:tcPr>
            <w:tcW w:w="976" w:type="dxa"/>
            <w:tcBorders>
              <w:top w:val="single" w:sz="4" w:space="0" w:color="auto"/>
            </w:tcBorders>
          </w:tcPr>
          <w:p w14:paraId="4CA7B8B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Borders>
              <w:top w:val="single" w:sz="4" w:space="0" w:color="auto"/>
            </w:tcBorders>
          </w:tcPr>
          <w:p w14:paraId="5AC25A0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Tacrolimus, MMF, Prednisone</w:t>
            </w:r>
          </w:p>
        </w:tc>
        <w:tc>
          <w:tcPr>
            <w:tcW w:w="1382" w:type="dxa"/>
            <w:tcBorders>
              <w:top w:val="single" w:sz="4" w:space="0" w:color="auto"/>
            </w:tcBorders>
          </w:tcPr>
          <w:p w14:paraId="6D414B9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w:t>
            </w:r>
          </w:p>
        </w:tc>
        <w:tc>
          <w:tcPr>
            <w:tcW w:w="453" w:type="dxa"/>
            <w:tcBorders>
              <w:top w:val="single" w:sz="4" w:space="0" w:color="auto"/>
            </w:tcBorders>
          </w:tcPr>
          <w:p w14:paraId="71A6816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155</w:t>
            </w:r>
          </w:p>
        </w:tc>
        <w:tc>
          <w:tcPr>
            <w:tcW w:w="857" w:type="dxa"/>
            <w:tcBorders>
              <w:top w:val="single" w:sz="4" w:space="0" w:color="auto"/>
            </w:tcBorders>
          </w:tcPr>
          <w:p w14:paraId="5BE036F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52±13</w:t>
            </w:r>
            <w:r w:rsidRPr="0062316F">
              <w:rPr>
                <w:rFonts w:ascii="Book Antiqua" w:hAnsi="Book Antiqua" w:cs="Times New Roman"/>
                <w:sz w:val="24"/>
                <w:szCs w:val="24"/>
                <w:vertAlign w:val="superscript"/>
              </w:rPr>
              <w:t>1</w:t>
            </w:r>
          </w:p>
        </w:tc>
        <w:tc>
          <w:tcPr>
            <w:tcW w:w="1131" w:type="dxa"/>
            <w:tcBorders>
              <w:top w:val="single" w:sz="4" w:space="0" w:color="auto"/>
            </w:tcBorders>
          </w:tcPr>
          <w:p w14:paraId="34CB6C2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Borders>
              <w:top w:val="single" w:sz="4" w:space="0" w:color="auto"/>
            </w:tcBorders>
          </w:tcPr>
          <w:p w14:paraId="7E95BC1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406</w:t>
            </w:r>
          </w:p>
        </w:tc>
        <w:tc>
          <w:tcPr>
            <w:tcW w:w="857" w:type="dxa"/>
            <w:tcBorders>
              <w:top w:val="single" w:sz="4" w:space="0" w:color="auto"/>
            </w:tcBorders>
          </w:tcPr>
          <w:p w14:paraId="39967B0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48±14</w:t>
            </w:r>
          </w:p>
        </w:tc>
        <w:tc>
          <w:tcPr>
            <w:tcW w:w="1131" w:type="dxa"/>
            <w:tcBorders>
              <w:top w:val="single" w:sz="4" w:space="0" w:color="auto"/>
            </w:tcBorders>
          </w:tcPr>
          <w:p w14:paraId="52A042F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12" w:type="dxa"/>
          </w:tcPr>
          <w:p w14:paraId="185F59D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3-2-2</w:t>
            </w:r>
          </w:p>
        </w:tc>
      </w:tr>
      <w:tr w:rsidR="00446383" w:rsidRPr="0062316F" w14:paraId="1BE2AE0B" w14:textId="77777777" w:rsidTr="00786DDC">
        <w:tc>
          <w:tcPr>
            <w:tcW w:w="895" w:type="dxa"/>
          </w:tcPr>
          <w:p w14:paraId="72B1196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Knorr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20]</w:t>
            </w:r>
            <w:r w:rsidRPr="0062316F">
              <w:rPr>
                <w:rFonts w:ascii="Book Antiqua" w:hAnsi="Book Antiqua" w:cs="Times New Roman"/>
                <w:sz w:val="24"/>
                <w:szCs w:val="24"/>
              </w:rPr>
              <w:t xml:space="preserve"> 2014</w:t>
            </w:r>
          </w:p>
        </w:tc>
        <w:tc>
          <w:tcPr>
            <w:tcW w:w="1086" w:type="dxa"/>
          </w:tcPr>
          <w:p w14:paraId="2E0A40E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7362000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6C5E7AC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597</w:t>
            </w:r>
          </w:p>
        </w:tc>
        <w:tc>
          <w:tcPr>
            <w:tcW w:w="976" w:type="dxa"/>
          </w:tcPr>
          <w:p w14:paraId="04C375E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52% Black</w:t>
            </w:r>
          </w:p>
        </w:tc>
        <w:tc>
          <w:tcPr>
            <w:tcW w:w="1236" w:type="dxa"/>
          </w:tcPr>
          <w:p w14:paraId="59E77DE5" w14:textId="77777777"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rATG</w:t>
            </w:r>
            <w:proofErr w:type="spellEnd"/>
            <w:r w:rsidRPr="0062316F">
              <w:rPr>
                <w:rFonts w:ascii="Book Antiqua" w:hAnsi="Book Antiqua" w:cs="Times New Roman"/>
                <w:sz w:val="24"/>
                <w:szCs w:val="24"/>
              </w:rPr>
              <w:t>, MMF, Tacrolimus, Prednisone</w:t>
            </w:r>
          </w:p>
        </w:tc>
        <w:tc>
          <w:tcPr>
            <w:tcW w:w="1382" w:type="dxa"/>
          </w:tcPr>
          <w:p w14:paraId="4CC2611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&lt;3%</w:t>
            </w:r>
          </w:p>
        </w:tc>
        <w:tc>
          <w:tcPr>
            <w:tcW w:w="453" w:type="dxa"/>
          </w:tcPr>
          <w:p w14:paraId="7BE8521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213</w:t>
            </w:r>
          </w:p>
        </w:tc>
        <w:tc>
          <w:tcPr>
            <w:tcW w:w="857" w:type="dxa"/>
          </w:tcPr>
          <w:p w14:paraId="474B605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55±12</w:t>
            </w:r>
          </w:p>
        </w:tc>
        <w:tc>
          <w:tcPr>
            <w:tcW w:w="1131" w:type="dxa"/>
          </w:tcPr>
          <w:p w14:paraId="39E2B83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122/91</w:t>
            </w:r>
          </w:p>
        </w:tc>
        <w:tc>
          <w:tcPr>
            <w:tcW w:w="453" w:type="dxa"/>
          </w:tcPr>
          <w:p w14:paraId="2C791DD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384</w:t>
            </w:r>
          </w:p>
        </w:tc>
        <w:tc>
          <w:tcPr>
            <w:tcW w:w="857" w:type="dxa"/>
          </w:tcPr>
          <w:p w14:paraId="2705E3A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55±13</w:t>
            </w:r>
          </w:p>
        </w:tc>
        <w:tc>
          <w:tcPr>
            <w:tcW w:w="1131" w:type="dxa"/>
          </w:tcPr>
          <w:p w14:paraId="1BDADEA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210/174</w:t>
            </w:r>
          </w:p>
        </w:tc>
        <w:tc>
          <w:tcPr>
            <w:tcW w:w="1112" w:type="dxa"/>
          </w:tcPr>
          <w:p w14:paraId="1C3D1D9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088A3F53" w14:textId="77777777" w:rsidTr="00786DDC">
        <w:tc>
          <w:tcPr>
            <w:tcW w:w="895" w:type="dxa"/>
          </w:tcPr>
          <w:p w14:paraId="3A232C76" w14:textId="66CBF519" w:rsidR="00E9347F" w:rsidRPr="0062316F" w:rsidRDefault="0009478B"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v</w:t>
            </w:r>
            <w:r w:rsidR="00E9347F" w:rsidRPr="0062316F">
              <w:rPr>
                <w:rFonts w:ascii="Book Antiqua" w:hAnsi="Book Antiqua" w:cs="Times New Roman"/>
                <w:sz w:val="24"/>
                <w:szCs w:val="24"/>
              </w:rPr>
              <w:t xml:space="preserve">an </w:t>
            </w:r>
            <w:proofErr w:type="spellStart"/>
            <w:r w:rsidR="00E9347F" w:rsidRPr="0062316F">
              <w:rPr>
                <w:rFonts w:ascii="Book Antiqua" w:hAnsi="Book Antiqua" w:cs="Times New Roman"/>
                <w:sz w:val="24"/>
                <w:szCs w:val="24"/>
              </w:rPr>
              <w:t>Boekel</w:t>
            </w:r>
            <w:proofErr w:type="spellEnd"/>
            <w:r w:rsidR="00E9347F" w:rsidRPr="0062316F">
              <w:rPr>
                <w:rFonts w:ascii="Book Antiqua" w:hAnsi="Book Antiqua" w:cs="Times New Roman"/>
                <w:sz w:val="24"/>
                <w:szCs w:val="24"/>
              </w:rPr>
              <w:t xml:space="preserve"> </w:t>
            </w:r>
            <w:r w:rsidR="00E9347F" w:rsidRPr="0062316F">
              <w:rPr>
                <w:rFonts w:ascii="Book Antiqua" w:hAnsi="Book Antiqua" w:cs="Times New Roman"/>
                <w:i/>
                <w:sz w:val="24"/>
                <w:szCs w:val="24"/>
              </w:rPr>
              <w:t xml:space="preserve">et </w:t>
            </w:r>
            <w:proofErr w:type="gramStart"/>
            <w:r w:rsidR="00E9347F" w:rsidRPr="0062316F">
              <w:rPr>
                <w:rFonts w:ascii="Book Antiqua" w:hAnsi="Book Antiqua" w:cs="Times New Roman"/>
                <w:i/>
                <w:sz w:val="24"/>
                <w:szCs w:val="24"/>
              </w:rPr>
              <w:t>al</w:t>
            </w:r>
            <w:r w:rsidR="00E9347F" w:rsidRPr="0062316F">
              <w:rPr>
                <w:rFonts w:ascii="Book Antiqua" w:hAnsi="Book Antiqua" w:cs="Times New Roman"/>
                <w:noProof/>
                <w:sz w:val="24"/>
                <w:szCs w:val="24"/>
                <w:vertAlign w:val="superscript"/>
              </w:rPr>
              <w:t>[</w:t>
            </w:r>
            <w:proofErr w:type="gramEnd"/>
            <w:r w:rsidR="00E9347F" w:rsidRPr="0062316F">
              <w:rPr>
                <w:rFonts w:ascii="Book Antiqua" w:hAnsi="Book Antiqua" w:cs="Times New Roman"/>
                <w:noProof/>
                <w:sz w:val="24"/>
                <w:szCs w:val="24"/>
                <w:vertAlign w:val="superscript"/>
              </w:rPr>
              <w:t>22]</w:t>
            </w:r>
            <w:r w:rsidR="00E9347F" w:rsidRPr="0062316F">
              <w:rPr>
                <w:rFonts w:ascii="Book Antiqua" w:hAnsi="Book Antiqua" w:cs="Times New Roman"/>
                <w:sz w:val="24"/>
                <w:szCs w:val="24"/>
              </w:rPr>
              <w:t xml:space="preserve"> 2014</w:t>
            </w:r>
          </w:p>
        </w:tc>
        <w:tc>
          <w:tcPr>
            <w:tcW w:w="1086" w:type="dxa"/>
          </w:tcPr>
          <w:p w14:paraId="5593670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The Netherlands</w:t>
            </w:r>
          </w:p>
        </w:tc>
        <w:tc>
          <w:tcPr>
            <w:tcW w:w="1169" w:type="dxa"/>
          </w:tcPr>
          <w:p w14:paraId="2ED5FF5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4BDA943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202</w:t>
            </w:r>
          </w:p>
        </w:tc>
        <w:tc>
          <w:tcPr>
            <w:tcW w:w="976" w:type="dxa"/>
          </w:tcPr>
          <w:p w14:paraId="560F6F3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98.5% Caucasian</w:t>
            </w:r>
          </w:p>
        </w:tc>
        <w:tc>
          <w:tcPr>
            <w:tcW w:w="1236" w:type="dxa"/>
          </w:tcPr>
          <w:p w14:paraId="69C63E8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Tacrolimus, MMF. Prednisone</w:t>
            </w:r>
          </w:p>
        </w:tc>
        <w:tc>
          <w:tcPr>
            <w:tcW w:w="1382" w:type="dxa"/>
          </w:tcPr>
          <w:p w14:paraId="4018C83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w:t>
            </w:r>
          </w:p>
        </w:tc>
        <w:tc>
          <w:tcPr>
            <w:tcW w:w="453" w:type="dxa"/>
          </w:tcPr>
          <w:p w14:paraId="6F5FA94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125</w:t>
            </w:r>
          </w:p>
        </w:tc>
        <w:tc>
          <w:tcPr>
            <w:tcW w:w="857" w:type="dxa"/>
          </w:tcPr>
          <w:p w14:paraId="2FB312D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47.7±12.8</w:t>
            </w:r>
          </w:p>
        </w:tc>
        <w:tc>
          <w:tcPr>
            <w:tcW w:w="1131" w:type="dxa"/>
          </w:tcPr>
          <w:p w14:paraId="260F95E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61.6%/38.4%</w:t>
            </w:r>
          </w:p>
        </w:tc>
        <w:tc>
          <w:tcPr>
            <w:tcW w:w="453" w:type="dxa"/>
          </w:tcPr>
          <w:p w14:paraId="23DB497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77</w:t>
            </w:r>
          </w:p>
        </w:tc>
        <w:tc>
          <w:tcPr>
            <w:tcW w:w="857" w:type="dxa"/>
          </w:tcPr>
          <w:p w14:paraId="6661B81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46.7±13.3</w:t>
            </w:r>
          </w:p>
        </w:tc>
        <w:tc>
          <w:tcPr>
            <w:tcW w:w="1131" w:type="dxa"/>
          </w:tcPr>
          <w:p w14:paraId="4674D32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66.2%/43.8%</w:t>
            </w:r>
          </w:p>
        </w:tc>
        <w:tc>
          <w:tcPr>
            <w:tcW w:w="1112" w:type="dxa"/>
          </w:tcPr>
          <w:p w14:paraId="639AAD3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28235604" w14:textId="77777777" w:rsidTr="00786DDC">
        <w:tc>
          <w:tcPr>
            <w:tcW w:w="895" w:type="dxa"/>
          </w:tcPr>
          <w:p w14:paraId="2625A23A" w14:textId="08734998"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Van Ende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A0737D" w:rsidRPr="0062316F">
              <w:rPr>
                <w:rFonts w:ascii="Book Antiqua" w:hAnsi="Book Antiqua" w:cs="Times New Roman"/>
                <w:noProof/>
                <w:sz w:val="24"/>
                <w:szCs w:val="24"/>
                <w:vertAlign w:val="superscript"/>
              </w:rPr>
              <w:t>[</w:t>
            </w:r>
            <w:proofErr w:type="gramEnd"/>
            <w:r w:rsidR="00A0737D" w:rsidRPr="0062316F">
              <w:rPr>
                <w:rFonts w:ascii="Book Antiqua" w:hAnsi="Book Antiqua" w:cs="Times New Roman"/>
                <w:noProof/>
                <w:sz w:val="24"/>
                <w:szCs w:val="24"/>
                <w:vertAlign w:val="superscript"/>
              </w:rPr>
              <w:t>33</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2014</w:t>
            </w:r>
          </w:p>
        </w:tc>
        <w:tc>
          <w:tcPr>
            <w:tcW w:w="1086" w:type="dxa"/>
          </w:tcPr>
          <w:p w14:paraId="076EB04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Belgium</w:t>
            </w:r>
          </w:p>
        </w:tc>
        <w:tc>
          <w:tcPr>
            <w:tcW w:w="1169" w:type="dxa"/>
          </w:tcPr>
          <w:p w14:paraId="195EEDD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Cross-sectional</w:t>
            </w:r>
          </w:p>
        </w:tc>
        <w:tc>
          <w:tcPr>
            <w:tcW w:w="577" w:type="dxa"/>
          </w:tcPr>
          <w:p w14:paraId="3B413F6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512</w:t>
            </w:r>
          </w:p>
        </w:tc>
        <w:tc>
          <w:tcPr>
            <w:tcW w:w="976" w:type="dxa"/>
          </w:tcPr>
          <w:p w14:paraId="61E536B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98% Caucasian</w:t>
            </w:r>
          </w:p>
        </w:tc>
        <w:tc>
          <w:tcPr>
            <w:tcW w:w="1236" w:type="dxa"/>
          </w:tcPr>
          <w:p w14:paraId="351644A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Varies</w:t>
            </w:r>
          </w:p>
          <w:p w14:paraId="3FE9F23F" w14:textId="77777777" w:rsidR="00E9347F" w:rsidRPr="0062316F" w:rsidRDefault="00E9347F" w:rsidP="0062316F">
            <w:pPr>
              <w:spacing w:line="360" w:lineRule="auto"/>
              <w:jc w:val="both"/>
              <w:rPr>
                <w:rFonts w:ascii="Book Antiqua" w:hAnsi="Book Antiqua" w:cs="Times New Roman"/>
                <w:sz w:val="24"/>
                <w:szCs w:val="24"/>
              </w:rPr>
            </w:pPr>
          </w:p>
        </w:tc>
        <w:tc>
          <w:tcPr>
            <w:tcW w:w="1382" w:type="dxa"/>
          </w:tcPr>
          <w:p w14:paraId="6E6F663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47% (tacrolimus 35 %)</w:t>
            </w:r>
          </w:p>
        </w:tc>
        <w:tc>
          <w:tcPr>
            <w:tcW w:w="453" w:type="dxa"/>
          </w:tcPr>
          <w:p w14:paraId="6666C62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101</w:t>
            </w:r>
          </w:p>
        </w:tc>
        <w:tc>
          <w:tcPr>
            <w:tcW w:w="857" w:type="dxa"/>
          </w:tcPr>
          <w:p w14:paraId="4153606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2075D21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59%/41%</w:t>
            </w:r>
          </w:p>
        </w:tc>
        <w:tc>
          <w:tcPr>
            <w:tcW w:w="453" w:type="dxa"/>
          </w:tcPr>
          <w:p w14:paraId="1E78E07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411</w:t>
            </w:r>
          </w:p>
        </w:tc>
        <w:tc>
          <w:tcPr>
            <w:tcW w:w="857" w:type="dxa"/>
          </w:tcPr>
          <w:p w14:paraId="467C18B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1C2344A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59%/41%</w:t>
            </w:r>
          </w:p>
        </w:tc>
        <w:tc>
          <w:tcPr>
            <w:tcW w:w="1112" w:type="dxa"/>
          </w:tcPr>
          <w:p w14:paraId="4C629F0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149D4F30" w14:textId="77777777" w:rsidTr="00786DDC">
        <w:tc>
          <w:tcPr>
            <w:tcW w:w="895" w:type="dxa"/>
          </w:tcPr>
          <w:p w14:paraId="6DE72716" w14:textId="3A1FB3DB"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Alhosaini</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A0737D" w:rsidRPr="0062316F">
              <w:rPr>
                <w:rFonts w:ascii="Book Antiqua" w:hAnsi="Book Antiqua" w:cs="Times New Roman"/>
                <w:noProof/>
                <w:sz w:val="24"/>
                <w:szCs w:val="24"/>
                <w:vertAlign w:val="superscript"/>
              </w:rPr>
              <w:t>[</w:t>
            </w:r>
            <w:proofErr w:type="gramEnd"/>
            <w:r w:rsidR="00A0737D" w:rsidRPr="0062316F">
              <w:rPr>
                <w:rFonts w:ascii="Book Antiqua" w:hAnsi="Book Antiqua" w:cs="Times New Roman"/>
                <w:noProof/>
                <w:sz w:val="24"/>
                <w:szCs w:val="24"/>
                <w:vertAlign w:val="superscript"/>
              </w:rPr>
              <w:t>3</w:t>
            </w:r>
            <w:r w:rsidR="00315156" w:rsidRPr="0062316F">
              <w:rPr>
                <w:rFonts w:ascii="Book Antiqua" w:hAnsi="Book Antiqua" w:cs="Times New Roman"/>
                <w:noProof/>
                <w:sz w:val="24"/>
                <w:szCs w:val="24"/>
                <w:vertAlign w:val="superscript"/>
              </w:rPr>
              <w:t>4</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2015</w:t>
            </w:r>
          </w:p>
        </w:tc>
        <w:tc>
          <w:tcPr>
            <w:tcW w:w="1086" w:type="dxa"/>
          </w:tcPr>
          <w:p w14:paraId="7EF0E54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0D5DFB4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Retrospective </w:t>
            </w:r>
          </w:p>
        </w:tc>
        <w:tc>
          <w:tcPr>
            <w:tcW w:w="577" w:type="dxa"/>
          </w:tcPr>
          <w:p w14:paraId="702436C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83</w:t>
            </w:r>
          </w:p>
        </w:tc>
        <w:tc>
          <w:tcPr>
            <w:tcW w:w="976" w:type="dxa"/>
          </w:tcPr>
          <w:p w14:paraId="5019061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59% Caucasian, 19% Black</w:t>
            </w:r>
          </w:p>
        </w:tc>
        <w:tc>
          <w:tcPr>
            <w:tcW w:w="1236" w:type="dxa"/>
          </w:tcPr>
          <w:p w14:paraId="3115C9D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CNI (Tacrolimus, Cyclosporine), MPA, Prednisone</w:t>
            </w:r>
          </w:p>
        </w:tc>
        <w:tc>
          <w:tcPr>
            <w:tcW w:w="1382" w:type="dxa"/>
          </w:tcPr>
          <w:p w14:paraId="3333379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5/83 (6%) </w:t>
            </w:r>
          </w:p>
        </w:tc>
        <w:tc>
          <w:tcPr>
            <w:tcW w:w="453" w:type="dxa"/>
          </w:tcPr>
          <w:p w14:paraId="55739EF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43</w:t>
            </w:r>
          </w:p>
        </w:tc>
        <w:tc>
          <w:tcPr>
            <w:tcW w:w="857" w:type="dxa"/>
          </w:tcPr>
          <w:p w14:paraId="7D7F681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54 ± 15.1 </w:t>
            </w:r>
          </w:p>
        </w:tc>
        <w:tc>
          <w:tcPr>
            <w:tcW w:w="1131" w:type="dxa"/>
          </w:tcPr>
          <w:p w14:paraId="017BD54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25/18</w:t>
            </w:r>
          </w:p>
        </w:tc>
        <w:tc>
          <w:tcPr>
            <w:tcW w:w="453" w:type="dxa"/>
          </w:tcPr>
          <w:p w14:paraId="704A35C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40</w:t>
            </w:r>
          </w:p>
        </w:tc>
        <w:tc>
          <w:tcPr>
            <w:tcW w:w="857" w:type="dxa"/>
          </w:tcPr>
          <w:p w14:paraId="6A27378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49.7 ± 16.4</w:t>
            </w:r>
          </w:p>
        </w:tc>
        <w:tc>
          <w:tcPr>
            <w:tcW w:w="1131" w:type="dxa"/>
          </w:tcPr>
          <w:p w14:paraId="520F8F3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24/16</w:t>
            </w:r>
          </w:p>
        </w:tc>
        <w:tc>
          <w:tcPr>
            <w:tcW w:w="1112" w:type="dxa"/>
          </w:tcPr>
          <w:p w14:paraId="0BEBC9E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5E0AC5" w:rsidRPr="0062316F" w14:paraId="03DD1E25" w14:textId="77777777" w:rsidTr="00786DDC">
        <w:tc>
          <w:tcPr>
            <w:tcW w:w="895" w:type="dxa"/>
          </w:tcPr>
          <w:p w14:paraId="31CE505F" w14:textId="77777777" w:rsidR="005E0AC5" w:rsidRPr="0062316F" w:rsidRDefault="005E0AC5" w:rsidP="0062316F">
            <w:pPr>
              <w:spacing w:line="360" w:lineRule="auto"/>
              <w:jc w:val="both"/>
              <w:rPr>
                <w:rFonts w:ascii="Book Antiqua" w:hAnsi="Book Antiqua" w:cs="Times New Roman"/>
                <w:sz w:val="24"/>
                <w:szCs w:val="24"/>
              </w:rPr>
            </w:pPr>
          </w:p>
        </w:tc>
        <w:tc>
          <w:tcPr>
            <w:tcW w:w="1086" w:type="dxa"/>
          </w:tcPr>
          <w:p w14:paraId="52EE1005" w14:textId="77777777" w:rsidR="005E0AC5" w:rsidRPr="0062316F" w:rsidRDefault="005E0AC5" w:rsidP="0062316F">
            <w:pPr>
              <w:spacing w:line="360" w:lineRule="auto"/>
              <w:jc w:val="both"/>
              <w:rPr>
                <w:rFonts w:ascii="Book Antiqua" w:hAnsi="Book Antiqua" w:cs="Times New Roman"/>
                <w:sz w:val="24"/>
                <w:szCs w:val="24"/>
              </w:rPr>
            </w:pPr>
          </w:p>
        </w:tc>
        <w:tc>
          <w:tcPr>
            <w:tcW w:w="1169" w:type="dxa"/>
          </w:tcPr>
          <w:p w14:paraId="11E982E9" w14:textId="77777777" w:rsidR="005E0AC5" w:rsidRPr="0062316F" w:rsidRDefault="005E0AC5" w:rsidP="0062316F">
            <w:pPr>
              <w:spacing w:line="360" w:lineRule="auto"/>
              <w:jc w:val="both"/>
              <w:rPr>
                <w:rFonts w:ascii="Book Antiqua" w:hAnsi="Book Antiqua" w:cs="Times New Roman"/>
                <w:sz w:val="24"/>
                <w:szCs w:val="24"/>
              </w:rPr>
            </w:pPr>
          </w:p>
        </w:tc>
        <w:tc>
          <w:tcPr>
            <w:tcW w:w="577" w:type="dxa"/>
          </w:tcPr>
          <w:p w14:paraId="464FD81F" w14:textId="77777777" w:rsidR="005E0AC5" w:rsidRPr="0062316F" w:rsidRDefault="005E0AC5" w:rsidP="0062316F">
            <w:pPr>
              <w:spacing w:line="360" w:lineRule="auto"/>
              <w:jc w:val="both"/>
              <w:rPr>
                <w:rFonts w:ascii="Book Antiqua" w:hAnsi="Book Antiqua" w:cs="Times New Roman"/>
                <w:sz w:val="24"/>
                <w:szCs w:val="24"/>
              </w:rPr>
            </w:pPr>
          </w:p>
        </w:tc>
        <w:tc>
          <w:tcPr>
            <w:tcW w:w="976" w:type="dxa"/>
          </w:tcPr>
          <w:p w14:paraId="0022EEF0" w14:textId="77777777" w:rsidR="005E0AC5" w:rsidRPr="0062316F" w:rsidRDefault="005E0AC5" w:rsidP="0062316F">
            <w:pPr>
              <w:spacing w:line="360" w:lineRule="auto"/>
              <w:jc w:val="both"/>
              <w:rPr>
                <w:rFonts w:ascii="Book Antiqua" w:hAnsi="Book Antiqua" w:cs="Times New Roman"/>
                <w:sz w:val="24"/>
                <w:szCs w:val="24"/>
              </w:rPr>
            </w:pPr>
          </w:p>
        </w:tc>
        <w:tc>
          <w:tcPr>
            <w:tcW w:w="1236" w:type="dxa"/>
          </w:tcPr>
          <w:p w14:paraId="57352036" w14:textId="77777777" w:rsidR="005E0AC5" w:rsidRPr="0062316F" w:rsidRDefault="005E0AC5" w:rsidP="0062316F">
            <w:pPr>
              <w:spacing w:line="360" w:lineRule="auto"/>
              <w:jc w:val="both"/>
              <w:rPr>
                <w:rFonts w:ascii="Book Antiqua" w:hAnsi="Book Antiqua" w:cs="Times New Roman"/>
                <w:sz w:val="24"/>
                <w:szCs w:val="24"/>
              </w:rPr>
            </w:pPr>
          </w:p>
        </w:tc>
        <w:tc>
          <w:tcPr>
            <w:tcW w:w="1382" w:type="dxa"/>
          </w:tcPr>
          <w:p w14:paraId="2C21AC35" w14:textId="77777777" w:rsidR="005E0AC5" w:rsidRPr="0062316F" w:rsidRDefault="005E0AC5" w:rsidP="0062316F">
            <w:pPr>
              <w:spacing w:line="360" w:lineRule="auto"/>
              <w:jc w:val="both"/>
              <w:rPr>
                <w:rFonts w:ascii="Book Antiqua" w:hAnsi="Book Antiqua" w:cs="Times New Roman"/>
                <w:sz w:val="24"/>
                <w:szCs w:val="24"/>
              </w:rPr>
            </w:pPr>
          </w:p>
        </w:tc>
        <w:tc>
          <w:tcPr>
            <w:tcW w:w="453" w:type="dxa"/>
          </w:tcPr>
          <w:p w14:paraId="22D84765" w14:textId="77777777" w:rsidR="005E0AC5" w:rsidRPr="0062316F" w:rsidRDefault="005E0AC5" w:rsidP="0062316F">
            <w:pPr>
              <w:spacing w:line="360" w:lineRule="auto"/>
              <w:jc w:val="both"/>
              <w:rPr>
                <w:rFonts w:ascii="Book Antiqua" w:hAnsi="Book Antiqua" w:cs="Times New Roman"/>
                <w:sz w:val="24"/>
                <w:szCs w:val="24"/>
              </w:rPr>
            </w:pPr>
          </w:p>
        </w:tc>
        <w:tc>
          <w:tcPr>
            <w:tcW w:w="857" w:type="dxa"/>
          </w:tcPr>
          <w:p w14:paraId="5E37B4DF" w14:textId="77777777" w:rsidR="005E0AC5" w:rsidRPr="0062316F" w:rsidRDefault="005E0AC5" w:rsidP="0062316F">
            <w:pPr>
              <w:spacing w:line="360" w:lineRule="auto"/>
              <w:jc w:val="both"/>
              <w:rPr>
                <w:rFonts w:ascii="Book Antiqua" w:hAnsi="Book Antiqua" w:cs="Times New Roman"/>
                <w:sz w:val="24"/>
                <w:szCs w:val="24"/>
              </w:rPr>
            </w:pPr>
          </w:p>
        </w:tc>
        <w:tc>
          <w:tcPr>
            <w:tcW w:w="1131" w:type="dxa"/>
          </w:tcPr>
          <w:p w14:paraId="1A22BE48" w14:textId="77777777" w:rsidR="005E0AC5" w:rsidRPr="0062316F" w:rsidRDefault="005E0AC5" w:rsidP="0062316F">
            <w:pPr>
              <w:spacing w:line="360" w:lineRule="auto"/>
              <w:jc w:val="both"/>
              <w:rPr>
                <w:rFonts w:ascii="Book Antiqua" w:hAnsi="Book Antiqua" w:cs="Times New Roman"/>
                <w:sz w:val="24"/>
                <w:szCs w:val="24"/>
              </w:rPr>
            </w:pPr>
          </w:p>
        </w:tc>
        <w:tc>
          <w:tcPr>
            <w:tcW w:w="453" w:type="dxa"/>
          </w:tcPr>
          <w:p w14:paraId="41EA9FE1" w14:textId="77777777" w:rsidR="005E0AC5" w:rsidRPr="0062316F" w:rsidRDefault="005E0AC5" w:rsidP="0062316F">
            <w:pPr>
              <w:spacing w:line="360" w:lineRule="auto"/>
              <w:jc w:val="both"/>
              <w:rPr>
                <w:rFonts w:ascii="Book Antiqua" w:hAnsi="Book Antiqua" w:cs="Times New Roman"/>
                <w:sz w:val="24"/>
                <w:szCs w:val="24"/>
              </w:rPr>
            </w:pPr>
          </w:p>
        </w:tc>
        <w:tc>
          <w:tcPr>
            <w:tcW w:w="857" w:type="dxa"/>
          </w:tcPr>
          <w:p w14:paraId="61045EC4" w14:textId="77777777" w:rsidR="005E0AC5" w:rsidRPr="0062316F" w:rsidRDefault="005E0AC5" w:rsidP="0062316F">
            <w:pPr>
              <w:spacing w:line="360" w:lineRule="auto"/>
              <w:jc w:val="both"/>
              <w:rPr>
                <w:rFonts w:ascii="Book Antiqua" w:hAnsi="Book Antiqua" w:cs="Times New Roman"/>
                <w:sz w:val="24"/>
                <w:szCs w:val="24"/>
              </w:rPr>
            </w:pPr>
          </w:p>
        </w:tc>
        <w:tc>
          <w:tcPr>
            <w:tcW w:w="1131" w:type="dxa"/>
          </w:tcPr>
          <w:p w14:paraId="7FB471D8" w14:textId="77777777" w:rsidR="005E0AC5" w:rsidRPr="0062316F" w:rsidRDefault="005E0AC5" w:rsidP="0062316F">
            <w:pPr>
              <w:spacing w:line="360" w:lineRule="auto"/>
              <w:jc w:val="both"/>
              <w:rPr>
                <w:rFonts w:ascii="Book Antiqua" w:hAnsi="Book Antiqua" w:cs="Times New Roman"/>
                <w:sz w:val="24"/>
                <w:szCs w:val="24"/>
              </w:rPr>
            </w:pPr>
          </w:p>
        </w:tc>
        <w:tc>
          <w:tcPr>
            <w:tcW w:w="1112" w:type="dxa"/>
          </w:tcPr>
          <w:p w14:paraId="48807A35" w14:textId="77777777" w:rsidR="005E0AC5" w:rsidRPr="0062316F" w:rsidRDefault="005E0AC5" w:rsidP="0062316F">
            <w:pPr>
              <w:spacing w:line="360" w:lineRule="auto"/>
              <w:jc w:val="both"/>
              <w:rPr>
                <w:rFonts w:ascii="Book Antiqua" w:hAnsi="Book Antiqua" w:cs="Times New Roman"/>
                <w:sz w:val="24"/>
                <w:szCs w:val="24"/>
              </w:rPr>
            </w:pPr>
          </w:p>
        </w:tc>
      </w:tr>
      <w:tr w:rsidR="00446383" w:rsidRPr="0062316F" w14:paraId="49A3B722" w14:textId="77777777" w:rsidTr="00786DDC">
        <w:tc>
          <w:tcPr>
            <w:tcW w:w="895" w:type="dxa"/>
          </w:tcPr>
          <w:p w14:paraId="472C3C7A" w14:textId="342B9574"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Sezer</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A0737D" w:rsidRPr="0062316F">
              <w:rPr>
                <w:rFonts w:ascii="Book Antiqua" w:hAnsi="Book Antiqua" w:cs="Times New Roman"/>
                <w:noProof/>
                <w:sz w:val="24"/>
                <w:szCs w:val="24"/>
                <w:vertAlign w:val="superscript"/>
              </w:rPr>
              <w:t>[</w:t>
            </w:r>
            <w:proofErr w:type="gramEnd"/>
            <w:r w:rsidR="00A0737D" w:rsidRPr="0062316F">
              <w:rPr>
                <w:rFonts w:ascii="Book Antiqua" w:hAnsi="Book Antiqua" w:cs="Times New Roman"/>
                <w:noProof/>
                <w:sz w:val="24"/>
                <w:szCs w:val="24"/>
                <w:vertAlign w:val="superscript"/>
              </w:rPr>
              <w:t>35</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2015</w:t>
            </w:r>
          </w:p>
        </w:tc>
        <w:tc>
          <w:tcPr>
            <w:tcW w:w="1086" w:type="dxa"/>
          </w:tcPr>
          <w:p w14:paraId="6E18599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Turkey</w:t>
            </w:r>
          </w:p>
        </w:tc>
        <w:tc>
          <w:tcPr>
            <w:tcW w:w="1169" w:type="dxa"/>
          </w:tcPr>
          <w:p w14:paraId="0C66314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p w14:paraId="1F72F646" w14:textId="77777777" w:rsidR="00E9347F" w:rsidRPr="0062316F" w:rsidRDefault="00E9347F" w:rsidP="0062316F">
            <w:pPr>
              <w:spacing w:line="360" w:lineRule="auto"/>
              <w:jc w:val="both"/>
              <w:rPr>
                <w:rFonts w:ascii="Book Antiqua" w:hAnsi="Book Antiqua" w:cs="Times New Roman"/>
                <w:sz w:val="24"/>
                <w:szCs w:val="24"/>
              </w:rPr>
            </w:pPr>
          </w:p>
        </w:tc>
        <w:tc>
          <w:tcPr>
            <w:tcW w:w="577" w:type="dxa"/>
          </w:tcPr>
          <w:p w14:paraId="24EB2FD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354</w:t>
            </w:r>
          </w:p>
        </w:tc>
        <w:tc>
          <w:tcPr>
            <w:tcW w:w="976" w:type="dxa"/>
          </w:tcPr>
          <w:p w14:paraId="22DD4DD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061BE84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382" w:type="dxa"/>
          </w:tcPr>
          <w:p w14:paraId="7F8B256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7CE6E88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164</w:t>
            </w:r>
          </w:p>
        </w:tc>
        <w:tc>
          <w:tcPr>
            <w:tcW w:w="857" w:type="dxa"/>
          </w:tcPr>
          <w:p w14:paraId="333CDB3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38.6 ±1 0.7</w:t>
            </w:r>
          </w:p>
        </w:tc>
        <w:tc>
          <w:tcPr>
            <w:tcW w:w="1131" w:type="dxa"/>
          </w:tcPr>
          <w:p w14:paraId="55CC1D9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5E240B0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96</w:t>
            </w:r>
          </w:p>
        </w:tc>
        <w:tc>
          <w:tcPr>
            <w:tcW w:w="857" w:type="dxa"/>
          </w:tcPr>
          <w:p w14:paraId="2C97267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31" w:type="dxa"/>
          </w:tcPr>
          <w:p w14:paraId="76282F2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38.6 ±1 0.7</w:t>
            </w:r>
          </w:p>
        </w:tc>
        <w:tc>
          <w:tcPr>
            <w:tcW w:w="1112" w:type="dxa"/>
          </w:tcPr>
          <w:p w14:paraId="23CDE7C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3-2-2</w:t>
            </w:r>
          </w:p>
        </w:tc>
      </w:tr>
      <w:tr w:rsidR="00446383" w:rsidRPr="0062316F" w14:paraId="77E45A1E" w14:textId="77777777" w:rsidTr="00786DDC">
        <w:tc>
          <w:tcPr>
            <w:tcW w:w="895" w:type="dxa"/>
          </w:tcPr>
          <w:p w14:paraId="7D03EB9D" w14:textId="77777777"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Courson</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21]</w:t>
            </w:r>
            <w:r w:rsidRPr="0062316F">
              <w:rPr>
                <w:rFonts w:ascii="Book Antiqua" w:hAnsi="Book Antiqua" w:cs="Times New Roman"/>
                <w:sz w:val="24"/>
                <w:szCs w:val="24"/>
              </w:rPr>
              <w:t xml:space="preserve"> 2016</w:t>
            </w:r>
          </w:p>
        </w:tc>
        <w:tc>
          <w:tcPr>
            <w:tcW w:w="1086" w:type="dxa"/>
          </w:tcPr>
          <w:p w14:paraId="4B64C38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6FA4009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7ED08A6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286</w:t>
            </w:r>
          </w:p>
        </w:tc>
        <w:tc>
          <w:tcPr>
            <w:tcW w:w="976" w:type="dxa"/>
          </w:tcPr>
          <w:p w14:paraId="550FB60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51% Caucasian, 17% Black, 10% Asian</w:t>
            </w:r>
          </w:p>
        </w:tc>
        <w:tc>
          <w:tcPr>
            <w:tcW w:w="1236" w:type="dxa"/>
          </w:tcPr>
          <w:p w14:paraId="1C3F878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Tacrolimus, MMF or MPS, early steroid withdrawal</w:t>
            </w:r>
          </w:p>
        </w:tc>
        <w:tc>
          <w:tcPr>
            <w:tcW w:w="1382" w:type="dxa"/>
          </w:tcPr>
          <w:p w14:paraId="0EEA4D5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w:t>
            </w:r>
          </w:p>
        </w:tc>
        <w:tc>
          <w:tcPr>
            <w:tcW w:w="453" w:type="dxa"/>
          </w:tcPr>
          <w:p w14:paraId="324D825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171</w:t>
            </w:r>
          </w:p>
        </w:tc>
        <w:tc>
          <w:tcPr>
            <w:tcW w:w="857" w:type="dxa"/>
          </w:tcPr>
          <w:p w14:paraId="3FF736C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56±13</w:t>
            </w:r>
          </w:p>
        </w:tc>
        <w:tc>
          <w:tcPr>
            <w:tcW w:w="1131" w:type="dxa"/>
          </w:tcPr>
          <w:p w14:paraId="0A9A0A3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118/53</w:t>
            </w:r>
          </w:p>
        </w:tc>
        <w:tc>
          <w:tcPr>
            <w:tcW w:w="453" w:type="dxa"/>
          </w:tcPr>
          <w:p w14:paraId="7FBB681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115</w:t>
            </w:r>
          </w:p>
        </w:tc>
        <w:tc>
          <w:tcPr>
            <w:tcW w:w="857" w:type="dxa"/>
          </w:tcPr>
          <w:p w14:paraId="7D71D1E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54±13</w:t>
            </w:r>
          </w:p>
        </w:tc>
        <w:tc>
          <w:tcPr>
            <w:tcW w:w="1131" w:type="dxa"/>
          </w:tcPr>
          <w:p w14:paraId="5372F5E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88/27</w:t>
            </w:r>
          </w:p>
        </w:tc>
        <w:tc>
          <w:tcPr>
            <w:tcW w:w="1112" w:type="dxa"/>
          </w:tcPr>
          <w:p w14:paraId="374B2A5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7B90B0E7" w14:textId="77777777" w:rsidTr="00786DDC">
        <w:tc>
          <w:tcPr>
            <w:tcW w:w="895" w:type="dxa"/>
          </w:tcPr>
          <w:p w14:paraId="4B73A9C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23]</w:t>
            </w:r>
            <w:r w:rsidRPr="0062316F">
              <w:rPr>
                <w:rFonts w:ascii="Book Antiqua" w:hAnsi="Book Antiqua" w:cs="Times New Roman"/>
                <w:sz w:val="24"/>
                <w:szCs w:val="24"/>
              </w:rPr>
              <w:t xml:space="preserve"> 2017</w:t>
            </w:r>
          </w:p>
        </w:tc>
        <w:tc>
          <w:tcPr>
            <w:tcW w:w="1086" w:type="dxa"/>
          </w:tcPr>
          <w:p w14:paraId="0FAF0FC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1A9B7E0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3CB9E67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522</w:t>
            </w:r>
          </w:p>
        </w:tc>
        <w:tc>
          <w:tcPr>
            <w:tcW w:w="976" w:type="dxa"/>
          </w:tcPr>
          <w:p w14:paraId="033FE2F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24% Black</w:t>
            </w:r>
          </w:p>
        </w:tc>
        <w:tc>
          <w:tcPr>
            <w:tcW w:w="1236" w:type="dxa"/>
          </w:tcPr>
          <w:p w14:paraId="4F163A5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Tacrolimus, reduced-dose MMF, prednisone</w:t>
            </w:r>
          </w:p>
        </w:tc>
        <w:tc>
          <w:tcPr>
            <w:tcW w:w="1382" w:type="dxa"/>
          </w:tcPr>
          <w:p w14:paraId="15B871C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11/522 (2%) converted to cyclosporine</w:t>
            </w:r>
          </w:p>
        </w:tc>
        <w:tc>
          <w:tcPr>
            <w:tcW w:w="453" w:type="dxa"/>
          </w:tcPr>
          <w:p w14:paraId="2633499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183</w:t>
            </w:r>
          </w:p>
        </w:tc>
        <w:tc>
          <w:tcPr>
            <w:tcW w:w="857" w:type="dxa"/>
          </w:tcPr>
          <w:p w14:paraId="4530579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54 (44-63)</w:t>
            </w:r>
            <w:r w:rsidRPr="0062316F">
              <w:rPr>
                <w:rFonts w:ascii="Book Antiqua" w:hAnsi="Book Antiqua" w:cs="Times New Roman"/>
                <w:sz w:val="24"/>
                <w:szCs w:val="24"/>
                <w:vertAlign w:val="superscript"/>
              </w:rPr>
              <w:t>2</w:t>
            </w:r>
          </w:p>
        </w:tc>
        <w:tc>
          <w:tcPr>
            <w:tcW w:w="1131" w:type="dxa"/>
          </w:tcPr>
          <w:p w14:paraId="6B00928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102/81</w:t>
            </w:r>
          </w:p>
        </w:tc>
        <w:tc>
          <w:tcPr>
            <w:tcW w:w="453" w:type="dxa"/>
          </w:tcPr>
          <w:p w14:paraId="019C1F4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339</w:t>
            </w:r>
          </w:p>
        </w:tc>
        <w:tc>
          <w:tcPr>
            <w:tcW w:w="857" w:type="dxa"/>
          </w:tcPr>
          <w:p w14:paraId="56E2BDF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(43-60)</w:t>
            </w:r>
          </w:p>
        </w:tc>
        <w:tc>
          <w:tcPr>
            <w:tcW w:w="1131" w:type="dxa"/>
          </w:tcPr>
          <w:p w14:paraId="4F58637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219/120</w:t>
            </w:r>
          </w:p>
        </w:tc>
        <w:tc>
          <w:tcPr>
            <w:tcW w:w="1112" w:type="dxa"/>
          </w:tcPr>
          <w:p w14:paraId="3F4FC4A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0195D66A" w14:textId="77777777" w:rsidTr="00786DDC">
        <w:tc>
          <w:tcPr>
            <w:tcW w:w="895" w:type="dxa"/>
          </w:tcPr>
          <w:p w14:paraId="6F04531C" w14:textId="7462F213"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Shabaka</w:t>
            </w:r>
            <w:proofErr w:type="spellEnd"/>
            <w:r w:rsidR="00A0737D" w:rsidRPr="0062316F">
              <w:rPr>
                <w:rFonts w:ascii="Book Antiqua" w:hAnsi="Book Antiqua" w:cs="Times New Roman"/>
                <w:sz w:val="24"/>
                <w:szCs w:val="24"/>
              </w:rPr>
              <w:t xml:space="preserve"> et </w:t>
            </w:r>
            <w:proofErr w:type="gramStart"/>
            <w:r w:rsidR="00A0737D" w:rsidRPr="0062316F">
              <w:rPr>
                <w:rFonts w:ascii="Book Antiqua" w:hAnsi="Book Antiqua" w:cs="Times New Roman"/>
                <w:sz w:val="24"/>
                <w:szCs w:val="24"/>
              </w:rPr>
              <w:t>al</w:t>
            </w:r>
            <w:r w:rsidR="00A0737D" w:rsidRPr="0062316F">
              <w:rPr>
                <w:rFonts w:ascii="Book Antiqua" w:hAnsi="Book Antiqua" w:cs="Times New Roman"/>
                <w:sz w:val="24"/>
                <w:szCs w:val="24"/>
                <w:vertAlign w:val="superscript"/>
              </w:rPr>
              <w:t>[</w:t>
            </w:r>
            <w:proofErr w:type="gramEnd"/>
            <w:r w:rsidR="00A0737D" w:rsidRPr="0062316F">
              <w:rPr>
                <w:rFonts w:ascii="Book Antiqua" w:hAnsi="Book Antiqua" w:cs="Times New Roman"/>
                <w:sz w:val="24"/>
                <w:szCs w:val="24"/>
                <w:vertAlign w:val="superscript"/>
              </w:rPr>
              <w:t>36]</w:t>
            </w:r>
            <w:r w:rsidR="00A0737D" w:rsidRPr="0062316F">
              <w:rPr>
                <w:rFonts w:ascii="Book Antiqua" w:hAnsi="Book Antiqua" w:cs="Times New Roman"/>
                <w:sz w:val="24"/>
                <w:szCs w:val="24"/>
              </w:rPr>
              <w:t xml:space="preserve"> </w:t>
            </w:r>
            <w:r w:rsidRPr="0062316F">
              <w:rPr>
                <w:rFonts w:ascii="Book Antiqua" w:hAnsi="Book Antiqua" w:cs="Times New Roman"/>
                <w:sz w:val="24"/>
                <w:szCs w:val="24"/>
              </w:rPr>
              <w:t>2017</w:t>
            </w:r>
          </w:p>
        </w:tc>
        <w:tc>
          <w:tcPr>
            <w:tcW w:w="1086" w:type="dxa"/>
          </w:tcPr>
          <w:p w14:paraId="1175CD9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Spain</w:t>
            </w:r>
          </w:p>
        </w:tc>
        <w:tc>
          <w:tcPr>
            <w:tcW w:w="1169" w:type="dxa"/>
          </w:tcPr>
          <w:p w14:paraId="60578B8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Cross-sectional</w:t>
            </w:r>
          </w:p>
        </w:tc>
        <w:tc>
          <w:tcPr>
            <w:tcW w:w="577" w:type="dxa"/>
          </w:tcPr>
          <w:p w14:paraId="51159E4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938</w:t>
            </w:r>
          </w:p>
        </w:tc>
        <w:tc>
          <w:tcPr>
            <w:tcW w:w="976" w:type="dxa"/>
          </w:tcPr>
          <w:p w14:paraId="048E131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0E8FEA4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CNI-based regimen</w:t>
            </w:r>
          </w:p>
        </w:tc>
        <w:tc>
          <w:tcPr>
            <w:tcW w:w="1382" w:type="dxa"/>
          </w:tcPr>
          <w:p w14:paraId="605F477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587DBF0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51F699B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31" w:type="dxa"/>
          </w:tcPr>
          <w:p w14:paraId="7F1F3C5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35CA2F9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21ECBCE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31" w:type="dxa"/>
          </w:tcPr>
          <w:p w14:paraId="5EB862D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12" w:type="dxa"/>
          </w:tcPr>
          <w:p w14:paraId="55752E0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3-2-2</w:t>
            </w:r>
          </w:p>
        </w:tc>
      </w:tr>
      <w:tr w:rsidR="00446383" w:rsidRPr="0062316F" w14:paraId="5450FECB" w14:textId="77777777" w:rsidTr="00786DDC">
        <w:tc>
          <w:tcPr>
            <w:tcW w:w="895" w:type="dxa"/>
          </w:tcPr>
          <w:p w14:paraId="4A74067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Rouse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24]</w:t>
            </w:r>
            <w:r w:rsidRPr="0062316F">
              <w:rPr>
                <w:rFonts w:ascii="Book Antiqua" w:hAnsi="Book Antiqua" w:cs="Times New Roman"/>
                <w:sz w:val="24"/>
                <w:szCs w:val="24"/>
              </w:rPr>
              <w:t xml:space="preserve"> 2017</w:t>
            </w:r>
          </w:p>
        </w:tc>
        <w:tc>
          <w:tcPr>
            <w:tcW w:w="1086" w:type="dxa"/>
          </w:tcPr>
          <w:p w14:paraId="1ABAF98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72F4378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43BC500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211</w:t>
            </w:r>
          </w:p>
        </w:tc>
        <w:tc>
          <w:tcPr>
            <w:tcW w:w="976" w:type="dxa"/>
          </w:tcPr>
          <w:p w14:paraId="0B95DEA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55% Caucasian, 30% Black</w:t>
            </w:r>
          </w:p>
        </w:tc>
        <w:tc>
          <w:tcPr>
            <w:tcW w:w="1236" w:type="dxa"/>
          </w:tcPr>
          <w:p w14:paraId="47BF795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Tacrolimus, MMF or MPS, Prednisone</w:t>
            </w:r>
          </w:p>
        </w:tc>
        <w:tc>
          <w:tcPr>
            <w:tcW w:w="1382" w:type="dxa"/>
          </w:tcPr>
          <w:p w14:paraId="2418A13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w:t>
            </w:r>
          </w:p>
        </w:tc>
        <w:tc>
          <w:tcPr>
            <w:tcW w:w="453" w:type="dxa"/>
          </w:tcPr>
          <w:p w14:paraId="3D5C510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35</w:t>
            </w:r>
          </w:p>
        </w:tc>
        <w:tc>
          <w:tcPr>
            <w:tcW w:w="857" w:type="dxa"/>
          </w:tcPr>
          <w:p w14:paraId="45C86D6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55±10.7</w:t>
            </w:r>
          </w:p>
        </w:tc>
        <w:tc>
          <w:tcPr>
            <w:tcW w:w="1131" w:type="dxa"/>
          </w:tcPr>
          <w:p w14:paraId="2EDD9D2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25/10</w:t>
            </w:r>
          </w:p>
        </w:tc>
        <w:tc>
          <w:tcPr>
            <w:tcW w:w="453" w:type="dxa"/>
          </w:tcPr>
          <w:p w14:paraId="60F564E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176</w:t>
            </w:r>
          </w:p>
        </w:tc>
        <w:tc>
          <w:tcPr>
            <w:tcW w:w="857" w:type="dxa"/>
          </w:tcPr>
          <w:p w14:paraId="7130B69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63±14</w:t>
            </w:r>
          </w:p>
        </w:tc>
        <w:tc>
          <w:tcPr>
            <w:tcW w:w="1131" w:type="dxa"/>
          </w:tcPr>
          <w:p w14:paraId="6AF7F24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124/52</w:t>
            </w:r>
          </w:p>
        </w:tc>
        <w:tc>
          <w:tcPr>
            <w:tcW w:w="1112" w:type="dxa"/>
          </w:tcPr>
          <w:p w14:paraId="311B5ED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4-2-3</w:t>
            </w:r>
          </w:p>
        </w:tc>
      </w:tr>
      <w:tr w:rsidR="00446383" w:rsidRPr="0062316F" w14:paraId="23470F5D" w14:textId="77777777" w:rsidTr="00786DDC">
        <w:tc>
          <w:tcPr>
            <w:tcW w:w="895" w:type="dxa"/>
          </w:tcPr>
          <w:p w14:paraId="53E941A1" w14:textId="31012120"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A0737D" w:rsidRPr="0062316F">
              <w:rPr>
                <w:rFonts w:ascii="Book Antiqua" w:hAnsi="Book Antiqua" w:cs="Times New Roman"/>
                <w:noProof/>
                <w:sz w:val="24"/>
                <w:szCs w:val="24"/>
                <w:vertAlign w:val="superscript"/>
              </w:rPr>
              <w:t>[</w:t>
            </w:r>
            <w:proofErr w:type="gramEnd"/>
            <w:r w:rsidR="00A0737D" w:rsidRPr="0062316F">
              <w:rPr>
                <w:rFonts w:ascii="Book Antiqua" w:hAnsi="Book Antiqua" w:cs="Times New Roman"/>
                <w:noProof/>
                <w:sz w:val="24"/>
                <w:szCs w:val="24"/>
                <w:vertAlign w:val="superscript"/>
              </w:rPr>
              <w:t>37</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2017</w:t>
            </w:r>
          </w:p>
        </w:tc>
        <w:tc>
          <w:tcPr>
            <w:tcW w:w="1086" w:type="dxa"/>
          </w:tcPr>
          <w:p w14:paraId="432F95A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Turkey</w:t>
            </w:r>
          </w:p>
        </w:tc>
        <w:tc>
          <w:tcPr>
            <w:tcW w:w="1169" w:type="dxa"/>
          </w:tcPr>
          <w:p w14:paraId="224E2AE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1DC4CC8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292</w:t>
            </w:r>
          </w:p>
        </w:tc>
        <w:tc>
          <w:tcPr>
            <w:tcW w:w="976" w:type="dxa"/>
          </w:tcPr>
          <w:p w14:paraId="5436B24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679DD90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382" w:type="dxa"/>
          </w:tcPr>
          <w:p w14:paraId="72BD684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57BF0BF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223</w:t>
            </w:r>
          </w:p>
        </w:tc>
        <w:tc>
          <w:tcPr>
            <w:tcW w:w="857" w:type="dxa"/>
          </w:tcPr>
          <w:p w14:paraId="5958CDD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36±10</w:t>
            </w:r>
          </w:p>
        </w:tc>
        <w:tc>
          <w:tcPr>
            <w:tcW w:w="1131" w:type="dxa"/>
          </w:tcPr>
          <w:p w14:paraId="107EE4A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129/104</w:t>
            </w:r>
          </w:p>
        </w:tc>
        <w:tc>
          <w:tcPr>
            <w:tcW w:w="453" w:type="dxa"/>
          </w:tcPr>
          <w:p w14:paraId="5D87285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69</w:t>
            </w:r>
          </w:p>
        </w:tc>
        <w:tc>
          <w:tcPr>
            <w:tcW w:w="857" w:type="dxa"/>
          </w:tcPr>
          <w:p w14:paraId="082FFBF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33±11</w:t>
            </w:r>
          </w:p>
        </w:tc>
        <w:tc>
          <w:tcPr>
            <w:tcW w:w="1131" w:type="dxa"/>
          </w:tcPr>
          <w:p w14:paraId="6DFEF62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42/27</w:t>
            </w:r>
          </w:p>
        </w:tc>
        <w:tc>
          <w:tcPr>
            <w:tcW w:w="1112" w:type="dxa"/>
          </w:tcPr>
          <w:p w14:paraId="4D7B3E3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3-2-2</w:t>
            </w:r>
          </w:p>
        </w:tc>
      </w:tr>
      <w:tr w:rsidR="00446383" w:rsidRPr="0062316F" w14:paraId="029A256D" w14:textId="77777777" w:rsidTr="00786DDC">
        <w:tc>
          <w:tcPr>
            <w:tcW w:w="895" w:type="dxa"/>
          </w:tcPr>
          <w:p w14:paraId="14E6287F" w14:textId="2E62E139"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Kipp</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A0737D" w:rsidRPr="0062316F">
              <w:rPr>
                <w:rFonts w:ascii="Book Antiqua" w:hAnsi="Book Antiqua" w:cs="Times New Roman"/>
                <w:noProof/>
                <w:sz w:val="24"/>
                <w:szCs w:val="24"/>
                <w:vertAlign w:val="superscript"/>
              </w:rPr>
              <w:t>[</w:t>
            </w:r>
            <w:proofErr w:type="gramEnd"/>
            <w:r w:rsidR="00A0737D" w:rsidRPr="0062316F">
              <w:rPr>
                <w:rFonts w:ascii="Book Antiqua" w:hAnsi="Book Antiqua" w:cs="Times New Roman"/>
                <w:noProof/>
                <w:sz w:val="24"/>
                <w:szCs w:val="24"/>
                <w:vertAlign w:val="superscript"/>
              </w:rPr>
              <w:t>39</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2018</w:t>
            </w:r>
          </w:p>
        </w:tc>
        <w:tc>
          <w:tcPr>
            <w:tcW w:w="1086" w:type="dxa"/>
          </w:tcPr>
          <w:p w14:paraId="53FC53E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United States</w:t>
            </w:r>
          </w:p>
        </w:tc>
        <w:tc>
          <w:tcPr>
            <w:tcW w:w="1169" w:type="dxa"/>
          </w:tcPr>
          <w:p w14:paraId="0272B17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Retrospective</w:t>
            </w:r>
          </w:p>
        </w:tc>
        <w:tc>
          <w:tcPr>
            <w:tcW w:w="577" w:type="dxa"/>
          </w:tcPr>
          <w:p w14:paraId="68B733B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819</w:t>
            </w:r>
          </w:p>
        </w:tc>
        <w:tc>
          <w:tcPr>
            <w:tcW w:w="976" w:type="dxa"/>
          </w:tcPr>
          <w:p w14:paraId="1967B82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57CA8A5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382" w:type="dxa"/>
          </w:tcPr>
          <w:p w14:paraId="5EE7700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6DD1829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404</w:t>
            </w:r>
          </w:p>
        </w:tc>
        <w:tc>
          <w:tcPr>
            <w:tcW w:w="857" w:type="dxa"/>
          </w:tcPr>
          <w:p w14:paraId="019A8BE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31" w:type="dxa"/>
          </w:tcPr>
          <w:p w14:paraId="2720940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046978F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415</w:t>
            </w:r>
          </w:p>
        </w:tc>
        <w:tc>
          <w:tcPr>
            <w:tcW w:w="857" w:type="dxa"/>
          </w:tcPr>
          <w:p w14:paraId="4B095AA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31" w:type="dxa"/>
          </w:tcPr>
          <w:p w14:paraId="3AC8750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12" w:type="dxa"/>
          </w:tcPr>
          <w:p w14:paraId="3C81FA1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3-1-2</w:t>
            </w:r>
          </w:p>
        </w:tc>
      </w:tr>
      <w:tr w:rsidR="00446383" w:rsidRPr="0062316F" w14:paraId="26C21478" w14:textId="77777777" w:rsidTr="00786DDC">
        <w:tc>
          <w:tcPr>
            <w:tcW w:w="895" w:type="dxa"/>
          </w:tcPr>
          <w:p w14:paraId="15CF32FD" w14:textId="6673CC94"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lastRenderedPageBreak/>
              <w:t>Douwes</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A0737D" w:rsidRPr="0062316F">
              <w:rPr>
                <w:rFonts w:ascii="Book Antiqua" w:hAnsi="Book Antiqua" w:cs="Times New Roman"/>
                <w:noProof/>
                <w:sz w:val="24"/>
                <w:szCs w:val="24"/>
                <w:vertAlign w:val="superscript"/>
              </w:rPr>
              <w:t>[</w:t>
            </w:r>
            <w:proofErr w:type="gramEnd"/>
            <w:r w:rsidR="00A0737D" w:rsidRPr="0062316F">
              <w:rPr>
                <w:rFonts w:ascii="Book Antiqua" w:hAnsi="Book Antiqua" w:cs="Times New Roman"/>
                <w:noProof/>
                <w:sz w:val="24"/>
                <w:szCs w:val="24"/>
                <w:vertAlign w:val="superscript"/>
              </w:rPr>
              <w:t>40</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2018</w:t>
            </w:r>
          </w:p>
        </w:tc>
        <w:tc>
          <w:tcPr>
            <w:tcW w:w="1086" w:type="dxa"/>
          </w:tcPr>
          <w:p w14:paraId="09FF86E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The Netherlands</w:t>
            </w:r>
          </w:p>
        </w:tc>
        <w:tc>
          <w:tcPr>
            <w:tcW w:w="1169" w:type="dxa"/>
          </w:tcPr>
          <w:p w14:paraId="1B46A27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Cross-sectional</w:t>
            </w:r>
          </w:p>
        </w:tc>
        <w:tc>
          <w:tcPr>
            <w:tcW w:w="577" w:type="dxa"/>
          </w:tcPr>
          <w:p w14:paraId="013D5A7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706</w:t>
            </w:r>
          </w:p>
        </w:tc>
        <w:tc>
          <w:tcPr>
            <w:tcW w:w="976" w:type="dxa"/>
          </w:tcPr>
          <w:p w14:paraId="26CB8A9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28E166B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382" w:type="dxa"/>
          </w:tcPr>
          <w:p w14:paraId="6BD8ADC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5C34C51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7E42B38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56A138C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57%/43%</w:t>
            </w:r>
          </w:p>
        </w:tc>
        <w:tc>
          <w:tcPr>
            <w:tcW w:w="453" w:type="dxa"/>
          </w:tcPr>
          <w:p w14:paraId="5EA2FC5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3B5D447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3970297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57%/43%</w:t>
            </w:r>
          </w:p>
        </w:tc>
        <w:tc>
          <w:tcPr>
            <w:tcW w:w="1112" w:type="dxa"/>
          </w:tcPr>
          <w:p w14:paraId="006AEDB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3-1-2</w:t>
            </w:r>
          </w:p>
        </w:tc>
      </w:tr>
      <w:tr w:rsidR="00446383" w:rsidRPr="0062316F" w14:paraId="77638BA9" w14:textId="77777777" w:rsidTr="00786DDC">
        <w:tc>
          <w:tcPr>
            <w:tcW w:w="895" w:type="dxa"/>
          </w:tcPr>
          <w:p w14:paraId="503E23A9" w14:textId="4D015C62"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Gomes-</w:t>
            </w:r>
            <w:proofErr w:type="spellStart"/>
            <w:r w:rsidRPr="0062316F">
              <w:rPr>
                <w:rFonts w:ascii="Book Antiqua" w:hAnsi="Book Antiqua" w:cs="Times New Roman"/>
                <w:sz w:val="24"/>
                <w:szCs w:val="24"/>
              </w:rPr>
              <w:t>Neto</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A0737D" w:rsidRPr="0062316F">
              <w:rPr>
                <w:rFonts w:ascii="Book Antiqua" w:hAnsi="Book Antiqua" w:cs="Times New Roman"/>
                <w:noProof/>
                <w:sz w:val="24"/>
                <w:szCs w:val="24"/>
                <w:vertAlign w:val="superscript"/>
              </w:rPr>
              <w:t>[</w:t>
            </w:r>
            <w:proofErr w:type="gramEnd"/>
            <w:r w:rsidR="00A0737D" w:rsidRPr="0062316F">
              <w:rPr>
                <w:rFonts w:ascii="Book Antiqua" w:hAnsi="Book Antiqua" w:cs="Times New Roman"/>
                <w:noProof/>
                <w:sz w:val="24"/>
                <w:szCs w:val="24"/>
                <w:vertAlign w:val="superscript"/>
              </w:rPr>
              <w:t>38</w:t>
            </w:r>
            <w:r w:rsidRPr="0062316F">
              <w:rPr>
                <w:rFonts w:ascii="Book Antiqua" w:hAnsi="Book Antiqua" w:cs="Times New Roman"/>
                <w:noProof/>
                <w:sz w:val="24"/>
                <w:szCs w:val="24"/>
                <w:vertAlign w:val="superscript"/>
              </w:rPr>
              <w:t>]</w:t>
            </w:r>
            <w:r w:rsidRPr="0062316F">
              <w:rPr>
                <w:rFonts w:ascii="Book Antiqua" w:hAnsi="Book Antiqua" w:cs="Times New Roman"/>
                <w:sz w:val="24"/>
                <w:szCs w:val="24"/>
              </w:rPr>
              <w:t xml:space="preserve"> 2018</w:t>
            </w:r>
          </w:p>
        </w:tc>
        <w:tc>
          <w:tcPr>
            <w:tcW w:w="1086" w:type="dxa"/>
          </w:tcPr>
          <w:p w14:paraId="7EFCB7E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The Netherlands</w:t>
            </w:r>
          </w:p>
        </w:tc>
        <w:tc>
          <w:tcPr>
            <w:tcW w:w="1169" w:type="dxa"/>
          </w:tcPr>
          <w:p w14:paraId="65FB789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Cross-sectional</w:t>
            </w:r>
          </w:p>
        </w:tc>
        <w:tc>
          <w:tcPr>
            <w:tcW w:w="577" w:type="dxa"/>
          </w:tcPr>
          <w:p w14:paraId="3D111DE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703</w:t>
            </w:r>
          </w:p>
        </w:tc>
        <w:tc>
          <w:tcPr>
            <w:tcW w:w="976" w:type="dxa"/>
          </w:tcPr>
          <w:p w14:paraId="5B5759F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36" w:type="dxa"/>
          </w:tcPr>
          <w:p w14:paraId="532D0B6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382" w:type="dxa"/>
          </w:tcPr>
          <w:p w14:paraId="03A7063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453" w:type="dxa"/>
          </w:tcPr>
          <w:p w14:paraId="2AC51F3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2F45EFF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4EE2051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57%/43%</w:t>
            </w:r>
          </w:p>
        </w:tc>
        <w:tc>
          <w:tcPr>
            <w:tcW w:w="453" w:type="dxa"/>
          </w:tcPr>
          <w:p w14:paraId="2E23D36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857" w:type="dxa"/>
          </w:tcPr>
          <w:p w14:paraId="2FF2450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 ± 13</w:t>
            </w:r>
          </w:p>
        </w:tc>
        <w:tc>
          <w:tcPr>
            <w:tcW w:w="1131" w:type="dxa"/>
          </w:tcPr>
          <w:p w14:paraId="6FDAC21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57%/43%</w:t>
            </w:r>
          </w:p>
        </w:tc>
        <w:tc>
          <w:tcPr>
            <w:tcW w:w="1112" w:type="dxa"/>
          </w:tcPr>
          <w:p w14:paraId="33A333CA" w14:textId="77777777" w:rsidR="00E9347F" w:rsidRPr="0062316F" w:rsidRDefault="00E9347F" w:rsidP="0062316F">
            <w:pPr>
              <w:keepNext/>
              <w:spacing w:line="360" w:lineRule="auto"/>
              <w:jc w:val="both"/>
              <w:rPr>
                <w:rFonts w:ascii="Book Antiqua" w:hAnsi="Book Antiqua" w:cs="Times New Roman"/>
                <w:sz w:val="24"/>
                <w:szCs w:val="24"/>
              </w:rPr>
            </w:pPr>
            <w:r w:rsidRPr="0062316F">
              <w:rPr>
                <w:rFonts w:ascii="Book Antiqua" w:hAnsi="Book Antiqua" w:cs="Times New Roman"/>
                <w:sz w:val="24"/>
                <w:szCs w:val="24"/>
              </w:rPr>
              <w:t>3-1-2</w:t>
            </w:r>
          </w:p>
        </w:tc>
      </w:tr>
    </w:tbl>
    <w:p w14:paraId="4E04B14A" w14:textId="2E334D3E" w:rsidR="00E9347F" w:rsidRPr="0062316F" w:rsidRDefault="00E9347F" w:rsidP="0062316F">
      <w:pPr>
        <w:pStyle w:val="Caption"/>
        <w:spacing w:after="0" w:line="360" w:lineRule="auto"/>
        <w:jc w:val="both"/>
        <w:rPr>
          <w:rFonts w:ascii="Book Antiqua" w:hAnsi="Book Antiqua"/>
          <w:i w:val="0"/>
          <w:color w:val="auto"/>
          <w:sz w:val="24"/>
          <w:szCs w:val="24"/>
        </w:rPr>
      </w:pPr>
      <w:r w:rsidRPr="0062316F">
        <w:rPr>
          <w:rFonts w:ascii="Book Antiqua" w:hAnsi="Book Antiqua"/>
          <w:i w:val="0"/>
          <w:color w:val="auto"/>
          <w:sz w:val="24"/>
          <w:szCs w:val="24"/>
          <w:vertAlign w:val="superscript"/>
        </w:rPr>
        <w:t>1</w:t>
      </w:r>
      <w:r w:rsidRPr="0062316F">
        <w:rPr>
          <w:rFonts w:ascii="Book Antiqua" w:hAnsi="Book Antiqua"/>
          <w:i w:val="0"/>
          <w:color w:val="auto"/>
          <w:sz w:val="24"/>
          <w:szCs w:val="24"/>
        </w:rPr>
        <w:t xml:space="preserve">Data expressed as mean ±SD; </w:t>
      </w:r>
      <w:r w:rsidRPr="0062316F">
        <w:rPr>
          <w:rFonts w:ascii="Book Antiqua" w:hAnsi="Book Antiqua"/>
          <w:i w:val="0"/>
          <w:color w:val="auto"/>
          <w:sz w:val="24"/>
          <w:szCs w:val="24"/>
          <w:vertAlign w:val="superscript"/>
        </w:rPr>
        <w:t>2</w:t>
      </w:r>
      <w:r w:rsidRPr="0062316F">
        <w:rPr>
          <w:rFonts w:ascii="Book Antiqua" w:hAnsi="Book Antiqua"/>
          <w:i w:val="0"/>
          <w:color w:val="auto"/>
          <w:sz w:val="24"/>
          <w:szCs w:val="24"/>
        </w:rPr>
        <w:t xml:space="preserve">Data expressed as Median (Range); </w:t>
      </w:r>
      <w:r w:rsidRPr="0062316F">
        <w:rPr>
          <w:rFonts w:ascii="Book Antiqua" w:hAnsi="Book Antiqua"/>
          <w:i w:val="0"/>
          <w:color w:val="auto"/>
          <w:sz w:val="24"/>
          <w:szCs w:val="24"/>
          <w:vertAlign w:val="superscript"/>
        </w:rPr>
        <w:t>3</w:t>
      </w:r>
      <w:r w:rsidRPr="0062316F">
        <w:rPr>
          <w:rFonts w:ascii="Book Antiqua" w:hAnsi="Book Antiqua"/>
          <w:i w:val="0"/>
          <w:color w:val="auto"/>
          <w:sz w:val="24"/>
          <w:szCs w:val="24"/>
        </w:rPr>
        <w:t>According to the NOS (Newcastle-Ottawa Scale) classification.</w:t>
      </w:r>
    </w:p>
    <w:p w14:paraId="19E552E2" w14:textId="77777777" w:rsidR="00786DDC" w:rsidRPr="0062316F" w:rsidRDefault="00E9347F" w:rsidP="0062316F">
      <w:pPr>
        <w:pStyle w:val="Caption"/>
        <w:spacing w:after="0" w:line="360" w:lineRule="auto"/>
        <w:jc w:val="both"/>
        <w:rPr>
          <w:rFonts w:ascii="Book Antiqua" w:hAnsi="Book Antiqua" w:cs="Times New Roman"/>
          <w:i w:val="0"/>
          <w:color w:val="auto"/>
          <w:sz w:val="24"/>
          <w:szCs w:val="24"/>
        </w:rPr>
      </w:pPr>
      <w:r w:rsidRPr="0062316F">
        <w:rPr>
          <w:rFonts w:ascii="Book Antiqua" w:hAnsi="Book Antiqua"/>
          <w:i w:val="0"/>
          <w:color w:val="auto"/>
          <w:sz w:val="24"/>
          <w:szCs w:val="24"/>
        </w:rPr>
        <w:t xml:space="preserve">NR: </w:t>
      </w:r>
      <w:r w:rsidR="00242511" w:rsidRPr="0062316F">
        <w:rPr>
          <w:rFonts w:ascii="Book Antiqua" w:hAnsi="Book Antiqua"/>
          <w:i w:val="0"/>
          <w:color w:val="auto"/>
          <w:sz w:val="24"/>
          <w:szCs w:val="24"/>
        </w:rPr>
        <w:t xml:space="preserve">Not </w:t>
      </w:r>
      <w:r w:rsidRPr="0062316F">
        <w:rPr>
          <w:rFonts w:ascii="Book Antiqua" w:hAnsi="Book Antiqua"/>
          <w:i w:val="0"/>
          <w:color w:val="auto"/>
          <w:sz w:val="24"/>
          <w:szCs w:val="24"/>
        </w:rPr>
        <w:t xml:space="preserve">reported; CNI: </w:t>
      </w:r>
      <w:r w:rsidR="00242511" w:rsidRPr="0062316F">
        <w:rPr>
          <w:rFonts w:ascii="Book Antiqua" w:hAnsi="Book Antiqua"/>
          <w:i w:val="0"/>
          <w:color w:val="auto"/>
          <w:sz w:val="24"/>
          <w:szCs w:val="24"/>
        </w:rPr>
        <w:t xml:space="preserve">Calcineurin </w:t>
      </w:r>
      <w:r w:rsidRPr="0062316F">
        <w:rPr>
          <w:rFonts w:ascii="Book Antiqua" w:hAnsi="Book Antiqua"/>
          <w:i w:val="0"/>
          <w:color w:val="auto"/>
          <w:sz w:val="24"/>
          <w:szCs w:val="24"/>
        </w:rPr>
        <w:t xml:space="preserve">inhibitor; MMF: </w:t>
      </w:r>
      <w:r w:rsidR="00242511" w:rsidRPr="0062316F">
        <w:rPr>
          <w:rFonts w:ascii="Book Antiqua" w:hAnsi="Book Antiqua"/>
          <w:i w:val="0"/>
          <w:color w:val="auto"/>
          <w:sz w:val="24"/>
          <w:szCs w:val="24"/>
        </w:rPr>
        <w:t xml:space="preserve">Mycophenolate </w:t>
      </w:r>
      <w:r w:rsidRPr="0062316F">
        <w:rPr>
          <w:rFonts w:ascii="Book Antiqua" w:hAnsi="Book Antiqua"/>
          <w:i w:val="0"/>
          <w:color w:val="auto"/>
          <w:sz w:val="24"/>
          <w:szCs w:val="24"/>
        </w:rPr>
        <w:t xml:space="preserve">mofetil; MPS: </w:t>
      </w:r>
      <w:r w:rsidR="00242511" w:rsidRPr="0062316F">
        <w:rPr>
          <w:rFonts w:ascii="Book Antiqua" w:hAnsi="Book Antiqua"/>
          <w:i w:val="0"/>
          <w:color w:val="auto"/>
          <w:sz w:val="24"/>
          <w:szCs w:val="24"/>
        </w:rPr>
        <w:t xml:space="preserve">Mycophenolate </w:t>
      </w:r>
      <w:r w:rsidRPr="0062316F">
        <w:rPr>
          <w:rFonts w:ascii="Book Antiqua" w:hAnsi="Book Antiqua"/>
          <w:i w:val="0"/>
          <w:color w:val="auto"/>
          <w:sz w:val="24"/>
          <w:szCs w:val="24"/>
        </w:rPr>
        <w:t xml:space="preserve">sodium; MPA; </w:t>
      </w:r>
      <w:r w:rsidR="00242511" w:rsidRPr="0062316F">
        <w:rPr>
          <w:rFonts w:ascii="Book Antiqua" w:hAnsi="Book Antiqua"/>
          <w:i w:val="0"/>
          <w:color w:val="auto"/>
          <w:sz w:val="24"/>
          <w:szCs w:val="24"/>
        </w:rPr>
        <w:t>Mycophenolate</w:t>
      </w:r>
      <w:r w:rsidRPr="0062316F">
        <w:rPr>
          <w:rFonts w:ascii="Book Antiqua" w:hAnsi="Book Antiqua"/>
          <w:i w:val="0"/>
          <w:color w:val="auto"/>
          <w:sz w:val="24"/>
          <w:szCs w:val="24"/>
        </w:rPr>
        <w:t xml:space="preserve">; </w:t>
      </w:r>
      <w:proofErr w:type="spellStart"/>
      <w:r w:rsidRPr="0062316F">
        <w:rPr>
          <w:rFonts w:ascii="Book Antiqua" w:hAnsi="Book Antiqua"/>
          <w:i w:val="0"/>
          <w:color w:val="auto"/>
          <w:sz w:val="24"/>
          <w:szCs w:val="24"/>
        </w:rPr>
        <w:t>rATG</w:t>
      </w:r>
      <w:proofErr w:type="spellEnd"/>
      <w:r w:rsidRPr="0062316F">
        <w:rPr>
          <w:rFonts w:ascii="Book Antiqua" w:hAnsi="Book Antiqua"/>
          <w:i w:val="0"/>
          <w:color w:val="auto"/>
          <w:sz w:val="24"/>
          <w:szCs w:val="24"/>
        </w:rPr>
        <w:t xml:space="preserve">: </w:t>
      </w:r>
      <w:r w:rsidR="00242511" w:rsidRPr="0062316F">
        <w:rPr>
          <w:rFonts w:ascii="Book Antiqua" w:hAnsi="Book Antiqua"/>
          <w:i w:val="0"/>
          <w:color w:val="auto"/>
          <w:sz w:val="24"/>
          <w:szCs w:val="24"/>
        </w:rPr>
        <w:t xml:space="preserve">Rabbit </w:t>
      </w:r>
      <w:proofErr w:type="spellStart"/>
      <w:r w:rsidRPr="0062316F">
        <w:rPr>
          <w:rFonts w:ascii="Book Antiqua" w:hAnsi="Book Antiqua"/>
          <w:i w:val="0"/>
          <w:color w:val="auto"/>
          <w:sz w:val="24"/>
          <w:szCs w:val="24"/>
        </w:rPr>
        <w:t>antithymocyte</w:t>
      </w:r>
      <w:proofErr w:type="spellEnd"/>
      <w:r w:rsidRPr="0062316F">
        <w:rPr>
          <w:rFonts w:ascii="Book Antiqua" w:hAnsi="Book Antiqua"/>
          <w:i w:val="0"/>
          <w:color w:val="auto"/>
          <w:sz w:val="24"/>
          <w:szCs w:val="24"/>
        </w:rPr>
        <w:t xml:space="preserve"> globulin</w:t>
      </w:r>
      <w:r w:rsidR="00786DDC" w:rsidRPr="0062316F">
        <w:rPr>
          <w:rFonts w:ascii="Book Antiqua" w:hAnsi="Book Antiqua"/>
          <w:i w:val="0"/>
          <w:color w:val="auto"/>
          <w:sz w:val="24"/>
          <w:szCs w:val="24"/>
        </w:rPr>
        <w:t xml:space="preserve">; </w:t>
      </w:r>
      <w:r w:rsidR="00786DDC" w:rsidRPr="0062316F">
        <w:rPr>
          <w:rFonts w:ascii="Book Antiqua" w:hAnsi="Book Antiqua" w:cs="Times New Roman"/>
          <w:i w:val="0"/>
          <w:color w:val="auto"/>
          <w:sz w:val="24"/>
          <w:szCs w:val="24"/>
        </w:rPr>
        <w:t>PPI: Proton pump inhibitors.</w:t>
      </w:r>
    </w:p>
    <w:p w14:paraId="523FC5BE" w14:textId="137C13C8" w:rsidR="00E9347F" w:rsidRPr="0062316F" w:rsidRDefault="00E9347F" w:rsidP="0062316F">
      <w:pPr>
        <w:pStyle w:val="Caption"/>
        <w:spacing w:after="0" w:line="360" w:lineRule="auto"/>
        <w:jc w:val="both"/>
        <w:rPr>
          <w:rFonts w:ascii="Book Antiqua" w:hAnsi="Book Antiqua"/>
          <w:i w:val="0"/>
          <w:color w:val="auto"/>
          <w:sz w:val="24"/>
          <w:szCs w:val="24"/>
        </w:rPr>
      </w:pPr>
    </w:p>
    <w:p w14:paraId="37617E98" w14:textId="01270D8F" w:rsidR="005E0AC5" w:rsidRPr="0062316F" w:rsidRDefault="005E0AC5" w:rsidP="0062316F">
      <w:pPr>
        <w:spacing w:after="0" w:line="360" w:lineRule="auto"/>
        <w:jc w:val="both"/>
        <w:rPr>
          <w:rFonts w:ascii="Book Antiqua" w:hAnsi="Book Antiqua"/>
          <w:sz w:val="24"/>
          <w:szCs w:val="24"/>
        </w:rPr>
        <w:sectPr w:rsidR="005E0AC5" w:rsidRPr="0062316F" w:rsidSect="00242511">
          <w:pgSz w:w="15840" w:h="12240" w:orient="landscape"/>
          <w:pgMar w:top="1440" w:right="1440" w:bottom="1440" w:left="1440" w:header="720" w:footer="720" w:gutter="0"/>
          <w:cols w:space="720"/>
          <w:docGrid w:linePitch="360"/>
        </w:sectPr>
      </w:pPr>
    </w:p>
    <w:p w14:paraId="22DFD4C2" w14:textId="3284193E"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lastRenderedPageBreak/>
        <w:t xml:space="preserve">Table </w:t>
      </w:r>
      <w:r w:rsidRPr="0062316F">
        <w:rPr>
          <w:rFonts w:ascii="Book Antiqua" w:hAnsi="Book Antiqua" w:cs="Times New Roman"/>
          <w:b/>
          <w:sz w:val="24"/>
          <w:szCs w:val="24"/>
        </w:rPr>
        <w:fldChar w:fldCharType="begin"/>
      </w:r>
      <w:r w:rsidRPr="0062316F">
        <w:rPr>
          <w:rFonts w:ascii="Book Antiqua" w:hAnsi="Book Antiqua" w:cs="Times New Roman"/>
          <w:b/>
          <w:sz w:val="24"/>
          <w:szCs w:val="24"/>
        </w:rPr>
        <w:instrText xml:space="preserve"> SEQ Table \* ARABIC </w:instrText>
      </w:r>
      <w:r w:rsidRPr="0062316F">
        <w:rPr>
          <w:rFonts w:ascii="Book Antiqua" w:hAnsi="Book Antiqua" w:cs="Times New Roman"/>
          <w:b/>
          <w:sz w:val="24"/>
          <w:szCs w:val="24"/>
        </w:rPr>
        <w:fldChar w:fldCharType="separate"/>
      </w:r>
      <w:r w:rsidRPr="0062316F">
        <w:rPr>
          <w:rFonts w:ascii="Book Antiqua" w:hAnsi="Book Antiqua" w:cs="Times New Roman"/>
          <w:b/>
          <w:sz w:val="24"/>
          <w:szCs w:val="24"/>
        </w:rPr>
        <w:t>2</w:t>
      </w:r>
      <w:r w:rsidRPr="0062316F">
        <w:rPr>
          <w:rFonts w:ascii="Book Antiqua" w:hAnsi="Book Antiqua" w:cs="Times New Roman"/>
          <w:b/>
          <w:sz w:val="24"/>
          <w:szCs w:val="24"/>
        </w:rPr>
        <w:fldChar w:fldCharType="end"/>
      </w:r>
      <w:r w:rsidRPr="0062316F">
        <w:rPr>
          <w:rFonts w:ascii="Book Antiqua" w:hAnsi="Book Antiqua" w:cs="Times New Roman"/>
          <w:b/>
          <w:sz w:val="24"/>
          <w:szCs w:val="24"/>
        </w:rPr>
        <w:t xml:space="preserve"> Acute </w:t>
      </w:r>
      <w:r w:rsidR="005B4452" w:rsidRPr="0062316F">
        <w:rPr>
          <w:rFonts w:ascii="Book Antiqua" w:hAnsi="Book Antiqua" w:cs="Times New Roman"/>
          <w:b/>
          <w:sz w:val="24"/>
          <w:szCs w:val="24"/>
        </w:rPr>
        <w:t>R</w:t>
      </w:r>
      <w:r w:rsidRPr="0062316F">
        <w:rPr>
          <w:rFonts w:ascii="Book Antiqua" w:hAnsi="Book Antiqua" w:cs="Times New Roman"/>
          <w:b/>
          <w:sz w:val="24"/>
          <w:szCs w:val="24"/>
        </w:rPr>
        <w:t>ejection</w:t>
      </w:r>
      <w:r w:rsidR="005B4452" w:rsidRPr="0062316F">
        <w:rPr>
          <w:rFonts w:ascii="Book Antiqua" w:hAnsi="Book Antiqua" w:cs="Times New Roman"/>
          <w:b/>
          <w:sz w:val="24"/>
          <w:szCs w:val="24"/>
        </w:rPr>
        <w:t xml:space="preserve"> and</w:t>
      </w:r>
      <w:r w:rsidRPr="0062316F">
        <w:rPr>
          <w:rFonts w:ascii="Book Antiqua" w:hAnsi="Book Antiqua" w:cs="Times New Roman"/>
          <w:b/>
          <w:sz w:val="24"/>
          <w:szCs w:val="24"/>
        </w:rPr>
        <w:t xml:space="preserve"> Graft </w:t>
      </w:r>
      <w:r w:rsidR="005B4452" w:rsidRPr="0062316F">
        <w:rPr>
          <w:rFonts w:ascii="Book Antiqua" w:hAnsi="Book Antiqua" w:cs="Times New Roman"/>
          <w:b/>
          <w:sz w:val="24"/>
          <w:szCs w:val="24"/>
        </w:rPr>
        <w:t>L</w:t>
      </w:r>
      <w:r w:rsidRPr="0062316F">
        <w:rPr>
          <w:rFonts w:ascii="Book Antiqua" w:hAnsi="Book Antiqua" w:cs="Times New Roman"/>
          <w:b/>
          <w:sz w:val="24"/>
          <w:szCs w:val="24"/>
        </w:rPr>
        <w:t xml:space="preserve">oss </w:t>
      </w:r>
    </w:p>
    <w:tbl>
      <w:tblPr>
        <w:tblStyle w:val="TableGrid"/>
        <w:tblW w:w="1295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160"/>
        <w:gridCol w:w="2520"/>
        <w:gridCol w:w="2160"/>
        <w:gridCol w:w="1890"/>
        <w:gridCol w:w="1440"/>
      </w:tblGrid>
      <w:tr w:rsidR="00744EB6" w:rsidRPr="0062316F" w14:paraId="5508AC16" w14:textId="77777777" w:rsidTr="007C172E">
        <w:tc>
          <w:tcPr>
            <w:tcW w:w="2785" w:type="dxa"/>
          </w:tcPr>
          <w:p w14:paraId="5EF15418"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Ref</w:t>
            </w:r>
          </w:p>
        </w:tc>
        <w:tc>
          <w:tcPr>
            <w:tcW w:w="2160" w:type="dxa"/>
          </w:tcPr>
          <w:p w14:paraId="4244FA1A" w14:textId="63A83016"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Biopsy-proven acute rejection at </w:t>
            </w:r>
            <w:r w:rsidRPr="0062316F">
              <w:rPr>
                <w:rFonts w:ascii="Cambria Math" w:hAnsi="Cambria Math" w:cs="Cambria Math"/>
                <w:b/>
                <w:sz w:val="24"/>
                <w:szCs w:val="24"/>
              </w:rPr>
              <w:t>⩾</w:t>
            </w:r>
            <w:r w:rsidR="00786DDC" w:rsidRPr="0062316F">
              <w:rPr>
                <w:rFonts w:ascii="Book Antiqua" w:hAnsi="Book Antiqua" w:cs="Cambria Math"/>
                <w:b/>
                <w:sz w:val="24"/>
                <w:szCs w:val="24"/>
              </w:rPr>
              <w:t xml:space="preserve"> </w:t>
            </w:r>
            <w:r w:rsidRPr="0062316F">
              <w:rPr>
                <w:rFonts w:ascii="Book Antiqua" w:hAnsi="Book Antiqua" w:cs="Times New Roman"/>
                <w:b/>
                <w:sz w:val="24"/>
                <w:szCs w:val="24"/>
              </w:rPr>
              <w:t xml:space="preserve">1 </w:t>
            </w:r>
            <w:proofErr w:type="spellStart"/>
            <w:r w:rsidRPr="0062316F">
              <w:rPr>
                <w:rFonts w:ascii="Book Antiqua" w:hAnsi="Book Antiqua" w:cs="Times New Roman"/>
                <w:b/>
                <w:sz w:val="24"/>
                <w:szCs w:val="24"/>
              </w:rPr>
              <w:t>yr</w:t>
            </w:r>
            <w:proofErr w:type="spellEnd"/>
            <w:r w:rsidRPr="0062316F">
              <w:rPr>
                <w:rFonts w:ascii="Book Antiqua" w:hAnsi="Book Antiqua" w:cs="Times New Roman"/>
                <w:b/>
                <w:sz w:val="24"/>
                <w:szCs w:val="24"/>
              </w:rPr>
              <w:t xml:space="preserve"> (%)</w:t>
            </w:r>
          </w:p>
        </w:tc>
        <w:tc>
          <w:tcPr>
            <w:tcW w:w="2520" w:type="dxa"/>
          </w:tcPr>
          <w:p w14:paraId="4E5AE008"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Biopsy-proven or presumed rejection at 3 </w:t>
            </w:r>
            <w:proofErr w:type="spellStart"/>
            <w:r w:rsidRPr="0062316F">
              <w:rPr>
                <w:rFonts w:ascii="Book Antiqua" w:hAnsi="Book Antiqua" w:cs="Times New Roman"/>
                <w:b/>
                <w:sz w:val="24"/>
                <w:szCs w:val="24"/>
              </w:rPr>
              <w:t>mo</w:t>
            </w:r>
            <w:proofErr w:type="spellEnd"/>
            <w:r w:rsidRPr="0062316F">
              <w:rPr>
                <w:rFonts w:ascii="Book Antiqua" w:hAnsi="Book Antiqua" w:cs="Times New Roman"/>
                <w:b/>
                <w:sz w:val="24"/>
                <w:szCs w:val="24"/>
              </w:rPr>
              <w:t xml:space="preserve"> (%)</w:t>
            </w:r>
          </w:p>
        </w:tc>
        <w:tc>
          <w:tcPr>
            <w:tcW w:w="2160" w:type="dxa"/>
          </w:tcPr>
          <w:p w14:paraId="2BA01E1F"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Median time to rejection</w:t>
            </w:r>
          </w:p>
        </w:tc>
        <w:tc>
          <w:tcPr>
            <w:tcW w:w="1890" w:type="dxa"/>
          </w:tcPr>
          <w:p w14:paraId="5A0C92A2"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Antibody mediated rejection (%)</w:t>
            </w:r>
          </w:p>
        </w:tc>
        <w:tc>
          <w:tcPr>
            <w:tcW w:w="1440" w:type="dxa"/>
          </w:tcPr>
          <w:p w14:paraId="2BBD9D86"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Graft loss (%)</w:t>
            </w:r>
          </w:p>
        </w:tc>
      </w:tr>
      <w:tr w:rsidR="005E0AC5" w:rsidRPr="0062316F" w14:paraId="42B9EE0E" w14:textId="77777777" w:rsidTr="007C172E">
        <w:tc>
          <w:tcPr>
            <w:tcW w:w="12955" w:type="dxa"/>
            <w:gridSpan w:val="6"/>
          </w:tcPr>
          <w:p w14:paraId="08CE6F91" w14:textId="7C4EC283" w:rsidR="005E0AC5" w:rsidRPr="0062316F" w:rsidRDefault="005E0AC5"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32]</w:t>
            </w:r>
            <w:r w:rsidRPr="0062316F">
              <w:rPr>
                <w:rFonts w:ascii="Book Antiqua" w:hAnsi="Book Antiqua" w:cs="Times New Roman"/>
                <w:sz w:val="24"/>
                <w:szCs w:val="24"/>
              </w:rPr>
              <w:t xml:space="preserve"> 2012</w:t>
            </w:r>
          </w:p>
        </w:tc>
      </w:tr>
      <w:tr w:rsidR="00744EB6" w:rsidRPr="0062316F" w14:paraId="58C2175F" w14:textId="77777777" w:rsidTr="007C172E">
        <w:tc>
          <w:tcPr>
            <w:tcW w:w="2785" w:type="dxa"/>
          </w:tcPr>
          <w:p w14:paraId="73A3249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40B5091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25 (16%)</w:t>
            </w:r>
          </w:p>
        </w:tc>
        <w:tc>
          <w:tcPr>
            <w:tcW w:w="2520" w:type="dxa"/>
          </w:tcPr>
          <w:p w14:paraId="7052CB4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553534A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4.1 </w:t>
            </w:r>
            <w:proofErr w:type="spellStart"/>
            <w:r w:rsidRPr="0062316F">
              <w:rPr>
                <w:rFonts w:ascii="Book Antiqua" w:hAnsi="Book Antiqua" w:cs="Times New Roman"/>
                <w:sz w:val="24"/>
                <w:szCs w:val="24"/>
              </w:rPr>
              <w:t>mo</w:t>
            </w:r>
            <w:proofErr w:type="spellEnd"/>
          </w:p>
        </w:tc>
        <w:tc>
          <w:tcPr>
            <w:tcW w:w="1890" w:type="dxa"/>
          </w:tcPr>
          <w:p w14:paraId="7B386BD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3.3%</w:t>
            </w:r>
          </w:p>
        </w:tc>
        <w:tc>
          <w:tcPr>
            <w:tcW w:w="1440" w:type="dxa"/>
          </w:tcPr>
          <w:p w14:paraId="666F997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17BBCEEE" w14:textId="77777777" w:rsidTr="007C172E">
        <w:tc>
          <w:tcPr>
            <w:tcW w:w="2785" w:type="dxa"/>
          </w:tcPr>
          <w:p w14:paraId="6FB1128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No PPI</w:t>
            </w:r>
          </w:p>
        </w:tc>
        <w:tc>
          <w:tcPr>
            <w:tcW w:w="2160" w:type="dxa"/>
          </w:tcPr>
          <w:p w14:paraId="0CFB3C8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60 (15%)</w:t>
            </w:r>
          </w:p>
        </w:tc>
        <w:tc>
          <w:tcPr>
            <w:tcW w:w="2520" w:type="dxa"/>
          </w:tcPr>
          <w:p w14:paraId="0956276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0B3BF2B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3.3 </w:t>
            </w:r>
            <w:proofErr w:type="spellStart"/>
            <w:r w:rsidRPr="0062316F">
              <w:rPr>
                <w:rFonts w:ascii="Book Antiqua" w:hAnsi="Book Antiqua" w:cs="Times New Roman"/>
                <w:sz w:val="24"/>
                <w:szCs w:val="24"/>
              </w:rPr>
              <w:t>mo</w:t>
            </w:r>
            <w:proofErr w:type="spellEnd"/>
          </w:p>
        </w:tc>
        <w:tc>
          <w:tcPr>
            <w:tcW w:w="1890" w:type="dxa"/>
          </w:tcPr>
          <w:p w14:paraId="1DE72FE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w:t>
            </w:r>
          </w:p>
        </w:tc>
        <w:tc>
          <w:tcPr>
            <w:tcW w:w="1440" w:type="dxa"/>
          </w:tcPr>
          <w:p w14:paraId="6F601CF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1FEB48D2" w14:textId="77777777" w:rsidTr="007C172E">
        <w:tc>
          <w:tcPr>
            <w:tcW w:w="2785" w:type="dxa"/>
          </w:tcPr>
          <w:p w14:paraId="3F447FC6" w14:textId="1DE9564D"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 xml:space="preserve">P </w:t>
            </w:r>
          </w:p>
        </w:tc>
        <w:tc>
          <w:tcPr>
            <w:tcW w:w="2160" w:type="dxa"/>
          </w:tcPr>
          <w:p w14:paraId="1A2BD56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0.69</w:t>
            </w:r>
          </w:p>
        </w:tc>
        <w:tc>
          <w:tcPr>
            <w:tcW w:w="2520" w:type="dxa"/>
          </w:tcPr>
          <w:p w14:paraId="61CDCEAD" w14:textId="7489192B"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160" w:type="dxa"/>
          </w:tcPr>
          <w:p w14:paraId="712C546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c>
          <w:tcPr>
            <w:tcW w:w="1890" w:type="dxa"/>
          </w:tcPr>
          <w:p w14:paraId="075CC77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c>
          <w:tcPr>
            <w:tcW w:w="1440" w:type="dxa"/>
          </w:tcPr>
          <w:p w14:paraId="6BB9E253" w14:textId="4A9770F2"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744EB6" w:rsidRPr="0062316F" w14:paraId="377B8F28" w14:textId="77777777" w:rsidTr="007C172E">
        <w:tc>
          <w:tcPr>
            <w:tcW w:w="12955" w:type="dxa"/>
            <w:gridSpan w:val="6"/>
          </w:tcPr>
          <w:p w14:paraId="6569C1D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Knorr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 xml:space="preserve">20] </w:t>
            </w:r>
            <w:r w:rsidRPr="0062316F">
              <w:rPr>
                <w:rFonts w:ascii="Book Antiqua" w:hAnsi="Book Antiqua" w:cs="Times New Roman"/>
                <w:sz w:val="24"/>
                <w:szCs w:val="24"/>
              </w:rPr>
              <w:t>2014</w:t>
            </w:r>
          </w:p>
        </w:tc>
      </w:tr>
      <w:tr w:rsidR="00744EB6" w:rsidRPr="0062316F" w14:paraId="19E34CAE" w14:textId="77777777" w:rsidTr="007C172E">
        <w:tc>
          <w:tcPr>
            <w:tcW w:w="2785" w:type="dxa"/>
          </w:tcPr>
          <w:p w14:paraId="29D51A6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2B0AEEF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32/213 (15%)</w:t>
            </w:r>
          </w:p>
        </w:tc>
        <w:tc>
          <w:tcPr>
            <w:tcW w:w="2520" w:type="dxa"/>
          </w:tcPr>
          <w:p w14:paraId="4377A03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0B3F1150" w14:textId="26EF911B"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110</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91 d</w:t>
            </w:r>
          </w:p>
        </w:tc>
        <w:tc>
          <w:tcPr>
            <w:tcW w:w="1890" w:type="dxa"/>
          </w:tcPr>
          <w:p w14:paraId="56CAB07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1/32 (3.1%)</w:t>
            </w:r>
          </w:p>
        </w:tc>
        <w:tc>
          <w:tcPr>
            <w:tcW w:w="1440" w:type="dxa"/>
          </w:tcPr>
          <w:p w14:paraId="1DD256B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9/213 (4.2%)</w:t>
            </w:r>
          </w:p>
        </w:tc>
      </w:tr>
      <w:tr w:rsidR="00744EB6" w:rsidRPr="0062316F" w14:paraId="26114E69" w14:textId="77777777" w:rsidTr="007C172E">
        <w:tc>
          <w:tcPr>
            <w:tcW w:w="2785" w:type="dxa"/>
          </w:tcPr>
          <w:p w14:paraId="590158C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H2A</w:t>
            </w:r>
          </w:p>
        </w:tc>
        <w:tc>
          <w:tcPr>
            <w:tcW w:w="2160" w:type="dxa"/>
          </w:tcPr>
          <w:p w14:paraId="761A0ED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46/384 (12%)</w:t>
            </w:r>
          </w:p>
        </w:tc>
        <w:tc>
          <w:tcPr>
            <w:tcW w:w="2520" w:type="dxa"/>
          </w:tcPr>
          <w:p w14:paraId="65602E7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62013435" w14:textId="113BDE2E"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110</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112 d</w:t>
            </w:r>
          </w:p>
        </w:tc>
        <w:tc>
          <w:tcPr>
            <w:tcW w:w="1890" w:type="dxa"/>
          </w:tcPr>
          <w:p w14:paraId="5E5C74E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2/46 (4.3%)</w:t>
            </w:r>
          </w:p>
        </w:tc>
        <w:tc>
          <w:tcPr>
            <w:tcW w:w="1440" w:type="dxa"/>
          </w:tcPr>
          <w:p w14:paraId="7CEC6F8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19/384 (4.9%)</w:t>
            </w:r>
          </w:p>
        </w:tc>
      </w:tr>
      <w:tr w:rsidR="00744EB6" w:rsidRPr="0062316F" w14:paraId="6CA99CBD" w14:textId="77777777" w:rsidTr="007C172E">
        <w:tc>
          <w:tcPr>
            <w:tcW w:w="2785" w:type="dxa"/>
          </w:tcPr>
          <w:p w14:paraId="79E7D876" w14:textId="77777777" w:rsidR="00E9347F" w:rsidRPr="0062316F" w:rsidRDefault="00E9347F"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P</w:t>
            </w:r>
          </w:p>
        </w:tc>
        <w:tc>
          <w:tcPr>
            <w:tcW w:w="2160" w:type="dxa"/>
          </w:tcPr>
          <w:p w14:paraId="04BC05F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0.15</w:t>
            </w:r>
          </w:p>
        </w:tc>
        <w:tc>
          <w:tcPr>
            <w:tcW w:w="2520" w:type="dxa"/>
          </w:tcPr>
          <w:p w14:paraId="23DE523C" w14:textId="2ED4C42A"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160" w:type="dxa"/>
          </w:tcPr>
          <w:p w14:paraId="4B3AA50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1.0</w:t>
            </w:r>
          </w:p>
        </w:tc>
        <w:tc>
          <w:tcPr>
            <w:tcW w:w="1890" w:type="dxa"/>
          </w:tcPr>
          <w:p w14:paraId="1081E17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3937CB7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0.84</w:t>
            </w:r>
          </w:p>
        </w:tc>
      </w:tr>
      <w:tr w:rsidR="005E0AC5" w:rsidRPr="0062316F" w14:paraId="213D89A3" w14:textId="77777777" w:rsidTr="007C172E">
        <w:tc>
          <w:tcPr>
            <w:tcW w:w="12955" w:type="dxa"/>
            <w:gridSpan w:val="6"/>
          </w:tcPr>
          <w:p w14:paraId="6537F28F" w14:textId="1360A83D" w:rsidR="005E0AC5" w:rsidRPr="0062316F" w:rsidRDefault="0009478B"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v</w:t>
            </w:r>
            <w:r w:rsidR="005E0AC5" w:rsidRPr="0062316F">
              <w:rPr>
                <w:rFonts w:ascii="Book Antiqua" w:hAnsi="Book Antiqua" w:cs="Times New Roman"/>
                <w:sz w:val="24"/>
                <w:szCs w:val="24"/>
              </w:rPr>
              <w:t xml:space="preserve">an </w:t>
            </w:r>
            <w:proofErr w:type="spellStart"/>
            <w:r w:rsidR="005E0AC5" w:rsidRPr="0062316F">
              <w:rPr>
                <w:rFonts w:ascii="Book Antiqua" w:hAnsi="Book Antiqua" w:cs="Times New Roman"/>
                <w:sz w:val="24"/>
                <w:szCs w:val="24"/>
              </w:rPr>
              <w:t>Boekel</w:t>
            </w:r>
            <w:proofErr w:type="spellEnd"/>
            <w:r w:rsidR="005E0AC5" w:rsidRPr="0062316F">
              <w:rPr>
                <w:rFonts w:ascii="Book Antiqua" w:hAnsi="Book Antiqua" w:cs="Times New Roman"/>
                <w:i/>
                <w:sz w:val="24"/>
                <w:szCs w:val="24"/>
              </w:rPr>
              <w:t xml:space="preserve"> et </w:t>
            </w:r>
            <w:proofErr w:type="gramStart"/>
            <w:r w:rsidR="005E0AC5" w:rsidRPr="0062316F">
              <w:rPr>
                <w:rFonts w:ascii="Book Antiqua" w:hAnsi="Book Antiqua" w:cs="Times New Roman"/>
                <w:i/>
                <w:sz w:val="24"/>
                <w:szCs w:val="24"/>
              </w:rPr>
              <w:t>al</w:t>
            </w:r>
            <w:r w:rsidR="005E0AC5" w:rsidRPr="0062316F">
              <w:rPr>
                <w:rFonts w:ascii="Book Antiqua" w:hAnsi="Book Antiqua" w:cs="Times New Roman"/>
                <w:noProof/>
                <w:sz w:val="24"/>
                <w:szCs w:val="24"/>
                <w:vertAlign w:val="superscript"/>
              </w:rPr>
              <w:t>[</w:t>
            </w:r>
            <w:proofErr w:type="gramEnd"/>
            <w:r w:rsidR="005E0AC5" w:rsidRPr="0062316F">
              <w:rPr>
                <w:rFonts w:ascii="Book Antiqua" w:hAnsi="Book Antiqua" w:cs="Times New Roman"/>
                <w:noProof/>
                <w:sz w:val="24"/>
                <w:szCs w:val="24"/>
                <w:vertAlign w:val="superscript"/>
              </w:rPr>
              <w:t>22]</w:t>
            </w:r>
            <w:r w:rsidR="005E0AC5" w:rsidRPr="0062316F">
              <w:rPr>
                <w:rFonts w:ascii="Book Antiqua" w:hAnsi="Book Antiqua" w:cs="Times New Roman"/>
                <w:sz w:val="24"/>
                <w:szCs w:val="24"/>
              </w:rPr>
              <w:t xml:space="preserve"> 2014</w:t>
            </w:r>
          </w:p>
        </w:tc>
      </w:tr>
      <w:tr w:rsidR="00744EB6" w:rsidRPr="0062316F" w14:paraId="7611927F" w14:textId="77777777" w:rsidTr="007C172E">
        <w:tc>
          <w:tcPr>
            <w:tcW w:w="2785" w:type="dxa"/>
          </w:tcPr>
          <w:p w14:paraId="42B9014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5E65C9A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520" w:type="dxa"/>
          </w:tcPr>
          <w:p w14:paraId="369191E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25/125 (20%)</w:t>
            </w:r>
          </w:p>
          <w:p w14:paraId="09DD579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BPAR: 13/125 (10.4%)</w:t>
            </w:r>
          </w:p>
        </w:tc>
        <w:tc>
          <w:tcPr>
            <w:tcW w:w="2160" w:type="dxa"/>
          </w:tcPr>
          <w:p w14:paraId="5BC108E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32EFA6F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5C6A66F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454A52FD" w14:textId="77777777" w:rsidTr="007C172E">
        <w:tc>
          <w:tcPr>
            <w:tcW w:w="2785" w:type="dxa"/>
          </w:tcPr>
          <w:p w14:paraId="348AB7C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H2RA</w:t>
            </w:r>
          </w:p>
        </w:tc>
        <w:tc>
          <w:tcPr>
            <w:tcW w:w="2160" w:type="dxa"/>
          </w:tcPr>
          <w:p w14:paraId="4C0C040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520" w:type="dxa"/>
          </w:tcPr>
          <w:p w14:paraId="61F487C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15/77 (19.5%)</w:t>
            </w:r>
          </w:p>
          <w:p w14:paraId="378E1D5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BPAR: 7/77 (9.1%)</w:t>
            </w:r>
          </w:p>
        </w:tc>
        <w:tc>
          <w:tcPr>
            <w:tcW w:w="2160" w:type="dxa"/>
          </w:tcPr>
          <w:p w14:paraId="7A4D8E0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663CDE2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470C407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143B9CE9" w14:textId="77777777" w:rsidTr="007C172E">
        <w:tc>
          <w:tcPr>
            <w:tcW w:w="2785" w:type="dxa"/>
          </w:tcPr>
          <w:p w14:paraId="543BC218" w14:textId="09C43591"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P</w:t>
            </w:r>
          </w:p>
        </w:tc>
        <w:tc>
          <w:tcPr>
            <w:tcW w:w="2160" w:type="dxa"/>
          </w:tcPr>
          <w:p w14:paraId="6DFB9E20" w14:textId="36C432B0"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520" w:type="dxa"/>
          </w:tcPr>
          <w:p w14:paraId="73953B0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c>
          <w:tcPr>
            <w:tcW w:w="2160" w:type="dxa"/>
          </w:tcPr>
          <w:p w14:paraId="70DF9E56" w14:textId="1FD95BE9"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890" w:type="dxa"/>
          </w:tcPr>
          <w:p w14:paraId="44E871BC" w14:textId="70A7C88B"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440" w:type="dxa"/>
          </w:tcPr>
          <w:p w14:paraId="144A5D23" w14:textId="6FC56099"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5E0AC5" w:rsidRPr="0062316F" w14:paraId="63009522" w14:textId="77777777" w:rsidTr="007C172E">
        <w:tc>
          <w:tcPr>
            <w:tcW w:w="12955" w:type="dxa"/>
            <w:gridSpan w:val="6"/>
          </w:tcPr>
          <w:p w14:paraId="738610EB" w14:textId="618BA41E" w:rsidR="005E0AC5" w:rsidRPr="0062316F" w:rsidRDefault="005E0AC5"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lastRenderedPageBreak/>
              <w:t>Courson</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21]</w:t>
            </w:r>
            <w:r w:rsidRPr="0062316F">
              <w:rPr>
                <w:rFonts w:ascii="Book Antiqua" w:hAnsi="Book Antiqua" w:cs="Times New Roman"/>
                <w:sz w:val="24"/>
                <w:szCs w:val="24"/>
              </w:rPr>
              <w:t xml:space="preserve"> 2014</w:t>
            </w:r>
          </w:p>
        </w:tc>
      </w:tr>
      <w:tr w:rsidR="00744EB6" w:rsidRPr="0062316F" w14:paraId="34BFC959" w14:textId="77777777" w:rsidTr="007C172E">
        <w:tc>
          <w:tcPr>
            <w:tcW w:w="2785" w:type="dxa"/>
          </w:tcPr>
          <w:p w14:paraId="25931B4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793970A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16/171 (9.4%)</w:t>
            </w:r>
          </w:p>
        </w:tc>
        <w:tc>
          <w:tcPr>
            <w:tcW w:w="2520" w:type="dxa"/>
          </w:tcPr>
          <w:p w14:paraId="1D7140E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01517162" w14:textId="4747B48C"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116</w:t>
            </w:r>
            <w:r w:rsidRPr="0062316F">
              <w:rPr>
                <w:rStyle w:val="st"/>
                <w:rFonts w:ascii="Book Antiqua" w:hAnsi="Book Antiqua"/>
                <w:sz w:val="24"/>
                <w:szCs w:val="24"/>
              </w:rPr>
              <w:t>±</w:t>
            </w:r>
            <w:r w:rsidRPr="0062316F">
              <w:rPr>
                <w:rFonts w:ascii="Book Antiqua" w:hAnsi="Book Antiqua" w:cs="Times New Roman"/>
                <w:sz w:val="24"/>
                <w:szCs w:val="24"/>
              </w:rPr>
              <w:t>92 d</w:t>
            </w:r>
            <w:r w:rsidRPr="0062316F">
              <w:rPr>
                <w:rFonts w:ascii="Book Antiqua" w:hAnsi="Book Antiqua" w:cs="Times New Roman"/>
                <w:sz w:val="24"/>
                <w:szCs w:val="24"/>
                <w:vertAlign w:val="superscript"/>
              </w:rPr>
              <w:t>1</w:t>
            </w:r>
          </w:p>
        </w:tc>
        <w:tc>
          <w:tcPr>
            <w:tcW w:w="1890" w:type="dxa"/>
          </w:tcPr>
          <w:p w14:paraId="3F343BF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5/16 (31%)</w:t>
            </w:r>
          </w:p>
        </w:tc>
        <w:tc>
          <w:tcPr>
            <w:tcW w:w="1440" w:type="dxa"/>
          </w:tcPr>
          <w:p w14:paraId="322FC4D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4/171 (2.3%) </w:t>
            </w:r>
          </w:p>
        </w:tc>
      </w:tr>
      <w:tr w:rsidR="00744EB6" w:rsidRPr="0062316F" w14:paraId="124C9167" w14:textId="77777777" w:rsidTr="007C172E">
        <w:tc>
          <w:tcPr>
            <w:tcW w:w="2785" w:type="dxa"/>
          </w:tcPr>
          <w:p w14:paraId="3B11FFE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H2RA</w:t>
            </w:r>
          </w:p>
        </w:tc>
        <w:tc>
          <w:tcPr>
            <w:tcW w:w="2160" w:type="dxa"/>
          </w:tcPr>
          <w:p w14:paraId="4BB6A36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3/115 (2.6%)</w:t>
            </w:r>
          </w:p>
        </w:tc>
        <w:tc>
          <w:tcPr>
            <w:tcW w:w="2520" w:type="dxa"/>
          </w:tcPr>
          <w:p w14:paraId="6A6ADEC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625AA77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both</w:t>
            </w:r>
          </w:p>
        </w:tc>
        <w:tc>
          <w:tcPr>
            <w:tcW w:w="1890" w:type="dxa"/>
          </w:tcPr>
          <w:p w14:paraId="4B58431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w:t>
            </w:r>
          </w:p>
        </w:tc>
        <w:tc>
          <w:tcPr>
            <w:tcW w:w="1440" w:type="dxa"/>
          </w:tcPr>
          <w:p w14:paraId="413D35C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2/115 (1.7%)</w:t>
            </w:r>
          </w:p>
        </w:tc>
      </w:tr>
      <w:tr w:rsidR="00744EB6" w:rsidRPr="0062316F" w14:paraId="0263C77F" w14:textId="77777777" w:rsidTr="007C172E">
        <w:tc>
          <w:tcPr>
            <w:tcW w:w="2785" w:type="dxa"/>
          </w:tcPr>
          <w:p w14:paraId="0E7E9658" w14:textId="7989BB78"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P</w:t>
            </w:r>
          </w:p>
        </w:tc>
        <w:tc>
          <w:tcPr>
            <w:tcW w:w="2160" w:type="dxa"/>
          </w:tcPr>
          <w:p w14:paraId="6083CFF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0.029</w:t>
            </w:r>
          </w:p>
        </w:tc>
        <w:tc>
          <w:tcPr>
            <w:tcW w:w="2520" w:type="dxa"/>
          </w:tcPr>
          <w:p w14:paraId="637805D2" w14:textId="4C8C2069"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160" w:type="dxa"/>
          </w:tcPr>
          <w:p w14:paraId="4A589AA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c>
          <w:tcPr>
            <w:tcW w:w="1890" w:type="dxa"/>
          </w:tcPr>
          <w:p w14:paraId="7ABC73B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0.53</w:t>
            </w:r>
          </w:p>
        </w:tc>
        <w:tc>
          <w:tcPr>
            <w:tcW w:w="1440" w:type="dxa"/>
          </w:tcPr>
          <w:p w14:paraId="649841B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w:t>
            </w:r>
          </w:p>
        </w:tc>
      </w:tr>
      <w:tr w:rsidR="005E0AC5" w:rsidRPr="0062316F" w14:paraId="730ED47A" w14:textId="77777777" w:rsidTr="007C172E">
        <w:tc>
          <w:tcPr>
            <w:tcW w:w="12955" w:type="dxa"/>
            <w:gridSpan w:val="6"/>
          </w:tcPr>
          <w:p w14:paraId="463F29E8" w14:textId="08B2C069" w:rsidR="005E0AC5" w:rsidRPr="0062316F" w:rsidRDefault="005E0AC5"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23]</w:t>
            </w:r>
            <w:r w:rsidRPr="0062316F">
              <w:rPr>
                <w:rFonts w:ascii="Book Antiqua" w:hAnsi="Book Antiqua" w:cs="Times New Roman"/>
                <w:sz w:val="24"/>
                <w:szCs w:val="24"/>
              </w:rPr>
              <w:t xml:space="preserve"> 2017</w:t>
            </w:r>
          </w:p>
        </w:tc>
      </w:tr>
      <w:tr w:rsidR="00744EB6" w:rsidRPr="0062316F" w14:paraId="50272200" w14:textId="77777777" w:rsidTr="007C172E">
        <w:tc>
          <w:tcPr>
            <w:tcW w:w="2785" w:type="dxa"/>
          </w:tcPr>
          <w:p w14:paraId="6184326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1711F33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11/183 (19%)</w:t>
            </w:r>
          </w:p>
        </w:tc>
        <w:tc>
          <w:tcPr>
            <w:tcW w:w="2520" w:type="dxa"/>
          </w:tcPr>
          <w:p w14:paraId="10A4DBB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12/183 (4.9%)</w:t>
            </w:r>
          </w:p>
        </w:tc>
        <w:tc>
          <w:tcPr>
            <w:tcW w:w="2160" w:type="dxa"/>
          </w:tcPr>
          <w:p w14:paraId="7A6495C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106 (57-286) days</w:t>
            </w:r>
            <w:r w:rsidRPr="0062316F">
              <w:rPr>
                <w:rFonts w:ascii="Book Antiqua" w:hAnsi="Book Antiqua" w:cs="Times New Roman"/>
                <w:sz w:val="24"/>
                <w:szCs w:val="24"/>
                <w:vertAlign w:val="superscript"/>
              </w:rPr>
              <w:t>2</w:t>
            </w:r>
          </w:p>
        </w:tc>
        <w:tc>
          <w:tcPr>
            <w:tcW w:w="1890" w:type="dxa"/>
          </w:tcPr>
          <w:p w14:paraId="5B48A1C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1/11 (9.1%)</w:t>
            </w:r>
          </w:p>
        </w:tc>
        <w:tc>
          <w:tcPr>
            <w:tcW w:w="1440" w:type="dxa"/>
          </w:tcPr>
          <w:p w14:paraId="19E3AD2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9/183 (4.9%)</w:t>
            </w:r>
          </w:p>
        </w:tc>
      </w:tr>
      <w:tr w:rsidR="00744EB6" w:rsidRPr="0062316F" w14:paraId="18D87578" w14:textId="77777777" w:rsidTr="007C172E">
        <w:tc>
          <w:tcPr>
            <w:tcW w:w="2785" w:type="dxa"/>
          </w:tcPr>
          <w:p w14:paraId="6FC6E17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H2RA</w:t>
            </w:r>
          </w:p>
        </w:tc>
        <w:tc>
          <w:tcPr>
            <w:tcW w:w="2160" w:type="dxa"/>
          </w:tcPr>
          <w:p w14:paraId="1334D2C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28/339 (14%)</w:t>
            </w:r>
          </w:p>
        </w:tc>
        <w:tc>
          <w:tcPr>
            <w:tcW w:w="2520" w:type="dxa"/>
          </w:tcPr>
          <w:p w14:paraId="45AFD07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9/339 (3.5%)</w:t>
            </w:r>
          </w:p>
        </w:tc>
        <w:tc>
          <w:tcPr>
            <w:tcW w:w="2160" w:type="dxa"/>
          </w:tcPr>
          <w:p w14:paraId="75CB8ED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139 (96-339) days</w:t>
            </w:r>
          </w:p>
        </w:tc>
        <w:tc>
          <w:tcPr>
            <w:tcW w:w="1890" w:type="dxa"/>
          </w:tcPr>
          <w:p w14:paraId="73CB7BF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2/28 (7.1%)</w:t>
            </w:r>
          </w:p>
        </w:tc>
        <w:tc>
          <w:tcPr>
            <w:tcW w:w="1440" w:type="dxa"/>
          </w:tcPr>
          <w:p w14:paraId="3F30841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8/339 (2.4%)</w:t>
            </w:r>
          </w:p>
        </w:tc>
      </w:tr>
      <w:tr w:rsidR="00744EB6" w:rsidRPr="0062316F" w14:paraId="1D0DAD98" w14:textId="77777777" w:rsidTr="007C172E">
        <w:tc>
          <w:tcPr>
            <w:tcW w:w="2785" w:type="dxa"/>
          </w:tcPr>
          <w:p w14:paraId="25352A61" w14:textId="2D8E608E"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P</w:t>
            </w:r>
          </w:p>
        </w:tc>
        <w:tc>
          <w:tcPr>
            <w:tcW w:w="2160" w:type="dxa"/>
          </w:tcPr>
          <w:p w14:paraId="5DB67DC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0.35</w:t>
            </w:r>
          </w:p>
        </w:tc>
        <w:tc>
          <w:tcPr>
            <w:tcW w:w="2520" w:type="dxa"/>
          </w:tcPr>
          <w:p w14:paraId="67EBBEB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0.44</w:t>
            </w:r>
          </w:p>
        </w:tc>
        <w:tc>
          <w:tcPr>
            <w:tcW w:w="2160" w:type="dxa"/>
          </w:tcPr>
          <w:p w14:paraId="5DC6F1F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0.28</w:t>
            </w:r>
          </w:p>
        </w:tc>
        <w:tc>
          <w:tcPr>
            <w:tcW w:w="1890" w:type="dxa"/>
          </w:tcPr>
          <w:p w14:paraId="639D63E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0E2E7C8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0.12</w:t>
            </w:r>
          </w:p>
        </w:tc>
      </w:tr>
      <w:tr w:rsidR="005E0AC5" w:rsidRPr="0062316F" w14:paraId="095DF9FD" w14:textId="77777777" w:rsidTr="007C172E">
        <w:tc>
          <w:tcPr>
            <w:tcW w:w="12955" w:type="dxa"/>
            <w:gridSpan w:val="6"/>
          </w:tcPr>
          <w:p w14:paraId="3B7B4B86" w14:textId="4412C815" w:rsidR="005E0AC5" w:rsidRPr="0062316F" w:rsidRDefault="005E0AC5"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Rouse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24]</w:t>
            </w:r>
            <w:r w:rsidRPr="0062316F">
              <w:rPr>
                <w:rFonts w:ascii="Book Antiqua" w:hAnsi="Book Antiqua" w:cs="Times New Roman"/>
                <w:sz w:val="24"/>
                <w:szCs w:val="24"/>
              </w:rPr>
              <w:t xml:space="preserve"> 2017</w:t>
            </w:r>
          </w:p>
        </w:tc>
      </w:tr>
      <w:tr w:rsidR="00744EB6" w:rsidRPr="0062316F" w14:paraId="69DEDD79" w14:textId="77777777" w:rsidTr="007C172E">
        <w:tc>
          <w:tcPr>
            <w:tcW w:w="2785" w:type="dxa"/>
          </w:tcPr>
          <w:p w14:paraId="6DF08F6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4680" w:type="dxa"/>
            <w:gridSpan w:val="2"/>
          </w:tcPr>
          <w:p w14:paraId="5D4A6DA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5/35</w:t>
            </w:r>
          </w:p>
          <w:p w14:paraId="74C32C4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2FD044C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4A40D67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2/5 (40%)</w:t>
            </w:r>
          </w:p>
        </w:tc>
        <w:tc>
          <w:tcPr>
            <w:tcW w:w="1440" w:type="dxa"/>
          </w:tcPr>
          <w:p w14:paraId="5916C9C5"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2AEE3929" w14:textId="77777777" w:rsidTr="007C172E">
        <w:tc>
          <w:tcPr>
            <w:tcW w:w="2785" w:type="dxa"/>
          </w:tcPr>
          <w:p w14:paraId="66085F3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H2RA</w:t>
            </w:r>
          </w:p>
        </w:tc>
        <w:tc>
          <w:tcPr>
            <w:tcW w:w="2160" w:type="dxa"/>
          </w:tcPr>
          <w:p w14:paraId="701533A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26/176</w:t>
            </w:r>
          </w:p>
        </w:tc>
        <w:tc>
          <w:tcPr>
            <w:tcW w:w="2520" w:type="dxa"/>
          </w:tcPr>
          <w:p w14:paraId="2056288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7C05AA8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55A9834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3/26 (12%)</w:t>
            </w:r>
          </w:p>
        </w:tc>
        <w:tc>
          <w:tcPr>
            <w:tcW w:w="1440" w:type="dxa"/>
          </w:tcPr>
          <w:p w14:paraId="7EA3ACC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744EB6" w:rsidRPr="0062316F" w14:paraId="06553855" w14:textId="77777777" w:rsidTr="007C172E">
        <w:tc>
          <w:tcPr>
            <w:tcW w:w="2785" w:type="dxa"/>
          </w:tcPr>
          <w:p w14:paraId="6ED70CD8" w14:textId="049D579E"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t>P</w:t>
            </w:r>
          </w:p>
        </w:tc>
        <w:tc>
          <w:tcPr>
            <w:tcW w:w="2160" w:type="dxa"/>
          </w:tcPr>
          <w:p w14:paraId="2ED06E6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1.0</w:t>
            </w:r>
          </w:p>
        </w:tc>
        <w:tc>
          <w:tcPr>
            <w:tcW w:w="2520" w:type="dxa"/>
          </w:tcPr>
          <w:p w14:paraId="3A0FF5F2" w14:textId="0217C133"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160" w:type="dxa"/>
          </w:tcPr>
          <w:p w14:paraId="5630AD66" w14:textId="645B7F7E"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890" w:type="dxa"/>
          </w:tcPr>
          <w:p w14:paraId="7D8B33C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0.03</w:t>
            </w:r>
          </w:p>
        </w:tc>
        <w:tc>
          <w:tcPr>
            <w:tcW w:w="1440" w:type="dxa"/>
          </w:tcPr>
          <w:p w14:paraId="61829076" w14:textId="2336EDDD"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5E0AC5" w:rsidRPr="0062316F" w14:paraId="2F1DA26C" w14:textId="77777777" w:rsidTr="007C172E">
        <w:tc>
          <w:tcPr>
            <w:tcW w:w="12955" w:type="dxa"/>
            <w:gridSpan w:val="6"/>
          </w:tcPr>
          <w:p w14:paraId="2BA226A1" w14:textId="33EB5369" w:rsidR="005E0AC5" w:rsidRPr="0062316F" w:rsidRDefault="005E0AC5"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37]</w:t>
            </w:r>
            <w:r w:rsidRPr="0062316F">
              <w:rPr>
                <w:rFonts w:ascii="Book Antiqua" w:hAnsi="Book Antiqua" w:cs="Times New Roman"/>
                <w:sz w:val="24"/>
                <w:szCs w:val="24"/>
              </w:rPr>
              <w:t xml:space="preserve"> 2017</w:t>
            </w:r>
          </w:p>
        </w:tc>
      </w:tr>
      <w:tr w:rsidR="00744EB6" w:rsidRPr="0062316F" w14:paraId="0B93E9DB" w14:textId="77777777" w:rsidTr="007C172E">
        <w:tc>
          <w:tcPr>
            <w:tcW w:w="2785" w:type="dxa"/>
          </w:tcPr>
          <w:p w14:paraId="394E9CA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PPI</w:t>
            </w:r>
          </w:p>
        </w:tc>
        <w:tc>
          <w:tcPr>
            <w:tcW w:w="2160" w:type="dxa"/>
          </w:tcPr>
          <w:p w14:paraId="40FBA3E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36/233 (15.5%)</w:t>
            </w:r>
          </w:p>
        </w:tc>
        <w:tc>
          <w:tcPr>
            <w:tcW w:w="2520" w:type="dxa"/>
          </w:tcPr>
          <w:p w14:paraId="3E8654D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32AB6EB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0F36A6A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181F8FE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11/233 (4.7%)</w:t>
            </w:r>
          </w:p>
        </w:tc>
      </w:tr>
      <w:tr w:rsidR="00744EB6" w:rsidRPr="0062316F" w14:paraId="39124CA3" w14:textId="77777777" w:rsidTr="007C172E">
        <w:tc>
          <w:tcPr>
            <w:tcW w:w="2785" w:type="dxa"/>
          </w:tcPr>
          <w:p w14:paraId="13FAB6F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No PPI</w:t>
            </w:r>
          </w:p>
        </w:tc>
        <w:tc>
          <w:tcPr>
            <w:tcW w:w="2160" w:type="dxa"/>
          </w:tcPr>
          <w:p w14:paraId="329F3A02"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5/69 (7.2%)</w:t>
            </w:r>
          </w:p>
        </w:tc>
        <w:tc>
          <w:tcPr>
            <w:tcW w:w="2520" w:type="dxa"/>
          </w:tcPr>
          <w:p w14:paraId="2D77440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160" w:type="dxa"/>
          </w:tcPr>
          <w:p w14:paraId="0EC294F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890" w:type="dxa"/>
          </w:tcPr>
          <w:p w14:paraId="520EB12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440" w:type="dxa"/>
          </w:tcPr>
          <w:p w14:paraId="0236148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2/69 (2.9%)</w:t>
            </w:r>
          </w:p>
        </w:tc>
      </w:tr>
      <w:tr w:rsidR="00744EB6" w:rsidRPr="0062316F" w14:paraId="390D3B4A" w14:textId="77777777" w:rsidTr="007C172E">
        <w:tc>
          <w:tcPr>
            <w:tcW w:w="2785" w:type="dxa"/>
          </w:tcPr>
          <w:p w14:paraId="09A72602" w14:textId="52A55632" w:rsidR="00E9347F" w:rsidRPr="0062316F" w:rsidRDefault="005E0AC5" w:rsidP="0062316F">
            <w:pPr>
              <w:spacing w:line="360" w:lineRule="auto"/>
              <w:jc w:val="both"/>
              <w:rPr>
                <w:rFonts w:ascii="Book Antiqua" w:hAnsi="Book Antiqua" w:cs="Times New Roman"/>
                <w:i/>
                <w:sz w:val="24"/>
                <w:szCs w:val="24"/>
              </w:rPr>
            </w:pPr>
            <w:r w:rsidRPr="0062316F">
              <w:rPr>
                <w:rFonts w:ascii="Book Antiqua" w:hAnsi="Book Antiqua" w:cs="Times New Roman"/>
                <w:i/>
                <w:sz w:val="24"/>
                <w:szCs w:val="24"/>
              </w:rPr>
              <w:lastRenderedPageBreak/>
              <w:t>P</w:t>
            </w:r>
          </w:p>
        </w:tc>
        <w:tc>
          <w:tcPr>
            <w:tcW w:w="2160" w:type="dxa"/>
          </w:tcPr>
          <w:p w14:paraId="6BFE43F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0.08</w:t>
            </w:r>
          </w:p>
        </w:tc>
        <w:tc>
          <w:tcPr>
            <w:tcW w:w="2520" w:type="dxa"/>
          </w:tcPr>
          <w:p w14:paraId="17AD93B2" w14:textId="2BE8910F"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160" w:type="dxa"/>
          </w:tcPr>
          <w:p w14:paraId="0DE4B5B7" w14:textId="1411BE93"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890" w:type="dxa"/>
          </w:tcPr>
          <w:p w14:paraId="66204FF1" w14:textId="07C8C3E1"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440" w:type="dxa"/>
          </w:tcPr>
          <w:p w14:paraId="0B328909" w14:textId="77777777" w:rsidR="00E9347F" w:rsidRPr="0062316F" w:rsidRDefault="00E9347F" w:rsidP="0062316F">
            <w:pPr>
              <w:keepNext/>
              <w:spacing w:line="360" w:lineRule="auto"/>
              <w:jc w:val="both"/>
              <w:rPr>
                <w:rFonts w:ascii="Book Antiqua" w:hAnsi="Book Antiqua" w:cs="Times New Roman"/>
                <w:sz w:val="24"/>
                <w:szCs w:val="24"/>
              </w:rPr>
            </w:pPr>
            <w:r w:rsidRPr="0062316F">
              <w:rPr>
                <w:rFonts w:ascii="Book Antiqua" w:hAnsi="Book Antiqua" w:cs="Times New Roman"/>
                <w:sz w:val="24"/>
                <w:szCs w:val="24"/>
              </w:rPr>
              <w:t>0.51</w:t>
            </w:r>
          </w:p>
        </w:tc>
      </w:tr>
    </w:tbl>
    <w:p w14:paraId="5B7F254C" w14:textId="3C0F443D" w:rsidR="00E9347F" w:rsidRPr="0062316F" w:rsidRDefault="00E9347F" w:rsidP="0062316F">
      <w:pPr>
        <w:pStyle w:val="Caption"/>
        <w:spacing w:after="0" w:line="360" w:lineRule="auto"/>
        <w:jc w:val="both"/>
        <w:rPr>
          <w:rFonts w:ascii="Book Antiqua" w:hAnsi="Book Antiqua"/>
          <w:i w:val="0"/>
          <w:color w:val="auto"/>
          <w:sz w:val="24"/>
          <w:szCs w:val="24"/>
        </w:rPr>
      </w:pPr>
      <w:r w:rsidRPr="0062316F">
        <w:rPr>
          <w:rFonts w:ascii="Book Antiqua" w:hAnsi="Book Antiqua"/>
          <w:i w:val="0"/>
          <w:color w:val="auto"/>
          <w:sz w:val="24"/>
          <w:szCs w:val="24"/>
          <w:vertAlign w:val="superscript"/>
        </w:rPr>
        <w:t>1</w:t>
      </w:r>
      <w:r w:rsidRPr="0062316F">
        <w:rPr>
          <w:rFonts w:ascii="Book Antiqua" w:hAnsi="Book Antiqua"/>
          <w:i w:val="0"/>
          <w:color w:val="auto"/>
          <w:sz w:val="24"/>
          <w:szCs w:val="24"/>
        </w:rPr>
        <w:t xml:space="preserve">Data expressed as mean ±SD; </w:t>
      </w:r>
      <w:r w:rsidRPr="0062316F">
        <w:rPr>
          <w:rFonts w:ascii="Book Antiqua" w:hAnsi="Book Antiqua"/>
          <w:i w:val="0"/>
          <w:color w:val="auto"/>
          <w:sz w:val="24"/>
          <w:szCs w:val="24"/>
          <w:vertAlign w:val="superscript"/>
        </w:rPr>
        <w:t>2</w:t>
      </w:r>
      <w:r w:rsidRPr="0062316F">
        <w:rPr>
          <w:rFonts w:ascii="Book Antiqua" w:hAnsi="Book Antiqua"/>
          <w:i w:val="0"/>
          <w:color w:val="auto"/>
          <w:sz w:val="24"/>
          <w:szCs w:val="24"/>
        </w:rPr>
        <w:t>Data expressed as Median (Range).</w:t>
      </w:r>
    </w:p>
    <w:p w14:paraId="548FCCB8" w14:textId="1973B599" w:rsidR="000A14C1" w:rsidRPr="0062316F" w:rsidRDefault="00E9347F" w:rsidP="0062316F">
      <w:pPr>
        <w:pStyle w:val="Caption"/>
        <w:spacing w:after="0" w:line="360" w:lineRule="auto"/>
        <w:jc w:val="both"/>
        <w:rPr>
          <w:rFonts w:ascii="Book Antiqua" w:hAnsi="Book Antiqua" w:cs="Times New Roman"/>
          <w:i w:val="0"/>
          <w:color w:val="auto"/>
          <w:sz w:val="24"/>
          <w:szCs w:val="24"/>
        </w:rPr>
      </w:pPr>
      <w:r w:rsidRPr="0062316F">
        <w:rPr>
          <w:rFonts w:ascii="Book Antiqua" w:hAnsi="Book Antiqua"/>
          <w:i w:val="0"/>
          <w:color w:val="auto"/>
          <w:sz w:val="24"/>
          <w:szCs w:val="24"/>
        </w:rPr>
        <w:t xml:space="preserve">NR: </w:t>
      </w:r>
      <w:r w:rsidR="00242511" w:rsidRPr="0062316F">
        <w:rPr>
          <w:rFonts w:ascii="Book Antiqua" w:hAnsi="Book Antiqua"/>
          <w:i w:val="0"/>
          <w:color w:val="auto"/>
          <w:sz w:val="24"/>
          <w:szCs w:val="24"/>
        </w:rPr>
        <w:t xml:space="preserve">Not </w:t>
      </w:r>
      <w:r w:rsidRPr="0062316F">
        <w:rPr>
          <w:rFonts w:ascii="Book Antiqua" w:hAnsi="Book Antiqua"/>
          <w:i w:val="0"/>
          <w:color w:val="auto"/>
          <w:sz w:val="24"/>
          <w:szCs w:val="24"/>
        </w:rPr>
        <w:t xml:space="preserve">reported; NS: </w:t>
      </w:r>
      <w:r w:rsidR="00242511" w:rsidRPr="0062316F">
        <w:rPr>
          <w:rFonts w:ascii="Book Antiqua" w:hAnsi="Book Antiqua"/>
          <w:i w:val="0"/>
          <w:color w:val="auto"/>
          <w:sz w:val="24"/>
          <w:szCs w:val="24"/>
        </w:rPr>
        <w:t xml:space="preserve">Not </w:t>
      </w:r>
      <w:r w:rsidRPr="0062316F">
        <w:rPr>
          <w:rFonts w:ascii="Book Antiqua" w:hAnsi="Book Antiqua"/>
          <w:i w:val="0"/>
          <w:color w:val="auto"/>
          <w:sz w:val="24"/>
          <w:szCs w:val="24"/>
        </w:rPr>
        <w:t>significant</w:t>
      </w:r>
      <w:r w:rsidR="003952A3" w:rsidRPr="0062316F">
        <w:rPr>
          <w:rFonts w:ascii="Book Antiqua" w:hAnsi="Book Antiqua"/>
          <w:i w:val="0"/>
          <w:color w:val="auto"/>
          <w:sz w:val="24"/>
          <w:szCs w:val="24"/>
        </w:rPr>
        <w:t xml:space="preserve">; </w:t>
      </w:r>
      <w:r w:rsidR="003952A3" w:rsidRPr="0062316F">
        <w:rPr>
          <w:rFonts w:ascii="Book Antiqua" w:hAnsi="Book Antiqua" w:cs="Times New Roman"/>
          <w:i w:val="0"/>
          <w:color w:val="auto"/>
          <w:sz w:val="24"/>
          <w:szCs w:val="24"/>
        </w:rPr>
        <w:t>H2RA: H2-receptor antagonists</w:t>
      </w:r>
      <w:r w:rsidR="005E0AC5" w:rsidRPr="0062316F">
        <w:rPr>
          <w:rFonts w:ascii="Book Antiqua" w:hAnsi="Book Antiqua" w:cs="Times New Roman"/>
          <w:i w:val="0"/>
          <w:color w:val="auto"/>
          <w:sz w:val="24"/>
          <w:szCs w:val="24"/>
        </w:rPr>
        <w:t xml:space="preserve">; PPI: </w:t>
      </w:r>
      <w:r w:rsidR="00242511" w:rsidRPr="0062316F">
        <w:rPr>
          <w:rFonts w:ascii="Book Antiqua" w:hAnsi="Book Antiqua" w:cs="Times New Roman"/>
          <w:i w:val="0"/>
          <w:color w:val="auto"/>
          <w:sz w:val="24"/>
          <w:szCs w:val="24"/>
        </w:rPr>
        <w:t>Proton pump inhibitors.</w:t>
      </w:r>
    </w:p>
    <w:p w14:paraId="5D28501B" w14:textId="77777777" w:rsidR="005E0AC5" w:rsidRPr="0062316F" w:rsidRDefault="005E0AC5"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579AFCBC" w14:textId="30B9A629"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lastRenderedPageBreak/>
        <w:t xml:space="preserve">Table </w:t>
      </w:r>
      <w:r w:rsidRPr="0062316F">
        <w:rPr>
          <w:rFonts w:ascii="Book Antiqua" w:hAnsi="Book Antiqua" w:cs="Times New Roman"/>
          <w:b/>
          <w:sz w:val="24"/>
          <w:szCs w:val="24"/>
        </w:rPr>
        <w:fldChar w:fldCharType="begin"/>
      </w:r>
      <w:r w:rsidRPr="0062316F">
        <w:rPr>
          <w:rFonts w:ascii="Book Antiqua" w:hAnsi="Book Antiqua" w:cs="Times New Roman"/>
          <w:b/>
          <w:sz w:val="24"/>
          <w:szCs w:val="24"/>
        </w:rPr>
        <w:instrText xml:space="preserve"> SEQ Table \* ARABIC </w:instrText>
      </w:r>
      <w:r w:rsidRPr="0062316F">
        <w:rPr>
          <w:rFonts w:ascii="Book Antiqua" w:hAnsi="Book Antiqua" w:cs="Times New Roman"/>
          <w:b/>
          <w:sz w:val="24"/>
          <w:szCs w:val="24"/>
        </w:rPr>
        <w:fldChar w:fldCharType="separate"/>
      </w:r>
      <w:r w:rsidRPr="0062316F">
        <w:rPr>
          <w:rFonts w:ascii="Book Antiqua" w:hAnsi="Book Antiqua" w:cs="Times New Roman"/>
          <w:b/>
          <w:sz w:val="24"/>
          <w:szCs w:val="24"/>
        </w:rPr>
        <w:t>3</w:t>
      </w:r>
      <w:r w:rsidRPr="0062316F">
        <w:rPr>
          <w:rFonts w:ascii="Book Antiqua" w:hAnsi="Book Antiqua" w:cs="Times New Roman"/>
          <w:b/>
          <w:sz w:val="24"/>
          <w:szCs w:val="24"/>
        </w:rPr>
        <w:fldChar w:fldCharType="end"/>
      </w:r>
      <w:r w:rsidRPr="0062316F">
        <w:rPr>
          <w:rFonts w:ascii="Book Antiqua" w:hAnsi="Book Antiqua" w:cs="Times New Roman"/>
          <w:b/>
          <w:sz w:val="24"/>
          <w:szCs w:val="24"/>
        </w:rPr>
        <w:t xml:space="preserve"> Renal Function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1679"/>
        <w:gridCol w:w="1921"/>
        <w:gridCol w:w="753"/>
        <w:gridCol w:w="1800"/>
        <w:gridCol w:w="2307"/>
        <w:gridCol w:w="1620"/>
      </w:tblGrid>
      <w:tr w:rsidR="005E0AC5" w:rsidRPr="0062316F" w14:paraId="050A5B4E" w14:textId="77777777" w:rsidTr="007C172E">
        <w:tc>
          <w:tcPr>
            <w:tcW w:w="2119" w:type="dxa"/>
            <w:vMerge w:val="restart"/>
            <w:tcBorders>
              <w:top w:val="single" w:sz="4" w:space="0" w:color="auto"/>
              <w:bottom w:val="nil"/>
            </w:tcBorders>
          </w:tcPr>
          <w:p w14:paraId="4F64CBEC"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Ref</w:t>
            </w:r>
          </w:p>
        </w:tc>
        <w:tc>
          <w:tcPr>
            <w:tcW w:w="4353" w:type="dxa"/>
            <w:gridSpan w:val="3"/>
            <w:tcBorders>
              <w:top w:val="single" w:sz="4" w:space="0" w:color="auto"/>
              <w:bottom w:val="nil"/>
            </w:tcBorders>
          </w:tcPr>
          <w:p w14:paraId="11B46817"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eGFR </w:t>
            </w:r>
          </w:p>
        </w:tc>
        <w:tc>
          <w:tcPr>
            <w:tcW w:w="5727" w:type="dxa"/>
            <w:gridSpan w:val="3"/>
            <w:tcBorders>
              <w:top w:val="single" w:sz="4" w:space="0" w:color="auto"/>
              <w:bottom w:val="nil"/>
            </w:tcBorders>
          </w:tcPr>
          <w:p w14:paraId="1AD2AB1D"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Cr</w:t>
            </w:r>
          </w:p>
        </w:tc>
      </w:tr>
      <w:tr w:rsidR="00744EB6" w:rsidRPr="0062316F" w14:paraId="7DDDA6DE" w14:textId="77777777" w:rsidTr="007C172E">
        <w:tc>
          <w:tcPr>
            <w:tcW w:w="2119" w:type="dxa"/>
            <w:vMerge/>
            <w:tcBorders>
              <w:top w:val="nil"/>
              <w:bottom w:val="single" w:sz="4" w:space="0" w:color="auto"/>
            </w:tcBorders>
          </w:tcPr>
          <w:p w14:paraId="2DBF0D7D" w14:textId="77777777" w:rsidR="00E9347F" w:rsidRPr="0062316F" w:rsidRDefault="00E9347F" w:rsidP="0062316F">
            <w:pPr>
              <w:spacing w:line="360" w:lineRule="auto"/>
              <w:jc w:val="both"/>
              <w:rPr>
                <w:rFonts w:ascii="Book Antiqua" w:hAnsi="Book Antiqua" w:cs="Times New Roman"/>
                <w:b/>
                <w:sz w:val="24"/>
                <w:szCs w:val="24"/>
              </w:rPr>
            </w:pPr>
          </w:p>
        </w:tc>
        <w:tc>
          <w:tcPr>
            <w:tcW w:w="1679" w:type="dxa"/>
            <w:tcBorders>
              <w:top w:val="nil"/>
              <w:bottom w:val="single" w:sz="4" w:space="0" w:color="auto"/>
            </w:tcBorders>
          </w:tcPr>
          <w:p w14:paraId="762716BD"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1921" w:type="dxa"/>
            <w:tcBorders>
              <w:top w:val="nil"/>
              <w:bottom w:val="single" w:sz="4" w:space="0" w:color="auto"/>
            </w:tcBorders>
          </w:tcPr>
          <w:p w14:paraId="749585C4"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753" w:type="dxa"/>
            <w:tcBorders>
              <w:top w:val="nil"/>
              <w:bottom w:val="single" w:sz="4" w:space="0" w:color="auto"/>
            </w:tcBorders>
          </w:tcPr>
          <w:p w14:paraId="10C98337" w14:textId="19287326" w:rsidR="00E9347F" w:rsidRPr="0062316F" w:rsidRDefault="005E0AC5"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P</w:t>
            </w:r>
          </w:p>
        </w:tc>
        <w:tc>
          <w:tcPr>
            <w:tcW w:w="1800" w:type="dxa"/>
            <w:tcBorders>
              <w:top w:val="nil"/>
              <w:bottom w:val="single" w:sz="4" w:space="0" w:color="auto"/>
            </w:tcBorders>
          </w:tcPr>
          <w:p w14:paraId="2283DDC3"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2307" w:type="dxa"/>
            <w:tcBorders>
              <w:top w:val="nil"/>
              <w:bottom w:val="single" w:sz="4" w:space="0" w:color="auto"/>
            </w:tcBorders>
          </w:tcPr>
          <w:p w14:paraId="4FA9D250"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1620" w:type="dxa"/>
            <w:tcBorders>
              <w:top w:val="nil"/>
              <w:bottom w:val="single" w:sz="4" w:space="0" w:color="auto"/>
            </w:tcBorders>
          </w:tcPr>
          <w:p w14:paraId="6895A7D2" w14:textId="4DD350F3" w:rsidR="00E9347F" w:rsidRPr="0062316F" w:rsidRDefault="005E0AC5"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P</w:t>
            </w:r>
          </w:p>
        </w:tc>
      </w:tr>
      <w:tr w:rsidR="00744EB6" w:rsidRPr="0062316F" w14:paraId="317A71EF" w14:textId="77777777" w:rsidTr="007C172E">
        <w:tc>
          <w:tcPr>
            <w:tcW w:w="2119" w:type="dxa"/>
            <w:tcBorders>
              <w:top w:val="single" w:sz="4" w:space="0" w:color="auto"/>
            </w:tcBorders>
          </w:tcPr>
          <w:p w14:paraId="220D6E9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Knorr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20]</w:t>
            </w:r>
          </w:p>
        </w:tc>
        <w:tc>
          <w:tcPr>
            <w:tcW w:w="1679" w:type="dxa"/>
            <w:tcBorders>
              <w:top w:val="single" w:sz="4" w:space="0" w:color="auto"/>
            </w:tcBorders>
          </w:tcPr>
          <w:p w14:paraId="24820FCC" w14:textId="62587C42"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53.1</w:t>
            </w:r>
            <w:r w:rsidR="007C172E" w:rsidRPr="0062316F">
              <w:rPr>
                <w:rFonts w:ascii="Book Antiqua" w:hAnsi="Book Antiqua" w:cs="Times New Roman"/>
                <w:sz w:val="24"/>
                <w:szCs w:val="24"/>
              </w:rPr>
              <w:t xml:space="preserve"> </w:t>
            </w:r>
            <w:r w:rsidRPr="0062316F">
              <w:rPr>
                <w:rStyle w:val="st"/>
                <w:rFonts w:ascii="Book Antiqua" w:hAnsi="Book Antiqua"/>
                <w:sz w:val="24"/>
                <w:szCs w:val="24"/>
              </w:rPr>
              <w:t>±</w:t>
            </w:r>
            <w:r w:rsidR="007C172E" w:rsidRPr="0062316F">
              <w:rPr>
                <w:rStyle w:val="st"/>
                <w:rFonts w:ascii="Book Antiqua" w:hAnsi="Book Antiqua"/>
                <w:sz w:val="24"/>
                <w:szCs w:val="24"/>
              </w:rPr>
              <w:t xml:space="preserve"> </w:t>
            </w:r>
            <w:r w:rsidRPr="0062316F">
              <w:rPr>
                <w:rFonts w:ascii="Book Antiqua" w:hAnsi="Book Antiqua" w:cs="Times New Roman"/>
                <w:sz w:val="24"/>
                <w:szCs w:val="24"/>
              </w:rPr>
              <w:t>20.2</w:t>
            </w:r>
            <w:r w:rsidRPr="0062316F">
              <w:rPr>
                <w:rFonts w:ascii="Book Antiqua" w:hAnsi="Book Antiqua" w:cs="Times New Roman"/>
                <w:sz w:val="24"/>
                <w:szCs w:val="24"/>
                <w:vertAlign w:val="superscript"/>
              </w:rPr>
              <w:t>1</w:t>
            </w:r>
          </w:p>
        </w:tc>
        <w:tc>
          <w:tcPr>
            <w:tcW w:w="1921" w:type="dxa"/>
            <w:tcBorders>
              <w:top w:val="single" w:sz="4" w:space="0" w:color="auto"/>
            </w:tcBorders>
          </w:tcPr>
          <w:p w14:paraId="79EFBBBE" w14:textId="4647F6E1"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55.1</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20.6</w:t>
            </w:r>
          </w:p>
        </w:tc>
        <w:tc>
          <w:tcPr>
            <w:tcW w:w="753" w:type="dxa"/>
            <w:tcBorders>
              <w:top w:val="single" w:sz="4" w:space="0" w:color="auto"/>
            </w:tcBorders>
          </w:tcPr>
          <w:p w14:paraId="447EBF2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0.29</w:t>
            </w:r>
          </w:p>
        </w:tc>
        <w:tc>
          <w:tcPr>
            <w:tcW w:w="1800" w:type="dxa"/>
            <w:tcBorders>
              <w:top w:val="single" w:sz="4" w:space="0" w:color="auto"/>
            </w:tcBorders>
          </w:tcPr>
          <w:p w14:paraId="2429C93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307" w:type="dxa"/>
            <w:tcBorders>
              <w:top w:val="single" w:sz="4" w:space="0" w:color="auto"/>
            </w:tcBorders>
          </w:tcPr>
          <w:p w14:paraId="1AF02CD9"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620" w:type="dxa"/>
            <w:tcBorders>
              <w:top w:val="single" w:sz="4" w:space="0" w:color="auto"/>
            </w:tcBorders>
          </w:tcPr>
          <w:p w14:paraId="6B62F1B3" w14:textId="3FD64B3A"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744EB6" w:rsidRPr="0062316F" w14:paraId="403BA7AD" w14:textId="77777777" w:rsidTr="007C172E">
        <w:tc>
          <w:tcPr>
            <w:tcW w:w="2119" w:type="dxa"/>
          </w:tcPr>
          <w:p w14:paraId="13AAB835" w14:textId="096CBE1E" w:rsidR="00E9347F" w:rsidRPr="0062316F" w:rsidRDefault="00315156"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v</w:t>
            </w:r>
            <w:r w:rsidR="00E9347F" w:rsidRPr="0062316F">
              <w:rPr>
                <w:rFonts w:ascii="Book Antiqua" w:hAnsi="Book Antiqua" w:cs="Times New Roman"/>
                <w:sz w:val="24"/>
                <w:szCs w:val="24"/>
              </w:rPr>
              <w:t xml:space="preserve">an </w:t>
            </w:r>
            <w:proofErr w:type="spellStart"/>
            <w:r w:rsidR="00E9347F" w:rsidRPr="0062316F">
              <w:rPr>
                <w:rFonts w:ascii="Book Antiqua" w:hAnsi="Book Antiqua" w:cs="Times New Roman"/>
                <w:sz w:val="24"/>
                <w:szCs w:val="24"/>
              </w:rPr>
              <w:t>Boekel</w:t>
            </w:r>
            <w:proofErr w:type="spellEnd"/>
            <w:r w:rsidR="00E9347F" w:rsidRPr="0062316F">
              <w:rPr>
                <w:rFonts w:ascii="Book Antiqua" w:hAnsi="Book Antiqua" w:cs="Times New Roman"/>
                <w:sz w:val="24"/>
                <w:szCs w:val="24"/>
              </w:rPr>
              <w:t xml:space="preserve"> </w:t>
            </w:r>
            <w:r w:rsidR="00E9347F" w:rsidRPr="0062316F">
              <w:rPr>
                <w:rFonts w:ascii="Book Antiqua" w:hAnsi="Book Antiqua" w:cs="Times New Roman"/>
                <w:i/>
                <w:sz w:val="24"/>
                <w:szCs w:val="24"/>
              </w:rPr>
              <w:t xml:space="preserve">et </w:t>
            </w:r>
            <w:proofErr w:type="gramStart"/>
            <w:r w:rsidR="00E9347F" w:rsidRPr="0062316F">
              <w:rPr>
                <w:rFonts w:ascii="Book Antiqua" w:hAnsi="Book Antiqua" w:cs="Times New Roman"/>
                <w:i/>
                <w:sz w:val="24"/>
                <w:szCs w:val="24"/>
              </w:rPr>
              <w:t>al</w:t>
            </w:r>
            <w:r w:rsidR="00E9347F" w:rsidRPr="0062316F">
              <w:rPr>
                <w:rFonts w:ascii="Book Antiqua" w:hAnsi="Book Antiqua" w:cs="Times New Roman"/>
                <w:noProof/>
                <w:sz w:val="24"/>
                <w:szCs w:val="24"/>
                <w:vertAlign w:val="superscript"/>
              </w:rPr>
              <w:t>[</w:t>
            </w:r>
            <w:proofErr w:type="gramEnd"/>
            <w:r w:rsidR="00E9347F" w:rsidRPr="0062316F">
              <w:rPr>
                <w:rFonts w:ascii="Book Antiqua" w:hAnsi="Book Antiqua" w:cs="Times New Roman"/>
                <w:noProof/>
                <w:sz w:val="24"/>
                <w:szCs w:val="24"/>
                <w:vertAlign w:val="superscript"/>
              </w:rPr>
              <w:t>22]</w:t>
            </w:r>
          </w:p>
        </w:tc>
        <w:tc>
          <w:tcPr>
            <w:tcW w:w="1679" w:type="dxa"/>
          </w:tcPr>
          <w:p w14:paraId="55F42265" w14:textId="6EC49040"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49.5</w:t>
            </w:r>
            <w:r w:rsidR="007C172E" w:rsidRPr="0062316F">
              <w:rPr>
                <w:rFonts w:ascii="Book Antiqua" w:hAnsi="Book Antiqua" w:cs="Times New Roman"/>
                <w:sz w:val="24"/>
                <w:szCs w:val="24"/>
              </w:rPr>
              <w:t xml:space="preserve"> </w:t>
            </w:r>
            <w:r w:rsidRPr="0062316F">
              <w:rPr>
                <w:rStyle w:val="st"/>
                <w:rFonts w:ascii="Book Antiqua" w:hAnsi="Book Antiqua"/>
                <w:sz w:val="24"/>
                <w:szCs w:val="24"/>
              </w:rPr>
              <w:t>±</w:t>
            </w:r>
            <w:r w:rsidR="007C172E" w:rsidRPr="0062316F">
              <w:rPr>
                <w:rStyle w:val="st"/>
                <w:rFonts w:ascii="Book Antiqua" w:hAnsi="Book Antiqua"/>
                <w:sz w:val="24"/>
                <w:szCs w:val="24"/>
              </w:rPr>
              <w:t xml:space="preserve"> </w:t>
            </w:r>
            <w:r w:rsidRPr="0062316F">
              <w:rPr>
                <w:rFonts w:ascii="Book Antiqua" w:hAnsi="Book Antiqua" w:cs="Times New Roman"/>
                <w:sz w:val="24"/>
                <w:szCs w:val="24"/>
              </w:rPr>
              <w:t>12.3</w:t>
            </w:r>
          </w:p>
        </w:tc>
        <w:tc>
          <w:tcPr>
            <w:tcW w:w="1921" w:type="dxa"/>
          </w:tcPr>
          <w:p w14:paraId="2878D365" w14:textId="42437F6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50.7</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12.5</w:t>
            </w:r>
          </w:p>
        </w:tc>
        <w:tc>
          <w:tcPr>
            <w:tcW w:w="753" w:type="dxa"/>
          </w:tcPr>
          <w:p w14:paraId="0C5FF95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c>
          <w:tcPr>
            <w:tcW w:w="1800" w:type="dxa"/>
          </w:tcPr>
          <w:p w14:paraId="71BE62EF" w14:textId="1B9CCC84"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1.5</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0.4</w:t>
            </w:r>
          </w:p>
          <w:p w14:paraId="67B9185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at 3 </w:t>
            </w:r>
            <w:proofErr w:type="spellStart"/>
            <w:r w:rsidRPr="0062316F">
              <w:rPr>
                <w:rFonts w:ascii="Book Antiqua" w:hAnsi="Book Antiqua" w:cs="Times New Roman"/>
                <w:sz w:val="24"/>
                <w:szCs w:val="24"/>
              </w:rPr>
              <w:t>mo</w:t>
            </w:r>
            <w:proofErr w:type="spellEnd"/>
          </w:p>
        </w:tc>
        <w:tc>
          <w:tcPr>
            <w:tcW w:w="2307" w:type="dxa"/>
          </w:tcPr>
          <w:p w14:paraId="6C7A0173" w14:textId="243A131C"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1.5</w:t>
            </w:r>
            <w:r w:rsidR="007C172E" w:rsidRPr="0062316F">
              <w:rPr>
                <w:rFonts w:ascii="Book Antiqua" w:hAnsi="Book Antiqua" w:cs="Times New Roman"/>
                <w:sz w:val="24"/>
                <w:szCs w:val="24"/>
              </w:rPr>
              <w:t xml:space="preserve"> </w:t>
            </w:r>
            <w:r w:rsidRPr="0062316F">
              <w:rPr>
                <w:rStyle w:val="st"/>
                <w:rFonts w:ascii="Book Antiqua" w:hAnsi="Book Antiqua"/>
                <w:sz w:val="24"/>
                <w:szCs w:val="24"/>
              </w:rPr>
              <w:t>±</w:t>
            </w:r>
            <w:r w:rsidR="007C172E" w:rsidRPr="0062316F">
              <w:rPr>
                <w:rStyle w:val="st"/>
                <w:rFonts w:ascii="Book Antiqua" w:hAnsi="Book Antiqua"/>
                <w:sz w:val="24"/>
                <w:szCs w:val="24"/>
              </w:rPr>
              <w:t xml:space="preserve"> </w:t>
            </w:r>
            <w:r w:rsidRPr="0062316F">
              <w:rPr>
                <w:rFonts w:ascii="Book Antiqua" w:hAnsi="Book Antiqua" w:cs="Times New Roman"/>
                <w:sz w:val="24"/>
                <w:szCs w:val="24"/>
              </w:rPr>
              <w:t>0.4</w:t>
            </w:r>
          </w:p>
        </w:tc>
        <w:tc>
          <w:tcPr>
            <w:tcW w:w="1620" w:type="dxa"/>
          </w:tcPr>
          <w:p w14:paraId="0ACE65E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NS</w:t>
            </w:r>
          </w:p>
        </w:tc>
      </w:tr>
      <w:tr w:rsidR="00744EB6" w:rsidRPr="0062316F" w14:paraId="54EAB6F2" w14:textId="77777777" w:rsidTr="007C172E">
        <w:tc>
          <w:tcPr>
            <w:tcW w:w="2119" w:type="dxa"/>
          </w:tcPr>
          <w:p w14:paraId="22D08CBA"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23]</w:t>
            </w:r>
          </w:p>
        </w:tc>
        <w:tc>
          <w:tcPr>
            <w:tcW w:w="1679" w:type="dxa"/>
          </w:tcPr>
          <w:p w14:paraId="007AFCCE" w14:textId="0EEBAD22"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49</w:t>
            </w:r>
            <w:r w:rsidR="005B4452" w:rsidRPr="0062316F">
              <w:rPr>
                <w:rFonts w:ascii="Book Antiqua" w:hAnsi="Book Antiqua" w:cs="Times New Roman"/>
                <w:sz w:val="24"/>
                <w:szCs w:val="24"/>
              </w:rPr>
              <w:t>.0</w:t>
            </w:r>
            <w:r w:rsidRPr="0062316F">
              <w:rPr>
                <w:rFonts w:ascii="Book Antiqua" w:hAnsi="Book Antiqua" w:cs="Times New Roman"/>
                <w:sz w:val="24"/>
                <w:szCs w:val="24"/>
              </w:rPr>
              <w:t xml:space="preserve"> (39.4–63.2)</w:t>
            </w:r>
            <w:r w:rsidRPr="0062316F">
              <w:rPr>
                <w:rFonts w:ascii="Book Antiqua" w:hAnsi="Book Antiqua" w:cs="Times New Roman"/>
                <w:sz w:val="24"/>
                <w:szCs w:val="24"/>
                <w:vertAlign w:val="superscript"/>
              </w:rPr>
              <w:t>2</w:t>
            </w:r>
          </w:p>
        </w:tc>
        <w:tc>
          <w:tcPr>
            <w:tcW w:w="1921" w:type="dxa"/>
          </w:tcPr>
          <w:p w14:paraId="03E7FC7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49.9 (39.3–60.8)</w:t>
            </w:r>
          </w:p>
        </w:tc>
        <w:tc>
          <w:tcPr>
            <w:tcW w:w="753" w:type="dxa"/>
          </w:tcPr>
          <w:p w14:paraId="54BCAFD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0.78</w:t>
            </w:r>
          </w:p>
        </w:tc>
        <w:tc>
          <w:tcPr>
            <w:tcW w:w="1800" w:type="dxa"/>
          </w:tcPr>
          <w:p w14:paraId="21D4FFCF"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307" w:type="dxa"/>
          </w:tcPr>
          <w:p w14:paraId="29A7A1C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620" w:type="dxa"/>
          </w:tcPr>
          <w:p w14:paraId="02F2C34E" w14:textId="1B10C26B"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744EB6" w:rsidRPr="0062316F" w14:paraId="22652D95" w14:textId="77777777" w:rsidTr="007C172E">
        <w:tc>
          <w:tcPr>
            <w:tcW w:w="2119" w:type="dxa"/>
          </w:tcPr>
          <w:p w14:paraId="4CF41B68" w14:textId="4B1CC2B9"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A93495" w:rsidRPr="0062316F">
              <w:rPr>
                <w:rFonts w:ascii="Book Antiqua" w:hAnsi="Book Antiqua" w:cs="Times New Roman"/>
                <w:noProof/>
                <w:sz w:val="24"/>
                <w:szCs w:val="24"/>
                <w:vertAlign w:val="superscript"/>
              </w:rPr>
              <w:t>[</w:t>
            </w:r>
            <w:proofErr w:type="gramEnd"/>
            <w:r w:rsidR="00A93495" w:rsidRPr="0062316F">
              <w:rPr>
                <w:rFonts w:ascii="Book Antiqua" w:hAnsi="Book Antiqua" w:cs="Times New Roman"/>
                <w:noProof/>
                <w:sz w:val="24"/>
                <w:szCs w:val="24"/>
                <w:vertAlign w:val="superscript"/>
              </w:rPr>
              <w:t>37</w:t>
            </w:r>
            <w:r w:rsidRPr="0062316F">
              <w:rPr>
                <w:rFonts w:ascii="Book Antiqua" w:hAnsi="Book Antiqua" w:cs="Times New Roman"/>
                <w:noProof/>
                <w:sz w:val="24"/>
                <w:szCs w:val="24"/>
                <w:vertAlign w:val="superscript"/>
              </w:rPr>
              <w:t>]</w:t>
            </w:r>
          </w:p>
        </w:tc>
        <w:tc>
          <w:tcPr>
            <w:tcW w:w="1679" w:type="dxa"/>
          </w:tcPr>
          <w:p w14:paraId="680A4E5D" w14:textId="3AA3CF73"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921" w:type="dxa"/>
          </w:tcPr>
          <w:p w14:paraId="19219836" w14:textId="75C250D4"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753" w:type="dxa"/>
          </w:tcPr>
          <w:p w14:paraId="296FEF7D" w14:textId="4BE044F5"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800" w:type="dxa"/>
          </w:tcPr>
          <w:p w14:paraId="75AB1DC4" w14:textId="6C7F8D28"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1.49</w:t>
            </w:r>
            <w:r w:rsidR="005E0AC5" w:rsidRPr="0062316F">
              <w:rPr>
                <w:rFonts w:ascii="Book Antiqua" w:hAnsi="Book Antiqua" w:cs="Times New Roman"/>
                <w:sz w:val="24"/>
                <w:szCs w:val="24"/>
              </w:rPr>
              <w:t xml:space="preserve"> </w:t>
            </w:r>
            <w:r w:rsidRPr="0062316F">
              <w:rPr>
                <w:rStyle w:val="st"/>
                <w:rFonts w:ascii="Book Antiqua" w:hAnsi="Book Antiqua"/>
                <w:sz w:val="24"/>
                <w:szCs w:val="24"/>
              </w:rPr>
              <w:t>±</w:t>
            </w:r>
            <w:r w:rsidR="005E0AC5" w:rsidRPr="0062316F">
              <w:rPr>
                <w:rStyle w:val="st"/>
                <w:rFonts w:ascii="Book Antiqua" w:hAnsi="Book Antiqua"/>
                <w:sz w:val="24"/>
                <w:szCs w:val="24"/>
              </w:rPr>
              <w:t xml:space="preserve"> </w:t>
            </w:r>
            <w:r w:rsidRPr="0062316F">
              <w:rPr>
                <w:rFonts w:ascii="Book Antiqua" w:hAnsi="Book Antiqua" w:cs="Times New Roman"/>
                <w:sz w:val="24"/>
                <w:szCs w:val="24"/>
              </w:rPr>
              <w:t xml:space="preserve">0.99 mg/dL </w:t>
            </w:r>
          </w:p>
        </w:tc>
        <w:tc>
          <w:tcPr>
            <w:tcW w:w="2307" w:type="dxa"/>
          </w:tcPr>
          <w:p w14:paraId="75037DC8" w14:textId="74B26243"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1.24</w:t>
            </w:r>
            <w:r w:rsidR="007C172E" w:rsidRPr="0062316F">
              <w:rPr>
                <w:rFonts w:ascii="Book Antiqua" w:hAnsi="Book Antiqua" w:cs="Times New Roman"/>
                <w:sz w:val="24"/>
                <w:szCs w:val="24"/>
              </w:rPr>
              <w:t xml:space="preserve"> </w:t>
            </w:r>
            <w:r w:rsidRPr="0062316F">
              <w:rPr>
                <w:rStyle w:val="st"/>
                <w:rFonts w:ascii="Book Antiqua" w:hAnsi="Book Antiqua"/>
                <w:sz w:val="24"/>
                <w:szCs w:val="24"/>
              </w:rPr>
              <w:t>±</w:t>
            </w:r>
            <w:r w:rsidR="007C172E" w:rsidRPr="0062316F">
              <w:rPr>
                <w:rStyle w:val="st"/>
                <w:rFonts w:ascii="Book Antiqua" w:hAnsi="Book Antiqua"/>
                <w:sz w:val="24"/>
                <w:szCs w:val="24"/>
              </w:rPr>
              <w:t xml:space="preserve"> </w:t>
            </w:r>
            <w:r w:rsidRPr="0062316F">
              <w:rPr>
                <w:rFonts w:ascii="Book Antiqua" w:hAnsi="Book Antiqua" w:cs="Times New Roman"/>
                <w:sz w:val="24"/>
                <w:szCs w:val="24"/>
              </w:rPr>
              <w:t>0.46 mg/dL</w:t>
            </w:r>
          </w:p>
        </w:tc>
        <w:tc>
          <w:tcPr>
            <w:tcW w:w="1620" w:type="dxa"/>
          </w:tcPr>
          <w:p w14:paraId="4A4CD48F" w14:textId="77777777" w:rsidR="00E9347F" w:rsidRPr="005E5013" w:rsidRDefault="00E9347F" w:rsidP="0062316F">
            <w:pPr>
              <w:spacing w:line="360" w:lineRule="auto"/>
              <w:jc w:val="both"/>
              <w:rPr>
                <w:rFonts w:ascii="Book Antiqua" w:hAnsi="Book Antiqua" w:cs="Times New Roman"/>
                <w:sz w:val="24"/>
                <w:szCs w:val="24"/>
              </w:rPr>
            </w:pPr>
            <w:r w:rsidRPr="005E5013">
              <w:rPr>
                <w:rFonts w:ascii="Book Antiqua" w:hAnsi="Book Antiqua" w:cs="Times New Roman"/>
                <w:sz w:val="24"/>
                <w:szCs w:val="24"/>
              </w:rPr>
              <w:t>0.017</w:t>
            </w:r>
          </w:p>
        </w:tc>
      </w:tr>
      <w:tr w:rsidR="00744EB6" w:rsidRPr="0062316F" w14:paraId="184BA9C6" w14:textId="77777777" w:rsidTr="007C172E">
        <w:tc>
          <w:tcPr>
            <w:tcW w:w="2119" w:type="dxa"/>
          </w:tcPr>
          <w:p w14:paraId="2C4C1B6C" w14:textId="70838181"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Alhosaini</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A93495" w:rsidRPr="0062316F">
              <w:rPr>
                <w:rFonts w:ascii="Book Antiqua" w:hAnsi="Book Antiqua" w:cs="Times New Roman"/>
                <w:noProof/>
                <w:sz w:val="24"/>
                <w:szCs w:val="24"/>
                <w:vertAlign w:val="superscript"/>
              </w:rPr>
              <w:t>[</w:t>
            </w:r>
            <w:proofErr w:type="gramEnd"/>
            <w:r w:rsidR="00A93495" w:rsidRPr="0062316F">
              <w:rPr>
                <w:rFonts w:ascii="Book Antiqua" w:hAnsi="Book Antiqua" w:cs="Times New Roman"/>
                <w:noProof/>
                <w:sz w:val="24"/>
                <w:szCs w:val="24"/>
                <w:vertAlign w:val="superscript"/>
              </w:rPr>
              <w:t>34</w:t>
            </w:r>
            <w:r w:rsidRPr="0062316F">
              <w:rPr>
                <w:rFonts w:ascii="Book Antiqua" w:hAnsi="Book Antiqua" w:cs="Times New Roman"/>
                <w:noProof/>
                <w:sz w:val="24"/>
                <w:szCs w:val="24"/>
                <w:vertAlign w:val="superscript"/>
              </w:rPr>
              <w:t>]</w:t>
            </w:r>
          </w:p>
        </w:tc>
        <w:tc>
          <w:tcPr>
            <w:tcW w:w="1679" w:type="dxa"/>
          </w:tcPr>
          <w:p w14:paraId="75D4EACB"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49.4 ± 14.9 </w:t>
            </w:r>
          </w:p>
        </w:tc>
        <w:tc>
          <w:tcPr>
            <w:tcW w:w="1921" w:type="dxa"/>
          </w:tcPr>
          <w:p w14:paraId="15C62BA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52.8 ± 14.3</w:t>
            </w:r>
          </w:p>
        </w:tc>
        <w:tc>
          <w:tcPr>
            <w:tcW w:w="753" w:type="dxa"/>
          </w:tcPr>
          <w:p w14:paraId="34E1FB6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0.29</w:t>
            </w:r>
          </w:p>
        </w:tc>
        <w:tc>
          <w:tcPr>
            <w:tcW w:w="1800" w:type="dxa"/>
          </w:tcPr>
          <w:p w14:paraId="7194DBDC" w14:textId="087AE0F4"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2307" w:type="dxa"/>
          </w:tcPr>
          <w:p w14:paraId="769D0D3C" w14:textId="1969BCC0"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620" w:type="dxa"/>
          </w:tcPr>
          <w:p w14:paraId="54CD245A" w14:textId="6CFF4E3F"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r>
      <w:tr w:rsidR="00744EB6" w:rsidRPr="0062316F" w14:paraId="3452D6CE" w14:textId="77777777" w:rsidTr="007C172E">
        <w:tc>
          <w:tcPr>
            <w:tcW w:w="2119" w:type="dxa"/>
          </w:tcPr>
          <w:p w14:paraId="58C3460F" w14:textId="6D207C68"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Kipp</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A93495" w:rsidRPr="0062316F">
              <w:rPr>
                <w:rFonts w:ascii="Book Antiqua" w:hAnsi="Book Antiqua" w:cs="Times New Roman"/>
                <w:noProof/>
                <w:sz w:val="24"/>
                <w:szCs w:val="24"/>
                <w:vertAlign w:val="superscript"/>
              </w:rPr>
              <w:t>[</w:t>
            </w:r>
            <w:proofErr w:type="gramEnd"/>
            <w:r w:rsidR="00A93495" w:rsidRPr="0062316F">
              <w:rPr>
                <w:rFonts w:ascii="Book Antiqua" w:hAnsi="Book Antiqua" w:cs="Times New Roman"/>
                <w:noProof/>
                <w:sz w:val="24"/>
                <w:szCs w:val="24"/>
                <w:vertAlign w:val="superscript"/>
              </w:rPr>
              <w:t>39</w:t>
            </w:r>
            <w:r w:rsidRPr="0062316F">
              <w:rPr>
                <w:rFonts w:ascii="Book Antiqua" w:hAnsi="Book Antiqua" w:cs="Times New Roman"/>
                <w:noProof/>
                <w:sz w:val="24"/>
                <w:szCs w:val="24"/>
                <w:vertAlign w:val="superscript"/>
              </w:rPr>
              <w:t>]</w:t>
            </w:r>
          </w:p>
        </w:tc>
        <w:tc>
          <w:tcPr>
            <w:tcW w:w="1679" w:type="dxa"/>
          </w:tcPr>
          <w:p w14:paraId="6785382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921" w:type="dxa"/>
          </w:tcPr>
          <w:p w14:paraId="614E2EF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753" w:type="dxa"/>
          </w:tcPr>
          <w:p w14:paraId="1231BE67" w14:textId="6D14A3E4" w:rsidR="00E9347F" w:rsidRPr="0062316F" w:rsidRDefault="005E0AC5" w:rsidP="0062316F">
            <w:pPr>
              <w:spacing w:line="360" w:lineRule="auto"/>
              <w:jc w:val="both"/>
              <w:rPr>
                <w:rFonts w:ascii="Book Antiqua" w:hAnsi="Book Antiqua" w:cs="Times New Roman"/>
                <w:sz w:val="24"/>
                <w:szCs w:val="24"/>
                <w:lang w:eastAsia="zh-CN"/>
              </w:rPr>
            </w:pPr>
            <w:r w:rsidRPr="0062316F">
              <w:rPr>
                <w:rFonts w:ascii="Book Antiqua" w:hAnsi="Book Antiqua" w:cs="Times New Roman"/>
                <w:sz w:val="24"/>
                <w:szCs w:val="24"/>
                <w:lang w:eastAsia="zh-CN"/>
              </w:rPr>
              <w:t>-</w:t>
            </w:r>
          </w:p>
        </w:tc>
        <w:tc>
          <w:tcPr>
            <w:tcW w:w="1800" w:type="dxa"/>
          </w:tcPr>
          <w:p w14:paraId="5A0DBECA" w14:textId="74572E11"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1.896 ±</w:t>
            </w:r>
            <w:r w:rsidR="005E0AC5" w:rsidRPr="0062316F">
              <w:rPr>
                <w:rFonts w:ascii="Book Antiqua" w:hAnsi="Book Antiqua" w:cs="Times New Roman"/>
                <w:sz w:val="24"/>
                <w:szCs w:val="24"/>
              </w:rPr>
              <w:t xml:space="preserve"> </w:t>
            </w:r>
            <w:r w:rsidRPr="0062316F">
              <w:rPr>
                <w:rFonts w:ascii="Book Antiqua" w:hAnsi="Book Antiqua" w:cs="Times New Roman"/>
                <w:sz w:val="24"/>
                <w:szCs w:val="24"/>
              </w:rPr>
              <w:t>1.53</w:t>
            </w:r>
          </w:p>
        </w:tc>
        <w:tc>
          <w:tcPr>
            <w:tcW w:w="2307" w:type="dxa"/>
          </w:tcPr>
          <w:p w14:paraId="24DE8C3E" w14:textId="395A4120"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1.812 ±</w:t>
            </w:r>
            <w:r w:rsidR="005E0AC5" w:rsidRPr="0062316F">
              <w:rPr>
                <w:rFonts w:ascii="Book Antiqua" w:hAnsi="Book Antiqua" w:cs="Times New Roman"/>
                <w:sz w:val="24"/>
                <w:szCs w:val="24"/>
              </w:rPr>
              <w:t xml:space="preserve"> </w:t>
            </w:r>
            <w:r w:rsidRPr="0062316F">
              <w:rPr>
                <w:rFonts w:ascii="Book Antiqua" w:hAnsi="Book Antiqua" w:cs="Times New Roman"/>
                <w:sz w:val="24"/>
                <w:szCs w:val="24"/>
              </w:rPr>
              <w:t>1.25</w:t>
            </w:r>
          </w:p>
        </w:tc>
        <w:tc>
          <w:tcPr>
            <w:tcW w:w="1620" w:type="dxa"/>
          </w:tcPr>
          <w:p w14:paraId="41E6F125" w14:textId="622D08CA" w:rsidR="00E9347F" w:rsidRPr="0062316F" w:rsidRDefault="005E0AC5" w:rsidP="0062316F">
            <w:pPr>
              <w:keepNext/>
              <w:spacing w:line="360" w:lineRule="auto"/>
              <w:jc w:val="both"/>
              <w:rPr>
                <w:rFonts w:ascii="Book Antiqua" w:hAnsi="Book Antiqua" w:cs="Times New Roman"/>
                <w:sz w:val="24"/>
                <w:szCs w:val="24"/>
              </w:rPr>
            </w:pPr>
            <w:r w:rsidRPr="0062316F">
              <w:rPr>
                <w:rFonts w:ascii="Book Antiqua" w:hAnsi="Book Antiqua" w:cs="Times New Roman"/>
                <w:i/>
                <w:sz w:val="24"/>
                <w:szCs w:val="24"/>
              </w:rPr>
              <w:t>P</w:t>
            </w:r>
            <w:r w:rsidRPr="0062316F">
              <w:rPr>
                <w:rFonts w:ascii="Book Antiqua" w:hAnsi="Book Antiqua" w:cs="Times New Roman"/>
                <w:sz w:val="24"/>
                <w:szCs w:val="24"/>
              </w:rPr>
              <w:t xml:space="preserve"> </w:t>
            </w:r>
            <w:r w:rsidR="00E9347F" w:rsidRPr="0062316F">
              <w:rPr>
                <w:rFonts w:ascii="Book Antiqua" w:hAnsi="Book Antiqua" w:cs="Times New Roman"/>
                <w:sz w:val="24"/>
                <w:szCs w:val="24"/>
              </w:rPr>
              <w:t>=</w:t>
            </w:r>
            <w:r w:rsidRPr="0062316F">
              <w:rPr>
                <w:rFonts w:ascii="Book Antiqua" w:hAnsi="Book Antiqua" w:cs="Times New Roman"/>
                <w:sz w:val="24"/>
                <w:szCs w:val="24"/>
              </w:rPr>
              <w:t xml:space="preserve"> </w:t>
            </w:r>
            <w:r w:rsidR="00E9347F" w:rsidRPr="0062316F">
              <w:rPr>
                <w:rFonts w:ascii="Book Antiqua" w:hAnsi="Book Antiqua" w:cs="Times New Roman"/>
                <w:sz w:val="24"/>
                <w:szCs w:val="24"/>
              </w:rPr>
              <w:t>0.4098</w:t>
            </w:r>
          </w:p>
        </w:tc>
      </w:tr>
    </w:tbl>
    <w:p w14:paraId="615EC551" w14:textId="43333953" w:rsidR="00E9347F" w:rsidRPr="0062316F" w:rsidRDefault="00E9347F" w:rsidP="0062316F">
      <w:pPr>
        <w:pStyle w:val="Caption"/>
        <w:spacing w:after="0" w:line="360" w:lineRule="auto"/>
        <w:jc w:val="both"/>
        <w:rPr>
          <w:rFonts w:ascii="Book Antiqua" w:hAnsi="Book Antiqua"/>
          <w:i w:val="0"/>
          <w:color w:val="auto"/>
          <w:sz w:val="24"/>
          <w:szCs w:val="24"/>
        </w:rPr>
      </w:pPr>
      <w:r w:rsidRPr="0062316F">
        <w:rPr>
          <w:rFonts w:ascii="Book Antiqua" w:hAnsi="Book Antiqua"/>
          <w:i w:val="0"/>
          <w:color w:val="auto"/>
          <w:sz w:val="24"/>
          <w:szCs w:val="24"/>
          <w:vertAlign w:val="superscript"/>
        </w:rPr>
        <w:t>1</w:t>
      </w:r>
      <w:r w:rsidRPr="0062316F">
        <w:rPr>
          <w:rFonts w:ascii="Book Antiqua" w:hAnsi="Book Antiqua"/>
          <w:i w:val="0"/>
          <w:color w:val="auto"/>
          <w:sz w:val="24"/>
          <w:szCs w:val="24"/>
        </w:rPr>
        <w:t>Data expressed as mean ±</w:t>
      </w:r>
      <w:r w:rsidR="00242511" w:rsidRPr="0062316F">
        <w:rPr>
          <w:rFonts w:ascii="Book Antiqua" w:hAnsi="Book Antiqua"/>
          <w:i w:val="0"/>
          <w:color w:val="auto"/>
          <w:sz w:val="24"/>
          <w:szCs w:val="24"/>
        </w:rPr>
        <w:t xml:space="preserve"> </w:t>
      </w:r>
      <w:r w:rsidRPr="0062316F">
        <w:rPr>
          <w:rFonts w:ascii="Book Antiqua" w:hAnsi="Book Antiqua"/>
          <w:i w:val="0"/>
          <w:color w:val="auto"/>
          <w:sz w:val="24"/>
          <w:szCs w:val="24"/>
        </w:rPr>
        <w:t xml:space="preserve">SD; </w:t>
      </w:r>
      <w:r w:rsidRPr="0062316F">
        <w:rPr>
          <w:rFonts w:ascii="Book Antiqua" w:hAnsi="Book Antiqua"/>
          <w:i w:val="0"/>
          <w:color w:val="auto"/>
          <w:sz w:val="24"/>
          <w:szCs w:val="24"/>
          <w:vertAlign w:val="superscript"/>
        </w:rPr>
        <w:t>2</w:t>
      </w:r>
      <w:r w:rsidRPr="0062316F">
        <w:rPr>
          <w:rFonts w:ascii="Book Antiqua" w:hAnsi="Book Antiqua"/>
          <w:i w:val="0"/>
          <w:color w:val="auto"/>
          <w:sz w:val="24"/>
          <w:szCs w:val="24"/>
        </w:rPr>
        <w:t>Data expressed as Median (Range).</w:t>
      </w:r>
    </w:p>
    <w:p w14:paraId="364658FE" w14:textId="5E5021F2" w:rsidR="00E9347F" w:rsidRPr="0062316F" w:rsidRDefault="00E9347F" w:rsidP="0062316F">
      <w:pPr>
        <w:pStyle w:val="Caption"/>
        <w:spacing w:after="0" w:line="360" w:lineRule="auto"/>
        <w:jc w:val="both"/>
        <w:rPr>
          <w:rFonts w:ascii="Book Antiqua" w:hAnsi="Book Antiqua" w:cs="Times New Roman"/>
          <w:i w:val="0"/>
          <w:color w:val="auto"/>
          <w:sz w:val="24"/>
          <w:szCs w:val="24"/>
        </w:rPr>
      </w:pPr>
      <w:r w:rsidRPr="0062316F">
        <w:rPr>
          <w:rFonts w:ascii="Book Antiqua" w:hAnsi="Book Antiqua"/>
          <w:i w:val="0"/>
          <w:color w:val="auto"/>
          <w:sz w:val="24"/>
          <w:szCs w:val="24"/>
        </w:rPr>
        <w:t>NR: not reported; NS: not significant; eGFR: estimated glomerular filtration rate</w:t>
      </w:r>
      <w:r w:rsidR="00242511" w:rsidRPr="0062316F">
        <w:rPr>
          <w:rFonts w:ascii="Book Antiqua" w:hAnsi="Book Antiqua"/>
          <w:i w:val="0"/>
          <w:color w:val="auto"/>
          <w:sz w:val="24"/>
          <w:szCs w:val="24"/>
        </w:rPr>
        <w:t xml:space="preserve">; </w:t>
      </w:r>
      <w:r w:rsidR="00242511" w:rsidRPr="0062316F">
        <w:rPr>
          <w:rFonts w:ascii="Book Antiqua" w:hAnsi="Book Antiqua" w:cs="Times New Roman"/>
          <w:i w:val="0"/>
          <w:color w:val="auto"/>
          <w:sz w:val="24"/>
          <w:szCs w:val="24"/>
        </w:rPr>
        <w:t>PPI: Proton pump inhibitors.</w:t>
      </w:r>
    </w:p>
    <w:p w14:paraId="34F463F7" w14:textId="77777777" w:rsidR="005E0AC5" w:rsidRPr="0062316F" w:rsidRDefault="005E0AC5"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201FA0DC" w14:textId="3C44C2DD" w:rsidR="005D6C0A"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lastRenderedPageBreak/>
        <w:t xml:space="preserve">Table </w:t>
      </w:r>
      <w:r w:rsidRPr="0062316F">
        <w:rPr>
          <w:rFonts w:ascii="Book Antiqua" w:hAnsi="Book Antiqua" w:cs="Times New Roman"/>
          <w:b/>
          <w:sz w:val="24"/>
          <w:szCs w:val="24"/>
        </w:rPr>
        <w:fldChar w:fldCharType="begin"/>
      </w:r>
      <w:r w:rsidRPr="0062316F">
        <w:rPr>
          <w:rFonts w:ascii="Book Antiqua" w:hAnsi="Book Antiqua" w:cs="Times New Roman"/>
          <w:b/>
          <w:sz w:val="24"/>
          <w:szCs w:val="24"/>
        </w:rPr>
        <w:instrText xml:space="preserve"> SEQ Table \* ARABIC </w:instrText>
      </w:r>
      <w:r w:rsidRPr="0062316F">
        <w:rPr>
          <w:rFonts w:ascii="Book Antiqua" w:hAnsi="Book Antiqua" w:cs="Times New Roman"/>
          <w:b/>
          <w:sz w:val="24"/>
          <w:szCs w:val="24"/>
        </w:rPr>
        <w:fldChar w:fldCharType="separate"/>
      </w:r>
      <w:r w:rsidRPr="0062316F">
        <w:rPr>
          <w:rFonts w:ascii="Book Antiqua" w:hAnsi="Book Antiqua" w:cs="Times New Roman"/>
          <w:b/>
          <w:sz w:val="24"/>
          <w:szCs w:val="24"/>
        </w:rPr>
        <w:t>4</w:t>
      </w:r>
      <w:r w:rsidRPr="0062316F">
        <w:rPr>
          <w:rFonts w:ascii="Book Antiqua" w:hAnsi="Book Antiqua" w:cs="Times New Roman"/>
          <w:b/>
          <w:sz w:val="24"/>
          <w:szCs w:val="24"/>
        </w:rPr>
        <w:fldChar w:fldCharType="end"/>
      </w:r>
      <w:r w:rsidRPr="0062316F">
        <w:rPr>
          <w:rFonts w:ascii="Book Antiqua" w:hAnsi="Book Antiqua" w:cs="Times New Roman"/>
          <w:b/>
          <w:sz w:val="24"/>
          <w:szCs w:val="24"/>
        </w:rPr>
        <w:t xml:space="preserve"> Hypomagnesemia</w:t>
      </w:r>
    </w:p>
    <w:tbl>
      <w:tblPr>
        <w:tblStyle w:val="TableGrid"/>
        <w:tblW w:w="137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1163"/>
        <w:gridCol w:w="1211"/>
        <w:gridCol w:w="927"/>
        <w:gridCol w:w="2150"/>
        <w:gridCol w:w="1031"/>
        <w:gridCol w:w="1030"/>
        <w:gridCol w:w="756"/>
        <w:gridCol w:w="2150"/>
        <w:gridCol w:w="2083"/>
      </w:tblGrid>
      <w:tr w:rsidR="00875E5E" w:rsidRPr="0062316F" w14:paraId="6B6D51A1" w14:textId="77777777" w:rsidTr="00875E5E">
        <w:tc>
          <w:tcPr>
            <w:tcW w:w="1264" w:type="dxa"/>
            <w:vMerge w:val="restart"/>
            <w:tcBorders>
              <w:top w:val="single" w:sz="4" w:space="0" w:color="auto"/>
              <w:bottom w:val="nil"/>
            </w:tcBorders>
            <w:shd w:val="clear" w:color="auto" w:fill="auto"/>
          </w:tcPr>
          <w:p w14:paraId="7ECE4CF3" w14:textId="77777777" w:rsidR="00875E5E" w:rsidRPr="0062316F" w:rsidRDefault="00875E5E"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Ref</w:t>
            </w:r>
          </w:p>
        </w:tc>
        <w:tc>
          <w:tcPr>
            <w:tcW w:w="3301" w:type="dxa"/>
            <w:gridSpan w:val="3"/>
            <w:tcBorders>
              <w:top w:val="single" w:sz="4" w:space="0" w:color="auto"/>
              <w:bottom w:val="nil"/>
            </w:tcBorders>
            <w:shd w:val="clear" w:color="auto" w:fill="auto"/>
          </w:tcPr>
          <w:p w14:paraId="4B6AFF70" w14:textId="77777777" w:rsidR="00875E5E" w:rsidRPr="0062316F" w:rsidRDefault="00875E5E"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Serum/Plasma Magnesium level</w:t>
            </w:r>
          </w:p>
        </w:tc>
        <w:tc>
          <w:tcPr>
            <w:tcW w:w="7117" w:type="dxa"/>
            <w:gridSpan w:val="5"/>
            <w:tcBorders>
              <w:top w:val="single" w:sz="4" w:space="0" w:color="auto"/>
              <w:bottom w:val="nil"/>
            </w:tcBorders>
            <w:shd w:val="clear" w:color="auto" w:fill="auto"/>
          </w:tcPr>
          <w:p w14:paraId="4F927099" w14:textId="2C801E2B" w:rsidR="00875E5E" w:rsidRPr="0062316F" w:rsidRDefault="00875E5E" w:rsidP="0062316F">
            <w:pPr>
              <w:spacing w:line="360" w:lineRule="auto"/>
              <w:jc w:val="both"/>
              <w:rPr>
                <w:rFonts w:ascii="Book Antiqua" w:hAnsi="Book Antiqua" w:cs="Times New Roman"/>
                <w:b/>
                <w:sz w:val="24"/>
                <w:szCs w:val="24"/>
                <w:highlight w:val="lightGray"/>
              </w:rPr>
            </w:pPr>
            <w:r w:rsidRPr="0062316F">
              <w:rPr>
                <w:rFonts w:ascii="Book Antiqua" w:hAnsi="Book Antiqua" w:cs="Times New Roman"/>
                <w:b/>
                <w:sz w:val="24"/>
                <w:szCs w:val="24"/>
              </w:rPr>
              <w:t>Hypomagnesemia</w:t>
            </w:r>
          </w:p>
        </w:tc>
        <w:tc>
          <w:tcPr>
            <w:tcW w:w="2083" w:type="dxa"/>
            <w:vMerge w:val="restart"/>
            <w:tcBorders>
              <w:top w:val="single" w:sz="4" w:space="0" w:color="auto"/>
              <w:bottom w:val="single" w:sz="4" w:space="0" w:color="auto"/>
            </w:tcBorders>
            <w:shd w:val="clear" w:color="auto" w:fill="auto"/>
          </w:tcPr>
          <w:p w14:paraId="3FF66AD5" w14:textId="77777777" w:rsidR="00875E5E" w:rsidRPr="0062316F" w:rsidRDefault="00875E5E"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Magnesium supplementation</w:t>
            </w:r>
          </w:p>
        </w:tc>
      </w:tr>
      <w:tr w:rsidR="00446383" w:rsidRPr="0062316F" w14:paraId="1FDFD424" w14:textId="77777777" w:rsidTr="00875E5E">
        <w:tc>
          <w:tcPr>
            <w:tcW w:w="1264" w:type="dxa"/>
            <w:vMerge/>
            <w:tcBorders>
              <w:top w:val="nil"/>
              <w:bottom w:val="single" w:sz="4" w:space="0" w:color="auto"/>
            </w:tcBorders>
            <w:shd w:val="clear" w:color="auto" w:fill="auto"/>
          </w:tcPr>
          <w:p w14:paraId="5BE18F0A" w14:textId="77777777" w:rsidR="005D6C0A" w:rsidRPr="0062316F" w:rsidRDefault="005D6C0A" w:rsidP="0062316F">
            <w:pPr>
              <w:spacing w:line="360" w:lineRule="auto"/>
              <w:jc w:val="both"/>
              <w:rPr>
                <w:rFonts w:ascii="Book Antiqua" w:hAnsi="Book Antiqua" w:cs="Times New Roman"/>
                <w:b/>
                <w:sz w:val="24"/>
                <w:szCs w:val="24"/>
              </w:rPr>
            </w:pPr>
          </w:p>
        </w:tc>
        <w:tc>
          <w:tcPr>
            <w:tcW w:w="1163" w:type="dxa"/>
            <w:tcBorders>
              <w:top w:val="nil"/>
              <w:bottom w:val="single" w:sz="4" w:space="0" w:color="auto"/>
            </w:tcBorders>
            <w:shd w:val="clear" w:color="auto" w:fill="auto"/>
          </w:tcPr>
          <w:p w14:paraId="77394EB7"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1211" w:type="dxa"/>
            <w:tcBorders>
              <w:top w:val="nil"/>
              <w:bottom w:val="single" w:sz="4" w:space="0" w:color="auto"/>
            </w:tcBorders>
            <w:shd w:val="clear" w:color="auto" w:fill="auto"/>
          </w:tcPr>
          <w:p w14:paraId="6C8DCBBF"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927" w:type="dxa"/>
            <w:tcBorders>
              <w:top w:val="nil"/>
              <w:bottom w:val="single" w:sz="4" w:space="0" w:color="auto"/>
            </w:tcBorders>
            <w:shd w:val="clear" w:color="auto" w:fill="auto"/>
          </w:tcPr>
          <w:p w14:paraId="16CE559A"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w:t>
            </w:r>
          </w:p>
        </w:tc>
        <w:tc>
          <w:tcPr>
            <w:tcW w:w="2150" w:type="dxa"/>
            <w:tcBorders>
              <w:top w:val="nil"/>
              <w:bottom w:val="single" w:sz="4" w:space="0" w:color="auto"/>
            </w:tcBorders>
            <w:shd w:val="clear" w:color="auto" w:fill="auto"/>
          </w:tcPr>
          <w:p w14:paraId="04B6A820"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Definition of hypomagnesemia</w:t>
            </w:r>
          </w:p>
        </w:tc>
        <w:tc>
          <w:tcPr>
            <w:tcW w:w="1031" w:type="dxa"/>
            <w:tcBorders>
              <w:top w:val="nil"/>
              <w:bottom w:val="single" w:sz="4" w:space="0" w:color="auto"/>
            </w:tcBorders>
            <w:shd w:val="clear" w:color="auto" w:fill="auto"/>
          </w:tcPr>
          <w:p w14:paraId="6E5C896C"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1030" w:type="dxa"/>
            <w:tcBorders>
              <w:top w:val="nil"/>
              <w:bottom w:val="single" w:sz="4" w:space="0" w:color="auto"/>
            </w:tcBorders>
            <w:shd w:val="clear" w:color="auto" w:fill="auto"/>
          </w:tcPr>
          <w:p w14:paraId="6F10DE1B"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756" w:type="dxa"/>
            <w:tcBorders>
              <w:top w:val="nil"/>
              <w:bottom w:val="single" w:sz="4" w:space="0" w:color="auto"/>
            </w:tcBorders>
            <w:shd w:val="clear" w:color="auto" w:fill="auto"/>
          </w:tcPr>
          <w:p w14:paraId="7525A4F8" w14:textId="60C00FEB" w:rsidR="005D6C0A" w:rsidRPr="0062316F" w:rsidRDefault="00242511"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P</w:t>
            </w:r>
          </w:p>
        </w:tc>
        <w:tc>
          <w:tcPr>
            <w:tcW w:w="2150" w:type="dxa"/>
            <w:tcBorders>
              <w:top w:val="nil"/>
              <w:bottom w:val="single" w:sz="4" w:space="0" w:color="auto"/>
            </w:tcBorders>
            <w:shd w:val="clear" w:color="auto" w:fill="auto"/>
          </w:tcPr>
          <w:p w14:paraId="4036C557" w14:textId="77777777" w:rsidR="005D6C0A" w:rsidRPr="0062316F" w:rsidRDefault="005D6C0A"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Correlation between PPI and hypomagnesemia</w:t>
            </w:r>
          </w:p>
        </w:tc>
        <w:tc>
          <w:tcPr>
            <w:tcW w:w="2083" w:type="dxa"/>
            <w:vMerge/>
            <w:tcBorders>
              <w:top w:val="nil"/>
              <w:bottom w:val="single" w:sz="4" w:space="0" w:color="auto"/>
            </w:tcBorders>
            <w:shd w:val="clear" w:color="auto" w:fill="auto"/>
          </w:tcPr>
          <w:p w14:paraId="103D6F34" w14:textId="77777777" w:rsidR="005D6C0A" w:rsidRPr="0062316F" w:rsidRDefault="005D6C0A" w:rsidP="0062316F">
            <w:pPr>
              <w:spacing w:line="360" w:lineRule="auto"/>
              <w:jc w:val="both"/>
              <w:rPr>
                <w:rFonts w:ascii="Book Antiqua" w:hAnsi="Book Antiqua" w:cs="Times New Roman"/>
                <w:sz w:val="24"/>
                <w:szCs w:val="24"/>
              </w:rPr>
            </w:pPr>
          </w:p>
        </w:tc>
      </w:tr>
      <w:tr w:rsidR="00446383" w:rsidRPr="0062316F" w14:paraId="2DAA30AD" w14:textId="77777777" w:rsidTr="00875E5E">
        <w:tc>
          <w:tcPr>
            <w:tcW w:w="1264" w:type="dxa"/>
            <w:tcBorders>
              <w:top w:val="single" w:sz="4" w:space="0" w:color="auto"/>
            </w:tcBorders>
            <w:shd w:val="clear" w:color="auto" w:fill="auto"/>
          </w:tcPr>
          <w:p w14:paraId="68DA3008" w14:textId="77777777" w:rsidR="005D6C0A" w:rsidRPr="0062316F" w:rsidRDefault="005D6C0A" w:rsidP="0062316F">
            <w:pPr>
              <w:tabs>
                <w:tab w:val="left" w:pos="930"/>
              </w:tabs>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Sezer</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35]</w:t>
            </w:r>
          </w:p>
        </w:tc>
        <w:tc>
          <w:tcPr>
            <w:tcW w:w="1163" w:type="dxa"/>
            <w:tcBorders>
              <w:top w:val="single" w:sz="4" w:space="0" w:color="auto"/>
            </w:tcBorders>
            <w:shd w:val="clear" w:color="auto" w:fill="auto"/>
          </w:tcPr>
          <w:p w14:paraId="1571A3A3"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sz w:val="24"/>
                <w:szCs w:val="24"/>
              </w:rPr>
              <w:t>1.5 ± 0.04 mg/dl</w:t>
            </w:r>
          </w:p>
        </w:tc>
        <w:tc>
          <w:tcPr>
            <w:tcW w:w="1211" w:type="dxa"/>
            <w:tcBorders>
              <w:top w:val="single" w:sz="4" w:space="0" w:color="auto"/>
            </w:tcBorders>
            <w:shd w:val="clear" w:color="auto" w:fill="auto"/>
          </w:tcPr>
          <w:p w14:paraId="439F59F0"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sz w:val="24"/>
                <w:szCs w:val="24"/>
              </w:rPr>
              <w:t>1.7 ± 0.02 mg/dl</w:t>
            </w:r>
          </w:p>
        </w:tc>
        <w:tc>
          <w:tcPr>
            <w:tcW w:w="927" w:type="dxa"/>
            <w:tcBorders>
              <w:top w:val="single" w:sz="4" w:space="0" w:color="auto"/>
            </w:tcBorders>
            <w:shd w:val="clear" w:color="auto" w:fill="auto"/>
          </w:tcPr>
          <w:p w14:paraId="534A2F18"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P&lt;0.05</w:t>
            </w:r>
          </w:p>
        </w:tc>
        <w:tc>
          <w:tcPr>
            <w:tcW w:w="2150" w:type="dxa"/>
            <w:tcBorders>
              <w:top w:val="single" w:sz="4" w:space="0" w:color="auto"/>
            </w:tcBorders>
            <w:shd w:val="clear" w:color="auto" w:fill="auto"/>
          </w:tcPr>
          <w:p w14:paraId="5FFD7C91"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1" w:type="dxa"/>
            <w:tcBorders>
              <w:top w:val="single" w:sz="4" w:space="0" w:color="auto"/>
            </w:tcBorders>
            <w:shd w:val="clear" w:color="auto" w:fill="auto"/>
          </w:tcPr>
          <w:p w14:paraId="1AA0A025"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0" w:type="dxa"/>
            <w:tcBorders>
              <w:top w:val="single" w:sz="4" w:space="0" w:color="auto"/>
            </w:tcBorders>
            <w:shd w:val="clear" w:color="auto" w:fill="auto"/>
          </w:tcPr>
          <w:p w14:paraId="1F2C5A46"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756" w:type="dxa"/>
            <w:tcBorders>
              <w:top w:val="single" w:sz="4" w:space="0" w:color="auto"/>
            </w:tcBorders>
            <w:shd w:val="clear" w:color="auto" w:fill="auto"/>
          </w:tcPr>
          <w:p w14:paraId="038FF711"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tcBorders>
              <w:top w:val="single" w:sz="4" w:space="0" w:color="auto"/>
            </w:tcBorders>
            <w:shd w:val="clear" w:color="auto" w:fill="auto"/>
          </w:tcPr>
          <w:p w14:paraId="4505ED2A"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083" w:type="dxa"/>
            <w:tcBorders>
              <w:top w:val="single" w:sz="4" w:space="0" w:color="auto"/>
            </w:tcBorders>
            <w:shd w:val="clear" w:color="auto" w:fill="auto"/>
          </w:tcPr>
          <w:p w14:paraId="0F68419F"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446383" w:rsidRPr="0062316F" w14:paraId="67F1E7A1" w14:textId="77777777" w:rsidTr="00875E5E">
        <w:tc>
          <w:tcPr>
            <w:tcW w:w="1264" w:type="dxa"/>
            <w:shd w:val="clear" w:color="auto" w:fill="auto"/>
          </w:tcPr>
          <w:p w14:paraId="751A345C" w14:textId="77777777" w:rsidR="005D6C0A" w:rsidRPr="0062316F" w:rsidRDefault="005D6C0A"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Shabaka</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36]</w:t>
            </w:r>
          </w:p>
        </w:tc>
        <w:tc>
          <w:tcPr>
            <w:tcW w:w="1163" w:type="dxa"/>
            <w:shd w:val="clear" w:color="auto" w:fill="auto"/>
          </w:tcPr>
          <w:p w14:paraId="0957B39F"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11" w:type="dxa"/>
            <w:shd w:val="clear" w:color="auto" w:fill="auto"/>
          </w:tcPr>
          <w:p w14:paraId="04929A88"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927" w:type="dxa"/>
            <w:shd w:val="clear" w:color="auto" w:fill="auto"/>
          </w:tcPr>
          <w:p w14:paraId="073EF6A0"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158819D7"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1" w:type="dxa"/>
            <w:shd w:val="clear" w:color="auto" w:fill="auto"/>
          </w:tcPr>
          <w:p w14:paraId="21540C0C" w14:textId="30C36FD4"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OR 1.55, (95%CI 1</w:t>
            </w:r>
            <w:r w:rsidR="00242511" w:rsidRPr="0062316F">
              <w:rPr>
                <w:rFonts w:ascii="Book Antiqua" w:hAnsi="Book Antiqua" w:cs="Times New Roman"/>
                <w:sz w:val="24"/>
                <w:szCs w:val="24"/>
              </w:rPr>
              <w:t>.</w:t>
            </w:r>
            <w:r w:rsidRPr="0062316F">
              <w:rPr>
                <w:rFonts w:ascii="Book Antiqua" w:hAnsi="Book Antiqua" w:cs="Times New Roman"/>
                <w:sz w:val="24"/>
                <w:szCs w:val="24"/>
              </w:rPr>
              <w:t>09-2</w:t>
            </w:r>
            <w:r w:rsidR="00242511" w:rsidRPr="0062316F">
              <w:rPr>
                <w:rFonts w:ascii="Book Antiqua" w:hAnsi="Book Antiqua" w:cs="Times New Roman"/>
                <w:sz w:val="24"/>
                <w:szCs w:val="24"/>
              </w:rPr>
              <w:t>.</w:t>
            </w:r>
            <w:r w:rsidRPr="0062316F">
              <w:rPr>
                <w:rFonts w:ascii="Book Antiqua" w:hAnsi="Book Antiqua" w:cs="Times New Roman"/>
                <w:sz w:val="24"/>
                <w:szCs w:val="24"/>
              </w:rPr>
              <w:t>20)</w:t>
            </w:r>
          </w:p>
        </w:tc>
        <w:tc>
          <w:tcPr>
            <w:tcW w:w="1030" w:type="dxa"/>
            <w:shd w:val="clear" w:color="auto" w:fill="auto"/>
          </w:tcPr>
          <w:p w14:paraId="305EF204"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w:t>
            </w:r>
          </w:p>
        </w:tc>
        <w:tc>
          <w:tcPr>
            <w:tcW w:w="756" w:type="dxa"/>
            <w:shd w:val="clear" w:color="auto" w:fill="auto"/>
          </w:tcPr>
          <w:p w14:paraId="45774C22"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0CB09589"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083" w:type="dxa"/>
            <w:shd w:val="clear" w:color="auto" w:fill="auto"/>
          </w:tcPr>
          <w:p w14:paraId="6D6572CC"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446383" w:rsidRPr="0062316F" w14:paraId="7879E509" w14:textId="77777777" w:rsidTr="00875E5E">
        <w:tc>
          <w:tcPr>
            <w:tcW w:w="1264" w:type="dxa"/>
            <w:shd w:val="clear" w:color="auto" w:fill="auto"/>
          </w:tcPr>
          <w:p w14:paraId="464FFE81" w14:textId="77777777" w:rsidR="005D6C0A" w:rsidRPr="0062316F" w:rsidRDefault="005D6C0A"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Kipp</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39]</w:t>
            </w:r>
          </w:p>
        </w:tc>
        <w:tc>
          <w:tcPr>
            <w:tcW w:w="1163" w:type="dxa"/>
            <w:shd w:val="clear" w:color="auto" w:fill="auto"/>
          </w:tcPr>
          <w:p w14:paraId="05E36DBD"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11" w:type="dxa"/>
            <w:shd w:val="clear" w:color="auto" w:fill="auto"/>
          </w:tcPr>
          <w:p w14:paraId="00F59B18"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927" w:type="dxa"/>
            <w:shd w:val="clear" w:color="auto" w:fill="auto"/>
          </w:tcPr>
          <w:p w14:paraId="694B9A5E"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146E0043"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1" w:type="dxa"/>
            <w:shd w:val="clear" w:color="auto" w:fill="auto"/>
          </w:tcPr>
          <w:p w14:paraId="5B0CCFCC"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215 (53.1%)</w:t>
            </w:r>
          </w:p>
        </w:tc>
        <w:tc>
          <w:tcPr>
            <w:tcW w:w="1030" w:type="dxa"/>
            <w:shd w:val="clear" w:color="auto" w:fill="auto"/>
          </w:tcPr>
          <w:p w14:paraId="158CAD90"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185 (44.6%)</w:t>
            </w:r>
          </w:p>
        </w:tc>
        <w:tc>
          <w:tcPr>
            <w:tcW w:w="756" w:type="dxa"/>
            <w:shd w:val="clear" w:color="auto" w:fill="auto"/>
          </w:tcPr>
          <w:p w14:paraId="50EB28BB"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i/>
                <w:sz w:val="24"/>
                <w:szCs w:val="24"/>
              </w:rPr>
              <w:t>P</w:t>
            </w:r>
            <w:r w:rsidRPr="0062316F">
              <w:rPr>
                <w:rFonts w:ascii="Book Antiqua" w:hAnsi="Book Antiqua" w:cs="Times New Roman"/>
                <w:sz w:val="24"/>
                <w:szCs w:val="24"/>
              </w:rPr>
              <w:t xml:space="preserve"> &lt; 0.013</w:t>
            </w:r>
          </w:p>
        </w:tc>
        <w:tc>
          <w:tcPr>
            <w:tcW w:w="2150" w:type="dxa"/>
            <w:shd w:val="clear" w:color="auto" w:fill="auto"/>
          </w:tcPr>
          <w:p w14:paraId="68866958" w14:textId="77777777" w:rsidR="005D6C0A" w:rsidRPr="0062316F" w:rsidRDefault="005D6C0A" w:rsidP="0062316F">
            <w:pPr>
              <w:spacing w:line="360" w:lineRule="auto"/>
              <w:jc w:val="both"/>
              <w:rPr>
                <w:rFonts w:ascii="Book Antiqua" w:hAnsi="Book Antiqua" w:cs="Times New Roman"/>
                <w:sz w:val="24"/>
                <w:szCs w:val="24"/>
                <w:highlight w:val="lightGray"/>
              </w:rPr>
            </w:pPr>
            <w:r w:rsidRPr="0062316F">
              <w:rPr>
                <w:rFonts w:ascii="Book Antiqua" w:hAnsi="Book Antiqua" w:cs="Times New Roman"/>
                <w:sz w:val="24"/>
                <w:szCs w:val="24"/>
              </w:rPr>
              <w:t>NR</w:t>
            </w:r>
          </w:p>
        </w:tc>
        <w:tc>
          <w:tcPr>
            <w:tcW w:w="2083" w:type="dxa"/>
            <w:shd w:val="clear" w:color="auto" w:fill="auto"/>
          </w:tcPr>
          <w:p w14:paraId="078445E4"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446383" w:rsidRPr="0062316F" w14:paraId="61AD953B" w14:textId="77777777" w:rsidTr="00875E5E">
        <w:trPr>
          <w:trHeight w:val="645"/>
        </w:trPr>
        <w:tc>
          <w:tcPr>
            <w:tcW w:w="1264" w:type="dxa"/>
            <w:vMerge w:val="restart"/>
            <w:shd w:val="clear" w:color="auto" w:fill="auto"/>
          </w:tcPr>
          <w:p w14:paraId="775486B9" w14:textId="77777777" w:rsidR="005D6C0A" w:rsidRPr="0062316F" w:rsidRDefault="005D6C0A"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Alhosaini</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34]</w:t>
            </w:r>
          </w:p>
        </w:tc>
        <w:tc>
          <w:tcPr>
            <w:tcW w:w="1163" w:type="dxa"/>
            <w:vMerge w:val="restart"/>
            <w:shd w:val="clear" w:color="auto" w:fill="auto"/>
          </w:tcPr>
          <w:p w14:paraId="00C15C2D"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1.70 ± 0.12 </w:t>
            </w:r>
          </w:p>
        </w:tc>
        <w:tc>
          <w:tcPr>
            <w:tcW w:w="1211" w:type="dxa"/>
            <w:vMerge w:val="restart"/>
            <w:shd w:val="clear" w:color="auto" w:fill="auto"/>
          </w:tcPr>
          <w:p w14:paraId="14F9CC4B"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1.79 ± 0.17</w:t>
            </w:r>
          </w:p>
        </w:tc>
        <w:tc>
          <w:tcPr>
            <w:tcW w:w="927" w:type="dxa"/>
            <w:vMerge w:val="restart"/>
            <w:shd w:val="clear" w:color="auto" w:fill="auto"/>
          </w:tcPr>
          <w:p w14:paraId="4E1F1796"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0.006</w:t>
            </w:r>
          </w:p>
        </w:tc>
        <w:tc>
          <w:tcPr>
            <w:tcW w:w="2150" w:type="dxa"/>
            <w:shd w:val="clear" w:color="auto" w:fill="auto"/>
          </w:tcPr>
          <w:p w14:paraId="19D8BFA1"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Serum Mg &lt; 1.8 mg/dL</w:t>
            </w:r>
          </w:p>
        </w:tc>
        <w:tc>
          <w:tcPr>
            <w:tcW w:w="1031" w:type="dxa"/>
            <w:shd w:val="clear" w:color="auto" w:fill="auto"/>
          </w:tcPr>
          <w:p w14:paraId="2B3C5576"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33/43 </w:t>
            </w:r>
          </w:p>
        </w:tc>
        <w:tc>
          <w:tcPr>
            <w:tcW w:w="1030" w:type="dxa"/>
            <w:shd w:val="clear" w:color="auto" w:fill="auto"/>
          </w:tcPr>
          <w:p w14:paraId="44A75EC4"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24/40</w:t>
            </w:r>
          </w:p>
        </w:tc>
        <w:tc>
          <w:tcPr>
            <w:tcW w:w="756" w:type="dxa"/>
            <w:shd w:val="clear" w:color="auto" w:fill="auto"/>
          </w:tcPr>
          <w:p w14:paraId="63EB694E" w14:textId="5B134B14"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i/>
                <w:sz w:val="24"/>
                <w:szCs w:val="24"/>
              </w:rPr>
              <w:t>P</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&gt;</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0.05</w:t>
            </w:r>
          </w:p>
          <w:p w14:paraId="5933C8F3"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vMerge w:val="restart"/>
            <w:shd w:val="clear" w:color="auto" w:fill="auto"/>
          </w:tcPr>
          <w:p w14:paraId="32B0F688" w14:textId="77777777" w:rsidR="005D6C0A" w:rsidRPr="0062316F" w:rsidRDefault="005D6C0A" w:rsidP="0062316F">
            <w:pPr>
              <w:spacing w:line="360" w:lineRule="auto"/>
              <w:jc w:val="both"/>
              <w:rPr>
                <w:rFonts w:ascii="Book Antiqua" w:hAnsi="Book Antiqua" w:cs="Times New Roman"/>
                <w:sz w:val="24"/>
                <w:szCs w:val="24"/>
                <w:highlight w:val="lightGray"/>
              </w:rPr>
            </w:pPr>
            <w:r w:rsidRPr="0062316F">
              <w:rPr>
                <w:rFonts w:ascii="Book Antiqua" w:hAnsi="Book Antiqua" w:cs="Times New Roman"/>
                <w:sz w:val="24"/>
                <w:szCs w:val="24"/>
              </w:rPr>
              <w:t>NR</w:t>
            </w:r>
          </w:p>
        </w:tc>
        <w:tc>
          <w:tcPr>
            <w:tcW w:w="2083" w:type="dxa"/>
            <w:vMerge w:val="restart"/>
            <w:shd w:val="clear" w:color="auto" w:fill="auto"/>
          </w:tcPr>
          <w:p w14:paraId="49EE9A98" w14:textId="417B6769"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Use of Mg supplement: PPI 47% </w:t>
            </w:r>
            <w:r w:rsidRPr="0062316F">
              <w:rPr>
                <w:rFonts w:ascii="Book Antiqua" w:hAnsi="Book Antiqua" w:cs="Times New Roman"/>
                <w:i/>
                <w:sz w:val="24"/>
                <w:szCs w:val="24"/>
              </w:rPr>
              <w:t>vs</w:t>
            </w:r>
            <w:r w:rsidRPr="0062316F">
              <w:rPr>
                <w:rFonts w:ascii="Book Antiqua" w:hAnsi="Book Antiqua" w:cs="Times New Roman"/>
                <w:sz w:val="24"/>
                <w:szCs w:val="24"/>
              </w:rPr>
              <w:t xml:space="preserve"> Non-PPI 21% (</w:t>
            </w:r>
            <w:r w:rsidR="00242511" w:rsidRPr="0062316F">
              <w:rPr>
                <w:rFonts w:ascii="Book Antiqua" w:hAnsi="Book Antiqua" w:cs="Times New Roman"/>
                <w:i/>
                <w:sz w:val="24"/>
                <w:szCs w:val="24"/>
              </w:rPr>
              <w:t>P</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0.02)</w:t>
            </w:r>
          </w:p>
        </w:tc>
      </w:tr>
      <w:tr w:rsidR="00446383" w:rsidRPr="0062316F" w14:paraId="3987AE18" w14:textId="77777777" w:rsidTr="00875E5E">
        <w:trPr>
          <w:trHeight w:val="1035"/>
        </w:trPr>
        <w:tc>
          <w:tcPr>
            <w:tcW w:w="1264" w:type="dxa"/>
            <w:vMerge/>
            <w:shd w:val="clear" w:color="auto" w:fill="auto"/>
          </w:tcPr>
          <w:p w14:paraId="5B42D45F" w14:textId="77777777" w:rsidR="005D6C0A" w:rsidRPr="0062316F" w:rsidRDefault="005D6C0A" w:rsidP="0062316F">
            <w:pPr>
              <w:spacing w:line="360" w:lineRule="auto"/>
              <w:jc w:val="both"/>
              <w:rPr>
                <w:rFonts w:ascii="Book Antiqua" w:hAnsi="Book Antiqua" w:cs="Times New Roman"/>
                <w:sz w:val="24"/>
                <w:szCs w:val="24"/>
              </w:rPr>
            </w:pPr>
          </w:p>
        </w:tc>
        <w:tc>
          <w:tcPr>
            <w:tcW w:w="1163" w:type="dxa"/>
            <w:vMerge/>
            <w:shd w:val="clear" w:color="auto" w:fill="auto"/>
          </w:tcPr>
          <w:p w14:paraId="2DDA157B" w14:textId="77777777" w:rsidR="005D6C0A" w:rsidRPr="0062316F" w:rsidRDefault="005D6C0A" w:rsidP="0062316F">
            <w:pPr>
              <w:spacing w:line="360" w:lineRule="auto"/>
              <w:jc w:val="both"/>
              <w:rPr>
                <w:rFonts w:ascii="Book Antiqua" w:hAnsi="Book Antiqua" w:cs="Times New Roman"/>
                <w:sz w:val="24"/>
                <w:szCs w:val="24"/>
              </w:rPr>
            </w:pPr>
          </w:p>
        </w:tc>
        <w:tc>
          <w:tcPr>
            <w:tcW w:w="1211" w:type="dxa"/>
            <w:vMerge/>
            <w:shd w:val="clear" w:color="auto" w:fill="auto"/>
          </w:tcPr>
          <w:p w14:paraId="2276E8C7" w14:textId="77777777" w:rsidR="005D6C0A" w:rsidRPr="0062316F" w:rsidRDefault="005D6C0A" w:rsidP="0062316F">
            <w:pPr>
              <w:spacing w:line="360" w:lineRule="auto"/>
              <w:jc w:val="both"/>
              <w:rPr>
                <w:rFonts w:ascii="Book Antiqua" w:hAnsi="Book Antiqua" w:cs="Times New Roman"/>
                <w:sz w:val="24"/>
                <w:szCs w:val="24"/>
              </w:rPr>
            </w:pPr>
          </w:p>
        </w:tc>
        <w:tc>
          <w:tcPr>
            <w:tcW w:w="927" w:type="dxa"/>
            <w:vMerge/>
            <w:shd w:val="clear" w:color="auto" w:fill="auto"/>
          </w:tcPr>
          <w:p w14:paraId="46CCCCA5"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39D3B22E"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Serum Mg &lt; 1.3 mg/dL</w:t>
            </w:r>
          </w:p>
        </w:tc>
        <w:tc>
          <w:tcPr>
            <w:tcW w:w="1031" w:type="dxa"/>
            <w:shd w:val="clear" w:color="auto" w:fill="auto"/>
          </w:tcPr>
          <w:p w14:paraId="09675931" w14:textId="601E499D"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9/43 </w:t>
            </w:r>
            <w:r w:rsidR="00242511" w:rsidRPr="0062316F">
              <w:rPr>
                <w:rFonts w:ascii="Book Antiqua" w:hAnsi="Book Antiqua" w:cs="Times New Roman"/>
                <w:sz w:val="24"/>
                <w:szCs w:val="24"/>
              </w:rPr>
              <w:t>(</w:t>
            </w:r>
            <w:r w:rsidRPr="0062316F">
              <w:rPr>
                <w:rFonts w:ascii="Book Antiqua" w:hAnsi="Book Antiqua" w:cs="Times New Roman"/>
                <w:sz w:val="24"/>
                <w:szCs w:val="24"/>
              </w:rPr>
              <w:t>21%</w:t>
            </w:r>
            <w:r w:rsidR="00242511" w:rsidRPr="0062316F">
              <w:rPr>
                <w:rFonts w:ascii="Book Antiqua" w:hAnsi="Book Antiqua" w:cs="Times New Roman"/>
                <w:sz w:val="24"/>
                <w:szCs w:val="24"/>
              </w:rPr>
              <w:t>)</w:t>
            </w:r>
            <w:r w:rsidRPr="0062316F">
              <w:rPr>
                <w:rFonts w:ascii="Book Antiqua" w:hAnsi="Book Antiqua" w:cs="Times New Roman"/>
                <w:sz w:val="24"/>
                <w:szCs w:val="24"/>
              </w:rPr>
              <w:t xml:space="preserve"> </w:t>
            </w:r>
          </w:p>
        </w:tc>
        <w:tc>
          <w:tcPr>
            <w:tcW w:w="1030" w:type="dxa"/>
            <w:shd w:val="clear" w:color="auto" w:fill="auto"/>
          </w:tcPr>
          <w:p w14:paraId="5CD57568" w14:textId="0201224E"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2/40 </w:t>
            </w:r>
            <w:r w:rsidR="00242511" w:rsidRPr="0062316F">
              <w:rPr>
                <w:rFonts w:ascii="Book Antiqua" w:hAnsi="Book Antiqua" w:cs="Times New Roman"/>
                <w:sz w:val="24"/>
                <w:szCs w:val="24"/>
              </w:rPr>
              <w:t>(</w:t>
            </w:r>
            <w:r w:rsidRPr="0062316F">
              <w:rPr>
                <w:rFonts w:ascii="Book Antiqua" w:hAnsi="Book Antiqua" w:cs="Times New Roman"/>
                <w:sz w:val="24"/>
                <w:szCs w:val="24"/>
              </w:rPr>
              <w:t>5%</w:t>
            </w:r>
            <w:r w:rsidR="00242511" w:rsidRPr="0062316F">
              <w:rPr>
                <w:rFonts w:ascii="Book Antiqua" w:hAnsi="Book Antiqua" w:cs="Times New Roman"/>
                <w:sz w:val="24"/>
                <w:szCs w:val="24"/>
              </w:rPr>
              <w:t>)</w:t>
            </w:r>
          </w:p>
        </w:tc>
        <w:tc>
          <w:tcPr>
            <w:tcW w:w="756" w:type="dxa"/>
            <w:shd w:val="clear" w:color="auto" w:fill="auto"/>
          </w:tcPr>
          <w:p w14:paraId="72FB34C9" w14:textId="4A1213DD"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i/>
                <w:sz w:val="24"/>
                <w:szCs w:val="24"/>
              </w:rPr>
              <w:t>P</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0.03</w:t>
            </w:r>
          </w:p>
        </w:tc>
        <w:tc>
          <w:tcPr>
            <w:tcW w:w="2150" w:type="dxa"/>
            <w:vMerge/>
            <w:shd w:val="clear" w:color="auto" w:fill="auto"/>
          </w:tcPr>
          <w:p w14:paraId="2A24EE2B" w14:textId="77777777" w:rsidR="005D6C0A" w:rsidRPr="0062316F" w:rsidRDefault="005D6C0A" w:rsidP="0062316F">
            <w:pPr>
              <w:spacing w:line="360" w:lineRule="auto"/>
              <w:jc w:val="both"/>
              <w:rPr>
                <w:rFonts w:ascii="Book Antiqua" w:hAnsi="Book Antiqua" w:cs="Times New Roman"/>
                <w:sz w:val="24"/>
                <w:szCs w:val="24"/>
                <w:highlight w:val="lightGray"/>
              </w:rPr>
            </w:pPr>
          </w:p>
        </w:tc>
        <w:tc>
          <w:tcPr>
            <w:tcW w:w="2083" w:type="dxa"/>
            <w:vMerge/>
            <w:shd w:val="clear" w:color="auto" w:fill="auto"/>
          </w:tcPr>
          <w:p w14:paraId="65D1B7DE" w14:textId="77777777" w:rsidR="005D6C0A" w:rsidRPr="0062316F" w:rsidRDefault="005D6C0A" w:rsidP="0062316F">
            <w:pPr>
              <w:spacing w:line="360" w:lineRule="auto"/>
              <w:jc w:val="both"/>
              <w:rPr>
                <w:rFonts w:ascii="Book Antiqua" w:hAnsi="Book Antiqua" w:cs="Times New Roman"/>
                <w:sz w:val="24"/>
                <w:szCs w:val="24"/>
                <w:highlight w:val="lightGray"/>
              </w:rPr>
            </w:pPr>
          </w:p>
        </w:tc>
      </w:tr>
      <w:tr w:rsidR="00446383" w:rsidRPr="0062316F" w14:paraId="7833D692" w14:textId="77777777" w:rsidTr="00875E5E">
        <w:tc>
          <w:tcPr>
            <w:tcW w:w="1264" w:type="dxa"/>
            <w:shd w:val="clear" w:color="auto" w:fill="auto"/>
          </w:tcPr>
          <w:p w14:paraId="252E9E85" w14:textId="77777777" w:rsidR="005D6C0A" w:rsidRPr="0062316F" w:rsidRDefault="005D6C0A"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lastRenderedPageBreak/>
              <w:t>Uludag</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i/>
                <w:noProof/>
                <w:sz w:val="24"/>
                <w:szCs w:val="24"/>
                <w:vertAlign w:val="superscript"/>
              </w:rPr>
              <w:t>[</w:t>
            </w:r>
            <w:proofErr w:type="gramEnd"/>
            <w:r w:rsidRPr="0062316F">
              <w:rPr>
                <w:rFonts w:ascii="Book Antiqua" w:hAnsi="Book Antiqua" w:cs="Times New Roman"/>
                <w:i/>
                <w:noProof/>
                <w:sz w:val="24"/>
                <w:szCs w:val="24"/>
                <w:vertAlign w:val="superscript"/>
              </w:rPr>
              <w:t>37]</w:t>
            </w:r>
          </w:p>
        </w:tc>
        <w:tc>
          <w:tcPr>
            <w:tcW w:w="1163" w:type="dxa"/>
            <w:shd w:val="clear" w:color="auto" w:fill="auto"/>
          </w:tcPr>
          <w:p w14:paraId="088418F4"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0.728 mmol/L</w:t>
            </w:r>
          </w:p>
        </w:tc>
        <w:tc>
          <w:tcPr>
            <w:tcW w:w="1211" w:type="dxa"/>
            <w:shd w:val="clear" w:color="auto" w:fill="auto"/>
          </w:tcPr>
          <w:p w14:paraId="4EBE0ACD"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i/>
                <w:sz w:val="24"/>
                <w:szCs w:val="24"/>
              </w:rPr>
              <w:t>vs</w:t>
            </w:r>
            <w:r w:rsidRPr="0062316F">
              <w:rPr>
                <w:rFonts w:ascii="Book Antiqua" w:hAnsi="Book Antiqua" w:cs="Times New Roman"/>
                <w:sz w:val="24"/>
                <w:szCs w:val="24"/>
              </w:rPr>
              <w:t xml:space="preserve"> 0.755 mmol/L,</w:t>
            </w:r>
          </w:p>
        </w:tc>
        <w:tc>
          <w:tcPr>
            <w:tcW w:w="927" w:type="dxa"/>
            <w:shd w:val="clear" w:color="auto" w:fill="auto"/>
          </w:tcPr>
          <w:p w14:paraId="6BB14338" w14:textId="0F5D571E" w:rsidR="005D6C0A" w:rsidRPr="0062316F" w:rsidRDefault="00242511" w:rsidP="0062316F">
            <w:pPr>
              <w:spacing w:line="360" w:lineRule="auto"/>
              <w:jc w:val="both"/>
              <w:rPr>
                <w:rFonts w:ascii="Book Antiqua" w:hAnsi="Book Antiqua" w:cs="Times New Roman"/>
                <w:sz w:val="24"/>
                <w:szCs w:val="24"/>
              </w:rPr>
            </w:pPr>
            <w:r w:rsidRPr="0062316F">
              <w:rPr>
                <w:rFonts w:ascii="Book Antiqua" w:hAnsi="Book Antiqua" w:cs="Arial"/>
                <w:i/>
                <w:sz w:val="24"/>
                <w:szCs w:val="24"/>
              </w:rPr>
              <w:t>P</w:t>
            </w:r>
            <w:r w:rsidRPr="0062316F">
              <w:rPr>
                <w:rFonts w:ascii="Book Antiqua" w:hAnsi="Book Antiqua" w:cs="Arial"/>
                <w:sz w:val="24"/>
                <w:szCs w:val="24"/>
              </w:rPr>
              <w:t xml:space="preserve"> = </w:t>
            </w:r>
            <w:r w:rsidR="005D6C0A" w:rsidRPr="0062316F">
              <w:rPr>
                <w:rFonts w:ascii="Book Antiqua" w:hAnsi="Book Antiqua" w:cs="Times New Roman"/>
                <w:sz w:val="24"/>
                <w:szCs w:val="24"/>
              </w:rPr>
              <w:t>0.061</w:t>
            </w:r>
          </w:p>
        </w:tc>
        <w:tc>
          <w:tcPr>
            <w:tcW w:w="2150" w:type="dxa"/>
            <w:shd w:val="clear" w:color="auto" w:fill="auto"/>
          </w:tcPr>
          <w:p w14:paraId="0A6CB901"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1" w:type="dxa"/>
            <w:shd w:val="clear" w:color="auto" w:fill="auto"/>
          </w:tcPr>
          <w:p w14:paraId="08020002"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030" w:type="dxa"/>
            <w:shd w:val="clear" w:color="auto" w:fill="auto"/>
          </w:tcPr>
          <w:p w14:paraId="4FC6F962"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756" w:type="dxa"/>
            <w:shd w:val="clear" w:color="auto" w:fill="auto"/>
          </w:tcPr>
          <w:p w14:paraId="1F5A0855"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5BFE75A6"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083" w:type="dxa"/>
            <w:shd w:val="clear" w:color="auto" w:fill="auto"/>
          </w:tcPr>
          <w:p w14:paraId="4BF45A2A"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446383" w:rsidRPr="0062316F" w14:paraId="7D199AF0" w14:textId="77777777" w:rsidTr="00875E5E">
        <w:tc>
          <w:tcPr>
            <w:tcW w:w="1264" w:type="dxa"/>
            <w:shd w:val="clear" w:color="auto" w:fill="auto"/>
          </w:tcPr>
          <w:p w14:paraId="77BB8CA8"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Van Ende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33]</w:t>
            </w:r>
          </w:p>
        </w:tc>
        <w:tc>
          <w:tcPr>
            <w:tcW w:w="1163" w:type="dxa"/>
            <w:shd w:val="clear" w:color="auto" w:fill="auto"/>
          </w:tcPr>
          <w:p w14:paraId="710FFF57"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11" w:type="dxa"/>
            <w:shd w:val="clear" w:color="auto" w:fill="auto"/>
          </w:tcPr>
          <w:p w14:paraId="0DC3A59E"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927" w:type="dxa"/>
            <w:shd w:val="clear" w:color="auto" w:fill="auto"/>
          </w:tcPr>
          <w:p w14:paraId="25B55F5D"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3A1838C5" w14:textId="77777777" w:rsidR="005D6C0A" w:rsidRPr="0062316F" w:rsidRDefault="005D6C0A" w:rsidP="0062316F">
            <w:pPr>
              <w:spacing w:line="360" w:lineRule="auto"/>
              <w:jc w:val="both"/>
              <w:rPr>
                <w:rFonts w:ascii="Book Antiqua" w:hAnsi="Book Antiqua" w:cs="Arial"/>
                <w:sz w:val="24"/>
                <w:szCs w:val="24"/>
              </w:rPr>
            </w:pPr>
            <w:r w:rsidRPr="0062316F">
              <w:rPr>
                <w:rFonts w:ascii="Book Antiqua" w:hAnsi="Book Antiqua" w:cs="Times New Roman"/>
                <w:sz w:val="24"/>
                <w:szCs w:val="24"/>
              </w:rPr>
              <w:t>Serum Mg &lt; 1.7 mg/dL</w:t>
            </w:r>
          </w:p>
        </w:tc>
        <w:tc>
          <w:tcPr>
            <w:tcW w:w="1031" w:type="dxa"/>
            <w:shd w:val="clear" w:color="auto" w:fill="auto"/>
          </w:tcPr>
          <w:p w14:paraId="4E46AA11" w14:textId="11D78D81"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Arial"/>
                <w:sz w:val="24"/>
                <w:szCs w:val="24"/>
              </w:rPr>
              <w:t>β:</w:t>
            </w:r>
            <w:r w:rsidRPr="0062316F">
              <w:rPr>
                <w:rFonts w:ascii="Book Antiqua" w:hAnsi="Book Antiqua" w:cs="Times New Roman"/>
                <w:sz w:val="24"/>
                <w:szCs w:val="24"/>
              </w:rPr>
              <w:t xml:space="preserve"> −0.84 (0.26; 2.71)</w:t>
            </w:r>
            <w:r w:rsidR="00242511" w:rsidRPr="0062316F">
              <w:rPr>
                <w:rFonts w:ascii="Book Antiqua" w:hAnsi="Book Antiqua" w:cs="Times New Roman"/>
                <w:sz w:val="24"/>
                <w:szCs w:val="24"/>
              </w:rPr>
              <w:t>,</w:t>
            </w:r>
            <w:r w:rsidRPr="0062316F">
              <w:rPr>
                <w:rFonts w:ascii="Book Antiqua" w:hAnsi="Book Antiqua" w:cs="Times New Roman"/>
                <w:sz w:val="24"/>
                <w:szCs w:val="24"/>
              </w:rPr>
              <w:t xml:space="preserve"> </w:t>
            </w:r>
            <w:r w:rsidR="00242511" w:rsidRPr="0062316F">
              <w:rPr>
                <w:rFonts w:ascii="Book Antiqua" w:hAnsi="Book Antiqua" w:cs="Times New Roman"/>
                <w:i/>
                <w:sz w:val="24"/>
                <w:szCs w:val="24"/>
              </w:rPr>
              <w:t>P</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w:t>
            </w:r>
            <w:r w:rsidR="00242511" w:rsidRPr="0062316F">
              <w:rPr>
                <w:rFonts w:ascii="Book Antiqua" w:hAnsi="Book Antiqua" w:cs="Times New Roman"/>
                <w:sz w:val="24"/>
                <w:szCs w:val="24"/>
              </w:rPr>
              <w:t xml:space="preserve"> </w:t>
            </w:r>
            <w:r w:rsidRPr="0062316F">
              <w:rPr>
                <w:rFonts w:ascii="Book Antiqua" w:hAnsi="Book Antiqua" w:cs="Times New Roman"/>
                <w:sz w:val="24"/>
                <w:szCs w:val="24"/>
              </w:rPr>
              <w:t>0.78</w:t>
            </w:r>
          </w:p>
        </w:tc>
        <w:tc>
          <w:tcPr>
            <w:tcW w:w="1030" w:type="dxa"/>
            <w:shd w:val="clear" w:color="auto" w:fill="auto"/>
          </w:tcPr>
          <w:p w14:paraId="07F7397A" w14:textId="77777777" w:rsidR="005D6C0A" w:rsidRPr="0062316F" w:rsidRDefault="005D6C0A" w:rsidP="0062316F">
            <w:pPr>
              <w:spacing w:line="360" w:lineRule="auto"/>
              <w:jc w:val="both"/>
              <w:rPr>
                <w:rFonts w:ascii="Book Antiqua" w:hAnsi="Book Antiqua" w:cs="Times New Roman"/>
                <w:sz w:val="24"/>
                <w:szCs w:val="24"/>
              </w:rPr>
            </w:pPr>
          </w:p>
        </w:tc>
        <w:tc>
          <w:tcPr>
            <w:tcW w:w="756" w:type="dxa"/>
            <w:shd w:val="clear" w:color="auto" w:fill="auto"/>
          </w:tcPr>
          <w:p w14:paraId="3264B4FE"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5C804C8A" w14:textId="14F4E3E5"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β: −0.84 (0.26; 2.71)</w:t>
            </w:r>
            <w:r w:rsidR="00242511" w:rsidRPr="0062316F">
              <w:rPr>
                <w:rFonts w:ascii="Book Antiqua" w:hAnsi="Book Antiqua" w:cs="Times New Roman"/>
                <w:sz w:val="24"/>
                <w:szCs w:val="24"/>
              </w:rPr>
              <w:t>,</w:t>
            </w:r>
            <w:r w:rsidRPr="0062316F">
              <w:rPr>
                <w:rFonts w:ascii="Book Antiqua" w:hAnsi="Book Antiqua" w:cs="Times New Roman"/>
                <w:sz w:val="24"/>
                <w:szCs w:val="24"/>
              </w:rPr>
              <w:t xml:space="preserve"> </w:t>
            </w:r>
            <w:r w:rsidR="00242511" w:rsidRPr="0062316F">
              <w:rPr>
                <w:rFonts w:ascii="Book Antiqua" w:hAnsi="Book Antiqua" w:cs="Arial"/>
                <w:i/>
                <w:sz w:val="24"/>
                <w:szCs w:val="24"/>
              </w:rPr>
              <w:t>P</w:t>
            </w:r>
            <w:r w:rsidR="00242511" w:rsidRPr="0062316F">
              <w:rPr>
                <w:rFonts w:ascii="Book Antiqua" w:hAnsi="Book Antiqua" w:cs="Arial"/>
                <w:sz w:val="24"/>
                <w:szCs w:val="24"/>
              </w:rPr>
              <w:t xml:space="preserve"> = </w:t>
            </w:r>
            <w:r w:rsidRPr="0062316F">
              <w:rPr>
                <w:rFonts w:ascii="Book Antiqua" w:hAnsi="Book Antiqua" w:cs="Times New Roman"/>
                <w:sz w:val="24"/>
                <w:szCs w:val="24"/>
              </w:rPr>
              <w:t>0.78</w:t>
            </w:r>
          </w:p>
        </w:tc>
        <w:tc>
          <w:tcPr>
            <w:tcW w:w="2083" w:type="dxa"/>
            <w:shd w:val="clear" w:color="auto" w:fill="auto"/>
          </w:tcPr>
          <w:p w14:paraId="410522EC"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r w:rsidR="00446383" w:rsidRPr="0062316F" w14:paraId="272357BC" w14:textId="77777777" w:rsidTr="00875E5E">
        <w:tc>
          <w:tcPr>
            <w:tcW w:w="1264" w:type="dxa"/>
            <w:shd w:val="clear" w:color="auto" w:fill="auto"/>
          </w:tcPr>
          <w:p w14:paraId="5A59D5E8" w14:textId="77777777" w:rsidR="005D6C0A" w:rsidRPr="0062316F" w:rsidRDefault="005D6C0A"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Douwes</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40]</w:t>
            </w:r>
          </w:p>
        </w:tc>
        <w:tc>
          <w:tcPr>
            <w:tcW w:w="1163" w:type="dxa"/>
            <w:shd w:val="clear" w:color="auto" w:fill="auto"/>
          </w:tcPr>
          <w:p w14:paraId="437014B3"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11" w:type="dxa"/>
            <w:shd w:val="clear" w:color="auto" w:fill="auto"/>
          </w:tcPr>
          <w:p w14:paraId="3DD6F4B0"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927" w:type="dxa"/>
            <w:shd w:val="clear" w:color="auto" w:fill="auto"/>
          </w:tcPr>
          <w:p w14:paraId="7A75DFB9"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1714A99B"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Serum Mg &lt; 1.8 mg/dL (0.75 mmol/L)</w:t>
            </w:r>
          </w:p>
        </w:tc>
        <w:tc>
          <w:tcPr>
            <w:tcW w:w="1031" w:type="dxa"/>
            <w:shd w:val="clear" w:color="auto" w:fill="auto"/>
          </w:tcPr>
          <w:p w14:paraId="0EBB5A48"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HR 3.25 (1.26-8.39)</w:t>
            </w:r>
          </w:p>
        </w:tc>
        <w:tc>
          <w:tcPr>
            <w:tcW w:w="1030" w:type="dxa"/>
            <w:shd w:val="clear" w:color="auto" w:fill="auto"/>
          </w:tcPr>
          <w:p w14:paraId="44832DC2"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w:t>
            </w:r>
          </w:p>
        </w:tc>
        <w:tc>
          <w:tcPr>
            <w:tcW w:w="756" w:type="dxa"/>
            <w:shd w:val="clear" w:color="auto" w:fill="auto"/>
          </w:tcPr>
          <w:p w14:paraId="777F4EC1"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shd w:val="clear" w:color="auto" w:fill="auto"/>
          </w:tcPr>
          <w:p w14:paraId="69FD35CD" w14:textId="339D7AE5"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β: -0.08, </w:t>
            </w:r>
            <w:r w:rsidR="00242511" w:rsidRPr="0062316F">
              <w:rPr>
                <w:rFonts w:ascii="Book Antiqua" w:hAnsi="Book Antiqua" w:cs="Arial"/>
                <w:i/>
                <w:sz w:val="24"/>
                <w:szCs w:val="24"/>
              </w:rPr>
              <w:t>P</w:t>
            </w:r>
            <w:r w:rsidR="00242511" w:rsidRPr="0062316F">
              <w:rPr>
                <w:rFonts w:ascii="Book Antiqua" w:hAnsi="Book Antiqua" w:cs="Arial"/>
                <w:sz w:val="24"/>
                <w:szCs w:val="24"/>
              </w:rPr>
              <w:t xml:space="preserve"> = </w:t>
            </w:r>
            <w:r w:rsidR="00242511" w:rsidRPr="0062316F">
              <w:rPr>
                <w:rFonts w:ascii="Book Antiqua" w:hAnsi="Book Antiqua" w:cs="Times New Roman"/>
                <w:sz w:val="24"/>
                <w:szCs w:val="24"/>
              </w:rPr>
              <w:t>0</w:t>
            </w:r>
            <w:r w:rsidRPr="0062316F">
              <w:rPr>
                <w:rFonts w:ascii="Book Antiqua" w:hAnsi="Book Antiqua" w:cs="Times New Roman"/>
                <w:sz w:val="24"/>
                <w:szCs w:val="24"/>
              </w:rPr>
              <w:t>.046</w:t>
            </w:r>
          </w:p>
        </w:tc>
        <w:tc>
          <w:tcPr>
            <w:tcW w:w="2083" w:type="dxa"/>
            <w:shd w:val="clear" w:color="auto" w:fill="auto"/>
          </w:tcPr>
          <w:p w14:paraId="3205E4B2" w14:textId="32056B5F"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Mean Mg intake: 330 ± 85 mg/d</w:t>
            </w:r>
            <w:r w:rsidR="00242511" w:rsidRPr="0062316F">
              <w:rPr>
                <w:rFonts w:ascii="Book Antiqua" w:hAnsi="Book Antiqua" w:cs="Times New Roman"/>
                <w:sz w:val="24"/>
                <w:szCs w:val="24"/>
              </w:rPr>
              <w:t>,</w:t>
            </w:r>
            <w:r w:rsidRPr="0062316F">
              <w:rPr>
                <w:rFonts w:ascii="Book Antiqua" w:hAnsi="Book Antiqua" w:cs="Times New Roman"/>
                <w:sz w:val="24"/>
                <w:szCs w:val="24"/>
              </w:rPr>
              <w:t xml:space="preserve"> (</w:t>
            </w:r>
            <w:r w:rsidR="00242511" w:rsidRPr="0062316F">
              <w:rPr>
                <w:rFonts w:ascii="Book Antiqua" w:hAnsi="Book Antiqua" w:cs="Arial"/>
                <w:i/>
                <w:sz w:val="24"/>
                <w:szCs w:val="24"/>
              </w:rPr>
              <w:t>P</w:t>
            </w:r>
            <w:r w:rsidR="00242511" w:rsidRPr="0062316F">
              <w:rPr>
                <w:rFonts w:ascii="Book Antiqua" w:hAnsi="Book Antiqua" w:cs="Arial"/>
                <w:sz w:val="24"/>
                <w:szCs w:val="24"/>
              </w:rPr>
              <w:t xml:space="preserve"> = </w:t>
            </w:r>
            <w:r w:rsidRPr="0062316F">
              <w:rPr>
                <w:rFonts w:ascii="Book Antiqua" w:hAnsi="Book Antiqua" w:cs="Times New Roman"/>
                <w:sz w:val="24"/>
                <w:szCs w:val="24"/>
              </w:rPr>
              <w:t>0.204)</w:t>
            </w:r>
          </w:p>
        </w:tc>
      </w:tr>
      <w:tr w:rsidR="00446383" w:rsidRPr="0062316F" w:rsidDel="00553F45" w14:paraId="6F78E187" w14:textId="77777777" w:rsidTr="00875E5E">
        <w:tc>
          <w:tcPr>
            <w:tcW w:w="1264" w:type="dxa"/>
            <w:tcBorders>
              <w:bottom w:val="single" w:sz="4" w:space="0" w:color="auto"/>
            </w:tcBorders>
            <w:shd w:val="clear" w:color="auto" w:fill="auto"/>
          </w:tcPr>
          <w:p w14:paraId="11E97D53"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Gomes-</w:t>
            </w:r>
            <w:proofErr w:type="spellStart"/>
            <w:r w:rsidRPr="0062316F">
              <w:rPr>
                <w:rFonts w:ascii="Book Antiqua" w:hAnsi="Book Antiqua" w:cs="Times New Roman"/>
                <w:sz w:val="24"/>
                <w:szCs w:val="24"/>
              </w:rPr>
              <w:t>Neto</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38]</w:t>
            </w:r>
          </w:p>
        </w:tc>
        <w:tc>
          <w:tcPr>
            <w:tcW w:w="1163" w:type="dxa"/>
            <w:tcBorders>
              <w:bottom w:val="single" w:sz="4" w:space="0" w:color="auto"/>
            </w:tcBorders>
            <w:shd w:val="clear" w:color="auto" w:fill="auto"/>
          </w:tcPr>
          <w:p w14:paraId="45798B34"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211" w:type="dxa"/>
            <w:tcBorders>
              <w:bottom w:val="single" w:sz="4" w:space="0" w:color="auto"/>
            </w:tcBorders>
            <w:shd w:val="clear" w:color="auto" w:fill="auto"/>
          </w:tcPr>
          <w:p w14:paraId="62DE309E"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927" w:type="dxa"/>
            <w:tcBorders>
              <w:bottom w:val="single" w:sz="4" w:space="0" w:color="auto"/>
            </w:tcBorders>
            <w:shd w:val="clear" w:color="auto" w:fill="auto"/>
          </w:tcPr>
          <w:p w14:paraId="00FBF85E"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tcBorders>
              <w:bottom w:val="single" w:sz="4" w:space="0" w:color="auto"/>
            </w:tcBorders>
            <w:shd w:val="clear" w:color="auto" w:fill="auto"/>
          </w:tcPr>
          <w:p w14:paraId="5D73CEE4" w14:textId="77777777" w:rsidR="005D6C0A" w:rsidRPr="0062316F" w:rsidDel="00553F45" w:rsidRDefault="005D6C0A" w:rsidP="0062316F">
            <w:pPr>
              <w:spacing w:line="360" w:lineRule="auto"/>
              <w:jc w:val="both"/>
              <w:rPr>
                <w:rFonts w:ascii="Book Antiqua" w:hAnsi="Book Antiqua" w:cs="Arial"/>
                <w:sz w:val="24"/>
                <w:szCs w:val="24"/>
              </w:rPr>
            </w:pPr>
            <w:r w:rsidRPr="0062316F">
              <w:rPr>
                <w:rFonts w:ascii="Book Antiqua" w:hAnsi="Book Antiqua" w:cs="Arial"/>
                <w:sz w:val="24"/>
                <w:szCs w:val="24"/>
              </w:rPr>
              <w:t>NR</w:t>
            </w:r>
          </w:p>
        </w:tc>
        <w:tc>
          <w:tcPr>
            <w:tcW w:w="1031" w:type="dxa"/>
            <w:tcBorders>
              <w:bottom w:val="single" w:sz="4" w:space="0" w:color="auto"/>
            </w:tcBorders>
            <w:shd w:val="clear" w:color="auto" w:fill="auto"/>
          </w:tcPr>
          <w:p w14:paraId="3ED4E921" w14:textId="42E85E36"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Arial"/>
                <w:sz w:val="24"/>
                <w:szCs w:val="24"/>
              </w:rPr>
              <w:t xml:space="preserve">β: -0.05, </w:t>
            </w:r>
            <w:r w:rsidR="00242511" w:rsidRPr="0062316F">
              <w:rPr>
                <w:rFonts w:ascii="Book Antiqua" w:hAnsi="Book Antiqua" w:cs="Arial"/>
                <w:i/>
                <w:sz w:val="24"/>
                <w:szCs w:val="24"/>
              </w:rPr>
              <w:t>P</w:t>
            </w:r>
            <w:r w:rsidR="00242511" w:rsidRPr="0062316F">
              <w:rPr>
                <w:rFonts w:ascii="Book Antiqua" w:hAnsi="Book Antiqua" w:cs="Arial"/>
                <w:sz w:val="24"/>
                <w:szCs w:val="24"/>
              </w:rPr>
              <w:t xml:space="preserve"> </w:t>
            </w:r>
            <w:r w:rsidRPr="0062316F">
              <w:rPr>
                <w:rFonts w:ascii="Book Antiqua" w:hAnsi="Book Antiqua" w:cs="Arial"/>
                <w:sz w:val="24"/>
                <w:szCs w:val="24"/>
              </w:rPr>
              <w:t>=</w:t>
            </w:r>
            <w:r w:rsidR="00242511" w:rsidRPr="0062316F">
              <w:rPr>
                <w:rFonts w:ascii="Book Antiqua" w:hAnsi="Book Antiqua" w:cs="Arial"/>
                <w:sz w:val="24"/>
                <w:szCs w:val="24"/>
              </w:rPr>
              <w:t xml:space="preserve"> </w:t>
            </w:r>
            <w:r w:rsidRPr="0062316F">
              <w:rPr>
                <w:rFonts w:ascii="Book Antiqua" w:hAnsi="Book Antiqua" w:cs="Arial"/>
                <w:sz w:val="24"/>
                <w:szCs w:val="24"/>
              </w:rPr>
              <w:t>0.04</w:t>
            </w:r>
          </w:p>
        </w:tc>
        <w:tc>
          <w:tcPr>
            <w:tcW w:w="1030" w:type="dxa"/>
            <w:tcBorders>
              <w:bottom w:val="single" w:sz="4" w:space="0" w:color="auto"/>
            </w:tcBorders>
            <w:shd w:val="clear" w:color="auto" w:fill="auto"/>
          </w:tcPr>
          <w:p w14:paraId="0900764D" w14:textId="7777777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756" w:type="dxa"/>
            <w:tcBorders>
              <w:bottom w:val="single" w:sz="4" w:space="0" w:color="auto"/>
            </w:tcBorders>
            <w:shd w:val="clear" w:color="auto" w:fill="auto"/>
          </w:tcPr>
          <w:p w14:paraId="71C71D3E" w14:textId="77777777" w:rsidR="005D6C0A" w:rsidRPr="0062316F" w:rsidRDefault="005D6C0A" w:rsidP="0062316F">
            <w:pPr>
              <w:spacing w:line="360" w:lineRule="auto"/>
              <w:jc w:val="both"/>
              <w:rPr>
                <w:rFonts w:ascii="Book Antiqua" w:hAnsi="Book Antiqua" w:cs="Times New Roman"/>
                <w:sz w:val="24"/>
                <w:szCs w:val="24"/>
              </w:rPr>
            </w:pPr>
          </w:p>
        </w:tc>
        <w:tc>
          <w:tcPr>
            <w:tcW w:w="2150" w:type="dxa"/>
            <w:tcBorders>
              <w:bottom w:val="single" w:sz="4" w:space="0" w:color="auto"/>
            </w:tcBorders>
            <w:shd w:val="clear" w:color="auto" w:fill="auto"/>
          </w:tcPr>
          <w:p w14:paraId="7EB9D958" w14:textId="4B188FC7" w:rsidR="005D6C0A" w:rsidRPr="0062316F"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β: -0.05, </w:t>
            </w:r>
            <w:r w:rsidR="00242511" w:rsidRPr="0062316F">
              <w:rPr>
                <w:rFonts w:ascii="Book Antiqua" w:hAnsi="Book Antiqua" w:cs="Arial"/>
                <w:i/>
                <w:sz w:val="24"/>
                <w:szCs w:val="24"/>
              </w:rPr>
              <w:t>P</w:t>
            </w:r>
            <w:r w:rsidR="00242511" w:rsidRPr="0062316F">
              <w:rPr>
                <w:rFonts w:ascii="Book Antiqua" w:hAnsi="Book Antiqua" w:cs="Arial"/>
                <w:sz w:val="24"/>
                <w:szCs w:val="24"/>
              </w:rPr>
              <w:t xml:space="preserve"> = </w:t>
            </w:r>
            <w:r w:rsidRPr="0062316F">
              <w:rPr>
                <w:rFonts w:ascii="Book Antiqua" w:hAnsi="Book Antiqua" w:cs="Times New Roman"/>
                <w:sz w:val="24"/>
                <w:szCs w:val="24"/>
              </w:rPr>
              <w:t>0.04</w:t>
            </w:r>
          </w:p>
        </w:tc>
        <w:tc>
          <w:tcPr>
            <w:tcW w:w="2083" w:type="dxa"/>
            <w:tcBorders>
              <w:bottom w:val="single" w:sz="4" w:space="0" w:color="auto"/>
            </w:tcBorders>
            <w:shd w:val="clear" w:color="auto" w:fill="auto"/>
          </w:tcPr>
          <w:p w14:paraId="3AD3EEB1" w14:textId="77777777" w:rsidR="005D6C0A" w:rsidRPr="0062316F" w:rsidDel="00553F45" w:rsidRDefault="005D6C0A"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r>
    </w:tbl>
    <w:p w14:paraId="6E1831B3" w14:textId="138283BF" w:rsidR="00E9347F" w:rsidRPr="0062316F" w:rsidRDefault="005D6C0A" w:rsidP="0062316F">
      <w:pPr>
        <w:pStyle w:val="Caption"/>
        <w:spacing w:after="0" w:line="360" w:lineRule="auto"/>
        <w:jc w:val="both"/>
        <w:rPr>
          <w:rFonts w:ascii="Book Antiqua" w:hAnsi="Book Antiqua" w:cs="Times New Roman"/>
          <w:i w:val="0"/>
          <w:color w:val="auto"/>
          <w:sz w:val="24"/>
          <w:szCs w:val="24"/>
        </w:rPr>
      </w:pPr>
      <w:r w:rsidRPr="0062316F">
        <w:rPr>
          <w:rFonts w:ascii="Book Antiqua" w:hAnsi="Book Antiqua"/>
          <w:i w:val="0"/>
          <w:color w:val="auto"/>
          <w:sz w:val="24"/>
          <w:szCs w:val="24"/>
          <w:vertAlign w:val="superscript"/>
        </w:rPr>
        <w:t>1</w:t>
      </w:r>
      <w:r w:rsidRPr="0062316F">
        <w:rPr>
          <w:rFonts w:ascii="Book Antiqua" w:hAnsi="Book Antiqua"/>
          <w:i w:val="0"/>
          <w:color w:val="auto"/>
          <w:sz w:val="24"/>
          <w:szCs w:val="24"/>
        </w:rPr>
        <w:t>Data expressed as mean ±</w:t>
      </w:r>
      <w:r w:rsidR="00242511" w:rsidRPr="0062316F">
        <w:rPr>
          <w:rFonts w:ascii="Book Antiqua" w:hAnsi="Book Antiqua"/>
          <w:i w:val="0"/>
          <w:color w:val="auto"/>
          <w:sz w:val="24"/>
          <w:szCs w:val="24"/>
        </w:rPr>
        <w:t xml:space="preserve"> </w:t>
      </w:r>
      <w:r w:rsidRPr="0062316F">
        <w:rPr>
          <w:rFonts w:ascii="Book Antiqua" w:hAnsi="Book Antiqua"/>
          <w:i w:val="0"/>
          <w:color w:val="auto"/>
          <w:sz w:val="24"/>
          <w:szCs w:val="24"/>
        </w:rPr>
        <w:t xml:space="preserve">SD; </w:t>
      </w:r>
      <w:r w:rsidRPr="0062316F">
        <w:rPr>
          <w:rFonts w:ascii="Book Antiqua" w:hAnsi="Book Antiqua"/>
          <w:i w:val="0"/>
          <w:color w:val="auto"/>
          <w:sz w:val="24"/>
          <w:szCs w:val="24"/>
          <w:vertAlign w:val="superscript"/>
        </w:rPr>
        <w:t>2</w:t>
      </w:r>
      <w:r w:rsidRPr="0062316F">
        <w:rPr>
          <w:rFonts w:ascii="Book Antiqua" w:hAnsi="Book Antiqua"/>
          <w:i w:val="0"/>
          <w:color w:val="auto"/>
          <w:sz w:val="24"/>
          <w:szCs w:val="24"/>
        </w:rPr>
        <w:t>Data expressed as Median (Range); NR: not reported; NS: not significant</w:t>
      </w:r>
      <w:r w:rsidR="00242511" w:rsidRPr="0062316F">
        <w:rPr>
          <w:rFonts w:ascii="Book Antiqua" w:hAnsi="Book Antiqua"/>
          <w:i w:val="0"/>
          <w:color w:val="auto"/>
          <w:sz w:val="24"/>
          <w:szCs w:val="24"/>
        </w:rPr>
        <w:t xml:space="preserve">; </w:t>
      </w:r>
      <w:r w:rsidR="00242511" w:rsidRPr="0062316F">
        <w:rPr>
          <w:rFonts w:ascii="Book Antiqua" w:hAnsi="Book Antiqua" w:cs="Times New Roman"/>
          <w:i w:val="0"/>
          <w:color w:val="auto"/>
          <w:sz w:val="24"/>
          <w:szCs w:val="24"/>
        </w:rPr>
        <w:t>PPI: Proton pump inhibitors; Mg: Magnesium.</w:t>
      </w:r>
    </w:p>
    <w:p w14:paraId="68F73A0B" w14:textId="77777777" w:rsidR="00242511" w:rsidRPr="0062316F" w:rsidRDefault="00242511"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br w:type="page"/>
      </w:r>
    </w:p>
    <w:p w14:paraId="002C20BC" w14:textId="606A4C1F" w:rsidR="00E9347F" w:rsidRPr="0062316F" w:rsidRDefault="00E9347F" w:rsidP="0062316F">
      <w:pPr>
        <w:spacing w:after="0" w:line="360" w:lineRule="auto"/>
        <w:jc w:val="both"/>
        <w:rPr>
          <w:rFonts w:ascii="Book Antiqua" w:hAnsi="Book Antiqua" w:cs="Times New Roman"/>
          <w:b/>
          <w:sz w:val="24"/>
          <w:szCs w:val="24"/>
        </w:rPr>
      </w:pPr>
      <w:r w:rsidRPr="0062316F">
        <w:rPr>
          <w:rFonts w:ascii="Book Antiqua" w:hAnsi="Book Antiqua" w:cs="Times New Roman"/>
          <w:b/>
          <w:sz w:val="24"/>
          <w:szCs w:val="24"/>
        </w:rPr>
        <w:lastRenderedPageBreak/>
        <w:t xml:space="preserve">Table </w:t>
      </w:r>
      <w:r w:rsidRPr="0062316F">
        <w:rPr>
          <w:rFonts w:ascii="Book Antiqua" w:hAnsi="Book Antiqua" w:cs="Times New Roman"/>
          <w:b/>
          <w:sz w:val="24"/>
          <w:szCs w:val="24"/>
        </w:rPr>
        <w:fldChar w:fldCharType="begin"/>
      </w:r>
      <w:r w:rsidRPr="0062316F">
        <w:rPr>
          <w:rFonts w:ascii="Book Antiqua" w:hAnsi="Book Antiqua" w:cs="Times New Roman"/>
          <w:b/>
          <w:sz w:val="24"/>
          <w:szCs w:val="24"/>
        </w:rPr>
        <w:instrText xml:space="preserve"> SEQ Table \* ARABIC </w:instrText>
      </w:r>
      <w:r w:rsidRPr="0062316F">
        <w:rPr>
          <w:rFonts w:ascii="Book Antiqua" w:hAnsi="Book Antiqua" w:cs="Times New Roman"/>
          <w:b/>
          <w:sz w:val="24"/>
          <w:szCs w:val="24"/>
        </w:rPr>
        <w:fldChar w:fldCharType="separate"/>
      </w:r>
      <w:r w:rsidRPr="0062316F">
        <w:rPr>
          <w:rFonts w:ascii="Book Antiqua" w:hAnsi="Book Antiqua" w:cs="Times New Roman"/>
          <w:b/>
          <w:sz w:val="24"/>
          <w:szCs w:val="24"/>
        </w:rPr>
        <w:t>5</w:t>
      </w:r>
      <w:r w:rsidRPr="0062316F">
        <w:rPr>
          <w:rFonts w:ascii="Book Antiqua" w:hAnsi="Book Antiqua" w:cs="Times New Roman"/>
          <w:b/>
          <w:sz w:val="24"/>
          <w:szCs w:val="24"/>
        </w:rPr>
        <w:fldChar w:fldCharType="end"/>
      </w:r>
      <w:r w:rsidRPr="0062316F">
        <w:rPr>
          <w:rFonts w:ascii="Book Antiqua" w:hAnsi="Book Antiqua" w:cs="Times New Roman"/>
          <w:b/>
          <w:sz w:val="24"/>
          <w:szCs w:val="24"/>
        </w:rPr>
        <w:t xml:space="preserve"> Mortality</w:t>
      </w:r>
    </w:p>
    <w:tbl>
      <w:tblPr>
        <w:tblStyle w:val="TableGrid"/>
        <w:tblW w:w="119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3"/>
        <w:gridCol w:w="2201"/>
        <w:gridCol w:w="2408"/>
        <w:gridCol w:w="1113"/>
        <w:gridCol w:w="4050"/>
      </w:tblGrid>
      <w:tr w:rsidR="00242511" w:rsidRPr="0062316F" w14:paraId="40B017C1" w14:textId="77777777" w:rsidTr="00242511">
        <w:tc>
          <w:tcPr>
            <w:tcW w:w="2193" w:type="dxa"/>
            <w:vMerge w:val="restart"/>
            <w:tcBorders>
              <w:top w:val="single" w:sz="4" w:space="0" w:color="auto"/>
              <w:bottom w:val="nil"/>
            </w:tcBorders>
          </w:tcPr>
          <w:p w14:paraId="616E02CA"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Ref</w:t>
            </w:r>
          </w:p>
        </w:tc>
        <w:tc>
          <w:tcPr>
            <w:tcW w:w="5722" w:type="dxa"/>
            <w:gridSpan w:val="3"/>
            <w:tcBorders>
              <w:top w:val="single" w:sz="4" w:space="0" w:color="auto"/>
              <w:bottom w:val="nil"/>
            </w:tcBorders>
          </w:tcPr>
          <w:p w14:paraId="331B426F" w14:textId="6F7AB0B4"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1-yr mortality</w:t>
            </w:r>
          </w:p>
        </w:tc>
        <w:tc>
          <w:tcPr>
            <w:tcW w:w="4050" w:type="dxa"/>
            <w:vMerge w:val="restart"/>
            <w:tcBorders>
              <w:top w:val="single" w:sz="4" w:space="0" w:color="auto"/>
              <w:bottom w:val="single" w:sz="4" w:space="0" w:color="auto"/>
            </w:tcBorders>
          </w:tcPr>
          <w:p w14:paraId="5C152E09" w14:textId="3139E838"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 xml:space="preserve">Mortality beyond 1 </w:t>
            </w:r>
            <w:proofErr w:type="spellStart"/>
            <w:r w:rsidRPr="0062316F">
              <w:rPr>
                <w:rFonts w:ascii="Book Antiqua" w:hAnsi="Book Antiqua" w:cs="Times New Roman"/>
                <w:b/>
                <w:sz w:val="24"/>
                <w:szCs w:val="24"/>
              </w:rPr>
              <w:t>yr</w:t>
            </w:r>
            <w:proofErr w:type="spellEnd"/>
            <w:r w:rsidRPr="0062316F">
              <w:rPr>
                <w:rFonts w:ascii="Book Antiqua" w:hAnsi="Book Antiqua" w:cs="Times New Roman"/>
                <w:b/>
                <w:sz w:val="24"/>
                <w:szCs w:val="24"/>
              </w:rPr>
              <w:t xml:space="preserve"> (PPI </w:t>
            </w:r>
            <w:r w:rsidRPr="0062316F">
              <w:rPr>
                <w:rFonts w:ascii="Book Antiqua" w:hAnsi="Book Antiqua" w:cs="Times New Roman"/>
                <w:b/>
                <w:i/>
                <w:sz w:val="24"/>
                <w:szCs w:val="24"/>
              </w:rPr>
              <w:t>vs</w:t>
            </w:r>
            <w:r w:rsidRPr="0062316F">
              <w:rPr>
                <w:rFonts w:ascii="Book Antiqua" w:hAnsi="Book Antiqua" w:cs="Times New Roman"/>
                <w:b/>
                <w:sz w:val="24"/>
                <w:szCs w:val="24"/>
              </w:rPr>
              <w:t xml:space="preserve"> no PPI)</w:t>
            </w:r>
          </w:p>
        </w:tc>
      </w:tr>
      <w:tr w:rsidR="00242511" w:rsidRPr="0062316F" w14:paraId="777CCC9D" w14:textId="77777777" w:rsidTr="00242511">
        <w:tc>
          <w:tcPr>
            <w:tcW w:w="2193" w:type="dxa"/>
            <w:vMerge/>
            <w:tcBorders>
              <w:top w:val="nil"/>
              <w:bottom w:val="single" w:sz="4" w:space="0" w:color="auto"/>
            </w:tcBorders>
          </w:tcPr>
          <w:p w14:paraId="54E11D2A" w14:textId="77777777" w:rsidR="00E9347F" w:rsidRPr="0062316F" w:rsidRDefault="00E9347F" w:rsidP="0062316F">
            <w:pPr>
              <w:spacing w:line="360" w:lineRule="auto"/>
              <w:jc w:val="both"/>
              <w:rPr>
                <w:rFonts w:ascii="Book Antiqua" w:hAnsi="Book Antiqua" w:cs="Times New Roman"/>
                <w:b/>
                <w:sz w:val="24"/>
                <w:szCs w:val="24"/>
              </w:rPr>
            </w:pPr>
          </w:p>
        </w:tc>
        <w:tc>
          <w:tcPr>
            <w:tcW w:w="2201" w:type="dxa"/>
            <w:tcBorders>
              <w:top w:val="nil"/>
              <w:bottom w:val="single" w:sz="4" w:space="0" w:color="auto"/>
            </w:tcBorders>
          </w:tcPr>
          <w:p w14:paraId="78F97C17"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PPI</w:t>
            </w:r>
          </w:p>
        </w:tc>
        <w:tc>
          <w:tcPr>
            <w:tcW w:w="2408" w:type="dxa"/>
            <w:tcBorders>
              <w:top w:val="nil"/>
              <w:bottom w:val="single" w:sz="4" w:space="0" w:color="auto"/>
            </w:tcBorders>
          </w:tcPr>
          <w:p w14:paraId="28380619" w14:textId="77777777" w:rsidR="00E9347F" w:rsidRPr="0062316F" w:rsidRDefault="00E9347F" w:rsidP="0062316F">
            <w:pPr>
              <w:spacing w:line="360" w:lineRule="auto"/>
              <w:jc w:val="both"/>
              <w:rPr>
                <w:rFonts w:ascii="Book Antiqua" w:hAnsi="Book Antiqua" w:cs="Times New Roman"/>
                <w:b/>
                <w:sz w:val="24"/>
                <w:szCs w:val="24"/>
              </w:rPr>
            </w:pPr>
            <w:r w:rsidRPr="0062316F">
              <w:rPr>
                <w:rFonts w:ascii="Book Antiqua" w:hAnsi="Book Antiqua" w:cs="Times New Roman"/>
                <w:b/>
                <w:sz w:val="24"/>
                <w:szCs w:val="24"/>
              </w:rPr>
              <w:t>No PPI</w:t>
            </w:r>
          </w:p>
        </w:tc>
        <w:tc>
          <w:tcPr>
            <w:tcW w:w="1113" w:type="dxa"/>
            <w:tcBorders>
              <w:top w:val="nil"/>
              <w:bottom w:val="single" w:sz="4" w:space="0" w:color="auto"/>
            </w:tcBorders>
          </w:tcPr>
          <w:p w14:paraId="239E5962" w14:textId="50B87700" w:rsidR="00E9347F" w:rsidRPr="0062316F" w:rsidRDefault="00242511" w:rsidP="0062316F">
            <w:pPr>
              <w:spacing w:line="360" w:lineRule="auto"/>
              <w:jc w:val="both"/>
              <w:rPr>
                <w:rFonts w:ascii="Book Antiqua" w:hAnsi="Book Antiqua" w:cs="Times New Roman"/>
                <w:b/>
                <w:i/>
                <w:sz w:val="24"/>
                <w:szCs w:val="24"/>
              </w:rPr>
            </w:pPr>
            <w:r w:rsidRPr="0062316F">
              <w:rPr>
                <w:rFonts w:ascii="Book Antiqua" w:hAnsi="Book Antiqua" w:cs="Times New Roman"/>
                <w:b/>
                <w:i/>
                <w:sz w:val="24"/>
                <w:szCs w:val="24"/>
              </w:rPr>
              <w:t>P</w:t>
            </w:r>
          </w:p>
        </w:tc>
        <w:tc>
          <w:tcPr>
            <w:tcW w:w="4050" w:type="dxa"/>
            <w:vMerge/>
            <w:tcBorders>
              <w:top w:val="nil"/>
              <w:bottom w:val="single" w:sz="4" w:space="0" w:color="auto"/>
            </w:tcBorders>
          </w:tcPr>
          <w:p w14:paraId="31126E5D" w14:textId="77777777" w:rsidR="00E9347F" w:rsidRPr="0062316F" w:rsidRDefault="00E9347F" w:rsidP="0062316F">
            <w:pPr>
              <w:spacing w:line="360" w:lineRule="auto"/>
              <w:jc w:val="both"/>
              <w:rPr>
                <w:rFonts w:ascii="Book Antiqua" w:hAnsi="Book Antiqua" w:cs="Times New Roman"/>
                <w:sz w:val="24"/>
                <w:szCs w:val="24"/>
              </w:rPr>
            </w:pPr>
          </w:p>
        </w:tc>
      </w:tr>
      <w:tr w:rsidR="00242511" w:rsidRPr="0062316F" w14:paraId="7CFE6C79" w14:textId="77777777" w:rsidTr="00242511">
        <w:tc>
          <w:tcPr>
            <w:tcW w:w="2193" w:type="dxa"/>
            <w:tcBorders>
              <w:top w:val="single" w:sz="4" w:space="0" w:color="auto"/>
            </w:tcBorders>
          </w:tcPr>
          <w:p w14:paraId="2DE8921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Knorr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20]</w:t>
            </w:r>
          </w:p>
        </w:tc>
        <w:tc>
          <w:tcPr>
            <w:tcW w:w="2201" w:type="dxa"/>
            <w:tcBorders>
              <w:top w:val="single" w:sz="4" w:space="0" w:color="auto"/>
            </w:tcBorders>
          </w:tcPr>
          <w:p w14:paraId="1579668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9/213 (4.2%)</w:t>
            </w:r>
          </w:p>
        </w:tc>
        <w:tc>
          <w:tcPr>
            <w:tcW w:w="2408" w:type="dxa"/>
            <w:tcBorders>
              <w:top w:val="single" w:sz="4" w:space="0" w:color="auto"/>
            </w:tcBorders>
          </w:tcPr>
          <w:p w14:paraId="001DA0B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17/384 (4.4%)</w:t>
            </w:r>
          </w:p>
        </w:tc>
        <w:tc>
          <w:tcPr>
            <w:tcW w:w="1113" w:type="dxa"/>
            <w:tcBorders>
              <w:top w:val="single" w:sz="4" w:space="0" w:color="auto"/>
            </w:tcBorders>
          </w:tcPr>
          <w:p w14:paraId="249FAAB8"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1</w:t>
            </w:r>
          </w:p>
        </w:tc>
        <w:tc>
          <w:tcPr>
            <w:tcW w:w="4050" w:type="dxa"/>
            <w:tcBorders>
              <w:top w:val="single" w:sz="4" w:space="0" w:color="auto"/>
            </w:tcBorders>
          </w:tcPr>
          <w:p w14:paraId="2DE403A5" w14:textId="77777777" w:rsidR="00E9347F" w:rsidRPr="0062316F" w:rsidRDefault="00E9347F" w:rsidP="0062316F">
            <w:pPr>
              <w:spacing w:line="360" w:lineRule="auto"/>
              <w:jc w:val="both"/>
              <w:rPr>
                <w:rFonts w:ascii="Book Antiqua" w:hAnsi="Book Antiqua" w:cs="Times New Roman"/>
                <w:sz w:val="24"/>
                <w:szCs w:val="24"/>
              </w:rPr>
            </w:pPr>
          </w:p>
        </w:tc>
      </w:tr>
      <w:tr w:rsidR="00242511" w:rsidRPr="0062316F" w14:paraId="4CB57172" w14:textId="77777777" w:rsidTr="00242511">
        <w:tc>
          <w:tcPr>
            <w:tcW w:w="2193" w:type="dxa"/>
          </w:tcPr>
          <w:p w14:paraId="21CEDF4B" w14:textId="77777777"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Courson</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21]</w:t>
            </w:r>
          </w:p>
        </w:tc>
        <w:tc>
          <w:tcPr>
            <w:tcW w:w="2201" w:type="dxa"/>
          </w:tcPr>
          <w:p w14:paraId="33CB3AF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3/171 (1.8%)</w:t>
            </w:r>
          </w:p>
        </w:tc>
        <w:tc>
          <w:tcPr>
            <w:tcW w:w="2408" w:type="dxa"/>
          </w:tcPr>
          <w:p w14:paraId="5B8AE32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3/115 (2.6%)</w:t>
            </w:r>
          </w:p>
        </w:tc>
        <w:tc>
          <w:tcPr>
            <w:tcW w:w="1113" w:type="dxa"/>
          </w:tcPr>
          <w:p w14:paraId="724474C4"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0.687</w:t>
            </w:r>
          </w:p>
        </w:tc>
        <w:tc>
          <w:tcPr>
            <w:tcW w:w="4050" w:type="dxa"/>
          </w:tcPr>
          <w:p w14:paraId="62431CDC" w14:textId="77777777" w:rsidR="00E9347F" w:rsidRPr="0062316F" w:rsidRDefault="00E9347F" w:rsidP="0062316F">
            <w:pPr>
              <w:spacing w:line="360" w:lineRule="auto"/>
              <w:jc w:val="both"/>
              <w:rPr>
                <w:rFonts w:ascii="Book Antiqua" w:hAnsi="Book Antiqua" w:cs="Times New Roman"/>
                <w:sz w:val="24"/>
                <w:szCs w:val="24"/>
              </w:rPr>
            </w:pPr>
          </w:p>
        </w:tc>
      </w:tr>
      <w:tr w:rsidR="00242511" w:rsidRPr="0062316F" w14:paraId="0C0B8D99" w14:textId="77777777" w:rsidTr="00242511">
        <w:tc>
          <w:tcPr>
            <w:tcW w:w="2193" w:type="dxa"/>
          </w:tcPr>
          <w:p w14:paraId="13C97D7E"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 xml:space="preserve">Patel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Pr="0062316F">
              <w:rPr>
                <w:rFonts w:ascii="Book Antiqua" w:hAnsi="Book Antiqua" w:cs="Times New Roman"/>
                <w:noProof/>
                <w:sz w:val="24"/>
                <w:szCs w:val="24"/>
                <w:vertAlign w:val="superscript"/>
              </w:rPr>
              <w:t>23]</w:t>
            </w:r>
          </w:p>
        </w:tc>
        <w:tc>
          <w:tcPr>
            <w:tcW w:w="2201" w:type="dxa"/>
          </w:tcPr>
          <w:p w14:paraId="657A2F0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6/183 (3.3%)</w:t>
            </w:r>
          </w:p>
        </w:tc>
        <w:tc>
          <w:tcPr>
            <w:tcW w:w="2408" w:type="dxa"/>
          </w:tcPr>
          <w:p w14:paraId="555BB141"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3/339 (0.9%)</w:t>
            </w:r>
          </w:p>
        </w:tc>
        <w:tc>
          <w:tcPr>
            <w:tcW w:w="1113" w:type="dxa"/>
          </w:tcPr>
          <w:p w14:paraId="4838D846"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0.007</w:t>
            </w:r>
          </w:p>
        </w:tc>
        <w:tc>
          <w:tcPr>
            <w:tcW w:w="4050" w:type="dxa"/>
          </w:tcPr>
          <w:p w14:paraId="49E398E2" w14:textId="77777777" w:rsidR="00E9347F" w:rsidRPr="0062316F" w:rsidRDefault="00E9347F" w:rsidP="0062316F">
            <w:pPr>
              <w:spacing w:line="360" w:lineRule="auto"/>
              <w:jc w:val="both"/>
              <w:rPr>
                <w:rFonts w:ascii="Book Antiqua" w:hAnsi="Book Antiqua" w:cs="Times New Roman"/>
                <w:sz w:val="24"/>
                <w:szCs w:val="24"/>
              </w:rPr>
            </w:pPr>
          </w:p>
        </w:tc>
      </w:tr>
      <w:tr w:rsidR="00242511" w:rsidRPr="0062316F" w14:paraId="065BF289" w14:textId="77777777" w:rsidTr="00242511">
        <w:tc>
          <w:tcPr>
            <w:tcW w:w="2193" w:type="dxa"/>
          </w:tcPr>
          <w:p w14:paraId="4D4464E0" w14:textId="135A4E5A" w:rsidR="00E9347F" w:rsidRPr="0062316F" w:rsidRDefault="00E9347F" w:rsidP="0062316F">
            <w:pPr>
              <w:spacing w:line="360" w:lineRule="auto"/>
              <w:jc w:val="both"/>
              <w:rPr>
                <w:rFonts w:ascii="Book Antiqua" w:hAnsi="Book Antiqua" w:cs="Times New Roman"/>
                <w:sz w:val="24"/>
                <w:szCs w:val="24"/>
              </w:rPr>
            </w:pPr>
            <w:proofErr w:type="spellStart"/>
            <w:r w:rsidRPr="0062316F">
              <w:rPr>
                <w:rFonts w:ascii="Book Antiqua" w:hAnsi="Book Antiqua" w:cs="Times New Roman"/>
                <w:sz w:val="24"/>
                <w:szCs w:val="24"/>
              </w:rPr>
              <w:t>Douwes</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Pr="0062316F">
              <w:rPr>
                <w:rFonts w:ascii="Book Antiqua" w:hAnsi="Book Antiqua" w:cs="Times New Roman"/>
                <w:noProof/>
                <w:sz w:val="24"/>
                <w:szCs w:val="24"/>
                <w:vertAlign w:val="superscript"/>
              </w:rPr>
              <w:t>[</w:t>
            </w:r>
            <w:proofErr w:type="gramEnd"/>
            <w:r w:rsidR="005D6C0A" w:rsidRPr="0062316F">
              <w:rPr>
                <w:rFonts w:ascii="Book Antiqua" w:hAnsi="Book Antiqua" w:cs="Times New Roman"/>
                <w:noProof/>
                <w:sz w:val="24"/>
                <w:szCs w:val="24"/>
                <w:vertAlign w:val="superscript"/>
              </w:rPr>
              <w:t>40</w:t>
            </w:r>
            <w:r w:rsidRPr="0062316F">
              <w:rPr>
                <w:rFonts w:ascii="Book Antiqua" w:hAnsi="Book Antiqua" w:cs="Times New Roman"/>
                <w:noProof/>
                <w:sz w:val="24"/>
                <w:szCs w:val="24"/>
                <w:vertAlign w:val="superscript"/>
              </w:rPr>
              <w:t>]</w:t>
            </w:r>
          </w:p>
        </w:tc>
        <w:tc>
          <w:tcPr>
            <w:tcW w:w="2201" w:type="dxa"/>
          </w:tcPr>
          <w:p w14:paraId="06E87F07"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408" w:type="dxa"/>
          </w:tcPr>
          <w:p w14:paraId="26C50610"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13" w:type="dxa"/>
          </w:tcPr>
          <w:p w14:paraId="16287F21" w14:textId="77777777" w:rsidR="00E9347F" w:rsidRPr="0062316F" w:rsidRDefault="00E9347F" w:rsidP="0062316F">
            <w:pPr>
              <w:spacing w:line="360" w:lineRule="auto"/>
              <w:jc w:val="both"/>
              <w:rPr>
                <w:rFonts w:ascii="Book Antiqua" w:hAnsi="Book Antiqua" w:cs="Times New Roman"/>
                <w:sz w:val="24"/>
                <w:szCs w:val="24"/>
              </w:rPr>
            </w:pPr>
          </w:p>
        </w:tc>
        <w:tc>
          <w:tcPr>
            <w:tcW w:w="4050" w:type="dxa"/>
          </w:tcPr>
          <w:p w14:paraId="1BE591BC"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HR 1.94 (95%CI 1.32-2.88)</w:t>
            </w:r>
          </w:p>
        </w:tc>
      </w:tr>
      <w:tr w:rsidR="00242511" w:rsidRPr="0062316F" w14:paraId="5263F5BF" w14:textId="77777777" w:rsidTr="00242511">
        <w:tc>
          <w:tcPr>
            <w:tcW w:w="2193" w:type="dxa"/>
          </w:tcPr>
          <w:p w14:paraId="12D9917C" w14:textId="6A028BD0"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Gomes-</w:t>
            </w:r>
            <w:proofErr w:type="spellStart"/>
            <w:r w:rsidRPr="0062316F">
              <w:rPr>
                <w:rFonts w:ascii="Book Antiqua" w:hAnsi="Book Antiqua" w:cs="Times New Roman"/>
                <w:sz w:val="24"/>
                <w:szCs w:val="24"/>
              </w:rPr>
              <w:t>Neto</w:t>
            </w:r>
            <w:proofErr w:type="spellEnd"/>
            <w:r w:rsidRPr="0062316F">
              <w:rPr>
                <w:rFonts w:ascii="Book Antiqua" w:hAnsi="Book Antiqua" w:cs="Times New Roman"/>
                <w:sz w:val="24"/>
                <w:szCs w:val="24"/>
              </w:rPr>
              <w:t xml:space="preserve"> </w:t>
            </w:r>
            <w:r w:rsidRPr="0062316F">
              <w:rPr>
                <w:rFonts w:ascii="Book Antiqua" w:hAnsi="Book Antiqua" w:cs="Times New Roman"/>
                <w:i/>
                <w:sz w:val="24"/>
                <w:szCs w:val="24"/>
              </w:rPr>
              <w:t xml:space="preserve">et </w:t>
            </w:r>
            <w:proofErr w:type="gramStart"/>
            <w:r w:rsidRPr="0062316F">
              <w:rPr>
                <w:rFonts w:ascii="Book Antiqua" w:hAnsi="Book Antiqua" w:cs="Times New Roman"/>
                <w:i/>
                <w:sz w:val="24"/>
                <w:szCs w:val="24"/>
              </w:rPr>
              <w:t>al</w:t>
            </w:r>
            <w:r w:rsidR="005D6C0A" w:rsidRPr="0062316F">
              <w:rPr>
                <w:rFonts w:ascii="Book Antiqua" w:hAnsi="Book Antiqua" w:cs="Times New Roman"/>
                <w:noProof/>
                <w:sz w:val="24"/>
                <w:szCs w:val="24"/>
                <w:vertAlign w:val="superscript"/>
              </w:rPr>
              <w:t>[</w:t>
            </w:r>
            <w:proofErr w:type="gramEnd"/>
            <w:r w:rsidR="005D6C0A" w:rsidRPr="0062316F">
              <w:rPr>
                <w:rFonts w:ascii="Book Antiqua" w:hAnsi="Book Antiqua" w:cs="Times New Roman"/>
                <w:noProof/>
                <w:sz w:val="24"/>
                <w:szCs w:val="24"/>
                <w:vertAlign w:val="superscript"/>
              </w:rPr>
              <w:t>38</w:t>
            </w:r>
            <w:r w:rsidRPr="0062316F">
              <w:rPr>
                <w:rFonts w:ascii="Book Antiqua" w:hAnsi="Book Antiqua" w:cs="Times New Roman"/>
                <w:noProof/>
                <w:sz w:val="24"/>
                <w:szCs w:val="24"/>
                <w:vertAlign w:val="superscript"/>
              </w:rPr>
              <w:t>]</w:t>
            </w:r>
          </w:p>
        </w:tc>
        <w:tc>
          <w:tcPr>
            <w:tcW w:w="2201" w:type="dxa"/>
          </w:tcPr>
          <w:p w14:paraId="7D635D9D"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2408" w:type="dxa"/>
          </w:tcPr>
          <w:p w14:paraId="3B9DCA13" w14:textId="77777777" w:rsidR="00E9347F" w:rsidRPr="0062316F" w:rsidRDefault="00E9347F" w:rsidP="0062316F">
            <w:pPr>
              <w:spacing w:line="360" w:lineRule="auto"/>
              <w:jc w:val="both"/>
              <w:rPr>
                <w:rFonts w:ascii="Book Antiqua" w:hAnsi="Book Antiqua" w:cs="Times New Roman"/>
                <w:sz w:val="24"/>
                <w:szCs w:val="24"/>
              </w:rPr>
            </w:pPr>
            <w:r w:rsidRPr="0062316F">
              <w:rPr>
                <w:rFonts w:ascii="Book Antiqua" w:hAnsi="Book Antiqua" w:cs="Times New Roman"/>
                <w:sz w:val="24"/>
                <w:szCs w:val="24"/>
              </w:rPr>
              <w:t>NR</w:t>
            </w:r>
          </w:p>
        </w:tc>
        <w:tc>
          <w:tcPr>
            <w:tcW w:w="1113" w:type="dxa"/>
          </w:tcPr>
          <w:p w14:paraId="5BE93A62" w14:textId="77777777" w:rsidR="00E9347F" w:rsidRPr="0062316F" w:rsidRDefault="00E9347F" w:rsidP="0062316F">
            <w:pPr>
              <w:spacing w:line="360" w:lineRule="auto"/>
              <w:jc w:val="both"/>
              <w:rPr>
                <w:rFonts w:ascii="Book Antiqua" w:hAnsi="Book Antiqua" w:cs="Times New Roman"/>
                <w:sz w:val="24"/>
                <w:szCs w:val="24"/>
              </w:rPr>
            </w:pPr>
          </w:p>
        </w:tc>
        <w:tc>
          <w:tcPr>
            <w:tcW w:w="4050" w:type="dxa"/>
          </w:tcPr>
          <w:p w14:paraId="2F0368B5" w14:textId="77777777" w:rsidR="00E9347F" w:rsidRPr="0062316F" w:rsidRDefault="00E9347F" w:rsidP="0062316F">
            <w:pPr>
              <w:keepNext/>
              <w:spacing w:line="360" w:lineRule="auto"/>
              <w:jc w:val="both"/>
              <w:rPr>
                <w:rFonts w:ascii="Book Antiqua" w:hAnsi="Book Antiqua" w:cs="Times New Roman"/>
                <w:sz w:val="24"/>
                <w:szCs w:val="24"/>
              </w:rPr>
            </w:pPr>
            <w:r w:rsidRPr="0062316F">
              <w:rPr>
                <w:rFonts w:ascii="Book Antiqua" w:hAnsi="Book Antiqua" w:cs="Times New Roman"/>
                <w:sz w:val="24"/>
                <w:szCs w:val="24"/>
              </w:rPr>
              <w:t>HR 2.01 (95%CI 1.43-2.83)</w:t>
            </w:r>
          </w:p>
        </w:tc>
      </w:tr>
    </w:tbl>
    <w:p w14:paraId="0001AC08" w14:textId="424FA4F7" w:rsidR="00E9347F" w:rsidRPr="0062316F" w:rsidRDefault="00E9347F" w:rsidP="0062316F">
      <w:pPr>
        <w:pStyle w:val="Caption"/>
        <w:spacing w:after="0" w:line="360" w:lineRule="auto"/>
        <w:jc w:val="both"/>
        <w:rPr>
          <w:rFonts w:ascii="Book Antiqua" w:hAnsi="Book Antiqua"/>
          <w:i w:val="0"/>
          <w:color w:val="auto"/>
          <w:sz w:val="24"/>
          <w:szCs w:val="24"/>
        </w:rPr>
      </w:pPr>
      <w:r w:rsidRPr="0062316F">
        <w:rPr>
          <w:rFonts w:ascii="Book Antiqua" w:hAnsi="Book Antiqua"/>
          <w:i w:val="0"/>
          <w:color w:val="auto"/>
          <w:sz w:val="24"/>
          <w:szCs w:val="24"/>
        </w:rPr>
        <w:t xml:space="preserve">NR: </w:t>
      </w:r>
      <w:r w:rsidR="00242511" w:rsidRPr="0062316F">
        <w:rPr>
          <w:rFonts w:ascii="Book Antiqua" w:hAnsi="Book Antiqua"/>
          <w:i w:val="0"/>
          <w:color w:val="auto"/>
          <w:sz w:val="24"/>
          <w:szCs w:val="24"/>
        </w:rPr>
        <w:t xml:space="preserve">Not </w:t>
      </w:r>
      <w:r w:rsidRPr="0062316F">
        <w:rPr>
          <w:rFonts w:ascii="Book Antiqua" w:hAnsi="Book Antiqua"/>
          <w:i w:val="0"/>
          <w:color w:val="auto"/>
          <w:sz w:val="24"/>
          <w:szCs w:val="24"/>
        </w:rPr>
        <w:t xml:space="preserve">reported; NS: </w:t>
      </w:r>
      <w:r w:rsidR="00242511" w:rsidRPr="0062316F">
        <w:rPr>
          <w:rFonts w:ascii="Book Antiqua" w:hAnsi="Book Antiqua"/>
          <w:i w:val="0"/>
          <w:color w:val="auto"/>
          <w:sz w:val="24"/>
          <w:szCs w:val="24"/>
        </w:rPr>
        <w:t xml:space="preserve">Not </w:t>
      </w:r>
      <w:r w:rsidRPr="0062316F">
        <w:rPr>
          <w:rFonts w:ascii="Book Antiqua" w:hAnsi="Book Antiqua"/>
          <w:i w:val="0"/>
          <w:color w:val="auto"/>
          <w:sz w:val="24"/>
          <w:szCs w:val="24"/>
        </w:rPr>
        <w:t xml:space="preserve">significant; eGFR: </w:t>
      </w:r>
      <w:r w:rsidR="00242511" w:rsidRPr="0062316F">
        <w:rPr>
          <w:rFonts w:ascii="Book Antiqua" w:hAnsi="Book Antiqua"/>
          <w:i w:val="0"/>
          <w:color w:val="auto"/>
          <w:sz w:val="24"/>
          <w:szCs w:val="24"/>
        </w:rPr>
        <w:t xml:space="preserve">Estimated </w:t>
      </w:r>
      <w:r w:rsidRPr="0062316F">
        <w:rPr>
          <w:rFonts w:ascii="Book Antiqua" w:hAnsi="Book Antiqua"/>
          <w:i w:val="0"/>
          <w:color w:val="auto"/>
          <w:sz w:val="24"/>
          <w:szCs w:val="24"/>
        </w:rPr>
        <w:t>glomerular filtration rate</w:t>
      </w:r>
      <w:r w:rsidR="00242511" w:rsidRPr="0062316F">
        <w:rPr>
          <w:rFonts w:ascii="Book Antiqua" w:hAnsi="Book Antiqua"/>
          <w:i w:val="0"/>
          <w:color w:val="auto"/>
          <w:sz w:val="24"/>
          <w:szCs w:val="24"/>
        </w:rPr>
        <w:t xml:space="preserve">; </w:t>
      </w:r>
      <w:r w:rsidR="00242511" w:rsidRPr="0062316F">
        <w:rPr>
          <w:rFonts w:ascii="Book Antiqua" w:hAnsi="Book Antiqua" w:cs="Times New Roman"/>
          <w:i w:val="0"/>
          <w:color w:val="auto"/>
          <w:sz w:val="24"/>
          <w:szCs w:val="24"/>
        </w:rPr>
        <w:t>PPI: Proton pump inhibitors.</w:t>
      </w:r>
    </w:p>
    <w:p w14:paraId="5B23D656" w14:textId="148ED689" w:rsidR="00B352BC" w:rsidRPr="0062316F" w:rsidRDefault="00B352BC" w:rsidP="0062316F">
      <w:pPr>
        <w:spacing w:after="0" w:line="360" w:lineRule="auto"/>
        <w:jc w:val="both"/>
        <w:rPr>
          <w:rFonts w:ascii="Book Antiqua" w:hAnsi="Book Antiqua" w:cs="Times New Roman"/>
          <w:sz w:val="24"/>
          <w:szCs w:val="24"/>
        </w:rPr>
      </w:pPr>
    </w:p>
    <w:sectPr w:rsidR="00B352BC" w:rsidRPr="0062316F" w:rsidSect="002425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6034D" w14:textId="77777777" w:rsidR="005F46D2" w:rsidRDefault="005F46D2" w:rsidP="00E56DB0">
      <w:pPr>
        <w:spacing w:after="0" w:line="240" w:lineRule="auto"/>
      </w:pPr>
      <w:r>
        <w:separator/>
      </w:r>
    </w:p>
  </w:endnote>
  <w:endnote w:type="continuationSeparator" w:id="0">
    <w:p w14:paraId="4C5AE9BB" w14:textId="77777777" w:rsidR="005F46D2" w:rsidRDefault="005F46D2" w:rsidP="00E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imesNewRomanPS-BoldItalicMT">
    <w:panose1 w:val="020B0604020202020204"/>
    <w:charset w:val="00"/>
    <w:family w:val="auto"/>
    <w:pitch w:val="variable"/>
    <w:sig w:usb0="E0000AFF" w:usb1="00007843" w:usb2="0000000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icrosoft YaHei">
    <w:altName w:val="微软雅黑"/>
    <w:panose1 w:val="020B0503020204020204"/>
    <w:charset w:val="86"/>
    <w:family w:val="swiss"/>
    <w:pitch w:val="variable"/>
    <w:sig w:usb0="80000287" w:usb1="2ACF3C52"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DF4D" w14:textId="77777777" w:rsidR="005F46D2" w:rsidRDefault="005F46D2" w:rsidP="00E56DB0">
      <w:pPr>
        <w:spacing w:after="0" w:line="240" w:lineRule="auto"/>
      </w:pPr>
      <w:r>
        <w:separator/>
      </w:r>
    </w:p>
  </w:footnote>
  <w:footnote w:type="continuationSeparator" w:id="0">
    <w:p w14:paraId="2C1C5C0C" w14:textId="77777777" w:rsidR="005F46D2" w:rsidRDefault="005F46D2" w:rsidP="00E56D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xNDc3M7K0NLc0M7BU0lEKTi0uzszPAykwqgUA1uS1oiwAAAA="/>
    <w:docVar w:name="EN.InstantFormat" w:val="&lt;ENInstantFormat&gt;&lt;Enabled&gt;1&lt;/Enabled&gt;&lt;ScanUnformatted&gt;1&lt;/ScanUnformatted&gt;&lt;ScanChanges&gt;1&lt;/ScanChanges&gt;&lt;Suspended&gt;1&lt;/Suspended&gt;&lt;/ENInstantFormat&gt;"/>
  </w:docVars>
  <w:rsids>
    <w:rsidRoot w:val="00E9347F"/>
    <w:rsid w:val="000333CE"/>
    <w:rsid w:val="00050E8D"/>
    <w:rsid w:val="000624D1"/>
    <w:rsid w:val="0008566C"/>
    <w:rsid w:val="0009478B"/>
    <w:rsid w:val="000A14C1"/>
    <w:rsid w:val="000C4E5B"/>
    <w:rsid w:val="000C5510"/>
    <w:rsid w:val="001066A6"/>
    <w:rsid w:val="0011117C"/>
    <w:rsid w:val="00160D60"/>
    <w:rsid w:val="00192335"/>
    <w:rsid w:val="0019254A"/>
    <w:rsid w:val="001A04D6"/>
    <w:rsid w:val="001D10AF"/>
    <w:rsid w:val="00242511"/>
    <w:rsid w:val="00252DDF"/>
    <w:rsid w:val="00276888"/>
    <w:rsid w:val="002A0E8B"/>
    <w:rsid w:val="003028C0"/>
    <w:rsid w:val="00315156"/>
    <w:rsid w:val="003354F6"/>
    <w:rsid w:val="003541FF"/>
    <w:rsid w:val="00374ED4"/>
    <w:rsid w:val="00375938"/>
    <w:rsid w:val="003952A3"/>
    <w:rsid w:val="003E7AC4"/>
    <w:rsid w:val="00446383"/>
    <w:rsid w:val="00450BC1"/>
    <w:rsid w:val="00493DCA"/>
    <w:rsid w:val="004D4693"/>
    <w:rsid w:val="004E484A"/>
    <w:rsid w:val="004F6647"/>
    <w:rsid w:val="00536A7A"/>
    <w:rsid w:val="005616F1"/>
    <w:rsid w:val="005A5D61"/>
    <w:rsid w:val="005B2841"/>
    <w:rsid w:val="005B2907"/>
    <w:rsid w:val="005B3A5C"/>
    <w:rsid w:val="005B4452"/>
    <w:rsid w:val="005B582C"/>
    <w:rsid w:val="005C15F6"/>
    <w:rsid w:val="005D6C0A"/>
    <w:rsid w:val="005E0AC5"/>
    <w:rsid w:val="005E23B2"/>
    <w:rsid w:val="005E4D1B"/>
    <w:rsid w:val="005E5013"/>
    <w:rsid w:val="005F34AC"/>
    <w:rsid w:val="005F46D2"/>
    <w:rsid w:val="006008D7"/>
    <w:rsid w:val="0062316F"/>
    <w:rsid w:val="00623715"/>
    <w:rsid w:val="006431AD"/>
    <w:rsid w:val="0065009D"/>
    <w:rsid w:val="006D1BA4"/>
    <w:rsid w:val="006E035A"/>
    <w:rsid w:val="006E5D2C"/>
    <w:rsid w:val="00710C88"/>
    <w:rsid w:val="00744EB6"/>
    <w:rsid w:val="00786DDC"/>
    <w:rsid w:val="007B446F"/>
    <w:rsid w:val="007C172E"/>
    <w:rsid w:val="007C7B8C"/>
    <w:rsid w:val="007F3C4D"/>
    <w:rsid w:val="0080344F"/>
    <w:rsid w:val="00812CE0"/>
    <w:rsid w:val="00830BA8"/>
    <w:rsid w:val="00831540"/>
    <w:rsid w:val="00840D26"/>
    <w:rsid w:val="00846C34"/>
    <w:rsid w:val="00875E5E"/>
    <w:rsid w:val="008A4D0A"/>
    <w:rsid w:val="008F0C0B"/>
    <w:rsid w:val="008F4CCC"/>
    <w:rsid w:val="008F66B6"/>
    <w:rsid w:val="008F7AEF"/>
    <w:rsid w:val="009201F9"/>
    <w:rsid w:val="009228DB"/>
    <w:rsid w:val="009527BA"/>
    <w:rsid w:val="00952F3B"/>
    <w:rsid w:val="009544F0"/>
    <w:rsid w:val="00955E46"/>
    <w:rsid w:val="009602F3"/>
    <w:rsid w:val="00962677"/>
    <w:rsid w:val="009672E2"/>
    <w:rsid w:val="00977A2F"/>
    <w:rsid w:val="009933B5"/>
    <w:rsid w:val="009A309C"/>
    <w:rsid w:val="009B541E"/>
    <w:rsid w:val="009C0B39"/>
    <w:rsid w:val="009E1A2C"/>
    <w:rsid w:val="009F3BE8"/>
    <w:rsid w:val="00A0737D"/>
    <w:rsid w:val="00A53E4B"/>
    <w:rsid w:val="00A61285"/>
    <w:rsid w:val="00A84E2C"/>
    <w:rsid w:val="00A93495"/>
    <w:rsid w:val="00A94BA0"/>
    <w:rsid w:val="00AA2026"/>
    <w:rsid w:val="00AD0AD0"/>
    <w:rsid w:val="00AD1A01"/>
    <w:rsid w:val="00B05379"/>
    <w:rsid w:val="00B24456"/>
    <w:rsid w:val="00B352BC"/>
    <w:rsid w:val="00B54F0D"/>
    <w:rsid w:val="00B677DE"/>
    <w:rsid w:val="00B71BDA"/>
    <w:rsid w:val="00B76A38"/>
    <w:rsid w:val="00BF0F95"/>
    <w:rsid w:val="00C23110"/>
    <w:rsid w:val="00CA67BC"/>
    <w:rsid w:val="00CB3477"/>
    <w:rsid w:val="00CF5114"/>
    <w:rsid w:val="00D100DB"/>
    <w:rsid w:val="00D1011F"/>
    <w:rsid w:val="00D37797"/>
    <w:rsid w:val="00D5438A"/>
    <w:rsid w:val="00DA317C"/>
    <w:rsid w:val="00E4149F"/>
    <w:rsid w:val="00E43E96"/>
    <w:rsid w:val="00E5695C"/>
    <w:rsid w:val="00E56DB0"/>
    <w:rsid w:val="00E9347F"/>
    <w:rsid w:val="00EF5815"/>
    <w:rsid w:val="00F76804"/>
    <w:rsid w:val="00F82A64"/>
    <w:rsid w:val="00FA0E01"/>
    <w:rsid w:val="00FA693D"/>
    <w:rsid w:val="00FC3841"/>
    <w:rsid w:val="00FC4772"/>
    <w:rsid w:val="23CC1ED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07454"/>
  <w15:docId w15:val="{F0AAE76C-2712-405C-B4EE-E0C1279D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4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9347F"/>
    <w:rPr>
      <w:color w:val="0000FF"/>
      <w:u w:val="single"/>
    </w:rPr>
  </w:style>
  <w:style w:type="paragraph" w:customStyle="1" w:styleId="BodyA">
    <w:name w:val="Body A"/>
    <w:rsid w:val="00E9347F"/>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character" w:customStyle="1" w:styleId="fontstyle01">
    <w:name w:val="fontstyle01"/>
    <w:basedOn w:val="DefaultParagraphFont"/>
    <w:rsid w:val="00E9347F"/>
    <w:rPr>
      <w:rFonts w:ascii="Book Antiqua" w:hAnsi="Book Antiqua" w:hint="default"/>
      <w:b/>
      <w:bCs/>
      <w:i w:val="0"/>
      <w:iCs w:val="0"/>
      <w:color w:val="000000"/>
      <w:sz w:val="24"/>
      <w:szCs w:val="24"/>
    </w:rPr>
  </w:style>
  <w:style w:type="character" w:customStyle="1" w:styleId="fontstyle21">
    <w:name w:val="fontstyle21"/>
    <w:basedOn w:val="DefaultParagraphFont"/>
    <w:rsid w:val="00E9347F"/>
    <w:rPr>
      <w:rFonts w:ascii="Book Antiqua" w:hAnsi="Book Antiqua" w:hint="default"/>
      <w:b w:val="0"/>
      <w:bCs w:val="0"/>
      <w:i/>
      <w:iCs/>
      <w:color w:val="000000"/>
      <w:sz w:val="24"/>
      <w:szCs w:val="24"/>
    </w:rPr>
  </w:style>
  <w:style w:type="character" w:customStyle="1" w:styleId="fontstyle31">
    <w:name w:val="fontstyle31"/>
    <w:basedOn w:val="DefaultParagraphFont"/>
    <w:rsid w:val="00E9347F"/>
    <w:rPr>
      <w:rFonts w:ascii="Book Antiqua" w:hAnsi="Book Antiqua" w:hint="default"/>
      <w:b w:val="0"/>
      <w:bCs w:val="0"/>
      <w:i w:val="0"/>
      <w:iCs w:val="0"/>
      <w:color w:val="000000"/>
      <w:sz w:val="24"/>
      <w:szCs w:val="24"/>
    </w:rPr>
  </w:style>
  <w:style w:type="character" w:customStyle="1" w:styleId="1">
    <w:name w:val="未处理的提及1"/>
    <w:basedOn w:val="DefaultParagraphFont"/>
    <w:uiPriority w:val="99"/>
    <w:semiHidden/>
    <w:unhideWhenUsed/>
    <w:rsid w:val="00E9347F"/>
    <w:rPr>
      <w:color w:val="605E5C"/>
      <w:shd w:val="clear" w:color="auto" w:fill="E1DFDD"/>
    </w:rPr>
  </w:style>
  <w:style w:type="paragraph" w:customStyle="1" w:styleId="EndNoteBibliographyTitle">
    <w:name w:val="EndNote Bibliography Title"/>
    <w:basedOn w:val="Normal"/>
    <w:link w:val="EndNoteBibliographyTitleChar"/>
    <w:rsid w:val="00E9347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9347F"/>
    <w:rPr>
      <w:rFonts w:ascii="Calibri" w:hAnsi="Calibri" w:cs="Calibri"/>
      <w:noProof/>
    </w:rPr>
  </w:style>
  <w:style w:type="paragraph" w:customStyle="1" w:styleId="EndNoteBibliography">
    <w:name w:val="EndNote Bibliography"/>
    <w:basedOn w:val="Normal"/>
    <w:link w:val="EndNoteBibliographyChar"/>
    <w:rsid w:val="00E9347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9347F"/>
    <w:rPr>
      <w:rFonts w:ascii="Calibri" w:hAnsi="Calibri" w:cs="Calibri"/>
      <w:noProof/>
    </w:rPr>
  </w:style>
  <w:style w:type="character" w:styleId="CommentReference">
    <w:name w:val="annotation reference"/>
    <w:basedOn w:val="DefaultParagraphFont"/>
    <w:uiPriority w:val="99"/>
    <w:unhideWhenUsed/>
    <w:rsid w:val="00E9347F"/>
    <w:rPr>
      <w:sz w:val="16"/>
      <w:szCs w:val="16"/>
    </w:rPr>
  </w:style>
  <w:style w:type="paragraph" w:styleId="CommentText">
    <w:name w:val="annotation text"/>
    <w:basedOn w:val="Normal"/>
    <w:link w:val="CommentTextChar"/>
    <w:uiPriority w:val="99"/>
    <w:unhideWhenUsed/>
    <w:qFormat/>
    <w:rsid w:val="00E9347F"/>
    <w:pPr>
      <w:spacing w:line="240" w:lineRule="auto"/>
    </w:pPr>
    <w:rPr>
      <w:sz w:val="20"/>
      <w:szCs w:val="20"/>
    </w:rPr>
  </w:style>
  <w:style w:type="character" w:customStyle="1" w:styleId="CommentTextChar">
    <w:name w:val="Comment Text Char"/>
    <w:basedOn w:val="DefaultParagraphFont"/>
    <w:link w:val="CommentText"/>
    <w:uiPriority w:val="99"/>
    <w:qFormat/>
    <w:rsid w:val="00E9347F"/>
    <w:rPr>
      <w:sz w:val="20"/>
      <w:szCs w:val="20"/>
    </w:rPr>
  </w:style>
  <w:style w:type="paragraph" w:styleId="CommentSubject">
    <w:name w:val="annotation subject"/>
    <w:basedOn w:val="CommentText"/>
    <w:next w:val="CommentText"/>
    <w:link w:val="CommentSubjectChar"/>
    <w:uiPriority w:val="99"/>
    <w:semiHidden/>
    <w:unhideWhenUsed/>
    <w:rsid w:val="00E9347F"/>
    <w:rPr>
      <w:b/>
      <w:bCs/>
    </w:rPr>
  </w:style>
  <w:style w:type="character" w:customStyle="1" w:styleId="CommentSubjectChar">
    <w:name w:val="Comment Subject Char"/>
    <w:basedOn w:val="CommentTextChar"/>
    <w:link w:val="CommentSubject"/>
    <w:uiPriority w:val="99"/>
    <w:semiHidden/>
    <w:rsid w:val="00E9347F"/>
    <w:rPr>
      <w:b/>
      <w:bCs/>
      <w:sz w:val="20"/>
      <w:szCs w:val="20"/>
    </w:rPr>
  </w:style>
  <w:style w:type="paragraph" w:styleId="BalloonText">
    <w:name w:val="Balloon Text"/>
    <w:basedOn w:val="Normal"/>
    <w:link w:val="BalloonTextChar"/>
    <w:uiPriority w:val="99"/>
    <w:semiHidden/>
    <w:unhideWhenUsed/>
    <w:rsid w:val="00E93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47F"/>
    <w:rPr>
      <w:rFonts w:ascii="Segoe UI" w:hAnsi="Segoe UI" w:cs="Segoe UI"/>
      <w:sz w:val="18"/>
      <w:szCs w:val="18"/>
    </w:rPr>
  </w:style>
  <w:style w:type="table" w:styleId="TableGrid">
    <w:name w:val="Table Grid"/>
    <w:basedOn w:val="TableNormal"/>
    <w:uiPriority w:val="39"/>
    <w:rsid w:val="00E93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E9347F"/>
  </w:style>
  <w:style w:type="paragraph" w:styleId="Caption">
    <w:name w:val="caption"/>
    <w:basedOn w:val="Normal"/>
    <w:next w:val="Normal"/>
    <w:uiPriority w:val="35"/>
    <w:unhideWhenUsed/>
    <w:qFormat/>
    <w:rsid w:val="00E9347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93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47F"/>
  </w:style>
  <w:style w:type="paragraph" w:styleId="Footer">
    <w:name w:val="footer"/>
    <w:basedOn w:val="Normal"/>
    <w:link w:val="FooterChar"/>
    <w:uiPriority w:val="99"/>
    <w:unhideWhenUsed/>
    <w:rsid w:val="00E93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47F"/>
  </w:style>
  <w:style w:type="character" w:styleId="Emphasis">
    <w:name w:val="Emphasis"/>
    <w:basedOn w:val="DefaultParagraphFont"/>
    <w:uiPriority w:val="20"/>
    <w:qFormat/>
    <w:rsid w:val="00E9347F"/>
    <w:rPr>
      <w:i/>
      <w:iCs/>
    </w:rPr>
  </w:style>
  <w:style w:type="paragraph" w:styleId="Revision">
    <w:name w:val="Revision"/>
    <w:hidden/>
    <w:uiPriority w:val="99"/>
    <w:semiHidden/>
    <w:rsid w:val="00E9347F"/>
    <w:pPr>
      <w:spacing w:after="0" w:line="240" w:lineRule="auto"/>
    </w:pPr>
  </w:style>
  <w:style w:type="paragraph" w:customStyle="1" w:styleId="10">
    <w:name w:val="正文1"/>
    <w:uiPriority w:val="99"/>
    <w:rsid w:val="00C23110"/>
    <w:pPr>
      <w:spacing w:after="0" w:line="276" w:lineRule="auto"/>
    </w:pPr>
    <w:rPr>
      <w:rFonts w:ascii="Arial" w:eastAsia="SimSun" w:hAnsi="Arial" w:cs="Arial"/>
      <w:color w:val="000000"/>
      <w:szCs w:val="20"/>
      <w:lang w:val="pl-PL" w:eastAsia="pl-PL"/>
    </w:rPr>
  </w:style>
  <w:style w:type="paragraph" w:styleId="ListParagraph">
    <w:name w:val="List Paragraph"/>
    <w:basedOn w:val="Normal"/>
    <w:uiPriority w:val="34"/>
    <w:qFormat/>
    <w:rsid w:val="00C23110"/>
    <w:pPr>
      <w:spacing w:after="200" w:line="276" w:lineRule="auto"/>
      <w:ind w:left="720"/>
      <w:contextualSpacing/>
    </w:pPr>
    <w:rPr>
      <w:rFonts w:asciiTheme="majorHAnsi" w:eastAsia="SimSun" w:hAnsiTheme="maj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2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heungpasitporn@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55AD-628A-CB40-9B8B-BB515D559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7319</Words>
  <Characters>41722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48944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Mao</dc:creator>
  <cp:lastModifiedBy>Li Ma</cp:lastModifiedBy>
  <cp:revision>3</cp:revision>
  <dcterms:created xsi:type="dcterms:W3CDTF">2019-05-14T09:57:00Z</dcterms:created>
  <dcterms:modified xsi:type="dcterms:W3CDTF">2019-05-14T10:04:00Z</dcterms:modified>
</cp:coreProperties>
</file>